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643"/>
        <w:rPr>
          <w:rFonts w:ascii="仿宋_GB2312" w:eastAsia="仿宋_GB2312"/>
        </w:rPr>
      </w:pPr>
    </w:p>
    <w:p>
      <w:pPr>
        <w:ind w:firstLine="640"/>
        <w:jc w:val="center"/>
        <w:rPr>
          <w:rFonts w:ascii="仿宋_GB2312" w:eastAsia="仿宋_GB2312"/>
          <w:sz w:val="32"/>
          <w:szCs w:val="32"/>
        </w:rPr>
      </w:pPr>
    </w:p>
    <w:p>
      <w:pPr>
        <w:spacing w:line="600" w:lineRule="exact"/>
        <w:ind w:firstLine="600"/>
        <w:jc w:val="center"/>
        <w:rPr>
          <w:rFonts w:ascii="仿宋_GB2312" w:eastAsia="仿宋_GB2312"/>
          <w:sz w:val="30"/>
          <w:szCs w:val="30"/>
        </w:rPr>
      </w:pPr>
      <w:r>
        <w:rPr>
          <w:rFonts w:hint="eastAsia" w:ascii="仿宋_GB2312" w:eastAsia="仿宋_GB2312"/>
          <w:sz w:val="30"/>
          <w:szCs w:val="30"/>
        </w:rPr>
        <w:t>浙江省舟山市自然灾害应急能力提升工程预警指挥项目提升综合风险监测预警和指挥支撑保障能力分项采购项目</w:t>
      </w:r>
      <w:r>
        <w:rPr>
          <w:rFonts w:hint="eastAsia" w:ascii="仿宋_GB2312" w:eastAsia="仿宋_GB2312"/>
          <w:sz w:val="30"/>
          <w:szCs w:val="30"/>
        </w:rPr>
        <w:tab/>
      </w:r>
    </w:p>
    <w:p>
      <w:pPr>
        <w:pStyle w:val="11"/>
        <w:jc w:val="center"/>
      </w:pPr>
    </w:p>
    <w:p>
      <w:pPr>
        <w:spacing w:line="600" w:lineRule="exact"/>
        <w:ind w:firstLine="600"/>
        <w:jc w:val="center"/>
        <w:rPr>
          <w:rFonts w:ascii="仿宋_GB2312" w:eastAsia="仿宋_GB2312"/>
          <w:sz w:val="24"/>
          <w:szCs w:val="24"/>
        </w:rPr>
      </w:pPr>
    </w:p>
    <w:p>
      <w:pPr>
        <w:jc w:val="center"/>
        <w:rPr>
          <w:rFonts w:ascii="仿宋_GB2312" w:eastAsia="仿宋_GB2312"/>
          <w:sz w:val="24"/>
          <w:szCs w:val="24"/>
        </w:rPr>
      </w:pPr>
    </w:p>
    <w:p>
      <w:pPr>
        <w:spacing w:line="600" w:lineRule="exact"/>
        <w:ind w:firstLine="600"/>
        <w:jc w:val="center"/>
        <w:rPr>
          <w:rFonts w:ascii="仿宋_GB2312" w:eastAsia="仿宋_GB2312"/>
          <w:sz w:val="30"/>
          <w:szCs w:val="30"/>
        </w:rPr>
      </w:pPr>
      <w:r>
        <w:rPr>
          <w:rFonts w:hint="eastAsia" w:ascii="仿宋_GB2312" w:eastAsia="仿宋_GB2312"/>
          <w:sz w:val="30"/>
          <w:szCs w:val="30"/>
        </w:rPr>
        <w:t>公开招标文件</w:t>
      </w:r>
    </w:p>
    <w:p>
      <w:pPr>
        <w:spacing w:line="600" w:lineRule="exact"/>
        <w:ind w:firstLine="600"/>
        <w:jc w:val="center"/>
        <w:rPr>
          <w:rFonts w:ascii="仿宋_GB2312" w:eastAsia="仿宋_GB2312"/>
          <w:sz w:val="30"/>
          <w:szCs w:val="30"/>
        </w:rPr>
      </w:pPr>
      <w:r>
        <w:rPr>
          <w:rFonts w:hint="eastAsia" w:ascii="仿宋_GB2312" w:eastAsia="仿宋_GB2312"/>
          <w:sz w:val="30"/>
          <w:szCs w:val="30"/>
        </w:rPr>
        <w:t>（电子招投标）</w:t>
      </w:r>
    </w:p>
    <w:p>
      <w:pPr>
        <w:spacing w:line="600" w:lineRule="exact"/>
        <w:ind w:firstLine="600"/>
        <w:jc w:val="center"/>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编号:ZSZFCG2024-</w:t>
      </w:r>
      <w:r>
        <w:rPr>
          <w:rFonts w:hint="eastAsia" w:ascii="仿宋_GB2312" w:eastAsia="仿宋_GB2312"/>
          <w:color w:val="000000" w:themeColor="text1"/>
          <w:sz w:val="30"/>
          <w:szCs w:val="30"/>
          <w:lang w:eastAsia="zh-CN"/>
          <w14:textFill>
            <w14:solidFill>
              <w14:schemeClr w14:val="tx1"/>
            </w14:solidFill>
          </w14:textFill>
        </w:rPr>
        <w:t>ZB-021</w:t>
      </w: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spacing w:line="600" w:lineRule="exact"/>
        <w:ind w:firstLine="600"/>
        <w:jc w:val="center"/>
        <w:rPr>
          <w:rFonts w:ascii="仿宋_GB2312" w:eastAsia="仿宋_GB2312"/>
          <w:sz w:val="30"/>
          <w:szCs w:val="30"/>
        </w:rPr>
      </w:pPr>
    </w:p>
    <w:p>
      <w:pPr>
        <w:adjustRightInd w:val="0"/>
        <w:snapToGrid w:val="0"/>
        <w:spacing w:line="600" w:lineRule="exact"/>
        <w:ind w:firstLine="600"/>
        <w:jc w:val="center"/>
        <w:rPr>
          <w:rFonts w:hint="eastAsia" w:ascii="仿宋_GB2312" w:eastAsia="仿宋_GB2312"/>
          <w:sz w:val="30"/>
          <w:szCs w:val="30"/>
          <w:lang w:eastAsia="zh-CN"/>
        </w:rPr>
      </w:pPr>
      <w:r>
        <w:rPr>
          <w:rFonts w:hint="eastAsia" w:ascii="仿宋_GB2312" w:eastAsia="仿宋_GB2312"/>
          <w:sz w:val="30"/>
          <w:szCs w:val="30"/>
        </w:rPr>
        <w:t>舟山市应急管理局、普朱管委会、普陀区应急管理局、岱山县应急管理局、嵊泗县应急管委局、普陀山镇人民政府、定海区应急管理局</w:t>
      </w:r>
    </w:p>
    <w:p>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舟山市公共资源交易中心</w:t>
      </w:r>
    </w:p>
    <w:p>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2024年</w:t>
      </w:r>
      <w:r>
        <w:rPr>
          <w:rFonts w:hint="eastAsia" w:ascii="仿宋_GB2312" w:eastAsia="仿宋_GB2312"/>
          <w:sz w:val="30"/>
          <w:szCs w:val="30"/>
          <w:lang w:val="en-US" w:eastAsia="zh-CN"/>
        </w:rPr>
        <w:t>6</w:t>
      </w:r>
      <w:bookmarkStart w:id="410" w:name="_GoBack"/>
      <w:bookmarkEnd w:id="410"/>
      <w:r>
        <w:rPr>
          <w:rFonts w:hint="eastAsia" w:ascii="仿宋_GB2312" w:eastAsia="仿宋_GB2312"/>
          <w:sz w:val="30"/>
          <w:szCs w:val="30"/>
        </w:rPr>
        <w:t>月</w:t>
      </w:r>
    </w:p>
    <w:p>
      <w:pPr>
        <w:adjustRightInd w:val="0"/>
        <w:snapToGrid w:val="0"/>
        <w:rPr>
          <w:rFonts w:ascii="仿宋_GB2312" w:eastAsia="仿宋_GB2312"/>
          <w:sz w:val="24"/>
          <w:szCs w:val="24"/>
        </w:rPr>
      </w:pPr>
      <w:r>
        <w:rPr>
          <w:rFonts w:hint="eastAsia" w:ascii="仿宋_GB2312" w:eastAsia="仿宋_GB2312"/>
          <w:sz w:val="24"/>
          <w:szCs w:val="24"/>
        </w:rPr>
        <w:br w:type="page"/>
      </w:r>
      <w:bookmarkStart w:id="0" w:name="_Hlt67893495"/>
      <w:bookmarkEnd w:id="0"/>
    </w:p>
    <w:p>
      <w:pPr>
        <w:rPr>
          <w:rFonts w:ascii="仿宋_GB2312" w:eastAsia="仿宋_GB2312"/>
          <w:sz w:val="24"/>
          <w:szCs w:val="24"/>
        </w:rPr>
      </w:pPr>
    </w:p>
    <w:p>
      <w:pPr>
        <w:ind w:firstLine="562"/>
        <w:jc w:val="center"/>
        <w:rPr>
          <w:rFonts w:ascii="仿宋_GB2312" w:hAnsi="宋体" w:eastAsia="仿宋_GB2312"/>
          <w:b/>
          <w:sz w:val="28"/>
          <w:szCs w:val="28"/>
        </w:rPr>
      </w:pPr>
      <w:r>
        <w:rPr>
          <w:rFonts w:hint="eastAsia" w:ascii="仿宋_GB2312" w:hAnsi="宋体" w:eastAsia="仿宋_GB2312"/>
          <w:b/>
          <w:sz w:val="28"/>
          <w:szCs w:val="28"/>
        </w:rPr>
        <w:t>目  录</w:t>
      </w:r>
    </w:p>
    <w:p>
      <w:pPr>
        <w:ind w:firstLine="560"/>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第一部分      招标公告</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第二部分      投标人须知</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第三部分      采购需求</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第四部分      评标办法</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第五部分      拟签订的合同文本</w:t>
      </w:r>
    </w:p>
    <w:p>
      <w:pPr>
        <w:spacing w:line="360" w:lineRule="auto"/>
        <w:ind w:firstLine="560" w:firstLineChars="200"/>
        <w:rPr>
          <w:rFonts w:ascii="仿宋_GB2312" w:hAnsi="黑体" w:eastAsia="仿宋_GB2312"/>
          <w:sz w:val="28"/>
          <w:szCs w:val="28"/>
        </w:rPr>
      </w:pPr>
      <w:r>
        <w:rPr>
          <w:rFonts w:hint="eastAsia" w:ascii="仿宋_GB2312" w:hAnsi="黑体" w:eastAsia="仿宋_GB2312"/>
          <w:sz w:val="28"/>
          <w:szCs w:val="28"/>
        </w:rPr>
        <w:t>第六部分      应提交的有关格式范例</w:t>
      </w:r>
    </w:p>
    <w:p>
      <w:pPr>
        <w:rPr>
          <w:rFonts w:ascii="仿宋_GB2312" w:hAnsi="黑体" w:eastAsia="仿宋_GB2312"/>
          <w:sz w:val="24"/>
          <w:szCs w:val="24"/>
        </w:rPr>
      </w:pPr>
      <w:bookmarkStart w:id="1" w:name="_Hlt91233176"/>
      <w:bookmarkEnd w:id="1"/>
      <w:bookmarkStart w:id="2" w:name="_Toc91899869"/>
    </w:p>
    <w:p>
      <w:pPr>
        <w:rPr>
          <w:rFonts w:ascii="仿宋_GB2312" w:hAnsi="黑体"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ind w:firstLine="3360" w:firstLineChars="1400"/>
        <w:outlineLvl w:val="0"/>
        <w:rPr>
          <w:rFonts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sz w:val="32"/>
          <w:szCs w:val="32"/>
        </w:rPr>
        <w:t>第一部分招标公告</w:t>
      </w:r>
    </w:p>
    <w:p>
      <w:pPr>
        <w:spacing w:line="420" w:lineRule="exact"/>
        <w:ind w:firstLine="482" w:firstLineChars="200"/>
        <w:contextualSpacing/>
        <w:rPr>
          <w:rFonts w:ascii="仿宋_GB2312" w:eastAsia="仿宋_GB2312"/>
          <w:b/>
          <w:sz w:val="24"/>
          <w:szCs w:val="24"/>
        </w:rPr>
      </w:pPr>
    </w:p>
    <w:p>
      <w:pPr>
        <w:spacing w:line="420" w:lineRule="exact"/>
        <w:ind w:firstLine="480" w:firstLineChars="200"/>
        <w:contextualSpacing/>
        <w:rPr>
          <w:rFonts w:ascii="仿宋_GB2312" w:eastAsia="仿宋_GB2312"/>
          <w:sz w:val="24"/>
          <w:szCs w:val="24"/>
        </w:rPr>
      </w:pPr>
      <w:r>
        <w:rPr>
          <w:rFonts w:hint="eastAsia" w:ascii="仿宋_GB2312" w:eastAsia="仿宋_GB2312"/>
          <w:bCs/>
          <w:sz w:val="24"/>
          <w:szCs w:val="24"/>
        </w:rPr>
        <w:t>浙江省舟山市自然灾害应急能力提升工程预警指挥项目提升综合风险监测预警和指挥支撑保障能力分项采购项目</w:t>
      </w:r>
      <w:r>
        <w:rPr>
          <w:rFonts w:hint="eastAsia" w:ascii="仿宋_GB2312" w:eastAsia="仿宋_GB2312"/>
          <w:sz w:val="24"/>
          <w:szCs w:val="24"/>
        </w:rPr>
        <w:t>的潜在投标人应在政采云平</w:t>
      </w:r>
      <w:r>
        <w:rPr>
          <w:rFonts w:hint="eastAsia" w:ascii="仿宋_GB2312" w:eastAsia="仿宋_GB2312"/>
          <w:color w:val="000000" w:themeColor="text1"/>
          <w:sz w:val="24"/>
          <w:szCs w:val="24"/>
          <w14:textFill>
            <w14:solidFill>
              <w14:schemeClr w14:val="tx1"/>
            </w14:solidFill>
          </w14:textFill>
        </w:rPr>
        <w:t>台（</w:t>
      </w:r>
      <w:r>
        <w:fldChar w:fldCharType="begin"/>
      </w:r>
      <w:r>
        <w:instrText xml:space="preserve"> HYPERLINK "https://www.zcygov.cn/）获取（下载）招标文件，并于2024年5月10日9点15分00秒" </w:instrText>
      </w:r>
      <w:r>
        <w:fldChar w:fldCharType="separate"/>
      </w:r>
      <w:r>
        <w:rPr>
          <w:rStyle w:val="28"/>
          <w:rFonts w:hint="eastAsia" w:ascii="仿宋_GB2312" w:eastAsia="仿宋_GB2312"/>
          <w:color w:val="000000" w:themeColor="text1"/>
          <w:sz w:val="24"/>
          <w:szCs w:val="24"/>
          <w14:textFill>
            <w14:solidFill>
              <w14:schemeClr w14:val="tx1"/>
            </w14:solidFill>
          </w14:textFill>
        </w:rPr>
        <w:t>https://www.zcygov.cn/）获取（下载）招标文件，并于2024</w:t>
      </w:r>
      <w:r>
        <w:rPr>
          <w:rStyle w:val="28"/>
          <w:rFonts w:hint="eastAsia" w:ascii="仿宋_GB2312" w:eastAsia="仿宋_GB2312"/>
          <w:color w:val="000000" w:themeColor="text1"/>
          <w:sz w:val="24"/>
          <w:szCs w:val="24"/>
          <w:lang w:eastAsia="zh-CN"/>
          <w14:textFill>
            <w14:solidFill>
              <w14:schemeClr w14:val="tx1"/>
            </w14:solidFill>
          </w14:textFill>
        </w:rPr>
        <w:t>年6月28</w:t>
      </w:r>
      <w:r>
        <w:rPr>
          <w:rStyle w:val="28"/>
          <w:rFonts w:hint="eastAsia" w:ascii="仿宋_GB2312" w:eastAsia="仿宋_GB2312"/>
          <w:color w:val="000000" w:themeColor="text1"/>
          <w:sz w:val="24"/>
          <w:szCs w:val="24"/>
          <w14:textFill>
            <w14:solidFill>
              <w14:schemeClr w14:val="tx1"/>
            </w14:solidFill>
          </w14:textFill>
        </w:rPr>
        <w:t>日9点1</w:t>
      </w:r>
      <w:r>
        <w:rPr>
          <w:rStyle w:val="28"/>
          <w:rFonts w:hint="eastAsia" w:ascii="仿宋_GB2312" w:eastAsia="仿宋_GB2312"/>
          <w:color w:val="000000" w:themeColor="text1"/>
          <w:sz w:val="24"/>
          <w:szCs w:val="24"/>
          <w:lang w:val="en-US" w:eastAsia="zh-CN"/>
          <w14:textFill>
            <w14:solidFill>
              <w14:schemeClr w14:val="tx1"/>
            </w14:solidFill>
          </w14:textFill>
        </w:rPr>
        <w:t>0</w:t>
      </w:r>
      <w:r>
        <w:rPr>
          <w:rStyle w:val="28"/>
          <w:rFonts w:hint="eastAsia" w:ascii="仿宋_GB2312" w:eastAsia="仿宋_GB2312"/>
          <w:color w:val="000000" w:themeColor="text1"/>
          <w:sz w:val="24"/>
          <w:szCs w:val="24"/>
          <w14:textFill>
            <w14:solidFill>
              <w14:schemeClr w14:val="tx1"/>
            </w14:solidFill>
          </w14:textFill>
        </w:rPr>
        <w:t>分00秒</w:t>
      </w:r>
      <w:r>
        <w:rPr>
          <w:rStyle w:val="28"/>
          <w:rFonts w:hint="eastAsia" w:ascii="仿宋_GB2312" w:eastAsia="仿宋_GB2312"/>
          <w:color w:val="000000" w:themeColor="text1"/>
          <w:sz w:val="24"/>
          <w:szCs w:val="24"/>
          <w14:textFill>
            <w14:solidFill>
              <w14:schemeClr w14:val="tx1"/>
            </w14:solidFill>
          </w14:textFill>
        </w:rPr>
        <w:fldChar w:fldCharType="end"/>
      </w:r>
      <w:r>
        <w:rPr>
          <w:rFonts w:hint="eastAsia" w:ascii="仿宋_GB2312" w:eastAsia="仿宋_GB2312"/>
          <w:color w:val="000000" w:themeColor="text1"/>
          <w:sz w:val="24"/>
          <w:szCs w:val="24"/>
          <w14:textFill>
            <w14:solidFill>
              <w14:schemeClr w14:val="tx1"/>
            </w14:solidFill>
          </w14:textFill>
        </w:rPr>
        <w:t>（</w:t>
      </w:r>
      <w:r>
        <w:rPr>
          <w:rFonts w:hint="eastAsia" w:ascii="仿宋_GB2312" w:eastAsia="仿宋_GB2312"/>
          <w:sz w:val="24"/>
          <w:szCs w:val="24"/>
        </w:rPr>
        <w:t>北京时间）前递交（上传）投标文件。</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一、项目基本情况                                            </w:t>
      </w:r>
    </w:p>
    <w:p>
      <w:pPr>
        <w:spacing w:line="420" w:lineRule="exact"/>
        <w:ind w:firstLine="480" w:firstLineChars="200"/>
        <w:contextualSpacing/>
        <w:rPr>
          <w:rFonts w:hint="eastAsia" w:ascii="仿宋_GB2312" w:eastAsia="仿宋_GB2312"/>
          <w:color w:val="000000" w:themeColor="text1"/>
          <w:sz w:val="24"/>
          <w:szCs w:val="24"/>
          <w:lang w:eastAsia="zh-CN"/>
          <w14:textFill>
            <w14:solidFill>
              <w14:schemeClr w14:val="tx1"/>
            </w14:solidFill>
          </w14:textFill>
        </w:rPr>
      </w:pPr>
      <w:r>
        <w:rPr>
          <w:rFonts w:hint="eastAsia" w:ascii="仿宋_GB2312" w:eastAsia="仿宋_GB2312"/>
          <w:sz w:val="24"/>
          <w:szCs w:val="24"/>
        </w:rPr>
        <w:t>项目编号：</w:t>
      </w:r>
      <w:r>
        <w:rPr>
          <w:rFonts w:hint="eastAsia" w:ascii="仿宋_GB2312" w:eastAsia="仿宋_GB2312"/>
          <w:color w:val="000000" w:themeColor="text1"/>
          <w:sz w:val="24"/>
          <w:szCs w:val="24"/>
          <w14:textFill>
            <w14:solidFill>
              <w14:schemeClr w14:val="tx1"/>
            </w14:solidFill>
          </w14:textFill>
        </w:rPr>
        <w:t>ZSZFCG2024-</w:t>
      </w:r>
      <w:r>
        <w:rPr>
          <w:rFonts w:hint="eastAsia" w:ascii="仿宋_GB2312" w:eastAsia="仿宋_GB2312"/>
          <w:color w:val="000000" w:themeColor="text1"/>
          <w:sz w:val="24"/>
          <w:szCs w:val="24"/>
          <w:lang w:eastAsia="zh-CN"/>
          <w14:textFill>
            <w14:solidFill>
              <w14:schemeClr w14:val="tx1"/>
            </w14:solidFill>
          </w14:textFill>
        </w:rPr>
        <w:t>ZB-021</w:t>
      </w:r>
    </w:p>
    <w:p>
      <w:pPr>
        <w:spacing w:line="420" w:lineRule="exact"/>
        <w:ind w:firstLine="480" w:firstLineChars="200"/>
        <w:contextualSpacing/>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项目名称：浙江省舟山市自然灾害应急能力提升工程预警指挥项目提升综合风险监测预警和指挥支撑保障能力分项采购项目</w:t>
      </w:r>
      <w:r>
        <w:rPr>
          <w:rFonts w:hint="eastAsia" w:ascii="仿宋_GB2312" w:eastAsia="仿宋_GB2312"/>
          <w:bCs/>
          <w:color w:val="000000" w:themeColor="text1"/>
          <w:sz w:val="24"/>
          <w:szCs w:val="24"/>
          <w14:textFill>
            <w14:solidFill>
              <w14:schemeClr w14:val="tx1"/>
            </w14:solidFill>
          </w14:textFill>
        </w:rPr>
        <w:tab/>
      </w:r>
    </w:p>
    <w:p>
      <w:pPr>
        <w:pStyle w:val="11"/>
        <w:rPr>
          <w:rFonts w:ascii="仿宋_GB2312" w:eastAsia="仿宋_GB2312"/>
          <w:bCs/>
          <w:color w:val="000000" w:themeColor="text1"/>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预算金额（元）：</w:t>
      </w:r>
      <w:r>
        <w:rPr>
          <w:rFonts w:hint="eastAsia" w:ascii="仿宋_GB2312" w:eastAsia="仿宋_GB2312"/>
          <w:bCs/>
          <w:color w:val="000000" w:themeColor="text1"/>
          <w:szCs w:val="24"/>
          <w14:textFill>
            <w14:solidFill>
              <w14:schemeClr w14:val="tx1"/>
            </w14:solidFill>
          </w14:textFill>
        </w:rPr>
        <w:t>品目一（市本级）：970000元、品目二（普朱管委会）:5000元、品目三（普陀区）：602000元、品目四（岱山县）：105000元、品目五（嵊泗县）：375000元；品目六（普陀山镇）:120000元、品目七（定海区）：5000元；</w:t>
      </w:r>
    </w:p>
    <w:p>
      <w:pPr>
        <w:pStyle w:val="11"/>
        <w:rPr>
          <w:rFonts w:ascii="仿宋_GB2312" w:eastAsia="仿宋_GB2312"/>
          <w:bCs/>
          <w:color w:val="000000" w:themeColor="text1"/>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最高限价（元）：</w:t>
      </w:r>
      <w:r>
        <w:rPr>
          <w:rFonts w:hint="eastAsia" w:ascii="仿宋_GB2312" w:eastAsia="仿宋_GB2312"/>
          <w:bCs/>
          <w:color w:val="000000" w:themeColor="text1"/>
          <w:szCs w:val="24"/>
          <w14:textFill>
            <w14:solidFill>
              <w14:schemeClr w14:val="tx1"/>
            </w14:solidFill>
          </w14:textFill>
        </w:rPr>
        <w:t>品目一（市本级）：970000元、品目二（普朱管委会）:5000元、品目三（普陀区）：602000元、品目四（岱山县）：105000元、品目五（嵊泗县）：375000元；品目六（普陀山镇）:120000元、品目七（定海区）：5000元；</w:t>
      </w:r>
    </w:p>
    <w:p>
      <w:pPr>
        <w:spacing w:line="420" w:lineRule="exact"/>
        <w:ind w:firstLine="480" w:firstLineChars="200"/>
        <w:contextualSpacing/>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采购需求：详见招标文件第三部分采购需求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合同履约期限：详见采购文件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r>
        <w:rPr>
          <w:rFonts w:hint="eastAsia" w:ascii="仿宋_GB2312" w:eastAsia="仿宋_GB2312"/>
          <w:sz w:val="24"/>
          <w:szCs w:val="24"/>
        </w:rPr>
        <w:sym w:font="Wingdings" w:char="00A8"/>
      </w:r>
      <w:r>
        <w:rPr>
          <w:rFonts w:hint="eastAsia" w:ascii="仿宋_GB2312" w:eastAsia="仿宋_GB2312"/>
          <w:sz w:val="24"/>
          <w:szCs w:val="24"/>
        </w:rPr>
        <w:t>否，</w:t>
      </w:r>
      <w:sdt>
        <w:sdtPr>
          <w:rPr>
            <w:rFonts w:hint="eastAsia" w:ascii="仿宋_GB2312" w:eastAsia="仿宋_GB2312"/>
            <w:sz w:val="24"/>
            <w:szCs w:val="24"/>
          </w:rPr>
          <w:id w:val="2035453831"/>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
        <w:sdtPr>
          <w:rPr>
            <w:rFonts w:hint="eastAsia" w:ascii="仿宋_GB2312" w:eastAsia="仿宋_GB2312"/>
            <w:sz w:val="24"/>
            <w:szCs w:val="24"/>
          </w:rPr>
          <w:id w:val="2"/>
        </w:sdtPr>
        <w:sdtEndPr>
          <w:rPr>
            <w:rFonts w:hint="eastAsia" w:ascii="仿宋_GB2312" w:eastAsia="仿宋_GB2312"/>
            <w:sz w:val="24"/>
            <w:szCs w:val="24"/>
          </w:rPr>
        </w:sdtEndPr>
        <w:sdtContent/>
      </w:sdt>
      <w:r>
        <w:rPr>
          <w:rFonts w:hint="eastAsia" w:ascii="仿宋_GB2312" w:eastAsia="仿宋_GB2312"/>
          <w:sz w:val="24"/>
          <w:szCs w:val="24"/>
        </w:rPr>
        <w:t>是。</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满足《中华人民共和国政府采购法》第二十二条规定；未被“信用中国”（www.creditchina.gov.cn)、中国政府采购网（www.ccgp.gov.cn）列入失信被执行人、重大税收违法失信主体、政府采购严重违法失信行为记录名单；</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2.落实政府采购政策需满足的资格要求：</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1902925274"/>
        </w:sdtPr>
        <w:sdtEndPr>
          <w:rPr>
            <w:rFonts w:hint="eastAsia" w:ascii="仿宋_GB2312" w:eastAsia="仿宋_GB2312"/>
            <w:sz w:val="24"/>
            <w:szCs w:val="24"/>
          </w:rPr>
        </w:sdtEndPr>
        <w:sdtContent>
          <w:sdt>
            <w:sdtPr>
              <w:rPr>
                <w:rFonts w:hint="eastAsia" w:ascii="仿宋_GB2312" w:eastAsia="仿宋_GB2312"/>
                <w:sz w:val="24"/>
                <w:szCs w:val="24"/>
              </w:rPr>
              <w:id w:val="156501047"/>
            </w:sdtPr>
            <w:sdtEndPr>
              <w:rPr>
                <w:rFonts w:hint="eastAsia" w:ascii="仿宋_GB2312" w:eastAsia="仿宋_GB2312"/>
                <w:b/>
                <w:sz w:val="24"/>
                <w:szCs w:val="24"/>
              </w:rPr>
            </w:sdtEndPr>
            <w:sdtContent>
              <w:sdt>
                <w:sdtPr>
                  <w:rPr>
                    <w:rFonts w:hint="eastAsia" w:ascii="仿宋_GB2312" w:eastAsia="仿宋_GB2312"/>
                    <w:sz w:val="24"/>
                    <w:szCs w:val="24"/>
                  </w:rPr>
                  <w:id w:val="3267788"/>
                </w:sdtPr>
                <w:sdtEndPr>
                  <w:rPr>
                    <w:rFonts w:hint="eastAsia" w:ascii="仿宋_GB2312" w:eastAsia="仿宋_GB2312"/>
                    <w:sz w:val="24"/>
                    <w:szCs w:val="24"/>
                  </w:rPr>
                </w:sdtEndPr>
                <w:sdtContent>
                  <w:r>
                    <w:rPr>
                      <w:rFonts w:hint="eastAsia" w:ascii="仿宋_GB2312" w:eastAsia="仿宋_GB2312"/>
                      <w:b/>
                      <w:sz w:val="24"/>
                      <w:szCs w:val="24"/>
                    </w:rPr>
                    <w:sym w:font="Wingdings" w:char="00FE"/>
                  </w:r>
                </w:sdtContent>
              </w:sdt>
            </w:sdtContent>
          </w:sdt>
        </w:sdtContent>
      </w:sdt>
      <w:r>
        <w:rPr>
          <w:rFonts w:hint="eastAsia" w:ascii="仿宋_GB2312" w:eastAsia="仿宋_GB2312"/>
          <w:sz w:val="24"/>
          <w:szCs w:val="24"/>
        </w:rPr>
        <w:t>无</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69264797"/>
        </w:sdtPr>
        <w:sdtEndPr>
          <w:rPr>
            <w:rFonts w:hint="eastAsia" w:ascii="仿宋_GB2312" w:eastAsia="仿宋_GB2312"/>
            <w:sz w:val="24"/>
            <w:szCs w:val="24"/>
          </w:rPr>
        </w:sdtEndPr>
        <w:sdtContent>
          <w:sdt>
            <w:sdtPr>
              <w:rPr>
                <w:rFonts w:hint="eastAsia" w:ascii="仿宋_GB2312" w:eastAsia="仿宋_GB2312"/>
                <w:sz w:val="24"/>
                <w:szCs w:val="24"/>
              </w:rPr>
              <w:id w:val="1648123872"/>
            </w:sdtPr>
            <w:sdtEndPr>
              <w:rPr>
                <w:rFonts w:hint="eastAsia" w:ascii="仿宋_GB2312" w:eastAsia="仿宋_GB2312"/>
                <w:sz w:val="24"/>
                <w:szCs w:val="24"/>
              </w:rPr>
            </w:sdtEndPr>
            <w:sdtContent>
              <w:sdt>
                <w:sdtPr>
                  <w:rPr>
                    <w:rFonts w:hint="eastAsia" w:ascii="仿宋_GB2312" w:eastAsia="仿宋_GB2312"/>
                    <w:sz w:val="24"/>
                    <w:szCs w:val="24"/>
                  </w:rPr>
                  <w:id w:val="1648123875"/>
                </w:sdtPr>
                <w:sdtEndPr>
                  <w:rPr>
                    <w:rFonts w:hint="eastAsia" w:ascii="仿宋_GB2312" w:eastAsia="仿宋_GB2312"/>
                    <w:sz w:val="24"/>
                    <w:szCs w:val="24"/>
                  </w:rPr>
                </w:sdtEndPr>
                <w:sdtContent>
                  <w:sdt>
                    <w:sdtPr>
                      <w:rPr>
                        <w:rFonts w:hint="eastAsia" w:ascii="仿宋_GB2312" w:eastAsia="仿宋_GB2312"/>
                        <w:sz w:val="24"/>
                        <w:szCs w:val="24"/>
                      </w:rPr>
                      <w:id w:val="613081803"/>
                    </w:sdtPr>
                    <w:sdtEndPr>
                      <w:rPr>
                        <w:rFonts w:hint="eastAsia" w:ascii="仿宋_GB2312" w:eastAsia="仿宋_GB2312"/>
                        <w:b/>
                        <w:sz w:val="24"/>
                        <w:szCs w:val="24"/>
                      </w:rPr>
                    </w:sdtEndPr>
                    <w:sdtContent>
                      <w:sdt>
                        <w:sdtPr>
                          <w:rPr>
                            <w:rFonts w:hint="eastAsia" w:ascii="仿宋_GB2312" w:eastAsia="仿宋_GB2312"/>
                            <w:sz w:val="24"/>
                            <w:szCs w:val="24"/>
                          </w:rPr>
                          <w:id w:val="156501049"/>
                        </w:sdtPr>
                        <w:sdtEndPr>
                          <w:rPr>
                            <w:rFonts w:hint="eastAsia" w:ascii="仿宋_GB2312" w:eastAsia="仿宋_GB2312"/>
                            <w:sz w:val="24"/>
                            <w:szCs w:val="24"/>
                          </w:rPr>
                        </w:sdtEndPr>
                        <w:sdtContent>
                          <w:sdt>
                            <w:sdtPr>
                              <w:rPr>
                                <w:rFonts w:hint="eastAsia" w:ascii="仿宋_GB2312" w:eastAsia="仿宋_GB2312"/>
                                <w:sz w:val="24"/>
                                <w:szCs w:val="24"/>
                              </w:rPr>
                              <w:id w:val="3267786"/>
                            </w:sdtPr>
                            <w:sdtEndPr>
                              <w:rPr>
                                <w:rFonts w:hint="eastAsia" w:ascii="仿宋_GB2312" w:eastAsia="仿宋_GB2312"/>
                                <w:b/>
                                <w:sz w:val="24"/>
                                <w:szCs w:val="24"/>
                              </w:rPr>
                            </w:sdtEndPr>
                            <w:sdtContent>
                              <w:r>
                                <w:rPr>
                                  <w:rFonts w:hint="eastAsia" w:ascii="仿宋_GB2312" w:eastAsia="仿宋_GB2312"/>
                                  <w:b/>
                                  <w:sz w:val="24"/>
                                  <w:szCs w:val="24"/>
                                </w:rPr>
                                <w:sym w:font="Wingdings" w:char="00A8"/>
                              </w:r>
                            </w:sdtContent>
                          </w:sdt>
                        </w:sdtContent>
                      </w:sdt>
                    </w:sdtContent>
                  </w:sdt>
                </w:sdtContent>
              </w:sdt>
            </w:sdtContent>
          </w:sdt>
        </w:sdtContent>
      </w:sdt>
      <w:r>
        <w:rPr>
          <w:rFonts w:hint="eastAsia" w:ascii="仿宋_GB2312" w:eastAsia="仿宋_GB2312"/>
          <w:sz w:val="24"/>
          <w:szCs w:val="24"/>
        </w:rPr>
        <w:t>专门面向中小企业</w:t>
      </w:r>
    </w:p>
    <w:p>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2"/>
        </w:sdtPr>
        <w:sdtEndPr>
          <w:rPr>
            <w:rFonts w:hint="eastAsia" w:ascii="仿宋_GB2312" w:eastAsia="仿宋_GB2312"/>
            <w:sz w:val="24"/>
            <w:szCs w:val="24"/>
          </w:rPr>
        </w:sdtEndPr>
        <w:sdtContent>
          <w:sdt>
            <w:sdtPr>
              <w:rPr>
                <w:rFonts w:hint="eastAsia" w:ascii="仿宋_GB2312" w:eastAsia="仿宋_GB2312"/>
                <w:sz w:val="24"/>
                <w:szCs w:val="24"/>
              </w:rPr>
              <w:id w:val="269264799"/>
            </w:sdtPr>
            <w:sdtEndPr>
              <w:rPr>
                <w:rFonts w:hint="eastAsia" w:ascii="仿宋_GB2312" w:eastAsia="仿宋_GB2312"/>
                <w:sz w:val="24"/>
                <w:szCs w:val="24"/>
              </w:rPr>
            </w:sdtEndPr>
            <w:sdtContent>
              <w:r>
                <w:rPr>
                  <w:rFonts w:hint="eastAsia" w:ascii="仿宋_GB2312" w:eastAsia="仿宋_GB2312"/>
                  <w:b/>
                  <w:sz w:val="24"/>
                  <w:szCs w:val="24"/>
                </w:rPr>
                <w:sym w:font="Wingdings" w:char="00A8"/>
              </w:r>
              <w:r>
                <w:rPr>
                  <w:rFonts w:hint="eastAsia" w:ascii="仿宋_GB2312" w:eastAsia="仿宋_GB2312"/>
                  <w:sz w:val="24"/>
                  <w:szCs w:val="24"/>
                </w:rPr>
                <w:t>货物全部由符合政策要求的中小企业制造，提供中小企业声明函；</w:t>
              </w:r>
            </w:sdtContent>
          </w:sdt>
        </w:sdtContent>
      </w:sdt>
    </w:p>
    <w:p>
      <w:pPr>
        <w:spacing w:line="420" w:lineRule="exact"/>
        <w:ind w:firstLine="960" w:firstLineChars="400"/>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货物全部由符合政策要求的小微企业制造，提供中小企业声明函；</w:t>
      </w:r>
    </w:p>
    <w:p>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sdt>
        <w:sdtPr>
          <w:rPr>
            <w:rFonts w:hint="eastAsia" w:ascii="仿宋_GB2312" w:eastAsia="仿宋_GB2312"/>
            <w:sz w:val="24"/>
            <w:szCs w:val="24"/>
          </w:rPr>
          <w:id w:val="15"/>
        </w:sdtPr>
        <w:sdtEndPr>
          <w:rPr>
            <w:rFonts w:hint="eastAsia" w:ascii="仿宋_GB2312" w:eastAsia="仿宋_GB2312"/>
            <w:b/>
            <w:sz w:val="24"/>
            <w:szCs w:val="24"/>
          </w:rPr>
        </w:sdtEndPr>
        <w:sdtContent>
          <w:sdt>
            <w:sdtPr>
              <w:rPr>
                <w:rFonts w:hint="eastAsia" w:ascii="仿宋_GB2312" w:eastAsia="仿宋_GB2312"/>
                <w:sz w:val="24"/>
                <w:szCs w:val="24"/>
              </w:rPr>
              <w:id w:val="613081805"/>
            </w:sdtPr>
            <w:sdtEndPr>
              <w:rPr>
                <w:rFonts w:hint="eastAsia" w:ascii="仿宋_GB2312" w:eastAsia="仿宋_GB2312"/>
                <w:b/>
                <w:sz w:val="24"/>
                <w:szCs w:val="24"/>
              </w:rPr>
            </w:sdtEndPr>
            <w:sdtContent>
              <w:sdt>
                <w:sdtPr>
                  <w:rPr>
                    <w:rFonts w:hint="eastAsia" w:ascii="仿宋_GB2312" w:eastAsia="仿宋_GB2312"/>
                    <w:sz w:val="24"/>
                    <w:szCs w:val="24"/>
                  </w:rPr>
                  <w:id w:val="156501051"/>
                </w:sdtPr>
                <w:sdtEndPr>
                  <w:rPr>
                    <w:rFonts w:hint="eastAsia" w:ascii="仿宋_GB2312" w:eastAsia="仿宋_GB2312"/>
                    <w:sz w:val="24"/>
                    <w:szCs w:val="24"/>
                  </w:rPr>
                </w:sdtEndPr>
                <w:sdtContent>
                  <w:sdt>
                    <w:sdtPr>
                      <w:rPr>
                        <w:rFonts w:hint="eastAsia" w:ascii="仿宋_GB2312" w:eastAsia="仿宋_GB2312"/>
                        <w:sz w:val="24"/>
                        <w:szCs w:val="24"/>
                      </w:rPr>
                      <w:id w:val="3267792"/>
                      <w:showingPlcHdr/>
                    </w:sdtPr>
                    <w:sdtEndPr>
                      <w:rPr>
                        <w:rFonts w:hint="eastAsia" w:ascii="仿宋_GB2312" w:eastAsia="仿宋_GB2312"/>
                        <w:b/>
                        <w:sz w:val="24"/>
                        <w:szCs w:val="24"/>
                      </w:rPr>
                    </w:sdtEndPr>
                    <w:sdtContent/>
                  </w:sdt>
                </w:sdtContent>
              </w:sdt>
            </w:sdtContent>
          </w:sdt>
        </w:sdtContent>
      </w:sdt>
      <w:r>
        <w:rPr>
          <w:rFonts w:hint="eastAsia" w:ascii="仿宋_GB2312" w:eastAsia="仿宋_GB2312"/>
          <w:sz w:val="24"/>
          <w:szCs w:val="24"/>
        </w:rPr>
        <w:t>服务全部由符合政策要求的中小企业承接，提供中小企业声明函；</w:t>
      </w:r>
    </w:p>
    <w:p>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9"/>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服务全部由符合政策要求的小微企业承接，提供中小企业声明函；</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0"/>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府采购活动，无需提供联合协议；</w:t>
      </w:r>
    </w:p>
    <w:p>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34630645"/>
        </w:sdtPr>
        <w:sdtEndPr>
          <w:rPr>
            <w:rFonts w:hint="eastAsia" w:ascii="仿宋_GB2312" w:eastAsia="仿宋_GB2312"/>
            <w:sz w:val="24"/>
            <w:szCs w:val="24"/>
          </w:rPr>
        </w:sdtEndPr>
        <w:sdtContent>
          <w:sdt>
            <w:sdtPr>
              <w:rPr>
                <w:rFonts w:hint="eastAsia" w:ascii="仿宋_GB2312" w:eastAsia="仿宋_GB2312"/>
                <w:sz w:val="24"/>
                <w:szCs w:val="24"/>
              </w:rPr>
              <w:id w:val="1648123874"/>
            </w:sdtPr>
            <w:sdtEndPr>
              <w:rPr>
                <w:rFonts w:hint="eastAsia" w:ascii="仿宋_GB2312" w:eastAsia="仿宋_GB2312"/>
                <w:sz w:val="24"/>
                <w:szCs w:val="24"/>
              </w:rPr>
            </w:sdtEndPr>
            <w:sdtContent>
              <w:sdt>
                <w:sdtPr>
                  <w:rPr>
                    <w:rFonts w:hint="eastAsia" w:ascii="仿宋_GB2312" w:eastAsia="仿宋_GB2312"/>
                    <w:sz w:val="24"/>
                    <w:szCs w:val="24"/>
                  </w:rPr>
                  <w:id w:val="23"/>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sdtContent>
          </w:sdt>
        </w:sdtContent>
      </w:sdt>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三、获取招标文件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时间：/至2024</w:t>
      </w:r>
      <w:r>
        <w:rPr>
          <w:rFonts w:hint="eastAsia" w:ascii="仿宋_GB2312" w:eastAsia="仿宋_GB2312"/>
          <w:sz w:val="24"/>
          <w:szCs w:val="24"/>
          <w:lang w:eastAsia="zh-CN"/>
        </w:rPr>
        <w:t>年6月28</w:t>
      </w:r>
      <w:r>
        <w:rPr>
          <w:rFonts w:hint="eastAsia" w:ascii="仿宋_GB2312" w:eastAsia="仿宋_GB2312"/>
          <w:sz w:val="24"/>
          <w:szCs w:val="24"/>
        </w:rPr>
        <w:t>日，每天上午00:00至12:00 ，下午12:00至23:59（北京时间，线上获取法定节假日均可，线下获取文件法定节假日除外的工作时间）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地点（网址）：政采云平台（https://www.zcygov.cn/）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方式：供应商登录政采云平台https://www.zcygov.cn/在线申请获取采购文件（进入“项目采购”应用，在获取采购文件菜单中选择项目，申请获取采购文件）。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售价（元）：0 </w:t>
      </w:r>
      <w:r>
        <w:rPr>
          <w:rFonts w:hint="eastAsia" w:ascii="仿宋_GB2312" w:eastAsia="仿宋_GB2312"/>
          <w:sz w:val="24"/>
          <w:szCs w:val="24"/>
        </w:rPr>
        <w:tab/>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四、提交投标文件截止时间、开标时间和地点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提交投标文件截止时间：2024</w:t>
      </w:r>
      <w:r>
        <w:rPr>
          <w:rFonts w:hint="eastAsia" w:ascii="仿宋_GB2312" w:eastAsia="仿宋_GB2312"/>
          <w:sz w:val="24"/>
          <w:szCs w:val="24"/>
          <w:lang w:eastAsia="zh-CN"/>
        </w:rPr>
        <w:t>年6月28</w:t>
      </w:r>
      <w:r>
        <w:rPr>
          <w:rFonts w:hint="eastAsia" w:ascii="仿宋_GB2312" w:eastAsia="仿宋_GB2312"/>
          <w:sz w:val="24"/>
          <w:szCs w:val="24"/>
        </w:rPr>
        <w:t>日9点1</w:t>
      </w:r>
      <w:r>
        <w:rPr>
          <w:rFonts w:hint="eastAsia" w:ascii="仿宋_GB2312" w:eastAsia="仿宋_GB2312"/>
          <w:sz w:val="24"/>
          <w:szCs w:val="24"/>
          <w:lang w:val="en-US" w:eastAsia="zh-CN"/>
        </w:rPr>
        <w:t>0</w:t>
      </w:r>
      <w:r>
        <w:rPr>
          <w:rFonts w:hint="eastAsia" w:ascii="仿宋_GB2312" w:eastAsia="仿宋_GB2312"/>
          <w:sz w:val="24"/>
          <w:szCs w:val="24"/>
        </w:rPr>
        <w:t>分 （北京时间）</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投标地点（网址）：政采云平台（https://www.zcygov.cn/）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开标时间：2024</w:t>
      </w:r>
      <w:r>
        <w:rPr>
          <w:rFonts w:hint="eastAsia" w:ascii="仿宋_GB2312" w:eastAsia="仿宋_GB2312"/>
          <w:sz w:val="24"/>
          <w:szCs w:val="24"/>
          <w:lang w:eastAsia="zh-CN"/>
        </w:rPr>
        <w:t>年6月28</w:t>
      </w:r>
      <w:r>
        <w:rPr>
          <w:rFonts w:hint="eastAsia" w:ascii="仿宋_GB2312" w:eastAsia="仿宋_GB2312"/>
          <w:sz w:val="24"/>
          <w:szCs w:val="24"/>
        </w:rPr>
        <w:t>日9点1</w:t>
      </w:r>
      <w:r>
        <w:rPr>
          <w:rFonts w:hint="eastAsia" w:ascii="仿宋_GB2312" w:eastAsia="仿宋_GB2312"/>
          <w:sz w:val="24"/>
          <w:szCs w:val="24"/>
          <w:lang w:val="en-US" w:eastAsia="zh-CN"/>
        </w:rPr>
        <w:t>0</w:t>
      </w:r>
      <w:r>
        <w:rPr>
          <w:rFonts w:hint="eastAsia" w:ascii="仿宋_GB2312" w:eastAsia="仿宋_GB2312"/>
          <w:sz w:val="24"/>
          <w:szCs w:val="24"/>
        </w:rPr>
        <w:t xml:space="preserve">分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五、公告期限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六、其他补充事宜</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七、对本次采购提出询问、质疑、投诉，请按以下方式联系</w:t>
      </w:r>
    </w:p>
    <w:p>
      <w:pPr>
        <w:spacing w:line="360" w:lineRule="auto"/>
        <w:ind w:left="479" w:leftChars="228"/>
        <w:rPr>
          <w:rFonts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pPr>
        <w:spacing w:line="360" w:lineRule="auto"/>
        <w:ind w:left="479" w:leftChars="228"/>
        <w:rPr>
          <w:rFonts w:ascii="仿宋_GB2312" w:eastAsia="仿宋_GB2312"/>
          <w:bCs/>
          <w:color w:val="FF0000"/>
          <w:sz w:val="24"/>
          <w:szCs w:val="24"/>
        </w:rPr>
      </w:pPr>
      <w:r>
        <w:rPr>
          <w:rFonts w:hint="eastAsia" w:ascii="仿宋_GB2312" w:hAnsi="仿宋_GB2312" w:eastAsia="仿宋_GB2312" w:cs="仿宋_GB2312"/>
          <w:sz w:val="24"/>
          <w:szCs w:val="24"/>
        </w:rPr>
        <w:t>名称:</w:t>
      </w:r>
      <w:r>
        <w:rPr>
          <w:rFonts w:hint="eastAsia" w:ascii="仿宋_GB2312" w:eastAsia="仿宋_GB2312"/>
          <w:bCs/>
          <w:sz w:val="24"/>
          <w:szCs w:val="24"/>
        </w:rPr>
        <w:t>品目一：舟山市应急管理局、品目二:普朱管委会应急管理局、品目三：普陀区应急管理局、品目四：岱山县应急管理局、品目五：嵊泗县应急管理局；品目六：普陀山镇人民政</w:t>
      </w:r>
      <w:r>
        <w:rPr>
          <w:rFonts w:hint="eastAsia" w:ascii="仿宋_GB2312" w:eastAsia="仿宋_GB2312"/>
          <w:bCs/>
          <w:color w:val="000000" w:themeColor="text1"/>
          <w:sz w:val="24"/>
          <w:szCs w:val="24"/>
          <w14:textFill>
            <w14:solidFill>
              <w14:schemeClr w14:val="tx1"/>
            </w14:solidFill>
          </w14:textFill>
        </w:rPr>
        <w:t>府、品目七：定海区应急管理局</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地址: 舟山市定海区新城海天大道681号</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传真:/0580-2283019</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项目联系人（询问）: 李先生</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项目联系方式（询问）：0580-2282922</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质疑联系人：黄先生</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质疑联系方式：0580-2282951</w:t>
      </w:r>
    </w:p>
    <w:p>
      <w:pPr>
        <w:spacing w:line="360" w:lineRule="auto"/>
        <w:ind w:firstLine="480"/>
        <w:rPr>
          <w:rFonts w:ascii="仿宋_GB2312" w:eastAsia="仿宋_GB2312"/>
          <w:sz w:val="24"/>
          <w:szCs w:val="24"/>
        </w:rPr>
      </w:pPr>
      <w:r>
        <w:rPr>
          <w:rFonts w:hint="eastAsia" w:ascii="仿宋_GB2312" w:eastAsia="仿宋_GB2312"/>
          <w:sz w:val="24"/>
          <w:szCs w:val="24"/>
        </w:rPr>
        <w:t>2.采购代理机构信息</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名称：舟山市公共资源交易中心</w:t>
      </w:r>
    </w:p>
    <w:p>
      <w:p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地址：舟山市新城翁山路555号四楼（大宗商品交易中心同幢西边）</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传真：/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项目联系人（询问）：陈女士</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项目联系方式（询问）： 0580-2280969</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质疑联系人：丁先生</w:t>
      </w:r>
    </w:p>
    <w:p>
      <w:pPr>
        <w:spacing w:line="420" w:lineRule="exact"/>
        <w:ind w:firstLine="480"/>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质疑联系方式：0580-2280948　 </w:t>
      </w:r>
    </w:p>
    <w:p>
      <w:pPr>
        <w:numPr>
          <w:ilvl w:val="0"/>
          <w:numId w:val="2"/>
        </w:numPr>
        <w:spacing w:line="420" w:lineRule="exact"/>
        <w:ind w:firstLine="480"/>
        <w:contextualSpacing/>
        <w:rPr>
          <w:rFonts w:ascii="仿宋_GB2312" w:eastAsia="仿宋_GB2312"/>
          <w:sz w:val="24"/>
          <w:szCs w:val="24"/>
        </w:rPr>
      </w:pPr>
      <w:r>
        <w:rPr>
          <w:rFonts w:hint="eastAsia" w:ascii="仿宋_GB2312" w:eastAsia="仿宋_GB2312"/>
          <w:sz w:val="24"/>
          <w:szCs w:val="24"/>
        </w:rPr>
        <w:t>同级政府采购监督管理部门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名称：舟山市财政局政府采购监管处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地址：舟山市定海区新城海天大道681号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传真：0580-2282591</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p>
      <w:pPr>
        <w:spacing w:line="540" w:lineRule="exact"/>
        <w:ind w:firstLine="560"/>
        <w:contextualSpacing/>
        <w:rPr>
          <w:rFonts w:ascii="仿宋_GB2312" w:eastAsia="仿宋_GB2312"/>
          <w:sz w:val="28"/>
          <w:szCs w:val="28"/>
        </w:rPr>
      </w:pPr>
    </w:p>
    <w:p>
      <w:pPr>
        <w:ind w:firstLine="2940" w:firstLineChars="1050"/>
        <w:jc w:val="left"/>
        <w:outlineLvl w:val="0"/>
        <w:rPr>
          <w:rFonts w:ascii="仿宋_GB2312" w:hAnsi="宋体" w:eastAsia="仿宋_GB2312"/>
          <w:b/>
          <w:sz w:val="28"/>
          <w:szCs w:val="28"/>
        </w:rPr>
      </w:pPr>
      <w:r>
        <w:rPr>
          <w:rFonts w:hint="eastAsia" w:ascii="仿宋_GB2312" w:eastAsia="仿宋_GB2312"/>
          <w:sz w:val="28"/>
          <w:szCs w:val="28"/>
        </w:rPr>
        <w:br w:type="page"/>
      </w:r>
      <w:r>
        <w:rPr>
          <w:rFonts w:hint="eastAsia"/>
          <w:sz w:val="32"/>
          <w:szCs w:val="32"/>
        </w:rPr>
        <w:t>第二部分</w:t>
      </w:r>
      <w:bookmarkEnd w:id="8"/>
      <w:r>
        <w:rPr>
          <w:rFonts w:hint="eastAsia"/>
          <w:sz w:val="32"/>
          <w:szCs w:val="32"/>
        </w:rPr>
        <w:t>投标人须知</w:t>
      </w:r>
      <w:bookmarkEnd w:id="9"/>
    </w:p>
    <w:bookmarkEnd w:id="10"/>
    <w:p>
      <w:pPr>
        <w:spacing w:line="540" w:lineRule="exact"/>
        <w:contextualSpacing/>
        <w:jc w:val="center"/>
        <w:rPr>
          <w:rFonts w:ascii="仿宋_GB2312" w:eastAsia="仿宋_GB2312"/>
          <w:sz w:val="24"/>
          <w:szCs w:val="24"/>
        </w:rPr>
      </w:pPr>
      <w:bookmarkStart w:id="11" w:name="第三部分"/>
      <w:bookmarkStart w:id="12" w:name="_Toc164416483"/>
      <w:r>
        <w:rPr>
          <w:rFonts w:hint="eastAsia" w:ascii="仿宋_GB2312" w:eastAsia="仿宋_GB2312"/>
          <w:sz w:val="24"/>
          <w:szCs w:val="24"/>
        </w:rPr>
        <w:t>前附表</w:t>
      </w:r>
    </w:p>
    <w:tbl>
      <w:tblPr>
        <w:tblStyle w:val="2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pacing w:line="54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r>
              <w:rPr>
                <w:rFonts w:hint="eastAsia" w:ascii="仿宋_GB2312" w:eastAsia="仿宋_GB2312"/>
                <w:b/>
                <w:sz w:val="24"/>
                <w:szCs w:val="24"/>
              </w:rPr>
              <w:t>提醒：验收时检测费用由采购人承担，不包含在投标总价中。</w:t>
            </w:r>
          </w:p>
          <w:p>
            <w:pPr>
              <w:spacing w:line="400" w:lineRule="exact"/>
              <w:contextualSpacing/>
              <w:rPr>
                <w:rFonts w:ascii="仿宋_GB2312" w:eastAsia="仿宋_GB2312"/>
                <w:b/>
                <w:sz w:val="24"/>
                <w:szCs w:val="24"/>
              </w:rPr>
            </w:pPr>
            <w:r>
              <w:rPr>
                <w:rFonts w:hint="eastAsia" w:ascii="仿宋_GB2312" w:eastAsia="仿宋_GB2312"/>
                <w:b/>
                <w:sz w:val="24"/>
                <w:szCs w:val="24"/>
              </w:rPr>
              <w:t>投标报价出现下列情形的，投标无效：</w:t>
            </w:r>
          </w:p>
          <w:p>
            <w:pPr>
              <w:spacing w:line="400" w:lineRule="exac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pPr>
              <w:spacing w:line="400" w:lineRule="exact"/>
              <w:contextualSpacing/>
              <w:rPr>
                <w:rFonts w:ascii="仿宋_GB2312" w:eastAsia="仿宋_GB2312"/>
                <w:b/>
                <w:sz w:val="24"/>
                <w:szCs w:val="24"/>
              </w:rPr>
            </w:pPr>
            <w:r>
              <w:rPr>
                <w:rFonts w:hint="eastAsia" w:ascii="仿宋_GB2312" w:eastAsia="仿宋_GB2312"/>
                <w:b/>
                <w:sz w:val="24"/>
                <w:szCs w:val="24"/>
              </w:rPr>
              <w:t>2.投标报价超过招标文件中规定的每品目预算金额或者最高限价的;</w:t>
            </w:r>
          </w:p>
          <w:p>
            <w:pPr>
              <w:spacing w:line="400" w:lineRule="exac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pPr>
              <w:spacing w:line="400" w:lineRule="exac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694637009"/>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r>
              <w:rPr>
                <w:rFonts w:hint="eastAsia" w:ascii="仿宋_GB2312" w:eastAsia="仿宋_GB2312"/>
                <w:sz w:val="24"/>
                <w:szCs w:val="24"/>
              </w:rPr>
              <w:t xml:space="preserve"> A同意将非主、非关键性的</w:t>
            </w:r>
            <w:r>
              <w:rPr>
                <w:rFonts w:hint="eastAsia" w:ascii="仿宋_GB2312" w:eastAsia="仿宋_GB2312"/>
                <w:sz w:val="24"/>
                <w:szCs w:val="24"/>
                <w:u w:val="single"/>
              </w:rPr>
              <w:t xml:space="preserve"> 直放站安装        </w:t>
            </w:r>
            <w:r>
              <w:rPr>
                <w:rFonts w:hint="eastAsia" w:ascii="仿宋_GB2312" w:eastAsia="仿宋_GB2312"/>
                <w:sz w:val="24"/>
                <w:szCs w:val="24"/>
              </w:rPr>
              <w:t>分包。</w:t>
            </w:r>
          </w:p>
          <w:p>
            <w:pPr>
              <w:spacing w:line="400" w:lineRule="exact"/>
              <w:contextualSpacing/>
              <w:rPr>
                <w:rFonts w:ascii="仿宋_GB2312" w:eastAsia="仿宋_GB2312"/>
                <w:sz w:val="24"/>
                <w:szCs w:val="24"/>
              </w:rPr>
            </w:pPr>
            <w:r>
              <w:rPr>
                <w:rFonts w:hint="eastAsia" w:ascii="仿宋_GB2312" w:eastAsia="仿宋_GB2312"/>
                <w:sz w:val="24"/>
                <w:szCs w:val="24"/>
              </w:rPr>
              <w:t>本项目上述允许分包的合同份额所占合同总金额小于30%。</w:t>
            </w:r>
          </w:p>
          <w:p>
            <w:pPr>
              <w:spacing w:line="400" w:lineRule="exact"/>
              <w:contextualSpacing/>
              <w:rPr>
                <w:rFonts w:ascii="仿宋_GB2312" w:eastAsia="仿宋_GB2312"/>
                <w:sz w:val="24"/>
                <w:szCs w:val="24"/>
              </w:rPr>
            </w:pPr>
            <w:sdt>
              <w:sdtPr>
                <w:rPr>
                  <w:rFonts w:hint="eastAsia" w:ascii="仿宋_GB2312" w:eastAsia="仿宋_GB2312"/>
                  <w:sz w:val="24"/>
                  <w:szCs w:val="24"/>
                </w:rPr>
                <w:id w:val="25"/>
              </w:sdtPr>
              <w:sdtEndPr>
                <w:rPr>
                  <w:rFonts w:hint="eastAsia" w:ascii="仿宋_GB2312" w:eastAsia="仿宋_GB2312"/>
                  <w:sz w:val="24"/>
                  <w:szCs w:val="24"/>
                </w:rPr>
              </w:sdtEndPr>
              <w:sdtContent>
                <w:sdt>
                  <w:sdtPr>
                    <w:rPr>
                      <w:rFonts w:hint="eastAsia" w:ascii="仿宋_GB2312" w:eastAsia="仿宋_GB2312"/>
                      <w:sz w:val="24"/>
                      <w:szCs w:val="24"/>
                    </w:rPr>
                    <w:id w:val="40571220"/>
                  </w:sdtPr>
                  <w:sdtEndPr>
                    <w:rPr>
                      <w:rFonts w:hint="eastAsia" w:ascii="仿宋_GB2312" w:eastAsia="仿宋_GB2312"/>
                      <w:sz w:val="24"/>
                      <w:szCs w:val="24"/>
                    </w:rPr>
                  </w:sdtEndPr>
                  <w:sdtContent>
                    <w:sdt>
                      <w:sdtPr>
                        <w:rPr>
                          <w:rFonts w:hint="eastAsia" w:ascii="仿宋_GB2312" w:eastAsia="仿宋_GB2312"/>
                          <w:sz w:val="24"/>
                          <w:szCs w:val="24"/>
                        </w:rPr>
                        <w:id w:val="1314372530"/>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eastAsia="仿宋_GB2312"/>
                <w:sz w:val="24"/>
                <w:szCs w:val="24"/>
              </w:rPr>
              <w:t>B不同意分包。</w:t>
            </w:r>
          </w:p>
          <w:p>
            <w:pPr>
              <w:pStyle w:val="11"/>
              <w:ind w:firstLine="0" w:firstLineChars="0"/>
              <w:rPr>
                <w:rFonts w:ascii="仿宋_GB2312" w:eastAsia="仿宋_GB2312"/>
                <w:szCs w:val="24"/>
              </w:rPr>
            </w:pPr>
            <w:r>
              <w:rPr>
                <w:rFonts w:hint="eastAsia" w:ascii="仿宋_GB2312" w:eastAsia="仿宋_GB2312"/>
                <w:szCs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pPr>
              <w:spacing w:line="540" w:lineRule="exact"/>
              <w:contextualSpacing/>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bookmarkStart w:id="13" w:name="PO_15528_PM040"/>
            <w:bookmarkEnd w:id="13"/>
            <w:sdt>
              <w:sdtPr>
                <w:rPr>
                  <w:rFonts w:hint="eastAsia" w:ascii="仿宋_GB2312" w:eastAsia="仿宋_GB2312"/>
                  <w:sz w:val="24"/>
                  <w:szCs w:val="24"/>
                </w:rPr>
                <w:id w:val="28"/>
              </w:sdtPr>
              <w:sdtEndPr>
                <w:rPr>
                  <w:rFonts w:hint="eastAsia" w:ascii="微软雅黑" w:hAnsi="微软雅黑" w:eastAsia="微软雅黑"/>
                  <w:color w:val="171A1D"/>
                  <w:sz w:val="18"/>
                  <w:szCs w:val="18"/>
                  <w:shd w:val="clear" w:color="auto" w:fill="FFFFFF"/>
                </w:rPr>
              </w:sdtEndPr>
              <w:sdtContent>
                <w:sdt>
                  <w:sdtPr>
                    <w:rPr>
                      <w:rFonts w:hint="eastAsia" w:ascii="仿宋_GB2312" w:eastAsia="仿宋_GB2312"/>
                      <w:sz w:val="24"/>
                      <w:szCs w:val="24"/>
                    </w:rPr>
                    <w:id w:val="346402517"/>
                  </w:sdtPr>
                  <w:sdtEndPr>
                    <w:rPr>
                      <w:rFonts w:hint="eastAsia" w:ascii="微软雅黑" w:hAnsi="微软雅黑" w:eastAsia="微软雅黑"/>
                      <w:color w:val="171A1D"/>
                      <w:sz w:val="18"/>
                      <w:szCs w:val="18"/>
                      <w:shd w:val="clear" w:color="auto" w:fill="FFFFFF"/>
                    </w:rPr>
                  </w:sdtEndPr>
                  <w:sdtContent/>
                </w:sdt>
              </w:sdtContent>
            </w:sdt>
            <w:sdt>
              <w:sdtPr>
                <w:rPr>
                  <w:rFonts w:hint="eastAsia" w:ascii="仿宋_GB2312" w:eastAsia="仿宋_GB2312"/>
                  <w:sz w:val="24"/>
                  <w:szCs w:val="24"/>
                </w:rPr>
                <w:id w:val="100"/>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A不组织。</w:t>
            </w:r>
          </w:p>
          <w:p>
            <w:pPr>
              <w:spacing w:line="500" w:lineRule="exact"/>
              <w:jc w:val="left"/>
              <w:rPr>
                <w:rFonts w:ascii="仿宋_GB2312" w:eastAsia="仿宋_GB2312"/>
                <w:sz w:val="24"/>
                <w:szCs w:val="24"/>
              </w:rPr>
            </w:pPr>
            <w:sdt>
              <w:sdtPr>
                <w:rPr>
                  <w:rFonts w:hint="eastAsia" w:ascii="仿宋_GB2312" w:eastAsia="仿宋_GB2312"/>
                  <w:sz w:val="24"/>
                  <w:szCs w:val="24"/>
                </w:rPr>
                <w:id w:val="10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B组织，时间： ,地点： ，联系人： ，联系方式：。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346402516"/>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A不要求提供。</w:t>
            </w:r>
          </w:p>
          <w:p>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B要求提供，</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snapToGrid w:val="0"/>
                <w:kern w:val="28"/>
                <w:sz w:val="24"/>
                <w:szCs w:val="24"/>
              </w:rPr>
              <w:t>样品：</w:t>
            </w:r>
            <w:r>
              <w:rPr>
                <w:rFonts w:hint="eastAsia" w:ascii="仿宋_GB2312" w:hAnsi="宋体" w:eastAsia="仿宋_GB2312" w:cs="宋体"/>
                <w:kern w:val="0"/>
                <w:sz w:val="24"/>
                <w:szCs w:val="24"/>
              </w:rPr>
              <w:t>；</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cs="宋体"/>
                <w:snapToGrid w:val="0"/>
                <w:kern w:val="28"/>
                <w:sz w:val="24"/>
                <w:szCs w:val="24"/>
              </w:rPr>
              <w:t>样品制作的标准和要求：</w:t>
            </w:r>
            <w:r>
              <w:rPr>
                <w:rFonts w:hint="eastAsia" w:ascii="仿宋_GB2312" w:hAnsi="宋体" w:eastAsia="仿宋_GB2312" w:cs="宋体"/>
                <w:kern w:val="0"/>
                <w:sz w:val="24"/>
                <w:szCs w:val="24"/>
              </w:rPr>
              <w:t>；</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（3）样品的评审方法以及评审标准</w:t>
            </w:r>
            <w:r>
              <w:rPr>
                <w:rFonts w:hint="eastAsia" w:ascii="仿宋_GB2312" w:hAnsi="宋体" w:eastAsia="仿宋_GB2312" w:cs="宋体"/>
                <w:snapToGrid w:val="0"/>
                <w:kern w:val="28"/>
                <w:sz w:val="24"/>
                <w:szCs w:val="24"/>
              </w:rPr>
              <w:t>：详见</w:t>
            </w:r>
            <w:r>
              <w:rPr>
                <w:rFonts w:hint="eastAsia" w:ascii="仿宋_GB2312" w:hAnsi="宋体" w:eastAsia="仿宋_GB2312" w:cs="宋体"/>
                <w:sz w:val="24"/>
                <w:szCs w:val="24"/>
                <w:u w:val="single"/>
              </w:rPr>
              <w:t>评标办法</w:t>
            </w:r>
            <w:r>
              <w:rPr>
                <w:rFonts w:hint="eastAsia" w:ascii="仿宋_GB2312" w:hAnsi="宋体" w:eastAsia="仿宋_GB2312" w:cs="宋体"/>
                <w:kern w:val="0"/>
                <w:sz w:val="24"/>
                <w:szCs w:val="24"/>
              </w:rPr>
              <w:t>；</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（4）是否需要随样品提交检测报告：</w:t>
            </w:r>
            <w:sdt>
              <w:sdtPr>
                <w:rPr>
                  <w:rFonts w:hint="eastAsia" w:ascii="仿宋_GB2312" w:hAnsi="宋体" w:eastAsia="仿宋_GB2312" w:cs="宋体"/>
                  <w:kern w:val="0"/>
                  <w:sz w:val="24"/>
                  <w:szCs w:val="24"/>
                </w:rPr>
                <w:id w:val="1303421454"/>
              </w:sdtPr>
              <w:sdtEndPr>
                <w:rPr>
                  <w:rFonts w:hint="eastAsia" w:ascii="仿宋_GB2312" w:hAnsi="宋体" w:eastAsia="仿宋_GB2312" w:cs="宋体"/>
                  <w:kern w:val="0"/>
                  <w:sz w:val="24"/>
                  <w:szCs w:val="24"/>
                </w:rPr>
              </w:sdtEndPr>
              <w:sdtContent>
                <w:r>
                  <w:rPr>
                    <w:rFonts w:hint="eastAsia" w:ascii="仿宋_GB2312" w:hAnsi="MS Gothic" w:eastAsia="MS Gothic" w:cs="宋体"/>
                    <w:kern w:val="0"/>
                    <w:sz w:val="24"/>
                    <w:szCs w:val="24"/>
                  </w:rPr>
                  <w:t>☐</w:t>
                </w:r>
              </w:sdtContent>
            </w:sdt>
            <w:r>
              <w:rPr>
                <w:rFonts w:hint="eastAsia" w:ascii="仿宋_GB2312" w:hAnsi="宋体" w:eastAsia="仿宋_GB2312" w:cs="宋体"/>
                <w:kern w:val="0"/>
                <w:sz w:val="24"/>
                <w:szCs w:val="24"/>
              </w:rPr>
              <w:t>否；</w:t>
            </w:r>
            <w:sdt>
              <w:sdtPr>
                <w:rPr>
                  <w:rFonts w:hint="eastAsia" w:ascii="仿宋_GB2312" w:hAnsi="宋体" w:eastAsia="仿宋_GB2312" w:cs="宋体"/>
                  <w:kern w:val="0"/>
                  <w:sz w:val="24"/>
                  <w:szCs w:val="24"/>
                </w:rPr>
                <w:id w:val="1621728433"/>
              </w:sdtPr>
              <w:sdtEndPr>
                <w:rPr>
                  <w:rFonts w:hint="eastAsia" w:ascii="仿宋_GB2312" w:hAnsi="宋体" w:eastAsia="仿宋_GB2312" w:cs="宋体"/>
                  <w:kern w:val="0"/>
                  <w:sz w:val="24"/>
                  <w:szCs w:val="24"/>
                </w:rPr>
              </w:sdtEndPr>
              <w:sdtContent>
                <w:r>
                  <w:rPr>
                    <w:rFonts w:hint="eastAsia" w:ascii="仿宋_GB2312" w:hAnsi="MS Mincho" w:eastAsia="MS Mincho" w:cs="MS Mincho"/>
                    <w:kern w:val="0"/>
                    <w:sz w:val="24"/>
                    <w:szCs w:val="24"/>
                  </w:rPr>
                  <w:t>☐</w:t>
                </w:r>
              </w:sdtContent>
            </w:sdt>
            <w:r>
              <w:rPr>
                <w:rFonts w:hint="eastAsia" w:ascii="仿宋_GB2312" w:hAnsi="宋体" w:eastAsia="仿宋_GB2312" w:cs="宋体"/>
                <w:kern w:val="0"/>
                <w:sz w:val="24"/>
                <w:szCs w:val="24"/>
              </w:rPr>
              <w:t>是，检测机构的要求</w:t>
            </w:r>
            <w:r>
              <w:rPr>
                <w:rFonts w:hint="eastAsia" w:ascii="仿宋_GB2312" w:hAnsi="宋体" w:eastAsia="仿宋_GB2312" w:cs="宋体"/>
                <w:sz w:val="24"/>
                <w:szCs w:val="24"/>
              </w:rPr>
              <w:t>：</w:t>
            </w:r>
            <w:r>
              <w:rPr>
                <w:rFonts w:hint="eastAsia" w:ascii="仿宋_GB2312" w:hAnsi="宋体" w:eastAsia="仿宋_GB2312" w:cs="宋体"/>
                <w:kern w:val="0"/>
                <w:sz w:val="24"/>
                <w:szCs w:val="24"/>
              </w:rPr>
              <w:t>；检测内容</w:t>
            </w:r>
            <w:r>
              <w:rPr>
                <w:rFonts w:hint="eastAsia" w:ascii="仿宋_GB2312" w:hAnsi="宋体" w:eastAsia="仿宋_GB2312" w:cs="宋体"/>
                <w:sz w:val="24"/>
                <w:szCs w:val="24"/>
              </w:rPr>
              <w:t>：</w:t>
            </w:r>
            <w:r>
              <w:rPr>
                <w:rFonts w:hint="eastAsia" w:ascii="仿宋_GB2312" w:hAnsi="宋体" w:eastAsia="仿宋_GB2312" w:cs="宋体"/>
                <w:kern w:val="0"/>
                <w:sz w:val="24"/>
                <w:szCs w:val="24"/>
              </w:rPr>
              <w:t>。</w:t>
            </w:r>
          </w:p>
          <w:p>
            <w:pPr>
              <w:spacing w:line="400" w:lineRule="exact"/>
              <w:rPr>
                <w:rFonts w:ascii="仿宋_GB2312" w:hAnsi="宋体" w:eastAsia="仿宋_GB2312" w:cs="宋体"/>
                <w:sz w:val="24"/>
                <w:szCs w:val="24"/>
              </w:rPr>
            </w:pPr>
            <w:r>
              <w:rPr>
                <w:rFonts w:hint="eastAsia" w:ascii="仿宋_GB2312" w:hAnsi="宋体" w:eastAsia="仿宋_GB2312" w:cs="宋体"/>
                <w:sz w:val="24"/>
                <w:szCs w:val="24"/>
              </w:rPr>
              <w:t>（5）提供样品的时间：</w:t>
            </w:r>
            <w:r>
              <w:rPr>
                <w:rFonts w:hint="eastAsia" w:ascii="仿宋_GB2312" w:hAnsi="宋体" w:eastAsia="仿宋_GB2312" w:cs="宋体"/>
                <w:kern w:val="0"/>
                <w:sz w:val="24"/>
                <w:szCs w:val="24"/>
              </w:rPr>
              <w:t>；地点：；联系人</w:t>
            </w:r>
            <w:r>
              <w:rPr>
                <w:rFonts w:hint="eastAsia" w:ascii="仿宋_GB2312" w:hAnsi="宋体" w:eastAsia="仿宋_GB2312" w:cs="宋体"/>
                <w:sz w:val="24"/>
                <w:szCs w:val="24"/>
              </w:rPr>
              <w:t>：，</w:t>
            </w:r>
            <w:r>
              <w:rPr>
                <w:rFonts w:hint="eastAsia" w:ascii="仿宋_GB2312" w:hAnsi="宋体" w:eastAsia="仿宋_GB2312" w:cs="宋体"/>
                <w:kern w:val="28"/>
                <w:sz w:val="24"/>
                <w:szCs w:val="24"/>
              </w:rPr>
              <w:t>联系电话：</w:t>
            </w:r>
            <w:r>
              <w:rPr>
                <w:rFonts w:hint="eastAsia" w:ascii="仿宋_GB2312" w:hAnsi="宋体" w:eastAsia="仿宋_GB2312" w:cs="宋体"/>
                <w:sz w:val="24"/>
                <w:szCs w:val="24"/>
              </w:rPr>
              <w:t>。请投标人在上述时间内提供样品并按规定位置安装完毕。超过截止时间的，采购人或采购代理机构将不予接收，并将清场并封闭样品现场。</w:t>
            </w:r>
          </w:p>
          <w:p>
            <w:pPr>
              <w:spacing w:line="400" w:lineRule="exact"/>
              <w:rPr>
                <w:rFonts w:ascii="仿宋_GB2312" w:hAnsi="宋体" w:eastAsia="仿宋_GB2312" w:cs="宋体"/>
                <w:sz w:val="24"/>
                <w:szCs w:val="24"/>
              </w:rPr>
            </w:pPr>
            <w:r>
              <w:rPr>
                <w:rFonts w:hint="eastAsia" w:ascii="仿宋_GB2312" w:hAnsi="宋体" w:eastAsia="仿宋_GB2312" w:cs="宋体"/>
                <w:sz w:val="24"/>
                <w:szCs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400" w:lineRule="exact"/>
              <w:contextualSpacing/>
              <w:rPr>
                <w:rFonts w:ascii="仿宋_GB2312" w:eastAsia="仿宋_GB2312"/>
                <w:sz w:val="24"/>
                <w:szCs w:val="24"/>
              </w:rPr>
            </w:pPr>
            <w:r>
              <w:rPr>
                <w:rFonts w:hint="eastAsia" w:ascii="仿宋_GB2312" w:hAnsi="宋体" w:eastAsia="仿宋_GB2312" w:cs="宋体"/>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highlight w:val="yellow"/>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35"/>
              </w:sdtPr>
              <w:sdtEndPr>
                <w:rPr>
                  <w:rFonts w:hint="eastAsia" w:ascii="仿宋_GB2312" w:eastAsia="仿宋_GB2312"/>
                  <w:sz w:val="24"/>
                  <w:szCs w:val="24"/>
                </w:rPr>
              </w:sdtEndPr>
              <w:sdtContent>
                <w:sdt>
                  <w:sdtPr>
                    <w:rPr>
                      <w:rFonts w:hint="eastAsia" w:ascii="仿宋_GB2312" w:eastAsia="仿宋_GB2312"/>
                      <w:sz w:val="24"/>
                      <w:szCs w:val="24"/>
                    </w:rPr>
                    <w:id w:val="346402515"/>
                  </w:sdtPr>
                  <w:sdtEndPr>
                    <w:rPr>
                      <w:rFonts w:hint="eastAsia" w:ascii="仿宋_GB2312" w:eastAsia="仿宋_GB2312"/>
                      <w:sz w:val="24"/>
                      <w:szCs w:val="24"/>
                    </w:rPr>
                  </w:sdtEndPr>
                  <w:sdtContent>
                    <w:sdt>
                      <w:sdtPr>
                        <w:rPr>
                          <w:rFonts w:hint="eastAsia" w:ascii="仿宋_GB2312" w:eastAsia="仿宋_GB2312"/>
                          <w:sz w:val="24"/>
                          <w:szCs w:val="24"/>
                        </w:rPr>
                        <w:id w:val="37"/>
                      </w:sdtPr>
                      <w:sdtEndPr>
                        <w:rPr>
                          <w:rFonts w:hint="eastAsia" w:ascii="仿宋_GB2312" w:eastAsia="仿宋_GB2312"/>
                          <w:sz w:val="24"/>
                          <w:szCs w:val="24"/>
                        </w:rPr>
                      </w:sdtEndPr>
                      <w:sdtContent>
                        <w:sdt>
                          <w:sdtPr>
                            <w:rPr>
                              <w:rFonts w:hint="eastAsia" w:ascii="仿宋_GB2312" w:eastAsia="仿宋_GB2312"/>
                              <w:sz w:val="24"/>
                              <w:szCs w:val="24"/>
                            </w:rPr>
                            <w:id w:val="114596229"/>
                          </w:sdtPr>
                          <w:sdtEndPr>
                            <w:rPr>
                              <w:rFonts w:hint="eastAsia" w:ascii="仿宋_GB2312" w:eastAsia="仿宋_GB2312"/>
                              <w:sz w:val="24"/>
                              <w:szCs w:val="24"/>
                            </w:rPr>
                          </w:sdtEndPr>
                          <w:sdtContent>
                            <w:r>
                              <w:rPr>
                                <w:rFonts w:hint="eastAsia" w:ascii="仿宋_GB2312" w:eastAsia="仿宋_GB2312"/>
                                <w:sz w:val="24"/>
                                <w:szCs w:val="24"/>
                              </w:rPr>
                              <w:sym w:font="Wingdings" w:char="00FE"/>
                            </w:r>
                            <w:sdt>
                              <w:sdtPr>
                                <w:rPr>
                                  <w:rFonts w:hint="eastAsia" w:ascii="仿宋_GB2312" w:eastAsia="仿宋_GB2312"/>
                                  <w:sz w:val="24"/>
                                  <w:szCs w:val="24"/>
                                </w:rPr>
                                <w:id w:val="41"/>
                              </w:sdtPr>
                              <w:sdtEndPr>
                                <w:rPr>
                                  <w:rFonts w:hint="eastAsia" w:ascii="仿宋_GB2312" w:eastAsia="仿宋_GB2312"/>
                                  <w:sz w:val="24"/>
                                  <w:szCs w:val="24"/>
                                </w:rPr>
                              </w:sdtEndPr>
                              <w:sdtContent/>
                            </w:sdt>
                          </w:sdtContent>
                        </w:sdt>
                      </w:sdtContent>
                    </w:sdt>
                  </w:sdtContent>
                </w:sdt>
              </w:sdtContent>
            </w:sdt>
            <w:r>
              <w:rPr>
                <w:rFonts w:hint="eastAsia" w:ascii="仿宋_GB2312" w:eastAsia="仿宋_GB2312"/>
                <w:sz w:val="24"/>
                <w:szCs w:val="24"/>
              </w:rPr>
              <w:t>A不组织。</w:t>
            </w:r>
          </w:p>
          <w:p>
            <w:pPr>
              <w:spacing w:line="400" w:lineRule="exact"/>
              <w:contextualSpacing/>
              <w:rPr>
                <w:rFonts w:ascii="仿宋_GB2312" w:eastAsia="仿宋_GB2312"/>
                <w:sz w:val="24"/>
                <w:szCs w:val="24"/>
              </w:rPr>
            </w:pPr>
            <w:sdt>
              <w:sdtPr>
                <w:rPr>
                  <w:rFonts w:hint="eastAsia" w:ascii="仿宋_GB2312" w:eastAsia="仿宋_GB2312"/>
                  <w:sz w:val="24"/>
                  <w:szCs w:val="24"/>
                </w:rPr>
                <w:id w:val="1174071719"/>
              </w:sdtPr>
              <w:sdtEndPr>
                <w:rPr>
                  <w:rFonts w:hint="eastAsia" w:ascii="仿宋_GB2312" w:eastAsia="仿宋_GB2312"/>
                  <w:sz w:val="24"/>
                  <w:szCs w:val="24"/>
                </w:rPr>
              </w:sdtEndPr>
              <w:sdtContent>
                <w:sdt>
                  <w:sdtPr>
                    <w:rPr>
                      <w:rFonts w:hint="eastAsia" w:ascii="仿宋_GB2312" w:eastAsia="仿宋_GB2312"/>
                      <w:sz w:val="24"/>
                      <w:szCs w:val="24"/>
                    </w:rPr>
                    <w:id w:val="40"/>
                  </w:sdtPr>
                  <w:sdtEndPr>
                    <w:rPr>
                      <w:rFonts w:hint="eastAsia" w:ascii="仿宋_GB2312" w:eastAsia="仿宋_GB2312"/>
                      <w:sz w:val="24"/>
                      <w:szCs w:val="24"/>
                    </w:rPr>
                  </w:sdtEndPr>
                  <w:sdtContent>
                    <w:sdt>
                      <w:sdtPr>
                        <w:rPr>
                          <w:rFonts w:hint="eastAsia" w:ascii="仿宋_GB2312" w:eastAsia="仿宋_GB2312"/>
                          <w:sz w:val="24"/>
                          <w:szCs w:val="24"/>
                        </w:rPr>
                        <w:id w:val="41"/>
                      </w:sdtPr>
                      <w:sdtEndPr>
                        <w:rPr>
                          <w:rFonts w:hint="eastAsia" w:ascii="仿宋_GB2312" w:eastAsia="仿宋_GB2312"/>
                          <w:sz w:val="24"/>
                          <w:szCs w:val="24"/>
                        </w:rPr>
                      </w:sdtEndPr>
                      <w:sdtContent/>
                    </w:sdt>
                  </w:sdtContent>
                </w:sdt>
              </w:sdtContent>
            </w:sdt>
            <w:r>
              <w:rPr>
                <w:rFonts w:hint="eastAsia" w:ascii="仿宋_GB2312" w:eastAsia="仿宋_GB2312"/>
                <w:sz w:val="24"/>
                <w:szCs w:val="24"/>
              </w:rPr>
              <w:sym w:font="Wingdings" w:char="00A8"/>
            </w:r>
            <w:sdt>
              <w:sdtPr>
                <w:rPr>
                  <w:rFonts w:hint="eastAsia" w:ascii="仿宋_GB2312" w:eastAsia="仿宋_GB2312"/>
                  <w:sz w:val="24"/>
                  <w:szCs w:val="24"/>
                </w:rPr>
                <w:id w:val="41"/>
              </w:sdtPr>
              <w:sdtEndPr>
                <w:rPr>
                  <w:rFonts w:hint="eastAsia" w:ascii="仿宋_GB2312" w:eastAsia="仿宋_GB2312"/>
                  <w:sz w:val="24"/>
                  <w:szCs w:val="24"/>
                </w:rPr>
              </w:sdtEndPr>
              <w:sdtContent/>
            </w:sdt>
            <w:r>
              <w:rPr>
                <w:rFonts w:hint="eastAsia" w:ascii="仿宋_GB2312" w:eastAsia="仿宋_GB2312"/>
                <w:sz w:val="24"/>
                <w:szCs w:val="24"/>
              </w:rPr>
              <w:t>B组织。</w:t>
            </w:r>
          </w:p>
          <w:p>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20（编制时可根据项目情况进行调整）</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3（编制时可根据项目情况进行调整）</w:t>
            </w:r>
            <w:r>
              <w:rPr>
                <w:rFonts w:hint="eastAsia" w:ascii="仿宋_GB2312" w:eastAsia="仿宋_GB2312"/>
                <w:sz w:val="24"/>
                <w:szCs w:val="24"/>
              </w:rPr>
              <w:t>人。讲解演示结束后按要求解答评标委员会提问。</w:t>
            </w:r>
          </w:p>
          <w:p>
            <w:pPr>
              <w:spacing w:line="400" w:lineRule="exac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pPr>
              <w:spacing w:line="400" w:lineRule="exact"/>
              <w:contextualSpacing/>
              <w:rPr>
                <w:rFonts w:ascii="仿宋_GB2312" w:eastAsia="仿宋_GB2312"/>
                <w:sz w:val="24"/>
                <w:szCs w:val="24"/>
              </w:rPr>
            </w:pPr>
            <w:sdt>
              <w:sdtPr>
                <w:rPr>
                  <w:rFonts w:hint="eastAsia" w:ascii="仿宋_GB2312" w:eastAsia="仿宋_GB2312"/>
                  <w:sz w:val="24"/>
                  <w:szCs w:val="24"/>
                </w:rPr>
                <w:id w:val="42"/>
              </w:sdtPr>
              <w:sdtEndPr>
                <w:rPr>
                  <w:rFonts w:hint="eastAsia" w:ascii="仿宋_GB2312" w:eastAsia="仿宋_GB2312"/>
                  <w:sz w:val="24"/>
                  <w:szCs w:val="24"/>
                </w:rPr>
              </w:sdtEndPr>
              <w:sdtContent>
                <w:sdt>
                  <w:sdtPr>
                    <w:rPr>
                      <w:rFonts w:hint="eastAsia" w:ascii="仿宋_GB2312" w:eastAsia="仿宋_GB2312"/>
                      <w:sz w:val="24"/>
                      <w:szCs w:val="24"/>
                    </w:rPr>
                    <w:id w:val="114596244"/>
                  </w:sdtPr>
                  <w:sdtEndPr>
                    <w:rPr>
                      <w:rFonts w:hint="eastAsia" w:ascii="仿宋_GB2312" w:eastAsia="仿宋_GB2312"/>
                      <w:sz w:val="24"/>
                      <w:szCs w:val="24"/>
                    </w:rPr>
                  </w:sdtEndPr>
                  <w:sdtContent>
                    <w:sdt>
                      <w:sdtPr>
                        <w:rPr>
                          <w:rFonts w:hint="eastAsia" w:ascii="仿宋_GB2312" w:eastAsia="仿宋_GB2312"/>
                          <w:sz w:val="24"/>
                          <w:szCs w:val="24"/>
                        </w:rPr>
                        <w:id w:val="114"/>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pPr>
              <w:spacing w:line="400" w:lineRule="exact"/>
              <w:contextualSpacing/>
              <w:rPr>
                <w:rFonts w:ascii="仿宋_GB2312" w:eastAsia="仿宋_GB2312"/>
                <w:sz w:val="24"/>
                <w:szCs w:val="24"/>
              </w:rPr>
            </w:pPr>
            <w:sdt>
              <w:sdtPr>
                <w:rPr>
                  <w:rFonts w:hint="eastAsia" w:ascii="仿宋_GB2312" w:eastAsia="仿宋_GB2312"/>
                  <w:sz w:val="24"/>
                  <w:szCs w:val="24"/>
                </w:rPr>
                <w:id w:val="4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45"/>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本项目不允许采购进口产品。</w:t>
            </w:r>
          </w:p>
          <w:p>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1"/>
              <w:ind w:firstLine="0" w:firstLineChars="0"/>
              <w:rPr>
                <w:rFonts w:ascii="仿宋_GB2312" w:eastAsia="仿宋_GB2312"/>
                <w:szCs w:val="24"/>
              </w:rPr>
            </w:pPr>
            <w:r>
              <w:rPr>
                <w:rFonts w:hint="eastAsia" w:ascii="仿宋_GB2312" w:eastAsia="仿宋_GB2312"/>
                <w:szCs w:val="24"/>
              </w:rPr>
              <w:t>货物类，单一产品或核心产品为：</w:t>
            </w:r>
            <w:r>
              <w:rPr>
                <w:rFonts w:hint="eastAsia" w:ascii="仿宋_GB2312" w:eastAsia="仿宋_GB2312"/>
                <w:szCs w:val="24"/>
                <w:u w:val="single"/>
              </w:rPr>
              <w:t xml:space="preserve">网络型可编程中央控制主机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z w:val="24"/>
                <w:szCs w:val="24"/>
              </w:rPr>
            </w:pPr>
            <w:r>
              <w:rPr>
                <w:rFonts w:hint="eastAsia" w:ascii="仿宋_GB2312" w:hAnsi="仿宋" w:eastAsia="仿宋_GB2312"/>
                <w:sz w:val="24"/>
                <w:szCs w:val="24"/>
              </w:rPr>
              <w:t>采购标的： 详见采购需求 ，所属行业：详见采购需求。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eastAsia="仿宋_GB2312"/>
                <w:sz w:val="24"/>
                <w:szCs w:val="24"/>
                <w:lang w:val="zh-CN"/>
              </w:rPr>
            </w:pPr>
            <w:r>
              <w:rPr>
                <w:rFonts w:hint="eastAsia" w:ascii="仿宋_GB2312" w:eastAsia="仿宋_GB2312"/>
                <w:sz w:val="24"/>
                <w:szCs w:val="24"/>
              </w:rPr>
              <w:sym w:font="Wingdings" w:char="00FE"/>
            </w:r>
            <w:r>
              <w:rPr>
                <w:rFonts w:hint="eastAsia" w:ascii="仿宋_GB2312" w:eastAsia="仿宋_GB2312"/>
                <w:sz w:val="24"/>
                <w:szCs w:val="24"/>
                <w:lang w:val="zh-CN"/>
              </w:rPr>
              <w:t>依据国家确定的认证机构出具的、处于有效期之内的节能产品认证证书，对获得证书的产品实施政府优先采购或强制采购；其中，</w:t>
            </w:r>
            <w:sdt>
              <w:sdtPr>
                <w:rPr>
                  <w:rFonts w:hint="eastAsia" w:ascii="仿宋_GB2312" w:eastAsia="仿宋_GB2312"/>
                  <w:sz w:val="24"/>
                  <w:szCs w:val="24"/>
                </w:rPr>
                <w:id w:val="117"/>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zh-CN"/>
              </w:rPr>
              <w:t>对</w:t>
            </w:r>
            <w:r>
              <w:rPr>
                <w:rFonts w:hint="eastAsia" w:ascii="仿宋_GB2312" w:eastAsia="仿宋_GB2312"/>
                <w:sz w:val="24"/>
                <w:szCs w:val="24"/>
                <w:u w:val="single"/>
              </w:rPr>
              <w:t xml:space="preserve">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sdt>
              <w:sdtPr>
                <w:rPr>
                  <w:rFonts w:hint="eastAsia" w:ascii="仿宋_GB2312" w:eastAsia="仿宋_GB2312"/>
                  <w:sz w:val="24"/>
                  <w:szCs w:val="24"/>
                </w:rPr>
                <w:id w:val="1216464879"/>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r>
              <w:rPr>
                <w:rFonts w:hint="eastAsia" w:ascii="仿宋_GB2312" w:eastAsia="仿宋_GB2312"/>
                <w:sz w:val="24"/>
                <w:szCs w:val="24"/>
              </w:rPr>
              <w:t>▲</w:t>
            </w:r>
            <w:r>
              <w:rPr>
                <w:rFonts w:hint="eastAsia" w:ascii="仿宋_GB2312" w:eastAsia="仿宋_GB2312"/>
                <w:sz w:val="24"/>
                <w:szCs w:val="24"/>
                <w:lang w:val="zh-CN"/>
              </w:rPr>
              <w:t>对</w:t>
            </w:r>
            <w:r>
              <w:rPr>
                <w:rFonts w:hint="eastAsia" w:ascii="仿宋_GB2312" w:eastAsia="仿宋_GB2312"/>
                <w:sz w:val="24"/>
                <w:szCs w:val="24"/>
                <w:u w:val="single"/>
              </w:rPr>
              <w:t xml:space="preserve">     信创操作电脑  </w:t>
            </w:r>
            <w:r>
              <w:rPr>
                <w:rFonts w:hint="eastAsia" w:ascii="仿宋_GB2312" w:eastAsia="仿宋_GB2312"/>
                <w:sz w:val="24"/>
                <w:szCs w:val="24"/>
                <w:lang w:val="zh-CN"/>
              </w:rPr>
              <w:t>实施政府强制采购，投标人</w:t>
            </w:r>
            <w:r>
              <w:rPr>
                <w:rFonts w:hint="eastAsia" w:ascii="仿宋_GB2312" w:eastAsia="仿宋_GB2312"/>
                <w:sz w:val="24"/>
                <w:szCs w:val="24"/>
              </w:rPr>
              <w:t>就</w:t>
            </w:r>
            <w:r>
              <w:rPr>
                <w:rFonts w:hint="eastAsia" w:ascii="仿宋_GB2312" w:eastAsia="仿宋_GB2312"/>
                <w:sz w:val="24"/>
                <w:szCs w:val="24"/>
                <w:lang w:val="zh-CN"/>
              </w:rPr>
              <w:t>相应的投标产品未</w:t>
            </w:r>
            <w:r>
              <w:rPr>
                <w:rFonts w:hint="eastAsia" w:ascii="仿宋_GB2312" w:eastAsia="仿宋_GB2312"/>
                <w:sz w:val="24"/>
                <w:szCs w:val="24"/>
              </w:rPr>
              <w:t>提供</w:t>
            </w:r>
            <w:r>
              <w:rPr>
                <w:rFonts w:hint="eastAsia" w:ascii="仿宋_GB2312" w:eastAsia="仿宋_GB2312"/>
                <w:sz w:val="24"/>
                <w:szCs w:val="24"/>
                <w:lang w:val="zh-CN"/>
              </w:rPr>
              <w:t>国家确定的认证机构出具的、处于有效期之内的节能产品认证证书的，投标无效。</w:t>
            </w:r>
          </w:p>
          <w:p>
            <w:pPr>
              <w:spacing w:line="360" w:lineRule="auto"/>
              <w:ind w:firstLine="480" w:firstLineChars="200"/>
              <w:rPr>
                <w:rFonts w:ascii="仿宋_GB2312" w:eastAsia="仿宋_GB2312"/>
                <w:sz w:val="24"/>
                <w:szCs w:val="24"/>
                <w:lang w:val="zh-CN"/>
              </w:rPr>
            </w:pPr>
            <w:sdt>
              <w:sdtPr>
                <w:rPr>
                  <w:rFonts w:hint="eastAsia" w:ascii="仿宋_GB2312" w:eastAsia="仿宋_GB2312"/>
                  <w:sz w:val="24"/>
                  <w:szCs w:val="24"/>
                </w:rPr>
                <w:id w:val="183178446"/>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r>
              <w:rPr>
                <w:rFonts w:hint="eastAsia" w:ascii="仿宋_GB2312" w:eastAsia="仿宋_GB2312"/>
                <w:sz w:val="24"/>
                <w:szCs w:val="24"/>
                <w:lang w:val="zh-CN"/>
              </w:rPr>
              <w:t>依据国家确定的认证机构出具的、处于有效期之内的环境标志产品认证证书，对获得证书的</w:t>
            </w:r>
            <w:r>
              <w:rPr>
                <w:rFonts w:hint="eastAsia" w:ascii="仿宋_GB2312" w:eastAsia="仿宋_GB2312"/>
                <w:sz w:val="24"/>
                <w:szCs w:val="24"/>
                <w:u w:val="single"/>
              </w:rPr>
              <w:t xml:space="preserve">  信创操作电脑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p>
          <w:p>
            <w:pPr>
              <w:spacing w:line="40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59426652"/>
              </w:sdtPr>
              <w:sdtEndPr>
                <w:rPr>
                  <w:rFonts w:hint="eastAsia" w:ascii="仿宋_GB2312" w:eastAsia="仿宋_GB2312"/>
                  <w:sz w:val="24"/>
                  <w:szCs w:val="24"/>
                </w:rPr>
              </w:sdtEndPr>
              <w:sdtContent>
                <w:sdt>
                  <w:sdtPr>
                    <w:rPr>
                      <w:rFonts w:hint="eastAsia" w:ascii="仿宋_GB2312" w:eastAsia="仿宋_GB2312"/>
                      <w:sz w:val="24"/>
                      <w:szCs w:val="24"/>
                    </w:rPr>
                    <w:id w:val="2084333943"/>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r>
              <w:rPr>
                <w:rFonts w:hint="eastAsia" w:ascii="仿宋_GB2312" w:eastAsia="仿宋_GB2312"/>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pPr>
              <w:pStyle w:val="3"/>
              <w:spacing w:line="400" w:lineRule="exact"/>
              <w:rPr>
                <w:rFonts w:ascii="仿宋_GB2312" w:eastAsia="仿宋_GB2312"/>
                <w:sz w:val="24"/>
                <w:szCs w:val="24"/>
              </w:rPr>
            </w:pPr>
            <w:r>
              <w:rPr>
                <w:rFonts w:hint="eastAsia" w:ascii="仿宋_GB2312" w:eastAsia="仿宋_GB2312"/>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 xml:space="preserve">是否需要履约保证金: </w:t>
            </w:r>
            <w:sdt>
              <w:sdtPr>
                <w:rPr>
                  <w:rFonts w:hint="eastAsia" w:ascii="仿宋_GB2312" w:eastAsia="仿宋_GB2312"/>
                  <w:sz w:val="24"/>
                  <w:szCs w:val="24"/>
                </w:rPr>
                <w:id w:val="185291820"/>
              </w:sdtPr>
              <w:sdtEndPr>
                <w:rPr>
                  <w:rFonts w:hint="eastAsia" w:ascii="仿宋_GB2312" w:eastAsia="仿宋_GB2312"/>
                  <w:sz w:val="24"/>
                  <w:szCs w:val="24"/>
                </w:rPr>
              </w:sdtEndPr>
              <w:sdtContent>
                <w:r>
                  <w:rPr>
                    <w:rFonts w:hint="eastAsia" w:ascii="仿宋_GB2312" w:eastAsia="仿宋_GB2312"/>
                    <w:sz w:val="24"/>
                    <w:szCs w:val="24"/>
                  </w:rPr>
                  <w:sym w:font="Wingdings" w:char="00FE"/>
                </w:r>
              </w:sdtContent>
            </w:sdt>
            <w:sdt>
              <w:sdtPr>
                <w:rPr>
                  <w:rFonts w:hint="eastAsia" w:ascii="仿宋_GB2312" w:eastAsia="仿宋_GB2312"/>
                  <w:sz w:val="24"/>
                  <w:szCs w:val="24"/>
                </w:rPr>
                <w:id w:val="504719723"/>
              </w:sdtPr>
              <w:sdtEndPr>
                <w:rPr>
                  <w:rFonts w:hint="eastAsia" w:ascii="仿宋_GB2312" w:eastAsia="仿宋_GB2312"/>
                  <w:sz w:val="24"/>
                  <w:szCs w:val="24"/>
                </w:rPr>
              </w:sdtEndPr>
              <w:sdtContent>
                <w:r>
                  <w:rPr>
                    <w:rFonts w:hint="eastAsia" w:ascii="仿宋_GB2312" w:eastAsia="仿宋_GB2312"/>
                    <w:sz w:val="24"/>
                    <w:szCs w:val="24"/>
                  </w:rPr>
                  <w:t>是</w:t>
                </w:r>
                <w:sdt>
                  <w:sdtPr>
                    <w:rPr>
                      <w:rFonts w:hint="eastAsia" w:ascii="仿宋_GB2312" w:eastAsia="仿宋_GB2312"/>
                      <w:sz w:val="24"/>
                      <w:szCs w:val="24"/>
                    </w:rPr>
                    <w:id w:val="504719725"/>
                  </w:sdtPr>
                  <w:sdtEndPr>
                    <w:rPr>
                      <w:rFonts w:hint="eastAsia" w:ascii="仿宋_GB2312" w:hAnsi="MS Mincho" w:eastAsia="仿宋_GB2312" w:cs="MS Mincho"/>
                      <w:sz w:val="24"/>
                      <w:szCs w:val="24"/>
                    </w:rPr>
                  </w:sdtEndPr>
                  <w:sdtContent>
                    <w:sdt>
                      <w:sdtPr>
                        <w:rPr>
                          <w:rFonts w:hint="eastAsia" w:ascii="仿宋_GB2312" w:eastAsia="仿宋_GB2312"/>
                          <w:sz w:val="24"/>
                          <w:szCs w:val="24"/>
                        </w:rPr>
                        <w:id w:val="366925715"/>
                      </w:sdtPr>
                      <w:sdtEndPr>
                        <w:rPr>
                          <w:rFonts w:hint="eastAsia" w:ascii="仿宋_GB2312" w:eastAsia="仿宋_GB2312"/>
                          <w:sz w:val="24"/>
                          <w:szCs w:val="24"/>
                        </w:rPr>
                      </w:sdtEndPr>
                      <w:sdtContent>
                        <w:sdt>
                          <w:sdtPr>
                            <w:rPr>
                              <w:rFonts w:hint="eastAsia" w:ascii="仿宋_GB2312" w:eastAsia="仿宋_GB2312"/>
                              <w:sz w:val="24"/>
                              <w:szCs w:val="24"/>
                            </w:rPr>
                            <w:id w:val="50"/>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eastAsia="仿宋_GB2312"/>
                    <w:sz w:val="24"/>
                    <w:szCs w:val="24"/>
                  </w:rPr>
                  <w:t>否</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联合体投标的，联合体各方分别提供与联合体协议中规定的分工内容相应的业绩证明材料，业绩数量以提供材料较少的一方为准。</w:t>
            </w:r>
          </w:p>
          <w:p>
            <w:pPr>
              <w:spacing w:line="400" w:lineRule="exact"/>
              <w:rPr>
                <w:rFonts w:ascii="仿宋_GB2312" w:eastAsia="仿宋_GB2312"/>
                <w:sz w:val="24"/>
                <w:szCs w:val="24"/>
              </w:rPr>
            </w:pPr>
            <w:sdt>
              <w:sdtPr>
                <w:rPr>
                  <w:rFonts w:hint="eastAsia" w:ascii="仿宋_GB2312" w:eastAsia="仿宋_GB2312"/>
                  <w:sz w:val="24"/>
                  <w:szCs w:val="24"/>
                </w:rPr>
                <w:id w:val="5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联合体投标的，联合体各方均需按招标文件第四部分评标办法提供资信证明文件，否则视为不符合相关要求。</w:t>
            </w:r>
          </w:p>
          <w:p>
            <w:pPr>
              <w:pStyle w:val="3"/>
              <w:spacing w:line="400" w:lineRule="exact"/>
              <w:rPr>
                <w:rFonts w:ascii="仿宋_GB2312" w:eastAsia="仿宋_GB2312"/>
                <w:sz w:val="24"/>
                <w:szCs w:val="24"/>
              </w:rPr>
            </w:pPr>
            <w:sdt>
              <w:sdtPr>
                <w:rPr>
                  <w:rFonts w:hint="eastAsia" w:ascii="仿宋_GB2312" w:eastAsia="仿宋_GB2312"/>
                  <w:sz w:val="24"/>
                  <w:szCs w:val="24"/>
                </w:rPr>
                <w:id w:val="52"/>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联合体投标的，联合体中有一方或者联合体成员根据分工按招标文件第四部分评标办法提供资信证明文件的，视为符合了相关要求。</w:t>
            </w:r>
          </w:p>
        </w:tc>
      </w:tr>
    </w:tbl>
    <w:p>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一、总则</w:t>
      </w:r>
    </w:p>
    <w:p>
      <w:pPr>
        <w:tabs>
          <w:tab w:val="left" w:pos="8001"/>
        </w:tabs>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1.适用范围</w:t>
      </w:r>
      <w:r>
        <w:rPr>
          <w:rFonts w:hint="eastAsia" w:ascii="仿宋_GB2312" w:eastAsia="仿宋_GB2312"/>
          <w:sz w:val="24"/>
          <w:szCs w:val="24"/>
        </w:rPr>
        <w:tab/>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“▲”系指实质性要求条款，“</w:t>
      </w:r>
      <w:r>
        <w:rPr>
          <w:rFonts w:hint="eastAsia" w:ascii="仿宋_GB2312" w:hAnsi="仿宋_GB2312" w:eastAsia="仿宋_GB2312" w:cs="仿宋_GB2312"/>
          <w:sz w:val="24"/>
          <w:szCs w:val="24"/>
        </w:rPr>
        <w:t>★</w:t>
      </w:r>
      <w:r>
        <w:rPr>
          <w:rFonts w:hint="eastAsia" w:ascii="仿宋_GB2312" w:eastAsia="仿宋_GB2312"/>
          <w:sz w:val="24"/>
          <w:szCs w:val="24"/>
        </w:rPr>
        <w:t>”系产品采购项目中单一产品或核心产品，“</w:t>
      </w:r>
      <w:sdt>
        <w:sdtPr>
          <w:rPr>
            <w:rFonts w:hint="eastAsia" w:ascii="仿宋_GB2312" w:eastAsia="仿宋_GB2312"/>
            <w:sz w:val="24"/>
            <w:szCs w:val="24"/>
          </w:rPr>
          <w:id w:val="512970236"/>
        </w:sdtPr>
        <w:sdtEndPr>
          <w:rPr>
            <w:rFonts w:hint="eastAsia" w:ascii="仿宋_GB2312" w:eastAsia="仿宋_GB2312"/>
            <w:sz w:val="24"/>
            <w:szCs w:val="24"/>
          </w:rPr>
        </w:sdtEndPr>
        <w:sdtContent>
          <w:sdt>
            <w:sdtPr>
              <w:rPr>
                <w:rFonts w:hint="eastAsia" w:ascii="仿宋_GB2312" w:eastAsia="仿宋_GB2312"/>
                <w:sz w:val="24"/>
                <w:szCs w:val="24"/>
              </w:rPr>
              <w:id w:val="54"/>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sdtContent>
      </w:sdt>
      <w:r>
        <w:rPr>
          <w:rFonts w:hint="eastAsia" w:ascii="仿宋_GB2312" w:eastAsia="仿宋_GB2312"/>
          <w:sz w:val="24"/>
          <w:szCs w:val="24"/>
        </w:rPr>
        <w:t>” 系指适用本项目的要求，“</w:t>
      </w:r>
      <w:sdt>
        <w:sdtPr>
          <w:rPr>
            <w:rFonts w:hint="eastAsia" w:ascii="仿宋_GB2312" w:eastAsia="仿宋_GB2312"/>
            <w:sz w:val="24"/>
            <w:szCs w:val="24"/>
          </w:rPr>
          <w:id w:val="404888855"/>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系指不适用本项目的要求。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支持绿色发展。</w:t>
      </w:r>
    </w:p>
    <w:p>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eastAsia="仿宋_GB2312"/>
          <w:b/>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 修缮、装修类项目采购建材的，采购人应将绿色建筑和绿色建材性能、指标等作为实质性条件纳入招标文件和合同。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3"/>
        <w:spacing w:line="420" w:lineRule="exact"/>
        <w:rPr>
          <w:rFonts w:ascii="仿宋_GB2312" w:eastAsia="仿宋_GB2312"/>
          <w:sz w:val="24"/>
          <w:szCs w:val="24"/>
        </w:rPr>
      </w:pPr>
      <w:r>
        <w:rPr>
          <w:rFonts w:hint="eastAsia" w:ascii="仿宋_GB2312" w:eastAsia="仿宋_GB2312"/>
          <w:sz w:val="24"/>
          <w:szCs w:val="24"/>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3.3支持中小企业发展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3.3.2在政府采购活动中，投标人提供的货物、工程或者服务符合下列情形的，享受中小企业扶持政策：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3.3.2.1在货物采购项目中，货物由中小企业制造，即货物由中小企业生产且使用该中小企业商号或者注册商标；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3.3.2.2在工程采购项目中，工程由中小企业承建，即工程施工单位为中小企业；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3.3.2.3在服务采购项目中，服务由中小企业承接，即提供服务的人员为中小企业依照《中华人民共和国劳动合同法》订立劳动合同的从业人员。</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3.3.3对于未预留份额专门面向中小企业的政府采购项目，以及预留份额政府采购项目中的非预留部分标项，对小型和微型企业的投标报价给予</w:t>
      </w:r>
      <w:r>
        <w:rPr>
          <w:rFonts w:hint="eastAsia" w:ascii="仿宋_GB2312" w:eastAsia="仿宋_GB2312"/>
          <w:sz w:val="24"/>
          <w:szCs w:val="24"/>
          <w:u w:val="single"/>
        </w:rPr>
        <w:t>10%</w:t>
      </w:r>
      <w:r>
        <w:rPr>
          <w:rFonts w:hint="eastAsia" w:ascii="仿宋_GB2312" w:eastAsia="仿宋_GB2312"/>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_GB2312" w:eastAsia="仿宋_GB2312"/>
          <w:sz w:val="24"/>
          <w:szCs w:val="24"/>
          <w:u w:val="single"/>
        </w:rPr>
        <w:t>4%</w:t>
      </w:r>
      <w:r>
        <w:rPr>
          <w:rFonts w:hint="eastAsia" w:ascii="仿宋_GB2312" w:eastAsia="仿宋_GB2312"/>
          <w:sz w:val="24"/>
          <w:szCs w:val="24"/>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3.3.4符合《关于促进残疾人就业政府采购政策的通知》（财库〔2017〕141号）规定的条件并提供《残疾人福利性单位声明函》（附件1）的残疾人福利性单位视同小型、微型企业；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3.3.7中小企业享受扶持政策获得政府采购合同的，小微企业不得将合同分包给大中型企业，中型企业不得将合同分包给大型企业。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3.4支持创新发展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 采购人优先采购被认定为首台套产品和“制造精品”的自主创新产品。</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3.5平等对待内外资企业和符合条件的破产重整企业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4.4.5 以联合体形式参加政府采购活动的，其投诉应当由组成联合体的所有供应商共同提出。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420" w:lineRule="exact"/>
        <w:ind w:firstLine="482"/>
        <w:contextualSpacing/>
        <w:rPr>
          <w:rFonts w:ascii="仿宋_GB2312" w:eastAsia="仿宋_GB2312"/>
          <w:b/>
          <w:sz w:val="24"/>
          <w:szCs w:val="24"/>
        </w:rPr>
      </w:pPr>
      <w:r>
        <w:rPr>
          <w:rFonts w:hint="eastAsia" w:ascii="仿宋_GB2312" w:eastAsia="仿宋_GB2312"/>
          <w:b/>
          <w:sz w:val="24"/>
          <w:szCs w:val="24"/>
        </w:rPr>
        <w:t xml:space="preserve">    三、投标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11.1.2落实政府采购政策需满足的资格要求（如果有）;</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11.1.3本项目的特定资格要求（如果有）；</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11.1.4联合协议（如果有）；</w:t>
      </w:r>
    </w:p>
    <w:p>
      <w:pPr>
        <w:spacing w:line="420" w:lineRule="exact"/>
        <w:ind w:firstLine="480"/>
        <w:contextualSpacing/>
        <w:rPr>
          <w:rFonts w:ascii="仿宋_GB2312" w:eastAsia="仿宋_GB2312"/>
          <w:sz w:val="24"/>
          <w:szCs w:val="24"/>
        </w:rPr>
      </w:pPr>
      <w:r>
        <w:rPr>
          <w:rFonts w:hint="eastAsia" w:ascii="仿宋_GB2312" w:eastAsia="仿宋_GB2312"/>
          <w:sz w:val="24"/>
          <w:szCs w:val="24"/>
        </w:rPr>
        <w:t>11.1.5分包意向协议（如果有）。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  商务技术文件：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11.2.2授权委托书或法定代表人（单位负责人）身份证明；</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11.2.3联合协议（如果有）；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11.2.4分包意向协议（如果有）；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11.2.5符合性审查资料；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11.2.6拟投入的项目班子格式；</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11.2.7评标标准相应的商务技术资料；</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11.2.8投标标的清单（如果有）；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11.2.9商务技术偏离表（如果有）；</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11.2.10政府采购供应商廉洁自律承诺书。</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11.3报价文件：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11.3.2中小企业声明函；</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11.3.3详细阐述关于不影响产品质量或者诚信履约的具体原因（如果报价低于项目预算50%的）。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12.投标文件的编制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15.5投标人仅提交备份投标文件，没有在电子交易平台传输递交投标文件的，投标无效。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pPr>
        <w:spacing w:line="420" w:lineRule="exact"/>
        <w:contextualSpacing/>
        <w:rPr>
          <w:rFonts w:ascii="仿宋_GB2312" w:eastAsia="仿宋_GB2312"/>
          <w:sz w:val="24"/>
          <w:szCs w:val="24"/>
        </w:rPr>
      </w:pPr>
      <w:r>
        <w:rPr>
          <w:rFonts w:hint="eastAsia" w:ascii="仿宋_GB2312" w:eastAsia="仿宋_GB2312"/>
          <w:sz w:val="24"/>
          <w:szCs w:val="24"/>
        </w:rPr>
        <w:t>　  18.2开标时，电子交易平台按开标时间自动提取所有投标文件。采购代理机构依托电子交易平台发起开始解密指令，投标人按照平台提示和招标文件的规定在半小时内完成在线解密。</w:t>
      </w:r>
    </w:p>
    <w:p>
      <w:pPr>
        <w:spacing w:line="420" w:lineRule="exact"/>
        <w:contextualSpacing/>
        <w:rPr>
          <w:rFonts w:ascii="仿宋_GB2312" w:eastAsia="仿宋_GB2312"/>
          <w:sz w:val="24"/>
          <w:szCs w:val="24"/>
        </w:rPr>
      </w:pPr>
      <w:r>
        <w:rPr>
          <w:rFonts w:hint="eastAsia" w:ascii="仿宋_GB2312" w:eastAsia="仿宋_GB2312"/>
          <w:sz w:val="24"/>
          <w:szCs w:val="24"/>
        </w:rPr>
        <w:t>　  18.3</w:t>
      </w:r>
      <w:r>
        <w:rPr>
          <w:rFonts w:hint="eastAsia" w:ascii="仿宋_GB2312" w:eastAsia="仿宋_GB2312"/>
          <w:b/>
          <w:sz w:val="24"/>
          <w:szCs w:val="24"/>
        </w:rPr>
        <w:t>投标文件未按时解密，投标人提供了备份投标文件的，以备份投标文件作为依据，否则视为投标文件撤回。投标文件已按时解密的，备份投标文件自动失效。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19.1开标后，采购人将依法对投标人的资格进行审查。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19.2采购人依据法律法规和招标文件的规定，对投标人的基本资格条件、特定资格条件进行审查。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pPr>
        <w:spacing w:line="420" w:lineRule="exact"/>
        <w:ind w:firstLine="480" w:firstLineChars="200"/>
        <w:contextualSpacing/>
        <w:rPr>
          <w:rFonts w:ascii="仿宋_GB2312" w:eastAsia="仿宋_GB2312"/>
          <w:sz w:val="24"/>
          <w:szCs w:val="24"/>
        </w:rPr>
      </w:pPr>
      <w:bookmarkStart w:id="14"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22.确定中标供应商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23.中标通知与中标结果公告</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23.3公告期限为1个工作日。</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25.2中标人按规定的日期、时间、地点，由法定代表人或其授权代表与采购人代表签订合同。如中标人为联合体的，由联合体成员各方法定代表人或其授权代表与采购人代表签订合同。</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5" w:name="_Hlt68057669"/>
      <w:bookmarkEnd w:id="15"/>
      <w:bookmarkStart w:id="16" w:name="_Hlt75236011"/>
      <w:bookmarkEnd w:id="16"/>
      <w:bookmarkStart w:id="17" w:name="_Hlt68073093"/>
      <w:bookmarkEnd w:id="17"/>
      <w:bookmarkStart w:id="18" w:name="_Hlt74730295"/>
      <w:bookmarkEnd w:id="18"/>
      <w:bookmarkStart w:id="19" w:name="_Hlt68072990"/>
      <w:bookmarkEnd w:id="19"/>
      <w:bookmarkStart w:id="20" w:name="_Hlt68072998"/>
      <w:bookmarkEnd w:id="20"/>
      <w:bookmarkStart w:id="21" w:name="_Hlt75236101"/>
      <w:bookmarkEnd w:id="21"/>
      <w:bookmarkStart w:id="22" w:name="_Hlt75236290"/>
      <w:bookmarkEnd w:id="22"/>
      <w:bookmarkStart w:id="23" w:name="_Hlt74714665"/>
      <w:bookmarkEnd w:id="23"/>
      <w:bookmarkStart w:id="24" w:name="_Hlt74729768"/>
      <w:bookmarkEnd w:id="24"/>
      <w:bookmarkStart w:id="25" w:name="_Hlt68403820"/>
      <w:bookmarkEnd w:id="25"/>
      <w:bookmarkStart w:id="26" w:name="_Hlt74707468"/>
      <w:bookmarkEnd w:id="26"/>
    </w:p>
    <w:bookmarkEnd w:id="11"/>
    <w:bookmarkEnd w:id="12"/>
    <w:p>
      <w:pPr>
        <w:numPr>
          <w:ilvl w:val="0"/>
          <w:numId w:val="3"/>
        </w:numPr>
        <w:ind w:firstLine="2731" w:firstLineChars="850"/>
        <w:jc w:val="left"/>
        <w:outlineLvl w:val="0"/>
        <w:rPr>
          <w:b/>
          <w:sz w:val="32"/>
          <w:szCs w:val="32"/>
        </w:rPr>
      </w:pPr>
      <w:bookmarkStart w:id="27" w:name="第四部分"/>
      <w:r>
        <w:rPr>
          <w:rFonts w:hint="eastAsia"/>
          <w:b/>
          <w:sz w:val="32"/>
          <w:szCs w:val="32"/>
        </w:rPr>
        <w:t xml:space="preserve">  采购需求</w:t>
      </w:r>
    </w:p>
    <w:p>
      <w:pPr>
        <w:pStyle w:val="6"/>
        <w:snapToGrid w:val="0"/>
        <w:spacing w:before="0" w:after="0" w:line="360" w:lineRule="auto"/>
        <w:ind w:firstLine="482" w:firstLineChars="200"/>
        <w:rPr>
          <w:rFonts w:ascii="仿宋_GB2312" w:hAnsi="仿宋_GB2312" w:eastAsia="仿宋_GB2312" w:cs="仿宋_GB2312"/>
          <w:color w:val="000000"/>
          <w:sz w:val="24"/>
          <w:szCs w:val="24"/>
        </w:rPr>
      </w:pPr>
      <w:bookmarkStart w:id="28" w:name="_Hlk57127289"/>
      <w:bookmarkStart w:id="29" w:name="_Hlk56610403"/>
      <w:bookmarkStart w:id="30" w:name="_Hlk56759931"/>
      <w:r>
        <w:rPr>
          <w:rFonts w:hint="eastAsia" w:ascii="仿宋_GB2312" w:hAnsi="仿宋_GB2312" w:eastAsia="仿宋_GB2312" w:cs="仿宋_GB2312"/>
          <w:color w:val="000000"/>
          <w:sz w:val="24"/>
          <w:szCs w:val="24"/>
        </w:rPr>
        <w:t>一、项目背景</w:t>
      </w:r>
    </w:p>
    <w:p>
      <w:pPr>
        <w:spacing w:line="360" w:lineRule="auto"/>
        <w:ind w:firstLine="48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 w:val="24"/>
          <w:szCs w:val="24"/>
        </w:rPr>
        <w:t>防灾减灾救灾事关人民群众生命财产安全，事关社会和谐稳定。2023年以来，党中央、国务院对提升防灾减灾救灾能力、有效防范化解自然灾害重大风险做出了系列部署,2023年8月17日，中共中央政治局常务委员会召开会议，研究部署防汛抗洪救灾和灾后恢复重建工作，指出要进一步加强气象预警与灾害预报的联动，突出临灾预警，做好点对点精准预报和滚动更新，强化预警指向性，落实直达基层防汛责任人的临灾预警“叫应”机制，加强预警和应急响应联动，落实应急预案行动措施，把握工作主动权；要认真排查总结，抓紧补短板、强弱项，进一步提升我国防灾减灾救灾能力。要进一步建强各级应急指挥部体系，完善调度指挥、会商研判、业务保障等设施设备和系统，确保上下贯通、一体应对。10月份，国家计划增发1万亿元人民币国债，将推动实施自然灾害应急能力提升工程作为其中一项重要内容。</w:t>
      </w:r>
    </w:p>
    <w:p>
      <w:pPr>
        <w:pStyle w:val="6"/>
        <w:snapToGrid w:val="0"/>
        <w:spacing w:before="0" w:after="0" w:line="360"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二、建设目标</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应急管理部和省应急管理厅统一部署，2024年底前，推动各地建成跨地域、跨层级的自然灾害防治预警指挥体系，实现自然灾害防治数据横向互联、纵向贯通；加强自然灾害综合风险感知能力，提高灾害风险研判、预警提醒和应急叫应能力; 进一步建强各级应急指挥中心，形成“上下贯通、左右联通”的应急指挥调度通信网络，增强应急通信保底手段，提升指挥系统抗灾能力、网络安全感知能力和科技支撑保障能力。</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本项目按照浙江省应急管理厅下发的《浙江省自然灾害应急提升工程预警指挥项目可行性研究报告》，在舟山市应</w:t>
      </w:r>
      <w:r>
        <w:rPr>
          <w:rFonts w:hint="eastAsia" w:ascii="仿宋_GB2312" w:hAnsi="仿宋_GB2312" w:eastAsia="仿宋_GB2312" w:cs="仿宋_GB2312"/>
          <w:color w:val="000000"/>
          <w:sz w:val="24"/>
          <w:szCs w:val="24"/>
        </w:rPr>
        <w:t>急管理局现有的应急指挥体系和网络安全防护体系基础上，重点加强市县的应急指挥指挥中心功能，提升应急指挥信息网的网络安全态势感知能力，充分实现网络安全监测预警与应急处置协同联动。</w:t>
      </w:r>
    </w:p>
    <w:p>
      <w:pPr>
        <w:pStyle w:val="6"/>
        <w:snapToGrid w:val="0"/>
        <w:spacing w:before="0" w:after="0" w:line="360" w:lineRule="auto"/>
        <w:ind w:firstLine="482"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三、建设内容及要求</w:t>
      </w:r>
    </w:p>
    <w:p>
      <w:pPr>
        <w:tabs>
          <w:tab w:val="left" w:pos="840"/>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1.强化全市各级应急指挥部功能，升级市、县两级屏幕、扩音、指挥调度音视频等信息化基础设施，建设内容参见采购清单。</w:t>
      </w:r>
    </w:p>
    <w:p>
      <w:pPr>
        <w:tabs>
          <w:tab w:val="left" w:pos="840"/>
        </w:tabs>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2.提升支撑保障能力。</w:t>
      </w:r>
    </w:p>
    <w:p>
      <w:pPr>
        <w:spacing w:line="360" w:lineRule="auto"/>
        <w:ind w:firstLine="410" w:firstLineChars="171"/>
        <w:rPr>
          <w:rFonts w:ascii="仿宋_GB2312" w:hAnsi="仿宋_GB2312" w:eastAsia="仿宋_GB2312" w:cs="仿宋_GB2312"/>
          <w:sz w:val="24"/>
          <w:szCs w:val="24"/>
        </w:rPr>
      </w:pPr>
      <w:r>
        <w:rPr>
          <w:rFonts w:hint="eastAsia" w:ascii="仿宋_GB2312" w:hAnsi="仿宋_GB2312" w:eastAsia="仿宋_GB2312" w:cs="仿宋_GB2312"/>
          <w:sz w:val="24"/>
          <w:szCs w:val="24"/>
        </w:rPr>
        <w:t>通过本次建设任务提升应急指挥信息网的网络安全态势感知能力，充分实现网络安全监测预警与应急处置协同联动。满足省级应急管理部门统一感知监测全省网络安全态势要求，监控指挥信息网违规外联情况，管控入网终端安全，汇聚全省各类安全威胁监测数据并向部级平台实时共享。</w:t>
      </w:r>
    </w:p>
    <w:p>
      <w:pPr>
        <w:spacing w:line="360" w:lineRule="auto"/>
        <w:ind w:firstLine="410" w:firstLineChars="171"/>
        <w:rPr>
          <w:rFonts w:ascii="仿宋_GB2312" w:hAnsi="仿宋_GB2312" w:eastAsia="仿宋_GB2312" w:cs="仿宋_GB2312"/>
          <w:color w:val="FF0000"/>
        </w:rPr>
      </w:pPr>
      <w:r>
        <w:rPr>
          <w:rFonts w:hint="eastAsia" w:ascii="仿宋_GB2312" w:hAnsi="仿宋_GB2312" w:eastAsia="仿宋_GB2312" w:cs="仿宋_GB2312"/>
          <w:sz w:val="24"/>
          <w:szCs w:val="24"/>
        </w:rPr>
        <w:t>本项目为市县两级应急部门配置1台流量检测探针、7台SDWAN网关（边界侧）、1台违规外联检测探针、1台终端准入网关。</w:t>
      </w:r>
    </w:p>
    <w:p>
      <w:pPr>
        <w:pStyle w:val="6"/>
        <w:numPr>
          <w:ilvl w:val="0"/>
          <w:numId w:val="4"/>
        </w:numPr>
        <w:snapToGrid w:val="0"/>
        <w:spacing w:before="0" w:after="0" w:line="360"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采购清单及性能要求 </w:t>
      </w:r>
    </w:p>
    <w:p>
      <w:pPr>
        <w:pStyle w:val="2"/>
        <w:ind w:firstLine="4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项目采购预算金额：2182000元</w:t>
      </w:r>
      <w:r>
        <w:rPr>
          <w:rFonts w:hint="eastAsia" w:ascii="仿宋_GB2312" w:hAnsi="仿宋_GB2312" w:eastAsia="仿宋_GB2312" w:cs="仿宋_GB2312"/>
          <w:color w:val="000000"/>
          <w:szCs w:val="24"/>
          <w:highlight w:val="none"/>
        </w:rPr>
        <w:t>，含</w:t>
      </w:r>
      <w:r>
        <w:rPr>
          <w:rFonts w:hint="eastAsia" w:ascii="仿宋_GB2312" w:hAnsi="仿宋_GB2312" w:eastAsia="仿宋_GB2312" w:cs="仿宋_GB2312"/>
          <w:color w:val="000000"/>
          <w:szCs w:val="24"/>
          <w:highlight w:val="none"/>
          <w:lang w:val="en-US" w:eastAsia="zh-CN"/>
        </w:rPr>
        <w:t>7</w:t>
      </w:r>
      <w:r>
        <w:rPr>
          <w:rFonts w:hint="eastAsia" w:ascii="仿宋_GB2312" w:hAnsi="仿宋_GB2312" w:eastAsia="仿宋_GB2312" w:cs="仿宋_GB2312"/>
          <w:color w:val="000000"/>
          <w:szCs w:val="24"/>
          <w:highlight w:val="none"/>
        </w:rPr>
        <w:t>个品目，如</w:t>
      </w:r>
      <w:r>
        <w:rPr>
          <w:rFonts w:hint="eastAsia" w:ascii="仿宋_GB2312" w:hAnsi="仿宋_GB2312" w:eastAsia="仿宋_GB2312" w:cs="仿宋_GB2312"/>
          <w:color w:val="000000" w:themeColor="text1"/>
          <w:szCs w:val="24"/>
          <w14:textFill>
            <w14:solidFill>
              <w14:schemeClr w14:val="tx1"/>
            </w14:solidFill>
          </w14:textFill>
        </w:rPr>
        <w:t>下表：</w:t>
      </w:r>
    </w:p>
    <w:p>
      <w:pPr>
        <w:spacing w:line="360" w:lineRule="auto"/>
        <w:ind w:firstLine="480" w:firstLineChars="200"/>
        <w:rPr>
          <w:rFonts w:ascii="仿宋_GB2312" w:hAnsi="仿宋_GB2312" w:eastAsia="仿宋_GB2312" w:cs="仿宋_GB2312"/>
          <w:color w:val="FF0000"/>
          <w:sz w:val="24"/>
          <w:szCs w:val="24"/>
          <w:shd w:val="clear" w:color="auto" w:fill="FFFFFF"/>
        </w:rPr>
      </w:pPr>
      <w:r>
        <w:rPr>
          <w:rFonts w:hint="eastAsia" w:ascii="仿宋_GB2312" w:hAnsi="仿宋_GB2312" w:eastAsia="仿宋_GB2312" w:cs="仿宋_GB2312"/>
          <w:color w:val="171A1D"/>
          <w:sz w:val="24"/>
          <w:szCs w:val="24"/>
          <w:shd w:val="clear" w:color="auto" w:fill="FFFFFF"/>
        </w:rPr>
        <w:t>4.1采购清单</w:t>
      </w:r>
      <w:r>
        <w:rPr>
          <w:rFonts w:hint="eastAsia" w:ascii="仿宋_GB2312" w:hAnsi="仿宋_GB2312" w:eastAsia="仿宋_GB2312" w:cs="仿宋_GB2312"/>
          <w:color w:val="FF0000"/>
          <w:sz w:val="24"/>
          <w:szCs w:val="24"/>
          <w:shd w:val="clear" w:color="auto" w:fill="FFFFFF"/>
        </w:rPr>
        <w:t xml:space="preserve"> </w:t>
      </w:r>
    </w:p>
    <w:tbl>
      <w:tblPr>
        <w:tblStyle w:val="24"/>
        <w:tblW w:w="9111" w:type="dxa"/>
        <w:tblInd w:w="-553" w:type="dxa"/>
        <w:tblLayout w:type="fixed"/>
        <w:tblCellMar>
          <w:top w:w="0" w:type="dxa"/>
          <w:left w:w="108" w:type="dxa"/>
          <w:bottom w:w="0" w:type="dxa"/>
          <w:right w:w="108" w:type="dxa"/>
        </w:tblCellMar>
      </w:tblPr>
      <w:tblGrid>
        <w:gridCol w:w="806"/>
        <w:gridCol w:w="2290"/>
        <w:gridCol w:w="977"/>
        <w:gridCol w:w="924"/>
        <w:gridCol w:w="2702"/>
        <w:gridCol w:w="1412"/>
      </w:tblGrid>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序号</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设备名称</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数量</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单位</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备注</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kern w:val="0"/>
                <w:sz w:val="20"/>
                <w:szCs w:val="20"/>
              </w:rPr>
              <w:t>中小企业划分标准所属行业</w:t>
            </w:r>
          </w:p>
        </w:tc>
      </w:tr>
      <w:tr>
        <w:tblPrEx>
          <w:tblCellMar>
            <w:top w:w="0" w:type="dxa"/>
            <w:left w:w="108" w:type="dxa"/>
            <w:bottom w:w="0" w:type="dxa"/>
            <w:right w:w="108" w:type="dxa"/>
          </w:tblCellMar>
        </w:tblPrEx>
        <w:trPr>
          <w:trHeight w:val="421" w:hRule="atLeast"/>
        </w:trPr>
        <w:tc>
          <w:tcPr>
            <w:tcW w:w="7699"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themeColor="text1"/>
                <w:sz w:val="20"/>
                <w14:textFill>
                  <w14:solidFill>
                    <w14:schemeClr w14:val="tx1"/>
                  </w14:solidFill>
                </w14:textFill>
              </w:rPr>
            </w:pPr>
            <w:r>
              <w:rPr>
                <w:rFonts w:hint="eastAsia" w:ascii="仿宋_GB2312" w:hAnsi="仿宋_GB2312" w:eastAsia="仿宋_GB2312" w:cs="仿宋_GB2312"/>
                <w:b/>
                <w:bCs/>
                <w:color w:val="000000" w:themeColor="text1"/>
                <w:kern w:val="0"/>
                <w:sz w:val="20"/>
                <w14:textFill>
                  <w14:solidFill>
                    <w14:schemeClr w14:val="tx1"/>
                  </w14:solidFill>
                </w14:textFill>
              </w:rPr>
              <w:t>（一）品目一：舟山市应急管理局     预算一：970000元</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FF0000"/>
                <w:kern w:val="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数字调音台接口箱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分布式输入输出节点</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34</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曲面屏</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服务器机柜</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机房配套</w:t>
            </w:r>
          </w:p>
        </w:tc>
        <w:tc>
          <w:tcPr>
            <w:tcW w:w="141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机柜承重支架</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机柜专用PDU</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管线配套</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信创防火墙带路由功能</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370MHz无线通信系统</w:t>
            </w:r>
          </w:p>
        </w:tc>
        <w:tc>
          <w:tcPr>
            <w:tcW w:w="141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根</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米</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抬头屏</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9111"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二、安全设备</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流量检测探针</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市本级</w:t>
            </w:r>
          </w:p>
        </w:tc>
        <w:tc>
          <w:tcPr>
            <w:tcW w:w="1412" w:type="dxa"/>
            <w:vMerge w:val="restart"/>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 xml:space="preserve">市本级 </w:t>
            </w: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违规外联检测探针</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市本级</w:t>
            </w: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终端准入网关</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市本级</w:t>
            </w:r>
          </w:p>
        </w:tc>
        <w:tc>
          <w:tcPr>
            <w:tcW w:w="1412"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b/>
                <w:bCs/>
                <w:color w:val="000000" w:themeColor="text1"/>
                <w:kern w:val="0"/>
                <w:sz w:val="20"/>
                <w14:textFill>
                  <w14:solidFill>
                    <w14:schemeClr w14:val="tx1"/>
                  </w14:solidFill>
                </w14:textFill>
              </w:rPr>
              <w:t>（</w:t>
            </w:r>
            <w:r>
              <w:rPr>
                <w:rFonts w:ascii="仿宋_GB2312" w:hAnsi="仿宋_GB2312" w:eastAsia="仿宋_GB2312" w:cs="仿宋_GB2312"/>
                <w:b/>
                <w:bCs/>
                <w:color w:val="000000" w:themeColor="text1"/>
                <w:kern w:val="0"/>
                <w:sz w:val="20"/>
                <w14:textFill>
                  <w14:solidFill>
                    <w14:schemeClr w14:val="tx1"/>
                  </w14:solidFill>
                </w14:textFill>
              </w:rPr>
              <w:t>二</w:t>
            </w:r>
            <w:r>
              <w:rPr>
                <w:rFonts w:hint="eastAsia" w:ascii="仿宋_GB2312" w:hAnsi="仿宋_GB2312" w:eastAsia="仿宋_GB2312" w:cs="仿宋_GB2312"/>
                <w:b/>
                <w:bCs/>
                <w:color w:val="000000" w:themeColor="text1"/>
                <w:kern w:val="0"/>
                <w:sz w:val="20"/>
                <w14:textFill>
                  <w14:solidFill>
                    <w14:schemeClr w14:val="tx1"/>
                  </w14:solidFill>
                </w14:textFill>
              </w:rPr>
              <w:t>）品目</w:t>
            </w:r>
            <w:r>
              <w:rPr>
                <w:rFonts w:ascii="仿宋_GB2312" w:hAnsi="仿宋_GB2312" w:eastAsia="仿宋_GB2312" w:cs="仿宋_GB2312"/>
                <w:b/>
                <w:bCs/>
                <w:color w:val="000000" w:themeColor="text1"/>
                <w:kern w:val="0"/>
                <w:sz w:val="20"/>
                <w14:textFill>
                  <w14:solidFill>
                    <w14:schemeClr w14:val="tx1"/>
                  </w14:solidFill>
                </w14:textFill>
              </w:rPr>
              <w:t>二</w:t>
            </w:r>
            <w:r>
              <w:rPr>
                <w:rFonts w:hint="eastAsia" w:ascii="仿宋_GB2312" w:hAnsi="仿宋_GB2312" w:eastAsia="仿宋_GB2312" w:cs="仿宋_GB2312"/>
                <w:b/>
                <w:bCs/>
                <w:color w:val="000000" w:themeColor="text1"/>
                <w:kern w:val="0"/>
                <w:sz w:val="20"/>
                <w14:textFill>
                  <w14:solidFill>
                    <w14:schemeClr w14:val="tx1"/>
                  </w14:solidFill>
                </w14:textFill>
              </w:rPr>
              <w:t>：普朱管委会   预算</w:t>
            </w:r>
            <w:r>
              <w:rPr>
                <w:rFonts w:ascii="仿宋_GB2312" w:hAnsi="仿宋_GB2312" w:eastAsia="仿宋_GB2312" w:cs="仿宋_GB2312"/>
                <w:b/>
                <w:bCs/>
                <w:color w:val="000000" w:themeColor="text1"/>
                <w:kern w:val="0"/>
                <w:sz w:val="20"/>
                <w14:textFill>
                  <w14:solidFill>
                    <w14:schemeClr w14:val="tx1"/>
                  </w14:solidFill>
                </w14:textFill>
              </w:rPr>
              <w:t>二</w:t>
            </w:r>
            <w:r>
              <w:rPr>
                <w:rFonts w:hint="eastAsia" w:ascii="仿宋_GB2312" w:hAnsi="仿宋_GB2312" w:eastAsia="仿宋_GB2312" w:cs="仿宋_GB2312"/>
                <w:b/>
                <w:bCs/>
                <w:color w:val="000000" w:themeColor="text1"/>
                <w:kern w:val="0"/>
                <w:sz w:val="20"/>
                <w14:textFill>
                  <w14:solidFill>
                    <w14:schemeClr w14:val="tx1"/>
                  </w14:solidFill>
                </w14:textFill>
              </w:rPr>
              <w:t>：5000元</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b/>
                <w:bCs/>
                <w:color w:val="000000" w:themeColor="text1"/>
                <w:kern w:val="0"/>
                <w:sz w:val="20"/>
                <w14:textFill>
                  <w14:solidFill>
                    <w14:schemeClr w14:val="tx1"/>
                  </w14:solidFill>
                </w14:textFill>
              </w:rPr>
              <w:t>一、安全设备</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普朱</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themeColor="text1"/>
                <w:sz w:val="20"/>
                <w14:textFill>
                  <w14:solidFill>
                    <w14:schemeClr w14:val="tx1"/>
                  </w14:solidFill>
                </w14:textFill>
              </w:rPr>
            </w:pPr>
            <w:r>
              <w:rPr>
                <w:rFonts w:hint="eastAsia" w:ascii="仿宋_GB2312" w:hAnsi="仿宋_GB2312" w:eastAsia="仿宋_GB2312" w:cs="仿宋_GB2312"/>
                <w:b/>
                <w:bCs/>
                <w:color w:val="000000" w:themeColor="text1"/>
                <w:kern w:val="0"/>
                <w:sz w:val="20"/>
                <w14:textFill>
                  <w14:solidFill>
                    <w14:schemeClr w14:val="tx1"/>
                  </w14:solidFill>
                </w14:textFill>
              </w:rPr>
              <w:t>（</w:t>
            </w:r>
            <w:r>
              <w:rPr>
                <w:rFonts w:ascii="仿宋_GB2312" w:hAnsi="仿宋_GB2312" w:eastAsia="仿宋_GB2312" w:cs="仿宋_GB2312"/>
                <w:b/>
                <w:bCs/>
                <w:color w:val="000000" w:themeColor="text1"/>
                <w:kern w:val="0"/>
                <w:sz w:val="20"/>
                <w14:textFill>
                  <w14:solidFill>
                    <w14:schemeClr w14:val="tx1"/>
                  </w14:solidFill>
                </w14:textFill>
              </w:rPr>
              <w:t>三</w:t>
            </w:r>
            <w:r>
              <w:rPr>
                <w:rFonts w:hint="eastAsia" w:ascii="仿宋_GB2312" w:hAnsi="仿宋_GB2312" w:eastAsia="仿宋_GB2312" w:cs="仿宋_GB2312"/>
                <w:b/>
                <w:bCs/>
                <w:color w:val="000000" w:themeColor="text1"/>
                <w:kern w:val="0"/>
                <w:sz w:val="20"/>
                <w14:textFill>
                  <w14:solidFill>
                    <w14:schemeClr w14:val="tx1"/>
                  </w14:solidFill>
                </w14:textFill>
              </w:rPr>
              <w:t>）品目</w:t>
            </w:r>
            <w:r>
              <w:rPr>
                <w:rFonts w:ascii="仿宋_GB2312" w:hAnsi="仿宋_GB2312" w:eastAsia="仿宋_GB2312" w:cs="仿宋_GB2312"/>
                <w:b/>
                <w:bCs/>
                <w:color w:val="000000" w:themeColor="text1"/>
                <w:kern w:val="0"/>
                <w:sz w:val="20"/>
                <w14:textFill>
                  <w14:solidFill>
                    <w14:schemeClr w14:val="tx1"/>
                  </w14:solidFill>
                </w14:textFill>
              </w:rPr>
              <w:t>三</w:t>
            </w:r>
            <w:r>
              <w:rPr>
                <w:rFonts w:hint="eastAsia" w:ascii="仿宋_GB2312" w:hAnsi="仿宋_GB2312" w:eastAsia="仿宋_GB2312" w:cs="仿宋_GB2312"/>
                <w:b/>
                <w:bCs/>
                <w:color w:val="000000" w:themeColor="text1"/>
                <w:kern w:val="0"/>
                <w:sz w:val="20"/>
                <w14:textFill>
                  <w14:solidFill>
                    <w14:schemeClr w14:val="tx1"/>
                  </w14:solidFill>
                </w14:textFill>
              </w:rPr>
              <w:t>：普陀区应急管理局      预算</w:t>
            </w:r>
            <w:r>
              <w:rPr>
                <w:rFonts w:ascii="仿宋_GB2312" w:hAnsi="仿宋_GB2312" w:eastAsia="仿宋_GB2312" w:cs="仿宋_GB2312"/>
                <w:b/>
                <w:bCs/>
                <w:color w:val="000000" w:themeColor="text1"/>
                <w:kern w:val="0"/>
                <w:sz w:val="20"/>
                <w14:textFill>
                  <w14:solidFill>
                    <w14:schemeClr w14:val="tx1"/>
                  </w14:solidFill>
                </w14:textFill>
              </w:rPr>
              <w:t>三</w:t>
            </w:r>
            <w:r>
              <w:rPr>
                <w:rFonts w:hint="eastAsia" w:ascii="仿宋_GB2312" w:hAnsi="仿宋_GB2312" w:eastAsia="仿宋_GB2312" w:cs="仿宋_GB2312"/>
                <w:b/>
                <w:bCs/>
                <w:color w:val="000000" w:themeColor="text1"/>
                <w:kern w:val="0"/>
                <w:sz w:val="20"/>
                <w14:textFill>
                  <w14:solidFill>
                    <w14:schemeClr w14:val="tx1"/>
                  </w14:solidFill>
                </w14:textFill>
              </w:rPr>
              <w:t>：602000元</w:t>
            </w:r>
          </w:p>
        </w:tc>
        <w:tc>
          <w:tcPr>
            <w:tcW w:w="1412" w:type="dxa"/>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right w:val="single" w:color="000000" w:sz="4" w:space="0"/>
            </w:tcBorders>
            <w:vAlign w:val="center"/>
          </w:tcPr>
          <w:p>
            <w:pPr>
              <w:ind w:firstLine="513"/>
              <w:jc w:val="left"/>
              <w:rPr>
                <w:rFonts w:ascii="仿宋_GB2312" w:hAnsi="仿宋_GB2312" w:eastAsia="仿宋_GB2312" w:cs="仿宋_GB2312"/>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P1.2全彩屏</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20.3</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平方</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ind w:firstLine="513"/>
              <w:jc w:val="left"/>
              <w:rPr>
                <w:rFonts w:ascii="仿宋_GB2312" w:hAnsi="仿宋_GB2312" w:eastAsia="仿宋_GB2312" w:cs="仿宋_GB2312"/>
              </w:rPr>
            </w:pPr>
            <w:r>
              <w:rPr>
                <w:rFonts w:hint="eastAsia" w:ascii="仿宋_GB2312" w:hAnsi="仿宋_GB2312" w:eastAsia="仿宋_GB2312" w:cs="仿宋_GB2312"/>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独立主控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拼接处理器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安装钢结构及包边</w:t>
            </w:r>
          </w:p>
        </w:tc>
        <w:tc>
          <w:tcPr>
            <w:tcW w:w="977" w:type="dxa"/>
            <w:tcBorders>
              <w:top w:val="nil"/>
              <w:left w:val="nil"/>
              <w:bottom w:val="nil"/>
              <w:right w:val="nil"/>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主音箱</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主音箱功放</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音频处理器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调音台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一拖二手持话筒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一拖四会议话筒</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天线分配器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话筒天线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抑制器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电源管理器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多媒体插座</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配套辅材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高清混合矩阵</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★网络型可编程中央控制主机</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中控系统</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p>
            <w:pPr>
              <w:ind w:firstLine="496"/>
              <w:jc w:val="left"/>
              <w:rPr>
                <w:rFonts w:ascii="仿宋_GB2312" w:hAnsi="仿宋_GB2312" w:eastAsia="仿宋_GB2312" w:cs="仿宋_GB2312"/>
              </w:rPr>
            </w:pPr>
            <w:r>
              <w:rPr>
                <w:rFonts w:hint="eastAsia" w:ascii="仿宋_GB2312" w:hAnsi="仿宋_GB2312" w:eastAsia="仿宋_GB2312" w:cs="仿宋_GB2312"/>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电源控制器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控制平板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中控软件</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kern w:val="0"/>
                <w:sz w:val="20"/>
                <w:szCs w:val="20"/>
              </w:rPr>
              <w:t>软件和信息技术服务</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会议摄像机</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二、安全设备</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普陀</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themeColor="text1"/>
                <w:sz w:val="20"/>
                <w14:textFill>
                  <w14:solidFill>
                    <w14:schemeClr w14:val="tx1"/>
                  </w14:solidFill>
                </w14:textFill>
              </w:rPr>
            </w:pPr>
            <w:r>
              <w:rPr>
                <w:rFonts w:hint="eastAsia" w:ascii="仿宋_GB2312" w:hAnsi="仿宋_GB2312" w:eastAsia="仿宋_GB2312" w:cs="仿宋_GB2312"/>
                <w:b/>
                <w:bCs/>
                <w:color w:val="000000" w:themeColor="text1"/>
                <w:kern w:val="0"/>
                <w:sz w:val="20"/>
                <w14:textFill>
                  <w14:solidFill>
                    <w14:schemeClr w14:val="tx1"/>
                  </w14:solidFill>
                </w14:textFill>
              </w:rPr>
              <w:t>（</w:t>
            </w:r>
            <w:r>
              <w:rPr>
                <w:rFonts w:ascii="仿宋_GB2312" w:hAnsi="仿宋_GB2312" w:eastAsia="仿宋_GB2312" w:cs="仿宋_GB2312"/>
                <w:b/>
                <w:bCs/>
                <w:color w:val="000000" w:themeColor="text1"/>
                <w:kern w:val="0"/>
                <w:sz w:val="20"/>
                <w14:textFill>
                  <w14:solidFill>
                    <w14:schemeClr w14:val="tx1"/>
                  </w14:solidFill>
                </w14:textFill>
              </w:rPr>
              <w:t>四</w:t>
            </w:r>
            <w:r>
              <w:rPr>
                <w:rFonts w:hint="eastAsia" w:ascii="仿宋_GB2312" w:hAnsi="仿宋_GB2312" w:eastAsia="仿宋_GB2312" w:cs="仿宋_GB2312"/>
                <w:b/>
                <w:bCs/>
                <w:color w:val="000000" w:themeColor="text1"/>
                <w:kern w:val="0"/>
                <w:sz w:val="20"/>
                <w14:textFill>
                  <w14:solidFill>
                    <w14:schemeClr w14:val="tx1"/>
                  </w14:solidFill>
                </w14:textFill>
              </w:rPr>
              <w:t>）品目</w:t>
            </w:r>
            <w:r>
              <w:rPr>
                <w:rFonts w:ascii="仿宋_GB2312" w:hAnsi="仿宋_GB2312" w:eastAsia="仿宋_GB2312" w:cs="仿宋_GB2312"/>
                <w:b/>
                <w:bCs/>
                <w:color w:val="000000" w:themeColor="text1"/>
                <w:kern w:val="0"/>
                <w:sz w:val="20"/>
                <w14:textFill>
                  <w14:solidFill>
                    <w14:schemeClr w14:val="tx1"/>
                  </w14:solidFill>
                </w14:textFill>
              </w:rPr>
              <w:t>四</w:t>
            </w:r>
            <w:r>
              <w:rPr>
                <w:rFonts w:hint="eastAsia" w:ascii="仿宋_GB2312" w:hAnsi="仿宋_GB2312" w:eastAsia="仿宋_GB2312" w:cs="仿宋_GB2312"/>
                <w:b/>
                <w:bCs/>
                <w:color w:val="000000" w:themeColor="text1"/>
                <w:kern w:val="0"/>
                <w:sz w:val="20"/>
                <w14:textFill>
                  <w14:solidFill>
                    <w14:schemeClr w14:val="tx1"/>
                  </w14:solidFill>
                </w14:textFill>
              </w:rPr>
              <w:t>：岱山县应急管理局       预算</w:t>
            </w:r>
            <w:r>
              <w:rPr>
                <w:rFonts w:ascii="仿宋_GB2312" w:hAnsi="仿宋_GB2312" w:eastAsia="仿宋_GB2312" w:cs="仿宋_GB2312"/>
                <w:b/>
                <w:bCs/>
                <w:color w:val="000000" w:themeColor="text1"/>
                <w:kern w:val="0"/>
                <w:sz w:val="20"/>
                <w14:textFill>
                  <w14:solidFill>
                    <w14:schemeClr w14:val="tx1"/>
                  </w14:solidFill>
                </w14:textFill>
              </w:rPr>
              <w:t>四</w:t>
            </w:r>
            <w:r>
              <w:rPr>
                <w:rFonts w:hint="eastAsia" w:ascii="仿宋_GB2312" w:hAnsi="仿宋_GB2312" w:eastAsia="仿宋_GB2312" w:cs="仿宋_GB2312"/>
                <w:b/>
                <w:bCs/>
                <w:color w:val="000000" w:themeColor="text1"/>
                <w:kern w:val="0"/>
                <w:sz w:val="20"/>
                <w14:textFill>
                  <w14:solidFill>
                    <w14:schemeClr w14:val="tx1"/>
                  </w14:solidFill>
                </w14:textFill>
              </w:rPr>
              <w:t>：105000元</w:t>
            </w:r>
          </w:p>
        </w:tc>
        <w:tc>
          <w:tcPr>
            <w:tcW w:w="1412" w:type="dxa"/>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auto"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20KVA UPS主机</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蓄电池</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节</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电池柜</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370MHz无线通信系统</w:t>
            </w:r>
          </w:p>
        </w:tc>
        <w:tc>
          <w:tcPr>
            <w:tcW w:w="1412" w:type="dxa"/>
            <w:vMerge w:val="continue"/>
            <w:tcBorders>
              <w:left w:val="single" w:color="000000"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根</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米</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二、安全设备</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岱山</w:t>
            </w:r>
          </w:p>
        </w:tc>
        <w:tc>
          <w:tcPr>
            <w:tcW w:w="1412" w:type="dxa"/>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7699" w:type="dxa"/>
            <w:gridSpan w:val="5"/>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themeColor="text1"/>
                <w:sz w:val="20"/>
                <w14:textFill>
                  <w14:solidFill>
                    <w14:schemeClr w14:val="tx1"/>
                  </w14:solidFill>
                </w14:textFill>
              </w:rPr>
            </w:pPr>
            <w:r>
              <w:rPr>
                <w:rFonts w:hint="eastAsia" w:ascii="仿宋_GB2312" w:hAnsi="仿宋_GB2312" w:eastAsia="仿宋_GB2312" w:cs="仿宋_GB2312"/>
                <w:b/>
                <w:bCs/>
                <w:color w:val="000000" w:themeColor="text1"/>
                <w:kern w:val="0"/>
                <w:sz w:val="20"/>
                <w14:textFill>
                  <w14:solidFill>
                    <w14:schemeClr w14:val="tx1"/>
                  </w14:solidFill>
                </w14:textFill>
              </w:rPr>
              <w:t>（</w:t>
            </w:r>
            <w:r>
              <w:rPr>
                <w:rFonts w:ascii="仿宋_GB2312" w:hAnsi="仿宋_GB2312" w:eastAsia="仿宋_GB2312" w:cs="仿宋_GB2312"/>
                <w:b/>
                <w:bCs/>
                <w:color w:val="000000" w:themeColor="text1"/>
                <w:kern w:val="0"/>
                <w:sz w:val="20"/>
                <w14:textFill>
                  <w14:solidFill>
                    <w14:schemeClr w14:val="tx1"/>
                  </w14:solidFill>
                </w14:textFill>
              </w:rPr>
              <w:t>五</w:t>
            </w:r>
            <w:r>
              <w:rPr>
                <w:rFonts w:hint="eastAsia" w:ascii="仿宋_GB2312" w:hAnsi="仿宋_GB2312" w:eastAsia="仿宋_GB2312" w:cs="仿宋_GB2312"/>
                <w:b/>
                <w:bCs/>
                <w:color w:val="000000" w:themeColor="text1"/>
                <w:kern w:val="0"/>
                <w:sz w:val="20"/>
                <w14:textFill>
                  <w14:solidFill>
                    <w14:schemeClr w14:val="tx1"/>
                  </w14:solidFill>
                </w14:textFill>
              </w:rPr>
              <w:t>）品目</w:t>
            </w:r>
            <w:r>
              <w:rPr>
                <w:rFonts w:ascii="仿宋_GB2312" w:hAnsi="仿宋_GB2312" w:eastAsia="仿宋_GB2312" w:cs="仿宋_GB2312"/>
                <w:b/>
                <w:bCs/>
                <w:color w:val="000000" w:themeColor="text1"/>
                <w:kern w:val="0"/>
                <w:sz w:val="20"/>
                <w14:textFill>
                  <w14:solidFill>
                    <w14:schemeClr w14:val="tx1"/>
                  </w14:solidFill>
                </w14:textFill>
              </w:rPr>
              <w:t>五</w:t>
            </w:r>
            <w:r>
              <w:rPr>
                <w:rFonts w:hint="eastAsia" w:ascii="仿宋_GB2312" w:hAnsi="仿宋_GB2312" w:eastAsia="仿宋_GB2312" w:cs="仿宋_GB2312"/>
                <w:b/>
                <w:bCs/>
                <w:color w:val="000000" w:themeColor="text1"/>
                <w:kern w:val="0"/>
                <w:sz w:val="20"/>
                <w14:textFill>
                  <w14:solidFill>
                    <w14:schemeClr w14:val="tx1"/>
                  </w14:solidFill>
                </w14:textFill>
              </w:rPr>
              <w:t>：嵊泗县应急管理局    预算</w:t>
            </w:r>
            <w:r>
              <w:rPr>
                <w:rFonts w:ascii="仿宋_GB2312" w:hAnsi="仿宋_GB2312" w:eastAsia="仿宋_GB2312" w:cs="仿宋_GB2312"/>
                <w:b/>
                <w:bCs/>
                <w:color w:val="000000" w:themeColor="text1"/>
                <w:kern w:val="0"/>
                <w:sz w:val="20"/>
                <w14:textFill>
                  <w14:solidFill>
                    <w14:schemeClr w14:val="tx1"/>
                  </w14:solidFill>
                </w14:textFill>
              </w:rPr>
              <w:t>五</w:t>
            </w:r>
            <w:r>
              <w:rPr>
                <w:rFonts w:hint="eastAsia" w:ascii="仿宋_GB2312" w:hAnsi="仿宋_GB2312" w:eastAsia="仿宋_GB2312" w:cs="仿宋_GB2312"/>
                <w:b/>
                <w:bCs/>
                <w:color w:val="000000" w:themeColor="text1"/>
                <w:kern w:val="0"/>
                <w:sz w:val="20"/>
                <w14:textFill>
                  <w14:solidFill>
                    <w14:schemeClr w14:val="tx1"/>
                  </w14:solidFill>
                </w14:textFill>
              </w:rPr>
              <w:t>：375000元</w:t>
            </w:r>
          </w:p>
        </w:tc>
        <w:tc>
          <w:tcPr>
            <w:tcW w:w="1412" w:type="dxa"/>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auto" w:sz="4" w:space="0"/>
              <w:bottom w:val="single" w:color="000000" w:sz="4" w:space="0"/>
              <w:right w:val="single" w:color="auto" w:sz="4" w:space="0"/>
            </w:tcBorders>
            <w:shd w:val="clear" w:color="auto" w:fill="FFFFFF"/>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主扩声专业音箱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主扩声专业功放</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辅助专业音箱</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辅助专业功放</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音频处理器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调音台</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一拖二手持话筒</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一拖四会议话筒</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智能混音器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电源管理器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音频隔离器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天线分配器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话筒天线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多媒体插座</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只</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配套辅材</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auto"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2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一键式会议协作系统</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电子桌牌</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kern w:val="0"/>
                <w:sz w:val="20"/>
                <w14:textFill>
                  <w14:solidFill>
                    <w14:schemeClr w14:val="tx1"/>
                  </w14:solidFill>
                </w14:textFill>
              </w:rPr>
              <w:t>信创操作电脑</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会议抬头屏</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移动会议系统</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高清混合矩阵</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网络型可编程中央控制主机</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中控系统</w:t>
            </w:r>
          </w:p>
        </w:tc>
        <w:tc>
          <w:tcPr>
            <w:tcW w:w="1412" w:type="dxa"/>
            <w:vMerge w:val="restart"/>
            <w:tcBorders>
              <w:top w:val="single" w:color="000000" w:sz="4" w:space="0"/>
              <w:left w:val="single" w:color="000000" w:sz="4" w:space="0"/>
              <w:right w:val="single" w:color="000000" w:sz="4" w:space="0"/>
            </w:tcBorders>
            <w:shd w:val="clear" w:color="auto" w:fill="FFFFFF"/>
            <w:vAlign w:val="center"/>
          </w:tcPr>
          <w:p>
            <w:pPr>
              <w:tabs>
                <w:tab w:val="left" w:pos="521"/>
              </w:tabs>
              <w:jc w:val="left"/>
              <w:rPr>
                <w:rFonts w:ascii="仿宋_GB2312" w:hAnsi="仿宋_GB2312" w:eastAsia="仿宋_GB2312" w:cs="仿宋_GB2312"/>
                <w:color w:val="000000"/>
                <w:sz w:val="20"/>
              </w:rPr>
            </w:pPr>
            <w:r>
              <w:rPr>
                <w:rFonts w:hint="eastAsia" w:ascii="仿宋_GB2312" w:hAnsi="仿宋_GB2312" w:eastAsia="仿宋_GB2312" w:cs="仿宋_GB2312"/>
                <w:color w:val="000000"/>
                <w:sz w:val="20"/>
              </w:rPr>
              <w:tab/>
            </w: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电源控制器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控制平板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26</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中控软件</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kern w:val="0"/>
                <w:sz w:val="20"/>
                <w:szCs w:val="20"/>
              </w:rPr>
              <w:t>软件和信息技术服务</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27</w:t>
            </w:r>
          </w:p>
        </w:tc>
        <w:tc>
          <w:tcPr>
            <w:tcW w:w="2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信创安全网关</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restart"/>
            <w:tcBorders>
              <w:top w:val="single" w:color="000000" w:sz="4" w:space="0"/>
              <w:left w:val="single" w:color="000000" w:sz="4" w:space="0"/>
              <w:right w:val="single" w:color="000000" w:sz="4" w:space="0"/>
            </w:tcBorders>
            <w:shd w:val="clear" w:color="auto" w:fill="FFFFFF"/>
            <w:vAlign w:val="center"/>
          </w:tcPr>
          <w:p>
            <w:pPr>
              <w:tabs>
                <w:tab w:val="left" w:pos="513"/>
              </w:tabs>
              <w:jc w:val="left"/>
              <w:rPr>
                <w:rFonts w:ascii="仿宋_GB2312" w:hAnsi="仿宋_GB2312" w:eastAsia="仿宋_GB2312" w:cs="仿宋_GB2312"/>
                <w:color w:val="000000"/>
                <w:sz w:val="20"/>
              </w:rPr>
            </w:pPr>
            <w:r>
              <w:rPr>
                <w:rFonts w:hint="eastAsia" w:ascii="仿宋_GB2312" w:hAnsi="仿宋_GB2312" w:eastAsia="仿宋_GB2312" w:cs="仿宋_GB2312"/>
                <w:color w:val="000000"/>
                <w:sz w:val="20"/>
              </w:rPr>
              <w:tab/>
            </w: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28</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套</w:t>
            </w:r>
          </w:p>
        </w:tc>
        <w:tc>
          <w:tcPr>
            <w:tcW w:w="27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370MHz无线通信系统</w:t>
            </w:r>
          </w:p>
        </w:tc>
        <w:tc>
          <w:tcPr>
            <w:tcW w:w="141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29</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根</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30</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31</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32</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个</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33</w:t>
            </w:r>
          </w:p>
        </w:tc>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150</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米</w:t>
            </w:r>
          </w:p>
        </w:tc>
        <w:tc>
          <w:tcPr>
            <w:tcW w:w="27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c>
          <w:tcPr>
            <w:tcW w:w="14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二、安全设备</w:t>
            </w:r>
          </w:p>
        </w:tc>
        <w:tc>
          <w:tcPr>
            <w:tcW w:w="1412" w:type="dxa"/>
            <w:tcBorders>
              <w:top w:val="single" w:color="000000" w:sz="4" w:space="0"/>
              <w:left w:val="single" w:color="000000" w:sz="4" w:space="0"/>
              <w:bottom w:val="single" w:color="auto"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kern w:val="0"/>
                <w:sz w:val="20"/>
              </w:rPr>
            </w:pPr>
          </w:p>
        </w:tc>
      </w:tr>
      <w:tr>
        <w:tblPrEx>
          <w:tblCellMar>
            <w:top w:w="0" w:type="dxa"/>
            <w:left w:w="108" w:type="dxa"/>
            <w:bottom w:w="0" w:type="dxa"/>
            <w:right w:w="108" w:type="dxa"/>
          </w:tblCellMar>
        </w:tblPrEx>
        <w:trPr>
          <w:trHeight w:val="936"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SDWAN网关（边界侧）</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 xml:space="preserve"> 嵊泗县 </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1" w:hRule="atLeast"/>
        </w:trPr>
        <w:tc>
          <w:tcPr>
            <w:tcW w:w="7699" w:type="dxa"/>
            <w:gridSpan w:val="5"/>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b/>
                <w:bCs/>
                <w:color w:val="000000" w:themeColor="text1"/>
                <w:kern w:val="0"/>
                <w:sz w:val="20"/>
                <w14:textFill>
                  <w14:solidFill>
                    <w14:schemeClr w14:val="tx1"/>
                  </w14:solidFill>
                </w14:textFill>
              </w:rPr>
              <w:t>（</w:t>
            </w:r>
            <w:r>
              <w:rPr>
                <w:rFonts w:ascii="仿宋_GB2312" w:hAnsi="仿宋_GB2312" w:eastAsia="仿宋_GB2312" w:cs="仿宋_GB2312"/>
                <w:b/>
                <w:bCs/>
                <w:color w:val="000000" w:themeColor="text1"/>
                <w:kern w:val="0"/>
                <w:sz w:val="20"/>
                <w14:textFill>
                  <w14:solidFill>
                    <w14:schemeClr w14:val="tx1"/>
                  </w14:solidFill>
                </w14:textFill>
              </w:rPr>
              <w:t>六</w:t>
            </w:r>
            <w:r>
              <w:rPr>
                <w:rFonts w:hint="eastAsia" w:ascii="仿宋_GB2312" w:hAnsi="仿宋_GB2312" w:eastAsia="仿宋_GB2312" w:cs="仿宋_GB2312"/>
                <w:b/>
                <w:bCs/>
                <w:color w:val="000000" w:themeColor="text1"/>
                <w:kern w:val="0"/>
                <w:sz w:val="20"/>
                <w14:textFill>
                  <w14:solidFill>
                    <w14:schemeClr w14:val="tx1"/>
                  </w14:solidFill>
                </w14:textFill>
              </w:rPr>
              <w:t>）品目</w:t>
            </w:r>
            <w:r>
              <w:rPr>
                <w:rFonts w:ascii="仿宋_GB2312" w:hAnsi="仿宋_GB2312" w:eastAsia="仿宋_GB2312" w:cs="仿宋_GB2312"/>
                <w:b/>
                <w:bCs/>
                <w:color w:val="000000" w:themeColor="text1"/>
                <w:kern w:val="0"/>
                <w:sz w:val="20"/>
                <w14:textFill>
                  <w14:solidFill>
                    <w14:schemeClr w14:val="tx1"/>
                  </w14:solidFill>
                </w14:textFill>
              </w:rPr>
              <w:t>六</w:t>
            </w:r>
            <w:r>
              <w:rPr>
                <w:rFonts w:hint="eastAsia" w:ascii="仿宋_GB2312" w:hAnsi="仿宋_GB2312" w:eastAsia="仿宋_GB2312" w:cs="仿宋_GB2312"/>
                <w:b/>
                <w:bCs/>
                <w:color w:val="000000" w:themeColor="text1"/>
                <w:kern w:val="0"/>
                <w:sz w:val="20"/>
                <w14:textFill>
                  <w14:solidFill>
                    <w14:schemeClr w14:val="tx1"/>
                  </w14:solidFill>
                </w14:textFill>
              </w:rPr>
              <w:t>：普陀山镇人民政府   预算二：120000元</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一、指挥调度音视频等信息化基础设施</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P1.2全彩屏</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6.144</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平方</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restart"/>
            <w:tcBorders>
              <w:top w:val="single" w:color="auto"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工业</w:t>
            </w: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LED屏拼控处理器</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安装钢结构及包边</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6.2</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4</w:t>
            </w:r>
          </w:p>
        </w:tc>
        <w:tc>
          <w:tcPr>
            <w:tcW w:w="2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机柜</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台</w:t>
            </w:r>
          </w:p>
        </w:tc>
        <w:tc>
          <w:tcPr>
            <w:tcW w:w="27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80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sz w:val="20"/>
              </w:rPr>
              <w:t>5</w:t>
            </w:r>
          </w:p>
        </w:tc>
        <w:tc>
          <w:tcPr>
            <w:tcW w:w="229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配套辅材</w:t>
            </w:r>
          </w:p>
        </w:tc>
        <w:tc>
          <w:tcPr>
            <w:tcW w:w="97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924"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项</w:t>
            </w:r>
          </w:p>
        </w:tc>
        <w:tc>
          <w:tcPr>
            <w:tcW w:w="270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kern w:val="0"/>
                <w:sz w:val="20"/>
              </w:rPr>
            </w:pPr>
          </w:p>
        </w:tc>
        <w:tc>
          <w:tcPr>
            <w:tcW w:w="1412" w:type="dxa"/>
            <w:vMerge w:val="continue"/>
            <w:tcBorders>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0"/>
              </w:rPr>
            </w:pPr>
          </w:p>
        </w:tc>
      </w:tr>
      <w:tr>
        <w:tblPrEx>
          <w:tblCellMar>
            <w:top w:w="0" w:type="dxa"/>
            <w:left w:w="108" w:type="dxa"/>
            <w:bottom w:w="0" w:type="dxa"/>
            <w:right w:w="108" w:type="dxa"/>
          </w:tblCellMar>
        </w:tblPrEx>
        <w:trPr>
          <w:trHeight w:val="440" w:hRule="atLeast"/>
        </w:trPr>
        <w:tc>
          <w:tcPr>
            <w:tcW w:w="7699" w:type="dxa"/>
            <w:gridSpan w:val="5"/>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 xml:space="preserve"> </w:t>
            </w:r>
            <w:r>
              <w:rPr>
                <w:rFonts w:hint="eastAsia" w:ascii="仿宋_GB2312" w:hAnsi="仿宋_GB2312" w:eastAsia="仿宋_GB2312" w:cs="仿宋_GB2312"/>
                <w:b/>
                <w:bCs/>
                <w:color w:val="auto"/>
                <w:kern w:val="0"/>
                <w:sz w:val="20"/>
              </w:rPr>
              <w:t>（七）品目七：定海区应急管理局    预算七： 5000元</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kern w:val="0"/>
                <w:sz w:val="20"/>
              </w:rPr>
            </w:pPr>
          </w:p>
        </w:tc>
      </w:tr>
      <w:tr>
        <w:tblPrEx>
          <w:tblCellMar>
            <w:top w:w="0" w:type="dxa"/>
            <w:left w:w="108" w:type="dxa"/>
            <w:bottom w:w="0" w:type="dxa"/>
            <w:right w:w="108" w:type="dxa"/>
          </w:tblCellMar>
        </w:tblPrEx>
        <w:trPr>
          <w:trHeight w:val="440" w:hRule="atLeast"/>
        </w:trPr>
        <w:tc>
          <w:tcPr>
            <w:tcW w:w="80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1</w:t>
            </w:r>
          </w:p>
        </w:tc>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SDWAN网关（边界侧）</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1</w:t>
            </w:r>
          </w:p>
        </w:tc>
        <w:tc>
          <w:tcPr>
            <w:tcW w:w="92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台</w:t>
            </w:r>
          </w:p>
        </w:tc>
        <w:tc>
          <w:tcPr>
            <w:tcW w:w="27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 xml:space="preserve"> 定海区</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sz w:val="20"/>
              </w:rPr>
              <w:t>工业</w:t>
            </w:r>
          </w:p>
        </w:tc>
      </w:tr>
    </w:tbl>
    <w:p>
      <w:pPr>
        <w:spacing w:line="360" w:lineRule="auto"/>
        <w:ind w:firstLine="480" w:firstLineChars="200"/>
        <w:rPr>
          <w:rFonts w:ascii="仿宋_GB2312" w:hAnsi="仿宋_GB2312" w:eastAsia="仿宋_GB2312" w:cs="仿宋_GB2312"/>
          <w:color w:val="171A1D"/>
          <w:sz w:val="24"/>
          <w:szCs w:val="24"/>
          <w:shd w:val="clear" w:color="auto" w:fill="FFFFFF"/>
        </w:rPr>
      </w:pPr>
    </w:p>
    <w:p>
      <w:pPr>
        <w:spacing w:line="360" w:lineRule="auto"/>
        <w:ind w:firstLine="480" w:firstLineChars="200"/>
        <w:rPr>
          <w:rFonts w:ascii="仿宋_GB2312" w:hAnsi="仿宋_GB2312" w:eastAsia="仿宋_GB2312" w:cs="仿宋_GB2312"/>
          <w:color w:val="171A1D"/>
          <w:sz w:val="24"/>
          <w:szCs w:val="24"/>
          <w:shd w:val="clear" w:color="auto" w:fill="FFFFFF"/>
        </w:rPr>
      </w:pPr>
      <w:r>
        <w:rPr>
          <w:rFonts w:hint="eastAsia" w:ascii="仿宋_GB2312" w:hAnsi="仿宋_GB2312" w:eastAsia="仿宋_GB2312" w:cs="仿宋_GB2312"/>
          <w:color w:val="171A1D"/>
          <w:sz w:val="24"/>
          <w:szCs w:val="24"/>
          <w:shd w:val="clear" w:color="auto" w:fill="FFFFFF"/>
        </w:rPr>
        <w:t>4.2 技术性能要求</w:t>
      </w:r>
    </w:p>
    <w:tbl>
      <w:tblPr>
        <w:tblStyle w:val="24"/>
        <w:tblW w:w="8964" w:type="dxa"/>
        <w:tblInd w:w="-559" w:type="dxa"/>
        <w:tblLayout w:type="fixed"/>
        <w:tblCellMar>
          <w:top w:w="0" w:type="dxa"/>
          <w:left w:w="108" w:type="dxa"/>
          <w:bottom w:w="0" w:type="dxa"/>
          <w:right w:w="108" w:type="dxa"/>
        </w:tblCellMar>
      </w:tblPr>
      <w:tblGrid>
        <w:gridCol w:w="884"/>
        <w:gridCol w:w="1979"/>
        <w:gridCol w:w="6101"/>
      </w:tblGrid>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序号</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设备名称</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技术参数</w:t>
            </w:r>
          </w:p>
        </w:tc>
      </w:tr>
      <w:tr>
        <w:tblPrEx>
          <w:tblCellMar>
            <w:top w:w="0" w:type="dxa"/>
            <w:left w:w="108" w:type="dxa"/>
            <w:bottom w:w="0" w:type="dxa"/>
            <w:right w:w="108" w:type="dxa"/>
          </w:tblCellMar>
        </w:tblPrEx>
        <w:trPr>
          <w:trHeight w:val="555" w:hRule="atLeast"/>
        </w:trPr>
        <w:tc>
          <w:tcPr>
            <w:tcW w:w="896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一、指挥调度音视频等信息化基础设施</w:t>
            </w:r>
          </w:p>
        </w:tc>
      </w:tr>
      <w:tr>
        <w:tblPrEx>
          <w:tblCellMar>
            <w:top w:w="0" w:type="dxa"/>
            <w:left w:w="108" w:type="dxa"/>
            <w:bottom w:w="0" w:type="dxa"/>
            <w:right w:w="108" w:type="dxa"/>
          </w:tblCellMar>
        </w:tblPrEx>
        <w:trPr>
          <w:trHeight w:val="555" w:hRule="atLeast"/>
        </w:trPr>
        <w:tc>
          <w:tcPr>
            <w:tcW w:w="896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（一）市本级</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数字调音台接口箱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▲一、总体要求：</w:t>
            </w:r>
            <w:r>
              <w:rPr>
                <w:rFonts w:hint="eastAsia" w:ascii="仿宋_GB2312" w:hAnsi="仿宋_GB2312" w:eastAsia="仿宋_GB2312" w:cs="仿宋_GB2312"/>
                <w:color w:val="000000" w:themeColor="text1"/>
                <w14:textFill>
                  <w14:solidFill>
                    <w14:schemeClr w14:val="tx1"/>
                  </w14:solidFill>
                </w14:textFill>
              </w:rPr>
              <w:t>本次采购需兼容原有设备（</w:t>
            </w:r>
            <w:r>
              <w:rPr>
                <w:rFonts w:hint="eastAsia" w:ascii="宋体" w:hAnsi="宋体" w:cs="宋体"/>
                <w:color w:val="000000" w:themeColor="text1"/>
                <w:kern w:val="0"/>
                <w:sz w:val="20"/>
                <w14:textFill>
                  <w14:solidFill>
                    <w14:schemeClr w14:val="tx1"/>
                  </w14:solidFill>
                </w14:textFill>
              </w:rPr>
              <w:t>原</w:t>
            </w:r>
            <w:r>
              <w:rPr>
                <w:rFonts w:hint="eastAsia"/>
                <w:color w:val="000000" w:themeColor="text1"/>
                <w14:textFill>
                  <w14:solidFill>
                    <w14:schemeClr w14:val="tx1"/>
                  </w14:solidFill>
                </w14:textFill>
              </w:rPr>
              <w:t>调音台品牌型号为YAMAHA TF3</w:t>
            </w:r>
            <w:r>
              <w:rPr>
                <w:rFonts w:hint="eastAsia" w:ascii="仿宋_GB2312" w:hAnsi="仿宋_GB2312" w:eastAsia="仿宋_GB2312" w:cs="仿宋_GB2312"/>
                <w:color w:val="000000" w:themeColor="text1"/>
                <w14:textFill>
                  <w14:solidFill>
                    <w14:schemeClr w14:val="tx1"/>
                  </w14:solidFill>
                </w14:textFill>
              </w:rPr>
              <w:t>）：</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1、接口箱：</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≥16个模拟输入，采用经典模拟话放带+48 V 幻象电源；</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≥8 路线路输出；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2、接口卡：</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调音台的Dante网络扩展卡。通过和接口箱连接，可以组成一个多达40路输入和24路输出的多功能接口箱系统。</w:t>
            </w:r>
          </w:p>
        </w:tc>
      </w:tr>
      <w:tr>
        <w:tblPrEx>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分布式输入输出节点</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color w:val="000000"/>
                <w:szCs w:val="21"/>
              </w:rPr>
              <w:t>▲</w:t>
            </w:r>
            <w:r>
              <w:rPr>
                <w:rFonts w:hint="eastAsia" w:ascii="仿宋_GB2312" w:hAnsi="仿宋_GB2312" w:eastAsia="仿宋_GB2312" w:cs="仿宋_GB2312"/>
                <w:b/>
                <w:bCs/>
                <w:color w:val="000000"/>
              </w:rPr>
              <w:t>1、整体要求</w:t>
            </w:r>
            <w:r>
              <w:rPr>
                <w:rFonts w:hint="eastAsia" w:ascii="仿宋_GB2312" w:hAnsi="仿宋_GB2312" w:eastAsia="仿宋_GB2312" w:cs="仿宋_GB2312"/>
                <w:color w:val="000000"/>
              </w:rPr>
              <w:t>：</w:t>
            </w:r>
            <w:r>
              <w:rPr>
                <w:rFonts w:hint="eastAsia" w:ascii="仿宋_GB2312" w:hAnsi="仿宋_GB2312" w:eastAsia="仿宋_GB2312" w:cs="仿宋_GB2312"/>
                <w:color w:val="000000"/>
                <w:szCs w:val="21"/>
              </w:rPr>
              <w:t>必须无缝接入原分布式系统，可获取原分布式输入</w:t>
            </w:r>
            <w:r>
              <w:rPr>
                <w:rFonts w:hint="eastAsia" w:ascii="仿宋_GB2312" w:hAnsi="仿宋_GB2312" w:eastAsia="仿宋_GB2312" w:cs="仿宋_GB2312"/>
                <w:color w:val="000000" w:themeColor="text1"/>
                <w:szCs w:val="21"/>
                <w14:textFill>
                  <w14:solidFill>
                    <w14:schemeClr w14:val="tx1"/>
                  </w14:solidFill>
                </w14:textFill>
              </w:rPr>
              <w:t>输出出节点和本次新配备分布式输入输出节点的音视频信号。</w:t>
            </w:r>
            <w:r>
              <w:rPr>
                <w:rFonts w:hint="eastAsia" w:ascii="仿宋_GB2312" w:hAnsi="仿宋_GB2312" w:eastAsia="仿宋_GB2312" w:cs="仿宋_GB2312"/>
                <w:color w:val="000000" w:themeColor="text1"/>
                <w:kern w:val="0"/>
                <w:sz w:val="20"/>
                <w14:textFill>
                  <w14:solidFill>
                    <w14:schemeClr w14:val="tx1"/>
                  </w14:solidFill>
                </w14:textFill>
              </w:rPr>
              <w:t>分布式输入输出节点各17台。</w:t>
            </w: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r>
              <w:rPr>
                <w:rFonts w:hint="eastAsia" w:ascii="仿宋_GB2312" w:hAnsi="仿宋_GB2312" w:eastAsia="仿宋_GB2312" w:cs="仿宋_GB2312"/>
                <w:b/>
                <w:bCs/>
                <w:color w:val="000000" w:themeColor="text1"/>
                <w14:textFill>
                  <w14:solidFill>
                    <w14:schemeClr w14:val="tx1"/>
                  </w14:solidFill>
                </w14:textFill>
              </w:rPr>
              <w:t>原分布式输入节点设备参数如下：</w:t>
            </w:r>
          </w:p>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①采用无风扇静音设计，嵌入式硬件，具备1路HDMI输入接口、1路HDMI环出接口、1路模拟音频输入接口、1路模拟音频输出接口、1路MIC接口、1路RJ45接口、1路232接口、1路485接口、3路IO/IR 接口、3路RELAY接口、2路USB接口、1路KVM HID接口、1路 SEARCH 复位按键；</w:t>
            </w:r>
          </w:p>
          <w:p>
            <w:pPr>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②支持 4K 分辨率输入，且分</w:t>
            </w:r>
            <w:r>
              <w:rPr>
                <w:rFonts w:hint="eastAsia" w:ascii="仿宋_GB2312" w:hAnsi="仿宋_GB2312" w:eastAsia="仿宋_GB2312" w:cs="仿宋_GB2312"/>
                <w:szCs w:val="21"/>
              </w:rPr>
              <w:t>辨率和帧率自适应向下兼容，确保图像动态细节和流畅性；</w:t>
            </w:r>
          </w:p>
          <w:p>
            <w:pPr>
              <w:rPr>
                <w:rFonts w:ascii="仿宋_GB2312" w:hAnsi="仿宋_GB2312" w:eastAsia="仿宋_GB2312" w:cs="仿宋_GB2312"/>
                <w:szCs w:val="21"/>
              </w:rPr>
            </w:pPr>
            <w:r>
              <w:rPr>
                <w:rFonts w:hint="eastAsia" w:ascii="仿宋_GB2312" w:hAnsi="仿宋_GB2312" w:eastAsia="仿宋_GB2312" w:cs="仿宋_GB2312"/>
                <w:szCs w:val="21"/>
              </w:rPr>
              <w:t>③节点 HDMI 视频接口具备 1 至 7 级可调节伸缩保护卡扣装置；</w:t>
            </w:r>
          </w:p>
          <w:p>
            <w:pPr>
              <w:rPr>
                <w:rFonts w:ascii="仿宋_GB2312" w:hAnsi="仿宋_GB2312" w:eastAsia="仿宋_GB2312" w:cs="仿宋_GB2312"/>
                <w:szCs w:val="21"/>
              </w:rPr>
            </w:pPr>
            <w:r>
              <w:rPr>
                <w:rFonts w:hint="eastAsia" w:ascii="仿宋_GB2312" w:hAnsi="仿宋_GB2312" w:eastAsia="仿宋_GB2312" w:cs="仿宋_GB2312"/>
                <w:szCs w:val="21"/>
              </w:rPr>
              <w:t>④具备 HID 安全认证接口和模块；</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⑤支持帧内编辑，对不重要、不需要的内容进行屏蔽、裁剪，以便重点突出，展示重点内容、图表等；</w:t>
            </w:r>
          </w:p>
          <w:p>
            <w:pP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3、本次新配备的分布式输入节点设备功能要求：</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①≥2路HDMI输入接口，其余接口等于或高于原参数；</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②需采用完全分布式架构，无需配置服务器即可构建无服务器的去中心化分布式音视频综合管控网络，运行中可断开任意分布式节点，系统运行不受影响；</w:t>
            </w:r>
          </w:p>
          <w:p>
            <w:pPr>
              <w:rPr>
                <w:rFonts w:ascii="仿宋_GB2312" w:hAnsi="仿宋_GB2312" w:eastAsia="仿宋_GB2312" w:cs="仿宋_GB2312"/>
                <w:color w:val="000000"/>
                <w:kern w:val="0"/>
                <w:szCs w:val="21"/>
                <w:highlight w:val="lightGray"/>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③需确保系统业务数据安全，接入内网的电脑与接入外部互联网的电脑，在通过 HDMI 连接线及USB连接线都接入节点的情况下，节点只支持键盘鼠标信号传输和视频信号传输，两台电脑之间不会发生数据互通，避免出现内网通过节点连入外部互联网，避免“一机两用”违规；</w:t>
            </w:r>
            <w:r>
              <w:rPr>
                <w:rFonts w:hint="eastAsia" w:ascii="仿宋_GB2312" w:hAnsi="仿宋_GB2312" w:eastAsia="仿宋_GB2312" w:cs="仿宋_GB2312"/>
                <w:color w:val="000000"/>
                <w:kern w:val="0"/>
                <w:szCs w:val="21"/>
              </w:rPr>
              <w:t>(提供权威检测机构检测报告)</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④需支持本地环出，环出信号与输入信号一致；具备接口备份功能的节点，环出自动跟随主备信号切换；</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⑤需具备输入信号丢失检测的功能，便于对输入进行排查、处理；信号恢复正常后有信号正常指示；</w:t>
            </w:r>
          </w:p>
          <w:p>
            <w:pPr>
              <w:rPr>
                <w:rFonts w:ascii="仿宋_GB2312" w:hAnsi="仿宋_GB2312" w:eastAsia="仿宋_GB2312" w:cs="仿宋_GB2312"/>
              </w:rPr>
            </w:pPr>
            <w:r>
              <w:rPr>
                <w:rFonts w:hint="eastAsia" w:ascii="仿宋_GB2312" w:hAnsi="仿宋_GB2312" w:eastAsia="仿宋_GB2312" w:cs="仿宋_GB2312"/>
                <w:color w:val="000000"/>
                <w:szCs w:val="21"/>
              </w:rPr>
              <w:t>⑥支持用户自定义组网密码加密关键信息，以便未经用户授权设备不可并网使用，实现信息安全可靠，加密可支持 AES128，AES256，DES，3DES 等；</w:t>
            </w:r>
          </w:p>
          <w:p>
            <w:pPr>
              <w:widowControl/>
              <w:numPr>
                <w:ilvl w:val="0"/>
                <w:numId w:val="5"/>
              </w:numPr>
              <w:jc w:val="left"/>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rPr>
              <w:t>原分布式输出节点设备参数如下：</w:t>
            </w:r>
          </w:p>
          <w:p>
            <w:pP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①需采用无风扇静音设计，嵌入式硬件，具备≥1路HDMI输出接口、≥1路RJ45接口、≥1路232接口、≥1路IO/IR接口、≥1路SEARCH复位按键；</w:t>
            </w:r>
          </w:p>
          <w:p>
            <w:pPr>
              <w:rPr>
                <w:rFonts w:ascii="仿宋_GB2312" w:hAnsi="仿宋_GB2312" w:eastAsia="仿宋_GB2312" w:cs="仿宋_GB2312"/>
                <w:szCs w:val="21"/>
              </w:rPr>
            </w:pPr>
            <w:r>
              <w:rPr>
                <w:rFonts w:hint="eastAsia" w:ascii="仿宋_GB2312" w:hAnsi="仿宋_GB2312" w:eastAsia="仿宋_GB2312" w:cs="仿宋_GB2312"/>
                <w:color w:val="000000"/>
                <w:szCs w:val="21"/>
              </w:rPr>
              <w:t>②</w:t>
            </w:r>
            <w:r>
              <w:rPr>
                <w:rFonts w:hint="eastAsia" w:ascii="仿宋_GB2312" w:hAnsi="仿宋_GB2312" w:eastAsia="仿宋_GB2312" w:cs="仿宋_GB2312"/>
                <w:color w:val="000000" w:themeColor="text1"/>
                <w:szCs w:val="21"/>
                <w14:textFill>
                  <w14:solidFill>
                    <w14:schemeClr w14:val="tx1"/>
                  </w14:solidFill>
                </w14:textFill>
              </w:rPr>
              <w:t>分辨率最高支持4K分辨率输出，</w:t>
            </w:r>
            <w:r>
              <w:rPr>
                <w:rFonts w:hint="eastAsia" w:ascii="仿宋_GB2312" w:hAnsi="仿宋_GB2312" w:eastAsia="仿宋_GB2312" w:cs="仿宋_GB2312"/>
                <w:szCs w:val="21"/>
              </w:rPr>
              <w:t>且兼容以下分辨率图像输出；</w:t>
            </w:r>
          </w:p>
          <w:p>
            <w:pPr>
              <w:rPr>
                <w:rFonts w:ascii="仿宋_GB2312" w:hAnsi="仿宋_GB2312" w:eastAsia="仿宋_GB2312" w:cs="仿宋_GB2312"/>
                <w:color w:val="000000"/>
                <w:szCs w:val="21"/>
              </w:rPr>
            </w:pPr>
            <w:r>
              <w:rPr>
                <w:rFonts w:hint="eastAsia" w:ascii="仿宋_GB2312" w:hAnsi="仿宋_GB2312" w:eastAsia="仿宋_GB2312" w:cs="仿宋_GB2312"/>
                <w:szCs w:val="21"/>
              </w:rPr>
              <w:t>③节点HDMI视频接口具备1至7级可调节伸缩</w:t>
            </w:r>
            <w:r>
              <w:rPr>
                <w:rFonts w:hint="eastAsia" w:ascii="仿宋_GB2312" w:hAnsi="仿宋_GB2312" w:eastAsia="仿宋_GB2312" w:cs="仿宋_GB2312"/>
                <w:color w:val="000000"/>
                <w:szCs w:val="21"/>
              </w:rPr>
              <w:t>保护卡扣装置；</w:t>
            </w:r>
          </w:p>
          <w:p>
            <w:pPr>
              <w:rPr>
                <w:rFonts w:ascii="仿宋_GB2312" w:hAnsi="仿宋_GB2312" w:eastAsia="仿宋_GB2312" w:cs="仿宋_GB2312"/>
                <w:b/>
                <w:bCs/>
                <w:color w:val="000000"/>
                <w:szCs w:val="21"/>
              </w:rPr>
            </w:pPr>
            <w:r>
              <w:rPr>
                <w:rFonts w:hint="eastAsia" w:ascii="仿宋_GB2312" w:hAnsi="仿宋_GB2312" w:eastAsia="仿宋_GB2312" w:cs="仿宋_GB2312"/>
                <w:color w:val="000000"/>
                <w:szCs w:val="21"/>
              </w:rPr>
              <w:t>④支持操作终端虚拟大屏直接信号切换场景：支持大屏幕上多个小视频开窗和一个主画面之间直接交替切换，而无需删除信号重新拖动信号，提高大屏信号切换速度。用户大屏幕自定义块功能：用户可按照需求自定义屏幕上的屏幕分割块位置和大小，如4-1-4模式，而不是按照预设的2*2,3*3等，实现信号拖放并快速填充块的功能；</w:t>
            </w:r>
          </w:p>
          <w:p>
            <w:pPr>
              <w:widowControl/>
              <w:jc w:val="left"/>
              <w:textAlignment w:val="center"/>
              <w:rPr>
                <w:rFonts w:ascii="仿宋_GB2312" w:hAnsi="仿宋_GB2312" w:eastAsia="仿宋_GB2312" w:cs="仿宋_GB2312"/>
                <w:b/>
                <w:bCs/>
                <w:color w:val="000000"/>
                <w:kern w:val="0"/>
                <w:sz w:val="20"/>
              </w:rPr>
            </w:pPr>
            <w:r>
              <w:rPr>
                <w:rFonts w:hint="eastAsia" w:ascii="仿宋_GB2312" w:hAnsi="仿宋_GB2312" w:eastAsia="仿宋_GB2312" w:cs="仿宋_GB2312"/>
                <w:b/>
                <w:bCs/>
                <w:color w:val="000000"/>
                <w:kern w:val="0"/>
                <w:sz w:val="20"/>
              </w:rPr>
              <w:t>5、本次新配备的分布式输出节点设备功能要求：</w:t>
            </w:r>
          </w:p>
          <w:p>
            <w:pPr>
              <w:rPr>
                <w:rFonts w:ascii="仿宋_GB2312" w:hAnsi="仿宋_GB2312" w:eastAsia="仿宋_GB2312" w:cs="仿宋_GB2312"/>
                <w:b/>
                <w:bCs/>
                <w:color w:val="000000"/>
                <w:szCs w:val="21"/>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①接口部分调整如下：≥1路SFP接口，≥2路IO/IR接口、≥7路USB接口，其余接口等于或高于原参数。（需提供产品高清实物图片）</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②悬浮菜单包含但不限于推送、大屏控制、视频对讲、分屏、U 盘传输、AI 图文识别控制功能；</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③支持智能 OCR 离线识图功能，可对指定画面进行框选后进行文字识别与提取（识别精度≥99%），识别后可自动排列显示，提取/修改文字并实现在物理隔离状态下的主机之间跨屏复制；支持按预定格式填充于文档或表格；</w:t>
            </w:r>
            <w:r>
              <w:rPr>
                <w:rFonts w:hint="eastAsia" w:ascii="仿宋_GB2312" w:hAnsi="仿宋_GB2312" w:eastAsia="仿宋_GB2312" w:cs="仿宋_GB2312"/>
                <w:color w:val="000000"/>
                <w:kern w:val="0"/>
                <w:szCs w:val="21"/>
              </w:rPr>
              <w:t>(提供权威检测机构检测报告)</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④完全分布式架构，无需配置服务器即可构建无服 务器的去中心化分布式音视频综合管控网络，运行中可断开任意分布式节点，系统运行不受影响；</w:t>
            </w:r>
          </w:p>
          <w:p>
            <w:pP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Cs w:val="21"/>
              </w:rPr>
              <w:t>⑤其他：具有IP6X认证，提供相关证书；为确保分布式系统的安全，制造商具有二级或以上的信息系统安全等级保护备案证明</w:t>
            </w:r>
          </w:p>
        </w:tc>
      </w:tr>
      <w:tr>
        <w:tblPrEx>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曲面屏</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1.屏幕尺寸：≧49英寸</w:t>
            </w:r>
          </w:p>
          <w:p>
            <w:pP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2.面板类型 ：VA</w:t>
            </w:r>
          </w:p>
          <w:p>
            <w:pP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3.屏幕曲率：≧1000R</w:t>
            </w:r>
          </w:p>
          <w:p>
            <w:pP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4.屏幕比例：32:9</w:t>
            </w:r>
          </w:p>
          <w:p>
            <w:pP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5.静态对比度（典型值）：≧2500：1(典型值）</w:t>
            </w:r>
          </w:p>
          <w:p>
            <w:pP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6.分辨率：≧5,120 x 1,440</w:t>
            </w:r>
          </w:p>
          <w:p>
            <w:pP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7.刷新率：≧240Hz</w:t>
            </w:r>
          </w:p>
          <w:p>
            <w:pP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8.亮度（典型值）：≧450 cd/㎡</w:t>
            </w:r>
          </w:p>
          <w:p>
            <w:pP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9.响应时间：≦1ms(GTG)</w:t>
            </w:r>
          </w:p>
          <w:p>
            <w:pP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10.可视角度（水平/垂直）：≧178°（H）/178°（V）</w:t>
            </w:r>
          </w:p>
          <w:p>
            <w:pPr>
              <w:rPr>
                <w:rFonts w:ascii="仿宋_GB2312" w:hAnsi="仿宋_GB2312" w:eastAsia="仿宋_GB2312" w:cs="仿宋_GB2312"/>
              </w:rPr>
            </w:pPr>
            <w:r>
              <w:rPr>
                <w:rFonts w:hint="eastAsia" w:ascii="仿宋_GB2312" w:hAnsi="仿宋_GB2312" w:eastAsia="仿宋_GB2312" w:cs="仿宋_GB2312"/>
                <w:color w:val="000000"/>
                <w:kern w:val="0"/>
                <w:sz w:val="20"/>
              </w:rPr>
              <w:t>11.接口：至少1个DP接口，1个HDMI接口，1个USB3.0接口</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服务器机柜</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1.形象：前后网孔门</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2.材质：冷轧钢板</w:t>
            </w:r>
          </w:p>
          <w:p>
            <w:pPr>
              <w:pStyle w:val="2"/>
              <w:ind w:firstLine="0" w:firstLineChars="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3.用料：方孔条</w:t>
            </w:r>
            <w:r>
              <w:rPr>
                <w:rStyle w:val="76"/>
                <w:rFonts w:hint="default" w:ascii="仿宋_GB2312" w:hAnsi="仿宋_GB2312" w:eastAsia="仿宋_GB2312" w:cs="仿宋_GB2312"/>
                <w:color w:val="000000" w:themeColor="text1"/>
                <w14:textFill>
                  <w14:solidFill>
                    <w14:schemeClr w14:val="tx1"/>
                  </w14:solidFill>
                </w14:textFill>
              </w:rPr>
              <w:t>≧2MM；安装梁及连接块≧1.5MM</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4.规格：600*1000*2000MM</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5.颜色：黑色</w:t>
            </w:r>
          </w:p>
          <w:p>
            <w:pPr>
              <w:widowControl/>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6.其他：符合国标</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机柜承重支架</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根据机柜尺寸，按需L40*40*4角钢定制</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机柜专用PDU</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8位16A输入10A新国标输出，带开关，带2米2.5平方线，总功率4000W  水平安装</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管线配套</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机房机柜增加后，柜内配套电力电缆、光缆、网线，配电箱内增加机柜回路空气开关</w:t>
            </w:r>
          </w:p>
        </w:tc>
      </w:tr>
      <w:tr>
        <w:tblPrEx>
          <w:tblCellMar>
            <w:top w:w="0" w:type="dxa"/>
            <w:left w:w="108" w:type="dxa"/>
            <w:bottom w:w="0" w:type="dxa"/>
            <w:right w:w="108" w:type="dxa"/>
          </w:tblCellMar>
        </w:tblPrEx>
        <w:trPr>
          <w:trHeight w:val="135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信创防火墙带路由功能</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1.▲设备最大吞吐量≥63969.691Mbps，HTTP吞吐量≥25 Gbps，IPS吞吐量≥8 Gbps，AV吞吐量≥7 Gbps,最大并发连接数≥2000万，每秒新建连接数≥26.3万</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2.△标准1U机架式专用硬件平台，内置冗余双电源，管理口≥1个，千兆电口≥6个，千兆光口≥4个（含2个千光多模光模块），万兆光口≥8个（含2个万兆多模光模块），内存≥16GB，硬盘≥HDD 1TB，需采用国产化CPU和国产化操作系统;三年防病毒、防攻击、上网行为管理、Web安全防护授权、威胁情报升级服务。</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3.支持路由、网桥、旁路、混合、虚拟线工作模式；部署模式切换无需重启设备支持端口镜像功能，支持入流量、出流量和双向流量等维度镜像。</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4.接口支持配置从属IP地址，每个接口要求支持至少200个second IP。</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5.△支持4G USB插卡接入，实现4G连接，与有线链路之间互为备份；并支持在4G接口上运行IPSec VPN。（需提供功能截图证明）</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支持DDNS功能，支持服务商的域名，将动态获取的IP地址映射为固定的域名。支持静态路由、动态路由、ISP路由；支持基于入接口、源地址、目标地址、用户、服务、应用、时间、域名的策略路由；ISP路由支持地址列表，并支持地址自定义。</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7.支持DNS透明代理，支持指定DNS或继承链路DNS配置，针对多链路支持基于优先级、权重、流量算法进行DNS负载。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8.支持IPv6/v4双栈，支持IPv6安全策略、包括审计策略、NAT策略、流量控制策略、会话控制策略、黑名单、白名单、认证策略等</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9.支持路由模式、透明模式的HA高可靠性部署，可工作于主备、主主模式，会话、用户、配置可实时同步；HA高可靠性部署支持接口联动，链路探测。</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提供智能策略分析功能，支持策略命中分析、隐藏策略分析、冗余策略分析、冲突策略分析、可合并策略分析、过期策略发现、空策略发现、策略宽松度分析，并在Web页面显示分析结果。（需提供功能截图证明）</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11.系统定义超过8000+条主流攻击规则，包含用户提权、任意代码执行、木马、后门、挖矿、Web序列化、Webshell等主流防护类型。并支持在线升级和手动升级</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12.支持HTTP，FTP，POP3，SMTP，IMAP协议的病毒查杀，支持查杀邮件正文/附件、网页及下载文件中包含的病毒，支持400万余种病毒的查杀，并支持在线升级和手动升级病毒库</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13.△支持对最多20级的压缩文件进行解压查杀。（需提供功能截图证明）</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14.支持独立的Web防护模块，提供SQL注入攻击、XSS攻击、恶意扫描与爬虫、服务器防护、CMS漏洞防护等不少于10种的防护类型。</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15.应用特征不少于5000个，移动应用不少于450个。</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16.支持根据标签选择应用，预置标签分类至少包含安全风险、高带宽消耗、降低工作效率等10大类；支持给每个应用自定义标签；支持根据标签选择一类应用做控制。</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17.支持防网络共享行为，针对私接路由器和非法无线热点行为进行识别和阻断。</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18.本地认证、Portal认证、Radius认证、LDAP认证、POP3认证、AD域单点登录、短信认证、微信公众号认证、APP认证、二维码认证、互联网钉钉认证、混合认证和免认证，其中微信公众号认证支持通过小程序获取手机号。</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19.支持通过解析Radius、http流量，获取用户名、IP和MAC信息，实现无认证实名上线。</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20.支持Portal逃生，支持选择不逃生、全部用户逃生和已认证用户逃生等方式；可基于PING、TCP、DNS等方式探测认证服务器。</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21.支持IPSec VPN、SSL VPN、Gre VPN，支持手机、平板电脑等移动终端VPN接入，功能标配，无需增加功能授权即可使用</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22.支持双机热备，支持主主模式、主备模式，支持同步配置、会话、运行状态、VPN状态、特征库，支持配置抢占模式和抢占延时，支持配置HA监控接口</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23.△支持一种基于概率加权路径的防火墙规则引擎时间复杂度评估方法。(提供发明专利或权威检测机构检测报告)</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24.△支持一种低延迟的TCP跨报文防火墙检测方法。(提供发明专利或权威检测机构检测报告)</w:t>
            </w:r>
          </w:p>
          <w:p>
            <w:pPr>
              <w:widowControl/>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25.本设备为软硬一体产品</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bookmarkStart w:id="31" w:name="OLE_LINK1" w:colFirst="2" w:colLast="2"/>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b/>
                <w:bCs/>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在现有370</w:t>
            </w:r>
            <w:r>
              <w:rPr>
                <w:rFonts w:hint="eastAsia" w:ascii="仿宋_GB2312" w:hAnsi="仿宋_GB2312" w:eastAsia="仿宋_GB2312" w:cs="仿宋_GB2312"/>
                <w:color w:val="000000" w:themeColor="text1"/>
                <w:sz w:val="20"/>
                <w14:textFill>
                  <w14:solidFill>
                    <w14:schemeClr w14:val="tx1"/>
                  </w14:solidFill>
                </w14:textFill>
              </w:rPr>
              <w:t>MHz</w:t>
            </w:r>
            <w:r>
              <w:rPr>
                <w:rFonts w:hint="eastAsia" w:ascii="仿宋_GB2312" w:hAnsi="仿宋_GB2312" w:eastAsia="仿宋_GB2312" w:cs="仿宋_GB2312"/>
                <w:color w:val="000000" w:themeColor="text1"/>
                <w:kern w:val="0"/>
                <w:sz w:val="20"/>
                <w:szCs w:val="20"/>
                <w14:textFill>
                  <w14:solidFill>
                    <w14:schemeClr w14:val="tx1"/>
                  </w14:solidFill>
                </w14:textFill>
              </w:rPr>
              <w:t>数字集群一体化基站的基础上，通过天线室内分布，实现信号覆盖，该基站能够通过有线IP方式或 E1方式直接接入舟山市应急管理局现有核心网，现有网管能够查询、配置及修改基站信息。</w:t>
            </w:r>
          </w:p>
          <w:p>
            <w:pPr>
              <w:widowControl/>
              <w:jc w:val="left"/>
              <w:textAlignment w:val="center"/>
              <w:rPr>
                <w:rFonts w:ascii="仿宋_GB2312" w:hAnsi="仿宋_GB2312" w:eastAsia="仿宋_GB2312" w:cs="仿宋_GB2312"/>
                <w:b/>
                <w:bCs/>
                <w:sz w:val="20"/>
              </w:rPr>
            </w:pPr>
            <w:r>
              <w:rPr>
                <w:rFonts w:hint="eastAsia" w:ascii="仿宋_GB2312" w:hAnsi="仿宋_GB2312" w:eastAsia="仿宋_GB2312" w:cs="仿宋_GB2312"/>
                <w:b/>
                <w:bCs/>
                <w:color w:val="000000"/>
                <w:kern w:val="0"/>
                <w:sz w:val="20"/>
              </w:rPr>
              <w:t>技术参数：</w:t>
            </w:r>
          </w:p>
          <w:p>
            <w:pPr>
              <w:widowControl/>
              <w:jc w:val="left"/>
              <w:textAlignment w:val="center"/>
              <w:rPr>
                <w:rFonts w:ascii="仿宋_GB2312" w:hAnsi="仿宋_GB2312" w:eastAsia="仿宋_GB2312" w:cs="仿宋_GB2312"/>
                <w:b/>
                <w:bCs/>
                <w:sz w:val="20"/>
              </w:rPr>
            </w:pPr>
            <w:r>
              <w:rPr>
                <w:rFonts w:hint="eastAsia" w:ascii="仿宋_GB2312" w:hAnsi="仿宋_GB2312" w:eastAsia="仿宋_GB2312" w:cs="仿宋_GB2312"/>
                <w:b/>
                <w:bCs/>
                <w:sz w:val="20"/>
              </w:rPr>
              <w:t>下行链路：</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 xml:space="preserve">频率范围 360 ～ 366MHz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输入强度-95 ～ -45dBm</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增益 ≥70dB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输出功率 30（±3）dBm</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噪声系数 ≤3dB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上行链路：</w:t>
            </w:r>
            <w:r>
              <w:rPr>
                <w:rFonts w:hint="eastAsia" w:ascii="仿宋_GB2312" w:hAnsi="仿宋_GB2312" w:eastAsia="仿宋_GB2312" w:cs="仿宋_GB2312"/>
                <w:sz w:val="20"/>
              </w:rPr>
              <w:t xml:space="preserve">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 xml:space="preserve">频率范围350 ～ 356MHz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 xml:space="preserve">输入强度-100 ～ -65dBm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增益 ≥70dB</w:t>
            </w:r>
          </w:p>
          <w:p>
            <w:pPr>
              <w:pStyle w:val="2"/>
              <w:ind w:firstLine="380"/>
              <w:rPr>
                <w:rFonts w:ascii="仿宋_GB2312" w:hAnsi="仿宋_GB2312" w:eastAsia="仿宋_GB2312" w:cs="仿宋_GB2312"/>
                <w:sz w:val="20"/>
              </w:rPr>
            </w:pPr>
            <w:r>
              <w:rPr>
                <w:rFonts w:hint="eastAsia" w:ascii="仿宋_GB2312" w:hAnsi="仿宋_GB2312" w:eastAsia="仿宋_GB2312" w:cs="仿宋_GB2312"/>
                <w:sz w:val="20"/>
              </w:rPr>
              <w:t xml:space="preserve">输出功率20（±3）dBm </w:t>
            </w:r>
          </w:p>
          <w:p>
            <w:pPr>
              <w:rPr>
                <w:rFonts w:ascii="仿宋_GB2312" w:hAnsi="仿宋_GB2312" w:eastAsia="仿宋_GB2312" w:cs="仿宋_GB2312"/>
                <w:sz w:val="20"/>
              </w:rPr>
            </w:pPr>
            <w:r>
              <w:rPr>
                <w:rFonts w:hint="eastAsia" w:ascii="仿宋_GB2312" w:hAnsi="仿宋_GB2312" w:eastAsia="仿宋_GB2312" w:cs="仿宋_GB2312"/>
                <w:sz w:val="20"/>
              </w:rPr>
              <w:t>噪声系数 ≤5dB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衰减范围</w:t>
            </w:r>
            <w:r>
              <w:rPr>
                <w:rFonts w:hint="eastAsia" w:ascii="仿宋_GB2312" w:hAnsi="仿宋_GB2312" w:eastAsia="仿宋_GB2312" w:cs="仿宋_GB2312"/>
                <w:sz w:val="20"/>
              </w:rPr>
              <w:t xml:space="preserve"> ≥30dB（增益调节步长1dB） </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带内波动</w:t>
            </w:r>
            <w:r>
              <w:rPr>
                <w:rFonts w:hint="eastAsia" w:ascii="仿宋_GB2312" w:hAnsi="仿宋_GB2312" w:eastAsia="仿宋_GB2312" w:cs="仿宋_GB2312"/>
                <w:sz w:val="20"/>
              </w:rPr>
              <w:t xml:space="preserve"> ≤3dB</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b/>
                <w:bCs/>
                <w:sz w:val="20"/>
              </w:rPr>
              <w:t>互调衰减</w:t>
            </w:r>
            <w:r>
              <w:rPr>
                <w:rFonts w:hint="eastAsia" w:ascii="仿宋_GB2312" w:hAnsi="仿宋_GB2312" w:eastAsia="仿宋_GB2312" w:cs="仿宋_GB2312"/>
                <w:sz w:val="20"/>
              </w:rPr>
              <w:t>≤-50dBc @30kHz</w:t>
            </w:r>
          </w:p>
          <w:p>
            <w:pPr>
              <w:widowControl/>
              <w:jc w:val="left"/>
              <w:textAlignment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输入输出阻抗</w:t>
            </w:r>
            <w:r>
              <w:rPr>
                <w:rFonts w:hint="eastAsia" w:ascii="仿宋_GB2312" w:hAnsi="仿宋_GB2312" w:eastAsia="仿宋_GB2312" w:cs="仿宋_GB2312"/>
                <w:b w:val="0"/>
                <w:bCs w:val="0"/>
                <w:sz w:val="20"/>
              </w:rPr>
              <w:t>50Ω</w:t>
            </w:r>
          </w:p>
          <w:p>
            <w:pPr>
              <w:widowControl/>
              <w:jc w:val="left"/>
              <w:textAlignment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波比</w:t>
            </w:r>
            <w:r>
              <w:rPr>
                <w:rFonts w:hint="eastAsia" w:ascii="仿宋_GB2312" w:hAnsi="仿宋_GB2312" w:eastAsia="仿宋_GB2312" w:cs="仿宋_GB2312"/>
                <w:b w:val="0"/>
                <w:bCs w:val="0"/>
                <w:sz w:val="20"/>
              </w:rPr>
              <w:t>VSWR≤1.4(V.S.W.R)</w:t>
            </w:r>
          </w:p>
          <w:p>
            <w:pPr>
              <w:widowControl/>
              <w:jc w:val="left"/>
              <w:textAlignment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防护等级</w:t>
            </w:r>
            <w:r>
              <w:rPr>
                <w:rFonts w:hint="eastAsia" w:ascii="仿宋_GB2312" w:hAnsi="仿宋_GB2312" w:eastAsia="仿宋_GB2312" w:cs="仿宋_GB2312"/>
                <w:b w:val="0"/>
                <w:bCs w:val="0"/>
                <w:sz w:val="20"/>
              </w:rPr>
              <w:t xml:space="preserve"> IP55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技术指标</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 信号覆盖电平：95%覆盖区域信号强度不低于-85dBm，覆盖区边沿信号强度不低于-90dBm。</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2）外泄电平：在室外10米处应满足信号强度≤－95dBm或室内分布外泄的信号强度比室外宏站最强信号强度低10dB。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3）无线可通率：手持台在无线覆盖区内98%的位置，99%的时间可接入网络。</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4）覆盖区与周围各小区之间有良好的切换。</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5）呼叫建立成功率：通常情况下，要求大于95%。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6）掉话率：通常情况下，要求小于1%。</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7）拥塞率：通常情况下，要求小于2%。</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频率范围-MHz：370Mhz：</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增    益-dBi：3.0：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驻 波 比：≤1.5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垂直面波瓣宽度-°：55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水平半功率角-°（定向吸顶天线）：120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输入阻抗-Ω：50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极化方式：垂直</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最大功率-W：100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接头位置：底部引出电缆</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接头型号：N-K</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尺    寸-mm：φ170×90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辐射振子材料：铜镀银</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反射体材料：不锈钢</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天线罩材料：防紫外线ABS</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类型：-10dB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xml:space="preserve">插入损耗：≤0.15dB  </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分配损耗：0.45dB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端口隔离度：≥20dB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耦合度：10±0.5dB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工作频段：370MHz</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特征阻抗：50Ω</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驻波比：≤1.3</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功率容量：200W</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接头形式：N-K（镀银）</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工作温度：-30～+65℃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尺寸：58×29×21mm(不含接头部分)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外观：表面拉丝，外观整洁，无明显的划伤和划痕，连接处无明显的裂缝</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类型：-6dB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 xml:space="preserve">插入损耗：≤0.15dB  </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分配损耗：1.25dB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端口隔离度：≥20dB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耦合度：6±0.5dB</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工作频段：370MHz</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特征阻抗：50Ω</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驻波比：≤1.3</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功率容量：200W</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接头形式：N-K（镀银）</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工作温度：-30～+65℃</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尺寸：58×29×21mm(不含接头部分)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外观：表面拉丝，外观整洁，无明显的划伤和划痕，连接处无明显的裂缝</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 N型Male</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内导体半径：4.83</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外导体半径：13.80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绝缘套半径：12.30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特性阻抗 (欧姆)：50+1</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工作频率上限 (GHz)：8.0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一次最小弯曲半径 (mm)：70</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损耗(dB/100m)350MHz：4</w:t>
            </w:r>
          </w:p>
          <w:p>
            <w:pPr>
              <w:widowControl/>
              <w:jc w:val="left"/>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工作温度：&lt;400C</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是否有阻燃功能：是</w:t>
            </w:r>
          </w:p>
        </w:tc>
      </w:tr>
      <w:bookmarkEnd w:id="31"/>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抬头屏</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1.规格为P3.75,像素点间距≤4.75mm</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2.单元板分辨率≥2048Dots</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3.刷新率≥960Hz</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4.像素构成：1R、1G</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5.驱动方式：恒流驱动</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6.控制方式：同步控制系统、异步控制系统</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7.维护方式：前后双向维护</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8.白平衡亮度≥550Cd/m²；亮度调节：0-100%亮度可调，屏幕亮度具有随环境照度的变化任意调整功能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9.亮度均匀性≥98%</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10.水平视角≥160°，垂直视角≥160°</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11.对比度≥6500：1</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12.灰度等级≥8bit</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13.含边框，支架及发送卡等，尺寸3.648*0.304米</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shd w:val="clear" w:color="auto" w:fill="FFFFFF"/>
            <w:vAlign w:val="center"/>
          </w:tcPr>
          <w:p>
            <w:pPr>
              <w:widowControl/>
              <w:jc w:val="left"/>
              <w:textAlignment w:val="center"/>
              <w:rPr>
                <w:rFonts w:ascii="仿宋_GB2312" w:hAnsi="仿宋_GB2312" w:eastAsia="仿宋_GB2312" w:cs="仿宋_GB2312"/>
                <w:b/>
                <w:bCs/>
                <w:color w:val="000000" w:themeColor="text1"/>
                <w:sz w:val="20"/>
                <w14:textFill>
                  <w14:solidFill>
                    <w14:schemeClr w14:val="tx1"/>
                  </w14:solidFill>
                </w14:textFill>
              </w:rPr>
            </w:pPr>
            <w:r>
              <w:rPr>
                <w:rFonts w:hint="eastAsia" w:ascii="仿宋_GB2312" w:hAnsi="仿宋_GB2312" w:eastAsia="仿宋_GB2312" w:cs="仿宋_GB2312"/>
                <w:b/>
                <w:bCs/>
                <w:color w:val="000000" w:themeColor="text1"/>
                <w:kern w:val="0"/>
                <w:sz w:val="20"/>
                <w14:textFill>
                  <w14:solidFill>
                    <w14:schemeClr w14:val="tx1"/>
                  </w14:solidFill>
                </w14:textFill>
              </w:rPr>
              <w:t>（二）普朱管委会</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Style w:val="78"/>
                <w:rFonts w:hint="default" w:ascii="仿宋_GB2312" w:hAnsi="仿宋_GB2312" w:eastAsia="仿宋_GB2312" w:cs="仿宋_GB2312"/>
              </w:rPr>
              <w:t>SDWAN网关（边界侧）</w:t>
            </w:r>
          </w:p>
        </w:tc>
        <w:tc>
          <w:tcPr>
            <w:tcW w:w="6101"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参见安全设备中</w:t>
            </w:r>
            <w:r>
              <w:rPr>
                <w:rStyle w:val="78"/>
                <w:rFonts w:hint="default" w:ascii="仿宋_GB2312" w:hAnsi="仿宋_GB2312" w:eastAsia="仿宋_GB2312" w:cs="仿宋_GB2312"/>
                <w:color w:val="000000" w:themeColor="text1"/>
                <w14:textFill>
                  <w14:solidFill>
                    <w14:schemeClr w14:val="tx1"/>
                  </w14:solidFill>
                </w14:textFill>
              </w:rPr>
              <w:t>SDWAN网关（边界侧）</w:t>
            </w:r>
            <w:r>
              <w:rPr>
                <w:rStyle w:val="78"/>
                <w:rFonts w:ascii="仿宋_GB2312" w:hAnsi="仿宋_GB2312" w:eastAsia="仿宋_GB2312" w:cs="仿宋_GB2312"/>
                <w:color w:val="000000" w:themeColor="text1"/>
                <w14:textFill>
                  <w14:solidFill>
                    <w14:schemeClr w14:val="tx1"/>
                  </w14:solidFill>
                </w14:textFill>
              </w:rPr>
              <w:t>相关参数要求</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（三）普陀区</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P1.2全彩屏</w:t>
            </w:r>
          </w:p>
        </w:tc>
        <w:tc>
          <w:tcPr>
            <w:tcW w:w="6101"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1.▲显示屏类型：LED类型采用全倒装COB，晶圆倒置封装，无引线焊接工艺，像素构成1R1G1B，点间距≤1.25mm</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2.</w:t>
            </w:r>
            <w:r>
              <w:rPr>
                <w:rFonts w:hint="eastAsia" w:ascii="仿宋_GB2312" w:hAnsi="仿宋_GB2312" w:eastAsia="仿宋_GB2312" w:cs="仿宋_GB2312"/>
                <w:color w:val="000000" w:themeColor="text1"/>
                <w:kern w:val="0"/>
                <w:sz w:val="20"/>
                <w14:textFill>
                  <w14:solidFill>
                    <w14:schemeClr w14:val="tx1"/>
                  </w14:solidFill>
                </w14:textFill>
              </w:rPr>
              <w:t>△</w:t>
            </w:r>
            <w:r>
              <w:rPr>
                <w:rFonts w:hint="eastAsia" w:ascii="仿宋_GB2312" w:hAnsi="仿宋_GB2312" w:eastAsia="仿宋_GB2312" w:cs="仿宋_GB2312"/>
                <w:color w:val="000000" w:themeColor="text1"/>
                <w:sz w:val="20"/>
                <w14:textFill>
                  <w14:solidFill>
                    <w14:schemeClr w14:val="tx1"/>
                  </w14:solidFill>
                </w14:textFill>
              </w:rPr>
              <w:t>整屏尺寸：宽≥6米，高≥3.375 米，面积≥20.25平方米，分辨率≥4800x2700；</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3.</w:t>
            </w:r>
            <w:r>
              <w:rPr>
                <w:rFonts w:hint="eastAsia" w:ascii="仿宋_GB2312" w:hAnsi="仿宋_GB2312" w:eastAsia="仿宋_GB2312" w:cs="仿宋_GB2312"/>
                <w:color w:val="000000" w:themeColor="text1"/>
                <w:kern w:val="0"/>
                <w:sz w:val="20"/>
                <w14:textFill>
                  <w14:solidFill>
                    <w14:schemeClr w14:val="tx1"/>
                  </w14:solidFill>
                </w14:textFill>
              </w:rPr>
              <w:t>△</w:t>
            </w:r>
            <w:r>
              <w:rPr>
                <w:rFonts w:hint="eastAsia" w:ascii="仿宋_GB2312" w:hAnsi="仿宋_GB2312" w:eastAsia="仿宋_GB2312" w:cs="仿宋_GB2312"/>
                <w:color w:val="000000" w:themeColor="text1"/>
                <w:sz w:val="20"/>
                <w14:textFill>
                  <w14:solidFill>
                    <w14:schemeClr w14:val="tx1"/>
                  </w14:solidFill>
                </w14:textFill>
              </w:rPr>
              <w:t>显示单元标准27吋，16:9显示满足FHD、4K、8K点对点播放；显示单元厚度≤40mm，显示单元重量≤4kg；产品设计采用封闭式压铸铝箱，箱体和电源无风扇，密封防尘、静音设计；电源、HUB、接收卡三合一集成，减少线材，故障率低，方便维护；电源线支持快速拔插，拼接后整体美观，高度一体化(提供权威检测机构检测报告)。</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4.</w:t>
            </w:r>
            <w:r>
              <w:rPr>
                <w:rFonts w:hint="eastAsia" w:ascii="仿宋_GB2312" w:hAnsi="仿宋_GB2312" w:eastAsia="仿宋_GB2312" w:cs="仿宋_GB2312"/>
                <w:color w:val="000000" w:themeColor="text1"/>
                <w:kern w:val="0"/>
                <w:sz w:val="20"/>
                <w14:textFill>
                  <w14:solidFill>
                    <w14:schemeClr w14:val="tx1"/>
                  </w14:solidFill>
                </w14:textFill>
              </w:rPr>
              <w:t>△</w:t>
            </w:r>
            <w:r>
              <w:rPr>
                <w:rFonts w:hint="eastAsia" w:ascii="仿宋_GB2312" w:hAnsi="仿宋_GB2312" w:eastAsia="仿宋_GB2312" w:cs="仿宋_GB2312"/>
                <w:color w:val="000000" w:themeColor="text1"/>
                <w:sz w:val="20"/>
                <w14:textFill>
                  <w14:solidFill>
                    <w14:schemeClr w14:val="tx1"/>
                  </w14:solidFill>
                </w14:textFill>
              </w:rPr>
              <w:t>箱体内部采用双重辅助连接片设计，可正面调节平整度，可实现快速定位安装；支持模组、电源三合一板均前维护方式；支持热插拔、支持不关屏热拔抢修维护功能；模块支持X/Y/Z方向调节，模组和箱体间采用浮动式连接件设计，可精准调节平整度(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5.</w:t>
            </w: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 w:val="20"/>
              </w:rPr>
              <w:t>采用微米级四层集成式封装面板，屏体表面采用高分子材料超黑涂层，全哑光设计，一致性好，拼装无模块化现象，反光率≤1%，屏体表面黑度≥40%，屏体正面反射比≤6.5%；为防止刮蹭伤害屏幕，LED表面具备的硬度等级≥HRC8级(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6.</w:t>
            </w: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 w:val="20"/>
              </w:rPr>
              <w:t>最高对比度≥15000:1；白平衡亮度≥600nit；可视角度：水平≥175°，垂直≥175°；刷新率≥3840Hz；采用PWM高清高阶驱动芯片，倍频刷新率提升2/4/8倍，具有黑屏节能、动态节能、低转折电压节能(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7.亮度均匀性≥99%；色度均匀性：在±0.001 Cx,Cy之内；色准：ΔE≤0.5；色域覆盖率：≥110% NTSC；色域重合度＞95%（BT.709）；像素中心距偏差≤1%，相对错位偏差≤1%，LED像素失控率≤1/1500000；灰度等级：16bit，且100%亮度时，16bit 灰度；70%亮度，16bit 灰度；50%亮度，16bit灰度；20%亮度，15bit 灰度，显示画面无单列或单行像素失控现象。</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8.</w:t>
            </w:r>
            <w:r>
              <w:rPr>
                <w:rFonts w:hint="eastAsia" w:ascii="仿宋_GB2312" w:hAnsi="仿宋_GB2312" w:eastAsia="仿宋_GB2312" w:cs="仿宋_GB2312"/>
                <w:color w:val="000000"/>
                <w:kern w:val="0"/>
                <w:sz w:val="20"/>
              </w:rPr>
              <w:t>△</w:t>
            </w:r>
            <w:r>
              <w:rPr>
                <w:rFonts w:hint="eastAsia" w:ascii="仿宋_GB2312" w:hAnsi="仿宋_GB2312" w:eastAsia="仿宋_GB2312" w:cs="仿宋_GB2312"/>
                <w:color w:val="000000"/>
                <w:sz w:val="20"/>
              </w:rPr>
              <w:t>电源带PFC高功率因数：采用AC100-240V宽电压，功率因数≥0.95，转换效率≥84%；峰值功耗：≤350W/㎡，具有三重节能技术（IC节能、倒装节能、低电压供电节能），600nit全白条件下单箱功耗≤56W/箱(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9.箱体平整度和间隙≤0.1mm；模组平整度和间隙≤0.05mm；</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10.基色主波长误差为C级ΔλD≤5，亮度误差值在3%，灯芯的波长误差值在±1nm之内；白场色坐标符合SJ/T11141-2017 5.10.5规定范围；</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11.PCB采用FR-4材质，厚度＞2.0mm，灯驱合一，焊盘采用沉金工艺处理。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12.单元模组全部采用高分子电容做滤波设计，模组采用磁吸固定方式，模组无底壳；支持单个模组设置衰减系数，维修更换后模组间无色差；</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13.软件具有调节亮暗线功能：暗线修复、隐亮消除；支持低灰偏色补偿、亮度缓慢变亮；具备坏点、失控点侦测功能；采用消隐电路设计，无“毛毛虫”、“鬼影”现象；支持抑制摩尔纹功能，减轻摩尔纹视觉主观效果90%，支持高清拍摄</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14.自动Gamma校正技术，1024级γ自动校正，画面延迟≤2ms；</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15.防护等级：IP54；</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16.显示屏具有多点测温系统；可实时监控显示屏、接收卡、发送卡、模组、工作电压、温度，具有过温或故障报警功能，发生故障立即发消息到指定邮箱，及时处理。</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17.100%亮度时，环境温度26℃，产品运行2小时候后，灯板表面温度不超过45℃；100%亮度时，环境温度41℃，产品运行2小时候后，灯板表面温度不超过60℃，产品在运行过程中整个屏体表面温度在合格范围内；</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仿宋_GB2312" w:hAnsi="仿宋_GB2312" w:eastAsia="仿宋_GB2312" w:cs="仿宋_GB2312"/>
                <w:color w:val="000000"/>
                <w:kern w:val="0"/>
                <w:sz w:val="20"/>
              </w:rPr>
            </w:pPr>
          </w:p>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独立主控</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1.一路DVI视频输入；</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2.一路音频输入；</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3.四个网口输出或四路光纤输出；</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4.RS232接口控制，可级联多台进行统一控制；</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5.最大带载分辨率2048×1152或1920×1200;</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6.△为保证系统兼容性，与LED显示屏同一品牌，提供CCC证书加盖投标人公章。</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拼接处理器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kern w:val="0"/>
                <w:sz w:val="20"/>
              </w:rPr>
              <w:t>1.△主动立体信号</w:t>
            </w:r>
            <w:r>
              <w:rPr>
                <w:rFonts w:hint="eastAsia" w:ascii="仿宋_GB2312" w:hAnsi="仿宋_GB2312" w:eastAsia="仿宋_GB2312" w:cs="仿宋_GB2312"/>
                <w:kern w:val="0"/>
                <w:sz w:val="20"/>
              </w:rPr>
              <w:t>：</w:t>
            </w:r>
            <w:r>
              <w:rPr>
                <w:rFonts w:hint="eastAsia" w:ascii="仿宋_GB2312" w:hAnsi="仿宋_GB2312" w:eastAsia="仿宋_GB2312" w:cs="仿宋_GB2312"/>
                <w:color w:val="000000" w:themeColor="text1"/>
                <w:kern w:val="0"/>
                <w:sz w:val="20"/>
                <w14:textFill>
                  <w14:solidFill>
                    <w14:schemeClr w14:val="tx1"/>
                  </w14:solidFill>
                </w14:textFill>
              </w:rPr>
              <w:t>支持左右眼3D拼接模式，120HZ输入输出3D拼接模式，支持裸眼3D，内部锁定帧同步，3D分割融合完全无缝。通过软件实现2D模式与3D模式一键切换场景；(提供权威检测机构检测报告)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color w:val="000000" w:themeColor="text1"/>
                <w:kern w:val="0"/>
                <w:sz w:val="20"/>
                <w14:textFill>
                  <w14:solidFill>
                    <w14:schemeClr w14:val="tx1"/>
                  </w14:solidFill>
                </w14:textFill>
              </w:rPr>
              <w:t>2.立体声道Dante音频：采用专业级AES67&amp;Dante音频技术，单网口就可实现32路共64通道音量的实时监测，当HDMI和SDI输入内嵌音频时，音频的音量、频率和幅度将同步</w:t>
            </w:r>
            <w:r>
              <w:rPr>
                <w:rFonts w:hint="eastAsia" w:ascii="仿宋_GB2312" w:hAnsi="仿宋_GB2312" w:eastAsia="仿宋_GB2312" w:cs="仿宋_GB2312"/>
                <w:kern w:val="0"/>
                <w:sz w:val="20"/>
              </w:rPr>
              <w:t>呈现至音柱上；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同步锁定Genlock：同步锁定Genlock，通过遍布内部显示系统的全局时钟，保证不论是输入，还是信号矩阵和传输，乃至输出的各个信号始终保持每一帧的一致性和同步处理，实现所有显示系统跟随同步信号的完全同步，Genlock可选Y/Z/HS/VS同步锁定；</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kern w:val="0"/>
                <w:sz w:val="20"/>
              </w:rPr>
              <w:t>4.高传输速率</w:t>
            </w:r>
            <w:r>
              <w:rPr>
                <w:rFonts w:hint="eastAsia" w:ascii="仿宋_GB2312" w:hAnsi="仿宋_GB2312" w:eastAsia="仿宋_GB2312" w:cs="仿宋_GB2312"/>
                <w:color w:val="000000" w:themeColor="text1"/>
                <w:kern w:val="0"/>
                <w:sz w:val="20"/>
                <w14:textFill>
                  <w14:solidFill>
                    <w14:schemeClr w14:val="tx1"/>
                  </w14:solidFill>
                </w14:textFill>
              </w:rPr>
              <w:t>：单通道最大传输速率为6.5Gbps的FPGA进行输入与输出板卡间信号无损传输，输入输出接口支持12bit，RGB 4:4:4传输；</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5.设备性能测试依据：设备整机性能测试符合GY/T 253-2011 《数字切换矩阵技术要求和测量方法》；</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备份安全：整体解决方案配套独立主备切换设备，构成视频信号备份以及传输系统，无需运维人员干预，备用链路自动接管，系统链路瞬时切换。独立主备切换设备采用信号快速自动识别技术、高速物理切换技术，实现断电直通的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7.隔行信号输出：设备支持I制的输入去隔行运动补偿处理，以及所有输出接口支持I制的隔行信号输出；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color w:val="000000" w:themeColor="text1"/>
                <w:kern w:val="0"/>
                <w:sz w:val="20"/>
                <w14:textFill>
                  <w14:solidFill>
                    <w14:schemeClr w14:val="tx1"/>
                  </w14:solidFill>
                </w14:textFill>
              </w:rPr>
              <w:t>8.超高清输入输出：支持HDMI 2.0及Displayport 1.2 4K@60Hz超高清输入输出，单接口实现对4</w:t>
            </w:r>
            <w:r>
              <w:rPr>
                <w:rFonts w:hint="eastAsia" w:ascii="仿宋_GB2312" w:hAnsi="仿宋_GB2312" w:eastAsia="仿宋_GB2312" w:cs="仿宋_GB2312"/>
                <w:kern w:val="0"/>
                <w:sz w:val="20"/>
              </w:rPr>
              <w:t>096x2160@60Hz或7680x1080@60Hz信号的支持，且支持HDCP 2.2标准，HDMI 2.0和Displayport 1.2输入输出接口均支持输入分辨率自定义点对点输入能力，单板卡支持50Gbps带宽可支持2路4096x2160@60Hz同时输入或输出使用，实现一卡2路处理。</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9.设备跨口：设备跨口不消耗额外图层，单口最大可支持8或16画面任意漫游显示；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10.△双字幕功能：单口可实现两组不同的滚动字幕，可以实现对联字幕效果，更符合客户的字幕灵活应用；(提供权威检测机构检测报告)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11.△双网段隔离技术：为实现远端能够监看到现场的画面，并保障输入信号不论隔行还是逐行信号，画面清晰、顺畅不撕裂，采用FPGA的多画面预监技术，利用H.265编码实现软件远端可视化控制功能。此外，针对本地控制网段会有安全限制的问题，采用双网口设计，双网口隔离技术可以实现远端网络与本地网络的隔离，采用两组不同的网段对设备进行控制，以确保本地网络安全，两个网口可支持互相备份，实现双通讯备份；(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12.设备响应时间：设备内部采用FPGA架构，设备画面切换时间≤20MS，设备从上电至完全启动10S以内；</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13.△独创输出槽位双兼容设计：设备采用独创输出槽位双兼容设计，所有输入卡可混插到输入和输出槽位，增加用户选择灵活度；(提供权威检测机构检测报告)</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14.本次项目要求不少于4路HDMI 1.3输入,12路HDMI1.3输出；</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15.所投产品须通过CCC强制认证，提供CCC证书。</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安装钢结构及包边</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同（二）普朱管委会序号3参数一致</w:t>
            </w:r>
          </w:p>
        </w:tc>
      </w:tr>
      <w:tr>
        <w:tblPrEx>
          <w:tblCellMar>
            <w:top w:w="0" w:type="dxa"/>
            <w:left w:w="108" w:type="dxa"/>
            <w:bottom w:w="0" w:type="dxa"/>
            <w:right w:w="108" w:type="dxa"/>
          </w:tblCellMar>
        </w:tblPrEx>
        <w:trPr>
          <w:trHeight w:val="30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1.功率≥20kw；</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2.具备防雷、过压、过流、欠压、短路、断路以及漏电保护措施；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3.具有漏电保护开关、空气开关、熔断器、延时启动接触器、电源防雷器等；</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4.配电柜门上具有配备各支路手动开关和状态指示灯等；</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5.配电系统具有电源监视，温度，烟雾监控报警功能；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6.支持网络及串口控制，可通过PLC实现远程开关控制。</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7.采用分步顺序启动；</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8.支持定时控制功能；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w:t>
            </w:r>
            <w:r>
              <w:rPr>
                <w:rFonts w:hint="eastAsia" w:ascii="仿宋_GB2312" w:hAnsi="仿宋_GB2312" w:eastAsia="仿宋_GB2312" w:cs="仿宋_GB2312"/>
                <w:kern w:val="0"/>
                <w:sz w:val="20"/>
              </w:rPr>
              <w:t>△</w:t>
            </w:r>
            <w:r>
              <w:rPr>
                <w:rFonts w:hint="eastAsia" w:ascii="仿宋_GB2312" w:hAnsi="仿宋_GB2312" w:eastAsia="仿宋_GB2312" w:cs="仿宋_GB2312"/>
                <w:color w:val="000000" w:themeColor="text1"/>
                <w:kern w:val="0"/>
                <w:sz w:val="20"/>
                <w14:textFill>
                  <w14:solidFill>
                    <w14:schemeClr w14:val="tx1"/>
                  </w14:solidFill>
                </w14:textFill>
              </w:rPr>
              <w:t>提供智能配电箱控制软件证书</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10.提供PLC控制软件证书</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11.为保证产品稳定性，需与LED显示屏为同一品牌，提供CQC认证证书。</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机柜</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1.材质：冷轧钢板</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2.规格：600*600*2000MM</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3.颜色：黑色</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4.其他：符合国标</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主音箱</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1．阻抗≤8Ω</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2．频响等同或优于45Hz-20KHz</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3．额定功率≥400W</w:t>
            </w:r>
          </w:p>
          <w:p>
            <w:pPr>
              <w:pStyle w:val="1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 峰值功率：</w:t>
            </w:r>
            <w:r>
              <w:rPr>
                <w:rFonts w:hint="eastAsia" w:ascii="仿宋_GB2312" w:hAnsi="仿宋_GB2312" w:eastAsia="仿宋_GB2312" w:cs="仿宋_GB2312"/>
                <w:color w:val="000000" w:themeColor="text1"/>
                <w:kern w:val="0"/>
                <w:sz w:val="20"/>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1600W；</w:t>
            </w:r>
          </w:p>
          <w:p>
            <w:pPr>
              <w:pStyle w:val="1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 最大声压级（额定/峰值）：125dB/131dB；</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6．灵敏度≥99dB/W/M</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7．水平覆盖角≥90°，垂直覆盖角≥80°</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8．高音≥1.7"压缩高音单元×1；低音：12"低音×1</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9、含音箱支架</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主音箱功放</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1.1U机箱设计，采用D类数字功放设计。</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2.标准XLR输入接口，和LINK输出口。</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3.电源采用开关电源技术。</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4.内置智能削峰限幅器，支持开机软启动。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5.具有：过压保护，欠压保护，过流保护，直流保护，输出短路保护，温控风扇等功能。</w:t>
            </w:r>
          </w:p>
          <w:p>
            <w:pPr>
              <w:widowControl/>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6.输出功率：立体声@8Ω：≥700W×2；立体声@4Ω：≥1000W×2；桥接@16Ω：≥1400W；桥接@8Ω：≥2000W</w:t>
            </w:r>
          </w:p>
          <w:p>
            <w:pPr>
              <w:pStyle w:val="1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7.输入灵敏度：2.2dBu(1V)/8.2dBu(2V)；</w:t>
            </w:r>
          </w:p>
          <w:p>
            <w:pPr>
              <w:pStyle w:val="1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8.输入阻抗：10KΩ ；</w:t>
            </w:r>
          </w:p>
          <w:p>
            <w:pPr>
              <w:pStyle w:val="1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9.频率响应(@1W功率下)：20Hz-20KHz/±1dB @8Ω；</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音频处理器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themeColor="text1"/>
                <w:kern w:val="0"/>
                <w:sz w:val="20"/>
                <w14:textFill>
                  <w14:solidFill>
                    <w14:schemeClr w14:val="tx1"/>
                  </w14:solidFill>
                </w14:textFill>
              </w:rPr>
            </w:pPr>
            <w:r>
              <w:rPr>
                <w:rFonts w:hint="eastAsia" w:ascii="仿宋_GB2312" w:hAnsi="仿宋_GB2312" w:eastAsia="仿宋_GB2312" w:cs="仿宋_GB2312"/>
                <w:b/>
                <w:bCs/>
                <w:color w:val="000000" w:themeColor="text1"/>
                <w:kern w:val="0"/>
                <w:sz w:val="20"/>
                <w14:textFill>
                  <w14:solidFill>
                    <w14:schemeClr w14:val="tx1"/>
                  </w14:solidFill>
                </w14:textFill>
              </w:rPr>
              <w:t>一、硬件参数：</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1.数字音频处理器支持≥8路平衡式话筒/线路输入通道，采用裸线接口端子，平衡接法；支持≥8路平衡式线路输出，采用裸线接口端子，平衡接法。</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2.△输入通道支持前级放大、信号发生器、扩展器、压缩器、≥12段参量均衡、</w:t>
            </w:r>
            <w:r>
              <w:rPr>
                <w:rFonts w:hint="eastAsia" w:ascii="仿宋_GB2312" w:hAnsi="仿宋_GB2312" w:eastAsia="仿宋_GB2312" w:cs="仿宋_GB2312"/>
                <w:color w:val="000000" w:themeColor="text1"/>
                <w14:textFill>
                  <w14:solidFill>
                    <w14:schemeClr w14:val="tx1"/>
                  </w14:solidFill>
                </w14:textFill>
              </w:rPr>
              <w:t>输入模块、输入均衡器等等</w:t>
            </w:r>
            <w:r>
              <w:rPr>
                <w:rStyle w:val="76"/>
                <w:rFonts w:hint="default" w:ascii="仿宋_GB2312" w:hAnsi="仿宋_GB2312" w:eastAsia="仿宋_GB2312" w:cs="仿宋_GB2312"/>
                <w:color w:val="000000" w:themeColor="text1"/>
                <w14:textFill>
                  <w14:solidFill>
                    <w14:schemeClr w14:val="tx1"/>
                  </w14:solidFill>
                </w14:textFill>
              </w:rPr>
              <w:t>，≥31段图示均衡、闪避器、AGC自动增益、AM自动混音功能（门限式、增益共享式）、AFC自适应反馈消除、AEC回声消除、ANC噪声消除、音频矩阵。（提供设备界面截图佐证）</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3.输出通道支持≥12段参量均衡，≥31段图示均衡、延时器、分频器、高低通滤波器、限幅器、</w:t>
            </w:r>
            <w:r>
              <w:rPr>
                <w:rFonts w:hint="eastAsia" w:ascii="仿宋_GB2312" w:hAnsi="仿宋_GB2312" w:eastAsia="仿宋_GB2312" w:cs="仿宋_GB2312"/>
                <w:color w:val="000000" w:themeColor="text1"/>
                <w14:textFill>
                  <w14:solidFill>
                    <w14:schemeClr w14:val="tx1"/>
                  </w14:solidFill>
                </w14:textFill>
              </w:rPr>
              <w:t>输出均衡器、输出模块</w:t>
            </w:r>
            <w:r>
              <w:rPr>
                <w:rStyle w:val="76"/>
                <w:rFonts w:hint="default" w:ascii="仿宋_GB2312" w:hAnsi="仿宋_GB2312" w:eastAsia="仿宋_GB2312" w:cs="仿宋_GB2312"/>
                <w:color w:val="000000" w:themeColor="text1"/>
                <w14:textFill>
                  <w14:solidFill>
                    <w14:schemeClr w14:val="tx1"/>
                  </w14:solidFill>
                </w14:textFill>
              </w:rPr>
              <w:t>。</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4.高性能专业DSP处理器，48kHz采样频率，64-bit DSP处理器；32-bit A/D及D/A转换，支持输入通道48V幻象供电。</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5.具有≥2英寸IPS真彩显示屏，支持显示设备网络信息、实时电平、通道静音状态。</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6.△支持通过APP软件进行操作控制，面板具备USB接口，支持多媒体存储，可进行播放或存储录播。（提供功能界面截图及接口截图佐证）</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7.配置双向RS-232接口，可用于控制外部设备；配置RS-485接口，可实现自动摄像跟踪功能。配置≥8通道可编程GPIO控制接口（可自定义输入输出）。</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8.支持断电自动保护记忆功能。支持通道拷贝、粘贴、联控功能。</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9.≥8个场景预设，支持场景信息导入、场景信息导出。</w:t>
            </w:r>
          </w:p>
          <w:p>
            <w:pPr>
              <w:widowControl/>
              <w:jc w:val="left"/>
              <w:textAlignment w:val="center"/>
              <w:rPr>
                <w:rStyle w:val="77"/>
                <w:rFonts w:hint="default" w:ascii="仿宋_GB2312" w:hAnsi="仿宋_GB2312" w:eastAsia="仿宋_GB2312" w:cs="仿宋_GB2312"/>
                <w:color w:val="000000" w:themeColor="text1"/>
                <w14:textFill>
                  <w14:solidFill>
                    <w14:schemeClr w14:val="tx1"/>
                  </w14:solidFill>
                </w14:textFill>
              </w:rPr>
            </w:pPr>
            <w:r>
              <w:rPr>
                <w:rStyle w:val="77"/>
                <w:rFonts w:hint="default" w:ascii="仿宋_GB2312" w:hAnsi="仿宋_GB2312" w:eastAsia="仿宋_GB2312" w:cs="仿宋_GB2312"/>
                <w:color w:val="000000" w:themeColor="text1"/>
                <w14:textFill>
                  <w14:solidFill>
                    <w14:schemeClr w14:val="tx1"/>
                  </w14:solidFill>
                </w14:textFill>
              </w:rPr>
              <w:t>二、软件参数：</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1.支持通过设备管理切换八进八出、四进四出通道设备，其中每路输入都带有≥48V幻象供电，具备单独配置开关。</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2.支持预设八种场景音效，根据不同场景设置数值，通过切换场景实现针对不同环境的最佳音频处理效果。</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3.支持调节输入通道前级放大、信号发生器、扩展器、压缩器、≥12段参量均衡，≥31段图示均衡、自动增益（AGC）、AM自动混音功能（门限式、增益共享式）、AFC自适应反馈消除、AEC回声消除、ANC噪声消除、音频矩阵。（提供设备界面截图佐证）</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4.支持调节输出通道≥12段参量均衡、≥31段图示均衡、延时器、分频器、高低通滤波器、限幅器。</w:t>
            </w:r>
          </w:p>
          <w:p>
            <w:pPr>
              <w:widowControl/>
              <w:jc w:val="left"/>
              <w:textAlignment w:val="center"/>
              <w:rPr>
                <w:rFonts w:ascii="仿宋_GB2312" w:hAnsi="仿宋_GB2312" w:eastAsia="仿宋_GB2312" w:cs="仿宋_GB2312"/>
                <w:b/>
                <w:bCs/>
                <w:color w:val="000000" w:themeColor="text1"/>
                <w:sz w:val="20"/>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5.支持调节摄像机跟踪功能，设置每路通道的预设点，通过监测输入通道的音量自动追踪目标，实现自动化控制和跟踪，提供更加智能和便捷的视频处理和监控功能。</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调音台</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1.支持≥8路麦克风输入兼容6路线路输入接口，支持≥2路立体声输入接口，≥4路RCA输入，话筒接口幻象电源：+48V。</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2.△具有≥2组立体主输出、≥4路编组输出、≥4路辅助输出、≥1组立体声监听输出、≥1个耳机监听输出、≥2个效果输出、≥1组主混音断点插入、≥6个断点插入。（提供接口图佐证）</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3.内置≥24位DSP效果器，提供≥100种预设效果。</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4.具备≥13个60mm行程的高精密碳膜推子。</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5.△内置USB声卡模块，支持连接电脑进行音乐播放和声音录音；内置MP3播放器，支持≥1个USB接口接U盘播放音乐。（提供接口图佐证）</w:t>
            </w:r>
          </w:p>
          <w:p>
            <w:pPr>
              <w:widowControl/>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Cs/>
                <w:color w:val="000000" w:themeColor="text1"/>
                <w:kern w:val="0"/>
                <w:sz w:val="20"/>
                <w14:textFill>
                  <w14:solidFill>
                    <w14:schemeClr w14:val="tx1"/>
                  </w14:solidFill>
                </w14:textFill>
              </w:rPr>
              <w:t>6.无线连接：内置蓝牙无线收发器，可连接手机进行播放音乐。</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一拖二手持话筒</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具有≥1台接收主机、≥双手持发射机；频率范围等同或优于540MHz-590MHz、640MHz-690MHz。</w:t>
            </w:r>
          </w:p>
          <w:p>
            <w:pPr>
              <w:widowControl/>
              <w:numPr>
                <w:ilvl w:val="0"/>
                <w:numId w:val="6"/>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调制方式：pi/4-DQPSK</w:t>
            </w:r>
          </w:p>
          <w:p>
            <w:pPr>
              <w:widowControl/>
              <w:numPr>
                <w:ilvl w:val="0"/>
                <w:numId w:val="6"/>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频率响应：20Hz~20kHz （±3dB）</w:t>
            </w:r>
          </w:p>
          <w:p>
            <w:pPr>
              <w:widowControl/>
              <w:numPr>
                <w:ilvl w:val="0"/>
                <w:numId w:val="6"/>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信噪比：≥105dB（XLR）</w:t>
            </w:r>
          </w:p>
          <w:p>
            <w:pPr>
              <w:widowControl/>
              <w:numPr>
                <w:ilvl w:val="0"/>
                <w:numId w:val="6"/>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THD+N：＜0.1%</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6.接收机具有≥2路平衡输出、≥1路非平衡混音输出。</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7.具有自动频率扫描功能，可快速地给麦克风找到清晰的频率。</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8.支持混响调节功能，比例调节、延时调节、电平调节≥25个档位。</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w:t>
            </w:r>
            <w:r>
              <w:rPr>
                <w:rFonts w:hint="eastAsia" w:ascii="仿宋_GB2312" w:hAnsi="仿宋_GB2312" w:eastAsia="仿宋_GB2312" w:cs="仿宋_GB2312"/>
                <w:kern w:val="0"/>
                <w:sz w:val="20"/>
              </w:rPr>
              <w:t>△</w:t>
            </w:r>
            <w:r>
              <w:rPr>
                <w:rFonts w:hint="eastAsia" w:ascii="仿宋_GB2312" w:hAnsi="仿宋_GB2312" w:eastAsia="仿宋_GB2312" w:cs="仿宋_GB2312"/>
                <w:color w:val="000000" w:themeColor="text1"/>
                <w:kern w:val="0"/>
                <w:sz w:val="20"/>
                <w14:textFill>
                  <w14:solidFill>
                    <w14:schemeClr w14:val="tx1"/>
                  </w14:solidFill>
                </w14:textFill>
              </w:rPr>
              <w:t>支持麦克风均衡器调节功能，≥高、中、低音三种调节档位。（提供软件界面截图证明）</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10.接收机具有显示屏，用户可通过显示屏查看设备发射功率强度、音频加密状态、电池电量、频率数值、智能静音状态、静音标志。</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11.△具有自动静音功能，麦克风跌落、抛掷时，毫秒级响应自动静音，避免冲击声；产品静置5秒自动静音。（提供第三方权威机构检测报告）</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12.麦克风具有长时间静置自动关机功能，设备自动检测工作状态（使用状态、静置状态），静置时间≥8分钟后，设备自动关机。</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一拖四会议话筒</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1.采用真分集接收方式，采用先进PLL频率合成锁相环技术，具有V/A显示屏显示信道号与工作频率；带射频电平显示，音频电平显示，频道菜单显示，静音显示。</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2.≥2X2个真分集模组组成一体，每个通道由金屏蔽壳体屏蔽LO本振辐射，≥4个通道分享≥4条天线接收。</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3.支持≥4路电子音量独立调节，支持≥4路平衡输出、≥1路非平衡输出。</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4.频率共≥四段可选，范围等同或优于470-510MHz，540-590MHz，640-690MHz，803-830MHz，共≥700个频率；频道间隔：≥250KHz，采用宽带FM调制方式，频率稳定度在±0.005%以内</w:t>
            </w:r>
          </w:p>
          <w:p>
            <w:pPr>
              <w:widowControl/>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5.动态范围：100dB</w:t>
            </w:r>
          </w:p>
          <w:p>
            <w:pPr>
              <w:widowControl/>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6.最大频偏：±45KHz</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7.频率响应等同或优于80Hz-18KHz，综合信噪比＞105dB、综合失真≤0.5%。</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8.配套有≥1台接收主机，采用二次变频超外差接收机方式，≥4个桌面式话筒，灵敏度调节范围：≥12-32dB μV。</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13</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天线分配器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7"/>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提供≥2进≥8出的天线信号分配器设备。</w:t>
            </w:r>
          </w:p>
          <w:p>
            <w:pPr>
              <w:widowControl/>
              <w:numPr>
                <w:ilvl w:val="0"/>
                <w:numId w:val="7"/>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简化天线装配工程，提升接收距离及效能。</w:t>
            </w:r>
          </w:p>
          <w:p>
            <w:pPr>
              <w:widowControl/>
              <w:numPr>
                <w:ilvl w:val="0"/>
                <w:numId w:val="7"/>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两路天线信号接收到分配器的天线输入端。</w:t>
            </w:r>
          </w:p>
          <w:p>
            <w:pPr>
              <w:widowControl/>
              <w:numPr>
                <w:ilvl w:val="0"/>
                <w:numId w:val="7"/>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两路信号输出到下一台分配器的天线输入端进行级联。</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14</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话筒天线</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1.射频频率范围等同或优于450-950MHz</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2.供电方式：BNC，8-12V DC；</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3.电流：0.04A；</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4.驻波比：≤2.0</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5.输入阻抗：≤50Ω</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5.放大器底噪：＜3.6dB</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6.增益：≥18db(典型)</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7.极化方式：垂直</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8.前后比：≥25dB</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9.指向性：≥180度指向</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抑制器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1.高性能DSP处理，≥40-bit DPS处理器（400兆主频），提供≥32-bit/48kHz的声音。</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2.△采用“陷波”+“移频”双方式进行反馈抑制。陷波器提供12固定点+12动态点。高精度移频，范围等同或优于-10Hz到10Hz。（提供功能界面截图佐证）</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3.△均衡器支持≥31段图示均衡器和8段参量均衡器。（提供功能界面截图佐证）</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4.具有自动增益功能，声音达到一定峰值自动衰减变小，声音较小则自动增益放大。</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5.具有一个IPS真彩显示屏。支持中英文切换显示。</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6.具有≥48个陷波器状态LED指示灯实时显示，每通道≥12个静态+≥12个动态陷波器。</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7.具有≥双通道直通，一键重置陷波点配置功能。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8.支持≥4个场景切换。</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9.支持设备定位功能、断电自动保护记忆功能。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10.输入通道及插座≥2路XLR与TRS多功能座模拟输入；输出通道及插座≥2路XLR公座+≥2路TRS公座模拟输出。</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11.输入阻抗：平衡：20KΩ</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12.输出阻抗：平衡：100Ω</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13.输入范围：≤+20dBu</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14.频率响应：20Hz-20kHz（±0.5dB）</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15.支持通过后台管理软件对多台设备进行批量升级。</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电源管理器</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1.支持≥8通道电源时序打开/关闭，支持远程控制（上电+24V直流信号）≥8通道电源时序打开/关闭—当电源开关锁处于off位置时有效。支持配置CH1和CH2通道为受控或不受控状态。</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kern w:val="0"/>
                <w:sz w:val="20"/>
              </w:rPr>
              <w:t>2.当远程控制有效时同时控制后板ALARM（报警）端口导通以起到级联控制ALAR</w:t>
            </w:r>
            <w:r>
              <w:rPr>
                <w:rFonts w:hint="eastAsia" w:ascii="仿宋_GB2312" w:hAnsi="仿宋_GB2312" w:eastAsia="仿宋_GB2312" w:cs="仿宋_GB2312"/>
                <w:color w:val="000000" w:themeColor="text1"/>
                <w:kern w:val="0"/>
                <w:sz w:val="20"/>
                <w14:textFill>
                  <w14:solidFill>
                    <w14:schemeClr w14:val="tx1"/>
                  </w14:solidFill>
                </w14:textFill>
              </w:rPr>
              <w:t>M（报警）功能。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3.单个通道最大负载功率≥3500W，所有通道负载总功率达≥6000W，输入连接器：大功率线码式电源连接器。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4.输出连接器：≥2个16A，≥2个16A接线端子和≥4个10A电源插座。</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5.额定输出电压：AC~220V 50Hz；</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6.额定输出电流：30A；</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7.每路动作延时时间：1秒；</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8.供电电源：VAC，220V 50/60Hz，30A；</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5.具有≥1路USB接口。</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多媒体插座</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多媒体桌插或地插，根据需求可定制各类接口</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机柜</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1.材质：冷轧钢板</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2.规格：600*600*2000MM</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3.颜色：黑色</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4.其他：符合国标</w:t>
            </w:r>
          </w:p>
        </w:tc>
      </w:tr>
      <w:tr>
        <w:tblPrEx>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配套辅材</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大屏专用线材、电力电缆、电源线、网线、管材、空开、扩声系统配套管线及现场拆除装饰结构零星修补等。</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高清混合矩阵</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▲插卡式模块化设计，设备36路输入、36路输出和接口类型可根据实际需要灵活配置；本次配置32进24出。</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1.设备为集成集中控制、视频信号切换、画面分割、IP编解码为一体的信号处理设备</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2.采用数字总线路由架构；</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3.模块化设计，设备采用一卡四路设计，支持CVBS/VGA/YPBPR/DVI/HDMI/HDSDI/3GSDI/HDBaseT/Fiber信号的混合输入和混合输出；</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4.支持EDID、HDCP是自动适应调节和解析，支持无缝快速切换功能，切换过程无黑屏，蓝屏，碎屏；</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6.△采用业界独创的两键式快速切换，先按输入端口再按输出端口即可，专业带蓝灯按键设计，具备实时切换亮灯反馈，可设置不少于40个场景预案调用；(提供权威检测机构检测报告)</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7.△具备LCD显示屏，显示当前的操作状态，具备VIEW（查看当）、SWITCH（切换）、SCENE（场景）、SETUP（设置）四大功能设置(提供权威检测机构检测报告)</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8.支持各种视频信号的立体声音频的解析，分配，切换；</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9.△支持最大4K60数字高清视频信号的传输切换,且支持4k以下非标分辨率处理；(提供权威检测机构检测报告)</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10.具备双网络，双控制备份功能，实现大规模集成化网络管理功能；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11.支持HDBaseT高清视频信号的网络转换和传输功能，传输距离为70/100米</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12.输出传输带宽速率高达10 Gbps；</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13.△内置强大WEB服务器，实时信号切换界面为直观一一对应界面，关闭所有、场景等操作，且支持信号源命名，具备集中控制管理界面，实现多台矩阵的控制(提供权威检测机构检测报告)</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color w:val="000000" w:themeColor="text1"/>
                <w:kern w:val="0"/>
                <w:sz w:val="20"/>
                <w14:textFill>
                  <w14:solidFill>
                    <w14:schemeClr w14:val="tx1"/>
                  </w14:solidFill>
                </w14:textFill>
              </w:rPr>
              <w:t>网络型可编程中央控制主机</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1.主频≥2.0 GHz的64位内嵌式处理器，ARM Cortex-A55四核CPU，内存≥2GB，Flash闪存≥16G。</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2.独立可编程串口≥11路，继电器接口≥8路，I/O 接口≥8路，红外接口≥8路。网络接口≥7路。</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3.中控主机支持对外输出DC24V、DC12V、DC5V电源独立接口。</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前面板支持≥11路串口指示灯、≥8路红外指示灯、≥6路网络指示灯、≥8路IO指示灯、≥8路继电器指示灯，在控制过程中指示灯闪烁，方便编程和排除故障过程中判断中控主机是否有发送代码，发送代码是否成功执行等作用。(提供权威检测机构检测报告)</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5.具有3个扩展插槽，支持扩展com串口，IR红外接口，RELAY弱继电器，I/O控制接口等扩展卡。</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6.支持电源冗余备份，支持中控双机热备份功能，一台中控主机发生故障系统自动切换至备份中控主机接替工作。</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7.设备核心主处理芯片采用国产芯片，整机产品为100%全国产可控。</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8.支持前面板含 5.5寸 LCD 液晶屏，显示主机IP 地址、端口、自检状态、电源、中控控制等信息。支持自定义中控模式调用功能，与现场控制环境进行功能定制开发。5.5 寸屏可以查看自检结果，主机支持手动自检或上电自检；面板支持中控预案控制，预案可编程自定义。</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电源控制器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1.前面板具备电源状态指示灯，8路通道开关状态指示灯和8路开关控制按键；</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2.8路独立节点控制接口，每路都有常开，常闭两种接口支持做双联开关</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3.支持NET和RS-232接口和主机通讯；</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控制平板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8"/>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屏幕尺寸 11英寸 </w:t>
            </w:r>
          </w:p>
          <w:p>
            <w:pPr>
              <w:widowControl/>
              <w:numPr>
                <w:ilvl w:val="0"/>
                <w:numId w:val="8"/>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屏幕类型 OLED </w:t>
            </w:r>
          </w:p>
          <w:p>
            <w:pPr>
              <w:widowControl/>
              <w:numPr>
                <w:ilvl w:val="0"/>
                <w:numId w:val="8"/>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分辨率 2560 x1600 </w:t>
            </w:r>
          </w:p>
          <w:p>
            <w:pPr>
              <w:widowControl/>
              <w:numPr>
                <w:ilvl w:val="0"/>
                <w:numId w:val="8"/>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屏幕比例 16:10 </w:t>
            </w:r>
          </w:p>
          <w:p>
            <w:pPr>
              <w:widowControl/>
              <w:numPr>
                <w:ilvl w:val="0"/>
                <w:numId w:val="8"/>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存储 12GB+256GB</w:t>
            </w:r>
          </w:p>
          <w:p>
            <w:pPr>
              <w:widowControl/>
              <w:numPr>
                <w:ilvl w:val="0"/>
                <w:numId w:val="8"/>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Wi-Fi工作频段2.4GHz&amp;5GHz</w:t>
            </w:r>
          </w:p>
          <w:p>
            <w:pPr>
              <w:widowControl/>
              <w:numPr>
                <w:ilvl w:val="0"/>
                <w:numId w:val="8"/>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GPS 支持 </w:t>
            </w:r>
          </w:p>
          <w:p>
            <w:pPr>
              <w:widowControl/>
              <w:numPr>
                <w:ilvl w:val="0"/>
                <w:numId w:val="8"/>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蓝牙 Bluetooth 5.2，支持BLE，支持SBC、AAC、L </w:t>
            </w:r>
          </w:p>
          <w:p>
            <w:pPr>
              <w:widowControl/>
              <w:numPr>
                <w:ilvl w:val="0"/>
                <w:numId w:val="8"/>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前置摄像头 1600万像系;后置摄像头 1300万像系高清摄像头+800万像素广角摄像头</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10.闪光灯 支持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11.照片分辨率 后置主摄像头:4160x3120像素;后置广角摄 </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像头:3264x2448;前置摄像头:4608x3456像素</w:t>
            </w:r>
          </w:p>
        </w:tc>
      </w:tr>
      <w:tr>
        <w:tblPrEx>
          <w:tblCellMar>
            <w:top w:w="0" w:type="dxa"/>
            <w:left w:w="108" w:type="dxa"/>
            <w:bottom w:w="0" w:type="dxa"/>
            <w:right w:w="108" w:type="dxa"/>
          </w:tblCellMar>
        </w:tblPrEx>
        <w:trPr>
          <w:trHeight w:val="631"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中控软件</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采用语言式编程,类C语言的代码规则,根据现场环境、需求等，现场编写。</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ind w:firstLine="200" w:firstLineChars="100"/>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会议摄像机</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1.光学变倍： 12倍光学变焦 ；光圈</w:t>
            </w:r>
            <w:r>
              <w:rPr>
                <w:rStyle w:val="76"/>
                <w:rFonts w:hint="default" w:ascii="仿宋_GB2312" w:hAnsi="仿宋_GB2312" w:eastAsia="仿宋_GB2312" w:cs="仿宋_GB2312"/>
                <w:color w:val="000000" w:themeColor="text1"/>
                <w14:textFill>
                  <w14:solidFill>
                    <w14:schemeClr w14:val="tx1"/>
                  </w14:solidFill>
                </w14:textFill>
              </w:rPr>
              <w:tab/>
            </w:r>
            <w:r>
              <w:rPr>
                <w:rStyle w:val="76"/>
                <w:rFonts w:hint="default" w:ascii="仿宋_GB2312" w:hAnsi="仿宋_GB2312" w:eastAsia="仿宋_GB2312" w:cs="仿宋_GB2312"/>
                <w:color w:val="000000" w:themeColor="text1"/>
                <w14:textFill>
                  <w14:solidFill>
                    <w14:schemeClr w14:val="tx1"/>
                  </w14:solidFill>
                </w14:textFill>
              </w:rPr>
              <w:t>F1.8～F3.56 ± 5%；</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2.视场角： 水平：7.59˚（窄角）～ 80.4˚（广角）垂直：4.6˚（窄角）～ 50.0˚（广角）</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3.图像传感器：1/2.5英寸SONY 851万像素CMOS图像传感器</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 xml:space="preserve">4.有效像素 ：8.29M </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5.视频格式：3840*2160P60/50/25/59.94/29.97;1080P60/50/ 30/25/59.94/29.97;1080I60/50/59.94; 720P60/50/59.94；</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6.接口: HDMI、SDI、LAN(支持POE)、USB、A-IN、RS232-IN、</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RS232-OUT、RS422（兼容RS 485）、旋转拨码、DC12V电源、电源开关</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7.视频压缩格式： LAN接口支持：H.264、H.265</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USB接口支持：MJPG、H264、H.265、YUY2、NV12</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8.音频输入接口 双声道3.5mm线性输入，音频输出接口 HDMI、LAN、SDI、USB，音频压缩格式 AAC、G.711A</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9.网络接口： 10M/100M/1000M自适应以太网口，支持POE供电，支持音视频输出，网络协议 RTSP、RTMP、ONVIF、GB/T28181；支持网络VISCA控制协议；</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10.控制接口： RS232-IN、RS232-OUT、RS422兼容RS485；</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串口通讯协议 VISCA/Pelco-D/Pelco-P；支持波特率115200/38400/9600/4800/2400；</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11.预设位数量：≧255个；</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 xml:space="preserve">12.AI功能性能参数 </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实时跟踪: 最远跟踪距离可达6～7米，可支持讲者以每秒1.3-1.7米速度行走</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区域跟踪: 支持设置4个跟踪区域 ，支持水平 -110°～+110°，垂直 -27°～+27° 内设置区域；</w:t>
            </w:r>
          </w:p>
          <w:p>
            <w:pPr>
              <w:widowControl/>
              <w:jc w:val="left"/>
              <w:textAlignment w:val="center"/>
              <w:rPr>
                <w:rStyle w:val="76"/>
                <w:rFonts w:hint="default" w:ascii="仿宋_GB2312" w:hAnsi="仿宋_GB2312" w:eastAsia="仿宋_GB2312" w:cs="仿宋_GB2312"/>
                <w:color w:val="000000" w:themeColor="text1"/>
                <w14:textFill>
                  <w14:solidFill>
                    <w14:schemeClr w14:val="tx1"/>
                  </w14:solidFill>
                </w14:textFill>
              </w:rPr>
            </w:pPr>
            <w:r>
              <w:rPr>
                <w:rStyle w:val="76"/>
                <w:rFonts w:hint="default" w:ascii="仿宋_GB2312" w:hAnsi="仿宋_GB2312" w:eastAsia="仿宋_GB2312" w:cs="仿宋_GB2312"/>
                <w:color w:val="000000" w:themeColor="text1"/>
                <w14:textFill>
                  <w14:solidFill>
                    <w14:schemeClr w14:val="tx1"/>
                  </w14:solidFill>
                </w14:textFill>
              </w:rPr>
              <w:t xml:space="preserve">13.水平转动 -110°～+110°  俯仰转动 -30°～+30° </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sz w:val="20"/>
              </w:rPr>
            </w:pPr>
            <w:r>
              <w:rPr>
                <w:rFonts w:hint="eastAsia" w:ascii="仿宋_GB2312" w:hAnsi="仿宋_GB2312" w:eastAsia="仿宋_GB2312" w:cs="仿宋_GB2312"/>
                <w:b/>
                <w:bCs/>
                <w:kern w:val="0"/>
                <w:sz w:val="20"/>
              </w:rPr>
              <w:t>（四）岱山县</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20KVA UPS主机</w:t>
            </w:r>
          </w:p>
        </w:tc>
        <w:tc>
          <w:tcPr>
            <w:tcW w:w="6101"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1.三进单出20KVAUPS主机；20KVA/18KW，采用拓扑设计</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2.▲输入电压 ：100VAC-288Vac（相电压），输入功率因数 ≥0.99 3.输入频率范围:40Hz~70Hz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4.输出电压：220Vac±1％，230/240Vac±3％，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5.△输出功率因数：≥0.9，需提供公开资料截图证明。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6.输出频率45-55Hz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 xml:space="preserve">7.整机效率：≥95％                                                                                                                                                                 </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9.过载能力( %额定负载 )：UPS在正常工作方式情况下，过载125%的工作时间，应不少于10分钟，提供公开资料证明。</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10.设备维护：设备应具有液晶面板，显示UPS运行状态和相关数据。便于日常维护，且屏幕尺寸不小于2.8寸。</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蓄电池</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阀控密封式铅酸胶体蓄电池。</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1.△产品容量：单体电池电压容量：10Hr 100Ah ，单体电池额定电压：12V。设计浮充寿命：25℃时，蓄电池浮充寿命≥8年，重量≥28.8Kg（提供产品彩页）。</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color w:val="000000" w:themeColor="text1"/>
                <w:kern w:val="0"/>
                <w:sz w:val="20"/>
                <w14:textFill>
                  <w14:solidFill>
                    <w14:schemeClr w14:val="tx1"/>
                  </w14:solidFill>
                </w14:textFill>
              </w:rPr>
              <w:t>2. 产品的一致性：单体电池电压均衡性应满足一组</w:t>
            </w:r>
            <w:r>
              <w:rPr>
                <w:rFonts w:hint="eastAsia" w:ascii="仿宋_GB2312" w:hAnsi="仿宋_GB2312" w:eastAsia="仿宋_GB2312" w:cs="仿宋_GB2312"/>
                <w:kern w:val="0"/>
                <w:sz w:val="20"/>
              </w:rPr>
              <w:t>蓄电池中任意两个电池的开路电压差不超过90mV。如发现与采购结果和投标承诺内容不一致的，中标方对由此造成的一切损失负全责。</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 蓄电池容量：电池容量系数：40°C / 104°F ≥ 106%；25°C / 77°F≥ 100%；0°C / 32°F ≥86%；-10°C / 14°F  ≥65%。</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4. 三层密封设计：采用三层密封技术工艺，全密封防泄漏结构，确保整个寿命期间无漏液，三层极柱防漏液工艺。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5.△极柱防漏液设计：蓄电池需要具有极柱密封防漏液的专利技术，从根本上防止漏液问题。提供厂家具备《具有密封结构的蓄电池极柱》专利的证书并盖投标人公章。</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6.外壳：蓄电池必须全部采用高强度的ABS外壳，符合UL标准，外壳无变形、裂纹及污迹，上盖及端子无损伤，正常工作时无酸雾逸出。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7 .极板：采用多元复合稀土合金，从而减少气体产生，达到自放电率低抗腐蚀能力强。</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8.自放电率：@ 25℃ (77℉) ≤3%/月。</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9.内阻(完全充电态)：≈5mΩ@ 25℃ (77℉)。</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10.阻燃性与防腐性：蓄电池间接线板、终端接头应选择导电性能优良的材料，并具有防腐措施。蓄电池槽、盖、安全阀，极柱封口剂等材料应具有阻燃性，提供第三方权威认证机构颁发的证书。</w:t>
            </w:r>
          </w:p>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11.△其他：投标产品的制造商须电池原厂家（拒绝OEM贴牌产品）提供相关证明。</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电池柜</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放置32节单体12V100AH蓄电池</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配电箱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UPS配电箱，额定功率不小于15KW，PZ30箱体，明装20位</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同（一）市本级“9”参数一致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同（一）市本级“10”参数一致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同（一）市本级“13”参数一致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同（一）市本级“14”参数一致</w:t>
            </w:r>
          </w:p>
        </w:tc>
      </w:tr>
      <w:tr>
        <w:tblPrEx>
          <w:tblCellMar>
            <w:top w:w="0" w:type="dxa"/>
            <w:left w:w="108" w:type="dxa"/>
            <w:bottom w:w="0" w:type="dxa"/>
            <w:right w:w="108" w:type="dxa"/>
          </w:tblCellMar>
        </w:tblPrEx>
        <w:trPr>
          <w:trHeight w:val="480" w:hRule="atLeast"/>
        </w:trPr>
        <w:tc>
          <w:tcPr>
            <w:tcW w:w="8964" w:type="dxa"/>
            <w:gridSpan w:val="3"/>
            <w:tcBorders>
              <w:top w:val="nil"/>
              <w:left w:val="single" w:color="auto" w:sz="4" w:space="0"/>
              <w:bottom w:val="nil"/>
              <w:right w:val="single" w:color="auto" w:sz="4" w:space="0"/>
            </w:tcBorders>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（五）嵊泗县</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主扩声专业音箱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同（三）普陀区序号7参数一致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主扩声专业功放</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rPr>
            </w:pPr>
            <w:r>
              <w:rPr>
                <w:rFonts w:hint="eastAsia" w:ascii="仿宋_GB2312" w:hAnsi="仿宋_GB2312" w:eastAsia="仿宋_GB2312" w:cs="仿宋_GB2312"/>
              </w:rPr>
              <w:t>同（三）普陀区序号8参数一致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辅助专业音箱</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1．阻抗≤8Ω</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2．频响等同或优于45Hz-20KHz</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3．额定功率≥300W</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4．灵敏度≥98dB/W/M</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5．水平覆盖角≥90°，垂直覆盖角≥80°</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6．高音：≥1.7"压缩高音单元×1；低音：10"低音×1</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7、含音箱支架</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辅助专业功放</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1.1U机箱设计，采用D类数字功放设计方案。</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2.标准XLR输入接口，和LINK输出口。</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3.电源采用开关电源技术，效率高，有效的抑制电源谐波。</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4.内置智能削峰限幅器，支持开机软启动，防止开机时向电网吸收大电流，干扰其它用电设备。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5.具有：过压保护，欠压保护，过流保护，直流保护，输出短路保护，温控风扇等功能。</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6.输出功率：立体声@8Ω：≥500W×2；立体声@4Ω：≥850W×2；桥接@8Ω：≥1700W。</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音频处理器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同（三）普陀区序号9参数一致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调音台</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1.具有≥8路数字增益话放通道、≥2路高阻单声通道、≥2组立体声输入通道，话筒输入接口带48V幻象电源。</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2.具有≥1组立体主输出通道、≥4路AUX辅助输出通道、≥1路TRS监听输出通道。</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3.△具有≥8路DCA编组、≥8路静音编组，输入输出、效果器通道均可编入。（需提供得到CMA或CNAS认可的检测机构出具的检测报告作为该技术参数证明材料）</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具有≥2路USB播放通道，支持USB录音、播放功能，支持APE\MP3\FLAC\WAV无损音频格式。内置4G的媒体空间，可导入音乐文件或导出录音文件。（需提供得到CMA或CNAS认可的检测机构出具的检测报告作为该技术参数证明材料）</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5.具有≥1个7英寸高清触摸屏，支持≥1024×600分辨率。</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6.具有≥4个内置效果器，设备自带有经典混响、大房间混响等效果。</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7.内置自适应陷波反馈抑制算法。</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8.具有≥30组场景预设，可导入USB存储，便于备份调用。</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9.具有Link连接功能，可进行相邻通道绑定设置。</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10.具有≥1路网络接口，支持主流操作系统进行远程控制。</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11.具有防误触碰、误操作面板锁。</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一拖二手持话筒</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同（三）普陀区序号11参数一致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一拖四会议话筒</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同（三）普陀区序号12参数一致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智能混音器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1.△输入通道：≥16路平衡式话筒/线路输入，采用裸线接口端子，平衡接法。支持麦克风输入和线路输入切换。每路输入带≥48V幻象电源，可通过PC软件单独配置。（提供设备接口图及功能界面截图佐证）</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2.输出通道：≥4路平衡式线路输出，采用裸线接口端子，平衡接法。</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3.输入灵敏度：MIC IN：120mV；LINE IN:775mV</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4.最大输入电平：15dBu</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5.最大输出电平：18dBu</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6.频响：20Hz—20kHz（±1dB）</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7.△具有丰富的音频处理功能：闪避器、自动增益、均衡器、分频器、扩展器。（提供功能界面截图佐证）</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8.具有自动混音功能，包括增益共享混音以及门限自动混音。</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9.输入具有≥10段图示均衡调节，输出具有≥31段图示均衡调节，参量全频段拖动可调。</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10.高、低通分频器全频段可调，具有贝塞尔、林克威治-瑞利、巴特沃斯三种滤波器可供选择。</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11.具有恢复出厂设置、设备定位、断电自动保护记忆。</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12.设备级联最大可扩展≥256个输入。</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13.极低系统延时，延时≤3ms。</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14.多场景切换：≥4个场景切换；支持通过后台管理软件导入、导出场景数据。</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电源管理器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9"/>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支持≥8通道电源时序打开/关闭，每路动作延时时间：≤1秒，支持远程控制（上电+24V直流信号）8通道电源时序打开/关闭—当电源开关处于off位置时有效。</w:t>
            </w:r>
          </w:p>
          <w:p>
            <w:pPr>
              <w:widowControl/>
              <w:numPr>
                <w:ilvl w:val="0"/>
                <w:numId w:val="9"/>
              </w:numPr>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当远程控制有效时同时控制后板ALARM（报警）端口导通以起到级联控制ALARM（报警）功能。</w:t>
            </w:r>
          </w:p>
          <w:p>
            <w:pPr>
              <w:widowControl/>
              <w:numPr>
                <w:ilvl w:val="0"/>
                <w:numId w:val="9"/>
              </w:numPr>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单个通道最大负载功率≥2200W，所有通道负载总功率≥6000W。输出连接器：多用途电源插座。</w:t>
            </w:r>
          </w:p>
          <w:p>
            <w:pPr>
              <w:widowControl/>
              <w:numPr>
                <w:ilvl w:val="0"/>
                <w:numId w:val="9"/>
              </w:numPr>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具有一路及以上USB输出接口。</w:t>
            </w:r>
          </w:p>
          <w:p>
            <w:pPr>
              <w:widowControl/>
              <w:numPr>
                <w:ilvl w:val="0"/>
                <w:numId w:val="9"/>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额定输出电压：AC~220V50Hz</w:t>
            </w:r>
          </w:p>
          <w:p>
            <w:pPr>
              <w:widowControl/>
              <w:numPr>
                <w:ilvl w:val="0"/>
                <w:numId w:val="9"/>
              </w:numPr>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额定输出电流：30A</w:t>
            </w:r>
          </w:p>
          <w:p>
            <w:pPr>
              <w:widowControl/>
              <w:numPr>
                <w:ilvl w:val="0"/>
                <w:numId w:val="9"/>
              </w:numPr>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单路额定输出电源：10A</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音频隔离器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1.一款双通道音频隔离器。</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2.低底噪、无50Hz交流“嗡”声、无高频“嗞啦”干扰。</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3.点对点平衡传输音频，可以选择前面板2个接口中的任意一个COMBO接口输入，从后面板对应COMBO接口输出。</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4.即插即用，支持热插拨。</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5.隔离滤波音频传输最远传输信号等同或优于450－600米。</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6.内置瞬态、浪涌抑制、抗静电保护电路。</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7.具有≥2路XLR输入；具有≥2路XLR输出</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8.输入输出隔离绝缘耐压：300Vp-p以上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9.多通道隔离静噪器特性：备插损&lt;0.5dB 回损：＞18dB</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10.Max(输入－输出、输入电平：0.5Vp-p(Min)-1Vp-p - 3Vp-p (Max)</w:t>
            </w:r>
          </w:p>
          <w:p>
            <w:pPr>
              <w:widowControl/>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11.频率响应：20Hz—20kHz（±＜0.2db ref 1khz）</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天线分配器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同（三）普陀区序号13参数一致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话筒天线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同（三）普陀区序号14参数一致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14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多媒体插座</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同（三）普陀区序号17参数一致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机柜</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同（三）普陀区序号18参数一致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配套辅材</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音视频扩声系统配套管线</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17</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一键式会议协作系统</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1.可以通过笔记本电脑、平板电脑或智能手机实现实现无线传输及不同用户之间的切换。无需管理员权限安装，自动升级。</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2.在有线和无线分享源之间流畅切换；增强的安全功能。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3.无线会议系统物理按钮包含分享按钮以及快速按钮</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4.支持基于程序窗口分享，或者基于整个屏幕分享</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5.无线会议系统同时输出信号源不少于2路。</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6.网络集成下物理按钮连接主机自身的SSID、移动设备连接至外部网络的SSID可实现画面分享，此时电脑和移动设备在分享的同时都可上网。</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7.主机连接触摸屏支持触摸反向控制，且无须安装驱动。</w:t>
            </w:r>
          </w:p>
          <w:p>
            <w:pPr>
              <w:widowControl/>
              <w:jc w:val="left"/>
              <w:textAlignment w:val="center"/>
              <w:rPr>
                <w:rFonts w:ascii="仿宋_GB2312" w:hAnsi="仿宋_GB2312" w:eastAsia="仿宋_GB2312" w:cs="仿宋_GB2312"/>
                <w:color w:val="000000" w:themeColor="text1"/>
                <w:kern w:val="0"/>
                <w:sz w:val="20"/>
                <w:highlight w:val="cyan"/>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8.演示系统在连接触控屏后具备虚拟白板和批注功能，虚拟白板和批注内容即可以直接保存至参会者的电脑或智能移动设备，也可以保存至U盘。具有画布注解、黑板化和触控集中管理。</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9.系统音频输出包括 USB和HDMI两种方式</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10.无线会议系统配备不少于2个USB接口，其中不少于1个USB Type-C接口</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 无线会议系统支持的HDMI输出分辨率为  4K UHD (3840x2160)</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12. 系统可选择在 2.4GHz 或 5GHz 的频段内工作。</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13.系统采用IEEE 802.11 a/b/g/n/ac 和 IEEE 802.15.1 标准进行无线传输。  </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电子桌牌</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1.主屏幕分辨率：≥800*480</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2.支持字体色彩：黑白红。</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3.双屏幕：不支持触摸</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4.主屏幕尺寸：7.5英寸</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5.DPI：127</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6.视角：85/85/85/85</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7.支持安卓系统手机连接蓝牙操作、支持NFC方式投图。</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8.采用低功耗设计，画面静止状态无刷新频率，拍录视频时，摄像不会出现闪屏现象。</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9.采用全铝结构，显示屏框架厚度≤7.7毫米。</w:t>
            </w:r>
          </w:p>
        </w:tc>
      </w:tr>
      <w:tr>
        <w:tblPrEx>
          <w:tblCellMar>
            <w:top w:w="0" w:type="dxa"/>
            <w:left w:w="108" w:type="dxa"/>
            <w:bottom w:w="0" w:type="dxa"/>
            <w:right w:w="108" w:type="dxa"/>
          </w:tblCellMar>
        </w:tblPrEx>
        <w:trPr>
          <w:trHeight w:val="556"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kern w:val="0"/>
                <w:sz w:val="20"/>
                <w14:textFill>
                  <w14:solidFill>
                    <w14:schemeClr w14:val="tx1"/>
                  </w14:solidFill>
                </w14:textFill>
              </w:rPr>
            </w:pPr>
          </w:p>
          <w:p>
            <w:pPr>
              <w:widowControl/>
              <w:jc w:val="center"/>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信创操作电脑</w:t>
            </w:r>
          </w:p>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ind w:firstLine="0" w:firstLineChars="0"/>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技术要求参见4.3信创操作电脑技术要求</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双色屏</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1.规格为P3.75，像素点间距≤4.75mm</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2.单元板分辨率≥2048Dots</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3.刷新率≥960Hz</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4.像素构成：1R、1G</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5.驱动方式：恒流驱动</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6.控制方式：同步控制系统、异步控制系统</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7.白平衡亮度≥550Cd/m²；亮度调节：0-100%亮度可调，屏幕亮度具有随环境照度的变化任意调整功能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8.亮度均匀性≥98%</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9.水平视角≥160°，垂直视角≥160°</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10.对比度≥6500：1</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11.灰度等级≥8bit</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12.含边框，支架及发送卡等，显示尺寸4.256*0.304米</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移动会议系统</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1.屏幕尺寸 11英寸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2.屏幕类型 OLED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3.分辨率 2560 x1600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4.屏幕比例 16:10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5.存储 12GB+256GB</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6.Wi-Fi工作频段2.4GHz&amp;5GHz</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7.GPS 支持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8.蓝牙 Bluetooth 5.2，支持BLE，支持SBC、AAC、L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9.前置摄像头 1600万像系;后置摄像头 1300万像系高清摄像头+800万像素广角摄像头</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10.闪光灯 支持 </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 xml:space="preserve">11.照片分辨率 后置主摄像头:4160x3120像素;后置广角摄 </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像头:3264x2448;前置摄像头:4608x3456像素</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高清混合矩阵</w:t>
            </w:r>
          </w:p>
        </w:tc>
        <w:tc>
          <w:tcPr>
            <w:tcW w:w="61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同（三）普陀区序号20参数一致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网络型可编程中央控制主机</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电源控制器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控制平板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同（三）普陀区序号23参数一致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sz w:val="20"/>
              </w:rPr>
            </w:pPr>
            <w:r>
              <w:rPr>
                <w:rFonts w:hint="eastAsia" w:ascii="仿宋_GB2312" w:hAnsi="仿宋_GB2312" w:eastAsia="仿宋_GB2312" w:cs="仿宋_GB2312"/>
                <w:kern w:val="0"/>
                <w:sz w:val="20"/>
              </w:rPr>
              <w:t>中控软件</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同（三）普陀区序号24参数一致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信创安全网关</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1.▲设备最大吞吐量≥6841.114 Mbps，HTTP吞吐量≥3.5 Gbps，IPS吞吐量≥800 Mbit/s，AV吞吐量≥700 Mbit/s，最大并发连接数≥995.745万，每秒新建连接数≥9.987万</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2.△标准1U专用硬件平台，内置冗余双电源，千光电口管理口≥2个（至少1个管理口，1个HA口），千兆电口≥10个，千兆光口≥4个（含2个千兆多模光模块），内存≥8GB，硬盘≥500GB SSD，需采用国产化CPU和国产化操作系统;含三年防病毒、防攻击、上网行为管理、Web安全防护授权。</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3.支持路由、网桥、旁路、混合、虚拟线工作模式；部署模式切换无需重启设备</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4.支持4G USB插卡接入，实现4G连接，与有线链路之间互为备份；并支持在4G接口上运行IPSec VPN。（需提供功能截图证明）</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5.支持基于7元组、域名的链路负载均衡策略；负载算法支持优先级和权重；支持过载保护、会话保持和健康检查，会话保持可实现用的访问请求均分配至同一出口。</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6.支持IPv6/v4双栈，支持IPv6安全策略、包括审计策略、NAT策略、流量控制策略、会话控制策略、黑名单、白名单、认证策略等。</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7.支持一体化安全策略：可基于设备接口/安全域、地址、服务、应用、用、时间等属性，配置入侵防御、病毒防护、URL过滤、应用过滤、日志记录、会话老化时间、终端过滤等高级访问控制功能。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提供智能策略分析功能，支持策略命中分析、隐藏策略分析、冗余策略分析、冲突策略分析、可合并策略分析、过期策略发现、空策略发现、策略宽松度分析，并在Web页面显示分析结果。（需提供功能截图证明）</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9.支持对最多20级的压缩文件进行解压查杀。</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10.支持独立的Web防护模块，提供SQL注入攻击、XSS攻击、恶意扫描与爬虫、服务器防护、CMS漏洞防护等不少于10种的防护类型。</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本地认证、Portal认证、Radius认证、LDAP认证、POP3认证、AD域单点登录、短信认证、微信公众号认证、APP认证、二维码认证、互联网钉钉认证、混合认证和免认证，其中微信公众号认证支持通过小程序获取手机号。（需提供功能截图证明）</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12.△支持一种基于概率加权路径的防火墙规则引擎时间复杂度评估方法。(提供发明专利或权威检测机构检测报告)</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13.△支持一种低延迟的TCP跨报文防火墙检测方法。(提供发明专利或权威检测机构检测报告)</w:t>
            </w:r>
          </w:p>
          <w:p>
            <w:pPr>
              <w:widowControl/>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14、本设备为软硬一体产品</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直放站</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同（一）市本级序号9参数一致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吸顶天线</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同（一）市本级序号10参数一致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同（一）市本级序号11参数一致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耦合器</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同（一）市本级序号12参数一致</w:t>
            </w:r>
          </w:p>
        </w:tc>
      </w:tr>
      <w:tr>
        <w:tblPrEx>
          <w:tblCellMar>
            <w:top w:w="0" w:type="dxa"/>
            <w:left w:w="108" w:type="dxa"/>
            <w:bottom w:w="0" w:type="dxa"/>
            <w:right w:w="108"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1/2接头</w:t>
            </w:r>
          </w:p>
        </w:tc>
        <w:tc>
          <w:tcPr>
            <w:tcW w:w="6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同（一）市本级序号13参数一致</w:t>
            </w:r>
          </w:p>
        </w:tc>
      </w:tr>
      <w:tr>
        <w:tblPrEx>
          <w:tblCellMar>
            <w:top w:w="0" w:type="dxa"/>
            <w:left w:w="108" w:type="dxa"/>
            <w:bottom w:w="0" w:type="dxa"/>
            <w:right w:w="108" w:type="dxa"/>
          </w:tblCellMar>
        </w:tblPrEx>
        <w:trPr>
          <w:trHeight w:val="379" w:hRule="atLeast"/>
        </w:trPr>
        <w:tc>
          <w:tcPr>
            <w:tcW w:w="88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33</w:t>
            </w:r>
          </w:p>
        </w:tc>
        <w:tc>
          <w:tcPr>
            <w:tcW w:w="197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1/2馈线</w:t>
            </w:r>
          </w:p>
        </w:tc>
        <w:tc>
          <w:tcPr>
            <w:tcW w:w="610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highlight w:val="yellow"/>
              </w:rPr>
            </w:pPr>
            <w:r>
              <w:rPr>
                <w:rFonts w:hint="eastAsia" w:ascii="仿宋_GB2312" w:hAnsi="仿宋_GB2312" w:eastAsia="仿宋_GB2312" w:cs="仿宋_GB2312"/>
                <w:color w:val="000000"/>
                <w:sz w:val="20"/>
              </w:rPr>
              <w:t>同（一）市本级序号14参数一致</w:t>
            </w:r>
          </w:p>
        </w:tc>
      </w:tr>
      <w:tr>
        <w:tblPrEx>
          <w:tblCellMar>
            <w:top w:w="0" w:type="dxa"/>
            <w:left w:w="108" w:type="dxa"/>
            <w:bottom w:w="0" w:type="dxa"/>
            <w:right w:w="108" w:type="dxa"/>
          </w:tblCellMar>
        </w:tblPrEx>
        <w:trPr>
          <w:trHeight w:val="528" w:hRule="atLeast"/>
        </w:trPr>
        <w:tc>
          <w:tcPr>
            <w:tcW w:w="8964" w:type="dxa"/>
            <w:gridSpan w:val="3"/>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b/>
                <w:bCs/>
                <w:color w:val="000000"/>
                <w:kern w:val="0"/>
                <w:sz w:val="20"/>
              </w:rPr>
              <w:t>（六）普陀山镇人民政府</w:t>
            </w:r>
          </w:p>
        </w:tc>
      </w:tr>
      <w:tr>
        <w:tblPrEx>
          <w:tblCellMar>
            <w:top w:w="0" w:type="dxa"/>
            <w:left w:w="108" w:type="dxa"/>
            <w:bottom w:w="0" w:type="dxa"/>
            <w:right w:w="108" w:type="dxa"/>
          </w:tblCellMar>
        </w:tblPrEx>
        <w:trPr>
          <w:trHeight w:val="140"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1</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themeColor="text1"/>
                <w:kern w:val="0"/>
                <w:sz w:val="20"/>
                <w14:textFill>
                  <w14:solidFill>
                    <w14:schemeClr w14:val="tx1"/>
                  </w14:solidFill>
                </w14:textFill>
              </w:rPr>
              <w:t>P1.2全彩屏</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1．▲像素间距≤1.25mm，像素密度≥ 640000点/㎡；SMD；</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2．△整屏尺寸：宽≥3.2m，高≥1.92m，显示面积≥6.144㎡，分辨率≥2560×1536；</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3．整机采用压铸铝箱体；箱体强度：拉伸强度≥300Mpa,硬度≥80HB；</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4．支持模组、电源、接收卡完全前维护/后维护；</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5．显示单元平整度（mm）≤0.05；模组平整度（mm）≤0.05；相对错位偏差（水平/垂直）≤1.0%；</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6．校正后亮度≥500nit，（0-100%无级可调）；最高对比度≥10000:1；刷新率≥3840Hz，支持通过配套控制软件调节刷新率设置，支持420Hz-4880Hz调节；</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7．灰度等级16bit；支持低亮高灰，采用PMW灰阶控制技术提升低灰视觉效果；支持0-100%亮度时，8-16bits灰度自定义设置；</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8．屏体正面为黑色亚光处理,反光率≤1.5%；样品在10Lux/5600K照度下,对屏幕表面进行光反射率试验,屏幕表面光反射率(单位面积反射亮度)＜3cd/m²；</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9．水平视角≥160°；垂直视角≥160°；像素中心距偏差≤1%；色域≥120% NTSC；色准△E≤0.9；</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10．基色主波长误差C级 △λD≤5，亮度误差值在3%，灯芯的波长误差值在±1nm之内；白场色坐标符合SJ/T 11141-2017 5.10.5规定范围；亮度鉴别等级C级 Bj≥20；</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11.△模组支持双电压DC2.8V/DC3.8V或单电压DC4.2V~DC5V供电方式 ；免工具维护，同时有防呆设计，预防接错电源线短路而导致的烧毁模组行为；(提供权威检测机构检测报告)</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12．△峰值功耗≤390W/㎡，平均功耗≤130W/㎡；电源采用110-240V宽电压，适应电网电压更广，采用带PFC电源，电源功率因素≥0.95，转换效率88%；(提供权威检测机构检测报告)</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13．采用低转折节能技术，具有4档可调节恒流拐点电压；</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14．支持任意非标准分辨率信号输入自适应,输出范围内进行缩放,实现最佳分辨率自动匹配,避免屏幕比例和黑边问题的复杂调试;LED 显示屏系统级联板卡自适应功能</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15．支持多 bin 色度校正,校正数据存储在模组里,采用色彩管理系统,在 LED 控制系统对视频解码后,添加二次过滤显示算法,对显示屏每一个发光二极管进行逐点14 位颜色校正:支持色彩及亮度自动调整,保持色彩亮度一致性。</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16．支持休眠功能：支持无信号输入自动熄屏待机,有信号输入自动唤醒功能(提供权威检测机构检测报告)</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17．△带有智能（黑屏）节电功能，开启智能节电功能比没有开启节能50%以上，能源效率值≥3cd/W，睡眠模式功率密度值≤125W/m2；(提供权威检测机构检测报告)</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themeColor="text1"/>
                <w:kern w:val="0"/>
                <w:sz w:val="20"/>
                <w14:textFill>
                  <w14:solidFill>
                    <w14:schemeClr w14:val="tx1"/>
                  </w14:solidFill>
                </w14:textFill>
              </w:rPr>
              <w:t>18．△产品防火及安全标准:满足BS476-7表面燃烧测试1级；燃烧烟气毒性指数满足BS6853测试R值≤1；(提供权威检测机构检测报告)</w:t>
            </w:r>
          </w:p>
        </w:tc>
      </w:tr>
      <w:tr>
        <w:tblPrEx>
          <w:tblCellMar>
            <w:top w:w="0" w:type="dxa"/>
            <w:left w:w="108" w:type="dxa"/>
            <w:bottom w:w="0" w:type="dxa"/>
            <w:right w:w="108" w:type="dxa"/>
          </w:tblCellMar>
        </w:tblPrEx>
        <w:trPr>
          <w:trHeight w:val="115"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2</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LED屏拼控处理器</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1.视频输入接口：2路 HDMI 1.4 ，1 路 DVI。</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2.支持逐点亮色度校正。</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3.支持 10路网口输出，带载高达 650万像素。</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4.支持3.5mm独立音频输出。</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5.具有强大的视频处理能力，支持输出画面无极缩放，支持一键全屏缩放，支出输入源任意截取。</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6.支持三输入画质管理，包括亮度、对比度、饱和度和色度调整</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7.支持 3个图层，图层大小和位置可单独调节，图层优先级可调整。</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8.支持预监输出画面，将预监内容通过 HDMI 发送到显示器显示。</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9.△为保证系统兼容性，与LED显示屏同一品牌，提供CCC证书加盖投标人公章。</w:t>
            </w:r>
          </w:p>
        </w:tc>
      </w:tr>
      <w:tr>
        <w:tblPrEx>
          <w:tblCellMar>
            <w:top w:w="0" w:type="dxa"/>
            <w:left w:w="108" w:type="dxa"/>
            <w:bottom w:w="0" w:type="dxa"/>
            <w:right w:w="108" w:type="dxa"/>
          </w:tblCellMar>
        </w:tblPrEx>
        <w:trPr>
          <w:trHeight w:val="154"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3</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安装钢结构及包边</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大屏安装钢结构、安装连接件等，现场焊接；要求抗绣，抗腐蚀，稳定牢固，不允许存在安全隐患。</w:t>
            </w:r>
          </w:p>
        </w:tc>
      </w:tr>
      <w:tr>
        <w:tblPrEx>
          <w:tblCellMar>
            <w:top w:w="0" w:type="dxa"/>
            <w:left w:w="108" w:type="dxa"/>
            <w:bottom w:w="0" w:type="dxa"/>
            <w:right w:w="108" w:type="dxa"/>
          </w:tblCellMar>
        </w:tblPrEx>
        <w:trPr>
          <w:trHeight w:val="69" w:hRule="atLeast"/>
        </w:trPr>
        <w:tc>
          <w:tcPr>
            <w:tcW w:w="884"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4</w:t>
            </w:r>
          </w:p>
        </w:tc>
        <w:tc>
          <w:tcPr>
            <w:tcW w:w="1979"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服务器机柜</w:t>
            </w:r>
          </w:p>
        </w:tc>
        <w:tc>
          <w:tcPr>
            <w:tcW w:w="6101"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1.材质：冷轧钢板</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2.</w:t>
            </w:r>
            <w:r>
              <w:rPr>
                <w:rFonts w:hint="eastAsia" w:ascii="仿宋_GB2312" w:hAnsi="仿宋_GB2312" w:eastAsia="仿宋_GB2312" w:cs="仿宋_GB2312"/>
                <w:color w:val="000000" w:themeColor="text1"/>
                <w:kern w:val="0"/>
                <w:sz w:val="20"/>
                <w14:textFill>
                  <w14:solidFill>
                    <w14:schemeClr w14:val="tx1"/>
                  </w14:solidFill>
                </w14:textFill>
              </w:rPr>
              <w:t>规格：600*600*1600MM</w:t>
            </w:r>
          </w:p>
          <w:p>
            <w:pPr>
              <w:widowControl/>
              <w:jc w:val="left"/>
              <w:textAlignment w:val="center"/>
              <w:rPr>
                <w:rFonts w:ascii="仿宋_GB2312" w:hAnsi="仿宋_GB2312" w:eastAsia="仿宋_GB2312" w:cs="仿宋_GB2312"/>
                <w:kern w:val="0"/>
                <w:sz w:val="20"/>
              </w:rPr>
            </w:pPr>
            <w:r>
              <w:rPr>
                <w:rFonts w:hint="eastAsia" w:ascii="仿宋_GB2312" w:hAnsi="仿宋_GB2312" w:eastAsia="仿宋_GB2312" w:cs="仿宋_GB2312"/>
                <w:kern w:val="0"/>
                <w:sz w:val="20"/>
              </w:rPr>
              <w:t>3.颜色：黑色</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4.其他：符合国标</w:t>
            </w:r>
          </w:p>
        </w:tc>
      </w:tr>
      <w:tr>
        <w:tblPrEx>
          <w:tblCellMar>
            <w:top w:w="0" w:type="dxa"/>
            <w:left w:w="108" w:type="dxa"/>
            <w:bottom w:w="0" w:type="dxa"/>
            <w:right w:w="108" w:type="dxa"/>
          </w:tblCellMar>
        </w:tblPrEx>
        <w:trPr>
          <w:trHeight w:val="200" w:hRule="atLeast"/>
        </w:trPr>
        <w:tc>
          <w:tcPr>
            <w:tcW w:w="88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5</w:t>
            </w:r>
          </w:p>
        </w:tc>
        <w:tc>
          <w:tcPr>
            <w:tcW w:w="1979"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kern w:val="0"/>
                <w:sz w:val="20"/>
              </w:rPr>
            </w:pPr>
            <w:r>
              <w:rPr>
                <w:rFonts w:hint="eastAsia" w:ascii="仿宋_GB2312" w:hAnsi="仿宋_GB2312" w:eastAsia="仿宋_GB2312" w:cs="仿宋_GB2312"/>
                <w:color w:val="000000"/>
                <w:kern w:val="0"/>
                <w:sz w:val="20"/>
              </w:rPr>
              <w:t>配套辅材</w:t>
            </w:r>
          </w:p>
        </w:tc>
        <w:tc>
          <w:tcPr>
            <w:tcW w:w="6101"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kern w:val="0"/>
                <w:sz w:val="20"/>
              </w:rPr>
              <w:t>电力电缆、电源线、网线、管材、屏专用线及空开等各种配套辅材</w:t>
            </w:r>
          </w:p>
        </w:tc>
      </w:tr>
      <w:tr>
        <w:tblPrEx>
          <w:tblCellMar>
            <w:top w:w="0" w:type="dxa"/>
            <w:left w:w="108" w:type="dxa"/>
            <w:bottom w:w="0" w:type="dxa"/>
            <w:right w:w="108" w:type="dxa"/>
          </w:tblCellMar>
        </w:tblPrEx>
        <w:trPr>
          <w:trHeight w:val="555" w:hRule="atLeast"/>
        </w:trPr>
        <w:tc>
          <w:tcPr>
            <w:tcW w:w="896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b/>
                <w:bCs/>
                <w:color w:val="000000"/>
                <w:sz w:val="20"/>
              </w:rPr>
            </w:pPr>
            <w:r>
              <w:rPr>
                <w:rFonts w:hint="eastAsia" w:ascii="仿宋_GB2312" w:hAnsi="仿宋_GB2312" w:eastAsia="仿宋_GB2312" w:cs="仿宋_GB2312"/>
                <w:b/>
                <w:bCs/>
                <w:color w:val="000000"/>
                <w:kern w:val="0"/>
                <w:sz w:val="20"/>
              </w:rPr>
              <w:t>二、安全设备</w:t>
            </w:r>
          </w:p>
        </w:tc>
      </w:tr>
      <w:tr>
        <w:tblPrEx>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1</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Style w:val="78"/>
                <w:rFonts w:hint="default" w:ascii="仿宋_GB2312" w:hAnsi="仿宋_GB2312" w:eastAsia="仿宋_GB2312" w:cs="仿宋_GB2312"/>
              </w:rPr>
              <w:t>流量检测探针</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1.功能综述。部署流量检测探针，实现攻击检测、僵木蠕检测、DDoS 检测、恶意程序检测、APT检测、WEB 安全检测、虚拟沙箱、元数据提取、流量分析等安全监测功能，内置AI模型，可以针对各类隐蔽隧道和变形指令进行监控。</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2.流量采集。流量检测探针支持流量采集，能够解析常见的网络协议和工控物联网协议，具备IPv4及IPv6的双栈流量解析能力，可通过页面上传、FTP 协议传输等方式导入离线流量数据，并进行威胁分析。</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3.流量回溯。流量检测探针支持流量回溯，能够对深度解析的协议进行存储，存储数据类型至少包括：会话日志、流量日志、告警日志、原始 pcap 流量包、恶意样本等，并提供文件查询接口，满足网络安全态势感知平台溯源取证要求。</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4.威胁检测。流量检测探针支持威胁检测，覆盖多种攻击检测，至少包括 WEB 应用检测、恶意文件检测、动态文件检测、APT 攻击检测、5G 安全检测、异常行为检测、抗逃逸攻击检测、应用服务爆破检测、数据库安全检测等。</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5.渗透工具识别。流量检测探针支持渗透工具识别，能够识别常用的渗透工具攻击，包括但不限于 CobaltStrike、冰蝎 4.0、哥斯拉、蚁剑等加密 webshell 攻击工具。</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6.敏感信息检测。流量检测探针支持敏感信息检测，可以识别http 报文、数据库报文、文件、图片中的敏感信息，包括但不限于：身份证号、手机号、姓名、邮箱、地址等信息，并支持自定义敏感数据识别规则。</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7.▲功能性指标。内存不低于128G，存储硬盘不低于 20T，万兆光口不少于 2 个，网络层吞吐量不低于 10Gbps，具备协议还原、文件检测和请求指令检测能力，支持 PCAP 包的留存，兼容常见的网络层和应用层协议。</w:t>
            </w:r>
          </w:p>
          <w:p>
            <w:pPr>
              <w:widowControl/>
              <w:jc w:val="left"/>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themeColor="text1"/>
                <w:kern w:val="0"/>
                <w:sz w:val="20"/>
                <w14:textFill>
                  <w14:solidFill>
                    <w14:schemeClr w14:val="tx1"/>
                  </w14:solidFill>
                </w14:textFill>
              </w:rPr>
              <w:t>注：▲能够与省应急厅态势感知汇聚平台无缝对接，支持安全日志上传，能够接收态势感知平台的集中管理。提供相应承诺。</w:t>
            </w:r>
          </w:p>
        </w:tc>
      </w:tr>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2</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Style w:val="78"/>
                <w:rFonts w:hint="default" w:ascii="仿宋_GB2312" w:hAnsi="仿宋_GB2312" w:eastAsia="仿宋_GB2312" w:cs="仿宋_GB2312"/>
              </w:rPr>
              <w:t>SDWAN网关（边界侧）</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1.功能综述。SD-WAN 网关以软件定义广域网技术和真随机Bit编码技术为核心，建立安全可靠、容灾抗毁的逻辑通信网络，帮助不同区域、不同网络的人和设备进行互联互通。SD-WAN 网关分为边缘节点和中心节点，边缘节点用于在应急救援现场、移动办公驻所、执法检查场地等边缘区域建设临时性的安全局域网，连通各类终端和通信基站；中心节点部署在后方指挥部、总部基地等区域，与边缘节点配合建立广域网安全传输隧道，实现流量汇聚和无障碍通信。</w:t>
            </w:r>
          </w:p>
          <w:p>
            <w:pPr>
              <w:widowControl/>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2.极简组网。SD-WAN 网关支持极简组网，能够根据使用场景进 行二层、大二层和三层组网，三层组网协议包括静态路由协议、OSPF协议和BGP协议等，可以通过一键部署快速建立 Full-Mesh和Spoke-Hub，内置DNS代理模块，基于不同的虚拟隧道分配不同的DNS服务。SD-WAN 网关能够适应复杂物理链路环境，边缘节点支持在物理网络上切分不同的虚拟隧道，与中心节点进行配合，实现一对多、多对一和多对多的复杂访问，具备多层网络嵌套组网的能力。</w:t>
            </w:r>
          </w:p>
          <w:p>
            <w:pPr>
              <w:widowControl/>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3.智能选路。SD-WAN 网关支持智能选路，边缘节点可以对当前链路的传输质量进行实时监测，基于带宽、时延、丢包率等因素设置单一规则或综合规则，对访问路径进行自动切换。当处于重大保障场景时，SD-WAN网关可以进入广域网传输路径保护模式，在边缘节点和中心节点上预先设置多条不同的传输路径，进行主备传输和均衡传输，当任一链路发生故障时，流量自动分担到其他正常链路中。</w:t>
            </w:r>
          </w:p>
          <w:p>
            <w:pPr>
              <w:widowControl/>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4.多路共用。SD-WAN 网关支持多路共用，边缘节点能够将数据包按照使用物理线路的数量进行等比例复制，通过不同的物理线路发送相同的数据包，中心节点接收后进行去重处理，增强复杂环境下的传输可靠性，保障视频会议、语音通信、图像回传等时延敏感业务的可用性，物理链路类型涵盖 4G/5G、以太网、卫星链路等。</w:t>
            </w:r>
          </w:p>
          <w:p>
            <w:pPr>
              <w:widowControl/>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5.信源编码。SD-WAN 网关支持信源编码，内置专用的随机数交换板卡和随机数存储介质，用于向 SD-WAN 控制台申请和存储真随机数，边缘节点通过真随机数对传输比特进行XOR编码运算，采用端到端传输模式，全程不进行任何解码操作，只在中心节点进行反向解码，还原传输数据，能够效对抗信道侦听、密钥劫持和量子攻击等新型入侵手段。SD-WAN 网关的信源编码范围包括业务链路和控制链路，可根据应急救援场景的中实际物理带宽自定义配置编码强度、编码范围和编码模式，实现业务与安全的灵活平衡。</w:t>
            </w:r>
          </w:p>
          <w:p>
            <w:pPr>
              <w:widowControl/>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6.传输优化。SD-WAN 网关支持传输优化，针对TCP协议的重传机制、滑动窗口、流量控制、拥堵控制等机制进行优化修正，降低等待和重传时间，通过 UDP+TCP 的双重封装模式，增强链路穿透性，避免巨型帧的切割拆分，大幅度增强视频、音频、图像类业务的稳定性。同时，SD-WAN 网关能够对接第三方提供的链路优化服务，边缘节点和中心节点接入云端 POP 网络加速节点，以专线方式在骨干网汇聚节点进行传输，规避跨省访问、跨运营商访问时的链路阻塞问题。</w:t>
            </w:r>
          </w:p>
          <w:p>
            <w:pPr>
              <w:widowControl/>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7.访问控制。SD-WAN 网关支持访问控制，可以提供丰富的五元 组控制策略，根据源IP、目的IP、源端口、目的端口和协议进行自由 组合，能够根据业务需要划分安全域，隔离不同区域内部的访问流量，并且记录详细的会话访问日志。</w:t>
            </w:r>
          </w:p>
          <w:p>
            <w:pPr>
              <w:widowControl/>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8.身份认证。SD-WAN 网关支持身份认证，能够基于账户密码+短信验证码的双因子认证，可以与用户自建 LDAP 服务器和RADIUS服务 器进行联动认证，同时支持 MAC 识别，通过绑定设备 MAC 地址进行认证管控，并且记录详细的认证登录日志。</w:t>
            </w:r>
          </w:p>
          <w:p>
            <w:pPr>
              <w:widowControl/>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9.环境适应。SD-WAN 网关支持环境适应，可以根据实际场景更 换外壳，适应高温、结冰、风沙、暴雨、潮湿等不同救援环境，保护内部系统稳定运行，具备多模组自由更换能力，针对不同的场景选用4G/5G 模组、Wifi 模组、卫星模组和以太网模组等。</w:t>
            </w:r>
          </w:p>
          <w:p>
            <w:pPr>
              <w:widowControl/>
              <w:jc w:val="left"/>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10.功能性指标。边缘侧SD-WAN网关：网口数量不少于4个，具备4G/5G和Wifi能力。使用SD-WAN技术与中心侧SD-WAN 网关进行通信，支持传输加密，具有视音频业务优化能力，支持IPv4/IPv6 双栈工作模式。</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宋体" w:hAnsi="宋体" w:cs="宋体"/>
                <w:kern w:val="0"/>
                <w:sz w:val="18"/>
                <w:szCs w:val="18"/>
              </w:rPr>
              <w:t>▲能够被上级部门SD-WAN网关控制台管理。</w:t>
            </w:r>
            <w:r>
              <w:rPr>
                <w:rFonts w:hint="eastAsia"/>
                <w:sz w:val="20"/>
              </w:rPr>
              <w:t>提供相应承诺。</w:t>
            </w:r>
          </w:p>
        </w:tc>
      </w:tr>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kern w:val="0"/>
                <w:sz w:val="20"/>
              </w:rPr>
              <w:t>3</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0"/>
              </w:rPr>
            </w:pPr>
            <w:r>
              <w:rPr>
                <w:rStyle w:val="78"/>
                <w:rFonts w:hint="default" w:ascii="仿宋_GB2312" w:hAnsi="仿宋_GB2312" w:eastAsia="仿宋_GB2312" w:cs="仿宋_GB2312"/>
              </w:rPr>
              <w:t>违规外联检测探针</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1.功能综述。违规外联检测器用于为各个网络核心节点检测流 量合规情况，能够检测与其他网络的非法链接，阻断终端通过多网卡、WIFI、手机等多种方式网络非法外联访问。</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2.网络外联检测。违规外联检测器支持网络外联检测，能够检  测终端是否同时连接多个网络，可以自定义检测规则，匹配适应场景，并对违规信息进行展示，支持对于网络状态的判定，判断是否同时存在多网联通。</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3.网中网探测。违规外联检测器支持网中网检测，能够检测现  有网络中的 USB 网卡、笔记本热点、代理服务器等网络隔离手段，对多人共用 IP 的场景进行重点监控，并展示详情信息。</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4.网络串线发现。规外联检测探针支持网络串线发现，通过被  动流量审计的方式，对 IP 和 VLAN 信息进行深度分析，侦测非正常区域 可疑流量，发现私搭乱建交换机等行为，可以通过主动探测报文进行二次确认。</w:t>
            </w:r>
          </w:p>
          <w:p>
            <w:pPr>
              <w:widowControl/>
              <w:jc w:val="left"/>
              <w:textAlignment w:val="center"/>
              <w:rPr>
                <w:rFonts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5.功能性指标。万兆光口数量不少于 2 个，能够检测与其他网络的违规外联情况，支持 IPv4/IPv6 双栈工作模式,支持配置自定义检测规则。</w:t>
            </w:r>
          </w:p>
          <w:p>
            <w:pPr>
              <w:widowControl/>
              <w:jc w:val="left"/>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宋体" w:hAnsi="宋体" w:cs="宋体"/>
                <w:kern w:val="0"/>
                <w:sz w:val="18"/>
                <w:szCs w:val="18"/>
              </w:rPr>
              <w:t>▲</w:t>
            </w:r>
            <w:r>
              <w:rPr>
                <w:rFonts w:hint="eastAsia" w:ascii="宋体" w:hAnsi="宋体" w:cs="宋体"/>
                <w:kern w:val="0"/>
                <w:sz w:val="20"/>
              </w:rPr>
              <w:t>能够被上级部门违规外联检测控制台统一管理。</w:t>
            </w:r>
            <w:r>
              <w:rPr>
                <w:rFonts w:hint="eastAsia"/>
                <w:sz w:val="20"/>
              </w:rPr>
              <w:t>提供相应承诺。</w:t>
            </w:r>
          </w:p>
        </w:tc>
      </w:tr>
      <w:tr>
        <w:tblPrEx>
          <w:tblCellMar>
            <w:top w:w="0" w:type="dxa"/>
            <w:left w:w="108" w:type="dxa"/>
            <w:bottom w:w="0" w:type="dxa"/>
            <w:right w:w="108" w:type="dxa"/>
          </w:tblCellMar>
        </w:tblPrEx>
        <w:trPr>
          <w:trHeight w:val="555"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kern w:val="0"/>
                <w:sz w:val="20"/>
                <w14:textFill>
                  <w14:solidFill>
                    <w14:schemeClr w14:val="tx1"/>
                  </w14:solidFill>
                </w14:textFill>
              </w:rPr>
              <w:t>4</w:t>
            </w:r>
          </w:p>
        </w:tc>
        <w:tc>
          <w:tcPr>
            <w:tcW w:w="1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0"/>
                <w14:textFill>
                  <w14:solidFill>
                    <w14:schemeClr w14:val="tx1"/>
                  </w14:solidFill>
                </w14:textFill>
              </w:rPr>
            </w:pPr>
            <w:r>
              <w:rPr>
                <w:rStyle w:val="78"/>
                <w:rFonts w:hint="default" w:ascii="仿宋_GB2312" w:hAnsi="仿宋_GB2312" w:eastAsia="仿宋_GB2312" w:cs="仿宋_GB2312"/>
                <w:color w:val="000000" w:themeColor="text1"/>
                <w14:textFill>
                  <w14:solidFill>
                    <w14:schemeClr w14:val="tx1"/>
                  </w14:solidFill>
                </w14:textFill>
              </w:rPr>
              <w:t>终端准入网关</w:t>
            </w:r>
          </w:p>
        </w:tc>
        <w:tc>
          <w:tcPr>
            <w:tcW w:w="6101"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1.功能综述。终端准入网关用于为桌面 PC、打印机、视频会议 终端等设备提供指纹识别、设备准入、访问控制的能力，对入网终端设 备进行控制管理，解决了终端设备类型不清，数量不准确，人员身份不明，终端安全风险未知、终端故障排查困难等问题。</w:t>
            </w:r>
          </w:p>
          <w:p>
            <w:pP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2.设备控制。终端准入网关支持设备控制，内置设备指纹特征  库，能够对网络中的各种智能设备、物联设备进行识别，形成设备登记注册表，放行在册合法设备，可以适应 IPv6 和 IPv4 双栈环境。</w:t>
            </w:r>
          </w:p>
          <w:p>
            <w:pP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3.规则自定义。终端准入网关支持规则自定义，可以设置不同  的终端准入规范满足不同场景的设备接入需求，具备流程化规则设计能力。</w:t>
            </w:r>
          </w:p>
          <w:p>
            <w:pP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4.攻击定位。终端准入网关支持攻击定位，内置攻击特征库， 可以实时检测 2-7 层的各种攻击行为，发现入侵流量时联动进行封禁，能够形成相应的攻击检测日志，进行二次确认。</w:t>
            </w:r>
          </w:p>
          <w:p>
            <w:pP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color w:val="000000" w:themeColor="text1"/>
                <w:sz w:val="20"/>
                <w14:textFill>
                  <w14:solidFill>
                    <w14:schemeClr w14:val="tx1"/>
                  </w14:solidFill>
                </w14:textFill>
              </w:rPr>
              <w:t>5.</w:t>
            </w:r>
            <w:r>
              <w:rPr>
                <w:rFonts w:hint="eastAsia" w:ascii="仿宋_GB2312" w:hAnsi="仿宋_GB2312" w:eastAsia="仿宋_GB2312" w:cs="仿宋_GB2312"/>
                <w:color w:val="000000" w:themeColor="text1"/>
                <w:kern w:val="0"/>
                <w:sz w:val="20"/>
                <w14:textFill>
                  <w14:solidFill>
                    <w14:schemeClr w14:val="tx1"/>
                  </w14:solidFill>
                </w14:textFill>
              </w:rPr>
              <w:t>▲</w:t>
            </w:r>
            <w:r>
              <w:rPr>
                <w:rFonts w:hint="eastAsia" w:ascii="仿宋_GB2312" w:hAnsi="仿宋_GB2312" w:eastAsia="仿宋_GB2312" w:cs="仿宋_GB2312"/>
                <w:color w:val="000000" w:themeColor="text1"/>
                <w:sz w:val="20"/>
                <w14:textFill>
                  <w14:solidFill>
                    <w14:schemeClr w14:val="tx1"/>
                  </w14:solidFill>
                </w14:textFill>
              </w:rPr>
              <w:t xml:space="preserve">功能性指标。硬件规格：交流冗余电源，内存≧16G，万兆光口≥2 个，网络层吞吐量≧3Gbps，可交互终端≧500。对入网终端进行管控，支持 IPv4/IPv6 双栈工作模式，支持bypass 功能。 </w:t>
            </w:r>
          </w:p>
          <w:p>
            <w:pPr>
              <w:rPr>
                <w:rFonts w:ascii="仿宋_GB2312" w:hAnsi="仿宋_GB2312" w:eastAsia="仿宋_GB2312" w:cs="仿宋_GB2312"/>
                <w:color w:val="000000" w:themeColor="text1"/>
                <w:sz w:val="20"/>
                <w14:textFill>
                  <w14:solidFill>
                    <w14:schemeClr w14:val="tx1"/>
                  </w14:solidFill>
                </w14:textFill>
              </w:rPr>
            </w:pPr>
            <w:r>
              <w:rPr>
                <w:rFonts w:hint="eastAsia" w:ascii="仿宋_GB2312" w:hAnsi="仿宋_GB2312" w:eastAsia="仿宋_GB2312" w:cs="仿宋_GB2312"/>
                <w:sz w:val="20"/>
              </w:rPr>
              <w:t xml:space="preserve"> </w:t>
            </w:r>
            <w:r>
              <w:rPr>
                <w:rFonts w:hint="eastAsia"/>
                <w:sz w:val="20"/>
              </w:rPr>
              <w:t>注：</w:t>
            </w:r>
            <w:r>
              <w:rPr>
                <w:rFonts w:hint="eastAsia" w:ascii="宋体" w:hAnsi="宋体" w:cs="宋体"/>
                <w:sz w:val="20"/>
              </w:rPr>
              <w:t>▲</w:t>
            </w:r>
            <w:r>
              <w:rPr>
                <w:rFonts w:hint="eastAsia"/>
                <w:sz w:val="20"/>
              </w:rPr>
              <w:t>能够与省应急厅态势感知汇聚平台无缝对接，支持安全日志上传。提供相应承诺。</w:t>
            </w:r>
          </w:p>
        </w:tc>
      </w:tr>
    </w:tbl>
    <w:p>
      <w:pP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注：</w:t>
      </w:r>
    </w:p>
    <w:p>
      <w:pPr>
        <w:ind w:firstLine="211" w:firstLineChars="100"/>
        <w:rPr>
          <w:rFonts w:ascii="仿宋_GB2312" w:hAnsi="仿宋_GB2312" w:eastAsia="仿宋_GB2312" w:cs="仿宋_GB2312"/>
          <w:b/>
          <w:bCs/>
        </w:rPr>
      </w:pPr>
      <w:r>
        <w:rPr>
          <w:rFonts w:hint="eastAsia" w:ascii="仿宋_GB2312" w:hAnsi="仿宋_GB2312" w:eastAsia="仿宋_GB2312" w:cs="仿宋_GB2312"/>
          <w:b/>
          <w:bCs/>
        </w:rPr>
        <w:t>1、权威检测机构是指具有CNAS、CMA、ILAC-MRA其中之一及以上认证标志的专业检测机构。</w:t>
      </w:r>
    </w:p>
    <w:p>
      <w:pPr>
        <w:ind w:firstLine="211" w:firstLineChars="100"/>
        <w:rPr>
          <w:rFonts w:ascii="仿宋_GB2312" w:hAnsi="仿宋_GB2312" w:eastAsia="仿宋_GB2312" w:cs="仿宋_GB2312"/>
          <w:b/>
          <w:bCs/>
        </w:rPr>
      </w:pPr>
      <w:r>
        <w:rPr>
          <w:rFonts w:hint="eastAsia" w:ascii="仿宋_GB2312" w:hAnsi="仿宋_GB2312" w:eastAsia="仿宋_GB2312" w:cs="仿宋_GB2312"/>
          <w:b/>
          <w:bCs/>
        </w:rPr>
        <w:t>2、上述投标人提供的盖有投标人公章的相关承诺，如中标人实际实施中不能做到，采购人有权单方面解除合同，并依法追究相关责任。</w:t>
      </w:r>
    </w:p>
    <w:p>
      <w:pPr>
        <w:pStyle w:val="2"/>
        <w:ind w:firstLine="0" w:firstLineChars="0"/>
      </w:pPr>
    </w:p>
    <w:p>
      <w:pPr>
        <w:pStyle w:val="2"/>
        <w:ind w:firstLine="460"/>
        <w:rPr>
          <w:rFonts w:ascii="仿宋_GB2312" w:hAnsi="仿宋_GB2312" w:eastAsia="仿宋_GB2312" w:cs="仿宋_GB2312"/>
          <w:color w:val="FF0000"/>
        </w:rPr>
      </w:pPr>
      <w:r>
        <w:rPr>
          <w:rFonts w:hint="eastAsia" w:ascii="仿宋_GB2312" w:hAnsi="仿宋_GB2312" w:eastAsia="仿宋_GB2312" w:cs="仿宋_GB2312"/>
          <w:color w:val="000000" w:themeColor="text1"/>
          <w14:textFill>
            <w14:solidFill>
              <w14:schemeClr w14:val="tx1"/>
            </w14:solidFill>
          </w14:textFill>
        </w:rPr>
        <w:t>4.3信创操作电脑技术要求：</w:t>
      </w:r>
    </w:p>
    <w:p>
      <w:pPr>
        <w:spacing w:line="288" w:lineRule="auto"/>
        <w:rPr>
          <w:rFonts w:ascii="仿宋_GB2312" w:hAnsi="仿宋_GB2312" w:eastAsia="仿宋_GB2312" w:cs="仿宋_GB2312"/>
          <w:color w:val="000000"/>
          <w:sz w:val="24"/>
          <w:szCs w:val="24"/>
        </w:rPr>
      </w:pPr>
    </w:p>
    <w:tbl>
      <w:tblPr>
        <w:tblStyle w:val="24"/>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25"/>
        <w:gridCol w:w="170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7" w:type="dxa"/>
          </w:tcPr>
          <w:p>
            <w:pPr>
              <w:jc w:val="center"/>
              <w:rPr>
                <w:rFonts w:ascii="仿宋_GB2312" w:hAnsi="宋体" w:eastAsia="仿宋_GB2312" w:cs="Times New Roman"/>
                <w:b/>
                <w:szCs w:val="21"/>
              </w:rPr>
            </w:pPr>
            <w:r>
              <w:rPr>
                <w:rFonts w:hint="eastAsia" w:ascii="仿宋_GB2312" w:hAnsi="宋体" w:eastAsia="仿宋_GB2312" w:cs="Times New Roman"/>
                <w:b/>
                <w:szCs w:val="21"/>
              </w:rPr>
              <w:t>序号</w:t>
            </w:r>
          </w:p>
        </w:tc>
        <w:tc>
          <w:tcPr>
            <w:tcW w:w="1025" w:type="dxa"/>
          </w:tcPr>
          <w:p>
            <w:pPr>
              <w:rPr>
                <w:rFonts w:ascii="仿宋_GB2312" w:hAnsi="宋体" w:eastAsia="仿宋_GB2312" w:cs="Times New Roman"/>
                <w:b/>
                <w:szCs w:val="21"/>
              </w:rPr>
            </w:pPr>
            <w:r>
              <w:rPr>
                <w:rFonts w:hint="eastAsia" w:ascii="仿宋_GB2312" w:hAnsi="宋体" w:eastAsia="仿宋_GB2312" w:cs="Times New Roman"/>
                <w:b/>
                <w:szCs w:val="21"/>
              </w:rPr>
              <w:t>一级指标</w:t>
            </w:r>
          </w:p>
        </w:tc>
        <w:tc>
          <w:tcPr>
            <w:tcW w:w="1700" w:type="dxa"/>
          </w:tcPr>
          <w:p>
            <w:pPr>
              <w:rPr>
                <w:rFonts w:ascii="仿宋_GB2312" w:hAnsi="宋体" w:eastAsia="仿宋_GB2312" w:cs="Times New Roman"/>
                <w:b/>
                <w:bCs/>
                <w:szCs w:val="21"/>
              </w:rPr>
            </w:pPr>
            <w:r>
              <w:rPr>
                <w:rFonts w:hint="eastAsia" w:ascii="仿宋_GB2312" w:hAnsi="宋体" w:eastAsia="仿宋_GB2312" w:cs="Times New Roman"/>
                <w:b/>
                <w:bCs/>
                <w:szCs w:val="21"/>
              </w:rPr>
              <w:t>二级指标</w:t>
            </w:r>
          </w:p>
        </w:tc>
        <w:tc>
          <w:tcPr>
            <w:tcW w:w="5225" w:type="dxa"/>
          </w:tcPr>
          <w:p>
            <w:pPr>
              <w:rPr>
                <w:rFonts w:ascii="仿宋_GB2312" w:hAnsi="宋体" w:eastAsia="仿宋_GB2312" w:cs="Times New Roman"/>
                <w:szCs w:val="21"/>
              </w:rPr>
            </w:pPr>
            <w:r>
              <w:rPr>
                <w:rFonts w:hint="eastAsia" w:ascii="仿宋_GB2312" w:hAnsi="宋体" w:eastAsia="仿宋_GB2312" w:cs="Times New Roman"/>
                <w:b/>
                <w:szCs w:val="21"/>
              </w:rPr>
              <w:t>详细技术参数（“</w:t>
            </w:r>
            <w:r>
              <w:rPr>
                <w:rFonts w:hint="eastAsia" w:ascii="仿宋_GB2312" w:hAnsi="宋体" w:eastAsia="仿宋_GB2312" w:cs="Times New Roman"/>
                <w:szCs w:val="21"/>
              </w:rPr>
              <w:t>▲</w:t>
            </w:r>
            <w:r>
              <w:rPr>
                <w:rFonts w:hint="eastAsia" w:ascii="仿宋_GB2312" w:hAnsi="宋体" w:eastAsia="仿宋_GB2312" w:cs="Times New Roman"/>
                <w:b/>
                <w:szCs w:val="21"/>
              </w:rPr>
              <w:t>”项为实质性响应要求，不允许负偏离）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CPU规格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▲CPU信息</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型号≥麒麟</w:t>
            </w:r>
            <w:r>
              <w:rPr>
                <w:rFonts w:ascii="仿宋_GB2312" w:hAnsi="宋体" w:eastAsia="仿宋_GB2312" w:cs="Times New Roman"/>
                <w:szCs w:val="21"/>
              </w:rPr>
              <w:t>990，CPU核数≥8核、最高主频≥2.86GHz，热设计功耗≤10W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内存规格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▲内存配置容量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w:t>
            </w:r>
            <w:r>
              <w:rPr>
                <w:rFonts w:ascii="仿宋_GB2312" w:hAnsi="宋体" w:eastAsia="仿宋_GB2312" w:cs="Times New Roman"/>
                <w:szCs w:val="21"/>
              </w:rPr>
              <w:t>8</w:t>
            </w:r>
            <w:r>
              <w:rPr>
                <w:rFonts w:hint="eastAsia" w:ascii="仿宋_GB2312" w:hAnsi="宋体" w:eastAsia="仿宋_GB2312" w:cs="Times New Roman"/>
                <w:szCs w:val="21"/>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▲内存类型</w:t>
            </w:r>
          </w:p>
        </w:tc>
        <w:tc>
          <w:tcPr>
            <w:tcW w:w="5225" w:type="dxa"/>
          </w:tcPr>
          <w:p>
            <w:pPr>
              <w:rPr>
                <w:rFonts w:ascii="仿宋_GB2312" w:hAnsi="宋体" w:eastAsia="仿宋_GB2312" w:cs="Times New Roman"/>
                <w:szCs w:val="21"/>
              </w:rPr>
            </w:pPr>
            <w:r>
              <w:rPr>
                <w:rFonts w:ascii="仿宋_GB2312" w:hAnsi="宋体" w:eastAsia="仿宋_GB2312" w:cs="Times New Roman"/>
                <w:szCs w:val="21"/>
              </w:rPr>
              <w:t>LPDDR4X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▲内存条配置数量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主板规格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▲主板集成模块</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集成资源扩展模块、计算处理模块、音频扩展模块等，主板的互联拓扑可通过处理器或交换电路实现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▲主板支持的CPU和内存情况</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≥麒麟</w:t>
            </w:r>
            <w:r>
              <w:rPr>
                <w:rFonts w:ascii="仿宋_GB2312" w:hAnsi="宋体" w:eastAsia="仿宋_GB2312" w:cs="Times New Roman"/>
                <w:szCs w:val="21"/>
              </w:rPr>
              <w:t>990</w:t>
            </w:r>
            <w:r>
              <w:rPr>
                <w:rFonts w:hint="eastAsia" w:ascii="仿宋_GB2312" w:hAnsi="宋体" w:eastAsia="仿宋_GB2312" w:cs="Times New Roman"/>
                <w:szCs w:val="21"/>
              </w:rPr>
              <w:t xml:space="preserve">，≥8G </w:t>
            </w:r>
            <w:r>
              <w:rPr>
                <w:rFonts w:ascii="仿宋_GB2312" w:hAnsi="宋体" w:eastAsia="仿宋_GB2312" w:cs="Times New Roman"/>
                <w:szCs w:val="21"/>
              </w:rPr>
              <w:t>LPDDR4X</w:t>
            </w:r>
            <w:r>
              <w:rPr>
                <w:rFonts w:hint="eastAsia" w:ascii="仿宋_GB2312" w:hAnsi="宋体" w:eastAsia="仿宋_GB2312" w:cs="Times New Roman"/>
                <w:szCs w:val="21"/>
              </w:rPr>
              <w:t>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▲主板其他内置接口</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SATA3.0接口</w:t>
            </w:r>
            <w:r>
              <w:rPr>
                <w:rFonts w:hint="eastAsia" w:ascii="仿宋_GB2312" w:hAnsi="Times New Roman" w:eastAsia="仿宋_GB2312" w:cs="Times New Roman"/>
                <w:szCs w:val="21"/>
              </w:rPr>
              <w:t>≥</w:t>
            </w:r>
            <w:r>
              <w:rPr>
                <w:rFonts w:ascii="仿宋_GB2312" w:hAnsi="宋体" w:eastAsia="仿宋_GB2312" w:cs="Times New Roman"/>
                <w:szCs w:val="21"/>
              </w:rPr>
              <w:t>2</w:t>
            </w:r>
            <w:r>
              <w:rPr>
                <w:rFonts w:hint="eastAsia" w:ascii="仿宋_GB2312" w:hAnsi="宋体" w:eastAsia="仿宋_GB2312" w:cs="Times New Roman"/>
                <w:szCs w:val="21"/>
              </w:rPr>
              <w:t>、M.2接口</w:t>
            </w:r>
            <w:r>
              <w:rPr>
                <w:rFonts w:hint="eastAsia" w:ascii="仿宋_GB2312" w:hAnsi="Times New Roman" w:eastAsia="仿宋_GB2312" w:cs="Times New Roman"/>
                <w:szCs w:val="21"/>
              </w:rPr>
              <w:t>≥</w:t>
            </w:r>
            <w:r>
              <w:rPr>
                <w:rFonts w:hint="eastAsia" w:ascii="仿宋_GB2312" w:hAnsi="宋体" w:eastAsia="仿宋_GB2312" w:cs="Times New Roman"/>
                <w:szCs w:val="21"/>
              </w:rPr>
              <w:t>1、USB 接口</w:t>
            </w:r>
            <w:r>
              <w:rPr>
                <w:rFonts w:hint="eastAsia" w:ascii="仿宋_GB2312" w:hAnsi="Times New Roman" w:eastAsia="仿宋_GB2312" w:cs="Times New Roman"/>
                <w:szCs w:val="21"/>
              </w:rPr>
              <w:t>≥</w:t>
            </w:r>
            <w:r>
              <w:rPr>
                <w:rFonts w:ascii="仿宋_GB2312" w:hAnsi="宋体" w:eastAsia="仿宋_GB2312"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▲内存插槽满配时提供的最高内存总容量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存储设备规格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▲固态盘数量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▲固态存储容量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≥256GB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▲固态存储形态</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采用插卡或板载等形态，可选用符合M.2 或 2.5 寸 SATA 或 UFS 等标准的插卡形态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▲存储设备其他参数要求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a)固态盘应符合 SJ/T 11654 相关规定；</w:t>
            </w:r>
          </w:p>
          <w:p>
            <w:pPr>
              <w:rPr>
                <w:rFonts w:ascii="仿宋_GB2312" w:hAnsi="宋体" w:eastAsia="仿宋_GB2312" w:cs="Times New Roman"/>
                <w:szCs w:val="21"/>
              </w:rPr>
            </w:pPr>
            <w:r>
              <w:rPr>
                <w:rFonts w:hint="eastAsia" w:ascii="仿宋_GB2312" w:hAnsi="宋体" w:eastAsia="仿宋_GB2312" w:cs="Times New Roman"/>
                <w:szCs w:val="21"/>
              </w:rPr>
              <w:t>b)机械硬盘准备时间应不大于 30s；侧面固定螺丝孔数量可为 4 孔或 6 孔；工作状态环境温度应满足 5℃~55℃ ;其它参数应符合 GB/T 12628 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显卡规格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▲显卡类型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显示设备规格</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▲显示屏屏占比</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w:t>
            </w:r>
            <w:r>
              <w:rPr>
                <w:rFonts w:ascii="仿宋_GB2312" w:hAnsi="宋体" w:eastAsia="仿宋_GB2312" w:cs="Times New Roman"/>
                <w:szCs w:val="21"/>
              </w:rPr>
              <w:t>9</w:t>
            </w:r>
            <w:r>
              <w:rPr>
                <w:rFonts w:hint="eastAsia" w:ascii="仿宋_GB2312" w:hAnsi="宋体" w:eastAsia="仿宋_GB2312" w:cs="Times New Roman"/>
                <w:szCs w:val="21"/>
                <w:lang w:val="en-US" w:eastAsia="zh-CN"/>
              </w:rPr>
              <w:t>0</w:t>
            </w:r>
            <w:r>
              <w:rPr>
                <w:rFonts w:hint="eastAsia" w:ascii="仿宋_GB2312" w:hAnsi="宋体"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▲显示屏分辨率</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显示屏可视角度</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水平≥178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▲显示屏尺寸</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≥23.8 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▲显示屏屏幕比例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▲显示器外观颜色</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widowControl/>
              <w:rPr>
                <w:rFonts w:ascii="仿宋_GB2312" w:hAnsi="宋体" w:eastAsia="仿宋_GB2312" w:cs="Arial"/>
                <w:szCs w:val="21"/>
              </w:rPr>
            </w:pPr>
            <w:r>
              <w:rPr>
                <w:rFonts w:hint="eastAsia" w:ascii="仿宋_GB2312" w:hAnsi="宋体" w:eastAsia="仿宋_GB2312" w:cs="Arial"/>
                <w:szCs w:val="21"/>
              </w:rPr>
              <w:t>▲显示屏防蓝光</w:t>
            </w:r>
          </w:p>
        </w:tc>
        <w:tc>
          <w:tcPr>
            <w:tcW w:w="5225" w:type="dxa"/>
            <w:vAlign w:val="center"/>
          </w:tcPr>
          <w:p>
            <w:pPr>
              <w:widowControl/>
              <w:rPr>
                <w:rFonts w:ascii="仿宋_GB2312" w:hAnsi="宋体" w:eastAsia="仿宋_GB2312" w:cs="Arial"/>
                <w:szCs w:val="21"/>
              </w:rPr>
            </w:pPr>
            <w:r>
              <w:rPr>
                <w:rFonts w:ascii="仿宋_GB2312" w:hAnsi="宋体" w:eastAsia="仿宋_GB2312" w:cs="Arial"/>
                <w:szCs w:val="21"/>
              </w:rPr>
              <w:t>支持防蓝光模式，蓝光加权辐射亮度 比应≤0.0012W/(·cd·sr)（瓦每坎 特拉每球面度）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▲显示屏低频闪</w:t>
            </w:r>
          </w:p>
        </w:tc>
        <w:tc>
          <w:tcPr>
            <w:tcW w:w="5225" w:type="dxa"/>
            <w:vAlign w:val="center"/>
          </w:tcPr>
          <w:p>
            <w:pPr>
              <w:rPr>
                <w:rFonts w:ascii="仿宋_GB2312" w:hAnsi="宋体" w:eastAsia="仿宋_GB2312" w:cs="Arial"/>
                <w:szCs w:val="21"/>
              </w:rPr>
            </w:pPr>
            <w:r>
              <w:rPr>
                <w:rFonts w:hint="eastAsia" w:ascii="仿宋_GB2312" w:hAnsi="宋体" w:eastAsia="仿宋_GB2312" w:cs="Arial"/>
                <w:szCs w:val="21"/>
              </w:rPr>
              <w:t>显示屏应支持低频闪≤-35dB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▲显示屏防炫目</w:t>
            </w:r>
          </w:p>
        </w:tc>
        <w:tc>
          <w:tcPr>
            <w:tcW w:w="5225" w:type="dxa"/>
            <w:vAlign w:val="center"/>
          </w:tcPr>
          <w:p>
            <w:pPr>
              <w:rPr>
                <w:rFonts w:ascii="仿宋_GB2312" w:hAnsi="宋体" w:eastAsia="仿宋_GB2312" w:cs="Arial"/>
                <w:szCs w:val="21"/>
              </w:rPr>
            </w:pPr>
            <w:r>
              <w:rPr>
                <w:rFonts w:hint="eastAsia" w:ascii="仿宋_GB2312" w:hAnsi="宋体" w:eastAsia="仿宋_GB2312" w:cs="Arial"/>
                <w:szCs w:val="21"/>
              </w:rPr>
              <w:t>显示屏镜面反射率≤10%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网络设备规格</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有线网卡数量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外部接口规格</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USB 接口数量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机箱前面板应提供不少于 3 个 USB3.0 接口，后面板不少于4个USB3.0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视频接口数量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音频接口数量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整机基础规格</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整机外观</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 产品表面不应有凹痕、划伤、裂缝、变形和污染等。表面涂层均匀，不应起泡、龟裂、脱落和磨损，金属零部件无锈蚀及其它机械损伤；</w:t>
            </w:r>
          </w:p>
          <w:p>
            <w:pPr>
              <w:rPr>
                <w:rFonts w:ascii="仿宋_GB2312" w:hAnsi="宋体" w:eastAsia="仿宋_GB2312" w:cs="Times New Roman"/>
                <w:szCs w:val="21"/>
              </w:rPr>
            </w:pPr>
            <w:r>
              <w:rPr>
                <w:rFonts w:hint="eastAsia" w:ascii="仿宋_GB2312" w:hAnsi="宋体" w:eastAsia="仿宋_GB2312" w:cs="Times New Roman"/>
                <w:szCs w:val="21"/>
              </w:rPr>
              <w:t>b) 产品表面说明功能的文字、符号、标志，应清晰、端正、牢固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状态指示灯</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在产品显著位置提供状态指示功能，如运行状态，并由供应商提供详细参数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整机结构</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 机箱应符合 GB/T 4208、GB/T 26246的相关规定；</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b) 产品内部结构应符合通用部件的安装需求；</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c) 所有输入输出接口应符合相关国家或行业标准；</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d) 产品零部件应紧固无松动，可插拔部件应可靠连接，开关、按钮和其它控制部件应灵活可靠，布局应方便使用；</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e) 所有 I/O 连接器及需插接线缆的部位应预留采购人操作空间，方便插拔解锁与插拔线缆；</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f) 可插拔板卡插槽部位应预留安装、拆卸或更换板卡空间；</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g) 拆装可能接触到的金属剪口或金属尖角部位应做防划伤处理，以保证安全；</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h) 整机内部走线应规整，固线结构和位置要合理可靠并做防割线处理，需便于理线和插拔操作，走线应不影响系统各主要部件组装和拆卸；</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i) 如需通过孔走线，过线孔应做防割线处理；</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j) 各插头位置和插拔方向应合理，应做到插拔无障碍设计，具备防呆设计，有效避免误操作；</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k) 各主要部件拆装无障碍，使用常规工具拆装，无特殊拆装工具需求；</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l) 各主要部件拆装步骤要少，各自拆装需避免相互干扰；</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m) 对于整机或零部件外表面为高亮面的，应粘贴保护膜，保护膜需粘贴牢固，运输、组装等过程不易脱落，撕下无残留；</w:t>
            </w:r>
          </w:p>
          <w:p>
            <w:pPr>
              <w:rPr>
                <w:rFonts w:ascii="仿宋_GB2312" w:hAnsi="宋体" w:eastAsia="仿宋_GB2312" w:cs="Times New Roman"/>
                <w:szCs w:val="21"/>
              </w:rPr>
            </w:pPr>
            <w:r>
              <w:rPr>
                <w:rFonts w:hint="eastAsia" w:ascii="仿宋_GB2312" w:hAnsi="宋体" w:eastAsia="仿宋_GB2312" w:cs="Times New Roman"/>
                <w:szCs w:val="21"/>
              </w:rPr>
              <w:t>n) 其它要求应符合 GB/T 9813.1 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机箱防护要求</w:t>
            </w:r>
          </w:p>
        </w:tc>
        <w:tc>
          <w:tcPr>
            <w:tcW w:w="5225" w:type="dxa"/>
          </w:tcPr>
          <w:p>
            <w:pPr>
              <w:rPr>
                <w:rFonts w:ascii="仿宋_GB2312" w:hAnsi="宋体" w:eastAsia="仿宋_GB2312" w:cs="Times New Roman"/>
                <w:szCs w:val="21"/>
                <w:highlight w:val="yellow"/>
              </w:rPr>
            </w:pPr>
            <w:r>
              <w:rPr>
                <w:rFonts w:hint="eastAsia" w:ascii="仿宋_GB2312" w:hAnsi="宋体" w:eastAsia="仿宋_GB2312" w:cs="Times New Roman"/>
                <w:szCs w:val="21"/>
              </w:rPr>
              <w:t>机箱应符合 GB/T 4208 中 IP20 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整机噪音</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产品工作在空闲状态下，产品的声功率级应不超过 4.5 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整机散热</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在环境温度 25℃及处理器满载情况下，产品表面温度应符合如下要求：</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 出风口在机箱后面板情况下，出风口温度不高于 55℃ ;</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b) 可触及面温度不高于 45℃ ;</w:t>
            </w:r>
          </w:p>
          <w:p>
            <w:pPr>
              <w:rPr>
                <w:rFonts w:ascii="仿宋_GB2312" w:hAnsi="宋体" w:eastAsia="仿宋_GB2312" w:cs="Times New Roman"/>
                <w:szCs w:val="21"/>
              </w:rPr>
            </w:pPr>
            <w:r>
              <w:rPr>
                <w:rFonts w:hint="eastAsia" w:ascii="仿宋_GB2312" w:hAnsi="宋体" w:eastAsia="仿宋_GB2312" w:cs="Times New Roman"/>
                <w:szCs w:val="21"/>
              </w:rPr>
              <w:t>c) 显示器表面温度：显示屏不高于38℃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整机能效限定值</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产品能效限定值应达到 GB 28380-2012标准中能效等级 1 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▲机身材质</w:t>
            </w:r>
          </w:p>
        </w:tc>
        <w:tc>
          <w:tcPr>
            <w:tcW w:w="5225" w:type="dxa"/>
          </w:tcPr>
          <w:p>
            <w:pPr>
              <w:rPr>
                <w:rFonts w:ascii="仿宋_GB2312" w:hAnsi="宋体" w:eastAsia="仿宋_GB2312" w:cs="Times New Roman"/>
                <w:szCs w:val="21"/>
                <w:highlight w:val="yellow"/>
              </w:rPr>
            </w:pPr>
            <w:r>
              <w:rPr>
                <w:rFonts w:hint="eastAsia" w:ascii="仿宋_GB2312" w:hAnsi="宋体" w:eastAsia="仿宋_GB2312" w:cs="Times New Roman"/>
                <w:szCs w:val="21"/>
              </w:rPr>
              <w:t>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机身颜色</w:t>
            </w:r>
          </w:p>
        </w:tc>
        <w:tc>
          <w:tcPr>
            <w:tcW w:w="5225" w:type="dxa"/>
          </w:tcPr>
          <w:p>
            <w:pPr>
              <w:rPr>
                <w:rFonts w:ascii="仿宋_GB2312" w:hAnsi="宋体" w:eastAsia="仿宋_GB2312" w:cs="Times New Roman"/>
                <w:szCs w:val="21"/>
                <w:highlight w:val="yellow"/>
              </w:rPr>
            </w:pPr>
            <w:r>
              <w:rPr>
                <w:rFonts w:hint="eastAsia" w:ascii="仿宋_GB2312" w:hAnsi="宋体" w:eastAsia="仿宋_GB2312" w:cs="Times New Roman"/>
                <w:szCs w:val="21"/>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机箱尺寸容量</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 xml:space="preserve">机箱体积应不大于 </w:t>
            </w:r>
            <w:r>
              <w:rPr>
                <w:rFonts w:ascii="仿宋_GB2312" w:hAnsi="宋体" w:eastAsia="仿宋_GB2312" w:cs="Times New Roman"/>
                <w:szCs w:val="21"/>
              </w:rPr>
              <w:t>10</w:t>
            </w:r>
            <w:r>
              <w:rPr>
                <w:rFonts w:hint="eastAsia" w:ascii="仿宋_GB2312" w:hAnsi="宋体" w:eastAsia="仿宋_GB2312" w:cs="Times New Roman"/>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CPU性能</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CPU 物理核数</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≥8核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CPU 主频</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▲CPU 末级缓存容量</w:t>
            </w:r>
          </w:p>
        </w:tc>
        <w:tc>
          <w:tcPr>
            <w:tcW w:w="5225" w:type="dxa"/>
          </w:tcPr>
          <w:p>
            <w:pPr>
              <w:rPr>
                <w:rFonts w:ascii="仿宋_GB2312" w:hAnsi="宋体" w:eastAsia="仿宋_GB2312" w:cs="Arial"/>
                <w:szCs w:val="21"/>
              </w:rPr>
            </w:pPr>
            <w:r>
              <w:rPr>
                <w:rFonts w:hint="eastAsia" w:ascii="仿宋_GB2312" w:hAnsi="宋体" w:eastAsia="仿宋_GB2312" w:cs="Arial"/>
                <w:szCs w:val="21"/>
              </w:rPr>
              <w:t>≥2MB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▲CPU 支持的内存最高速率</w:t>
            </w:r>
          </w:p>
        </w:tc>
        <w:tc>
          <w:tcPr>
            <w:tcW w:w="5225" w:type="dxa"/>
          </w:tcPr>
          <w:p>
            <w:pPr>
              <w:rPr>
                <w:rFonts w:ascii="仿宋_GB2312" w:hAnsi="宋体" w:eastAsia="仿宋_GB2312" w:cs="Arial"/>
                <w:szCs w:val="21"/>
              </w:rPr>
            </w:pPr>
            <w:r>
              <w:rPr>
                <w:rFonts w:hint="eastAsia" w:ascii="仿宋_GB2312" w:hAnsi="宋体" w:eastAsia="仿宋_GB2312" w:cs="Arial"/>
                <w:szCs w:val="21"/>
              </w:rPr>
              <w:t>≥</w:t>
            </w:r>
            <w:r>
              <w:rPr>
                <w:rFonts w:ascii="仿宋_GB2312" w:hAnsi="宋体" w:eastAsia="仿宋_GB2312" w:cs="Arial"/>
                <w:szCs w:val="21"/>
              </w:rPr>
              <w:t>3</w:t>
            </w:r>
            <w:r>
              <w:rPr>
                <w:rFonts w:hint="eastAsia" w:ascii="仿宋_GB2312" w:hAnsi="宋体" w:eastAsia="仿宋_GB2312" w:cs="Arial"/>
                <w:szCs w:val="21"/>
              </w:rPr>
              <w:t>6</w:t>
            </w:r>
            <w:r>
              <w:rPr>
                <w:rFonts w:ascii="仿宋_GB2312" w:hAnsi="宋体" w:eastAsia="仿宋_GB2312" w:cs="Arial"/>
                <w:szCs w:val="21"/>
              </w:rPr>
              <w:t>00</w:t>
            </w:r>
            <w:r>
              <w:rPr>
                <w:rFonts w:hint="eastAsia" w:ascii="仿宋_GB2312" w:hAnsi="宋体" w:eastAsia="仿宋_GB2312" w:cs="Arial"/>
                <w:szCs w:val="21"/>
              </w:rPr>
              <w:t>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内存性能</w:t>
            </w:r>
          </w:p>
        </w:tc>
        <w:tc>
          <w:tcPr>
            <w:tcW w:w="1700" w:type="dxa"/>
          </w:tcPr>
          <w:p>
            <w:pPr>
              <w:rPr>
                <w:rFonts w:ascii="仿宋_GB2312" w:hAnsi="宋体" w:eastAsia="仿宋_GB2312" w:cs="Arial"/>
                <w:szCs w:val="21"/>
              </w:rPr>
            </w:pPr>
            <w:r>
              <w:rPr>
                <w:rFonts w:hint="eastAsia" w:ascii="仿宋_GB2312" w:hAnsi="宋体" w:eastAsia="仿宋_GB2312" w:cs="Arial"/>
                <w:szCs w:val="21"/>
              </w:rPr>
              <w:t>▲内存读写速率</w:t>
            </w:r>
          </w:p>
        </w:tc>
        <w:tc>
          <w:tcPr>
            <w:tcW w:w="5225" w:type="dxa"/>
          </w:tcPr>
          <w:p>
            <w:pPr>
              <w:rPr>
                <w:rFonts w:ascii="仿宋_GB2312" w:hAnsi="宋体" w:eastAsia="仿宋_GB2312" w:cs="Arial"/>
                <w:szCs w:val="21"/>
              </w:rPr>
            </w:pPr>
            <w:r>
              <w:rPr>
                <w:rFonts w:hint="eastAsia" w:ascii="仿宋_GB2312" w:hAnsi="宋体" w:eastAsia="仿宋_GB2312" w:cs="Arial"/>
                <w:szCs w:val="21"/>
              </w:rPr>
              <w:t>≥</w:t>
            </w:r>
            <w:r>
              <w:rPr>
                <w:rFonts w:ascii="仿宋_GB2312" w:hAnsi="宋体" w:eastAsia="仿宋_GB2312" w:cs="Arial"/>
                <w:szCs w:val="21"/>
              </w:rPr>
              <w:t>3</w:t>
            </w:r>
            <w:r>
              <w:rPr>
                <w:rFonts w:hint="eastAsia" w:ascii="仿宋_GB2312" w:hAnsi="宋体" w:eastAsia="仿宋_GB2312" w:cs="Arial"/>
                <w:szCs w:val="21"/>
              </w:rPr>
              <w:t>6</w:t>
            </w:r>
            <w:r>
              <w:rPr>
                <w:rFonts w:ascii="仿宋_GB2312" w:hAnsi="宋体" w:eastAsia="仿宋_GB2312" w:cs="Arial"/>
                <w:szCs w:val="21"/>
              </w:rPr>
              <w:t>00</w:t>
            </w:r>
            <w:r>
              <w:rPr>
                <w:rFonts w:hint="eastAsia" w:ascii="仿宋_GB2312" w:hAnsi="宋体" w:eastAsia="仿宋_GB2312" w:cs="Arial"/>
                <w:szCs w:val="21"/>
              </w:rPr>
              <w:t>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显卡性能</w:t>
            </w:r>
          </w:p>
        </w:tc>
        <w:tc>
          <w:tcPr>
            <w:tcW w:w="1700" w:type="dxa"/>
          </w:tcPr>
          <w:p>
            <w:pPr>
              <w:rPr>
                <w:rFonts w:ascii="仿宋_GB2312" w:hAnsi="宋体" w:eastAsia="仿宋_GB2312" w:cs="Arial"/>
                <w:szCs w:val="21"/>
              </w:rPr>
            </w:pPr>
            <w:r>
              <w:rPr>
                <w:rFonts w:hint="eastAsia" w:ascii="仿宋_GB2312" w:hAnsi="宋体" w:eastAsia="仿宋_GB2312" w:cs="Arial"/>
                <w:szCs w:val="21"/>
              </w:rPr>
              <w:t>▲显示分辨率</w:t>
            </w:r>
          </w:p>
        </w:tc>
        <w:tc>
          <w:tcPr>
            <w:tcW w:w="5225" w:type="dxa"/>
          </w:tcPr>
          <w:p>
            <w:pPr>
              <w:rPr>
                <w:rFonts w:ascii="仿宋_GB2312" w:hAnsi="宋体" w:eastAsia="仿宋_GB2312" w:cs="Arial"/>
                <w:szCs w:val="21"/>
              </w:rPr>
            </w:pPr>
            <w:r>
              <w:rPr>
                <w:rFonts w:hint="eastAsia" w:ascii="仿宋_GB2312" w:hAnsi="宋体" w:eastAsia="仿宋_GB2312" w:cs="Arial"/>
                <w:szCs w:val="21"/>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▲显卡显示芯片核心频率</w:t>
            </w:r>
          </w:p>
        </w:tc>
        <w:tc>
          <w:tcPr>
            <w:tcW w:w="5225" w:type="dxa"/>
          </w:tcPr>
          <w:p>
            <w:pPr>
              <w:rPr>
                <w:rFonts w:ascii="仿宋_GB2312" w:hAnsi="宋体" w:eastAsia="仿宋_GB2312" w:cs="Arial"/>
                <w:szCs w:val="21"/>
              </w:rPr>
            </w:pPr>
            <w:r>
              <w:rPr>
                <w:rFonts w:hint="eastAsia" w:ascii="仿宋_GB2312" w:hAnsi="宋体" w:eastAsia="仿宋_GB2312" w:cs="Arial"/>
                <w:szCs w:val="21"/>
              </w:rPr>
              <w:t>≥300MHz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显存等效频率</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≥1000MT/s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Arial"/>
                <w:szCs w:val="21"/>
              </w:rPr>
            </w:pPr>
            <w:r>
              <w:rPr>
                <w:rFonts w:hint="eastAsia" w:ascii="仿宋_GB2312" w:hAnsi="宋体" w:eastAsia="仿宋_GB2312" w:cs="Arial"/>
                <w:szCs w:val="21"/>
              </w:rPr>
              <w:t>▲显卡可支持多屏同时显示数量</w:t>
            </w:r>
          </w:p>
        </w:tc>
        <w:tc>
          <w:tcPr>
            <w:tcW w:w="5225" w:type="dxa"/>
          </w:tcPr>
          <w:p>
            <w:pPr>
              <w:rPr>
                <w:rFonts w:ascii="仿宋_GB2312" w:hAnsi="宋体" w:eastAsia="仿宋_GB2312" w:cs="Arial"/>
                <w:szCs w:val="21"/>
              </w:rPr>
            </w:pPr>
            <w:r>
              <w:rPr>
                <w:rFonts w:hint="eastAsia" w:ascii="仿宋_GB2312" w:hAnsi="宋体" w:eastAsia="仿宋_GB2312" w:cs="Arial"/>
                <w:szCs w:val="21"/>
              </w:rPr>
              <w:t>显卡应支持 2 块屏幕同时显示，分辨率应不低于 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显示设备性能</w:t>
            </w: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▲显示屏刷新率</w:t>
            </w:r>
          </w:p>
        </w:tc>
        <w:tc>
          <w:tcPr>
            <w:tcW w:w="5225" w:type="dxa"/>
          </w:tcPr>
          <w:p>
            <w:pPr>
              <w:rPr>
                <w:rFonts w:ascii="仿宋_GB2312" w:hAnsi="宋体" w:eastAsia="仿宋_GB2312" w:cs="Arial"/>
                <w:szCs w:val="21"/>
              </w:rPr>
            </w:pPr>
            <w:r>
              <w:rPr>
                <w:rFonts w:hint="eastAsia" w:ascii="仿宋_GB2312" w:hAnsi="宋体" w:eastAsia="仿宋_GB2312" w:cs="Arial"/>
                <w:szCs w:val="21"/>
              </w:rPr>
              <w:t>≥75Hz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▲显示屏位深</w:t>
            </w:r>
          </w:p>
        </w:tc>
        <w:tc>
          <w:tcPr>
            <w:tcW w:w="5225" w:type="dxa"/>
          </w:tcPr>
          <w:p>
            <w:pPr>
              <w:rPr>
                <w:rFonts w:ascii="仿宋_GB2312" w:hAnsi="宋体" w:eastAsia="仿宋_GB2312" w:cs="Arial"/>
                <w:szCs w:val="21"/>
              </w:rPr>
            </w:pPr>
            <w:r>
              <w:rPr>
                <w:rFonts w:hint="eastAsia" w:ascii="仿宋_GB2312" w:hAnsi="宋体" w:eastAsia="仿宋_GB2312" w:cs="Arial"/>
                <w:szCs w:val="21"/>
              </w:rPr>
              <w:t>≥8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▲显示屏色域</w:t>
            </w:r>
          </w:p>
        </w:tc>
        <w:tc>
          <w:tcPr>
            <w:tcW w:w="5225" w:type="dxa"/>
          </w:tcPr>
          <w:p>
            <w:pPr>
              <w:rPr>
                <w:rFonts w:ascii="仿宋_GB2312" w:hAnsi="宋体" w:eastAsia="仿宋_GB2312" w:cs="Arial"/>
                <w:szCs w:val="21"/>
              </w:rPr>
            </w:pPr>
            <w:r>
              <w:rPr>
                <w:rFonts w:hint="eastAsia" w:ascii="仿宋_GB2312" w:hAnsi="宋体" w:eastAsia="仿宋_GB2312" w:cs="Arial"/>
                <w:szCs w:val="21"/>
              </w:rPr>
              <w:t>≥99% sRGB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▲显示屏色准</w:t>
            </w:r>
          </w:p>
        </w:tc>
        <w:tc>
          <w:tcPr>
            <w:tcW w:w="5225" w:type="dxa"/>
          </w:tcPr>
          <w:p>
            <w:pPr>
              <w:rPr>
                <w:rFonts w:ascii="仿宋_GB2312" w:hAnsi="宋体" w:eastAsia="仿宋_GB2312" w:cs="Arial"/>
                <w:szCs w:val="21"/>
              </w:rPr>
            </w:pPr>
            <w:r>
              <w:rPr>
                <w:rFonts w:hint="eastAsia" w:ascii="仿宋_GB2312" w:hAnsi="宋体" w:eastAsia="仿宋_GB2312" w:cs="Arial"/>
                <w:szCs w:val="21"/>
              </w:rPr>
              <w:t>△E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▲显示屏响应时间</w:t>
            </w:r>
          </w:p>
        </w:tc>
        <w:tc>
          <w:tcPr>
            <w:tcW w:w="5225" w:type="dxa"/>
          </w:tcPr>
          <w:p>
            <w:pPr>
              <w:rPr>
                <w:rFonts w:ascii="仿宋_GB2312" w:hAnsi="宋体" w:eastAsia="仿宋_GB2312" w:cs="Arial"/>
                <w:szCs w:val="21"/>
              </w:rPr>
            </w:pPr>
            <w:r>
              <w:rPr>
                <w:rFonts w:hint="eastAsia" w:ascii="仿宋_GB2312" w:hAnsi="宋体" w:eastAsia="仿宋_GB2312" w:cs="Arial"/>
                <w:szCs w:val="21"/>
              </w:rPr>
              <w:t>≤5ms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▲显示屏亮度</w:t>
            </w:r>
          </w:p>
        </w:tc>
        <w:tc>
          <w:tcPr>
            <w:tcW w:w="5225" w:type="dxa"/>
          </w:tcPr>
          <w:p>
            <w:pPr>
              <w:rPr>
                <w:rFonts w:ascii="仿宋_GB2312" w:hAnsi="宋体" w:eastAsia="仿宋_GB2312" w:cs="Arial"/>
                <w:szCs w:val="21"/>
              </w:rPr>
            </w:pPr>
            <w:r>
              <w:rPr>
                <w:rFonts w:hint="eastAsia" w:ascii="仿宋_GB2312" w:hAnsi="宋体" w:eastAsia="仿宋_GB2312" w:cs="Arial"/>
                <w:szCs w:val="21"/>
              </w:rPr>
              <w:t>≥250 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▲显示屏亮度一致性</w:t>
            </w:r>
          </w:p>
        </w:tc>
        <w:tc>
          <w:tcPr>
            <w:tcW w:w="5225" w:type="dxa"/>
          </w:tcPr>
          <w:p>
            <w:pPr>
              <w:rPr>
                <w:rFonts w:ascii="仿宋_GB2312" w:hAnsi="宋体" w:eastAsia="仿宋_GB2312" w:cs="Arial"/>
                <w:szCs w:val="21"/>
              </w:rPr>
            </w:pPr>
            <w:r>
              <w:rPr>
                <w:rFonts w:hint="eastAsia" w:ascii="仿宋_GB2312" w:hAnsi="宋体" w:eastAsia="仿宋_GB2312" w:cs="Arial"/>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▲显示屏对比度</w:t>
            </w:r>
          </w:p>
        </w:tc>
        <w:tc>
          <w:tcPr>
            <w:tcW w:w="5225" w:type="dxa"/>
          </w:tcPr>
          <w:p>
            <w:pPr>
              <w:rPr>
                <w:rFonts w:ascii="仿宋_GB2312" w:hAnsi="宋体" w:eastAsia="仿宋_GB2312" w:cs="Arial"/>
                <w:szCs w:val="21"/>
              </w:rPr>
            </w:pPr>
            <w:r>
              <w:rPr>
                <w:rFonts w:hint="eastAsia" w:ascii="仿宋_GB2312" w:hAnsi="宋体" w:eastAsia="仿宋_GB2312" w:cs="Arial"/>
                <w:szCs w:val="21"/>
              </w:rP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vAlign w:val="center"/>
          </w:tcPr>
          <w:p>
            <w:pPr>
              <w:rPr>
                <w:rFonts w:ascii="仿宋_GB2312" w:hAnsi="宋体" w:eastAsia="仿宋_GB2312" w:cs="Arial"/>
                <w:szCs w:val="21"/>
              </w:rPr>
            </w:pPr>
            <w:r>
              <w:rPr>
                <w:rFonts w:hint="eastAsia" w:ascii="仿宋_GB2312" w:hAnsi="宋体" w:eastAsia="仿宋_GB2312" w:cs="Arial"/>
                <w:szCs w:val="21"/>
              </w:rPr>
              <w:t>▲显示屏其他参数</w:t>
            </w:r>
          </w:p>
        </w:tc>
        <w:tc>
          <w:tcPr>
            <w:tcW w:w="5225" w:type="dxa"/>
          </w:tcPr>
          <w:p>
            <w:pPr>
              <w:rPr>
                <w:rFonts w:ascii="仿宋_GB2312" w:hAnsi="宋体" w:eastAsia="仿宋_GB2312" w:cs="Arial"/>
                <w:szCs w:val="21"/>
              </w:rPr>
            </w:pPr>
            <w:r>
              <w:rPr>
                <w:rFonts w:hint="eastAsia" w:ascii="仿宋_GB2312" w:hAnsi="宋体" w:eastAsia="仿宋_GB2312" w:cs="Arial"/>
                <w:szCs w:val="21"/>
              </w:rPr>
              <w:t>"其它参数应符合 SJ/T 11292 的相关规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网络设备性能</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有线网卡速率</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最高速率≥1000Mbps，支持10Mbps、100Mbps、1000Mbps 速率自适应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主板功能</w:t>
            </w:r>
          </w:p>
        </w:tc>
        <w:tc>
          <w:tcPr>
            <w:tcW w:w="1700" w:type="dxa"/>
          </w:tcPr>
          <w:p>
            <w:pPr>
              <w:rPr>
                <w:rFonts w:ascii="仿宋_GB2312" w:hAnsi="宋体" w:eastAsia="仿宋_GB2312" w:cs="Times New Roman"/>
                <w:szCs w:val="21"/>
              </w:rPr>
            </w:pPr>
            <w:r>
              <w:rPr>
                <w:rFonts w:hint="eastAsia" w:ascii="仿宋_GB2312" w:hAnsi="宋体" w:eastAsia="仿宋_GB2312" w:cs="Arial"/>
                <w:szCs w:val="21"/>
              </w:rPr>
              <w:t>▲</w:t>
            </w:r>
            <w:r>
              <w:rPr>
                <w:rFonts w:hint="eastAsia" w:ascii="仿宋_GB2312" w:hAnsi="宋体" w:eastAsia="仿宋_GB2312" w:cs="Times New Roman"/>
                <w:szCs w:val="21"/>
              </w:rPr>
              <w:t>内存扩展接口(板载内存不涉及)</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≥2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 USB瞬间过流保护</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支持有瞬间过流保护功能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▲主板防静电保护</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支持防静电保护功能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▲I/O 接口功能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显卡功能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▲显卡外接显示接口</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显卡至少支持 VGA、HDMI、DVI、DP、Type-C 中 1 种显示接口，并与显示器接口相匹配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显示设备功能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▲显示器接口</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显示器应与显卡外接显示接口匹配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▲显示器支架</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显示器应提供显示器支架，根据采购人需求支持屏幕旋转、升降等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▲显示器参数调节</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a)提供 OSD 选单按钮用于调节色彩、模式等；</w:t>
            </w:r>
          </w:p>
          <w:p>
            <w:pPr>
              <w:rPr>
                <w:rFonts w:ascii="仿宋_GB2312" w:hAnsi="宋体" w:eastAsia="仿宋_GB2312" w:cs="Times New Roman"/>
                <w:szCs w:val="21"/>
              </w:rPr>
            </w:pPr>
            <w:r>
              <w:rPr>
                <w:rFonts w:hint="eastAsia" w:ascii="仿宋_GB2312" w:hAnsi="宋体" w:eastAsia="仿宋_GB2312" w:cs="Times New Roman"/>
                <w:szCs w:val="21"/>
              </w:rPr>
              <w:t>b)支持色温、亮度、对比度调节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存储功能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▲存储功能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通过 SATA 固态存储/PCIe 固态存储/UFS 固态存储/SATA 硬磁盘等存储部件提供存储功能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网络设备功能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▲网络功能</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a)支持网络连接、网络开启/关闭功能；</w:t>
            </w:r>
          </w:p>
          <w:p>
            <w:pPr>
              <w:rPr>
                <w:rFonts w:ascii="仿宋_GB2312" w:hAnsi="宋体" w:eastAsia="仿宋_GB2312" w:cs="Times New Roman"/>
                <w:szCs w:val="21"/>
              </w:rPr>
            </w:pPr>
            <w:r>
              <w:rPr>
                <w:rFonts w:hint="eastAsia" w:ascii="仿宋_GB2312" w:hAnsi="宋体" w:eastAsia="仿宋_GB2312" w:cs="Times New Roman"/>
                <w:szCs w:val="21"/>
              </w:rPr>
              <w:t>b)支持访问网络和数据交换功能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▲数据传输</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支持数据传输能力，并提供数据流量和异常日志记录功能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▲有线网卡接口类型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 RJ45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▲网络设备拆装</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网络设备支持物理拆装，包括无线网卡和蓝牙模块等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外部接口功能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▲音频接口类型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 3.5mm 孔径 3 段式或 4 段式接口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▲视频接口类型</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至少支持 VGA、HDMI、DVI、DP、Type-C中 2 种显示接口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▲HDMI、DP、Type-C 显示接口要求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若提供 HDMI 或 DP 或 Type-C 作为显示接口，应支持音频和视频同步输出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电源功能</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▲电源线适配能力</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电源适配器电线组件应符合 GB/T15934 的要求，可拆线的插头和连接器可以不做要求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存储设备可靠性</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▲固态存储寿命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TBW≥80TB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▲机械硬盘寿命</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通电时间≥5万小时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显示设备可靠性</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▲显示屏屏幕失效点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符合GB/T 9813.2 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整机可靠性要求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▲电磁兼容性要求的抗扰度</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9254.2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▲环境条件要求的气候环境适应性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▲环境条件要求的振动适应性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▲环境条件要求的冲击适应性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▲环境条件要求的碰撞适应性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▲环境条件要求的运输包装件跌落适应性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▲MTBF 测试</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MTBF(m1)≥3 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兼容要求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▲常用软件兼容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支持流式软件、版式软件、浏览器、邮件采购人端、解压软件、多媒体、图形图像处理等常用软件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▲数据库兼容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兼容 3 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▲中间件兼容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兼容 3 个及以上厂商中间件产品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▲平台软件兼容</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兼容 3 个及以上厂商云计算及大数据平台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包装及运输要求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▲标志、包装、运输和贮存</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9813.1 和商品包装政府采购需求标准的相关规定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服务要求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▲配置检查工具</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供应商提供自检测试工具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▲服务响应</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a)供应商提供电话、电子邮件、远程连接等多种形式服务；</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b)供应商提供同城 4h、异地 12h 技术响应服务，2 个工作日解决问题，对于未能解决的问题和故障应提供可行的升级方案，并提供周转设备或更换设备；</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c)建立全国技术服务体系和服务团体，符合专业服务体系标准要求，提供原厂中文服务；</w:t>
            </w:r>
          </w:p>
          <w:p>
            <w:pPr>
              <w:rPr>
                <w:rFonts w:ascii="仿宋_GB2312" w:hAnsi="宋体" w:eastAsia="仿宋_GB2312" w:cs="Times New Roman"/>
                <w:szCs w:val="21"/>
              </w:rPr>
            </w:pPr>
            <w:r>
              <w:rPr>
                <w:rFonts w:hint="eastAsia" w:ascii="仿宋_GB2312" w:hAnsi="宋体" w:eastAsia="仿宋_GB2312" w:cs="Times New Roman"/>
                <w:szCs w:val="21"/>
              </w:rPr>
              <w:t>d)服务周期内提供产品的维修、换件和升级服务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▲服务周期</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 设备停产后应继续提供质量保障服务（含备品备件），服务终止时间与最后一批设备交付时间间隔不低于</w:t>
            </w:r>
            <w:r>
              <w:rPr>
                <w:rFonts w:ascii="仿宋_GB2312" w:hAnsi="宋体" w:eastAsia="仿宋_GB2312" w:cs="Times New Roman"/>
                <w:szCs w:val="21"/>
              </w:rPr>
              <w:t>3</w:t>
            </w:r>
            <w:r>
              <w:rPr>
                <w:rFonts w:hint="eastAsia" w:ascii="仿宋_GB2312" w:hAnsi="宋体" w:eastAsia="仿宋_GB2312" w:cs="Times New Roman"/>
                <w:szCs w:val="21"/>
              </w:rPr>
              <w:t>年；</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b) 产品停止服务时间应提前 1 年告知；</w:t>
            </w:r>
          </w:p>
          <w:p>
            <w:pPr>
              <w:rPr>
                <w:rFonts w:ascii="仿宋_GB2312" w:hAnsi="宋体" w:eastAsia="仿宋_GB2312" w:cs="Times New Roman"/>
                <w:szCs w:val="21"/>
              </w:rPr>
            </w:pPr>
            <w:r>
              <w:rPr>
                <w:rFonts w:hint="eastAsia" w:ascii="仿宋_GB2312" w:hAnsi="宋体" w:eastAsia="仿宋_GB2312" w:cs="Times New Roman"/>
                <w:szCs w:val="21"/>
              </w:rPr>
              <w:t>c) 应明确产品发布日期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▲预装操作系统</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预装符合桌面操作系统政府采购需求标准的正版操作系统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▲培训服务</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▲典型问题解决手册</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供应商提供典型问题解决说明文档或视频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▲厂家升级软件与扩容服务</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供应商提供上门升级部件/软件与扩容的增值服务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▲整机质量服务要求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免费服务周期（含换件和维修）应不小于 3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▲合格证书要求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▲开箱组装/使用指导要求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供应商提供开箱组装/使用指导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▲驱动下载服务要求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供应商提供驱动光盘或下载方式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▲兼容适配软件下载服务要求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供应商提供兼容适配软件下载渠道（光盘、网站）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供应链合规性</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▲产品部件保障</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 xml:space="preserve">供应商保障产品主要部件，提供 </w:t>
            </w:r>
            <w:r>
              <w:rPr>
                <w:rFonts w:ascii="仿宋_GB2312" w:hAnsi="宋体" w:eastAsia="仿宋_GB2312" w:cs="Times New Roman"/>
                <w:szCs w:val="21"/>
              </w:rPr>
              <w:t>3</w:t>
            </w:r>
            <w:r>
              <w:rPr>
                <w:rFonts w:hint="eastAsia" w:ascii="仿宋_GB2312" w:hAnsi="宋体" w:eastAsia="仿宋_GB2312" w:cs="Times New Roman"/>
                <w:szCs w:val="21"/>
              </w:rPr>
              <w:t xml:space="preserve"> 年的备件服务能力（自购买之日起），或提供可兼容原设备的升级换代产品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供应链质量</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▲抗干扰性</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当产品部件出现供应风险时，供应商应通知采购人并提供风险应对方案确保产品的服务保障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▲供应能力证明</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供应商提供供应链稳定承诺书，确保产品的部件在产品服务周期内稳定供货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bCs/>
                <w:szCs w:val="21"/>
              </w:rPr>
            </w:pPr>
          </w:p>
        </w:tc>
        <w:tc>
          <w:tcPr>
            <w:tcW w:w="1025" w:type="dxa"/>
          </w:tcPr>
          <w:p>
            <w:pPr>
              <w:rPr>
                <w:rFonts w:ascii="仿宋_GB2312" w:hAnsi="宋体" w:eastAsia="仿宋_GB2312" w:cs="Times New Roman"/>
                <w:bCs/>
                <w:szCs w:val="21"/>
              </w:rPr>
            </w:pPr>
            <w:r>
              <w:rPr>
                <w:rFonts w:hint="eastAsia" w:ascii="仿宋_GB2312" w:hAnsi="宋体" w:eastAsia="仿宋_GB2312" w:cs="Times New Roman"/>
                <w:bCs/>
                <w:szCs w:val="21"/>
              </w:rPr>
              <w:t>关键部件安全要求</w:t>
            </w:r>
          </w:p>
        </w:tc>
        <w:tc>
          <w:tcPr>
            <w:tcW w:w="1700" w:type="dxa"/>
          </w:tcPr>
          <w:p>
            <w:pPr>
              <w:rPr>
                <w:rFonts w:ascii="仿宋_GB2312" w:hAnsi="宋体" w:eastAsia="仿宋_GB2312" w:cs="Times New Roman"/>
                <w:bCs/>
                <w:szCs w:val="21"/>
              </w:rPr>
            </w:pPr>
            <w:r>
              <w:rPr>
                <w:rFonts w:hint="eastAsia" w:ascii="仿宋_GB2312" w:hAnsi="宋体" w:eastAsia="仿宋_GB2312" w:cs="Times New Roman"/>
                <w:szCs w:val="21"/>
              </w:rPr>
              <w:t>▲</w:t>
            </w:r>
            <w:r>
              <w:rPr>
                <w:rFonts w:hint="eastAsia" w:ascii="仿宋_GB2312" w:hAnsi="宋体" w:eastAsia="仿宋_GB2312" w:cs="Times New Roman"/>
                <w:bCs/>
                <w:szCs w:val="21"/>
              </w:rPr>
              <w:t>关键部件安全要求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CPU 和操作系统等关键部件应当符合安全可靠测评要求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restart"/>
          </w:tcPr>
          <w:p>
            <w:pPr>
              <w:rPr>
                <w:rFonts w:ascii="仿宋_GB2312" w:hAnsi="宋体" w:eastAsia="仿宋_GB2312" w:cs="Times New Roman"/>
                <w:szCs w:val="21"/>
              </w:rPr>
            </w:pPr>
            <w:r>
              <w:rPr>
                <w:rFonts w:hint="eastAsia" w:ascii="仿宋_GB2312" w:hAnsi="宋体" w:eastAsia="仿宋_GB2312" w:cs="Times New Roman"/>
                <w:szCs w:val="21"/>
              </w:rPr>
              <w:t>整机安全性要求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▲密码算法实现</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CPU 芯片应符合 GM/T 0008 的相关规定，或芯片密码模块应符合 GB/T 37092或 GM/T 0028 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▲信息安全基本要求</w:t>
            </w:r>
          </w:p>
        </w:tc>
        <w:tc>
          <w:tcPr>
            <w:tcW w:w="5225" w:type="dxa"/>
          </w:tcPr>
          <w:p>
            <w:pPr>
              <w:rPr>
                <w:rFonts w:hint="eastAsia" w:ascii="仿宋_GB2312" w:hAnsi="宋体" w:eastAsia="仿宋_GB2312" w:cs="Times New Roman"/>
                <w:szCs w:val="21"/>
                <w:lang w:eastAsia="zh-CN"/>
              </w:rPr>
            </w:pPr>
            <w:r>
              <w:rPr>
                <w:rFonts w:hint="eastAsia" w:ascii="仿宋_GB2312" w:hAnsi="宋体" w:eastAsia="仿宋_GB2312" w:cs="Times New Roman"/>
                <w:szCs w:val="21"/>
              </w:rPr>
              <w:t>a) 产品应符合 GB/T 39276 的 5.2 的规定；</w:t>
            </w:r>
          </w:p>
          <w:p>
            <w:pPr>
              <w:rPr>
                <w:rFonts w:hint="eastAsia" w:ascii="仿宋_GB2312" w:hAnsi="宋体" w:eastAsia="仿宋_GB2312" w:cs="Times New Roman"/>
                <w:szCs w:val="21"/>
                <w:lang w:eastAsia="zh-CN"/>
              </w:rPr>
            </w:pPr>
            <w:r>
              <w:rPr>
                <w:rFonts w:hint="eastAsia" w:ascii="仿宋_GB2312" w:hAnsi="宋体" w:eastAsia="仿宋_GB2312" w:cs="Times New Roman"/>
                <w:szCs w:val="21"/>
              </w:rPr>
              <w:t>b) 生产厂商应建立漏洞跟踪表，保证产品版本涉及到的漏洞(如驱动程序等)可查看；</w:t>
            </w:r>
          </w:p>
          <w:p>
            <w:pPr>
              <w:rPr>
                <w:rFonts w:ascii="仿宋_GB2312" w:hAnsi="宋体" w:eastAsia="仿宋_GB2312" w:cs="Times New Roman"/>
                <w:szCs w:val="21"/>
              </w:rPr>
            </w:pPr>
            <w:r>
              <w:rPr>
                <w:rFonts w:hint="eastAsia" w:ascii="仿宋_GB2312" w:hAnsi="宋体" w:eastAsia="仿宋_GB2312" w:cs="Times New Roman"/>
                <w:szCs w:val="21"/>
              </w:rPr>
              <w:t>c) 产品不得包含已知的恶意代码或漏洞，不存在未声明的指令、功能、接口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▲固件安全启动</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支持固件安全启动功能，固件启动过程中只有通过启动校验才能正常启动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vMerge w:val="continue"/>
          </w:tcPr>
          <w:p>
            <w:pPr>
              <w:rPr>
                <w:rFonts w:ascii="仿宋_GB2312" w:hAnsi="宋体" w:eastAsia="仿宋_GB2312" w:cs="Times New Roman"/>
                <w:szCs w:val="21"/>
              </w:rPr>
            </w:pP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▲限用物质的限量要求</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符合 GB/T 26572 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numPr>
                <w:ilvl w:val="0"/>
                <w:numId w:val="10"/>
              </w:numPr>
              <w:jc w:val="center"/>
              <w:rPr>
                <w:rFonts w:ascii="仿宋_GB2312" w:hAnsi="宋体" w:eastAsia="仿宋_GB2312" w:cs="Times New Roman"/>
                <w:szCs w:val="21"/>
              </w:rPr>
            </w:pPr>
          </w:p>
        </w:tc>
        <w:tc>
          <w:tcPr>
            <w:tcW w:w="1025" w:type="dxa"/>
          </w:tcPr>
          <w:p>
            <w:pPr>
              <w:rPr>
                <w:rFonts w:ascii="仿宋_GB2312" w:hAnsi="宋体" w:eastAsia="仿宋_GB2312" w:cs="Times New Roman"/>
                <w:szCs w:val="21"/>
              </w:rPr>
            </w:pPr>
            <w:r>
              <w:rPr>
                <w:rFonts w:hint="eastAsia" w:ascii="仿宋_GB2312" w:hAnsi="宋体" w:eastAsia="仿宋_GB2312" w:cs="Times New Roman"/>
                <w:szCs w:val="21"/>
              </w:rPr>
              <w:t>节能要求</w:t>
            </w:r>
          </w:p>
        </w:tc>
        <w:tc>
          <w:tcPr>
            <w:tcW w:w="1700" w:type="dxa"/>
          </w:tcPr>
          <w:p>
            <w:pPr>
              <w:rPr>
                <w:rFonts w:ascii="仿宋_GB2312" w:hAnsi="宋体" w:eastAsia="仿宋_GB2312" w:cs="Times New Roman"/>
                <w:szCs w:val="21"/>
              </w:rPr>
            </w:pPr>
            <w:r>
              <w:rPr>
                <w:rFonts w:hint="eastAsia" w:ascii="仿宋_GB2312" w:hAnsi="宋体" w:eastAsia="仿宋_GB2312" w:cs="Times New Roman"/>
                <w:szCs w:val="21"/>
              </w:rPr>
              <w:t>▲节能证书</w:t>
            </w:r>
          </w:p>
        </w:tc>
        <w:tc>
          <w:tcPr>
            <w:tcW w:w="5225" w:type="dxa"/>
          </w:tcPr>
          <w:p>
            <w:pPr>
              <w:rPr>
                <w:rFonts w:ascii="仿宋_GB2312" w:hAnsi="宋体" w:eastAsia="仿宋_GB2312" w:cs="Times New Roman"/>
                <w:szCs w:val="21"/>
              </w:rPr>
            </w:pPr>
            <w:r>
              <w:rPr>
                <w:rFonts w:hint="eastAsia" w:ascii="仿宋_GB2312" w:hAnsi="宋体" w:eastAsia="仿宋_GB2312" w:cs="Times New Roman"/>
                <w:szCs w:val="21"/>
              </w:rPr>
              <w:t>提供国家确定的认证机构出具的、处于有效期之内的节能产品认证证书</w:t>
            </w:r>
          </w:p>
        </w:tc>
      </w:tr>
    </w:tbl>
    <w:p>
      <w:pPr>
        <w:spacing w:line="360" w:lineRule="auto"/>
        <w:ind w:firstLine="480" w:firstLineChars="200"/>
        <w:rPr>
          <w:rFonts w:ascii="仿宋_GB2312" w:hAnsi="仿宋_GB2312" w:eastAsia="仿宋_GB2312" w:cs="仿宋_GB2312"/>
          <w:color w:val="000000"/>
          <w:kern w:val="0"/>
          <w:sz w:val="24"/>
          <w:szCs w:val="24"/>
        </w:rPr>
      </w:pP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b/>
          <w:color w:val="000000"/>
          <w:sz w:val="24"/>
          <w:szCs w:val="24"/>
        </w:rPr>
        <w:t>四、工期、供货地点、质保期（运维期）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▲1.工期：合同签订之日起至9月底前完成系统功能测试并实现与省应急厅态势感知汇聚平台无缝对接，且通过初步验收；</w:t>
      </w:r>
      <w:r>
        <w:rPr>
          <w:rFonts w:hint="eastAsia" w:ascii="仿宋_GB2312" w:hAnsi="仿宋_GB2312" w:eastAsia="仿宋_GB2312" w:cs="仿宋_GB2312"/>
          <w:sz w:val="24"/>
          <w:szCs w:val="24"/>
        </w:rPr>
        <w:t>10月份进入试运行，11月底完成终验并交付使用。</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2.供货地点：根据采购人安排送至指定地点。</w:t>
      </w:r>
    </w:p>
    <w:p>
      <w:pPr>
        <w:spacing w:line="360" w:lineRule="auto"/>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▲3.质保期及运维期要求：</w:t>
      </w:r>
    </w:p>
    <w:p>
      <w:pPr>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（1）质保期：本项目所采购的所有设备质保期从项目终验合格开始计算，投标人应提供不少于3年的质保服务，在质保期内投标人应免费上门对损坏的部件或设备或系统进行维修、安装、更换、调试等；质保期</w:t>
      </w:r>
      <w:r>
        <w:rPr>
          <w:rFonts w:hint="eastAsia" w:ascii="仿宋_GB2312" w:hAnsi="仿宋_GB2312" w:eastAsia="仿宋_GB2312" w:cs="仿宋_GB2312"/>
          <w:bCs/>
          <w:color w:val="000000" w:themeColor="text1"/>
          <w:sz w:val="24"/>
          <w:szCs w:val="24"/>
          <w14:textFill>
            <w14:solidFill>
              <w14:schemeClr w14:val="tx1"/>
            </w14:solidFill>
          </w14:textFill>
        </w:rPr>
        <w:t>内免费更换的设备零部件质保期应自更换之日起计不少于3年。</w:t>
      </w:r>
    </w:p>
    <w:p>
      <w:pPr>
        <w:spacing w:line="360" w:lineRule="auto"/>
        <w:ind w:firstLine="480" w:firstLineChars="200"/>
        <w:rPr>
          <w:rFonts w:ascii="仿宋_GB2312" w:hAnsi="仿宋_GB2312" w:eastAsia="仿宋_GB2312" w:cs="仿宋_GB2312"/>
          <w:bCs/>
          <w:color w:val="000000" w:themeColor="text1"/>
          <w:sz w:val="24"/>
          <w:szCs w:val="24"/>
          <w:highlight w:val="yellow"/>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（2）运维期：本项目所采购的各项设备及相关服务的运维期</w:t>
      </w:r>
      <w:r>
        <w:rPr>
          <w:rFonts w:hint="eastAsia" w:ascii="仿宋_GB2312" w:hAnsi="仿宋_GB2312" w:eastAsia="仿宋_GB2312" w:cs="仿宋_GB2312"/>
          <w:color w:val="000000" w:themeColor="text1"/>
          <w:sz w:val="24"/>
          <w:szCs w:val="24"/>
          <w14:textFill>
            <w14:solidFill>
              <w14:schemeClr w14:val="tx1"/>
            </w14:solidFill>
          </w14:textFill>
        </w:rPr>
        <w:t>从项目终验合格开始计算，投标人应提供不少于3年的运维服务。</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五、供货、安装及验收要求</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1.所有产品必须是厂家原装生产,原厂、原包装送货到采购人指定地点。</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2.中标人应做好安全防护措施，在项目实施工程中的一切安全责任均由中标人自行承担。</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3.中标人须派遣技术熟练的专业技术人员按照国家有关标准进行设备安装、调试直至设备验收合格通过。</w:t>
      </w:r>
    </w:p>
    <w:p>
      <w:pPr>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本项目设备安装完成后，由采购人组织相关人员进行验收，验收合格条件为相关对接或数据要求均已完成，使用效果符合国家相关标准、采购文件技术规格要求、中标人投标文件中的承诺，并得到采购人的认可。</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六、售后服务及运维服务要求</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1.中标人应提供上门售后服务，并提供7×24小时热线电话服务。</w:t>
      </w:r>
    </w:p>
    <w:p>
      <w:pPr>
        <w:spacing w:line="360" w:lineRule="auto"/>
        <w:ind w:firstLine="480" w:firstLineChars="200"/>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2.响应时间：中标人应在接到采购人通报故障的电话或传真后应立即响应，对于无法通过电话或传真指导排除故障的，中标人在接到通知后2小时内响应，6小时内到达故障现场，无特殊情况在当天负责将系统恢复正常使用。修理费用由中标人承担，</w:t>
      </w:r>
      <w:r>
        <w:rPr>
          <w:rFonts w:hint="eastAsia" w:ascii="仿宋_GB2312" w:hAnsi="仿宋_GB2312" w:eastAsia="仿宋_GB2312" w:cs="仿宋_GB2312"/>
          <w:bCs/>
          <w:color w:val="000000"/>
          <w:sz w:val="24"/>
          <w:szCs w:val="24"/>
        </w:rPr>
        <w:t>因自然灾害影响无法在规定时间赶到现场及时排除故障的，待自然灾害结束后，应立即赶到现场排除故障。</w:t>
      </w:r>
      <w:r>
        <w:rPr>
          <w:rFonts w:hint="eastAsia" w:ascii="仿宋_GB2312" w:hAnsi="仿宋_GB2312" w:eastAsia="仿宋_GB2312" w:cs="仿宋_GB2312"/>
          <w:color w:val="000000"/>
          <w:sz w:val="24"/>
          <w:szCs w:val="24"/>
        </w:rPr>
        <w:t>货到现场后由于采购人保管不当造成的问题，中标人亦应负责修复，但费用由采购人负担。</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3.质保期（运维期）内因产品质量问题而引起的维修费用（包括材料和人工费以及措施费等一切费用）均由中标人承担。</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4.在质保期（运维期）内设备出现2次维修不合格时，应及时更换新设备，以满足设备正常运行。</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5.维护单位需在舟山市有本岛常驻维护人员不少于1名,驻点维护车辆不少于1辆，必要的时候，根据用户需要，可以直接前往用户场所，进行维保工作。</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6.维护人员应有足够的备件在公司或用户单位，从而以最快的速度解决系统的故障。</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7.在用户承担重大活动保卫任务期间，根据用户要求，需派技术人员提前到场，保证任务期间系统正常运行。</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8、任何部件出现故障（除人为和自然不可抗力以外），中标人需协调原生产厂商进行免费维修，元器件免费更换，直至修复系统。</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9.各系统中的高功率损耗部件，如出现老化损耗现象，中标人可向用户建议整机更新，视情况收取相应成本费。</w:t>
      </w:r>
    </w:p>
    <w:p>
      <w:pPr>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r>
        <w:rPr>
          <w:rFonts w:hint="eastAsia" w:ascii="仿宋_GB2312" w:hAnsi="仿宋_GB2312" w:eastAsia="仿宋_GB2312" w:cs="仿宋_GB2312"/>
          <w:bCs/>
          <w:color w:val="000000"/>
          <w:sz w:val="24"/>
          <w:szCs w:val="24"/>
        </w:rPr>
        <w:t>质保期（运维期）</w:t>
      </w:r>
      <w:r>
        <w:rPr>
          <w:rFonts w:hint="eastAsia" w:ascii="仿宋_GB2312" w:hAnsi="仿宋_GB2312" w:eastAsia="仿宋_GB2312" w:cs="仿宋_GB2312"/>
          <w:color w:val="000000"/>
          <w:sz w:val="24"/>
          <w:szCs w:val="24"/>
        </w:rPr>
        <w:t>结束前，须由中标人和采购人进行一次全面检查，任何缺陷必须由中标人负责修理，在修理之后，中标人应将缺陷原因、修理内容、完成修理及恢复正常的时间和日期等报告给采购人，报告一式两份。</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七、培训要求</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为使采购人能正确使用产品，应对采购人相关人员进行操作、维修、维护的培训，使产品能正确的为采购人使用并达到使用效果。</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（1）需要培训的人数：按照实际情况需求，由采购人确定。</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（2）培训方式：用户现场培训。</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（3）培训费用：由中标人承担。</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（4）培训完成时间：培训工作直至用户人员能独立并正确使用该产品为止。</w:t>
      </w:r>
    </w:p>
    <w:p>
      <w:pPr>
        <w:spacing w:line="360" w:lineRule="auto"/>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八、报价要求</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1、采购人有权对产品数量作适当增加或减少，中标单价不变。</w:t>
      </w:r>
    </w:p>
    <w:p>
      <w:pPr>
        <w:adjustRightInd w:val="0"/>
        <w:snapToGrid w:val="0"/>
        <w:spacing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2、不论投标结果如何，投标人均应自行承担所有与投标有关的全部费用。</w:t>
      </w:r>
    </w:p>
    <w:p>
      <w:pPr>
        <w:pStyle w:val="12"/>
        <w:ind w:left="0" w:leftChars="0" w:right="-21" w:rightChars="-10" w:firstLine="480"/>
        <w:jc w:val="left"/>
        <w:rPr>
          <w:rFonts w:hAnsi="仿宋_GB2312" w:cs="仿宋_GB2312"/>
          <w:color w:val="000000"/>
          <w:sz w:val="24"/>
          <w:szCs w:val="24"/>
        </w:rPr>
      </w:pPr>
      <w:r>
        <w:rPr>
          <w:rFonts w:hint="eastAsia" w:hAnsi="仿宋_GB2312" w:cs="仿宋_GB2312"/>
          <w:color w:val="000000"/>
          <w:sz w:val="24"/>
          <w:szCs w:val="24"/>
        </w:rPr>
        <w:t>3、投标人免费提供的部件必须注明“免费”或数字“0”。</w:t>
      </w:r>
    </w:p>
    <w:p>
      <w:pPr>
        <w:spacing w:line="360" w:lineRule="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page"/>
      </w:r>
    </w:p>
    <w:bookmarkEnd w:id="28"/>
    <w:bookmarkEnd w:id="29"/>
    <w:bookmarkEnd w:id="30"/>
    <w:p>
      <w:pPr>
        <w:spacing w:line="288" w:lineRule="auto"/>
        <w:ind w:firstLine="480" w:firstLineChars="200"/>
        <w:rPr>
          <w:rFonts w:ascii="仿宋_GB2312" w:hAnsi="仿宋_GB2312" w:eastAsia="仿宋_GB2312" w:cs="仿宋_GB2312"/>
          <w:color w:val="000000"/>
          <w:sz w:val="24"/>
          <w:szCs w:val="24"/>
        </w:rPr>
      </w:pPr>
    </w:p>
    <w:p>
      <w:pPr>
        <w:pStyle w:val="11"/>
        <w:rPr>
          <w:rFonts w:ascii="仿宋_GB2312" w:hAnsi="仿宋_GB2312" w:eastAsia="仿宋_GB2312" w:cs="仿宋_GB2312"/>
          <w:b/>
          <w:bCs/>
        </w:rPr>
      </w:pPr>
      <w:r>
        <w:rPr>
          <w:rFonts w:hint="eastAsia" w:ascii="仿宋_GB2312" w:hAnsi="仿宋_GB2312" w:eastAsia="仿宋_GB2312" w:cs="仿宋_GB2312"/>
          <w:color w:val="000000"/>
          <w:szCs w:val="24"/>
        </w:rPr>
        <w:t xml:space="preserve"> </w:t>
      </w:r>
    </w:p>
    <w:p>
      <w:pPr>
        <w:ind w:firstLine="2731" w:firstLineChars="850"/>
        <w:jc w:val="left"/>
        <w:outlineLvl w:val="0"/>
        <w:rPr>
          <w:b/>
          <w:sz w:val="32"/>
          <w:szCs w:val="32"/>
        </w:rPr>
      </w:pPr>
      <w:r>
        <w:rPr>
          <w:rFonts w:hint="eastAsia"/>
          <w:b/>
          <w:sz w:val="32"/>
          <w:szCs w:val="32"/>
        </w:rPr>
        <w:t xml:space="preserve">第四部分   </w:t>
      </w:r>
      <w:bookmarkStart w:id="32" w:name="_Toc184312138"/>
      <w:bookmarkEnd w:id="32"/>
      <w:bookmarkStart w:id="33" w:name="_Toc184312076"/>
      <w:bookmarkEnd w:id="33"/>
      <w:bookmarkStart w:id="34" w:name="_Toc184308036"/>
      <w:bookmarkEnd w:id="34"/>
      <w:bookmarkStart w:id="35" w:name="_Toc184310341"/>
      <w:bookmarkEnd w:id="35"/>
      <w:bookmarkStart w:id="36" w:name="_Toc184312121"/>
      <w:bookmarkEnd w:id="36"/>
      <w:bookmarkStart w:id="37" w:name="_Toc184313303"/>
      <w:bookmarkEnd w:id="37"/>
      <w:bookmarkStart w:id="38" w:name="_Toc184312115"/>
      <w:bookmarkEnd w:id="38"/>
      <w:bookmarkStart w:id="39" w:name="_Toc184312135"/>
      <w:bookmarkEnd w:id="39"/>
      <w:bookmarkStart w:id="40" w:name="_Toc184314454"/>
      <w:bookmarkEnd w:id="40"/>
      <w:bookmarkStart w:id="41" w:name="_Toc184312094"/>
      <w:bookmarkEnd w:id="41"/>
      <w:bookmarkStart w:id="42" w:name="_Toc184308095"/>
      <w:bookmarkEnd w:id="42"/>
      <w:bookmarkStart w:id="43" w:name="_Toc184312109"/>
      <w:bookmarkEnd w:id="43"/>
      <w:bookmarkStart w:id="44" w:name="_Toc184310311"/>
      <w:bookmarkEnd w:id="44"/>
      <w:bookmarkStart w:id="45" w:name="_Toc184310326"/>
      <w:bookmarkEnd w:id="45"/>
      <w:bookmarkStart w:id="46" w:name="_Toc184314415"/>
      <w:bookmarkEnd w:id="46"/>
      <w:bookmarkStart w:id="47" w:name="_Toc184310322"/>
      <w:bookmarkEnd w:id="47"/>
      <w:bookmarkStart w:id="48" w:name="_Toc184308091"/>
      <w:bookmarkEnd w:id="48"/>
      <w:bookmarkStart w:id="49" w:name="_Toc184314460"/>
      <w:bookmarkEnd w:id="49"/>
      <w:bookmarkStart w:id="50" w:name="_Toc184308056"/>
      <w:bookmarkEnd w:id="50"/>
      <w:bookmarkStart w:id="51" w:name="_Toc184310343"/>
      <w:bookmarkEnd w:id="51"/>
      <w:bookmarkStart w:id="52" w:name="_Toc184314462"/>
      <w:bookmarkEnd w:id="52"/>
      <w:bookmarkStart w:id="53" w:name="_Toc184313262"/>
      <w:bookmarkEnd w:id="53"/>
      <w:bookmarkStart w:id="54" w:name="_Toc184312128"/>
      <w:bookmarkEnd w:id="54"/>
      <w:bookmarkStart w:id="55" w:name="_Toc184314433"/>
      <w:bookmarkEnd w:id="55"/>
      <w:bookmarkStart w:id="56" w:name="_Toc184313266"/>
      <w:bookmarkEnd w:id="56"/>
      <w:bookmarkStart w:id="57" w:name="_Toc184312120"/>
      <w:bookmarkEnd w:id="57"/>
      <w:bookmarkStart w:id="58" w:name="_Toc184312088"/>
      <w:bookmarkEnd w:id="58"/>
      <w:bookmarkStart w:id="59" w:name="_Toc184312095"/>
      <w:bookmarkEnd w:id="59"/>
      <w:bookmarkStart w:id="60" w:name="_Toc184310286"/>
      <w:bookmarkEnd w:id="60"/>
      <w:bookmarkStart w:id="61" w:name="_Toc184313278"/>
      <w:bookmarkEnd w:id="61"/>
      <w:bookmarkStart w:id="62" w:name="_Toc184314437"/>
      <w:bookmarkEnd w:id="62"/>
      <w:bookmarkStart w:id="63" w:name="_Toc184308064"/>
      <w:bookmarkEnd w:id="63"/>
      <w:bookmarkStart w:id="64" w:name="_Toc184312067"/>
      <w:bookmarkEnd w:id="64"/>
      <w:bookmarkStart w:id="65" w:name="_Toc184313252"/>
      <w:bookmarkEnd w:id="65"/>
      <w:bookmarkStart w:id="66" w:name="_Toc184312130"/>
      <w:bookmarkEnd w:id="66"/>
      <w:bookmarkStart w:id="67" w:name="_Toc184308080"/>
      <w:bookmarkEnd w:id="67"/>
      <w:bookmarkStart w:id="68" w:name="_Toc184310291"/>
      <w:bookmarkEnd w:id="68"/>
      <w:bookmarkStart w:id="69" w:name="_Toc184312077"/>
      <w:bookmarkEnd w:id="69"/>
      <w:bookmarkStart w:id="70" w:name="_Toc184314479"/>
      <w:bookmarkEnd w:id="70"/>
      <w:bookmarkStart w:id="71" w:name="_Toc184308052"/>
      <w:bookmarkEnd w:id="71"/>
      <w:bookmarkStart w:id="72" w:name="_Toc184314445"/>
      <w:bookmarkEnd w:id="72"/>
      <w:bookmarkStart w:id="73" w:name="_Toc184313242"/>
      <w:bookmarkEnd w:id="73"/>
      <w:bookmarkStart w:id="74" w:name="_Toc184310318"/>
      <w:bookmarkEnd w:id="74"/>
      <w:bookmarkStart w:id="75" w:name="_Toc184314411"/>
      <w:bookmarkEnd w:id="75"/>
      <w:bookmarkStart w:id="76" w:name="_Toc184314465"/>
      <w:bookmarkEnd w:id="76"/>
      <w:bookmarkStart w:id="77" w:name="_Toc184314449"/>
      <w:bookmarkEnd w:id="77"/>
      <w:bookmarkStart w:id="78" w:name="_Toc184312108"/>
      <w:bookmarkEnd w:id="78"/>
      <w:bookmarkStart w:id="79" w:name="_Toc184314443"/>
      <w:bookmarkEnd w:id="79"/>
      <w:bookmarkStart w:id="80" w:name="_Toc184314446"/>
      <w:bookmarkEnd w:id="80"/>
      <w:bookmarkStart w:id="81" w:name="_Toc184308042"/>
      <w:bookmarkEnd w:id="81"/>
      <w:bookmarkStart w:id="82" w:name="_Toc184312090"/>
      <w:bookmarkEnd w:id="82"/>
      <w:bookmarkStart w:id="83" w:name="_Toc184312073"/>
      <w:bookmarkEnd w:id="83"/>
      <w:bookmarkStart w:id="84" w:name="_Toc184310295"/>
      <w:bookmarkEnd w:id="84"/>
      <w:bookmarkStart w:id="85" w:name="_Toc184313264"/>
      <w:bookmarkEnd w:id="85"/>
      <w:bookmarkStart w:id="86" w:name="_Toc184314418"/>
      <w:bookmarkEnd w:id="86"/>
      <w:bookmarkStart w:id="87" w:name="_Toc184312107"/>
      <w:bookmarkEnd w:id="87"/>
      <w:bookmarkStart w:id="88" w:name="_Toc184312100"/>
      <w:bookmarkEnd w:id="88"/>
      <w:bookmarkStart w:id="89" w:name="_Toc184312078"/>
      <w:bookmarkEnd w:id="89"/>
      <w:bookmarkStart w:id="90" w:name="_Toc184312132"/>
      <w:bookmarkEnd w:id="90"/>
      <w:bookmarkStart w:id="91" w:name="_Toc184312083"/>
      <w:bookmarkEnd w:id="91"/>
      <w:bookmarkStart w:id="92" w:name="_Toc184310301"/>
      <w:bookmarkEnd w:id="92"/>
      <w:bookmarkStart w:id="93" w:name="_Toc184310321"/>
      <w:bookmarkEnd w:id="93"/>
      <w:bookmarkStart w:id="94" w:name="_Toc184310294"/>
      <w:bookmarkEnd w:id="94"/>
      <w:bookmarkStart w:id="95" w:name="_Toc184310340"/>
      <w:bookmarkEnd w:id="95"/>
      <w:bookmarkStart w:id="96" w:name="_Toc184314431"/>
      <w:bookmarkEnd w:id="96"/>
      <w:bookmarkStart w:id="97" w:name="_Toc184313263"/>
      <w:bookmarkEnd w:id="97"/>
      <w:bookmarkStart w:id="98" w:name="_Toc184313251"/>
      <w:bookmarkEnd w:id="98"/>
      <w:bookmarkStart w:id="99" w:name="_Toc184308049"/>
      <w:bookmarkEnd w:id="99"/>
      <w:bookmarkStart w:id="100" w:name="_Toc184308047"/>
      <w:bookmarkEnd w:id="100"/>
      <w:bookmarkStart w:id="101" w:name="_Toc184310330"/>
      <w:bookmarkEnd w:id="101"/>
      <w:bookmarkStart w:id="102" w:name="_Toc184310304"/>
      <w:bookmarkEnd w:id="102"/>
      <w:bookmarkStart w:id="103" w:name="_Toc184312098"/>
      <w:bookmarkEnd w:id="103"/>
      <w:bookmarkStart w:id="104" w:name="_Toc184310284"/>
      <w:bookmarkEnd w:id="104"/>
      <w:bookmarkStart w:id="105" w:name="_Toc184310277"/>
      <w:bookmarkEnd w:id="105"/>
      <w:bookmarkStart w:id="106" w:name="_Toc184314472"/>
      <w:bookmarkEnd w:id="106"/>
      <w:bookmarkStart w:id="107" w:name="_Toc184313292"/>
      <w:bookmarkEnd w:id="107"/>
      <w:bookmarkStart w:id="108" w:name="_Toc184308088"/>
      <w:bookmarkEnd w:id="108"/>
      <w:bookmarkStart w:id="109" w:name="_Toc184314482"/>
      <w:bookmarkEnd w:id="109"/>
      <w:bookmarkStart w:id="110" w:name="_Toc184310297"/>
      <w:bookmarkEnd w:id="110"/>
      <w:bookmarkStart w:id="111" w:name="_Toc184314463"/>
      <w:bookmarkEnd w:id="111"/>
      <w:bookmarkStart w:id="112" w:name="_Toc184314430"/>
      <w:bookmarkEnd w:id="112"/>
      <w:bookmarkStart w:id="113" w:name="_Toc184308077"/>
      <w:bookmarkEnd w:id="113"/>
      <w:bookmarkStart w:id="114" w:name="_Toc184308104"/>
      <w:bookmarkEnd w:id="114"/>
      <w:bookmarkStart w:id="115" w:name="_Toc184314476"/>
      <w:bookmarkEnd w:id="115"/>
      <w:bookmarkStart w:id="116" w:name="_Toc184313265"/>
      <w:bookmarkEnd w:id="116"/>
      <w:bookmarkStart w:id="117" w:name="_Toc184313245"/>
      <w:bookmarkEnd w:id="117"/>
      <w:bookmarkStart w:id="118" w:name="_Toc184314420"/>
      <w:bookmarkEnd w:id="118"/>
      <w:bookmarkStart w:id="119" w:name="_Toc184310275"/>
      <w:bookmarkEnd w:id="119"/>
      <w:bookmarkStart w:id="120" w:name="_Toc184314436"/>
      <w:bookmarkEnd w:id="120"/>
      <w:bookmarkStart w:id="121" w:name="_Toc184308076"/>
      <w:bookmarkEnd w:id="121"/>
      <w:bookmarkStart w:id="122" w:name="_Toc184314434"/>
      <w:bookmarkEnd w:id="122"/>
      <w:bookmarkStart w:id="123" w:name="_Toc184310329"/>
      <w:bookmarkEnd w:id="123"/>
      <w:bookmarkStart w:id="124" w:name="_Toc184308079"/>
      <w:bookmarkEnd w:id="124"/>
      <w:bookmarkStart w:id="125" w:name="_Toc184314410"/>
      <w:bookmarkEnd w:id="125"/>
      <w:bookmarkStart w:id="126" w:name="_Toc184314421"/>
      <w:bookmarkEnd w:id="126"/>
      <w:bookmarkStart w:id="127" w:name="_Toc184308065"/>
      <w:bookmarkEnd w:id="127"/>
      <w:bookmarkStart w:id="128" w:name="_Toc184313308"/>
      <w:bookmarkEnd w:id="128"/>
      <w:bookmarkStart w:id="129" w:name="_Toc184308106"/>
      <w:bookmarkEnd w:id="129"/>
      <w:bookmarkStart w:id="130" w:name="_Toc184314441"/>
      <w:bookmarkEnd w:id="130"/>
      <w:bookmarkStart w:id="131" w:name="_Toc184308102"/>
      <w:bookmarkEnd w:id="131"/>
      <w:bookmarkStart w:id="132" w:name="_Toc184310331"/>
      <w:bookmarkEnd w:id="132"/>
      <w:bookmarkStart w:id="133" w:name="_Toc184312103"/>
      <w:bookmarkEnd w:id="133"/>
      <w:bookmarkStart w:id="134" w:name="_Toc184312124"/>
      <w:bookmarkEnd w:id="134"/>
      <w:bookmarkStart w:id="135" w:name="_Toc184308084"/>
      <w:bookmarkEnd w:id="135"/>
      <w:bookmarkStart w:id="136" w:name="_Toc184313274"/>
      <w:bookmarkEnd w:id="136"/>
      <w:bookmarkStart w:id="137" w:name="_Toc184312117"/>
      <w:bookmarkEnd w:id="137"/>
      <w:bookmarkStart w:id="138" w:name="_Toc184313247"/>
      <w:bookmarkEnd w:id="138"/>
      <w:bookmarkStart w:id="139" w:name="_Toc184314473"/>
      <w:bookmarkEnd w:id="139"/>
      <w:bookmarkStart w:id="140" w:name="_Toc184312105"/>
      <w:bookmarkEnd w:id="140"/>
      <w:bookmarkStart w:id="141" w:name="_Toc184312114"/>
      <w:bookmarkEnd w:id="141"/>
      <w:bookmarkStart w:id="142" w:name="_Toc184308072"/>
      <w:bookmarkEnd w:id="142"/>
      <w:bookmarkStart w:id="143" w:name="_Toc184308107"/>
      <w:bookmarkEnd w:id="143"/>
      <w:bookmarkStart w:id="144" w:name="_Toc184313243"/>
      <w:bookmarkEnd w:id="144"/>
      <w:bookmarkStart w:id="145" w:name="_Toc184312091"/>
      <w:bookmarkEnd w:id="145"/>
      <w:bookmarkStart w:id="146" w:name="_Toc184313273"/>
      <w:bookmarkEnd w:id="146"/>
      <w:bookmarkStart w:id="147" w:name="_Toc184313272"/>
      <w:bookmarkEnd w:id="147"/>
      <w:bookmarkStart w:id="148" w:name="_Toc184310290"/>
      <w:bookmarkEnd w:id="148"/>
      <w:bookmarkStart w:id="149" w:name="_Toc184314440"/>
      <w:bookmarkEnd w:id="149"/>
      <w:bookmarkStart w:id="150" w:name="_Toc184313280"/>
      <w:bookmarkEnd w:id="150"/>
      <w:bookmarkStart w:id="151" w:name="_Toc184312075"/>
      <w:bookmarkEnd w:id="151"/>
      <w:bookmarkStart w:id="152" w:name="_Toc184310288"/>
      <w:bookmarkEnd w:id="152"/>
      <w:bookmarkStart w:id="153" w:name="_Toc184313296"/>
      <w:bookmarkEnd w:id="153"/>
      <w:bookmarkStart w:id="154" w:name="_Toc184313291"/>
      <w:bookmarkEnd w:id="154"/>
      <w:bookmarkStart w:id="155" w:name="_Toc184308073"/>
      <w:bookmarkEnd w:id="155"/>
      <w:bookmarkStart w:id="156" w:name="_Toc184312126"/>
      <w:bookmarkEnd w:id="156"/>
      <w:bookmarkStart w:id="157" w:name="_Toc184312122"/>
      <w:bookmarkEnd w:id="157"/>
      <w:bookmarkStart w:id="158" w:name="_Toc184310313"/>
      <w:bookmarkEnd w:id="158"/>
      <w:bookmarkStart w:id="159" w:name="_Toc184312071"/>
      <w:bookmarkEnd w:id="159"/>
      <w:bookmarkStart w:id="160" w:name="_Toc184310314"/>
      <w:bookmarkEnd w:id="160"/>
      <w:bookmarkStart w:id="161" w:name="_Toc184310278"/>
      <w:bookmarkEnd w:id="161"/>
      <w:bookmarkStart w:id="162" w:name="_Toc184314447"/>
      <w:bookmarkEnd w:id="162"/>
      <w:bookmarkStart w:id="163" w:name="_Toc184310334"/>
      <w:bookmarkEnd w:id="163"/>
      <w:bookmarkStart w:id="164" w:name="_Toc184308071"/>
      <w:bookmarkEnd w:id="164"/>
      <w:bookmarkStart w:id="165" w:name="_Toc184314466"/>
      <w:bookmarkEnd w:id="165"/>
      <w:bookmarkStart w:id="166" w:name="_Toc184314424"/>
      <w:bookmarkEnd w:id="166"/>
      <w:bookmarkStart w:id="167" w:name="_Toc184310317"/>
      <w:bookmarkEnd w:id="167"/>
      <w:bookmarkStart w:id="168" w:name="_Toc184312070"/>
      <w:bookmarkEnd w:id="168"/>
      <w:bookmarkStart w:id="169" w:name="_Toc184308046"/>
      <w:bookmarkEnd w:id="169"/>
      <w:bookmarkStart w:id="170" w:name="_Toc184313271"/>
      <w:bookmarkEnd w:id="170"/>
      <w:bookmarkStart w:id="171" w:name="_Toc184310335"/>
      <w:bookmarkEnd w:id="171"/>
      <w:bookmarkStart w:id="172" w:name="_Toc184313306"/>
      <w:bookmarkEnd w:id="172"/>
      <w:bookmarkStart w:id="173" w:name="_Toc184310281"/>
      <w:bookmarkEnd w:id="173"/>
      <w:bookmarkStart w:id="174" w:name="_Toc184308038"/>
      <w:bookmarkEnd w:id="174"/>
      <w:bookmarkStart w:id="175" w:name="_Toc184312102"/>
      <w:bookmarkEnd w:id="175"/>
      <w:bookmarkStart w:id="176" w:name="_Toc184308075"/>
      <w:bookmarkEnd w:id="176"/>
      <w:bookmarkStart w:id="177" w:name="_Toc184310312"/>
      <w:bookmarkEnd w:id="177"/>
      <w:bookmarkStart w:id="178" w:name="_Toc184310289"/>
      <w:bookmarkEnd w:id="178"/>
      <w:bookmarkStart w:id="179" w:name="_Toc184312085"/>
      <w:bookmarkEnd w:id="179"/>
      <w:bookmarkStart w:id="180" w:name="_Toc184314423"/>
      <w:bookmarkEnd w:id="180"/>
      <w:bookmarkStart w:id="181" w:name="_Toc184310332"/>
      <w:bookmarkEnd w:id="181"/>
      <w:bookmarkStart w:id="182" w:name="_Toc184313307"/>
      <w:bookmarkEnd w:id="182"/>
      <w:bookmarkStart w:id="183" w:name="_Toc184308108"/>
      <w:bookmarkEnd w:id="183"/>
      <w:bookmarkStart w:id="184" w:name="_Toc184312104"/>
      <w:bookmarkEnd w:id="184"/>
      <w:bookmarkStart w:id="185" w:name="_Toc184308090"/>
      <w:bookmarkEnd w:id="185"/>
      <w:bookmarkStart w:id="186" w:name="_Toc184312081"/>
      <w:bookmarkEnd w:id="186"/>
      <w:bookmarkStart w:id="187" w:name="_Toc184310323"/>
      <w:bookmarkEnd w:id="187"/>
      <w:bookmarkStart w:id="188" w:name="_Toc184314444"/>
      <w:bookmarkEnd w:id="188"/>
      <w:bookmarkStart w:id="189" w:name="_Toc184312072"/>
      <w:bookmarkEnd w:id="189"/>
      <w:bookmarkStart w:id="190" w:name="_Toc184313269"/>
      <w:bookmarkEnd w:id="190"/>
      <w:bookmarkStart w:id="191" w:name="_Toc184314429"/>
      <w:bookmarkEnd w:id="191"/>
      <w:bookmarkStart w:id="192" w:name="_Toc184310325"/>
      <w:bookmarkEnd w:id="192"/>
      <w:bookmarkStart w:id="193" w:name="_Toc184308055"/>
      <w:bookmarkEnd w:id="193"/>
      <w:bookmarkStart w:id="194" w:name="_Toc184314453"/>
      <w:bookmarkEnd w:id="194"/>
      <w:bookmarkStart w:id="195" w:name="_Toc184313240"/>
      <w:bookmarkEnd w:id="195"/>
      <w:bookmarkStart w:id="196" w:name="_Toc184312118"/>
      <w:bookmarkEnd w:id="196"/>
      <w:bookmarkStart w:id="197" w:name="_Toc184314455"/>
      <w:bookmarkEnd w:id="197"/>
      <w:bookmarkStart w:id="198" w:name="_Toc184310306"/>
      <w:bookmarkEnd w:id="198"/>
      <w:bookmarkStart w:id="199" w:name="_Toc184310316"/>
      <w:bookmarkEnd w:id="199"/>
      <w:bookmarkStart w:id="200" w:name="_Toc184314469"/>
      <w:bookmarkEnd w:id="200"/>
      <w:bookmarkStart w:id="201" w:name="_Toc184312096"/>
      <w:bookmarkEnd w:id="201"/>
      <w:bookmarkStart w:id="202" w:name="_Toc184313258"/>
      <w:bookmarkEnd w:id="202"/>
      <w:bookmarkStart w:id="203" w:name="_Toc184308062"/>
      <w:bookmarkEnd w:id="203"/>
      <w:bookmarkStart w:id="204" w:name="_Toc184314471"/>
      <w:bookmarkEnd w:id="204"/>
      <w:bookmarkStart w:id="205" w:name="_Toc184308061"/>
      <w:bookmarkEnd w:id="205"/>
      <w:bookmarkStart w:id="206" w:name="_Toc184313259"/>
      <w:bookmarkEnd w:id="206"/>
      <w:bookmarkStart w:id="207" w:name="_Toc184312125"/>
      <w:bookmarkEnd w:id="207"/>
      <w:bookmarkStart w:id="208" w:name="_Toc184308063"/>
      <w:bookmarkEnd w:id="208"/>
      <w:bookmarkStart w:id="209" w:name="_Toc184308045"/>
      <w:bookmarkEnd w:id="209"/>
      <w:bookmarkStart w:id="210" w:name="_Toc184313300"/>
      <w:bookmarkEnd w:id="210"/>
      <w:bookmarkStart w:id="211" w:name="_Toc184313304"/>
      <w:bookmarkEnd w:id="211"/>
      <w:bookmarkStart w:id="212" w:name="_Toc184308082"/>
      <w:bookmarkEnd w:id="212"/>
      <w:bookmarkStart w:id="213" w:name="_Toc184308083"/>
      <w:bookmarkEnd w:id="213"/>
      <w:bookmarkStart w:id="214" w:name="_Toc184314461"/>
      <w:bookmarkEnd w:id="214"/>
      <w:bookmarkStart w:id="215" w:name="_Toc184313298"/>
      <w:bookmarkEnd w:id="215"/>
      <w:bookmarkStart w:id="216" w:name="_Toc184312080"/>
      <w:bookmarkEnd w:id="216"/>
      <w:bookmarkStart w:id="217" w:name="_Toc184313257"/>
      <w:bookmarkEnd w:id="217"/>
      <w:bookmarkStart w:id="218" w:name="_Toc184312086"/>
      <w:bookmarkEnd w:id="218"/>
      <w:bookmarkStart w:id="219" w:name="_Toc184312111"/>
      <w:bookmarkEnd w:id="219"/>
      <w:bookmarkStart w:id="220" w:name="_Toc184314422"/>
      <w:bookmarkEnd w:id="220"/>
      <w:bookmarkStart w:id="221" w:name="_Toc184308059"/>
      <w:bookmarkEnd w:id="221"/>
      <w:bookmarkStart w:id="222" w:name="_Toc184313310"/>
      <w:bookmarkEnd w:id="222"/>
      <w:bookmarkStart w:id="223" w:name="_Toc184313270"/>
      <w:bookmarkEnd w:id="223"/>
      <w:bookmarkStart w:id="224" w:name="_Toc184314448"/>
      <w:bookmarkEnd w:id="224"/>
      <w:bookmarkStart w:id="225" w:name="_Toc184308078"/>
      <w:bookmarkEnd w:id="225"/>
      <w:bookmarkStart w:id="226" w:name="_Toc184310305"/>
      <w:bookmarkEnd w:id="226"/>
      <w:bookmarkStart w:id="227" w:name="_Toc184308067"/>
      <w:bookmarkEnd w:id="227"/>
      <w:bookmarkStart w:id="228" w:name="_Toc184308041"/>
      <w:bookmarkEnd w:id="228"/>
      <w:bookmarkStart w:id="229" w:name="_Toc184313253"/>
      <w:bookmarkEnd w:id="229"/>
      <w:bookmarkStart w:id="230" w:name="_Toc184308070"/>
      <w:bookmarkEnd w:id="230"/>
      <w:bookmarkStart w:id="231" w:name="_Toc184308048"/>
      <w:bookmarkEnd w:id="231"/>
      <w:bookmarkStart w:id="232" w:name="_Toc184314428"/>
      <w:bookmarkEnd w:id="232"/>
      <w:bookmarkStart w:id="233" w:name="_Toc184314450"/>
      <w:bookmarkEnd w:id="233"/>
      <w:bookmarkStart w:id="234" w:name="_Toc184310333"/>
      <w:bookmarkEnd w:id="234"/>
      <w:bookmarkStart w:id="235" w:name="_Toc184314413"/>
      <w:bookmarkEnd w:id="235"/>
      <w:bookmarkStart w:id="236" w:name="_Toc184310319"/>
      <w:bookmarkEnd w:id="236"/>
      <w:bookmarkStart w:id="237" w:name="_Toc184314442"/>
      <w:bookmarkEnd w:id="237"/>
      <w:bookmarkStart w:id="238" w:name="_Toc184310272"/>
      <w:bookmarkEnd w:id="238"/>
      <w:bookmarkStart w:id="239" w:name="_Toc184313275"/>
      <w:bookmarkEnd w:id="239"/>
      <w:bookmarkStart w:id="240" w:name="_Toc184314480"/>
      <w:bookmarkEnd w:id="240"/>
      <w:bookmarkStart w:id="241" w:name="_Toc184312084"/>
      <w:bookmarkEnd w:id="241"/>
      <w:bookmarkStart w:id="242" w:name="_Toc184310309"/>
      <w:bookmarkEnd w:id="242"/>
      <w:bookmarkStart w:id="243" w:name="_Toc184313284"/>
      <w:bookmarkEnd w:id="243"/>
      <w:bookmarkStart w:id="244" w:name="_Toc184310285"/>
      <w:bookmarkEnd w:id="244"/>
      <w:bookmarkStart w:id="245" w:name="_Toc184312113"/>
      <w:bookmarkEnd w:id="245"/>
      <w:bookmarkStart w:id="246" w:name="_Toc184308069"/>
      <w:bookmarkEnd w:id="246"/>
      <w:bookmarkStart w:id="247" w:name="_Toc184308093"/>
      <w:bookmarkEnd w:id="247"/>
      <w:bookmarkStart w:id="248" w:name="_Toc184314459"/>
      <w:bookmarkEnd w:id="248"/>
      <w:bookmarkStart w:id="249" w:name="_Toc184308096"/>
      <w:bookmarkEnd w:id="249"/>
      <w:bookmarkStart w:id="250" w:name="_Toc184312079"/>
      <w:bookmarkEnd w:id="250"/>
      <w:bookmarkStart w:id="251" w:name="_Toc184313246"/>
      <w:bookmarkEnd w:id="251"/>
      <w:bookmarkStart w:id="252" w:name="_Toc184312137"/>
      <w:bookmarkEnd w:id="252"/>
      <w:bookmarkStart w:id="253" w:name="_Toc184310280"/>
      <w:bookmarkEnd w:id="253"/>
      <w:bookmarkStart w:id="254" w:name="_Toc184308100"/>
      <w:bookmarkEnd w:id="254"/>
      <w:bookmarkStart w:id="255" w:name="_Toc184310299"/>
      <w:bookmarkEnd w:id="255"/>
      <w:bookmarkStart w:id="256" w:name="_Toc184308044"/>
      <w:bookmarkEnd w:id="256"/>
      <w:bookmarkStart w:id="257" w:name="_Toc184308051"/>
      <w:bookmarkEnd w:id="257"/>
      <w:bookmarkStart w:id="258" w:name="_Toc184308057"/>
      <w:bookmarkEnd w:id="258"/>
      <w:bookmarkStart w:id="259" w:name="_Toc184313256"/>
      <w:bookmarkEnd w:id="259"/>
      <w:bookmarkStart w:id="260" w:name="_Toc184308054"/>
      <w:bookmarkEnd w:id="260"/>
      <w:bookmarkStart w:id="261" w:name="_Toc184312134"/>
      <w:bookmarkEnd w:id="261"/>
      <w:bookmarkStart w:id="262" w:name="_Toc184310292"/>
      <w:bookmarkEnd w:id="262"/>
      <w:bookmarkStart w:id="263" w:name="_Toc184312129"/>
      <w:bookmarkEnd w:id="263"/>
      <w:bookmarkStart w:id="264" w:name="_Toc184313238"/>
      <w:bookmarkEnd w:id="264"/>
      <w:bookmarkStart w:id="265" w:name="_Toc184313290"/>
      <w:bookmarkEnd w:id="265"/>
      <w:bookmarkStart w:id="266" w:name="_Toc184308097"/>
      <w:bookmarkEnd w:id="266"/>
      <w:bookmarkStart w:id="267" w:name="_Toc184314464"/>
      <w:bookmarkEnd w:id="267"/>
      <w:bookmarkStart w:id="268" w:name="_Toc184313302"/>
      <w:bookmarkEnd w:id="268"/>
      <w:bookmarkStart w:id="269" w:name="_Toc184312093"/>
      <w:bookmarkEnd w:id="269"/>
      <w:bookmarkStart w:id="270" w:name="_Toc184313299"/>
      <w:bookmarkEnd w:id="270"/>
      <w:bookmarkStart w:id="271" w:name="_Toc184310276"/>
      <w:bookmarkEnd w:id="271"/>
      <w:bookmarkStart w:id="272" w:name="_Toc184312116"/>
      <w:bookmarkEnd w:id="272"/>
      <w:bookmarkStart w:id="273" w:name="_Toc184314439"/>
      <w:bookmarkEnd w:id="273"/>
      <w:bookmarkStart w:id="274" w:name="_Toc184308053"/>
      <w:bookmarkEnd w:id="274"/>
      <w:bookmarkStart w:id="275" w:name="_Toc184313287"/>
      <w:bookmarkEnd w:id="275"/>
      <w:bookmarkStart w:id="276" w:name="_Toc184310328"/>
      <w:bookmarkEnd w:id="276"/>
      <w:bookmarkStart w:id="277" w:name="_Toc184314468"/>
      <w:bookmarkEnd w:id="277"/>
      <w:bookmarkStart w:id="278" w:name="_Toc184310327"/>
      <w:bookmarkEnd w:id="278"/>
      <w:bookmarkStart w:id="279" w:name="_Toc184314467"/>
      <w:bookmarkEnd w:id="279"/>
      <w:bookmarkStart w:id="280" w:name="_Toc184313268"/>
      <w:bookmarkEnd w:id="280"/>
      <w:bookmarkStart w:id="281" w:name="_Toc184313261"/>
      <w:bookmarkEnd w:id="281"/>
      <w:bookmarkStart w:id="282" w:name="_Toc184313267"/>
      <w:bookmarkEnd w:id="282"/>
      <w:bookmarkStart w:id="283" w:name="_Toc184312082"/>
      <w:bookmarkEnd w:id="283"/>
      <w:bookmarkStart w:id="284" w:name="_Toc184308066"/>
      <w:bookmarkEnd w:id="284"/>
      <w:bookmarkStart w:id="285" w:name="_Toc184313309"/>
      <w:bookmarkEnd w:id="285"/>
      <w:bookmarkStart w:id="286" w:name="_Toc184313239"/>
      <w:bookmarkEnd w:id="286"/>
      <w:bookmarkStart w:id="287" w:name="_Toc184308094"/>
      <w:bookmarkEnd w:id="287"/>
      <w:bookmarkStart w:id="288" w:name="_Toc184314481"/>
      <w:bookmarkEnd w:id="288"/>
      <w:bookmarkStart w:id="289" w:name="_Toc184314432"/>
      <w:bookmarkEnd w:id="289"/>
      <w:bookmarkStart w:id="290" w:name="_Toc184308039"/>
      <w:bookmarkEnd w:id="290"/>
      <w:bookmarkStart w:id="291" w:name="_Toc184313277"/>
      <w:bookmarkEnd w:id="291"/>
      <w:bookmarkStart w:id="292" w:name="_Toc184308037"/>
      <w:bookmarkEnd w:id="292"/>
      <w:bookmarkStart w:id="293" w:name="_Toc184310293"/>
      <w:bookmarkEnd w:id="293"/>
      <w:bookmarkStart w:id="294" w:name="_Toc184314456"/>
      <w:bookmarkEnd w:id="294"/>
      <w:bookmarkStart w:id="295" w:name="_Toc184308081"/>
      <w:bookmarkEnd w:id="295"/>
      <w:bookmarkStart w:id="296" w:name="_Toc184313276"/>
      <w:bookmarkEnd w:id="296"/>
      <w:bookmarkStart w:id="297" w:name="_Toc184308074"/>
      <w:bookmarkEnd w:id="297"/>
      <w:bookmarkStart w:id="298" w:name="_Toc184308092"/>
      <w:bookmarkEnd w:id="298"/>
      <w:bookmarkStart w:id="299" w:name="_Toc184312131"/>
      <w:bookmarkEnd w:id="299"/>
      <w:bookmarkStart w:id="300" w:name="_Toc184314477"/>
      <w:bookmarkEnd w:id="300"/>
      <w:bookmarkStart w:id="301" w:name="_Toc184314417"/>
      <w:bookmarkEnd w:id="301"/>
      <w:bookmarkStart w:id="302" w:name="_Toc184308050"/>
      <w:bookmarkEnd w:id="302"/>
      <w:bookmarkStart w:id="303" w:name="_Toc184312110"/>
      <w:bookmarkEnd w:id="303"/>
      <w:bookmarkStart w:id="304" w:name="_Toc184313241"/>
      <w:bookmarkEnd w:id="304"/>
      <w:bookmarkStart w:id="305" w:name="_Toc184314475"/>
      <w:bookmarkEnd w:id="305"/>
      <w:bookmarkStart w:id="306" w:name="_Toc184312127"/>
      <w:bookmarkEnd w:id="306"/>
      <w:bookmarkStart w:id="307" w:name="_Toc184312136"/>
      <w:bookmarkEnd w:id="307"/>
      <w:bookmarkStart w:id="308" w:name="_Toc184314416"/>
      <w:bookmarkEnd w:id="308"/>
      <w:bookmarkStart w:id="309" w:name="_Toc184313295"/>
      <w:bookmarkEnd w:id="309"/>
      <w:bookmarkStart w:id="310" w:name="_Toc184314452"/>
      <w:bookmarkEnd w:id="310"/>
      <w:bookmarkStart w:id="311" w:name="_Toc184308101"/>
      <w:bookmarkEnd w:id="311"/>
      <w:bookmarkStart w:id="312" w:name="_Toc184310344"/>
      <w:bookmarkEnd w:id="312"/>
      <w:bookmarkStart w:id="313" w:name="_Toc184310308"/>
      <w:bookmarkEnd w:id="313"/>
      <w:bookmarkStart w:id="314" w:name="_Toc184312068"/>
      <w:bookmarkEnd w:id="314"/>
      <w:bookmarkStart w:id="315" w:name="_Toc184312097"/>
      <w:bookmarkEnd w:id="315"/>
      <w:bookmarkStart w:id="316" w:name="_Toc184312099"/>
      <w:bookmarkEnd w:id="316"/>
      <w:bookmarkStart w:id="317" w:name="_Toc184313285"/>
      <w:bookmarkEnd w:id="317"/>
      <w:bookmarkStart w:id="318" w:name="_Toc184313250"/>
      <w:bookmarkEnd w:id="318"/>
      <w:bookmarkStart w:id="319" w:name="_Toc184310282"/>
      <w:bookmarkEnd w:id="319"/>
      <w:bookmarkStart w:id="320" w:name="_Toc184314451"/>
      <w:bookmarkEnd w:id="320"/>
      <w:bookmarkStart w:id="321" w:name="_Toc184310337"/>
      <w:bookmarkEnd w:id="321"/>
      <w:bookmarkStart w:id="322" w:name="_Toc184314425"/>
      <w:bookmarkEnd w:id="322"/>
      <w:bookmarkStart w:id="323" w:name="_Toc184314414"/>
      <w:bookmarkEnd w:id="323"/>
      <w:bookmarkStart w:id="324" w:name="_Toc184313255"/>
      <w:bookmarkEnd w:id="324"/>
      <w:bookmarkStart w:id="325" w:name="_Toc184312089"/>
      <w:bookmarkEnd w:id="325"/>
      <w:bookmarkStart w:id="326" w:name="_Toc184314438"/>
      <w:bookmarkEnd w:id="326"/>
      <w:bookmarkStart w:id="327" w:name="_Toc184310302"/>
      <w:bookmarkEnd w:id="327"/>
      <w:bookmarkStart w:id="328" w:name="_Toc184310283"/>
      <w:bookmarkEnd w:id="328"/>
      <w:bookmarkStart w:id="329" w:name="_Toc184312139"/>
      <w:bookmarkEnd w:id="329"/>
      <w:bookmarkStart w:id="330" w:name="_Toc184310320"/>
      <w:bookmarkEnd w:id="330"/>
      <w:bookmarkStart w:id="331" w:name="_Toc184312106"/>
      <w:bookmarkEnd w:id="331"/>
      <w:bookmarkStart w:id="332" w:name="_Toc184314419"/>
      <w:bookmarkEnd w:id="332"/>
      <w:bookmarkStart w:id="333" w:name="_Toc184313294"/>
      <w:bookmarkEnd w:id="333"/>
      <w:bookmarkStart w:id="334" w:name="_Toc184310273"/>
      <w:bookmarkEnd w:id="334"/>
      <w:bookmarkStart w:id="335" w:name="_Toc184310310"/>
      <w:bookmarkEnd w:id="335"/>
      <w:bookmarkStart w:id="336" w:name="_Toc184310342"/>
      <w:bookmarkEnd w:id="336"/>
      <w:bookmarkStart w:id="337" w:name="_Toc184313260"/>
      <w:bookmarkEnd w:id="337"/>
      <w:bookmarkStart w:id="338" w:name="_Toc184313244"/>
      <w:bookmarkEnd w:id="338"/>
      <w:bookmarkStart w:id="339" w:name="_Toc184310324"/>
      <w:bookmarkEnd w:id="339"/>
      <w:bookmarkStart w:id="340" w:name="_Toc184308098"/>
      <w:bookmarkEnd w:id="340"/>
      <w:bookmarkStart w:id="341" w:name="_Toc184314457"/>
      <w:bookmarkEnd w:id="341"/>
      <w:bookmarkStart w:id="342" w:name="_Toc184314435"/>
      <w:bookmarkEnd w:id="342"/>
      <w:bookmarkStart w:id="343" w:name="_Toc184310307"/>
      <w:bookmarkEnd w:id="343"/>
      <w:bookmarkStart w:id="344" w:name="_Toc184308105"/>
      <w:bookmarkEnd w:id="344"/>
      <w:bookmarkStart w:id="345" w:name="_Toc184308085"/>
      <w:bookmarkEnd w:id="345"/>
      <w:bookmarkStart w:id="346" w:name="_Toc184313305"/>
      <w:bookmarkEnd w:id="346"/>
      <w:bookmarkStart w:id="347" w:name="_Toc184313289"/>
      <w:bookmarkEnd w:id="347"/>
      <w:bookmarkStart w:id="348" w:name="_Toc184313297"/>
      <w:bookmarkEnd w:id="348"/>
      <w:bookmarkStart w:id="349" w:name="_Toc184313293"/>
      <w:bookmarkEnd w:id="349"/>
      <w:bookmarkStart w:id="350" w:name="_Toc184314470"/>
      <w:bookmarkEnd w:id="350"/>
      <w:bookmarkStart w:id="351" w:name="_Toc184308040"/>
      <w:bookmarkEnd w:id="351"/>
      <w:bookmarkStart w:id="352" w:name="_Toc184310298"/>
      <w:bookmarkEnd w:id="352"/>
      <w:bookmarkStart w:id="353" w:name="_Toc184310336"/>
      <w:bookmarkEnd w:id="353"/>
      <w:bookmarkStart w:id="354" w:name="_Toc184310338"/>
      <w:bookmarkEnd w:id="354"/>
      <w:bookmarkStart w:id="355" w:name="_Toc184313286"/>
      <w:bookmarkEnd w:id="355"/>
      <w:bookmarkStart w:id="356" w:name="_Toc184310300"/>
      <w:bookmarkEnd w:id="356"/>
      <w:bookmarkStart w:id="357" w:name="_Toc184312092"/>
      <w:bookmarkEnd w:id="357"/>
      <w:bookmarkStart w:id="358" w:name="_Toc184312119"/>
      <w:bookmarkEnd w:id="358"/>
      <w:bookmarkStart w:id="359" w:name="_Toc184308089"/>
      <w:bookmarkEnd w:id="359"/>
      <w:bookmarkStart w:id="360" w:name="_Toc184310315"/>
      <w:bookmarkEnd w:id="360"/>
      <w:bookmarkStart w:id="361" w:name="_Toc184313254"/>
      <w:bookmarkEnd w:id="361"/>
      <w:bookmarkStart w:id="362" w:name="_Toc184314458"/>
      <w:bookmarkEnd w:id="362"/>
      <w:bookmarkStart w:id="363" w:name="_Toc184314412"/>
      <w:bookmarkEnd w:id="363"/>
      <w:bookmarkStart w:id="364" w:name="_Toc184308058"/>
      <w:bookmarkEnd w:id="364"/>
      <w:bookmarkStart w:id="365" w:name="_Toc184312112"/>
      <w:bookmarkEnd w:id="365"/>
      <w:bookmarkStart w:id="366" w:name="_Toc184312123"/>
      <w:bookmarkEnd w:id="366"/>
      <w:bookmarkStart w:id="367" w:name="_Toc184312087"/>
      <w:bookmarkEnd w:id="367"/>
      <w:bookmarkStart w:id="368" w:name="_Toc184312101"/>
      <w:bookmarkEnd w:id="368"/>
      <w:bookmarkStart w:id="369" w:name="_Toc184308060"/>
      <w:bookmarkEnd w:id="369"/>
      <w:bookmarkStart w:id="370" w:name="_Toc184313249"/>
      <w:bookmarkEnd w:id="370"/>
      <w:bookmarkStart w:id="371" w:name="_Toc184314427"/>
      <w:bookmarkEnd w:id="371"/>
      <w:bookmarkStart w:id="372" w:name="_Toc184312133"/>
      <w:bookmarkEnd w:id="372"/>
      <w:bookmarkStart w:id="373" w:name="_Toc184308068"/>
      <w:bookmarkEnd w:id="373"/>
      <w:bookmarkStart w:id="374" w:name="_Toc184308099"/>
      <w:bookmarkEnd w:id="374"/>
      <w:bookmarkStart w:id="375" w:name="_Toc184310339"/>
      <w:bookmarkEnd w:id="375"/>
      <w:bookmarkStart w:id="376" w:name="_Toc184308103"/>
      <w:bookmarkEnd w:id="376"/>
      <w:bookmarkStart w:id="377" w:name="_Toc184313281"/>
      <w:bookmarkEnd w:id="377"/>
      <w:bookmarkStart w:id="378" w:name="_Toc184308086"/>
      <w:bookmarkEnd w:id="378"/>
      <w:bookmarkStart w:id="379" w:name="_Toc184313283"/>
      <w:bookmarkEnd w:id="379"/>
      <w:bookmarkStart w:id="380" w:name="_Toc184308087"/>
      <w:bookmarkEnd w:id="380"/>
      <w:bookmarkStart w:id="381" w:name="_Toc184310296"/>
      <w:bookmarkEnd w:id="381"/>
      <w:bookmarkStart w:id="382" w:name="_Toc184314426"/>
      <w:bookmarkEnd w:id="382"/>
      <w:bookmarkStart w:id="383" w:name="_Toc184312074"/>
      <w:bookmarkEnd w:id="383"/>
      <w:bookmarkStart w:id="384" w:name="_Toc184313279"/>
      <w:bookmarkEnd w:id="384"/>
      <w:bookmarkStart w:id="385" w:name="_Toc184310287"/>
      <w:bookmarkEnd w:id="385"/>
      <w:bookmarkStart w:id="386" w:name="_Toc184314474"/>
      <w:bookmarkEnd w:id="386"/>
      <w:bookmarkStart w:id="387" w:name="_Toc184314478"/>
      <w:bookmarkEnd w:id="387"/>
      <w:bookmarkStart w:id="388" w:name="_Toc184313282"/>
      <w:bookmarkEnd w:id="388"/>
      <w:bookmarkStart w:id="389" w:name="_Toc184310303"/>
      <w:bookmarkEnd w:id="389"/>
      <w:bookmarkStart w:id="390" w:name="_Toc184313288"/>
      <w:bookmarkEnd w:id="390"/>
      <w:bookmarkStart w:id="391" w:name="_Toc184312069"/>
      <w:bookmarkEnd w:id="391"/>
      <w:bookmarkStart w:id="392" w:name="_Toc184313248"/>
      <w:bookmarkEnd w:id="392"/>
      <w:bookmarkStart w:id="393" w:name="_Toc184310279"/>
      <w:bookmarkEnd w:id="393"/>
      <w:bookmarkStart w:id="394" w:name="_Toc184308043"/>
      <w:bookmarkEnd w:id="394"/>
      <w:bookmarkStart w:id="395" w:name="_Toc184313301"/>
      <w:bookmarkEnd w:id="395"/>
      <w:bookmarkStart w:id="396" w:name="_Toc184310274"/>
      <w:bookmarkEnd w:id="396"/>
      <w:r>
        <w:rPr>
          <w:rFonts w:hint="eastAsia"/>
          <w:b/>
          <w:sz w:val="32"/>
          <w:szCs w:val="32"/>
        </w:rPr>
        <w:t>评标办法</w:t>
      </w:r>
    </w:p>
    <w:p>
      <w:pPr>
        <w:spacing w:line="540" w:lineRule="exact"/>
        <w:ind w:firstLine="560"/>
        <w:contextualSpacing/>
        <w:jc w:val="center"/>
        <w:rPr>
          <w:rFonts w:ascii="仿宋_GB2312" w:eastAsia="仿宋_GB2312"/>
          <w:sz w:val="28"/>
          <w:szCs w:val="28"/>
        </w:rPr>
      </w:pPr>
      <w:r>
        <w:rPr>
          <w:rFonts w:hint="eastAsia" w:ascii="仿宋_GB2312" w:eastAsia="仿宋_GB2312"/>
          <w:sz w:val="28"/>
          <w:szCs w:val="28"/>
        </w:rPr>
        <w:t>评标办法前附表</w:t>
      </w:r>
    </w:p>
    <w:tbl>
      <w:tblPr>
        <w:tblStyle w:val="24"/>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5309"/>
        <w:gridCol w:w="891"/>
        <w:gridCol w:w="100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类别</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序号</w:t>
            </w:r>
          </w:p>
        </w:tc>
        <w:tc>
          <w:tcPr>
            <w:tcW w:w="53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评分标准</w:t>
            </w: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权重</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主观分/客观分属性</w:t>
            </w:r>
          </w:p>
        </w:tc>
        <w:tc>
          <w:tcPr>
            <w:tcW w:w="11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646" w:type="dxa"/>
            <w:vMerge w:val="restart"/>
            <w:tcBorders>
              <w:left w:val="single" w:color="auto" w:sz="4" w:space="0"/>
              <w:right w:val="single" w:color="auto" w:sz="4" w:space="0"/>
            </w:tcBorders>
            <w:vAlign w:val="center"/>
          </w:tcPr>
          <w:p>
            <w:pPr>
              <w:topLinePunct/>
              <w:spacing w:line="360" w:lineRule="auto"/>
              <w:contextualSpacing/>
              <w:rPr>
                <w:rFonts w:ascii="仿宋_GB2312" w:eastAsia="仿宋_GB2312"/>
                <w:b/>
                <w:sz w:val="24"/>
                <w:szCs w:val="24"/>
              </w:rPr>
            </w:pPr>
            <w:r>
              <w:rPr>
                <w:rFonts w:hint="eastAsia" w:ascii="仿宋_GB2312" w:eastAsia="仿宋_GB2312"/>
                <w:b/>
                <w:sz w:val="24"/>
                <w:szCs w:val="24"/>
              </w:rPr>
              <w:t>商务</w:t>
            </w:r>
          </w:p>
          <w:p>
            <w:pPr>
              <w:topLinePunct/>
              <w:spacing w:line="360" w:lineRule="auto"/>
              <w:contextualSpacing/>
              <w:rPr>
                <w:rFonts w:ascii="仿宋_GB2312" w:eastAsia="仿宋_GB2312"/>
                <w:b/>
                <w:sz w:val="24"/>
                <w:szCs w:val="24"/>
              </w:rPr>
            </w:pPr>
            <w:r>
              <w:rPr>
                <w:rFonts w:hint="eastAsia" w:ascii="仿宋_GB2312" w:eastAsia="仿宋_GB2312"/>
                <w:b/>
                <w:sz w:val="24"/>
                <w:szCs w:val="24"/>
              </w:rPr>
              <w:t>部分</w:t>
            </w:r>
          </w:p>
          <w:p>
            <w:pPr>
              <w:jc w:val="center"/>
              <w:rPr>
                <w:rFonts w:ascii="仿宋_GB2312" w:hAnsi="仿宋" w:eastAsia="仿宋_GB2312" w:cs="仿宋"/>
                <w:sz w:val="24"/>
                <w:szCs w:val="24"/>
              </w:rPr>
            </w:pPr>
            <w:r>
              <w:rPr>
                <w:rFonts w:hint="eastAsia" w:ascii="仿宋_GB2312" w:eastAsia="仿宋_GB2312"/>
                <w:b/>
                <w:sz w:val="24"/>
                <w:szCs w:val="24"/>
              </w:rPr>
              <w:t>(18分）</w:t>
            </w: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5309" w:type="dxa"/>
            <w:tcBorders>
              <w:top w:val="single" w:color="auto" w:sz="4" w:space="0"/>
              <w:left w:val="single" w:color="auto" w:sz="4" w:space="0"/>
              <w:right w:val="single" w:color="auto" w:sz="4" w:space="0"/>
            </w:tcBorders>
            <w:vAlign w:val="center"/>
          </w:tcPr>
          <w:p>
            <w:pPr>
              <w:rPr>
                <w:rFonts w:ascii="仿宋_GB2312" w:hAnsi="仿宋" w:eastAsia="仿宋_GB2312" w:cs="仿宋"/>
                <w:sz w:val="24"/>
                <w:szCs w:val="24"/>
              </w:rPr>
            </w:pPr>
            <w:r>
              <w:rPr>
                <w:rFonts w:hint="eastAsia" w:ascii="仿宋_GB2312" w:hAnsi="仿宋" w:eastAsia="仿宋_GB2312" w:cs="仿宋"/>
                <w:sz w:val="24"/>
                <w:szCs w:val="24"/>
              </w:rPr>
              <w:t>投标人具有类似信息化（软硬件集成类）业绩（每提供一份合同，得1分，最多得3分。）</w:t>
            </w:r>
          </w:p>
          <w:p>
            <w:pPr>
              <w:topLinePunct/>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sz w:val="24"/>
                <w:szCs w:val="24"/>
              </w:rPr>
              <w:t>注：1.合同签订时间为 2021年1月1日（含）至开标截止时间的时间段内，合同由投标人签订，否则不得分。</w:t>
            </w:r>
          </w:p>
          <w:p>
            <w:pPr>
              <w:topLinePunct/>
              <w:rPr>
                <w:rFonts w:ascii="仿宋_GB2312" w:hAnsi="仿宋" w:eastAsia="仿宋_GB2312" w:cs="仿宋"/>
                <w:sz w:val="24"/>
                <w:szCs w:val="24"/>
              </w:rPr>
            </w:pPr>
            <w:r>
              <w:rPr>
                <w:rFonts w:hint="eastAsia" w:ascii="仿宋_GB2312" w:hAnsi="仿宋" w:eastAsia="仿宋_GB2312" w:cs="仿宋"/>
                <w:color w:val="000000" w:themeColor="text1"/>
                <w:sz w:val="24"/>
                <w:szCs w:val="24"/>
                <w14:textFill>
                  <w14:solidFill>
                    <w14:schemeClr w14:val="tx1"/>
                  </w14:solidFill>
                </w14:textFill>
              </w:rPr>
              <w:t>2.类似案例业绩是指合同内容必须包含（软硬件集成类）内容，否则不得分。</w:t>
            </w:r>
          </w:p>
        </w:tc>
        <w:tc>
          <w:tcPr>
            <w:tcW w:w="891" w:type="dxa"/>
            <w:tcBorders>
              <w:top w:val="single" w:color="auto" w:sz="4" w:space="0"/>
              <w:left w:val="single" w:color="auto" w:sz="4" w:space="0"/>
              <w:right w:val="single" w:color="auto" w:sz="4" w:space="0"/>
            </w:tcBorders>
            <w:vAlign w:val="center"/>
          </w:tcPr>
          <w:p>
            <w:pPr>
              <w:jc w:val="center"/>
              <w:rPr>
                <w:rFonts w:ascii="仿宋_GB2312" w:hAnsi="宋体" w:eastAsia="仿宋_GB2312" w:cs="宋体"/>
                <w:sz w:val="24"/>
                <w:szCs w:val="24"/>
              </w:rPr>
            </w:pPr>
          </w:p>
          <w:p>
            <w:pPr>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5309" w:type="dxa"/>
            <w:tcBorders>
              <w:top w:val="single" w:color="auto" w:sz="4" w:space="0"/>
              <w:left w:val="single" w:color="auto" w:sz="4" w:space="0"/>
              <w:right w:val="single" w:color="auto" w:sz="4" w:space="0"/>
            </w:tcBorders>
            <w:vAlign w:val="center"/>
          </w:tcPr>
          <w:p>
            <w:pPr>
              <w:pStyle w:val="3"/>
              <w:rPr>
                <w:rFonts w:ascii="仿宋_GB2312" w:eastAsia="仿宋_GB2312"/>
                <w:sz w:val="24"/>
                <w:szCs w:val="24"/>
              </w:rPr>
            </w:pPr>
            <w:r>
              <w:rPr>
                <w:rFonts w:ascii="仿宋_GB2312" w:eastAsia="仿宋_GB2312"/>
                <w:sz w:val="24"/>
                <w:szCs w:val="24"/>
              </w:rPr>
              <w:t>1.投标人具有有效期内的ISO9001质量管理体系认证证书的，得1分；</w:t>
            </w:r>
          </w:p>
          <w:p>
            <w:pPr>
              <w:pStyle w:val="3"/>
              <w:rPr>
                <w:rFonts w:ascii="仿宋_GB2312" w:eastAsia="仿宋_GB2312"/>
                <w:sz w:val="24"/>
                <w:szCs w:val="24"/>
              </w:rPr>
            </w:pPr>
            <w:r>
              <w:rPr>
                <w:rFonts w:ascii="仿宋_GB2312" w:eastAsia="仿宋_GB2312"/>
                <w:sz w:val="24"/>
                <w:szCs w:val="24"/>
              </w:rPr>
              <w:t>2.投标人具有有效期内的ISO14001环境管理体系认证的，得1分；</w:t>
            </w:r>
          </w:p>
          <w:p>
            <w:pPr>
              <w:pStyle w:val="3"/>
              <w:rPr>
                <w:rFonts w:ascii="仿宋_GB2312" w:eastAsia="仿宋_GB2312"/>
                <w:sz w:val="24"/>
                <w:szCs w:val="24"/>
              </w:rPr>
            </w:pPr>
            <w:r>
              <w:rPr>
                <w:rFonts w:ascii="仿宋_GB2312" w:eastAsia="仿宋_GB2312"/>
                <w:sz w:val="24"/>
                <w:szCs w:val="24"/>
              </w:rPr>
              <w:t>3.投标人具有有效期内的ISO20000信息技术服务管理体系认证证书的，得1分；</w:t>
            </w:r>
          </w:p>
          <w:p>
            <w:pPr>
              <w:pStyle w:val="3"/>
              <w:rPr>
                <w:rFonts w:ascii="仿宋_GB2312" w:eastAsia="仿宋_GB2312"/>
                <w:sz w:val="24"/>
                <w:szCs w:val="24"/>
              </w:rPr>
            </w:pPr>
            <w:r>
              <w:rPr>
                <w:rFonts w:ascii="仿宋_GB2312" w:eastAsia="仿宋_GB2312"/>
                <w:sz w:val="24"/>
                <w:szCs w:val="24"/>
              </w:rPr>
              <w:t>4.投标人具有有效期内的ISO27001信息安全控制管理体系认证证书的，得1分。</w:t>
            </w:r>
          </w:p>
          <w:p>
            <w:pPr>
              <w:pStyle w:val="3"/>
            </w:pPr>
            <w:r>
              <w:rPr>
                <w:rFonts w:ascii="仿宋_GB2312" w:eastAsia="仿宋_GB2312"/>
                <w:sz w:val="24"/>
                <w:szCs w:val="24"/>
              </w:rPr>
              <w:t>注：上述证书由投标人在投标文件中自行提供，不提供不得分。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投标人拟派的项目经理（1人）具有信息系统项目管理师</w:t>
            </w:r>
            <w:r>
              <w:rPr>
                <w:rFonts w:hint="eastAsia" w:ascii="仿宋_GB2312" w:hAnsi="仿宋_GB2312" w:eastAsia="仿宋_GB2312" w:cs="仿宋_GB2312"/>
                <w:color w:val="000000" w:themeColor="text1"/>
                <w:sz w:val="24"/>
                <w14:textFill>
                  <w14:solidFill>
                    <w14:schemeClr w14:val="tx1"/>
                  </w14:solidFill>
                </w14:textFill>
              </w:rPr>
              <w:t>、中级及以上网络工程师、中级及以上互联网技术，每具备1类证书得1分，本项最高3分。</w:t>
            </w:r>
          </w:p>
          <w:p>
            <w:pPr>
              <w:topLinePunct/>
              <w:rPr>
                <w:rFonts w:ascii="仿宋_GB2312" w:hAnsi="仿宋" w:eastAsia="仿宋_GB2312" w:cs="仿宋"/>
                <w:b/>
                <w:color w:val="000000"/>
                <w:sz w:val="24"/>
                <w:szCs w:val="24"/>
              </w:rPr>
            </w:pPr>
            <w:r>
              <w:rPr>
                <w:rFonts w:hint="eastAsia" w:ascii="仿宋_GB2312" w:hAnsi="仿宋" w:eastAsia="仿宋_GB2312" w:cs="仿宋"/>
                <w:b/>
                <w:color w:val="000000" w:themeColor="text1"/>
                <w:sz w:val="24"/>
                <w:szCs w:val="24"/>
                <w14:textFill>
                  <w14:solidFill>
                    <w14:schemeClr w14:val="tx1"/>
                  </w14:solidFill>
                </w14:textFill>
              </w:rPr>
              <w:t>注:1.须提供上述证书及上述</w:t>
            </w:r>
            <w:r>
              <w:rPr>
                <w:rFonts w:hint="eastAsia" w:ascii="仿宋_GB2312" w:hAnsi="仿宋" w:eastAsia="仿宋_GB2312" w:cs="仿宋"/>
                <w:b/>
                <w:color w:val="000000"/>
                <w:sz w:val="24"/>
                <w:szCs w:val="24"/>
              </w:rPr>
              <w:t>人员社保证明（2024年2月、3月、4月、5月中的任意一个月），否则不得分。</w:t>
            </w:r>
          </w:p>
          <w:p>
            <w:pPr>
              <w:pStyle w:val="3"/>
              <w:rPr>
                <w:rFonts w:ascii="仿宋_GB2312" w:eastAsia="仿宋_GB2312"/>
                <w:sz w:val="24"/>
                <w:szCs w:val="24"/>
              </w:rPr>
            </w:pPr>
            <w:r>
              <w:rPr>
                <w:rFonts w:hint="eastAsia" w:ascii="仿宋_GB2312" w:hAnsi="仿宋" w:eastAsia="仿宋_GB2312" w:cs="仿宋"/>
                <w:b/>
                <w:color w:val="000000"/>
                <w:sz w:val="24"/>
                <w:szCs w:val="24"/>
              </w:rPr>
              <w:t>2.投标人提供的同类证书等级高于上述证书的，视作满足要求。</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_GB2312" w:eastAsia="仿宋_GB2312" w:cs="仿宋_GB2312"/>
                <w:sz w:val="24"/>
              </w:rPr>
            </w:pPr>
            <w:r>
              <w:rPr>
                <w:rFonts w:hint="eastAsia" w:ascii="仿宋_GB2312" w:hAnsi="仿宋_GB2312" w:eastAsia="仿宋_GB2312" w:cs="仿宋_GB2312"/>
                <w:sz w:val="24"/>
              </w:rPr>
              <w:t>项目团队（除项目经理外）具有网络安全管理员、</w:t>
            </w:r>
            <w:r>
              <w:rPr>
                <w:rFonts w:hint="eastAsia" w:ascii="仿宋_GB2312" w:hAnsi="仿宋_GB2312" w:eastAsia="仿宋_GB2312" w:cs="仿宋_GB2312"/>
                <w:color w:val="000000" w:themeColor="text1"/>
                <w:sz w:val="24"/>
                <w14:textFill>
                  <w14:solidFill>
                    <w14:schemeClr w14:val="tx1"/>
                  </w14:solidFill>
                </w14:textFill>
              </w:rPr>
              <w:t>中级及以上设备环境工</w:t>
            </w:r>
            <w:r>
              <w:rPr>
                <w:rFonts w:hint="eastAsia" w:ascii="仿宋_GB2312" w:hAnsi="仿宋_GB2312" w:eastAsia="仿宋_GB2312" w:cs="仿宋_GB2312"/>
                <w:sz w:val="24"/>
              </w:rPr>
              <w:t>程师、</w:t>
            </w:r>
            <w:r>
              <w:rPr>
                <w:rFonts w:hint="eastAsia" w:ascii="仿宋_GB2312" w:hAnsi="仿宋_GB2312" w:eastAsia="仿宋_GB2312" w:cs="仿宋_GB2312"/>
                <w:color w:val="000000" w:themeColor="text1"/>
                <w:sz w:val="24"/>
                <w14:textFill>
                  <w14:solidFill>
                    <w14:schemeClr w14:val="tx1"/>
                  </w14:solidFill>
                </w14:textFill>
              </w:rPr>
              <w:t>中级及以上</w:t>
            </w:r>
            <w:r>
              <w:rPr>
                <w:rFonts w:hint="eastAsia" w:ascii="仿宋_GB2312" w:hAnsi="仿宋_GB2312" w:eastAsia="仿宋_GB2312" w:cs="仿宋_GB2312"/>
                <w:sz w:val="24"/>
              </w:rPr>
              <w:t>通信工程师、</w:t>
            </w:r>
            <w:r>
              <w:rPr>
                <w:rFonts w:hint="eastAsia" w:ascii="仿宋_GB2312" w:hAnsi="仿宋_GB2312" w:eastAsia="仿宋_GB2312" w:cs="仿宋_GB2312"/>
                <w:color w:val="000000" w:themeColor="text1"/>
                <w:sz w:val="24"/>
                <w14:textFill>
                  <w14:solidFill>
                    <w14:schemeClr w14:val="tx1"/>
                  </w14:solidFill>
                </w14:textFill>
              </w:rPr>
              <w:t>中级及以上</w:t>
            </w:r>
            <w:r>
              <w:rPr>
                <w:rFonts w:hint="eastAsia" w:ascii="仿宋_GB2312" w:hAnsi="仿宋_GB2312" w:eastAsia="仿宋_GB2312" w:cs="仿宋_GB2312"/>
                <w:sz w:val="24"/>
              </w:rPr>
              <w:t>网络工程师证书的，每具备1类证书得1分，本项最高4分。</w:t>
            </w:r>
          </w:p>
          <w:p>
            <w:pPr>
              <w:topLinePunct/>
              <w:contextualSpacing/>
              <w:rPr>
                <w:rFonts w:ascii="仿宋_GB2312" w:hAnsi="仿宋_GB2312" w:eastAsia="仿宋_GB2312" w:cs="仿宋_GB2312"/>
                <w:sz w:val="24"/>
              </w:rPr>
            </w:pPr>
            <w:r>
              <w:rPr>
                <w:rFonts w:hint="eastAsia" w:ascii="仿宋_GB2312" w:hAnsi="仿宋_GB2312" w:eastAsia="仿宋_GB2312" w:cs="仿宋_GB2312"/>
                <w:sz w:val="24"/>
              </w:rPr>
              <w:t>项目团队中一人多证不重复计分，同类证书不重复计分，按最高得分计取。</w:t>
            </w:r>
          </w:p>
          <w:p>
            <w:pPr>
              <w:rPr>
                <w:rFonts w:ascii="仿宋_GB2312" w:eastAsia="仿宋_GB2312"/>
                <w:b/>
                <w:bCs/>
                <w:sz w:val="24"/>
                <w:szCs w:val="24"/>
              </w:rPr>
            </w:pPr>
            <w:r>
              <w:rPr>
                <w:rFonts w:hint="eastAsia" w:ascii="仿宋_GB2312" w:hAnsi="仿宋" w:eastAsia="仿宋_GB2312" w:cs="仿宋"/>
                <w:b/>
                <w:color w:val="000000"/>
                <w:sz w:val="24"/>
                <w:szCs w:val="24"/>
              </w:rPr>
              <w:t>注:</w:t>
            </w:r>
            <w:r>
              <w:rPr>
                <w:rFonts w:hint="eastAsia" w:ascii="仿宋_GB2312" w:eastAsia="仿宋_GB2312"/>
                <w:b/>
                <w:bCs/>
                <w:sz w:val="24"/>
                <w:szCs w:val="24"/>
                <w:lang w:eastAsia="zh-TW"/>
              </w:rPr>
              <w:t>1.投标人须提供由人社部门（或人社部门授权的相关部门）颁发的上述职业资格（职业技能）证书，否则不得分。</w:t>
            </w:r>
          </w:p>
          <w:p>
            <w:pPr>
              <w:rPr>
                <w:rFonts w:ascii="仿宋_GB2312" w:eastAsia="仿宋_GB2312"/>
                <w:b/>
                <w:bCs/>
                <w:sz w:val="24"/>
                <w:szCs w:val="24"/>
              </w:rPr>
            </w:pPr>
            <w:r>
              <w:rPr>
                <w:rFonts w:hint="eastAsia" w:ascii="仿宋_GB2312" w:eastAsia="仿宋_GB2312"/>
                <w:b/>
                <w:bCs/>
                <w:sz w:val="24"/>
                <w:szCs w:val="24"/>
              </w:rPr>
              <w:t>2.投标人须提供</w:t>
            </w:r>
            <w:r>
              <w:rPr>
                <w:rFonts w:hint="eastAsia" w:ascii="仿宋_GB2312" w:eastAsia="仿宋_GB2312"/>
                <w:b/>
                <w:bCs/>
                <w:sz w:val="24"/>
                <w:szCs w:val="24"/>
                <w:lang w:eastAsia="zh-TW"/>
              </w:rPr>
              <w:t>上述人员在本单位的社保证明（</w:t>
            </w:r>
            <w:r>
              <w:rPr>
                <w:rFonts w:hint="eastAsia" w:ascii="仿宋_GB2312" w:hAnsi="仿宋" w:eastAsia="仿宋_GB2312" w:cs="仿宋"/>
                <w:b/>
                <w:color w:val="000000"/>
                <w:sz w:val="24"/>
                <w:szCs w:val="24"/>
              </w:rPr>
              <w:t>2024年2月、3月、4月、5月</w:t>
            </w:r>
            <w:r>
              <w:rPr>
                <w:rFonts w:hint="eastAsia" w:ascii="仿宋_GB2312" w:hAnsi="仿宋_GB2312" w:eastAsia="仿宋_GB2312" w:cs="仿宋_GB2312"/>
                <w:b/>
                <w:bCs/>
                <w:sz w:val="24"/>
                <w:szCs w:val="24"/>
                <w:lang w:val="zh-TW" w:eastAsia="zh-TW"/>
              </w:rPr>
              <w:t>中的任意一个月</w:t>
            </w:r>
            <w:r>
              <w:rPr>
                <w:rFonts w:hint="eastAsia" w:ascii="仿宋_GB2312" w:eastAsia="仿宋_GB2312"/>
                <w:b/>
                <w:bCs/>
                <w:sz w:val="24"/>
                <w:szCs w:val="24"/>
                <w:lang w:eastAsia="zh-TW"/>
              </w:rPr>
              <w:t>），否则不得分。</w:t>
            </w:r>
          </w:p>
          <w:p>
            <w:pPr>
              <w:pStyle w:val="3"/>
              <w:rPr>
                <w:rFonts w:ascii="仿宋_GB2312" w:hAnsi="仿宋" w:eastAsia="仿宋_GB2312" w:cs="仿宋"/>
                <w:b/>
                <w:color w:val="000000"/>
                <w:sz w:val="24"/>
                <w:szCs w:val="24"/>
              </w:rPr>
            </w:pPr>
            <w:r>
              <w:rPr>
                <w:rFonts w:hint="eastAsia" w:ascii="仿宋_GB2312" w:hAnsi="仿宋" w:eastAsia="仿宋_GB2312" w:cs="仿宋"/>
                <w:b/>
                <w:color w:val="000000"/>
                <w:sz w:val="24"/>
                <w:szCs w:val="24"/>
              </w:rPr>
              <w:t>2.投标人提供的同类证书等级高于上述证书的，视作满足要求。</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6" w:type="dxa"/>
            <w:vMerge w:val="continue"/>
            <w:tcBorders>
              <w:left w:val="single" w:color="auto" w:sz="4" w:space="0"/>
              <w:right w:val="single" w:color="auto" w:sz="4" w:space="0"/>
            </w:tcBorders>
            <w:vAlign w:val="center"/>
          </w:tcPr>
          <w:p>
            <w:pPr>
              <w:jc w:val="left"/>
              <w:rPr>
                <w:rFonts w:ascii="仿宋_GB2312" w:hAnsi="仿宋" w:eastAsia="仿宋_GB2312" w:cs="仿宋"/>
                <w:sz w:val="24"/>
                <w:szCs w:val="24"/>
              </w:rPr>
            </w:pPr>
          </w:p>
        </w:tc>
        <w:tc>
          <w:tcPr>
            <w:tcW w:w="675" w:type="dxa"/>
            <w:tcBorders>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w:t>
            </w:r>
          </w:p>
        </w:tc>
        <w:tc>
          <w:tcPr>
            <w:tcW w:w="5309" w:type="dxa"/>
            <w:tcBorders>
              <w:top w:val="single" w:color="auto" w:sz="4" w:space="0"/>
              <w:left w:val="single" w:color="auto" w:sz="4" w:space="0"/>
              <w:right w:val="single" w:color="auto" w:sz="4" w:space="0"/>
            </w:tcBorders>
            <w:vAlign w:val="center"/>
          </w:tcPr>
          <w:p>
            <w:pPr>
              <w:rPr>
                <w:rFonts w:hint="eastAsia" w:ascii="仿宋_GB2312" w:eastAsia="仿宋_GB2312"/>
                <w:sz w:val="24"/>
                <w:szCs w:val="24"/>
                <w:lang w:eastAsia="zh-CN"/>
              </w:rPr>
            </w:pPr>
            <w:r>
              <w:rPr>
                <w:rFonts w:hint="eastAsia" w:ascii="仿宋_GB2312" w:eastAsia="仿宋_GB2312"/>
                <w:sz w:val="24"/>
                <w:szCs w:val="24"/>
              </w:rPr>
              <w:t>根据投标人提供的售后服务方案，包括应急方案、服务承诺、服务响应和故障排除时间承诺打分：</w:t>
            </w:r>
          </w:p>
          <w:p>
            <w:pPr>
              <w:rPr>
                <w:rFonts w:hint="eastAsia" w:ascii="仿宋_GB2312" w:eastAsia="仿宋_GB2312"/>
                <w:sz w:val="24"/>
                <w:szCs w:val="24"/>
                <w:lang w:eastAsia="zh-CN"/>
              </w:rPr>
            </w:pPr>
            <w:r>
              <w:rPr>
                <w:rFonts w:hint="eastAsia" w:ascii="仿宋_GB2312" w:eastAsia="仿宋_GB2312"/>
                <w:sz w:val="24"/>
                <w:szCs w:val="24"/>
              </w:rPr>
              <w:t>以上每点，描述完整详细且与采购人实际需求完全契合的得1分；</w:t>
            </w:r>
          </w:p>
          <w:p>
            <w:pPr>
              <w:rPr>
                <w:rFonts w:hint="eastAsia" w:ascii="仿宋_GB2312" w:eastAsia="仿宋_GB2312"/>
                <w:sz w:val="24"/>
                <w:szCs w:val="24"/>
                <w:lang w:eastAsia="zh-CN"/>
              </w:rPr>
            </w:pPr>
            <w:r>
              <w:rPr>
                <w:rFonts w:hint="eastAsia" w:ascii="仿宋_GB2312" w:eastAsia="仿宋_GB2312"/>
                <w:sz w:val="24"/>
                <w:szCs w:val="24"/>
              </w:rPr>
              <w:t>描述较详细完整或与采购人实际需求部分符合的得0.5分；</w:t>
            </w:r>
          </w:p>
          <w:p>
            <w:pPr>
              <w:rPr>
                <w:rFonts w:hint="eastAsia" w:ascii="仿宋_GB2312" w:eastAsia="仿宋_GB2312"/>
                <w:sz w:val="24"/>
                <w:szCs w:val="24"/>
                <w:lang w:eastAsia="zh-CN"/>
              </w:rPr>
            </w:pPr>
            <w:r>
              <w:rPr>
                <w:rFonts w:hint="eastAsia" w:ascii="仿宋_GB2312" w:eastAsia="仿宋_GB2312"/>
                <w:sz w:val="24"/>
                <w:szCs w:val="24"/>
              </w:rPr>
              <w:t>未提供或完全不符合采购人需求的得0分。</w:t>
            </w:r>
          </w:p>
          <w:p>
            <w:pPr>
              <w:rPr>
                <w:rFonts w:ascii="仿宋_GB2312" w:eastAsia="仿宋_GB2312"/>
                <w:sz w:val="24"/>
                <w:szCs w:val="24"/>
              </w:rPr>
            </w:pPr>
            <w:r>
              <w:rPr>
                <w:rFonts w:hint="eastAsia" w:ascii="仿宋_GB2312" w:eastAsia="仿宋_GB2312"/>
                <w:sz w:val="24"/>
                <w:szCs w:val="24"/>
              </w:rPr>
              <w:t>本项最多得4分。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46" w:type="dxa"/>
            <w:vMerge w:val="restart"/>
            <w:tcBorders>
              <w:left w:val="single" w:color="auto" w:sz="4" w:space="0"/>
              <w:right w:val="single" w:color="auto" w:sz="4" w:space="0"/>
            </w:tcBorders>
            <w:vAlign w:val="center"/>
          </w:tcPr>
          <w:p>
            <w:pPr>
              <w:topLinePunct/>
              <w:spacing w:line="360" w:lineRule="auto"/>
              <w:contextualSpacing/>
              <w:rPr>
                <w:rFonts w:ascii="仿宋_GB2312" w:eastAsia="仿宋_GB2312"/>
                <w:b/>
                <w:sz w:val="24"/>
                <w:szCs w:val="24"/>
              </w:rPr>
            </w:pPr>
            <w:r>
              <w:rPr>
                <w:rFonts w:hint="eastAsia" w:ascii="仿宋_GB2312" w:eastAsia="仿宋_GB2312"/>
                <w:b/>
                <w:sz w:val="24"/>
                <w:szCs w:val="24"/>
              </w:rPr>
              <w:t>技术</w:t>
            </w:r>
          </w:p>
          <w:p>
            <w:pPr>
              <w:topLinePunct/>
              <w:spacing w:line="360" w:lineRule="auto"/>
              <w:contextualSpacing/>
              <w:rPr>
                <w:rFonts w:ascii="仿宋_GB2312" w:eastAsia="仿宋_GB2312"/>
                <w:b/>
                <w:sz w:val="24"/>
                <w:szCs w:val="24"/>
              </w:rPr>
            </w:pPr>
            <w:r>
              <w:rPr>
                <w:rFonts w:hint="eastAsia" w:ascii="仿宋_GB2312" w:eastAsia="仿宋_GB2312"/>
                <w:b/>
                <w:sz w:val="24"/>
                <w:szCs w:val="24"/>
              </w:rPr>
              <w:t>部分</w:t>
            </w:r>
          </w:p>
          <w:p>
            <w:pPr>
              <w:rPr>
                <w:rFonts w:ascii="仿宋_GB2312" w:hAnsi="仿宋" w:eastAsia="仿宋_GB2312" w:cs="仿宋"/>
                <w:spacing w:val="4"/>
                <w:sz w:val="24"/>
                <w:szCs w:val="24"/>
              </w:rPr>
            </w:pPr>
            <w:r>
              <w:rPr>
                <w:rFonts w:hint="eastAsia" w:ascii="仿宋_GB2312" w:eastAsia="仿宋_GB2312"/>
                <w:b/>
                <w:sz w:val="24"/>
                <w:szCs w:val="24"/>
              </w:rPr>
              <w:t>(52分）</w:t>
            </w:r>
          </w:p>
        </w:tc>
        <w:tc>
          <w:tcPr>
            <w:tcW w:w="675" w:type="dxa"/>
            <w:tcBorders>
              <w:left w:val="single" w:color="auto" w:sz="4" w:space="0"/>
              <w:right w:val="single" w:color="auto" w:sz="4" w:space="0"/>
            </w:tcBorders>
            <w:vAlign w:val="center"/>
          </w:tcPr>
          <w:p>
            <w:pPr>
              <w:widowControl/>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6</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 w:eastAsia="仿宋_GB2312" w:cs="黑体"/>
                <w:sz w:val="24"/>
                <w:szCs w:val="24"/>
              </w:rPr>
            </w:pPr>
            <w:r>
              <w:rPr>
                <w:rFonts w:hint="eastAsia" w:ascii="仿宋_GB2312" w:hAnsi="仿宋" w:eastAsia="仿宋_GB2312" w:cs="黑体"/>
                <w:sz w:val="24"/>
                <w:szCs w:val="24"/>
              </w:rPr>
              <w:t>投标人投标文件中的投标产品标注“△”的技术指标全部满足招标文件规定的技术参数要求得27分。一项指标不满足扣0.5分，最多扣27分 。</w:t>
            </w:r>
          </w:p>
          <w:p>
            <w:pPr>
              <w:topLinePunct/>
              <w:contextualSpacing/>
              <w:rPr>
                <w:rFonts w:ascii="仿宋_GB2312" w:hAnsi="仿宋" w:eastAsia="仿宋_GB2312" w:cs="黑体"/>
                <w:sz w:val="24"/>
                <w:szCs w:val="24"/>
              </w:rPr>
            </w:pPr>
            <w:r>
              <w:rPr>
                <w:rFonts w:hint="eastAsia" w:ascii="仿宋_GB2312" w:hAnsi="仿宋" w:eastAsia="仿宋_GB2312" w:cs="黑体"/>
                <w:sz w:val="24"/>
                <w:szCs w:val="24"/>
              </w:rPr>
              <w:t>注：要求提供相关证明材料的，以证明材料为准，不提供或提供的证明材料不符合要求的视作负偏离。</w:t>
            </w:r>
          </w:p>
        </w:tc>
        <w:tc>
          <w:tcPr>
            <w:tcW w:w="891" w:type="dxa"/>
            <w:tcBorders>
              <w:top w:val="single" w:color="auto" w:sz="4" w:space="0"/>
              <w:left w:val="single" w:color="auto" w:sz="4" w:space="0"/>
              <w:right w:val="single" w:color="auto" w:sz="4" w:space="0"/>
            </w:tcBorders>
            <w:vAlign w:val="center"/>
          </w:tcPr>
          <w:p>
            <w:pPr>
              <w:jc w:val="center"/>
              <w:rPr>
                <w:rFonts w:ascii="仿宋_GB2312" w:hAnsi="黑体" w:eastAsia="仿宋_GB2312" w:cs="黑体"/>
                <w:sz w:val="24"/>
                <w:szCs w:val="24"/>
              </w:rPr>
            </w:pPr>
            <w:r>
              <w:rPr>
                <w:rFonts w:hint="eastAsia" w:ascii="仿宋_GB2312" w:hAnsi="黑体" w:eastAsia="仿宋_GB2312" w:cs="黑体"/>
                <w:sz w:val="24"/>
                <w:szCs w:val="24"/>
              </w:rPr>
              <w:t>27</w:t>
            </w:r>
          </w:p>
        </w:tc>
        <w:tc>
          <w:tcPr>
            <w:tcW w:w="1000"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cs="仿宋"/>
                <w:sz w:val="24"/>
                <w:szCs w:val="24"/>
              </w:rPr>
            </w:pPr>
            <w:r>
              <w:rPr>
                <w:rFonts w:hint="eastAsia" w:ascii="仿宋_GB2312" w:hAnsi="仿宋" w:eastAsia="仿宋_GB2312" w:cs="仿宋"/>
                <w:b/>
                <w:spacing w:val="4"/>
                <w:sz w:val="24"/>
                <w:szCs w:val="24"/>
              </w:rPr>
              <w:t>客观分</w:t>
            </w:r>
          </w:p>
        </w:tc>
        <w:tc>
          <w:tcPr>
            <w:tcW w:w="1150" w:type="dxa"/>
            <w:tcBorders>
              <w:top w:val="single" w:color="auto" w:sz="4" w:space="0"/>
              <w:left w:val="single" w:color="auto" w:sz="4" w:space="0"/>
              <w:right w:val="single" w:color="auto" w:sz="4" w:space="0"/>
            </w:tcBorders>
          </w:tcPr>
          <w:p>
            <w:pPr>
              <w:adjustRightInd w:val="0"/>
              <w:snapToGrid w:val="0"/>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46" w:type="dxa"/>
            <w:vMerge w:val="continue"/>
            <w:tcBorders>
              <w:left w:val="single" w:color="auto" w:sz="4" w:space="0"/>
              <w:right w:val="single" w:color="auto" w:sz="4" w:space="0"/>
            </w:tcBorders>
            <w:vAlign w:val="center"/>
          </w:tcPr>
          <w:p>
            <w:pPr>
              <w:rPr>
                <w:rFonts w:ascii="仿宋_GB2312" w:eastAsia="仿宋_GB2312"/>
                <w:b/>
                <w:sz w:val="24"/>
                <w:szCs w:val="24"/>
              </w:rPr>
            </w:pPr>
          </w:p>
        </w:tc>
        <w:tc>
          <w:tcPr>
            <w:tcW w:w="675" w:type="dxa"/>
            <w:tcBorders>
              <w:left w:val="single" w:color="auto" w:sz="4" w:space="0"/>
              <w:right w:val="single" w:color="auto" w:sz="4" w:space="0"/>
            </w:tcBorders>
            <w:vAlign w:val="center"/>
          </w:tcPr>
          <w:p>
            <w:pPr>
              <w:widowControl/>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7</w:t>
            </w:r>
          </w:p>
        </w:tc>
        <w:tc>
          <w:tcPr>
            <w:tcW w:w="5309" w:type="dxa"/>
            <w:tcBorders>
              <w:top w:val="single" w:color="auto" w:sz="4" w:space="0"/>
              <w:left w:val="single" w:color="auto" w:sz="4" w:space="0"/>
              <w:right w:val="single" w:color="auto" w:sz="4" w:space="0"/>
            </w:tcBorders>
            <w:vAlign w:val="center"/>
          </w:tcPr>
          <w:p>
            <w:pPr>
              <w:topLinePunct/>
              <w:contextualSpacing/>
              <w:rPr>
                <w:rFonts w:ascii="仿宋_GB2312" w:hAnsi="仿宋" w:eastAsia="仿宋_GB2312" w:cs="黑体"/>
                <w:color w:val="000000" w:themeColor="text1"/>
                <w:sz w:val="24"/>
                <w:szCs w:val="24"/>
                <w14:textFill>
                  <w14:solidFill>
                    <w14:schemeClr w14:val="tx1"/>
                  </w14:solidFill>
                </w14:textFill>
              </w:rPr>
            </w:pPr>
            <w:r>
              <w:rPr>
                <w:rFonts w:hint="eastAsia" w:ascii="仿宋_GB2312" w:hAnsi="仿宋" w:eastAsia="仿宋_GB2312" w:cs="黑体"/>
                <w:color w:val="000000" w:themeColor="text1"/>
                <w:sz w:val="24"/>
                <w:szCs w:val="24"/>
                <w14:textFill>
                  <w14:solidFill>
                    <w14:schemeClr w14:val="tx1"/>
                  </w14:solidFill>
                </w14:textFill>
              </w:rPr>
              <w:t>根据投标人对本项目剖析方案，包括项目实施前，市级、县级指挥中心的现状情况、存在问题、需求理解。</w:t>
            </w:r>
          </w:p>
          <w:p>
            <w:pPr>
              <w:topLinePunct/>
              <w:contextualSpacing/>
              <w:rPr>
                <w:rFonts w:ascii="仿宋_GB2312" w:hAnsi="仿宋" w:eastAsia="仿宋_GB2312" w:cs="黑体"/>
                <w:color w:val="000000" w:themeColor="text1"/>
                <w:sz w:val="24"/>
                <w:szCs w:val="24"/>
                <w14:textFill>
                  <w14:solidFill>
                    <w14:schemeClr w14:val="tx1"/>
                  </w14:solidFill>
                </w14:textFill>
              </w:rPr>
            </w:pPr>
            <w:r>
              <w:rPr>
                <w:rFonts w:hint="eastAsia" w:ascii="仿宋_GB2312" w:hAnsi="仿宋" w:eastAsia="仿宋_GB2312" w:cs="黑体"/>
                <w:color w:val="000000" w:themeColor="text1"/>
                <w:sz w:val="24"/>
                <w:szCs w:val="24"/>
                <w14:textFill>
                  <w14:solidFill>
                    <w14:schemeClr w14:val="tx1"/>
                  </w14:solidFill>
                </w14:textFill>
              </w:rPr>
              <w:t>以上每点，事项分析完整详细，解决方案切实可行的，得2分；</w:t>
            </w:r>
          </w:p>
          <w:p>
            <w:pPr>
              <w:topLinePunct/>
              <w:contextualSpacing/>
              <w:rPr>
                <w:rFonts w:ascii="仿宋_GB2312" w:hAnsi="仿宋" w:eastAsia="仿宋_GB2312" w:cs="黑体"/>
                <w:color w:val="000000" w:themeColor="text1"/>
                <w:sz w:val="24"/>
                <w:szCs w:val="24"/>
                <w14:textFill>
                  <w14:solidFill>
                    <w14:schemeClr w14:val="tx1"/>
                  </w14:solidFill>
                </w14:textFill>
              </w:rPr>
            </w:pPr>
            <w:r>
              <w:rPr>
                <w:rFonts w:hint="eastAsia" w:ascii="仿宋_GB2312" w:hAnsi="仿宋" w:eastAsia="仿宋_GB2312" w:cs="黑体"/>
                <w:color w:val="000000" w:themeColor="text1"/>
                <w:sz w:val="24"/>
                <w:szCs w:val="24"/>
                <w14:textFill>
                  <w14:solidFill>
                    <w14:schemeClr w14:val="tx1"/>
                  </w14:solidFill>
                </w14:textFill>
              </w:rPr>
              <w:t>事项分析较详细，解决方案可行的，得1.5分；</w:t>
            </w:r>
          </w:p>
          <w:p>
            <w:pPr>
              <w:topLinePunct/>
              <w:contextualSpacing/>
              <w:rPr>
                <w:rFonts w:ascii="仿宋_GB2312" w:hAnsi="仿宋" w:eastAsia="仿宋_GB2312" w:cs="黑体"/>
                <w:color w:val="000000" w:themeColor="text1"/>
                <w:sz w:val="24"/>
                <w:szCs w:val="24"/>
                <w14:textFill>
                  <w14:solidFill>
                    <w14:schemeClr w14:val="tx1"/>
                  </w14:solidFill>
                </w14:textFill>
              </w:rPr>
            </w:pPr>
            <w:r>
              <w:rPr>
                <w:rFonts w:hint="eastAsia" w:ascii="仿宋_GB2312" w:hAnsi="仿宋" w:eastAsia="仿宋_GB2312" w:cs="黑体"/>
                <w:color w:val="000000" w:themeColor="text1"/>
                <w:sz w:val="24"/>
                <w:szCs w:val="24"/>
                <w14:textFill>
                  <w14:solidFill>
                    <w14:schemeClr w14:val="tx1"/>
                  </w14:solidFill>
                </w14:textFill>
              </w:rPr>
              <w:t>事项分析简单，解决方案一般的，得1分；</w:t>
            </w:r>
          </w:p>
          <w:p>
            <w:pPr>
              <w:topLinePunct/>
              <w:contextualSpacing/>
              <w:rPr>
                <w:rFonts w:ascii="仿宋_GB2312" w:hAnsi="仿宋" w:eastAsia="仿宋_GB2312" w:cs="黑体"/>
                <w:color w:val="000000" w:themeColor="text1"/>
                <w:sz w:val="24"/>
                <w:szCs w:val="24"/>
                <w14:textFill>
                  <w14:solidFill>
                    <w14:schemeClr w14:val="tx1"/>
                  </w14:solidFill>
                </w14:textFill>
              </w:rPr>
            </w:pPr>
            <w:r>
              <w:rPr>
                <w:rFonts w:hint="eastAsia" w:ascii="仿宋_GB2312" w:hAnsi="仿宋" w:eastAsia="仿宋_GB2312" w:cs="黑体"/>
                <w:color w:val="000000" w:themeColor="text1"/>
                <w:sz w:val="24"/>
                <w:szCs w:val="24"/>
                <w14:textFill>
                  <w14:solidFill>
                    <w14:schemeClr w14:val="tx1"/>
                  </w14:solidFill>
                </w14:textFill>
              </w:rPr>
              <w:t>事项分析及解决方案较差的，得0.5分；</w:t>
            </w:r>
          </w:p>
          <w:p>
            <w:pPr>
              <w:topLinePunct/>
              <w:contextualSpacing/>
              <w:rPr>
                <w:rFonts w:ascii="仿宋_GB2312" w:eastAsia="仿宋_GB2312"/>
                <w:b/>
                <w:bCs/>
                <w:color w:val="000000" w:themeColor="text1"/>
                <w:szCs w:val="24"/>
                <w14:textFill>
                  <w14:solidFill>
                    <w14:schemeClr w14:val="tx1"/>
                  </w14:solidFill>
                </w14:textFill>
              </w:rPr>
            </w:pPr>
            <w:r>
              <w:rPr>
                <w:rFonts w:hint="eastAsia" w:ascii="仿宋_GB2312" w:hAnsi="仿宋" w:eastAsia="仿宋_GB2312" w:cs="黑体"/>
                <w:color w:val="000000" w:themeColor="text1"/>
                <w:sz w:val="24"/>
                <w:szCs w:val="24"/>
                <w14:textFill>
                  <w14:solidFill>
                    <w14:schemeClr w14:val="tx1"/>
                  </w14:solidFill>
                </w14:textFill>
              </w:rPr>
              <w:t>未提供的，得0分。</w:t>
            </w:r>
          </w:p>
        </w:tc>
        <w:tc>
          <w:tcPr>
            <w:tcW w:w="891" w:type="dxa"/>
            <w:tcBorders>
              <w:top w:val="single" w:color="auto" w:sz="4" w:space="0"/>
              <w:left w:val="single" w:color="auto" w:sz="4" w:space="0"/>
              <w:right w:val="single" w:color="auto" w:sz="4" w:space="0"/>
            </w:tcBorders>
            <w:vAlign w:val="center"/>
          </w:tcPr>
          <w:p>
            <w:pPr>
              <w:jc w:val="center"/>
              <w:rPr>
                <w:rFonts w:ascii="仿宋_GB2312" w:hAnsi="黑体" w:eastAsia="仿宋_GB2312" w:cs="黑体"/>
                <w:color w:val="FF0000"/>
                <w:sz w:val="24"/>
                <w:szCs w:val="24"/>
              </w:rPr>
            </w:pPr>
            <w:r>
              <w:rPr>
                <w:rFonts w:hint="eastAsia" w:ascii="仿宋_GB2312" w:hAnsi="黑体" w:eastAsia="仿宋_GB2312" w:cs="黑体"/>
                <w:sz w:val="24"/>
                <w:szCs w:val="24"/>
              </w:rPr>
              <w:t>6</w:t>
            </w:r>
          </w:p>
        </w:tc>
        <w:tc>
          <w:tcPr>
            <w:tcW w:w="1000" w:type="dxa"/>
            <w:tcBorders>
              <w:top w:val="single" w:color="auto" w:sz="4" w:space="0"/>
              <w:left w:val="single" w:color="auto" w:sz="4" w:space="0"/>
              <w:right w:val="single" w:color="auto" w:sz="4" w:space="0"/>
            </w:tcBorders>
            <w:vAlign w:val="center"/>
          </w:tcPr>
          <w:p>
            <w:pPr>
              <w:adjustRightInd w:val="0"/>
              <w:snapToGrid w:val="0"/>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adjustRightInd w:val="0"/>
              <w:snapToGrid w:val="0"/>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8</w:t>
            </w:r>
          </w:p>
        </w:tc>
        <w:tc>
          <w:tcPr>
            <w:tcW w:w="5309" w:type="dxa"/>
            <w:tcBorders>
              <w:top w:val="single" w:color="auto" w:sz="4" w:space="0"/>
              <w:left w:val="single" w:color="auto" w:sz="4" w:space="0"/>
              <w:right w:val="single" w:color="auto" w:sz="4" w:space="0"/>
            </w:tcBorders>
            <w:vAlign w:val="center"/>
          </w:tcPr>
          <w:p>
            <w:pPr>
              <w:pStyle w:val="11"/>
              <w:spacing w:line="240" w:lineRule="auto"/>
              <w:ind w:firstLine="0" w:firstLineChars="0"/>
              <w:jc w:val="left"/>
              <w:rPr>
                <w:rFonts w:ascii="仿宋_GB2312" w:eastAsia="仿宋_GB2312"/>
                <w:color w:val="000000" w:themeColor="text1"/>
                <w:szCs w:val="24"/>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根据响应人提供的项目实施总体方案，包含进度计划安排、设备采购供货方案、安装调试方案、试运行及项目验收方案情况打分。</w:t>
            </w:r>
          </w:p>
          <w:p>
            <w:pPr>
              <w:pStyle w:val="11"/>
              <w:spacing w:line="240" w:lineRule="auto"/>
              <w:ind w:firstLine="0" w:firstLineChars="0"/>
              <w:jc w:val="left"/>
              <w:rPr>
                <w:rFonts w:ascii="仿宋_GB2312" w:eastAsia="仿宋_GB2312"/>
                <w:color w:val="000000" w:themeColor="text1"/>
                <w:szCs w:val="24"/>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以上每点，描述完整详细且与采购人实际需求完全契合的得1.5分；</w:t>
            </w:r>
          </w:p>
          <w:p>
            <w:pPr>
              <w:widowControl/>
              <w:rPr>
                <w:rFonts w:ascii="仿宋_GB2312" w:eastAsia="仿宋_GB2312"/>
                <w:color w:val="000000" w:themeColor="text1"/>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描述较详细完整或与采购人实际需求基本符合的得1分；</w:t>
            </w:r>
          </w:p>
          <w:p>
            <w:pPr>
              <w:pStyle w:val="11"/>
              <w:spacing w:line="240" w:lineRule="auto"/>
              <w:ind w:firstLine="0" w:firstLineChars="0"/>
              <w:jc w:val="left"/>
              <w:rPr>
                <w:rFonts w:ascii="仿宋_GB2312" w:eastAsia="仿宋_GB2312"/>
                <w:color w:val="000000" w:themeColor="text1"/>
                <w:szCs w:val="24"/>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描述较完整或与采购人实际需求部分符合的得0.5分；</w:t>
            </w:r>
          </w:p>
          <w:p>
            <w:pPr>
              <w:pStyle w:val="11"/>
              <w:spacing w:line="240" w:lineRule="auto"/>
              <w:ind w:firstLine="0" w:firstLineChars="0"/>
              <w:jc w:val="left"/>
              <w:rPr>
                <w:rFonts w:ascii="仿宋_GB2312" w:eastAsia="仿宋_GB2312"/>
                <w:color w:val="000000" w:themeColor="text1"/>
                <w:szCs w:val="24"/>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未提供或完全不符合采购人需求的得0分，本项最多得6分。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6</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9</w:t>
            </w:r>
          </w:p>
        </w:tc>
        <w:tc>
          <w:tcPr>
            <w:tcW w:w="5309" w:type="dxa"/>
            <w:tcBorders>
              <w:top w:val="single" w:color="auto" w:sz="4" w:space="0"/>
              <w:left w:val="single" w:color="auto" w:sz="4" w:space="0"/>
              <w:right w:val="single" w:color="auto" w:sz="4" w:space="0"/>
            </w:tcBorders>
            <w:vAlign w:val="center"/>
          </w:tcPr>
          <w:p>
            <w:pPr>
              <w:spacing w:line="400" w:lineRule="exac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根据投标人项目实施中的质量保证目标、质量保证体系和措施、确保按时交付及正常运行的措施等情况进行综合评分：</w:t>
            </w:r>
          </w:p>
          <w:p>
            <w:pPr>
              <w:widowControl/>
              <w:textAlignment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根据以上每项</w:t>
            </w:r>
            <w:r>
              <w:rPr>
                <w:rFonts w:hint="eastAsia" w:ascii="仿宋_GB2312" w:hAnsi="宋体" w:eastAsia="仿宋_GB2312"/>
                <w:color w:val="000000" w:themeColor="text1"/>
                <w:sz w:val="24"/>
                <w:szCs w:val="24"/>
                <w:lang w:val="en-US" w:eastAsia="zh-CN"/>
                <w14:textFill>
                  <w14:solidFill>
                    <w14:schemeClr w14:val="tx1"/>
                  </w14:solidFill>
                </w14:textFill>
              </w:rPr>
              <w:t>管控</w:t>
            </w:r>
            <w:r>
              <w:rPr>
                <w:rFonts w:hint="eastAsia" w:ascii="仿宋_GB2312" w:hAnsi="宋体" w:eastAsia="仿宋_GB2312"/>
                <w:color w:val="000000" w:themeColor="text1"/>
                <w:sz w:val="24"/>
                <w:szCs w:val="24"/>
                <w14:textFill>
                  <w14:solidFill>
                    <w14:schemeClr w14:val="tx1"/>
                  </w14:solidFill>
                </w14:textFill>
              </w:rPr>
              <w:t>措施描述完整详细，能充分保证项目质量的每项得1分，</w:t>
            </w:r>
          </w:p>
          <w:p>
            <w:pPr>
              <w:widowControl/>
              <w:textAlignment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以上每项</w:t>
            </w:r>
            <w:r>
              <w:rPr>
                <w:rFonts w:hint="eastAsia" w:ascii="仿宋_GB2312" w:hAnsi="宋体" w:eastAsia="仿宋_GB2312"/>
                <w:color w:val="000000" w:themeColor="text1"/>
                <w:sz w:val="24"/>
                <w:szCs w:val="24"/>
                <w:lang w:val="en-US" w:eastAsia="zh-CN"/>
                <w14:textFill>
                  <w14:solidFill>
                    <w14:schemeClr w14:val="tx1"/>
                  </w14:solidFill>
                </w14:textFill>
              </w:rPr>
              <w:t>管控</w:t>
            </w:r>
            <w:r>
              <w:rPr>
                <w:rFonts w:hint="eastAsia" w:ascii="仿宋_GB2312" w:hAnsi="宋体" w:eastAsia="仿宋_GB2312"/>
                <w:color w:val="000000" w:themeColor="text1"/>
                <w:sz w:val="24"/>
                <w:szCs w:val="24"/>
                <w14:textFill>
                  <w14:solidFill>
                    <w14:schemeClr w14:val="tx1"/>
                  </w14:solidFill>
                </w14:textFill>
              </w:rPr>
              <w:t>措施描述不详细，能基本保证项目质量的得0.5分，</w:t>
            </w:r>
          </w:p>
          <w:p>
            <w:pPr>
              <w:widowControl/>
              <w:textAlignment w:val="center"/>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未提供或完全不符合采购人需求的得0分，本项最多得3分。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10</w:t>
            </w:r>
          </w:p>
        </w:tc>
        <w:tc>
          <w:tcPr>
            <w:tcW w:w="5309" w:type="dxa"/>
            <w:tcBorders>
              <w:top w:val="single" w:color="auto" w:sz="4" w:space="0"/>
              <w:left w:val="single" w:color="auto" w:sz="4" w:space="0"/>
              <w:right w:val="single" w:color="auto" w:sz="4" w:space="0"/>
            </w:tcBorders>
            <w:vAlign w:val="center"/>
          </w:tcPr>
          <w:p>
            <w:pPr>
              <w:pStyle w:val="64"/>
              <w:adjustRightInd w:val="0"/>
              <w:snapToGrid w:val="0"/>
              <w:jc w:val="left"/>
              <w:rPr>
                <w:rFonts w:hint="eastAsia" w:ascii="仿宋_GB2312" w:eastAsia="仿宋_GB2312"/>
                <w:sz w:val="24"/>
                <w:szCs w:val="24"/>
                <w:lang w:eastAsia="zh-CN"/>
              </w:rPr>
            </w:pPr>
            <w:r>
              <w:rPr>
                <w:rFonts w:hint="eastAsia" w:ascii="仿宋_GB2312" w:eastAsia="仿宋_GB2312"/>
                <w:sz w:val="24"/>
                <w:szCs w:val="24"/>
              </w:rPr>
              <w:t>根据投标人对本项目施工时的安全管理方案，包括安全管理制度、安全保证措施打分：</w:t>
            </w:r>
          </w:p>
          <w:p>
            <w:pPr>
              <w:pStyle w:val="64"/>
              <w:adjustRightInd w:val="0"/>
              <w:snapToGrid w:val="0"/>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sz w:val="24"/>
                <w:szCs w:val="24"/>
              </w:rPr>
              <w:t>以上每点，描述完整详细且与采购人实际需求完全契合的</w:t>
            </w:r>
            <w:r>
              <w:rPr>
                <w:rFonts w:hint="eastAsia" w:ascii="仿宋_GB2312" w:eastAsia="仿宋_GB2312"/>
                <w:color w:val="000000" w:themeColor="text1"/>
                <w:sz w:val="24"/>
                <w:szCs w:val="24"/>
                <w14:textFill>
                  <w14:solidFill>
                    <w14:schemeClr w14:val="tx1"/>
                  </w14:solidFill>
                </w14:textFill>
              </w:rPr>
              <w:t>得1.5分；</w:t>
            </w:r>
          </w:p>
          <w:p>
            <w:pPr>
              <w:pStyle w:val="64"/>
              <w:adjustRightInd w:val="0"/>
              <w:snapToGrid w:val="0"/>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描述较详细完整或与采购人实际需求基本符合的得1分；</w:t>
            </w:r>
          </w:p>
          <w:p>
            <w:pPr>
              <w:pStyle w:val="64"/>
              <w:adjustRightInd w:val="0"/>
              <w:snapToGrid w:val="0"/>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描述较详细完整或与采购人实际需求部分符合的得0.5分；</w:t>
            </w:r>
          </w:p>
          <w:p>
            <w:pPr>
              <w:pStyle w:val="64"/>
              <w:adjustRightInd w:val="0"/>
              <w:snapToGrid w:val="0"/>
              <w:jc w:val="left"/>
              <w:rPr>
                <w:rFonts w:ascii="仿宋_GB2312" w:eastAsia="仿宋_GB2312"/>
                <w:sz w:val="24"/>
                <w:szCs w:val="24"/>
              </w:rPr>
            </w:pPr>
            <w:r>
              <w:rPr>
                <w:rFonts w:hint="eastAsia" w:ascii="仿宋_GB2312" w:eastAsia="仿宋_GB2312"/>
                <w:color w:val="000000" w:themeColor="text1"/>
                <w:sz w:val="24"/>
                <w:szCs w:val="24"/>
                <w14:textFill>
                  <w14:solidFill>
                    <w14:schemeClr w14:val="tx1"/>
                  </w14:solidFill>
                </w14:textFill>
              </w:rPr>
              <w:t>未提供或完全不符</w:t>
            </w:r>
            <w:r>
              <w:rPr>
                <w:rFonts w:hint="eastAsia" w:ascii="仿宋_GB2312" w:eastAsia="仿宋_GB2312"/>
                <w:sz w:val="24"/>
                <w:szCs w:val="24"/>
              </w:rPr>
              <w:t>合采购人需求的得0分。</w:t>
            </w:r>
          </w:p>
          <w:p>
            <w:pPr>
              <w:widowControl/>
              <w:rPr>
                <w:rFonts w:ascii="宋体" w:hAnsi="宋体" w:cs="宋体"/>
                <w:kern w:val="0"/>
                <w:sz w:val="20"/>
              </w:rPr>
            </w:pPr>
            <w:r>
              <w:rPr>
                <w:rFonts w:hint="eastAsia" w:ascii="仿宋_GB2312" w:eastAsia="仿宋_GB2312"/>
                <w:sz w:val="24"/>
                <w:szCs w:val="24"/>
              </w:rPr>
              <w:t>本项最多得3分。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p>
          <w:p>
            <w:pPr>
              <w:jc w:val="center"/>
              <w:rPr>
                <w:rFonts w:ascii="仿宋_GB2312" w:hAnsi="仿宋" w:eastAsia="仿宋_GB2312" w:cs="仿宋"/>
                <w:spacing w:val="4"/>
                <w:sz w:val="24"/>
                <w:szCs w:val="24"/>
              </w:rPr>
            </w:pPr>
          </w:p>
          <w:p>
            <w:pPr>
              <w:jc w:val="center"/>
              <w:rPr>
                <w:rFonts w:ascii="仿宋_GB2312" w:hAnsi="仿宋" w:eastAsia="仿宋_GB2312" w:cs="仿宋"/>
                <w:spacing w:val="4"/>
                <w:sz w:val="24"/>
                <w:szCs w:val="24"/>
              </w:rPr>
            </w:pPr>
          </w:p>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11</w:t>
            </w:r>
          </w:p>
        </w:tc>
        <w:tc>
          <w:tcPr>
            <w:tcW w:w="5309" w:type="dxa"/>
            <w:tcBorders>
              <w:top w:val="single" w:color="auto" w:sz="4" w:space="0"/>
              <w:left w:val="single" w:color="auto" w:sz="4" w:space="0"/>
              <w:right w:val="single" w:color="auto" w:sz="4" w:space="0"/>
            </w:tcBorders>
            <w:vAlign w:val="center"/>
          </w:tcPr>
          <w:p>
            <w:pPr>
              <w:widowControl/>
              <w:rPr>
                <w:rFonts w:ascii="仿宋_GB2312" w:eastAsia="仿宋_GB2312"/>
                <w:color w:val="000000" w:themeColor="text1"/>
                <w:sz w:val="24"/>
                <w:szCs w:val="24"/>
                <w14:textFill>
                  <w14:solidFill>
                    <w14:schemeClr w14:val="tx1"/>
                  </w14:solidFill>
                </w14:textFill>
              </w:rPr>
            </w:pPr>
            <w:r>
              <w:rPr>
                <w:rFonts w:hint="eastAsia" w:ascii="仿宋_GB2312" w:eastAsia="仿宋_GB2312" w:cs="Arial"/>
                <w:bCs/>
                <w:color w:val="000000" w:themeColor="text1"/>
                <w:sz w:val="24"/>
                <w:szCs w:val="24"/>
                <w14:textFill>
                  <w14:solidFill>
                    <w14:schemeClr w14:val="tx1"/>
                  </w14:solidFill>
                </w14:textFill>
              </w:rPr>
              <w:t>根据投标人</w:t>
            </w:r>
            <w:r>
              <w:rPr>
                <w:rFonts w:hint="eastAsia" w:ascii="仿宋_GB2312" w:eastAsia="仿宋_GB2312"/>
                <w:color w:val="000000" w:themeColor="text1"/>
                <w:sz w:val="24"/>
                <w:szCs w:val="24"/>
                <w14:textFill>
                  <w14:solidFill>
                    <w14:schemeClr w14:val="tx1"/>
                  </w14:solidFill>
                </w14:textFill>
              </w:rPr>
              <w:t>针对应急指挥中心提供的网络及安全、汛期应急保障等的合理化建议打分：</w:t>
            </w:r>
          </w:p>
          <w:p>
            <w:pPr>
              <w:widowControl/>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以上每个方面的建议详细完整且能有效推进应急指挥中心建设的，得2分，</w:t>
            </w:r>
          </w:p>
          <w:p>
            <w:pPr>
              <w:widowControl/>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描述较详细完整或与</w:t>
            </w:r>
            <w:r>
              <w:rPr>
                <w:rFonts w:hint="eastAsia" w:ascii="仿宋_GB2312" w:eastAsia="仿宋_GB2312"/>
                <w:color w:val="000000" w:themeColor="text1"/>
                <w:sz w:val="24"/>
                <w:szCs w:val="24"/>
                <w14:textFill>
                  <w14:solidFill>
                    <w14:schemeClr w14:val="tx1"/>
                  </w14:solidFill>
                </w14:textFill>
              </w:rPr>
              <w:t>应急指挥中心建设</w:t>
            </w:r>
            <w:r>
              <w:rPr>
                <w:rFonts w:ascii="仿宋_GB2312" w:eastAsia="仿宋_GB2312"/>
                <w:color w:val="000000" w:themeColor="text1"/>
                <w:sz w:val="24"/>
                <w:szCs w:val="24"/>
                <w14:textFill>
                  <w14:solidFill>
                    <w14:schemeClr w14:val="tx1"/>
                  </w14:solidFill>
                </w14:textFill>
              </w:rPr>
              <w:t>需求基本符合的得</w:t>
            </w:r>
            <w:r>
              <w:rPr>
                <w:rFonts w:hint="eastAsia" w:ascii="仿宋_GB2312" w:eastAsia="仿宋_GB2312"/>
                <w:color w:val="000000" w:themeColor="text1"/>
                <w:sz w:val="24"/>
                <w:szCs w:val="24"/>
                <w14:textFill>
                  <w14:solidFill>
                    <w14:schemeClr w14:val="tx1"/>
                  </w14:solidFill>
                </w14:textFill>
              </w:rPr>
              <w:t>1</w:t>
            </w:r>
            <w:r>
              <w:rPr>
                <w:rFonts w:ascii="仿宋_GB2312" w:eastAsia="仿宋_GB2312"/>
                <w:color w:val="000000" w:themeColor="text1"/>
                <w:sz w:val="24"/>
                <w:szCs w:val="24"/>
                <w14:textFill>
                  <w14:solidFill>
                    <w14:schemeClr w14:val="tx1"/>
                  </w14:solidFill>
                </w14:textFill>
              </w:rPr>
              <w:t>分；</w:t>
            </w:r>
          </w:p>
          <w:p>
            <w:pPr>
              <w:widowControl/>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描述较详细完整或与应急指挥中心建设实际需求部分符合的得0.5分；</w:t>
            </w:r>
          </w:p>
          <w:p>
            <w:pPr>
              <w:pStyle w:val="64"/>
              <w:adjustRightInd w:val="0"/>
              <w:snapToGrid w:val="0"/>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未提供或完全不符合</w:t>
            </w:r>
            <w:r>
              <w:rPr>
                <w:rFonts w:ascii="仿宋_GB2312" w:eastAsia="仿宋_GB2312"/>
                <w:color w:val="000000" w:themeColor="text1"/>
                <w:sz w:val="24"/>
                <w:szCs w:val="24"/>
                <w14:textFill>
                  <w14:solidFill>
                    <w14:schemeClr w14:val="tx1"/>
                  </w14:solidFill>
                </w14:textFill>
              </w:rPr>
              <w:t>与</w:t>
            </w:r>
            <w:r>
              <w:rPr>
                <w:rFonts w:hint="eastAsia" w:ascii="仿宋_GB2312" w:eastAsia="仿宋_GB2312"/>
                <w:color w:val="000000" w:themeColor="text1"/>
                <w:sz w:val="24"/>
                <w:szCs w:val="24"/>
                <w14:textFill>
                  <w14:solidFill>
                    <w14:schemeClr w14:val="tx1"/>
                  </w14:solidFill>
                </w14:textFill>
              </w:rPr>
              <w:t>应急指挥中心建设需求的得0分。</w:t>
            </w:r>
          </w:p>
          <w:p>
            <w:pPr>
              <w:pStyle w:val="4"/>
              <w:ind w:firstLine="0" w:firstLineChars="0"/>
            </w:pPr>
            <w:r>
              <w:rPr>
                <w:rFonts w:hint="eastAsia"/>
              </w:rPr>
              <w:t>本项最多得4分。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color w:val="000000" w:themeColor="text1"/>
                <w:sz w:val="24"/>
                <w:szCs w:val="24"/>
                <w14:textFill>
                  <w14:solidFill>
                    <w14:schemeClr w14:val="tx1"/>
                  </w14:solidFill>
                </w14:textFill>
              </w:rPr>
            </w:pPr>
          </w:p>
          <w:p>
            <w:pPr>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4</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spacing w:val="4"/>
                <w:sz w:val="24"/>
                <w:szCs w:val="24"/>
              </w:rPr>
            </w:pPr>
          </w:p>
          <w:p>
            <w:pPr>
              <w:jc w:val="center"/>
              <w:rPr>
                <w:rFonts w:ascii="仿宋_GB2312" w:hAnsi="仿宋" w:eastAsia="仿宋_GB2312" w:cs="仿宋"/>
                <w:b/>
                <w:spacing w:val="4"/>
                <w:sz w:val="24"/>
                <w:szCs w:val="24"/>
              </w:rPr>
            </w:pPr>
          </w:p>
          <w:p>
            <w:pPr>
              <w:jc w:val="center"/>
              <w:rPr>
                <w:rFonts w:ascii="仿宋_GB2312" w:hAnsi="仿宋" w:eastAsia="仿宋_GB2312" w:cs="仿宋"/>
                <w:b/>
                <w:spacing w:val="4"/>
                <w:sz w:val="24"/>
                <w:szCs w:val="24"/>
              </w:rPr>
            </w:pPr>
            <w:r>
              <w:rPr>
                <w:rFonts w:hint="eastAsia" w:ascii="仿宋_GB2312" w:hAnsi="仿宋" w:eastAsia="仿宋_GB2312" w:cs="仿宋"/>
                <w:b/>
                <w:spacing w:val="4"/>
                <w:sz w:val="24"/>
                <w:szCs w:val="24"/>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12</w:t>
            </w:r>
          </w:p>
        </w:tc>
        <w:tc>
          <w:tcPr>
            <w:tcW w:w="5309" w:type="dxa"/>
            <w:tcBorders>
              <w:top w:val="single" w:color="auto" w:sz="4" w:space="0"/>
              <w:left w:val="single" w:color="auto" w:sz="4" w:space="0"/>
              <w:right w:val="single" w:color="auto" w:sz="4" w:space="0"/>
            </w:tcBorders>
            <w:vAlign w:val="center"/>
          </w:tcPr>
          <w:p>
            <w:pPr>
              <w:widowControl/>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根据投标人提供的培训方案，包括培训课程安排、师资力量配备等情况打分：</w:t>
            </w:r>
          </w:p>
          <w:p>
            <w:pPr>
              <w:widowControl/>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以上每点，描述完整详细且与采购人实际需求完全契合的得1分；</w:t>
            </w:r>
          </w:p>
          <w:p>
            <w:pPr>
              <w:widowControl/>
              <w:rPr>
                <w:color w:val="000000" w:themeColor="text1"/>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描述较详细完整或与采购人实际需求基本符合的得0.5分；</w:t>
            </w:r>
          </w:p>
          <w:p>
            <w:pPr>
              <w:widowControl/>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未提供或完全不符合采购人需求的得0分。</w:t>
            </w:r>
          </w:p>
          <w:p>
            <w:pPr>
              <w:widowControl/>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本项最多得2分。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2</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color w:val="000000" w:themeColor="text1"/>
                <w:spacing w:val="4"/>
                <w:sz w:val="24"/>
                <w:szCs w:val="24"/>
                <w14:textFill>
                  <w14:solidFill>
                    <w14:schemeClr w14:val="tx1"/>
                  </w14:solidFill>
                </w14:textFill>
              </w:rPr>
            </w:pPr>
            <w:r>
              <w:rPr>
                <w:rFonts w:hint="eastAsia" w:ascii="仿宋_GB2312" w:hAnsi="仿宋" w:eastAsia="仿宋_GB2312" w:cs="仿宋"/>
                <w:b/>
                <w:color w:val="000000" w:themeColor="text1"/>
                <w:spacing w:val="4"/>
                <w:sz w:val="24"/>
                <w:szCs w:val="24"/>
                <w14:textFill>
                  <w14:solidFill>
                    <w14:schemeClr w14:val="tx1"/>
                  </w14:solidFill>
                </w14:textFill>
              </w:rPr>
              <w:t>主观分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46" w:type="dxa"/>
            <w:vMerge w:val="continue"/>
            <w:tcBorders>
              <w:left w:val="single" w:color="auto" w:sz="4" w:space="0"/>
              <w:right w:val="single" w:color="auto" w:sz="4" w:space="0"/>
            </w:tcBorders>
            <w:vAlign w:val="center"/>
          </w:tcPr>
          <w:p>
            <w:pPr>
              <w:ind w:firstLine="124" w:firstLineChars="50"/>
              <w:rPr>
                <w:rFonts w:ascii="仿宋_GB2312" w:hAnsi="仿宋" w:eastAsia="仿宋_GB2312" w:cs="仿宋"/>
                <w:spacing w:val="4"/>
                <w:sz w:val="24"/>
                <w:szCs w:val="24"/>
              </w:rPr>
            </w:pPr>
          </w:p>
        </w:tc>
        <w:tc>
          <w:tcPr>
            <w:tcW w:w="675"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13</w:t>
            </w:r>
          </w:p>
        </w:tc>
        <w:tc>
          <w:tcPr>
            <w:tcW w:w="5309" w:type="dxa"/>
            <w:tcBorders>
              <w:top w:val="single" w:color="auto" w:sz="4" w:space="0"/>
              <w:left w:val="single" w:color="auto" w:sz="4" w:space="0"/>
              <w:right w:val="single" w:color="auto" w:sz="4" w:space="0"/>
            </w:tcBorders>
            <w:vAlign w:val="center"/>
          </w:tcPr>
          <w:p>
            <w:pPr>
              <w:widowControl/>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信创操作电脑列入财政部、生态环境部发布的环境标志产品品目清单的，提供国家市场监督管理总局公布的《参与实施政府采购环境标志产品认证机构名录》内的认证机构出具的、处于有效期之内的环境标志产品认证证书，得1分。</w:t>
            </w:r>
          </w:p>
          <w:p>
            <w:pPr>
              <w:pStyle w:val="2"/>
              <w:ind w:firstLine="0" w:firstLineChars="0"/>
              <w:rPr>
                <w:color w:val="000000" w:themeColor="text1"/>
                <w14:textFill>
                  <w14:solidFill>
                    <w14:schemeClr w14:val="tx1"/>
                  </w14:solidFill>
                </w14:textFill>
              </w:rPr>
            </w:pPr>
            <w:r>
              <w:rPr>
                <w:rFonts w:hint="eastAsia" w:ascii="仿宋_GB2312" w:eastAsia="仿宋_GB2312"/>
                <w:color w:val="000000" w:themeColor="text1"/>
                <w:szCs w:val="24"/>
                <w14:textFill>
                  <w14:solidFill>
                    <w14:schemeClr w14:val="tx1"/>
                  </w14:solidFill>
                </w14:textFill>
              </w:rPr>
              <w:t>本项最多得1分。</w:t>
            </w:r>
          </w:p>
        </w:tc>
        <w:tc>
          <w:tcPr>
            <w:tcW w:w="891"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1</w:t>
            </w:r>
          </w:p>
        </w:tc>
        <w:tc>
          <w:tcPr>
            <w:tcW w:w="1000" w:type="dxa"/>
            <w:tcBorders>
              <w:top w:val="single" w:color="auto" w:sz="4" w:space="0"/>
              <w:left w:val="single" w:color="auto" w:sz="4" w:space="0"/>
              <w:right w:val="single" w:color="auto" w:sz="4" w:space="0"/>
            </w:tcBorders>
            <w:vAlign w:val="center"/>
          </w:tcPr>
          <w:p>
            <w:pPr>
              <w:jc w:val="center"/>
              <w:rPr>
                <w:rFonts w:ascii="仿宋_GB2312" w:hAnsi="仿宋" w:eastAsia="仿宋_GB2312" w:cs="仿宋"/>
                <w:b/>
                <w:color w:val="000000" w:themeColor="text1"/>
                <w:spacing w:val="4"/>
                <w:sz w:val="24"/>
                <w:szCs w:val="24"/>
                <w14:textFill>
                  <w14:solidFill>
                    <w14:schemeClr w14:val="tx1"/>
                  </w14:solidFill>
                </w14:textFill>
              </w:rPr>
            </w:pPr>
            <w:r>
              <w:rPr>
                <w:rFonts w:hint="eastAsia" w:ascii="仿宋_GB2312" w:hAnsi="仿宋" w:eastAsia="仿宋_GB2312" w:cs="仿宋"/>
                <w:b/>
                <w:color w:val="000000" w:themeColor="text1"/>
                <w:spacing w:val="4"/>
                <w:sz w:val="24"/>
                <w:szCs w:val="24"/>
                <w14:textFill>
                  <w14:solidFill>
                    <w14:schemeClr w14:val="tx1"/>
                  </w14:solidFill>
                </w14:textFill>
              </w:rPr>
              <w:t>客观分</w:t>
            </w:r>
          </w:p>
        </w:tc>
        <w:tc>
          <w:tcPr>
            <w:tcW w:w="1150" w:type="dxa"/>
            <w:tcBorders>
              <w:top w:val="single" w:color="auto" w:sz="4" w:space="0"/>
              <w:left w:val="single" w:color="auto" w:sz="4" w:space="0"/>
              <w:right w:val="single" w:color="auto" w:sz="4" w:space="0"/>
            </w:tcBorders>
          </w:tcPr>
          <w:p>
            <w:pPr>
              <w:rPr>
                <w:rFonts w:ascii="仿宋_GB2312" w:hAnsi="仿宋" w:eastAsia="仿宋_GB2312"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46" w:type="dxa"/>
            <w:tcBorders>
              <w:left w:val="single" w:color="auto" w:sz="4" w:space="0"/>
              <w:right w:val="single" w:color="auto" w:sz="4" w:space="0"/>
            </w:tcBorders>
            <w:vAlign w:val="center"/>
          </w:tcPr>
          <w:p>
            <w:pPr>
              <w:topLinePunct/>
              <w:spacing w:line="360" w:lineRule="auto"/>
              <w:contextualSpacing/>
              <w:jc w:val="center"/>
              <w:rPr>
                <w:rFonts w:ascii="仿宋_GB2312" w:eastAsia="仿宋_GB2312"/>
                <w:sz w:val="24"/>
                <w:szCs w:val="24"/>
              </w:rPr>
            </w:pPr>
            <w:r>
              <w:rPr>
                <w:rFonts w:hint="eastAsia" w:ascii="仿宋_GB2312" w:eastAsia="仿宋_GB2312"/>
                <w:sz w:val="24"/>
                <w:szCs w:val="24"/>
              </w:rPr>
              <w:t>报价</w:t>
            </w:r>
          </w:p>
          <w:p>
            <w:pPr>
              <w:rPr>
                <w:rFonts w:ascii="仿宋_GB2312" w:hAnsi="仿宋" w:eastAsia="仿宋_GB2312" w:cs="仿宋"/>
                <w:spacing w:val="4"/>
                <w:sz w:val="24"/>
                <w:szCs w:val="24"/>
              </w:rPr>
            </w:pPr>
            <w:r>
              <w:rPr>
                <w:rFonts w:hint="eastAsia" w:ascii="仿宋_GB2312" w:eastAsia="仿宋_GB2312"/>
                <w:sz w:val="24"/>
                <w:szCs w:val="24"/>
              </w:rPr>
              <w:t>（30分）</w:t>
            </w:r>
          </w:p>
        </w:tc>
        <w:tc>
          <w:tcPr>
            <w:tcW w:w="675" w:type="dxa"/>
            <w:tcBorders>
              <w:left w:val="single" w:color="auto" w:sz="4" w:space="0"/>
              <w:right w:val="single" w:color="auto" w:sz="4" w:space="0"/>
            </w:tcBorders>
            <w:vAlign w:val="center"/>
          </w:tcPr>
          <w:p>
            <w:pPr>
              <w:jc w:val="center"/>
              <w:rPr>
                <w:rFonts w:ascii="仿宋_GB2312" w:hAnsi="仿宋" w:eastAsia="仿宋_GB2312" w:cs="仿宋"/>
                <w:spacing w:val="4"/>
                <w:sz w:val="24"/>
                <w:szCs w:val="24"/>
                <w:lang w:bidi="en-US"/>
              </w:rPr>
            </w:pPr>
            <w:r>
              <w:rPr>
                <w:rFonts w:hint="eastAsia" w:ascii="仿宋_GB2312" w:hAnsi="仿宋" w:eastAsia="仿宋_GB2312" w:cs="仿宋"/>
                <w:spacing w:val="4"/>
                <w:sz w:val="24"/>
                <w:szCs w:val="24"/>
              </w:rPr>
              <w:t>14</w:t>
            </w:r>
          </w:p>
        </w:tc>
        <w:tc>
          <w:tcPr>
            <w:tcW w:w="5309" w:type="dxa"/>
            <w:tcBorders>
              <w:top w:val="single" w:color="auto" w:sz="4" w:space="0"/>
              <w:left w:val="single" w:color="auto" w:sz="4" w:space="0"/>
              <w:bottom w:val="single" w:color="auto" w:sz="4" w:space="0"/>
              <w:right w:val="single" w:color="auto" w:sz="4" w:space="0"/>
            </w:tcBorders>
            <w:vAlign w:val="center"/>
          </w:tcPr>
          <w:p>
            <w:pPr>
              <w:topLinePunct/>
              <w:contextualSpacing/>
              <w:rPr>
                <w:rFonts w:ascii="仿宋_GB2312" w:eastAsia="仿宋_GB2312"/>
                <w:sz w:val="24"/>
                <w:szCs w:val="24"/>
              </w:rPr>
            </w:pPr>
            <w:r>
              <w:rPr>
                <w:rFonts w:hint="eastAsia" w:ascii="仿宋_GB2312" w:eastAsia="仿宋_GB2312"/>
                <w:sz w:val="24"/>
                <w:szCs w:val="24"/>
              </w:rPr>
              <w:t>有效投标报价的最低价作为评标基准价，其最低报价为满分；按［投标报价得分=（评标基准价/投标报价）*30］的计算公式计算。</w:t>
            </w:r>
          </w:p>
          <w:p>
            <w:pPr>
              <w:adjustRightInd w:val="0"/>
              <w:snapToGrid w:val="0"/>
              <w:rPr>
                <w:rFonts w:ascii="仿宋_GB2312" w:hAnsi="仿宋" w:eastAsia="仿宋_GB2312" w:cs="仿宋"/>
                <w:sz w:val="24"/>
                <w:szCs w:val="24"/>
                <w:lang w:bidi="en-US"/>
              </w:rPr>
            </w:pPr>
            <w:r>
              <w:rPr>
                <w:rFonts w:hint="eastAsia" w:ascii="仿宋_GB2312" w:eastAsia="仿宋_GB2312"/>
                <w:sz w:val="24"/>
                <w:szCs w:val="24"/>
              </w:rPr>
              <w:t>评标过程中，不得去掉报价中的最高报价和最低报价。因落实政府采购政策需要进行价格调整的，以调整后的价格计算评标基准价和投标报价。</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仿宋"/>
                <w:sz w:val="24"/>
                <w:szCs w:val="24"/>
              </w:rPr>
            </w:pPr>
            <w:r>
              <w:rPr>
                <w:rFonts w:hint="eastAsia" w:ascii="仿宋_GB2312" w:eastAsia="仿宋_GB2312"/>
                <w:sz w:val="24"/>
                <w:szCs w:val="24"/>
              </w:rPr>
              <w:t>30</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sz w:val="24"/>
                <w:szCs w:val="24"/>
              </w:rPr>
            </w:pPr>
            <w:r>
              <w:rPr>
                <w:rFonts w:hint="eastAsia" w:ascii="仿宋_GB2312" w:hAnsi="仿宋" w:eastAsia="仿宋_GB2312" w:cs="仿宋"/>
                <w:b/>
                <w:sz w:val="24"/>
                <w:szCs w:val="24"/>
              </w:rPr>
              <w:t>价格分</w:t>
            </w:r>
          </w:p>
        </w:tc>
        <w:tc>
          <w:tcPr>
            <w:tcW w:w="1150" w:type="dxa"/>
            <w:tcBorders>
              <w:top w:val="single" w:color="auto" w:sz="4" w:space="0"/>
              <w:left w:val="single" w:color="auto" w:sz="4" w:space="0"/>
              <w:bottom w:val="single" w:color="auto" w:sz="4" w:space="0"/>
              <w:right w:val="single" w:color="auto" w:sz="4" w:space="0"/>
            </w:tcBorders>
          </w:tcPr>
          <w:p>
            <w:pPr>
              <w:rPr>
                <w:rFonts w:ascii="仿宋_GB2312" w:hAnsi="仿宋" w:eastAsia="仿宋_GB2312" w:cs="仿宋"/>
                <w:sz w:val="24"/>
                <w:szCs w:val="24"/>
              </w:rPr>
            </w:pPr>
          </w:p>
        </w:tc>
      </w:tr>
    </w:tbl>
    <w:p>
      <w:pPr>
        <w:spacing w:line="420" w:lineRule="exact"/>
        <w:contextualSpacing/>
        <w:rPr>
          <w:rFonts w:ascii="仿宋_GB2312" w:eastAsia="仿宋_GB2312"/>
          <w:b/>
          <w:sz w:val="24"/>
          <w:szCs w:val="24"/>
        </w:rPr>
      </w:pPr>
    </w:p>
    <w:p>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*备注：投标人编制投标文件（商务技术文件部分）时，建议按此目录（序号和内容）提供评标标准相应的商务技术资料。</w:t>
      </w:r>
      <w:r>
        <w:rPr>
          <w:rFonts w:hint="eastAsia" w:eastAsia="仿宋_GB2312"/>
          <w:b/>
          <w:sz w:val="24"/>
          <w:szCs w:val="24"/>
        </w:rPr>
        <w:t> </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一、评标方法</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1.本项目采用综合评分法。综合评分法，是指投标文件满足招标文件全部实质性要求，且按照评审因素的量化指标评审得分最高的投标人为中标候选人的评标方法。</w:t>
      </w:r>
      <w:r>
        <w:rPr>
          <w:rFonts w:hint="eastAsia" w:ascii="仿宋_GB2312" w:hAnsi="Calibri" w:eastAsia="仿宋_GB2312" w:cs="Times New Roman"/>
          <w:sz w:val="24"/>
          <w:szCs w:val="24"/>
        </w:rPr>
        <w:t>评分过程中采用四舍五入法，并保留小数2位。</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二、评标标准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 评标标准：见评标办法前附表。</w:t>
      </w:r>
    </w:p>
    <w:p>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三、评标程序</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3.1符合性审查。评标委员会应当对符合资格的投标人的投标文件进行符合性审查，以确定其是否满足招标文件的实质性要求。不满足招标文件的实质性要求的，投标无效。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比较与评价。评标委员会应当按照招标文件中规定的评标方法和标准，对符合性审查合格的投标文件进行商务和技术评估，综合比较与评价。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3.3汇总商务技术得分。评标委员会各成员应当独立对每个投标人的商务和技术文件进行评价，并汇总商务技术得分情况。</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3.4报价评审。</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3.4.1投标文件报价出现前后不一致的，按照下列规定修正：</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3.4.1.1投标文件中开标一览表(报价表)内容与投标文件中相应内容不一致的，以开标一览表(报价表)为准;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3.4.1.2大写金额和小写金额不一致的，以大写金额为准;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3.4.1.3单价金额小数点或者百分比有明显错位的，以开标一览表的总价为准，并修改单价;</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3.4.1.4总价金额与按单价汇总金额不一致的，以单价金额计算结果为准。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3.4.2投标文件出现不是唯一的、有选择性投标报价的，投标无效。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3.4.3投标报价超过招标文件中规定的预算金额或者最高限价的，投标无效。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四、评标中的其他事项</w:t>
      </w:r>
    </w:p>
    <w:p>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4.2投标无效。有下列情况之一的，投标无效：</w:t>
      </w:r>
    </w:p>
    <w:p>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4.2.1单位负责人为同一人或者存在直接控股、管理关系的不同供应商参加同一合同项下的政府采购活动的（均无效）；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4.2.2为采购项目提供整体设计、规范编制或者项目管理、监理、检测等服务的供应商再参加该采购项目的其他采购活动的； </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4.2.3投标人不具备招标文件中规定的资格要求的（投标人未提供有效的资格证明文件的，视为投标人不具备招标文件中规定的资格要求）；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4.2.4如以联合体形式参加政府采购活动的，联合体协议不符合招标文件规定的联合体协议要求的；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4.2.5投标文件未按招标文件的澄清、修改的内容编制，又不符合实质性要求的；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4.2.6投标文件组成不全或内容字迹模糊辨认不清的而导致评标无法正常进行（经评标委员会认定并允许其当场更正的笔误除外的）；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4.2.7投标文件中法人授权书所载内容与本项目内容有异的；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4.2.8投标文件未按照招标文件要求签署、盖章的；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4.2.9采购人拟采购的产品属于政府强制采购的节能产品品目清单范围的，投标人未按招标文件要求提供国家确定的认证机构出具的、处于有效期之内的节能产品认证证书的；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4.2.10投标文件含有采购人不能接受的附加条件的；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4.2.11投标文件中承诺的投标有效期少于招标文件中载明的投标有效期的；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4.2.12投标人所投内容不符合招标文件中实质性要求的；</w:t>
      </w:r>
    </w:p>
    <w:p>
      <w:pPr>
        <w:spacing w:line="420" w:lineRule="exact"/>
        <w:contextualSpacing/>
        <w:rPr>
          <w:rFonts w:ascii="仿宋_GB2312" w:eastAsia="仿宋_GB2312"/>
          <w:sz w:val="24"/>
          <w:szCs w:val="24"/>
        </w:rPr>
      </w:pPr>
      <w:r>
        <w:rPr>
          <w:rFonts w:hint="eastAsia" w:ascii="仿宋_GB2312" w:eastAsia="仿宋_GB2312"/>
          <w:sz w:val="24"/>
          <w:szCs w:val="24"/>
        </w:rPr>
        <w:t xml:space="preserve">    4.2.13投标文件出现不是唯一的、有选择性投标报价的;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4.2.14投标报价高于本项目采购预算或者最高限价的;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4.2.15报价明显低于其他通过符合性审查投标人的报价，有可能影响产品质量或者不能诚信履约的，未能按要求提供书面说明或者提交相关证明材料，不能证明其报价合理性的;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4.2.16《投标（开标）一览表》填写不完整或字迹不能辨认或有漏项的；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4.2.17投标人对根据修正原则修正后的报价不确认的；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4.2.18投标人提供虚假材料投标的（包括但不限于以下情节）；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4.2.18.1使用伪造、变造的许可证件；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4.2.18.2提供虚假的财务状况或者业绩；</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4.2.18.3提供虚假的项目负责人或者主要技术人员简历、劳动关系证明；</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4.2.18.4提供虚假的信用状况；</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4.2.18.5其他弄虚作假的行为。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4.2.19投标人有恶意串通、妨碍其他投标人的竞争行为、损害采购人或者其他投标人的合法权益情形的；有下列情形之一的，属于或视为恶意串通，其投标无效：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4.2.19.1供应商直接或者间接从采购人或者采购代理机构处获得其他供应商的相关情况并修改其投标文件或者响应文件；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4.2.19.2供应商按照采购人或者采购代理机构的授意撤换、修改投标文件或者响应文件；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4.2.19.3供应商之间协商报价、技术方案等投标文件或者响应文件的实质性内容；</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4.2.19.4属于同一集团、协会、商会等组织成员的供应商按照该组织要求协同参加政府采购活动；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4.2.19.5供应商之间事先约定由某一特定供应商中标、成交；</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4.2.19.6供应商之间商定部分供应商放弃参加政府采购活动或者放弃中标、成交；</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4.2.19.7供应商与采购人或者采购代理机构之间、供应商相互之间，为谋求特定供应商中标、成交或者排斥其他供应商的其他串通行为。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4.2.19.8不同投标人的投标文件由同一单位或者个人编制；</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4.2.19.9不同投标人委托同一单位或者个人办理投标事宜；</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4.2.19.10不同投标人的投标文件载明的项目管理成员或者联系人员为同一人；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4.2.19.11不同投标人的投标文件异常一致或者投标报价呈规律性差异；</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4.2.19.12不同投标人的投标文件相互混装；</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4.2.20投标人仅提交备份投标文件，没有在电子交易平台传输递交投标文件的，投标无效；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4.2.21以联合体形式投标的，在资格文件和商务技术文件中均未提供联合协议的，投标无效；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4.2.22以分包方式履行合同的，在资格文件和商务技术文件中均未提供分包意向协议的，投标无效；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4.2.23专门面向中小企业采购的，在资格文件和商务技术文件中均未提供中小企业声明函的，投标无效；</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4.2.24法律、法规、规章（适用本市的）及省级以上规范性文件（适用本市的）规定的其他无效情形；</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4.2.25投标文件不满足招标文件的其它实质性要求的。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5.废标。根据《中华人民共和国政府采购法》第三十六条之规定，在采购中，出现下列情形之一的，应予废标：</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5.1符合专业条件的供应商或者对招标文件作实质响应的供应商不足3家的；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5.2出现影响采购公正的违法、违规行为的；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5.3投标人的报价均超过了采购预算，采购人不能支付的；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5.4因重大变故，采购任务取消的。</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废标后，采购代理机构应当将废标理由通知所有投标人。</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7.重新开展采购。有政府采购法第七十一条、第七十二条规定的违法行为之一，影响或者可能影响中标、成交结果的，依照下列规定处理：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7.1未确定中标或者中标人的，终止本次政府采购活动，重新开展政府采购活动。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7.3政府采购合同已签订但尚未履行的，撤销合同，从合格的中标或者成交候选人中另行确定中标或者中标人；没有合格的中标或者成交候选人的，重新开展政府采购活动。</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7.4政府采购合同已经履行，给采购人、供应商造成损失的，由责任人承担赔偿责任。</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8.评审过程的保密与录像</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9.录音录像。采购代理机构对评审工作现场进行全过程录音录像，录音录像资料作为采购项目文件随其他文件一并存档。</w:t>
      </w:r>
    </w:p>
    <w:bookmarkEnd w:id="27"/>
    <w:p>
      <w:pPr>
        <w:spacing w:line="560" w:lineRule="exact"/>
        <w:ind w:firstLine="562"/>
        <w:jc w:val="center"/>
        <w:outlineLvl w:val="0"/>
        <w:rPr>
          <w:rFonts w:ascii="仿宋_GB2312" w:hAnsi="宋体" w:eastAsia="仿宋_GB2312" w:cs="宋体"/>
          <w:b/>
          <w:sz w:val="28"/>
          <w:szCs w:val="28"/>
        </w:rPr>
      </w:pPr>
      <w:bookmarkStart w:id="397" w:name="第五部分"/>
      <w:bookmarkStart w:id="398" w:name="_Toc86217003"/>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spacing w:line="560" w:lineRule="exact"/>
        <w:ind w:firstLine="562"/>
        <w:jc w:val="center"/>
        <w:outlineLvl w:val="0"/>
        <w:rPr>
          <w:rFonts w:ascii="仿宋_GB2312" w:hAnsi="宋体" w:eastAsia="仿宋_GB2312" w:cs="宋体"/>
          <w:b/>
          <w:sz w:val="28"/>
          <w:szCs w:val="28"/>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autoSpaceDE w:val="0"/>
        <w:autoSpaceDN w:val="0"/>
        <w:adjustRightInd w:val="0"/>
        <w:spacing w:line="360" w:lineRule="auto"/>
        <w:jc w:val="center"/>
        <w:rPr>
          <w:rFonts w:ascii="仿宋_GB2312" w:hAnsi="仿宋_GB2312" w:eastAsia="仿宋_GB2312" w:cs="仿宋_GB2312"/>
          <w:b/>
          <w:color w:val="000000"/>
          <w:sz w:val="32"/>
          <w:szCs w:val="32"/>
        </w:rPr>
      </w:pPr>
    </w:p>
    <w:p>
      <w:pPr>
        <w:autoSpaceDE w:val="0"/>
        <w:autoSpaceDN w:val="0"/>
        <w:adjustRightInd w:val="0"/>
        <w:spacing w:line="360" w:lineRule="auto"/>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第五部分拟签订的合同文本</w:t>
      </w:r>
    </w:p>
    <w:p>
      <w:pPr>
        <w:autoSpaceDE w:val="0"/>
        <w:autoSpaceDN w:val="0"/>
        <w:adjustRightInd w:val="0"/>
        <w:spacing w:line="360" w:lineRule="auto"/>
        <w:jc w:val="center"/>
        <w:rPr>
          <w:rFonts w:ascii="仿宋_GB2312" w:hAnsi="仿宋_GB2312" w:eastAsia="仿宋_GB2312" w:cs="仿宋_GB2312"/>
          <w:b/>
          <w:color w:val="000000"/>
          <w:sz w:val="32"/>
          <w:szCs w:val="32"/>
        </w:rPr>
      </w:pPr>
    </w:p>
    <w:p>
      <w:pPr>
        <w:spacing w:before="120" w:line="560" w:lineRule="exact"/>
        <w:ind w:left="479"/>
        <w:rPr>
          <w:rFonts w:ascii="仿宋_GB2312" w:hAnsi="仿宋_GB2312" w:eastAsia="仿宋_GB2312" w:cs="仿宋_GB2312"/>
          <w:sz w:val="24"/>
          <w:szCs w:val="24"/>
        </w:rPr>
      </w:pPr>
    </w:p>
    <w:p>
      <w:pPr>
        <w:spacing w:before="120" w:line="560" w:lineRule="exact"/>
        <w:ind w:left="479"/>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spacing w:before="120" w:line="560" w:lineRule="exact"/>
        <w:ind w:left="479"/>
        <w:rPr>
          <w:rFonts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pPr>
        <w:spacing w:before="120" w:line="560" w:lineRule="exact"/>
        <w:ind w:left="479"/>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甲    方：</w:t>
      </w:r>
    </w:p>
    <w:p>
      <w:pPr>
        <w:spacing w:before="120" w:line="560" w:lineRule="exact"/>
        <w:ind w:left="479"/>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乙    方：</w:t>
      </w:r>
    </w:p>
    <w:p>
      <w:pPr>
        <w:spacing w:before="120" w:line="560" w:lineRule="exact"/>
        <w:rPr>
          <w:rFonts w:ascii="仿宋_GB2312" w:hAnsi="仿宋_GB2312" w:eastAsia="仿宋_GB2312" w:cs="仿宋_GB2312"/>
          <w:sz w:val="24"/>
          <w:szCs w:val="24"/>
        </w:rPr>
      </w:pPr>
    </w:p>
    <w:p>
      <w:pPr>
        <w:pStyle w:val="2"/>
        <w:ind w:firstLine="460"/>
        <w:rPr>
          <w:rFonts w:ascii="仿宋_GB2312" w:hAnsi="仿宋_GB2312" w:eastAsia="仿宋_GB2312" w:cs="仿宋_GB2312"/>
          <w:szCs w:val="24"/>
        </w:rPr>
      </w:pPr>
    </w:p>
    <w:p>
      <w:pPr>
        <w:pStyle w:val="4"/>
        <w:ind w:firstLine="0" w:firstLineChars="0"/>
      </w:pPr>
    </w:p>
    <w:p>
      <w:pPr>
        <w:pStyle w:val="4"/>
      </w:pPr>
    </w:p>
    <w:p>
      <w:pPr>
        <w:pStyle w:val="4"/>
      </w:pPr>
    </w:p>
    <w:p>
      <w:pPr>
        <w:spacing w:before="120" w:line="560" w:lineRule="exact"/>
        <w:ind w:firstLine="1680" w:firstLineChars="7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签订地：</w:t>
      </w:r>
    </w:p>
    <w:p>
      <w:pPr>
        <w:spacing w:before="120"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签订日期：    年    月    日</w:t>
      </w:r>
    </w:p>
    <w:p>
      <w:pPr>
        <w:pStyle w:val="4"/>
        <w:ind w:firstLine="0" w:firstLineChars="0"/>
      </w:pPr>
    </w:p>
    <w:p>
      <w:pPr>
        <w:pStyle w:val="4"/>
      </w:pPr>
    </w:p>
    <w:p>
      <w:pPr>
        <w:pStyle w:val="4"/>
      </w:pP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根据《中华人民共和国民法典》《中华人民共和国政府采购法》等相关法律法规规定，按照</w:t>
      </w:r>
      <w:r>
        <w:rPr>
          <w:rFonts w:hint="eastAsia" w:ascii="仿宋_GB2312" w:hAnsi="仿宋_GB2312" w:eastAsia="仿宋_GB2312" w:cs="仿宋_GB2312"/>
          <w:sz w:val="24"/>
          <w:szCs w:val="24"/>
          <w:u w:val="single"/>
          <w:lang w:val="zh-CN"/>
        </w:rPr>
        <w:t>浙江省舟山市自然灾害应急能力提升工程预警指挥项目提升综合风险监测预警和指挥支撑保障能力分项采购项目（</w:t>
      </w:r>
      <w:r>
        <w:rPr>
          <w:rFonts w:hint="eastAsia" w:ascii="仿宋_GB2312" w:hAnsi="仿宋_GB2312" w:eastAsia="仿宋_GB2312" w:cs="仿宋_GB2312"/>
          <w:sz w:val="24"/>
          <w:szCs w:val="24"/>
          <w:lang w:val="zh-CN"/>
        </w:rPr>
        <w:t>项</w:t>
      </w:r>
      <w:r>
        <w:rPr>
          <w:rFonts w:hint="eastAsia" w:ascii="仿宋_GB2312" w:hAnsi="仿宋_GB2312" w:eastAsia="仿宋_GB2312" w:cs="仿宋_GB2312"/>
          <w:sz w:val="24"/>
          <w:szCs w:val="24"/>
        </w:rPr>
        <w:t>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）的公开招标结果，在</w:t>
      </w:r>
      <w:r>
        <w:rPr>
          <w:rFonts w:hint="eastAsia" w:ascii="仿宋_GB2312" w:hAnsi="仿宋_GB2312" w:eastAsia="仿宋_GB2312" w:cs="仿宋_GB2312"/>
          <w:sz w:val="24"/>
          <w:szCs w:val="24"/>
          <w:lang w:val="zh-CN"/>
        </w:rPr>
        <w:t>平等、自愿、公平和诚实信用的原则</w:t>
      </w:r>
      <w:r>
        <w:rPr>
          <w:rFonts w:hint="eastAsia" w:ascii="仿宋_GB2312" w:hAnsi="仿宋_GB2312" w:eastAsia="仿宋_GB2312" w:cs="仿宋_GB2312"/>
          <w:sz w:val="24"/>
          <w:szCs w:val="24"/>
        </w:rPr>
        <w:t>为前提下</w:t>
      </w:r>
      <w:r>
        <w:rPr>
          <w:rFonts w:hint="eastAsia" w:ascii="仿宋_GB2312" w:hAnsi="仿宋_GB2312" w:eastAsia="仿宋_GB2312" w:cs="仿宋_GB2312"/>
          <w:sz w:val="24"/>
          <w:szCs w:val="24"/>
          <w:lang w:val="zh-CN"/>
        </w:rPr>
        <w:t>，经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zh-CN"/>
        </w:rPr>
        <w:t xml:space="preserve">   </w:t>
      </w:r>
      <w:r>
        <w:rPr>
          <w:rFonts w:hint="eastAsia" w:ascii="仿宋_GB2312" w:hAnsi="仿宋_GB2312" w:eastAsia="仿宋_GB2312" w:cs="仿宋_GB2312"/>
          <w:sz w:val="24"/>
          <w:szCs w:val="24"/>
          <w:lang w:val="zh-CN"/>
        </w:rPr>
        <w:t>(以下简称：甲方)和</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(以下简称：乙方)协商一致，约定以下合同条款，以兹共同遵守、全面履行。</w:t>
      </w:r>
    </w:p>
    <w:p>
      <w:pPr>
        <w:adjustRightInd w:val="0"/>
        <w:snapToGrid w:val="0"/>
        <w:spacing w:line="560" w:lineRule="exact"/>
        <w:ind w:firstLine="480" w:firstLineChars="200"/>
        <w:rPr>
          <w:rFonts w:ascii="仿宋_GB2312" w:hAnsi="仿宋_GB2312" w:eastAsia="仿宋_GB2312" w:cs="仿宋_GB2312"/>
          <w:sz w:val="24"/>
          <w:szCs w:val="24"/>
          <w:lang w:val="zh-CN"/>
        </w:rPr>
      </w:pPr>
      <w:bookmarkStart w:id="399" w:name="_Toc28855"/>
      <w:bookmarkStart w:id="400" w:name="_Toc20421"/>
      <w:bookmarkStart w:id="401" w:name="_Toc19273"/>
      <w:bookmarkStart w:id="402" w:name="_Toc22967"/>
      <w:bookmarkStart w:id="403" w:name="_Toc15367"/>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zh-CN"/>
        </w:rPr>
        <w:t>合同组成部分</w:t>
      </w:r>
      <w:bookmarkEnd w:id="399"/>
      <w:bookmarkEnd w:id="400"/>
      <w:bookmarkEnd w:id="401"/>
      <w:bookmarkEnd w:id="402"/>
      <w:bookmarkEnd w:id="403"/>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下列文件为本合同的组成部分，并构成一个整体，需综合解释、相互补充。</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本合同及其补充合同、变更协议；</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中标或者成交通知书；</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投标或者响应文件（含澄清或者说明文件）；</w:t>
      </w:r>
    </w:p>
    <w:p>
      <w:pPr>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采购文件（含澄清或者修改文件）；</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zh-CN"/>
        </w:rPr>
        <w:t>其他相关采购文件。</w:t>
      </w:r>
    </w:p>
    <w:p>
      <w:pPr>
        <w:adjustRightIn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二、采购内容：（以附件形式附后并盖章）</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三、合同金额</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本合同金额为（大写）：</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zh-CN"/>
        </w:rPr>
        <w:t>元）人民币。</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四、技术资料</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lang w:val="zh-CN"/>
        </w:rPr>
        <w:t>乙方应按招标文件规定的时间向甲方提供使用货物的有关技术资料。</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4.2</w:t>
      </w:r>
      <w:r>
        <w:rPr>
          <w:rFonts w:hint="eastAsia" w:ascii="仿宋_GB2312" w:hAnsi="仿宋_GB2312" w:eastAsia="仿宋_GB2312" w:cs="仿宋_GB2312"/>
          <w:sz w:val="24"/>
          <w:szCs w:val="24"/>
          <w:lang w:val="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五、知识产权</w:t>
      </w:r>
    </w:p>
    <w:p>
      <w:pPr>
        <w:adjustRightIn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六、履约保证金</w:t>
      </w:r>
    </w:p>
    <w:p>
      <w:pPr>
        <w:pStyle w:val="13"/>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zh-CN"/>
        </w:rPr>
        <w:t>履约保证金金额为合同额的1%，即</w:t>
      </w:r>
      <w:r>
        <w:rPr>
          <w:rFonts w:hint="eastAsia" w:ascii="仿宋_GB2312" w:hAnsi="仿宋_GB2312" w:eastAsia="仿宋_GB2312" w:cs="仿宋_GB2312"/>
          <w:sz w:val="24"/>
          <w:szCs w:val="24"/>
          <w:u w:val="single"/>
          <w:lang w:val="zh-CN"/>
        </w:rPr>
        <w:t xml:space="preserve">      </w:t>
      </w:r>
      <w:r>
        <w:rPr>
          <w:rFonts w:hint="eastAsia" w:ascii="仿宋_GB2312" w:hAnsi="仿宋_GB2312" w:eastAsia="仿宋_GB2312" w:cs="仿宋_GB2312"/>
          <w:sz w:val="24"/>
          <w:szCs w:val="24"/>
          <w:lang w:val="zh-CN"/>
        </w:rPr>
        <w:t>元人民币。履约保证金形式：       。</w:t>
      </w:r>
    </w:p>
    <w:p>
      <w:pPr>
        <w:pStyle w:val="13"/>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zh-CN"/>
        </w:rPr>
        <w:t>履约保证金可以采用支票、汇票、本票或者金融机构、担保机构出具的保函等非现金形式。</w:t>
      </w:r>
    </w:p>
    <w:p>
      <w:pPr>
        <w:pStyle w:val="13"/>
        <w:adjustRightInd w:val="0"/>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zh-CN"/>
        </w:rPr>
        <w:t>乙方应于合同签订后</w:t>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val="zh-CN"/>
        </w:rPr>
        <w:t>日内将履约保证金交至甲方指定账户。合同履行期间，乙方不得将履约保证金取回或作任何抵押。</w:t>
      </w:r>
    </w:p>
    <w:p>
      <w:pPr>
        <w:pStyle w:val="19"/>
        <w:widowControl w:val="0"/>
        <w:adjustRightInd w:val="0"/>
        <w:snapToGrid w:val="0"/>
        <w:spacing w:before="0" w:line="560" w:lineRule="exact"/>
        <w:ind w:left="0" w:firstLine="482"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6.4甲方应于本项目终验合格后20日内原额无息退还履约保证金。</w:t>
      </w:r>
    </w:p>
    <w:p>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6.5签订合同后，如乙方不按合同履行约定的，则其全部履约保证金不予退还。履约保证金不足以赔偿损失的，按实际损失赔偿。</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七、转包或分包</w:t>
      </w:r>
    </w:p>
    <w:p>
      <w:pPr>
        <w:pStyle w:val="13"/>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7.1</w:t>
      </w:r>
      <w:r>
        <w:rPr>
          <w:rFonts w:hint="eastAsia" w:ascii="仿宋_GB2312" w:hAnsi="仿宋_GB2312" w:eastAsia="仿宋_GB2312" w:cs="仿宋_GB2312"/>
          <w:sz w:val="24"/>
          <w:szCs w:val="24"/>
          <w:lang w:val="zh-CN"/>
        </w:rPr>
        <w:t>本合同范围的货物，应由乙方直接供应，不得转让他人供应；</w:t>
      </w:r>
    </w:p>
    <w:p>
      <w:pPr>
        <w:pStyle w:val="13"/>
        <w:snapToGrid w:val="0"/>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7.2</w:t>
      </w:r>
      <w:r>
        <w:rPr>
          <w:rFonts w:hint="eastAsia" w:ascii="仿宋_GB2312" w:hAnsi="仿宋_GB2312" w:eastAsia="仿宋_GB2312" w:cs="仿宋_GB2312"/>
          <w:sz w:val="24"/>
          <w:szCs w:val="24"/>
          <w:lang w:val="zh-CN"/>
        </w:rPr>
        <w:t>乙方</w:t>
      </w:r>
      <w:r>
        <w:rPr>
          <w:rFonts w:hint="eastAsia" w:ascii="仿宋_GB2312" w:hAnsi="仿宋_GB2312" w:eastAsia="仿宋_GB2312" w:cs="仿宋_GB2312"/>
          <w:sz w:val="24"/>
          <w:szCs w:val="24"/>
        </w:rPr>
        <w:t>可以按有关规定将部分</w:t>
      </w:r>
      <w:r>
        <w:rPr>
          <w:rFonts w:hint="eastAsia" w:ascii="仿宋_GB2312" w:hAnsi="仿宋_GB2312" w:eastAsia="仿宋_GB2312" w:cs="仿宋_GB2312"/>
          <w:sz w:val="24"/>
          <w:szCs w:val="24"/>
          <w:lang w:val="zh-CN"/>
        </w:rPr>
        <w:t>货物</w:t>
      </w:r>
      <w:r>
        <w:rPr>
          <w:rFonts w:hint="eastAsia" w:ascii="仿宋_GB2312" w:hAnsi="仿宋_GB2312" w:eastAsia="仿宋_GB2312" w:cs="仿宋_GB2312"/>
          <w:sz w:val="24"/>
          <w:szCs w:val="24"/>
        </w:rPr>
        <w:t>或服务</w:t>
      </w:r>
      <w:r>
        <w:rPr>
          <w:rFonts w:hint="eastAsia" w:ascii="仿宋_GB2312" w:hAnsi="仿宋_GB2312" w:eastAsia="仿宋_GB2312" w:cs="仿宋_GB2312"/>
          <w:sz w:val="24"/>
          <w:szCs w:val="24"/>
          <w:lang w:val="zh-CN"/>
        </w:rPr>
        <w:t>分包给</w:t>
      </w:r>
      <w:r>
        <w:rPr>
          <w:rFonts w:hint="eastAsia" w:ascii="仿宋_GB2312" w:hAnsi="仿宋_GB2312" w:eastAsia="仿宋_GB2312" w:cs="仿宋_GB2312"/>
          <w:sz w:val="24"/>
          <w:szCs w:val="24"/>
        </w:rPr>
        <w:t>中小微企业实施</w:t>
      </w:r>
      <w:r>
        <w:rPr>
          <w:rFonts w:hint="eastAsia" w:ascii="仿宋_GB2312" w:hAnsi="仿宋_GB2312" w:eastAsia="仿宋_GB2312" w:cs="仿宋_GB2312"/>
          <w:sz w:val="24"/>
          <w:szCs w:val="24"/>
          <w:lang w:val="zh-CN"/>
        </w:rPr>
        <w:t>；</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八、质保期</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质保期3年，本项目所采购的各项设备及系统质保期从项目终验合格开始计算，在质保期内乙方应免费上门对损坏的部件或设备或系统进行维修、安装、更换、调试等；质保期内免费更换的设备零部质保期应自更换之日起计不少于3年。</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九、工期及交货地点</w:t>
      </w:r>
    </w:p>
    <w:p>
      <w:pPr>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9.1</w:t>
      </w:r>
      <w:r>
        <w:rPr>
          <w:rFonts w:hint="eastAsia" w:ascii="仿宋_GB2312" w:hAnsi="仿宋_GB2312" w:eastAsia="仿宋_GB2312" w:cs="仿宋_GB2312"/>
          <w:sz w:val="24"/>
          <w:szCs w:val="24"/>
          <w:lang w:val="zh-CN"/>
        </w:rPr>
        <w:t>工期：</w:t>
      </w: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zh-CN"/>
        </w:rPr>
        <w:t>9 月底前，完成设备到货、安装调试</w:t>
      </w:r>
      <w:r>
        <w:rPr>
          <w:rFonts w:hint="eastAsia" w:ascii="仿宋_GB2312" w:hAnsi="仿宋_GB2312" w:eastAsia="仿宋_GB2312" w:cs="仿宋_GB2312"/>
          <w:sz w:val="24"/>
          <w:szCs w:val="24"/>
        </w:rPr>
        <w:t>及</w:t>
      </w:r>
      <w:r>
        <w:rPr>
          <w:rFonts w:hint="eastAsia" w:ascii="仿宋_GB2312" w:hAnsi="仿宋_GB2312" w:eastAsia="仿宋_GB2312" w:cs="仿宋_GB2312"/>
          <w:sz w:val="24"/>
          <w:szCs w:val="24"/>
          <w:lang w:val="zh-CN"/>
        </w:rPr>
        <w:t>项目初验；</w:t>
      </w: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zh-CN"/>
        </w:rPr>
        <w:t>10 月份开始进入试运行阶段。</w:t>
      </w: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zh-CN"/>
        </w:rPr>
        <w:t>11 月底前，完成项目终验。</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9.2</w:t>
      </w:r>
      <w:r>
        <w:rPr>
          <w:rFonts w:hint="eastAsia" w:ascii="仿宋_GB2312" w:hAnsi="仿宋_GB2312" w:eastAsia="仿宋_GB2312" w:cs="仿宋_GB2312"/>
          <w:sz w:val="24"/>
          <w:szCs w:val="24"/>
          <w:lang w:val="zh-CN"/>
        </w:rPr>
        <w:t>交货地点：</w:t>
      </w:r>
      <w:r>
        <w:rPr>
          <w:rFonts w:hint="eastAsia" w:ascii="仿宋_GB2312" w:hAnsi="仿宋_GB2312" w:eastAsia="仿宋_GB2312" w:cs="仿宋_GB2312"/>
          <w:sz w:val="24"/>
          <w:szCs w:val="24"/>
        </w:rPr>
        <w:t>舟山市</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十、货款支付</w:t>
      </w:r>
    </w:p>
    <w:p>
      <w:pPr>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10.1</w:t>
      </w:r>
      <w:r>
        <w:rPr>
          <w:rFonts w:hint="eastAsia" w:ascii="仿宋_GB2312" w:hAnsi="仿宋_GB2312" w:eastAsia="仿宋_GB2312" w:cs="仿宋_GB2312"/>
          <w:sz w:val="24"/>
          <w:szCs w:val="24"/>
          <w:lang w:val="zh-CN"/>
        </w:rPr>
        <w:t>付款方式：</w:t>
      </w:r>
    </w:p>
    <w:p>
      <w:pPr>
        <w:pStyle w:val="65"/>
        <w:spacing w:line="440" w:lineRule="exact"/>
        <w:ind w:firstLine="480"/>
        <w:rPr>
          <w:rFonts w:ascii="仿宋_GB2312" w:hAnsi="宋体" w:eastAsia="仿宋_GB2312" w:cs="宋体"/>
          <w:sz w:val="24"/>
          <w:szCs w:val="24"/>
        </w:rPr>
      </w:pPr>
      <w:r>
        <w:rPr>
          <w:rFonts w:hint="eastAsia" w:ascii="仿宋_GB2312" w:hAnsi="宋体" w:eastAsia="仿宋_GB2312" w:cs="仿宋"/>
          <w:sz w:val="24"/>
          <w:szCs w:val="24"/>
        </w:rPr>
        <w:t>预付款：</w:t>
      </w:r>
      <w:r>
        <w:rPr>
          <w:rFonts w:hint="eastAsia" w:ascii="仿宋_GB2312" w:hAnsi="宋体" w:eastAsia="仿宋_GB2312" w:cs="宋体"/>
          <w:sz w:val="24"/>
          <w:szCs w:val="24"/>
        </w:rPr>
        <w:t>在合同生效后以及具备实施条件后的7个工作日内，采购人根据供应商提供的正规发票，按财政部门规定的支付方式支付合同金额的60%给供应商。</w:t>
      </w:r>
    </w:p>
    <w:p>
      <w:pPr>
        <w:pStyle w:val="65"/>
        <w:spacing w:line="440" w:lineRule="exact"/>
        <w:ind w:firstLine="720" w:firstLineChars="300"/>
        <w:rPr>
          <w:rFonts w:ascii="仿宋_GB2312" w:hAnsi="宋体" w:eastAsia="仿宋_GB2312"/>
          <w:sz w:val="24"/>
          <w:szCs w:val="24"/>
        </w:rPr>
      </w:pPr>
      <w:r>
        <w:rPr>
          <w:rFonts w:hint="eastAsia" w:ascii="仿宋_GB2312" w:hAnsi="等线" w:eastAsia="仿宋_GB2312"/>
          <w:sz w:val="24"/>
          <w:szCs w:val="24"/>
        </w:rPr>
        <w:t>本项目终验合格</w:t>
      </w:r>
      <w:r>
        <w:rPr>
          <w:rFonts w:hint="eastAsia" w:ascii="仿宋_GB2312" w:eastAsia="仿宋_GB2312"/>
          <w:bCs/>
          <w:sz w:val="24"/>
          <w:szCs w:val="24"/>
        </w:rPr>
        <w:t>后</w:t>
      </w:r>
      <w:r>
        <w:rPr>
          <w:rFonts w:hint="eastAsia" w:ascii="仿宋_GB2312" w:hAnsi="等线" w:eastAsia="仿宋_GB2312"/>
          <w:sz w:val="24"/>
          <w:szCs w:val="24"/>
        </w:rPr>
        <w:t>7个工作日内，</w:t>
      </w:r>
      <w:r>
        <w:rPr>
          <w:rFonts w:hint="eastAsia" w:ascii="仿宋_GB2312" w:hAnsi="宋体" w:eastAsia="仿宋_GB2312"/>
          <w:sz w:val="24"/>
          <w:szCs w:val="24"/>
        </w:rPr>
        <w:t>采购人根据供应商提供的正规发票，按财政部门规定的支付方式支付合同金额的40%给供应商。</w:t>
      </w:r>
    </w:p>
    <w:p>
      <w:pPr>
        <w:pStyle w:val="65"/>
        <w:spacing w:line="440" w:lineRule="exact"/>
        <w:ind w:firstLine="720" w:firstLineChars="3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10.2</w:t>
      </w:r>
      <w:r>
        <w:rPr>
          <w:rFonts w:hint="eastAsia" w:ascii="仿宋_GB2312" w:hAnsi="仿宋_GB2312" w:eastAsia="仿宋_GB2312" w:cs="仿宋_GB2312"/>
          <w:sz w:val="24"/>
          <w:szCs w:val="24"/>
          <w:lang w:val="zh-CN"/>
        </w:rPr>
        <w:t>当采购数量与实际使用数量不一致时，乙方应根据实际使用量供货，合同的最终结算金额按实际使用量乘以成交单价进行计算。</w:t>
      </w:r>
    </w:p>
    <w:p>
      <w:pPr>
        <w:pStyle w:val="2"/>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十一、税费</w:t>
      </w:r>
    </w:p>
    <w:p>
      <w:pPr>
        <w:spacing w:line="560" w:lineRule="exact"/>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本合同执行中相关的一切税费均由乙方负担。</w:t>
      </w:r>
    </w:p>
    <w:p>
      <w:pPr>
        <w:pStyle w:val="2"/>
        <w:numPr>
          <w:ilvl w:val="0"/>
          <w:numId w:val="11"/>
        </w:numPr>
        <w:spacing w:line="560" w:lineRule="exact"/>
        <w:ind w:firstLine="480"/>
        <w:rPr>
          <w:rFonts w:ascii="仿宋_GB2312" w:hAnsi="仿宋_GB2312" w:eastAsia="仿宋_GB2312" w:cs="仿宋_GB2312"/>
          <w:szCs w:val="24"/>
        </w:rPr>
      </w:pPr>
      <w:r>
        <w:rPr>
          <w:rFonts w:hint="eastAsia" w:ascii="仿宋_GB2312" w:hAnsi="仿宋_GB2312" w:eastAsia="仿宋_GB2312" w:cs="仿宋_GB2312"/>
          <w:spacing w:val="0"/>
          <w:kern w:val="2"/>
          <w:szCs w:val="24"/>
        </w:rPr>
        <w:t>售后服务及运维服务要求</w:t>
      </w:r>
      <w:r>
        <w:rPr>
          <w:rFonts w:hint="eastAsia" w:ascii="仿宋_GB2312" w:hAnsi="仿宋_GB2312" w:eastAsia="仿宋_GB2312" w:cs="仿宋_GB2312"/>
          <w:szCs w:val="24"/>
        </w:rPr>
        <w:t xml:space="preserve"> </w:t>
      </w:r>
    </w:p>
    <w:p>
      <w:pPr>
        <w:spacing w:line="360" w:lineRule="auto"/>
        <w:ind w:firstLine="482" w:firstLineChars="200"/>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一、运维期：</w:t>
      </w:r>
    </w:p>
    <w:p>
      <w:pPr>
        <w:spacing w:line="360" w:lineRule="auto"/>
        <w:ind w:firstLine="480" w:firstLineChars="200"/>
        <w:rPr>
          <w:rFonts w:ascii="仿宋_GB2312" w:hAnsi="仿宋_GB2312" w:eastAsia="仿宋_GB2312" w:cs="仿宋_GB2312"/>
          <w:bCs/>
          <w:color w:val="000000" w:themeColor="text1"/>
          <w:sz w:val="24"/>
          <w:szCs w:val="24"/>
          <w:highlight w:val="yellow"/>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本项目所采购的各项设备及相关服务的运维期</w:t>
      </w:r>
      <w:r>
        <w:rPr>
          <w:rFonts w:hint="eastAsia" w:ascii="仿宋_GB2312" w:hAnsi="仿宋_GB2312" w:eastAsia="仿宋_GB2312" w:cs="仿宋_GB2312"/>
          <w:color w:val="000000" w:themeColor="text1"/>
          <w:sz w:val="24"/>
          <w:szCs w:val="24"/>
          <w14:textFill>
            <w14:solidFill>
              <w14:schemeClr w14:val="tx1"/>
            </w14:solidFill>
          </w14:textFill>
        </w:rPr>
        <w:t>从项目终验合格开始计算，乙方应提供不少于3年的运维服务。</w:t>
      </w:r>
    </w:p>
    <w:p>
      <w:pPr>
        <w:spacing w:line="360" w:lineRule="auto"/>
        <w:ind w:firstLine="482" w:firstLineChars="200"/>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二、售后服务及运维服务要求</w:t>
      </w:r>
    </w:p>
    <w:p>
      <w:pPr>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1.乙方应提供上门售后服务，并提供7×24小时热线电话服务。</w:t>
      </w:r>
    </w:p>
    <w:p>
      <w:pPr>
        <w:spacing w:line="360" w:lineRule="auto"/>
        <w:ind w:firstLine="480" w:firstLineChars="200"/>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响应时间：乙方应在接到甲方通报故障的电话或传真后应立即响应，对于无法通过电话或传真指导排除故障的，乙方在接到通知后2小时内响应，6小时内到达故障现场，无特殊情况在当天负责将系统恢复正常使用。修理费用由乙方承担，</w:t>
      </w:r>
      <w:r>
        <w:rPr>
          <w:rFonts w:hint="eastAsia" w:ascii="仿宋_GB2312" w:hAnsi="仿宋_GB2312" w:eastAsia="仿宋_GB2312" w:cs="仿宋_GB2312"/>
          <w:bCs/>
          <w:color w:val="000000" w:themeColor="text1"/>
          <w:sz w:val="24"/>
          <w:szCs w:val="24"/>
          <w14:textFill>
            <w14:solidFill>
              <w14:schemeClr w14:val="tx1"/>
            </w14:solidFill>
          </w14:textFill>
        </w:rPr>
        <w:t>因自然灾害影响无法在规定时间赶到现场及时排除故障的，待自然灾害结束后，应立即赶到现场排除故障。</w:t>
      </w:r>
      <w:r>
        <w:rPr>
          <w:rFonts w:hint="eastAsia" w:ascii="仿宋_GB2312" w:hAnsi="仿宋_GB2312" w:eastAsia="仿宋_GB2312" w:cs="仿宋_GB2312"/>
          <w:color w:val="000000" w:themeColor="text1"/>
          <w:sz w:val="24"/>
          <w:szCs w:val="24"/>
          <w14:textFill>
            <w14:solidFill>
              <w14:schemeClr w14:val="tx1"/>
            </w14:solidFill>
          </w14:textFill>
        </w:rPr>
        <w:t>货到现场后由于甲方保管不当造成的问题，乙方亦应负责修复，但费用由甲方负担。</w:t>
      </w:r>
    </w:p>
    <w:p>
      <w:pPr>
        <w:spacing w:line="360" w:lineRule="auto"/>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3.质保期（运维期）内因产品质量问题而引起的维修费用（包括材料和人工费以及措施费等一切费用）均由乙方承担。</w:t>
      </w:r>
    </w:p>
    <w:p>
      <w:pPr>
        <w:spacing w:line="360" w:lineRule="auto"/>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4、在质保期（运维期）内设备出现2次维修不合格时，应及时更换新设备，以满足设备正常运行。</w:t>
      </w:r>
    </w:p>
    <w:p>
      <w:pPr>
        <w:spacing w:line="360" w:lineRule="auto"/>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5、维护单位需在舟山市有本岛常驻维护人员不少于1名,驻点维护车辆不少于1辆，必要的时候，根据用户需要，可以直接前往用户场所，进行维保工作。</w:t>
      </w:r>
    </w:p>
    <w:p>
      <w:pPr>
        <w:spacing w:line="360" w:lineRule="auto"/>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6、维护人员应有足够的备件在公司或用户单位，从而以最快的速度解决系统的故障。</w:t>
      </w:r>
    </w:p>
    <w:p>
      <w:pPr>
        <w:spacing w:line="360" w:lineRule="auto"/>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7、在用户承担重大活动保卫任务期间，根据用户要求，需派技术人员提前到场，保证任务期间系统正常运行。</w:t>
      </w:r>
    </w:p>
    <w:p>
      <w:pPr>
        <w:spacing w:line="360" w:lineRule="auto"/>
        <w:ind w:firstLine="480" w:firstLineChars="200"/>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8、任何部件出现故障（除人为和自然不可抗力以外），乙方需协调原生产厂商进行免费维修，元器件免费更换，直至修复系统。</w:t>
      </w:r>
    </w:p>
    <w:p>
      <w:pPr>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9、各系统中的高功率损耗部件，如出现老化损耗现象，乙方可向用户建议整机更新，视情况收取相应成本费。</w:t>
      </w:r>
    </w:p>
    <w:p>
      <w:pPr>
        <w:spacing w:line="360" w:lineRule="auto"/>
        <w:ind w:firstLine="480" w:firstLineChars="200"/>
        <w:rPr>
          <w:rFonts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r>
        <w:rPr>
          <w:rFonts w:hint="eastAsia" w:ascii="仿宋_GB2312" w:hAnsi="仿宋_GB2312" w:eastAsia="仿宋_GB2312" w:cs="仿宋_GB2312"/>
          <w:bCs/>
          <w:color w:val="000000" w:themeColor="text1"/>
          <w:sz w:val="24"/>
          <w:szCs w:val="24"/>
          <w14:textFill>
            <w14:solidFill>
              <w14:schemeClr w14:val="tx1"/>
            </w14:solidFill>
          </w14:textFill>
        </w:rPr>
        <w:t>质保期（运维期）</w:t>
      </w:r>
      <w:r>
        <w:rPr>
          <w:rFonts w:hint="eastAsia" w:ascii="仿宋_GB2312" w:hAnsi="仿宋_GB2312" w:eastAsia="仿宋_GB2312" w:cs="仿宋_GB2312"/>
          <w:color w:val="000000" w:themeColor="text1"/>
          <w:sz w:val="24"/>
          <w:szCs w:val="24"/>
          <w14:textFill>
            <w14:solidFill>
              <w14:schemeClr w14:val="tx1"/>
            </w14:solidFill>
          </w14:textFill>
        </w:rPr>
        <w:t>结束前，须由乙方和甲方进行一次全面检查，任何缺陷必须由乙方负责修理，在修理之后，乙方应将缺陷原因、修理内容、完成修理及恢复正常的时间和日期等报告给甲方，报告一式两份。</w:t>
      </w:r>
    </w:p>
    <w:p>
      <w:pPr>
        <w:pStyle w:val="2"/>
        <w:adjustRightInd w:val="0"/>
        <w:snapToGrid w:val="0"/>
        <w:spacing w:line="560" w:lineRule="exact"/>
        <w:ind w:firstLine="480"/>
        <w:rPr>
          <w:rFonts w:ascii="仿宋_GB2312" w:hAnsi="仿宋_GB2312" w:eastAsia="仿宋_GB2312" w:cs="仿宋_GB2312"/>
          <w:color w:val="000000" w:themeColor="text1"/>
          <w:spacing w:val="0"/>
          <w:kern w:val="2"/>
          <w:szCs w:val="24"/>
          <w14:textFill>
            <w14:solidFill>
              <w14:schemeClr w14:val="tx1"/>
            </w14:solidFill>
          </w14:textFill>
        </w:rPr>
      </w:pPr>
      <w:r>
        <w:rPr>
          <w:rFonts w:hint="eastAsia" w:ascii="仿宋_GB2312" w:hAnsi="仿宋_GB2312" w:eastAsia="仿宋_GB2312" w:cs="仿宋_GB2312"/>
          <w:color w:val="000000" w:themeColor="text1"/>
          <w:spacing w:val="0"/>
          <w:kern w:val="2"/>
          <w:szCs w:val="24"/>
          <w14:textFill>
            <w14:solidFill>
              <w14:schemeClr w14:val="tx1"/>
            </w14:solidFill>
          </w14:textFill>
        </w:rPr>
        <w:t>十三、货物包装、发货、运输</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13.1货物包装应符合财库办[2020]123号相关要求。</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13.2乙方应在货物发运前对其进行满足运输距离、防潮、防震、防锈和防破损装卸等要求包装，以保证货物安全运达甲方指定地点。</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13.3乙方在货物发运手续办理完毕后24小时内或货到甲方48小时前通知甲方。</w:t>
      </w:r>
    </w:p>
    <w:p>
      <w:pPr>
        <w:pStyle w:val="13"/>
        <w:adjustRightInd w:val="0"/>
        <w:snapToGrid w:val="0"/>
        <w:spacing w:line="560" w:lineRule="exact"/>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13.4货物在交付甲方使用前发生的风险均由乙方负责。</w:t>
      </w:r>
    </w:p>
    <w:p>
      <w:pPr>
        <w:pStyle w:val="13"/>
        <w:adjustRightInd w:val="0"/>
        <w:snapToGrid w:val="0"/>
        <w:spacing w:line="56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5、货物在规定的交付期限内由乙方送达甲方指定的地点视为交付，乙方同时需通知甲方货物已送达。</w:t>
      </w:r>
    </w:p>
    <w:p>
      <w:pPr>
        <w:pStyle w:val="2"/>
        <w:adjustRightInd w:val="0"/>
        <w:snapToGrid w:val="0"/>
        <w:spacing w:line="560" w:lineRule="exact"/>
        <w:ind w:firstLine="480"/>
        <w:rPr>
          <w:rFonts w:ascii="仿宋_GB2312" w:hAnsi="仿宋_GB2312" w:eastAsia="仿宋_GB2312" w:cs="仿宋_GB2312"/>
          <w:spacing w:val="0"/>
          <w:kern w:val="2"/>
          <w:szCs w:val="24"/>
        </w:rPr>
      </w:pPr>
      <w:r>
        <w:rPr>
          <w:rFonts w:hint="eastAsia" w:ascii="仿宋_GB2312" w:hAnsi="仿宋_GB2312" w:eastAsia="仿宋_GB2312" w:cs="仿宋_GB2312"/>
          <w:spacing w:val="0"/>
          <w:kern w:val="2"/>
          <w:szCs w:val="24"/>
        </w:rPr>
        <w:t>十四、安装、调试和验收</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14.1乙方须派遣技术熟练的专业技术人员按照国家有关标准进行设备安装、调试直至设备验收合格通过。</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14.2乙方应做好安全防护措施，在项目实施工程中的一切安全责任均由乙方自行承担。</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14.3交货时乙方须附上货物货物的说明书、合格证、质量保证书、测试合格证等。</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由甲方对乙方提交的货物依据国家有关质量标准、采购文件技术规格要求、乙方投标文件中的承诺进行现场初步验收，产品数量、技术参数、外观、说明书、合格证等符合要求的，给予签收，初步验收不合格的不予签收，初步验收合格进入1个月试运行期，试运行期结束进行终验。验收中发现产品不符合验收标准或合同规定的性能指标或缺少或损坏的，乙方必须及时调整、更换该产品，直至符合要求为止，并承担相关费用。</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14.5乙方交货前应对产品作出全面检查和对验收文件进行整理，并列出清单，作为甲方及货物使用单位收货验收和使用的技术条件依据，检验的结果应随货物交甲方及货物使用单位。</w:t>
      </w:r>
    </w:p>
    <w:p>
      <w:pPr>
        <w:pStyle w:val="13"/>
        <w:adjustRightInd w:val="0"/>
        <w:snapToGrid w:val="0"/>
        <w:spacing w:line="560" w:lineRule="exact"/>
        <w:ind w:firstLine="480" w:firstLineChars="200"/>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14.6甲方及货物使用单位对乙方提供的货物及系统在使用前进行调试时，乙方需负责培训使用单位的使用操作人员，并协助使用单位一起调试，直到符合技术要求，甲方才做最终验收。</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14.7对技术复杂的货物，甲方应请国家认可的专业检测机构参与初步验收及最终验收，并由其出具质量检测报告。</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14.8本项目验收时，由甲方组织相关人员进行验收，终验通过之日起计算质保期（运维期）。若验收不通过，应根据要求在甲方规定时间内整改完毕并通过复验，并从复验通过之次日起计算质保期（运维期）。 </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14.9验收时乙方必须在现场，验收完毕后作出验收结果报告；验收费用由乙方负责。</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14.10验收时甲方有权随机抽取部分货物移送专业检测机构检测，检测结果不满足采购文件上的技术规格要求、国家有关质量标准及乙方投标文件中承诺的，甲方有权要求乙方无条件更换，由此产生的费用由乙方承担，并承担相应的法律责任。</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14.11货物调试完成后，乙方需提供产品质保书、产品供货清单、产品供货凭证、使用操作说明、常见问题及故障修复、紧急情况应急处置措施等书面资料。</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十五、培训要求</w:t>
      </w:r>
    </w:p>
    <w:p>
      <w:pPr>
        <w:adjustRightInd w:val="0"/>
        <w:snapToGrid w:val="0"/>
        <w:spacing w:line="560" w:lineRule="exact"/>
        <w:ind w:firstLine="480" w:firstLineChars="20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15.1乙方提供的培训指导人员应具有相同或相近应用和维护设备的经验，能够正确地进行培训服务。</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15.2与本项目有关的使用单位技术人员和操作人员都将根据本项目的要求进行充分的培训。乙方应根据这一基本要求，完成整个设备使用所有必需的培训内容，满足使用单位的需要。</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15.3乙方应向使用单位技术人员和操作人员对本项目系统的使用操作和维护进行培训，所有培训应以中文进行（或配备中文翻译）。</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十六、违约责任</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16.1甲方无正当理由拒收货物的，甲方向乙方偿付拒收货款总额的百分之五违约金。</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16.2甲方无故逾期验收和办理货款支付手续的,甲方应按逾期付款总额每日万分之五向乙方支付违约金。</w:t>
      </w:r>
    </w:p>
    <w:p>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16.3乙方所交的产品品牌、型号、规格、质量不符合合同规定及采购文件规定标准、投标文件承诺的，甲方有权拒收，乙方明确无法履行承诺的，甲方有权单方面解除合同，乙方应支付甲方合同价款的10%作为违约金；乙方愿意更换但逾期交付的，按乙方逾期交货处理，乙方应按合同价每日千分之六向甲方支付违约金；乙方逾期超过30天，甲方有权单方面解除合同并追究乙方相关法律责任。</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16.4乙方承诺的系统功能或设备参数，每缺少一项扣1000元，并由乙方补足缺少的相应功能或设备参数，缺少功能或设备参数超过3项时，甲方有权单方面解除合同、没收履约保证金，并向第三方采购缺少的相应功能，由此给甲方造成的一切损失均由乙方承担。</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16.5在质保期（运维期）内，产品（系统）出现问题，乙方未按合同约定的服务响应时间提供服务的，每次偿付2000元违约金，并赔偿甲方损失；同时，乙方应继续履行质保（运维）义务。</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16.6在质保期（运维期）内，乙方拒绝履行保修（运维）义务的，甲方可以向第三方采购服务，由此发生的费用由乙方承担，除此之外乙方还须支付甲方10000元违约金。</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16.7本合同签订后需严格遵守（不可抗力除外），如因甲乙双方单方面原因无法履行合同时，应提前一个月通知对方，在取得对方同意后方可终止合同，并赔偿给对方造成的损失。</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16.8乙方因逾期交付或因其他违约行为导致甲方解除合同的，乙方应向甲方支付</w:t>
      </w:r>
      <w:r>
        <w:rPr>
          <w:rFonts w:hint="eastAsia" w:ascii="仿宋_GB2312" w:hAnsi="仿宋_GB2312" w:eastAsia="仿宋_GB2312" w:cs="仿宋_GB2312"/>
          <w:bCs/>
          <w:color w:val="000000"/>
          <w:sz w:val="24"/>
          <w:szCs w:val="24"/>
        </w:rPr>
        <w:t>合同金额10</w:t>
      </w:r>
      <w:r>
        <w:rPr>
          <w:rFonts w:hint="eastAsia" w:ascii="仿宋_GB2312" w:hAnsi="仿宋_GB2312" w:eastAsia="仿宋_GB2312" w:cs="仿宋_GB2312"/>
          <w:color w:val="000000"/>
          <w:sz w:val="24"/>
          <w:szCs w:val="24"/>
        </w:rPr>
        <w:t>%的违约金，如造成甲方损失超过违约金的，超出部分由乙方继续承担赔偿责任。因甲方原因终止合同执行的，本项目项目款按乙方已完成量（满足采购要求部分）进行结算（乙方不得以此为由向甲方提出索赔），该费用待乙方向甲方偿付应支付的违约费用后支付。</w:t>
      </w:r>
    </w:p>
    <w:p>
      <w:pPr>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16.9如果出现政府采购监督管理部门在处理投诉事项期间，书面通知甲方暂停采购活动的情形，或者询问或质疑事项可能影响中标或者成交结果的，导致甲方中止履行合同的情形，均不视为甲方违约。</w:t>
      </w:r>
    </w:p>
    <w:p>
      <w:pPr>
        <w:pStyle w:val="13"/>
        <w:adjustRightInd w:val="0"/>
        <w:snapToGrid w:val="0"/>
        <w:spacing w:line="560" w:lineRule="exact"/>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十七、不可抗力事件处理</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17.1在合同有效期内，任何一方因不可抗力事件导致不能履行合同，则合同履行期可延长，其延长期与不可抗力影响期相同。</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17.2不可抗力事件发生后，应立即通知对方，并寄送有关权威机构出具的证明。</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17.3不可抗力事件延续120天以上，双方应通过友好协商，确定是否继续履行合同。</w:t>
      </w:r>
    </w:p>
    <w:p>
      <w:pPr>
        <w:pStyle w:val="13"/>
        <w:adjustRightInd w:val="0"/>
        <w:snapToGrid w:val="0"/>
        <w:spacing w:line="560" w:lineRule="exact"/>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十八、诉讼</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双方在执行合同中所发生的一切争议，应通过协商解决。如协商不成，可向</w:t>
      </w:r>
      <w:r>
        <w:rPr>
          <w:rFonts w:hint="eastAsia" w:ascii="仿宋_GB2312" w:hAnsi="仿宋_GB2312" w:eastAsia="仿宋_GB2312" w:cs="仿宋_GB2312"/>
          <w:color w:val="000000"/>
          <w:sz w:val="24"/>
          <w:szCs w:val="24"/>
          <w:u w:val="single"/>
        </w:rPr>
        <w:t>舟山市</w:t>
      </w:r>
      <w:r>
        <w:rPr>
          <w:rFonts w:hint="eastAsia" w:ascii="仿宋_GB2312" w:hAnsi="仿宋_GB2312" w:eastAsia="仿宋_GB2312" w:cs="仿宋_GB2312"/>
          <w:color w:val="000000"/>
          <w:sz w:val="24"/>
          <w:szCs w:val="24"/>
        </w:rPr>
        <w:t>人民法院起诉。</w:t>
      </w:r>
    </w:p>
    <w:p>
      <w:pPr>
        <w:pStyle w:val="13"/>
        <w:adjustRightInd w:val="0"/>
        <w:snapToGrid w:val="0"/>
        <w:spacing w:line="560" w:lineRule="exact"/>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十九、合同生效及其它</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19.1合同经双方法定代表人或授权委托代理人签字并加盖单位公章后生效。</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19.2本合同未尽事宜，遵照《中华人民共和国民法典》有关条文执行。</w:t>
      </w:r>
    </w:p>
    <w:p>
      <w:pPr>
        <w:pStyle w:val="13"/>
        <w:adjustRightInd w:val="0"/>
        <w:snapToGrid w:val="0"/>
        <w:spacing w:line="56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19.3本合同正本一式肆份，具有同等法律效力，甲乙双方各执贰份。</w:t>
      </w:r>
    </w:p>
    <w:p>
      <w:pPr>
        <w:pStyle w:val="13"/>
        <w:snapToGrid w:val="0"/>
        <w:spacing w:line="360" w:lineRule="exact"/>
        <w:ind w:left="480" w:hanging="480" w:hangingChars="200"/>
        <w:rPr>
          <w:rFonts w:ascii="仿宋_GB2312" w:hAnsi="仿宋_GB2312" w:eastAsia="仿宋_GB2312" w:cs="仿宋_GB2312"/>
          <w:color w:val="000000"/>
          <w:sz w:val="24"/>
          <w:szCs w:val="24"/>
        </w:rPr>
      </w:pPr>
    </w:p>
    <w:p>
      <w:pPr>
        <w:pStyle w:val="13"/>
        <w:snapToGrid w:val="0"/>
        <w:spacing w:line="360" w:lineRule="exact"/>
        <w:ind w:left="450" w:leftChars="100" w:hanging="240" w:hangingChars="100"/>
        <w:rPr>
          <w:rFonts w:ascii="仿宋_GB2312" w:hAnsi="仿宋_GB2312" w:eastAsia="仿宋_GB2312" w:cs="仿宋_GB2312"/>
          <w:color w:val="000000"/>
          <w:sz w:val="24"/>
          <w:szCs w:val="24"/>
        </w:rPr>
      </w:pPr>
    </w:p>
    <w:p>
      <w:pPr>
        <w:pStyle w:val="13"/>
        <w:snapToGrid w:val="0"/>
        <w:spacing w:line="360" w:lineRule="exact"/>
        <w:ind w:left="450" w:leftChars="100" w:hanging="240" w:hangingChars="100"/>
        <w:rPr>
          <w:rFonts w:ascii="仿宋_GB2312" w:hAnsi="仿宋_GB2312" w:eastAsia="仿宋_GB2312" w:cs="仿宋_GB2312"/>
          <w:color w:val="000000"/>
          <w:sz w:val="24"/>
          <w:szCs w:val="24"/>
        </w:rPr>
      </w:pPr>
    </w:p>
    <w:p>
      <w:pPr>
        <w:pStyle w:val="13"/>
        <w:snapToGrid w:val="0"/>
        <w:spacing w:line="360" w:lineRule="exact"/>
        <w:ind w:left="450" w:leftChars="100" w:hanging="240" w:hangingChars="1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甲方（盖章）：                             乙方（盖章）： </w:t>
      </w:r>
    </w:p>
    <w:p>
      <w:pPr>
        <w:pStyle w:val="13"/>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地址：                                     地址： </w:t>
      </w:r>
    </w:p>
    <w:p>
      <w:pPr>
        <w:pStyle w:val="13"/>
        <w:snapToGrid w:val="0"/>
        <w:spacing w:line="36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法定（授权）代表人：                       法定（授权）代表人：</w:t>
      </w:r>
    </w:p>
    <w:p>
      <w:pPr>
        <w:pStyle w:val="13"/>
        <w:snapToGrid w:val="0"/>
        <w:spacing w:line="360" w:lineRule="exact"/>
        <w:rPr>
          <w:rFonts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 xml:space="preserve">  签字日期：      年  月  日                 签字日期：      年   月  日</w:t>
      </w:r>
    </w:p>
    <w:p>
      <w:pPr>
        <w:pStyle w:val="11"/>
      </w:pPr>
    </w:p>
    <w:p>
      <w:pPr>
        <w:pStyle w:val="11"/>
      </w:pPr>
    </w:p>
    <w:p>
      <w:pPr>
        <w:pStyle w:val="11"/>
      </w:pPr>
    </w:p>
    <w:p>
      <w:pPr>
        <w:pStyle w:val="11"/>
      </w:pPr>
    </w:p>
    <w:p>
      <w:pPr>
        <w:pStyle w:val="11"/>
      </w:pPr>
    </w:p>
    <w:p>
      <w:pPr>
        <w:pStyle w:val="11"/>
      </w:pPr>
    </w:p>
    <w:p>
      <w:pPr>
        <w:pStyle w:val="11"/>
      </w:pPr>
    </w:p>
    <w:p>
      <w:pPr>
        <w:pStyle w:val="11"/>
      </w:pPr>
    </w:p>
    <w:p>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第六部分</w:t>
      </w:r>
      <w:bookmarkEnd w:id="397"/>
      <w:bookmarkEnd w:id="398"/>
      <w:r>
        <w:rPr>
          <w:rFonts w:hint="eastAsia" w:ascii="仿宋_GB2312" w:eastAsia="仿宋_GB2312"/>
          <w:b/>
          <w:sz w:val="24"/>
          <w:szCs w:val="24"/>
        </w:rPr>
        <w:t>应提交的有关格式范例</w:t>
      </w:r>
    </w:p>
    <w:p>
      <w:pPr>
        <w:spacing w:line="540" w:lineRule="exact"/>
        <w:ind w:firstLine="560"/>
        <w:contextualSpacing/>
        <w:rPr>
          <w:rFonts w:ascii="仿宋_GB2312" w:eastAsia="仿宋_GB2312"/>
          <w:sz w:val="24"/>
          <w:szCs w:val="24"/>
        </w:rPr>
      </w:pPr>
    </w:p>
    <w:p>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资格文件部分</w:t>
      </w: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目录</w:t>
      </w:r>
    </w:p>
    <w:p>
      <w:pPr>
        <w:spacing w:line="540" w:lineRule="exact"/>
        <w:ind w:firstLine="560"/>
        <w:contextualSpacing/>
        <w:rPr>
          <w:rFonts w:ascii="仿宋_GB2312" w:eastAsia="仿宋_GB2312"/>
          <w:sz w:val="28"/>
          <w:szCs w:val="28"/>
        </w:rPr>
      </w:pP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一、符合参加政府采购活动应当具备的一般条件的承诺函…………（页码）</w:t>
      </w: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二、联合协议（如果有）………………………………………………（页码）</w:t>
      </w:r>
    </w:p>
    <w:p>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三、落实政府采购政策需满足的资格要求（如果有）………………（页码）</w:t>
      </w:r>
    </w:p>
    <w:p>
      <w:pPr>
        <w:spacing w:line="540" w:lineRule="exact"/>
        <w:ind w:firstLine="560"/>
        <w:contextualSpacing/>
        <w:jc w:val="center"/>
        <w:rPr>
          <w:rFonts w:ascii="仿宋_GB2312" w:eastAsia="仿宋_GB2312"/>
          <w:b/>
          <w:sz w:val="24"/>
          <w:szCs w:val="24"/>
        </w:rPr>
      </w:pPr>
      <w:r>
        <w:rPr>
          <w:rFonts w:hint="eastAsia" w:ascii="仿宋_GB2312" w:eastAsia="仿宋_GB2312"/>
          <w:sz w:val="24"/>
          <w:szCs w:val="24"/>
        </w:rPr>
        <w:t>四、本项目的特定资格要求（如果有）………………………………（页码）</w:t>
      </w:r>
      <w:r>
        <w:rPr>
          <w:rFonts w:hint="eastAsia" w:ascii="仿宋_GB2312" w:eastAsia="仿宋_GB2312"/>
          <w:sz w:val="24"/>
          <w:szCs w:val="24"/>
        </w:rPr>
        <w:br w:type="page"/>
      </w:r>
      <w:r>
        <w:rPr>
          <w:rFonts w:hint="eastAsia" w:ascii="仿宋_GB2312" w:eastAsia="仿宋_GB2312"/>
          <w:b/>
          <w:sz w:val="24"/>
          <w:szCs w:val="24"/>
        </w:rPr>
        <w:t>一、 符合参加政府采购活动应当具备的一般条件的承诺函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我方参与（项目名称）【招标编号：（采购编号）】政府采购活动，郑重承诺：</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ind w:firstLine="482"/>
        <w:contextualSpacing/>
        <w:jc w:val="center"/>
        <w:rPr>
          <w:rFonts w:ascii="仿宋_GB2312" w:eastAsia="仿宋_GB2312"/>
          <w:b/>
          <w:sz w:val="24"/>
          <w:szCs w:val="24"/>
        </w:rPr>
      </w:pPr>
    </w:p>
    <w:p>
      <w:pPr>
        <w:widowControl/>
        <w:spacing w:line="360" w:lineRule="auto"/>
        <w:ind w:firstLine="643" w:firstLineChars="200"/>
        <w:jc w:val="center"/>
        <w:rPr>
          <w:rFonts w:ascii="仿宋_GB2312" w:hAnsi="宋体" w:eastAsia="仿宋_GB2312" w:cs="宋体"/>
          <w:b/>
          <w:kern w:val="0"/>
          <w:sz w:val="32"/>
          <w:szCs w:val="32"/>
        </w:rPr>
      </w:pPr>
    </w:p>
    <w:p>
      <w:pPr>
        <w:widowControl/>
        <w:spacing w:line="560" w:lineRule="exact"/>
        <w:ind w:firstLine="482" w:firstLineChars="200"/>
        <w:jc w:val="center"/>
        <w:rPr>
          <w:rFonts w:ascii="仿宋_GB2312" w:eastAsia="仿宋_GB2312"/>
          <w:b/>
          <w:sz w:val="24"/>
          <w:szCs w:val="24"/>
        </w:rPr>
      </w:pPr>
      <w:r>
        <w:rPr>
          <w:rFonts w:hint="eastAsia" w:ascii="仿宋_GB2312" w:eastAsia="仿宋_GB2312"/>
          <w:b/>
          <w:sz w:val="24"/>
          <w:szCs w:val="24"/>
        </w:rPr>
        <w:t>二、联合协议（如果有）</w:t>
      </w:r>
    </w:p>
    <w:p>
      <w:pPr>
        <w:widowControl/>
        <w:spacing w:line="560" w:lineRule="exact"/>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[以联合体形式投标的，提供联合协议（附件6）；本项目不接受联合体投标或者投标人不以联合体形式投标的，则不需要提供）]</w:t>
      </w:r>
    </w:p>
    <w:p>
      <w:pPr>
        <w:snapToGrid w:val="0"/>
        <w:spacing w:line="560" w:lineRule="exact"/>
        <w:ind w:right="480" w:firstLine="482"/>
        <w:jc w:val="center"/>
        <w:rPr>
          <w:rFonts w:ascii="仿宋_GB2312" w:hAnsi="宋体" w:eastAsia="仿宋_GB2312" w:cs="宋体"/>
          <w:b/>
          <w:kern w:val="0"/>
          <w:sz w:val="24"/>
          <w:szCs w:val="24"/>
        </w:rPr>
      </w:pPr>
    </w:p>
    <w:p>
      <w:pPr>
        <w:pStyle w:val="3"/>
        <w:rPr>
          <w:rFonts w:ascii="仿宋_GB2312" w:eastAsia="仿宋_GB2312"/>
          <w:sz w:val="24"/>
          <w:szCs w:val="24"/>
        </w:rPr>
      </w:pPr>
    </w:p>
    <w:p>
      <w:pPr>
        <w:snapToGrid w:val="0"/>
        <w:spacing w:line="560" w:lineRule="exact"/>
        <w:ind w:right="480" w:firstLine="482"/>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三、落实政府采购政策需满足的资格要求</w:t>
      </w:r>
      <w:r>
        <w:rPr>
          <w:rFonts w:hint="eastAsia" w:ascii="仿宋_GB2312" w:eastAsia="仿宋_GB2312"/>
          <w:b/>
          <w:sz w:val="24"/>
          <w:szCs w:val="24"/>
        </w:rPr>
        <w:t>（如果有）</w:t>
      </w:r>
    </w:p>
    <w:p>
      <w:pPr>
        <w:spacing w:line="560" w:lineRule="exact"/>
        <w:rPr>
          <w:rFonts w:ascii="仿宋_GB2312" w:hAnsi="宋体" w:eastAsia="仿宋_GB2312" w:cs="宋体"/>
          <w:sz w:val="24"/>
          <w:szCs w:val="24"/>
        </w:rPr>
      </w:pPr>
      <w:r>
        <w:rPr>
          <w:rFonts w:hint="eastAsia" w:ascii="仿宋_GB2312" w:hAnsi="宋体" w:eastAsia="仿宋_GB2312" w:cs="宋体"/>
          <w:sz w:val="24"/>
          <w:szCs w:val="24"/>
        </w:rPr>
        <w:t>（根据招标公告落实政府采购政策需满足的资格要求选择提供相应的材料；未要求的，无需提供）</w:t>
      </w:r>
    </w:p>
    <w:p>
      <w:pPr>
        <w:snapToGrid w:val="0"/>
        <w:spacing w:before="50" w:after="50" w:line="560" w:lineRule="exact"/>
        <w:ind w:firstLine="472" w:firstLineChars="196"/>
        <w:jc w:val="left"/>
        <w:rPr>
          <w:rFonts w:ascii="仿宋_GB2312" w:hAnsi="宋体" w:eastAsia="仿宋_GB2312" w:cs="宋体"/>
          <w:sz w:val="24"/>
          <w:szCs w:val="24"/>
        </w:rPr>
      </w:pPr>
      <w:r>
        <w:rPr>
          <w:rFonts w:hint="eastAsia" w:ascii="仿宋_GB2312" w:hAnsi="宋体" w:eastAsia="仿宋_GB2312" w:cs="宋体"/>
          <w:b/>
          <w:sz w:val="24"/>
          <w:szCs w:val="24"/>
        </w:rPr>
        <w:t>A</w:t>
      </w:r>
      <w:r>
        <w:rPr>
          <w:rFonts w:hint="eastAsia" w:ascii="仿宋_GB2312" w:hAnsi="宋体" w:eastAsia="仿宋_GB2312" w:cs="宋体"/>
          <w:sz w:val="24"/>
          <w:szCs w:val="24"/>
        </w:rPr>
        <w:t xml:space="preserve">.专门面向中小企业，服务全部由符合政策要求的中小企业（或小微企业）承接的，提供相应的中小企业声明函（附件5）。 </w:t>
      </w:r>
    </w:p>
    <w:p>
      <w:pPr>
        <w:widowControl/>
        <w:spacing w:line="560" w:lineRule="exact"/>
        <w:ind w:firstLine="472" w:firstLineChars="196"/>
        <w:jc w:val="left"/>
        <w:rPr>
          <w:rFonts w:ascii="仿宋_GB2312" w:hAnsi="宋体" w:eastAsia="仿宋_GB2312" w:cs="宋体"/>
          <w:sz w:val="24"/>
          <w:szCs w:val="24"/>
        </w:rPr>
      </w:pPr>
      <w:r>
        <w:rPr>
          <w:rFonts w:hint="eastAsia" w:ascii="仿宋_GB2312" w:hAnsi="宋体" w:eastAsia="仿宋_GB2312" w:cs="宋体"/>
          <w:b/>
          <w:sz w:val="24"/>
          <w:szCs w:val="24"/>
        </w:rPr>
        <w:t>B.</w:t>
      </w:r>
      <w:r>
        <w:rPr>
          <w:rFonts w:hint="eastAsia" w:ascii="仿宋_GB2312" w:hAnsi="宋体" w:eastAsia="仿宋_GB2312" w:cs="宋体"/>
          <w:sz w:val="24"/>
          <w:szCs w:val="24"/>
        </w:rPr>
        <w:t>要求以联合体形式参加的，提供联合协议（附件6）和中小企业声明函（附件5），联合协议中中小企业合同金额应当达到招标公告载明的比例；如果供应商本身提供所有标的均由中小企业承接的，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视同符合了资格条件，无需再与其他中小企业组成联合体参加政府采购活动，无需提供联合协议。</w:t>
      </w:r>
    </w:p>
    <w:p>
      <w:pPr>
        <w:snapToGrid w:val="0"/>
        <w:spacing w:before="50" w:after="50" w:line="560" w:lineRule="exact"/>
        <w:ind w:firstLine="482"/>
        <w:jc w:val="left"/>
        <w:rPr>
          <w:rFonts w:ascii="仿宋_GB2312" w:hAnsi="宋体" w:eastAsia="仿宋_GB2312" w:cs="宋体"/>
          <w:sz w:val="24"/>
          <w:szCs w:val="24"/>
        </w:rPr>
      </w:pPr>
      <w:r>
        <w:rPr>
          <w:rFonts w:hint="eastAsia" w:ascii="仿宋_GB2312" w:hAnsi="宋体" w:eastAsia="仿宋_GB2312" w:cs="宋体"/>
          <w:b/>
          <w:sz w:val="24"/>
          <w:szCs w:val="24"/>
        </w:rPr>
        <w:t xml:space="preserve">    C.</w:t>
      </w:r>
      <w:r>
        <w:rPr>
          <w:rFonts w:hint="eastAsia" w:ascii="仿宋_GB2312" w:hAnsi="宋体" w:eastAsia="仿宋_GB2312" w:cs="宋体"/>
          <w:sz w:val="24"/>
          <w:szCs w:val="24"/>
        </w:rPr>
        <w:t>要求合同分包的，提供分包意向协议（附件7）和中小企业声明函（附件5），分包意向协议中中小企业合同金额应当达到招标公告载明的比例；如果供应商本身提供所有标的均由中小企业承接的，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视同符合了资格条件，无需再向中小企业分包，无需提供分包意向协议。</w:t>
      </w:r>
    </w:p>
    <w:p>
      <w:pPr>
        <w:widowControl/>
        <w:spacing w:line="560" w:lineRule="exact"/>
        <w:ind w:left="479" w:firstLine="482"/>
        <w:jc w:val="center"/>
        <w:rPr>
          <w:rFonts w:ascii="仿宋_GB2312" w:hAnsi="宋体" w:eastAsia="仿宋_GB2312" w:cs="宋体"/>
          <w:b/>
          <w:kern w:val="0"/>
          <w:sz w:val="24"/>
          <w:szCs w:val="24"/>
        </w:rPr>
      </w:pPr>
    </w:p>
    <w:p>
      <w:pPr>
        <w:widowControl/>
        <w:spacing w:line="560" w:lineRule="exact"/>
        <w:ind w:firstLine="482" w:firstLineChars="200"/>
        <w:jc w:val="center"/>
        <w:rPr>
          <w:rFonts w:ascii="仿宋_GB2312" w:eastAsia="仿宋_GB2312"/>
          <w:b/>
          <w:sz w:val="24"/>
          <w:szCs w:val="24"/>
        </w:rPr>
      </w:pPr>
      <w:r>
        <w:rPr>
          <w:rFonts w:hint="eastAsia" w:ascii="仿宋_GB2312" w:hAnsi="宋体" w:eastAsia="仿宋_GB2312" w:cs="宋体"/>
          <w:b/>
          <w:kern w:val="0"/>
          <w:sz w:val="24"/>
          <w:szCs w:val="24"/>
        </w:rPr>
        <w:t>四、本项目的特定资格要求</w:t>
      </w:r>
      <w:r>
        <w:rPr>
          <w:rFonts w:hint="eastAsia" w:ascii="仿宋_GB2312" w:eastAsia="仿宋_GB2312"/>
          <w:b/>
          <w:sz w:val="24"/>
          <w:szCs w:val="24"/>
        </w:rPr>
        <w:t>（如果有）</w:t>
      </w:r>
    </w:p>
    <w:p>
      <w:pPr>
        <w:spacing w:line="560" w:lineRule="exact"/>
        <w:jc w:val="left"/>
        <w:rPr>
          <w:rFonts w:ascii="仿宋_GB2312" w:hAnsi="宋体" w:eastAsia="仿宋_GB2312" w:cs="宋体"/>
          <w:sz w:val="24"/>
          <w:szCs w:val="24"/>
        </w:rPr>
      </w:pPr>
      <w:r>
        <w:rPr>
          <w:rFonts w:hint="eastAsia" w:ascii="仿宋_GB2312" w:hAnsi="宋体" w:eastAsia="仿宋_GB2312" w:cs="宋体"/>
          <w:sz w:val="24"/>
          <w:szCs w:val="24"/>
        </w:rPr>
        <w:t>（根据招标公告本项目的特定资格要求提供相应的材料；未要求的，无需提供）</w:t>
      </w:r>
    </w:p>
    <w:p>
      <w:pPr>
        <w:spacing w:line="560" w:lineRule="exact"/>
        <w:ind w:firstLine="482"/>
        <w:contextualSpacing/>
        <w:jc w:val="center"/>
        <w:rPr>
          <w:rFonts w:ascii="仿宋_GB2312" w:eastAsia="仿宋_GB2312"/>
          <w:b/>
          <w:sz w:val="24"/>
          <w:szCs w:val="24"/>
        </w:rPr>
      </w:pPr>
    </w:p>
    <w:p>
      <w:pPr>
        <w:pStyle w:val="11"/>
      </w:pPr>
    </w:p>
    <w:p>
      <w:pPr>
        <w:pStyle w:val="11"/>
      </w:pPr>
    </w:p>
    <w:p>
      <w:pPr>
        <w:pStyle w:val="11"/>
      </w:pPr>
    </w:p>
    <w:p>
      <w:pPr>
        <w:spacing w:line="560" w:lineRule="exact"/>
        <w:ind w:firstLine="562"/>
        <w:contextualSpacing/>
        <w:jc w:val="center"/>
        <w:rPr>
          <w:rFonts w:ascii="仿宋_GB2312" w:eastAsia="仿宋_GB2312"/>
          <w:b/>
          <w:sz w:val="28"/>
          <w:szCs w:val="28"/>
        </w:rPr>
      </w:pPr>
      <w:r>
        <w:rPr>
          <w:rFonts w:hint="eastAsia" w:ascii="仿宋_GB2312" w:eastAsia="仿宋_GB2312"/>
          <w:b/>
          <w:sz w:val="28"/>
          <w:szCs w:val="28"/>
        </w:rPr>
        <w:t>商务技术文件部分</w:t>
      </w:r>
    </w:p>
    <w:p>
      <w:pPr>
        <w:spacing w:line="560" w:lineRule="exact"/>
        <w:ind w:firstLine="560"/>
        <w:contextualSpacing/>
        <w:rPr>
          <w:rFonts w:ascii="仿宋_GB2312" w:eastAsia="仿宋_GB2312"/>
          <w:sz w:val="28"/>
          <w:szCs w:val="28"/>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目录</w:t>
      </w:r>
    </w:p>
    <w:p>
      <w:pPr>
        <w:pStyle w:val="47"/>
        <w:numPr>
          <w:ilvl w:val="0"/>
          <w:numId w:val="12"/>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投标函………………………………………………………………………（页码）</w:t>
      </w:r>
    </w:p>
    <w:p>
      <w:pPr>
        <w:pStyle w:val="47"/>
        <w:numPr>
          <w:ilvl w:val="0"/>
          <w:numId w:val="12"/>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授权委托书或法定代表人（单位负责人、自然人本人）身份证明……（页码）</w:t>
      </w:r>
    </w:p>
    <w:p>
      <w:pPr>
        <w:pStyle w:val="47"/>
        <w:numPr>
          <w:ilvl w:val="0"/>
          <w:numId w:val="12"/>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联合协议（如果有）………………………………………………………（页码）</w:t>
      </w:r>
    </w:p>
    <w:p>
      <w:pPr>
        <w:pStyle w:val="47"/>
        <w:numPr>
          <w:ilvl w:val="0"/>
          <w:numId w:val="12"/>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分包意向协议（如果有）…………………………………………………（页码）</w:t>
      </w:r>
    </w:p>
    <w:p>
      <w:pPr>
        <w:pStyle w:val="47"/>
        <w:numPr>
          <w:ilvl w:val="0"/>
          <w:numId w:val="12"/>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符合性审查资料……………………………………………………………（页码）</w:t>
      </w:r>
    </w:p>
    <w:p>
      <w:pPr>
        <w:pStyle w:val="47"/>
        <w:numPr>
          <w:ilvl w:val="0"/>
          <w:numId w:val="12"/>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拟投入的项目班子格式（如果有）………………………………………（页码）</w:t>
      </w:r>
    </w:p>
    <w:p>
      <w:pPr>
        <w:pStyle w:val="47"/>
        <w:numPr>
          <w:ilvl w:val="0"/>
          <w:numId w:val="12"/>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评标标准相应的商务技术资料……………………………………………（页码）</w:t>
      </w:r>
    </w:p>
    <w:p>
      <w:pPr>
        <w:pStyle w:val="47"/>
        <w:numPr>
          <w:ilvl w:val="0"/>
          <w:numId w:val="12"/>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投标标的清单……………………………………………………………（页码）</w:t>
      </w:r>
    </w:p>
    <w:p>
      <w:pPr>
        <w:pStyle w:val="47"/>
        <w:numPr>
          <w:ilvl w:val="0"/>
          <w:numId w:val="12"/>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商务技术偏离表……………………………………………………………（页码）</w:t>
      </w:r>
    </w:p>
    <w:p>
      <w:pPr>
        <w:pStyle w:val="47"/>
        <w:numPr>
          <w:ilvl w:val="0"/>
          <w:numId w:val="12"/>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政府采购供应商廉洁自律承诺书…………………………………………（页码）</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3"/>
        <w:rPr>
          <w:rFonts w:ascii="仿宋_GB2312" w:eastAsia="仿宋_GB2312"/>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一、投标函</w:t>
      </w:r>
    </w:p>
    <w:p>
      <w:pPr>
        <w:spacing w:line="540" w:lineRule="exact"/>
        <w:contextualSpacing/>
        <w:rPr>
          <w:rFonts w:ascii="仿宋_GB2312" w:eastAsia="仿宋_GB2312"/>
          <w:sz w:val="24"/>
          <w:szCs w:val="24"/>
        </w:rPr>
      </w:pPr>
    </w:p>
    <w:p>
      <w:pPr>
        <w:spacing w:line="4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我方参加你方组织的（项目名称）【招标编号：（采购编号）】招标的有关活动，并对此项目进行投标。为此：</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我方承诺投标有效期从提交投标文件的截止之日起</w:t>
      </w:r>
      <w:r>
        <w:rPr>
          <w:rFonts w:hint="eastAsia" w:ascii="仿宋_GB2312" w:eastAsia="仿宋_GB2312"/>
          <w:sz w:val="24"/>
          <w:szCs w:val="24"/>
          <w:u w:val="single"/>
        </w:rPr>
        <w:t xml:space="preserve">     </w:t>
      </w:r>
      <w:r>
        <w:rPr>
          <w:rFonts w:hint="eastAsia" w:ascii="仿宋_GB2312" w:eastAsia="仿宋_GB2312"/>
          <w:sz w:val="24"/>
          <w:szCs w:val="24"/>
        </w:rPr>
        <w:t>天（不少于90天），本投标文件在投标有效期满之前均具有约束力。</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1.我方的投标文件包括以下内容：</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2.1资格文件：</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2.1.1承诺函；</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2.1.2联合协议（如果有)；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2.1.3落实政府采购政策需满足的资格要求（如果有)；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2.2.4本项目的特定资格要求（如果有）。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 商务技术文件：</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2.2.1投标函；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2.2.2授权委托书或法定代表人（单位负责人）身份证明；</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2.2.3联合协议（如果有）；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2.2.4分包意向协议（如果有）；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2.2.5符合性审查资料；</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2.2.6拟投入的项目班子格式（如果有）；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2.2.7评标标准相应的商务技术资料；</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2.2.8投标标的清单；</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2.2.9商务技术偏离表；</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2.2.10政府采购供应商廉洁自律承诺书。</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2.3.2中小企业声明函（如果有）。</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3.我方承诺除商务技术偏离表（如果有）列出的偏离外，我方响应招标文件的全部要求。</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4.3按照招标文件要求提交履约保证金；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11"/>
      </w:pPr>
    </w:p>
    <w:p>
      <w:pPr>
        <w:pStyle w:val="11"/>
      </w:pPr>
    </w:p>
    <w:p>
      <w:pPr>
        <w:pStyle w:val="11"/>
      </w:pPr>
    </w:p>
    <w:p>
      <w:pPr>
        <w:pStyle w:val="11"/>
      </w:pPr>
    </w:p>
    <w:p>
      <w:pPr>
        <w:pStyle w:val="11"/>
      </w:pPr>
    </w:p>
    <w:p>
      <w:pPr>
        <w:pStyle w:val="11"/>
      </w:pPr>
    </w:p>
    <w:p>
      <w:pPr>
        <w:spacing w:line="540" w:lineRule="exact"/>
        <w:contextualSpacing/>
        <w:rPr>
          <w:rFonts w:ascii="仿宋_GB2312" w:eastAsia="仿宋_GB2312"/>
          <w:sz w:val="24"/>
          <w:szCs w:val="24"/>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pPr>
        <w:spacing w:line="540" w:lineRule="exact"/>
        <w:contextualSpacing/>
        <w:rPr>
          <w:rFonts w:ascii="仿宋_GB2312" w:eastAsia="仿宋_GB2312"/>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pPr>
        <w:spacing w:line="540" w:lineRule="exact"/>
        <w:ind w:firstLine="480"/>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pPr>
        <w:spacing w:line="540" w:lineRule="exact"/>
        <w:ind w:firstLine="480"/>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pPr>
        <w:pStyle w:val="11"/>
      </w:pPr>
    </w:p>
    <w:p>
      <w:pPr>
        <w:pStyle w:val="11"/>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8" w:hRule="atLeast"/>
          <w:jc w:val="center"/>
        </w:trPr>
        <w:tc>
          <w:tcPr>
            <w:tcW w:w="9207" w:type="dxa"/>
          </w:tcPr>
          <w:p>
            <w:pPr>
              <w:spacing w:line="540" w:lineRule="exact"/>
              <w:contextualSpacing/>
              <w:rPr>
                <w:rFonts w:ascii="仿宋_GB2312" w:eastAsia="仿宋_GB2312"/>
                <w:sz w:val="24"/>
                <w:szCs w:val="24"/>
              </w:rPr>
            </w:pPr>
            <w:r>
              <w:rPr>
                <w:rFonts w:hint="eastAsia" w:ascii="仿宋_GB2312" w:eastAsia="仿宋_GB2312"/>
                <w:sz w:val="24"/>
                <w:szCs w:val="24"/>
              </w:rPr>
              <w:t>正面：                                 反面：</w:t>
            </w:r>
          </w:p>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pStyle w:val="3"/>
        <w:rPr>
          <w:rFonts w:ascii="仿宋_GB2312" w:eastAsia="仿宋_GB2312"/>
        </w:rPr>
      </w:pPr>
    </w:p>
    <w:p>
      <w:pPr>
        <w:pStyle w:val="18"/>
        <w:ind w:firstLine="883"/>
        <w:rPr>
          <w:rFonts w:ascii="仿宋_GB2312" w:eastAsia="仿宋_GB2312"/>
        </w:rPr>
      </w:pPr>
    </w:p>
    <w:p>
      <w:pPr>
        <w:pStyle w:val="3"/>
        <w:rPr>
          <w:rFonts w:ascii="仿宋_GB2312" w:eastAsia="仿宋_GB2312"/>
        </w:rPr>
      </w:pPr>
    </w:p>
    <w:p>
      <w:pPr>
        <w:widowControl/>
        <w:spacing w:line="560" w:lineRule="exact"/>
        <w:ind w:firstLine="562"/>
        <w:jc w:val="center"/>
        <w:rPr>
          <w:rFonts w:ascii="仿宋_GB2312" w:eastAsia="仿宋_GB2312"/>
          <w:b/>
          <w:sz w:val="28"/>
          <w:szCs w:val="28"/>
        </w:rPr>
      </w:pPr>
      <w:r>
        <w:rPr>
          <w:rFonts w:hint="eastAsia" w:ascii="仿宋_GB2312" w:eastAsia="仿宋_GB2312"/>
          <w:b/>
          <w:sz w:val="28"/>
          <w:szCs w:val="28"/>
        </w:rPr>
        <w:t>三、联合协议（如果有）</w:t>
      </w:r>
    </w:p>
    <w:p>
      <w:pPr>
        <w:widowControl/>
        <w:spacing w:line="5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pPr>
        <w:pStyle w:val="18"/>
        <w:ind w:firstLine="883"/>
        <w:rPr>
          <w:rFonts w:ascii="仿宋_GB2312" w:eastAsia="仿宋_GB2312"/>
        </w:rPr>
      </w:pPr>
    </w:p>
    <w:p>
      <w:pPr>
        <w:pStyle w:val="3"/>
        <w:rPr>
          <w:rFonts w:ascii="仿宋_GB2312" w:eastAsia="仿宋_GB2312"/>
        </w:rPr>
      </w:pPr>
    </w:p>
    <w:p>
      <w:pPr>
        <w:snapToGrid w:val="0"/>
        <w:spacing w:line="360" w:lineRule="auto"/>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四、分包意向协议（如果有）</w:t>
      </w:r>
    </w:p>
    <w:p>
      <w:pPr>
        <w:widowControl/>
        <w:spacing w:line="360" w:lineRule="auto"/>
        <w:ind w:firstLine="560"/>
        <w:jc w:val="left"/>
        <w:rPr>
          <w:rFonts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b/>
          <w:sz w:val="28"/>
          <w:szCs w:val="28"/>
        </w:rPr>
        <w:t>中标后以分包方式履行合同的，提供分包意向协议(附件7)；采购人不同意分包或者投标人中标后不以分包方式履行合同的，则不需要提供。</w:t>
      </w:r>
      <w:r>
        <w:rPr>
          <w:rFonts w:hint="eastAsia" w:ascii="仿宋_GB2312" w:hAnsi="宋体" w:eastAsia="仿宋_GB2312" w:cs="宋体"/>
          <w:sz w:val="28"/>
          <w:szCs w:val="28"/>
        </w:rPr>
        <w:t>]</w:t>
      </w:r>
    </w:p>
    <w:p>
      <w:pPr>
        <w:spacing w:line="540" w:lineRule="exact"/>
        <w:ind w:firstLine="482"/>
        <w:contextualSpacing/>
        <w:jc w:val="center"/>
        <w:rPr>
          <w:rFonts w:ascii="仿宋_GB2312" w:eastAsia="仿宋_GB2312"/>
          <w:b/>
          <w:sz w:val="24"/>
          <w:szCs w:val="24"/>
        </w:rPr>
      </w:pPr>
    </w:p>
    <w:p>
      <w:pPr>
        <w:pStyle w:val="11"/>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投标文件按照招标文件要求签署、盖章。</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需要使用电子签名或者签字盖章的投标文件的组成部分</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节能产品认证证书（本项目拟采购的产品不属于政府强制采购的节能产品品目清单范围的，无需提供）</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投标文件中承诺的投标有效期不少于招标文件中载明的投标有效期。</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投标文件满足招标文件的其它实质性要求。</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招标文件其它实质性要求相应的材料（“▲” 系指实质性要求条款，招标文件无其它实质性要求的，无需提供）</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bl>
    <w:p>
      <w:pPr>
        <w:spacing w:line="540" w:lineRule="exact"/>
        <w:contextualSpacing/>
        <w:rPr>
          <w:rFonts w:ascii="仿宋_GB2312" w:eastAsia="仿宋_GB2312"/>
          <w:sz w:val="24"/>
          <w:szCs w:val="24"/>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六、拟投入的项目班子格式（如果有）</w:t>
      </w:r>
    </w:p>
    <w:p>
      <w:pPr>
        <w:spacing w:line="540" w:lineRule="exact"/>
        <w:contextualSpacing/>
        <w:rPr>
          <w:rFonts w:ascii="仿宋_GB2312" w:eastAsia="仿宋_GB2312"/>
          <w:sz w:val="24"/>
          <w:szCs w:val="24"/>
        </w:rPr>
      </w:pPr>
      <w:r>
        <w:rPr>
          <w:rFonts w:hint="eastAsia" w:ascii="仿宋_GB2312" w:eastAsia="仿宋_GB2312"/>
          <w:sz w:val="24"/>
          <w:szCs w:val="24"/>
        </w:rPr>
        <w:t>（格式仅供参考）</w:t>
      </w:r>
    </w:p>
    <w:p>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2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pPr>
              <w:spacing w:line="540" w:lineRule="exact"/>
              <w:contextualSpacing/>
              <w:rPr>
                <w:rFonts w:ascii="仿宋_GB2312" w:eastAsia="仿宋_GB2312"/>
                <w:sz w:val="24"/>
                <w:szCs w:val="24"/>
              </w:rPr>
            </w:pPr>
          </w:p>
        </w:tc>
        <w:tc>
          <w:tcPr>
            <w:tcW w:w="11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pPr>
              <w:spacing w:line="540" w:lineRule="exact"/>
              <w:contextualSpacing/>
              <w:rPr>
                <w:rFonts w:ascii="仿宋_GB2312" w:eastAsia="仿宋_GB2312"/>
                <w:sz w:val="24"/>
                <w:szCs w:val="24"/>
              </w:rPr>
            </w:pPr>
          </w:p>
        </w:tc>
        <w:tc>
          <w:tcPr>
            <w:tcW w:w="2745"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pPr>
              <w:spacing w:line="540" w:lineRule="exact"/>
              <w:contextualSpacing/>
              <w:rPr>
                <w:rFonts w:ascii="仿宋_GB2312" w:eastAsia="仿宋_GB2312"/>
                <w:sz w:val="24"/>
                <w:szCs w:val="24"/>
              </w:rPr>
            </w:pPr>
          </w:p>
        </w:tc>
        <w:tc>
          <w:tcPr>
            <w:tcW w:w="11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pPr>
              <w:spacing w:line="540" w:lineRule="exact"/>
              <w:contextualSpacing/>
              <w:rPr>
                <w:rFonts w:ascii="仿宋_GB2312" w:eastAsia="仿宋_GB2312"/>
                <w:sz w:val="24"/>
                <w:szCs w:val="24"/>
              </w:rPr>
            </w:pPr>
          </w:p>
        </w:tc>
        <w:tc>
          <w:tcPr>
            <w:tcW w:w="2745"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p>
        </w:tc>
        <w:tc>
          <w:tcPr>
            <w:tcW w:w="2297" w:type="dxa"/>
            <w:gridSpan w:val="3"/>
            <w:shd w:val="clear" w:color="auto" w:fill="auto"/>
            <w:vAlign w:val="center"/>
          </w:tcPr>
          <w:p>
            <w:pPr>
              <w:spacing w:line="540" w:lineRule="exact"/>
              <w:contextualSpacing/>
              <w:rPr>
                <w:rFonts w:ascii="仿宋_GB2312" w:eastAsia="仿宋_GB2312"/>
                <w:sz w:val="24"/>
                <w:szCs w:val="24"/>
              </w:rPr>
            </w:pPr>
          </w:p>
        </w:tc>
        <w:tc>
          <w:tcPr>
            <w:tcW w:w="1701" w:type="dxa"/>
            <w:gridSpan w:val="2"/>
            <w:shd w:val="clear" w:color="auto" w:fill="auto"/>
            <w:vAlign w:val="center"/>
          </w:tcPr>
          <w:p>
            <w:pPr>
              <w:spacing w:line="540" w:lineRule="exact"/>
              <w:contextualSpacing/>
              <w:rPr>
                <w:rFonts w:ascii="仿宋_GB2312" w:eastAsia="仿宋_GB2312"/>
                <w:sz w:val="24"/>
                <w:szCs w:val="24"/>
              </w:rPr>
            </w:pPr>
          </w:p>
        </w:tc>
        <w:tc>
          <w:tcPr>
            <w:tcW w:w="3313" w:type="dxa"/>
            <w:gridSpan w:val="2"/>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pPr>
              <w:spacing w:line="540" w:lineRule="exact"/>
              <w:contextualSpacing/>
              <w:rPr>
                <w:rFonts w:ascii="仿宋_GB2312" w:eastAsia="仿宋_GB2312"/>
                <w:sz w:val="24"/>
                <w:szCs w:val="24"/>
              </w:rPr>
            </w:pPr>
          </w:p>
        </w:tc>
        <w:tc>
          <w:tcPr>
            <w:tcW w:w="1701" w:type="dxa"/>
            <w:gridSpan w:val="2"/>
            <w:shd w:val="clear" w:color="auto" w:fill="auto"/>
            <w:vAlign w:val="center"/>
          </w:tcPr>
          <w:p>
            <w:pPr>
              <w:spacing w:line="540" w:lineRule="exact"/>
              <w:contextualSpacing/>
              <w:rPr>
                <w:rFonts w:ascii="仿宋_GB2312" w:eastAsia="仿宋_GB2312"/>
                <w:sz w:val="24"/>
                <w:szCs w:val="24"/>
              </w:rPr>
            </w:pPr>
          </w:p>
        </w:tc>
        <w:tc>
          <w:tcPr>
            <w:tcW w:w="3313" w:type="dxa"/>
            <w:gridSpan w:val="2"/>
            <w:shd w:val="clear" w:color="auto" w:fill="auto"/>
            <w:vAlign w:val="center"/>
          </w:tcPr>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附：执业资格证书、职称证书、学历证书等证明材料</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2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p>
        </w:tc>
        <w:tc>
          <w:tcPr>
            <w:tcW w:w="1418" w:type="dxa"/>
            <w:shd w:val="clear" w:color="auto" w:fill="auto"/>
            <w:vAlign w:val="center"/>
          </w:tcPr>
          <w:p>
            <w:pPr>
              <w:spacing w:line="540" w:lineRule="exact"/>
              <w:contextualSpacing/>
              <w:rPr>
                <w:rFonts w:ascii="仿宋_GB2312" w:eastAsia="仿宋_GB2312"/>
                <w:sz w:val="24"/>
                <w:szCs w:val="24"/>
              </w:rPr>
            </w:pPr>
          </w:p>
        </w:tc>
        <w:tc>
          <w:tcPr>
            <w:tcW w:w="1984" w:type="dxa"/>
            <w:shd w:val="clear" w:color="auto" w:fill="auto"/>
            <w:vAlign w:val="center"/>
          </w:tcPr>
          <w:p>
            <w:pPr>
              <w:spacing w:line="540" w:lineRule="exact"/>
              <w:contextualSpacing/>
              <w:rPr>
                <w:rFonts w:ascii="仿宋_GB2312" w:eastAsia="仿宋_GB2312"/>
                <w:sz w:val="24"/>
                <w:szCs w:val="24"/>
              </w:rPr>
            </w:pPr>
          </w:p>
        </w:tc>
        <w:tc>
          <w:tcPr>
            <w:tcW w:w="1843" w:type="dxa"/>
            <w:shd w:val="clear" w:color="auto" w:fill="auto"/>
            <w:vAlign w:val="center"/>
          </w:tcPr>
          <w:p>
            <w:pPr>
              <w:spacing w:line="540" w:lineRule="exact"/>
              <w:contextualSpacing/>
              <w:rPr>
                <w:rFonts w:ascii="仿宋_GB2312" w:eastAsia="仿宋_GB2312"/>
                <w:sz w:val="24"/>
                <w:szCs w:val="24"/>
              </w:rPr>
            </w:pPr>
          </w:p>
        </w:tc>
        <w:tc>
          <w:tcPr>
            <w:tcW w:w="2755" w:type="dxa"/>
            <w:shd w:val="clear" w:color="auto" w:fill="auto"/>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pPr>
              <w:spacing w:line="540" w:lineRule="exact"/>
              <w:contextualSpacing/>
              <w:rPr>
                <w:rFonts w:ascii="仿宋_GB2312" w:eastAsia="仿宋_GB2312"/>
                <w:sz w:val="24"/>
                <w:szCs w:val="24"/>
              </w:rPr>
            </w:pPr>
          </w:p>
        </w:tc>
        <w:tc>
          <w:tcPr>
            <w:tcW w:w="1984" w:type="dxa"/>
            <w:shd w:val="clear" w:color="auto" w:fill="auto"/>
            <w:vAlign w:val="center"/>
          </w:tcPr>
          <w:p>
            <w:pPr>
              <w:spacing w:line="540" w:lineRule="exact"/>
              <w:contextualSpacing/>
              <w:rPr>
                <w:rFonts w:ascii="仿宋_GB2312" w:eastAsia="仿宋_GB2312"/>
                <w:sz w:val="24"/>
                <w:szCs w:val="24"/>
              </w:rPr>
            </w:pPr>
          </w:p>
        </w:tc>
        <w:tc>
          <w:tcPr>
            <w:tcW w:w="1843" w:type="dxa"/>
            <w:shd w:val="clear" w:color="auto" w:fill="auto"/>
            <w:vAlign w:val="center"/>
          </w:tcPr>
          <w:p>
            <w:pPr>
              <w:spacing w:line="540" w:lineRule="exact"/>
              <w:contextualSpacing/>
              <w:rPr>
                <w:rFonts w:ascii="仿宋_GB2312" w:eastAsia="仿宋_GB2312"/>
                <w:sz w:val="24"/>
                <w:szCs w:val="24"/>
              </w:rPr>
            </w:pPr>
          </w:p>
        </w:tc>
        <w:tc>
          <w:tcPr>
            <w:tcW w:w="2755" w:type="dxa"/>
            <w:shd w:val="clear" w:color="auto" w:fill="auto"/>
            <w:vAlign w:val="center"/>
          </w:tcPr>
          <w:p>
            <w:pPr>
              <w:spacing w:line="540" w:lineRule="exact"/>
              <w:contextualSpacing/>
              <w:rPr>
                <w:rFonts w:ascii="仿宋_GB2312" w:eastAsia="仿宋_GB2312"/>
                <w:sz w:val="24"/>
                <w:szCs w:val="24"/>
              </w:rPr>
            </w:pPr>
          </w:p>
        </w:tc>
      </w:tr>
    </w:tbl>
    <w:p>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附：相关人员的专业技术资格证书证明材料</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pPr>
        <w:spacing w:line="540" w:lineRule="exact"/>
        <w:ind w:firstLine="482"/>
        <w:contextualSpacing/>
        <w:jc w:val="center"/>
        <w:rPr>
          <w:rFonts w:ascii="仿宋_GB2312" w:eastAsia="仿宋_GB2312"/>
          <w:b/>
          <w:sz w:val="24"/>
          <w:szCs w:val="24"/>
        </w:rPr>
      </w:pPr>
    </w:p>
    <w:p>
      <w:pPr>
        <w:spacing w:line="540" w:lineRule="exact"/>
        <w:ind w:firstLine="562"/>
        <w:contextualSpacing/>
        <w:jc w:val="center"/>
        <w:rPr>
          <w:rFonts w:ascii="仿宋_GB2312" w:eastAsia="仿宋_GB2312"/>
          <w:b/>
          <w:sz w:val="28"/>
          <w:szCs w:val="28"/>
        </w:rPr>
      </w:pPr>
    </w:p>
    <w:p>
      <w:pPr>
        <w:pStyle w:val="11"/>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pPr>
        <w:spacing w:line="540" w:lineRule="exact"/>
        <w:ind w:firstLine="482"/>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pPr>
        <w:ind w:firstLine="2891" w:firstLineChars="900"/>
        <w:rPr>
          <w:rFonts w:ascii="仿宋_GB2312" w:hAnsi="宋体" w:eastAsia="仿宋_GB2312" w:cs="宋体"/>
          <w:b/>
          <w:kern w:val="0"/>
          <w:sz w:val="32"/>
          <w:szCs w:val="32"/>
        </w:rPr>
      </w:pPr>
    </w:p>
    <w:p>
      <w:pPr>
        <w:ind w:firstLine="643"/>
        <w:rPr>
          <w:rFonts w:ascii="仿宋_GB2312" w:hAnsi="宋体" w:eastAsia="仿宋_GB2312" w:cs="宋体"/>
          <w:b/>
          <w:kern w:val="0"/>
          <w:sz w:val="32"/>
          <w:szCs w:val="32"/>
        </w:rPr>
      </w:pPr>
    </w:p>
    <w:p>
      <w:pPr>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八、投标标的清单</w:t>
      </w:r>
    </w:p>
    <w:tbl>
      <w:tblPr>
        <w:tblStyle w:val="24"/>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品牌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产地</w:t>
            </w: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6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p>
        </w:tc>
        <w:tc>
          <w:tcPr>
            <w:tcW w:w="851"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eastAsia="仿宋_GB2312"/>
                <w:sz w:val="24"/>
                <w:szCs w:val="24"/>
              </w:rPr>
            </w:pPr>
          </w:p>
        </w:tc>
        <w:tc>
          <w:tcPr>
            <w:tcW w:w="699" w:type="dxa"/>
            <w:tcBorders>
              <w:top w:val="single" w:color="auto" w:sz="4" w:space="0"/>
              <w:left w:val="single" w:color="auto" w:sz="4" w:space="0"/>
              <w:bottom w:val="nil"/>
              <w:right w:val="single" w:color="auto" w:sz="4" w:space="0"/>
            </w:tcBorders>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sz w:val="24"/>
                <w:szCs w:val="24"/>
              </w:rPr>
              <w:t>…</w:t>
            </w:r>
          </w:p>
        </w:tc>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ind w:firstLine="562"/>
        <w:jc w:val="center"/>
        <w:rPr>
          <w:rFonts w:ascii="仿宋_GB2312" w:eastAsia="仿宋_GB2312"/>
          <w:sz w:val="24"/>
          <w:szCs w:val="24"/>
        </w:rPr>
      </w:pPr>
    </w:p>
    <w:p>
      <w:pPr>
        <w:pStyle w:val="11"/>
      </w:pPr>
    </w:p>
    <w:p>
      <w:pPr>
        <w:pStyle w:val="11"/>
      </w:pPr>
    </w:p>
    <w:p>
      <w:pPr>
        <w:pStyle w:val="11"/>
      </w:pPr>
    </w:p>
    <w:p>
      <w:pPr>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九、商务技术偏离表</w:t>
      </w:r>
    </w:p>
    <w:tbl>
      <w:tblPr>
        <w:tblStyle w:val="25"/>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3683"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招标文件章节及具体内容</w:t>
            </w:r>
          </w:p>
        </w:tc>
        <w:tc>
          <w:tcPr>
            <w:tcW w:w="3546"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投标文件章节及具体内容</w:t>
            </w:r>
          </w:p>
        </w:tc>
        <w:tc>
          <w:tcPr>
            <w:tcW w:w="1512" w:type="dxa"/>
          </w:tcPr>
          <w:p>
            <w:pPr>
              <w:ind w:firstLine="562"/>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683" w:type="dxa"/>
          </w:tcPr>
          <w:p>
            <w:pPr>
              <w:ind w:firstLine="562"/>
              <w:jc w:val="center"/>
              <w:rPr>
                <w:rFonts w:ascii="仿宋_GB2312" w:hAnsi="宋体" w:eastAsia="仿宋_GB2312" w:cs="宋体"/>
                <w:b/>
                <w:kern w:val="0"/>
                <w:sz w:val="28"/>
                <w:szCs w:val="28"/>
              </w:rPr>
            </w:pPr>
          </w:p>
        </w:tc>
        <w:tc>
          <w:tcPr>
            <w:tcW w:w="3546" w:type="dxa"/>
          </w:tcPr>
          <w:p>
            <w:pPr>
              <w:ind w:firstLine="562"/>
              <w:jc w:val="center"/>
              <w:rPr>
                <w:rFonts w:ascii="仿宋_GB2312" w:hAnsi="宋体" w:eastAsia="仿宋_GB2312" w:cs="宋体"/>
                <w:b/>
                <w:kern w:val="0"/>
                <w:sz w:val="28"/>
                <w:szCs w:val="28"/>
              </w:rPr>
            </w:pPr>
          </w:p>
        </w:tc>
        <w:tc>
          <w:tcPr>
            <w:tcW w:w="1512" w:type="dxa"/>
          </w:tcPr>
          <w:p>
            <w:pPr>
              <w:ind w:firstLine="562"/>
              <w:jc w:val="center"/>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3683" w:type="dxa"/>
          </w:tcPr>
          <w:p>
            <w:pPr>
              <w:ind w:firstLine="562"/>
              <w:jc w:val="center"/>
              <w:rPr>
                <w:rFonts w:ascii="仿宋_GB2312" w:hAnsi="宋体" w:eastAsia="仿宋_GB2312" w:cs="宋体"/>
                <w:b/>
                <w:kern w:val="0"/>
                <w:sz w:val="28"/>
                <w:szCs w:val="28"/>
              </w:rPr>
            </w:pPr>
          </w:p>
        </w:tc>
        <w:tc>
          <w:tcPr>
            <w:tcW w:w="3546" w:type="dxa"/>
          </w:tcPr>
          <w:p>
            <w:pPr>
              <w:ind w:firstLine="562"/>
              <w:jc w:val="center"/>
              <w:rPr>
                <w:rFonts w:ascii="仿宋_GB2312" w:hAnsi="宋体" w:eastAsia="仿宋_GB2312" w:cs="宋体"/>
                <w:b/>
                <w:kern w:val="0"/>
                <w:sz w:val="28"/>
                <w:szCs w:val="28"/>
              </w:rPr>
            </w:pPr>
          </w:p>
        </w:tc>
        <w:tc>
          <w:tcPr>
            <w:tcW w:w="1512" w:type="dxa"/>
          </w:tcPr>
          <w:p>
            <w:pPr>
              <w:ind w:firstLine="562"/>
              <w:jc w:val="center"/>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56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3683" w:type="dxa"/>
          </w:tcPr>
          <w:p>
            <w:pPr>
              <w:ind w:firstLine="562"/>
              <w:jc w:val="center"/>
              <w:rPr>
                <w:rFonts w:ascii="仿宋_GB2312" w:hAnsi="宋体" w:eastAsia="仿宋_GB2312" w:cs="宋体"/>
                <w:b/>
                <w:kern w:val="0"/>
                <w:sz w:val="28"/>
                <w:szCs w:val="28"/>
              </w:rPr>
            </w:pPr>
          </w:p>
        </w:tc>
        <w:tc>
          <w:tcPr>
            <w:tcW w:w="3546" w:type="dxa"/>
          </w:tcPr>
          <w:p>
            <w:pPr>
              <w:ind w:firstLine="562"/>
              <w:jc w:val="center"/>
              <w:rPr>
                <w:rFonts w:ascii="仿宋_GB2312" w:hAnsi="宋体" w:eastAsia="仿宋_GB2312" w:cs="宋体"/>
                <w:b/>
                <w:kern w:val="0"/>
                <w:sz w:val="28"/>
                <w:szCs w:val="28"/>
              </w:rPr>
            </w:pPr>
          </w:p>
        </w:tc>
        <w:tc>
          <w:tcPr>
            <w:tcW w:w="1512" w:type="dxa"/>
          </w:tcPr>
          <w:p>
            <w:pPr>
              <w:ind w:firstLine="562"/>
              <w:jc w:val="center"/>
              <w:rPr>
                <w:rFonts w:ascii="仿宋_GB2312" w:hAnsi="宋体" w:eastAsia="仿宋_GB2312" w:cs="宋体"/>
                <w:b/>
                <w:kern w:val="0"/>
                <w:sz w:val="28"/>
                <w:szCs w:val="28"/>
              </w:rPr>
            </w:pPr>
          </w:p>
        </w:tc>
      </w:tr>
    </w:tbl>
    <w:p>
      <w:pPr>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pPr>
        <w:ind w:firstLine="562"/>
        <w:jc w:val="center"/>
        <w:rPr>
          <w:rFonts w:ascii="仿宋_GB2312" w:hAnsi="宋体" w:eastAsia="仿宋_GB2312" w:cs="宋体"/>
          <w:b/>
          <w:kern w:val="0"/>
          <w:sz w:val="28"/>
          <w:szCs w:val="28"/>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pStyle w:val="11"/>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十、政府采购供应商廉洁自律承诺书</w:t>
      </w:r>
    </w:p>
    <w:p>
      <w:pPr>
        <w:spacing w:line="540" w:lineRule="exact"/>
        <w:contextualSpacing/>
        <w:rPr>
          <w:rFonts w:ascii="仿宋_GB2312" w:eastAsia="仿宋_GB2312"/>
          <w:sz w:val="24"/>
          <w:szCs w:val="24"/>
        </w:rPr>
      </w:pPr>
    </w:p>
    <w:p>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spacing w:line="500" w:lineRule="exact"/>
        <w:contextualSpacing/>
        <w:rPr>
          <w:rFonts w:ascii="仿宋_GB2312" w:eastAsia="仿宋_GB2312"/>
          <w:sz w:val="24"/>
          <w:szCs w:val="24"/>
        </w:rPr>
      </w:pPr>
    </w:p>
    <w:p>
      <w:pPr>
        <w:pStyle w:val="3"/>
        <w:rPr>
          <w:rFonts w:ascii="仿宋_GB2312" w:eastAsia="仿宋_GB2312"/>
        </w:rPr>
      </w:pPr>
    </w:p>
    <w:p>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spacing w:line="540" w:lineRule="exact"/>
        <w:contextualSpacing/>
        <w:rPr>
          <w:rFonts w:ascii="仿宋_GB2312" w:eastAsia="仿宋_GB2312"/>
          <w:sz w:val="24"/>
          <w:szCs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报价文件部分</w:t>
      </w:r>
    </w:p>
    <w:p>
      <w:pPr>
        <w:spacing w:line="540" w:lineRule="exact"/>
        <w:contextualSpacing/>
        <w:rPr>
          <w:rFonts w:ascii="仿宋_GB2312" w:eastAsia="仿宋_GB2312"/>
          <w:sz w:val="24"/>
          <w:szCs w:val="24"/>
        </w:rPr>
      </w:pPr>
    </w:p>
    <w:p>
      <w:pPr>
        <w:numPr>
          <w:ilvl w:val="0"/>
          <w:numId w:val="13"/>
        </w:numPr>
        <w:spacing w:line="540" w:lineRule="exact"/>
        <w:contextualSpacing/>
        <w:rPr>
          <w:rFonts w:ascii="仿宋_GB2312" w:eastAsia="仿宋_GB2312"/>
          <w:sz w:val="24"/>
          <w:szCs w:val="24"/>
        </w:rPr>
      </w:pPr>
      <w:r>
        <w:rPr>
          <w:rFonts w:hint="eastAsia" w:ascii="仿宋_GB2312" w:eastAsia="仿宋_GB2312"/>
          <w:sz w:val="24"/>
          <w:szCs w:val="24"/>
        </w:rPr>
        <w:t>开标一览表（报价表）………………………………………………………（页码）</w:t>
      </w:r>
    </w:p>
    <w:p>
      <w:pPr>
        <w:pStyle w:val="3"/>
        <w:numPr>
          <w:ilvl w:val="0"/>
          <w:numId w:val="13"/>
        </w:numPr>
        <w:rPr>
          <w:rFonts w:ascii="仿宋_GB2312" w:eastAsia="仿宋_GB2312"/>
          <w:sz w:val="24"/>
          <w:szCs w:val="24"/>
        </w:rPr>
      </w:pPr>
      <w:r>
        <w:rPr>
          <w:rFonts w:hint="eastAsia" w:ascii="仿宋_GB2312" w:eastAsia="仿宋_GB2312"/>
          <w:sz w:val="24"/>
          <w:szCs w:val="24"/>
        </w:rPr>
        <w:t>中小企业声明函（如果有）…………………………………………………（页码）</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一、开标一览表（报价表）</w:t>
      </w: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按你方招标文件要求，我们，本投标文件签字方，谨此向你方发出要约如下：如你方接受本投标，我方承诺按照如下开标一览表（报价表）的价格完成（项目名称）【招标编号：（采购编号）】的实施。</w:t>
      </w:r>
    </w:p>
    <w:p>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61"/>
        <w:gridCol w:w="1134"/>
        <w:gridCol w:w="1418"/>
        <w:gridCol w:w="1134"/>
        <w:gridCol w:w="850"/>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0"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361"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名称</w:t>
            </w:r>
          </w:p>
        </w:tc>
        <w:tc>
          <w:tcPr>
            <w:tcW w:w="1134"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品牌（如果有）</w:t>
            </w:r>
          </w:p>
        </w:tc>
        <w:tc>
          <w:tcPr>
            <w:tcW w:w="1418"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规格型号</w:t>
            </w:r>
          </w:p>
        </w:tc>
        <w:tc>
          <w:tcPr>
            <w:tcW w:w="1134"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数量</w:t>
            </w:r>
          </w:p>
        </w:tc>
        <w:tc>
          <w:tcPr>
            <w:tcW w:w="850"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单价</w:t>
            </w:r>
          </w:p>
        </w:tc>
        <w:tc>
          <w:tcPr>
            <w:tcW w:w="1276"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总价</w:t>
            </w:r>
          </w:p>
        </w:tc>
        <w:tc>
          <w:tcPr>
            <w:tcW w:w="1276"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6</w:t>
            </w:r>
          </w:p>
        </w:tc>
        <w:tc>
          <w:tcPr>
            <w:tcW w:w="1361" w:type="dxa"/>
            <w:vAlign w:val="bottom"/>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7</w:t>
            </w:r>
          </w:p>
        </w:tc>
        <w:tc>
          <w:tcPr>
            <w:tcW w:w="1361" w:type="dxa"/>
            <w:vAlign w:val="center"/>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8</w:t>
            </w:r>
          </w:p>
        </w:tc>
        <w:tc>
          <w:tcPr>
            <w:tcW w:w="1361" w:type="dxa"/>
            <w:vAlign w:val="center"/>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pPr>
              <w:spacing w:line="540" w:lineRule="exact"/>
              <w:contextualSpacing/>
              <w:jc w:val="center"/>
              <w:rPr>
                <w:rFonts w:ascii="仿宋_GB2312" w:eastAsia="仿宋_GB2312"/>
                <w:sz w:val="24"/>
                <w:szCs w:val="24"/>
              </w:rPr>
            </w:pPr>
          </w:p>
        </w:tc>
        <w:tc>
          <w:tcPr>
            <w:tcW w:w="1361" w:type="dxa"/>
            <w:vAlign w:val="center"/>
          </w:tcPr>
          <w:p>
            <w:pPr>
              <w:spacing w:line="540" w:lineRule="exact"/>
              <w:contextualSpacing/>
              <w:rPr>
                <w:rFonts w:ascii="仿宋_GB2312" w:eastAsia="仿宋_GB2312"/>
                <w:sz w:val="24"/>
                <w:szCs w:val="24"/>
              </w:rPr>
            </w:pPr>
          </w:p>
        </w:tc>
        <w:tc>
          <w:tcPr>
            <w:tcW w:w="1134" w:type="dxa"/>
          </w:tcPr>
          <w:p>
            <w:pPr>
              <w:spacing w:line="540" w:lineRule="exact"/>
              <w:contextualSpacing/>
              <w:rPr>
                <w:rFonts w:ascii="仿宋_GB2312" w:eastAsia="仿宋_GB2312"/>
                <w:sz w:val="24"/>
                <w:szCs w:val="24"/>
              </w:rPr>
            </w:pPr>
          </w:p>
        </w:tc>
        <w:tc>
          <w:tcPr>
            <w:tcW w:w="1418" w:type="dxa"/>
            <w:vAlign w:val="center"/>
          </w:tcPr>
          <w:p>
            <w:pPr>
              <w:spacing w:line="540" w:lineRule="exact"/>
              <w:contextualSpacing/>
              <w:rPr>
                <w:rFonts w:ascii="仿宋_GB2312" w:eastAsia="仿宋_GB2312"/>
                <w:sz w:val="24"/>
                <w:szCs w:val="24"/>
              </w:rPr>
            </w:pPr>
          </w:p>
        </w:tc>
        <w:tc>
          <w:tcPr>
            <w:tcW w:w="1134" w:type="dxa"/>
            <w:vAlign w:val="center"/>
          </w:tcPr>
          <w:p>
            <w:pPr>
              <w:spacing w:line="540" w:lineRule="exact"/>
              <w:contextualSpacing/>
              <w:rPr>
                <w:rFonts w:ascii="仿宋_GB2312" w:eastAsia="仿宋_GB2312"/>
                <w:sz w:val="24"/>
                <w:szCs w:val="24"/>
              </w:rPr>
            </w:pPr>
          </w:p>
        </w:tc>
        <w:tc>
          <w:tcPr>
            <w:tcW w:w="850" w:type="dxa"/>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c>
          <w:tcPr>
            <w:tcW w:w="1276" w:type="dxa"/>
            <w:vAlign w:val="center"/>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637" w:type="dxa"/>
            <w:gridSpan w:val="5"/>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投标报价（小写）</w:t>
            </w:r>
          </w:p>
        </w:tc>
        <w:tc>
          <w:tcPr>
            <w:tcW w:w="3402" w:type="dxa"/>
            <w:gridSpan w:val="3"/>
          </w:tcPr>
          <w:p>
            <w:pPr>
              <w:spacing w:line="54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37" w:type="dxa"/>
            <w:gridSpan w:val="5"/>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投标报价（大写）</w:t>
            </w:r>
          </w:p>
        </w:tc>
        <w:tc>
          <w:tcPr>
            <w:tcW w:w="3402" w:type="dxa"/>
            <w:gridSpan w:val="3"/>
          </w:tcPr>
          <w:p>
            <w:pPr>
              <w:spacing w:line="540" w:lineRule="exact"/>
              <w:contextualSpacing/>
              <w:rPr>
                <w:rFonts w:ascii="仿宋_GB2312" w:eastAsia="仿宋_GB2312"/>
                <w:sz w:val="24"/>
                <w:szCs w:val="24"/>
              </w:rPr>
            </w:pPr>
          </w:p>
        </w:tc>
      </w:tr>
    </w:tbl>
    <w:p>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pPr>
        <w:spacing w:line="540" w:lineRule="exact"/>
        <w:ind w:firstLine="482"/>
        <w:contextualSpacing/>
        <w:rPr>
          <w:rFonts w:ascii="仿宋_GB2312" w:eastAsia="仿宋_GB2312"/>
          <w:b/>
          <w:sz w:val="24"/>
          <w:szCs w:val="24"/>
        </w:rPr>
      </w:pPr>
    </w:p>
    <w:p>
      <w:pPr>
        <w:spacing w:line="540" w:lineRule="exact"/>
        <w:ind w:firstLine="482"/>
        <w:contextualSpacing/>
        <w:rPr>
          <w:rFonts w:ascii="仿宋_GB2312" w:eastAsia="仿宋_GB2312"/>
          <w:b/>
          <w:sz w:val="24"/>
          <w:szCs w:val="24"/>
        </w:rPr>
      </w:pPr>
      <w:r>
        <w:rPr>
          <w:rFonts w:hint="eastAsia" w:ascii="仿宋_GB2312" w:eastAsia="仿宋_GB2312"/>
          <w:b/>
          <w:sz w:val="24"/>
          <w:szCs w:val="24"/>
        </w:rPr>
        <w:t>注：</w:t>
      </w:r>
    </w:p>
    <w:p>
      <w:pPr>
        <w:spacing w:line="540" w:lineRule="exact"/>
        <w:ind w:firstLine="472" w:firstLineChars="196"/>
        <w:contextualSpacing/>
        <w:rPr>
          <w:rFonts w:ascii="仿宋_GB2312" w:eastAsia="仿宋_GB2312"/>
          <w:b/>
          <w:sz w:val="24"/>
          <w:szCs w:val="24"/>
        </w:rPr>
      </w:pPr>
      <w:r>
        <w:rPr>
          <w:rFonts w:hint="eastAsia" w:ascii="仿宋_GB2312" w:eastAsia="仿宋_GB2312"/>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2.特别提示：采购代理机构将对项目名称和项目编号，中标供应商名称、地址和中标金额，主要中标标的的名称、规格型号、数量、单价、服务要求等予以公示。</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4.投标报价一经涂改，应在涂改处加盖单位公章或投标人代表签字（或盖章），否则其投标作无效标处理。</w:t>
      </w:r>
    </w:p>
    <w:p>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5.投标报价应包括产品、产品标准配件、备品备件、专用工具、包装、工时、运输、装卸、保险、税金、设备保护、安装、调试与试运行、培训、保修、售后服务费、工程配套费、以及实施本项目所需的其他一切费用。</w:t>
      </w:r>
    </w:p>
    <w:p>
      <w:pPr>
        <w:spacing w:line="540" w:lineRule="exact"/>
        <w:ind w:firstLine="472" w:firstLineChars="196"/>
        <w:contextualSpacing/>
        <w:rPr>
          <w:rFonts w:ascii="仿宋_GB2312" w:eastAsia="仿宋_GB2312"/>
          <w:b/>
          <w:bCs/>
          <w:sz w:val="24"/>
          <w:szCs w:val="24"/>
        </w:rPr>
      </w:pPr>
      <w:r>
        <w:rPr>
          <w:rFonts w:hint="eastAsia" w:ascii="仿宋_GB2312" w:eastAsia="仿宋_GB2312"/>
          <w:b/>
          <w:bCs/>
          <w:sz w:val="24"/>
          <w:szCs w:val="24"/>
        </w:rPr>
        <w:t>▲6.特别说明：供应商投标报价低于项目预算50%的，应当在报价文件中详细阐述不影响产品质量或者诚信履约的具体原因。</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3"/>
        <w:rPr>
          <w:rFonts w:ascii="仿宋_GB2312" w:eastAsia="仿宋_GB2312"/>
        </w:rPr>
      </w:pPr>
    </w:p>
    <w:p>
      <w:pPr>
        <w:pStyle w:val="18"/>
        <w:ind w:firstLine="883"/>
        <w:rPr>
          <w:rFonts w:ascii="仿宋_GB2312" w:eastAsia="仿宋_GB2312"/>
        </w:rPr>
      </w:pPr>
    </w:p>
    <w:p/>
    <w:p>
      <w:pPr>
        <w:pStyle w:val="11"/>
      </w:pPr>
    </w:p>
    <w:p>
      <w:pPr>
        <w:pStyle w:val="11"/>
      </w:pPr>
    </w:p>
    <w:p>
      <w:pPr>
        <w:pStyle w:val="11"/>
      </w:pPr>
    </w:p>
    <w:p>
      <w:pPr>
        <w:pStyle w:val="11"/>
      </w:pPr>
    </w:p>
    <w:p>
      <w:pPr>
        <w:pStyle w:val="11"/>
      </w:pPr>
    </w:p>
    <w:p>
      <w:pPr>
        <w:pStyle w:val="11"/>
      </w:pPr>
    </w:p>
    <w:p>
      <w:pPr>
        <w:pStyle w:val="11"/>
      </w:pPr>
    </w:p>
    <w:p>
      <w:pPr>
        <w:pStyle w:val="3"/>
        <w:rPr>
          <w:rFonts w:ascii="仿宋_GB2312" w:eastAsia="仿宋_GB2312"/>
        </w:rPr>
      </w:pPr>
    </w:p>
    <w:p>
      <w:pPr>
        <w:spacing w:line="540" w:lineRule="exact"/>
        <w:ind w:firstLine="562"/>
        <w:contextualSpacing/>
        <w:jc w:val="center"/>
        <w:rPr>
          <w:rFonts w:ascii="仿宋_GB2312" w:eastAsia="仿宋_GB2312"/>
          <w:b/>
          <w:sz w:val="28"/>
          <w:szCs w:val="28"/>
        </w:rPr>
      </w:pP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rPr>
          <w:rFonts w:ascii="仿宋_GB2312" w:eastAsia="仿宋_GB2312"/>
        </w:rPr>
        <w:sectPr>
          <w:pgSz w:w="11906" w:h="16838"/>
          <w:pgMar w:top="1247" w:right="1418" w:bottom="1276" w:left="1418" w:header="851" w:footer="992" w:gutter="0"/>
          <w:cols w:space="720" w:num="1"/>
          <w:titlePg/>
          <w:docGrid w:linePitch="312" w:charSpace="0"/>
        </w:sectPr>
      </w:pPr>
    </w:p>
    <w:p>
      <w:pPr>
        <w:spacing w:line="540" w:lineRule="exact"/>
        <w:ind w:firstLine="562"/>
        <w:contextualSpacing/>
        <w:jc w:val="center"/>
        <w:rPr>
          <w:rFonts w:ascii="仿宋_GB2312" w:eastAsia="仿宋_GB2312"/>
          <w:b/>
          <w:sz w:val="28"/>
          <w:szCs w:val="28"/>
        </w:rPr>
      </w:pPr>
      <w:bookmarkStart w:id="404" w:name="_Toc465665161"/>
      <w:r>
        <w:rPr>
          <w:rFonts w:hint="eastAsia" w:ascii="仿宋_GB2312" w:eastAsia="仿宋_GB2312"/>
          <w:b/>
          <w:sz w:val="28"/>
          <w:szCs w:val="28"/>
        </w:rPr>
        <w:t>附    件</w:t>
      </w:r>
      <w:bookmarkEnd w:id="404"/>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pPr>
        <w:spacing w:line="540" w:lineRule="exact"/>
        <w:contextualSpacing/>
        <w:jc w:val="center"/>
        <w:rPr>
          <w:rFonts w:ascii="仿宋_GB2312" w:eastAsia="仿宋_GB2312"/>
          <w:sz w:val="24"/>
          <w:szCs w:val="24"/>
        </w:rPr>
      </w:pPr>
      <w:bookmarkStart w:id="405" w:name="OLE_LINK14"/>
      <w:bookmarkStart w:id="406" w:name="OLE_LINK13"/>
      <w:r>
        <w:rPr>
          <w:rFonts w:hint="eastAsia" w:ascii="仿宋_GB2312" w:eastAsia="仿宋_GB2312"/>
          <w:sz w:val="24"/>
          <w:szCs w:val="24"/>
        </w:rPr>
        <w:t>残疾人福利性单位声明函</w:t>
      </w:r>
    </w:p>
    <w:bookmarkEnd w:id="405"/>
    <w:bookmarkEnd w:id="406"/>
    <w:p>
      <w:pPr>
        <w:spacing w:line="540" w:lineRule="exact"/>
        <w:contextualSpacing/>
        <w:rPr>
          <w:rFonts w:ascii="仿宋_GB2312" w:eastAsia="仿宋_GB2312"/>
          <w:sz w:val="24"/>
          <w:szCs w:val="24"/>
        </w:rPr>
      </w:pP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pStyle w:val="11"/>
      </w:pPr>
    </w:p>
    <w:p>
      <w:pPr>
        <w:pStyle w:val="11"/>
      </w:pPr>
    </w:p>
    <w:p>
      <w:pPr>
        <w:spacing w:line="540" w:lineRule="exact"/>
        <w:ind w:firstLine="560"/>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质疑函范本</w:t>
      </w:r>
    </w:p>
    <w:p>
      <w:pPr>
        <w:snapToGrid w:val="0"/>
        <w:spacing w:beforeLines="100" w:line="360" w:lineRule="auto"/>
        <w:rPr>
          <w:rFonts w:ascii="仿宋_GB2312" w:hAnsi="宋体" w:eastAsia="仿宋_GB2312" w:cs="宋体"/>
          <w:bCs/>
          <w:sz w:val="24"/>
        </w:rPr>
      </w:pPr>
      <w:r>
        <w:rPr>
          <w:rFonts w:hint="eastAsia" w:ascii="仿宋_GB2312" w:hAnsi="宋体" w:eastAsia="仿宋_GB2312" w:cs="宋体"/>
          <w:bCs/>
          <w:sz w:val="24"/>
        </w:rPr>
        <w:t>一、质疑供应商基本信息</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质疑供应商：</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地址：邮编：</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联系人：联系电话：</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授权代表：</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联系电话：</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地址： 邮编：</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二、质疑项目基本情况</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质疑项目的名称：</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质疑项目的编号：包号：</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采购人名称：</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采购文件获取日期：</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三、质疑事项具体内容</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质疑事项1：</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事实依据：</w:t>
      </w:r>
    </w:p>
    <w:p>
      <w:pPr>
        <w:snapToGrid w:val="0"/>
        <w:spacing w:line="360" w:lineRule="auto"/>
        <w:rPr>
          <w:rFonts w:ascii="仿宋_GB2312" w:hAnsi="宋体" w:eastAsia="仿宋_GB2312" w:cs="宋体"/>
          <w:sz w:val="24"/>
        </w:rPr>
      </w:pP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法律依据：</w:t>
      </w:r>
    </w:p>
    <w:p>
      <w:pPr>
        <w:snapToGrid w:val="0"/>
        <w:spacing w:line="360" w:lineRule="auto"/>
        <w:rPr>
          <w:rFonts w:ascii="仿宋_GB2312" w:hAnsi="宋体" w:eastAsia="仿宋_GB2312" w:cs="宋体"/>
          <w:sz w:val="24"/>
          <w:u w:val="dotted"/>
        </w:rPr>
      </w:pP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质疑事项2</w:t>
      </w:r>
    </w:p>
    <w:p>
      <w:pPr>
        <w:snapToGrid w:val="0"/>
        <w:spacing w:line="360" w:lineRule="auto"/>
        <w:rPr>
          <w:rFonts w:ascii="仿宋_GB2312" w:hAnsi="宋体" w:eastAsia="仿宋_GB2312" w:cs="宋体"/>
          <w:sz w:val="24"/>
        </w:rPr>
      </w:pPr>
      <w:r>
        <w:rPr>
          <w:rFonts w:hint="eastAsia" w:ascii="仿宋_GB2312" w:hAnsi="宋体" w:eastAsia="仿宋_GB2312" w:cs="宋体"/>
          <w:sz w:val="24"/>
        </w:rPr>
        <w:t>……</w:t>
      </w:r>
    </w:p>
    <w:p>
      <w:pPr>
        <w:snapToGrid w:val="0"/>
        <w:spacing w:line="360" w:lineRule="auto"/>
        <w:rPr>
          <w:rFonts w:ascii="仿宋_GB2312" w:hAnsi="宋体" w:eastAsia="仿宋_GB2312" w:cs="宋体"/>
          <w:bCs/>
          <w:sz w:val="24"/>
        </w:rPr>
      </w:pPr>
      <w:r>
        <w:rPr>
          <w:rFonts w:hint="eastAsia" w:ascii="仿宋_GB2312" w:hAnsi="宋体" w:eastAsia="仿宋_GB2312" w:cs="宋体"/>
          <w:bCs/>
          <w:sz w:val="24"/>
        </w:rPr>
        <w:t>四、与质疑事项相关的质疑请求</w:t>
      </w:r>
    </w:p>
    <w:p>
      <w:pPr>
        <w:snapToGrid w:val="0"/>
        <w:spacing w:line="360" w:lineRule="auto"/>
        <w:rPr>
          <w:rFonts w:ascii="仿宋_GB2312" w:hAnsi="宋体" w:eastAsia="仿宋_GB2312" w:cs="宋体"/>
          <w:sz w:val="24"/>
          <w:u w:val="dotted"/>
        </w:rPr>
      </w:pPr>
      <w:r>
        <w:rPr>
          <w:rFonts w:hint="eastAsia" w:ascii="仿宋_GB2312" w:hAnsi="宋体" w:eastAsia="仿宋_GB2312" w:cs="宋体"/>
          <w:sz w:val="24"/>
        </w:rPr>
        <w:t>请求：</w:t>
      </w:r>
    </w:p>
    <w:p>
      <w:pPr>
        <w:spacing w:line="360" w:lineRule="auto"/>
        <w:rPr>
          <w:rFonts w:ascii="仿宋_GB2312" w:hAnsi="宋体" w:eastAsia="仿宋_GB2312" w:cs="宋体"/>
          <w:sz w:val="24"/>
        </w:rPr>
      </w:pPr>
      <w:r>
        <w:rPr>
          <w:rFonts w:hint="eastAsia" w:ascii="仿宋_GB2312" w:hAnsi="宋体" w:eastAsia="仿宋_GB2312" w:cs="宋体"/>
          <w:sz w:val="24"/>
        </w:rPr>
        <w:t xml:space="preserve">签字(签章)：                   公章：                      </w:t>
      </w:r>
    </w:p>
    <w:p>
      <w:pPr>
        <w:spacing w:line="360" w:lineRule="auto"/>
        <w:rPr>
          <w:rFonts w:ascii="仿宋_GB2312" w:hAnsi="宋体" w:eastAsia="仿宋_GB2312" w:cs="宋体"/>
          <w:sz w:val="24"/>
        </w:rPr>
      </w:pPr>
      <w:r>
        <w:rPr>
          <w:rFonts w:hint="eastAsia" w:ascii="仿宋_GB2312" w:hAnsi="宋体" w:eastAsia="仿宋_GB2312" w:cs="宋体"/>
          <w:sz w:val="24"/>
        </w:rPr>
        <w:t xml:space="preserve">日期：    </w:t>
      </w:r>
    </w:p>
    <w:p>
      <w:pPr>
        <w:spacing w:line="360" w:lineRule="auto"/>
        <w:ind w:firstLine="482"/>
        <w:rPr>
          <w:rFonts w:ascii="仿宋_GB2312" w:hAnsi="宋体" w:eastAsia="仿宋_GB2312" w:cs="宋体"/>
          <w:b/>
          <w:sz w:val="24"/>
        </w:rPr>
      </w:pPr>
    </w:p>
    <w:p>
      <w:pPr>
        <w:spacing w:line="360" w:lineRule="auto"/>
        <w:ind w:firstLine="482"/>
        <w:rPr>
          <w:rFonts w:ascii="仿宋_GB2312" w:hAnsi="宋体" w:eastAsia="仿宋_GB2312" w:cs="宋体"/>
          <w:b/>
          <w:sz w:val="24"/>
        </w:rPr>
      </w:pPr>
      <w:r>
        <w:rPr>
          <w:rFonts w:hint="eastAsia" w:ascii="仿宋_GB2312" w:hAnsi="宋体" w:eastAsia="仿宋_GB2312" w:cs="宋体"/>
          <w:b/>
          <w:sz w:val="24"/>
        </w:rPr>
        <w:t>质疑函制作说明：</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5.质疑函的质疑请求应与质疑事项相关。</w:t>
      </w:r>
    </w:p>
    <w:p>
      <w:pPr>
        <w:widowControl/>
        <w:spacing w:line="360" w:lineRule="auto"/>
        <w:ind w:firstLine="480" w:firstLineChars="200"/>
        <w:jc w:val="left"/>
        <w:rPr>
          <w:rFonts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p>
    <w:p>
      <w:pPr>
        <w:contextualSpacing/>
        <w:rPr>
          <w:rFonts w:ascii="仿宋_GB2312" w:eastAsia="仿宋_GB2312"/>
          <w:sz w:val="28"/>
          <w:szCs w:val="28"/>
        </w:rPr>
      </w:pPr>
      <w:r>
        <w:rPr>
          <w:rFonts w:hint="eastAsia" w:ascii="仿宋_GB2312" w:eastAsia="仿宋_GB2312"/>
          <w:sz w:val="28"/>
          <w:szCs w:val="28"/>
        </w:rPr>
        <w:t>附件3：</w:t>
      </w:r>
    </w:p>
    <w:p>
      <w:pPr>
        <w:contextualSpacing/>
        <w:jc w:val="center"/>
        <w:rPr>
          <w:rFonts w:ascii="仿宋_GB2312" w:eastAsia="仿宋_GB2312"/>
          <w:b/>
          <w:sz w:val="28"/>
          <w:szCs w:val="28"/>
        </w:rPr>
      </w:pPr>
      <w:r>
        <w:rPr>
          <w:rFonts w:hint="eastAsia" w:ascii="仿宋_GB2312" w:eastAsia="仿宋_GB2312"/>
          <w:b/>
          <w:sz w:val="28"/>
          <w:szCs w:val="28"/>
        </w:rPr>
        <w:t>投诉书范本及制作说明</w:t>
      </w:r>
    </w:p>
    <w:p>
      <w:pPr>
        <w:contextualSpacing/>
        <w:rPr>
          <w:rFonts w:ascii="仿宋_GB2312" w:eastAsia="仿宋_GB2312"/>
          <w:sz w:val="24"/>
          <w:szCs w:val="24"/>
        </w:rPr>
      </w:pPr>
    </w:p>
    <w:p>
      <w:pPr>
        <w:jc w:val="center"/>
        <w:rPr>
          <w:rFonts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一、投诉相关主体基本情况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tabs>
          <w:tab w:val="left" w:pos="6510"/>
        </w:tabs>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法定代表人/主要负责人：</w:t>
      </w:r>
    </w:p>
    <w:p>
      <w:pPr>
        <w:tabs>
          <w:tab w:val="left" w:pos="6510"/>
        </w:tabs>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联系电话：</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被投诉人1：</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被投诉人2</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相关供应商：</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地     址：邮编：</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联系人：联系电话：</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二、投诉项目基本情况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采购项目名称：</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采购项目编号：包号：</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采购人名称：</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代理机构名称：</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三、质疑基本情况</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四、投诉事项具体内容</w:t>
      </w: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投诉事项 1：</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事实依据：</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法律依据：</w:t>
      </w:r>
    </w:p>
    <w:p>
      <w:pPr>
        <w:spacing w:line="360" w:lineRule="auto"/>
        <w:rPr>
          <w:rFonts w:ascii="仿宋_GB2312" w:hAnsi="宋体" w:eastAsia="仿宋_GB2312" w:cs="宋体"/>
          <w:sz w:val="24"/>
          <w:szCs w:val="24"/>
          <w:u w:val="dotted"/>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投诉事项2</w:t>
      </w:r>
    </w:p>
    <w:p>
      <w:pPr>
        <w:spacing w:line="360" w:lineRule="auto"/>
        <w:rPr>
          <w:rFonts w:ascii="仿宋_GB2312" w:hAnsi="宋体" w:eastAsia="仿宋_GB2312" w:cs="宋体"/>
          <w:sz w:val="24"/>
          <w:szCs w:val="24"/>
          <w:u w:val="dotted"/>
        </w:rPr>
      </w:pPr>
      <w:r>
        <w:rPr>
          <w:rFonts w:hint="eastAsia" w:ascii="仿宋_GB2312" w:hAnsi="宋体" w:eastAsia="仿宋_GB2312" w:cs="宋体"/>
          <w:sz w:val="24"/>
          <w:szCs w:val="24"/>
        </w:rPr>
        <w:t>……</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请求：</w:t>
      </w:r>
    </w:p>
    <w:p>
      <w:pPr>
        <w:spacing w:line="360" w:lineRule="auto"/>
        <w:rPr>
          <w:rFonts w:ascii="仿宋_GB2312" w:hAnsi="宋体" w:eastAsia="仿宋_GB2312" w:cs="宋体"/>
          <w:sz w:val="24"/>
          <w:szCs w:val="24"/>
          <w:u w:val="single"/>
        </w:rPr>
      </w:pP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签字(签章)：                   公章：                      </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日期：    </w:t>
      </w:r>
    </w:p>
    <w:p>
      <w:pPr>
        <w:spacing w:line="360" w:lineRule="auto"/>
        <w:ind w:firstLine="482"/>
        <w:rPr>
          <w:rFonts w:ascii="仿宋_GB2312" w:hAnsi="宋体" w:eastAsia="仿宋_GB2312" w:cs="宋体"/>
          <w:b/>
          <w:sz w:val="24"/>
          <w:szCs w:val="24"/>
        </w:rPr>
      </w:pPr>
    </w:p>
    <w:p>
      <w:pPr>
        <w:spacing w:line="360" w:lineRule="auto"/>
        <w:ind w:firstLine="482"/>
        <w:rPr>
          <w:rFonts w:ascii="仿宋_GB2312" w:hAnsi="宋体" w:eastAsia="仿宋_GB2312" w:cs="宋体"/>
          <w:b/>
          <w:sz w:val="24"/>
          <w:szCs w:val="24"/>
        </w:rPr>
      </w:pPr>
    </w:p>
    <w:p>
      <w:pPr>
        <w:spacing w:line="360" w:lineRule="auto"/>
        <w:ind w:firstLine="482"/>
        <w:rPr>
          <w:rFonts w:ascii="仿宋_GB2312" w:hAnsi="宋体" w:eastAsia="仿宋_GB2312" w:cs="宋体"/>
          <w:b/>
          <w:sz w:val="24"/>
          <w:szCs w:val="24"/>
        </w:rPr>
      </w:pPr>
      <w:r>
        <w:rPr>
          <w:rFonts w:hint="eastAsia" w:ascii="仿宋_GB2312" w:hAnsi="宋体" w:eastAsia="仿宋_GB2312" w:cs="宋体"/>
          <w:b/>
          <w:sz w:val="24"/>
          <w:szCs w:val="24"/>
        </w:rPr>
        <w:t>投诉书制作说明：</w:t>
      </w:r>
    </w:p>
    <w:p>
      <w:pPr>
        <w:widowControl/>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pPr>
        <w:spacing w:line="360" w:lineRule="auto"/>
        <w:ind w:firstLine="480" w:firstLineChars="200"/>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r>
        <w:rPr>
          <w:rFonts w:hint="eastAsia" w:ascii="仿宋_GB2312" w:eastAsia="仿宋_GB2312"/>
          <w:sz w:val="28"/>
          <w:szCs w:val="28"/>
        </w:rPr>
        <w:t>附件4：</w:t>
      </w:r>
    </w:p>
    <w:p>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业务专用章使用说明函</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u w:val="single"/>
        </w:rPr>
        <w:t>（采购编号）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40" w:lineRule="exact"/>
        <w:contextualSpacing/>
        <w:rPr>
          <w:rFonts w:ascii="仿宋_GB2312" w:eastAsia="仿宋_GB2312"/>
          <w:sz w:val="24"/>
          <w:szCs w:val="24"/>
        </w:rPr>
      </w:pPr>
      <w:r>
        <w:rPr>
          <w:rFonts w:hint="eastAsia" w:ascii="仿宋_GB2312" w:eastAsia="仿宋_GB2312"/>
          <w:sz w:val="24"/>
          <w:szCs w:val="24"/>
        </w:rPr>
        <w:t>附：</w:t>
      </w:r>
    </w:p>
    <w:p>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pPr>
        <w:spacing w:line="540" w:lineRule="exact"/>
        <w:contextualSpacing/>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275840" cy="1748155"/>
                <wp:effectExtent l="4445" t="4445" r="5715" b="1905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2758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37.65pt;width:179.2pt;z-index:-251657216;mso-width-relative:page;mso-height-relative:page;" fillcolor="#FFFFFF" filled="t" stroked="t" coordsize="21600,21600" o:gfxdata="UEsDBAoAAAAAAIdO4kAAAAAAAAAAAAAAAAAEAAAAZHJzL1BLAwQUAAAACACHTuJArVQkrtcAAAAJ&#10;AQAADwAAAGRycy9kb3ducmV2LnhtbE2PzU7DMBCE70i8g7VI3KidUDVViFMJEBdUpSKgnt14SSzi&#10;dRS7P7w9ywmOoxnNfFNtLn4UJ5yjC6QhWygQSF2wjnoNH+8vd2sQMRmyZgyEGr4xwqa+vqpMacOZ&#10;3vDUpl5wCcXSaBhSmkopYzegN3ERJiT2PsPsTWI599LO5szlfpS5UivpjSNeGMyETwN2X+3Ra9hP&#10;pLJtM6Wmfc1328ed2z83Tuvbm0w9gEh4SX9h+MVndKiZ6RCOZKMYNSyLgtGThjwDwf76fpWDOLAu&#10;iiXIupL/H9Q/UEsDBBQAAAAIAIdO4kA1VoEILgIAAIIEAAAOAAAAZHJzL2Uyb0RvYy54bWytVMGO&#10;2jAQvVfqP1i+lxAKhY0IqxWIqtK2u+q2H2Ach1i1Pe7YEOjXd+IAZbc97KE5RJ7M+Pm9N+PMbw/W&#10;sL3CoMGVPB8MOVNOQqXdtuTfv63fzTgLUbhKGHCq5EcV+O3i7Zt56ws1ggZMpZARiAtF60vexOiL&#10;LAuyUVaEAXjlKFkDWhEpxG1WoWgJ3ZpsNBx+yFrAyiNIFQJ9XfVJfkLE1wBCXWupViB3VrnYo6Iy&#10;IpKk0Ggf+CKxrWsl40NdBxWZKTkpjelNh9B6072zxVwUWxS+0fJEQbyGwgtNVmhHh16gViIKtkP9&#10;F5TVEiFAHQcSbNYLSY6Qinz4wpunRniVtJDVwV9MD/8PVn7ZPyLTVcnfc+aEpYZ/JdOE2xrF8mnn&#10;T+tDQWVP/hE7hcHfg/wRmINlQ2XqDhHaRomKWOVdffZsQxcE2so27WeoCF7sIiSrDjXaDpBMYIfU&#10;keOlI+oQmaSPo9F0MhtTsyTl8ul4lk8m6QxRnLd7DPGjAsu6RcmR2Cd4sb8PsaMjinNJog9GV2tt&#10;TApwu1kaZHtB47FOzwk9XJcZx9qS30xGk4T8LBeuIYbp+ReE1ZFujdGWNF0XGdfxUGlST3zPjvXO&#10;b6A6knsI/ejSxaVFA/iLs5bGtuTh506g4sx8ctSBm3zc2RVTMJ5MRxTgdWZznRFOElTJI2f9chn7&#10;u7HzqLcNnZQnxQ7uqGu1Tn52/HpWp17TaCabT9eom/3rOFX9+XU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VCSu1wAAAAkBAAAPAAAAAAAAAAEAIAAAACIAAABkcnMvZG93bnJldi54bWxQSwEC&#10;FAAUAAAACACHTuJANVaBCC4CAACCBAAADgAAAAAAAAABACAAAAAmAQAAZHJzL2Uyb0RvYy54bWxQ&#10;SwUGAAAAAAYABgBZAQAAxgU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136140" cy="1748155"/>
                <wp:effectExtent l="4445" t="4445" r="12065" b="1905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1361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6pt;margin-top:1.05pt;height:137.65pt;width:168.2pt;z-index:-251656192;mso-width-relative:page;mso-height-relative:page;" fillcolor="#FFFFFF" filled="t" stroked="t" coordsize="21600,21600" o:gfxdata="UEsDBAoAAAAAAIdO4kAAAAAAAAAAAAAAAAAEAAAAZHJzL1BLAwQUAAAACACHTuJAkX3FxdYAAAAI&#10;AQAADwAAAGRycy9kb3ducmV2LnhtbE2Py07DMBBF90j8gzVI7Fo7BhEIcSoBYoOqVATUtRubxCIe&#10;W7H74O8ZVnR5dK/unKlXJz+xg52TC6igWApgFvtgHA4KPj9eF/fAUtZo9BTQKvixCVbN5UWtKxOO&#10;+G4PXR4YjWCqtIIx51hxnvrRep2WIVqk7CvMXmfCeeBm1kca9xOXQtxxrx3ShVFH+zza/rvbewXb&#10;iKJYtzG33ZvcrJ82bvvSOqWurwrxCCzbU/4vw58+qUNDTruwR5PYpGBRSmoqkAUwim/kA/GOuCxv&#10;gTc1P3+g+QVQSwMEFAAAAAgAh07iQGLvYTAuAgAAggQAAA4AAABkcnMvZTJvRG9jLnhtbK1UwW7b&#10;MAy9D9g/CLovjrMkbY04RZEgw4BuK9btAxRZjoVJokYpcbqvHy0nmdvt0MN8MESTenrvkfLi9mgN&#10;OygMGlzJ89GYM+UkVNrtSv792+bdNWchClcJA06V/EkFfrt8+2bR+kJNoAFTKWQE4kLR+pI3Mfoi&#10;y4JslBVhBF45StaAVkQKcZdVKFpCtyabjMfzrAWsPIJUIdDXdZ/kJ0R8DSDUtZZqDXJvlYs9Kioj&#10;IkkKjfaBLxPbulYyfqnroCIzJSelMb3pEFpvu3e2XIhih8I3Wp4oiNdQeKHJCu3o0AvUWkTB9qj/&#10;grJaIgSo40iCzXohyRFSkY9fePPYCK+SFrI6+Ivp4f/Bys+HB2S6KvmEMycsNfwrmSbcziiWzzt/&#10;Wh8KKnv0D9gpDP4e5I/AHKwaKlN3iNA2SlTEKu/qs2cbuiDQVrZtP0FF8GIfIVl1rNF2gGQCO6aO&#10;PF06oo6RSfo4yd/P8yk1S1Iuv5pe57NZOkMU5+0eQ/ygwLJuUXIk9gleHO5D7OiI4lyS6IPR1UYb&#10;kwLcbVcG2UHQeGzSc0IPwzLjWFvym9lklpCf5cIQYpyef0FYHenWGG1J07DIuI6HSpN64nt2rHd+&#10;C9UTuYfQjy5dXFo0gL84a2lsSx5+7gUqzsxHRx24yaedXTEF09nVhAIcZrbDjHCSoEoeOeuXq9jf&#10;jb1HvWvopDwpdnBHXat18rPj17M69ZpGM9l8ukbd7A/jVPXn17H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F9xcXWAAAACAEAAA8AAAAAAAAAAQAgAAAAIgAAAGRycy9kb3ducmV2LnhtbFBLAQIU&#10;ABQAAAAIAIdO4kBi72EwLgIAAIIEAAAOAAAAAAAAAAEAIAAAACUBAABkcnMvZTJvRG9jLnhtbFBL&#10;BQYAAAAABgAGAFkBAADFBQAAAAA=&#10;">
                <v:fill on="t" focussize="0,0"/>
                <v:stroke color="#000000" miterlimit="2" joinstyle="miter"/>
                <v:imagedata o:title=""/>
                <o:lock v:ext="edit" aspectratio="f"/>
              </v:rect>
            </w:pict>
          </mc:Fallback>
        </mc:AlternateConten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4"/>
          <w:szCs w:val="24"/>
        </w:rPr>
      </w:pPr>
    </w:p>
    <w:p>
      <w:pPr>
        <w:spacing w:line="540" w:lineRule="exact"/>
        <w:ind w:firstLine="560"/>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ind w:firstLine="560"/>
        <w:contextualSpacing/>
        <w:rPr>
          <w:rFonts w:ascii="仿宋_GB2312" w:eastAsia="仿宋_GB2312"/>
          <w:sz w:val="28"/>
          <w:szCs w:val="28"/>
        </w:rPr>
      </w:pPr>
      <w:r>
        <w:rPr>
          <w:rFonts w:hint="eastAsia" w:ascii="仿宋_GB2312" w:eastAsia="仿宋_GB2312"/>
          <w:sz w:val="28"/>
          <w:szCs w:val="28"/>
        </w:rPr>
        <w:t>附件5：</w:t>
      </w: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中小企业声明函（货物）</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w:t>
      </w:r>
      <w:r>
        <w:rPr>
          <w:rFonts w:hint="eastAsia" w:ascii="仿宋_GB2312" w:eastAsia="仿宋_GB2312"/>
          <w:sz w:val="24"/>
          <w:szCs w:val="24"/>
          <w:u w:val="single"/>
        </w:rPr>
        <w:t>舟山市应急管理局、普朱管委会应急管理局、定海区应急管理局、普陀区应急管理局、岱山县应急管理局、嵊泗县应急管委局</w:t>
      </w:r>
      <w:r>
        <w:rPr>
          <w:rFonts w:hint="eastAsia" w:ascii="仿宋_GB2312" w:eastAsia="仿宋_GB2312"/>
          <w:sz w:val="24"/>
          <w:szCs w:val="24"/>
        </w:rPr>
        <w:t>） 的 （</w:t>
      </w:r>
      <w:r>
        <w:rPr>
          <w:rFonts w:hint="eastAsia" w:ascii="仿宋_GB2312" w:eastAsia="仿宋_GB2312"/>
          <w:bCs/>
          <w:sz w:val="24"/>
          <w:szCs w:val="24"/>
          <w:u w:val="single"/>
        </w:rPr>
        <w:t>浙江省舟山市自然灾害应急能力提升工程预警指挥项目</w:t>
      </w:r>
      <w:r>
        <w:rPr>
          <w:rFonts w:hint="eastAsia" w:ascii="仿宋_GB2312" w:eastAsia="仿宋_GB2312"/>
          <w:sz w:val="24"/>
          <w:szCs w:val="24"/>
        </w:rPr>
        <w:t>） 采购活动，提供的货物全部由符合政策要求的中小企业制造。相关企业（含联合体中的中小企业、签订分包意向协议的中小企业）的具体情况如下：</w:t>
      </w:r>
    </w:p>
    <w:tbl>
      <w:tblPr>
        <w:tblStyle w:val="25"/>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541"/>
        <w:gridCol w:w="1126"/>
        <w:gridCol w:w="936"/>
        <w:gridCol w:w="1126"/>
        <w:gridCol w:w="98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标的名称</w:t>
            </w:r>
          </w:p>
          <w:p>
            <w:pPr>
              <w:pStyle w:val="60"/>
              <w:ind w:firstLine="0" w:firstLineChars="0"/>
              <w:jc w:val="center"/>
              <w:rPr>
                <w:rFonts w:ascii="仿宋_GB2312" w:hAnsi="仿宋" w:eastAsia="仿宋_GB2312" w:cs="仿宋"/>
                <w:kern w:val="0"/>
                <w:szCs w:val="24"/>
              </w:rPr>
            </w:pPr>
          </w:p>
        </w:tc>
        <w:tc>
          <w:tcPr>
            <w:tcW w:w="1541"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采购文件中明确的所属行业</w:t>
            </w:r>
          </w:p>
        </w:tc>
        <w:tc>
          <w:tcPr>
            <w:tcW w:w="1126"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制造商</w:t>
            </w:r>
          </w:p>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（企业名称）</w:t>
            </w:r>
          </w:p>
        </w:tc>
        <w:tc>
          <w:tcPr>
            <w:tcW w:w="936"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从业人员（人）</w:t>
            </w:r>
          </w:p>
        </w:tc>
        <w:tc>
          <w:tcPr>
            <w:tcW w:w="1126"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营业收入（万元）</w:t>
            </w:r>
          </w:p>
        </w:tc>
        <w:tc>
          <w:tcPr>
            <w:tcW w:w="987"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资产总额（万元）</w:t>
            </w:r>
          </w:p>
        </w:tc>
        <w:tc>
          <w:tcPr>
            <w:tcW w:w="1943" w:type="dxa"/>
            <w:vAlign w:val="center"/>
          </w:tcPr>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Cs w:val="24"/>
              </w:rPr>
              <w:t>属于</w:t>
            </w:r>
          </w:p>
          <w:p>
            <w:pPr>
              <w:pStyle w:val="60"/>
              <w:ind w:firstLine="0" w:firstLineChars="0"/>
              <w:jc w:val="center"/>
              <w:rPr>
                <w:rFonts w:ascii="仿宋_GB2312" w:hAnsi="仿宋" w:eastAsia="仿宋_GB2312" w:cs="仿宋"/>
                <w:kern w:val="0"/>
                <w:szCs w:val="24"/>
              </w:rPr>
            </w:pPr>
            <w:r>
              <w:rPr>
                <w:rFonts w:hint="eastAsia" w:ascii="仿宋_GB2312" w:hAnsi="仿宋" w:eastAsia="仿宋_GB2312" w:cs="仿宋"/>
                <w:kern w:val="0"/>
                <w:sz w:val="21"/>
                <w:szCs w:val="21"/>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pStyle w:val="11"/>
              <w:ind w:firstLine="0" w:firstLineChars="0"/>
              <w:jc w:val="left"/>
              <w:rPr>
                <w:rFonts w:ascii="仿宋_GB2312" w:eastAsia="仿宋_GB2312" w:cs="Times New Roman"/>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pStyle w:val="11"/>
              <w:ind w:firstLine="0" w:firstLineChars="0"/>
              <w:jc w:val="left"/>
              <w:rPr>
                <w:rFonts w:ascii="仿宋_GB2312" w:eastAsia="仿宋_GB2312" w:cs="Times New Roman"/>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pStyle w:val="11"/>
              <w:ind w:firstLine="0" w:firstLineChars="0"/>
              <w:jc w:val="left"/>
              <w:rPr>
                <w:rFonts w:ascii="仿宋_GB2312" w:eastAsia="仿宋_GB2312" w:cs="Times New Roman"/>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jc w:val="left"/>
              <w:rPr>
                <w:rFonts w:ascii="仿宋_GB2312" w:hAnsi="Times New Roman" w:eastAsia="仿宋_GB2312" w:cs="Times New Roman"/>
                <w:sz w:val="24"/>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ind w:firstLine="0" w:firstLineChars="0"/>
              <w:jc w:val="center"/>
              <w:rPr>
                <w:rFonts w:ascii="仿宋_GB2312" w:hAnsi="仿宋" w:eastAsia="仿宋_GB2312" w:cs="仿宋"/>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pStyle w:val="74"/>
              <w:rPr>
                <w:sz w:val="28"/>
                <w:szCs w:val="28"/>
              </w:rPr>
            </w:pPr>
          </w:p>
        </w:tc>
        <w:tc>
          <w:tcPr>
            <w:tcW w:w="1541" w:type="dxa"/>
          </w:tcPr>
          <w:p>
            <w:pPr>
              <w:jc w:val="left"/>
              <w:rPr>
                <w:rFonts w:ascii="仿宋_GB2312" w:hAnsi="Times New Roman" w:eastAsia="仿宋_GB2312" w:cs="Times New Roman"/>
                <w:sz w:val="24"/>
                <w:szCs w:val="24"/>
              </w:rPr>
            </w:pPr>
          </w:p>
        </w:tc>
        <w:tc>
          <w:tcPr>
            <w:tcW w:w="1126" w:type="dxa"/>
            <w:vAlign w:val="center"/>
          </w:tcPr>
          <w:p>
            <w:pPr>
              <w:widowControl/>
              <w:spacing w:line="276" w:lineRule="auto"/>
              <w:jc w:val="center"/>
              <w:rPr>
                <w:rFonts w:ascii="仿宋_GB2312" w:hAnsi="宋体" w:eastAsia="仿宋_GB2312" w:cs="宋体"/>
                <w:kern w:val="0"/>
                <w:sz w:val="24"/>
                <w:szCs w:val="24"/>
              </w:rPr>
            </w:pPr>
          </w:p>
        </w:tc>
        <w:tc>
          <w:tcPr>
            <w:tcW w:w="936" w:type="dxa"/>
          </w:tcPr>
          <w:p>
            <w:pPr>
              <w:pStyle w:val="60"/>
              <w:rPr>
                <w:rFonts w:ascii="仿宋_GB2312" w:hAnsi="Times New Roman" w:eastAsia="仿宋_GB2312" w:cs="Times New Roman"/>
                <w:kern w:val="0"/>
              </w:rPr>
            </w:pPr>
          </w:p>
        </w:tc>
        <w:tc>
          <w:tcPr>
            <w:tcW w:w="1126" w:type="dxa"/>
          </w:tcPr>
          <w:p>
            <w:pPr>
              <w:pStyle w:val="60"/>
              <w:rPr>
                <w:rFonts w:ascii="仿宋_GB2312" w:hAnsi="Times New Roman" w:eastAsia="仿宋_GB2312" w:cs="Times New Roman"/>
                <w:kern w:val="0"/>
              </w:rPr>
            </w:pPr>
          </w:p>
        </w:tc>
        <w:tc>
          <w:tcPr>
            <w:tcW w:w="987" w:type="dxa"/>
          </w:tcPr>
          <w:p>
            <w:pPr>
              <w:pStyle w:val="60"/>
              <w:rPr>
                <w:rFonts w:ascii="仿宋_GB2312" w:hAnsi="Times New Roman" w:eastAsia="仿宋_GB2312" w:cs="Times New Roman"/>
                <w:kern w:val="0"/>
              </w:rPr>
            </w:pPr>
          </w:p>
        </w:tc>
        <w:tc>
          <w:tcPr>
            <w:tcW w:w="1943" w:type="dxa"/>
          </w:tcPr>
          <w:p>
            <w:pPr>
              <w:pStyle w:val="60"/>
              <w:rPr>
                <w:rFonts w:ascii="仿宋_GB2312" w:hAnsi="Times New Roman" w:eastAsia="仿宋_GB2312" w:cs="Times New Roman"/>
                <w:kern w:val="0"/>
              </w:rPr>
            </w:pPr>
          </w:p>
        </w:tc>
      </w:tr>
    </w:tbl>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pPr>
        <w:spacing w:line="460" w:lineRule="exact"/>
        <w:contextualSpacing/>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pPr>
        <w:spacing w:line="460" w:lineRule="exact"/>
        <w:contextualSpacing/>
        <w:rPr>
          <w:rFonts w:ascii="仿宋_GB2312" w:eastAsia="仿宋_GB2312"/>
          <w:sz w:val="24"/>
          <w:szCs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autoSpaceDE w:val="0"/>
        <w:autoSpaceDN w:val="0"/>
        <w:ind w:firstLine="584"/>
        <w:rPr>
          <w:rFonts w:ascii="仿宋_GB2312" w:hAnsi="宋体" w:eastAsia="仿宋_GB2312" w:cs="宋体"/>
          <w:spacing w:val="6"/>
          <w:sz w:val="28"/>
          <w:szCs w:val="28"/>
        </w:rPr>
      </w:pPr>
      <w:r>
        <w:rPr>
          <w:rFonts w:hint="eastAsia" w:ascii="仿宋_GB2312" w:hAnsi="宋体" w:eastAsia="仿宋_GB2312" w:cs="宋体"/>
          <w:spacing w:val="6"/>
          <w:sz w:val="28"/>
          <w:szCs w:val="28"/>
        </w:rPr>
        <w:t>附件6：</w:t>
      </w:r>
    </w:p>
    <w:p>
      <w:pPr>
        <w:autoSpaceDE w:val="0"/>
        <w:autoSpaceDN w:val="0"/>
        <w:ind w:firstLine="560"/>
        <w:jc w:val="center"/>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pPr>
        <w:widowControl/>
        <w:spacing w:line="360" w:lineRule="auto"/>
        <w:ind w:firstLine="482" w:firstLineChars="200"/>
        <w:jc w:val="left"/>
        <w:rPr>
          <w:rFonts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pPr>
        <w:snapToGrid w:val="0"/>
        <w:spacing w:line="360" w:lineRule="auto"/>
        <w:ind w:firstLine="480"/>
        <w:rPr>
          <w:rFonts w:ascii="仿宋_GB2312" w:hAnsi="宋体" w:eastAsia="仿宋_GB2312" w:cs="宋体"/>
          <w:b/>
          <w:kern w:val="0"/>
          <w:sz w:val="24"/>
          <w:szCs w:val="24"/>
          <w:lang w:val="zh-CN"/>
        </w:rPr>
      </w:pPr>
      <w:r>
        <w:rPr>
          <w:rFonts w:hint="eastAsia" w:ascii="仿宋_GB2312" w:hAnsi="宋体" w:eastAsia="仿宋_GB2312" w:cs="宋体"/>
          <w:kern w:val="0"/>
          <w:sz w:val="24"/>
          <w:szCs w:val="24"/>
          <w:lang w:val="zh-CN"/>
        </w:rPr>
        <w:t>1、</w:t>
      </w:r>
      <w:r>
        <w:rPr>
          <w:rFonts w:hint="eastAsia" w:ascii="仿宋_GB2312" w:hAnsi="宋体" w:eastAsia="仿宋_GB2312" w:cs="宋体"/>
          <w:kern w:val="0"/>
          <w:sz w:val="24"/>
          <w:szCs w:val="24"/>
          <w:u w:val="single"/>
        </w:rPr>
        <w:t>（</w:t>
      </w:r>
      <w:bookmarkStart w:id="407" w:name="_Hlk101131882"/>
      <w:r>
        <w:rPr>
          <w:rFonts w:hint="eastAsia" w:ascii="仿宋_GB2312" w:hAnsi="宋体" w:eastAsia="仿宋_GB2312" w:cs="宋体"/>
          <w:kern w:val="0"/>
          <w:sz w:val="24"/>
          <w:szCs w:val="24"/>
          <w:u w:val="single"/>
        </w:rPr>
        <w:t>联合体成员X,……</w:t>
      </w:r>
      <w:bookmarkEnd w:id="407"/>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提供的服务由小微企业承接，其合同份额占到合同总金额%以上</w:t>
      </w:r>
      <w:r>
        <w:rPr>
          <w:rFonts w:hint="eastAsia" w:ascii="仿宋_GB2312" w:hAnsi="宋体" w:eastAsia="仿宋_GB2312" w:cs="宋体"/>
          <w:kern w:val="0"/>
          <w:sz w:val="24"/>
          <w:szCs w:val="24"/>
          <w:lang w:val="zh-CN"/>
        </w:rPr>
        <w:t>。</w:t>
      </w:r>
      <w:r>
        <w:rPr>
          <w:rFonts w:hint="eastAsia" w:ascii="仿宋_GB2312" w:hAnsi="宋体" w:eastAsia="仿宋_GB2312" w:cs="宋体"/>
          <w:b/>
          <w:kern w:val="0"/>
          <w:sz w:val="24"/>
          <w:szCs w:val="24"/>
          <w:lang w:val="zh-CN"/>
        </w:rPr>
        <w:t>（</w:t>
      </w:r>
      <w:bookmarkStart w:id="408" w:name="_Hlk101133598"/>
      <w:r>
        <w:rPr>
          <w:rFonts w:hint="eastAsia" w:ascii="仿宋_GB2312" w:hAnsi="宋体" w:eastAsia="仿宋_GB2312"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宋体" w:eastAsia="仿宋_GB2312" w:cs="宋体"/>
          <w:b/>
          <w:sz w:val="24"/>
          <w:szCs w:val="24"/>
        </w:rPr>
        <w:t>拟享受以上价格扣除政策的，填写有关内容。</w:t>
      </w:r>
      <w:bookmarkEnd w:id="408"/>
      <w:r>
        <w:rPr>
          <w:rFonts w:hint="eastAsia" w:ascii="仿宋_GB2312" w:hAnsi="宋体" w:eastAsia="仿宋_GB2312" w:cs="宋体"/>
          <w:b/>
          <w:kern w:val="0"/>
          <w:sz w:val="24"/>
          <w:szCs w:val="24"/>
          <w:lang w:val="zh-CN"/>
        </w:rPr>
        <w:t>）</w:t>
      </w:r>
    </w:p>
    <w:p>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2、</w:t>
      </w:r>
      <w:bookmarkStart w:id="409" w:name="_Hlk101133173"/>
      <w:r>
        <w:rPr>
          <w:rFonts w:hint="eastAsia" w:ascii="仿宋_GB2312" w:hAnsi="宋体" w:eastAsia="仿宋_GB2312" w:cs="宋体"/>
          <w:sz w:val="24"/>
          <w:szCs w:val="24"/>
        </w:rPr>
        <w:t>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9"/>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pPr>
        <w:snapToGrid w:val="0"/>
        <w:spacing w:line="360" w:lineRule="auto"/>
        <w:ind w:firstLine="5040" w:firstLine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pPr>
        <w:snapToGrid w:val="0"/>
        <w:spacing w:line="360" w:lineRule="auto"/>
        <w:ind w:right="960"/>
        <w:jc w:val="center"/>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pPr>
        <w:spacing w:line="540" w:lineRule="exact"/>
        <w:ind w:firstLine="482"/>
        <w:contextualSpacing/>
        <w:jc w:val="center"/>
        <w:rPr>
          <w:rFonts w:ascii="仿宋_GB2312" w:eastAsia="仿宋_GB2312"/>
          <w:b/>
          <w:sz w:val="24"/>
          <w:szCs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napToGrid w:val="0"/>
        <w:spacing w:line="360" w:lineRule="auto"/>
        <w:ind w:firstLine="584"/>
        <w:rPr>
          <w:rFonts w:ascii="仿宋_GB2312" w:hAnsi="宋体" w:eastAsia="仿宋_GB2312" w:cs="宋体"/>
          <w:spacing w:val="6"/>
          <w:sz w:val="28"/>
          <w:szCs w:val="28"/>
        </w:rPr>
      </w:pPr>
    </w:p>
    <w:p>
      <w:pPr>
        <w:snapToGrid w:val="0"/>
        <w:spacing w:line="360" w:lineRule="auto"/>
        <w:ind w:firstLine="584"/>
        <w:rPr>
          <w:rFonts w:ascii="仿宋_GB2312" w:hAnsi="宋体" w:eastAsia="仿宋_GB2312" w:cs="宋体"/>
          <w:spacing w:val="6"/>
          <w:sz w:val="28"/>
          <w:szCs w:val="28"/>
        </w:rPr>
      </w:pPr>
      <w:r>
        <w:rPr>
          <w:rFonts w:hint="eastAsia" w:ascii="仿宋_GB2312" w:hAnsi="宋体" w:eastAsia="仿宋_GB2312" w:cs="宋体"/>
          <w:spacing w:val="6"/>
          <w:sz w:val="28"/>
          <w:szCs w:val="28"/>
        </w:rPr>
        <w:t>附件7：</w:t>
      </w:r>
    </w:p>
    <w:p>
      <w:pPr>
        <w:snapToGrid w:val="0"/>
        <w:spacing w:line="360" w:lineRule="auto"/>
        <w:ind w:firstLine="562"/>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pPr>
        <w:widowControl/>
        <w:spacing w:line="360" w:lineRule="auto"/>
        <w:jc w:val="left"/>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一、分包标的及数量</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将</w:t>
      </w:r>
      <w:r>
        <w:rPr>
          <w:rFonts w:hint="eastAsia" w:ascii="仿宋_GB2312" w:hAnsi="宋体" w:eastAsia="仿宋_GB2312" w:cs="宋体"/>
          <w:kern w:val="0"/>
          <w:sz w:val="24"/>
          <w:szCs w:val="24"/>
          <w:u w:val="single"/>
        </w:rPr>
        <w:t xml:space="preserve"> XX工作内容   </w:t>
      </w:r>
      <w:r>
        <w:rPr>
          <w:rFonts w:hint="eastAsia" w:ascii="仿宋_GB2312" w:hAnsi="宋体" w:eastAsia="仿宋_GB2312" w:cs="宋体"/>
          <w:sz w:val="24"/>
          <w:szCs w:val="24"/>
        </w:rPr>
        <w:t>分包给</w:t>
      </w:r>
      <w:r>
        <w:rPr>
          <w:rFonts w:hint="eastAsia" w:ascii="仿宋_GB2312" w:hAnsi="宋体" w:eastAsia="仿宋_GB2312" w:cs="宋体"/>
          <w:kern w:val="0"/>
          <w:sz w:val="24"/>
          <w:szCs w:val="24"/>
          <w:u w:val="single"/>
        </w:rPr>
        <w:t>（分包供应商1名称）</w:t>
      </w:r>
      <w:r>
        <w:rPr>
          <w:rFonts w:hint="eastAsia" w:ascii="仿宋_GB2312" w:hAnsi="宋体" w:eastAsia="仿宋_GB2312" w:cs="宋体"/>
          <w:kern w:val="0"/>
          <w:sz w:val="24"/>
          <w:szCs w:val="24"/>
          <w:lang w:val="zh-CN"/>
        </w:rPr>
        <w:t>，</w:t>
      </w:r>
      <w:r>
        <w:rPr>
          <w:rFonts w:hint="eastAsia" w:ascii="仿宋_GB2312" w:hAnsi="宋体" w:eastAsia="仿宋_GB2312" w:cs="宋体"/>
          <w:kern w:val="0"/>
          <w:sz w:val="24"/>
          <w:szCs w:val="24"/>
          <w:u w:val="single"/>
        </w:rPr>
        <w:t>（分包供应商2名称），</w:t>
      </w:r>
      <w:r>
        <w:rPr>
          <w:rFonts w:hint="eastAsia" w:ascii="仿宋_GB2312" w:hAnsi="宋体" w:eastAsia="仿宋_GB2312" w:cs="宋体"/>
          <w:kern w:val="0"/>
          <w:sz w:val="24"/>
          <w:szCs w:val="24"/>
          <w:lang w:val="zh-CN"/>
        </w:rPr>
        <w:t>具备承</w:t>
      </w:r>
      <w:r>
        <w:rPr>
          <w:rFonts w:hint="eastAsia" w:ascii="仿宋_GB2312" w:hAnsi="宋体" w:eastAsia="仿宋_GB2312" w:cs="宋体"/>
          <w:kern w:val="0"/>
          <w:sz w:val="24"/>
          <w:szCs w:val="24"/>
        </w:rPr>
        <w:t>担</w:t>
      </w:r>
      <w:r>
        <w:rPr>
          <w:rFonts w:hint="eastAsia" w:ascii="仿宋_GB2312" w:hAnsi="宋体" w:eastAsia="仿宋_GB2312" w:cs="宋体"/>
          <w:kern w:val="0"/>
          <w:sz w:val="24"/>
          <w:szCs w:val="24"/>
          <w:u w:val="single"/>
          <w:lang w:val="zh-CN"/>
        </w:rPr>
        <w:t>XX工作内容</w:t>
      </w:r>
      <w:r>
        <w:rPr>
          <w:rFonts w:hint="eastAsia" w:ascii="仿宋_GB2312" w:hAnsi="宋体" w:eastAsia="仿宋_GB2312" w:cs="宋体"/>
          <w:kern w:val="0"/>
          <w:sz w:val="24"/>
          <w:szCs w:val="24"/>
          <w:lang w:val="zh-CN"/>
        </w:rPr>
        <w:t>相应资质条件且不得再次分包；</w:t>
      </w:r>
    </w:p>
    <w:p>
      <w:pPr>
        <w:pStyle w:val="6"/>
        <w:ind w:left="664" w:leftChars="316" w:firstLine="229" w:firstLineChars="95"/>
        <w:rPr>
          <w:rFonts w:ascii="仿宋_GB2312" w:hAnsi="宋体" w:eastAsia="仿宋_GB2312" w:cs="宋体"/>
          <w:kern w:val="0"/>
          <w:sz w:val="24"/>
          <w:szCs w:val="24"/>
        </w:rPr>
      </w:pPr>
      <w:r>
        <w:rPr>
          <w:rFonts w:hint="eastAsia" w:ascii="仿宋_GB2312" w:hAnsi="宋体" w:eastAsia="仿宋_GB2312" w:cs="宋体"/>
          <w:kern w:val="0"/>
          <w:sz w:val="24"/>
          <w:szCs w:val="24"/>
        </w:rPr>
        <w:t>……</w:t>
      </w:r>
    </w:p>
    <w:p>
      <w:pPr>
        <w:rPr>
          <w:rFonts w:ascii="仿宋_GB2312" w:eastAsia="仿宋_GB2312"/>
          <w:sz w:val="24"/>
          <w:szCs w:val="24"/>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p>
    <w:p>
      <w:pPr>
        <w:snapToGrid w:val="0"/>
        <w:spacing w:line="360" w:lineRule="auto"/>
        <w:ind w:firstLine="480"/>
        <w:rPr>
          <w:rFonts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pPr>
        <w:spacing w:line="360" w:lineRule="auto"/>
        <w:ind w:firstLine="480" w:firstLineChars="200"/>
        <w:rPr>
          <w:rFonts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pPr>
        <w:snapToGrid w:val="0"/>
        <w:spacing w:line="360" w:lineRule="auto"/>
        <w:ind w:firstLine="480"/>
        <w:rPr>
          <w:rFonts w:ascii="仿宋_GB2312" w:hAnsi="宋体" w:eastAsia="仿宋_GB2312" w:cs="宋体"/>
          <w:sz w:val="24"/>
          <w:szCs w:val="24"/>
          <w:u w:val="single"/>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pPr>
        <w:snapToGrid w:val="0"/>
        <w:spacing w:line="360" w:lineRule="auto"/>
        <w:ind w:left="573" w:leftChars="273"/>
        <w:rPr>
          <w:rFonts w:ascii="仿宋_GB2312" w:hAnsi="宋体" w:eastAsia="仿宋_GB2312" w:cs="宋体"/>
          <w:kern w:val="0"/>
          <w:sz w:val="24"/>
          <w:szCs w:val="24"/>
          <w:lang w:val="zh-CN"/>
        </w:rPr>
      </w:pPr>
    </w:p>
    <w:p>
      <w:pPr>
        <w:snapToGrid w:val="0"/>
        <w:spacing w:line="360" w:lineRule="auto"/>
        <w:ind w:left="573" w:leftChars="273"/>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firstLine="48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pPr>
        <w:snapToGrid w:val="0"/>
        <w:spacing w:line="360" w:lineRule="auto"/>
        <w:ind w:firstLine="480"/>
        <w:rPr>
          <w:rFonts w:ascii="仿宋_GB2312" w:hAnsi="宋体" w:eastAsia="仿宋_GB2312" w:cs="宋体"/>
          <w:kern w:val="0"/>
          <w:sz w:val="24"/>
          <w:szCs w:val="24"/>
          <w:lang w:val="zh-CN"/>
        </w:rPr>
      </w:pPr>
    </w:p>
    <w:p>
      <w:pPr>
        <w:snapToGrid w:val="0"/>
        <w:spacing w:line="360" w:lineRule="auto"/>
        <w:ind w:left="5758" w:leftChars="342" w:hanging="5040" w:hangingChars="2100"/>
        <w:rPr>
          <w:rFonts w:ascii="仿宋_GB2312" w:hAnsi="宋体" w:eastAsia="仿宋_GB2312" w:cs="宋体"/>
          <w:kern w:val="0"/>
          <w:sz w:val="24"/>
          <w:szCs w:val="24"/>
          <w:lang w:val="zh-CN"/>
        </w:rPr>
      </w:pPr>
    </w:p>
    <w:p>
      <w:pPr>
        <w:snapToGrid w:val="0"/>
        <w:spacing w:line="360" w:lineRule="auto"/>
        <w:ind w:left="5758" w:leftChars="342" w:hanging="5040" w:hangingChars="2100"/>
        <w:rPr>
          <w:rFonts w:ascii="仿宋_GB2312" w:hAnsi="宋体" w:eastAsia="仿宋_GB2312" w:cs="宋体"/>
          <w:kern w:val="0"/>
          <w:sz w:val="24"/>
          <w:szCs w:val="24"/>
          <w:lang w:val="zh-CN"/>
        </w:rPr>
      </w:pPr>
    </w:p>
    <w:p>
      <w:pPr>
        <w:snapToGrid w:val="0"/>
        <w:spacing w:line="360" w:lineRule="auto"/>
        <w:ind w:left="5746" w:leftChars="2622" w:hanging="240" w:hangingChars="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pPr>
        <w:snapToGrid w:val="0"/>
        <w:spacing w:line="360" w:lineRule="auto"/>
        <w:jc w:val="right"/>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pPr>
        <w:snapToGrid w:val="0"/>
        <w:spacing w:line="360" w:lineRule="auto"/>
        <w:ind w:firstLine="5760" w:firstLineChars="2400"/>
        <w:rPr>
          <w:rFonts w:ascii="仿宋_GB2312" w:hAnsi="宋体" w:eastAsia="仿宋_GB2312" w:cs="宋体"/>
          <w:sz w:val="24"/>
          <w:szCs w:val="24"/>
        </w:rPr>
      </w:pPr>
      <w:r>
        <w:rPr>
          <w:rFonts w:hint="eastAsia" w:ascii="仿宋_GB2312" w:hAnsi="宋体" w:eastAsia="仿宋_GB2312" w:cs="宋体"/>
          <w:kern w:val="0"/>
          <w:sz w:val="24"/>
          <w:szCs w:val="24"/>
          <w:lang w:val="zh-CN"/>
        </w:rPr>
        <w:t>……</w:t>
      </w:r>
    </w:p>
    <w:p>
      <w:pPr>
        <w:snapToGrid w:val="0"/>
        <w:spacing w:line="360" w:lineRule="auto"/>
        <w:ind w:left="5758" w:leftChars="342" w:hanging="5040" w:hangingChars="2100"/>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日期：  年  月   日</w:t>
      </w: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p>
    <w:p>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政  采  贷</w:t>
      </w:r>
    </w:p>
    <w:p>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pPr>
              <w:spacing w:line="400" w:lineRule="exact"/>
              <w:contextualSpacing/>
              <w:jc w:val="center"/>
              <w:rPr>
                <w:rFonts w:ascii="仿宋_GB2312" w:eastAsia="仿宋_GB2312"/>
                <w:sz w:val="24"/>
              </w:rPr>
            </w:pPr>
            <w:r>
              <w:rPr>
                <w:rFonts w:hint="eastAsia" w:ascii="仿宋_GB2312"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pPr>
              <w:numPr>
                <w:ilvl w:val="0"/>
                <w:numId w:val="14"/>
              </w:numPr>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pPr>
              <w:numPr>
                <w:ilvl w:val="0"/>
                <w:numId w:val="15"/>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pPr>
              <w:numPr>
                <w:ilvl w:val="0"/>
                <w:numId w:val="15"/>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pPr>
              <w:numPr>
                <w:ilvl w:val="0"/>
                <w:numId w:val="15"/>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pPr>
              <w:numPr>
                <w:ilvl w:val="0"/>
                <w:numId w:val="15"/>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普陀片区：蔡妮妮</w:t>
            </w:r>
          </w:p>
          <w:p>
            <w:pPr>
              <w:spacing w:line="400" w:lineRule="exact"/>
              <w:contextualSpacing/>
              <w:jc w:val="center"/>
              <w:rPr>
                <w:rFonts w:ascii="仿宋_GB2312" w:eastAsia="仿宋_GB2312"/>
                <w:sz w:val="24"/>
              </w:rPr>
            </w:pPr>
            <w:r>
              <w:rPr>
                <w:rFonts w:hint="eastAsia" w:ascii="仿宋_GB2312" w:eastAsia="仿宋_GB2312"/>
                <w:sz w:val="24"/>
              </w:rPr>
              <w:t>定海片区：杨莹</w:t>
            </w:r>
          </w:p>
          <w:p>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普陀片区：13957201791</w:t>
            </w:r>
          </w:p>
          <w:p>
            <w:pPr>
              <w:spacing w:line="400" w:lineRule="exact"/>
              <w:contextualSpacing/>
              <w:rPr>
                <w:rFonts w:ascii="仿宋_GB2312" w:eastAsia="仿宋_GB2312"/>
                <w:sz w:val="24"/>
              </w:rPr>
            </w:pPr>
            <w:r>
              <w:rPr>
                <w:rFonts w:hint="eastAsia" w:ascii="仿宋_GB2312" w:eastAsia="仿宋_GB2312"/>
                <w:sz w:val="24"/>
              </w:rPr>
              <w:t>定海片区：13655803997</w:t>
            </w:r>
          </w:p>
          <w:p>
            <w:pPr>
              <w:spacing w:line="400" w:lineRule="exact"/>
              <w:contextualSpacing/>
              <w:rPr>
                <w:rFonts w:ascii="仿宋_GB2312" w:eastAsia="仿宋_GB2312"/>
                <w:sz w:val="24"/>
              </w:rPr>
            </w:pPr>
            <w:r>
              <w:rPr>
                <w:rFonts w:hint="eastAsia" w:ascii="仿宋_GB2312" w:eastAsia="仿宋_GB2312"/>
                <w:sz w:val="24"/>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pPr>
              <w:numPr>
                <w:ilvl w:val="0"/>
                <w:numId w:val="16"/>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pPr>
              <w:numPr>
                <w:ilvl w:val="0"/>
                <w:numId w:val="16"/>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16"/>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pPr>
              <w:numPr>
                <w:ilvl w:val="0"/>
                <w:numId w:val="16"/>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0580-2260728</w:t>
            </w:r>
          </w:p>
          <w:p>
            <w:pPr>
              <w:spacing w:line="400" w:lineRule="exact"/>
              <w:contextualSpacing/>
              <w:rPr>
                <w:rFonts w:ascii="仿宋_GB2312" w:eastAsia="仿宋_GB2312"/>
                <w:sz w:val="24"/>
              </w:rPr>
            </w:pPr>
            <w:r>
              <w:rPr>
                <w:rFonts w:hint="eastAsia" w:ascii="仿宋_GB2312" w:eastAsia="仿宋_GB2312"/>
                <w:sz w:val="24"/>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pPr>
              <w:spacing w:line="400" w:lineRule="exact"/>
              <w:contextualSpacing/>
              <w:jc w:val="center"/>
              <w:rPr>
                <w:rFonts w:ascii="仿宋_GB2312" w:eastAsia="仿宋_GB2312"/>
                <w:sz w:val="24"/>
              </w:rPr>
            </w:pPr>
            <w:r>
              <w:rPr>
                <w:rFonts w:hint="eastAsia" w:ascii="仿宋_GB2312" w:eastAsia="仿宋_GB2312"/>
                <w:sz w:val="24"/>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pPr>
              <w:tabs>
                <w:tab w:val="left" w:pos="0"/>
              </w:tabs>
              <w:spacing w:line="400" w:lineRule="exact"/>
              <w:rPr>
                <w:rFonts w:ascii="仿宋_GB2312" w:eastAsia="仿宋_GB2312"/>
                <w:sz w:val="24"/>
              </w:rPr>
            </w:pPr>
            <w:r>
              <w:rPr>
                <w:rFonts w:hint="eastAsia" w:ascii="仿宋_GB2312" w:hAnsi="Times New Roman" w:eastAsia="仿宋_GB2312" w:cs="Times New Roman"/>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cs="Times New Roman"/>
                <w:sz w:val="24"/>
              </w:rPr>
              <w:t>，利率最低可至当期LPR ，有无还本续贷，12月份线上产品可以自主自贷。</w:t>
            </w:r>
          </w:p>
        </w:tc>
        <w:tc>
          <w:tcPr>
            <w:tcW w:w="2220" w:type="dxa"/>
            <w:vAlign w:val="center"/>
          </w:tcPr>
          <w:p>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pPr>
              <w:spacing w:line="400" w:lineRule="exact"/>
              <w:contextualSpacing/>
              <w:rPr>
                <w:rFonts w:ascii="仿宋_GB2312" w:eastAsia="仿宋_GB2312"/>
                <w:sz w:val="24"/>
              </w:rPr>
            </w:pPr>
            <w:r>
              <w:rPr>
                <w:rFonts w:hint="eastAsia" w:ascii="仿宋_GB2312" w:eastAsia="仿宋_GB2312"/>
                <w:sz w:val="24"/>
              </w:rPr>
              <w:t>13732527321</w:t>
            </w:r>
          </w:p>
        </w:tc>
      </w:tr>
    </w:tbl>
    <w:p>
      <w:pPr>
        <w:spacing w:line="360" w:lineRule="auto"/>
        <w:contextualSpacing/>
        <w:rPr>
          <w:rFonts w:ascii="仿宋_GB2312" w:eastAsia="仿宋_GB2312"/>
          <w:sz w:val="24"/>
        </w:rPr>
      </w:pPr>
      <w:r>
        <w:rPr>
          <w:rFonts w:hint="eastAsia" w:ascii="仿宋_GB2312" w:eastAsia="仿宋_GB2312"/>
          <w:sz w:val="24"/>
        </w:rPr>
        <w:t>1. 一般步骤</w:t>
      </w:r>
    </w:p>
    <w:p>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pPr>
        <w:spacing w:line="360" w:lineRule="auto"/>
        <w:contextualSpacing/>
        <w:rPr>
          <w:rFonts w:ascii="仿宋_GB2312" w:eastAsia="仿宋_GB2312"/>
          <w:sz w:val="24"/>
        </w:rPr>
      </w:pPr>
      <w:r>
        <w:rPr>
          <w:rFonts w:hint="eastAsia" w:ascii="仿宋_GB2312" w:eastAsia="仿宋_GB2312"/>
          <w:sz w:val="24"/>
        </w:rPr>
        <w:t>2. 注意事项</w:t>
      </w:r>
    </w:p>
    <w:p>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pPr>
        <w:spacing w:line="540" w:lineRule="exact"/>
        <w:contextualSpacing/>
        <w:rPr>
          <w:rFonts w:ascii="仿宋_GB2312" w:eastAsia="仿宋_GB2312"/>
          <w:sz w:val="24"/>
          <w:szCs w:val="24"/>
        </w:rPr>
      </w:pPr>
    </w:p>
    <w:p>
      <w:pPr>
        <w:rPr>
          <w:rFonts w:ascii="仿宋_GB2312" w:eastAsia="仿宋_GB2312"/>
          <w:sz w:val="24"/>
          <w:szCs w:val="24"/>
        </w:rPr>
      </w:pPr>
    </w:p>
    <w:p/>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6"/>
    </w:sdtPr>
    <w:sdtContent>
      <w:p>
        <w:pPr>
          <w:pStyle w:val="16"/>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 PAGE   \* MERGEFORMAT </w:instrText>
    </w:r>
    <w:r>
      <w:fldChar w:fldCharType="separate"/>
    </w:r>
    <w:r>
      <w:rPr>
        <w:lang w:val="zh-CN"/>
      </w:rPr>
      <w:t>104</w:t>
    </w:r>
    <w:r>
      <w:rPr>
        <w:lang w:val="zh-CN"/>
      </w:rPr>
      <w:fldChar w:fldCharType="end"/>
    </w:r>
  </w:p>
  <w:p>
    <w:pPr>
      <w:pStyle w:val="16"/>
      <w:ind w:firstLine="360"/>
    </w:pPr>
  </w:p>
  <w:p/>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7"/>
    </w:sdtPr>
    <w:sdtContent>
      <w:p>
        <w:pPr>
          <w:pStyle w:val="16"/>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9"/>
    </w:sdtPr>
    <w:sdtContent>
      <w:p>
        <w:pPr>
          <w:pStyle w:val="16"/>
          <w:jc w:val="center"/>
        </w:pPr>
        <w:r>
          <w:fldChar w:fldCharType="begin"/>
        </w:r>
        <w:r>
          <w:instrText xml:space="preserve"> PAGE   \* MERGEFORMAT </w:instrText>
        </w:r>
        <w:r>
          <w:fldChar w:fldCharType="separate"/>
        </w:r>
        <w:r>
          <w:rPr>
            <w:lang w:val="zh-CN"/>
          </w:rPr>
          <w:t>99</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0"/>
    </w:sdtPr>
    <w:sdtContent>
      <w:p>
        <w:pPr>
          <w:pStyle w:val="16"/>
          <w:jc w:val="center"/>
        </w:pPr>
        <w:r>
          <w:fldChar w:fldCharType="begin"/>
        </w:r>
        <w:r>
          <w:instrText xml:space="preserve"> PAGE   \* MERGEFORMAT </w:instrText>
        </w:r>
        <w:r>
          <w:fldChar w:fldCharType="separate"/>
        </w:r>
        <w:r>
          <w:rPr>
            <w:lang w:val="zh-CN"/>
          </w:rPr>
          <w:t>23</w:t>
        </w:r>
        <w:r>
          <w:rPr>
            <w:lang w:val="zh-CN"/>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1"/>
    </w:sdtPr>
    <w:sdtContent>
      <w:p>
        <w:pPr>
          <w:pStyle w:val="16"/>
          <w:jc w:val="center"/>
        </w:pPr>
        <w:r>
          <w:fldChar w:fldCharType="begin"/>
        </w:r>
        <w:r>
          <w:instrText xml:space="preserve"> PAGE   \* MERGEFORMAT </w:instrText>
        </w:r>
        <w:r>
          <w:fldChar w:fldCharType="separate"/>
        </w:r>
        <w:r>
          <w:rPr>
            <w:lang w:val="zh-CN"/>
          </w:rPr>
          <w:t>103</w:t>
        </w:r>
        <w:r>
          <w:rPr>
            <w:lang w:val="zh-CN"/>
          </w:rPr>
          <w:fldChar w:fldCharType="end"/>
        </w:r>
      </w:p>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2"/>
    </w:sdtPr>
    <w:sdtContent>
      <w:p>
        <w:pPr>
          <w:pStyle w:val="16"/>
          <w:jc w:val="center"/>
        </w:pPr>
        <w:r>
          <w:fldChar w:fldCharType="begin"/>
        </w:r>
        <w:r>
          <w:instrText xml:space="preserve"> PAGE   \* MERGEFORMAT </w:instrText>
        </w:r>
        <w:r>
          <w:fldChar w:fldCharType="separate"/>
        </w:r>
        <w:r>
          <w:rPr>
            <w:lang w:val="zh-CN"/>
          </w:rPr>
          <w:t>101</w:t>
        </w:r>
        <w:r>
          <w:rPr>
            <w:lang w:val="zh-CN"/>
          </w:rPr>
          <w:fldChar w:fldCharType="end"/>
        </w:r>
      </w:p>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 PAGE   \* MERGEFORMAT </w:instrText>
    </w:r>
    <w:r>
      <w:fldChar w:fldCharType="separate"/>
    </w:r>
    <w:r>
      <w:rPr>
        <w:lang w:val="zh-CN"/>
      </w:rPr>
      <w:t>121</w:t>
    </w:r>
    <w:r>
      <w:rPr>
        <w:lang w:val="zh-CN"/>
      </w:rPr>
      <w:fldChar w:fldCharType="end"/>
    </w:r>
  </w:p>
  <w:p/>
  <w:p/>
  <w:p/>
  <w:p/>
  <w:p/>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30842"/>
    <w:multiLevelType w:val="singleLevel"/>
    <w:tmpl w:val="9FF30842"/>
    <w:lvl w:ilvl="0" w:tentative="0">
      <w:start w:val="1"/>
      <w:numFmt w:val="decimal"/>
      <w:lvlText w:val="%1"/>
      <w:lvlJc w:val="center"/>
      <w:pPr>
        <w:tabs>
          <w:tab w:val="left" w:pos="397"/>
        </w:tabs>
        <w:ind w:left="454" w:hanging="454"/>
      </w:pPr>
      <w:rPr>
        <w:rFonts w:hint="default"/>
      </w:rPr>
    </w:lvl>
  </w:abstractNum>
  <w:abstractNum w:abstractNumId="1">
    <w:nsid w:val="D6E0911F"/>
    <w:multiLevelType w:val="singleLevel"/>
    <w:tmpl w:val="D6E0911F"/>
    <w:lvl w:ilvl="0" w:tentative="0">
      <w:start w:val="12"/>
      <w:numFmt w:val="chineseCounting"/>
      <w:suff w:val="nothing"/>
      <w:lvlText w:val="%1、"/>
      <w:lvlJc w:val="left"/>
      <w:rPr>
        <w:rFonts w:hint="eastAsia"/>
      </w:rPr>
    </w:lvl>
  </w:abstractNum>
  <w:abstractNum w:abstractNumId="2">
    <w:nsid w:val="FFFFFFFB"/>
    <w:multiLevelType w:val="multilevel"/>
    <w:tmpl w:val="FFFFFFFB"/>
    <w:lvl w:ilvl="0" w:tentative="0">
      <w:start w:val="1"/>
      <w:numFmt w:val="decimal"/>
      <w:pStyle w:val="70"/>
      <w:lvlText w:val="%1"/>
      <w:lvlJc w:val="left"/>
      <w:pPr>
        <w:tabs>
          <w:tab w:val="left" w:pos="1247"/>
        </w:tabs>
        <w:ind w:left="1247" w:hanging="1247"/>
      </w:pPr>
      <w:rPr>
        <w:rFonts w:hint="default" w:ascii="仿宋" w:hAnsi="仿宋" w:eastAsia="仿宋"/>
        <w:b/>
        <w:i w:val="0"/>
        <w:sz w:val="44"/>
        <w:szCs w:val="44"/>
      </w:rPr>
    </w:lvl>
    <w:lvl w:ilvl="1" w:tentative="0">
      <w:start w:val="1"/>
      <w:numFmt w:val="decimal"/>
      <w:pStyle w:val="71"/>
      <w:lvlText w:val="%1.%2"/>
      <w:lvlJc w:val="left"/>
      <w:pPr>
        <w:tabs>
          <w:tab w:val="left" w:pos="1673"/>
        </w:tabs>
        <w:ind w:left="1673" w:hanging="1247"/>
      </w:pPr>
      <w:rPr>
        <w:rFonts w:hint="default" w:ascii="仿宋" w:hAnsi="仿宋" w:eastAsia="仿宋"/>
        <w:b/>
        <w:i w:val="0"/>
        <w:sz w:val="30"/>
        <w:szCs w:val="30"/>
      </w:rPr>
    </w:lvl>
    <w:lvl w:ilvl="2" w:tentative="0">
      <w:start w:val="1"/>
      <w:numFmt w:val="decimal"/>
      <w:lvlText w:val="%1.%2.%3"/>
      <w:lvlJc w:val="left"/>
      <w:pPr>
        <w:tabs>
          <w:tab w:val="left" w:pos="1247"/>
        </w:tabs>
        <w:ind w:left="1247" w:hanging="1247"/>
      </w:pPr>
      <w:rPr>
        <w:rFonts w:hint="default" w:ascii="仿宋" w:hAnsi="仿宋" w:eastAsia="仿宋"/>
        <w:b/>
        <w:i w:val="0"/>
        <w:color w:val="auto"/>
        <w:sz w:val="28"/>
        <w:szCs w:val="28"/>
      </w:rPr>
    </w:lvl>
    <w:lvl w:ilvl="3" w:tentative="0">
      <w:start w:val="1"/>
      <w:numFmt w:val="decimal"/>
      <w:lvlText w:val="%1.%2.%3.%4"/>
      <w:lvlJc w:val="left"/>
      <w:pPr>
        <w:tabs>
          <w:tab w:val="left" w:pos="1247"/>
        </w:tabs>
        <w:ind w:left="1247" w:hanging="1247"/>
      </w:pPr>
      <w:rPr>
        <w:rFonts w:hint="default" w:ascii="Arial" w:hAnsi="Arial" w:eastAsia="宋体"/>
        <w:b/>
        <w:i w:val="0"/>
        <w:color w:val="auto"/>
        <w:sz w:val="21"/>
      </w:rPr>
    </w:lvl>
    <w:lvl w:ilvl="4" w:tentative="0">
      <w:start w:val="1"/>
      <w:numFmt w:val="decimal"/>
      <w:lvlText w:val="%1.%2.%3.%4.%5"/>
      <w:lvlJc w:val="left"/>
      <w:pPr>
        <w:tabs>
          <w:tab w:val="left" w:pos="1008"/>
        </w:tabs>
        <w:ind w:left="1008" w:hanging="1008"/>
      </w:pPr>
      <w:rPr>
        <w:rFonts w:hint="eastAsia"/>
        <w:color w:val="0000FF"/>
        <w:spacing w:val="0"/>
        <w:w w:val="100"/>
        <w:position w:val="0"/>
        <w:sz w:val="21"/>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2889AC8"/>
    <w:multiLevelType w:val="singleLevel"/>
    <w:tmpl w:val="02889AC8"/>
    <w:lvl w:ilvl="0" w:tentative="0">
      <w:start w:val="4"/>
      <w:numFmt w:val="chineseCounting"/>
      <w:suff w:val="nothing"/>
      <w:lvlText w:val="%1、"/>
      <w:lvlJc w:val="left"/>
      <w:rPr>
        <w:rFonts w:hint="eastAsia"/>
      </w:r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19693563"/>
    <w:multiLevelType w:val="singleLevel"/>
    <w:tmpl w:val="19693563"/>
    <w:lvl w:ilvl="0" w:tentative="0">
      <w:start w:val="1"/>
      <w:numFmt w:val="decimal"/>
      <w:suff w:val="nothing"/>
      <w:lvlText w:val="（%1）"/>
      <w:lvlJc w:val="left"/>
    </w:lvl>
  </w:abstractNum>
  <w:abstractNum w:abstractNumId="6">
    <w:nsid w:val="1F0CFB36"/>
    <w:multiLevelType w:val="singleLevel"/>
    <w:tmpl w:val="1F0CFB36"/>
    <w:lvl w:ilvl="0" w:tentative="0">
      <w:start w:val="1"/>
      <w:numFmt w:val="decimal"/>
      <w:lvlText w:val="%1."/>
      <w:lvlJc w:val="left"/>
      <w:pPr>
        <w:tabs>
          <w:tab w:val="left" w:pos="312"/>
        </w:tabs>
      </w:pPr>
    </w:lvl>
  </w:abstractNum>
  <w:abstractNum w:abstractNumId="7">
    <w:nsid w:val="209CA051"/>
    <w:multiLevelType w:val="singleLevel"/>
    <w:tmpl w:val="209CA051"/>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33D68BD9"/>
    <w:multiLevelType w:val="singleLevel"/>
    <w:tmpl w:val="33D68BD9"/>
    <w:lvl w:ilvl="0" w:tentative="0">
      <w:start w:val="4"/>
      <w:numFmt w:val="decimal"/>
      <w:suff w:val="nothing"/>
      <w:lvlText w:val="%1、"/>
      <w:lvlJc w:val="left"/>
    </w:lvl>
  </w:abstractNum>
  <w:abstractNum w:abstractNumId="10">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53275264"/>
    <w:multiLevelType w:val="singleLevel"/>
    <w:tmpl w:val="53275264"/>
    <w:lvl w:ilvl="0" w:tentative="0">
      <w:start w:val="1"/>
      <w:numFmt w:val="decimal"/>
      <w:lvlText w:val="%1."/>
      <w:lvlJc w:val="left"/>
      <w:pPr>
        <w:tabs>
          <w:tab w:val="left" w:pos="312"/>
        </w:tabs>
      </w:pPr>
    </w:lvl>
  </w:abstractNum>
  <w:abstractNum w:abstractNumId="13">
    <w:nsid w:val="533AC6CB"/>
    <w:multiLevelType w:val="singleLevel"/>
    <w:tmpl w:val="533AC6CB"/>
    <w:lvl w:ilvl="0" w:tentative="0">
      <w:start w:val="1"/>
      <w:numFmt w:val="decimal"/>
      <w:lvlText w:val="%1."/>
      <w:lvlJc w:val="left"/>
      <w:pPr>
        <w:tabs>
          <w:tab w:val="left" w:pos="312"/>
        </w:tabs>
      </w:pPr>
    </w:lvl>
  </w:abstractNum>
  <w:abstractNum w:abstractNumId="14">
    <w:nsid w:val="5BB975C8"/>
    <w:multiLevelType w:val="singleLevel"/>
    <w:tmpl w:val="5BB975C8"/>
    <w:lvl w:ilvl="0" w:tentative="0">
      <w:start w:val="3"/>
      <w:numFmt w:val="chineseCounting"/>
      <w:suff w:val="space"/>
      <w:lvlText w:val="第%1部分"/>
      <w:lvlJc w:val="left"/>
      <w:rPr>
        <w:rFonts w:hint="eastAsia"/>
      </w:rPr>
    </w:lvl>
  </w:abstractNum>
  <w:abstractNum w:abstractNumId="15">
    <w:nsid w:val="7450AA9F"/>
    <w:multiLevelType w:val="singleLevel"/>
    <w:tmpl w:val="7450AA9F"/>
    <w:lvl w:ilvl="0" w:tentative="0">
      <w:start w:val="3"/>
      <w:numFmt w:val="decimal"/>
      <w:lvlText w:val="%1."/>
      <w:lvlJc w:val="left"/>
      <w:pPr>
        <w:tabs>
          <w:tab w:val="left" w:pos="312"/>
        </w:tabs>
      </w:pPr>
    </w:lvl>
  </w:abstractNum>
  <w:num w:numId="1">
    <w:abstractNumId w:val="2"/>
  </w:num>
  <w:num w:numId="2">
    <w:abstractNumId w:val="15"/>
  </w:num>
  <w:num w:numId="3">
    <w:abstractNumId w:val="14"/>
  </w:num>
  <w:num w:numId="4">
    <w:abstractNumId w:val="3"/>
  </w:num>
  <w:num w:numId="5">
    <w:abstractNumId w:val="9"/>
  </w:num>
  <w:num w:numId="6">
    <w:abstractNumId w:val="7"/>
  </w:num>
  <w:num w:numId="7">
    <w:abstractNumId w:val="12"/>
  </w:num>
  <w:num w:numId="8">
    <w:abstractNumId w:val="6"/>
  </w:num>
  <w:num w:numId="9">
    <w:abstractNumId w:val="13"/>
  </w:num>
  <w:num w:numId="10">
    <w:abstractNumId w:val="0"/>
  </w:num>
  <w:num w:numId="11">
    <w:abstractNumId w:val="1"/>
  </w:num>
  <w:num w:numId="12">
    <w:abstractNumId w:val="10"/>
  </w:num>
  <w:num w:numId="13">
    <w:abstractNumId w:val="5"/>
  </w:num>
  <w:num w:numId="14">
    <w:abstractNumId w:val="8"/>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ZWNiYzNhN2IxZWMzOTRiOWU4N2NiNGRhMDYwY2YifQ=="/>
  </w:docVars>
  <w:rsids>
    <w:rsidRoot w:val="00926757"/>
    <w:rsid w:val="0000659F"/>
    <w:rsid w:val="00033683"/>
    <w:rsid w:val="00035F7B"/>
    <w:rsid w:val="00041660"/>
    <w:rsid w:val="000472D9"/>
    <w:rsid w:val="00055D2E"/>
    <w:rsid w:val="00062E53"/>
    <w:rsid w:val="00077914"/>
    <w:rsid w:val="00081EAA"/>
    <w:rsid w:val="00082C2E"/>
    <w:rsid w:val="000912CE"/>
    <w:rsid w:val="000944C9"/>
    <w:rsid w:val="0009567E"/>
    <w:rsid w:val="0009620B"/>
    <w:rsid w:val="000A1AEE"/>
    <w:rsid w:val="000C0FC4"/>
    <w:rsid w:val="000C7BB2"/>
    <w:rsid w:val="000E19DF"/>
    <w:rsid w:val="00104C5E"/>
    <w:rsid w:val="001052A2"/>
    <w:rsid w:val="0010552D"/>
    <w:rsid w:val="00111A0A"/>
    <w:rsid w:val="00111C03"/>
    <w:rsid w:val="001132E4"/>
    <w:rsid w:val="00153237"/>
    <w:rsid w:val="00160E85"/>
    <w:rsid w:val="00172815"/>
    <w:rsid w:val="00172A51"/>
    <w:rsid w:val="00175ED4"/>
    <w:rsid w:val="00195E54"/>
    <w:rsid w:val="001A03E4"/>
    <w:rsid w:val="001B2B08"/>
    <w:rsid w:val="001B7483"/>
    <w:rsid w:val="001D5327"/>
    <w:rsid w:val="001D6558"/>
    <w:rsid w:val="001E03E1"/>
    <w:rsid w:val="00206184"/>
    <w:rsid w:val="002076A9"/>
    <w:rsid w:val="00214081"/>
    <w:rsid w:val="00225AD7"/>
    <w:rsid w:val="00240FB5"/>
    <w:rsid w:val="002515A2"/>
    <w:rsid w:val="0025552E"/>
    <w:rsid w:val="002676BE"/>
    <w:rsid w:val="0027193B"/>
    <w:rsid w:val="00291364"/>
    <w:rsid w:val="0029140F"/>
    <w:rsid w:val="002A7385"/>
    <w:rsid w:val="002B0213"/>
    <w:rsid w:val="002B24BE"/>
    <w:rsid w:val="002B4776"/>
    <w:rsid w:val="002B4899"/>
    <w:rsid w:val="002C08E7"/>
    <w:rsid w:val="002D010A"/>
    <w:rsid w:val="002D485F"/>
    <w:rsid w:val="002E0F5A"/>
    <w:rsid w:val="002E14B2"/>
    <w:rsid w:val="002F23F2"/>
    <w:rsid w:val="00303C57"/>
    <w:rsid w:val="0030684B"/>
    <w:rsid w:val="00307400"/>
    <w:rsid w:val="003126A6"/>
    <w:rsid w:val="00315243"/>
    <w:rsid w:val="0032269A"/>
    <w:rsid w:val="00323181"/>
    <w:rsid w:val="0032587F"/>
    <w:rsid w:val="00340ED5"/>
    <w:rsid w:val="0036573E"/>
    <w:rsid w:val="00367D30"/>
    <w:rsid w:val="00370553"/>
    <w:rsid w:val="00375187"/>
    <w:rsid w:val="00375D50"/>
    <w:rsid w:val="00376823"/>
    <w:rsid w:val="003920F2"/>
    <w:rsid w:val="00393E68"/>
    <w:rsid w:val="003953FE"/>
    <w:rsid w:val="003A4370"/>
    <w:rsid w:val="003A6725"/>
    <w:rsid w:val="003C4C37"/>
    <w:rsid w:val="003C4FBB"/>
    <w:rsid w:val="003D1C3F"/>
    <w:rsid w:val="003D662C"/>
    <w:rsid w:val="003F6056"/>
    <w:rsid w:val="003F6783"/>
    <w:rsid w:val="00412C63"/>
    <w:rsid w:val="004155F0"/>
    <w:rsid w:val="00416E3B"/>
    <w:rsid w:val="004254BF"/>
    <w:rsid w:val="004365A1"/>
    <w:rsid w:val="00436E62"/>
    <w:rsid w:val="00436FDE"/>
    <w:rsid w:val="004373A3"/>
    <w:rsid w:val="0045096A"/>
    <w:rsid w:val="004628F6"/>
    <w:rsid w:val="00462F5F"/>
    <w:rsid w:val="00464A32"/>
    <w:rsid w:val="004A0957"/>
    <w:rsid w:val="004A2D19"/>
    <w:rsid w:val="004A7203"/>
    <w:rsid w:val="004B6B0F"/>
    <w:rsid w:val="004C38C5"/>
    <w:rsid w:val="004C6FFB"/>
    <w:rsid w:val="004D0667"/>
    <w:rsid w:val="004D0912"/>
    <w:rsid w:val="004E3011"/>
    <w:rsid w:val="004E4D74"/>
    <w:rsid w:val="004F4056"/>
    <w:rsid w:val="00504D6F"/>
    <w:rsid w:val="00521C43"/>
    <w:rsid w:val="00525223"/>
    <w:rsid w:val="00534CF9"/>
    <w:rsid w:val="0055321A"/>
    <w:rsid w:val="0055465B"/>
    <w:rsid w:val="00563FD7"/>
    <w:rsid w:val="00565A6A"/>
    <w:rsid w:val="00567935"/>
    <w:rsid w:val="00567DB4"/>
    <w:rsid w:val="005704C8"/>
    <w:rsid w:val="005766DD"/>
    <w:rsid w:val="00592761"/>
    <w:rsid w:val="00596C28"/>
    <w:rsid w:val="005A45A3"/>
    <w:rsid w:val="005B164F"/>
    <w:rsid w:val="005C3FC5"/>
    <w:rsid w:val="005C7E40"/>
    <w:rsid w:val="005D46AE"/>
    <w:rsid w:val="005D7FA6"/>
    <w:rsid w:val="005E07D9"/>
    <w:rsid w:val="005E1AF0"/>
    <w:rsid w:val="005F0C70"/>
    <w:rsid w:val="005F530A"/>
    <w:rsid w:val="00604BD6"/>
    <w:rsid w:val="0060795A"/>
    <w:rsid w:val="006106D7"/>
    <w:rsid w:val="00631291"/>
    <w:rsid w:val="0065484F"/>
    <w:rsid w:val="00662AC3"/>
    <w:rsid w:val="00663130"/>
    <w:rsid w:val="00666D3A"/>
    <w:rsid w:val="0067589A"/>
    <w:rsid w:val="0068763C"/>
    <w:rsid w:val="00696D4F"/>
    <w:rsid w:val="006B27D4"/>
    <w:rsid w:val="006C3C77"/>
    <w:rsid w:val="006C4C09"/>
    <w:rsid w:val="006C77D7"/>
    <w:rsid w:val="006D1492"/>
    <w:rsid w:val="006E280C"/>
    <w:rsid w:val="006E363D"/>
    <w:rsid w:val="006F2B08"/>
    <w:rsid w:val="006F3F8A"/>
    <w:rsid w:val="006F7C8A"/>
    <w:rsid w:val="0070766A"/>
    <w:rsid w:val="00716576"/>
    <w:rsid w:val="007251DC"/>
    <w:rsid w:val="0073514F"/>
    <w:rsid w:val="007711E5"/>
    <w:rsid w:val="00777158"/>
    <w:rsid w:val="007776AF"/>
    <w:rsid w:val="007817D0"/>
    <w:rsid w:val="007817F8"/>
    <w:rsid w:val="007848A1"/>
    <w:rsid w:val="00787EEA"/>
    <w:rsid w:val="00795878"/>
    <w:rsid w:val="007B02A3"/>
    <w:rsid w:val="007C5D00"/>
    <w:rsid w:val="007D510D"/>
    <w:rsid w:val="007D65FF"/>
    <w:rsid w:val="007D69E3"/>
    <w:rsid w:val="007D76EB"/>
    <w:rsid w:val="007E15B6"/>
    <w:rsid w:val="00814586"/>
    <w:rsid w:val="00817A4D"/>
    <w:rsid w:val="0082124A"/>
    <w:rsid w:val="0082313E"/>
    <w:rsid w:val="00831A68"/>
    <w:rsid w:val="0083282B"/>
    <w:rsid w:val="00832C8E"/>
    <w:rsid w:val="008352D3"/>
    <w:rsid w:val="00836DE1"/>
    <w:rsid w:val="00837625"/>
    <w:rsid w:val="008403BB"/>
    <w:rsid w:val="0086666D"/>
    <w:rsid w:val="00892C71"/>
    <w:rsid w:val="008A5114"/>
    <w:rsid w:val="008B2B0E"/>
    <w:rsid w:val="008B2B90"/>
    <w:rsid w:val="008C6CD8"/>
    <w:rsid w:val="008C7E64"/>
    <w:rsid w:val="008D06F5"/>
    <w:rsid w:val="008D630D"/>
    <w:rsid w:val="008E4D44"/>
    <w:rsid w:val="008E6288"/>
    <w:rsid w:val="008F7D68"/>
    <w:rsid w:val="0090723E"/>
    <w:rsid w:val="009102ED"/>
    <w:rsid w:val="00920C2B"/>
    <w:rsid w:val="00926757"/>
    <w:rsid w:val="0093516D"/>
    <w:rsid w:val="00943A3E"/>
    <w:rsid w:val="009553B7"/>
    <w:rsid w:val="00955D6B"/>
    <w:rsid w:val="00955E6C"/>
    <w:rsid w:val="00957886"/>
    <w:rsid w:val="0098733D"/>
    <w:rsid w:val="009972B3"/>
    <w:rsid w:val="009A2229"/>
    <w:rsid w:val="009C0BFD"/>
    <w:rsid w:val="009C1BAB"/>
    <w:rsid w:val="009D0295"/>
    <w:rsid w:val="009D6CF2"/>
    <w:rsid w:val="009F2CF3"/>
    <w:rsid w:val="009F679E"/>
    <w:rsid w:val="00A014D7"/>
    <w:rsid w:val="00A07F5D"/>
    <w:rsid w:val="00A12169"/>
    <w:rsid w:val="00A17A74"/>
    <w:rsid w:val="00A31488"/>
    <w:rsid w:val="00A472AD"/>
    <w:rsid w:val="00A509CC"/>
    <w:rsid w:val="00A613B9"/>
    <w:rsid w:val="00A62C8E"/>
    <w:rsid w:val="00A64854"/>
    <w:rsid w:val="00A66C00"/>
    <w:rsid w:val="00AB5B94"/>
    <w:rsid w:val="00AC7582"/>
    <w:rsid w:val="00AD6A74"/>
    <w:rsid w:val="00AD765E"/>
    <w:rsid w:val="00AE0CC1"/>
    <w:rsid w:val="00AE154E"/>
    <w:rsid w:val="00AF2A74"/>
    <w:rsid w:val="00B028A5"/>
    <w:rsid w:val="00B03672"/>
    <w:rsid w:val="00B043EE"/>
    <w:rsid w:val="00B075EA"/>
    <w:rsid w:val="00B21C11"/>
    <w:rsid w:val="00B2310E"/>
    <w:rsid w:val="00B27485"/>
    <w:rsid w:val="00B40224"/>
    <w:rsid w:val="00B62025"/>
    <w:rsid w:val="00B63C0A"/>
    <w:rsid w:val="00B91F48"/>
    <w:rsid w:val="00BA7695"/>
    <w:rsid w:val="00BA7A8C"/>
    <w:rsid w:val="00BB0B08"/>
    <w:rsid w:val="00BB32BF"/>
    <w:rsid w:val="00BC50E9"/>
    <w:rsid w:val="00BE5762"/>
    <w:rsid w:val="00BF13DB"/>
    <w:rsid w:val="00BF46A8"/>
    <w:rsid w:val="00C01D38"/>
    <w:rsid w:val="00C13E23"/>
    <w:rsid w:val="00C14E72"/>
    <w:rsid w:val="00C2335A"/>
    <w:rsid w:val="00C24CD4"/>
    <w:rsid w:val="00C259B3"/>
    <w:rsid w:val="00C27B69"/>
    <w:rsid w:val="00C3079E"/>
    <w:rsid w:val="00C3721C"/>
    <w:rsid w:val="00C472BF"/>
    <w:rsid w:val="00C638E8"/>
    <w:rsid w:val="00C75CAF"/>
    <w:rsid w:val="00C83BAB"/>
    <w:rsid w:val="00C83C41"/>
    <w:rsid w:val="00C919E5"/>
    <w:rsid w:val="00C92C7C"/>
    <w:rsid w:val="00CA3AC9"/>
    <w:rsid w:val="00CA5501"/>
    <w:rsid w:val="00CB1F8A"/>
    <w:rsid w:val="00CB41B6"/>
    <w:rsid w:val="00CC235A"/>
    <w:rsid w:val="00CC30E3"/>
    <w:rsid w:val="00CD36C7"/>
    <w:rsid w:val="00CE2326"/>
    <w:rsid w:val="00CE5CF5"/>
    <w:rsid w:val="00D164FF"/>
    <w:rsid w:val="00D17F56"/>
    <w:rsid w:val="00D201F4"/>
    <w:rsid w:val="00D273CE"/>
    <w:rsid w:val="00D43EBD"/>
    <w:rsid w:val="00D8068F"/>
    <w:rsid w:val="00D8086D"/>
    <w:rsid w:val="00D81827"/>
    <w:rsid w:val="00D86376"/>
    <w:rsid w:val="00D91733"/>
    <w:rsid w:val="00DB2184"/>
    <w:rsid w:val="00DB5EC3"/>
    <w:rsid w:val="00DF2080"/>
    <w:rsid w:val="00DF22B9"/>
    <w:rsid w:val="00DF6F11"/>
    <w:rsid w:val="00DF7A61"/>
    <w:rsid w:val="00E12EAA"/>
    <w:rsid w:val="00E22C84"/>
    <w:rsid w:val="00E30AB3"/>
    <w:rsid w:val="00E30BA3"/>
    <w:rsid w:val="00E3495F"/>
    <w:rsid w:val="00E500A2"/>
    <w:rsid w:val="00E63BBC"/>
    <w:rsid w:val="00E64C51"/>
    <w:rsid w:val="00E67EB8"/>
    <w:rsid w:val="00E7168A"/>
    <w:rsid w:val="00E7200E"/>
    <w:rsid w:val="00E83AE2"/>
    <w:rsid w:val="00EA2156"/>
    <w:rsid w:val="00EB0B71"/>
    <w:rsid w:val="00EB0FEF"/>
    <w:rsid w:val="00EC07C2"/>
    <w:rsid w:val="00EC3759"/>
    <w:rsid w:val="00EF2882"/>
    <w:rsid w:val="00EF3356"/>
    <w:rsid w:val="00F13BA1"/>
    <w:rsid w:val="00F13CCC"/>
    <w:rsid w:val="00F2031B"/>
    <w:rsid w:val="00F22EE3"/>
    <w:rsid w:val="00F26CC5"/>
    <w:rsid w:val="00F40096"/>
    <w:rsid w:val="00F40AB7"/>
    <w:rsid w:val="00F64B1C"/>
    <w:rsid w:val="00F720CE"/>
    <w:rsid w:val="00F73F50"/>
    <w:rsid w:val="00F87C38"/>
    <w:rsid w:val="00F934BB"/>
    <w:rsid w:val="00FB0B6C"/>
    <w:rsid w:val="00FC70C8"/>
    <w:rsid w:val="00FC7A0B"/>
    <w:rsid w:val="00FC7B7A"/>
    <w:rsid w:val="02610037"/>
    <w:rsid w:val="02855A64"/>
    <w:rsid w:val="050E41CD"/>
    <w:rsid w:val="06EF134C"/>
    <w:rsid w:val="08A1075B"/>
    <w:rsid w:val="0AED019C"/>
    <w:rsid w:val="0C226901"/>
    <w:rsid w:val="13C03E26"/>
    <w:rsid w:val="164C3F83"/>
    <w:rsid w:val="16C970AC"/>
    <w:rsid w:val="1987012D"/>
    <w:rsid w:val="1C3108B2"/>
    <w:rsid w:val="1F281F89"/>
    <w:rsid w:val="22200DEB"/>
    <w:rsid w:val="25702416"/>
    <w:rsid w:val="297F1B05"/>
    <w:rsid w:val="2A476372"/>
    <w:rsid w:val="2B38083D"/>
    <w:rsid w:val="2C7F55A5"/>
    <w:rsid w:val="2E1113A3"/>
    <w:rsid w:val="30ED1751"/>
    <w:rsid w:val="33490667"/>
    <w:rsid w:val="3D314F5D"/>
    <w:rsid w:val="4169149A"/>
    <w:rsid w:val="43141ABD"/>
    <w:rsid w:val="46C165CA"/>
    <w:rsid w:val="480E36C9"/>
    <w:rsid w:val="4C6C4800"/>
    <w:rsid w:val="4E8C095C"/>
    <w:rsid w:val="531F3916"/>
    <w:rsid w:val="5381391E"/>
    <w:rsid w:val="53DF63E7"/>
    <w:rsid w:val="55C2222C"/>
    <w:rsid w:val="56225921"/>
    <w:rsid w:val="637C2F6C"/>
    <w:rsid w:val="646C3B86"/>
    <w:rsid w:val="6976003F"/>
    <w:rsid w:val="6AEC0F4D"/>
    <w:rsid w:val="6C690350"/>
    <w:rsid w:val="6D9E2FAE"/>
    <w:rsid w:val="6ED12088"/>
    <w:rsid w:val="719D1833"/>
    <w:rsid w:val="754167EA"/>
    <w:rsid w:val="77581AC5"/>
    <w:rsid w:val="79995A37"/>
    <w:rsid w:val="79BD40F6"/>
    <w:rsid w:val="7AF2104C"/>
    <w:rsid w:val="7B116A9C"/>
    <w:rsid w:val="7BE70F4E"/>
    <w:rsid w:val="7D874ED3"/>
    <w:rsid w:val="7E22212E"/>
    <w:rsid w:val="7F3D7CD9"/>
    <w:rsid w:val="B8CF1B78"/>
    <w:rsid w:val="BAFFF6D3"/>
    <w:rsid w:val="F3770530"/>
    <w:rsid w:val="FFCDE6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72"/>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autoRedefine/>
    <w:qFormat/>
    <w:uiPriority w:val="0"/>
    <w:pPr>
      <w:keepNext/>
      <w:keepLines/>
      <w:spacing w:before="260" w:after="260" w:line="412" w:lineRule="auto"/>
      <w:outlineLvl w:val="1"/>
    </w:pPr>
    <w:rPr>
      <w:rFonts w:ascii="Arial" w:hAnsi="Arial" w:eastAsia="宋体" w:cs="Times New Roman"/>
      <w:b/>
      <w:sz w:val="32"/>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ind w:firstLine="200" w:firstLineChars="200"/>
    </w:pPr>
    <w:rPr>
      <w:rFonts w:ascii="Arial" w:hAnsi="Arial" w:eastAsia="宋体" w:cs="Times New Roman"/>
      <w:spacing w:val="-5"/>
      <w:kern w:val="0"/>
      <w:sz w:val="24"/>
      <w:szCs w:val="20"/>
    </w:rPr>
  </w:style>
  <w:style w:type="paragraph" w:styleId="3">
    <w:name w:val="Body Text"/>
    <w:basedOn w:val="1"/>
    <w:next w:val="4"/>
    <w:link w:val="34"/>
    <w:autoRedefine/>
    <w:unhideWhenUsed/>
    <w:qFormat/>
    <w:uiPriority w:val="0"/>
    <w:pPr>
      <w:spacing w:after="120"/>
    </w:pPr>
  </w:style>
  <w:style w:type="paragraph" w:styleId="4">
    <w:name w:val="Body Text First Indent"/>
    <w:basedOn w:val="3"/>
    <w:link w:val="35"/>
    <w:autoRedefine/>
    <w:qFormat/>
    <w:uiPriority w:val="0"/>
    <w:pPr>
      <w:widowControl/>
      <w:ind w:firstLine="240" w:firstLineChars="100"/>
      <w:jc w:val="left"/>
    </w:pPr>
    <w:rPr>
      <w:rFonts w:ascii="仿宋_GB2312" w:hAnsi="仿宋_GB2312" w:eastAsia="仿宋_GB2312" w:cs="仿宋_GB2312"/>
      <w:color w:val="000000" w:themeColor="text1"/>
      <w:kern w:val="0"/>
      <w:sz w:val="24"/>
      <w:szCs w:val="24"/>
      <w:lang w:bidi="en-US"/>
      <w14:textFill>
        <w14:solidFill>
          <w14:schemeClr w14:val="tx1"/>
        </w14:solidFill>
      </w14:textFill>
    </w:rPr>
  </w:style>
  <w:style w:type="paragraph" w:styleId="7">
    <w:name w:val="List Number"/>
    <w:basedOn w:val="1"/>
    <w:autoRedefine/>
    <w:qFormat/>
    <w:uiPriority w:val="0"/>
    <w:pPr>
      <w:widowControl/>
      <w:tabs>
        <w:tab w:val="left" w:pos="360"/>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53"/>
    <w:autoRedefine/>
    <w:qFormat/>
    <w:uiPriority w:val="0"/>
    <w:pPr>
      <w:ind w:firstLine="420"/>
    </w:pPr>
    <w:rPr>
      <w:rFonts w:eastAsia="宋体"/>
    </w:rPr>
  </w:style>
  <w:style w:type="paragraph" w:styleId="9">
    <w:name w:val="Document Map"/>
    <w:basedOn w:val="1"/>
    <w:link w:val="32"/>
    <w:autoRedefine/>
    <w:semiHidden/>
    <w:unhideWhenUsed/>
    <w:qFormat/>
    <w:uiPriority w:val="99"/>
    <w:rPr>
      <w:rFonts w:ascii="宋体" w:eastAsia="宋体"/>
      <w:sz w:val="18"/>
      <w:szCs w:val="18"/>
    </w:rPr>
  </w:style>
  <w:style w:type="paragraph" w:styleId="10">
    <w:name w:val="annotation text"/>
    <w:basedOn w:val="1"/>
    <w:link w:val="51"/>
    <w:autoRedefine/>
    <w:unhideWhenUsed/>
    <w:qFormat/>
    <w:uiPriority w:val="0"/>
    <w:pPr>
      <w:jc w:val="left"/>
    </w:pPr>
  </w:style>
  <w:style w:type="paragraph" w:styleId="11">
    <w:name w:val="Body Text Indent"/>
    <w:basedOn w:val="1"/>
    <w:link w:val="31"/>
    <w:autoRedefine/>
    <w:qFormat/>
    <w:uiPriority w:val="0"/>
    <w:pPr>
      <w:spacing w:line="480" w:lineRule="exact"/>
      <w:ind w:firstLine="480" w:firstLineChars="200"/>
    </w:pPr>
    <w:rPr>
      <w:rFonts w:ascii="宋体" w:hAnsi="宋体"/>
      <w:sz w:val="24"/>
    </w:rPr>
  </w:style>
  <w:style w:type="paragraph" w:styleId="12">
    <w:name w:val="Block Text"/>
    <w:basedOn w:val="1"/>
    <w:next w:val="1"/>
    <w:autoRedefine/>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3">
    <w:name w:val="Plain Text"/>
    <w:basedOn w:val="1"/>
    <w:next w:val="1"/>
    <w:link w:val="36"/>
    <w:autoRedefine/>
    <w:qFormat/>
    <w:uiPriority w:val="0"/>
    <w:rPr>
      <w:rFonts w:ascii="宋体" w:hAnsi="Courier New" w:eastAsia="Times New Roman" w:cs="宋体"/>
      <w:sz w:val="30"/>
      <w:szCs w:val="30"/>
    </w:rPr>
  </w:style>
  <w:style w:type="paragraph" w:styleId="14">
    <w:name w:val="Date"/>
    <w:basedOn w:val="1"/>
    <w:next w:val="1"/>
    <w:link w:val="46"/>
    <w:autoRedefine/>
    <w:unhideWhenUsed/>
    <w:qFormat/>
    <w:uiPriority w:val="99"/>
    <w:pPr>
      <w:ind w:left="100" w:leftChars="2500"/>
    </w:pPr>
  </w:style>
  <w:style w:type="paragraph" w:styleId="15">
    <w:name w:val="Balloon Text"/>
    <w:basedOn w:val="1"/>
    <w:link w:val="38"/>
    <w:autoRedefine/>
    <w:unhideWhenUsed/>
    <w:qFormat/>
    <w:uiPriority w:val="99"/>
    <w:rPr>
      <w:sz w:val="18"/>
      <w:szCs w:val="18"/>
    </w:rPr>
  </w:style>
  <w:style w:type="paragraph" w:styleId="16">
    <w:name w:val="footer"/>
    <w:basedOn w:val="1"/>
    <w:link w:val="39"/>
    <w:autoRedefine/>
    <w:unhideWhenUsed/>
    <w:qFormat/>
    <w:uiPriority w:val="99"/>
    <w:pPr>
      <w:tabs>
        <w:tab w:val="center" w:pos="4153"/>
        <w:tab w:val="right" w:pos="8306"/>
      </w:tabs>
      <w:snapToGrid w:val="0"/>
      <w:jc w:val="left"/>
    </w:pPr>
    <w:rPr>
      <w:sz w:val="18"/>
      <w:szCs w:val="18"/>
    </w:rPr>
  </w:style>
  <w:style w:type="paragraph" w:styleId="17">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41"/>
    <w:autoRedefine/>
    <w:qFormat/>
    <w:uiPriority w:val="11"/>
    <w:pPr>
      <w:adjustRightInd w:val="0"/>
      <w:snapToGrid w:val="0"/>
      <w:spacing w:before="240" w:after="480"/>
      <w:jc w:val="center"/>
    </w:pPr>
    <w:rPr>
      <w:rFonts w:ascii="Arial" w:hAnsi="Arial" w:eastAsia="隶书"/>
      <w:b/>
      <w:bCs/>
      <w:kern w:val="28"/>
      <w:sz w:val="44"/>
      <w:szCs w:val="32"/>
    </w:rPr>
  </w:style>
  <w:style w:type="paragraph" w:styleId="19">
    <w:name w:val="toc 2"/>
    <w:basedOn w:val="1"/>
    <w:next w:val="1"/>
    <w:autoRedefine/>
    <w:qFormat/>
    <w:uiPriority w:val="0"/>
    <w:pPr>
      <w:widowControl/>
      <w:spacing w:before="120"/>
      <w:ind w:left="240"/>
      <w:jc w:val="left"/>
    </w:pPr>
    <w:rPr>
      <w:b/>
      <w:bCs/>
      <w:kern w:val="0"/>
      <w:sz w:val="22"/>
    </w:rPr>
  </w:style>
  <w:style w:type="paragraph" w:styleId="20">
    <w:name w:val="Normal (Web)"/>
    <w:basedOn w:val="1"/>
    <w:autoRedefine/>
    <w:unhideWhenUsed/>
    <w:qFormat/>
    <w:uiPriority w:val="99"/>
    <w:pPr>
      <w:spacing w:beforeAutospacing="1" w:afterAutospacing="1"/>
      <w:jc w:val="left"/>
    </w:pPr>
    <w:rPr>
      <w:rFonts w:cs="Times New Roman"/>
      <w:kern w:val="0"/>
      <w:sz w:val="24"/>
    </w:rPr>
  </w:style>
  <w:style w:type="paragraph" w:styleId="21">
    <w:name w:val="Title"/>
    <w:basedOn w:val="1"/>
    <w:next w:val="1"/>
    <w:link w:val="42"/>
    <w:autoRedefine/>
    <w:qFormat/>
    <w:uiPriority w:val="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paragraph" w:styleId="22">
    <w:name w:val="annotation subject"/>
    <w:basedOn w:val="10"/>
    <w:next w:val="10"/>
    <w:link w:val="52"/>
    <w:autoRedefine/>
    <w:unhideWhenUsed/>
    <w:qFormat/>
    <w:uiPriority w:val="99"/>
    <w:rPr>
      <w:b/>
      <w:bCs/>
    </w:rPr>
  </w:style>
  <w:style w:type="paragraph" w:styleId="23">
    <w:name w:val="Body Text First Indent 2"/>
    <w:basedOn w:val="11"/>
    <w:link w:val="44"/>
    <w:autoRedefine/>
    <w:semiHidden/>
    <w:unhideWhenUsed/>
    <w:qFormat/>
    <w:uiPriority w:val="99"/>
    <w:pPr>
      <w:spacing w:after="120" w:line="240" w:lineRule="auto"/>
      <w:ind w:left="420" w:leftChars="200" w:firstLine="420"/>
    </w:pPr>
    <w:rPr>
      <w:rFonts w:asciiTheme="minorHAnsi" w:hAnsiTheme="minorHAnsi"/>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Hyperlink"/>
    <w:basedOn w:val="26"/>
    <w:autoRedefine/>
    <w:unhideWhenUsed/>
    <w:qFormat/>
    <w:uiPriority w:val="99"/>
    <w:rPr>
      <w:color w:val="0000FF" w:themeColor="hyperlink"/>
      <w:u w:val="single"/>
      <w14:textFill>
        <w14:solidFill>
          <w14:schemeClr w14:val="hlink"/>
        </w14:solidFill>
      </w14:textFill>
    </w:rPr>
  </w:style>
  <w:style w:type="character" w:styleId="29">
    <w:name w:val="annotation reference"/>
    <w:basedOn w:val="26"/>
    <w:autoRedefine/>
    <w:qFormat/>
    <w:uiPriority w:val="0"/>
    <w:rPr>
      <w:sz w:val="21"/>
      <w:szCs w:val="21"/>
    </w:rPr>
  </w:style>
  <w:style w:type="character" w:customStyle="1" w:styleId="30">
    <w:name w:val="标题 2 Char"/>
    <w:basedOn w:val="26"/>
    <w:link w:val="6"/>
    <w:autoRedefine/>
    <w:qFormat/>
    <w:uiPriority w:val="0"/>
    <w:rPr>
      <w:rFonts w:ascii="Arial" w:hAnsi="Arial" w:eastAsia="宋体" w:cs="Times New Roman"/>
      <w:b/>
      <w:sz w:val="32"/>
      <w:szCs w:val="28"/>
    </w:rPr>
  </w:style>
  <w:style w:type="character" w:customStyle="1" w:styleId="31">
    <w:name w:val="正文文本缩进 Char"/>
    <w:basedOn w:val="26"/>
    <w:link w:val="11"/>
    <w:autoRedefine/>
    <w:qFormat/>
    <w:uiPriority w:val="0"/>
    <w:rPr>
      <w:rFonts w:ascii="宋体" w:hAnsi="宋体"/>
      <w:sz w:val="24"/>
    </w:rPr>
  </w:style>
  <w:style w:type="character" w:customStyle="1" w:styleId="32">
    <w:name w:val="文档结构图 Char"/>
    <w:basedOn w:val="26"/>
    <w:link w:val="9"/>
    <w:autoRedefine/>
    <w:semiHidden/>
    <w:qFormat/>
    <w:uiPriority w:val="99"/>
    <w:rPr>
      <w:rFonts w:ascii="宋体" w:eastAsia="宋体"/>
      <w:sz w:val="18"/>
      <w:szCs w:val="18"/>
    </w:rPr>
  </w:style>
  <w:style w:type="character" w:customStyle="1" w:styleId="33">
    <w:name w:val="批注文字 Char"/>
    <w:basedOn w:val="26"/>
    <w:autoRedefine/>
    <w:qFormat/>
    <w:uiPriority w:val="0"/>
  </w:style>
  <w:style w:type="character" w:customStyle="1" w:styleId="34">
    <w:name w:val="正文文本 Char"/>
    <w:basedOn w:val="26"/>
    <w:link w:val="3"/>
    <w:autoRedefine/>
    <w:qFormat/>
    <w:uiPriority w:val="0"/>
  </w:style>
  <w:style w:type="character" w:customStyle="1" w:styleId="35">
    <w:name w:val="正文首行缩进 Char"/>
    <w:basedOn w:val="34"/>
    <w:link w:val="4"/>
    <w:autoRedefine/>
    <w:qFormat/>
    <w:uiPriority w:val="0"/>
    <w:rPr>
      <w:rFonts w:ascii="仿宋_GB2312" w:hAnsi="仿宋_GB2312" w:eastAsia="仿宋_GB2312" w:cs="仿宋_GB2312"/>
      <w:color w:val="000000" w:themeColor="text1"/>
      <w:sz w:val="24"/>
      <w:szCs w:val="24"/>
      <w:lang w:bidi="en-US"/>
      <w14:textFill>
        <w14:solidFill>
          <w14:schemeClr w14:val="tx1"/>
        </w14:solidFill>
      </w14:textFill>
    </w:rPr>
  </w:style>
  <w:style w:type="character" w:customStyle="1" w:styleId="36">
    <w:name w:val="纯文本 Char"/>
    <w:basedOn w:val="26"/>
    <w:link w:val="13"/>
    <w:autoRedefine/>
    <w:qFormat/>
    <w:uiPriority w:val="0"/>
    <w:rPr>
      <w:rFonts w:ascii="宋体" w:hAnsi="Courier New" w:eastAsia="Times New Roman" w:cs="宋体"/>
      <w:sz w:val="30"/>
      <w:szCs w:val="30"/>
    </w:rPr>
  </w:style>
  <w:style w:type="character" w:customStyle="1" w:styleId="37">
    <w:name w:val="日期 Char"/>
    <w:basedOn w:val="26"/>
    <w:autoRedefine/>
    <w:semiHidden/>
    <w:qFormat/>
    <w:uiPriority w:val="99"/>
  </w:style>
  <w:style w:type="character" w:customStyle="1" w:styleId="38">
    <w:name w:val="批注框文本 Char"/>
    <w:basedOn w:val="26"/>
    <w:link w:val="15"/>
    <w:autoRedefine/>
    <w:qFormat/>
    <w:uiPriority w:val="99"/>
    <w:rPr>
      <w:sz w:val="18"/>
      <w:szCs w:val="18"/>
    </w:rPr>
  </w:style>
  <w:style w:type="character" w:customStyle="1" w:styleId="39">
    <w:name w:val="页脚 Char"/>
    <w:basedOn w:val="26"/>
    <w:link w:val="16"/>
    <w:autoRedefine/>
    <w:qFormat/>
    <w:uiPriority w:val="99"/>
    <w:rPr>
      <w:sz w:val="18"/>
      <w:szCs w:val="18"/>
    </w:rPr>
  </w:style>
  <w:style w:type="character" w:customStyle="1" w:styleId="40">
    <w:name w:val="页眉 Char"/>
    <w:basedOn w:val="26"/>
    <w:link w:val="17"/>
    <w:autoRedefine/>
    <w:qFormat/>
    <w:uiPriority w:val="99"/>
    <w:rPr>
      <w:sz w:val="18"/>
      <w:szCs w:val="18"/>
    </w:rPr>
  </w:style>
  <w:style w:type="character" w:customStyle="1" w:styleId="41">
    <w:name w:val="副标题 Char"/>
    <w:basedOn w:val="26"/>
    <w:link w:val="18"/>
    <w:autoRedefine/>
    <w:qFormat/>
    <w:uiPriority w:val="11"/>
    <w:rPr>
      <w:rFonts w:ascii="Arial" w:hAnsi="Arial" w:eastAsia="隶书"/>
      <w:b/>
      <w:bCs/>
      <w:kern w:val="28"/>
      <w:sz w:val="44"/>
      <w:szCs w:val="32"/>
    </w:rPr>
  </w:style>
  <w:style w:type="character" w:customStyle="1" w:styleId="42">
    <w:name w:val="标题 Char"/>
    <w:basedOn w:val="26"/>
    <w:link w:val="21"/>
    <w:autoRedefine/>
    <w:qFormat/>
    <w:uiPriority w:val="0"/>
    <w:rPr>
      <w:rFonts w:asciiTheme="majorHAnsi" w:hAnsiTheme="majorHAnsi" w:eastAsiaTheme="majorEastAsia" w:cstheme="majorBidi"/>
      <w:b/>
      <w:bCs/>
      <w:kern w:val="28"/>
      <w:sz w:val="32"/>
      <w:szCs w:val="32"/>
      <w:lang w:eastAsia="en-US" w:bidi="en-US"/>
    </w:rPr>
  </w:style>
  <w:style w:type="character" w:customStyle="1" w:styleId="43">
    <w:name w:val="批注主题 Char"/>
    <w:basedOn w:val="33"/>
    <w:autoRedefine/>
    <w:semiHidden/>
    <w:qFormat/>
    <w:uiPriority w:val="99"/>
    <w:rPr>
      <w:b/>
      <w:bCs/>
    </w:rPr>
  </w:style>
  <w:style w:type="character" w:customStyle="1" w:styleId="44">
    <w:name w:val="正文首行缩进 2 Char"/>
    <w:basedOn w:val="31"/>
    <w:link w:val="23"/>
    <w:autoRedefine/>
    <w:semiHidden/>
    <w:qFormat/>
    <w:uiPriority w:val="99"/>
    <w:rPr>
      <w:rFonts w:ascii="宋体" w:hAnsi="宋体"/>
      <w:sz w:val="24"/>
    </w:rPr>
  </w:style>
  <w:style w:type="paragraph" w:customStyle="1" w:styleId="45">
    <w:name w:val="[Normal]"/>
    <w:autoRedefine/>
    <w:qFormat/>
    <w:uiPriority w:val="0"/>
    <w:rPr>
      <w:rFonts w:ascii="宋体" w:hAnsi="宋体" w:eastAsia="宋体" w:cs="Times New Roman"/>
      <w:sz w:val="24"/>
      <w:szCs w:val="22"/>
      <w:lang w:val="zh-CN" w:eastAsia="zh-CN" w:bidi="ar-SA"/>
    </w:rPr>
  </w:style>
  <w:style w:type="character" w:customStyle="1" w:styleId="46">
    <w:name w:val="日期 Char1"/>
    <w:basedOn w:val="26"/>
    <w:link w:val="14"/>
    <w:autoRedefine/>
    <w:qFormat/>
    <w:uiPriority w:val="99"/>
  </w:style>
  <w:style w:type="paragraph" w:customStyle="1" w:styleId="47">
    <w:name w:val="列出段落1"/>
    <w:basedOn w:val="1"/>
    <w:qFormat/>
    <w:uiPriority w:val="34"/>
    <w:pPr>
      <w:ind w:firstLine="420" w:firstLineChars="200"/>
    </w:pPr>
  </w:style>
  <w:style w:type="paragraph" w:customStyle="1" w:styleId="48">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49">
    <w:name w:val="正文缩进1"/>
    <w:basedOn w:val="1"/>
    <w:autoRedefine/>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50">
    <w:name w:val="索引 11"/>
    <w:basedOn w:val="1"/>
    <w:next w:val="1"/>
    <w:autoRedefine/>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character" w:customStyle="1" w:styleId="51">
    <w:name w:val="批注文字 Char1"/>
    <w:basedOn w:val="26"/>
    <w:link w:val="10"/>
    <w:autoRedefine/>
    <w:qFormat/>
    <w:uiPriority w:val="0"/>
  </w:style>
  <w:style w:type="character" w:customStyle="1" w:styleId="52">
    <w:name w:val="批注主题 Char1"/>
    <w:basedOn w:val="51"/>
    <w:link w:val="22"/>
    <w:autoRedefine/>
    <w:qFormat/>
    <w:uiPriority w:val="99"/>
    <w:rPr>
      <w:b/>
      <w:bCs/>
    </w:rPr>
  </w:style>
  <w:style w:type="character" w:customStyle="1" w:styleId="53">
    <w:name w:val="正文缩进 Char"/>
    <w:link w:val="8"/>
    <w:autoRedefine/>
    <w:qFormat/>
    <w:uiPriority w:val="0"/>
    <w:rPr>
      <w:rFonts w:eastAsia="宋体"/>
    </w:rPr>
  </w:style>
  <w:style w:type="paragraph" w:customStyle="1" w:styleId="54">
    <w:name w:val="Other|1"/>
    <w:basedOn w:val="1"/>
    <w:autoRedefine/>
    <w:qFormat/>
    <w:uiPriority w:val="0"/>
    <w:pPr>
      <w:spacing w:line="408" w:lineRule="auto"/>
      <w:ind w:firstLine="400"/>
    </w:pPr>
    <w:rPr>
      <w:rFonts w:ascii="宋体" w:hAnsi="宋体" w:eastAsia="宋体" w:cs="宋体"/>
      <w:sz w:val="28"/>
      <w:szCs w:val="28"/>
      <w:lang w:val="zh-TW" w:eastAsia="zh-TW" w:bidi="zh-TW"/>
    </w:rPr>
  </w:style>
  <w:style w:type="character" w:customStyle="1" w:styleId="55">
    <w:name w:val="正文缩进 Char2"/>
    <w:autoRedefine/>
    <w:qFormat/>
    <w:uiPriority w:val="0"/>
    <w:rPr>
      <w:rFonts w:ascii="宋体" w:eastAsia="宋体"/>
      <w:snapToGrid w:val="0"/>
      <w:color w:val="000000"/>
      <w:kern w:val="28"/>
      <w:sz w:val="28"/>
      <w:lang w:val="en-US" w:eastAsia="zh-CN" w:bidi="ar-SA"/>
    </w:rPr>
  </w:style>
  <w:style w:type="character" w:customStyle="1" w:styleId="56">
    <w:name w:val="纯文本 Char1"/>
    <w:link w:val="57"/>
    <w:autoRedefine/>
    <w:qFormat/>
    <w:uiPriority w:val="0"/>
    <w:rPr>
      <w:rFonts w:ascii="宋体" w:hAnsi="Courier New"/>
    </w:rPr>
  </w:style>
  <w:style w:type="paragraph" w:customStyle="1" w:styleId="57">
    <w:name w:val="纯文本1"/>
    <w:basedOn w:val="1"/>
    <w:link w:val="56"/>
    <w:autoRedefine/>
    <w:qFormat/>
    <w:uiPriority w:val="0"/>
    <w:rPr>
      <w:rFonts w:ascii="宋体" w:hAnsi="Courier New"/>
    </w:rPr>
  </w:style>
  <w:style w:type="paragraph" w:customStyle="1" w:styleId="58">
    <w:name w:val="text-tag"/>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0">
    <w:name w:val="首行缩进"/>
    <w:basedOn w:val="1"/>
    <w:next w:val="1"/>
    <w:autoRedefine/>
    <w:qFormat/>
    <w:uiPriority w:val="0"/>
    <w:pPr>
      <w:spacing w:line="360" w:lineRule="auto"/>
      <w:ind w:firstLine="480" w:firstLineChars="200"/>
    </w:pPr>
    <w:rPr>
      <w:rFonts w:ascii="宋体"/>
      <w:sz w:val="24"/>
      <w:szCs w:val="20"/>
    </w:rPr>
  </w:style>
  <w:style w:type="paragraph" w:customStyle="1" w:styleId="61">
    <w:name w:val="表格"/>
    <w:basedOn w:val="1"/>
    <w:autoRedefine/>
    <w:qFormat/>
    <w:uiPriority w:val="0"/>
    <w:rPr>
      <w:rFonts w:ascii="Times New Roman" w:hAnsi="Times New Roman" w:eastAsia="宋体" w:cs="Times New Roman"/>
    </w:rPr>
  </w:style>
  <w:style w:type="paragraph" w:customStyle="1" w:styleId="62">
    <w:name w:val="List Paragraph1"/>
    <w:basedOn w:val="1"/>
    <w:autoRedefine/>
    <w:qFormat/>
    <w:uiPriority w:val="99"/>
    <w:pPr>
      <w:ind w:firstLine="420" w:firstLineChars="200"/>
    </w:pPr>
    <w:rPr>
      <w:rFonts w:ascii="等线" w:hAnsi="等线" w:eastAsia="等线" w:cs="宋体"/>
      <w:szCs w:val="24"/>
    </w:rPr>
  </w:style>
  <w:style w:type="paragraph" w:customStyle="1" w:styleId="63">
    <w:name w:val="纯文本111"/>
    <w:basedOn w:val="1"/>
    <w:autoRedefine/>
    <w:qFormat/>
    <w:uiPriority w:val="0"/>
    <w:pPr>
      <w:adjustRightInd w:val="0"/>
    </w:pPr>
    <w:rPr>
      <w:rFonts w:hint="eastAsia" w:ascii="宋体" w:hAnsi="Courier New" w:eastAsia="楷体_GB2312" w:cs="Times New Roman"/>
      <w:sz w:val="28"/>
      <w:szCs w:val="20"/>
    </w:rPr>
  </w:style>
  <w:style w:type="paragraph" w:customStyle="1" w:styleId="64">
    <w:name w:val="文档正文"/>
    <w:basedOn w:val="1"/>
    <w:autoRedefine/>
    <w:qFormat/>
    <w:uiPriority w:val="0"/>
    <w:rPr>
      <w:rFonts w:ascii="宋体" w:cs="Arial"/>
      <w:bCs/>
      <w:szCs w:val="21"/>
    </w:rPr>
  </w:style>
  <w:style w:type="paragraph" w:styleId="65">
    <w:name w:val="List Paragraph"/>
    <w:basedOn w:val="1"/>
    <w:autoRedefine/>
    <w:qFormat/>
    <w:uiPriority w:val="0"/>
    <w:pPr>
      <w:ind w:firstLine="420" w:firstLineChars="200"/>
    </w:pPr>
    <w:rPr>
      <w:rFonts w:ascii="Times New Roman" w:hAnsi="Times New Roman" w:eastAsia="宋体" w:cs="Times New Roman"/>
      <w:szCs w:val="20"/>
    </w:rPr>
  </w:style>
  <w:style w:type="character" w:customStyle="1" w:styleId="66">
    <w:name w:val="正文2 Char Char"/>
    <w:link w:val="67"/>
    <w:autoRedefine/>
    <w:qFormat/>
    <w:uiPriority w:val="0"/>
    <w:rPr>
      <w:rFonts w:eastAsia="宋体"/>
      <w:sz w:val="24"/>
    </w:rPr>
  </w:style>
  <w:style w:type="paragraph" w:customStyle="1" w:styleId="67">
    <w:name w:val="正文2"/>
    <w:basedOn w:val="1"/>
    <w:link w:val="66"/>
    <w:autoRedefine/>
    <w:qFormat/>
    <w:uiPriority w:val="0"/>
    <w:pPr>
      <w:adjustRightInd w:val="0"/>
      <w:spacing w:before="156" w:line="360" w:lineRule="auto"/>
      <w:ind w:firstLine="510" w:firstLineChars="200"/>
    </w:pPr>
    <w:rPr>
      <w:rFonts w:eastAsia="宋体"/>
      <w:sz w:val="24"/>
    </w:rPr>
  </w:style>
  <w:style w:type="paragraph" w:customStyle="1" w:styleId="68">
    <w:name w:val="正文1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纯文本 Char3"/>
    <w:autoRedefine/>
    <w:qFormat/>
    <w:uiPriority w:val="99"/>
    <w:rPr>
      <w:rFonts w:ascii="宋体" w:hAnsi="Courier New" w:eastAsia="黑体" w:cs="Times New Roman"/>
      <w:snapToGrid w:val="0"/>
      <w:szCs w:val="21"/>
    </w:rPr>
  </w:style>
  <w:style w:type="paragraph" w:customStyle="1" w:styleId="70">
    <w:name w:val="标题1"/>
    <w:basedOn w:val="5"/>
    <w:autoRedefine/>
    <w:qFormat/>
    <w:uiPriority w:val="0"/>
    <w:pPr>
      <w:keepLines w:val="0"/>
      <w:numPr>
        <w:ilvl w:val="0"/>
        <w:numId w:val="1"/>
      </w:numPr>
      <w:spacing w:before="720" w:after="240" w:line="240" w:lineRule="auto"/>
    </w:pPr>
    <w:rPr>
      <w:rFonts w:ascii="Arial" w:hAnsi="Arial" w:eastAsia="宋体" w:cs="Times New Roman"/>
      <w:bCs w:val="0"/>
      <w:spacing w:val="20"/>
      <w:kern w:val="20"/>
      <w:sz w:val="36"/>
      <w:szCs w:val="24"/>
    </w:rPr>
  </w:style>
  <w:style w:type="paragraph" w:customStyle="1" w:styleId="71">
    <w:name w:val="标题2"/>
    <w:basedOn w:val="6"/>
    <w:autoRedefine/>
    <w:qFormat/>
    <w:uiPriority w:val="0"/>
    <w:pPr>
      <w:keepLines w:val="0"/>
      <w:numPr>
        <w:ilvl w:val="1"/>
        <w:numId w:val="1"/>
      </w:numPr>
      <w:tabs>
        <w:tab w:val="left" w:pos="312"/>
        <w:tab w:val="left" w:pos="1247"/>
        <w:tab w:val="clear" w:pos="1673"/>
      </w:tabs>
      <w:spacing w:before="320" w:after="160" w:line="240" w:lineRule="auto"/>
      <w:ind w:left="1247"/>
    </w:pPr>
    <w:rPr>
      <w:rFonts w:cs="Arial"/>
      <w:spacing w:val="20"/>
      <w:kern w:val="28"/>
      <w:sz w:val="28"/>
      <w:lang w:eastAsia="en-US"/>
    </w:rPr>
  </w:style>
  <w:style w:type="character" w:customStyle="1" w:styleId="72">
    <w:name w:val="标题 1 Char"/>
    <w:basedOn w:val="26"/>
    <w:link w:val="5"/>
    <w:autoRedefine/>
    <w:qFormat/>
    <w:uiPriority w:val="9"/>
    <w:rPr>
      <w:b/>
      <w:bCs/>
      <w:kern w:val="44"/>
      <w:sz w:val="44"/>
      <w:szCs w:val="44"/>
    </w:rPr>
  </w:style>
  <w:style w:type="paragraph" w:customStyle="1" w:styleId="73">
    <w:name w:val="列表段落1"/>
    <w:basedOn w:val="1"/>
    <w:autoRedefine/>
    <w:qFormat/>
    <w:uiPriority w:val="0"/>
    <w:pPr>
      <w:ind w:firstLine="420"/>
    </w:pPr>
    <w:rPr>
      <w:rFonts w:ascii="Times New Roman" w:hAnsi="Times New Roman" w:eastAsia="宋体" w:cs="Times New Roman"/>
      <w:szCs w:val="20"/>
    </w:rPr>
  </w:style>
  <w:style w:type="paragraph" w:customStyle="1" w:styleId="74">
    <w:name w:val="form"/>
    <w:basedOn w:val="1"/>
    <w:autoRedefine/>
    <w:qFormat/>
    <w:uiPriority w:val="0"/>
    <w:pPr>
      <w:snapToGrid w:val="0"/>
      <w:jc w:val="center"/>
    </w:pPr>
    <w:rPr>
      <w:rFonts w:ascii="仿宋_GB2312" w:hAnsi="Times New Roman" w:eastAsia="仿宋_GB2312" w:cs="Times New Roman"/>
      <w:sz w:val="24"/>
      <w:szCs w:val="24"/>
    </w:rPr>
  </w:style>
  <w:style w:type="character" w:customStyle="1" w:styleId="75">
    <w:name w:val="font141"/>
    <w:basedOn w:val="26"/>
    <w:autoRedefine/>
    <w:qFormat/>
    <w:uiPriority w:val="0"/>
    <w:rPr>
      <w:rFonts w:hint="eastAsia" w:ascii="宋体" w:hAnsi="宋体" w:eastAsia="宋体" w:cs="宋体"/>
      <w:color w:val="FF0000"/>
      <w:sz w:val="20"/>
      <w:szCs w:val="20"/>
      <w:u w:val="none"/>
    </w:rPr>
  </w:style>
  <w:style w:type="character" w:customStyle="1" w:styleId="76">
    <w:name w:val="font41"/>
    <w:basedOn w:val="26"/>
    <w:autoRedefine/>
    <w:qFormat/>
    <w:uiPriority w:val="0"/>
    <w:rPr>
      <w:rFonts w:hint="eastAsia" w:ascii="宋体" w:hAnsi="宋体" w:eastAsia="宋体" w:cs="宋体"/>
      <w:color w:val="000000"/>
      <w:sz w:val="20"/>
      <w:szCs w:val="20"/>
      <w:u w:val="none"/>
    </w:rPr>
  </w:style>
  <w:style w:type="character" w:customStyle="1" w:styleId="77">
    <w:name w:val="font71"/>
    <w:autoRedefine/>
    <w:qFormat/>
    <w:uiPriority w:val="0"/>
    <w:rPr>
      <w:rFonts w:hint="eastAsia" w:ascii="宋体" w:hAnsi="宋体" w:eastAsia="宋体" w:cs="宋体"/>
      <w:b/>
      <w:bCs/>
      <w:color w:val="000000"/>
      <w:sz w:val="20"/>
      <w:szCs w:val="20"/>
      <w:u w:val="none"/>
    </w:rPr>
  </w:style>
  <w:style w:type="character" w:customStyle="1" w:styleId="78">
    <w:name w:val="font31"/>
    <w:basedOn w:val="26"/>
    <w:autoRedefine/>
    <w:qFormat/>
    <w:uiPriority w:val="0"/>
    <w:rPr>
      <w:rFonts w:hint="eastAsia" w:ascii="宋体" w:hAnsi="宋体" w:eastAsia="宋体" w:cs="宋体"/>
      <w:color w:val="000000"/>
      <w:sz w:val="20"/>
      <w:szCs w:val="20"/>
      <w:u w:val="none"/>
    </w:rPr>
  </w:style>
  <w:style w:type="character" w:customStyle="1" w:styleId="79">
    <w:name w:val="font21"/>
    <w:basedOn w:val="26"/>
    <w:autoRedefine/>
    <w:qFormat/>
    <w:uiPriority w:val="0"/>
    <w:rPr>
      <w:rFonts w:hint="eastAsia" w:ascii="宋体" w:hAnsi="宋体" w:eastAsia="宋体" w:cs="宋体"/>
      <w:color w:val="000000"/>
      <w:sz w:val="20"/>
      <w:szCs w:val="20"/>
      <w:u w:val="none"/>
    </w:rPr>
  </w:style>
  <w:style w:type="character" w:customStyle="1" w:styleId="80">
    <w:name w:val="font51"/>
    <w:basedOn w:val="2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104</Pages>
  <Words>78899</Words>
  <Characters>89322</Characters>
  <Lines>695</Lines>
  <Paragraphs>195</Paragraphs>
  <TotalTime>17</TotalTime>
  <ScaleCrop>false</ScaleCrop>
  <LinksUpToDate>false</LinksUpToDate>
  <CharactersWithSpaces>91962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2024-04-30T10:19:00Z</dcterms:created>
  <dc:creator>NTKO</dc:creator>
  <cp:lastModifiedBy>舟</cp:lastModifiedBy>
  <dcterms:modified xsi:type="dcterms:W3CDTF">2024-06-06T06:56:52Z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9D604CD0068C4C5A96B84BD09D2C0072_13</vt:lpwstr>
  </property>
</Properties>
</file>