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187C1791">
      <w:pPr>
        <w:pStyle w:val="27"/>
        <w:jc w:val="both"/>
        <w:rPr>
          <w:rFonts w:ascii="宋体" w:hAnsi="宋体"/>
          <w:color w:val="auto"/>
          <w:sz w:val="52"/>
        </w:rPr>
      </w:pPr>
    </w:p>
    <w:p w14:paraId="6850AC6B">
      <w:pPr>
        <w:pStyle w:val="27"/>
        <w:jc w:val="both"/>
        <w:rPr>
          <w:rFonts w:ascii="宋体" w:hAnsi="宋体"/>
          <w:color w:val="auto"/>
          <w:sz w:val="52"/>
        </w:rPr>
      </w:pPr>
    </w:p>
    <w:p w14:paraId="17512529">
      <w:pPr>
        <w:pStyle w:val="27"/>
        <w:jc w:val="both"/>
        <w:rPr>
          <w:rFonts w:ascii="宋体" w:hAnsi="宋体"/>
          <w:color w:val="auto"/>
          <w:sz w:val="52"/>
        </w:rPr>
      </w:pPr>
    </w:p>
    <w:p w14:paraId="5D396002">
      <w:pPr>
        <w:pStyle w:val="27"/>
        <w:spacing w:line="600" w:lineRule="exact"/>
        <w:jc w:val="center"/>
        <w:rPr>
          <w:rFonts w:hint="eastAsia" w:ascii="宋体" w:hAnsi="宋体" w:eastAsia="宋体" w:cs="宋体"/>
          <w:color w:val="auto"/>
          <w:sz w:val="44"/>
          <w:szCs w:val="44"/>
          <w:lang w:eastAsia="zh-CN"/>
        </w:rPr>
      </w:pPr>
      <w:r>
        <w:rPr>
          <w:rFonts w:hint="eastAsia" w:ascii="宋体" w:hAnsi="宋体"/>
          <w:color w:val="auto"/>
          <w:sz w:val="52"/>
          <w:lang w:eastAsia="zh-CN"/>
        </w:rPr>
        <w:t xml:space="preserve">2025嵊泗国际帆船赛 </w:t>
      </w:r>
    </w:p>
    <w:p w14:paraId="7547F3D6">
      <w:pPr>
        <w:pStyle w:val="27"/>
        <w:spacing w:line="600" w:lineRule="exact"/>
        <w:rPr>
          <w:rFonts w:ascii="宋体" w:hAnsi="宋体"/>
          <w:color w:val="auto"/>
          <w:sz w:val="44"/>
          <w:szCs w:val="44"/>
        </w:rPr>
      </w:pPr>
    </w:p>
    <w:p w14:paraId="7E8A4E92">
      <w:pPr>
        <w:pStyle w:val="27"/>
        <w:spacing w:line="600" w:lineRule="exact"/>
        <w:rPr>
          <w:rFonts w:ascii="宋体" w:hAnsi="宋体"/>
          <w:color w:val="auto"/>
          <w:sz w:val="44"/>
          <w:szCs w:val="44"/>
        </w:rPr>
      </w:pPr>
    </w:p>
    <w:p w14:paraId="2E0475CD">
      <w:pPr>
        <w:pStyle w:val="27"/>
        <w:spacing w:line="600" w:lineRule="exact"/>
        <w:rPr>
          <w:rFonts w:ascii="宋体" w:hAnsi="宋体"/>
          <w:color w:val="auto"/>
          <w:sz w:val="36"/>
          <w:szCs w:val="36"/>
        </w:rPr>
      </w:pPr>
      <w:r>
        <w:rPr>
          <w:rFonts w:hint="eastAsia" w:ascii="宋体" w:hAnsi="宋体"/>
          <w:color w:val="auto"/>
          <w:sz w:val="36"/>
          <w:szCs w:val="36"/>
          <w:lang w:eastAsia="zh-CN"/>
        </w:rPr>
        <w:t>（</w:t>
      </w:r>
      <w:r>
        <w:rPr>
          <w:rFonts w:hint="eastAsia" w:ascii="宋体" w:hAnsi="宋体"/>
          <w:color w:val="auto"/>
          <w:sz w:val="36"/>
          <w:szCs w:val="36"/>
        </w:rPr>
        <w:t>竞争性磋商文件</w:t>
      </w:r>
      <w:r>
        <w:rPr>
          <w:rFonts w:hint="eastAsia" w:ascii="宋体" w:hAnsi="宋体"/>
          <w:color w:val="auto"/>
          <w:sz w:val="36"/>
          <w:szCs w:val="36"/>
          <w:lang w:eastAsia="zh-CN"/>
        </w:rPr>
        <w:t>）</w:t>
      </w:r>
    </w:p>
    <w:p w14:paraId="763160DC">
      <w:pPr>
        <w:pStyle w:val="27"/>
        <w:rPr>
          <w:rFonts w:ascii="宋体" w:hAnsi="宋体"/>
          <w:color w:val="auto"/>
          <w:sz w:val="52"/>
        </w:rPr>
      </w:pPr>
    </w:p>
    <w:p w14:paraId="09979B6D">
      <w:pPr>
        <w:pStyle w:val="27"/>
        <w:jc w:val="both"/>
        <w:rPr>
          <w:rFonts w:ascii="宋体" w:hAnsi="宋体"/>
          <w:color w:val="auto"/>
          <w:sz w:val="52"/>
        </w:rPr>
      </w:pPr>
    </w:p>
    <w:p w14:paraId="0398B073">
      <w:pPr>
        <w:tabs>
          <w:tab w:val="left" w:pos="7063"/>
        </w:tabs>
        <w:rPr>
          <w:rFonts w:ascii="宋体" w:hAnsi="宋体" w:cs="宋体"/>
          <w:b/>
          <w:color w:val="auto"/>
          <w:sz w:val="36"/>
        </w:rPr>
      </w:pPr>
    </w:p>
    <w:p w14:paraId="714728D1">
      <w:pPr>
        <w:spacing w:line="360" w:lineRule="auto"/>
        <w:rPr>
          <w:rFonts w:ascii="宋体" w:hAnsi="宋体" w:cs="宋体"/>
          <w:b/>
          <w:color w:val="auto"/>
          <w:sz w:val="32"/>
          <w:szCs w:val="32"/>
        </w:rPr>
      </w:pPr>
    </w:p>
    <w:p w14:paraId="18C6E663">
      <w:pPr>
        <w:adjustRightInd w:val="0"/>
        <w:snapToGrid w:val="0"/>
        <w:spacing w:line="360" w:lineRule="auto"/>
        <w:ind w:right="-437" w:rightChars="-208" w:firstLine="1285" w:firstLineChars="400"/>
        <w:rPr>
          <w:rFonts w:hint="eastAsia" w:ascii="宋体" w:hAnsi="宋体" w:eastAsia="宋体"/>
          <w:b/>
          <w:snapToGrid w:val="0"/>
          <w:color w:val="auto"/>
          <w:sz w:val="30"/>
          <w:szCs w:val="30"/>
          <w:lang w:eastAsia="zh-CN"/>
        </w:rPr>
      </w:pPr>
      <w:r>
        <w:rPr>
          <w:rFonts w:hint="eastAsia" w:ascii="宋体" w:hAnsi="宋体" w:cs="宋体"/>
          <w:b/>
          <w:color w:val="auto"/>
          <w:sz w:val="32"/>
          <w:szCs w:val="32"/>
        </w:rPr>
        <w:t>项目编号：</w:t>
      </w:r>
      <w:r>
        <w:rPr>
          <w:rFonts w:hint="eastAsia" w:ascii="宋体" w:hAnsi="宋体"/>
          <w:b/>
          <w:snapToGrid w:val="0"/>
          <w:color w:val="auto"/>
          <w:sz w:val="30"/>
          <w:szCs w:val="30"/>
          <w:lang w:eastAsia="zh-CN"/>
        </w:rPr>
        <w:t xml:space="preserve">ZSJS-2025-009 </w:t>
      </w:r>
    </w:p>
    <w:p w14:paraId="25407F14">
      <w:pPr>
        <w:spacing w:line="360" w:lineRule="auto"/>
        <w:ind w:firstLine="1285" w:firstLineChars="400"/>
        <w:rPr>
          <w:rFonts w:hint="eastAsia" w:ascii="宋体" w:hAnsi="宋体" w:eastAsia="宋体" w:cs="Times New Roman"/>
          <w:b/>
          <w:snapToGrid w:val="0"/>
          <w:color w:val="auto"/>
          <w:sz w:val="30"/>
          <w:szCs w:val="30"/>
          <w:lang w:eastAsia="zh-CN"/>
        </w:rPr>
      </w:pPr>
      <w:r>
        <w:rPr>
          <w:rFonts w:hint="eastAsia" w:ascii="宋体" w:hAnsi="宋体" w:cs="宋体"/>
          <w:b/>
          <w:color w:val="auto"/>
          <w:sz w:val="32"/>
          <w:szCs w:val="32"/>
        </w:rPr>
        <w:t>采购单位：</w:t>
      </w:r>
      <w:r>
        <w:rPr>
          <w:rFonts w:hint="eastAsia" w:ascii="宋体" w:hAnsi="宋体" w:eastAsia="宋体" w:cs="Times New Roman"/>
          <w:b/>
          <w:snapToGrid w:val="0"/>
          <w:color w:val="auto"/>
          <w:sz w:val="30"/>
          <w:szCs w:val="30"/>
        </w:rPr>
        <w:t>嵊泗县</w:t>
      </w:r>
      <w:r>
        <w:rPr>
          <w:rFonts w:hint="eastAsia" w:ascii="宋体" w:hAnsi="宋体" w:cs="Times New Roman"/>
          <w:b/>
          <w:snapToGrid w:val="0"/>
          <w:color w:val="auto"/>
          <w:sz w:val="30"/>
          <w:szCs w:val="30"/>
          <w:lang w:eastAsia="zh-CN"/>
        </w:rPr>
        <w:t>文化和广电旅游体育局</w:t>
      </w:r>
    </w:p>
    <w:p w14:paraId="033688FA">
      <w:pPr>
        <w:spacing w:line="360" w:lineRule="auto"/>
        <w:ind w:firstLine="1285" w:firstLineChars="400"/>
        <w:rPr>
          <w:rFonts w:ascii="宋体" w:hAnsi="宋体" w:cs="宋体"/>
          <w:b/>
          <w:color w:val="auto"/>
          <w:sz w:val="32"/>
          <w:szCs w:val="32"/>
        </w:rPr>
      </w:pPr>
      <w:r>
        <w:rPr>
          <w:rFonts w:hint="eastAsia" w:ascii="宋体" w:hAnsi="宋体" w:cs="宋体"/>
          <w:b/>
          <w:color w:val="auto"/>
          <w:sz w:val="32"/>
          <w:szCs w:val="32"/>
        </w:rPr>
        <w:t>代理单位：</w:t>
      </w:r>
      <w:r>
        <w:rPr>
          <w:rFonts w:hint="eastAsia" w:ascii="宋体" w:hAnsi="宋体"/>
          <w:b/>
          <w:snapToGrid w:val="0"/>
          <w:color w:val="auto"/>
          <w:sz w:val="30"/>
          <w:szCs w:val="30"/>
        </w:rPr>
        <w:t>舟山市嘉嵊咨询管理有限公司</w:t>
      </w:r>
    </w:p>
    <w:p w14:paraId="4A10625C">
      <w:pPr>
        <w:spacing w:line="360" w:lineRule="auto"/>
        <w:jc w:val="center"/>
        <w:rPr>
          <w:rFonts w:hint="eastAsia" w:ascii="宋体" w:hAnsi="宋体" w:cs="宋体"/>
          <w:b/>
          <w:color w:val="auto"/>
          <w:sz w:val="32"/>
          <w:szCs w:val="32"/>
          <w:lang w:eastAsia="zh-CN"/>
        </w:rPr>
      </w:pPr>
    </w:p>
    <w:p w14:paraId="12112E63">
      <w:pPr>
        <w:spacing w:line="360" w:lineRule="auto"/>
        <w:jc w:val="center"/>
        <w:rPr>
          <w:rFonts w:hint="eastAsia" w:ascii="宋体" w:hAnsi="宋体" w:eastAsia="宋体" w:cs="宋体"/>
          <w:b/>
          <w:color w:val="auto"/>
          <w:sz w:val="32"/>
          <w:szCs w:val="32"/>
          <w:lang w:eastAsia="zh-CN"/>
        </w:rPr>
        <w:sectPr>
          <w:headerReference r:id="rId3" w:type="default"/>
          <w:footerReference r:id="rId4" w:type="default"/>
          <w:pgSz w:w="11906" w:h="16838"/>
          <w:pgMar w:top="1134" w:right="1361" w:bottom="1134" w:left="1361" w:header="851" w:footer="992" w:gutter="0"/>
          <w:cols w:space="720" w:num="1"/>
          <w:docGrid w:type="lines" w:linePitch="312" w:charSpace="0"/>
        </w:sectPr>
      </w:pPr>
      <w:r>
        <w:rPr>
          <w:rFonts w:hint="eastAsia" w:ascii="宋体" w:hAnsi="宋体" w:cs="宋体"/>
          <w:b/>
          <w:color w:val="auto"/>
          <w:sz w:val="32"/>
          <w:szCs w:val="32"/>
          <w:lang w:eastAsia="zh-CN"/>
        </w:rPr>
        <w:t>2025年</w:t>
      </w:r>
      <w:r>
        <w:rPr>
          <w:rFonts w:hint="eastAsia" w:ascii="宋体" w:hAnsi="宋体" w:cs="宋体"/>
          <w:b/>
          <w:color w:val="auto"/>
          <w:sz w:val="32"/>
          <w:szCs w:val="32"/>
          <w:lang w:val="en-US" w:eastAsia="zh-CN"/>
        </w:rPr>
        <w:t>03</w:t>
      </w:r>
      <w:r>
        <w:rPr>
          <w:rFonts w:hint="eastAsia" w:ascii="宋体" w:hAnsi="宋体" w:cs="宋体"/>
          <w:b/>
          <w:color w:val="auto"/>
          <w:sz w:val="32"/>
          <w:szCs w:val="32"/>
          <w:lang w:eastAsia="zh-CN"/>
        </w:rPr>
        <w:t>月</w:t>
      </w:r>
    </w:p>
    <w:p w14:paraId="4432A414">
      <w:pPr>
        <w:spacing w:line="600" w:lineRule="exact"/>
        <w:jc w:val="center"/>
        <w:rPr>
          <w:rFonts w:ascii="宋体" w:hAnsi="宋体" w:cs="宋体"/>
          <w:b/>
          <w:color w:val="auto"/>
          <w:sz w:val="32"/>
          <w:szCs w:val="32"/>
        </w:rPr>
      </w:pPr>
    </w:p>
    <w:p w14:paraId="0EC249BE">
      <w:pPr>
        <w:spacing w:line="600" w:lineRule="exact"/>
        <w:rPr>
          <w:rFonts w:ascii="宋体" w:hAnsi="宋体" w:cs="宋体"/>
          <w:b/>
          <w:color w:val="auto"/>
          <w:sz w:val="32"/>
          <w:szCs w:val="32"/>
        </w:rPr>
      </w:pPr>
    </w:p>
    <w:p w14:paraId="61799D09">
      <w:pPr>
        <w:pStyle w:val="15"/>
        <w:spacing w:before="120" w:after="120" w:line="360" w:lineRule="auto"/>
        <w:jc w:val="center"/>
        <w:rPr>
          <w:rFonts w:hAnsi="宋体"/>
          <w:b/>
          <w:bCs/>
          <w:color w:val="auto"/>
          <w:sz w:val="44"/>
          <w:szCs w:val="44"/>
        </w:rPr>
      </w:pPr>
      <w:r>
        <w:rPr>
          <w:rFonts w:hint="eastAsia" w:hAnsi="宋体"/>
          <w:b/>
          <w:bCs/>
          <w:color w:val="auto"/>
          <w:sz w:val="44"/>
          <w:szCs w:val="44"/>
        </w:rPr>
        <w:t>目  录</w:t>
      </w:r>
    </w:p>
    <w:p w14:paraId="56951181">
      <w:pPr>
        <w:pStyle w:val="15"/>
        <w:spacing w:before="120" w:after="120" w:line="360" w:lineRule="auto"/>
        <w:jc w:val="center"/>
        <w:rPr>
          <w:rFonts w:hAnsi="宋体"/>
          <w:color w:val="auto"/>
          <w:sz w:val="44"/>
          <w:szCs w:val="44"/>
        </w:rPr>
      </w:pPr>
    </w:p>
    <w:p w14:paraId="0B20E02D">
      <w:pPr>
        <w:numPr>
          <w:ilvl w:val="0"/>
          <w:numId w:val="5"/>
        </w:numPr>
        <w:tabs>
          <w:tab w:val="left" w:pos="2520"/>
        </w:tabs>
        <w:spacing w:before="156" w:beforeLines="50" w:line="480" w:lineRule="exact"/>
        <w:ind w:hanging="195"/>
        <w:rPr>
          <w:rFonts w:ascii="宋体" w:hAnsi="宋体" w:cs="宋体"/>
          <w:color w:val="auto"/>
          <w:sz w:val="32"/>
          <w:szCs w:val="32"/>
        </w:rPr>
      </w:pPr>
      <w:r>
        <w:rPr>
          <w:rFonts w:hint="eastAsia" w:ascii="宋体" w:hAnsi="宋体" w:cs="宋体"/>
          <w:color w:val="auto"/>
          <w:sz w:val="32"/>
          <w:szCs w:val="32"/>
        </w:rPr>
        <w:t>竞争性磋商公告</w:t>
      </w:r>
    </w:p>
    <w:p w14:paraId="5CD03914">
      <w:pPr>
        <w:numPr>
          <w:ilvl w:val="0"/>
          <w:numId w:val="5"/>
        </w:numPr>
        <w:tabs>
          <w:tab w:val="left" w:pos="2520"/>
        </w:tabs>
        <w:spacing w:before="156" w:beforeLines="50" w:line="480" w:lineRule="exact"/>
        <w:ind w:hanging="195"/>
        <w:rPr>
          <w:rFonts w:ascii="宋体" w:hAnsi="宋体" w:cs="宋体"/>
          <w:color w:val="auto"/>
          <w:sz w:val="32"/>
          <w:szCs w:val="32"/>
        </w:rPr>
      </w:pPr>
      <w:r>
        <w:rPr>
          <w:rFonts w:hint="eastAsia" w:ascii="宋体" w:hAnsi="宋体" w:cs="宋体"/>
          <w:color w:val="auto"/>
          <w:sz w:val="32"/>
          <w:szCs w:val="32"/>
        </w:rPr>
        <w:t>采购需求</w:t>
      </w:r>
    </w:p>
    <w:p w14:paraId="0D3B5247">
      <w:pPr>
        <w:numPr>
          <w:ilvl w:val="0"/>
          <w:numId w:val="5"/>
        </w:numPr>
        <w:tabs>
          <w:tab w:val="left" w:pos="2520"/>
        </w:tabs>
        <w:spacing w:before="156" w:beforeLines="50" w:line="480" w:lineRule="exact"/>
        <w:ind w:hanging="195"/>
        <w:rPr>
          <w:rFonts w:ascii="宋体" w:hAnsi="宋体" w:cs="宋体"/>
          <w:color w:val="auto"/>
          <w:sz w:val="32"/>
          <w:szCs w:val="32"/>
        </w:rPr>
      </w:pPr>
      <w:r>
        <w:rPr>
          <w:rFonts w:hint="eastAsia" w:ascii="宋体" w:hAnsi="宋体" w:cs="宋体"/>
          <w:color w:val="auto"/>
          <w:sz w:val="32"/>
          <w:szCs w:val="32"/>
        </w:rPr>
        <w:t>供应商须知</w:t>
      </w:r>
    </w:p>
    <w:p w14:paraId="33F90AD2">
      <w:pPr>
        <w:numPr>
          <w:ilvl w:val="0"/>
          <w:numId w:val="5"/>
        </w:numPr>
        <w:tabs>
          <w:tab w:val="left" w:pos="2520"/>
        </w:tabs>
        <w:spacing w:before="156" w:beforeLines="50" w:line="480" w:lineRule="exact"/>
        <w:ind w:hanging="195"/>
        <w:rPr>
          <w:rFonts w:ascii="宋体" w:hAnsi="宋体" w:cs="宋体"/>
          <w:color w:val="auto"/>
          <w:sz w:val="32"/>
          <w:szCs w:val="32"/>
        </w:rPr>
      </w:pPr>
      <w:r>
        <w:rPr>
          <w:rFonts w:hint="eastAsia" w:ascii="宋体" w:hAnsi="宋体" w:cs="宋体"/>
          <w:color w:val="auto"/>
          <w:sz w:val="32"/>
          <w:szCs w:val="32"/>
        </w:rPr>
        <w:t>评标办法及评分标准</w:t>
      </w:r>
    </w:p>
    <w:p w14:paraId="0AC1148D">
      <w:pPr>
        <w:numPr>
          <w:ilvl w:val="0"/>
          <w:numId w:val="5"/>
        </w:numPr>
        <w:tabs>
          <w:tab w:val="left" w:pos="2520"/>
        </w:tabs>
        <w:spacing w:before="156" w:beforeLines="50" w:line="480" w:lineRule="exact"/>
        <w:ind w:hanging="195"/>
        <w:rPr>
          <w:rFonts w:ascii="宋体" w:hAnsi="宋体" w:cs="宋体"/>
          <w:color w:val="auto"/>
          <w:sz w:val="32"/>
          <w:szCs w:val="32"/>
        </w:rPr>
      </w:pPr>
      <w:r>
        <w:rPr>
          <w:rFonts w:hint="eastAsia" w:ascii="宋体" w:hAnsi="宋体" w:cs="宋体"/>
          <w:color w:val="auto"/>
          <w:sz w:val="32"/>
          <w:szCs w:val="32"/>
        </w:rPr>
        <w:t>政府采购合同主要条款</w:t>
      </w:r>
    </w:p>
    <w:p w14:paraId="37CE1C83">
      <w:pPr>
        <w:numPr>
          <w:ilvl w:val="0"/>
          <w:numId w:val="5"/>
        </w:numPr>
        <w:tabs>
          <w:tab w:val="left" w:pos="2520"/>
        </w:tabs>
        <w:spacing w:before="156" w:beforeLines="50" w:line="480" w:lineRule="exact"/>
        <w:ind w:hanging="195"/>
        <w:rPr>
          <w:rFonts w:ascii="宋体" w:hAnsi="宋体" w:cs="宋体"/>
          <w:color w:val="auto"/>
          <w:sz w:val="32"/>
          <w:szCs w:val="32"/>
        </w:rPr>
      </w:pPr>
      <w:r>
        <w:rPr>
          <w:rFonts w:hint="eastAsia" w:ascii="宋体" w:hAnsi="宋体" w:cs="宋体"/>
          <w:color w:val="auto"/>
          <w:sz w:val="32"/>
          <w:szCs w:val="32"/>
        </w:rPr>
        <w:t>投标文件格式</w:t>
      </w:r>
    </w:p>
    <w:p w14:paraId="32D17EE8">
      <w:pPr>
        <w:spacing w:before="31" w:beforeLines="10" w:after="31" w:afterLines="10" w:line="360" w:lineRule="auto"/>
        <w:jc w:val="center"/>
        <w:rPr>
          <w:rFonts w:hint="eastAsia" w:ascii="宋体" w:hAnsi="宋体" w:cs="宋体"/>
          <w:color w:val="auto"/>
          <w:sz w:val="30"/>
          <w:szCs w:val="30"/>
        </w:rPr>
      </w:pPr>
      <w:r>
        <w:rPr>
          <w:rFonts w:hint="eastAsia" w:ascii="宋体" w:hAnsi="宋体" w:cs="宋体"/>
          <w:color w:val="auto"/>
          <w:sz w:val="30"/>
          <w:szCs w:val="30"/>
        </w:rPr>
        <w:br w:type="page"/>
      </w:r>
    </w:p>
    <w:p w14:paraId="2152C3A0">
      <w:pPr>
        <w:spacing w:before="31" w:beforeLines="10" w:after="31" w:afterLines="10" w:line="360" w:lineRule="auto"/>
        <w:jc w:val="center"/>
        <w:rPr>
          <w:rFonts w:hint="eastAsia" w:ascii="宋体" w:hAnsi="宋体" w:cs="宋体"/>
          <w:color w:val="auto"/>
          <w:sz w:val="30"/>
          <w:szCs w:val="30"/>
        </w:rPr>
      </w:pPr>
    </w:p>
    <w:p w14:paraId="7F9796C9">
      <w:pPr>
        <w:spacing w:before="31" w:beforeLines="10" w:after="31" w:afterLines="10" w:line="360" w:lineRule="auto"/>
        <w:jc w:val="center"/>
        <w:rPr>
          <w:rFonts w:ascii="宋体" w:hAnsi="宋体" w:cs="宋体"/>
          <w:color w:val="auto"/>
          <w:sz w:val="30"/>
          <w:szCs w:val="30"/>
        </w:rPr>
      </w:pPr>
      <w:r>
        <w:rPr>
          <w:rFonts w:hint="eastAsia" w:ascii="宋体" w:hAnsi="宋体" w:cs="宋体"/>
          <w:b/>
          <w:bCs/>
          <w:color w:val="auto"/>
          <w:sz w:val="32"/>
          <w:szCs w:val="32"/>
        </w:rPr>
        <w:t>第一章  竞争性磋商公告</w:t>
      </w:r>
    </w:p>
    <w:p w14:paraId="703638CA">
      <w:pPr>
        <w:spacing w:line="360" w:lineRule="auto"/>
        <w:ind w:left="210" w:leftChars="100" w:firstLine="420" w:firstLineChars="200"/>
        <w:rPr>
          <w:rFonts w:hint="eastAsia" w:ascii="宋体" w:hAnsi="宋体" w:cs="宋体"/>
          <w:color w:val="auto"/>
          <w:szCs w:val="21"/>
          <w:highlight w:val="none"/>
        </w:rPr>
      </w:pPr>
      <w:r>
        <w:rPr>
          <w:rFonts w:hint="eastAsia" w:ascii="宋体" w:hAnsi="宋体" w:cs="宋体"/>
          <w:color w:val="auto"/>
          <w:szCs w:val="21"/>
          <w:highlight w:val="none"/>
        </w:rPr>
        <w:t>根据《中华人民共和国政府采购法》、《中华人民共和国政府采购法实施条例》等规定，</w:t>
      </w:r>
      <w:r>
        <w:rPr>
          <w:rFonts w:hint="eastAsia" w:ascii="宋体" w:hAnsi="宋体" w:cs="宋体"/>
          <w:b/>
          <w:bCs/>
          <w:color w:val="auto"/>
          <w:szCs w:val="21"/>
          <w:highlight w:val="none"/>
          <w:u w:val="single"/>
          <w:lang w:val="zh-CN"/>
        </w:rPr>
        <w:t>舟山市嘉嵊咨询管理有限公司</w:t>
      </w:r>
      <w:r>
        <w:rPr>
          <w:rFonts w:hint="eastAsia" w:ascii="宋体" w:hAnsi="宋体" w:cs="宋体"/>
          <w:color w:val="auto"/>
          <w:szCs w:val="21"/>
          <w:highlight w:val="none"/>
        </w:rPr>
        <w:t>受</w:t>
      </w:r>
      <w:r>
        <w:rPr>
          <w:rFonts w:hint="eastAsia" w:ascii="宋体" w:hAnsi="宋体" w:cs="宋体"/>
          <w:b/>
          <w:bCs/>
          <w:color w:val="auto"/>
          <w:szCs w:val="21"/>
          <w:highlight w:val="none"/>
          <w:u w:val="single"/>
          <w:lang w:val="zh-CN"/>
        </w:rPr>
        <w:t>嵊泗县文化和广电旅游体育局</w:t>
      </w:r>
      <w:r>
        <w:rPr>
          <w:rFonts w:hint="eastAsia" w:ascii="宋体" w:hAnsi="宋体" w:cs="宋体"/>
          <w:color w:val="auto"/>
          <w:szCs w:val="21"/>
          <w:highlight w:val="none"/>
        </w:rPr>
        <w:t>委托，并经</w:t>
      </w:r>
      <w:r>
        <w:rPr>
          <w:rFonts w:hint="eastAsia" w:ascii="宋体" w:hAnsi="宋体" w:cs="宋体"/>
          <w:b/>
          <w:bCs/>
          <w:color w:val="auto"/>
          <w:szCs w:val="21"/>
          <w:highlight w:val="none"/>
          <w:u w:val="single"/>
          <w:lang w:eastAsia="zh-CN"/>
        </w:rPr>
        <w:t>嵊财采确临[2025]</w:t>
      </w:r>
      <w:r>
        <w:rPr>
          <w:rFonts w:hint="eastAsia" w:ascii="宋体" w:hAnsi="宋体" w:cs="宋体"/>
          <w:b/>
          <w:bCs/>
          <w:color w:val="auto"/>
          <w:szCs w:val="21"/>
          <w:highlight w:val="none"/>
          <w:u w:val="single"/>
          <w:lang w:val="en-US" w:eastAsia="zh-CN"/>
        </w:rPr>
        <w:t>312</w:t>
      </w:r>
      <w:r>
        <w:rPr>
          <w:rFonts w:hint="eastAsia" w:ascii="宋体" w:hAnsi="宋体" w:cs="宋体"/>
          <w:b/>
          <w:bCs/>
          <w:color w:val="auto"/>
          <w:szCs w:val="21"/>
          <w:highlight w:val="none"/>
          <w:u w:val="single"/>
          <w:lang w:eastAsia="zh-CN"/>
        </w:rPr>
        <w:t>号</w:t>
      </w:r>
      <w:r>
        <w:rPr>
          <w:rFonts w:hint="eastAsia" w:ascii="宋体" w:hAnsi="宋体" w:cs="宋体"/>
          <w:color w:val="auto"/>
          <w:szCs w:val="21"/>
          <w:highlight w:val="none"/>
        </w:rPr>
        <w:t>采购计划确认批准，</w:t>
      </w:r>
      <w:r>
        <w:rPr>
          <w:rFonts w:hint="eastAsia" w:ascii="宋体" w:hAnsi="宋体" w:cs="宋体"/>
          <w:color w:val="auto"/>
          <w:szCs w:val="21"/>
          <w:highlight w:val="none"/>
          <w:lang w:val="zh-CN"/>
        </w:rPr>
        <w:t>现就</w:t>
      </w:r>
      <w:r>
        <w:rPr>
          <w:rFonts w:hint="eastAsia" w:ascii="宋体" w:hAnsi="宋体" w:cs="宋体"/>
          <w:b/>
          <w:bCs/>
          <w:color w:val="auto"/>
          <w:szCs w:val="21"/>
          <w:highlight w:val="none"/>
          <w:u w:val="single"/>
          <w:lang w:val="zh-CN"/>
        </w:rPr>
        <w:t xml:space="preserve">2025嵊泗国际帆船赛 </w:t>
      </w:r>
      <w:r>
        <w:rPr>
          <w:rFonts w:hint="eastAsia" w:ascii="宋体" w:hAnsi="宋体" w:cs="宋体"/>
          <w:color w:val="auto"/>
          <w:szCs w:val="21"/>
          <w:highlight w:val="none"/>
        </w:rPr>
        <w:t>进行竞争性磋商，欢迎国内合格的投标人前来投标，现将有关事项公告如下：</w:t>
      </w:r>
    </w:p>
    <w:p w14:paraId="71653F16">
      <w:pPr>
        <w:snapToGrid w:val="0"/>
        <w:spacing w:line="360" w:lineRule="auto"/>
        <w:ind w:firstLine="420" w:firstLineChars="200"/>
        <w:rPr>
          <w:rFonts w:hint="eastAsia" w:ascii="宋体" w:hAnsi="宋体" w:eastAsia="宋体" w:cs="宋体"/>
          <w:color w:val="auto"/>
          <w:szCs w:val="21"/>
          <w:lang w:eastAsia="zh-CN"/>
        </w:rPr>
      </w:pPr>
      <w:r>
        <w:rPr>
          <w:rFonts w:hint="eastAsia" w:ascii="宋体" w:hAnsi="宋体" w:cs="宋体"/>
          <w:color w:val="auto"/>
          <w:szCs w:val="21"/>
        </w:rPr>
        <w:t>一、</w:t>
      </w:r>
      <w:r>
        <w:rPr>
          <w:rFonts w:hint="eastAsia" w:ascii="宋体" w:hAnsi="宋体" w:cs="宋体"/>
          <w:b/>
          <w:bCs/>
          <w:color w:val="auto"/>
          <w:szCs w:val="21"/>
        </w:rPr>
        <w:t>项目编号：</w:t>
      </w:r>
      <w:r>
        <w:rPr>
          <w:rFonts w:hint="eastAsia" w:ascii="宋体" w:hAnsi="宋体" w:cs="宋体"/>
          <w:color w:val="auto"/>
          <w:szCs w:val="21"/>
          <w:lang w:eastAsia="zh-CN"/>
        </w:rPr>
        <w:t xml:space="preserve">ZSJS-2025-009 </w:t>
      </w:r>
    </w:p>
    <w:p w14:paraId="0A6AF0FE">
      <w:pPr>
        <w:snapToGrid w:val="0"/>
        <w:spacing w:line="360" w:lineRule="auto"/>
        <w:ind w:firstLine="420" w:firstLineChars="200"/>
        <w:rPr>
          <w:rFonts w:ascii="宋体" w:hAnsi="宋体" w:cs="宋体"/>
          <w:color w:val="auto"/>
          <w:szCs w:val="21"/>
        </w:rPr>
      </w:pPr>
      <w:r>
        <w:rPr>
          <w:rFonts w:hint="eastAsia" w:ascii="宋体" w:hAnsi="宋体" w:cs="宋体"/>
          <w:color w:val="auto"/>
          <w:szCs w:val="21"/>
        </w:rPr>
        <w:t>二、</w:t>
      </w:r>
      <w:r>
        <w:rPr>
          <w:rFonts w:hint="eastAsia" w:ascii="宋体" w:hAnsi="宋体" w:cs="宋体"/>
          <w:b/>
          <w:color w:val="auto"/>
          <w:szCs w:val="21"/>
        </w:rPr>
        <w:t>采购组织类型：</w:t>
      </w:r>
      <w:r>
        <w:rPr>
          <w:rFonts w:hint="eastAsia" w:ascii="宋体" w:hAnsi="宋体" w:cs="宋体"/>
          <w:color w:val="auto"/>
          <w:szCs w:val="21"/>
        </w:rPr>
        <w:t>分散采购委托中介</w:t>
      </w:r>
    </w:p>
    <w:p w14:paraId="5C7293D0">
      <w:pPr>
        <w:snapToGrid w:val="0"/>
        <w:spacing w:line="360" w:lineRule="auto"/>
        <w:ind w:firstLine="422" w:firstLineChars="200"/>
        <w:rPr>
          <w:rFonts w:ascii="宋体" w:hAnsi="宋体" w:cs="宋体"/>
          <w:color w:val="auto"/>
          <w:szCs w:val="21"/>
        </w:rPr>
      </w:pPr>
      <w:r>
        <w:rPr>
          <w:rFonts w:hint="eastAsia" w:ascii="宋体" w:hAnsi="宋体" w:cs="宋体"/>
          <w:b/>
          <w:color w:val="auto"/>
          <w:szCs w:val="21"/>
        </w:rPr>
        <w:t>三、采购方式：</w:t>
      </w:r>
      <w:r>
        <w:rPr>
          <w:rFonts w:hint="eastAsia" w:ascii="宋体" w:hAnsi="宋体" w:cs="宋体"/>
          <w:color w:val="auto"/>
          <w:szCs w:val="21"/>
        </w:rPr>
        <w:t>竞争性磋商</w:t>
      </w:r>
    </w:p>
    <w:p w14:paraId="56883AAC">
      <w:pPr>
        <w:snapToGrid w:val="0"/>
        <w:spacing w:line="360" w:lineRule="auto"/>
        <w:ind w:firstLine="422" w:firstLineChars="200"/>
        <w:rPr>
          <w:rFonts w:ascii="宋体" w:hAnsi="宋体" w:cs="宋体"/>
          <w:b/>
          <w:bCs/>
          <w:color w:val="auto"/>
          <w:szCs w:val="21"/>
        </w:rPr>
      </w:pPr>
      <w:r>
        <w:rPr>
          <w:rFonts w:hint="eastAsia" w:ascii="宋体" w:hAnsi="宋体" w:cs="宋体"/>
          <w:b/>
          <w:color w:val="auto"/>
          <w:szCs w:val="21"/>
        </w:rPr>
        <w:t>四、</w:t>
      </w:r>
      <w:r>
        <w:rPr>
          <w:rFonts w:hint="eastAsia" w:ascii="宋体" w:hAnsi="宋体" w:cs="宋体"/>
          <w:b/>
          <w:bCs w:val="0"/>
          <w:color w:val="auto"/>
          <w:szCs w:val="21"/>
          <w:highlight w:val="none"/>
        </w:rPr>
        <w:t>预算金额：</w:t>
      </w:r>
      <w:r>
        <w:rPr>
          <w:rFonts w:hint="eastAsia" w:ascii="宋体" w:hAnsi="宋体" w:cs="宋体"/>
          <w:bCs/>
          <w:color w:val="auto"/>
          <w:szCs w:val="21"/>
          <w:highlight w:val="none"/>
        </w:rPr>
        <w:t>人民币</w:t>
      </w:r>
      <w:r>
        <w:rPr>
          <w:rFonts w:hint="eastAsia" w:ascii="宋体" w:hAnsi="宋体" w:cs="宋体"/>
          <w:bCs/>
          <w:color w:val="auto"/>
          <w:szCs w:val="21"/>
          <w:highlight w:val="none"/>
          <w:lang w:val="en-US" w:eastAsia="zh-CN"/>
        </w:rPr>
        <w:t>200万</w:t>
      </w:r>
      <w:r>
        <w:rPr>
          <w:rFonts w:hint="eastAsia" w:ascii="宋体" w:hAnsi="宋体" w:cs="宋体"/>
          <w:bCs/>
          <w:color w:val="auto"/>
          <w:szCs w:val="21"/>
          <w:highlight w:val="none"/>
        </w:rPr>
        <w:t>元，</w:t>
      </w:r>
      <w:r>
        <w:rPr>
          <w:rFonts w:hint="eastAsia" w:ascii="宋体" w:hAnsi="宋体" w:cs="宋体"/>
          <w:color w:val="auto"/>
          <w:szCs w:val="21"/>
          <w:lang w:val="en-US" w:eastAsia="zh-CN"/>
        </w:rPr>
        <w:t>最高限价</w:t>
      </w:r>
      <w:r>
        <w:rPr>
          <w:rFonts w:hint="eastAsia" w:ascii="宋体" w:hAnsi="宋体" w:cs="宋体"/>
          <w:b w:val="0"/>
          <w:bCs w:val="0"/>
          <w:color w:val="auto"/>
          <w:szCs w:val="21"/>
        </w:rPr>
        <w:t>金额：</w:t>
      </w:r>
      <w:r>
        <w:rPr>
          <w:rFonts w:hint="eastAsia" w:ascii="宋体" w:hAnsi="宋体" w:cs="宋体"/>
          <w:b w:val="0"/>
          <w:bCs w:val="0"/>
          <w:color w:val="auto"/>
          <w:szCs w:val="21"/>
          <w:lang w:eastAsia="zh-CN"/>
        </w:rPr>
        <w:t>人民币</w:t>
      </w:r>
      <w:r>
        <w:rPr>
          <w:rFonts w:hint="eastAsia" w:ascii="宋体" w:hAnsi="宋体" w:cs="宋体"/>
          <w:b w:val="0"/>
          <w:bCs w:val="0"/>
          <w:color w:val="auto"/>
          <w:szCs w:val="21"/>
          <w:lang w:val="en-US" w:eastAsia="zh-CN"/>
        </w:rPr>
        <w:t>180</w:t>
      </w:r>
      <w:r>
        <w:rPr>
          <w:rFonts w:hint="eastAsia" w:ascii="宋体" w:hAnsi="宋体" w:cs="宋体"/>
          <w:b w:val="0"/>
          <w:bCs w:val="0"/>
          <w:color w:val="auto"/>
          <w:szCs w:val="21"/>
          <w:lang w:eastAsia="zh-CN"/>
        </w:rPr>
        <w:t>万元</w:t>
      </w:r>
      <w:r>
        <w:rPr>
          <w:rFonts w:hint="eastAsia" w:ascii="宋体" w:hAnsi="宋体" w:cs="宋体"/>
          <w:b w:val="0"/>
          <w:bCs w:val="0"/>
          <w:color w:val="auto"/>
          <w:szCs w:val="21"/>
        </w:rPr>
        <w:t>。</w:t>
      </w:r>
    </w:p>
    <w:p w14:paraId="6722240D">
      <w:pPr>
        <w:snapToGrid w:val="0"/>
        <w:spacing w:line="360" w:lineRule="auto"/>
        <w:ind w:firstLine="422" w:firstLineChars="200"/>
        <w:rPr>
          <w:rFonts w:ascii="宋体" w:hAnsi="宋体" w:cs="宋体"/>
          <w:b/>
          <w:bCs/>
          <w:color w:val="auto"/>
          <w:szCs w:val="21"/>
        </w:rPr>
      </w:pPr>
      <w:r>
        <w:rPr>
          <w:rFonts w:hint="eastAsia" w:ascii="宋体" w:hAnsi="宋体" w:cs="宋体"/>
          <w:b/>
          <w:color w:val="auto"/>
          <w:szCs w:val="21"/>
        </w:rPr>
        <w:t>五、合格投标人的资格要求：</w:t>
      </w:r>
    </w:p>
    <w:p w14:paraId="0B24E13C">
      <w:pPr>
        <w:spacing w:line="360" w:lineRule="auto"/>
        <w:ind w:firstLine="420" w:firstLineChars="200"/>
        <w:rPr>
          <w:rFonts w:ascii="宋体" w:hAnsi="宋体" w:cs="宋体"/>
          <w:color w:val="auto"/>
          <w:szCs w:val="21"/>
        </w:rPr>
      </w:pPr>
      <w:r>
        <w:rPr>
          <w:rFonts w:hint="eastAsia" w:ascii="宋体" w:hAnsi="宋体" w:cs="宋体"/>
          <w:color w:val="auto"/>
          <w:szCs w:val="21"/>
        </w:rPr>
        <w:t>1</w:t>
      </w:r>
      <w:r>
        <w:rPr>
          <w:rFonts w:hint="eastAsia" w:ascii="宋体" w:hAnsi="宋体" w:cs="宋体"/>
          <w:color w:val="auto"/>
          <w:szCs w:val="21"/>
          <w:lang w:val="en-US" w:eastAsia="zh-CN"/>
        </w:rPr>
        <w:t>.</w:t>
      </w:r>
      <w:r>
        <w:rPr>
          <w:rFonts w:hint="eastAsia" w:ascii="宋体" w:hAnsi="宋体" w:cs="宋体"/>
          <w:color w:val="auto"/>
          <w:szCs w:val="21"/>
        </w:rPr>
        <w:t>符合《中华人民共和国政府采购法》第二十二条的规定。</w:t>
      </w:r>
    </w:p>
    <w:p w14:paraId="38E60635">
      <w:pPr>
        <w:spacing w:line="360" w:lineRule="auto"/>
        <w:ind w:firstLine="420" w:firstLineChars="200"/>
        <w:rPr>
          <w:rFonts w:hint="eastAsia" w:ascii="宋体" w:hAnsi="宋体" w:cs="宋体"/>
          <w:color w:val="auto"/>
          <w:szCs w:val="21"/>
        </w:rPr>
      </w:pPr>
      <w:r>
        <w:rPr>
          <w:rFonts w:hint="eastAsia" w:ascii="宋体" w:hAnsi="宋体" w:cs="宋体"/>
          <w:color w:val="auto"/>
          <w:szCs w:val="21"/>
        </w:rPr>
        <w:t>2</w:t>
      </w:r>
      <w:r>
        <w:rPr>
          <w:rFonts w:hint="eastAsia" w:ascii="宋体" w:hAnsi="宋体" w:cs="宋体"/>
          <w:color w:val="auto"/>
          <w:szCs w:val="21"/>
          <w:lang w:val="en-US" w:eastAsia="zh-CN"/>
        </w:rPr>
        <w:t>.</w:t>
      </w:r>
      <w:r>
        <w:rPr>
          <w:rFonts w:hint="eastAsia" w:ascii="宋体" w:hAnsi="宋体" w:cs="宋体"/>
          <w:color w:val="auto"/>
          <w:szCs w:val="21"/>
        </w:rPr>
        <w:t>未被“信用中国”（www.creditchina.gov.cn）、中国政府采购网（www.ccgp.gov.cn）列入失信被执行人、重大税收违法案件当事人名单、政府采购严重违法失信行为记录名单。</w:t>
      </w:r>
    </w:p>
    <w:p w14:paraId="26257B1A">
      <w:pPr>
        <w:pStyle w:val="12"/>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3</w:t>
      </w:r>
      <w:r>
        <w:rPr>
          <w:rFonts w:hint="eastAsia" w:ascii="宋体" w:hAnsi="宋体" w:cs="宋体"/>
          <w:szCs w:val="21"/>
          <w:highlight w:val="none"/>
          <w:lang w:val="en-US" w:eastAsia="zh-CN"/>
        </w:rPr>
        <w:t>.</w:t>
      </w:r>
      <w:r>
        <w:rPr>
          <w:rFonts w:hint="eastAsia" w:ascii="宋体" w:hAnsi="宋体" w:eastAsia="宋体" w:cs="宋体"/>
          <w:szCs w:val="21"/>
          <w:highlight w:val="none"/>
        </w:rPr>
        <w:t>本项目</w:t>
      </w:r>
      <w:r>
        <w:rPr>
          <w:rFonts w:hint="eastAsia" w:ascii="宋体" w:hAnsi="宋体" w:eastAsia="宋体" w:cs="宋体"/>
          <w:szCs w:val="21"/>
          <w:highlight w:val="none"/>
          <w:lang w:val="en-US" w:eastAsia="zh-CN"/>
        </w:rPr>
        <w:t>属于预留份额</w:t>
      </w:r>
      <w:r>
        <w:rPr>
          <w:rFonts w:hint="eastAsia" w:ascii="宋体" w:hAnsi="宋体" w:eastAsia="宋体" w:cs="宋体"/>
          <w:szCs w:val="21"/>
          <w:highlight w:val="none"/>
        </w:rPr>
        <w:t>专门面向中小企业采购</w:t>
      </w:r>
      <w:r>
        <w:rPr>
          <w:rFonts w:hint="eastAsia" w:ascii="宋体" w:hAnsi="宋体" w:eastAsia="宋体" w:cs="宋体"/>
          <w:szCs w:val="21"/>
          <w:highlight w:val="none"/>
          <w:lang w:eastAsia="zh-CN"/>
        </w:rPr>
        <w:t>。</w:t>
      </w:r>
      <w:r>
        <w:rPr>
          <w:rFonts w:hint="eastAsia" w:ascii="宋体" w:hAnsi="宋体" w:eastAsia="宋体" w:cs="宋体"/>
          <w:szCs w:val="21"/>
          <w:highlight w:val="none"/>
          <w:lang w:val="en-US" w:eastAsia="zh-CN"/>
        </w:rPr>
        <w:t>本项目</w:t>
      </w:r>
      <w:r>
        <w:rPr>
          <w:rFonts w:hint="eastAsia" w:ascii="宋体" w:hAnsi="宋体" w:eastAsia="宋体" w:cs="宋体"/>
          <w:szCs w:val="21"/>
          <w:highlight w:val="none"/>
        </w:rPr>
        <w:t>服务</w:t>
      </w:r>
      <w:r>
        <w:rPr>
          <w:rFonts w:hint="eastAsia" w:ascii="宋体" w:hAnsi="宋体" w:eastAsia="宋体" w:cs="宋体"/>
          <w:szCs w:val="21"/>
          <w:highlight w:val="none"/>
          <w:lang w:eastAsia="zh-CN"/>
        </w:rPr>
        <w:t>应</w:t>
      </w:r>
      <w:r>
        <w:rPr>
          <w:rFonts w:hint="eastAsia" w:ascii="宋体" w:hAnsi="宋体" w:eastAsia="宋体" w:cs="宋体"/>
          <w:szCs w:val="21"/>
          <w:highlight w:val="none"/>
        </w:rPr>
        <w:t>全部由符合政策要求的中小企业承接（中小企业划分标准对应行业为“</w:t>
      </w:r>
      <w:r>
        <w:rPr>
          <w:rFonts w:hint="eastAsia"/>
          <w:color w:val="auto"/>
          <w:lang w:eastAsia="zh-CN"/>
        </w:rPr>
        <w:t>其他未列明行业</w:t>
      </w:r>
      <w:r>
        <w:rPr>
          <w:rFonts w:hint="eastAsia" w:ascii="宋体" w:hAnsi="宋体" w:eastAsia="宋体" w:cs="宋体"/>
          <w:szCs w:val="21"/>
          <w:highlight w:val="none"/>
        </w:rPr>
        <w:t>”）</w:t>
      </w:r>
    </w:p>
    <w:p w14:paraId="1460D7FC">
      <w:pPr>
        <w:pStyle w:val="12"/>
        <w:ind w:firstLine="420" w:firstLineChars="200"/>
        <w:rPr>
          <w:rFonts w:ascii="宋体" w:hAnsi="宋体" w:cs="宋体"/>
          <w:color w:val="auto"/>
          <w:szCs w:val="21"/>
        </w:rPr>
      </w:pPr>
      <w:r>
        <w:rPr>
          <w:rFonts w:hint="eastAsia" w:ascii="宋体" w:hAnsi="宋体" w:cs="宋体"/>
          <w:szCs w:val="21"/>
          <w:highlight w:val="none"/>
          <w:lang w:val="en-US" w:eastAsia="zh-CN"/>
        </w:rPr>
        <w:t>4</w:t>
      </w:r>
      <w:r>
        <w:rPr>
          <w:rFonts w:hint="eastAsia" w:ascii="宋体" w:hAnsi="宋体" w:cs="宋体"/>
          <w:color w:val="auto"/>
          <w:szCs w:val="21"/>
          <w:lang w:val="en-US" w:eastAsia="zh-CN"/>
        </w:rPr>
        <w:t>.</w:t>
      </w:r>
      <w:r>
        <w:rPr>
          <w:rFonts w:hint="eastAsia" w:ascii="宋体" w:hAnsi="宋体" w:cs="宋体"/>
          <w:color w:val="auto"/>
          <w:szCs w:val="21"/>
        </w:rPr>
        <w:t>本项目谢绝联合体投标。</w:t>
      </w:r>
    </w:p>
    <w:p w14:paraId="4B45B1BB">
      <w:pPr>
        <w:spacing w:line="480" w:lineRule="exact"/>
        <w:ind w:firstLine="411" w:firstLineChars="196"/>
        <w:rPr>
          <w:rFonts w:ascii="宋体" w:hAnsi="宋体" w:cs="宋体"/>
          <w:color w:val="auto"/>
          <w:szCs w:val="21"/>
        </w:rPr>
      </w:pPr>
      <w:r>
        <w:rPr>
          <w:rFonts w:hint="eastAsia" w:ascii="宋体" w:hAnsi="宋体" w:cs="宋体"/>
          <w:color w:val="auto"/>
          <w:szCs w:val="21"/>
        </w:rPr>
        <w:t>注：本采购项目，中标单位与采购单位签订的政府采购合同适用于舟山市政府采购贷款政策，简称“政采贷”。</w:t>
      </w:r>
    </w:p>
    <w:p w14:paraId="1D61A1D3">
      <w:pPr>
        <w:snapToGrid w:val="0"/>
        <w:spacing w:line="480" w:lineRule="exact"/>
        <w:ind w:firstLine="422" w:firstLineChars="200"/>
        <w:rPr>
          <w:rFonts w:ascii="宋体" w:hAnsi="宋体" w:cs="宋体"/>
          <w:b/>
          <w:color w:val="auto"/>
          <w:szCs w:val="21"/>
        </w:rPr>
      </w:pPr>
      <w:r>
        <w:rPr>
          <w:rFonts w:hint="eastAsia" w:ascii="宋体" w:hAnsi="宋体" w:cs="宋体"/>
          <w:b/>
          <w:color w:val="auto"/>
          <w:szCs w:val="21"/>
        </w:rPr>
        <w:t>六、采购文件的获取：</w:t>
      </w:r>
    </w:p>
    <w:p w14:paraId="4590F77E">
      <w:pPr>
        <w:spacing w:line="480" w:lineRule="exact"/>
        <w:ind w:firstLine="420" w:firstLineChars="200"/>
        <w:rPr>
          <w:rFonts w:ascii="宋体" w:hAnsi="宋体" w:cs="宋体"/>
          <w:color w:val="auto"/>
          <w:szCs w:val="21"/>
        </w:rPr>
      </w:pPr>
      <w:r>
        <w:rPr>
          <w:rFonts w:hint="eastAsia" w:ascii="宋体" w:hAnsi="宋体" w:cs="宋体"/>
          <w:color w:val="auto"/>
          <w:szCs w:val="21"/>
        </w:rPr>
        <w:t>1</w:t>
      </w:r>
      <w:r>
        <w:rPr>
          <w:rFonts w:hint="eastAsia" w:ascii="宋体" w:hAnsi="宋体" w:cs="宋体"/>
          <w:color w:val="auto"/>
          <w:szCs w:val="21"/>
          <w:lang w:val="en-US" w:eastAsia="zh-CN"/>
        </w:rPr>
        <w:t>.</w:t>
      </w:r>
      <w:r>
        <w:rPr>
          <w:rFonts w:hint="eastAsia" w:ascii="宋体" w:hAnsi="宋体" w:cs="宋体"/>
          <w:color w:val="auto"/>
          <w:szCs w:val="21"/>
        </w:rPr>
        <w:t>本项目采购文件实行“政府采购云平台”在线获取，不提供采购文件纸质版。供应商获取采购文件前应先完成“政府采购云平台”的账号注册；</w:t>
      </w:r>
    </w:p>
    <w:p w14:paraId="246E62AD">
      <w:pPr>
        <w:spacing w:line="480" w:lineRule="exact"/>
        <w:ind w:firstLine="420" w:firstLineChars="200"/>
        <w:rPr>
          <w:rFonts w:ascii="宋体" w:hAnsi="宋体" w:cs="宋体"/>
          <w:color w:val="auto"/>
          <w:szCs w:val="21"/>
        </w:rPr>
      </w:pPr>
      <w:r>
        <w:rPr>
          <w:rFonts w:hint="eastAsia" w:ascii="宋体" w:hAnsi="宋体" w:cs="宋体"/>
          <w:color w:val="auto"/>
          <w:szCs w:val="21"/>
        </w:rPr>
        <w:t>2</w:t>
      </w:r>
      <w:r>
        <w:rPr>
          <w:rFonts w:hint="eastAsia" w:ascii="宋体" w:hAnsi="宋体" w:cs="宋体"/>
          <w:color w:val="auto"/>
          <w:szCs w:val="21"/>
          <w:lang w:val="en-US" w:eastAsia="zh-CN"/>
        </w:rPr>
        <w:t>.</w:t>
      </w:r>
      <w:r>
        <w:rPr>
          <w:rFonts w:hint="eastAsia" w:ascii="宋体" w:hAnsi="宋体" w:cs="宋体"/>
          <w:color w:val="auto"/>
          <w:szCs w:val="21"/>
        </w:rPr>
        <w:t>地点：政采云平台（https://www.zcygov.cn/）；</w:t>
      </w:r>
    </w:p>
    <w:p w14:paraId="28C3DE75">
      <w:pPr>
        <w:spacing w:line="480" w:lineRule="exact"/>
        <w:ind w:firstLine="420" w:firstLineChars="200"/>
        <w:rPr>
          <w:rFonts w:ascii="宋体" w:hAnsi="宋体" w:cs="宋体"/>
          <w:color w:val="auto"/>
          <w:szCs w:val="21"/>
        </w:rPr>
      </w:pPr>
      <w:r>
        <w:rPr>
          <w:rFonts w:hint="eastAsia" w:ascii="宋体" w:hAnsi="宋体" w:cs="宋体"/>
          <w:color w:val="auto"/>
          <w:szCs w:val="21"/>
        </w:rPr>
        <w:t>3</w:t>
      </w:r>
      <w:r>
        <w:rPr>
          <w:rFonts w:hint="eastAsia" w:ascii="宋体" w:hAnsi="宋体" w:cs="宋体"/>
          <w:color w:val="auto"/>
          <w:szCs w:val="21"/>
          <w:lang w:val="en-US" w:eastAsia="zh-CN"/>
        </w:rPr>
        <w:t>.</w:t>
      </w:r>
      <w:r>
        <w:rPr>
          <w:rFonts w:hint="eastAsia" w:ascii="宋体" w:hAnsi="宋体" w:cs="宋体"/>
          <w:color w:val="auto"/>
          <w:szCs w:val="21"/>
        </w:rPr>
        <w:t>方式：潜在供应商登陆政采云平台，在线申请获取采购文件（进入“项目采购”应用，在获取采购文件菜单中选择项目，申请获取采购文件，本项目采购文件不收取工本费；仅需浏览采购文件的供应商可点击“游客，浏览采购文件”直接下载采购文件浏览）；</w:t>
      </w:r>
    </w:p>
    <w:p w14:paraId="45CED01D">
      <w:pPr>
        <w:spacing w:line="480" w:lineRule="exact"/>
        <w:ind w:firstLine="420" w:firstLineChars="200"/>
        <w:rPr>
          <w:rFonts w:hint="eastAsia" w:ascii="宋体" w:hAnsi="宋体" w:cs="宋体"/>
          <w:color w:val="auto"/>
          <w:szCs w:val="21"/>
        </w:rPr>
      </w:pPr>
      <w:r>
        <w:rPr>
          <w:rFonts w:hint="eastAsia" w:ascii="宋体" w:hAnsi="宋体" w:cs="宋体"/>
          <w:color w:val="auto"/>
          <w:szCs w:val="21"/>
        </w:rPr>
        <w:t>4</w:t>
      </w:r>
      <w:r>
        <w:rPr>
          <w:rFonts w:hint="eastAsia" w:ascii="宋体" w:hAnsi="宋体" w:cs="宋体"/>
          <w:color w:val="auto"/>
          <w:szCs w:val="21"/>
          <w:lang w:val="en-US" w:eastAsia="zh-CN"/>
        </w:rPr>
        <w:t>.</w:t>
      </w:r>
      <w:r>
        <w:rPr>
          <w:rFonts w:hint="eastAsia" w:ascii="宋体" w:hAnsi="宋体" w:cs="宋体"/>
          <w:color w:val="auto"/>
          <w:szCs w:val="21"/>
        </w:rPr>
        <w:t>提示：采购公告附件内的采购文件（或采购需求）仅供阅览使用，供应商只有在“政府采购云平台”完成获取采购文件申请并下载了采购文件后才视作依法获取采购文件（法律法规所指的供应商获取采购文件时间以供应商完成获取采购文件申请后下载采购文件的时间为准）。</w:t>
      </w:r>
    </w:p>
    <w:p w14:paraId="6EBB48C6">
      <w:pPr>
        <w:spacing w:line="360" w:lineRule="auto"/>
        <w:ind w:firstLine="420" w:firstLineChars="200"/>
      </w:pPr>
      <w:r>
        <w:rPr>
          <w:rFonts w:hint="eastAsia" w:ascii="宋体" w:hAnsi="宋体" w:cs="宋体"/>
          <w:color w:val="auto"/>
          <w:szCs w:val="21"/>
          <w:highlight w:val="none"/>
        </w:rPr>
        <w:t>5</w:t>
      </w:r>
      <w:r>
        <w:rPr>
          <w:rFonts w:hint="eastAsia" w:ascii="宋体" w:hAnsi="宋体" w:cs="宋体"/>
          <w:color w:val="auto"/>
          <w:szCs w:val="21"/>
          <w:highlight w:val="none"/>
          <w:lang w:val="en-US" w:eastAsia="zh-CN"/>
        </w:rPr>
        <w:t>.</w:t>
      </w:r>
      <w:r>
        <w:rPr>
          <w:rFonts w:hint="eastAsia" w:ascii="宋体" w:hAnsi="宋体" w:cs="宋体"/>
          <w:color w:val="auto"/>
          <w:szCs w:val="21"/>
          <w:highlight w:val="none"/>
        </w:rPr>
        <w:t>提示：招标公告附件内的招标文件（或采购需求）仅供阅览使用，供应商只有在“政府采购云平台”完成获取招标文件申请并下载了招标文件后才视作依法获取招标文件（法律法规所指的供应商获取招标文件时间以供应商完成获取招标文件申请后下载招标文件的时间为准）。</w:t>
      </w:r>
    </w:p>
    <w:p w14:paraId="614C03DF">
      <w:pPr>
        <w:spacing w:line="480" w:lineRule="exact"/>
        <w:ind w:firstLine="420" w:firstLineChars="200"/>
        <w:rPr>
          <w:rFonts w:ascii="宋体" w:hAnsi="宋体" w:cs="宋体"/>
          <w:color w:val="auto"/>
          <w:szCs w:val="21"/>
        </w:rPr>
      </w:pPr>
      <w:r>
        <w:rPr>
          <w:rFonts w:hint="eastAsia" w:ascii="宋体" w:hAnsi="宋体" w:cs="宋体"/>
          <w:color w:val="auto"/>
          <w:szCs w:val="21"/>
        </w:rPr>
        <w:t>注：请供应商按上述要求获取采购文件，如未在“政采云”系统内完成相关流程，引起的投标无效责任自负。</w:t>
      </w:r>
    </w:p>
    <w:p w14:paraId="1F5B8D3F">
      <w:pPr>
        <w:spacing w:line="480" w:lineRule="exact"/>
        <w:ind w:firstLine="422" w:firstLineChars="200"/>
        <w:rPr>
          <w:rFonts w:ascii="宋体" w:hAnsi="宋体" w:cs="宋体"/>
          <w:b/>
          <w:bCs/>
          <w:color w:val="auto"/>
          <w:szCs w:val="21"/>
          <w:highlight w:val="none"/>
        </w:rPr>
      </w:pPr>
      <w:r>
        <w:rPr>
          <w:rFonts w:hint="eastAsia" w:ascii="宋体" w:hAnsi="宋体" w:cs="宋体"/>
          <w:b/>
          <w:bCs/>
          <w:color w:val="auto"/>
          <w:szCs w:val="21"/>
          <w:highlight w:val="none"/>
        </w:rPr>
        <w:t>七、</w:t>
      </w:r>
      <w:r>
        <w:rPr>
          <w:rFonts w:hint="eastAsia" w:ascii="宋体" w:hAnsi="宋体" w:cs="宋体"/>
          <w:b/>
          <w:bCs/>
          <w:color w:val="auto"/>
          <w:szCs w:val="21"/>
          <w:highlight w:val="none"/>
          <w:lang w:val="en-US" w:eastAsia="zh-CN"/>
        </w:rPr>
        <w:t>报名</w:t>
      </w:r>
      <w:r>
        <w:rPr>
          <w:rFonts w:hint="eastAsia" w:ascii="宋体" w:hAnsi="宋体" w:cs="宋体"/>
          <w:b/>
          <w:bCs/>
          <w:color w:val="auto"/>
          <w:szCs w:val="21"/>
          <w:highlight w:val="none"/>
        </w:rPr>
        <w:t>截止时间：</w:t>
      </w:r>
      <w:r>
        <w:rPr>
          <w:rFonts w:hint="eastAsia" w:ascii="宋体" w:hAnsi="宋体" w:cs="宋体"/>
          <w:b/>
          <w:bCs/>
          <w:color w:val="auto"/>
          <w:szCs w:val="21"/>
          <w:highlight w:val="none"/>
          <w:lang w:eastAsia="zh-CN"/>
        </w:rPr>
        <w:t>2025年4月17日14时30分。</w:t>
      </w:r>
    </w:p>
    <w:p w14:paraId="1A62CEEA">
      <w:pPr>
        <w:spacing w:line="48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八、</w:t>
      </w:r>
      <w:r>
        <w:rPr>
          <w:rFonts w:hint="eastAsia" w:ascii="宋体" w:hAnsi="宋体" w:cs="宋体"/>
          <w:b/>
          <w:bCs/>
          <w:color w:val="auto"/>
          <w:szCs w:val="21"/>
          <w:highlight w:val="none"/>
        </w:rPr>
        <w:t>投标截止时间：</w:t>
      </w:r>
      <w:r>
        <w:rPr>
          <w:rFonts w:hint="eastAsia" w:ascii="宋体" w:hAnsi="宋体" w:cs="宋体"/>
          <w:b/>
          <w:bCs/>
          <w:color w:val="auto"/>
          <w:szCs w:val="21"/>
          <w:highlight w:val="none"/>
          <w:lang w:eastAsia="zh-CN"/>
        </w:rPr>
        <w:t>2025年4月17日14时30分。</w:t>
      </w:r>
    </w:p>
    <w:p w14:paraId="3F2EB001">
      <w:pPr>
        <w:spacing w:line="480" w:lineRule="exact"/>
        <w:ind w:firstLine="422" w:firstLineChars="200"/>
        <w:rPr>
          <w:rFonts w:hint="eastAsia" w:ascii="宋体" w:hAnsi="宋体" w:cs="宋体"/>
          <w:color w:val="auto"/>
          <w:szCs w:val="21"/>
          <w:highlight w:val="none"/>
        </w:rPr>
      </w:pPr>
      <w:r>
        <w:rPr>
          <w:rFonts w:hint="eastAsia" w:ascii="宋体" w:hAnsi="宋体" w:cs="宋体"/>
          <w:b/>
          <w:bCs/>
          <w:color w:val="auto"/>
          <w:szCs w:val="21"/>
          <w:highlight w:val="none"/>
        </w:rPr>
        <w:t>九、</w:t>
      </w:r>
      <w:r>
        <w:rPr>
          <w:rFonts w:hint="eastAsia" w:ascii="宋体" w:hAnsi="宋体" w:cs="宋体"/>
          <w:b w:val="0"/>
          <w:bCs w:val="0"/>
          <w:color w:val="auto"/>
          <w:szCs w:val="21"/>
          <w:highlight w:val="none"/>
          <w:lang w:val="en-US" w:eastAsia="zh-CN"/>
        </w:rPr>
        <w:t>投标</w:t>
      </w:r>
      <w:r>
        <w:rPr>
          <w:rFonts w:hint="eastAsia" w:ascii="宋体" w:hAnsi="宋体" w:cs="宋体"/>
          <w:color w:val="auto"/>
          <w:szCs w:val="21"/>
          <w:highlight w:val="none"/>
        </w:rPr>
        <w:t>标地点：政采云线上</w:t>
      </w:r>
      <w:r>
        <w:rPr>
          <w:rFonts w:hint="eastAsia" w:ascii="宋体" w:hAnsi="宋体" w:cs="宋体"/>
          <w:color w:val="auto"/>
          <w:szCs w:val="21"/>
          <w:highlight w:val="none"/>
          <w:lang w:val="en-US" w:eastAsia="zh-CN"/>
        </w:rPr>
        <w:t>投</w:t>
      </w:r>
      <w:r>
        <w:rPr>
          <w:rFonts w:hint="eastAsia" w:ascii="宋体" w:hAnsi="宋体" w:cs="宋体"/>
          <w:color w:val="auto"/>
          <w:szCs w:val="21"/>
          <w:highlight w:val="none"/>
        </w:rPr>
        <w:t>标。</w:t>
      </w:r>
    </w:p>
    <w:p w14:paraId="2C19FD03">
      <w:pPr>
        <w:spacing w:line="360" w:lineRule="auto"/>
        <w:ind w:firstLine="420" w:firstLineChars="200"/>
        <w:rPr>
          <w:rFonts w:hint="eastAsia" w:ascii="宋体" w:hAnsi="宋体" w:cs="宋体"/>
          <w:b/>
          <w:bCs/>
          <w:color w:val="auto"/>
          <w:szCs w:val="21"/>
          <w:highlight w:val="none"/>
          <w:lang w:eastAsia="zh-CN"/>
        </w:rPr>
      </w:pPr>
      <w:r>
        <w:rPr>
          <w:rFonts w:hint="eastAsia" w:ascii="宋体" w:hAnsi="宋体" w:cs="宋体"/>
          <w:color w:val="auto"/>
          <w:szCs w:val="21"/>
          <w:highlight w:val="none"/>
        </w:rPr>
        <w:t>十、</w:t>
      </w:r>
      <w:r>
        <w:rPr>
          <w:rFonts w:hint="eastAsia" w:ascii="宋体" w:hAnsi="宋体" w:cs="宋体"/>
          <w:b/>
          <w:bCs/>
          <w:color w:val="auto"/>
          <w:szCs w:val="21"/>
          <w:highlight w:val="none"/>
        </w:rPr>
        <w:t>开标时间：</w:t>
      </w:r>
      <w:r>
        <w:rPr>
          <w:rFonts w:hint="eastAsia" w:ascii="宋体" w:hAnsi="宋体" w:cs="宋体"/>
          <w:b/>
          <w:bCs/>
          <w:color w:val="auto"/>
          <w:szCs w:val="21"/>
          <w:highlight w:val="none"/>
          <w:lang w:eastAsia="zh-CN"/>
        </w:rPr>
        <w:t>2025年4月17日14时30分。</w:t>
      </w:r>
    </w:p>
    <w:p w14:paraId="55491772">
      <w:pPr>
        <w:spacing w:line="360" w:lineRule="auto"/>
        <w:ind w:firstLine="420" w:firstLineChars="200"/>
        <w:rPr>
          <w:rFonts w:ascii="宋体" w:hAnsi="宋体" w:cs="宋体"/>
          <w:color w:val="auto"/>
          <w:szCs w:val="21"/>
        </w:rPr>
      </w:pPr>
      <w:r>
        <w:rPr>
          <w:rFonts w:hint="eastAsia" w:ascii="宋体" w:hAnsi="宋体" w:cs="宋体"/>
          <w:color w:val="auto"/>
          <w:szCs w:val="21"/>
          <w:highlight w:val="none"/>
        </w:rPr>
        <w:t>十一、开标地点：政采云线上开标。</w:t>
      </w:r>
    </w:p>
    <w:p w14:paraId="69EA5856">
      <w:pPr>
        <w:spacing w:line="480" w:lineRule="exact"/>
        <w:ind w:firstLine="420" w:firstLineChars="200"/>
        <w:rPr>
          <w:rFonts w:ascii="宋体" w:hAnsi="宋体" w:cs="宋体"/>
          <w:color w:val="auto"/>
          <w:szCs w:val="21"/>
        </w:rPr>
      </w:pPr>
      <w:r>
        <w:rPr>
          <w:rFonts w:hint="eastAsia" w:ascii="宋体" w:hAnsi="宋体" w:cs="宋体"/>
          <w:color w:val="auto"/>
          <w:szCs w:val="21"/>
        </w:rPr>
        <w:t>十</w:t>
      </w:r>
      <w:r>
        <w:rPr>
          <w:rFonts w:hint="eastAsia" w:ascii="宋体" w:hAnsi="宋体" w:cs="宋体"/>
          <w:color w:val="auto"/>
          <w:szCs w:val="21"/>
          <w:lang w:val="en-US" w:eastAsia="zh-CN"/>
        </w:rPr>
        <w:t>二</w:t>
      </w:r>
      <w:r>
        <w:rPr>
          <w:rFonts w:hint="eastAsia" w:ascii="宋体" w:hAnsi="宋体" w:cs="宋体"/>
          <w:color w:val="auto"/>
          <w:szCs w:val="21"/>
        </w:rPr>
        <w:t>、投标保证金：无</w:t>
      </w:r>
    </w:p>
    <w:p w14:paraId="57FC29FD">
      <w:pPr>
        <w:snapToGrid w:val="0"/>
        <w:spacing w:line="480" w:lineRule="exact"/>
        <w:ind w:firstLine="422" w:firstLineChars="200"/>
        <w:rPr>
          <w:rFonts w:ascii="宋体" w:hAnsi="宋体" w:cs="宋体"/>
          <w:b/>
          <w:color w:val="auto"/>
          <w:szCs w:val="21"/>
        </w:rPr>
      </w:pPr>
      <w:r>
        <w:rPr>
          <w:rFonts w:hint="eastAsia" w:ascii="宋体" w:hAnsi="宋体" w:cs="宋体"/>
          <w:b/>
          <w:color w:val="auto"/>
          <w:szCs w:val="21"/>
        </w:rPr>
        <w:t>十</w:t>
      </w:r>
      <w:r>
        <w:rPr>
          <w:rFonts w:hint="eastAsia" w:ascii="宋体" w:hAnsi="宋体" w:cs="宋体"/>
          <w:b/>
          <w:color w:val="auto"/>
          <w:szCs w:val="21"/>
          <w:lang w:val="en-US" w:eastAsia="zh-CN"/>
        </w:rPr>
        <w:t>三</w:t>
      </w:r>
      <w:r>
        <w:rPr>
          <w:rFonts w:hint="eastAsia" w:ascii="宋体" w:hAnsi="宋体" w:cs="宋体"/>
          <w:b/>
          <w:color w:val="auto"/>
          <w:szCs w:val="21"/>
        </w:rPr>
        <w:t>、在线投标响应（电子投标）说明</w:t>
      </w:r>
    </w:p>
    <w:p w14:paraId="38C09F2D">
      <w:pPr>
        <w:spacing w:line="480" w:lineRule="exact"/>
        <w:ind w:firstLine="420" w:firstLineChars="200"/>
        <w:rPr>
          <w:rFonts w:ascii="宋体" w:hAnsi="宋体" w:cs="宋体"/>
          <w:color w:val="auto"/>
          <w:szCs w:val="21"/>
        </w:rPr>
      </w:pPr>
      <w:r>
        <w:rPr>
          <w:rFonts w:hint="eastAsia" w:ascii="宋体" w:hAnsi="宋体" w:cs="宋体"/>
          <w:color w:val="auto"/>
          <w:szCs w:val="21"/>
        </w:rPr>
        <w:t>1</w:t>
      </w:r>
      <w:r>
        <w:rPr>
          <w:rFonts w:hint="eastAsia" w:ascii="宋体" w:hAnsi="宋体" w:cs="宋体"/>
          <w:color w:val="auto"/>
          <w:szCs w:val="21"/>
          <w:lang w:val="en-US" w:eastAsia="zh-CN"/>
        </w:rPr>
        <w:t>.</w:t>
      </w:r>
      <w:r>
        <w:rPr>
          <w:rFonts w:hint="eastAsia" w:ascii="宋体" w:hAnsi="宋体" w:cs="宋体"/>
          <w:color w:val="auto"/>
          <w:szCs w:val="21"/>
        </w:rPr>
        <w:t>本项目通过“政府采购云平台（www.zcygov.cn）”实行在线投标响应（电子投标），供应商应先安装“政采云电子交易客户端”，并按照本采购文件和“政府采购云平台”的要求，通过“政采云电子交易客户端”编制并加密投标文件。供应商未按规定加密的投标文件，“政府采购云平台”将予以拒收。</w:t>
      </w:r>
    </w:p>
    <w:p w14:paraId="240D64E5">
      <w:pPr>
        <w:spacing w:line="480" w:lineRule="exact"/>
        <w:ind w:firstLine="420" w:firstLineChars="200"/>
        <w:rPr>
          <w:rFonts w:ascii="宋体" w:hAnsi="宋体" w:cs="宋体"/>
          <w:color w:val="auto"/>
          <w:szCs w:val="21"/>
        </w:rPr>
      </w:pPr>
      <w:r>
        <w:rPr>
          <w:rFonts w:hint="eastAsia" w:ascii="宋体" w:hAnsi="宋体" w:cs="宋体"/>
          <w:color w:val="auto"/>
          <w:szCs w:val="21"/>
        </w:rPr>
        <w:t>“政采云电子交易客户端”请自行前往“浙江政府采购网-下载专区-电子交易客户端”进行下载。</w:t>
      </w:r>
    </w:p>
    <w:p w14:paraId="74F9DA18">
      <w:pPr>
        <w:spacing w:line="480" w:lineRule="exact"/>
        <w:ind w:firstLine="420" w:firstLineChars="200"/>
        <w:rPr>
          <w:rFonts w:ascii="宋体" w:hAnsi="宋体" w:cs="宋体"/>
          <w:color w:val="auto"/>
          <w:szCs w:val="21"/>
        </w:rPr>
      </w:pPr>
      <w:r>
        <w:rPr>
          <w:rFonts w:hint="eastAsia" w:ascii="宋体" w:hAnsi="宋体" w:cs="宋体"/>
          <w:color w:val="auto"/>
          <w:szCs w:val="21"/>
        </w:rPr>
        <w:t>2</w:t>
      </w:r>
      <w:r>
        <w:rPr>
          <w:rFonts w:hint="eastAsia" w:ascii="宋体" w:hAnsi="宋体" w:cs="宋体"/>
          <w:color w:val="auto"/>
          <w:szCs w:val="21"/>
          <w:lang w:val="en-US" w:eastAsia="zh-CN"/>
        </w:rPr>
        <w:t>.</w:t>
      </w:r>
      <w:r>
        <w:rPr>
          <w:rFonts w:hint="eastAsia" w:ascii="宋体" w:hAnsi="宋体" w:cs="宋体"/>
          <w:color w:val="auto"/>
          <w:szCs w:val="21"/>
        </w:rPr>
        <w:t>供应商须申领CA，并在政采云平台完成绑定方可进行投标文件的编制，CA相关操作可参考“浙江政府采购网-下载专区-电子交易客户端-CA驱动和申领流程”。</w:t>
      </w:r>
    </w:p>
    <w:p w14:paraId="56D0BDE7">
      <w:pPr>
        <w:spacing w:line="480" w:lineRule="exact"/>
        <w:ind w:firstLine="420" w:firstLineChars="200"/>
        <w:rPr>
          <w:rFonts w:ascii="宋体" w:hAnsi="宋体" w:cs="宋体"/>
          <w:color w:val="auto"/>
          <w:szCs w:val="21"/>
        </w:rPr>
      </w:pPr>
      <w:r>
        <w:rPr>
          <w:rFonts w:hint="eastAsia" w:ascii="宋体" w:hAnsi="宋体" w:cs="宋体"/>
          <w:color w:val="auto"/>
          <w:szCs w:val="21"/>
        </w:rPr>
        <w:t>注：供应商在进行上述操作时，如遇技术问题可致电400-881-7190进行咨询或查阅《供应商项目采购-电子招投标操作指南》。操作指南在政府采购电子卖场-服务中心-帮助文档-供应商登录后，查看最新版指南。</w:t>
      </w:r>
    </w:p>
    <w:p w14:paraId="294D29D4">
      <w:pPr>
        <w:spacing w:line="480" w:lineRule="exact"/>
        <w:ind w:firstLine="420" w:firstLineChars="200"/>
        <w:rPr>
          <w:rFonts w:ascii="宋体" w:hAnsi="宋体" w:cs="宋体"/>
          <w:color w:val="auto"/>
          <w:szCs w:val="21"/>
        </w:rPr>
      </w:pPr>
      <w:r>
        <w:rPr>
          <w:rFonts w:hint="eastAsia" w:ascii="宋体" w:hAnsi="宋体" w:cs="宋体"/>
          <w:color w:val="auto"/>
          <w:szCs w:val="21"/>
        </w:rPr>
        <w:t>3</w:t>
      </w:r>
      <w:r>
        <w:rPr>
          <w:rFonts w:hint="eastAsia" w:ascii="宋体" w:hAnsi="宋体" w:cs="宋体"/>
          <w:color w:val="auto"/>
          <w:szCs w:val="21"/>
          <w:lang w:val="en-US" w:eastAsia="zh-CN"/>
        </w:rPr>
        <w:t>.</w:t>
      </w:r>
      <w:r>
        <w:rPr>
          <w:rFonts w:hint="eastAsia" w:ascii="宋体" w:hAnsi="宋体" w:cs="宋体"/>
          <w:color w:val="auto"/>
          <w:szCs w:val="21"/>
        </w:rPr>
        <w:t>投标供应商应当在投标截止时间前，将生成的“电子加密投标文件”上传递交至“政府采购云平台”。</w:t>
      </w:r>
      <w:r>
        <w:rPr>
          <w:rFonts w:hint="eastAsia" w:ascii="宋体" w:hAnsi="宋体" w:cs="宋体"/>
          <w:b/>
          <w:bCs/>
          <w:color w:val="auto"/>
          <w:szCs w:val="21"/>
        </w:rPr>
        <w:t>投标截止时间以后上传递交的投标文件将被“政府采购云平台”拒收。</w:t>
      </w:r>
    </w:p>
    <w:p w14:paraId="326A970E">
      <w:pPr>
        <w:spacing w:line="480" w:lineRule="exact"/>
        <w:ind w:firstLine="420" w:firstLineChars="200"/>
        <w:rPr>
          <w:rFonts w:ascii="宋体" w:hAnsi="宋体" w:cs="宋体"/>
          <w:color w:val="auto"/>
          <w:szCs w:val="21"/>
        </w:rPr>
      </w:pPr>
      <w:r>
        <w:rPr>
          <w:rFonts w:hint="eastAsia" w:ascii="宋体" w:hAnsi="宋体" w:cs="宋体"/>
          <w:color w:val="auto"/>
          <w:szCs w:val="21"/>
        </w:rPr>
        <w:t>4</w:t>
      </w:r>
      <w:r>
        <w:rPr>
          <w:rFonts w:hint="eastAsia" w:ascii="宋体" w:hAnsi="宋体" w:cs="宋体"/>
          <w:color w:val="auto"/>
          <w:szCs w:val="21"/>
          <w:lang w:val="en-US" w:eastAsia="zh-CN"/>
        </w:rPr>
        <w:t>.</w:t>
      </w:r>
      <w:r>
        <w:rPr>
          <w:rFonts w:hint="eastAsia" w:ascii="宋体" w:hAnsi="宋体" w:cs="宋体"/>
          <w:color w:val="auto"/>
          <w:szCs w:val="21"/>
        </w:rPr>
        <w:t>投标供应商在“政府采购云平台”完成“电子加密投标文件”的上传递交后，还可以（邮寄形式）在投标截止时间前递交以介质（U盘）存储的数据电文形式的“备份投标文件”，“备份投标文件”应当密封包装并在包装上标注投标项目名称、投标单位名称并加盖公章。</w:t>
      </w:r>
    </w:p>
    <w:p w14:paraId="72F99E8A">
      <w:pPr>
        <w:spacing w:line="480" w:lineRule="exact"/>
        <w:ind w:firstLine="422" w:firstLineChars="200"/>
        <w:rPr>
          <w:rFonts w:ascii="宋体" w:hAnsi="宋体" w:cs="宋体"/>
          <w:color w:val="auto"/>
          <w:szCs w:val="21"/>
        </w:rPr>
      </w:pPr>
      <w:r>
        <w:rPr>
          <w:rFonts w:hint="eastAsia" w:ascii="宋体" w:hAnsi="宋体" w:cs="宋体"/>
          <w:b/>
          <w:bCs/>
          <w:color w:val="auto"/>
          <w:szCs w:val="21"/>
        </w:rPr>
        <w:t>5</w:t>
      </w:r>
      <w:r>
        <w:rPr>
          <w:rFonts w:hint="eastAsia" w:ascii="宋体" w:hAnsi="宋体" w:cs="宋体"/>
          <w:b/>
          <w:bCs/>
          <w:color w:val="auto"/>
          <w:szCs w:val="21"/>
          <w:lang w:val="en-US" w:eastAsia="zh-CN"/>
        </w:rPr>
        <w:t>.</w:t>
      </w:r>
      <w:r>
        <w:rPr>
          <w:rFonts w:hint="eastAsia" w:ascii="宋体" w:hAnsi="宋体" w:cs="宋体"/>
          <w:b/>
          <w:bCs/>
          <w:color w:val="auto"/>
          <w:szCs w:val="21"/>
        </w:rPr>
        <w:t>通过“政府采购云平台”上传递交的“电子加密投标文件”无法按时解密，投标供应商递交了备份投标文件的，以备份投标文件为依据，否则视为投标文件撤回。通过“政府采购云平台”上传递交的“电子加密投标文件”已按时解密的，“备份投标文件”自动失效。投标供应商仅递交备份投标文件的，投标无效。</w:t>
      </w:r>
    </w:p>
    <w:p w14:paraId="4C8FAAB6">
      <w:pPr>
        <w:snapToGrid w:val="0"/>
        <w:spacing w:line="480" w:lineRule="exact"/>
        <w:ind w:firstLine="422" w:firstLineChars="200"/>
        <w:rPr>
          <w:rFonts w:ascii="宋体" w:hAnsi="宋体" w:cs="宋体"/>
          <w:b/>
          <w:color w:val="auto"/>
          <w:szCs w:val="21"/>
        </w:rPr>
      </w:pPr>
      <w:r>
        <w:rPr>
          <w:rFonts w:hint="eastAsia" w:ascii="宋体" w:hAnsi="宋体" w:cs="宋体"/>
          <w:b/>
          <w:color w:val="auto"/>
          <w:szCs w:val="21"/>
        </w:rPr>
        <w:t>十</w:t>
      </w:r>
      <w:r>
        <w:rPr>
          <w:rFonts w:hint="eastAsia" w:ascii="宋体" w:hAnsi="宋体" w:cs="宋体"/>
          <w:b/>
          <w:color w:val="auto"/>
          <w:szCs w:val="21"/>
          <w:lang w:val="en-US" w:eastAsia="zh-CN"/>
        </w:rPr>
        <w:t>四</w:t>
      </w:r>
      <w:r>
        <w:rPr>
          <w:rFonts w:hint="eastAsia" w:ascii="宋体" w:hAnsi="宋体" w:cs="宋体"/>
          <w:b/>
          <w:color w:val="auto"/>
          <w:szCs w:val="21"/>
        </w:rPr>
        <w:t>、其他事项：</w:t>
      </w:r>
    </w:p>
    <w:p w14:paraId="12FCBF54">
      <w:pPr>
        <w:spacing w:line="480" w:lineRule="exact"/>
        <w:ind w:firstLine="420" w:firstLineChars="200"/>
        <w:rPr>
          <w:rFonts w:ascii="宋体" w:hAnsi="宋体" w:cs="宋体"/>
          <w:color w:val="auto"/>
          <w:szCs w:val="21"/>
        </w:rPr>
      </w:pPr>
      <w:r>
        <w:rPr>
          <w:rFonts w:hint="eastAsia" w:ascii="宋体" w:hAnsi="宋体" w:cs="宋体"/>
          <w:color w:val="auto"/>
          <w:szCs w:val="21"/>
        </w:rPr>
        <w:t>1</w:t>
      </w:r>
      <w:r>
        <w:rPr>
          <w:rFonts w:hint="eastAsia" w:ascii="宋体" w:hAnsi="宋体" w:cs="宋体"/>
          <w:color w:val="auto"/>
          <w:szCs w:val="21"/>
          <w:lang w:val="en-US" w:eastAsia="zh-CN"/>
        </w:rPr>
        <w:t>.</w:t>
      </w:r>
      <w:r>
        <w:rPr>
          <w:rFonts w:hint="eastAsia" w:ascii="宋体" w:hAnsi="宋体" w:cs="宋体"/>
          <w:color w:val="auto"/>
          <w:szCs w:val="21"/>
        </w:rPr>
        <w:t>本项目公告期限：5个工作日（公告期截止后，允许投标单位参加本项目投标活动）</w:t>
      </w:r>
    </w:p>
    <w:p w14:paraId="5ADFE279">
      <w:pPr>
        <w:spacing w:line="480" w:lineRule="exact"/>
        <w:ind w:firstLine="420" w:firstLineChars="200"/>
        <w:rPr>
          <w:rFonts w:ascii="宋体" w:hAnsi="宋体" w:cs="宋体"/>
          <w:color w:val="auto"/>
          <w:szCs w:val="21"/>
        </w:rPr>
      </w:pPr>
      <w:r>
        <w:rPr>
          <w:rFonts w:hint="eastAsia" w:ascii="宋体" w:hAnsi="宋体" w:cs="宋体"/>
          <w:color w:val="auto"/>
          <w:szCs w:val="21"/>
        </w:rPr>
        <w:t>2</w:t>
      </w:r>
      <w:r>
        <w:rPr>
          <w:rFonts w:hint="eastAsia" w:ascii="宋体" w:hAnsi="宋体" w:cs="宋体"/>
          <w:color w:val="auto"/>
          <w:szCs w:val="21"/>
          <w:lang w:val="en-US" w:eastAsia="zh-CN"/>
        </w:rPr>
        <w:t>.</w:t>
      </w:r>
      <w:r>
        <w:rPr>
          <w:rFonts w:hint="eastAsia" w:ascii="宋体" w:hAnsi="宋体" w:cs="宋体"/>
          <w:color w:val="auto"/>
          <w:szCs w:val="21"/>
        </w:rPr>
        <w:t>供应商认为采购文件使自己的权益受到损害的，可以自获取采购文件之日（公告期截止日之后收到采购文件的，以公告期截止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w:t>
      </w:r>
    </w:p>
    <w:p w14:paraId="36A70503">
      <w:pPr>
        <w:snapToGrid w:val="0"/>
        <w:spacing w:line="360" w:lineRule="auto"/>
        <w:ind w:firstLine="422" w:firstLineChars="200"/>
        <w:rPr>
          <w:rFonts w:ascii="宋体" w:hAnsi="宋体" w:cs="宋体"/>
          <w:b/>
          <w:color w:val="auto"/>
          <w:szCs w:val="21"/>
        </w:rPr>
      </w:pPr>
      <w:r>
        <w:rPr>
          <w:rFonts w:hint="eastAsia" w:ascii="宋体" w:hAnsi="宋体" w:cs="宋体"/>
          <w:b/>
          <w:color w:val="auto"/>
          <w:szCs w:val="21"/>
        </w:rPr>
        <w:t>十</w:t>
      </w:r>
      <w:r>
        <w:rPr>
          <w:rFonts w:hint="eastAsia" w:ascii="宋体" w:hAnsi="宋体" w:cs="宋体"/>
          <w:b/>
          <w:color w:val="auto"/>
          <w:szCs w:val="21"/>
          <w:lang w:val="en-US" w:eastAsia="zh-CN"/>
        </w:rPr>
        <w:t>五</w:t>
      </w:r>
      <w:r>
        <w:rPr>
          <w:rFonts w:hint="eastAsia" w:ascii="宋体" w:hAnsi="宋体" w:cs="宋体"/>
          <w:b/>
          <w:color w:val="auto"/>
          <w:szCs w:val="21"/>
        </w:rPr>
        <w:t>、业务咨询：</w:t>
      </w:r>
    </w:p>
    <w:p w14:paraId="6F3DF27A">
      <w:pPr>
        <w:spacing w:line="360" w:lineRule="auto"/>
        <w:ind w:firstLine="472" w:firstLineChars="225"/>
        <w:rPr>
          <w:rFonts w:ascii="宋体" w:hAnsi="宋体"/>
          <w:color w:val="auto"/>
          <w:kern w:val="0"/>
          <w:highlight w:val="none"/>
        </w:rPr>
      </w:pPr>
      <w:bookmarkStart w:id="0" w:name="OLE_LINK34"/>
      <w:r>
        <w:rPr>
          <w:rFonts w:hint="eastAsia" w:ascii="宋体" w:hAnsi="宋体"/>
          <w:color w:val="auto"/>
          <w:kern w:val="0"/>
          <w:highlight w:val="none"/>
        </w:rPr>
        <w:t>采购人名称：嵊泗县文化和广电旅游体育局</w:t>
      </w:r>
    </w:p>
    <w:p w14:paraId="6A9E73C0">
      <w:pPr>
        <w:spacing w:line="360" w:lineRule="auto"/>
        <w:ind w:firstLine="472" w:firstLineChars="225"/>
        <w:rPr>
          <w:rFonts w:hint="eastAsia" w:ascii="宋体" w:hAnsi="宋体"/>
          <w:color w:val="auto"/>
          <w:kern w:val="0"/>
          <w:highlight w:val="none"/>
        </w:rPr>
      </w:pPr>
      <w:r>
        <w:rPr>
          <w:rFonts w:hint="eastAsia" w:ascii="宋体" w:hAnsi="宋体"/>
          <w:color w:val="auto"/>
          <w:kern w:val="0"/>
          <w:highlight w:val="none"/>
        </w:rPr>
        <w:t xml:space="preserve">联系人：王义宏           </w:t>
      </w:r>
      <w:r>
        <w:rPr>
          <w:rFonts w:hint="eastAsia" w:ascii="宋体" w:hAnsi="宋体"/>
          <w:color w:val="auto"/>
          <w:kern w:val="0"/>
          <w:highlight w:val="none"/>
          <w:lang w:val="en-US" w:eastAsia="zh-CN"/>
        </w:rPr>
        <w:t xml:space="preserve"> </w:t>
      </w:r>
      <w:r>
        <w:rPr>
          <w:rFonts w:hint="eastAsia" w:ascii="宋体" w:hAnsi="宋体"/>
          <w:color w:val="auto"/>
          <w:kern w:val="0"/>
          <w:highlight w:val="none"/>
        </w:rPr>
        <w:t>联系电话：0580-5595287</w:t>
      </w:r>
    </w:p>
    <w:p w14:paraId="316A7773">
      <w:pPr>
        <w:spacing w:line="360" w:lineRule="auto"/>
        <w:ind w:firstLine="472" w:firstLineChars="225"/>
        <w:rPr>
          <w:rFonts w:hint="eastAsia" w:ascii="宋体" w:hAnsi="宋体"/>
          <w:kern w:val="0"/>
          <w:highlight w:val="none"/>
          <w:lang w:val="en-US" w:eastAsia="zh-CN"/>
        </w:rPr>
      </w:pPr>
      <w:r>
        <w:rPr>
          <w:rFonts w:hint="eastAsia" w:ascii="宋体" w:hAnsi="宋体"/>
          <w:color w:val="auto"/>
          <w:kern w:val="0"/>
          <w:highlight w:val="none"/>
        </w:rPr>
        <w:t>质疑联系人：</w:t>
      </w:r>
      <w:r>
        <w:rPr>
          <w:rFonts w:hint="eastAsia" w:ascii="宋体" w:hAnsi="宋体"/>
          <w:kern w:val="0"/>
          <w:highlight w:val="none"/>
          <w:lang w:val="en-US" w:eastAsia="zh-CN"/>
        </w:rPr>
        <w:t>邱先生</w:t>
      </w:r>
      <w:r>
        <w:rPr>
          <w:rFonts w:hint="eastAsia" w:ascii="宋体" w:hAnsi="宋体"/>
          <w:kern w:val="0"/>
          <w:highlight w:val="none"/>
        </w:rPr>
        <w:t xml:space="preserve">        联系方式：</w:t>
      </w:r>
      <w:r>
        <w:rPr>
          <w:rFonts w:hint="eastAsia" w:ascii="宋体" w:hAnsi="宋体"/>
          <w:kern w:val="0"/>
          <w:highlight w:val="none"/>
          <w:lang w:val="en-US" w:eastAsia="zh-CN"/>
        </w:rPr>
        <w:t>0580-5282345</w:t>
      </w:r>
    </w:p>
    <w:p w14:paraId="0F5547D1">
      <w:pPr>
        <w:spacing w:line="360" w:lineRule="auto"/>
        <w:ind w:firstLine="472" w:firstLineChars="225"/>
        <w:rPr>
          <w:rFonts w:ascii="宋体" w:hAnsi="宋体"/>
          <w:color w:val="auto"/>
          <w:kern w:val="0"/>
          <w:highlight w:val="none"/>
        </w:rPr>
      </w:pPr>
      <w:r>
        <w:rPr>
          <w:rFonts w:hint="eastAsia" w:ascii="宋体" w:hAnsi="宋体"/>
          <w:color w:val="auto"/>
          <w:kern w:val="0"/>
          <w:highlight w:val="none"/>
        </w:rPr>
        <w:t>地址：嵊泗县望海路265号海景大楼9-10楼</w:t>
      </w:r>
    </w:p>
    <w:p w14:paraId="4E18FFD3">
      <w:pPr>
        <w:spacing w:line="360" w:lineRule="auto"/>
        <w:ind w:firstLine="472" w:firstLineChars="225"/>
        <w:rPr>
          <w:rFonts w:ascii="宋体" w:hAnsi="宋体"/>
          <w:color w:val="auto"/>
          <w:kern w:val="0"/>
        </w:rPr>
      </w:pPr>
    </w:p>
    <w:bookmarkEnd w:id="0"/>
    <w:p w14:paraId="642A0473">
      <w:pPr>
        <w:pStyle w:val="33"/>
        <w:spacing w:line="360" w:lineRule="auto"/>
        <w:rPr>
          <w:rFonts w:ascii="宋体" w:hAnsi="宋体"/>
          <w:color w:val="auto"/>
          <w:sz w:val="21"/>
          <w:szCs w:val="21"/>
        </w:rPr>
      </w:pPr>
      <w:r>
        <w:rPr>
          <w:rFonts w:hint="eastAsia" w:ascii="宋体" w:hAnsi="宋体"/>
          <w:color w:val="auto"/>
          <w:sz w:val="21"/>
          <w:szCs w:val="21"/>
        </w:rPr>
        <w:t>代理单位：舟山市嘉嵊咨询管理有限公司</w:t>
      </w:r>
    </w:p>
    <w:p w14:paraId="1EBDF20B">
      <w:pPr>
        <w:spacing w:line="360" w:lineRule="auto"/>
        <w:ind w:firstLine="420" w:firstLineChars="200"/>
        <w:rPr>
          <w:rFonts w:ascii="宋体" w:hAnsi="宋体"/>
          <w:color w:val="auto"/>
          <w:szCs w:val="21"/>
        </w:rPr>
      </w:pPr>
      <w:r>
        <w:rPr>
          <w:rFonts w:hint="eastAsia" w:ascii="宋体" w:hAnsi="宋体"/>
          <w:color w:val="auto"/>
          <w:szCs w:val="21"/>
        </w:rPr>
        <w:t>联系人：黄健               联系电话：0580-5085222</w:t>
      </w:r>
    </w:p>
    <w:p w14:paraId="7A28087C">
      <w:pPr>
        <w:spacing w:line="360" w:lineRule="auto"/>
        <w:ind w:firstLine="420" w:firstLineChars="200"/>
        <w:rPr>
          <w:rFonts w:hint="default" w:ascii="宋体" w:hAnsi="宋体" w:eastAsia="宋体"/>
          <w:color w:val="auto"/>
          <w:szCs w:val="21"/>
          <w:lang w:val="en-US" w:eastAsia="zh-CN"/>
        </w:rPr>
      </w:pPr>
      <w:r>
        <w:rPr>
          <w:rFonts w:hint="eastAsia" w:ascii="宋体" w:hAnsi="宋体"/>
          <w:color w:val="auto"/>
          <w:szCs w:val="21"/>
        </w:rPr>
        <w:t>质疑联系人：</w:t>
      </w:r>
      <w:r>
        <w:rPr>
          <w:rFonts w:hint="eastAsia" w:ascii="宋体" w:hAnsi="宋体"/>
          <w:color w:val="auto"/>
          <w:szCs w:val="21"/>
          <w:lang w:val="en-US" w:eastAsia="zh-CN"/>
        </w:rPr>
        <w:t>蔡婷婷</w:t>
      </w:r>
      <w:r>
        <w:rPr>
          <w:rFonts w:hint="eastAsia" w:ascii="宋体" w:hAnsi="宋体"/>
          <w:color w:val="auto"/>
          <w:szCs w:val="21"/>
        </w:rPr>
        <w:t xml:space="preserve">     </w:t>
      </w:r>
      <w:r>
        <w:rPr>
          <w:rFonts w:hint="eastAsia" w:ascii="宋体" w:hAnsi="宋体"/>
          <w:color w:val="auto"/>
          <w:szCs w:val="21"/>
          <w:lang w:val="en-US" w:eastAsia="zh-CN"/>
        </w:rPr>
        <w:t xml:space="preserve">    </w:t>
      </w:r>
      <w:r>
        <w:rPr>
          <w:rFonts w:hint="eastAsia" w:ascii="宋体" w:hAnsi="宋体"/>
          <w:color w:val="auto"/>
          <w:szCs w:val="21"/>
        </w:rPr>
        <w:t>联系电话：</w:t>
      </w:r>
      <w:r>
        <w:rPr>
          <w:rFonts w:hint="eastAsia" w:ascii="宋体" w:hAnsi="宋体"/>
          <w:color w:val="auto"/>
          <w:szCs w:val="21"/>
          <w:lang w:val="en-US" w:eastAsia="zh-CN"/>
        </w:rPr>
        <w:t>13867202737</w:t>
      </w:r>
    </w:p>
    <w:p w14:paraId="5FE0FE51">
      <w:pPr>
        <w:pStyle w:val="47"/>
        <w:spacing w:line="360" w:lineRule="auto"/>
        <w:ind w:firstLine="420" w:firstLineChars="200"/>
        <w:rPr>
          <w:color w:val="auto"/>
        </w:rPr>
      </w:pPr>
      <w:r>
        <w:rPr>
          <w:rFonts w:hint="eastAsia" w:ascii="宋体" w:hAnsi="宋体"/>
          <w:color w:val="auto"/>
        </w:rPr>
        <w:t>地址：</w:t>
      </w:r>
      <w:r>
        <w:rPr>
          <w:rFonts w:hint="eastAsia" w:ascii="宋体" w:hAnsi="宋体" w:cs="宋体"/>
          <w:color w:val="auto"/>
          <w:szCs w:val="21"/>
          <w:highlight w:val="none"/>
          <w:lang w:val="en-US" w:eastAsia="zh-CN"/>
        </w:rPr>
        <w:t>嵊泗县菜园沙河路263号4楼</w:t>
      </w:r>
    </w:p>
    <w:p w14:paraId="49B92387">
      <w:pPr>
        <w:spacing w:line="360" w:lineRule="auto"/>
        <w:ind w:firstLine="420" w:firstLineChars="200"/>
        <w:rPr>
          <w:rFonts w:ascii="宋体" w:hAnsi="宋体"/>
          <w:color w:val="auto"/>
          <w:szCs w:val="21"/>
        </w:rPr>
      </w:pPr>
    </w:p>
    <w:p w14:paraId="53AFAC4E">
      <w:pPr>
        <w:spacing w:line="360" w:lineRule="auto"/>
        <w:ind w:firstLine="420" w:firstLineChars="200"/>
        <w:rPr>
          <w:rFonts w:ascii="宋体" w:hAnsi="宋体"/>
          <w:color w:val="auto"/>
          <w:kern w:val="0"/>
          <w:highlight w:val="none"/>
        </w:rPr>
      </w:pPr>
      <w:r>
        <w:rPr>
          <w:rFonts w:hint="eastAsia" w:ascii="宋体" w:hAnsi="宋体"/>
          <w:color w:val="auto"/>
          <w:kern w:val="0"/>
          <w:highlight w:val="none"/>
        </w:rPr>
        <w:t>同级政府采购监督管理部门名称：嵊泗县财政局政府采购监管科 </w:t>
      </w:r>
    </w:p>
    <w:p w14:paraId="5778EC82">
      <w:pPr>
        <w:spacing w:line="360" w:lineRule="auto"/>
        <w:ind w:firstLine="420" w:firstLineChars="200"/>
        <w:rPr>
          <w:rFonts w:ascii="宋体" w:hAnsi="宋体"/>
          <w:color w:val="auto"/>
          <w:kern w:val="0"/>
          <w:highlight w:val="none"/>
        </w:rPr>
      </w:pPr>
      <w:r>
        <w:rPr>
          <w:rFonts w:hint="eastAsia" w:ascii="宋体" w:hAnsi="宋体"/>
          <w:color w:val="auto"/>
          <w:kern w:val="0"/>
          <w:highlight w:val="none"/>
        </w:rPr>
        <w:t>联系人：张伟</w:t>
      </w:r>
    </w:p>
    <w:p w14:paraId="355C23A3">
      <w:pPr>
        <w:spacing w:line="360" w:lineRule="auto"/>
        <w:ind w:firstLine="420" w:firstLineChars="200"/>
        <w:rPr>
          <w:rFonts w:ascii="宋体" w:hAnsi="宋体"/>
          <w:color w:val="auto"/>
          <w:kern w:val="0"/>
          <w:highlight w:val="none"/>
        </w:rPr>
      </w:pPr>
      <w:r>
        <w:rPr>
          <w:rFonts w:hint="eastAsia" w:ascii="宋体" w:hAnsi="宋体"/>
          <w:color w:val="auto"/>
          <w:kern w:val="0"/>
          <w:highlight w:val="none"/>
        </w:rPr>
        <w:t>监督投诉电话：0580-5087363 </w:t>
      </w:r>
    </w:p>
    <w:p w14:paraId="78A55F7A">
      <w:pPr>
        <w:spacing w:line="360" w:lineRule="auto"/>
        <w:ind w:firstLine="420" w:firstLineChars="200"/>
        <w:rPr>
          <w:rFonts w:ascii="宋体" w:hAnsi="宋体"/>
          <w:color w:val="auto"/>
          <w:kern w:val="0"/>
          <w:highlight w:val="none"/>
        </w:rPr>
      </w:pPr>
      <w:r>
        <w:rPr>
          <w:rFonts w:hint="eastAsia" w:ascii="宋体" w:hAnsi="宋体"/>
          <w:color w:val="auto"/>
          <w:kern w:val="0"/>
          <w:highlight w:val="none"/>
        </w:rPr>
        <w:t>传真：0580-5084056</w:t>
      </w:r>
    </w:p>
    <w:p w14:paraId="14D7E143">
      <w:pPr>
        <w:spacing w:line="360" w:lineRule="auto"/>
        <w:ind w:firstLine="420" w:firstLineChars="200"/>
        <w:rPr>
          <w:rFonts w:ascii="宋体" w:hAnsi="宋体"/>
          <w:color w:val="auto"/>
          <w:kern w:val="0"/>
          <w:highlight w:val="none"/>
        </w:rPr>
      </w:pPr>
      <w:r>
        <w:rPr>
          <w:rFonts w:hint="eastAsia" w:ascii="宋体" w:hAnsi="宋体"/>
          <w:color w:val="auto"/>
          <w:kern w:val="0"/>
          <w:highlight w:val="none"/>
        </w:rPr>
        <w:t>地址：嵊泗县菜园镇海滨中路136号</w:t>
      </w:r>
    </w:p>
    <w:p w14:paraId="1A846717">
      <w:pPr>
        <w:pStyle w:val="47"/>
        <w:spacing w:line="360" w:lineRule="auto"/>
        <w:rPr>
          <w:rFonts w:ascii="宋体" w:hAnsi="宋体"/>
          <w:color w:val="auto"/>
          <w:szCs w:val="21"/>
          <w:highlight w:val="none"/>
        </w:rPr>
      </w:pPr>
    </w:p>
    <w:p w14:paraId="1CDB3B38">
      <w:pPr>
        <w:pStyle w:val="47"/>
        <w:spacing w:line="240" w:lineRule="auto"/>
        <w:rPr>
          <w:rFonts w:ascii="宋体" w:hAnsi="宋体"/>
          <w:color w:val="auto"/>
          <w:szCs w:val="21"/>
        </w:rPr>
      </w:pPr>
    </w:p>
    <w:p w14:paraId="192E733E">
      <w:pPr>
        <w:pStyle w:val="12"/>
        <w:rPr>
          <w:rFonts w:ascii="宋体" w:hAnsi="宋体"/>
          <w:color w:val="auto"/>
          <w:szCs w:val="21"/>
        </w:rPr>
      </w:pPr>
    </w:p>
    <w:p w14:paraId="714E753E">
      <w:pPr>
        <w:pStyle w:val="32"/>
        <w:rPr>
          <w:rFonts w:ascii="宋体" w:hAnsi="宋体"/>
          <w:color w:val="auto"/>
          <w:szCs w:val="21"/>
        </w:rPr>
      </w:pPr>
    </w:p>
    <w:p w14:paraId="69625E3D">
      <w:pPr>
        <w:rPr>
          <w:rFonts w:ascii="宋体" w:hAnsi="宋体"/>
          <w:color w:val="auto"/>
          <w:szCs w:val="21"/>
        </w:rPr>
      </w:pPr>
    </w:p>
    <w:p w14:paraId="34438404">
      <w:pPr>
        <w:pStyle w:val="47"/>
        <w:rPr>
          <w:rFonts w:ascii="宋体" w:hAnsi="宋体"/>
          <w:color w:val="auto"/>
          <w:szCs w:val="21"/>
        </w:rPr>
      </w:pPr>
    </w:p>
    <w:p w14:paraId="2B66BDAF">
      <w:pPr>
        <w:pStyle w:val="12"/>
        <w:rPr>
          <w:rFonts w:ascii="宋体" w:hAnsi="宋体"/>
          <w:color w:val="auto"/>
          <w:szCs w:val="21"/>
        </w:rPr>
      </w:pPr>
    </w:p>
    <w:p w14:paraId="46B83360">
      <w:pPr>
        <w:pStyle w:val="32"/>
        <w:rPr>
          <w:rFonts w:ascii="宋体" w:hAnsi="宋体"/>
          <w:color w:val="auto"/>
          <w:szCs w:val="21"/>
        </w:rPr>
      </w:pPr>
    </w:p>
    <w:p w14:paraId="39ABCA6C">
      <w:pPr>
        <w:spacing w:line="400" w:lineRule="exact"/>
        <w:jc w:val="both"/>
        <w:rPr>
          <w:rFonts w:hint="eastAsia" w:ascii="宋体" w:hAnsi="宋体" w:cs="宋体"/>
          <w:b/>
          <w:color w:val="auto"/>
          <w:sz w:val="32"/>
          <w:szCs w:val="32"/>
        </w:rPr>
        <w:sectPr>
          <w:headerReference r:id="rId5" w:type="default"/>
          <w:footerReference r:id="rId6" w:type="default"/>
          <w:pgSz w:w="11906" w:h="16838"/>
          <w:pgMar w:top="1134" w:right="1361" w:bottom="1134" w:left="1361" w:header="851" w:footer="992" w:gutter="0"/>
          <w:cols w:space="720" w:num="1"/>
          <w:docGrid w:type="lines" w:linePitch="312" w:charSpace="0"/>
        </w:sectPr>
      </w:pPr>
    </w:p>
    <w:p w14:paraId="30B87115">
      <w:pPr>
        <w:keepNext w:val="0"/>
        <w:keepLines w:val="0"/>
        <w:pageBreakBefore w:val="0"/>
        <w:widowControl w:val="0"/>
        <w:numPr>
          <w:ilvl w:val="0"/>
          <w:numId w:val="0"/>
        </w:numPr>
        <w:tabs>
          <w:tab w:val="left" w:pos="4472"/>
        </w:tabs>
        <w:kinsoku/>
        <w:wordWrap/>
        <w:overflowPunct/>
        <w:topLinePunct w:val="0"/>
        <w:autoSpaceDE/>
        <w:autoSpaceDN/>
        <w:bidi w:val="0"/>
        <w:adjustRightInd/>
        <w:snapToGrid/>
        <w:spacing w:line="360" w:lineRule="auto"/>
        <w:jc w:val="center"/>
        <w:textAlignment w:val="auto"/>
        <w:rPr>
          <w:color w:val="auto"/>
          <w:highlight w:val="none"/>
        </w:rPr>
      </w:pPr>
      <w:r>
        <w:rPr>
          <w:rFonts w:hint="eastAsia" w:ascii="宋体" w:hAnsi="宋体" w:eastAsia="宋体" w:cs="Times New Roman"/>
          <w:b/>
          <w:bCs w:val="0"/>
          <w:color w:val="auto"/>
          <w:sz w:val="32"/>
          <w:szCs w:val="32"/>
          <w:highlight w:val="none"/>
          <w:lang w:val="en-US" w:eastAsia="zh-CN"/>
        </w:rPr>
        <w:t xml:space="preserve">第二章 </w:t>
      </w:r>
      <w:r>
        <w:rPr>
          <w:rFonts w:hint="eastAsia" w:ascii="宋体" w:hAnsi="宋体" w:eastAsia="宋体" w:cs="Times New Roman"/>
          <w:b/>
          <w:bCs w:val="0"/>
          <w:color w:val="auto"/>
          <w:sz w:val="32"/>
          <w:szCs w:val="32"/>
          <w:highlight w:val="none"/>
        </w:rPr>
        <w:t>招标需求</w:t>
      </w:r>
    </w:p>
    <w:p w14:paraId="2E45A7FC">
      <w:pPr>
        <w:widowControl/>
        <w:adjustRightInd w:val="0"/>
        <w:spacing w:line="360" w:lineRule="auto"/>
        <w:jc w:val="left"/>
        <w:outlineLvl w:val="1"/>
        <w:rPr>
          <w:rFonts w:hint="eastAsia" w:eastAsia="宋体"/>
          <w:b/>
          <w:bCs/>
          <w:color w:val="auto"/>
          <w:sz w:val="24"/>
          <w:szCs w:val="24"/>
          <w:highlight w:val="none"/>
          <w:lang w:val="en-US" w:eastAsia="zh-CN"/>
        </w:rPr>
      </w:pPr>
      <w:r>
        <w:rPr>
          <w:rFonts w:hint="eastAsia" w:ascii="Calibri" w:hAnsi="Calibri" w:eastAsia="宋体" w:cs="Times New Roman"/>
          <w:b/>
          <w:bCs/>
          <w:color w:val="auto"/>
          <w:sz w:val="24"/>
          <w:szCs w:val="24"/>
          <w:highlight w:val="none"/>
        </w:rPr>
        <w:t>一、</w:t>
      </w:r>
      <w:r>
        <w:rPr>
          <w:rFonts w:hint="eastAsia"/>
          <w:b/>
          <w:bCs/>
          <w:color w:val="auto"/>
          <w:sz w:val="24"/>
          <w:szCs w:val="24"/>
          <w:highlight w:val="none"/>
        </w:rPr>
        <w:t>项目</w:t>
      </w:r>
      <w:r>
        <w:rPr>
          <w:rFonts w:hint="eastAsia"/>
          <w:b/>
          <w:bCs/>
          <w:color w:val="auto"/>
          <w:sz w:val="24"/>
          <w:szCs w:val="24"/>
          <w:highlight w:val="none"/>
          <w:lang w:val="en-US" w:eastAsia="zh-CN"/>
        </w:rPr>
        <w:t>说明</w:t>
      </w:r>
    </w:p>
    <w:p w14:paraId="50CB290A">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海洋是高质量发展战略要地，发达的海洋经济是建设海洋强国的重要支撑。2025嵊泗国际帆船赛，是嵊泗县积极响应国家海洋强国战略，推动海洋文化和体育旅游融合发展的一项重要举措。赛事旨在通过高水平的帆船竞技活动，积极打造国际海洋运动目的地，并进一步提升嵊泗知名度和美誉度。此次比赛不仅是一场体育盛宴，更是促进国际交流、展示嵊泗独特海岛风情、讲好嵊泗故事的窗口。以帆船赛事为契机结合丰富的文旅体验活动，有效带动地方经济发展，增强民众对帆船运动的认知与热情，助力嵊泗成为中国帆船运动的重要基地，打造成为长三角乃至全国知名的东海文化名片，为我国帆船事业的发展注入新的活力。</w:t>
      </w:r>
      <w:r>
        <w:rPr>
          <w:rFonts w:hint="eastAsia" w:ascii="宋体" w:hAnsi="宋体" w:eastAsia="宋体" w:cs="宋体"/>
          <w:color w:val="auto"/>
          <w:szCs w:val="21"/>
          <w:highlight w:val="none"/>
        </w:rPr>
        <w:t>现对本项目全案进行招标，具体需求如下：</w:t>
      </w:r>
    </w:p>
    <w:p w14:paraId="7336B7FA">
      <w:pPr>
        <w:widowControl/>
        <w:numPr>
          <w:ilvl w:val="0"/>
          <w:numId w:val="6"/>
        </w:numPr>
        <w:adjustRightInd w:val="0"/>
        <w:spacing w:line="360" w:lineRule="auto"/>
        <w:jc w:val="left"/>
        <w:outlineLvl w:val="1"/>
        <w:rPr>
          <w:rFonts w:hint="eastAsia" w:ascii="Calibri" w:hAnsi="Calibri" w:eastAsia="宋体" w:cs="Times New Roman"/>
          <w:b/>
          <w:bCs/>
          <w:color w:val="auto"/>
          <w:sz w:val="24"/>
          <w:szCs w:val="24"/>
          <w:highlight w:val="none"/>
        </w:rPr>
      </w:pPr>
      <w:r>
        <w:rPr>
          <w:rFonts w:hint="eastAsia" w:ascii="Calibri" w:hAnsi="Calibri" w:eastAsia="宋体" w:cs="Times New Roman"/>
          <w:b/>
          <w:bCs/>
          <w:color w:val="auto"/>
          <w:sz w:val="24"/>
          <w:szCs w:val="24"/>
          <w:highlight w:val="none"/>
        </w:rPr>
        <w:t>服务内容</w:t>
      </w:r>
    </w:p>
    <w:p w14:paraId="353C82F9">
      <w:pPr>
        <w:pStyle w:val="32"/>
        <w:spacing w:line="360" w:lineRule="auto"/>
        <w:rPr>
          <w:rFonts w:hint="default" w:eastAsia="宋体"/>
          <w:lang w:val="en-US" w:eastAsia="zh-CN"/>
        </w:rPr>
      </w:pPr>
      <w:r>
        <w:rPr>
          <w:rFonts w:hint="eastAsia" w:ascii="Calibri" w:hAnsi="Calibri" w:eastAsia="宋体" w:cs="Times New Roman"/>
          <w:b/>
          <w:bCs/>
          <w:color w:val="auto"/>
          <w:sz w:val="24"/>
          <w:szCs w:val="24"/>
          <w:highlight w:val="none"/>
          <w:lang w:eastAsia="zh-CN"/>
        </w:rPr>
        <w:t>（</w:t>
      </w:r>
      <w:r>
        <w:rPr>
          <w:rFonts w:hint="eastAsia" w:ascii="Calibri" w:hAnsi="Calibri" w:eastAsia="宋体" w:cs="Times New Roman"/>
          <w:b/>
          <w:bCs/>
          <w:color w:val="auto"/>
          <w:sz w:val="24"/>
          <w:szCs w:val="24"/>
          <w:highlight w:val="none"/>
          <w:lang w:val="en-US" w:eastAsia="zh-CN"/>
        </w:rPr>
        <w:t>一</w:t>
      </w:r>
      <w:r>
        <w:rPr>
          <w:rFonts w:hint="eastAsia" w:ascii="Calibri" w:hAnsi="Calibri" w:eastAsia="宋体" w:cs="Times New Roman"/>
          <w:b/>
          <w:bCs/>
          <w:color w:val="auto"/>
          <w:sz w:val="24"/>
          <w:szCs w:val="24"/>
          <w:highlight w:val="none"/>
          <w:lang w:eastAsia="zh-CN"/>
        </w:rPr>
        <w:t>）</w:t>
      </w:r>
      <w:r>
        <w:rPr>
          <w:rFonts w:hint="eastAsia" w:ascii="Calibri" w:hAnsi="Calibri" w:eastAsia="宋体" w:cs="Times New Roman"/>
          <w:b/>
          <w:bCs/>
          <w:color w:val="auto"/>
          <w:sz w:val="24"/>
          <w:szCs w:val="24"/>
          <w:highlight w:val="none"/>
          <w:lang w:val="en-US" w:eastAsia="zh-CN"/>
        </w:rPr>
        <w:t>项目概况</w:t>
      </w:r>
    </w:p>
    <w:p w14:paraId="42E4105B">
      <w:pPr>
        <w:widowControl/>
        <w:spacing w:line="360" w:lineRule="auto"/>
        <w:ind w:firstLine="442" w:firstLineChars="200"/>
        <w:rPr>
          <w:rFonts w:hint="eastAsia" w:ascii="新宋体" w:hAnsi="新宋体" w:eastAsia="新宋体"/>
          <w:b/>
          <w:bCs/>
          <w:color w:val="000000"/>
          <w:sz w:val="22"/>
          <w:szCs w:val="22"/>
        </w:rPr>
      </w:pPr>
      <w:r>
        <w:rPr>
          <w:rFonts w:hint="eastAsia" w:ascii="新宋体" w:hAnsi="新宋体" w:eastAsia="新宋体"/>
          <w:b/>
          <w:bCs/>
          <w:color w:val="000000"/>
          <w:sz w:val="22"/>
          <w:szCs w:val="22"/>
        </w:rPr>
        <w:t>1、项目名称</w:t>
      </w:r>
    </w:p>
    <w:p w14:paraId="05BEE708">
      <w:pPr>
        <w:widowControl/>
        <w:spacing w:line="360" w:lineRule="auto"/>
        <w:ind w:firstLine="420" w:firstLineChars="200"/>
        <w:rPr>
          <w:rFonts w:hint="eastAsia" w:ascii="新宋体" w:hAnsi="新宋体" w:eastAsia="新宋体"/>
          <w:color w:val="000000"/>
          <w:sz w:val="22"/>
          <w:szCs w:val="22"/>
        </w:rPr>
      </w:pPr>
      <w:r>
        <w:rPr>
          <w:rFonts w:hint="eastAsia" w:ascii="宋体" w:hAnsi="宋体" w:eastAsia="宋体" w:cs="宋体"/>
          <w:color w:val="auto"/>
          <w:szCs w:val="21"/>
          <w:highlight w:val="none"/>
          <w:lang w:val="en-US" w:eastAsia="zh-CN"/>
        </w:rPr>
        <w:t>2025嵊泗国际帆船赛</w:t>
      </w:r>
    </w:p>
    <w:p w14:paraId="1CB77071">
      <w:pPr>
        <w:widowControl/>
        <w:spacing w:line="360" w:lineRule="auto"/>
        <w:ind w:firstLine="442" w:firstLineChars="200"/>
        <w:rPr>
          <w:rFonts w:hint="eastAsia" w:ascii="宋体" w:hAnsi="宋体" w:eastAsia="宋体" w:cs="宋体"/>
          <w:color w:val="000000"/>
          <w:sz w:val="21"/>
          <w:szCs w:val="21"/>
          <w:lang w:val="en-US" w:eastAsia="zh-CN"/>
        </w:rPr>
      </w:pPr>
      <w:r>
        <w:rPr>
          <w:rFonts w:hint="eastAsia" w:ascii="新宋体" w:hAnsi="新宋体" w:eastAsia="新宋体"/>
          <w:b/>
          <w:bCs/>
          <w:color w:val="000000"/>
          <w:sz w:val="22"/>
          <w:szCs w:val="22"/>
        </w:rPr>
        <w:t>2、组织</w:t>
      </w:r>
      <w:r>
        <w:rPr>
          <w:rFonts w:hint="eastAsia" w:ascii="新宋体" w:hAnsi="新宋体" w:eastAsia="新宋体"/>
          <w:b/>
          <w:bCs/>
          <w:color w:val="000000"/>
          <w:sz w:val="22"/>
          <w:szCs w:val="22"/>
          <w:lang w:val="en-US" w:eastAsia="zh-CN"/>
        </w:rPr>
        <w:t>机构</w:t>
      </w:r>
      <w:r>
        <w:rPr>
          <w:rFonts w:hint="eastAsia" w:ascii="宋体" w:hAnsi="宋体" w:eastAsia="宋体" w:cs="宋体"/>
          <w:color w:val="000000"/>
          <w:sz w:val="21"/>
          <w:szCs w:val="21"/>
          <w:lang w:val="en-US" w:eastAsia="zh-CN"/>
        </w:rPr>
        <w:t xml:space="preserve"> </w:t>
      </w:r>
    </w:p>
    <w:p w14:paraId="62E5C3B0">
      <w:pPr>
        <w:widowControl/>
        <w:spacing w:line="360" w:lineRule="auto"/>
        <w:ind w:firstLine="420" w:firstLineChars="200"/>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rPr>
        <w:t>（</w:t>
      </w:r>
      <w:r>
        <w:rPr>
          <w:rFonts w:hint="eastAsia" w:ascii="宋体" w:hAnsi="宋体" w:eastAsia="宋体" w:cs="宋体"/>
          <w:color w:val="000000"/>
          <w:sz w:val="21"/>
          <w:szCs w:val="21"/>
          <w:lang w:val="en-US" w:eastAsia="zh-CN"/>
        </w:rPr>
        <w:t>1</w:t>
      </w:r>
      <w:r>
        <w:rPr>
          <w:rFonts w:hint="eastAsia" w:ascii="宋体" w:hAnsi="宋体" w:eastAsia="宋体" w:cs="宋体"/>
          <w:color w:val="000000"/>
          <w:sz w:val="21"/>
          <w:szCs w:val="21"/>
        </w:rPr>
        <w:t>）主办单位：</w:t>
      </w:r>
      <w:r>
        <w:rPr>
          <w:rFonts w:hint="eastAsia" w:ascii="宋体" w:hAnsi="宋体" w:eastAsia="宋体" w:cs="宋体"/>
          <w:color w:val="000000"/>
          <w:sz w:val="21"/>
          <w:szCs w:val="21"/>
          <w:lang w:val="en-US" w:eastAsia="zh-CN"/>
        </w:rPr>
        <w:t>嵊泗县人民政府、舟山市文化和广电旅游体育局</w:t>
      </w:r>
    </w:p>
    <w:p w14:paraId="721854B9">
      <w:pPr>
        <w:widowControl/>
        <w:spacing w:line="360" w:lineRule="auto"/>
        <w:ind w:firstLine="420" w:firstLineChars="200"/>
        <w:rPr>
          <w:rFonts w:hint="default" w:ascii="宋体" w:hAnsi="宋体" w:eastAsia="宋体" w:cs="宋体"/>
          <w:color w:val="000000"/>
          <w:sz w:val="21"/>
          <w:szCs w:val="21"/>
          <w:lang w:val="en-US" w:eastAsia="zh-CN"/>
        </w:rPr>
      </w:pPr>
      <w:r>
        <w:rPr>
          <w:rFonts w:hint="eastAsia" w:ascii="宋体" w:hAnsi="宋体" w:eastAsia="宋体" w:cs="宋体"/>
          <w:color w:val="000000"/>
          <w:sz w:val="21"/>
          <w:szCs w:val="21"/>
          <w:lang w:val="en-US" w:eastAsia="zh-CN"/>
        </w:rPr>
        <w:t>（2）承办单位：嵊泗县文化和广电旅游体育局</w:t>
      </w:r>
    </w:p>
    <w:p w14:paraId="7AC8C402">
      <w:pPr>
        <w:widowControl/>
        <w:spacing w:line="360" w:lineRule="auto"/>
        <w:ind w:firstLine="442" w:firstLineChars="200"/>
        <w:rPr>
          <w:rFonts w:hint="eastAsia" w:ascii="新宋体" w:hAnsi="新宋体" w:eastAsia="新宋体"/>
          <w:b/>
          <w:bCs/>
          <w:color w:val="000000"/>
          <w:sz w:val="22"/>
          <w:szCs w:val="22"/>
        </w:rPr>
      </w:pPr>
      <w:r>
        <w:rPr>
          <w:rFonts w:hint="eastAsia" w:ascii="新宋体" w:hAnsi="新宋体" w:eastAsia="新宋体"/>
          <w:b/>
          <w:bCs/>
          <w:color w:val="000000"/>
          <w:sz w:val="22"/>
          <w:szCs w:val="22"/>
        </w:rPr>
        <w:t>3、</w:t>
      </w:r>
      <w:r>
        <w:rPr>
          <w:rFonts w:hint="eastAsia" w:ascii="新宋体" w:hAnsi="新宋体" w:eastAsia="新宋体"/>
          <w:b/>
          <w:bCs/>
          <w:color w:val="000000"/>
          <w:sz w:val="22"/>
          <w:szCs w:val="22"/>
          <w:lang w:val="en-US" w:eastAsia="zh-CN"/>
        </w:rPr>
        <w:t>比赛</w:t>
      </w:r>
      <w:r>
        <w:rPr>
          <w:rFonts w:hint="eastAsia" w:ascii="新宋体" w:hAnsi="新宋体" w:eastAsia="新宋体"/>
          <w:b/>
          <w:bCs/>
          <w:color w:val="000000"/>
          <w:sz w:val="22"/>
          <w:szCs w:val="22"/>
        </w:rPr>
        <w:t>时间</w:t>
      </w:r>
      <w:r>
        <w:rPr>
          <w:rFonts w:hint="eastAsia" w:ascii="新宋体" w:hAnsi="新宋体" w:eastAsia="新宋体"/>
          <w:b/>
          <w:bCs/>
          <w:color w:val="000000"/>
          <w:sz w:val="22"/>
          <w:szCs w:val="22"/>
          <w:lang w:val="en-US" w:eastAsia="zh-CN"/>
        </w:rPr>
        <w:t>及</w:t>
      </w:r>
      <w:r>
        <w:rPr>
          <w:rFonts w:hint="eastAsia" w:ascii="新宋体" w:hAnsi="新宋体" w:eastAsia="新宋体"/>
          <w:b/>
          <w:bCs/>
          <w:color w:val="000000"/>
          <w:sz w:val="22"/>
          <w:szCs w:val="22"/>
        </w:rPr>
        <w:t>地点</w:t>
      </w:r>
    </w:p>
    <w:p w14:paraId="475506FA">
      <w:pPr>
        <w:widowControl/>
        <w:spacing w:line="360" w:lineRule="auto"/>
        <w:ind w:firstLine="420" w:firstLineChars="200"/>
        <w:rPr>
          <w:rFonts w:hint="default" w:ascii="宋体" w:hAnsi="宋体" w:eastAsia="宋体" w:cs="宋体"/>
          <w:color w:val="000000"/>
          <w:sz w:val="21"/>
          <w:szCs w:val="21"/>
          <w:lang w:val="en-US" w:eastAsia="zh-CN"/>
        </w:rPr>
      </w:pPr>
      <w:r>
        <w:rPr>
          <w:rFonts w:hint="eastAsia" w:ascii="宋体" w:hAnsi="宋体" w:eastAsia="宋体" w:cs="宋体"/>
          <w:color w:val="000000"/>
          <w:sz w:val="21"/>
          <w:szCs w:val="21"/>
          <w:lang w:val="en-US" w:eastAsia="zh-CN"/>
        </w:rPr>
        <w:t>（1）比赛时间：</w:t>
      </w:r>
      <w:r>
        <w:rPr>
          <w:rFonts w:hint="eastAsia" w:ascii="宋体" w:hAnsi="宋体" w:eastAsia="宋体" w:cs="宋体"/>
          <w:color w:val="auto"/>
          <w:sz w:val="21"/>
          <w:szCs w:val="21"/>
          <w:lang w:val="en-US" w:eastAsia="zh-CN"/>
        </w:rPr>
        <w:t>2025年6月</w:t>
      </w:r>
      <w:r>
        <w:rPr>
          <w:rFonts w:hint="eastAsia" w:ascii="宋体" w:hAnsi="宋体" w:cs="宋体"/>
          <w:color w:val="auto"/>
          <w:sz w:val="21"/>
          <w:szCs w:val="21"/>
          <w:lang w:val="en-US" w:eastAsia="zh-CN"/>
        </w:rPr>
        <w:t>份拟定</w:t>
      </w:r>
      <w:r>
        <w:rPr>
          <w:rFonts w:hint="eastAsia" w:ascii="宋体" w:hAnsi="宋体" w:eastAsia="宋体" w:cs="宋体"/>
          <w:color w:val="000000"/>
          <w:sz w:val="21"/>
          <w:szCs w:val="21"/>
          <w:lang w:val="en-US" w:eastAsia="zh-CN"/>
        </w:rPr>
        <w:t>4天。</w:t>
      </w:r>
    </w:p>
    <w:p w14:paraId="2B5EDF80">
      <w:pPr>
        <w:widowControl/>
        <w:spacing w:line="360" w:lineRule="auto"/>
        <w:ind w:firstLine="420" w:firstLineChars="200"/>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lang w:val="en-US" w:eastAsia="zh-CN"/>
        </w:rPr>
        <w:t xml:space="preserve">（2）比赛地点：嵊泗 </w:t>
      </w:r>
    </w:p>
    <w:p w14:paraId="73D935F6">
      <w:pPr>
        <w:widowControl/>
        <w:spacing w:line="360" w:lineRule="auto"/>
        <w:ind w:firstLine="482" w:firstLineChars="200"/>
        <w:rPr>
          <w:rFonts w:hint="eastAsia" w:ascii="Calibri" w:hAnsi="Calibri" w:eastAsia="宋体" w:cs="Times New Roman"/>
          <w:b/>
          <w:bCs/>
          <w:color w:val="auto"/>
          <w:sz w:val="24"/>
          <w:szCs w:val="24"/>
          <w:highlight w:val="none"/>
          <w:lang w:val="en-US" w:eastAsia="zh-CN"/>
        </w:rPr>
      </w:pPr>
      <w:r>
        <w:rPr>
          <w:rFonts w:hint="eastAsia" w:ascii="Calibri" w:hAnsi="Calibri" w:eastAsia="宋体" w:cs="Times New Roman"/>
          <w:b/>
          <w:bCs/>
          <w:color w:val="auto"/>
          <w:sz w:val="24"/>
          <w:szCs w:val="24"/>
          <w:highlight w:val="none"/>
          <w:lang w:eastAsia="zh-CN"/>
        </w:rPr>
        <w:t>（</w:t>
      </w:r>
      <w:r>
        <w:rPr>
          <w:rFonts w:hint="eastAsia" w:ascii="Calibri" w:hAnsi="Calibri" w:eastAsia="宋体" w:cs="Times New Roman"/>
          <w:b/>
          <w:bCs/>
          <w:color w:val="auto"/>
          <w:sz w:val="24"/>
          <w:szCs w:val="24"/>
          <w:highlight w:val="none"/>
          <w:lang w:val="en-US" w:eastAsia="zh-CN"/>
        </w:rPr>
        <w:t>二</w:t>
      </w:r>
      <w:r>
        <w:rPr>
          <w:rFonts w:hint="eastAsia" w:ascii="Calibri" w:hAnsi="Calibri" w:eastAsia="宋体" w:cs="Times New Roman"/>
          <w:b/>
          <w:bCs/>
          <w:color w:val="auto"/>
          <w:sz w:val="24"/>
          <w:szCs w:val="24"/>
          <w:highlight w:val="none"/>
          <w:lang w:eastAsia="zh-CN"/>
        </w:rPr>
        <w:t>）</w:t>
      </w:r>
      <w:r>
        <w:rPr>
          <w:rFonts w:hint="eastAsia" w:ascii="Calibri" w:hAnsi="Calibri" w:eastAsia="宋体" w:cs="Times New Roman"/>
          <w:b/>
          <w:bCs/>
          <w:color w:val="auto"/>
          <w:sz w:val="24"/>
          <w:szCs w:val="24"/>
          <w:highlight w:val="none"/>
          <w:lang w:val="en-US" w:eastAsia="zh-CN"/>
        </w:rPr>
        <w:t>项目活动安排</w:t>
      </w:r>
    </w:p>
    <w:p w14:paraId="5F244763">
      <w:pPr>
        <w:widowControl/>
        <w:spacing w:line="360" w:lineRule="auto"/>
        <w:ind w:firstLine="482" w:firstLineChars="200"/>
        <w:rPr>
          <w:rFonts w:hint="default"/>
          <w:b/>
          <w:bCs/>
          <w:lang w:val="en-US" w:eastAsia="zh-CN"/>
        </w:rPr>
      </w:pPr>
      <w:r>
        <w:rPr>
          <w:rFonts w:hint="eastAsia" w:ascii="Calibri" w:hAnsi="Calibri" w:eastAsia="宋体" w:cs="Times New Roman"/>
          <w:b/>
          <w:bCs/>
          <w:color w:val="auto"/>
          <w:sz w:val="24"/>
          <w:szCs w:val="24"/>
          <w:highlight w:val="none"/>
          <w:lang w:val="en-US" w:eastAsia="zh-CN"/>
        </w:rPr>
        <w:t>1、</w:t>
      </w:r>
      <w:r>
        <w:rPr>
          <w:rFonts w:hint="eastAsia" w:ascii="宋体" w:hAnsi="宋体" w:eastAsia="宋体" w:cs="宋体"/>
          <w:b/>
          <w:bCs/>
          <w:color w:val="auto"/>
          <w:szCs w:val="21"/>
          <w:highlight w:val="none"/>
          <w:lang w:val="en-US" w:eastAsia="zh-CN"/>
        </w:rPr>
        <w:t>2025嵊泗国际帆船赛新闻发布会</w:t>
      </w:r>
    </w:p>
    <w:p w14:paraId="3624A808">
      <w:pPr>
        <w:widowControl/>
        <w:spacing w:line="360" w:lineRule="auto"/>
        <w:ind w:firstLine="420" w:firstLineChars="200"/>
        <w:rPr>
          <w:rFonts w:hint="default" w:ascii="宋体" w:hAnsi="宋体" w:eastAsia="宋体" w:cs="宋体"/>
          <w:color w:val="000000"/>
          <w:sz w:val="21"/>
          <w:szCs w:val="21"/>
          <w:lang w:val="en-US" w:eastAsia="zh-CN"/>
        </w:rPr>
      </w:pPr>
      <w:r>
        <w:rPr>
          <w:rFonts w:hint="eastAsia" w:ascii="宋体" w:hAnsi="宋体" w:eastAsia="宋体" w:cs="宋体"/>
          <w:color w:val="000000"/>
          <w:sz w:val="21"/>
          <w:szCs w:val="21"/>
          <w:lang w:val="en-US" w:eastAsia="zh-CN"/>
        </w:rPr>
        <w:t>（1）时间：2025年5月，具体时间待定。</w:t>
      </w:r>
    </w:p>
    <w:p w14:paraId="419F4B69">
      <w:pPr>
        <w:widowControl/>
        <w:spacing w:line="360" w:lineRule="auto"/>
        <w:ind w:firstLine="420" w:firstLineChars="200"/>
        <w:rPr>
          <w:rFonts w:hint="default" w:ascii="宋体" w:hAnsi="宋体" w:eastAsia="宋体" w:cs="宋体"/>
          <w:color w:val="000000"/>
          <w:sz w:val="21"/>
          <w:szCs w:val="21"/>
          <w:lang w:val="en-US" w:eastAsia="zh-CN"/>
        </w:rPr>
      </w:pPr>
      <w:r>
        <w:rPr>
          <w:rFonts w:hint="eastAsia" w:ascii="宋体" w:hAnsi="宋体" w:eastAsia="宋体" w:cs="宋体"/>
          <w:color w:val="000000"/>
          <w:sz w:val="21"/>
          <w:szCs w:val="21"/>
          <w:lang w:val="en-US" w:eastAsia="zh-CN"/>
        </w:rPr>
        <w:t>（2）地点：杭州</w:t>
      </w:r>
    </w:p>
    <w:p w14:paraId="0F03AB20">
      <w:pPr>
        <w:widowControl/>
        <w:spacing w:line="360" w:lineRule="auto"/>
        <w:ind w:firstLine="420" w:firstLineChars="200"/>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lang w:val="en-US" w:eastAsia="zh-CN"/>
        </w:rPr>
        <w:t>（3）参加人员：省、市、县相关单位领导及部门代表参加；10家媒体记者等，共约40人。</w:t>
      </w:r>
    </w:p>
    <w:p w14:paraId="72639954">
      <w:pPr>
        <w:widowControl/>
        <w:spacing w:line="360" w:lineRule="auto"/>
        <w:ind w:firstLine="420" w:firstLineChars="200"/>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lang w:val="en-US" w:eastAsia="zh-CN"/>
        </w:rPr>
        <w:t>（4）主要内容：2025嵊泗国际帆船赛相关情况介绍及答记者问等</w:t>
      </w:r>
    </w:p>
    <w:p w14:paraId="25F75BD8">
      <w:pPr>
        <w:widowControl/>
        <w:numPr>
          <w:ilvl w:val="0"/>
          <w:numId w:val="0"/>
        </w:numPr>
        <w:spacing w:line="360" w:lineRule="auto"/>
        <w:ind w:left="420" w:leftChars="0"/>
        <w:rPr>
          <w:rFonts w:hint="default" w:ascii="宋体" w:hAnsi="宋体" w:eastAsia="宋体" w:cs="宋体"/>
          <w:color w:val="000000"/>
          <w:kern w:val="2"/>
          <w:sz w:val="21"/>
          <w:szCs w:val="21"/>
          <w:lang w:val="en-US" w:eastAsia="zh-CN" w:bidi="ar-SA"/>
        </w:rPr>
      </w:pPr>
      <w:r>
        <w:rPr>
          <w:rFonts w:hint="eastAsia" w:ascii="宋体" w:hAnsi="宋体" w:eastAsia="宋体" w:cs="宋体"/>
          <w:color w:val="000000"/>
          <w:kern w:val="2"/>
          <w:sz w:val="21"/>
          <w:szCs w:val="21"/>
          <w:lang w:val="en-US" w:eastAsia="zh-CN" w:bidi="ar-SA"/>
        </w:rPr>
        <w:t>注：需定制新闻发布会具体实施方案。</w:t>
      </w:r>
    </w:p>
    <w:p w14:paraId="06B1FD0C">
      <w:pPr>
        <w:widowControl/>
        <w:numPr>
          <w:ilvl w:val="0"/>
          <w:numId w:val="0"/>
        </w:numPr>
        <w:spacing w:line="360" w:lineRule="auto"/>
        <w:ind w:left="630" w:leftChars="0"/>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kern w:val="2"/>
          <w:sz w:val="21"/>
          <w:szCs w:val="21"/>
          <w:highlight w:val="none"/>
          <w:lang w:val="en-US" w:eastAsia="zh-CN" w:bidi="ar-SA"/>
        </w:rPr>
        <w:t>活动流程：</w:t>
      </w:r>
    </w:p>
    <w:p w14:paraId="5120775D">
      <w:pPr>
        <w:widowControl/>
        <w:numPr>
          <w:ilvl w:val="0"/>
          <w:numId w:val="0"/>
        </w:numPr>
        <w:spacing w:line="360" w:lineRule="auto"/>
        <w:ind w:left="630" w:leftChars="0"/>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·开场与介绍：主持人开场，介绍发布会背景、目的及参会嘉宾；对嵊泗国际帆船赛进行简短介绍。</w:t>
      </w:r>
    </w:p>
    <w:p w14:paraId="1D1175B4">
      <w:pPr>
        <w:widowControl/>
        <w:numPr>
          <w:ilvl w:val="0"/>
          <w:numId w:val="0"/>
        </w:numPr>
        <w:spacing w:line="360" w:lineRule="auto"/>
        <w:ind w:left="630" w:leftChars="0"/>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·相关领导致辞。</w:t>
      </w:r>
    </w:p>
    <w:p w14:paraId="2DB73662">
      <w:pPr>
        <w:widowControl/>
        <w:numPr>
          <w:ilvl w:val="0"/>
          <w:numId w:val="0"/>
        </w:numPr>
        <w:spacing w:line="360" w:lineRule="auto"/>
        <w:ind w:left="630" w:leftChars="0"/>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·赛事情况介绍：由赛事主办方或相关负责人详细介绍首届嵊泗国际帆船赛的筹备情况、比赛规则、参赛队伍、比赛日程等。</w:t>
      </w:r>
    </w:p>
    <w:p w14:paraId="6CDC0A91">
      <w:pPr>
        <w:widowControl/>
        <w:numPr>
          <w:ilvl w:val="0"/>
          <w:numId w:val="0"/>
        </w:numPr>
        <w:spacing w:line="360" w:lineRule="auto"/>
        <w:ind w:left="630" w:leftChars="0"/>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·媒体提问环节：主持人邀请</w:t>
      </w:r>
      <w:r>
        <w:rPr>
          <w:rFonts w:hint="eastAsia" w:ascii="宋体" w:hAnsi="宋体" w:cs="宋体"/>
          <w:color w:val="auto"/>
          <w:szCs w:val="21"/>
          <w:highlight w:val="none"/>
          <w:lang w:val="en-US" w:eastAsia="zh-CN"/>
        </w:rPr>
        <w:t>主流</w:t>
      </w:r>
      <w:r>
        <w:rPr>
          <w:rFonts w:hint="eastAsia" w:ascii="宋体" w:hAnsi="宋体" w:eastAsia="宋体" w:cs="宋体"/>
          <w:color w:val="auto"/>
          <w:szCs w:val="21"/>
          <w:highlight w:val="none"/>
          <w:lang w:val="en-US" w:eastAsia="zh-CN"/>
        </w:rPr>
        <w:t>媒体记者提问；嘉宾及赛事主办方针对记者提问进行回答，增进媒体对赛事的了解。</w:t>
      </w:r>
    </w:p>
    <w:p w14:paraId="739D7CA0">
      <w:pPr>
        <w:widowControl/>
        <w:numPr>
          <w:ilvl w:val="0"/>
          <w:numId w:val="0"/>
        </w:numPr>
        <w:spacing w:line="360" w:lineRule="auto"/>
        <w:ind w:left="630" w:leftChars="0"/>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·相关合作签约仪式。</w:t>
      </w:r>
    </w:p>
    <w:p w14:paraId="3DC167BE">
      <w:pPr>
        <w:widowControl/>
        <w:numPr>
          <w:ilvl w:val="0"/>
          <w:numId w:val="0"/>
        </w:numPr>
        <w:spacing w:line="360" w:lineRule="auto"/>
        <w:ind w:left="630" w:leftChars="0"/>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·主持人对发布会进行总结；宣布发布会结束。</w:t>
      </w:r>
    </w:p>
    <w:p w14:paraId="23C69999">
      <w:pPr>
        <w:widowControl/>
        <w:spacing w:line="360" w:lineRule="auto"/>
        <w:ind w:firstLine="482" w:firstLineChars="200"/>
        <w:rPr>
          <w:rFonts w:hint="eastAsia" w:ascii="宋体" w:hAnsi="宋体" w:eastAsia="宋体" w:cs="宋体"/>
          <w:b/>
          <w:bCs/>
          <w:color w:val="auto"/>
          <w:szCs w:val="21"/>
          <w:highlight w:val="none"/>
          <w:lang w:val="en-US" w:eastAsia="zh-CN"/>
        </w:rPr>
      </w:pPr>
      <w:r>
        <w:rPr>
          <w:rFonts w:hint="eastAsia" w:ascii="Calibri" w:hAnsi="Calibri" w:eastAsia="宋体" w:cs="Times New Roman"/>
          <w:b/>
          <w:bCs/>
          <w:color w:val="auto"/>
          <w:sz w:val="24"/>
          <w:szCs w:val="24"/>
          <w:highlight w:val="none"/>
          <w:lang w:val="en-US" w:eastAsia="zh-CN"/>
        </w:rPr>
        <w:t>2、</w:t>
      </w:r>
      <w:r>
        <w:rPr>
          <w:rFonts w:hint="eastAsia" w:ascii="宋体" w:hAnsi="宋体" w:eastAsia="宋体" w:cs="宋体"/>
          <w:b/>
          <w:bCs/>
          <w:color w:val="auto"/>
          <w:szCs w:val="21"/>
          <w:highlight w:val="none"/>
          <w:lang w:val="en-US" w:eastAsia="zh-CN"/>
        </w:rPr>
        <w:t>2025嵊泗国际帆船赛开幕式</w:t>
      </w:r>
    </w:p>
    <w:p w14:paraId="649B88F7">
      <w:pPr>
        <w:widowControl/>
        <w:numPr>
          <w:ilvl w:val="0"/>
          <w:numId w:val="0"/>
        </w:numPr>
        <w:spacing w:line="360" w:lineRule="auto"/>
        <w:ind w:left="630" w:leftChars="0"/>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（1）报到时间：第一天（相关会议）</w:t>
      </w:r>
    </w:p>
    <w:p w14:paraId="3CFE0407">
      <w:pPr>
        <w:widowControl/>
        <w:numPr>
          <w:ilvl w:val="0"/>
          <w:numId w:val="0"/>
        </w:numPr>
        <w:spacing w:line="360" w:lineRule="auto"/>
        <w:ind w:left="630" w:leftChars="0"/>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（2）开幕式时间：第二天</w:t>
      </w:r>
    </w:p>
    <w:p w14:paraId="17B21A6A">
      <w:pPr>
        <w:widowControl/>
        <w:numPr>
          <w:ilvl w:val="0"/>
          <w:numId w:val="0"/>
        </w:numPr>
        <w:spacing w:line="360" w:lineRule="auto"/>
        <w:ind w:left="630" w:leftChars="0"/>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（3）赛事活动安排：第三天</w:t>
      </w:r>
    </w:p>
    <w:p w14:paraId="1092B968">
      <w:pPr>
        <w:widowControl/>
        <w:numPr>
          <w:ilvl w:val="0"/>
          <w:numId w:val="0"/>
        </w:numPr>
        <w:spacing w:line="360" w:lineRule="auto"/>
        <w:ind w:left="630" w:leftChars="0"/>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（4）离会</w:t>
      </w:r>
      <w:r>
        <w:rPr>
          <w:rFonts w:hint="eastAsia" w:ascii="宋体" w:hAnsi="宋体" w:cs="宋体"/>
          <w:color w:val="auto"/>
          <w:szCs w:val="21"/>
          <w:highlight w:val="none"/>
          <w:lang w:val="en-US" w:eastAsia="zh-CN"/>
        </w:rPr>
        <w:t>安排</w:t>
      </w:r>
      <w:r>
        <w:rPr>
          <w:rFonts w:hint="eastAsia" w:ascii="宋体" w:hAnsi="宋体" w:eastAsia="宋体" w:cs="宋体"/>
          <w:color w:val="auto"/>
          <w:szCs w:val="21"/>
          <w:highlight w:val="none"/>
          <w:lang w:val="en-US" w:eastAsia="zh-CN"/>
        </w:rPr>
        <w:t>：第四天</w:t>
      </w:r>
    </w:p>
    <w:p w14:paraId="50FEE481">
      <w:pPr>
        <w:pStyle w:val="2"/>
        <w:spacing w:line="360" w:lineRule="auto"/>
        <w:ind w:firstLine="630" w:firstLineChars="300"/>
        <w:rPr>
          <w:rFonts w:hint="default" w:ascii="宋体" w:hAnsi="宋体" w:cs="宋体"/>
          <w:b w:val="0"/>
          <w:bCs w:val="0"/>
          <w:color w:val="auto"/>
          <w:szCs w:val="21"/>
          <w:highlight w:val="none"/>
          <w:lang w:val="en-US" w:eastAsia="zh-CN"/>
        </w:rPr>
      </w:pPr>
      <w:r>
        <w:rPr>
          <w:rFonts w:hint="eastAsia" w:ascii="宋体" w:hAnsi="宋体" w:cs="宋体"/>
          <w:b w:val="0"/>
          <w:bCs w:val="0"/>
          <w:color w:val="auto"/>
          <w:szCs w:val="21"/>
          <w:highlight w:val="none"/>
          <w:lang w:val="en-US" w:eastAsia="zh-CN"/>
        </w:rPr>
        <w:t>（5）地点：(供应商根据整体活动方案策划设计)</w:t>
      </w:r>
    </w:p>
    <w:p w14:paraId="3A56A192">
      <w:pPr>
        <w:pStyle w:val="2"/>
        <w:spacing w:line="360" w:lineRule="auto"/>
        <w:ind w:firstLine="630" w:firstLineChars="300"/>
        <w:rPr>
          <w:rFonts w:hint="default" w:ascii="宋体" w:hAnsi="宋体" w:cs="宋体"/>
          <w:b w:val="0"/>
          <w:bCs w:val="0"/>
          <w:color w:val="auto"/>
          <w:szCs w:val="21"/>
          <w:highlight w:val="none"/>
          <w:lang w:val="en-US" w:eastAsia="zh-CN"/>
        </w:rPr>
      </w:pPr>
      <w:r>
        <w:rPr>
          <w:rFonts w:hint="eastAsia" w:ascii="宋体" w:hAnsi="宋体" w:cs="宋体"/>
          <w:b w:val="0"/>
          <w:bCs w:val="0"/>
          <w:color w:val="auto"/>
          <w:szCs w:val="21"/>
          <w:highlight w:val="none"/>
          <w:lang w:val="en-US" w:eastAsia="zh-CN"/>
        </w:rPr>
        <w:t>（6）参加人员：省、市、县、协会等相关单位领导，参赛运动员、裁判员、相关协会代表、帆船俱乐部代表、重要企业代表、主流媒体等。</w:t>
      </w:r>
    </w:p>
    <w:p w14:paraId="024F372E">
      <w:pPr>
        <w:pStyle w:val="2"/>
        <w:spacing w:line="360" w:lineRule="auto"/>
        <w:ind w:firstLine="630" w:firstLineChars="300"/>
        <w:rPr>
          <w:rFonts w:hint="default" w:ascii="宋体" w:hAnsi="宋体" w:cs="宋体"/>
          <w:b w:val="0"/>
          <w:bCs w:val="0"/>
          <w:color w:val="auto"/>
          <w:szCs w:val="21"/>
          <w:highlight w:val="none"/>
          <w:lang w:val="en-US" w:eastAsia="zh-CN"/>
        </w:rPr>
      </w:pPr>
      <w:r>
        <w:rPr>
          <w:rFonts w:hint="eastAsia" w:ascii="宋体" w:hAnsi="宋体" w:cs="宋体"/>
          <w:b w:val="0"/>
          <w:bCs w:val="0"/>
          <w:color w:val="auto"/>
          <w:szCs w:val="21"/>
          <w:highlight w:val="none"/>
          <w:lang w:val="en-US" w:eastAsia="zh-CN"/>
        </w:rPr>
        <w:t>（7）主要内容：举办开幕式并邀请相关领导出席并讲话，以及开幕式相关议程。</w:t>
      </w:r>
    </w:p>
    <w:p w14:paraId="21213E70">
      <w:pPr>
        <w:spacing w:line="360" w:lineRule="auto"/>
        <w:ind w:firstLine="630" w:firstLineChars="300"/>
        <w:rPr>
          <w:rFonts w:hint="eastAsia" w:ascii="宋体" w:hAnsi="宋体" w:eastAsia="宋体" w:cs="宋体"/>
          <w:color w:val="000000"/>
          <w:kern w:val="2"/>
          <w:sz w:val="21"/>
          <w:szCs w:val="21"/>
          <w:lang w:val="en-US" w:eastAsia="zh-CN" w:bidi="ar-SA"/>
        </w:rPr>
      </w:pPr>
      <w:r>
        <w:rPr>
          <w:rFonts w:hint="eastAsia" w:ascii="宋体" w:hAnsi="宋体" w:eastAsia="宋体" w:cs="宋体"/>
          <w:color w:val="000000"/>
          <w:kern w:val="2"/>
          <w:sz w:val="21"/>
          <w:szCs w:val="21"/>
          <w:lang w:val="en-US" w:eastAsia="zh-CN" w:bidi="ar-SA"/>
        </w:rPr>
        <w:t>议程：</w:t>
      </w:r>
    </w:p>
    <w:p w14:paraId="70C55FC7">
      <w:pPr>
        <w:spacing w:line="360" w:lineRule="auto"/>
        <w:ind w:firstLine="630" w:firstLineChars="300"/>
        <w:rPr>
          <w:rFonts w:hint="default" w:ascii="宋体" w:hAnsi="宋体" w:eastAsia="宋体" w:cs="宋体"/>
          <w:color w:val="000000"/>
          <w:kern w:val="2"/>
          <w:sz w:val="21"/>
          <w:szCs w:val="21"/>
          <w:lang w:val="en-US" w:eastAsia="zh-CN" w:bidi="ar-SA"/>
        </w:rPr>
      </w:pPr>
      <w:r>
        <w:rPr>
          <w:rFonts w:hint="default" w:ascii="宋体" w:hAnsi="宋体" w:eastAsia="宋体" w:cs="宋体"/>
          <w:color w:val="000000"/>
          <w:kern w:val="2"/>
          <w:sz w:val="21"/>
          <w:szCs w:val="21"/>
          <w:lang w:val="en-US" w:eastAsia="zh-CN" w:bidi="ar-SA"/>
        </w:rPr>
        <w:t>·节目开场表演</w:t>
      </w:r>
    </w:p>
    <w:p w14:paraId="17D03C58">
      <w:pPr>
        <w:spacing w:line="360" w:lineRule="auto"/>
        <w:ind w:firstLine="630" w:firstLineChars="300"/>
        <w:rPr>
          <w:rFonts w:hint="default" w:ascii="宋体" w:hAnsi="宋体" w:eastAsia="宋体" w:cs="宋体"/>
          <w:color w:val="000000"/>
          <w:kern w:val="2"/>
          <w:sz w:val="21"/>
          <w:szCs w:val="21"/>
          <w:lang w:val="en-US" w:eastAsia="zh-CN" w:bidi="ar-SA"/>
        </w:rPr>
      </w:pPr>
      <w:r>
        <w:rPr>
          <w:rFonts w:hint="default" w:ascii="宋体" w:hAnsi="宋体" w:eastAsia="宋体" w:cs="宋体"/>
          <w:color w:val="000000"/>
          <w:kern w:val="2"/>
          <w:sz w:val="21"/>
          <w:szCs w:val="21"/>
          <w:lang w:val="en-US" w:eastAsia="zh-CN" w:bidi="ar-SA"/>
        </w:rPr>
        <w:t>·领导致辞环节</w:t>
      </w:r>
      <w:r>
        <w:rPr>
          <w:rFonts w:hint="eastAsia" w:ascii="宋体" w:hAnsi="宋体" w:eastAsia="宋体" w:cs="宋体"/>
          <w:color w:val="000000"/>
          <w:kern w:val="2"/>
          <w:sz w:val="21"/>
          <w:szCs w:val="21"/>
          <w:lang w:val="en-US" w:eastAsia="zh-CN" w:bidi="ar-SA"/>
        </w:rPr>
        <w:t>：</w:t>
      </w:r>
      <w:r>
        <w:rPr>
          <w:rFonts w:hint="default" w:ascii="宋体" w:hAnsi="宋体" w:eastAsia="宋体" w:cs="宋体"/>
          <w:color w:val="000000"/>
          <w:kern w:val="2"/>
          <w:sz w:val="21"/>
          <w:szCs w:val="21"/>
          <w:lang w:val="en-US" w:eastAsia="zh-CN" w:bidi="ar-SA"/>
        </w:rPr>
        <w:t xml:space="preserve"> 省、市、县相关领导致辞</w:t>
      </w:r>
      <w:r>
        <w:rPr>
          <w:rFonts w:hint="eastAsia" w:ascii="宋体" w:hAnsi="宋体" w:eastAsia="宋体" w:cs="宋体"/>
          <w:color w:val="000000"/>
          <w:kern w:val="2"/>
          <w:sz w:val="21"/>
          <w:szCs w:val="21"/>
          <w:lang w:val="en-US" w:eastAsia="zh-CN" w:bidi="ar-SA"/>
        </w:rPr>
        <w:t>；</w:t>
      </w:r>
      <w:r>
        <w:rPr>
          <w:rFonts w:hint="default" w:ascii="宋体" w:hAnsi="宋体" w:eastAsia="宋体" w:cs="宋体"/>
          <w:color w:val="000000"/>
          <w:kern w:val="2"/>
          <w:sz w:val="21"/>
          <w:szCs w:val="21"/>
          <w:lang w:val="en-US" w:eastAsia="zh-CN" w:bidi="ar-SA"/>
        </w:rPr>
        <w:t xml:space="preserve"> </w:t>
      </w:r>
    </w:p>
    <w:p w14:paraId="3FE2FCC9">
      <w:pPr>
        <w:spacing w:line="360" w:lineRule="auto"/>
        <w:ind w:firstLine="630" w:firstLineChars="300"/>
        <w:rPr>
          <w:rFonts w:hint="default" w:ascii="宋体" w:hAnsi="宋体" w:eastAsia="宋体" w:cs="宋体"/>
          <w:color w:val="000000"/>
          <w:kern w:val="2"/>
          <w:sz w:val="21"/>
          <w:szCs w:val="21"/>
          <w:lang w:val="en-US" w:eastAsia="zh-CN" w:bidi="ar-SA"/>
        </w:rPr>
      </w:pPr>
      <w:r>
        <w:rPr>
          <w:rFonts w:hint="default" w:ascii="宋体" w:hAnsi="宋体" w:eastAsia="宋体" w:cs="宋体"/>
          <w:color w:val="000000"/>
          <w:kern w:val="2"/>
          <w:sz w:val="21"/>
          <w:szCs w:val="21"/>
          <w:lang w:val="en-US" w:eastAsia="zh-CN" w:bidi="ar-SA"/>
        </w:rPr>
        <w:t>·播放助力打call视频</w:t>
      </w:r>
    </w:p>
    <w:p w14:paraId="6177A011">
      <w:pPr>
        <w:spacing w:line="360" w:lineRule="auto"/>
        <w:ind w:firstLine="630" w:firstLineChars="300"/>
        <w:rPr>
          <w:rFonts w:hint="default" w:ascii="宋体" w:hAnsi="宋体" w:eastAsia="宋体" w:cs="宋体"/>
          <w:color w:val="000000"/>
          <w:kern w:val="2"/>
          <w:sz w:val="21"/>
          <w:szCs w:val="21"/>
          <w:lang w:val="en-US" w:eastAsia="zh-CN" w:bidi="ar-SA"/>
        </w:rPr>
      </w:pPr>
      <w:r>
        <w:rPr>
          <w:rFonts w:hint="default" w:ascii="宋体" w:hAnsi="宋体" w:eastAsia="宋体" w:cs="宋体"/>
          <w:color w:val="000000"/>
          <w:kern w:val="2"/>
          <w:sz w:val="21"/>
          <w:szCs w:val="21"/>
          <w:lang w:val="en-US" w:eastAsia="zh-CN" w:bidi="ar-SA"/>
        </w:rPr>
        <w:t>·中国各省市帆船协会、俱乐部助力</w:t>
      </w:r>
      <w:r>
        <w:rPr>
          <w:rFonts w:hint="eastAsia" w:ascii="宋体" w:hAnsi="宋体" w:eastAsia="宋体" w:cs="宋体"/>
          <w:color w:val="000000"/>
          <w:kern w:val="2"/>
          <w:sz w:val="21"/>
          <w:szCs w:val="21"/>
          <w:lang w:val="en-US" w:eastAsia="zh-CN" w:bidi="ar-SA"/>
        </w:rPr>
        <w:t>嵊泗</w:t>
      </w:r>
      <w:r>
        <w:rPr>
          <w:rFonts w:hint="default" w:ascii="宋体" w:hAnsi="宋体" w:eastAsia="宋体" w:cs="宋体"/>
          <w:color w:val="000000"/>
          <w:kern w:val="2"/>
          <w:sz w:val="21"/>
          <w:szCs w:val="21"/>
          <w:lang w:val="en-US" w:eastAsia="zh-CN" w:bidi="ar-SA"/>
        </w:rPr>
        <w:t>帆船赛</w:t>
      </w:r>
    </w:p>
    <w:p w14:paraId="6DD0230E">
      <w:pPr>
        <w:spacing w:line="360" w:lineRule="auto"/>
        <w:ind w:firstLine="630" w:firstLineChars="300"/>
        <w:rPr>
          <w:rFonts w:hint="default" w:ascii="宋体" w:hAnsi="宋体" w:eastAsia="宋体" w:cs="宋体"/>
          <w:color w:val="000000"/>
          <w:kern w:val="2"/>
          <w:sz w:val="21"/>
          <w:szCs w:val="21"/>
          <w:lang w:val="en-US" w:eastAsia="zh-CN" w:bidi="ar-SA"/>
        </w:rPr>
      </w:pPr>
      <w:r>
        <w:rPr>
          <w:rFonts w:hint="default" w:ascii="宋体" w:hAnsi="宋体" w:eastAsia="宋体" w:cs="宋体"/>
          <w:color w:val="000000"/>
          <w:kern w:val="2"/>
          <w:sz w:val="21"/>
          <w:szCs w:val="21"/>
          <w:lang w:val="en-US" w:eastAsia="zh-CN" w:bidi="ar-SA"/>
        </w:rPr>
        <w:t>·运动员、裁判员宣誓</w:t>
      </w:r>
    </w:p>
    <w:p w14:paraId="672D4CEE">
      <w:pPr>
        <w:spacing w:line="360" w:lineRule="auto"/>
        <w:ind w:firstLine="630" w:firstLineChars="300"/>
        <w:rPr>
          <w:rFonts w:hint="default" w:ascii="宋体" w:hAnsi="宋体" w:eastAsia="宋体" w:cs="宋体"/>
          <w:color w:val="000000"/>
          <w:kern w:val="2"/>
          <w:sz w:val="21"/>
          <w:szCs w:val="21"/>
          <w:lang w:val="en-US" w:eastAsia="zh-CN" w:bidi="ar-SA"/>
        </w:rPr>
      </w:pPr>
      <w:r>
        <w:rPr>
          <w:rFonts w:hint="default" w:ascii="宋体" w:hAnsi="宋体" w:eastAsia="宋体" w:cs="宋体"/>
          <w:color w:val="000000"/>
          <w:kern w:val="2"/>
          <w:sz w:val="21"/>
          <w:szCs w:val="21"/>
          <w:lang w:val="en-US" w:eastAsia="zh-CN" w:bidi="ar-SA"/>
        </w:rPr>
        <w:t>·领导上台启动嵊泗国际帆船赛</w:t>
      </w:r>
    </w:p>
    <w:p w14:paraId="5759A611">
      <w:pPr>
        <w:widowControl/>
        <w:numPr>
          <w:ilvl w:val="0"/>
          <w:numId w:val="7"/>
        </w:numPr>
        <w:spacing w:line="360" w:lineRule="auto"/>
        <w:ind w:left="420" w:leftChars="0" w:firstLineChars="0"/>
        <w:rPr>
          <w:rFonts w:hint="default" w:ascii="宋体" w:hAnsi="宋体" w:eastAsia="宋体" w:cs="宋体"/>
          <w:b/>
          <w:bCs/>
          <w:color w:val="auto"/>
          <w:szCs w:val="21"/>
          <w:highlight w:val="none"/>
          <w:lang w:val="en-US" w:eastAsia="zh-CN"/>
        </w:rPr>
      </w:pPr>
      <w:r>
        <w:rPr>
          <w:rFonts w:hint="eastAsia" w:ascii="宋体" w:hAnsi="宋体" w:eastAsia="宋体" w:cs="宋体"/>
          <w:b/>
          <w:bCs/>
          <w:color w:val="auto"/>
          <w:szCs w:val="21"/>
          <w:highlight w:val="none"/>
          <w:lang w:val="en-US" w:eastAsia="zh-CN"/>
        </w:rPr>
        <w:t>2025嵊泗国际帆船赛情况</w:t>
      </w:r>
    </w:p>
    <w:p w14:paraId="7D5F5CC9">
      <w:pPr>
        <w:widowControl/>
        <w:numPr>
          <w:ilvl w:val="0"/>
          <w:numId w:val="8"/>
        </w:numPr>
        <w:spacing w:line="360" w:lineRule="auto"/>
        <w:ind w:left="420" w:leftChars="0" w:firstLineChars="0"/>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赛事概况</w:t>
      </w:r>
    </w:p>
    <w:p w14:paraId="6AC31F90">
      <w:pPr>
        <w:widowControl/>
        <w:numPr>
          <w:ilvl w:val="1"/>
          <w:numId w:val="8"/>
        </w:numPr>
        <w:spacing w:line="360" w:lineRule="auto"/>
        <w:ind w:left="1050" w:leftChars="0" w:hanging="420" w:firstLineChars="0"/>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比赛项目：设拉力赛和场地赛。</w:t>
      </w:r>
    </w:p>
    <w:p w14:paraId="243DAE39">
      <w:pPr>
        <w:widowControl/>
        <w:numPr>
          <w:ilvl w:val="1"/>
          <w:numId w:val="8"/>
        </w:numPr>
        <w:spacing w:line="360" w:lineRule="auto"/>
        <w:ind w:left="1050" w:leftChars="0" w:hanging="420" w:firstLineChars="0"/>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比赛用船：J80级别高水平龙骨帆船，至少</w:t>
      </w:r>
      <w:r>
        <w:rPr>
          <w:rFonts w:hint="eastAsia" w:ascii="宋体" w:hAnsi="宋体" w:cs="宋体"/>
          <w:color w:val="auto"/>
          <w:szCs w:val="21"/>
          <w:highlight w:val="none"/>
          <w:lang w:val="en-US" w:eastAsia="zh-CN"/>
        </w:rPr>
        <w:t>20</w:t>
      </w:r>
      <w:r>
        <w:rPr>
          <w:rFonts w:hint="eastAsia" w:ascii="宋体" w:hAnsi="宋体" w:eastAsia="宋体" w:cs="宋体"/>
          <w:color w:val="auto"/>
          <w:szCs w:val="21"/>
          <w:highlight w:val="none"/>
          <w:lang w:val="en-US" w:eastAsia="zh-CN"/>
        </w:rPr>
        <w:t>艘。</w:t>
      </w:r>
    </w:p>
    <w:p w14:paraId="2576AC5B">
      <w:pPr>
        <w:widowControl/>
        <w:numPr>
          <w:ilvl w:val="1"/>
          <w:numId w:val="8"/>
        </w:numPr>
        <w:spacing w:line="360" w:lineRule="auto"/>
        <w:ind w:left="1050" w:leftChars="0" w:hanging="420" w:firstLineChars="0"/>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邀请赛队：至少邀请</w:t>
      </w:r>
      <w:r>
        <w:rPr>
          <w:rFonts w:hint="eastAsia" w:ascii="宋体" w:hAnsi="宋体" w:cs="宋体"/>
          <w:color w:val="auto"/>
          <w:szCs w:val="21"/>
          <w:highlight w:val="none"/>
          <w:lang w:val="en-US" w:eastAsia="zh-CN"/>
        </w:rPr>
        <w:t>20</w:t>
      </w:r>
      <w:r>
        <w:rPr>
          <w:rFonts w:hint="eastAsia" w:ascii="宋体" w:hAnsi="宋体" w:eastAsia="宋体" w:cs="宋体"/>
          <w:color w:val="auto"/>
          <w:szCs w:val="21"/>
          <w:highlight w:val="none"/>
          <w:lang w:val="en-US" w:eastAsia="zh-CN"/>
        </w:rPr>
        <w:t>支赛队，约130人，赛队中要有2支以上国际赛队。</w:t>
      </w:r>
    </w:p>
    <w:p w14:paraId="1D7333C8">
      <w:pPr>
        <w:widowControl/>
        <w:numPr>
          <w:ilvl w:val="1"/>
          <w:numId w:val="8"/>
        </w:numPr>
        <w:spacing w:line="360" w:lineRule="auto"/>
        <w:ind w:left="1050" w:leftChars="0" w:hanging="420" w:firstLineChars="0"/>
        <w:rPr>
          <w:rFonts w:hint="eastAsia"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竞</w:t>
      </w:r>
      <w:r>
        <w:rPr>
          <w:rFonts w:hint="eastAsia" w:ascii="宋体" w:hAnsi="宋体" w:eastAsia="宋体" w:cs="宋体"/>
          <w:color w:val="auto"/>
          <w:szCs w:val="21"/>
          <w:highlight w:val="none"/>
          <w:lang w:val="en-US" w:eastAsia="zh-CN"/>
        </w:rPr>
        <w:t>赛组：按照国际帆船赛标准聘请裁判长、裁判员、技术代表，成立禁赛委员会。</w:t>
      </w:r>
    </w:p>
    <w:p w14:paraId="710D340D">
      <w:pPr>
        <w:widowControl/>
        <w:numPr>
          <w:ilvl w:val="1"/>
          <w:numId w:val="8"/>
        </w:numPr>
        <w:spacing w:line="360" w:lineRule="auto"/>
        <w:ind w:left="1050" w:leftChars="0" w:hanging="420" w:firstLineChars="0"/>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配套保障船：10艘（含安全保障船，裁判船、巡逻船等</w:t>
      </w:r>
      <w:r>
        <w:rPr>
          <w:rFonts w:hint="eastAsia" w:ascii="宋体" w:hAnsi="宋体" w:cs="宋体"/>
          <w:color w:val="auto"/>
          <w:szCs w:val="21"/>
          <w:highlight w:val="none"/>
          <w:lang w:val="en-US" w:eastAsia="zh-CN"/>
        </w:rPr>
        <w:t>船支</w:t>
      </w:r>
      <w:r>
        <w:rPr>
          <w:rFonts w:hint="eastAsia" w:ascii="宋体" w:hAnsi="宋体" w:eastAsia="宋体" w:cs="宋体"/>
          <w:color w:val="auto"/>
          <w:szCs w:val="21"/>
          <w:highlight w:val="none"/>
          <w:lang w:val="en-US" w:eastAsia="zh-CN"/>
        </w:rPr>
        <w:t>）</w:t>
      </w:r>
    </w:p>
    <w:p w14:paraId="6CE6E2E1">
      <w:pPr>
        <w:widowControl/>
        <w:numPr>
          <w:ilvl w:val="0"/>
          <w:numId w:val="8"/>
        </w:numPr>
        <w:spacing w:line="360" w:lineRule="auto"/>
        <w:ind w:left="420" w:leftChars="0" w:firstLineChars="0"/>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赛事情况</w:t>
      </w:r>
    </w:p>
    <w:p w14:paraId="6AE1183C">
      <w:pPr>
        <w:widowControl/>
        <w:numPr>
          <w:ilvl w:val="1"/>
          <w:numId w:val="8"/>
        </w:numPr>
        <w:spacing w:line="360" w:lineRule="auto"/>
        <w:ind w:left="1050" w:leftChars="0" w:hanging="420" w:firstLineChars="0"/>
        <w:rPr>
          <w:rFonts w:hint="default" w:ascii="宋体" w:hAnsi="宋体" w:eastAsia="宋体" w:cs="宋体"/>
          <w:color w:val="auto"/>
          <w:szCs w:val="21"/>
          <w:highlight w:val="none"/>
          <w:lang w:val="en-US" w:eastAsia="zh-CN"/>
        </w:rPr>
      </w:pPr>
      <w:r>
        <w:rPr>
          <w:rFonts w:hint="default" w:ascii="宋体" w:hAnsi="宋体" w:eastAsia="宋体" w:cs="宋体"/>
          <w:color w:val="auto"/>
          <w:szCs w:val="21"/>
          <w:highlight w:val="none"/>
          <w:lang w:val="en-US" w:eastAsia="zh-CN"/>
        </w:rPr>
        <w:t>赛事时间：</w:t>
      </w:r>
      <w:r>
        <w:rPr>
          <w:rFonts w:hint="eastAsia" w:ascii="宋体" w:hAnsi="宋体" w:cs="宋体"/>
          <w:color w:val="auto"/>
          <w:szCs w:val="21"/>
          <w:highlight w:val="none"/>
          <w:lang w:val="en-US" w:eastAsia="zh-CN"/>
        </w:rPr>
        <w:t>3天</w:t>
      </w:r>
      <w:r>
        <w:rPr>
          <w:rFonts w:hint="default" w:ascii="宋体" w:hAnsi="宋体" w:eastAsia="宋体" w:cs="宋体"/>
          <w:color w:val="auto"/>
          <w:szCs w:val="21"/>
          <w:highlight w:val="none"/>
          <w:lang w:val="en-US" w:eastAsia="zh-CN"/>
        </w:rPr>
        <w:t>，按照国际帆船赛规格策划、设计、举办</w:t>
      </w:r>
      <w:r>
        <w:rPr>
          <w:rFonts w:hint="eastAsia" w:ascii="宋体" w:hAnsi="宋体" w:cs="宋体"/>
          <w:color w:val="auto"/>
          <w:szCs w:val="21"/>
          <w:highlight w:val="none"/>
          <w:lang w:val="en-US" w:eastAsia="zh-CN"/>
        </w:rPr>
        <w:t>场地赛和</w:t>
      </w:r>
      <w:r>
        <w:rPr>
          <w:rFonts w:hint="default" w:ascii="宋体" w:hAnsi="宋体" w:eastAsia="宋体" w:cs="宋体"/>
          <w:color w:val="auto"/>
          <w:szCs w:val="21"/>
          <w:highlight w:val="none"/>
          <w:lang w:val="en-US" w:eastAsia="zh-CN"/>
        </w:rPr>
        <w:t>跳岛拉力赛</w:t>
      </w:r>
      <w:r>
        <w:rPr>
          <w:rFonts w:hint="default" w:ascii="宋体" w:hAnsi="宋体" w:eastAsia="宋体" w:cs="宋体"/>
          <w:b w:val="0"/>
          <w:bCs w:val="0"/>
          <w:color w:val="auto"/>
          <w:sz w:val="21"/>
          <w:szCs w:val="21"/>
          <w:highlight w:val="none"/>
          <w:lang w:val="en-US" w:eastAsia="zh-CN"/>
        </w:rPr>
        <w:t>。</w:t>
      </w:r>
    </w:p>
    <w:p w14:paraId="5CA94EEE">
      <w:pPr>
        <w:widowControl/>
        <w:numPr>
          <w:ilvl w:val="1"/>
          <w:numId w:val="8"/>
        </w:numPr>
        <w:spacing w:line="360" w:lineRule="auto"/>
        <w:ind w:left="1050" w:leftChars="0" w:hanging="420" w:firstLineChars="0"/>
        <w:rPr>
          <w:rFonts w:hint="default" w:ascii="宋体" w:hAnsi="宋体" w:eastAsia="宋体" w:cs="宋体"/>
          <w:color w:val="auto"/>
          <w:szCs w:val="21"/>
          <w:highlight w:val="none"/>
          <w:lang w:val="en-US" w:eastAsia="zh-CN"/>
        </w:rPr>
      </w:pPr>
      <w:r>
        <w:rPr>
          <w:rFonts w:hint="default" w:ascii="宋体" w:hAnsi="宋体" w:eastAsia="宋体" w:cs="宋体"/>
          <w:color w:val="auto"/>
          <w:szCs w:val="21"/>
          <w:highlight w:val="none"/>
          <w:lang w:val="en-US" w:eastAsia="zh-CN"/>
        </w:rPr>
        <w:t>赛事地点：</w:t>
      </w:r>
      <w:r>
        <w:rPr>
          <w:rFonts w:hint="eastAsia" w:ascii="宋体" w:hAnsi="宋体" w:eastAsia="宋体" w:cs="宋体"/>
          <w:color w:val="auto"/>
          <w:szCs w:val="21"/>
          <w:highlight w:val="none"/>
          <w:lang w:val="en-US" w:eastAsia="zh-CN"/>
        </w:rPr>
        <w:t>嵊泗</w:t>
      </w:r>
    </w:p>
    <w:p w14:paraId="25EB662D">
      <w:pPr>
        <w:widowControl/>
        <w:numPr>
          <w:ilvl w:val="1"/>
          <w:numId w:val="8"/>
        </w:numPr>
        <w:spacing w:line="360" w:lineRule="auto"/>
        <w:ind w:left="1050" w:leftChars="0" w:hanging="420" w:firstLineChars="0"/>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赛事航线：</w:t>
      </w:r>
      <w:r>
        <w:rPr>
          <w:rFonts w:hint="default" w:ascii="宋体" w:hAnsi="宋体" w:eastAsia="宋体" w:cs="宋体"/>
          <w:color w:val="auto"/>
          <w:szCs w:val="21"/>
          <w:highlight w:val="none"/>
          <w:lang w:val="en-US" w:eastAsia="zh-CN"/>
        </w:rPr>
        <w:t>供应商根</w:t>
      </w:r>
      <w:r>
        <w:rPr>
          <w:rFonts w:hint="eastAsia" w:ascii="宋体" w:hAnsi="宋体" w:eastAsia="宋体" w:cs="宋体"/>
          <w:color w:val="auto"/>
          <w:szCs w:val="21"/>
          <w:highlight w:val="none"/>
          <w:lang w:val="en-US" w:eastAsia="zh-CN"/>
        </w:rPr>
        <w:t>据整体活动方案策划设计海岛拉力赛赛程及航线</w:t>
      </w:r>
      <w:r>
        <w:rPr>
          <w:rFonts w:hint="eastAsia" w:ascii="宋体" w:hAnsi="宋体" w:cs="宋体"/>
          <w:color w:val="auto"/>
          <w:szCs w:val="21"/>
          <w:highlight w:val="none"/>
          <w:lang w:val="en-US" w:eastAsia="zh-CN"/>
        </w:rPr>
        <w:t>。</w:t>
      </w:r>
    </w:p>
    <w:p w14:paraId="0651E02C">
      <w:pPr>
        <w:widowControl/>
        <w:numPr>
          <w:numId w:val="0"/>
        </w:numPr>
        <w:spacing w:line="360" w:lineRule="auto"/>
        <w:ind w:left="630" w:leftChars="0"/>
        <w:rPr>
          <w:rFonts w:hint="default" w:ascii="宋体" w:hAnsi="宋体" w:eastAsia="宋体" w:cs="宋体"/>
          <w:b/>
          <w:bCs/>
          <w:color w:val="auto"/>
          <w:szCs w:val="21"/>
          <w:highlight w:val="none"/>
          <w:lang w:val="en-US" w:eastAsia="zh-CN"/>
        </w:rPr>
      </w:pPr>
      <w:r>
        <w:rPr>
          <w:rFonts w:hint="eastAsia" w:ascii="宋体" w:hAnsi="宋体" w:cs="宋体"/>
          <w:b/>
          <w:bCs/>
          <w:color w:val="auto"/>
          <w:szCs w:val="21"/>
          <w:highlight w:val="none"/>
          <w:lang w:val="en-US" w:eastAsia="zh-CN"/>
        </w:rPr>
        <w:t>注：具体落实航线审批工作由中标供应商执行。</w:t>
      </w:r>
    </w:p>
    <w:p w14:paraId="42A1E6AA">
      <w:pPr>
        <w:widowControl/>
        <w:numPr>
          <w:ilvl w:val="0"/>
          <w:numId w:val="7"/>
        </w:numPr>
        <w:spacing w:line="360" w:lineRule="auto"/>
        <w:ind w:left="420" w:leftChars="0" w:firstLineChars="0"/>
        <w:rPr>
          <w:rFonts w:hint="default" w:ascii="宋体" w:hAnsi="宋体" w:eastAsia="宋体" w:cs="宋体"/>
          <w:b/>
          <w:bCs/>
          <w:color w:val="auto"/>
          <w:szCs w:val="21"/>
          <w:highlight w:val="none"/>
          <w:lang w:val="en-US" w:eastAsia="zh-CN"/>
        </w:rPr>
      </w:pPr>
      <w:r>
        <w:rPr>
          <w:rFonts w:hint="eastAsia" w:ascii="宋体" w:hAnsi="宋体" w:eastAsia="宋体" w:cs="宋体"/>
          <w:b/>
          <w:bCs/>
          <w:color w:val="auto"/>
          <w:szCs w:val="21"/>
          <w:highlight w:val="none"/>
          <w:lang w:val="en-US" w:eastAsia="zh-CN"/>
        </w:rPr>
        <w:t>2025嵊泗国际帆船赛晚宴</w:t>
      </w:r>
    </w:p>
    <w:p w14:paraId="4D9EC8FB">
      <w:pPr>
        <w:widowControl/>
        <w:numPr>
          <w:ilvl w:val="1"/>
          <w:numId w:val="9"/>
        </w:numPr>
        <w:spacing w:line="360" w:lineRule="auto"/>
        <w:ind w:left="1050" w:leftChars="0" w:hanging="420" w:firstLineChars="0"/>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时间：晚上</w:t>
      </w:r>
    </w:p>
    <w:p w14:paraId="17FE710C">
      <w:pPr>
        <w:widowControl/>
        <w:numPr>
          <w:ilvl w:val="1"/>
          <w:numId w:val="9"/>
        </w:numPr>
        <w:spacing w:line="360" w:lineRule="auto"/>
        <w:ind w:left="1050" w:leftChars="0" w:hanging="420" w:firstLineChars="0"/>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地点：供应商根据整体活动方案策划设计</w:t>
      </w:r>
    </w:p>
    <w:p w14:paraId="610CF7F6">
      <w:pPr>
        <w:widowControl/>
        <w:numPr>
          <w:ilvl w:val="1"/>
          <w:numId w:val="9"/>
        </w:numPr>
        <w:spacing w:line="360" w:lineRule="auto"/>
        <w:ind w:left="1050" w:leftChars="0" w:hanging="420" w:firstLineChars="0"/>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参加人员：相关领导、嘉宾、选手、裁判员等，约200人。</w:t>
      </w:r>
    </w:p>
    <w:p w14:paraId="6DB65DDC">
      <w:pPr>
        <w:widowControl/>
        <w:numPr>
          <w:ilvl w:val="1"/>
          <w:numId w:val="9"/>
        </w:numPr>
        <w:spacing w:line="360" w:lineRule="auto"/>
        <w:ind w:left="1050" w:leftChars="0" w:hanging="420" w:firstLineChars="0"/>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主要内容：举办颁奖晚宴</w:t>
      </w:r>
    </w:p>
    <w:p w14:paraId="23D3C9D2">
      <w:pPr>
        <w:widowControl/>
        <w:numPr>
          <w:ilvl w:val="0"/>
          <w:numId w:val="0"/>
        </w:numPr>
        <w:tabs>
          <w:tab w:val="left" w:pos="840"/>
        </w:tabs>
        <w:spacing w:line="360" w:lineRule="auto"/>
        <w:ind w:left="630" w:leftChars="0" w:firstLine="0" w:firstLineChars="0"/>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活动流程：</w:t>
      </w:r>
    </w:p>
    <w:p w14:paraId="52CA7CE0">
      <w:pPr>
        <w:widowControl/>
        <w:numPr>
          <w:ilvl w:val="0"/>
          <w:numId w:val="0"/>
        </w:numPr>
        <w:tabs>
          <w:tab w:val="left" w:pos="840"/>
        </w:tabs>
        <w:spacing w:line="360" w:lineRule="auto"/>
        <w:ind w:left="630" w:leftChars="0" w:firstLine="0" w:firstLineChars="0"/>
        <w:rPr>
          <w:rFonts w:hint="default" w:ascii="宋体" w:hAnsi="宋体" w:eastAsia="宋体" w:cs="宋体"/>
          <w:color w:val="auto"/>
          <w:szCs w:val="21"/>
          <w:highlight w:val="none"/>
          <w:lang w:val="en-US" w:eastAsia="zh-CN"/>
        </w:rPr>
      </w:pPr>
      <w:r>
        <w:rPr>
          <w:rFonts w:hint="default" w:ascii="宋体" w:hAnsi="宋体" w:eastAsia="宋体" w:cs="宋体"/>
          <w:color w:val="auto"/>
          <w:szCs w:val="21"/>
          <w:highlight w:val="none"/>
          <w:lang w:val="en-US" w:eastAsia="zh-CN"/>
        </w:rPr>
        <w:t>·开场环节：主持人开场，介绍出席颁奖典礼的领导、嘉宾</w:t>
      </w:r>
      <w:r>
        <w:rPr>
          <w:rFonts w:hint="eastAsia" w:ascii="宋体" w:hAnsi="宋体" w:eastAsia="宋体" w:cs="宋体"/>
          <w:color w:val="auto"/>
          <w:szCs w:val="21"/>
          <w:highlight w:val="none"/>
          <w:lang w:val="en-US" w:eastAsia="zh-CN"/>
        </w:rPr>
        <w:t>；</w:t>
      </w:r>
      <w:r>
        <w:rPr>
          <w:rFonts w:hint="default" w:ascii="宋体" w:hAnsi="宋体" w:eastAsia="宋体" w:cs="宋体"/>
          <w:color w:val="auto"/>
          <w:szCs w:val="21"/>
          <w:highlight w:val="none"/>
          <w:lang w:val="en-US" w:eastAsia="zh-CN"/>
        </w:rPr>
        <w:t>播放赛事精彩瞬间视频。</w:t>
      </w:r>
    </w:p>
    <w:p w14:paraId="1F398BD0">
      <w:pPr>
        <w:widowControl/>
        <w:numPr>
          <w:ilvl w:val="0"/>
          <w:numId w:val="0"/>
        </w:numPr>
        <w:tabs>
          <w:tab w:val="left" w:pos="840"/>
        </w:tabs>
        <w:spacing w:line="360" w:lineRule="auto"/>
        <w:ind w:left="630" w:leftChars="0" w:firstLine="0" w:firstLineChars="0"/>
        <w:rPr>
          <w:rFonts w:hint="default" w:ascii="宋体" w:hAnsi="宋体" w:eastAsia="宋体" w:cs="宋体"/>
          <w:color w:val="auto"/>
          <w:szCs w:val="21"/>
          <w:highlight w:val="none"/>
          <w:lang w:val="en-US" w:eastAsia="zh-CN"/>
        </w:rPr>
      </w:pPr>
      <w:r>
        <w:rPr>
          <w:rFonts w:hint="default" w:ascii="宋体" w:hAnsi="宋体" w:eastAsia="宋体" w:cs="宋体"/>
          <w:color w:val="auto"/>
          <w:szCs w:val="21"/>
          <w:highlight w:val="none"/>
          <w:lang w:val="en-US" w:eastAsia="zh-CN"/>
        </w:rPr>
        <w:t>·领导致辞：领导发言。</w:t>
      </w:r>
    </w:p>
    <w:p w14:paraId="19521AE8">
      <w:pPr>
        <w:widowControl/>
        <w:numPr>
          <w:ilvl w:val="0"/>
          <w:numId w:val="0"/>
        </w:numPr>
        <w:tabs>
          <w:tab w:val="left" w:pos="840"/>
        </w:tabs>
        <w:spacing w:line="360" w:lineRule="auto"/>
        <w:ind w:left="630" w:leftChars="0" w:firstLine="0" w:firstLineChars="0"/>
        <w:rPr>
          <w:rFonts w:hint="default" w:ascii="宋体" w:hAnsi="宋体" w:eastAsia="宋体" w:cs="宋体"/>
          <w:color w:val="auto"/>
          <w:szCs w:val="21"/>
          <w:highlight w:val="none"/>
          <w:lang w:val="en-US" w:eastAsia="zh-CN"/>
        </w:rPr>
      </w:pPr>
      <w:r>
        <w:rPr>
          <w:rFonts w:hint="default" w:ascii="宋体" w:hAnsi="宋体" w:eastAsia="宋体" w:cs="宋体"/>
          <w:color w:val="auto"/>
          <w:szCs w:val="21"/>
          <w:highlight w:val="none"/>
          <w:lang w:val="en-US" w:eastAsia="zh-CN"/>
        </w:rPr>
        <w:t>·推介环节：嵊泗文旅体主题推介。</w:t>
      </w:r>
    </w:p>
    <w:p w14:paraId="57A82C83">
      <w:pPr>
        <w:widowControl/>
        <w:numPr>
          <w:ilvl w:val="0"/>
          <w:numId w:val="0"/>
        </w:numPr>
        <w:tabs>
          <w:tab w:val="left" w:pos="840"/>
        </w:tabs>
        <w:spacing w:line="360" w:lineRule="auto"/>
        <w:ind w:left="630" w:leftChars="0" w:firstLine="0" w:firstLineChars="0"/>
        <w:rPr>
          <w:rFonts w:hint="default" w:ascii="宋体" w:hAnsi="宋体" w:eastAsia="宋体" w:cs="宋体"/>
          <w:color w:val="auto"/>
          <w:szCs w:val="21"/>
          <w:highlight w:val="none"/>
          <w:lang w:val="en-US" w:eastAsia="zh-CN"/>
        </w:rPr>
      </w:pPr>
      <w:r>
        <w:rPr>
          <w:rFonts w:hint="default" w:ascii="宋体" w:hAnsi="宋体" w:eastAsia="宋体" w:cs="宋体"/>
          <w:color w:val="auto"/>
          <w:szCs w:val="21"/>
          <w:highlight w:val="none"/>
          <w:lang w:val="en-US" w:eastAsia="zh-CN"/>
        </w:rPr>
        <w:t>·颁奖环节：由赛事组委会代表颁奖</w:t>
      </w:r>
      <w:r>
        <w:rPr>
          <w:rFonts w:hint="eastAsia" w:ascii="宋体" w:hAnsi="宋体" w:eastAsia="宋体" w:cs="宋体"/>
          <w:color w:val="auto"/>
          <w:szCs w:val="21"/>
          <w:highlight w:val="none"/>
          <w:lang w:val="en-US" w:eastAsia="zh-CN"/>
        </w:rPr>
        <w:t>；</w:t>
      </w:r>
      <w:r>
        <w:rPr>
          <w:rFonts w:hint="default" w:ascii="宋体" w:hAnsi="宋体" w:eastAsia="宋体" w:cs="宋体"/>
          <w:color w:val="auto"/>
          <w:szCs w:val="21"/>
          <w:highlight w:val="none"/>
          <w:lang w:val="en-US" w:eastAsia="zh-CN"/>
        </w:rPr>
        <w:t>颁奖过程中，获奖选手上台发言</w:t>
      </w:r>
      <w:r>
        <w:rPr>
          <w:rFonts w:hint="eastAsia" w:ascii="宋体" w:hAnsi="宋体" w:cs="宋体"/>
          <w:color w:val="auto"/>
          <w:szCs w:val="21"/>
          <w:highlight w:val="none"/>
          <w:lang w:val="en-US" w:eastAsia="zh-CN"/>
        </w:rPr>
        <w:t>。</w:t>
      </w:r>
    </w:p>
    <w:p w14:paraId="4985EAFB">
      <w:pPr>
        <w:widowControl/>
        <w:numPr>
          <w:ilvl w:val="0"/>
          <w:numId w:val="0"/>
        </w:numPr>
        <w:tabs>
          <w:tab w:val="left" w:pos="840"/>
        </w:tabs>
        <w:spacing w:line="360" w:lineRule="auto"/>
        <w:ind w:left="630" w:leftChars="0" w:firstLine="0" w:firstLineChars="0"/>
        <w:rPr>
          <w:rFonts w:hint="default" w:ascii="宋体" w:hAnsi="宋体" w:eastAsia="宋体" w:cs="宋体"/>
          <w:color w:val="auto"/>
          <w:szCs w:val="21"/>
          <w:highlight w:val="none"/>
          <w:lang w:val="en-US" w:eastAsia="zh-CN"/>
        </w:rPr>
      </w:pPr>
      <w:r>
        <w:rPr>
          <w:rFonts w:hint="default" w:ascii="宋体" w:hAnsi="宋体" w:eastAsia="宋体" w:cs="宋体"/>
          <w:color w:val="auto"/>
          <w:szCs w:val="21"/>
          <w:highlight w:val="none"/>
          <w:lang w:val="en-US" w:eastAsia="zh-CN"/>
        </w:rPr>
        <w:t>·自由交流与合影环节：领导、嘉宾、选手及工作人员合影留念</w:t>
      </w:r>
      <w:r>
        <w:rPr>
          <w:rFonts w:hint="eastAsia" w:ascii="宋体" w:hAnsi="宋体" w:eastAsia="宋体" w:cs="宋体"/>
          <w:color w:val="auto"/>
          <w:szCs w:val="21"/>
          <w:highlight w:val="none"/>
          <w:lang w:val="en-US" w:eastAsia="zh-CN"/>
        </w:rPr>
        <w:t>；</w:t>
      </w:r>
      <w:r>
        <w:rPr>
          <w:rFonts w:hint="default" w:ascii="宋体" w:hAnsi="宋体" w:eastAsia="宋体" w:cs="宋体"/>
          <w:color w:val="auto"/>
          <w:szCs w:val="21"/>
          <w:highlight w:val="none"/>
          <w:lang w:val="en-US" w:eastAsia="zh-CN"/>
        </w:rPr>
        <w:t>自由交流，结束颁奖典礼。</w:t>
      </w:r>
    </w:p>
    <w:p w14:paraId="07742A34">
      <w:pPr>
        <w:widowControl/>
        <w:numPr>
          <w:ilvl w:val="0"/>
          <w:numId w:val="7"/>
        </w:numPr>
        <w:spacing w:line="360" w:lineRule="auto"/>
        <w:ind w:left="420" w:leftChars="0" w:firstLineChars="0"/>
        <w:rPr>
          <w:rFonts w:hint="eastAsia" w:ascii="宋体" w:hAnsi="宋体" w:eastAsia="宋体" w:cs="宋体"/>
          <w:b/>
          <w:bCs/>
          <w:color w:val="auto"/>
          <w:szCs w:val="21"/>
          <w:highlight w:val="none"/>
          <w:lang w:val="en-US" w:eastAsia="zh-CN"/>
        </w:rPr>
      </w:pPr>
      <w:r>
        <w:rPr>
          <w:rFonts w:hint="eastAsia" w:ascii="宋体" w:hAnsi="宋体" w:eastAsia="宋体" w:cs="宋体"/>
          <w:b/>
          <w:bCs/>
          <w:color w:val="auto"/>
          <w:szCs w:val="21"/>
          <w:highlight w:val="none"/>
          <w:lang w:val="en-US" w:eastAsia="zh-CN"/>
        </w:rPr>
        <w:t>嵊泗文旅</w:t>
      </w:r>
      <w:r>
        <w:rPr>
          <w:rFonts w:hint="eastAsia" w:ascii="宋体" w:hAnsi="宋体" w:cs="宋体"/>
          <w:b/>
          <w:bCs/>
          <w:color w:val="auto"/>
          <w:szCs w:val="21"/>
          <w:highlight w:val="none"/>
          <w:lang w:val="en-US" w:eastAsia="zh-CN"/>
        </w:rPr>
        <w:t>投资</w:t>
      </w:r>
      <w:r>
        <w:rPr>
          <w:rFonts w:hint="eastAsia" w:ascii="宋体" w:hAnsi="宋体" w:eastAsia="宋体" w:cs="宋体"/>
          <w:b/>
          <w:bCs/>
          <w:color w:val="auto"/>
          <w:szCs w:val="21"/>
          <w:highlight w:val="none"/>
          <w:lang w:val="en-US" w:eastAsia="zh-CN"/>
        </w:rPr>
        <w:t>考察和市民游客帆船体验活动</w:t>
      </w:r>
    </w:p>
    <w:p w14:paraId="0768F0B2">
      <w:pPr>
        <w:widowControl/>
        <w:numPr>
          <w:ilvl w:val="0"/>
          <w:numId w:val="0"/>
        </w:numPr>
        <w:spacing w:line="360" w:lineRule="auto"/>
        <w:ind w:left="420" w:leftChars="0"/>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（1）泗礁岛文旅</w:t>
      </w:r>
      <w:r>
        <w:rPr>
          <w:rFonts w:hint="eastAsia" w:ascii="宋体" w:hAnsi="宋体" w:cs="宋体"/>
          <w:color w:val="auto"/>
          <w:szCs w:val="21"/>
          <w:highlight w:val="none"/>
          <w:lang w:val="en-US" w:eastAsia="zh-CN"/>
        </w:rPr>
        <w:t>投资</w:t>
      </w:r>
      <w:r>
        <w:rPr>
          <w:rFonts w:hint="eastAsia" w:ascii="宋体" w:hAnsi="宋体" w:eastAsia="宋体" w:cs="宋体"/>
          <w:color w:val="auto"/>
          <w:szCs w:val="21"/>
          <w:highlight w:val="none"/>
          <w:lang w:val="en-US" w:eastAsia="zh-CN"/>
        </w:rPr>
        <w:t>考察</w:t>
      </w:r>
    </w:p>
    <w:p w14:paraId="09CF7FAA">
      <w:pPr>
        <w:widowControl/>
        <w:numPr>
          <w:ilvl w:val="1"/>
          <w:numId w:val="10"/>
        </w:numPr>
        <w:spacing w:line="360" w:lineRule="auto"/>
        <w:ind w:left="1050" w:leftChars="0" w:hanging="420" w:firstLineChars="0"/>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时间：</w:t>
      </w:r>
      <w:r>
        <w:rPr>
          <w:rFonts w:hint="eastAsia" w:ascii="宋体" w:hAnsi="宋体" w:cs="宋体"/>
          <w:color w:val="auto"/>
          <w:szCs w:val="21"/>
          <w:highlight w:val="none"/>
          <w:lang w:val="en-US" w:eastAsia="zh-CN"/>
        </w:rPr>
        <w:t>半天</w:t>
      </w:r>
    </w:p>
    <w:p w14:paraId="7FE3A9E2">
      <w:pPr>
        <w:widowControl/>
        <w:numPr>
          <w:ilvl w:val="1"/>
          <w:numId w:val="10"/>
        </w:numPr>
        <w:spacing w:line="360" w:lineRule="auto"/>
        <w:ind w:left="1050" w:leftChars="0" w:hanging="420" w:firstLineChars="0"/>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地点：泗礁岛</w:t>
      </w:r>
    </w:p>
    <w:p w14:paraId="0CBF7ED8">
      <w:pPr>
        <w:widowControl/>
        <w:numPr>
          <w:ilvl w:val="1"/>
          <w:numId w:val="10"/>
        </w:numPr>
        <w:spacing w:line="360" w:lineRule="auto"/>
        <w:ind w:left="1050" w:leftChars="0" w:hanging="420" w:firstLineChars="0"/>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活动内容：组织100名大赛相关人员进行嵊泗文旅体验考察</w:t>
      </w:r>
    </w:p>
    <w:p w14:paraId="3E1C65BD">
      <w:pPr>
        <w:widowControl/>
        <w:numPr>
          <w:ilvl w:val="1"/>
          <w:numId w:val="10"/>
        </w:numPr>
        <w:spacing w:line="360" w:lineRule="auto"/>
        <w:ind w:left="1050" w:leftChars="0" w:hanging="420" w:firstLineChars="0"/>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考察线路：东海渔村——左岸公路——大悲山——灵音禅寺——南长涂沙滩</w:t>
      </w:r>
    </w:p>
    <w:p w14:paraId="22BB1A78">
      <w:pPr>
        <w:widowControl/>
        <w:numPr>
          <w:ilvl w:val="0"/>
          <w:numId w:val="0"/>
        </w:numPr>
        <w:spacing w:line="360" w:lineRule="auto"/>
        <w:ind w:left="420" w:leftChars="0"/>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（2）市民游客帆船体验活动</w:t>
      </w:r>
    </w:p>
    <w:p w14:paraId="2F73700A">
      <w:pPr>
        <w:widowControl/>
        <w:numPr>
          <w:ilvl w:val="1"/>
          <w:numId w:val="11"/>
        </w:numPr>
        <w:spacing w:line="360" w:lineRule="auto"/>
        <w:ind w:left="1050" w:leftChars="0" w:hanging="420" w:firstLineChars="0"/>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时间：</w:t>
      </w:r>
      <w:r>
        <w:rPr>
          <w:rFonts w:hint="eastAsia" w:ascii="宋体" w:hAnsi="宋体" w:cs="宋体"/>
          <w:color w:val="auto"/>
          <w:szCs w:val="21"/>
          <w:highlight w:val="none"/>
          <w:lang w:val="en-US" w:eastAsia="zh-CN"/>
        </w:rPr>
        <w:t>半天</w:t>
      </w:r>
    </w:p>
    <w:p w14:paraId="45862B58">
      <w:pPr>
        <w:widowControl/>
        <w:numPr>
          <w:ilvl w:val="1"/>
          <w:numId w:val="11"/>
        </w:numPr>
        <w:spacing w:line="360" w:lineRule="auto"/>
        <w:ind w:left="1050" w:leftChars="0" w:hanging="420" w:firstLineChars="0"/>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地点：泗礁岛</w:t>
      </w:r>
    </w:p>
    <w:p w14:paraId="01607B2B">
      <w:pPr>
        <w:widowControl/>
        <w:numPr>
          <w:ilvl w:val="0"/>
          <w:numId w:val="0"/>
        </w:numPr>
        <w:spacing w:line="360" w:lineRule="auto"/>
        <w:ind w:left="630" w:leftChars="0"/>
        <w:rPr>
          <w:rFonts w:hint="default" w:ascii="宋体" w:hAnsi="宋体" w:eastAsia="宋体" w:cs="宋体"/>
          <w:color w:val="0000FF"/>
          <w:szCs w:val="21"/>
          <w:highlight w:val="yellow"/>
          <w:lang w:val="en-US" w:eastAsia="zh-CN"/>
        </w:rPr>
      </w:pPr>
      <w:r>
        <w:rPr>
          <w:rFonts w:hint="default" w:ascii="Calibri" w:hAnsi="Calibri" w:eastAsia="宋体" w:cs="Calibri"/>
          <w:color w:val="auto"/>
          <w:szCs w:val="21"/>
          <w:highlight w:val="none"/>
          <w:lang w:val="en-US" w:eastAsia="zh-CN"/>
        </w:rPr>
        <w:t>③</w:t>
      </w:r>
      <w:r>
        <w:rPr>
          <w:rFonts w:hint="eastAsia" w:ascii="宋体" w:hAnsi="宋体" w:eastAsia="宋体" w:cs="宋体"/>
          <w:color w:val="auto"/>
          <w:szCs w:val="21"/>
          <w:highlight w:val="none"/>
          <w:lang w:val="en-US" w:eastAsia="zh-CN"/>
        </w:rPr>
        <w:t>活动内容：邀请</w:t>
      </w:r>
      <w:r>
        <w:rPr>
          <w:rFonts w:hint="eastAsia" w:ascii="宋体" w:hAnsi="宋体" w:cs="宋体"/>
          <w:color w:val="auto"/>
          <w:szCs w:val="21"/>
          <w:highlight w:val="none"/>
          <w:lang w:val="en-US" w:eastAsia="zh-CN"/>
        </w:rPr>
        <w:t>40</w:t>
      </w:r>
      <w:r>
        <w:rPr>
          <w:rFonts w:hint="eastAsia" w:ascii="宋体" w:hAnsi="宋体" w:eastAsia="宋体" w:cs="宋体"/>
          <w:color w:val="auto"/>
          <w:szCs w:val="21"/>
          <w:highlight w:val="none"/>
          <w:lang w:val="en-US" w:eastAsia="zh-CN"/>
        </w:rPr>
        <w:t>名市民游客进行帆船体验，在20名专业帆船赛手的带领下使用10</w:t>
      </w:r>
      <w:r>
        <w:rPr>
          <w:rFonts w:hint="eastAsia" w:ascii="宋体" w:hAnsi="宋体" w:cs="宋体"/>
          <w:color w:val="auto"/>
          <w:szCs w:val="21"/>
          <w:highlight w:val="none"/>
          <w:lang w:val="en-US" w:eastAsia="zh-CN"/>
        </w:rPr>
        <w:t>艘</w:t>
      </w:r>
      <w:r>
        <w:rPr>
          <w:rFonts w:hint="eastAsia" w:ascii="宋体" w:hAnsi="宋体" w:eastAsia="宋体" w:cs="宋体"/>
          <w:color w:val="auto"/>
          <w:szCs w:val="21"/>
          <w:highlight w:val="none"/>
          <w:lang w:val="en-US" w:eastAsia="zh-CN"/>
        </w:rPr>
        <w:t>帆船在黄沙村码头周边海域进行帆船体验（每艘船包含1名船长、1名船员、4名游客）</w:t>
      </w:r>
      <w:r>
        <w:rPr>
          <w:rFonts w:hint="eastAsia" w:ascii="宋体" w:hAnsi="宋体" w:cs="宋体"/>
          <w:color w:val="auto"/>
          <w:szCs w:val="21"/>
          <w:highlight w:val="none"/>
          <w:lang w:val="en-US" w:eastAsia="zh-CN"/>
        </w:rPr>
        <w:t>。</w:t>
      </w:r>
    </w:p>
    <w:p w14:paraId="55187BF4">
      <w:pPr>
        <w:widowControl/>
        <w:numPr>
          <w:ilvl w:val="0"/>
          <w:numId w:val="0"/>
        </w:numPr>
        <w:spacing w:line="360" w:lineRule="auto"/>
        <w:ind w:firstLine="482" w:firstLineChars="200"/>
        <w:rPr>
          <w:rFonts w:hint="default" w:ascii="宋体" w:hAnsi="宋体" w:eastAsia="宋体" w:cs="宋体"/>
          <w:b/>
          <w:bCs/>
          <w:color w:val="auto"/>
          <w:szCs w:val="21"/>
          <w:highlight w:val="none"/>
          <w:lang w:val="en-US" w:eastAsia="zh-CN"/>
        </w:rPr>
      </w:pPr>
      <w:r>
        <w:rPr>
          <w:rFonts w:hint="eastAsia" w:ascii="Calibri" w:hAnsi="Calibri" w:cs="Calibri"/>
          <w:b/>
          <w:bCs/>
          <w:color w:val="auto"/>
          <w:kern w:val="2"/>
          <w:sz w:val="24"/>
          <w:szCs w:val="24"/>
          <w:highlight w:val="none"/>
          <w:lang w:val="en-US" w:eastAsia="zh-CN" w:bidi="ar-SA"/>
        </w:rPr>
        <w:t>6</w:t>
      </w:r>
      <w:r>
        <w:rPr>
          <w:rFonts w:hint="default" w:ascii="Calibri" w:hAnsi="Calibri" w:eastAsia="宋体" w:cs="Calibri"/>
          <w:b/>
          <w:bCs/>
          <w:color w:val="auto"/>
          <w:kern w:val="2"/>
          <w:sz w:val="24"/>
          <w:szCs w:val="24"/>
          <w:highlight w:val="none"/>
          <w:lang w:val="en-US" w:eastAsia="zh-CN" w:bidi="ar-SA"/>
        </w:rPr>
        <w:t>、</w:t>
      </w:r>
      <w:r>
        <w:rPr>
          <w:rFonts w:hint="eastAsia" w:ascii="Calibri" w:hAnsi="Calibri" w:eastAsia="宋体" w:cs="Calibri"/>
          <w:b/>
          <w:bCs/>
          <w:color w:val="auto"/>
          <w:kern w:val="2"/>
          <w:sz w:val="24"/>
          <w:szCs w:val="24"/>
          <w:highlight w:val="none"/>
          <w:lang w:val="en-US" w:eastAsia="zh-CN" w:bidi="ar-SA"/>
        </w:rPr>
        <w:t>嵊泗</w:t>
      </w:r>
      <w:r>
        <w:rPr>
          <w:rFonts w:hint="eastAsia" w:ascii="宋体" w:hAnsi="宋体" w:eastAsia="宋体" w:cs="宋体"/>
          <w:b/>
          <w:bCs/>
          <w:color w:val="auto"/>
          <w:szCs w:val="21"/>
          <w:highlight w:val="none"/>
          <w:lang w:val="en-US" w:eastAsia="zh-CN"/>
        </w:rPr>
        <w:t>Island Walk体验线路设计</w:t>
      </w:r>
    </w:p>
    <w:p w14:paraId="66540594">
      <w:pPr>
        <w:pStyle w:val="2"/>
        <w:spacing w:line="360" w:lineRule="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结合嵊泗国际帆船赛影响力，围绕海洋文化、美食文化设计6条嵊泗Island Walk体验线路由供应商提供设计。</w:t>
      </w:r>
    </w:p>
    <w:p w14:paraId="4FBFA173">
      <w:pPr>
        <w:pStyle w:val="2"/>
        <w:spacing w:line="360" w:lineRule="auto"/>
        <w:rPr>
          <w:rFonts w:hint="eastAsia" w:ascii="宋体" w:hAnsi="宋体" w:cs="宋体"/>
          <w:b/>
          <w:bCs/>
          <w:color w:val="auto"/>
          <w:szCs w:val="21"/>
          <w:highlight w:val="none"/>
          <w:lang w:val="en-US" w:eastAsia="zh-CN"/>
        </w:rPr>
      </w:pPr>
      <w:r>
        <w:rPr>
          <w:rFonts w:hint="eastAsia" w:ascii="宋体" w:hAnsi="宋体" w:cs="宋体"/>
          <w:b/>
          <w:bCs/>
          <w:color w:val="auto"/>
          <w:szCs w:val="21"/>
          <w:highlight w:val="none"/>
          <w:lang w:val="en-US" w:eastAsia="zh-CN"/>
        </w:rPr>
        <w:t>注：本次活动的冠名或者赞助说明：中标人自主进行市场开发，允许赞助商按赞助项目开展冠名行为，但相关冠名和合作伙伴不得出现有暴力色情游戏、烟、酒等物资品。</w:t>
      </w:r>
    </w:p>
    <w:p w14:paraId="1984C6EA">
      <w:pPr>
        <w:pStyle w:val="2"/>
        <w:spacing w:line="360" w:lineRule="auto"/>
        <w:rPr>
          <w:rFonts w:hint="default"/>
          <w:b/>
          <w:bCs/>
          <w:lang w:val="en-US" w:eastAsia="zh-CN"/>
        </w:rPr>
      </w:pPr>
      <w:r>
        <w:rPr>
          <w:rFonts w:hint="eastAsia" w:ascii="宋体" w:hAnsi="宋体" w:cs="宋体"/>
          <w:b/>
          <w:bCs/>
          <w:color w:val="auto"/>
          <w:szCs w:val="21"/>
          <w:highlight w:val="none"/>
          <w:lang w:val="en-US" w:eastAsia="zh-CN"/>
        </w:rPr>
        <w:t>本次活动的所有冠名、赞助必须由业主审核后才可冠名赞助。</w:t>
      </w:r>
    </w:p>
    <w:p w14:paraId="76DACF72">
      <w:pPr>
        <w:widowControl/>
        <w:adjustRightInd w:val="0"/>
        <w:spacing w:line="360" w:lineRule="auto"/>
        <w:jc w:val="left"/>
        <w:outlineLvl w:val="1"/>
        <w:rPr>
          <w:rFonts w:hint="default" w:ascii="Calibri" w:hAnsi="Calibri" w:eastAsia="宋体" w:cs="Times New Roman"/>
          <w:b/>
          <w:bCs/>
          <w:color w:val="auto"/>
          <w:sz w:val="24"/>
          <w:szCs w:val="24"/>
          <w:highlight w:val="none"/>
          <w:lang w:val="en-US" w:eastAsia="zh-CN"/>
        </w:rPr>
      </w:pPr>
      <w:r>
        <w:rPr>
          <w:rFonts w:hint="eastAsia" w:ascii="Calibri" w:hAnsi="Calibri" w:eastAsia="宋体" w:cs="Times New Roman"/>
          <w:b/>
          <w:bCs/>
          <w:color w:val="auto"/>
          <w:sz w:val="24"/>
          <w:szCs w:val="24"/>
          <w:highlight w:val="none"/>
          <w:lang w:val="en-US" w:eastAsia="zh-CN"/>
        </w:rPr>
        <w:t>三、项目主要任务</w:t>
      </w:r>
    </w:p>
    <w:p w14:paraId="775C5C14">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color w:val="auto"/>
          <w:kern w:val="2"/>
          <w:sz w:val="21"/>
          <w:szCs w:val="21"/>
          <w:highlight w:val="none"/>
          <w:lang w:val="en-US" w:eastAsia="zh-CN" w:bidi="ar-SA"/>
        </w:rPr>
      </w:pPr>
      <w:bookmarkStart w:id="1" w:name="_Toc134283506"/>
      <w:r>
        <w:rPr>
          <w:rFonts w:hint="eastAsia" w:ascii="新宋体" w:hAnsi="新宋体" w:eastAsia="新宋体" w:cs="新宋体"/>
          <w:kern w:val="2"/>
          <w:sz w:val="21"/>
          <w:szCs w:val="21"/>
          <w:highlight w:val="none"/>
          <w:lang w:val="en-US" w:eastAsia="zh-CN" w:bidi="ar-SA"/>
        </w:rPr>
        <w:t>中标供应商负责承担2025嵊泗国际帆船赛的前期筹备、竞赛组织、开幕式和颁奖仪式、市场开发、赛事设计、策划、包装、媒体宣传推广[含市（地）级及以上电视，网络直播费用以及自媒体、流媒体、新媒体、与直播相关联的搭建费用]等费用；承担竞赛组织和器材保障、场地布置、志愿者招募管理、赛事与竞赛相关后勤接待保障、各类证件和资料印制等费用；邀请媒体的相关费用；赛事风险评估、氛围营造、网络及供电等费用；人身意外险投保（含猝死险）、税金；技术专员、裁判员、运动员志愿者以及其他工作人员服装等劳务费用；赛事所需配置的饮用水、食品、水果等费用；赛事交通安保经费、医疗保障经费以及与赛事执行相关的其他费用支出等完成本项目所需的一切本身和不可或缺的开支、及合同包含的</w:t>
      </w:r>
      <w:r>
        <w:rPr>
          <w:rFonts w:hint="eastAsia" w:ascii="新宋体" w:hAnsi="新宋体" w:eastAsia="新宋体" w:cs="新宋体"/>
          <w:color w:val="auto"/>
          <w:kern w:val="2"/>
          <w:sz w:val="21"/>
          <w:szCs w:val="21"/>
          <w:highlight w:val="none"/>
          <w:lang w:val="en-US" w:eastAsia="zh-CN" w:bidi="ar-SA"/>
        </w:rPr>
        <w:t>所有风险、责任、不可预见等各项全部费用。</w:t>
      </w:r>
    </w:p>
    <w:p w14:paraId="54AB5AA9">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为确保赛事顺利有序进行，具体要求如下：</w:t>
      </w:r>
    </w:p>
    <w:p w14:paraId="20B457EB">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1.做好赛事总体思路策划，包括但不限于赛事形象设计等，要求能充分展现帆船赛事特点、嵊泗特色、易于传播。赛事总体思路策划经采购单位和赛事组委会确认后由中标供应商组织实施。</w:t>
      </w:r>
    </w:p>
    <w:p w14:paraId="4D602B43">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2.负责媒体宣传推广费用。宣传方案总体要求形成媒体矩阵，形式丰富多样，线上线下结合。整个赛事必须实现在至少 1 个网络平台进行网络同步直播。具体包括但不限于：</w:t>
      </w:r>
    </w:p>
    <w:p w14:paraId="5EE1F4CC">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color w:val="auto"/>
          <w:kern w:val="2"/>
          <w:sz w:val="21"/>
          <w:szCs w:val="21"/>
          <w:highlight w:val="none"/>
          <w:lang w:val="en-US" w:eastAsia="zh-CN" w:bidi="ar-SA"/>
        </w:rPr>
      </w:pPr>
      <w:r>
        <w:rPr>
          <w:rFonts w:hint="eastAsia" w:ascii="新宋体" w:hAnsi="新宋体" w:eastAsia="新宋体" w:cs="新宋体"/>
          <w:color w:val="auto"/>
          <w:kern w:val="2"/>
          <w:sz w:val="21"/>
          <w:szCs w:val="21"/>
          <w:highlight w:val="none"/>
          <w:lang w:val="en-US" w:eastAsia="zh-CN" w:bidi="ar-SA"/>
        </w:rPr>
        <w:t>2.1.赛事直播：结合组委会需求，制定直播方案。直播内容要结合嵊泗特色，体现嵊泗的发展、环境、旅游、人文等方面内容。</w:t>
      </w:r>
    </w:p>
    <w:p w14:paraId="1FD21DC9">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color w:val="auto"/>
          <w:kern w:val="2"/>
          <w:sz w:val="21"/>
          <w:szCs w:val="21"/>
          <w:highlight w:val="none"/>
          <w:lang w:val="en-US" w:eastAsia="zh-CN" w:bidi="ar-SA"/>
        </w:rPr>
      </w:pPr>
      <w:r>
        <w:rPr>
          <w:rFonts w:hint="eastAsia" w:ascii="新宋体" w:hAnsi="新宋体" w:eastAsia="新宋体" w:cs="新宋体"/>
          <w:color w:val="auto"/>
          <w:kern w:val="2"/>
          <w:sz w:val="21"/>
          <w:szCs w:val="21"/>
          <w:highlight w:val="none"/>
          <w:lang w:val="en-US" w:eastAsia="zh-CN" w:bidi="ar-SA"/>
        </w:rPr>
        <w:t>2.2.宣传范围包括但不限于省内，至少有包括国家级媒体在内的 1 家主要权威电视媒体参与报道。在省级主流客户端开设大赛专题1个，开机页3次，省级主流都市类报纸2个版，以及抖音、微信、微博、视频号多种平台，宣传要贯穿赛前、赛中、赛后。整合宣传资源，运用多种手段，构建形式多样、全方位、多角度的宣传格局，为赛事的顺利举办营造良好舆论环境，充分展示此次比赛的知名度与影响力。</w:t>
      </w:r>
    </w:p>
    <w:p w14:paraId="31EA1387">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color w:val="auto"/>
          <w:kern w:val="2"/>
          <w:sz w:val="21"/>
          <w:szCs w:val="21"/>
          <w:highlight w:val="none"/>
          <w:lang w:val="en-US" w:eastAsia="zh-CN" w:bidi="ar-SA"/>
        </w:rPr>
      </w:pPr>
      <w:r>
        <w:rPr>
          <w:rFonts w:hint="eastAsia" w:ascii="新宋体" w:hAnsi="新宋体" w:eastAsia="新宋体" w:cs="新宋体"/>
          <w:color w:val="auto"/>
          <w:kern w:val="2"/>
          <w:sz w:val="21"/>
          <w:szCs w:val="21"/>
          <w:highlight w:val="none"/>
          <w:lang w:val="en-US" w:eastAsia="zh-CN" w:bidi="ar-SA"/>
        </w:rPr>
        <w:t>2.3.新闻发布会：根据组委会赛程安排，策划主题突出、简介、有创意的新闻发布会，为赛事倒计时，助力赛事。营造赛事氛围，提高赛事知晓度。</w:t>
      </w:r>
    </w:p>
    <w:p w14:paraId="411C38DF">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color w:val="auto"/>
          <w:kern w:val="2"/>
          <w:sz w:val="21"/>
          <w:szCs w:val="21"/>
          <w:highlight w:val="none"/>
          <w:lang w:val="en-US" w:eastAsia="zh-CN" w:bidi="ar-SA"/>
        </w:rPr>
      </w:pPr>
      <w:r>
        <w:rPr>
          <w:rFonts w:hint="eastAsia" w:ascii="新宋体" w:hAnsi="新宋体" w:eastAsia="新宋体" w:cs="新宋体"/>
          <w:color w:val="auto"/>
          <w:kern w:val="2"/>
          <w:sz w:val="21"/>
          <w:szCs w:val="21"/>
          <w:highlight w:val="none"/>
          <w:lang w:val="en-US" w:eastAsia="zh-CN" w:bidi="ar-SA"/>
        </w:rPr>
        <w:t>2.4赛事视频：组织赛事专业摄像团队，策划制定拍摄记录方案，后期剪辑制作完成15秒和3-5分钟的宣传片，用于采购单位宣传推广。</w:t>
      </w:r>
    </w:p>
    <w:p w14:paraId="2CA974BE">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color w:val="auto"/>
          <w:kern w:val="2"/>
          <w:sz w:val="21"/>
          <w:szCs w:val="21"/>
          <w:highlight w:val="none"/>
          <w:lang w:val="en-US" w:eastAsia="zh-CN" w:bidi="ar-SA"/>
        </w:rPr>
      </w:pPr>
      <w:r>
        <w:rPr>
          <w:rFonts w:hint="eastAsia" w:ascii="新宋体" w:hAnsi="新宋体" w:eastAsia="新宋体" w:cs="新宋体"/>
          <w:color w:val="auto"/>
          <w:kern w:val="2"/>
          <w:sz w:val="21"/>
          <w:szCs w:val="21"/>
          <w:highlight w:val="none"/>
          <w:lang w:val="en-US" w:eastAsia="zh-CN" w:bidi="ar-SA"/>
        </w:rPr>
        <w:t>2.5.承担平面媒体、自媒体、流媒体、新媒体对赛事的宣传推广及直播费用。</w:t>
      </w:r>
    </w:p>
    <w:p w14:paraId="518680FE">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color w:val="auto"/>
          <w:kern w:val="2"/>
          <w:sz w:val="21"/>
          <w:szCs w:val="21"/>
          <w:highlight w:val="none"/>
          <w:lang w:val="en-US" w:eastAsia="zh-CN" w:bidi="ar-SA"/>
        </w:rPr>
      </w:pPr>
      <w:r>
        <w:rPr>
          <w:rFonts w:hint="eastAsia" w:ascii="新宋体" w:hAnsi="新宋体" w:eastAsia="新宋体" w:cs="新宋体"/>
          <w:color w:val="auto"/>
          <w:kern w:val="2"/>
          <w:sz w:val="21"/>
          <w:szCs w:val="21"/>
          <w:highlight w:val="none"/>
          <w:lang w:val="en-US" w:eastAsia="zh-CN" w:bidi="ar-SA"/>
        </w:rPr>
        <w:t>2.6.承担直播团队、邀请媒体记者的差旅费、食宿费、劳务费等。</w:t>
      </w:r>
    </w:p>
    <w:p w14:paraId="04031047">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2.7.承担与直播相关联的器材及设施设备的购置或租赁费用。</w:t>
      </w:r>
    </w:p>
    <w:p w14:paraId="66D7EBDA">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2.8.承担与直播相关联的搭建费用。</w:t>
      </w:r>
    </w:p>
    <w:p w14:paraId="3A23C770">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2.9.承担比赛现场主持人的接待及其相关费用。</w:t>
      </w:r>
    </w:p>
    <w:p w14:paraId="47E773DC">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2.10.承担赛场及周边与赛事相关的道旗的费用。</w:t>
      </w:r>
    </w:p>
    <w:p w14:paraId="2FA8CDC1">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2.11.承担新闻发布会的策划与组织实施及相关费用。</w:t>
      </w:r>
    </w:p>
    <w:p w14:paraId="4324E808">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3.整个赛事的VI设计。具体包括但不限于：</w:t>
      </w:r>
    </w:p>
    <w:p w14:paraId="398C727F">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3.1.整个赛事的形象设计；</w:t>
      </w:r>
    </w:p>
    <w:p w14:paraId="235E3453">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3.2.赛事场地设计及布置方案。要按照比赛的标准要求进行场地和水域布置，具体包括但不限于主背景墙、主席台和颁奖台、嘉宾休息区、导引提示牌、地贴指示、饮用水和饮料食品补给、隔离带、活动桌椅、各类宣传广告牌和道旗、注水旗等。中标供应商制订的场地和水域布置方案，应包含形象设计、各类平面布置图、效果图，以及各类物品的数量和总体施工计划安排。</w:t>
      </w:r>
    </w:p>
    <w:p w14:paraId="445826ED">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3.3.提供各类证件（含组委会证、贵宾证、嘉宾证、志愿者证、安保人员证、媒体记者证、工作人员证等）及秩序册等的设计。</w:t>
      </w:r>
    </w:p>
    <w:p w14:paraId="11F3F627">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3.4.提供参赛运动员前三名获奖运动员的奖杯、奖牌的设计。</w:t>
      </w:r>
    </w:p>
    <w:p w14:paraId="3C6432A1">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3.5.提供船帆等的设计和制作，承担船帆等的设计和制作费用。</w:t>
      </w:r>
    </w:p>
    <w:p w14:paraId="5DADB46B">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4.为所有参赛选手、赛事技术代表、技术专员、裁判员、工作人员及现场观众投保人身意外险（含突发性死亡保险赔付），并购买公众责任险。</w:t>
      </w:r>
    </w:p>
    <w:p w14:paraId="64D9C5A6">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5.提供运动装备（须经采购单位确认）。</w:t>
      </w:r>
    </w:p>
    <w:p w14:paraId="434D9555">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6.配合做好赛事商业运作和市场开发，扩大赛事品牌知名度。</w:t>
      </w:r>
    </w:p>
    <w:p w14:paraId="7E86BC0D">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7.提供赛事用车，根据赛事整体推进的进度配备相应的工作人员。</w:t>
      </w:r>
    </w:p>
    <w:p w14:paraId="3C6D4C9E">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8.开幕式和颁奖仪式。要按照比赛的标准要求布置开幕式和颁奖仪式，完成设计、实施，并承担开幕式和颁奖仪式所有费用。</w:t>
      </w:r>
    </w:p>
    <w:p w14:paraId="4BDFA05A">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9.竞赛组织工作：</w:t>
      </w:r>
    </w:p>
    <w:p w14:paraId="0ADD5DFD">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9.1.赛事指导服务、注册；赛场布局方案需报经组委会同意后方可组织实施。</w:t>
      </w:r>
    </w:p>
    <w:p w14:paraId="3892DEDD">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9.2 赛事奖金设置，具体奖励名次、金额及发放时间由赛事规程设定。</w:t>
      </w:r>
    </w:p>
    <w:p w14:paraId="670BD9DB">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9.3赛事的嘉宾、技术代表、裁判员、工作人员等的食宿接待。</w:t>
      </w:r>
    </w:p>
    <w:p w14:paraId="5C117BDF">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9.4.赛前技术代表、裁判员培训、技术会议等工作的会场、食宿。</w:t>
      </w:r>
    </w:p>
    <w:p w14:paraId="34AB50A0">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9.5. 参赛运动员男女前三名获奖运动员的奖杯、奖牌和鲜花。</w:t>
      </w:r>
    </w:p>
    <w:p w14:paraId="7D7D2708">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9.6.负责提供竞赛相关系统平台；满足比赛要求的裁判员、后勤保障人员无线通讯系统和设备；裁判所需的电脑、打印机和相应耗材等。</w:t>
      </w:r>
    </w:p>
    <w:p w14:paraId="47678484">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9.7.制订满足上述需求（可高于但不可低于上述需求）的竞赛和器材保障方案，并根据比赛时间节点明确倒计时实施进度计划。</w:t>
      </w:r>
    </w:p>
    <w:p w14:paraId="3E126734">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9.8.志愿者的招募、培训、管理、用餐、车辆接送安排，根据竞赛要求配足志愿者人员并做好志愿者的培训、岗位分配和比赛期间的集结投放，为每名志愿者提供T恤、帽子、志愿服务证书。中标供应商需按照上述需求（可高于而不可低于上述需求）制订志愿者招募分配管理方案，并根据比赛时间节点明确倒计时实施进度计划，以及相应的工作人员配备。</w:t>
      </w:r>
    </w:p>
    <w:p w14:paraId="6C4D9BDB">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9.9.后勤保障。中标供应商应协助做好以下后勤保障，包括但不限于：</w:t>
      </w:r>
    </w:p>
    <w:p w14:paraId="72D50DF3">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9.9.1.嘉宾接待工作及车辆（嘉宾具体人数以采购单位审定为主）。</w:t>
      </w:r>
    </w:p>
    <w:p w14:paraId="6A66CB95">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9.9.2.志愿者和裁判员接送、运动员摆渡等用车。</w:t>
      </w:r>
    </w:p>
    <w:p w14:paraId="299F7467">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9.9.3.竞赛所需通讯网络及电力保障服务。</w:t>
      </w:r>
    </w:p>
    <w:p w14:paraId="7917FDA8">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中标供应商需按照上述需求（可高不可低于上述需求）制订后勤保障方案，确保饮用水、饮料和食品质量安全。</w:t>
      </w:r>
    </w:p>
    <w:p w14:paraId="6FE0CB4A">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9.9.4.组委会和执委会集中办公期间工作用餐，志愿者和工作期间用餐；</w:t>
      </w:r>
    </w:p>
    <w:p w14:paraId="6E200A4A">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9.9.5.嘉宾在赛事期间的住宿和用餐。</w:t>
      </w:r>
    </w:p>
    <w:p w14:paraId="6901E05B">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9.10.应急预案。中标供应商需针对竞赛和器材保障、志愿者招募管理、媒体宣传推广、后勤保障、场地布置和医疗急救等工作可能遇到的突发性情况协助采购单位制订应急预案；协助公安等部门做好维稳、安保及交通等应急预案。</w:t>
      </w:r>
    </w:p>
    <w:p w14:paraId="6AD8501D">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color w:val="auto"/>
          <w:kern w:val="2"/>
          <w:sz w:val="21"/>
          <w:szCs w:val="21"/>
          <w:highlight w:val="none"/>
          <w:lang w:val="en-US" w:eastAsia="zh-CN" w:bidi="ar-SA"/>
        </w:rPr>
      </w:pPr>
      <w:r>
        <w:rPr>
          <w:rFonts w:hint="eastAsia" w:ascii="新宋体" w:hAnsi="新宋体" w:eastAsia="新宋体" w:cs="新宋体"/>
          <w:color w:val="auto"/>
          <w:kern w:val="2"/>
          <w:sz w:val="21"/>
          <w:szCs w:val="21"/>
          <w:highlight w:val="none"/>
          <w:lang w:val="en-US" w:eastAsia="zh-CN" w:bidi="ar-SA"/>
        </w:rPr>
        <w:t>10.做好赛事报名工作。</w:t>
      </w:r>
    </w:p>
    <w:p w14:paraId="6A35D42A">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11.医疗救护和水上救助。</w:t>
      </w:r>
    </w:p>
    <w:p w14:paraId="46BD02DE">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11.1.提供合理第三方医疗急救团队及设备确保赛事医疗救助快速响应，制订医疗急救方案，确保经费投入到位，为参赛运动员免费提供必须的药品和医疗耗材。</w:t>
      </w:r>
    </w:p>
    <w:p w14:paraId="5C12B0D3">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11.2 保障赛事及周边水域安全，保障急救通道，负责水上救援，落实水上救生人员和器材配置，确保经费投入到位。</w:t>
      </w:r>
    </w:p>
    <w:p w14:paraId="4014A655">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12.备案审批。负责赛事活动相关审批备案工作（包括但不限于体育部门审批、海事审批、水域管理部门备案等）。</w:t>
      </w:r>
    </w:p>
    <w:p w14:paraId="376885DB">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13.负责新闻发布会的组织和执行。</w:t>
      </w:r>
    </w:p>
    <w:p w14:paraId="600C6844">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14.负责嵊泗文旅投资考察和市民游客帆船体验活动的组织和执行。</w:t>
      </w:r>
    </w:p>
    <w:p w14:paraId="4FCF17E0">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15.负责策划设计嵊泗Island Walk体验线路。</w:t>
      </w:r>
    </w:p>
    <w:p w14:paraId="329A2375">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16.负责赛前安全风险评估报告、社会绩效评估报告等工作。</w:t>
      </w:r>
    </w:p>
    <w:p w14:paraId="352AEE69">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17.中标供应商承担赛事活动的一切费用。</w:t>
      </w:r>
    </w:p>
    <w:p w14:paraId="12DDF737">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color w:val="auto"/>
          <w:sz w:val="24"/>
          <w:szCs w:val="24"/>
          <w:highlight w:val="none"/>
          <w:lang w:eastAsia="zh-CN"/>
        </w:rPr>
      </w:pPr>
      <w:r>
        <w:rPr>
          <w:rFonts w:hint="eastAsia" w:ascii="宋体" w:hAnsi="宋体" w:eastAsia="宋体" w:cs="宋体"/>
          <w:b/>
          <w:color w:val="auto"/>
          <w:sz w:val="24"/>
          <w:szCs w:val="24"/>
          <w:highlight w:val="none"/>
          <w:lang w:val="en-US" w:eastAsia="zh-CN"/>
        </w:rPr>
        <w:t>四</w:t>
      </w:r>
      <w:r>
        <w:rPr>
          <w:rFonts w:hint="eastAsia" w:ascii="宋体" w:hAnsi="宋体" w:eastAsia="宋体" w:cs="宋体"/>
          <w:b/>
          <w:color w:val="auto"/>
          <w:sz w:val="24"/>
          <w:szCs w:val="24"/>
          <w:highlight w:val="none"/>
        </w:rPr>
        <w:t>、</w:t>
      </w:r>
      <w:r>
        <w:rPr>
          <w:rFonts w:hint="eastAsia" w:ascii="宋体" w:hAnsi="宋体" w:eastAsia="宋体" w:cs="宋体"/>
          <w:b/>
          <w:color w:val="auto"/>
          <w:sz w:val="24"/>
          <w:szCs w:val="24"/>
          <w:highlight w:val="none"/>
          <w:lang w:eastAsia="zh-CN"/>
        </w:rPr>
        <w:t>其他约定</w:t>
      </w:r>
    </w:p>
    <w:p w14:paraId="1E488DA0">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1.如因不可抗力原因，赛事延期一年以内的，费用待项目结束后正式结算。</w:t>
      </w:r>
    </w:p>
    <w:p w14:paraId="4B87D03B">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2.如因不可抗力原因，赛事取消的，由甲乙双方友好协商，乙方因承办赛事已经产生的费用凭发票等依据按实结算。</w:t>
      </w:r>
    </w:p>
    <w:p w14:paraId="2A21DD7B">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3.如因不可抗力原因，赛事延期一年又再次取消的，由甲乙双方友好协商，乙方因承办赛事已经产生的费用凭发票等依据按实结算。</w:t>
      </w:r>
    </w:p>
    <w:bookmarkEnd w:id="1"/>
    <w:p w14:paraId="4552D056">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五、技术要求</w:t>
      </w:r>
    </w:p>
    <w:p w14:paraId="28660389">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1.供应商须在响应文件中提供承办本次大赛完善且可行的组织实施方案，制定应急预案，做好风险防范工作。</w:t>
      </w:r>
    </w:p>
    <w:p w14:paraId="3CC6CB6D">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2.供应商应根据项目需要，在响应文件中提出项目组团队及主要人员组成，项目组成员必须都具有较强的专业能力，并委派一位具有丰富经验的项目负责人负责管理，积极与采购单位沟通联系，并定期向采购单位通报项目服务进展情况。项目实施过程中项目组负责人及项目组人员发生变动的，需提前通知采购单位并获同意才能更换，更换后的负责人或技术人员的专业素质、技术能力及经验等情况不能低于原先水准。</w:t>
      </w:r>
    </w:p>
    <w:p w14:paraId="47968D24">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3.项目组应合理分工、分组负责，积极协调配合与赛事保障工作有关的各部门单位，做好赛事宣传、联络接待、安全保卫、水上救助、消防安全、交通疏导及车辆停放、餐饮卫生、环境卫生、医疗保健等各方面的保障工作，并制订各项工作的应急预案，确保活动安全、成功举办。</w:t>
      </w:r>
    </w:p>
    <w:p w14:paraId="6992BB42">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4.落实领导及嘉宾、裁判、参赛队伍的邀请，联络接待，交通出行，酒店预定等事宜，做好接待准备工作；大赛期间的食宿接待，差旅费和劳务费按同类赛事相关标准执行；费用由供应商承担。</w:t>
      </w:r>
    </w:p>
    <w:p w14:paraId="034D396B">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5.邀请专业帆船运动裁判员成立裁判组，赛事水准符合国际赛要求，裁判员聘请及食宿交通等费用均有供应商承担。为所有参赛裁判员、运动员购买保险，费用由供应商承担。</w:t>
      </w:r>
    </w:p>
    <w:p w14:paraId="48DE1813">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6.负责比赛船、配套保障船的提供，费用由供应商承担。</w:t>
      </w:r>
    </w:p>
    <w:p w14:paraId="1D773AB0">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7.借鉴其他赛事活动新闻宣传经验，组织开展对赛事活动的宣传报道，运用多种手段，构建形式多样、全方位、多角度的宣传格局，为赛事的顺利举办营造良好舆论环境，充分展示此次赛事的知名度与影响力。负责赛事期间记者的接待和采访的交通食宿安排。</w:t>
      </w:r>
    </w:p>
    <w:p w14:paraId="1EAAD486">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六、验收要求</w:t>
      </w:r>
    </w:p>
    <w:p w14:paraId="2ABD9743">
      <w:pPr>
        <w:widowControl w:val="0"/>
        <w:numPr>
          <w:ilvl w:val="0"/>
          <w:numId w:val="0"/>
        </w:numPr>
        <w:adjustRightInd/>
        <w:spacing w:line="360" w:lineRule="auto"/>
        <w:ind w:left="0" w:leftChars="0" w:firstLine="420" w:firstLineChars="200"/>
        <w:jc w:val="left"/>
        <w:outlineLvl w:val="9"/>
        <w:rPr>
          <w:rFonts w:hint="eastAsia" w:ascii="宋体" w:hAnsi="宋体" w:eastAsia="宋体" w:cs="宋体"/>
          <w:b w:val="0"/>
          <w:bCs w:val="0"/>
          <w:color w:val="auto"/>
          <w:sz w:val="21"/>
          <w:szCs w:val="21"/>
          <w:highlight w:val="none"/>
          <w:shd w:val="clear" w:color="auto" w:fill="auto"/>
          <w:lang w:val="en-US" w:eastAsia="zh-CN"/>
        </w:rPr>
      </w:pPr>
      <w:r>
        <w:rPr>
          <w:rFonts w:hint="eastAsia" w:ascii="宋体" w:hAnsi="宋体" w:eastAsia="宋体" w:cs="宋体"/>
          <w:b w:val="0"/>
          <w:bCs w:val="0"/>
          <w:color w:val="auto"/>
          <w:sz w:val="21"/>
          <w:szCs w:val="21"/>
          <w:highlight w:val="none"/>
          <w:shd w:val="clear" w:color="auto" w:fill="auto"/>
          <w:lang w:val="en-US" w:eastAsia="zh-CN"/>
        </w:rPr>
        <w:t>1、中标供应商提供的策划方案等须经承办单位及采购</w:t>
      </w:r>
      <w:r>
        <w:rPr>
          <w:rFonts w:hint="eastAsia" w:ascii="宋体" w:hAnsi="宋体" w:cs="宋体"/>
          <w:b w:val="0"/>
          <w:bCs w:val="0"/>
          <w:color w:val="auto"/>
          <w:sz w:val="21"/>
          <w:szCs w:val="21"/>
          <w:highlight w:val="none"/>
          <w:shd w:val="clear" w:color="auto" w:fill="auto"/>
          <w:lang w:val="en-US" w:eastAsia="zh-CN"/>
        </w:rPr>
        <w:t>单位</w:t>
      </w:r>
      <w:r>
        <w:rPr>
          <w:rFonts w:hint="eastAsia" w:ascii="宋体" w:hAnsi="宋体" w:eastAsia="宋体" w:cs="宋体"/>
          <w:b w:val="0"/>
          <w:bCs w:val="0"/>
          <w:color w:val="auto"/>
          <w:sz w:val="21"/>
          <w:szCs w:val="21"/>
          <w:highlight w:val="none"/>
          <w:shd w:val="clear" w:color="auto" w:fill="auto"/>
          <w:lang w:val="en-US" w:eastAsia="zh-CN"/>
        </w:rPr>
        <w:t>认可后方可实施。</w:t>
      </w:r>
    </w:p>
    <w:p w14:paraId="7A8C9341">
      <w:pPr>
        <w:pageBreakBefore w:val="0"/>
        <w:widowControl w:val="0"/>
        <w:kinsoku/>
        <w:wordWrap/>
        <w:overflowPunct/>
        <w:topLinePunct w:val="0"/>
        <w:bidi w:val="0"/>
        <w:snapToGrid/>
        <w:spacing w:line="360" w:lineRule="auto"/>
        <w:ind w:firstLine="420" w:firstLineChars="200"/>
        <w:textAlignment w:val="auto"/>
        <w:rPr>
          <w:rFonts w:hint="eastAsia" w:ascii="宋体" w:hAnsi="宋体" w:eastAsia="宋体" w:cs="宋体"/>
          <w:i w:val="0"/>
          <w:iCs w:val="0"/>
          <w:color w:val="auto"/>
          <w:sz w:val="21"/>
          <w:szCs w:val="21"/>
          <w:highlight w:val="none"/>
          <w:shd w:val="clear" w:color="auto" w:fill="auto"/>
          <w:lang w:val="en-US" w:eastAsia="zh-CN"/>
        </w:rPr>
      </w:pPr>
      <w:r>
        <w:rPr>
          <w:rFonts w:hint="eastAsia" w:ascii="宋体" w:hAnsi="宋体" w:eastAsia="宋体" w:cs="宋体"/>
          <w:i w:val="0"/>
          <w:iCs w:val="0"/>
          <w:color w:val="auto"/>
          <w:sz w:val="21"/>
          <w:szCs w:val="21"/>
          <w:highlight w:val="none"/>
          <w:shd w:val="clear" w:color="auto" w:fill="auto"/>
          <w:lang w:val="en-US" w:eastAsia="zh-CN"/>
        </w:rPr>
        <w:t>2、</w:t>
      </w:r>
      <w:r>
        <w:rPr>
          <w:rFonts w:hint="eastAsia" w:ascii="宋体" w:hAnsi="宋体" w:cs="宋体"/>
          <w:i w:val="0"/>
          <w:iCs w:val="0"/>
          <w:color w:val="auto"/>
          <w:sz w:val="21"/>
          <w:szCs w:val="21"/>
          <w:highlight w:val="none"/>
          <w:shd w:val="clear" w:color="auto" w:fill="auto"/>
          <w:lang w:val="en-US" w:eastAsia="zh-CN"/>
        </w:rPr>
        <w:t>采购单位</w:t>
      </w:r>
      <w:r>
        <w:rPr>
          <w:rFonts w:hint="eastAsia" w:ascii="宋体" w:hAnsi="宋体" w:eastAsia="宋体" w:cs="宋体"/>
          <w:i w:val="0"/>
          <w:iCs w:val="0"/>
          <w:color w:val="auto"/>
          <w:sz w:val="21"/>
          <w:szCs w:val="21"/>
          <w:highlight w:val="none"/>
          <w:shd w:val="clear" w:color="auto" w:fill="auto"/>
          <w:lang w:val="en-US" w:eastAsia="zh-CN"/>
        </w:rPr>
        <w:t>应当根据采购项目的具体情况，委托有资质的第三方机构进行项目验收，验收费用由中标供应商支付。</w:t>
      </w:r>
    </w:p>
    <w:p w14:paraId="4E6AB5BC">
      <w:pPr>
        <w:pageBreakBefore w:val="0"/>
        <w:widowControl w:val="0"/>
        <w:kinsoku/>
        <w:wordWrap/>
        <w:overflowPunct/>
        <w:topLinePunct w:val="0"/>
        <w:bidi w:val="0"/>
        <w:snapToGrid/>
        <w:spacing w:line="360" w:lineRule="auto"/>
        <w:ind w:firstLine="420" w:firstLineChars="200"/>
        <w:textAlignment w:val="auto"/>
        <w:rPr>
          <w:rFonts w:hint="eastAsia" w:ascii="宋体" w:hAnsi="宋体" w:eastAsia="宋体" w:cs="宋体"/>
          <w:i w:val="0"/>
          <w:iCs w:val="0"/>
          <w:color w:val="auto"/>
          <w:sz w:val="21"/>
          <w:szCs w:val="21"/>
          <w:highlight w:val="none"/>
          <w:shd w:val="clear" w:color="auto" w:fill="auto"/>
          <w:lang w:val="en-US" w:eastAsia="zh-CN"/>
        </w:rPr>
      </w:pPr>
      <w:r>
        <w:rPr>
          <w:rFonts w:hint="eastAsia" w:ascii="宋体" w:hAnsi="宋体" w:eastAsia="宋体" w:cs="宋体"/>
          <w:i w:val="0"/>
          <w:iCs w:val="0"/>
          <w:color w:val="auto"/>
          <w:sz w:val="21"/>
          <w:szCs w:val="21"/>
          <w:highlight w:val="none"/>
          <w:shd w:val="clear" w:color="auto" w:fill="auto"/>
          <w:lang w:val="en-US" w:eastAsia="zh-CN"/>
        </w:rPr>
        <w:t>3、严格按照采购合同开展履约验收。按照采购合同的约定对供应商履约情况进行验收。验收时，按照采购合同的约定对每一项技术、服务、安全标准的履约情况进行确认。</w:t>
      </w:r>
    </w:p>
    <w:p w14:paraId="532CD83B">
      <w:pPr>
        <w:pageBreakBefore w:val="0"/>
        <w:widowControl w:val="0"/>
        <w:kinsoku/>
        <w:wordWrap/>
        <w:overflowPunct/>
        <w:topLinePunct w:val="0"/>
        <w:bidi w:val="0"/>
        <w:snapToGrid/>
        <w:spacing w:line="360" w:lineRule="auto"/>
        <w:ind w:firstLine="420" w:firstLineChars="200"/>
        <w:textAlignment w:val="auto"/>
        <w:rPr>
          <w:rFonts w:hint="eastAsia" w:ascii="宋体" w:hAnsi="宋体" w:eastAsia="宋体" w:cs="宋体"/>
          <w:i w:val="0"/>
          <w:iCs w:val="0"/>
          <w:color w:val="auto"/>
          <w:sz w:val="21"/>
          <w:szCs w:val="21"/>
          <w:highlight w:val="none"/>
          <w:shd w:val="clear" w:color="auto" w:fill="auto"/>
          <w:lang w:val="en-US" w:eastAsia="zh-CN"/>
        </w:rPr>
      </w:pPr>
      <w:r>
        <w:rPr>
          <w:rFonts w:hint="eastAsia" w:ascii="宋体" w:hAnsi="宋体" w:eastAsia="宋体" w:cs="宋体"/>
          <w:i w:val="0"/>
          <w:iCs w:val="0"/>
          <w:color w:val="auto"/>
          <w:sz w:val="21"/>
          <w:szCs w:val="21"/>
          <w:highlight w:val="none"/>
          <w:shd w:val="clear" w:color="auto" w:fill="auto"/>
          <w:lang w:val="en-US" w:eastAsia="zh-CN"/>
        </w:rPr>
        <w:t>4、验收合格的项目，</w:t>
      </w:r>
      <w:r>
        <w:rPr>
          <w:rFonts w:hint="eastAsia" w:ascii="宋体" w:hAnsi="宋体" w:cs="宋体"/>
          <w:i w:val="0"/>
          <w:iCs w:val="0"/>
          <w:color w:val="auto"/>
          <w:sz w:val="21"/>
          <w:szCs w:val="21"/>
          <w:highlight w:val="none"/>
          <w:shd w:val="clear" w:color="auto" w:fill="auto"/>
          <w:lang w:val="en-US" w:eastAsia="zh-CN"/>
        </w:rPr>
        <w:t>采购单位</w:t>
      </w:r>
      <w:r>
        <w:rPr>
          <w:rFonts w:hint="eastAsia" w:ascii="宋体" w:hAnsi="宋体" w:eastAsia="宋体" w:cs="宋体"/>
          <w:i w:val="0"/>
          <w:iCs w:val="0"/>
          <w:color w:val="auto"/>
          <w:sz w:val="21"/>
          <w:szCs w:val="21"/>
          <w:highlight w:val="none"/>
          <w:shd w:val="clear" w:color="auto" w:fill="auto"/>
          <w:lang w:val="en-US" w:eastAsia="zh-CN"/>
        </w:rPr>
        <w:t>将根据采购合同的约定及时向供应商支付采购资金、退还履约保证金。验收不合格的项目，</w:t>
      </w:r>
      <w:r>
        <w:rPr>
          <w:rFonts w:hint="eastAsia" w:ascii="宋体" w:hAnsi="宋体" w:cs="宋体"/>
          <w:i w:val="0"/>
          <w:iCs w:val="0"/>
          <w:color w:val="auto"/>
          <w:sz w:val="21"/>
          <w:szCs w:val="21"/>
          <w:highlight w:val="none"/>
          <w:shd w:val="clear" w:color="auto" w:fill="auto"/>
          <w:lang w:val="en-US" w:eastAsia="zh-CN"/>
        </w:rPr>
        <w:t>采购单位</w:t>
      </w:r>
      <w:r>
        <w:rPr>
          <w:rFonts w:hint="eastAsia" w:ascii="宋体" w:hAnsi="宋体" w:eastAsia="宋体" w:cs="宋体"/>
          <w:i w:val="0"/>
          <w:iCs w:val="0"/>
          <w:color w:val="auto"/>
          <w:sz w:val="21"/>
          <w:szCs w:val="21"/>
          <w:highlight w:val="none"/>
          <w:shd w:val="clear" w:color="auto" w:fill="auto"/>
          <w:lang w:val="en-US" w:eastAsia="zh-CN"/>
        </w:rPr>
        <w:t>将依法及时处理。采购合同的履行、违约责任和解决争议的方式等适用《中华人民共和国民法典》。供应商在履约过程中有政府采购法律法规规定的违法违规情形的，</w:t>
      </w:r>
      <w:r>
        <w:rPr>
          <w:rFonts w:hint="eastAsia" w:ascii="宋体" w:hAnsi="宋体" w:cs="宋体"/>
          <w:i w:val="0"/>
          <w:iCs w:val="0"/>
          <w:color w:val="auto"/>
          <w:sz w:val="21"/>
          <w:szCs w:val="21"/>
          <w:highlight w:val="none"/>
          <w:shd w:val="clear" w:color="auto" w:fill="auto"/>
          <w:lang w:val="en-US" w:eastAsia="zh-CN"/>
        </w:rPr>
        <w:t>采购单位</w:t>
      </w:r>
      <w:r>
        <w:rPr>
          <w:rFonts w:hint="eastAsia" w:ascii="宋体" w:hAnsi="宋体" w:eastAsia="宋体" w:cs="宋体"/>
          <w:i w:val="0"/>
          <w:iCs w:val="0"/>
          <w:color w:val="auto"/>
          <w:sz w:val="21"/>
          <w:szCs w:val="21"/>
          <w:highlight w:val="none"/>
          <w:shd w:val="clear" w:color="auto" w:fill="auto"/>
          <w:lang w:val="en-US" w:eastAsia="zh-CN"/>
        </w:rPr>
        <w:t>应当及时报告本级财政部门。</w:t>
      </w:r>
    </w:p>
    <w:p w14:paraId="389781F8">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七、服务期限</w:t>
      </w:r>
    </w:p>
    <w:p w14:paraId="1E98910B">
      <w:pPr>
        <w:pStyle w:val="33"/>
        <w:spacing w:line="360" w:lineRule="auto"/>
        <w:rPr>
          <w:rFonts w:hint="eastAsia" w:ascii="宋体" w:hAnsi="宋体" w:eastAsia="宋体" w:cs="宋体"/>
          <w:i w:val="0"/>
          <w:iCs w:val="0"/>
          <w:color w:val="auto"/>
          <w:kern w:val="2"/>
          <w:sz w:val="21"/>
          <w:szCs w:val="21"/>
          <w:highlight w:val="none"/>
          <w:shd w:val="clear" w:color="auto" w:fill="auto"/>
          <w:lang w:val="en-US" w:eastAsia="zh-CN" w:bidi="ar-SA"/>
        </w:rPr>
      </w:pPr>
      <w:r>
        <w:rPr>
          <w:rFonts w:hint="eastAsia" w:ascii="宋体" w:hAnsi="宋体" w:eastAsia="宋体" w:cs="宋体"/>
          <w:i w:val="0"/>
          <w:iCs w:val="0"/>
          <w:color w:val="auto"/>
          <w:kern w:val="2"/>
          <w:sz w:val="21"/>
          <w:szCs w:val="21"/>
          <w:highlight w:val="none"/>
          <w:shd w:val="clear" w:color="auto" w:fill="auto"/>
          <w:lang w:val="en-US" w:eastAsia="zh-CN" w:bidi="ar-SA"/>
        </w:rPr>
        <w:t>2025年4月-7月</w:t>
      </w:r>
    </w:p>
    <w:p w14:paraId="432BB451">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八、付款方式</w:t>
      </w:r>
    </w:p>
    <w:p w14:paraId="6682E9B5">
      <w:pPr>
        <w:pStyle w:val="12"/>
        <w:snapToGrid w:val="0"/>
        <w:spacing w:line="360" w:lineRule="auto"/>
        <w:ind w:firstLine="420" w:firstLineChars="200"/>
        <w:rPr>
          <w:rFonts w:hint="eastAsia" w:ascii="宋体" w:hAnsi="宋体" w:eastAsia="宋体" w:cs="宋体"/>
          <w:i w:val="0"/>
          <w:iCs w:val="0"/>
          <w:color w:val="auto"/>
          <w:sz w:val="21"/>
          <w:szCs w:val="21"/>
          <w:highlight w:val="none"/>
          <w:shd w:val="clear" w:color="auto" w:fill="auto"/>
        </w:rPr>
      </w:pPr>
      <w:r>
        <w:rPr>
          <w:rFonts w:hint="eastAsia" w:ascii="宋体" w:hAnsi="宋体" w:eastAsia="宋体" w:cs="宋体"/>
          <w:i w:val="0"/>
          <w:iCs w:val="0"/>
          <w:color w:val="auto"/>
          <w:sz w:val="21"/>
          <w:szCs w:val="21"/>
          <w:highlight w:val="none"/>
          <w:shd w:val="clear" w:color="auto" w:fill="auto"/>
        </w:rPr>
        <w:t>第一笔付款：合同签订后，</w:t>
      </w:r>
      <w:r>
        <w:rPr>
          <w:rFonts w:hint="eastAsia" w:ascii="宋体" w:hAnsi="宋体" w:eastAsia="宋体" w:cs="宋体"/>
          <w:i w:val="0"/>
          <w:iCs w:val="0"/>
          <w:color w:val="auto"/>
          <w:sz w:val="21"/>
          <w:szCs w:val="21"/>
          <w:highlight w:val="none"/>
          <w:shd w:val="clear" w:color="auto" w:fill="auto"/>
          <w:lang w:val="en-US" w:eastAsia="zh-CN"/>
        </w:rPr>
        <w:t>甲方</w:t>
      </w:r>
      <w:r>
        <w:rPr>
          <w:rFonts w:hint="eastAsia" w:ascii="宋体" w:hAnsi="宋体" w:eastAsia="宋体" w:cs="宋体"/>
          <w:i w:val="0"/>
          <w:iCs w:val="0"/>
          <w:color w:val="auto"/>
          <w:sz w:val="21"/>
          <w:szCs w:val="21"/>
          <w:highlight w:val="none"/>
          <w:shd w:val="clear" w:color="auto" w:fill="auto"/>
        </w:rPr>
        <w:t>收到乙方</w:t>
      </w:r>
      <w:r>
        <w:rPr>
          <w:rFonts w:hint="eastAsia" w:ascii="宋体" w:hAnsi="宋体" w:eastAsia="宋体" w:cs="宋体"/>
          <w:i w:val="0"/>
          <w:iCs w:val="0"/>
          <w:color w:val="auto"/>
          <w:sz w:val="21"/>
          <w:szCs w:val="21"/>
          <w:highlight w:val="none"/>
          <w:shd w:val="clear" w:color="auto" w:fill="auto"/>
          <w:lang w:val="en-US" w:eastAsia="zh-CN"/>
        </w:rPr>
        <w:t>开具的正规</w:t>
      </w:r>
      <w:r>
        <w:rPr>
          <w:rFonts w:hint="eastAsia" w:ascii="宋体" w:hAnsi="宋体" w:eastAsia="宋体" w:cs="宋体"/>
          <w:i w:val="0"/>
          <w:iCs w:val="0"/>
          <w:color w:val="auto"/>
          <w:sz w:val="21"/>
          <w:szCs w:val="21"/>
          <w:highlight w:val="none"/>
          <w:shd w:val="clear" w:color="auto" w:fill="auto"/>
        </w:rPr>
        <w:t>发票5个工作日内支付合同款的</w:t>
      </w:r>
      <w:r>
        <w:rPr>
          <w:rFonts w:hint="eastAsia" w:ascii="宋体" w:hAnsi="宋体" w:eastAsia="宋体" w:cs="宋体"/>
          <w:i w:val="0"/>
          <w:iCs w:val="0"/>
          <w:color w:val="auto"/>
          <w:sz w:val="21"/>
          <w:szCs w:val="21"/>
          <w:highlight w:val="none"/>
          <w:shd w:val="clear" w:color="auto" w:fill="auto"/>
          <w:lang w:val="en-US" w:eastAsia="zh-CN"/>
        </w:rPr>
        <w:t>50</w:t>
      </w:r>
      <w:r>
        <w:rPr>
          <w:rFonts w:hint="eastAsia" w:ascii="宋体" w:hAnsi="宋体" w:eastAsia="宋体" w:cs="宋体"/>
          <w:i w:val="0"/>
          <w:iCs w:val="0"/>
          <w:color w:val="auto"/>
          <w:sz w:val="21"/>
          <w:szCs w:val="21"/>
          <w:highlight w:val="none"/>
          <w:shd w:val="clear" w:color="auto" w:fill="auto"/>
        </w:rPr>
        <w:t>%。</w:t>
      </w:r>
    </w:p>
    <w:p w14:paraId="3ED55915">
      <w:pPr>
        <w:pStyle w:val="12"/>
        <w:snapToGrid w:val="0"/>
        <w:spacing w:line="360" w:lineRule="auto"/>
        <w:ind w:firstLine="420" w:firstLineChars="200"/>
        <w:rPr>
          <w:rFonts w:hint="eastAsia" w:ascii="宋体" w:hAnsi="宋体" w:eastAsia="宋体" w:cs="宋体"/>
          <w:i w:val="0"/>
          <w:iCs w:val="0"/>
          <w:color w:val="auto"/>
          <w:sz w:val="21"/>
          <w:szCs w:val="21"/>
          <w:highlight w:val="none"/>
          <w:shd w:val="clear" w:color="auto" w:fill="auto"/>
          <w:lang w:val="en-US" w:eastAsia="zh-CN"/>
        </w:rPr>
      </w:pPr>
      <w:r>
        <w:rPr>
          <w:rFonts w:hint="eastAsia" w:ascii="宋体" w:hAnsi="宋体" w:eastAsia="宋体" w:cs="宋体"/>
          <w:i w:val="0"/>
          <w:iCs w:val="0"/>
          <w:color w:val="auto"/>
          <w:sz w:val="21"/>
          <w:szCs w:val="21"/>
          <w:highlight w:val="none"/>
          <w:shd w:val="clear" w:color="auto" w:fill="auto"/>
        </w:rPr>
        <w:t>第二笔付款：</w:t>
      </w:r>
      <w:r>
        <w:rPr>
          <w:rFonts w:hint="eastAsia" w:ascii="宋体" w:hAnsi="宋体" w:eastAsia="宋体" w:cs="宋体"/>
          <w:i w:val="0"/>
          <w:iCs w:val="0"/>
          <w:color w:val="auto"/>
          <w:sz w:val="21"/>
          <w:szCs w:val="21"/>
          <w:highlight w:val="none"/>
          <w:shd w:val="clear" w:color="auto" w:fill="auto"/>
          <w:lang w:val="en-US" w:eastAsia="zh-CN"/>
        </w:rPr>
        <w:t>赛事结束后，</w:t>
      </w:r>
      <w:r>
        <w:rPr>
          <w:rFonts w:hint="eastAsia" w:ascii="宋体" w:hAnsi="宋体" w:eastAsia="宋体" w:cs="宋体"/>
          <w:i w:val="0"/>
          <w:iCs w:val="0"/>
          <w:color w:val="auto"/>
          <w:sz w:val="21"/>
          <w:szCs w:val="21"/>
          <w:highlight w:val="none"/>
          <w:shd w:val="clear" w:color="auto" w:fill="auto"/>
        </w:rPr>
        <w:t>甲方在收到乙方</w:t>
      </w:r>
      <w:r>
        <w:rPr>
          <w:rFonts w:hint="eastAsia" w:ascii="宋体" w:hAnsi="宋体" w:eastAsia="宋体" w:cs="宋体"/>
          <w:i w:val="0"/>
          <w:iCs w:val="0"/>
          <w:color w:val="auto"/>
          <w:sz w:val="21"/>
          <w:szCs w:val="21"/>
          <w:highlight w:val="none"/>
          <w:shd w:val="clear" w:color="auto" w:fill="auto"/>
          <w:lang w:val="en-US" w:eastAsia="zh-CN"/>
        </w:rPr>
        <w:t>开具的正规</w:t>
      </w:r>
      <w:r>
        <w:rPr>
          <w:rFonts w:hint="eastAsia" w:ascii="宋体" w:hAnsi="宋体" w:eastAsia="宋体" w:cs="宋体"/>
          <w:i w:val="0"/>
          <w:iCs w:val="0"/>
          <w:color w:val="auto"/>
          <w:sz w:val="21"/>
          <w:szCs w:val="21"/>
          <w:highlight w:val="none"/>
          <w:shd w:val="clear" w:color="auto" w:fill="auto"/>
        </w:rPr>
        <w:t>发票5个工作日内向乙方支付合同款</w:t>
      </w:r>
      <w:r>
        <w:rPr>
          <w:rFonts w:hint="eastAsia" w:ascii="宋体" w:hAnsi="宋体" w:eastAsia="宋体" w:cs="宋体"/>
          <w:i w:val="0"/>
          <w:iCs w:val="0"/>
          <w:color w:val="auto"/>
          <w:sz w:val="21"/>
          <w:szCs w:val="21"/>
          <w:highlight w:val="none"/>
          <w:shd w:val="clear" w:color="auto" w:fill="auto"/>
          <w:lang w:val="en-US" w:eastAsia="zh-CN"/>
        </w:rPr>
        <w:t>的30%。</w:t>
      </w:r>
    </w:p>
    <w:p w14:paraId="7F44E713">
      <w:pPr>
        <w:pStyle w:val="12"/>
        <w:snapToGrid w:val="0"/>
        <w:spacing w:line="360" w:lineRule="auto"/>
        <w:ind w:firstLine="420" w:firstLineChars="200"/>
        <w:rPr>
          <w:rFonts w:hint="default" w:ascii="宋体" w:hAnsi="宋体" w:eastAsia="宋体" w:cs="宋体"/>
          <w:i w:val="0"/>
          <w:iCs w:val="0"/>
          <w:color w:val="auto"/>
          <w:sz w:val="21"/>
          <w:szCs w:val="21"/>
          <w:highlight w:val="none"/>
          <w:shd w:val="clear" w:color="auto" w:fill="auto"/>
          <w:lang w:val="en-US" w:eastAsia="zh-CN"/>
        </w:rPr>
      </w:pPr>
      <w:r>
        <w:rPr>
          <w:rFonts w:hint="eastAsia" w:ascii="宋体" w:hAnsi="宋体" w:eastAsia="宋体" w:cs="宋体"/>
          <w:i w:val="0"/>
          <w:iCs w:val="0"/>
          <w:color w:val="auto"/>
          <w:sz w:val="21"/>
          <w:szCs w:val="21"/>
          <w:highlight w:val="none"/>
          <w:shd w:val="clear" w:color="auto" w:fill="auto"/>
          <w:lang w:val="en-US" w:eastAsia="zh-CN"/>
        </w:rPr>
        <w:t>第三笔付款：通过项目验收合格后，</w:t>
      </w:r>
      <w:r>
        <w:rPr>
          <w:rFonts w:hint="eastAsia" w:ascii="宋体" w:hAnsi="宋体" w:eastAsia="宋体" w:cs="宋体"/>
          <w:i w:val="0"/>
          <w:iCs w:val="0"/>
          <w:color w:val="auto"/>
          <w:sz w:val="21"/>
          <w:szCs w:val="21"/>
          <w:highlight w:val="none"/>
          <w:shd w:val="clear" w:color="auto" w:fill="auto"/>
        </w:rPr>
        <w:t>甲方在收到乙方</w:t>
      </w:r>
      <w:r>
        <w:rPr>
          <w:rFonts w:hint="eastAsia" w:ascii="宋体" w:hAnsi="宋体" w:eastAsia="宋体" w:cs="宋体"/>
          <w:i w:val="0"/>
          <w:iCs w:val="0"/>
          <w:color w:val="auto"/>
          <w:sz w:val="21"/>
          <w:szCs w:val="21"/>
          <w:highlight w:val="none"/>
          <w:shd w:val="clear" w:color="auto" w:fill="auto"/>
          <w:lang w:val="en-US" w:eastAsia="zh-CN"/>
        </w:rPr>
        <w:t>开具的正规</w:t>
      </w:r>
      <w:r>
        <w:rPr>
          <w:rFonts w:hint="eastAsia" w:ascii="宋体" w:hAnsi="宋体" w:eastAsia="宋体" w:cs="宋体"/>
          <w:i w:val="0"/>
          <w:iCs w:val="0"/>
          <w:color w:val="auto"/>
          <w:sz w:val="21"/>
          <w:szCs w:val="21"/>
          <w:highlight w:val="none"/>
          <w:shd w:val="clear" w:color="auto" w:fill="auto"/>
        </w:rPr>
        <w:t>发票5个工作日内向乙方支付合同款</w:t>
      </w:r>
      <w:r>
        <w:rPr>
          <w:rFonts w:hint="eastAsia" w:ascii="宋体" w:hAnsi="宋体" w:eastAsia="宋体" w:cs="宋体"/>
          <w:i w:val="0"/>
          <w:iCs w:val="0"/>
          <w:color w:val="auto"/>
          <w:sz w:val="21"/>
          <w:szCs w:val="21"/>
          <w:highlight w:val="none"/>
          <w:shd w:val="clear" w:color="auto" w:fill="auto"/>
          <w:lang w:val="en-US" w:eastAsia="zh-CN"/>
        </w:rPr>
        <w:t>20%。</w:t>
      </w:r>
    </w:p>
    <w:p w14:paraId="02D1AA59">
      <w:pPr>
        <w:spacing w:line="360" w:lineRule="auto"/>
        <w:ind w:firstLine="422" w:firstLineChars="200"/>
        <w:rPr>
          <w:rFonts w:hint="eastAsia" w:ascii="宋体" w:hAnsi="宋体" w:cs="宋体"/>
          <w:b/>
          <w:bCs/>
          <w:color w:val="auto"/>
          <w:szCs w:val="21"/>
          <w:highlight w:val="none"/>
        </w:rPr>
      </w:pPr>
      <w:r>
        <w:rPr>
          <w:rFonts w:hint="eastAsia" w:ascii="宋体" w:hAnsi="宋体" w:cs="宋体"/>
          <w:b/>
          <w:bCs/>
          <w:color w:val="auto"/>
          <w:highlight w:val="none"/>
        </w:rPr>
        <w:t>注：付款前中标人应按规定向</w:t>
      </w:r>
      <w:r>
        <w:rPr>
          <w:rFonts w:hint="eastAsia" w:ascii="宋体" w:hAnsi="宋体" w:cs="宋体"/>
          <w:b/>
          <w:bCs/>
          <w:color w:val="auto"/>
          <w:highlight w:val="none"/>
          <w:lang w:eastAsia="zh-CN"/>
        </w:rPr>
        <w:t>采购单位</w:t>
      </w:r>
      <w:r>
        <w:rPr>
          <w:rFonts w:hint="eastAsia" w:ascii="宋体" w:hAnsi="宋体" w:cs="宋体"/>
          <w:b/>
          <w:bCs/>
          <w:color w:val="auto"/>
          <w:highlight w:val="none"/>
        </w:rPr>
        <w:t>开具正规发票。</w:t>
      </w:r>
    </w:p>
    <w:p w14:paraId="588DF331">
      <w:pPr>
        <w:pStyle w:val="2"/>
        <w:ind w:left="0" w:leftChars="0" w:firstLine="0" w:firstLineChars="0"/>
        <w:rPr>
          <w:color w:val="auto"/>
          <w:highlight w:val="none"/>
        </w:rPr>
      </w:pPr>
    </w:p>
    <w:p w14:paraId="63391712">
      <w:pPr>
        <w:pStyle w:val="83"/>
        <w:ind w:left="0" w:leftChars="0" w:firstLine="0" w:firstLineChars="0"/>
        <w:rPr>
          <w:color w:val="auto"/>
          <w:highlight w:val="none"/>
        </w:rPr>
      </w:pPr>
    </w:p>
    <w:p w14:paraId="702F15BA">
      <w:pPr>
        <w:pStyle w:val="83"/>
        <w:ind w:left="0" w:leftChars="0" w:firstLine="0" w:firstLineChars="0"/>
        <w:rPr>
          <w:color w:val="auto"/>
          <w:highlight w:val="none"/>
        </w:rPr>
      </w:pPr>
    </w:p>
    <w:p w14:paraId="2383491A">
      <w:pPr>
        <w:pStyle w:val="83"/>
        <w:ind w:left="0" w:leftChars="0" w:firstLine="0" w:firstLineChars="0"/>
        <w:rPr>
          <w:color w:val="auto"/>
          <w:highlight w:val="none"/>
        </w:rPr>
      </w:pPr>
    </w:p>
    <w:p w14:paraId="7C5D6D5D">
      <w:pPr>
        <w:pStyle w:val="83"/>
        <w:ind w:left="0" w:leftChars="0" w:firstLine="0" w:firstLineChars="0"/>
        <w:rPr>
          <w:color w:val="auto"/>
          <w:highlight w:val="none"/>
        </w:rPr>
      </w:pPr>
    </w:p>
    <w:p w14:paraId="687CC088">
      <w:pPr>
        <w:pStyle w:val="83"/>
        <w:ind w:left="0" w:leftChars="0" w:firstLine="0" w:firstLineChars="0"/>
        <w:rPr>
          <w:color w:val="auto"/>
          <w:highlight w:val="none"/>
        </w:rPr>
      </w:pPr>
    </w:p>
    <w:p w14:paraId="0C8553CC">
      <w:pPr>
        <w:pStyle w:val="83"/>
        <w:ind w:left="0" w:leftChars="0" w:firstLine="0" w:firstLineChars="0"/>
        <w:rPr>
          <w:color w:val="auto"/>
          <w:highlight w:val="none"/>
        </w:rPr>
      </w:pPr>
    </w:p>
    <w:p w14:paraId="3FFC6611">
      <w:pPr>
        <w:pStyle w:val="83"/>
        <w:ind w:left="0" w:leftChars="0" w:firstLine="0" w:firstLineChars="0"/>
        <w:rPr>
          <w:color w:val="auto"/>
          <w:highlight w:val="none"/>
        </w:rPr>
      </w:pPr>
    </w:p>
    <w:p w14:paraId="7595D88C">
      <w:pPr>
        <w:pStyle w:val="83"/>
        <w:ind w:left="0" w:leftChars="0" w:firstLine="0" w:firstLineChars="0"/>
        <w:rPr>
          <w:color w:val="auto"/>
          <w:highlight w:val="none"/>
        </w:rPr>
      </w:pPr>
    </w:p>
    <w:p w14:paraId="521A65B2">
      <w:pPr>
        <w:pStyle w:val="83"/>
        <w:ind w:left="0" w:leftChars="0" w:firstLine="0" w:firstLineChars="0"/>
        <w:rPr>
          <w:color w:val="auto"/>
          <w:highlight w:val="none"/>
        </w:rPr>
      </w:pPr>
    </w:p>
    <w:p w14:paraId="71951656">
      <w:pPr>
        <w:pStyle w:val="83"/>
        <w:ind w:left="0" w:leftChars="0" w:firstLine="0" w:firstLineChars="0"/>
        <w:rPr>
          <w:color w:val="auto"/>
          <w:highlight w:val="none"/>
        </w:rPr>
      </w:pPr>
    </w:p>
    <w:p w14:paraId="485844F2">
      <w:pPr>
        <w:pStyle w:val="83"/>
        <w:ind w:left="0" w:leftChars="0" w:firstLine="0" w:firstLineChars="0"/>
        <w:rPr>
          <w:color w:val="auto"/>
          <w:highlight w:val="none"/>
        </w:rPr>
      </w:pPr>
    </w:p>
    <w:p w14:paraId="17E9AF95">
      <w:pPr>
        <w:pStyle w:val="83"/>
        <w:ind w:left="0" w:leftChars="0" w:firstLine="0" w:firstLineChars="0"/>
        <w:rPr>
          <w:color w:val="auto"/>
          <w:highlight w:val="none"/>
        </w:rPr>
      </w:pPr>
    </w:p>
    <w:p w14:paraId="6DC2F3C2">
      <w:pPr>
        <w:pStyle w:val="40"/>
        <w:rPr>
          <w:rFonts w:hint="eastAsia" w:cs="宋体"/>
          <w:bCs/>
          <w:color w:val="auto"/>
          <w:sz w:val="32"/>
          <w:szCs w:val="32"/>
        </w:rPr>
      </w:pPr>
    </w:p>
    <w:p w14:paraId="1232CECB">
      <w:pPr>
        <w:pStyle w:val="61"/>
        <w:numPr>
          <w:ilvl w:val="1"/>
          <w:numId w:val="0"/>
        </w:numPr>
        <w:spacing w:line="440" w:lineRule="exact"/>
        <w:jc w:val="center"/>
        <w:rPr>
          <w:rFonts w:cs="宋体"/>
          <w:b w:val="0"/>
          <w:i w:val="0"/>
          <w:iCs w:val="0"/>
          <w:color w:val="auto"/>
          <w:sz w:val="30"/>
          <w:szCs w:val="30"/>
        </w:rPr>
      </w:pPr>
      <w:r>
        <w:rPr>
          <w:rFonts w:hint="eastAsia" w:cs="宋体"/>
          <w:bCs/>
          <w:i w:val="0"/>
          <w:iCs w:val="0"/>
          <w:color w:val="auto"/>
          <w:sz w:val="32"/>
          <w:szCs w:val="32"/>
        </w:rPr>
        <w:t>第三章  供应商须知</w:t>
      </w:r>
    </w:p>
    <w:p w14:paraId="2F758665">
      <w:pPr>
        <w:snapToGrid w:val="0"/>
        <w:spacing w:line="360" w:lineRule="auto"/>
        <w:ind w:left="238"/>
        <w:jc w:val="center"/>
        <w:outlineLvl w:val="1"/>
        <w:rPr>
          <w:rFonts w:ascii="宋体" w:hAnsi="宋体" w:cs="宋体"/>
          <w:b/>
          <w:color w:val="auto"/>
          <w:szCs w:val="21"/>
        </w:rPr>
      </w:pPr>
      <w:bookmarkStart w:id="2" w:name="_Toc33535345"/>
      <w:r>
        <w:rPr>
          <w:rFonts w:hint="eastAsia" w:ascii="宋体" w:hAnsi="宋体" w:cs="宋体"/>
          <w:b/>
          <w:color w:val="auto"/>
          <w:szCs w:val="21"/>
        </w:rPr>
        <w:t>前附表</w:t>
      </w:r>
      <w:bookmarkEnd w:id="2"/>
    </w:p>
    <w:tbl>
      <w:tblPr>
        <w:tblStyle w:val="34"/>
        <w:tblW w:w="0" w:type="auto"/>
        <w:tblInd w:w="-102"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36"/>
        <w:gridCol w:w="8652"/>
      </w:tblGrid>
      <w:tr w14:paraId="46F321B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1" w:hRule="atLeast"/>
        </w:trPr>
        <w:tc>
          <w:tcPr>
            <w:tcW w:w="636" w:type="dxa"/>
            <w:tcBorders>
              <w:top w:val="single" w:color="auto" w:sz="4" w:space="0"/>
              <w:left w:val="single" w:color="auto" w:sz="4" w:space="0"/>
              <w:bottom w:val="single" w:color="auto" w:sz="4" w:space="0"/>
              <w:right w:val="single" w:color="auto" w:sz="4" w:space="0"/>
            </w:tcBorders>
            <w:vAlign w:val="center"/>
          </w:tcPr>
          <w:p w14:paraId="01F476E4">
            <w:pPr>
              <w:snapToGrid w:val="0"/>
              <w:spacing w:line="440" w:lineRule="exact"/>
              <w:rPr>
                <w:rFonts w:ascii="宋体" w:hAnsi="宋体" w:cs="宋体"/>
                <w:color w:val="auto"/>
                <w:szCs w:val="21"/>
              </w:rPr>
            </w:pPr>
            <w:r>
              <w:rPr>
                <w:rFonts w:hint="eastAsia" w:ascii="宋体" w:hAnsi="宋体" w:cs="宋体"/>
                <w:color w:val="auto"/>
                <w:szCs w:val="21"/>
              </w:rPr>
              <w:t>序号</w:t>
            </w:r>
          </w:p>
        </w:tc>
        <w:tc>
          <w:tcPr>
            <w:tcW w:w="8652" w:type="dxa"/>
            <w:tcBorders>
              <w:top w:val="single" w:color="auto" w:sz="4" w:space="0"/>
              <w:left w:val="single" w:color="auto" w:sz="4" w:space="0"/>
              <w:bottom w:val="single" w:color="auto" w:sz="4" w:space="0"/>
              <w:right w:val="single" w:color="auto" w:sz="4" w:space="0"/>
            </w:tcBorders>
            <w:vAlign w:val="center"/>
          </w:tcPr>
          <w:p w14:paraId="5643411B">
            <w:pPr>
              <w:snapToGrid w:val="0"/>
              <w:spacing w:line="440" w:lineRule="exact"/>
              <w:jc w:val="center"/>
              <w:rPr>
                <w:rFonts w:ascii="宋体" w:hAnsi="宋体" w:cs="宋体"/>
                <w:color w:val="auto"/>
                <w:szCs w:val="21"/>
              </w:rPr>
            </w:pPr>
            <w:r>
              <w:rPr>
                <w:rFonts w:hint="eastAsia" w:ascii="宋体" w:hAnsi="宋体" w:cs="宋体"/>
                <w:color w:val="auto"/>
                <w:szCs w:val="21"/>
              </w:rPr>
              <w:t>内容、要求</w:t>
            </w:r>
          </w:p>
        </w:tc>
      </w:tr>
      <w:tr w14:paraId="0D9F1A8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6" w:hRule="atLeast"/>
        </w:trPr>
        <w:tc>
          <w:tcPr>
            <w:tcW w:w="636" w:type="dxa"/>
            <w:tcBorders>
              <w:top w:val="single" w:color="auto" w:sz="4" w:space="0"/>
              <w:left w:val="single" w:color="auto" w:sz="4" w:space="0"/>
              <w:bottom w:val="single" w:color="auto" w:sz="4" w:space="0"/>
              <w:right w:val="single" w:color="auto" w:sz="4" w:space="0"/>
            </w:tcBorders>
            <w:vAlign w:val="center"/>
          </w:tcPr>
          <w:p w14:paraId="2546D69E">
            <w:pPr>
              <w:snapToGrid w:val="0"/>
              <w:spacing w:line="440" w:lineRule="exact"/>
              <w:jc w:val="center"/>
              <w:rPr>
                <w:rFonts w:ascii="宋体" w:hAnsi="宋体" w:cs="宋体"/>
                <w:color w:val="auto"/>
                <w:szCs w:val="21"/>
              </w:rPr>
            </w:pPr>
            <w:r>
              <w:rPr>
                <w:rFonts w:hint="eastAsia" w:ascii="宋体" w:hAnsi="宋体" w:cs="宋体"/>
                <w:color w:val="auto"/>
                <w:szCs w:val="21"/>
              </w:rPr>
              <w:t>1</w:t>
            </w:r>
          </w:p>
        </w:tc>
        <w:tc>
          <w:tcPr>
            <w:tcW w:w="8652" w:type="dxa"/>
            <w:tcBorders>
              <w:top w:val="single" w:color="auto" w:sz="4" w:space="0"/>
              <w:left w:val="single" w:color="auto" w:sz="4" w:space="0"/>
              <w:bottom w:val="single" w:color="auto" w:sz="4" w:space="0"/>
              <w:right w:val="single" w:color="auto" w:sz="4" w:space="0"/>
            </w:tcBorders>
            <w:vAlign w:val="center"/>
          </w:tcPr>
          <w:p w14:paraId="080EA093">
            <w:pPr>
              <w:snapToGrid w:val="0"/>
              <w:spacing w:line="440" w:lineRule="exact"/>
              <w:ind w:left="1050" w:hanging="1050" w:hangingChars="500"/>
              <w:rPr>
                <w:rFonts w:hint="eastAsia" w:ascii="宋体" w:hAnsi="宋体" w:eastAsia="宋体" w:cs="宋体"/>
                <w:color w:val="auto"/>
                <w:szCs w:val="21"/>
                <w:lang w:eastAsia="zh-CN"/>
              </w:rPr>
            </w:pPr>
            <w:r>
              <w:rPr>
                <w:rFonts w:hint="eastAsia" w:ascii="宋体" w:hAnsi="宋体" w:cs="宋体"/>
                <w:color w:val="auto"/>
                <w:szCs w:val="21"/>
              </w:rPr>
              <w:t>项目名称：</w:t>
            </w:r>
            <w:r>
              <w:rPr>
                <w:rFonts w:hint="eastAsia" w:ascii="宋体" w:hAnsi="宋体" w:cs="宋体"/>
                <w:color w:val="auto"/>
                <w:szCs w:val="21"/>
                <w:lang w:eastAsia="zh-CN"/>
              </w:rPr>
              <w:t xml:space="preserve">2025嵊泗国际帆船赛 </w:t>
            </w:r>
          </w:p>
        </w:tc>
      </w:tr>
      <w:tr w14:paraId="340EB8E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1" w:hRule="atLeast"/>
        </w:trPr>
        <w:tc>
          <w:tcPr>
            <w:tcW w:w="636" w:type="dxa"/>
            <w:tcBorders>
              <w:top w:val="single" w:color="auto" w:sz="4" w:space="0"/>
              <w:left w:val="single" w:color="auto" w:sz="4" w:space="0"/>
              <w:bottom w:val="single" w:color="auto" w:sz="4" w:space="0"/>
              <w:right w:val="single" w:color="auto" w:sz="4" w:space="0"/>
            </w:tcBorders>
            <w:vAlign w:val="center"/>
          </w:tcPr>
          <w:p w14:paraId="172283C4">
            <w:pPr>
              <w:snapToGrid w:val="0"/>
              <w:spacing w:line="440" w:lineRule="exact"/>
              <w:jc w:val="center"/>
              <w:rPr>
                <w:rFonts w:ascii="宋体" w:hAnsi="宋体" w:cs="宋体"/>
                <w:color w:val="auto"/>
                <w:szCs w:val="21"/>
              </w:rPr>
            </w:pPr>
            <w:r>
              <w:rPr>
                <w:rFonts w:hint="eastAsia" w:ascii="宋体" w:hAnsi="宋体" w:cs="宋体"/>
                <w:color w:val="auto"/>
                <w:szCs w:val="21"/>
              </w:rPr>
              <w:t>2</w:t>
            </w:r>
          </w:p>
        </w:tc>
        <w:tc>
          <w:tcPr>
            <w:tcW w:w="8652" w:type="dxa"/>
            <w:tcBorders>
              <w:top w:val="single" w:color="auto" w:sz="4" w:space="0"/>
              <w:left w:val="single" w:color="auto" w:sz="4" w:space="0"/>
              <w:bottom w:val="single" w:color="auto" w:sz="4" w:space="0"/>
              <w:right w:val="single" w:color="auto" w:sz="4" w:space="0"/>
            </w:tcBorders>
            <w:vAlign w:val="center"/>
          </w:tcPr>
          <w:p w14:paraId="66BA0CB3">
            <w:pPr>
              <w:snapToGrid w:val="0"/>
              <w:spacing w:line="440" w:lineRule="exact"/>
              <w:rPr>
                <w:rFonts w:hint="eastAsia" w:ascii="宋体" w:hAnsi="宋体" w:eastAsia="宋体" w:cs="宋体"/>
                <w:color w:val="auto"/>
                <w:szCs w:val="21"/>
                <w:lang w:eastAsia="zh-CN"/>
              </w:rPr>
            </w:pPr>
            <w:r>
              <w:rPr>
                <w:rFonts w:hint="eastAsia" w:ascii="宋体" w:hAnsi="宋体" w:cs="宋体"/>
                <w:color w:val="auto"/>
                <w:szCs w:val="21"/>
              </w:rPr>
              <w:t>项目编号：</w:t>
            </w:r>
            <w:r>
              <w:rPr>
                <w:rFonts w:hint="eastAsia" w:ascii="宋体" w:hAnsi="宋体" w:cs="宋体"/>
                <w:color w:val="auto"/>
                <w:szCs w:val="21"/>
                <w:lang w:eastAsia="zh-CN"/>
              </w:rPr>
              <w:t xml:space="preserve">ZSJS-2025-009 </w:t>
            </w:r>
          </w:p>
        </w:tc>
      </w:tr>
      <w:tr w14:paraId="374EE8C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35" w:hRule="atLeast"/>
        </w:trPr>
        <w:tc>
          <w:tcPr>
            <w:tcW w:w="636" w:type="dxa"/>
            <w:tcBorders>
              <w:top w:val="single" w:color="auto" w:sz="4" w:space="0"/>
              <w:left w:val="single" w:color="auto" w:sz="4" w:space="0"/>
              <w:bottom w:val="single" w:color="auto" w:sz="4" w:space="0"/>
              <w:right w:val="single" w:color="auto" w:sz="4" w:space="0"/>
            </w:tcBorders>
            <w:vAlign w:val="center"/>
          </w:tcPr>
          <w:p w14:paraId="51A6849E">
            <w:pPr>
              <w:snapToGrid w:val="0"/>
              <w:spacing w:line="440" w:lineRule="exact"/>
              <w:jc w:val="center"/>
              <w:rPr>
                <w:rFonts w:ascii="宋体" w:hAnsi="宋体" w:cs="宋体"/>
                <w:color w:val="auto"/>
                <w:szCs w:val="21"/>
              </w:rPr>
            </w:pPr>
            <w:r>
              <w:rPr>
                <w:rFonts w:hint="eastAsia" w:ascii="宋体" w:hAnsi="宋体" w:cs="宋体"/>
                <w:color w:val="auto"/>
                <w:szCs w:val="21"/>
              </w:rPr>
              <w:t>3</w:t>
            </w:r>
          </w:p>
        </w:tc>
        <w:tc>
          <w:tcPr>
            <w:tcW w:w="8652" w:type="dxa"/>
            <w:tcBorders>
              <w:top w:val="single" w:color="auto" w:sz="4" w:space="0"/>
              <w:left w:val="single" w:color="auto" w:sz="4" w:space="0"/>
              <w:bottom w:val="single" w:color="auto" w:sz="4" w:space="0"/>
              <w:right w:val="single" w:color="auto" w:sz="4" w:space="0"/>
            </w:tcBorders>
            <w:vAlign w:val="center"/>
          </w:tcPr>
          <w:p w14:paraId="3B1E2698">
            <w:pPr>
              <w:snapToGrid w:val="0"/>
              <w:spacing w:line="440" w:lineRule="exact"/>
              <w:rPr>
                <w:rFonts w:ascii="宋体" w:hAnsi="宋体" w:cs="宋体"/>
                <w:color w:val="auto"/>
                <w:szCs w:val="21"/>
              </w:rPr>
            </w:pPr>
            <w:r>
              <w:rPr>
                <w:rFonts w:hint="eastAsia" w:ascii="宋体" w:hAnsi="宋体" w:cs="宋体"/>
                <w:color w:val="auto"/>
                <w:szCs w:val="21"/>
                <w:highlight w:val="none"/>
              </w:rPr>
              <w:t>投标报价及费用：1、本项目投标应以人民币报价；2、不论投标结果如何，投标人均应自行承担所有与投标有关的全部费用。</w:t>
            </w:r>
            <w:r>
              <w:rPr>
                <w:rFonts w:hint="eastAsia" w:ascii="宋体" w:hAnsi="宋体" w:cs="宋体"/>
                <w:color w:val="auto"/>
                <w:szCs w:val="21"/>
                <w:highlight w:val="none"/>
                <w:lang w:eastAsia="zh-CN"/>
              </w:rPr>
              <w:t>（</w:t>
            </w:r>
            <w:r>
              <w:rPr>
                <w:rFonts w:hint="eastAsia" w:ascii="宋体" w:hAnsi="宋体" w:cs="宋体"/>
                <w:color w:val="auto"/>
                <w:szCs w:val="21"/>
                <w:highlight w:val="none"/>
              </w:rPr>
              <w:t>该费用包括完成该项目所需的劳务费调研差旅费、资料费设备费、管理费、利润、税金等各种费用以及项目征求意见、评审期间所需的专家差旅和咨询费)</w:t>
            </w:r>
          </w:p>
        </w:tc>
      </w:tr>
      <w:tr w14:paraId="38A3467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636" w:type="dxa"/>
            <w:tcBorders>
              <w:top w:val="single" w:color="auto" w:sz="4" w:space="0"/>
              <w:left w:val="single" w:color="auto" w:sz="4" w:space="0"/>
              <w:bottom w:val="single" w:color="auto" w:sz="4" w:space="0"/>
              <w:right w:val="single" w:color="auto" w:sz="4" w:space="0"/>
            </w:tcBorders>
            <w:vAlign w:val="center"/>
          </w:tcPr>
          <w:p w14:paraId="70A16CFB">
            <w:pPr>
              <w:snapToGrid w:val="0"/>
              <w:spacing w:line="440" w:lineRule="exact"/>
              <w:jc w:val="center"/>
              <w:rPr>
                <w:rFonts w:ascii="宋体" w:hAnsi="宋体" w:cs="宋体"/>
                <w:color w:val="auto"/>
                <w:szCs w:val="21"/>
              </w:rPr>
            </w:pPr>
            <w:r>
              <w:rPr>
                <w:rFonts w:hint="eastAsia" w:ascii="宋体" w:hAnsi="宋体" w:cs="宋体"/>
                <w:color w:val="auto"/>
                <w:szCs w:val="21"/>
              </w:rPr>
              <w:t>4</w:t>
            </w:r>
          </w:p>
        </w:tc>
        <w:tc>
          <w:tcPr>
            <w:tcW w:w="8652" w:type="dxa"/>
            <w:tcBorders>
              <w:top w:val="single" w:color="auto" w:sz="4" w:space="0"/>
              <w:left w:val="single" w:color="auto" w:sz="4" w:space="0"/>
              <w:bottom w:val="single" w:color="auto" w:sz="4" w:space="0"/>
              <w:right w:val="single" w:color="auto" w:sz="4" w:space="0"/>
            </w:tcBorders>
            <w:vAlign w:val="center"/>
          </w:tcPr>
          <w:p w14:paraId="0E864C19">
            <w:pPr>
              <w:snapToGrid w:val="0"/>
              <w:spacing w:line="440" w:lineRule="exact"/>
              <w:rPr>
                <w:rFonts w:ascii="宋体" w:hAnsi="宋体" w:cs="宋体"/>
                <w:color w:val="auto"/>
                <w:szCs w:val="21"/>
              </w:rPr>
            </w:pPr>
            <w:r>
              <w:rPr>
                <w:rFonts w:hint="eastAsia" w:ascii="宋体" w:hAnsi="宋体" w:cs="宋体"/>
                <w:color w:val="auto"/>
                <w:szCs w:val="21"/>
              </w:rPr>
              <w:t>投标保证金：无</w:t>
            </w:r>
          </w:p>
        </w:tc>
      </w:tr>
      <w:tr w14:paraId="1E732FF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0" w:hRule="atLeast"/>
        </w:trPr>
        <w:tc>
          <w:tcPr>
            <w:tcW w:w="636" w:type="dxa"/>
            <w:tcBorders>
              <w:top w:val="single" w:color="auto" w:sz="4" w:space="0"/>
              <w:left w:val="single" w:color="auto" w:sz="4" w:space="0"/>
              <w:bottom w:val="single" w:color="auto" w:sz="4" w:space="0"/>
              <w:right w:val="single" w:color="auto" w:sz="4" w:space="0"/>
            </w:tcBorders>
            <w:vAlign w:val="center"/>
          </w:tcPr>
          <w:p w14:paraId="3B750E9D">
            <w:pPr>
              <w:snapToGrid w:val="0"/>
              <w:spacing w:line="440" w:lineRule="exact"/>
              <w:jc w:val="center"/>
              <w:rPr>
                <w:rFonts w:hint="eastAsia" w:ascii="宋体" w:hAnsi="宋体" w:eastAsia="宋体" w:cs="宋体"/>
                <w:color w:val="auto"/>
                <w:szCs w:val="21"/>
                <w:lang w:val="en-US" w:eastAsia="zh-CN"/>
              </w:rPr>
            </w:pPr>
            <w:r>
              <w:rPr>
                <w:rFonts w:hint="eastAsia" w:ascii="宋体" w:hAnsi="宋体" w:cs="宋体"/>
                <w:color w:val="auto"/>
                <w:szCs w:val="21"/>
                <w:lang w:val="en-US" w:eastAsia="zh-CN"/>
              </w:rPr>
              <w:t>5</w:t>
            </w:r>
          </w:p>
        </w:tc>
        <w:tc>
          <w:tcPr>
            <w:tcW w:w="8652" w:type="dxa"/>
            <w:tcBorders>
              <w:top w:val="single" w:color="auto" w:sz="4" w:space="0"/>
              <w:left w:val="single" w:color="auto" w:sz="4" w:space="0"/>
              <w:bottom w:val="single" w:color="auto" w:sz="4" w:space="0"/>
              <w:right w:val="single" w:color="auto" w:sz="4" w:space="0"/>
            </w:tcBorders>
            <w:vAlign w:val="center"/>
          </w:tcPr>
          <w:p w14:paraId="58441B92">
            <w:pPr>
              <w:snapToGrid w:val="0"/>
              <w:spacing w:line="440" w:lineRule="exact"/>
              <w:rPr>
                <w:rFonts w:hint="eastAsia" w:ascii="宋体" w:hAnsi="宋体" w:cs="宋体"/>
                <w:color w:val="auto"/>
                <w:szCs w:val="21"/>
              </w:rPr>
            </w:pPr>
            <w:r>
              <w:rPr>
                <w:rFonts w:hint="eastAsia" w:ascii="宋体" w:hAnsi="宋体" w:eastAsia="宋体" w:cs="宋体"/>
                <w:color w:val="auto"/>
                <w:szCs w:val="21"/>
                <w:lang w:val="en-US" w:eastAsia="zh-CN"/>
              </w:rPr>
              <w:t>提供视频演示</w:t>
            </w:r>
          </w:p>
        </w:tc>
      </w:tr>
      <w:tr w14:paraId="74B0B10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8" w:hRule="atLeast"/>
        </w:trPr>
        <w:tc>
          <w:tcPr>
            <w:tcW w:w="636" w:type="dxa"/>
            <w:tcBorders>
              <w:top w:val="single" w:color="auto" w:sz="4" w:space="0"/>
              <w:left w:val="single" w:color="auto" w:sz="4" w:space="0"/>
              <w:bottom w:val="single" w:color="auto" w:sz="4" w:space="0"/>
              <w:right w:val="single" w:color="auto" w:sz="4" w:space="0"/>
            </w:tcBorders>
            <w:vAlign w:val="center"/>
          </w:tcPr>
          <w:p w14:paraId="79EA6FFB">
            <w:pPr>
              <w:snapToGrid w:val="0"/>
              <w:spacing w:line="440" w:lineRule="exact"/>
              <w:jc w:val="center"/>
              <w:rPr>
                <w:rFonts w:hint="eastAsia"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6</w:t>
            </w:r>
          </w:p>
        </w:tc>
        <w:tc>
          <w:tcPr>
            <w:tcW w:w="8652" w:type="dxa"/>
            <w:tcBorders>
              <w:top w:val="single" w:color="auto" w:sz="4" w:space="0"/>
              <w:left w:val="single" w:color="auto" w:sz="4" w:space="0"/>
              <w:bottom w:val="single" w:color="auto" w:sz="4" w:space="0"/>
              <w:right w:val="single" w:color="auto" w:sz="4" w:space="0"/>
            </w:tcBorders>
            <w:vAlign w:val="center"/>
          </w:tcPr>
          <w:p w14:paraId="5EC4E8F6">
            <w:pPr>
              <w:snapToGrid w:val="0"/>
              <w:spacing w:line="440" w:lineRule="exact"/>
              <w:rPr>
                <w:rFonts w:hint="eastAsia" w:ascii="宋体" w:hAnsi="宋体" w:cs="宋体"/>
                <w:color w:val="auto"/>
                <w:szCs w:val="21"/>
                <w:highlight w:val="none"/>
              </w:rPr>
            </w:pPr>
            <w:r>
              <w:rPr>
                <w:rFonts w:hint="eastAsia" w:ascii="宋体" w:hAnsi="宋体" w:eastAsia="宋体" w:cs="宋体"/>
                <w:color w:val="auto"/>
                <w:szCs w:val="21"/>
                <w:highlight w:val="none"/>
                <w:lang w:val="en-US" w:eastAsia="zh-CN"/>
              </w:rPr>
              <w:t>现场演示(讲解)：</w:t>
            </w:r>
            <w:r>
              <w:rPr>
                <w:rFonts w:hint="default" w:ascii="宋体" w:hAnsi="宋体" w:eastAsia="宋体" w:cs="宋体"/>
                <w:color w:val="auto"/>
                <w:szCs w:val="21"/>
                <w:highlight w:val="none"/>
                <w:lang w:val="en-US" w:eastAsia="zh-CN"/>
              </w:rPr>
              <w:t>有</w:t>
            </w:r>
            <w:r>
              <w:rPr>
                <w:rFonts w:hint="eastAsia" w:ascii="宋体" w:hAnsi="宋体" w:eastAsia="宋体" w:cs="宋体"/>
                <w:color w:val="auto"/>
                <w:szCs w:val="21"/>
                <w:highlight w:val="none"/>
                <w:lang w:val="en-US" w:eastAsia="zh-CN"/>
              </w:rPr>
              <w:t>。现场演示</w:t>
            </w:r>
            <w:r>
              <w:rPr>
                <w:rFonts w:hint="eastAsia" w:ascii="宋体" w:hAnsi="宋体" w:cs="宋体"/>
                <w:b w:val="0"/>
                <w:bCs w:val="0"/>
                <w:color w:val="auto"/>
                <w:highlight w:val="none"/>
                <w:lang w:val="en-US" w:eastAsia="zh-CN"/>
              </w:rPr>
              <w:t>时间及地址：</w:t>
            </w:r>
            <w:r>
              <w:rPr>
                <w:rFonts w:hint="eastAsia" w:ascii="宋体" w:hAnsi="宋体" w:cs="宋体"/>
                <w:b w:val="0"/>
                <w:bCs w:val="0"/>
                <w:color w:val="auto"/>
                <w:highlight w:val="none"/>
                <w:lang w:eastAsia="zh-CN"/>
              </w:rPr>
              <w:t>202</w:t>
            </w:r>
            <w:r>
              <w:rPr>
                <w:rFonts w:hint="eastAsia" w:ascii="宋体" w:hAnsi="宋体" w:cs="宋体"/>
                <w:b w:val="0"/>
                <w:bCs w:val="0"/>
                <w:color w:val="auto"/>
                <w:highlight w:val="none"/>
                <w:lang w:val="en-US" w:eastAsia="zh-CN"/>
              </w:rPr>
              <w:t>5</w:t>
            </w:r>
            <w:r>
              <w:rPr>
                <w:rFonts w:hint="eastAsia" w:ascii="宋体" w:hAnsi="宋体" w:cs="宋体"/>
                <w:b w:val="0"/>
                <w:bCs w:val="0"/>
                <w:color w:val="auto"/>
                <w:highlight w:val="none"/>
                <w:lang w:eastAsia="zh-CN"/>
              </w:rPr>
              <w:t>年</w:t>
            </w:r>
            <w:r>
              <w:rPr>
                <w:rFonts w:hint="eastAsia" w:ascii="宋体" w:hAnsi="宋体" w:cs="宋体"/>
                <w:b w:val="0"/>
                <w:bCs w:val="0"/>
                <w:color w:val="auto"/>
                <w:highlight w:val="none"/>
                <w:lang w:val="en-US" w:eastAsia="zh-CN"/>
              </w:rPr>
              <w:t>04</w:t>
            </w:r>
            <w:r>
              <w:rPr>
                <w:rFonts w:hint="eastAsia" w:ascii="宋体" w:hAnsi="宋体" w:cs="宋体"/>
                <w:b w:val="0"/>
                <w:bCs w:val="0"/>
                <w:color w:val="auto"/>
                <w:highlight w:val="none"/>
                <w:lang w:eastAsia="zh-CN"/>
              </w:rPr>
              <w:t>月</w:t>
            </w:r>
            <w:r>
              <w:rPr>
                <w:rFonts w:hint="eastAsia" w:ascii="宋体" w:hAnsi="宋体" w:cs="宋体"/>
                <w:b w:val="0"/>
                <w:bCs w:val="0"/>
                <w:color w:val="auto"/>
                <w:highlight w:val="none"/>
                <w:lang w:val="en-US" w:eastAsia="zh-CN"/>
              </w:rPr>
              <w:t>17</w:t>
            </w:r>
            <w:r>
              <w:rPr>
                <w:rFonts w:hint="eastAsia" w:ascii="宋体" w:hAnsi="宋体" w:cs="宋体"/>
                <w:b w:val="0"/>
                <w:bCs w:val="0"/>
                <w:color w:val="auto"/>
                <w:highlight w:val="none"/>
                <w:lang w:eastAsia="zh-CN"/>
              </w:rPr>
              <w:t>日</w:t>
            </w:r>
            <w:r>
              <w:rPr>
                <w:rFonts w:hint="eastAsia" w:ascii="宋体" w:hAnsi="宋体" w:cs="宋体"/>
                <w:b w:val="0"/>
                <w:bCs w:val="0"/>
                <w:color w:val="auto"/>
                <w:highlight w:val="none"/>
                <w:lang w:val="en-US" w:eastAsia="zh-CN"/>
              </w:rPr>
              <w:t>14</w:t>
            </w:r>
            <w:r>
              <w:rPr>
                <w:rFonts w:hint="eastAsia" w:ascii="宋体" w:hAnsi="宋体" w:cs="宋体"/>
                <w:b w:val="0"/>
                <w:bCs w:val="0"/>
                <w:color w:val="auto"/>
                <w:highlight w:val="none"/>
                <w:lang w:eastAsia="zh-CN"/>
              </w:rPr>
              <w:t>时</w:t>
            </w:r>
            <w:r>
              <w:rPr>
                <w:rFonts w:hint="eastAsia" w:ascii="宋体" w:hAnsi="宋体" w:cs="宋体"/>
                <w:b w:val="0"/>
                <w:bCs w:val="0"/>
                <w:color w:val="auto"/>
                <w:highlight w:val="none"/>
                <w:lang w:val="en-US" w:eastAsia="zh-CN"/>
              </w:rPr>
              <w:t>3</w:t>
            </w:r>
            <w:r>
              <w:rPr>
                <w:rFonts w:hint="eastAsia" w:ascii="宋体" w:hAnsi="宋体" w:cs="宋体"/>
                <w:b w:val="0"/>
                <w:bCs w:val="0"/>
                <w:color w:val="auto"/>
                <w:highlight w:val="none"/>
                <w:lang w:eastAsia="zh-CN"/>
              </w:rPr>
              <w:t>0分。</w:t>
            </w:r>
            <w:r>
              <w:rPr>
                <w:rFonts w:hint="eastAsia" w:ascii="宋体" w:hAnsi="宋体" w:eastAsia="宋体" w:cs="宋体"/>
                <w:b w:val="0"/>
                <w:bCs w:val="0"/>
                <w:color w:val="auto"/>
                <w:kern w:val="58"/>
                <w:sz w:val="21"/>
                <w:szCs w:val="21"/>
                <w:highlight w:val="none"/>
                <w:u w:val="none"/>
                <w:lang w:val="en-US" w:eastAsia="zh-CN"/>
              </w:rPr>
              <w:t>地址：</w:t>
            </w:r>
            <w:r>
              <w:rPr>
                <w:rFonts w:hint="eastAsia" w:ascii="宋体" w:hAnsi="宋体" w:eastAsia="宋体" w:cs="宋体"/>
                <w:b w:val="0"/>
                <w:bCs w:val="0"/>
                <w:color w:val="auto"/>
                <w:kern w:val="58"/>
                <w:sz w:val="21"/>
                <w:szCs w:val="21"/>
                <w:highlight w:val="none"/>
                <w:u w:val="none"/>
                <w:lang w:eastAsia="zh-CN"/>
              </w:rPr>
              <w:t>舟山市嵊泗县菜园镇东市街22号5楼开标2室开标</w:t>
            </w:r>
            <w:r>
              <w:rPr>
                <w:rFonts w:hint="eastAsia" w:ascii="宋体" w:hAnsi="宋体" w:cs="宋体"/>
                <w:b w:val="0"/>
                <w:bCs w:val="0"/>
                <w:color w:val="auto"/>
                <w:highlight w:val="none"/>
              </w:rPr>
              <w:t>。联系人：</w:t>
            </w:r>
            <w:r>
              <w:rPr>
                <w:rFonts w:hint="eastAsia" w:ascii="宋体" w:hAnsi="宋体" w:cs="宋体"/>
                <w:b w:val="0"/>
                <w:bCs w:val="0"/>
                <w:color w:val="auto"/>
                <w:highlight w:val="none"/>
                <w:lang w:eastAsia="zh-CN"/>
              </w:rPr>
              <w:t>黄健</w:t>
            </w:r>
            <w:r>
              <w:rPr>
                <w:rFonts w:hint="eastAsia" w:ascii="宋体" w:hAnsi="宋体" w:cs="宋体"/>
                <w:b w:val="0"/>
                <w:bCs w:val="0"/>
                <w:color w:val="auto"/>
                <w:highlight w:val="none"/>
              </w:rPr>
              <w:t>，联系电话：</w:t>
            </w:r>
            <w:r>
              <w:rPr>
                <w:rFonts w:hint="eastAsia" w:ascii="宋体" w:hAnsi="宋体" w:cs="宋体"/>
                <w:b w:val="0"/>
                <w:bCs w:val="0"/>
                <w:color w:val="auto"/>
                <w:highlight w:val="none"/>
                <w:lang w:val="en-US" w:eastAsia="zh-CN"/>
              </w:rPr>
              <w:t>13575602808。</w:t>
            </w:r>
          </w:p>
        </w:tc>
      </w:tr>
      <w:tr w14:paraId="1C5E797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0" w:hRule="atLeast"/>
        </w:trPr>
        <w:tc>
          <w:tcPr>
            <w:tcW w:w="636" w:type="dxa"/>
            <w:tcBorders>
              <w:top w:val="single" w:color="auto" w:sz="4" w:space="0"/>
              <w:left w:val="single" w:color="auto" w:sz="4" w:space="0"/>
              <w:bottom w:val="single" w:color="auto" w:sz="4" w:space="0"/>
              <w:right w:val="single" w:color="auto" w:sz="4" w:space="0"/>
            </w:tcBorders>
            <w:vAlign w:val="center"/>
          </w:tcPr>
          <w:p w14:paraId="0F8CB753">
            <w:pPr>
              <w:snapToGrid w:val="0"/>
              <w:spacing w:line="440" w:lineRule="exact"/>
              <w:jc w:val="center"/>
              <w:rPr>
                <w:rFonts w:hint="eastAsia" w:ascii="宋体" w:hAnsi="宋体" w:eastAsia="宋体" w:cs="宋体"/>
                <w:color w:val="auto"/>
                <w:szCs w:val="21"/>
                <w:lang w:val="en-US" w:eastAsia="zh-CN"/>
              </w:rPr>
            </w:pPr>
            <w:r>
              <w:rPr>
                <w:rFonts w:hint="eastAsia" w:ascii="宋体" w:hAnsi="宋体" w:cs="宋体"/>
                <w:color w:val="auto"/>
                <w:szCs w:val="21"/>
                <w:lang w:val="en-US" w:eastAsia="zh-CN"/>
              </w:rPr>
              <w:t>7</w:t>
            </w:r>
          </w:p>
        </w:tc>
        <w:tc>
          <w:tcPr>
            <w:tcW w:w="8652" w:type="dxa"/>
            <w:tcBorders>
              <w:top w:val="single" w:color="auto" w:sz="4" w:space="0"/>
              <w:left w:val="single" w:color="auto" w:sz="4" w:space="0"/>
              <w:bottom w:val="single" w:color="auto" w:sz="4" w:space="0"/>
              <w:right w:val="single" w:color="auto" w:sz="4" w:space="0"/>
            </w:tcBorders>
            <w:vAlign w:val="center"/>
          </w:tcPr>
          <w:p w14:paraId="13AD8DEC">
            <w:pPr>
              <w:snapToGrid w:val="0"/>
              <w:spacing w:line="440" w:lineRule="exact"/>
              <w:rPr>
                <w:rFonts w:hint="eastAsia" w:ascii="宋体" w:hAnsi="宋体" w:eastAsia="宋体" w:cs="宋体"/>
                <w:color w:val="auto"/>
                <w:szCs w:val="21"/>
                <w:lang w:eastAsia="zh-CN"/>
              </w:rPr>
            </w:pPr>
            <w:r>
              <w:rPr>
                <w:rFonts w:hint="eastAsia" w:ascii="宋体" w:hAnsi="宋体" w:cs="宋体"/>
                <w:color w:val="auto"/>
                <w:szCs w:val="21"/>
              </w:rPr>
              <w:t>现场踏勘：</w:t>
            </w:r>
            <w:r>
              <w:rPr>
                <w:rFonts w:hint="eastAsia" w:ascii="宋体" w:hAnsi="宋体" w:cs="宋体"/>
                <w:color w:val="auto"/>
                <w:szCs w:val="21"/>
                <w:highlight w:val="none"/>
                <w:lang w:val="en-US" w:eastAsia="zh-CN"/>
              </w:rPr>
              <w:t>自行</w:t>
            </w:r>
            <w:r>
              <w:rPr>
                <w:rFonts w:hint="eastAsia" w:ascii="宋体" w:hAnsi="宋体" w:cs="宋体"/>
                <w:color w:val="auto"/>
                <w:szCs w:val="21"/>
                <w:highlight w:val="none"/>
              </w:rPr>
              <w:t>踏勘</w:t>
            </w:r>
            <w:r>
              <w:rPr>
                <w:rFonts w:hint="eastAsia" w:ascii="宋体" w:hAnsi="宋体" w:cs="宋体"/>
                <w:color w:val="auto"/>
                <w:szCs w:val="21"/>
                <w:highlight w:val="none"/>
                <w:lang w:eastAsia="zh-CN"/>
              </w:rPr>
              <w:t>，</w:t>
            </w:r>
            <w:r>
              <w:rPr>
                <w:rFonts w:hint="eastAsia" w:ascii="宋体" w:hAnsi="宋体" w:cs="宋体"/>
                <w:color w:val="auto"/>
                <w:szCs w:val="21"/>
                <w:highlight w:val="none"/>
                <w:lang w:val="en-US" w:eastAsia="zh-CN"/>
              </w:rPr>
              <w:t>费用自理</w:t>
            </w:r>
          </w:p>
        </w:tc>
      </w:tr>
      <w:tr w14:paraId="07309B3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6" w:hRule="atLeast"/>
        </w:trPr>
        <w:tc>
          <w:tcPr>
            <w:tcW w:w="636" w:type="dxa"/>
            <w:tcBorders>
              <w:top w:val="single" w:color="auto" w:sz="4" w:space="0"/>
              <w:left w:val="single" w:color="auto" w:sz="4" w:space="0"/>
              <w:bottom w:val="single" w:color="auto" w:sz="4" w:space="0"/>
              <w:right w:val="single" w:color="auto" w:sz="4" w:space="0"/>
            </w:tcBorders>
            <w:vAlign w:val="center"/>
          </w:tcPr>
          <w:p w14:paraId="2F08ACD8">
            <w:pPr>
              <w:snapToGrid w:val="0"/>
              <w:spacing w:line="440" w:lineRule="exact"/>
              <w:jc w:val="center"/>
              <w:rPr>
                <w:rFonts w:hint="eastAsia" w:ascii="宋体" w:hAnsi="宋体" w:eastAsia="宋体" w:cs="宋体"/>
                <w:color w:val="auto"/>
                <w:szCs w:val="21"/>
                <w:lang w:val="en-US" w:eastAsia="zh-CN"/>
              </w:rPr>
            </w:pPr>
            <w:r>
              <w:rPr>
                <w:rFonts w:hint="eastAsia" w:ascii="宋体" w:hAnsi="宋体" w:cs="宋体"/>
                <w:color w:val="auto"/>
                <w:szCs w:val="21"/>
                <w:lang w:val="en-US" w:eastAsia="zh-CN"/>
              </w:rPr>
              <w:t>8</w:t>
            </w:r>
          </w:p>
        </w:tc>
        <w:tc>
          <w:tcPr>
            <w:tcW w:w="8652" w:type="dxa"/>
            <w:tcBorders>
              <w:top w:val="single" w:color="auto" w:sz="4" w:space="0"/>
              <w:left w:val="single" w:color="auto" w:sz="4" w:space="0"/>
              <w:bottom w:val="single" w:color="auto" w:sz="4" w:space="0"/>
              <w:right w:val="single" w:color="auto" w:sz="4" w:space="0"/>
            </w:tcBorders>
            <w:vAlign w:val="center"/>
          </w:tcPr>
          <w:p w14:paraId="0706111C">
            <w:pPr>
              <w:snapToGrid w:val="0"/>
              <w:spacing w:line="440" w:lineRule="exact"/>
              <w:rPr>
                <w:rFonts w:ascii="宋体" w:hAnsi="宋体" w:cs="宋体"/>
                <w:color w:val="auto"/>
                <w:szCs w:val="21"/>
              </w:rPr>
            </w:pPr>
            <w:r>
              <w:rPr>
                <w:rFonts w:hint="eastAsia" w:ascii="宋体" w:hAnsi="宋体" w:cs="宋体"/>
                <w:szCs w:val="21"/>
              </w:rPr>
              <w:t>在不影响公平竞争的前提下，采购文件中参与同一标段（包）的供应商存在以下情形的，其投标文件相应无效：MAC地址相同、计算机硬盘序列号相同、采购文件细节错误一致且无合理解释的等情形。</w:t>
            </w:r>
          </w:p>
        </w:tc>
      </w:tr>
      <w:tr w14:paraId="4F2A5FB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6" w:hRule="atLeast"/>
        </w:trPr>
        <w:tc>
          <w:tcPr>
            <w:tcW w:w="636" w:type="dxa"/>
            <w:tcBorders>
              <w:top w:val="single" w:color="auto" w:sz="4" w:space="0"/>
              <w:left w:val="single" w:color="auto" w:sz="4" w:space="0"/>
              <w:bottom w:val="single" w:color="auto" w:sz="4" w:space="0"/>
              <w:right w:val="single" w:color="auto" w:sz="4" w:space="0"/>
            </w:tcBorders>
            <w:vAlign w:val="center"/>
          </w:tcPr>
          <w:p w14:paraId="56DFEAA7">
            <w:pPr>
              <w:snapToGrid w:val="0"/>
              <w:spacing w:line="440" w:lineRule="exact"/>
              <w:jc w:val="center"/>
              <w:rPr>
                <w:rFonts w:hint="eastAsia" w:ascii="宋体" w:hAnsi="宋体" w:eastAsia="宋体" w:cs="宋体"/>
                <w:color w:val="auto"/>
                <w:szCs w:val="21"/>
                <w:lang w:val="en-US" w:eastAsia="zh-CN"/>
              </w:rPr>
            </w:pPr>
            <w:r>
              <w:rPr>
                <w:rFonts w:hint="eastAsia" w:ascii="宋体" w:hAnsi="宋体" w:cs="宋体"/>
                <w:color w:val="auto"/>
                <w:szCs w:val="21"/>
                <w:lang w:val="en-US" w:eastAsia="zh-CN"/>
              </w:rPr>
              <w:t>9</w:t>
            </w:r>
          </w:p>
        </w:tc>
        <w:tc>
          <w:tcPr>
            <w:tcW w:w="8652" w:type="dxa"/>
            <w:tcBorders>
              <w:top w:val="single" w:color="auto" w:sz="4" w:space="0"/>
              <w:left w:val="single" w:color="auto" w:sz="4" w:space="0"/>
              <w:bottom w:val="single" w:color="auto" w:sz="4" w:space="0"/>
              <w:right w:val="single" w:color="auto" w:sz="4" w:space="0"/>
            </w:tcBorders>
            <w:vAlign w:val="center"/>
          </w:tcPr>
          <w:p w14:paraId="712CCA8C">
            <w:pPr>
              <w:snapToGrid w:val="0"/>
              <w:spacing w:line="440" w:lineRule="exact"/>
              <w:rPr>
                <w:rFonts w:ascii="宋体" w:hAnsi="宋体" w:cs="宋体"/>
                <w:color w:val="auto"/>
                <w:szCs w:val="21"/>
              </w:rPr>
            </w:pPr>
            <w:r>
              <w:rPr>
                <w:rFonts w:hint="eastAsia" w:ascii="宋体" w:hAnsi="宋体" w:cs="宋体"/>
                <w:color w:val="auto"/>
                <w:szCs w:val="21"/>
              </w:rPr>
              <w:t>答疑与澄清：无</w:t>
            </w:r>
          </w:p>
        </w:tc>
      </w:tr>
      <w:tr w14:paraId="4D054D0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0" w:hRule="atLeast"/>
        </w:trPr>
        <w:tc>
          <w:tcPr>
            <w:tcW w:w="636" w:type="dxa"/>
            <w:tcBorders>
              <w:top w:val="single" w:color="auto" w:sz="4" w:space="0"/>
              <w:left w:val="single" w:color="auto" w:sz="4" w:space="0"/>
              <w:bottom w:val="single" w:color="auto" w:sz="4" w:space="0"/>
              <w:right w:val="single" w:color="auto" w:sz="4" w:space="0"/>
            </w:tcBorders>
            <w:vAlign w:val="center"/>
          </w:tcPr>
          <w:p w14:paraId="33DAC32B">
            <w:pPr>
              <w:snapToGrid w:val="0"/>
              <w:spacing w:line="440" w:lineRule="exact"/>
              <w:jc w:val="center"/>
              <w:rPr>
                <w:rFonts w:hint="default" w:ascii="宋体" w:hAnsi="宋体" w:eastAsia="宋体" w:cs="宋体"/>
                <w:color w:val="auto"/>
                <w:szCs w:val="21"/>
                <w:lang w:val="en-US" w:eastAsia="zh-CN"/>
              </w:rPr>
            </w:pPr>
            <w:r>
              <w:rPr>
                <w:rFonts w:hint="eastAsia" w:ascii="宋体" w:hAnsi="宋体" w:cs="宋体"/>
                <w:color w:val="auto"/>
                <w:szCs w:val="21"/>
                <w:lang w:val="en-US" w:eastAsia="zh-CN"/>
              </w:rPr>
              <w:t>10</w:t>
            </w:r>
          </w:p>
        </w:tc>
        <w:tc>
          <w:tcPr>
            <w:tcW w:w="8652" w:type="dxa"/>
            <w:tcBorders>
              <w:top w:val="single" w:color="auto" w:sz="4" w:space="0"/>
              <w:left w:val="single" w:color="auto" w:sz="4" w:space="0"/>
              <w:bottom w:val="single" w:color="auto" w:sz="4" w:space="0"/>
              <w:right w:val="single" w:color="auto" w:sz="4" w:space="0"/>
            </w:tcBorders>
            <w:vAlign w:val="center"/>
          </w:tcPr>
          <w:p w14:paraId="36CF300F">
            <w:pPr>
              <w:autoSpaceDE w:val="0"/>
              <w:autoSpaceDN w:val="0"/>
              <w:snapToGrid w:val="0"/>
              <w:spacing w:line="440" w:lineRule="exact"/>
              <w:textAlignment w:val="bottom"/>
              <w:rPr>
                <w:rFonts w:ascii="宋体" w:hAnsi="宋体" w:cs="宋体"/>
                <w:color w:val="auto"/>
                <w:szCs w:val="21"/>
              </w:rPr>
            </w:pPr>
            <w:r>
              <w:rPr>
                <w:rFonts w:hint="eastAsia" w:ascii="宋体" w:hAnsi="宋体" w:cs="宋体"/>
                <w:color w:val="auto"/>
                <w:szCs w:val="21"/>
              </w:rPr>
              <w:t>投标文件组成：</w:t>
            </w:r>
            <w:r>
              <w:rPr>
                <w:rFonts w:hint="eastAsia" w:ascii="宋体" w:hAnsi="宋体" w:cs="宋体"/>
                <w:bCs/>
                <w:color w:val="auto"/>
                <w:szCs w:val="21"/>
              </w:rPr>
              <w:t>完整的《投标文件》由</w:t>
            </w:r>
            <w:r>
              <w:rPr>
                <w:rFonts w:hint="eastAsia" w:ascii="宋体" w:hAnsi="宋体" w:cs="宋体"/>
                <w:b/>
                <w:color w:val="auto"/>
                <w:szCs w:val="21"/>
              </w:rPr>
              <w:t>资格文件、商务技术文件及报价文件三部份组成</w:t>
            </w:r>
            <w:r>
              <w:rPr>
                <w:rFonts w:hint="eastAsia" w:ascii="宋体" w:hAnsi="宋体" w:cs="宋体"/>
                <w:bCs/>
                <w:color w:val="auto"/>
                <w:szCs w:val="21"/>
              </w:rPr>
              <w:t>。</w:t>
            </w:r>
          </w:p>
        </w:tc>
      </w:tr>
      <w:tr w14:paraId="168E44A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95" w:hRule="atLeast"/>
        </w:trPr>
        <w:tc>
          <w:tcPr>
            <w:tcW w:w="636" w:type="dxa"/>
            <w:tcBorders>
              <w:top w:val="single" w:color="auto" w:sz="4" w:space="0"/>
              <w:left w:val="single" w:color="auto" w:sz="4" w:space="0"/>
              <w:bottom w:val="single" w:color="auto" w:sz="4" w:space="0"/>
              <w:right w:val="single" w:color="auto" w:sz="4" w:space="0"/>
            </w:tcBorders>
            <w:vAlign w:val="center"/>
          </w:tcPr>
          <w:p w14:paraId="243ED206">
            <w:pPr>
              <w:snapToGrid w:val="0"/>
              <w:spacing w:line="440" w:lineRule="exact"/>
              <w:jc w:val="center"/>
              <w:rPr>
                <w:rFonts w:hint="default" w:ascii="宋体" w:hAnsi="宋体" w:eastAsia="宋体" w:cs="宋体"/>
                <w:color w:val="auto"/>
                <w:szCs w:val="21"/>
                <w:lang w:val="en-US" w:eastAsia="zh-CN"/>
              </w:rPr>
            </w:pPr>
            <w:r>
              <w:rPr>
                <w:rFonts w:hint="eastAsia" w:ascii="宋体" w:hAnsi="宋体" w:cs="宋体"/>
                <w:color w:val="auto"/>
                <w:szCs w:val="21"/>
                <w:lang w:val="en-US" w:eastAsia="zh-CN"/>
              </w:rPr>
              <w:t>11</w:t>
            </w:r>
          </w:p>
        </w:tc>
        <w:tc>
          <w:tcPr>
            <w:tcW w:w="8652" w:type="dxa"/>
            <w:tcBorders>
              <w:top w:val="single" w:color="auto" w:sz="4" w:space="0"/>
              <w:left w:val="single" w:color="auto" w:sz="4" w:space="0"/>
              <w:bottom w:val="single" w:color="auto" w:sz="4" w:space="0"/>
              <w:right w:val="single" w:color="auto" w:sz="4" w:space="0"/>
            </w:tcBorders>
            <w:vAlign w:val="center"/>
          </w:tcPr>
          <w:p w14:paraId="277755BD">
            <w:pPr>
              <w:spacing w:line="440" w:lineRule="exact"/>
              <w:jc w:val="left"/>
              <w:rPr>
                <w:rFonts w:ascii="宋体" w:hAnsi="宋体" w:cs="宋体"/>
                <w:color w:val="auto"/>
                <w:szCs w:val="21"/>
              </w:rPr>
            </w:pPr>
            <w:r>
              <w:rPr>
                <w:rFonts w:hint="eastAsia" w:ascii="宋体" w:hAnsi="宋体" w:cs="宋体"/>
                <w:color w:val="auto"/>
                <w:szCs w:val="21"/>
              </w:rPr>
              <w:t>投标文件的编制：供应商应先安装“政采云电子交易客户端”，并按照本采购文件和“政府采购云平台”的要求，通过“政采云电子交易客户端”编制并加密投标文件。</w:t>
            </w:r>
          </w:p>
        </w:tc>
      </w:tr>
      <w:tr w14:paraId="786F874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636" w:type="dxa"/>
            <w:tcBorders>
              <w:top w:val="single" w:color="auto" w:sz="4" w:space="0"/>
              <w:left w:val="single" w:color="auto" w:sz="4" w:space="0"/>
              <w:bottom w:val="single" w:color="auto" w:sz="4" w:space="0"/>
              <w:right w:val="single" w:color="auto" w:sz="4" w:space="0"/>
            </w:tcBorders>
            <w:vAlign w:val="center"/>
          </w:tcPr>
          <w:p w14:paraId="5FDB6DC5">
            <w:pPr>
              <w:snapToGrid w:val="0"/>
              <w:spacing w:line="440" w:lineRule="exact"/>
              <w:jc w:val="center"/>
              <w:rPr>
                <w:rFonts w:hint="default" w:ascii="宋体" w:hAnsi="宋体" w:eastAsia="宋体" w:cs="宋体"/>
                <w:color w:val="auto"/>
                <w:szCs w:val="21"/>
                <w:lang w:val="en-US" w:eastAsia="zh-CN"/>
              </w:rPr>
            </w:pPr>
            <w:r>
              <w:rPr>
                <w:rFonts w:hint="eastAsia" w:ascii="宋体" w:hAnsi="宋体" w:cs="宋体"/>
                <w:color w:val="auto"/>
                <w:szCs w:val="21"/>
                <w:lang w:val="en-US" w:eastAsia="zh-CN"/>
              </w:rPr>
              <w:t>12</w:t>
            </w:r>
          </w:p>
        </w:tc>
        <w:tc>
          <w:tcPr>
            <w:tcW w:w="8652" w:type="dxa"/>
            <w:tcBorders>
              <w:top w:val="single" w:color="auto" w:sz="4" w:space="0"/>
              <w:left w:val="single" w:color="auto" w:sz="4" w:space="0"/>
              <w:bottom w:val="single" w:color="auto" w:sz="4" w:space="0"/>
              <w:right w:val="single" w:color="auto" w:sz="4" w:space="0"/>
            </w:tcBorders>
            <w:vAlign w:val="center"/>
          </w:tcPr>
          <w:p w14:paraId="0AE76719">
            <w:pPr>
              <w:spacing w:line="440" w:lineRule="exact"/>
              <w:jc w:val="left"/>
              <w:rPr>
                <w:rFonts w:hint="eastAsia" w:ascii="宋体" w:hAnsi="宋体" w:cs="宋体"/>
                <w:color w:val="auto"/>
                <w:szCs w:val="21"/>
              </w:rPr>
            </w:pPr>
            <w:r>
              <w:rPr>
                <w:rFonts w:hint="eastAsia" w:ascii="宋体" w:hAnsi="宋体" w:cs="宋体"/>
                <w:color w:val="auto"/>
                <w:szCs w:val="21"/>
                <w:highlight w:val="none"/>
              </w:rPr>
              <w:t>投标文件的签章：电子签章。</w:t>
            </w:r>
          </w:p>
        </w:tc>
      </w:tr>
      <w:tr w14:paraId="2203C69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9" w:hRule="atLeast"/>
        </w:trPr>
        <w:tc>
          <w:tcPr>
            <w:tcW w:w="636" w:type="dxa"/>
            <w:tcBorders>
              <w:top w:val="single" w:color="auto" w:sz="4" w:space="0"/>
              <w:left w:val="single" w:color="auto" w:sz="4" w:space="0"/>
              <w:bottom w:val="single" w:color="auto" w:sz="4" w:space="0"/>
              <w:right w:val="single" w:color="auto" w:sz="4" w:space="0"/>
            </w:tcBorders>
            <w:vAlign w:val="center"/>
          </w:tcPr>
          <w:p w14:paraId="11B5C911">
            <w:pPr>
              <w:spacing w:line="440" w:lineRule="exact"/>
              <w:jc w:val="center"/>
              <w:rPr>
                <w:rFonts w:hint="eastAsia" w:ascii="宋体" w:hAnsi="宋体" w:eastAsia="宋体" w:cs="宋体"/>
                <w:color w:val="auto"/>
                <w:szCs w:val="21"/>
                <w:lang w:val="en-US" w:eastAsia="zh-CN"/>
              </w:rPr>
            </w:pPr>
            <w:r>
              <w:rPr>
                <w:rFonts w:hint="eastAsia" w:ascii="宋体" w:hAnsi="宋体" w:cs="宋体"/>
                <w:color w:val="auto"/>
                <w:szCs w:val="21"/>
              </w:rPr>
              <w:t>1</w:t>
            </w:r>
            <w:r>
              <w:rPr>
                <w:rFonts w:hint="eastAsia" w:ascii="宋体" w:hAnsi="宋体" w:cs="宋体"/>
                <w:color w:val="auto"/>
                <w:szCs w:val="21"/>
                <w:lang w:val="en-US" w:eastAsia="zh-CN"/>
              </w:rPr>
              <w:t>3</w:t>
            </w:r>
          </w:p>
        </w:tc>
        <w:tc>
          <w:tcPr>
            <w:tcW w:w="8652" w:type="dxa"/>
            <w:tcBorders>
              <w:top w:val="single" w:color="auto" w:sz="4" w:space="0"/>
              <w:left w:val="single" w:color="auto" w:sz="4" w:space="0"/>
              <w:bottom w:val="single" w:color="auto" w:sz="4" w:space="0"/>
              <w:right w:val="single" w:color="auto" w:sz="4" w:space="0"/>
            </w:tcBorders>
            <w:vAlign w:val="center"/>
          </w:tcPr>
          <w:p w14:paraId="3075B677">
            <w:pPr>
              <w:spacing w:line="440" w:lineRule="exact"/>
              <w:jc w:val="left"/>
              <w:rPr>
                <w:rFonts w:ascii="宋体" w:hAnsi="宋体" w:cs="宋体"/>
                <w:bCs/>
                <w:color w:val="auto"/>
                <w:szCs w:val="21"/>
              </w:rPr>
            </w:pPr>
            <w:r>
              <w:rPr>
                <w:rFonts w:hint="eastAsia" w:ascii="宋体" w:hAnsi="宋体" w:cs="宋体"/>
                <w:color w:val="auto"/>
                <w:szCs w:val="21"/>
              </w:rPr>
              <w:t>投标文件的形式：</w:t>
            </w:r>
            <w:r>
              <w:rPr>
                <w:rFonts w:hint="eastAsia" w:ascii="宋体" w:hAnsi="宋体" w:cs="宋体"/>
                <w:bCs/>
                <w:color w:val="auto"/>
                <w:szCs w:val="21"/>
              </w:rPr>
              <w:t>☑电子投标文件（包括“电子加密投标文件”和“备份投标文件”，在投标文件编制完成后同时生成）；</w:t>
            </w:r>
          </w:p>
          <w:p w14:paraId="2AD9E5E5">
            <w:pPr>
              <w:spacing w:line="440" w:lineRule="exact"/>
              <w:jc w:val="left"/>
              <w:rPr>
                <w:rFonts w:ascii="宋体" w:hAnsi="宋体" w:cs="宋体"/>
                <w:bCs/>
                <w:color w:val="auto"/>
                <w:szCs w:val="21"/>
              </w:rPr>
            </w:pPr>
            <w:r>
              <w:rPr>
                <w:rFonts w:hint="eastAsia" w:ascii="宋体" w:hAnsi="宋体" w:cs="宋体"/>
                <w:bCs/>
                <w:color w:val="auto"/>
                <w:szCs w:val="21"/>
              </w:rPr>
              <w:t>（1）“电子加密投标文件”是指通过“政采云电子交易客户端”完成投标文件编制后生成并加密的数据电文形式的投标文件。</w:t>
            </w:r>
          </w:p>
          <w:p w14:paraId="739D2015">
            <w:pPr>
              <w:spacing w:line="440" w:lineRule="exact"/>
              <w:jc w:val="left"/>
              <w:rPr>
                <w:rFonts w:ascii="宋体" w:hAnsi="宋体" w:cs="宋体"/>
                <w:color w:val="auto"/>
                <w:szCs w:val="21"/>
              </w:rPr>
            </w:pPr>
            <w:r>
              <w:rPr>
                <w:rFonts w:hint="eastAsia" w:ascii="宋体" w:hAnsi="宋体" w:cs="宋体"/>
                <w:bCs/>
                <w:color w:val="auto"/>
                <w:szCs w:val="21"/>
              </w:rPr>
              <w:t>（2）“备份投标文件”是指与“电子加密投标文件”同时生成的数据电文形式的电子文件（备份标书），其他方式编制的备份投标文件视为无效备份投标文件。</w:t>
            </w:r>
          </w:p>
        </w:tc>
      </w:tr>
      <w:tr w14:paraId="3600C34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9" w:hRule="atLeast"/>
        </w:trPr>
        <w:tc>
          <w:tcPr>
            <w:tcW w:w="636" w:type="dxa"/>
            <w:tcBorders>
              <w:top w:val="single" w:color="auto" w:sz="4" w:space="0"/>
              <w:left w:val="single" w:color="auto" w:sz="4" w:space="0"/>
              <w:bottom w:val="single" w:color="auto" w:sz="4" w:space="0"/>
              <w:right w:val="single" w:color="auto" w:sz="4" w:space="0"/>
            </w:tcBorders>
            <w:vAlign w:val="center"/>
          </w:tcPr>
          <w:p w14:paraId="2949032A">
            <w:pPr>
              <w:spacing w:line="440" w:lineRule="exact"/>
              <w:jc w:val="center"/>
              <w:rPr>
                <w:rFonts w:hint="eastAsia" w:ascii="宋体" w:hAnsi="宋体" w:eastAsia="宋体" w:cs="宋体"/>
                <w:color w:val="auto"/>
                <w:szCs w:val="21"/>
                <w:lang w:val="en-US" w:eastAsia="zh-CN"/>
              </w:rPr>
            </w:pPr>
            <w:r>
              <w:rPr>
                <w:rFonts w:hint="eastAsia" w:ascii="宋体" w:hAnsi="宋体" w:cs="宋体"/>
                <w:color w:val="auto"/>
                <w:szCs w:val="21"/>
              </w:rPr>
              <w:t>1</w:t>
            </w:r>
            <w:r>
              <w:rPr>
                <w:rFonts w:hint="eastAsia" w:ascii="宋体" w:hAnsi="宋体" w:cs="宋体"/>
                <w:color w:val="auto"/>
                <w:szCs w:val="21"/>
                <w:lang w:val="en-US" w:eastAsia="zh-CN"/>
              </w:rPr>
              <w:t>4</w:t>
            </w:r>
          </w:p>
        </w:tc>
        <w:tc>
          <w:tcPr>
            <w:tcW w:w="8652" w:type="dxa"/>
            <w:tcBorders>
              <w:top w:val="single" w:color="auto" w:sz="4" w:space="0"/>
              <w:left w:val="single" w:color="auto" w:sz="4" w:space="0"/>
              <w:bottom w:val="single" w:color="auto" w:sz="4" w:space="0"/>
              <w:right w:val="single" w:color="auto" w:sz="4" w:space="0"/>
            </w:tcBorders>
            <w:vAlign w:val="center"/>
          </w:tcPr>
          <w:p w14:paraId="141CBC91">
            <w:pPr>
              <w:spacing w:line="440" w:lineRule="exact"/>
              <w:jc w:val="left"/>
              <w:rPr>
                <w:rFonts w:ascii="宋体" w:hAnsi="宋体" w:cs="宋体"/>
                <w:color w:val="auto"/>
                <w:szCs w:val="21"/>
              </w:rPr>
            </w:pPr>
            <w:r>
              <w:rPr>
                <w:rFonts w:hint="eastAsia" w:ascii="宋体" w:hAnsi="宋体" w:cs="宋体"/>
                <w:color w:val="auto"/>
                <w:szCs w:val="21"/>
              </w:rPr>
              <w:t>投标文件份数：</w:t>
            </w:r>
            <w:r>
              <w:rPr>
                <w:rFonts w:hint="eastAsia" w:ascii="宋体" w:hAnsi="宋体" w:cs="宋体"/>
                <w:bCs/>
                <w:color w:val="auto"/>
                <w:szCs w:val="21"/>
              </w:rPr>
              <w:t>（1）“电子加密投标文件”：在线上传递交一份。（2）“备份投标文件”：密封包装后（邮寄形式）投标截止时间前递交一份（</w:t>
            </w:r>
            <w:r>
              <w:rPr>
                <w:rFonts w:hint="eastAsia" w:ascii="宋体" w:hAnsi="宋体" w:cs="宋体"/>
                <w:b/>
                <w:color w:val="auto"/>
                <w:szCs w:val="21"/>
              </w:rPr>
              <w:t>邮寄地址：浙江省舟山市嵊泗县菜园镇</w:t>
            </w:r>
            <w:r>
              <w:rPr>
                <w:rFonts w:hint="eastAsia" w:ascii="宋体" w:hAnsi="宋体" w:cs="宋体"/>
                <w:b/>
                <w:color w:val="auto"/>
                <w:szCs w:val="21"/>
                <w:lang w:val="en-US" w:eastAsia="zh-CN"/>
              </w:rPr>
              <w:t>沙河</w:t>
            </w:r>
            <w:r>
              <w:rPr>
                <w:rFonts w:hint="eastAsia" w:ascii="宋体" w:hAnsi="宋体" w:cs="宋体"/>
                <w:b/>
                <w:color w:val="auto"/>
                <w:szCs w:val="21"/>
              </w:rPr>
              <w:t>路</w:t>
            </w:r>
            <w:r>
              <w:rPr>
                <w:rFonts w:hint="eastAsia" w:ascii="宋体" w:hAnsi="宋体" w:cs="宋体"/>
                <w:b/>
                <w:color w:val="auto"/>
                <w:szCs w:val="21"/>
                <w:lang w:val="en-US" w:eastAsia="zh-CN"/>
              </w:rPr>
              <w:t>263</w:t>
            </w:r>
            <w:r>
              <w:rPr>
                <w:rFonts w:hint="eastAsia" w:ascii="宋体" w:hAnsi="宋体" w:cs="宋体"/>
                <w:b/>
                <w:color w:val="auto"/>
                <w:szCs w:val="21"/>
              </w:rPr>
              <w:t>号</w:t>
            </w:r>
            <w:r>
              <w:rPr>
                <w:rFonts w:hint="eastAsia" w:ascii="宋体" w:hAnsi="宋体" w:cs="宋体"/>
                <w:b/>
                <w:color w:val="auto"/>
                <w:szCs w:val="21"/>
                <w:lang w:val="en-US" w:eastAsia="zh-CN"/>
              </w:rPr>
              <w:t>4</w:t>
            </w:r>
            <w:r>
              <w:rPr>
                <w:rFonts w:hint="eastAsia" w:ascii="宋体" w:hAnsi="宋体" w:cs="宋体"/>
                <w:b/>
                <w:color w:val="auto"/>
                <w:szCs w:val="21"/>
              </w:rPr>
              <w:t>楼</w:t>
            </w:r>
            <w:r>
              <w:rPr>
                <w:rFonts w:hint="eastAsia" w:ascii="宋体" w:hAnsi="宋体" w:cs="宋体"/>
                <w:b/>
                <w:color w:val="auto"/>
                <w:szCs w:val="21"/>
                <w:lang w:eastAsia="zh-CN"/>
              </w:rPr>
              <w:t>，</w:t>
            </w:r>
            <w:r>
              <w:rPr>
                <w:rFonts w:hint="eastAsia" w:ascii="宋体" w:hAnsi="宋体" w:cs="宋体"/>
                <w:b/>
                <w:color w:val="auto"/>
                <w:szCs w:val="21"/>
              </w:rPr>
              <w:t>舟山市嘉嵊咨询管理有限公司（黄健   电话：13575602808）</w:t>
            </w:r>
            <w:r>
              <w:rPr>
                <w:rFonts w:hint="eastAsia" w:ascii="宋体" w:hAnsi="宋体" w:cs="宋体"/>
                <w:bCs/>
                <w:color w:val="auto"/>
                <w:szCs w:val="21"/>
              </w:rPr>
              <w:t>。</w:t>
            </w:r>
          </w:p>
        </w:tc>
      </w:tr>
      <w:tr w14:paraId="170041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9" w:hRule="atLeast"/>
        </w:trPr>
        <w:tc>
          <w:tcPr>
            <w:tcW w:w="636" w:type="dxa"/>
            <w:tcBorders>
              <w:top w:val="single" w:color="auto" w:sz="4" w:space="0"/>
              <w:left w:val="single" w:color="auto" w:sz="4" w:space="0"/>
              <w:bottom w:val="single" w:color="auto" w:sz="4" w:space="0"/>
              <w:right w:val="single" w:color="auto" w:sz="4" w:space="0"/>
            </w:tcBorders>
            <w:vAlign w:val="center"/>
          </w:tcPr>
          <w:p w14:paraId="376FC425">
            <w:pPr>
              <w:spacing w:line="440" w:lineRule="exact"/>
              <w:jc w:val="center"/>
              <w:rPr>
                <w:rFonts w:hint="eastAsia" w:ascii="宋体" w:hAnsi="宋体" w:eastAsia="宋体" w:cs="宋体"/>
                <w:color w:val="auto"/>
                <w:szCs w:val="21"/>
                <w:lang w:val="en-US" w:eastAsia="zh-CN"/>
              </w:rPr>
            </w:pPr>
            <w:r>
              <w:rPr>
                <w:rFonts w:hint="eastAsia" w:ascii="宋体" w:hAnsi="宋体" w:cs="宋体"/>
                <w:color w:val="auto"/>
                <w:szCs w:val="21"/>
              </w:rPr>
              <w:t>1</w:t>
            </w:r>
            <w:r>
              <w:rPr>
                <w:rFonts w:hint="eastAsia" w:ascii="宋体" w:hAnsi="宋体" w:cs="宋体"/>
                <w:color w:val="auto"/>
                <w:szCs w:val="21"/>
                <w:lang w:val="en-US" w:eastAsia="zh-CN"/>
              </w:rPr>
              <w:t>5</w:t>
            </w:r>
          </w:p>
        </w:tc>
        <w:tc>
          <w:tcPr>
            <w:tcW w:w="8652" w:type="dxa"/>
            <w:tcBorders>
              <w:top w:val="single" w:color="auto" w:sz="4" w:space="0"/>
              <w:left w:val="single" w:color="auto" w:sz="4" w:space="0"/>
              <w:bottom w:val="single" w:color="auto" w:sz="4" w:space="0"/>
              <w:right w:val="single" w:color="auto" w:sz="4" w:space="0"/>
            </w:tcBorders>
            <w:vAlign w:val="center"/>
          </w:tcPr>
          <w:p w14:paraId="67A6FD58">
            <w:pPr>
              <w:spacing w:line="440" w:lineRule="exact"/>
              <w:jc w:val="left"/>
              <w:rPr>
                <w:rFonts w:ascii="宋体" w:hAnsi="宋体" w:cs="宋体"/>
                <w:color w:val="auto"/>
                <w:szCs w:val="21"/>
              </w:rPr>
            </w:pPr>
            <w:r>
              <w:rPr>
                <w:rFonts w:hint="eastAsia" w:ascii="宋体" w:hAnsi="宋体" w:cs="宋体"/>
                <w:color w:val="auto"/>
                <w:szCs w:val="21"/>
              </w:rPr>
              <w:t>投标文件的上传和递交：</w:t>
            </w:r>
          </w:p>
          <w:p w14:paraId="51A09342">
            <w:pPr>
              <w:spacing w:line="440" w:lineRule="exact"/>
              <w:jc w:val="left"/>
              <w:rPr>
                <w:rFonts w:ascii="宋体" w:hAnsi="宋体" w:cs="宋体"/>
                <w:bCs/>
                <w:color w:val="auto"/>
                <w:szCs w:val="21"/>
              </w:rPr>
            </w:pPr>
            <w:r>
              <w:rPr>
                <w:rFonts w:hint="eastAsia" w:ascii="宋体" w:hAnsi="宋体" w:cs="宋体"/>
                <w:bCs/>
                <w:color w:val="auto"/>
                <w:szCs w:val="21"/>
              </w:rPr>
              <w:t>（1）“电子加密投标文件”的上传、递交：</w:t>
            </w:r>
          </w:p>
          <w:p w14:paraId="23A81F25">
            <w:pPr>
              <w:spacing w:line="440" w:lineRule="exact"/>
              <w:jc w:val="left"/>
              <w:rPr>
                <w:rFonts w:ascii="宋体" w:hAnsi="宋体" w:cs="宋体"/>
                <w:bCs/>
                <w:color w:val="auto"/>
                <w:szCs w:val="21"/>
              </w:rPr>
            </w:pPr>
            <w:r>
              <w:rPr>
                <w:rFonts w:hint="eastAsia" w:ascii="宋体" w:hAnsi="宋体" w:cs="宋体"/>
                <w:bCs/>
                <w:color w:val="auto"/>
                <w:szCs w:val="21"/>
              </w:rPr>
              <w:t>a.投标供应商应在投标截止时间前将“电子加密投标文件”成功上传递交至“政府采购云平台”，否则投标无效。</w:t>
            </w:r>
          </w:p>
          <w:p w14:paraId="1CAB9587">
            <w:pPr>
              <w:spacing w:line="440" w:lineRule="exact"/>
              <w:jc w:val="left"/>
              <w:rPr>
                <w:rFonts w:ascii="宋体" w:hAnsi="宋体" w:cs="宋体"/>
                <w:bCs/>
                <w:color w:val="auto"/>
                <w:szCs w:val="21"/>
              </w:rPr>
            </w:pPr>
            <w:r>
              <w:rPr>
                <w:rFonts w:hint="eastAsia" w:ascii="宋体" w:hAnsi="宋体" w:cs="宋体"/>
                <w:bCs/>
                <w:color w:val="auto"/>
                <w:szCs w:val="21"/>
              </w:rPr>
              <w:t>b.“电子加密投标文件”成功上传递交后，供应商可自行打印投标文件接收回执。</w:t>
            </w:r>
          </w:p>
          <w:p w14:paraId="77C3FDA0">
            <w:pPr>
              <w:spacing w:line="440" w:lineRule="exact"/>
              <w:jc w:val="left"/>
              <w:rPr>
                <w:rFonts w:ascii="宋体" w:hAnsi="宋体" w:cs="宋体"/>
                <w:bCs/>
                <w:color w:val="auto"/>
                <w:szCs w:val="21"/>
              </w:rPr>
            </w:pPr>
            <w:r>
              <w:rPr>
                <w:rFonts w:hint="eastAsia" w:ascii="宋体" w:hAnsi="宋体" w:cs="宋体"/>
                <w:bCs/>
                <w:color w:val="auto"/>
                <w:szCs w:val="21"/>
              </w:rPr>
              <w:t>（2）“备份投标文件”的密封包装、递交：</w:t>
            </w:r>
          </w:p>
          <w:p w14:paraId="3ABB236D">
            <w:pPr>
              <w:spacing w:line="440" w:lineRule="exact"/>
              <w:jc w:val="left"/>
              <w:rPr>
                <w:rFonts w:ascii="宋体" w:hAnsi="宋体" w:cs="宋体"/>
                <w:bCs/>
                <w:color w:val="auto"/>
                <w:szCs w:val="21"/>
              </w:rPr>
            </w:pPr>
            <w:r>
              <w:rPr>
                <w:rFonts w:hint="eastAsia" w:ascii="宋体" w:hAnsi="宋体" w:cs="宋体"/>
                <w:bCs/>
                <w:color w:val="auto"/>
                <w:szCs w:val="21"/>
              </w:rPr>
              <w:t>a.投标供应商在“政府采购云平台”完成“电子加密投标文件”的上传递交后，还可以（邮寄形式）在投标截止时间前递交以介质（U盘）存储的“备份投标文件”（一份）；</w:t>
            </w:r>
          </w:p>
          <w:p w14:paraId="71709092">
            <w:pPr>
              <w:spacing w:line="440" w:lineRule="exact"/>
              <w:jc w:val="left"/>
              <w:rPr>
                <w:rFonts w:ascii="宋体" w:hAnsi="宋体" w:cs="宋体"/>
                <w:bCs/>
                <w:color w:val="auto"/>
                <w:szCs w:val="21"/>
              </w:rPr>
            </w:pPr>
            <w:r>
              <w:rPr>
                <w:rFonts w:hint="eastAsia" w:ascii="宋体" w:hAnsi="宋体" w:cs="宋体"/>
                <w:bCs/>
                <w:color w:val="auto"/>
                <w:szCs w:val="21"/>
              </w:rPr>
              <w:t>b.“备份投标文件”应当密封包装，并在包装上标注投标项目名称、投标单位名称并加盖公章。没有密封包装或者逾期邮寄送达至上述邮寄地点的“备份投标文件”将不予接收；</w:t>
            </w:r>
          </w:p>
          <w:p w14:paraId="27C7039C">
            <w:pPr>
              <w:spacing w:line="440" w:lineRule="exact"/>
              <w:jc w:val="left"/>
              <w:rPr>
                <w:rFonts w:ascii="宋体" w:hAnsi="宋体" w:cs="宋体"/>
                <w:color w:val="auto"/>
                <w:szCs w:val="21"/>
              </w:rPr>
            </w:pPr>
            <w:r>
              <w:rPr>
                <w:rFonts w:hint="eastAsia" w:ascii="宋体" w:hAnsi="宋体" w:cs="宋体"/>
                <w:bCs/>
                <w:color w:val="auto"/>
                <w:szCs w:val="21"/>
              </w:rPr>
              <w:t>c.通过“政府采购云平台”成功上传递交的“电子加密投标文件”已按时解密的，“备份投标文件”自动失效。投标截止时间前，投标供应商仅递交了“备份投标文件”而未将“电子加密投标文件”成功上传至“政府采购云平台”的，投标无效。</w:t>
            </w:r>
          </w:p>
        </w:tc>
      </w:tr>
      <w:tr w14:paraId="5BD922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9" w:hRule="atLeast"/>
        </w:trPr>
        <w:tc>
          <w:tcPr>
            <w:tcW w:w="636" w:type="dxa"/>
            <w:tcBorders>
              <w:top w:val="single" w:color="auto" w:sz="4" w:space="0"/>
              <w:left w:val="single" w:color="auto" w:sz="4" w:space="0"/>
              <w:bottom w:val="single" w:color="auto" w:sz="4" w:space="0"/>
              <w:right w:val="single" w:color="auto" w:sz="4" w:space="0"/>
            </w:tcBorders>
            <w:vAlign w:val="center"/>
          </w:tcPr>
          <w:p w14:paraId="224CFAF0">
            <w:pPr>
              <w:spacing w:line="440" w:lineRule="exact"/>
              <w:jc w:val="center"/>
              <w:rPr>
                <w:rFonts w:hint="eastAsia" w:ascii="宋体" w:hAnsi="宋体" w:eastAsia="宋体" w:cs="宋体"/>
                <w:color w:val="auto"/>
                <w:szCs w:val="21"/>
                <w:lang w:val="en-US" w:eastAsia="zh-CN"/>
              </w:rPr>
            </w:pPr>
            <w:r>
              <w:rPr>
                <w:rFonts w:hint="eastAsia" w:ascii="宋体" w:hAnsi="宋体" w:cs="宋体"/>
                <w:color w:val="auto"/>
                <w:szCs w:val="21"/>
              </w:rPr>
              <w:t>1</w:t>
            </w:r>
            <w:r>
              <w:rPr>
                <w:rFonts w:hint="eastAsia" w:ascii="宋体" w:hAnsi="宋体" w:cs="宋体"/>
                <w:color w:val="auto"/>
                <w:szCs w:val="21"/>
                <w:lang w:val="en-US" w:eastAsia="zh-CN"/>
              </w:rPr>
              <w:t>6</w:t>
            </w:r>
          </w:p>
        </w:tc>
        <w:tc>
          <w:tcPr>
            <w:tcW w:w="8652" w:type="dxa"/>
            <w:tcBorders>
              <w:top w:val="single" w:color="auto" w:sz="4" w:space="0"/>
              <w:left w:val="single" w:color="auto" w:sz="4" w:space="0"/>
              <w:bottom w:val="single" w:color="auto" w:sz="4" w:space="0"/>
              <w:right w:val="single" w:color="auto" w:sz="4" w:space="0"/>
            </w:tcBorders>
            <w:vAlign w:val="center"/>
          </w:tcPr>
          <w:p w14:paraId="54B137B7">
            <w:pPr>
              <w:spacing w:line="440" w:lineRule="exact"/>
              <w:jc w:val="left"/>
              <w:rPr>
                <w:rFonts w:ascii="宋体" w:hAnsi="宋体" w:cs="宋体"/>
                <w:color w:val="auto"/>
                <w:szCs w:val="21"/>
              </w:rPr>
            </w:pPr>
            <w:r>
              <w:rPr>
                <w:rFonts w:hint="eastAsia" w:ascii="宋体" w:hAnsi="宋体" w:cs="宋体"/>
                <w:color w:val="auto"/>
                <w:szCs w:val="21"/>
              </w:rPr>
              <w:t>电子加密投标文件的解密和异常情况处理：</w:t>
            </w:r>
          </w:p>
          <w:p w14:paraId="4089341E">
            <w:pPr>
              <w:spacing w:line="440" w:lineRule="exact"/>
              <w:jc w:val="left"/>
              <w:rPr>
                <w:rFonts w:ascii="宋体" w:hAnsi="宋体" w:cs="宋体"/>
                <w:color w:val="auto"/>
                <w:szCs w:val="21"/>
              </w:rPr>
            </w:pPr>
            <w:r>
              <w:rPr>
                <w:rFonts w:hint="eastAsia" w:ascii="宋体" w:hAnsi="宋体" w:cs="宋体"/>
                <w:color w:val="auto"/>
                <w:szCs w:val="21"/>
              </w:rPr>
              <w:t>（1）开标后，采购组织机构将向各投标供应商发出“电子加密投标文件”的解密通知，各投标供应商代表应当在接到解密通知后30分钟内自行完成“电子加密投标文件”的在线解密。</w:t>
            </w:r>
          </w:p>
          <w:p w14:paraId="5A95F438">
            <w:pPr>
              <w:spacing w:line="440" w:lineRule="exact"/>
              <w:jc w:val="left"/>
              <w:rPr>
                <w:rFonts w:ascii="宋体" w:hAnsi="宋体" w:cs="宋体"/>
                <w:color w:val="auto"/>
                <w:szCs w:val="21"/>
              </w:rPr>
            </w:pPr>
            <w:r>
              <w:rPr>
                <w:rFonts w:hint="eastAsia" w:ascii="宋体" w:hAnsi="宋体" w:cs="宋体"/>
                <w:color w:val="auto"/>
                <w:szCs w:val="21"/>
              </w:rPr>
              <w:t>（2）通过“政府采购云平台”成功上传递交的“电子加密投标文件”无法按时解密，投标供应商如按规定递交了“备份投标文件”的，以“备份投标文件”为依据（由采购组织机构按“政府采购云平台”操作规范将“备份投标文件”上传至“政府采购云平台”，上传成功后，“电子加密投标文件”自动失效），否则视为投标文件撤回。</w:t>
            </w:r>
          </w:p>
        </w:tc>
      </w:tr>
      <w:tr w14:paraId="0FCB8CA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36" w:type="dxa"/>
            <w:tcBorders>
              <w:top w:val="single" w:color="auto" w:sz="4" w:space="0"/>
              <w:left w:val="single" w:color="auto" w:sz="4" w:space="0"/>
              <w:bottom w:val="single" w:color="auto" w:sz="4" w:space="0"/>
              <w:right w:val="single" w:color="auto" w:sz="4" w:space="0"/>
            </w:tcBorders>
            <w:vAlign w:val="center"/>
          </w:tcPr>
          <w:p w14:paraId="4ECBEDCB">
            <w:pPr>
              <w:spacing w:line="440" w:lineRule="exact"/>
              <w:jc w:val="center"/>
              <w:rPr>
                <w:rFonts w:hint="eastAsia" w:ascii="宋体" w:hAnsi="宋体" w:eastAsia="宋体" w:cs="宋体"/>
                <w:color w:val="auto"/>
                <w:szCs w:val="21"/>
                <w:lang w:val="en-US" w:eastAsia="zh-CN"/>
              </w:rPr>
            </w:pPr>
            <w:r>
              <w:rPr>
                <w:rFonts w:hint="eastAsia" w:ascii="宋体" w:hAnsi="宋体" w:cs="宋体"/>
                <w:color w:val="auto"/>
                <w:szCs w:val="21"/>
              </w:rPr>
              <w:t>1</w:t>
            </w:r>
            <w:r>
              <w:rPr>
                <w:rFonts w:hint="eastAsia" w:ascii="宋体" w:hAnsi="宋体" w:cs="宋体"/>
                <w:color w:val="auto"/>
                <w:szCs w:val="21"/>
                <w:lang w:val="en-US" w:eastAsia="zh-CN"/>
              </w:rPr>
              <w:t>7</w:t>
            </w:r>
          </w:p>
        </w:tc>
        <w:tc>
          <w:tcPr>
            <w:tcW w:w="8652" w:type="dxa"/>
            <w:tcBorders>
              <w:top w:val="single" w:color="auto" w:sz="4" w:space="0"/>
              <w:left w:val="single" w:color="auto" w:sz="4" w:space="0"/>
              <w:bottom w:val="single" w:color="auto" w:sz="4" w:space="0"/>
              <w:right w:val="single" w:color="auto" w:sz="4" w:space="0"/>
            </w:tcBorders>
            <w:vAlign w:val="center"/>
          </w:tcPr>
          <w:p w14:paraId="69FB54A5">
            <w:pPr>
              <w:snapToGrid w:val="0"/>
              <w:spacing w:line="440" w:lineRule="exact"/>
              <w:rPr>
                <w:rFonts w:hint="eastAsia" w:ascii="宋体" w:hAnsi="宋体" w:eastAsia="宋体" w:cs="宋体"/>
                <w:color w:val="auto"/>
                <w:szCs w:val="21"/>
                <w:highlight w:val="none"/>
                <w:lang w:eastAsia="zh-CN"/>
              </w:rPr>
            </w:pPr>
            <w:r>
              <w:rPr>
                <w:rFonts w:hint="eastAsia" w:ascii="宋体" w:hAnsi="宋体" w:cs="宋体"/>
                <w:color w:val="auto"/>
                <w:szCs w:val="21"/>
                <w:highlight w:val="none"/>
                <w:lang w:val="en-US" w:eastAsia="zh-CN"/>
              </w:rPr>
              <w:t>报名</w:t>
            </w:r>
            <w:r>
              <w:rPr>
                <w:rFonts w:hint="eastAsia" w:ascii="宋体" w:hAnsi="宋体" w:cs="宋体"/>
                <w:color w:val="auto"/>
                <w:szCs w:val="21"/>
                <w:highlight w:val="none"/>
              </w:rPr>
              <w:t>截止时间及地点：</w:t>
            </w:r>
            <w:r>
              <w:rPr>
                <w:rFonts w:hint="eastAsia" w:ascii="宋体" w:hAnsi="宋体" w:cs="宋体"/>
                <w:b/>
                <w:bCs/>
                <w:color w:val="auto"/>
                <w:szCs w:val="21"/>
                <w:highlight w:val="none"/>
                <w:lang w:eastAsia="zh-CN"/>
              </w:rPr>
              <w:t>2025年4月17日14时30分。</w:t>
            </w:r>
          </w:p>
          <w:p w14:paraId="26D677F8">
            <w:pPr>
              <w:snapToGrid w:val="0"/>
              <w:spacing w:line="440" w:lineRule="exact"/>
              <w:ind w:firstLine="315" w:firstLineChars="150"/>
              <w:rPr>
                <w:rFonts w:hint="eastAsia" w:ascii="宋体" w:hAnsi="宋体" w:cs="宋体"/>
                <w:color w:val="auto"/>
                <w:kern w:val="0"/>
                <w:szCs w:val="21"/>
                <w:highlight w:val="none"/>
              </w:rPr>
            </w:pPr>
            <w:r>
              <w:rPr>
                <w:rFonts w:hint="eastAsia" w:ascii="宋体" w:hAnsi="宋体" w:cs="宋体"/>
                <w:color w:val="auto"/>
                <w:szCs w:val="21"/>
                <w:highlight w:val="none"/>
              </w:rPr>
              <w:t xml:space="preserve">         </w:t>
            </w:r>
            <w:r>
              <w:rPr>
                <w:rFonts w:hint="eastAsia" w:ascii="宋体" w:hAnsi="宋体" w:cs="宋体"/>
                <w:color w:val="auto"/>
                <w:kern w:val="0"/>
                <w:szCs w:val="21"/>
                <w:highlight w:val="none"/>
              </w:rPr>
              <w:t>政采云平台线上投标</w:t>
            </w:r>
          </w:p>
          <w:p w14:paraId="26E5D66D">
            <w:pPr>
              <w:snapToGrid w:val="0"/>
              <w:spacing w:line="440" w:lineRule="exact"/>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投标截止时间及地点：</w:t>
            </w:r>
            <w:r>
              <w:rPr>
                <w:rFonts w:hint="eastAsia" w:ascii="宋体" w:hAnsi="宋体" w:cs="宋体"/>
                <w:b/>
                <w:bCs/>
                <w:color w:val="auto"/>
                <w:szCs w:val="21"/>
                <w:highlight w:val="none"/>
                <w:lang w:eastAsia="zh-CN"/>
              </w:rPr>
              <w:t>2025年4月17日14时30分。</w:t>
            </w:r>
          </w:p>
          <w:p w14:paraId="10B42134">
            <w:pPr>
              <w:pStyle w:val="12"/>
              <w:rPr>
                <w:highlight w:val="none"/>
              </w:rPr>
            </w:pPr>
            <w:r>
              <w:rPr>
                <w:rFonts w:hint="eastAsia" w:ascii="宋体" w:hAnsi="宋体" w:cs="宋体"/>
                <w:color w:val="auto"/>
                <w:szCs w:val="21"/>
                <w:highlight w:val="none"/>
              </w:rPr>
              <w:t xml:space="preserve">         </w:t>
            </w:r>
            <w:r>
              <w:rPr>
                <w:rFonts w:hint="eastAsia" w:ascii="宋体" w:hAnsi="宋体" w:cs="宋体"/>
                <w:color w:val="auto"/>
                <w:kern w:val="0"/>
                <w:szCs w:val="21"/>
                <w:highlight w:val="none"/>
              </w:rPr>
              <w:t>政采云平台线上投标</w:t>
            </w:r>
          </w:p>
        </w:tc>
      </w:tr>
      <w:tr w14:paraId="4C27CB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98" w:hRule="atLeast"/>
        </w:trPr>
        <w:tc>
          <w:tcPr>
            <w:tcW w:w="636" w:type="dxa"/>
            <w:tcBorders>
              <w:top w:val="single" w:color="auto" w:sz="4" w:space="0"/>
              <w:left w:val="single" w:color="auto" w:sz="4" w:space="0"/>
              <w:bottom w:val="single" w:color="auto" w:sz="4" w:space="0"/>
              <w:right w:val="single" w:color="auto" w:sz="4" w:space="0"/>
            </w:tcBorders>
            <w:vAlign w:val="center"/>
          </w:tcPr>
          <w:p w14:paraId="30CC439A">
            <w:pPr>
              <w:spacing w:line="440" w:lineRule="exact"/>
              <w:jc w:val="center"/>
              <w:rPr>
                <w:rFonts w:hint="eastAsia" w:ascii="宋体" w:hAnsi="宋体" w:eastAsia="宋体" w:cs="宋体"/>
                <w:color w:val="auto"/>
                <w:szCs w:val="21"/>
                <w:lang w:val="en-US" w:eastAsia="zh-CN"/>
              </w:rPr>
            </w:pPr>
            <w:r>
              <w:rPr>
                <w:rFonts w:hint="eastAsia" w:ascii="宋体" w:hAnsi="宋体" w:cs="宋体"/>
                <w:color w:val="auto"/>
                <w:szCs w:val="21"/>
              </w:rPr>
              <w:t>1</w:t>
            </w:r>
            <w:r>
              <w:rPr>
                <w:rFonts w:hint="eastAsia" w:ascii="宋体" w:hAnsi="宋体" w:cs="宋体"/>
                <w:color w:val="auto"/>
                <w:szCs w:val="21"/>
                <w:lang w:val="en-US" w:eastAsia="zh-CN"/>
              </w:rPr>
              <w:t>8</w:t>
            </w:r>
          </w:p>
        </w:tc>
        <w:tc>
          <w:tcPr>
            <w:tcW w:w="8652" w:type="dxa"/>
            <w:tcBorders>
              <w:top w:val="single" w:color="auto" w:sz="4" w:space="0"/>
              <w:left w:val="single" w:color="auto" w:sz="4" w:space="0"/>
              <w:bottom w:val="single" w:color="auto" w:sz="4" w:space="0"/>
              <w:right w:val="single" w:color="auto" w:sz="4" w:space="0"/>
            </w:tcBorders>
            <w:vAlign w:val="center"/>
          </w:tcPr>
          <w:p w14:paraId="4ED7F6D2">
            <w:pPr>
              <w:snapToGrid w:val="0"/>
              <w:spacing w:line="440" w:lineRule="exact"/>
              <w:rPr>
                <w:rFonts w:hint="eastAsia" w:ascii="宋体" w:hAnsi="宋体" w:eastAsia="宋体" w:cs="宋体"/>
                <w:color w:val="FF0000"/>
                <w:szCs w:val="21"/>
                <w:highlight w:val="none"/>
                <w:lang w:eastAsia="zh-CN"/>
              </w:rPr>
            </w:pPr>
            <w:r>
              <w:rPr>
                <w:rFonts w:hint="eastAsia" w:ascii="宋体" w:hAnsi="宋体" w:cs="宋体"/>
                <w:color w:val="auto"/>
                <w:szCs w:val="21"/>
                <w:highlight w:val="none"/>
              </w:rPr>
              <w:t>开标时间及地点：</w:t>
            </w:r>
            <w:r>
              <w:rPr>
                <w:rFonts w:hint="eastAsia" w:ascii="宋体" w:hAnsi="宋体" w:cs="宋体"/>
                <w:b/>
                <w:bCs/>
                <w:color w:val="auto"/>
                <w:szCs w:val="21"/>
                <w:highlight w:val="none"/>
                <w:lang w:eastAsia="zh-CN"/>
              </w:rPr>
              <w:t>2025年4月17日14时30分。</w:t>
            </w:r>
          </w:p>
          <w:p w14:paraId="3D6DE2D3">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 xml:space="preserve">            政采云平台线上开标</w:t>
            </w:r>
          </w:p>
        </w:tc>
      </w:tr>
      <w:tr w14:paraId="5A17B26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08" w:hRule="atLeast"/>
        </w:trPr>
        <w:tc>
          <w:tcPr>
            <w:tcW w:w="636" w:type="dxa"/>
            <w:tcBorders>
              <w:top w:val="single" w:color="auto" w:sz="4" w:space="0"/>
              <w:left w:val="single" w:color="auto" w:sz="4" w:space="0"/>
              <w:bottom w:val="single" w:color="auto" w:sz="4" w:space="0"/>
              <w:right w:val="single" w:color="auto" w:sz="4" w:space="0"/>
            </w:tcBorders>
            <w:vAlign w:val="center"/>
          </w:tcPr>
          <w:p w14:paraId="4B8B6487">
            <w:pPr>
              <w:snapToGrid w:val="0"/>
              <w:spacing w:line="440" w:lineRule="exact"/>
              <w:jc w:val="center"/>
              <w:rPr>
                <w:rFonts w:hint="eastAsia" w:ascii="宋体" w:hAnsi="宋体" w:eastAsia="宋体" w:cs="宋体"/>
                <w:color w:val="auto"/>
                <w:szCs w:val="21"/>
                <w:lang w:val="en-US" w:eastAsia="zh-CN"/>
              </w:rPr>
            </w:pPr>
            <w:r>
              <w:rPr>
                <w:rFonts w:hint="eastAsia" w:ascii="宋体" w:hAnsi="宋体" w:cs="宋体"/>
                <w:color w:val="auto"/>
                <w:szCs w:val="21"/>
              </w:rPr>
              <w:t>1</w:t>
            </w:r>
            <w:r>
              <w:rPr>
                <w:rFonts w:hint="eastAsia" w:ascii="宋体" w:hAnsi="宋体" w:cs="宋体"/>
                <w:color w:val="auto"/>
                <w:szCs w:val="21"/>
                <w:lang w:val="en-US" w:eastAsia="zh-CN"/>
              </w:rPr>
              <w:t>9</w:t>
            </w:r>
          </w:p>
        </w:tc>
        <w:tc>
          <w:tcPr>
            <w:tcW w:w="8652" w:type="dxa"/>
            <w:tcBorders>
              <w:top w:val="single" w:color="auto" w:sz="4" w:space="0"/>
              <w:left w:val="single" w:color="auto" w:sz="4" w:space="0"/>
              <w:bottom w:val="single" w:color="auto" w:sz="4" w:space="0"/>
              <w:right w:val="single" w:color="auto" w:sz="4" w:space="0"/>
            </w:tcBorders>
            <w:vAlign w:val="center"/>
          </w:tcPr>
          <w:p w14:paraId="5E325FE9">
            <w:pPr>
              <w:autoSpaceDE w:val="0"/>
              <w:autoSpaceDN w:val="0"/>
              <w:snapToGrid w:val="0"/>
              <w:spacing w:line="440" w:lineRule="exact"/>
              <w:textAlignment w:val="bottom"/>
              <w:rPr>
                <w:rFonts w:ascii="宋体" w:hAnsi="宋体" w:cs="宋体"/>
                <w:color w:val="auto"/>
                <w:szCs w:val="21"/>
              </w:rPr>
            </w:pPr>
            <w:r>
              <w:rPr>
                <w:rFonts w:hint="eastAsia" w:ascii="宋体" w:hAnsi="宋体" w:cs="宋体"/>
                <w:color w:val="auto"/>
                <w:szCs w:val="21"/>
              </w:rPr>
              <w:t>签订合同时间：中标通知书发出后30日内。</w:t>
            </w:r>
          </w:p>
        </w:tc>
      </w:tr>
      <w:tr w14:paraId="47CD770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23" w:hRule="atLeast"/>
        </w:trPr>
        <w:tc>
          <w:tcPr>
            <w:tcW w:w="636" w:type="dxa"/>
            <w:tcBorders>
              <w:top w:val="single" w:color="auto" w:sz="4" w:space="0"/>
              <w:left w:val="single" w:color="auto" w:sz="4" w:space="0"/>
              <w:bottom w:val="single" w:color="auto" w:sz="4" w:space="0"/>
              <w:right w:val="single" w:color="auto" w:sz="4" w:space="0"/>
            </w:tcBorders>
            <w:vAlign w:val="center"/>
          </w:tcPr>
          <w:p w14:paraId="4A8FBA89">
            <w:pPr>
              <w:snapToGrid w:val="0"/>
              <w:spacing w:line="440" w:lineRule="exact"/>
              <w:jc w:val="center"/>
              <w:rPr>
                <w:rFonts w:hint="default" w:ascii="宋体" w:hAnsi="宋体" w:eastAsia="宋体" w:cs="宋体"/>
                <w:color w:val="auto"/>
                <w:szCs w:val="21"/>
                <w:lang w:val="en-US" w:eastAsia="zh-CN"/>
              </w:rPr>
            </w:pPr>
            <w:r>
              <w:rPr>
                <w:rFonts w:hint="eastAsia" w:ascii="宋体" w:hAnsi="宋体" w:cs="宋体"/>
                <w:color w:val="auto"/>
                <w:szCs w:val="21"/>
                <w:lang w:val="en-US" w:eastAsia="zh-CN"/>
              </w:rPr>
              <w:t>20</w:t>
            </w:r>
          </w:p>
        </w:tc>
        <w:tc>
          <w:tcPr>
            <w:tcW w:w="8652" w:type="dxa"/>
            <w:tcBorders>
              <w:top w:val="single" w:color="auto" w:sz="4" w:space="0"/>
              <w:left w:val="single" w:color="auto" w:sz="4" w:space="0"/>
              <w:bottom w:val="single" w:color="auto" w:sz="4" w:space="0"/>
              <w:right w:val="single" w:color="auto" w:sz="4" w:space="0"/>
            </w:tcBorders>
            <w:vAlign w:val="center"/>
          </w:tcPr>
          <w:p w14:paraId="19137497">
            <w:pPr>
              <w:autoSpaceDE w:val="0"/>
              <w:autoSpaceDN w:val="0"/>
              <w:snapToGrid w:val="0"/>
              <w:spacing w:line="440" w:lineRule="exact"/>
              <w:textAlignment w:val="bottom"/>
              <w:rPr>
                <w:rFonts w:ascii="宋体" w:hAnsi="宋体" w:cs="宋体"/>
                <w:color w:val="auto"/>
                <w:szCs w:val="21"/>
              </w:rPr>
            </w:pPr>
            <w:r>
              <w:rPr>
                <w:rFonts w:hint="eastAsia" w:ascii="宋体" w:hAnsi="宋体" w:cs="宋体"/>
                <w:b/>
                <w:bCs/>
                <w:color w:val="auto"/>
                <w:szCs w:val="21"/>
              </w:rPr>
              <w:t>最高限价：</w:t>
            </w:r>
            <w:r>
              <w:rPr>
                <w:rFonts w:hint="eastAsia" w:ascii="宋体" w:hAnsi="宋体" w:cs="宋体"/>
                <w:b/>
                <w:bCs/>
                <w:color w:val="auto"/>
                <w:szCs w:val="21"/>
                <w:lang w:eastAsia="zh-CN"/>
              </w:rPr>
              <w:t>人民币</w:t>
            </w:r>
            <w:r>
              <w:rPr>
                <w:rFonts w:hint="eastAsia" w:ascii="宋体" w:hAnsi="宋体" w:cs="宋体"/>
                <w:b/>
                <w:bCs/>
                <w:color w:val="auto"/>
                <w:szCs w:val="21"/>
                <w:lang w:val="en-US" w:eastAsia="zh-CN"/>
              </w:rPr>
              <w:t>180</w:t>
            </w:r>
            <w:r>
              <w:rPr>
                <w:rFonts w:hint="eastAsia" w:ascii="宋体" w:hAnsi="宋体" w:cs="宋体"/>
                <w:b/>
                <w:bCs/>
                <w:color w:val="auto"/>
                <w:szCs w:val="21"/>
                <w:lang w:eastAsia="zh-CN"/>
              </w:rPr>
              <w:t>万元</w:t>
            </w:r>
            <w:r>
              <w:rPr>
                <w:rFonts w:hint="eastAsia" w:ascii="宋体" w:hAnsi="宋体" w:cs="宋体"/>
                <w:b/>
                <w:bCs/>
                <w:color w:val="auto"/>
                <w:szCs w:val="21"/>
              </w:rPr>
              <w:t>，超过最高限价的投标报价按无效标处理。</w:t>
            </w:r>
          </w:p>
        </w:tc>
      </w:tr>
      <w:tr w14:paraId="0ED1A2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5" w:hRule="atLeast"/>
        </w:trPr>
        <w:tc>
          <w:tcPr>
            <w:tcW w:w="636" w:type="dxa"/>
            <w:tcBorders>
              <w:top w:val="single" w:color="auto" w:sz="4" w:space="0"/>
              <w:left w:val="single" w:color="auto" w:sz="4" w:space="0"/>
              <w:bottom w:val="single" w:color="auto" w:sz="4" w:space="0"/>
              <w:right w:val="single" w:color="auto" w:sz="4" w:space="0"/>
            </w:tcBorders>
            <w:vAlign w:val="center"/>
          </w:tcPr>
          <w:p w14:paraId="68F02067">
            <w:pPr>
              <w:snapToGrid w:val="0"/>
              <w:spacing w:line="440" w:lineRule="exact"/>
              <w:jc w:val="center"/>
              <w:rPr>
                <w:rFonts w:hint="default" w:ascii="宋体" w:hAnsi="宋体" w:eastAsia="宋体" w:cs="宋体"/>
                <w:color w:val="auto"/>
                <w:szCs w:val="21"/>
                <w:lang w:val="en-US" w:eastAsia="zh-CN"/>
              </w:rPr>
            </w:pPr>
            <w:r>
              <w:rPr>
                <w:rFonts w:hint="eastAsia" w:ascii="宋体" w:hAnsi="宋体" w:cs="宋体"/>
                <w:color w:val="auto"/>
                <w:szCs w:val="21"/>
                <w:lang w:val="en-US" w:eastAsia="zh-CN"/>
              </w:rPr>
              <w:t>21</w:t>
            </w:r>
          </w:p>
        </w:tc>
        <w:tc>
          <w:tcPr>
            <w:tcW w:w="8652" w:type="dxa"/>
            <w:tcBorders>
              <w:top w:val="single" w:color="auto" w:sz="4" w:space="0"/>
              <w:left w:val="single" w:color="auto" w:sz="4" w:space="0"/>
              <w:bottom w:val="single" w:color="auto" w:sz="4" w:space="0"/>
              <w:right w:val="single" w:color="auto" w:sz="4" w:space="0"/>
            </w:tcBorders>
            <w:vAlign w:val="center"/>
          </w:tcPr>
          <w:p w14:paraId="20D350AC">
            <w:pPr>
              <w:autoSpaceDE w:val="0"/>
              <w:autoSpaceDN w:val="0"/>
              <w:snapToGrid w:val="0"/>
              <w:spacing w:line="440" w:lineRule="exact"/>
              <w:textAlignment w:val="bottom"/>
              <w:rPr>
                <w:rFonts w:hint="eastAsia" w:ascii="宋体" w:hAnsi="宋体" w:eastAsia="宋体" w:cs="宋体"/>
                <w:color w:val="auto"/>
                <w:szCs w:val="21"/>
                <w:lang w:eastAsia="zh-CN"/>
              </w:rPr>
            </w:pPr>
            <w:r>
              <w:rPr>
                <w:rFonts w:hint="eastAsia" w:ascii="宋体" w:hAnsi="宋体" w:cs="宋体"/>
                <w:b w:val="0"/>
                <w:bCs w:val="0"/>
                <w:color w:val="auto"/>
                <w:szCs w:val="21"/>
              </w:rPr>
              <w:t>履约保证金：</w:t>
            </w:r>
            <w:r>
              <w:rPr>
                <w:rFonts w:hint="eastAsia" w:ascii="宋体" w:hAnsi="宋体" w:cs="宋体"/>
                <w:b w:val="0"/>
                <w:bCs w:val="0"/>
                <w:color w:val="auto"/>
                <w:szCs w:val="21"/>
                <w:lang w:eastAsia="zh-CN"/>
              </w:rPr>
              <w:t>无</w:t>
            </w:r>
          </w:p>
        </w:tc>
      </w:tr>
      <w:tr w14:paraId="574411A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85" w:hRule="atLeast"/>
        </w:trPr>
        <w:tc>
          <w:tcPr>
            <w:tcW w:w="636" w:type="dxa"/>
            <w:tcBorders>
              <w:top w:val="single" w:color="auto" w:sz="4" w:space="0"/>
              <w:left w:val="single" w:color="auto" w:sz="4" w:space="0"/>
              <w:bottom w:val="single" w:color="auto" w:sz="4" w:space="0"/>
              <w:right w:val="single" w:color="auto" w:sz="4" w:space="0"/>
            </w:tcBorders>
            <w:vAlign w:val="center"/>
          </w:tcPr>
          <w:p w14:paraId="5D45653B">
            <w:pPr>
              <w:snapToGrid w:val="0"/>
              <w:spacing w:line="440" w:lineRule="exact"/>
              <w:jc w:val="center"/>
              <w:rPr>
                <w:rFonts w:hint="default" w:ascii="宋体" w:hAnsi="宋体" w:eastAsia="宋体" w:cs="宋体"/>
                <w:color w:val="auto"/>
                <w:szCs w:val="21"/>
                <w:lang w:val="en-US" w:eastAsia="zh-CN"/>
              </w:rPr>
            </w:pPr>
            <w:r>
              <w:rPr>
                <w:rFonts w:hint="eastAsia" w:ascii="宋体" w:hAnsi="宋体" w:cs="宋体"/>
                <w:color w:val="auto"/>
                <w:szCs w:val="21"/>
                <w:lang w:val="en-US" w:eastAsia="zh-CN"/>
              </w:rPr>
              <w:t>22</w:t>
            </w:r>
          </w:p>
        </w:tc>
        <w:tc>
          <w:tcPr>
            <w:tcW w:w="8652" w:type="dxa"/>
            <w:tcBorders>
              <w:top w:val="single" w:color="auto" w:sz="4" w:space="0"/>
              <w:left w:val="single" w:color="auto" w:sz="4" w:space="0"/>
              <w:bottom w:val="single" w:color="auto" w:sz="4" w:space="0"/>
              <w:right w:val="single" w:color="auto" w:sz="4" w:space="0"/>
            </w:tcBorders>
            <w:vAlign w:val="center"/>
          </w:tcPr>
          <w:p w14:paraId="14C09A61">
            <w:pPr>
              <w:snapToGrid w:val="0"/>
              <w:spacing w:line="440" w:lineRule="exact"/>
              <w:rPr>
                <w:rFonts w:ascii="宋体" w:hAnsi="宋体" w:cs="宋体"/>
                <w:color w:val="auto"/>
                <w:szCs w:val="21"/>
              </w:rPr>
            </w:pPr>
            <w:r>
              <w:rPr>
                <w:rFonts w:hint="eastAsia" w:ascii="宋体" w:hAnsi="宋体" w:cs="宋体"/>
                <w:color w:val="auto"/>
                <w:szCs w:val="21"/>
              </w:rPr>
              <w:t>投标文件有效期：</w:t>
            </w:r>
            <w:r>
              <w:rPr>
                <w:rFonts w:hint="eastAsia" w:ascii="宋体" w:hAnsi="宋体" w:cs="宋体"/>
                <w:color w:val="auto"/>
                <w:szCs w:val="21"/>
                <w:u w:val="single"/>
              </w:rPr>
              <w:t>60</w:t>
            </w:r>
            <w:r>
              <w:rPr>
                <w:rFonts w:hint="eastAsia" w:ascii="宋体" w:hAnsi="宋体" w:cs="宋体"/>
                <w:color w:val="auto"/>
                <w:szCs w:val="21"/>
              </w:rPr>
              <w:t>天</w:t>
            </w:r>
          </w:p>
        </w:tc>
      </w:tr>
      <w:tr w14:paraId="35F859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2" w:hRule="atLeast"/>
        </w:trPr>
        <w:tc>
          <w:tcPr>
            <w:tcW w:w="636" w:type="dxa"/>
            <w:tcBorders>
              <w:top w:val="single" w:color="auto" w:sz="4" w:space="0"/>
              <w:left w:val="single" w:color="auto" w:sz="4" w:space="0"/>
              <w:bottom w:val="single" w:color="auto" w:sz="4" w:space="0"/>
              <w:right w:val="single" w:color="auto" w:sz="4" w:space="0"/>
            </w:tcBorders>
            <w:vAlign w:val="center"/>
          </w:tcPr>
          <w:p w14:paraId="1E5738C4">
            <w:pPr>
              <w:snapToGrid w:val="0"/>
              <w:spacing w:line="440" w:lineRule="exact"/>
              <w:jc w:val="center"/>
              <w:rPr>
                <w:rFonts w:hint="eastAsia" w:ascii="宋体" w:hAnsi="宋体" w:eastAsia="宋体" w:cs="宋体"/>
                <w:color w:val="auto"/>
                <w:szCs w:val="21"/>
                <w:lang w:val="en-US" w:eastAsia="zh-CN"/>
              </w:rPr>
            </w:pPr>
            <w:r>
              <w:rPr>
                <w:rFonts w:hint="eastAsia" w:ascii="宋体" w:hAnsi="宋体" w:cs="宋体"/>
                <w:color w:val="auto"/>
                <w:szCs w:val="21"/>
              </w:rPr>
              <w:t>2</w:t>
            </w:r>
            <w:r>
              <w:rPr>
                <w:rFonts w:hint="eastAsia" w:ascii="宋体" w:hAnsi="宋体" w:cs="宋体"/>
                <w:color w:val="auto"/>
                <w:szCs w:val="21"/>
                <w:lang w:val="en-US" w:eastAsia="zh-CN"/>
              </w:rPr>
              <w:t>3</w:t>
            </w:r>
          </w:p>
        </w:tc>
        <w:tc>
          <w:tcPr>
            <w:tcW w:w="8652" w:type="dxa"/>
            <w:tcBorders>
              <w:top w:val="single" w:color="auto" w:sz="4" w:space="0"/>
              <w:left w:val="single" w:color="auto" w:sz="4" w:space="0"/>
              <w:bottom w:val="single" w:color="auto" w:sz="4" w:space="0"/>
              <w:right w:val="single" w:color="auto" w:sz="4" w:space="0"/>
            </w:tcBorders>
            <w:vAlign w:val="center"/>
          </w:tcPr>
          <w:p w14:paraId="4BD5E39A">
            <w:pPr>
              <w:spacing w:line="440" w:lineRule="exact"/>
              <w:rPr>
                <w:rFonts w:ascii="宋体" w:hAnsi="宋体" w:cs="宋体"/>
                <w:color w:val="auto"/>
                <w:szCs w:val="21"/>
              </w:rPr>
            </w:pPr>
            <w:r>
              <w:rPr>
                <w:rFonts w:hint="eastAsia" w:ascii="宋体" w:hAnsi="宋体" w:cs="宋体"/>
                <w:color w:val="auto"/>
                <w:kern w:val="0"/>
                <w:szCs w:val="21"/>
              </w:rPr>
              <w:t>网上注册：</w:t>
            </w:r>
            <w:r>
              <w:rPr>
                <w:rFonts w:hint="eastAsia" w:ascii="宋体" w:hAnsi="宋体" w:cs="宋体"/>
                <w:color w:val="auto"/>
                <w:kern w:val="0"/>
                <w:szCs w:val="21"/>
                <w:highlight w:val="none"/>
              </w:rPr>
              <w:t>本项目不接受现场报名，须注册后进行网上报名。在浙江政府采购网进行供应商注册后完成报名。（详情请见第一章</w:t>
            </w:r>
            <w:r>
              <w:rPr>
                <w:rFonts w:hint="eastAsia" w:ascii="宋体" w:hAnsi="宋体" w:cs="宋体"/>
                <w:color w:val="auto"/>
                <w:kern w:val="0"/>
                <w:szCs w:val="21"/>
                <w:highlight w:val="none"/>
                <w:lang w:eastAsia="zh-CN"/>
              </w:rPr>
              <w:t>竞争性磋商</w:t>
            </w:r>
            <w:r>
              <w:rPr>
                <w:rFonts w:hint="eastAsia" w:ascii="宋体" w:hAnsi="宋体" w:cs="宋体"/>
                <w:color w:val="auto"/>
                <w:kern w:val="0"/>
                <w:szCs w:val="21"/>
                <w:highlight w:val="none"/>
              </w:rPr>
              <w:t>公告及招标文件的获取）</w:t>
            </w:r>
          </w:p>
        </w:tc>
      </w:tr>
      <w:tr w14:paraId="5C5883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2" w:hRule="atLeast"/>
        </w:trPr>
        <w:tc>
          <w:tcPr>
            <w:tcW w:w="636" w:type="dxa"/>
            <w:tcBorders>
              <w:top w:val="single" w:color="auto" w:sz="4" w:space="0"/>
              <w:left w:val="single" w:color="auto" w:sz="4" w:space="0"/>
              <w:bottom w:val="single" w:color="auto" w:sz="4" w:space="0"/>
              <w:right w:val="single" w:color="auto" w:sz="4" w:space="0"/>
            </w:tcBorders>
            <w:vAlign w:val="center"/>
          </w:tcPr>
          <w:p w14:paraId="3C992D04">
            <w:pPr>
              <w:snapToGrid w:val="0"/>
              <w:spacing w:line="440" w:lineRule="exact"/>
              <w:jc w:val="center"/>
              <w:rPr>
                <w:rFonts w:hint="default" w:ascii="宋体" w:hAnsi="宋体" w:eastAsia="宋体" w:cs="宋体"/>
                <w:color w:val="auto"/>
                <w:szCs w:val="21"/>
                <w:lang w:val="en-US" w:eastAsia="zh-CN"/>
              </w:rPr>
            </w:pPr>
            <w:r>
              <w:rPr>
                <w:rFonts w:hint="eastAsia" w:ascii="宋体" w:hAnsi="宋体" w:cs="宋体"/>
                <w:color w:val="auto"/>
                <w:szCs w:val="21"/>
                <w:lang w:val="en-US" w:eastAsia="zh-CN"/>
              </w:rPr>
              <w:t>24</w:t>
            </w:r>
          </w:p>
        </w:tc>
        <w:tc>
          <w:tcPr>
            <w:tcW w:w="8652" w:type="dxa"/>
            <w:tcBorders>
              <w:top w:val="single" w:color="auto" w:sz="4" w:space="0"/>
              <w:left w:val="single" w:color="auto" w:sz="4" w:space="0"/>
              <w:bottom w:val="single" w:color="auto" w:sz="4" w:space="0"/>
              <w:right w:val="single" w:color="auto" w:sz="4" w:space="0"/>
            </w:tcBorders>
            <w:vAlign w:val="center"/>
          </w:tcPr>
          <w:p w14:paraId="13341B40">
            <w:pPr>
              <w:spacing w:line="440" w:lineRule="exact"/>
              <w:rPr>
                <w:rFonts w:hint="eastAsia" w:ascii="宋体" w:hAnsi="宋体" w:cs="宋体"/>
                <w:color w:val="auto"/>
                <w:kern w:val="0"/>
                <w:szCs w:val="21"/>
              </w:rPr>
            </w:pPr>
            <w:r>
              <w:rPr>
                <w:rFonts w:hint="eastAsia" w:ascii="宋体" w:hAnsi="宋体" w:cs="宋体"/>
                <w:color w:val="auto"/>
                <w:szCs w:val="21"/>
                <w:highlight w:val="none"/>
              </w:rPr>
              <w:t>解释：本招标文件的解释权属于招标采购单位。</w:t>
            </w:r>
          </w:p>
        </w:tc>
      </w:tr>
      <w:tr w14:paraId="068CEBE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20" w:hRule="atLeast"/>
        </w:trPr>
        <w:tc>
          <w:tcPr>
            <w:tcW w:w="636" w:type="dxa"/>
            <w:tcBorders>
              <w:top w:val="single" w:color="auto" w:sz="4" w:space="0"/>
              <w:left w:val="single" w:color="auto" w:sz="4" w:space="0"/>
              <w:bottom w:val="single" w:color="auto" w:sz="4" w:space="0"/>
              <w:right w:val="single" w:color="auto" w:sz="4" w:space="0"/>
            </w:tcBorders>
            <w:vAlign w:val="center"/>
          </w:tcPr>
          <w:p w14:paraId="3B349228">
            <w:pPr>
              <w:snapToGrid w:val="0"/>
              <w:spacing w:line="440" w:lineRule="exact"/>
              <w:jc w:val="center"/>
              <w:rPr>
                <w:rFonts w:hint="eastAsia" w:ascii="宋体" w:hAnsi="宋体" w:eastAsia="宋体" w:cs="宋体"/>
                <w:color w:val="auto"/>
                <w:szCs w:val="21"/>
                <w:lang w:val="en-US" w:eastAsia="zh-CN"/>
              </w:rPr>
            </w:pPr>
            <w:r>
              <w:rPr>
                <w:rFonts w:hint="eastAsia" w:ascii="宋体" w:hAnsi="宋体" w:cs="宋体"/>
                <w:color w:val="auto"/>
                <w:szCs w:val="21"/>
              </w:rPr>
              <w:t>2</w:t>
            </w:r>
            <w:r>
              <w:rPr>
                <w:rFonts w:hint="eastAsia" w:ascii="宋体" w:hAnsi="宋体" w:cs="宋体"/>
                <w:color w:val="auto"/>
                <w:szCs w:val="21"/>
                <w:lang w:val="en-US" w:eastAsia="zh-CN"/>
              </w:rPr>
              <w:t>5</w:t>
            </w:r>
          </w:p>
        </w:tc>
        <w:tc>
          <w:tcPr>
            <w:tcW w:w="8652" w:type="dxa"/>
            <w:tcBorders>
              <w:top w:val="single" w:color="auto" w:sz="4" w:space="0"/>
              <w:left w:val="single" w:color="auto" w:sz="4" w:space="0"/>
              <w:bottom w:val="single" w:color="auto" w:sz="4" w:space="0"/>
              <w:right w:val="single" w:color="auto" w:sz="4" w:space="0"/>
            </w:tcBorders>
            <w:vAlign w:val="center"/>
          </w:tcPr>
          <w:p w14:paraId="6A92D0CE">
            <w:pPr>
              <w:adjustRightInd w:val="0"/>
              <w:snapToGrid w:val="0"/>
              <w:spacing w:line="320" w:lineRule="exact"/>
              <w:rPr>
                <w:rFonts w:ascii="宋体" w:hAnsi="宋体" w:cs="宋体"/>
                <w:b/>
                <w:bCs/>
                <w:color w:val="auto"/>
                <w:szCs w:val="21"/>
              </w:rPr>
            </w:pPr>
            <w:r>
              <w:rPr>
                <w:rFonts w:hint="eastAsia" w:ascii="宋体" w:hAnsi="宋体" w:cs="宋体"/>
                <w:b/>
                <w:bCs/>
                <w:color w:val="auto"/>
                <w:szCs w:val="21"/>
              </w:rPr>
              <w:t>一、说明</w:t>
            </w:r>
          </w:p>
          <w:p w14:paraId="36157E08">
            <w:pPr>
              <w:adjustRightInd w:val="0"/>
              <w:snapToGrid w:val="0"/>
              <w:spacing w:line="320" w:lineRule="exact"/>
              <w:ind w:firstLine="420" w:firstLineChars="200"/>
              <w:rPr>
                <w:rFonts w:ascii="宋体" w:hAnsi="宋体" w:cs="宋体"/>
                <w:color w:val="auto"/>
                <w:szCs w:val="21"/>
              </w:rPr>
            </w:pPr>
            <w:r>
              <w:rPr>
                <w:rFonts w:hint="eastAsia" w:ascii="宋体" w:hAnsi="宋体" w:cs="宋体"/>
                <w:color w:val="auto"/>
                <w:szCs w:val="21"/>
              </w:rPr>
              <w:t>中小企业是指在中华人民共和国境内依法设立，依据国务院批准的中小企业划分标准确定的中型企业、小型企业和微型企业，但与大企业的负责人为同一人，或者与大企业存在直接控股、管理关系的除外。</w:t>
            </w:r>
          </w:p>
          <w:p w14:paraId="1188C88D">
            <w:pPr>
              <w:adjustRightInd w:val="0"/>
              <w:snapToGrid w:val="0"/>
              <w:spacing w:line="320" w:lineRule="exact"/>
              <w:ind w:firstLine="420" w:firstLineChars="200"/>
              <w:rPr>
                <w:rFonts w:ascii="宋体" w:hAnsi="宋体" w:cs="宋体"/>
                <w:color w:val="auto"/>
                <w:szCs w:val="21"/>
              </w:rPr>
            </w:pPr>
            <w:r>
              <w:rPr>
                <w:rFonts w:hint="eastAsia" w:ascii="宋体" w:hAnsi="宋体" w:cs="宋体"/>
                <w:color w:val="auto"/>
                <w:szCs w:val="21"/>
              </w:rPr>
              <w:t>符合中小企业划分标准的个体工商户，在政府采购活动中视同中小企业。</w:t>
            </w:r>
          </w:p>
          <w:p w14:paraId="28655AF1">
            <w:pPr>
              <w:adjustRightInd w:val="0"/>
              <w:snapToGrid w:val="0"/>
              <w:spacing w:line="320" w:lineRule="exact"/>
              <w:ind w:firstLine="422" w:firstLineChars="200"/>
              <w:rPr>
                <w:rFonts w:ascii="宋体" w:hAnsi="宋体" w:cs="宋体"/>
                <w:b/>
                <w:bCs/>
                <w:color w:val="auto"/>
                <w:szCs w:val="21"/>
              </w:rPr>
            </w:pPr>
            <w:r>
              <w:rPr>
                <w:rFonts w:hint="eastAsia" w:ascii="宋体" w:hAnsi="宋体" w:cs="宋体"/>
                <w:b/>
                <w:bCs/>
                <w:color w:val="auto"/>
                <w:szCs w:val="21"/>
              </w:rPr>
              <w:t>残疾人福利性单位</w:t>
            </w:r>
          </w:p>
          <w:p w14:paraId="6FA4050A">
            <w:pPr>
              <w:adjustRightInd w:val="0"/>
              <w:snapToGrid w:val="0"/>
              <w:spacing w:line="320" w:lineRule="exact"/>
              <w:ind w:firstLine="420" w:firstLineChars="200"/>
              <w:rPr>
                <w:rFonts w:ascii="宋体" w:hAnsi="宋体" w:cs="宋体"/>
                <w:color w:val="auto"/>
                <w:szCs w:val="21"/>
              </w:rPr>
            </w:pPr>
            <w:r>
              <w:rPr>
                <w:rFonts w:hint="eastAsia" w:ascii="宋体" w:hAnsi="宋体" w:cs="宋体"/>
                <w:color w:val="auto"/>
                <w:szCs w:val="21"/>
              </w:rPr>
              <w:t>符合《关于促进残疾人就业政府采购政策的通知》（财库〔2017〕141号）规定的条件并提供提供《残疾人福利性单位声明函》的残疾人福利性单位视同小型、微型企业，享受预留份额、评审中价格扣除等政府采购促进中小企业发展的政府采购政策。</w:t>
            </w:r>
          </w:p>
          <w:p w14:paraId="3A50C999">
            <w:pPr>
              <w:adjustRightInd w:val="0"/>
              <w:snapToGrid w:val="0"/>
              <w:spacing w:line="320" w:lineRule="exact"/>
              <w:ind w:firstLine="422" w:firstLineChars="200"/>
              <w:rPr>
                <w:rFonts w:ascii="宋体" w:hAnsi="宋体" w:cs="宋体"/>
                <w:b/>
                <w:bCs/>
                <w:color w:val="auto"/>
                <w:szCs w:val="21"/>
              </w:rPr>
            </w:pPr>
            <w:r>
              <w:rPr>
                <w:rFonts w:hint="eastAsia" w:ascii="宋体" w:hAnsi="宋体" w:cs="宋体"/>
                <w:b/>
                <w:bCs/>
                <w:color w:val="auto"/>
                <w:szCs w:val="21"/>
              </w:rPr>
              <w:t>监狱企业</w:t>
            </w:r>
          </w:p>
          <w:p w14:paraId="23C71655">
            <w:pPr>
              <w:adjustRightInd w:val="0"/>
              <w:snapToGrid w:val="0"/>
              <w:spacing w:line="320" w:lineRule="exact"/>
              <w:ind w:firstLine="420" w:firstLineChars="200"/>
              <w:rPr>
                <w:rFonts w:ascii="宋体" w:hAnsi="宋体" w:cs="宋体"/>
                <w:color w:val="auto"/>
                <w:szCs w:val="21"/>
              </w:rPr>
            </w:pPr>
            <w:r>
              <w:rPr>
                <w:rFonts w:hint="eastAsia" w:ascii="宋体" w:hAnsi="宋体" w:cs="宋体"/>
                <w:color w:val="auto"/>
                <w:szCs w:val="21"/>
              </w:rPr>
              <w:t>根据《关于政府采购支持监狱企业发展有关问题的通知》（财库[2014]68号）的规定，投标人提供由省级以上监狱管理局、戒毒管理局（含新疆生产建设兵团）出具的属于监狱企业证明文件的，视同为小型和微型企业，享受预留份额、评审中价格扣除等政府采购促进中小企业发展的政府采购政策。</w:t>
            </w:r>
          </w:p>
          <w:p w14:paraId="09568845">
            <w:pPr>
              <w:adjustRightInd w:val="0"/>
              <w:snapToGrid w:val="0"/>
              <w:spacing w:line="380" w:lineRule="exact"/>
              <w:rPr>
                <w:rFonts w:ascii="宋体" w:hAnsi="宋体" w:cs="宋体"/>
                <w:b/>
                <w:bCs/>
                <w:color w:val="auto"/>
                <w:szCs w:val="21"/>
              </w:rPr>
            </w:pPr>
            <w:r>
              <w:rPr>
                <w:rFonts w:hint="eastAsia" w:ascii="宋体" w:hAnsi="宋体" w:cs="宋体"/>
                <w:b/>
                <w:bCs/>
                <w:color w:val="auto"/>
                <w:szCs w:val="21"/>
              </w:rPr>
              <w:t>二、针对本项目的相关规定</w:t>
            </w:r>
          </w:p>
          <w:p w14:paraId="32F78EDF">
            <w:pPr>
              <w:adjustRightInd w:val="0"/>
              <w:snapToGrid w:val="0"/>
              <w:spacing w:line="320" w:lineRule="exact"/>
              <w:rPr>
                <w:rFonts w:hint="eastAsia" w:ascii="宋体" w:hAnsi="宋体" w:eastAsia="宋体"/>
                <w:b/>
                <w:color w:val="auto"/>
                <w:szCs w:val="21"/>
                <w:highlight w:val="none"/>
                <w:lang w:eastAsia="zh-CN"/>
              </w:rPr>
            </w:pPr>
            <w:r>
              <w:rPr>
                <w:rFonts w:hint="eastAsia" w:ascii="宋体" w:hAnsi="宋体" w:cs="宋体"/>
                <w:b/>
                <w:bCs/>
                <w:szCs w:val="21"/>
              </w:rPr>
              <w:t>1.本项目专门面向中小企业采购的项目。注：提供中小企业声明函</w:t>
            </w:r>
            <w:r>
              <w:rPr>
                <w:rFonts w:hint="eastAsia" w:ascii="宋体" w:hAnsi="宋体" w:cs="宋体"/>
                <w:b/>
                <w:bCs/>
                <w:szCs w:val="21"/>
                <w:lang w:eastAsia="zh-CN"/>
              </w:rPr>
              <w:t>。</w:t>
            </w:r>
          </w:p>
          <w:p w14:paraId="061EC38A">
            <w:pPr>
              <w:adjustRightInd w:val="0"/>
              <w:snapToGrid w:val="0"/>
              <w:spacing w:line="320" w:lineRule="exact"/>
              <w:rPr>
                <w:rFonts w:ascii="宋体" w:hAnsi="宋体" w:cs="宋体"/>
                <w:color w:val="auto"/>
                <w:kern w:val="0"/>
                <w:szCs w:val="21"/>
              </w:rPr>
            </w:pPr>
            <w:r>
              <w:rPr>
                <w:rFonts w:hint="eastAsia" w:ascii="宋体" w:hAnsi="宋体" w:cs="宋体"/>
                <w:color w:val="auto"/>
                <w:szCs w:val="21"/>
                <w:highlight w:val="none"/>
                <w:lang w:val="en-US" w:eastAsia="zh-CN"/>
              </w:rPr>
              <w:t>2.</w:t>
            </w:r>
            <w:r>
              <w:rPr>
                <w:rFonts w:hint="eastAsia" w:ascii="宋体" w:hAnsi="宋体" w:cs="宋体"/>
                <w:color w:val="auto"/>
                <w:szCs w:val="21"/>
                <w:highlight w:val="none"/>
              </w:rPr>
              <w:t>本项目采购标的对应的中小企业计划分标准所属行业为：</w:t>
            </w:r>
            <w:r>
              <w:rPr>
                <w:rFonts w:hint="eastAsia" w:ascii="宋体" w:hAnsi="宋体" w:cs="宋体"/>
                <w:color w:val="auto"/>
                <w:szCs w:val="21"/>
                <w:highlight w:val="none"/>
                <w:u w:val="single"/>
                <w:lang w:val="en-US" w:eastAsia="zh-CN"/>
              </w:rPr>
              <w:t>其他未命名</w:t>
            </w:r>
            <w:r>
              <w:rPr>
                <w:rFonts w:hint="eastAsia" w:ascii="宋体" w:hAnsi="宋体" w:eastAsia="宋体" w:cs="宋体"/>
                <w:kern w:val="2"/>
                <w:sz w:val="21"/>
                <w:szCs w:val="21"/>
                <w:u w:val="single"/>
                <w:lang w:val="en-US" w:eastAsia="zh-CN" w:bidi="ar"/>
              </w:rPr>
              <w:t>行业</w:t>
            </w:r>
            <w:r>
              <w:rPr>
                <w:rFonts w:hint="eastAsia" w:ascii="宋体" w:hAnsi="宋体" w:cs="宋体"/>
                <w:color w:val="auto"/>
                <w:szCs w:val="21"/>
                <w:highlight w:val="none"/>
                <w:lang w:val="en-US" w:eastAsia="zh-CN"/>
              </w:rPr>
              <w:t>。</w:t>
            </w:r>
          </w:p>
        </w:tc>
      </w:tr>
      <w:tr w14:paraId="70FD58A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22" w:hRule="atLeast"/>
        </w:trPr>
        <w:tc>
          <w:tcPr>
            <w:tcW w:w="636" w:type="dxa"/>
            <w:tcBorders>
              <w:top w:val="single" w:color="auto" w:sz="4" w:space="0"/>
              <w:left w:val="single" w:color="auto" w:sz="4" w:space="0"/>
              <w:bottom w:val="single" w:color="auto" w:sz="4" w:space="0"/>
              <w:right w:val="single" w:color="auto" w:sz="4" w:space="0"/>
            </w:tcBorders>
            <w:vAlign w:val="center"/>
          </w:tcPr>
          <w:p w14:paraId="483A0EB7">
            <w:pPr>
              <w:snapToGrid w:val="0"/>
              <w:spacing w:line="440" w:lineRule="exact"/>
              <w:jc w:val="center"/>
              <w:rPr>
                <w:rFonts w:ascii="宋体" w:hAnsi="宋体" w:cs="宋体"/>
                <w:color w:val="auto"/>
                <w:szCs w:val="21"/>
              </w:rPr>
            </w:pPr>
          </w:p>
        </w:tc>
        <w:tc>
          <w:tcPr>
            <w:tcW w:w="8652" w:type="dxa"/>
            <w:tcBorders>
              <w:top w:val="single" w:color="auto" w:sz="4" w:space="0"/>
              <w:left w:val="single" w:color="auto" w:sz="4" w:space="0"/>
              <w:bottom w:val="single" w:color="auto" w:sz="4" w:space="0"/>
              <w:right w:val="single" w:color="auto" w:sz="4" w:space="0"/>
            </w:tcBorders>
            <w:vAlign w:val="center"/>
          </w:tcPr>
          <w:p w14:paraId="1FACBB58">
            <w:pPr>
              <w:snapToGrid w:val="0"/>
              <w:spacing w:line="440" w:lineRule="exact"/>
              <w:rPr>
                <w:rFonts w:ascii="宋体" w:hAnsi="宋体" w:cs="宋体"/>
                <w:color w:val="auto"/>
                <w:szCs w:val="21"/>
              </w:rPr>
            </w:pPr>
          </w:p>
        </w:tc>
      </w:tr>
    </w:tbl>
    <w:p w14:paraId="52FF5B2D">
      <w:pPr>
        <w:pStyle w:val="15"/>
        <w:snapToGrid w:val="0"/>
        <w:spacing w:line="360" w:lineRule="auto"/>
        <w:jc w:val="center"/>
        <w:rPr>
          <w:rFonts w:hint="eastAsia" w:hAnsi="宋体"/>
          <w:color w:val="auto"/>
          <w:szCs w:val="21"/>
        </w:rPr>
      </w:pPr>
      <w:r>
        <w:rPr>
          <w:rFonts w:hint="eastAsia" w:hAnsi="宋体"/>
          <w:color w:val="auto"/>
          <w:szCs w:val="21"/>
        </w:rPr>
        <w:br w:type="page"/>
      </w:r>
    </w:p>
    <w:p w14:paraId="340EF8D5">
      <w:pPr>
        <w:pStyle w:val="15"/>
        <w:snapToGrid w:val="0"/>
        <w:spacing w:line="360" w:lineRule="auto"/>
        <w:jc w:val="center"/>
        <w:rPr>
          <w:rFonts w:hint="eastAsia" w:hAnsi="宋体"/>
          <w:color w:val="auto"/>
          <w:szCs w:val="21"/>
        </w:rPr>
      </w:pPr>
    </w:p>
    <w:p w14:paraId="435CF0C7">
      <w:pPr>
        <w:pStyle w:val="15"/>
        <w:snapToGrid w:val="0"/>
        <w:spacing w:line="360" w:lineRule="auto"/>
        <w:jc w:val="center"/>
        <w:rPr>
          <w:rFonts w:hint="eastAsia" w:hAnsi="宋体"/>
          <w:color w:val="auto"/>
          <w:szCs w:val="21"/>
        </w:rPr>
      </w:pPr>
    </w:p>
    <w:p w14:paraId="246E4A91">
      <w:pPr>
        <w:pStyle w:val="15"/>
        <w:snapToGrid w:val="0"/>
        <w:spacing w:line="360" w:lineRule="auto"/>
        <w:jc w:val="center"/>
        <w:rPr>
          <w:rFonts w:hAnsi="宋体"/>
          <w:b/>
          <w:color w:val="auto"/>
          <w:sz w:val="28"/>
          <w:szCs w:val="28"/>
        </w:rPr>
      </w:pPr>
      <w:r>
        <w:rPr>
          <w:rFonts w:hint="eastAsia" w:hAnsi="宋体"/>
          <w:b/>
          <w:color w:val="auto"/>
          <w:sz w:val="28"/>
          <w:szCs w:val="28"/>
        </w:rPr>
        <w:t>一、总  则</w:t>
      </w:r>
    </w:p>
    <w:p w14:paraId="755FC267">
      <w:pPr>
        <w:snapToGrid w:val="0"/>
        <w:spacing w:line="420" w:lineRule="exact"/>
        <w:ind w:firstLine="422" w:firstLineChars="200"/>
        <w:jc w:val="left"/>
        <w:outlineLvl w:val="1"/>
        <w:rPr>
          <w:rFonts w:ascii="宋体" w:hAnsi="宋体" w:cs="宋体"/>
          <w:b/>
          <w:color w:val="auto"/>
          <w:szCs w:val="21"/>
        </w:rPr>
      </w:pPr>
      <w:bookmarkStart w:id="3" w:name="_Toc33535346"/>
      <w:r>
        <w:rPr>
          <w:rFonts w:hint="eastAsia" w:ascii="宋体" w:hAnsi="宋体" w:cs="宋体"/>
          <w:b/>
          <w:color w:val="auto"/>
          <w:szCs w:val="21"/>
        </w:rPr>
        <w:t>（一）适用范围</w:t>
      </w:r>
      <w:bookmarkEnd w:id="3"/>
    </w:p>
    <w:p w14:paraId="42105A0D">
      <w:pPr>
        <w:snapToGrid w:val="0"/>
        <w:spacing w:line="420" w:lineRule="exact"/>
        <w:ind w:firstLine="420" w:firstLineChars="200"/>
        <w:jc w:val="left"/>
        <w:rPr>
          <w:rFonts w:ascii="宋体" w:hAnsi="宋体" w:cs="宋体"/>
          <w:color w:val="auto"/>
          <w:szCs w:val="21"/>
        </w:rPr>
      </w:pPr>
      <w:r>
        <w:rPr>
          <w:rFonts w:hint="eastAsia" w:ascii="宋体" w:hAnsi="宋体" w:cs="宋体"/>
          <w:color w:val="auto"/>
          <w:szCs w:val="21"/>
        </w:rPr>
        <w:t>本采购文件适用于本项目的采购、投标、评标、定标、验收、合同履约、付款等行为（法律、法规另有规定的，从其规定）。</w:t>
      </w:r>
    </w:p>
    <w:p w14:paraId="75D794B6">
      <w:pPr>
        <w:snapToGrid w:val="0"/>
        <w:spacing w:line="420" w:lineRule="exact"/>
        <w:ind w:firstLine="422" w:firstLineChars="200"/>
        <w:jc w:val="left"/>
        <w:outlineLvl w:val="1"/>
        <w:rPr>
          <w:rFonts w:ascii="宋体" w:hAnsi="宋体" w:cs="宋体"/>
          <w:b/>
          <w:color w:val="auto"/>
          <w:szCs w:val="21"/>
        </w:rPr>
      </w:pPr>
      <w:bookmarkStart w:id="4" w:name="_Toc33535347"/>
      <w:r>
        <w:rPr>
          <w:rFonts w:hint="eastAsia" w:ascii="宋体" w:hAnsi="宋体" w:cs="宋体"/>
          <w:b/>
          <w:color w:val="auto"/>
          <w:szCs w:val="21"/>
        </w:rPr>
        <w:t>（二）定义</w:t>
      </w:r>
      <w:bookmarkEnd w:id="4"/>
    </w:p>
    <w:p w14:paraId="296DC545">
      <w:pPr>
        <w:snapToGrid w:val="0"/>
        <w:spacing w:line="420" w:lineRule="exact"/>
        <w:ind w:firstLine="420" w:firstLineChars="200"/>
        <w:jc w:val="left"/>
        <w:rPr>
          <w:rFonts w:ascii="宋体" w:hAnsi="宋体" w:cs="宋体"/>
          <w:color w:val="auto"/>
          <w:szCs w:val="21"/>
        </w:rPr>
      </w:pPr>
      <w:r>
        <w:rPr>
          <w:rFonts w:hint="eastAsia" w:ascii="宋体" w:hAnsi="宋体" w:cs="宋体"/>
          <w:color w:val="auto"/>
          <w:szCs w:val="21"/>
        </w:rPr>
        <w:t>1</w:t>
      </w:r>
      <w:r>
        <w:rPr>
          <w:rFonts w:hint="eastAsia" w:ascii="宋体" w:hAnsi="宋体" w:cs="宋体"/>
          <w:color w:val="auto"/>
          <w:szCs w:val="21"/>
          <w:lang w:val="en-US" w:eastAsia="zh-CN"/>
        </w:rPr>
        <w:t>.</w:t>
      </w:r>
      <w:r>
        <w:rPr>
          <w:rFonts w:hint="eastAsia" w:ascii="宋体" w:hAnsi="宋体" w:cs="宋体"/>
          <w:color w:val="auto"/>
          <w:szCs w:val="21"/>
        </w:rPr>
        <w:t>招标采购人：系指组织本次采购的代理机构或采购人。</w:t>
      </w:r>
    </w:p>
    <w:p w14:paraId="09720AAF">
      <w:pPr>
        <w:snapToGrid w:val="0"/>
        <w:spacing w:line="420" w:lineRule="exact"/>
        <w:ind w:firstLine="420" w:firstLineChars="200"/>
        <w:jc w:val="left"/>
        <w:rPr>
          <w:rFonts w:ascii="宋体" w:hAnsi="宋体" w:cs="宋体"/>
          <w:color w:val="auto"/>
          <w:szCs w:val="21"/>
        </w:rPr>
      </w:pPr>
      <w:r>
        <w:rPr>
          <w:rFonts w:hint="eastAsia" w:ascii="宋体" w:hAnsi="宋体" w:cs="宋体"/>
          <w:color w:val="auto"/>
          <w:szCs w:val="21"/>
        </w:rPr>
        <w:t>2</w:t>
      </w:r>
      <w:r>
        <w:rPr>
          <w:rFonts w:hint="eastAsia" w:ascii="宋体" w:hAnsi="宋体" w:cs="宋体"/>
          <w:color w:val="auto"/>
          <w:szCs w:val="21"/>
          <w:lang w:val="en-US" w:eastAsia="zh-CN"/>
        </w:rPr>
        <w:t>.</w:t>
      </w:r>
      <w:r>
        <w:rPr>
          <w:rFonts w:hint="eastAsia" w:ascii="宋体" w:hAnsi="宋体" w:cs="宋体"/>
          <w:color w:val="auto"/>
          <w:szCs w:val="21"/>
        </w:rPr>
        <w:t>“供应商”系指向采购方提交投标文件的单位或个人。</w:t>
      </w:r>
    </w:p>
    <w:p w14:paraId="50ABC308">
      <w:pPr>
        <w:snapToGrid w:val="0"/>
        <w:spacing w:line="420" w:lineRule="exact"/>
        <w:ind w:firstLine="420" w:firstLineChars="200"/>
        <w:jc w:val="left"/>
        <w:rPr>
          <w:rFonts w:ascii="宋体" w:hAnsi="宋体" w:cs="宋体"/>
          <w:color w:val="auto"/>
          <w:szCs w:val="21"/>
        </w:rPr>
      </w:pPr>
      <w:r>
        <w:rPr>
          <w:rFonts w:hint="eastAsia" w:ascii="宋体" w:hAnsi="宋体" w:cs="宋体"/>
          <w:color w:val="auto"/>
          <w:szCs w:val="21"/>
        </w:rPr>
        <w:t>3</w:t>
      </w:r>
      <w:r>
        <w:rPr>
          <w:rFonts w:hint="eastAsia" w:ascii="宋体" w:hAnsi="宋体" w:cs="宋体"/>
          <w:color w:val="auto"/>
          <w:szCs w:val="21"/>
          <w:lang w:val="en-US" w:eastAsia="zh-CN"/>
        </w:rPr>
        <w:t>.</w:t>
      </w:r>
      <w:r>
        <w:rPr>
          <w:rFonts w:hint="eastAsia" w:ascii="宋体" w:hAnsi="宋体" w:cs="宋体"/>
          <w:color w:val="auto"/>
          <w:szCs w:val="21"/>
        </w:rPr>
        <w:t>“产品”系指供方按采购文件规定，须向采购人提供的一切设备、保险、税金、备品备件、工具、手册及其它有关技术资料和材料。</w:t>
      </w:r>
    </w:p>
    <w:p w14:paraId="079E7DF5">
      <w:pPr>
        <w:snapToGrid w:val="0"/>
        <w:spacing w:line="420" w:lineRule="exact"/>
        <w:ind w:firstLine="420" w:firstLineChars="200"/>
        <w:jc w:val="left"/>
        <w:rPr>
          <w:rFonts w:ascii="宋体" w:hAnsi="宋体" w:cs="宋体"/>
          <w:color w:val="auto"/>
          <w:szCs w:val="21"/>
        </w:rPr>
      </w:pPr>
      <w:r>
        <w:rPr>
          <w:rFonts w:hint="eastAsia" w:ascii="宋体" w:hAnsi="宋体" w:cs="宋体"/>
          <w:color w:val="auto"/>
          <w:szCs w:val="21"/>
        </w:rPr>
        <w:t>4</w:t>
      </w:r>
      <w:r>
        <w:rPr>
          <w:rFonts w:hint="eastAsia" w:ascii="宋体" w:hAnsi="宋体" w:cs="宋体"/>
          <w:color w:val="auto"/>
          <w:szCs w:val="21"/>
          <w:lang w:val="en-US" w:eastAsia="zh-CN"/>
        </w:rPr>
        <w:t>.</w:t>
      </w:r>
      <w:r>
        <w:rPr>
          <w:rFonts w:hint="eastAsia" w:ascii="宋体" w:hAnsi="宋体" w:cs="宋体"/>
          <w:color w:val="auto"/>
          <w:szCs w:val="21"/>
        </w:rPr>
        <w:t>服务”系指采购文件规定供应商须承担的安装、调试、技术协助、校准、培训、技术指导以及其他类似的义务。</w:t>
      </w:r>
    </w:p>
    <w:p w14:paraId="299D9700">
      <w:pPr>
        <w:snapToGrid w:val="0"/>
        <w:spacing w:line="420" w:lineRule="exact"/>
        <w:ind w:firstLine="420" w:firstLineChars="200"/>
        <w:jc w:val="left"/>
        <w:rPr>
          <w:rFonts w:ascii="宋体" w:hAnsi="宋体" w:cs="宋体"/>
          <w:color w:val="auto"/>
          <w:szCs w:val="21"/>
        </w:rPr>
      </w:pPr>
      <w:r>
        <w:rPr>
          <w:rFonts w:hint="eastAsia" w:ascii="宋体" w:hAnsi="宋体" w:cs="宋体"/>
          <w:color w:val="auto"/>
          <w:szCs w:val="21"/>
        </w:rPr>
        <w:t>5</w:t>
      </w:r>
      <w:r>
        <w:rPr>
          <w:rFonts w:hint="eastAsia" w:ascii="宋体" w:hAnsi="宋体" w:cs="宋体"/>
          <w:color w:val="auto"/>
          <w:szCs w:val="21"/>
          <w:lang w:val="en-US" w:eastAsia="zh-CN"/>
        </w:rPr>
        <w:t>.</w:t>
      </w:r>
      <w:r>
        <w:rPr>
          <w:rFonts w:hint="eastAsia" w:ascii="宋体" w:hAnsi="宋体" w:cs="宋体"/>
          <w:color w:val="auto"/>
          <w:szCs w:val="21"/>
        </w:rPr>
        <w:t>“项目”系指供应商按采购文件规定向采购人提供的产品和服务。</w:t>
      </w:r>
    </w:p>
    <w:p w14:paraId="44166409">
      <w:pPr>
        <w:snapToGrid w:val="0"/>
        <w:spacing w:line="420" w:lineRule="exact"/>
        <w:ind w:firstLine="420" w:firstLineChars="200"/>
        <w:jc w:val="left"/>
        <w:rPr>
          <w:rFonts w:ascii="宋体" w:hAnsi="宋体" w:cs="宋体"/>
          <w:color w:val="auto"/>
          <w:szCs w:val="21"/>
        </w:rPr>
      </w:pPr>
      <w:r>
        <w:rPr>
          <w:rFonts w:hint="eastAsia" w:ascii="宋体" w:hAnsi="宋体" w:cs="宋体"/>
          <w:color w:val="auto"/>
          <w:szCs w:val="21"/>
        </w:rPr>
        <w:t>6</w:t>
      </w:r>
      <w:r>
        <w:rPr>
          <w:rFonts w:hint="eastAsia" w:ascii="宋体" w:hAnsi="宋体" w:cs="宋体"/>
          <w:color w:val="auto"/>
          <w:szCs w:val="21"/>
          <w:lang w:val="en-US" w:eastAsia="zh-CN"/>
        </w:rPr>
        <w:t>.</w:t>
      </w:r>
      <w:r>
        <w:rPr>
          <w:rFonts w:hint="eastAsia" w:ascii="宋体" w:hAnsi="宋体" w:cs="宋体"/>
          <w:color w:val="auto"/>
          <w:szCs w:val="21"/>
        </w:rPr>
        <w:t>书面形式”包括信函、传真、电报等。</w:t>
      </w:r>
    </w:p>
    <w:p w14:paraId="492E5436">
      <w:pPr>
        <w:snapToGrid w:val="0"/>
        <w:spacing w:line="420" w:lineRule="exact"/>
        <w:ind w:firstLine="420" w:firstLineChars="200"/>
        <w:jc w:val="left"/>
        <w:rPr>
          <w:rFonts w:ascii="宋体" w:hAnsi="宋体" w:cs="宋体"/>
          <w:color w:val="auto"/>
          <w:szCs w:val="21"/>
        </w:rPr>
      </w:pPr>
      <w:r>
        <w:rPr>
          <w:rFonts w:hint="eastAsia" w:ascii="宋体" w:hAnsi="宋体" w:cs="宋体"/>
          <w:color w:val="auto"/>
          <w:szCs w:val="21"/>
        </w:rPr>
        <w:t>7</w:t>
      </w:r>
      <w:r>
        <w:rPr>
          <w:rFonts w:hint="eastAsia" w:ascii="宋体" w:hAnsi="宋体" w:cs="宋体"/>
          <w:color w:val="auto"/>
          <w:szCs w:val="21"/>
          <w:lang w:val="en-US" w:eastAsia="zh-CN"/>
        </w:rPr>
        <w:t>.</w:t>
      </w:r>
      <w:r>
        <w:rPr>
          <w:rFonts w:hint="eastAsia" w:ascii="宋体" w:hAnsi="宋体" w:cs="宋体"/>
          <w:color w:val="auto"/>
          <w:szCs w:val="21"/>
        </w:rPr>
        <w:t>“▲”系指实质性要求条款，不满足实质性要求条款的投标文件无效。“</w:t>
      </w:r>
      <w:r>
        <w:rPr>
          <w:rFonts w:hint="eastAsia" w:ascii="宋体" w:hAnsi="宋体" w:cs="宋体"/>
          <w:color w:val="auto"/>
          <w:szCs w:val="21"/>
          <w:lang w:eastAsia="zh-CN"/>
        </w:rPr>
        <w:t>★</w:t>
      </w:r>
      <w:r>
        <w:rPr>
          <w:rFonts w:hint="eastAsia" w:ascii="宋体" w:hAnsi="宋体" w:cs="宋体"/>
          <w:color w:val="auto"/>
          <w:szCs w:val="21"/>
        </w:rPr>
        <w:t>”系重要条款。</w:t>
      </w:r>
    </w:p>
    <w:p w14:paraId="1B8A0EBA">
      <w:pPr>
        <w:snapToGrid w:val="0"/>
        <w:spacing w:line="420" w:lineRule="exact"/>
        <w:ind w:firstLine="422" w:firstLineChars="200"/>
        <w:jc w:val="left"/>
        <w:outlineLvl w:val="1"/>
        <w:rPr>
          <w:rFonts w:ascii="宋体" w:hAnsi="宋体" w:cs="宋体"/>
          <w:b/>
          <w:color w:val="auto"/>
          <w:szCs w:val="21"/>
        </w:rPr>
      </w:pPr>
      <w:bookmarkStart w:id="5" w:name="_Toc33535348"/>
      <w:r>
        <w:rPr>
          <w:rFonts w:hint="eastAsia" w:ascii="宋体" w:hAnsi="宋体" w:cs="宋体"/>
          <w:b/>
          <w:color w:val="auto"/>
          <w:szCs w:val="21"/>
        </w:rPr>
        <w:t>（三）采购方式</w:t>
      </w:r>
      <w:bookmarkEnd w:id="5"/>
    </w:p>
    <w:p w14:paraId="03B45FD7">
      <w:pPr>
        <w:snapToGrid w:val="0"/>
        <w:spacing w:line="420" w:lineRule="exact"/>
        <w:ind w:firstLine="420" w:firstLineChars="200"/>
        <w:jc w:val="left"/>
        <w:rPr>
          <w:rFonts w:ascii="宋体" w:hAnsi="宋体" w:cs="宋体"/>
          <w:color w:val="auto"/>
          <w:szCs w:val="21"/>
        </w:rPr>
      </w:pPr>
      <w:r>
        <w:rPr>
          <w:rFonts w:hint="eastAsia" w:ascii="宋体" w:hAnsi="宋体" w:cs="宋体"/>
          <w:color w:val="auto"/>
          <w:szCs w:val="21"/>
        </w:rPr>
        <w:t>本次采用</w:t>
      </w:r>
      <w:r>
        <w:rPr>
          <w:rFonts w:hint="eastAsia" w:ascii="宋体" w:hAnsi="宋体" w:cs="宋体"/>
          <w:color w:val="auto"/>
          <w:szCs w:val="21"/>
          <w:u w:val="single"/>
        </w:rPr>
        <w:t>竞争性磋商</w:t>
      </w:r>
      <w:r>
        <w:rPr>
          <w:rFonts w:hint="eastAsia" w:ascii="宋体" w:hAnsi="宋体" w:cs="宋体"/>
          <w:color w:val="auto"/>
          <w:szCs w:val="21"/>
        </w:rPr>
        <w:t>方式进行。</w:t>
      </w:r>
    </w:p>
    <w:p w14:paraId="2B73164C">
      <w:pPr>
        <w:snapToGrid w:val="0"/>
        <w:spacing w:line="420" w:lineRule="exact"/>
        <w:ind w:firstLine="422" w:firstLineChars="200"/>
        <w:jc w:val="left"/>
        <w:outlineLvl w:val="1"/>
        <w:rPr>
          <w:rFonts w:ascii="宋体" w:hAnsi="宋体" w:cs="宋体"/>
          <w:b/>
          <w:color w:val="auto"/>
          <w:szCs w:val="21"/>
        </w:rPr>
      </w:pPr>
      <w:bookmarkStart w:id="6" w:name="_Toc33535350"/>
      <w:r>
        <w:rPr>
          <w:rFonts w:hint="eastAsia" w:ascii="宋体" w:hAnsi="宋体" w:cs="宋体"/>
          <w:b/>
          <w:color w:val="auto"/>
          <w:szCs w:val="21"/>
        </w:rPr>
        <w:t>（四）投标费用</w:t>
      </w:r>
      <w:bookmarkEnd w:id="6"/>
    </w:p>
    <w:p w14:paraId="4BDD47F9">
      <w:pPr>
        <w:snapToGrid w:val="0"/>
        <w:spacing w:line="420" w:lineRule="exact"/>
        <w:ind w:firstLine="420" w:firstLineChars="200"/>
        <w:jc w:val="left"/>
        <w:rPr>
          <w:rFonts w:ascii="宋体" w:hAnsi="宋体" w:cs="宋体"/>
          <w:color w:val="auto"/>
          <w:szCs w:val="21"/>
        </w:rPr>
      </w:pPr>
      <w:r>
        <w:rPr>
          <w:rFonts w:hint="eastAsia" w:ascii="宋体" w:hAnsi="宋体" w:cs="宋体"/>
          <w:color w:val="auto"/>
          <w:szCs w:val="21"/>
        </w:rPr>
        <w:t>不论投标结果如何，供应商均应自行承担所有与投标有关的全部费用。（采购文件有相反规定除外）</w:t>
      </w:r>
    </w:p>
    <w:p w14:paraId="6A8AF30B">
      <w:pPr>
        <w:snapToGrid w:val="0"/>
        <w:spacing w:line="420" w:lineRule="exact"/>
        <w:ind w:firstLine="422" w:firstLineChars="200"/>
        <w:jc w:val="left"/>
        <w:rPr>
          <w:rFonts w:ascii="宋体" w:hAnsi="宋体" w:cs="宋体"/>
          <w:b/>
          <w:color w:val="auto"/>
          <w:szCs w:val="21"/>
        </w:rPr>
      </w:pPr>
      <w:r>
        <w:rPr>
          <w:rFonts w:hint="eastAsia" w:ascii="宋体" w:hAnsi="宋体" w:cs="宋体"/>
          <w:b/>
          <w:color w:val="auto"/>
          <w:szCs w:val="21"/>
        </w:rPr>
        <w:t>（五）联合体投标</w:t>
      </w:r>
    </w:p>
    <w:p w14:paraId="3EE70489">
      <w:pPr>
        <w:snapToGrid w:val="0"/>
        <w:spacing w:line="420" w:lineRule="exact"/>
        <w:ind w:firstLine="420" w:firstLineChars="200"/>
        <w:jc w:val="left"/>
        <w:rPr>
          <w:rFonts w:ascii="宋体" w:hAnsi="宋体" w:cs="宋体"/>
          <w:color w:val="auto"/>
          <w:szCs w:val="21"/>
          <w:highlight w:val="none"/>
        </w:rPr>
      </w:pPr>
      <w:r>
        <w:rPr>
          <w:rFonts w:hint="eastAsia" w:ascii="宋体" w:hAnsi="宋体" w:cs="宋体"/>
          <w:color w:val="auto"/>
          <w:szCs w:val="21"/>
          <w:highlight w:val="none"/>
          <w:lang w:eastAsia="zh-CN"/>
        </w:rPr>
        <w:t>本项目（</w:t>
      </w:r>
      <w:r>
        <w:rPr>
          <w:rFonts w:hint="eastAsia" w:ascii="宋体" w:hAnsi="宋体" w:cs="宋体"/>
          <w:color w:val="auto"/>
          <w:szCs w:val="21"/>
          <w:highlight w:val="none"/>
          <w:lang w:val="en-US" w:eastAsia="zh-CN"/>
        </w:rPr>
        <w:t>否</w:t>
      </w:r>
      <w:r>
        <w:rPr>
          <w:rFonts w:hint="eastAsia" w:ascii="宋体" w:hAnsi="宋体" w:cs="宋体"/>
          <w:color w:val="auto"/>
          <w:szCs w:val="21"/>
          <w:highlight w:val="none"/>
          <w:lang w:eastAsia="zh-CN"/>
        </w:rPr>
        <w:t>）联合体投标</w:t>
      </w:r>
      <w:r>
        <w:rPr>
          <w:rFonts w:hint="eastAsia" w:ascii="宋体" w:hAnsi="宋体" w:cs="宋体"/>
          <w:color w:val="auto"/>
          <w:szCs w:val="21"/>
          <w:highlight w:val="none"/>
        </w:rPr>
        <w:t>。</w:t>
      </w:r>
    </w:p>
    <w:p w14:paraId="0AFEF86E">
      <w:pPr>
        <w:snapToGrid w:val="0"/>
        <w:spacing w:line="420" w:lineRule="exact"/>
        <w:ind w:firstLine="422" w:firstLineChars="200"/>
        <w:rPr>
          <w:rFonts w:ascii="宋体" w:hAnsi="宋体" w:cs="宋体"/>
          <w:b/>
          <w:color w:val="auto"/>
          <w:kern w:val="0"/>
          <w:szCs w:val="21"/>
        </w:rPr>
      </w:pPr>
      <w:r>
        <w:rPr>
          <w:rFonts w:hint="eastAsia" w:ascii="宋体" w:hAnsi="宋体" w:cs="宋体"/>
          <w:b/>
          <w:color w:val="auto"/>
          <w:szCs w:val="21"/>
        </w:rPr>
        <w:t>（六）</w:t>
      </w:r>
      <w:r>
        <w:rPr>
          <w:rFonts w:hint="eastAsia" w:ascii="宋体" w:hAnsi="宋体" w:cs="宋体"/>
          <w:b/>
          <w:color w:val="auto"/>
          <w:kern w:val="0"/>
          <w:szCs w:val="21"/>
        </w:rPr>
        <w:t>转包与分包</w:t>
      </w:r>
    </w:p>
    <w:p w14:paraId="17EC15BC">
      <w:pPr>
        <w:snapToGrid w:val="0"/>
        <w:spacing w:line="420" w:lineRule="exact"/>
        <w:ind w:firstLine="420" w:firstLineChars="200"/>
        <w:rPr>
          <w:rFonts w:ascii="宋体" w:hAnsi="宋体" w:cs="宋体"/>
          <w:color w:val="auto"/>
          <w:kern w:val="0"/>
          <w:szCs w:val="21"/>
        </w:rPr>
      </w:pPr>
      <w:r>
        <w:rPr>
          <w:rFonts w:hint="eastAsia" w:ascii="宋体" w:hAnsi="宋体" w:cs="宋体"/>
          <w:color w:val="auto"/>
          <w:kern w:val="0"/>
          <w:szCs w:val="21"/>
        </w:rPr>
        <w:t>1.本项目不允许转包。</w:t>
      </w:r>
    </w:p>
    <w:p w14:paraId="7FA739F0">
      <w:pPr>
        <w:snapToGrid w:val="0"/>
        <w:spacing w:line="420" w:lineRule="exact"/>
        <w:ind w:firstLine="420" w:firstLineChars="200"/>
        <w:rPr>
          <w:rFonts w:ascii="宋体" w:hAnsi="宋体" w:cs="宋体"/>
          <w:color w:val="auto"/>
          <w:kern w:val="0"/>
          <w:szCs w:val="21"/>
        </w:rPr>
      </w:pPr>
      <w:r>
        <w:rPr>
          <w:rFonts w:hint="eastAsia" w:ascii="宋体" w:hAnsi="宋体" w:cs="宋体"/>
          <w:color w:val="auto"/>
          <w:kern w:val="0"/>
          <w:szCs w:val="21"/>
        </w:rPr>
        <w:t>2.本项目可分包。</w:t>
      </w:r>
    </w:p>
    <w:p w14:paraId="2C6341E3">
      <w:pPr>
        <w:snapToGrid w:val="0"/>
        <w:spacing w:line="420" w:lineRule="exact"/>
        <w:ind w:firstLine="422" w:firstLineChars="200"/>
        <w:rPr>
          <w:rFonts w:ascii="宋体" w:hAnsi="宋体" w:cs="宋体"/>
          <w:b/>
          <w:color w:val="auto"/>
          <w:szCs w:val="21"/>
        </w:rPr>
      </w:pPr>
      <w:r>
        <w:rPr>
          <w:rFonts w:hint="eastAsia" w:ascii="宋体" w:hAnsi="宋体" w:cs="宋体"/>
          <w:b/>
          <w:color w:val="auto"/>
          <w:szCs w:val="21"/>
        </w:rPr>
        <w:t>（七）是否允许采购进口产品</w:t>
      </w:r>
    </w:p>
    <w:p w14:paraId="5D4B0FEC">
      <w:pPr>
        <w:snapToGrid w:val="0"/>
        <w:spacing w:line="420" w:lineRule="exact"/>
        <w:ind w:firstLine="420" w:firstLineChars="200"/>
        <w:jc w:val="left"/>
        <w:outlineLvl w:val="1"/>
        <w:rPr>
          <w:rFonts w:ascii="宋体" w:hAnsi="宋体" w:cs="宋体"/>
          <w:color w:val="auto"/>
          <w:kern w:val="0"/>
          <w:szCs w:val="21"/>
        </w:rPr>
      </w:pPr>
      <w:bookmarkStart w:id="7" w:name="_Toc33535351"/>
      <w:r>
        <w:rPr>
          <w:rFonts w:hint="eastAsia" w:ascii="宋体" w:hAnsi="宋体" w:cs="宋体"/>
          <w:color w:val="auto"/>
          <w:kern w:val="0"/>
          <w:szCs w:val="21"/>
        </w:rPr>
        <w:t>不允许采购进口产品。</w:t>
      </w:r>
      <w:bookmarkEnd w:id="7"/>
    </w:p>
    <w:p w14:paraId="15349D4E">
      <w:pPr>
        <w:snapToGrid w:val="0"/>
        <w:spacing w:line="420" w:lineRule="exact"/>
        <w:ind w:firstLine="422" w:firstLineChars="200"/>
        <w:jc w:val="left"/>
        <w:outlineLvl w:val="1"/>
        <w:rPr>
          <w:rFonts w:ascii="宋体" w:hAnsi="宋体" w:cs="宋体"/>
          <w:b/>
          <w:color w:val="auto"/>
          <w:szCs w:val="21"/>
        </w:rPr>
      </w:pPr>
      <w:bookmarkStart w:id="8" w:name="_Toc33535352"/>
      <w:r>
        <w:rPr>
          <w:rFonts w:hint="eastAsia" w:ascii="宋体" w:hAnsi="宋体" w:cs="宋体"/>
          <w:b/>
          <w:color w:val="auto"/>
          <w:szCs w:val="21"/>
        </w:rPr>
        <w:t>（八）特别说明：</w:t>
      </w:r>
      <w:bookmarkEnd w:id="8"/>
    </w:p>
    <w:p w14:paraId="4BE5C955">
      <w:pPr>
        <w:pStyle w:val="29"/>
        <w:shd w:val="clear" w:color="auto" w:fill="FFFFFF"/>
        <w:spacing w:before="0" w:beforeAutospacing="0" w:after="0" w:afterAutospacing="0" w:line="420" w:lineRule="exact"/>
        <w:ind w:firstLine="420"/>
        <w:rPr>
          <w:color w:val="auto"/>
          <w:kern w:val="2"/>
          <w:sz w:val="21"/>
          <w:szCs w:val="21"/>
        </w:rPr>
      </w:pPr>
      <w:r>
        <w:rPr>
          <w:rFonts w:hint="eastAsia"/>
          <w:color w:val="auto"/>
          <w:kern w:val="2"/>
          <w:sz w:val="21"/>
          <w:szCs w:val="21"/>
        </w:rPr>
        <w:t>1</w:t>
      </w:r>
      <w:r>
        <w:rPr>
          <w:rFonts w:hint="eastAsia"/>
          <w:color w:val="auto"/>
          <w:kern w:val="2"/>
          <w:sz w:val="21"/>
          <w:szCs w:val="21"/>
          <w:lang w:val="en-US" w:eastAsia="zh-CN"/>
        </w:rPr>
        <w:t>.</w:t>
      </w:r>
      <w:r>
        <w:rPr>
          <w:rFonts w:hint="eastAsia"/>
          <w:color w:val="auto"/>
          <w:kern w:val="2"/>
          <w:sz w:val="21"/>
          <w:szCs w:val="21"/>
        </w:rPr>
        <w:t>多家供应商参加投标，如提供相同品牌产品且通过资格审查、符合性审查的不同投标人参加同一合同项下投标的，按一家投标人计算，评审后得分最高的同品牌投标人获得中标人推荐资格；评审得分相同的，取报价最低的同品牌投标人；当报价也相同时，则取技术标最优的同品牌投标人；均相同时，由采购人代表随机抽取方式确定。其他同品牌投标人不作为中标候选人。</w:t>
      </w:r>
    </w:p>
    <w:p w14:paraId="18E43D36">
      <w:pPr>
        <w:spacing w:line="440" w:lineRule="exact"/>
        <w:ind w:firstLine="420" w:firstLineChars="200"/>
        <w:rPr>
          <w:rFonts w:ascii="宋体" w:hAnsi="宋体" w:cs="宋体"/>
          <w:color w:val="auto"/>
          <w:szCs w:val="21"/>
        </w:rPr>
      </w:pPr>
      <w:r>
        <w:rPr>
          <w:rFonts w:hint="eastAsia" w:ascii="宋体" w:hAnsi="宋体" w:cs="宋体"/>
          <w:color w:val="auto"/>
          <w:szCs w:val="21"/>
        </w:rPr>
        <w:t>非单一产品采购项目，以带“</w:t>
      </w:r>
      <w:r>
        <w:rPr>
          <w:rFonts w:hint="eastAsia" w:ascii="宋体" w:hAnsi="宋体" w:cs="宋体"/>
          <w:color w:val="auto"/>
          <w:szCs w:val="21"/>
          <w:lang w:eastAsia="zh-CN"/>
        </w:rPr>
        <w:t>◆</w:t>
      </w:r>
      <w:r>
        <w:rPr>
          <w:rFonts w:hint="eastAsia" w:ascii="宋体" w:hAnsi="宋体" w:cs="宋体"/>
          <w:color w:val="auto"/>
          <w:szCs w:val="21"/>
        </w:rPr>
        <w:t>”作为核心产品。多家投标人提供的核心产品品牌相同的，按前款规定处理。</w:t>
      </w:r>
    </w:p>
    <w:p w14:paraId="67C188CB">
      <w:pPr>
        <w:pStyle w:val="15"/>
        <w:snapToGrid w:val="0"/>
        <w:spacing w:line="440" w:lineRule="exact"/>
        <w:ind w:left="2" w:leftChars="1" w:firstLine="420" w:firstLineChars="200"/>
        <w:rPr>
          <w:rFonts w:hAnsi="宋体"/>
          <w:color w:val="auto"/>
          <w:szCs w:val="21"/>
        </w:rPr>
      </w:pPr>
      <w:r>
        <w:rPr>
          <w:rFonts w:hint="eastAsia" w:hAnsi="宋体"/>
          <w:color w:val="auto"/>
          <w:szCs w:val="21"/>
        </w:rPr>
        <w:t>2</w:t>
      </w:r>
      <w:r>
        <w:rPr>
          <w:rFonts w:hint="eastAsia" w:hAnsi="宋体"/>
          <w:color w:val="auto"/>
          <w:szCs w:val="21"/>
          <w:lang w:val="en-US" w:eastAsia="zh-CN"/>
        </w:rPr>
        <w:t>.</w:t>
      </w:r>
      <w:r>
        <w:rPr>
          <w:rFonts w:hint="eastAsia" w:hAnsi="宋体"/>
          <w:color w:val="auto"/>
          <w:szCs w:val="21"/>
        </w:rPr>
        <w:t>供应商投标所使用的资格、信誉、荣誉、业绩与企业认证必须为本法人所拥有。供应商投标所使用的采购项目实施人员必须为本法人员工（或必须为本法人或控股公司正式员工）。</w:t>
      </w:r>
    </w:p>
    <w:p w14:paraId="0C82ACB3">
      <w:pPr>
        <w:pStyle w:val="15"/>
        <w:snapToGrid w:val="0"/>
        <w:spacing w:line="440" w:lineRule="exact"/>
        <w:ind w:left="2" w:leftChars="1" w:firstLine="420" w:firstLineChars="200"/>
        <w:rPr>
          <w:rFonts w:hAnsi="宋体"/>
          <w:color w:val="auto"/>
          <w:szCs w:val="21"/>
        </w:rPr>
      </w:pPr>
      <w:r>
        <w:rPr>
          <w:rFonts w:hint="eastAsia" w:hAnsi="宋体"/>
          <w:color w:val="auto"/>
          <w:szCs w:val="21"/>
        </w:rPr>
        <w:t>3</w:t>
      </w:r>
      <w:r>
        <w:rPr>
          <w:rFonts w:hint="eastAsia" w:hAnsi="宋体"/>
          <w:color w:val="auto"/>
          <w:szCs w:val="21"/>
          <w:lang w:val="en-US" w:eastAsia="zh-CN"/>
        </w:rPr>
        <w:t>.</w:t>
      </w:r>
      <w:r>
        <w:rPr>
          <w:rFonts w:hint="eastAsia" w:hAnsi="宋体"/>
          <w:color w:val="auto"/>
          <w:szCs w:val="21"/>
        </w:rPr>
        <w:t>供应商应仔细阅读采购文件的所有内容，按照采购文件的要求提交投标文件，并对所提供的全部资料的真实性承担法律责任。</w:t>
      </w:r>
    </w:p>
    <w:p w14:paraId="7141138F">
      <w:pPr>
        <w:pStyle w:val="15"/>
        <w:snapToGrid w:val="0"/>
        <w:spacing w:line="420" w:lineRule="exact"/>
        <w:ind w:left="2" w:leftChars="1" w:firstLine="420" w:firstLineChars="200"/>
        <w:rPr>
          <w:rFonts w:hAnsi="宋体"/>
          <w:color w:val="auto"/>
          <w:szCs w:val="21"/>
        </w:rPr>
      </w:pPr>
      <w:r>
        <w:rPr>
          <w:rFonts w:hint="eastAsia" w:hAnsi="宋体"/>
          <w:color w:val="auto"/>
          <w:szCs w:val="21"/>
        </w:rPr>
        <w:t>4</w:t>
      </w:r>
      <w:r>
        <w:rPr>
          <w:rFonts w:hint="eastAsia" w:hAnsi="宋体"/>
          <w:color w:val="auto"/>
          <w:szCs w:val="21"/>
          <w:lang w:val="en-US" w:eastAsia="zh-CN"/>
        </w:rPr>
        <w:t>.</w:t>
      </w:r>
      <w:r>
        <w:rPr>
          <w:rFonts w:hint="eastAsia" w:hAnsi="宋体"/>
          <w:color w:val="auto"/>
          <w:szCs w:val="21"/>
        </w:rPr>
        <w:t>供应商在投标活动中提供任何虚假材料，其投标无效，并报监管部门查处；中标后发现的，中标人须依照《中华人民共和国消费者权益保护法》第49条之规定双倍赔偿采购人，且民事赔偿并不免除违法供应商的行政与刑事责任。</w:t>
      </w:r>
    </w:p>
    <w:p w14:paraId="00DA80CE">
      <w:pPr>
        <w:pStyle w:val="15"/>
        <w:snapToGrid w:val="0"/>
        <w:spacing w:line="420" w:lineRule="exact"/>
        <w:ind w:firstLine="422" w:firstLineChars="200"/>
        <w:outlineLvl w:val="1"/>
        <w:rPr>
          <w:rFonts w:hAnsi="宋体"/>
          <w:b/>
          <w:bCs/>
          <w:color w:val="auto"/>
          <w:szCs w:val="21"/>
        </w:rPr>
      </w:pPr>
      <w:bookmarkStart w:id="9" w:name="_Toc33535353"/>
      <w:r>
        <w:rPr>
          <w:rFonts w:hint="eastAsia" w:hAnsi="宋体"/>
          <w:b/>
          <w:bCs/>
          <w:color w:val="auto"/>
          <w:szCs w:val="21"/>
        </w:rPr>
        <w:t>（九）质疑和投诉</w:t>
      </w:r>
      <w:bookmarkEnd w:id="9"/>
    </w:p>
    <w:p w14:paraId="5BCC3D69">
      <w:pPr>
        <w:pStyle w:val="15"/>
        <w:snapToGrid w:val="0"/>
        <w:spacing w:line="420" w:lineRule="exact"/>
        <w:ind w:firstLine="420" w:firstLineChars="200"/>
        <w:rPr>
          <w:rFonts w:hAnsi="宋体"/>
          <w:bCs/>
          <w:color w:val="auto"/>
          <w:szCs w:val="21"/>
        </w:rPr>
      </w:pPr>
      <w:r>
        <w:rPr>
          <w:rFonts w:hint="eastAsia" w:hAnsi="宋体"/>
          <w:bCs/>
          <w:color w:val="auto"/>
          <w:szCs w:val="21"/>
        </w:rPr>
        <w:t>1</w:t>
      </w:r>
      <w:r>
        <w:rPr>
          <w:rFonts w:hint="eastAsia" w:hAnsi="宋体"/>
          <w:bCs/>
          <w:color w:val="auto"/>
          <w:szCs w:val="21"/>
          <w:lang w:val="en-US" w:eastAsia="zh-CN"/>
        </w:rPr>
        <w:t>.</w:t>
      </w:r>
      <w:r>
        <w:rPr>
          <w:rFonts w:hint="eastAsia" w:hAnsi="宋体"/>
          <w:bCs/>
          <w:color w:val="auto"/>
          <w:szCs w:val="21"/>
        </w:rPr>
        <w:t>供应商认为采购文件、采购过程、中标或者成交结果使自己的权益受到损害的，可以在知道或者应知其权益受到损害之日起7个工作日内，以书面形式一次性向采购人、采购代理机构提出针对同一采购程序环节的质疑。质疑供应商对采购人、采购代理机构的答复不满意，或者采购人、采购代理机构未在规定时间内作出答复的，可以在答复期满后15个工作日内向规定的财政部门提起投诉。</w:t>
      </w:r>
    </w:p>
    <w:p w14:paraId="47B2C361">
      <w:pPr>
        <w:pStyle w:val="15"/>
        <w:snapToGrid w:val="0"/>
        <w:spacing w:line="420" w:lineRule="exact"/>
        <w:ind w:firstLine="420" w:firstLineChars="200"/>
        <w:rPr>
          <w:rFonts w:hAnsi="宋体"/>
          <w:bCs/>
          <w:color w:val="auto"/>
          <w:szCs w:val="21"/>
        </w:rPr>
      </w:pPr>
      <w:r>
        <w:rPr>
          <w:rFonts w:hint="eastAsia" w:hAnsi="宋体"/>
          <w:bCs/>
          <w:color w:val="auto"/>
          <w:szCs w:val="21"/>
        </w:rPr>
        <w:t>2</w:t>
      </w:r>
      <w:r>
        <w:rPr>
          <w:rFonts w:hint="eastAsia" w:hAnsi="宋体"/>
          <w:bCs/>
          <w:color w:val="auto"/>
          <w:szCs w:val="21"/>
          <w:lang w:val="en-US" w:eastAsia="zh-CN"/>
        </w:rPr>
        <w:t>.</w:t>
      </w:r>
      <w:r>
        <w:rPr>
          <w:rFonts w:hint="eastAsia" w:hAnsi="宋体"/>
          <w:bCs/>
          <w:color w:val="auto"/>
          <w:szCs w:val="21"/>
        </w:rPr>
        <w:t>供应商须在法定质疑期内一次性提出针对同一采购程序环节的质疑.</w:t>
      </w:r>
    </w:p>
    <w:p w14:paraId="4125105B">
      <w:pPr>
        <w:pStyle w:val="15"/>
        <w:snapToGrid w:val="0"/>
        <w:spacing w:line="420" w:lineRule="exact"/>
        <w:ind w:firstLine="420" w:firstLineChars="200"/>
        <w:rPr>
          <w:rFonts w:hAnsi="宋体"/>
          <w:bCs/>
          <w:color w:val="auto"/>
          <w:szCs w:val="21"/>
        </w:rPr>
      </w:pPr>
      <w:r>
        <w:rPr>
          <w:rFonts w:hint="eastAsia" w:hAnsi="宋体"/>
          <w:bCs/>
          <w:color w:val="auto"/>
          <w:szCs w:val="21"/>
        </w:rPr>
        <w:t>3</w:t>
      </w:r>
      <w:r>
        <w:rPr>
          <w:rFonts w:hint="eastAsia" w:hAnsi="宋体"/>
          <w:bCs/>
          <w:color w:val="auto"/>
          <w:szCs w:val="21"/>
          <w:lang w:val="en-US" w:eastAsia="zh-CN"/>
        </w:rPr>
        <w:t>.</w:t>
      </w:r>
      <w:r>
        <w:rPr>
          <w:rFonts w:hint="eastAsia" w:hAnsi="宋体"/>
          <w:bCs/>
          <w:color w:val="auto"/>
          <w:szCs w:val="21"/>
        </w:rPr>
        <w:t>供应商认为采购代理机构在质疑答复程序中启用的调查和复评等程序，在该程序操作过程未明显违反法律禁止性规定时，不得提出疑义。</w:t>
      </w:r>
    </w:p>
    <w:p w14:paraId="5E65B39D">
      <w:pPr>
        <w:pStyle w:val="15"/>
        <w:snapToGrid w:val="0"/>
        <w:spacing w:line="420" w:lineRule="exact"/>
        <w:ind w:firstLine="420" w:firstLineChars="200"/>
        <w:rPr>
          <w:rFonts w:hAnsi="宋体"/>
          <w:bCs/>
          <w:color w:val="auto"/>
          <w:szCs w:val="21"/>
        </w:rPr>
      </w:pPr>
      <w:r>
        <w:rPr>
          <w:rFonts w:hint="eastAsia" w:hAnsi="宋体"/>
          <w:bCs/>
          <w:color w:val="auto"/>
          <w:szCs w:val="21"/>
        </w:rPr>
        <w:t>4</w:t>
      </w:r>
      <w:r>
        <w:rPr>
          <w:rFonts w:hint="eastAsia" w:hAnsi="宋体"/>
          <w:bCs/>
          <w:color w:val="auto"/>
          <w:szCs w:val="21"/>
          <w:lang w:val="en-US" w:eastAsia="zh-CN"/>
        </w:rPr>
        <w:t>.</w:t>
      </w:r>
      <w:r>
        <w:rPr>
          <w:rFonts w:hint="eastAsia" w:hAnsi="宋体"/>
          <w:bCs/>
          <w:color w:val="auto"/>
          <w:szCs w:val="21"/>
        </w:rPr>
        <w:t>质疑和投诉应当满足《政府采购质疑和投诉办法》（中华人民共和国财政部令第94号）要求。</w:t>
      </w:r>
    </w:p>
    <w:p w14:paraId="0C174FEA">
      <w:pPr>
        <w:pStyle w:val="15"/>
        <w:snapToGrid w:val="0"/>
        <w:spacing w:line="420" w:lineRule="exact"/>
        <w:ind w:firstLine="413" w:firstLineChars="196"/>
        <w:jc w:val="center"/>
        <w:outlineLvl w:val="0"/>
        <w:rPr>
          <w:rFonts w:hAnsi="宋体"/>
          <w:b/>
          <w:color w:val="auto"/>
          <w:szCs w:val="21"/>
        </w:rPr>
      </w:pPr>
      <w:bookmarkStart w:id="10" w:name="_Toc406402987"/>
      <w:bookmarkStart w:id="11" w:name="_Toc406402943"/>
      <w:bookmarkStart w:id="12" w:name="_Toc33535354"/>
    </w:p>
    <w:p w14:paraId="4F2A7CA3">
      <w:pPr>
        <w:pStyle w:val="15"/>
        <w:snapToGrid w:val="0"/>
        <w:spacing w:line="420" w:lineRule="exact"/>
        <w:ind w:firstLine="551" w:firstLineChars="196"/>
        <w:jc w:val="center"/>
        <w:outlineLvl w:val="0"/>
        <w:rPr>
          <w:rFonts w:hAnsi="宋体"/>
          <w:b/>
          <w:color w:val="auto"/>
          <w:sz w:val="28"/>
          <w:szCs w:val="28"/>
        </w:rPr>
      </w:pPr>
      <w:r>
        <w:rPr>
          <w:rFonts w:hint="eastAsia" w:hAnsi="宋体"/>
          <w:b/>
          <w:color w:val="auto"/>
          <w:sz w:val="28"/>
          <w:szCs w:val="28"/>
        </w:rPr>
        <w:t>二、采购文件</w:t>
      </w:r>
      <w:bookmarkEnd w:id="10"/>
      <w:bookmarkEnd w:id="11"/>
      <w:bookmarkEnd w:id="12"/>
    </w:p>
    <w:p w14:paraId="02CD409E">
      <w:pPr>
        <w:snapToGrid w:val="0"/>
        <w:spacing w:line="420" w:lineRule="exact"/>
        <w:ind w:firstLine="422" w:firstLineChars="200"/>
        <w:jc w:val="left"/>
        <w:rPr>
          <w:rFonts w:ascii="宋体" w:hAnsi="宋体" w:cs="宋体"/>
          <w:b/>
          <w:color w:val="auto"/>
          <w:szCs w:val="21"/>
        </w:rPr>
      </w:pPr>
      <w:r>
        <w:rPr>
          <w:rFonts w:hint="eastAsia" w:ascii="宋体" w:hAnsi="宋体" w:cs="宋体"/>
          <w:b/>
          <w:color w:val="auto"/>
          <w:szCs w:val="21"/>
        </w:rPr>
        <w:t>（一）采购文件的构成。本采购文件由以下部份组成：</w:t>
      </w:r>
    </w:p>
    <w:p w14:paraId="661D48ED">
      <w:pPr>
        <w:snapToGrid w:val="0"/>
        <w:spacing w:line="420" w:lineRule="exact"/>
        <w:ind w:firstLine="420" w:firstLineChars="200"/>
        <w:jc w:val="left"/>
        <w:rPr>
          <w:rFonts w:ascii="宋体" w:hAnsi="宋体" w:cs="宋体"/>
          <w:color w:val="auto"/>
          <w:szCs w:val="21"/>
        </w:rPr>
      </w:pPr>
      <w:r>
        <w:rPr>
          <w:rFonts w:hint="eastAsia" w:ascii="宋体" w:hAnsi="宋体" w:cs="宋体"/>
          <w:color w:val="auto"/>
          <w:szCs w:val="21"/>
        </w:rPr>
        <w:t>1</w:t>
      </w:r>
      <w:r>
        <w:rPr>
          <w:rFonts w:hint="eastAsia" w:ascii="宋体" w:hAnsi="宋体" w:cs="宋体"/>
          <w:color w:val="auto"/>
          <w:szCs w:val="21"/>
          <w:lang w:val="en-US" w:eastAsia="zh-CN"/>
        </w:rPr>
        <w:t>.</w:t>
      </w:r>
      <w:r>
        <w:rPr>
          <w:rFonts w:hint="eastAsia" w:ascii="宋体" w:hAnsi="宋体" w:cs="宋体"/>
          <w:color w:val="auto"/>
          <w:szCs w:val="21"/>
        </w:rPr>
        <w:t>采购公告</w:t>
      </w:r>
    </w:p>
    <w:p w14:paraId="4436E4C5">
      <w:pPr>
        <w:snapToGrid w:val="0"/>
        <w:spacing w:line="420" w:lineRule="exact"/>
        <w:ind w:firstLine="420" w:firstLineChars="200"/>
        <w:jc w:val="left"/>
        <w:rPr>
          <w:rFonts w:ascii="宋体" w:hAnsi="宋体" w:cs="宋体"/>
          <w:color w:val="auto"/>
          <w:szCs w:val="21"/>
        </w:rPr>
      </w:pPr>
      <w:r>
        <w:rPr>
          <w:rFonts w:hint="eastAsia" w:ascii="宋体" w:hAnsi="宋体" w:cs="宋体"/>
          <w:color w:val="auto"/>
          <w:szCs w:val="21"/>
        </w:rPr>
        <w:t>2</w:t>
      </w:r>
      <w:r>
        <w:rPr>
          <w:rFonts w:hint="eastAsia" w:ascii="宋体" w:hAnsi="宋体" w:cs="宋体"/>
          <w:color w:val="auto"/>
          <w:szCs w:val="21"/>
          <w:lang w:val="en-US" w:eastAsia="zh-CN"/>
        </w:rPr>
        <w:t>.</w:t>
      </w:r>
      <w:r>
        <w:rPr>
          <w:rFonts w:hint="eastAsia" w:ascii="宋体" w:hAnsi="宋体" w:cs="宋体"/>
          <w:color w:val="auto"/>
          <w:szCs w:val="21"/>
        </w:rPr>
        <w:t>采购需求</w:t>
      </w:r>
    </w:p>
    <w:p w14:paraId="53BEB0C6">
      <w:pPr>
        <w:snapToGrid w:val="0"/>
        <w:spacing w:line="420" w:lineRule="exact"/>
        <w:ind w:firstLine="420" w:firstLineChars="200"/>
        <w:jc w:val="left"/>
        <w:rPr>
          <w:rFonts w:ascii="宋体" w:hAnsi="宋体" w:cs="宋体"/>
          <w:color w:val="auto"/>
          <w:szCs w:val="21"/>
        </w:rPr>
      </w:pPr>
      <w:r>
        <w:rPr>
          <w:rFonts w:hint="eastAsia" w:ascii="宋体" w:hAnsi="宋体" w:cs="宋体"/>
          <w:color w:val="auto"/>
          <w:szCs w:val="21"/>
        </w:rPr>
        <w:t>3</w:t>
      </w:r>
      <w:r>
        <w:rPr>
          <w:rFonts w:hint="eastAsia" w:ascii="宋体" w:hAnsi="宋体" w:cs="宋体"/>
          <w:color w:val="auto"/>
          <w:szCs w:val="21"/>
          <w:lang w:val="en-US" w:eastAsia="zh-CN"/>
        </w:rPr>
        <w:t>.</w:t>
      </w:r>
      <w:r>
        <w:rPr>
          <w:rFonts w:hint="eastAsia" w:ascii="宋体" w:hAnsi="宋体" w:cs="宋体"/>
          <w:color w:val="auto"/>
          <w:szCs w:val="21"/>
        </w:rPr>
        <w:t>供应商须知</w:t>
      </w:r>
    </w:p>
    <w:p w14:paraId="5B907D6A">
      <w:pPr>
        <w:snapToGrid w:val="0"/>
        <w:spacing w:line="420" w:lineRule="exact"/>
        <w:ind w:firstLine="420" w:firstLineChars="200"/>
        <w:jc w:val="left"/>
        <w:rPr>
          <w:rFonts w:ascii="宋体" w:hAnsi="宋体" w:cs="宋体"/>
          <w:color w:val="auto"/>
          <w:szCs w:val="21"/>
        </w:rPr>
      </w:pPr>
      <w:r>
        <w:rPr>
          <w:rFonts w:hint="eastAsia" w:ascii="宋体" w:hAnsi="宋体" w:cs="宋体"/>
          <w:color w:val="auto"/>
          <w:szCs w:val="21"/>
        </w:rPr>
        <w:t>4</w:t>
      </w:r>
      <w:r>
        <w:rPr>
          <w:rFonts w:hint="eastAsia" w:ascii="宋体" w:hAnsi="宋体" w:cs="宋体"/>
          <w:color w:val="auto"/>
          <w:szCs w:val="21"/>
          <w:lang w:val="en-US" w:eastAsia="zh-CN"/>
        </w:rPr>
        <w:t>.</w:t>
      </w:r>
      <w:r>
        <w:rPr>
          <w:rFonts w:hint="eastAsia" w:ascii="宋体" w:hAnsi="宋体" w:cs="宋体"/>
          <w:color w:val="auto"/>
          <w:szCs w:val="21"/>
        </w:rPr>
        <w:t>评标办法及标准</w:t>
      </w:r>
    </w:p>
    <w:p w14:paraId="65051F6B">
      <w:pPr>
        <w:snapToGrid w:val="0"/>
        <w:spacing w:line="420" w:lineRule="exact"/>
        <w:ind w:firstLine="420" w:firstLineChars="200"/>
        <w:jc w:val="left"/>
        <w:rPr>
          <w:rFonts w:ascii="宋体" w:hAnsi="宋体" w:cs="宋体"/>
          <w:color w:val="auto"/>
          <w:szCs w:val="21"/>
        </w:rPr>
      </w:pPr>
      <w:r>
        <w:rPr>
          <w:rFonts w:hint="eastAsia" w:ascii="宋体" w:hAnsi="宋体" w:cs="宋体"/>
          <w:color w:val="auto"/>
          <w:szCs w:val="21"/>
        </w:rPr>
        <w:t>5</w:t>
      </w:r>
      <w:r>
        <w:rPr>
          <w:rFonts w:hint="eastAsia" w:ascii="宋体" w:hAnsi="宋体" w:cs="宋体"/>
          <w:color w:val="auto"/>
          <w:szCs w:val="21"/>
          <w:lang w:val="en-US" w:eastAsia="zh-CN"/>
        </w:rPr>
        <w:t>.</w:t>
      </w:r>
      <w:r>
        <w:rPr>
          <w:rFonts w:hint="eastAsia" w:ascii="宋体" w:hAnsi="宋体" w:cs="宋体"/>
          <w:color w:val="auto"/>
          <w:szCs w:val="21"/>
        </w:rPr>
        <w:t>合同主要条款</w:t>
      </w:r>
    </w:p>
    <w:p w14:paraId="74E0D56D">
      <w:pPr>
        <w:snapToGrid w:val="0"/>
        <w:spacing w:line="420" w:lineRule="exact"/>
        <w:ind w:firstLine="420" w:firstLineChars="200"/>
        <w:jc w:val="left"/>
        <w:rPr>
          <w:rFonts w:ascii="宋体" w:hAnsi="宋体" w:cs="宋体"/>
          <w:color w:val="auto"/>
          <w:szCs w:val="21"/>
        </w:rPr>
      </w:pPr>
      <w:r>
        <w:rPr>
          <w:rFonts w:hint="eastAsia" w:ascii="宋体" w:hAnsi="宋体" w:cs="宋体"/>
          <w:color w:val="auto"/>
          <w:szCs w:val="21"/>
        </w:rPr>
        <w:t>6</w:t>
      </w:r>
      <w:r>
        <w:rPr>
          <w:rFonts w:hint="eastAsia" w:ascii="宋体" w:hAnsi="宋体" w:cs="宋体"/>
          <w:color w:val="auto"/>
          <w:szCs w:val="21"/>
          <w:lang w:val="en-US" w:eastAsia="zh-CN"/>
        </w:rPr>
        <w:t>.</w:t>
      </w:r>
      <w:r>
        <w:rPr>
          <w:rFonts w:hint="eastAsia" w:ascii="宋体" w:hAnsi="宋体" w:cs="宋体"/>
          <w:color w:val="auto"/>
          <w:szCs w:val="21"/>
        </w:rPr>
        <w:t>投标文件格式</w:t>
      </w:r>
    </w:p>
    <w:p w14:paraId="169F6649">
      <w:pPr>
        <w:snapToGrid w:val="0"/>
        <w:spacing w:line="420" w:lineRule="exact"/>
        <w:ind w:firstLine="420" w:firstLineChars="200"/>
        <w:jc w:val="left"/>
        <w:rPr>
          <w:rFonts w:ascii="宋体" w:hAnsi="宋体" w:cs="宋体"/>
          <w:color w:val="auto"/>
          <w:szCs w:val="21"/>
        </w:rPr>
      </w:pPr>
      <w:r>
        <w:rPr>
          <w:rFonts w:hint="eastAsia" w:ascii="宋体" w:hAnsi="宋体" w:cs="宋体"/>
          <w:color w:val="auto"/>
          <w:szCs w:val="21"/>
        </w:rPr>
        <w:t>7</w:t>
      </w:r>
      <w:r>
        <w:rPr>
          <w:rFonts w:hint="eastAsia" w:ascii="宋体" w:hAnsi="宋体" w:cs="宋体"/>
          <w:color w:val="auto"/>
          <w:szCs w:val="21"/>
          <w:lang w:val="en-US" w:eastAsia="zh-CN"/>
        </w:rPr>
        <w:t>.</w:t>
      </w:r>
      <w:r>
        <w:rPr>
          <w:rFonts w:hint="eastAsia" w:ascii="宋体" w:hAnsi="宋体" w:cs="宋体"/>
          <w:color w:val="auto"/>
          <w:szCs w:val="21"/>
        </w:rPr>
        <w:t>本项目采购文件的澄清、答复、修改、补充的内容</w:t>
      </w:r>
    </w:p>
    <w:p w14:paraId="409A625E">
      <w:pPr>
        <w:snapToGrid w:val="0"/>
        <w:spacing w:line="420" w:lineRule="exact"/>
        <w:ind w:firstLine="422" w:firstLineChars="200"/>
        <w:jc w:val="left"/>
        <w:rPr>
          <w:rFonts w:ascii="宋体" w:hAnsi="宋体" w:cs="宋体"/>
          <w:b/>
          <w:color w:val="auto"/>
          <w:szCs w:val="21"/>
        </w:rPr>
      </w:pPr>
      <w:r>
        <w:rPr>
          <w:rFonts w:hint="eastAsia" w:ascii="宋体" w:hAnsi="宋体" w:cs="宋体"/>
          <w:b/>
          <w:color w:val="auto"/>
          <w:szCs w:val="21"/>
        </w:rPr>
        <w:t>（二）供应商的风险</w:t>
      </w:r>
    </w:p>
    <w:p w14:paraId="6433CB84">
      <w:pPr>
        <w:pStyle w:val="15"/>
        <w:snapToGrid w:val="0"/>
        <w:spacing w:line="420" w:lineRule="exact"/>
        <w:ind w:firstLine="420" w:firstLineChars="200"/>
        <w:rPr>
          <w:rFonts w:hAnsi="宋体"/>
          <w:color w:val="auto"/>
          <w:szCs w:val="21"/>
        </w:rPr>
      </w:pPr>
      <w:r>
        <w:rPr>
          <w:rFonts w:hint="eastAsia" w:hAnsi="宋体"/>
          <w:color w:val="auto"/>
          <w:szCs w:val="21"/>
        </w:rPr>
        <w:t>供应商没有按照采购文件要求提供全部资料，或者供应商没有对采购文件在各方面作出实质性响应是供应商的风险，并可能导致其投标为无效标。</w:t>
      </w:r>
    </w:p>
    <w:p w14:paraId="621E3F3A">
      <w:pPr>
        <w:pStyle w:val="7"/>
        <w:numPr>
          <w:ilvl w:val="0"/>
          <w:numId w:val="0"/>
        </w:numPr>
        <w:tabs>
          <w:tab w:val="left" w:pos="720"/>
        </w:tabs>
        <w:snapToGrid w:val="0"/>
        <w:spacing w:line="420" w:lineRule="exact"/>
        <w:ind w:firstLine="422" w:firstLineChars="200"/>
        <w:rPr>
          <w:rFonts w:ascii="宋体" w:hAnsi="宋体"/>
          <w:b/>
          <w:color w:val="auto"/>
          <w:szCs w:val="21"/>
        </w:rPr>
      </w:pPr>
      <w:r>
        <w:rPr>
          <w:rFonts w:hint="eastAsia" w:ascii="宋体" w:hAnsi="宋体"/>
          <w:b/>
          <w:color w:val="auto"/>
          <w:szCs w:val="21"/>
        </w:rPr>
        <w:t xml:space="preserve">（三）采购文件的澄清与修改 </w:t>
      </w:r>
    </w:p>
    <w:p w14:paraId="0F4FF2F4">
      <w:pPr>
        <w:pStyle w:val="15"/>
        <w:snapToGrid w:val="0"/>
        <w:spacing w:line="420" w:lineRule="exact"/>
        <w:ind w:firstLine="420" w:firstLineChars="200"/>
        <w:rPr>
          <w:rFonts w:hAnsi="宋体"/>
          <w:color w:val="auto"/>
          <w:szCs w:val="21"/>
        </w:rPr>
      </w:pPr>
      <w:r>
        <w:rPr>
          <w:rFonts w:hint="eastAsia" w:hAnsi="宋体"/>
          <w:color w:val="auto"/>
          <w:szCs w:val="21"/>
        </w:rPr>
        <w:t>1</w:t>
      </w:r>
      <w:r>
        <w:rPr>
          <w:rFonts w:hint="eastAsia" w:hAnsi="宋体"/>
          <w:color w:val="auto"/>
          <w:szCs w:val="21"/>
          <w:lang w:val="en-US" w:eastAsia="zh-CN"/>
        </w:rPr>
        <w:t>.</w:t>
      </w:r>
      <w:r>
        <w:rPr>
          <w:rFonts w:hint="eastAsia" w:hAnsi="宋体"/>
          <w:bCs/>
          <w:color w:val="auto"/>
          <w:szCs w:val="21"/>
        </w:rPr>
        <w:t>供应商应认真阅读本采购文件，发现其中有误或有不合理要求的，可要求采购人澄清</w:t>
      </w:r>
      <w:r>
        <w:rPr>
          <w:rFonts w:hint="eastAsia" w:hAnsi="宋体"/>
          <w:color w:val="auto"/>
          <w:szCs w:val="21"/>
        </w:rPr>
        <w:t>。采购人对已发出的采购文件进行必要澄清或者修改的，应当在采购文件要求提交投标文件截止五日前，在财政部门指定的政府采购信息发布媒体上发布更正公告，并以书面形式通知所有采购文件获取人。</w:t>
      </w:r>
    </w:p>
    <w:p w14:paraId="7BD11AB4">
      <w:pPr>
        <w:pStyle w:val="15"/>
        <w:snapToGrid w:val="0"/>
        <w:spacing w:line="420" w:lineRule="exact"/>
        <w:ind w:firstLine="420" w:firstLineChars="200"/>
        <w:rPr>
          <w:rFonts w:hAnsi="宋体"/>
          <w:color w:val="auto"/>
          <w:szCs w:val="21"/>
        </w:rPr>
      </w:pPr>
      <w:r>
        <w:rPr>
          <w:rFonts w:hint="eastAsia" w:hAnsi="宋体"/>
          <w:color w:val="auto"/>
          <w:szCs w:val="21"/>
        </w:rPr>
        <w:t>2</w:t>
      </w:r>
      <w:r>
        <w:rPr>
          <w:rFonts w:hint="eastAsia" w:hAnsi="宋体"/>
          <w:color w:val="auto"/>
          <w:szCs w:val="21"/>
          <w:lang w:val="en-US" w:eastAsia="zh-CN"/>
        </w:rPr>
        <w:t>.</w:t>
      </w:r>
      <w:r>
        <w:rPr>
          <w:rFonts w:hint="eastAsia" w:hAnsi="宋体"/>
          <w:color w:val="auto"/>
          <w:szCs w:val="21"/>
        </w:rPr>
        <w:t>采购文件澄清或者修改的内容为采购文件的组成部分。当采购文件与澄清或者修改就同一内容的表述不一致时，以最后发出的书面文件为准。</w:t>
      </w:r>
    </w:p>
    <w:p w14:paraId="55E61BDB">
      <w:pPr>
        <w:pStyle w:val="15"/>
        <w:snapToGrid w:val="0"/>
        <w:spacing w:line="420" w:lineRule="exact"/>
        <w:ind w:firstLine="420" w:firstLineChars="200"/>
        <w:rPr>
          <w:rFonts w:hAnsi="宋体"/>
          <w:color w:val="auto"/>
          <w:szCs w:val="21"/>
        </w:rPr>
      </w:pPr>
      <w:r>
        <w:rPr>
          <w:rFonts w:hint="eastAsia" w:hAnsi="宋体"/>
          <w:color w:val="auto"/>
          <w:szCs w:val="21"/>
        </w:rPr>
        <w:t>3</w:t>
      </w:r>
      <w:r>
        <w:rPr>
          <w:rFonts w:hint="eastAsia" w:hAnsi="宋体"/>
          <w:color w:val="auto"/>
          <w:szCs w:val="21"/>
          <w:lang w:val="en-US" w:eastAsia="zh-CN"/>
        </w:rPr>
        <w:t>.</w:t>
      </w:r>
      <w:r>
        <w:rPr>
          <w:rFonts w:hint="eastAsia" w:hAnsi="宋体"/>
          <w:color w:val="auto"/>
          <w:szCs w:val="21"/>
        </w:rPr>
        <w:t>对采购文件的澄清、答复、修改或补充都应该通过采购代理机构以法定形式发布，采购人非通过本机构，不得擅自澄清、答复、修改或补充采购文件。</w:t>
      </w:r>
    </w:p>
    <w:p w14:paraId="22F20BB8">
      <w:pPr>
        <w:pStyle w:val="15"/>
        <w:snapToGrid w:val="0"/>
        <w:spacing w:line="420" w:lineRule="exact"/>
        <w:ind w:firstLine="420" w:firstLineChars="200"/>
        <w:rPr>
          <w:rFonts w:hAnsi="宋体"/>
          <w:color w:val="auto"/>
          <w:szCs w:val="21"/>
        </w:rPr>
      </w:pPr>
    </w:p>
    <w:p w14:paraId="6AACA9F4">
      <w:pPr>
        <w:pStyle w:val="15"/>
        <w:snapToGrid w:val="0"/>
        <w:spacing w:line="420" w:lineRule="exact"/>
        <w:ind w:firstLine="551" w:firstLineChars="196"/>
        <w:jc w:val="center"/>
        <w:outlineLvl w:val="0"/>
        <w:rPr>
          <w:rFonts w:hAnsi="宋体"/>
          <w:b/>
          <w:color w:val="auto"/>
          <w:sz w:val="28"/>
          <w:szCs w:val="28"/>
        </w:rPr>
      </w:pPr>
      <w:bookmarkStart w:id="13" w:name="_Toc33535355"/>
      <w:r>
        <w:rPr>
          <w:rFonts w:hint="eastAsia" w:hAnsi="宋体"/>
          <w:b/>
          <w:color w:val="auto"/>
          <w:sz w:val="28"/>
          <w:szCs w:val="28"/>
        </w:rPr>
        <w:t>三、投标文件的编制</w:t>
      </w:r>
      <w:bookmarkEnd w:id="13"/>
    </w:p>
    <w:p w14:paraId="153443F5">
      <w:pPr>
        <w:pStyle w:val="15"/>
        <w:snapToGrid w:val="0"/>
        <w:spacing w:line="420" w:lineRule="exact"/>
        <w:ind w:firstLine="422" w:firstLineChars="200"/>
        <w:outlineLvl w:val="1"/>
        <w:rPr>
          <w:rFonts w:hAnsi="宋体"/>
          <w:b/>
          <w:color w:val="auto"/>
          <w:szCs w:val="21"/>
        </w:rPr>
      </w:pPr>
      <w:bookmarkStart w:id="14" w:name="_Toc33535356"/>
      <w:r>
        <w:rPr>
          <w:rFonts w:hint="eastAsia" w:hAnsi="宋体"/>
          <w:b/>
          <w:color w:val="auto"/>
          <w:szCs w:val="21"/>
        </w:rPr>
        <w:t>本项目所涉投标文件格式请详见第六章，未给出的格式请自拟。</w:t>
      </w:r>
      <w:bookmarkEnd w:id="14"/>
    </w:p>
    <w:p w14:paraId="4F8D9AB8">
      <w:pPr>
        <w:pStyle w:val="15"/>
        <w:snapToGrid w:val="0"/>
        <w:spacing w:line="420" w:lineRule="exact"/>
        <w:ind w:firstLine="422" w:firstLineChars="200"/>
        <w:outlineLvl w:val="1"/>
        <w:rPr>
          <w:rFonts w:hAnsi="宋体"/>
          <w:b/>
          <w:color w:val="auto"/>
          <w:szCs w:val="21"/>
        </w:rPr>
      </w:pPr>
      <w:bookmarkStart w:id="15" w:name="_Toc33535357"/>
      <w:r>
        <w:rPr>
          <w:rFonts w:hint="eastAsia" w:hAnsi="宋体"/>
          <w:b/>
          <w:color w:val="auto"/>
          <w:szCs w:val="21"/>
        </w:rPr>
        <w:t>（一）总体要求：</w:t>
      </w:r>
      <w:bookmarkEnd w:id="15"/>
    </w:p>
    <w:p w14:paraId="3AF6CEF1">
      <w:pPr>
        <w:spacing w:line="420" w:lineRule="exact"/>
        <w:ind w:firstLine="420" w:firstLineChars="200"/>
        <w:rPr>
          <w:rFonts w:ascii="宋体" w:hAnsi="宋体" w:cs="宋体"/>
          <w:color w:val="auto"/>
          <w:szCs w:val="21"/>
        </w:rPr>
      </w:pPr>
      <w:r>
        <w:rPr>
          <w:rFonts w:hint="eastAsia" w:ascii="宋体" w:hAnsi="宋体" w:cs="宋体"/>
          <w:color w:val="auto"/>
          <w:szCs w:val="21"/>
        </w:rPr>
        <w:t>1</w:t>
      </w:r>
      <w:r>
        <w:rPr>
          <w:rFonts w:hint="eastAsia" w:ascii="宋体" w:hAnsi="宋体" w:cs="宋体"/>
          <w:color w:val="auto"/>
          <w:szCs w:val="21"/>
          <w:lang w:val="en-US" w:eastAsia="zh-CN"/>
        </w:rPr>
        <w:t>.</w:t>
      </w:r>
      <w:r>
        <w:rPr>
          <w:rFonts w:hint="eastAsia" w:ascii="宋体" w:hAnsi="宋体" w:cs="宋体"/>
          <w:color w:val="auto"/>
          <w:szCs w:val="21"/>
        </w:rPr>
        <w:t>供应商应仔细阅读采购文件的所有内容，按本文件的要求提供投标文件，并保证所提供的全部资料的真实性，以使其投标文件对采购文件作出实质性响应，否则，投标文件可能视为无效投标文件。</w:t>
      </w:r>
    </w:p>
    <w:p w14:paraId="69C850A0">
      <w:pPr>
        <w:spacing w:line="420" w:lineRule="exact"/>
        <w:ind w:firstLine="420" w:firstLineChars="200"/>
        <w:rPr>
          <w:rFonts w:ascii="宋体" w:hAnsi="宋体" w:cs="宋体"/>
          <w:color w:val="auto"/>
          <w:szCs w:val="21"/>
        </w:rPr>
      </w:pPr>
      <w:r>
        <w:rPr>
          <w:rFonts w:hint="eastAsia" w:ascii="宋体" w:hAnsi="宋体" w:cs="宋体"/>
          <w:color w:val="auto"/>
          <w:szCs w:val="21"/>
        </w:rPr>
        <w:t>2</w:t>
      </w:r>
      <w:r>
        <w:rPr>
          <w:rFonts w:hint="eastAsia" w:ascii="宋体" w:hAnsi="宋体" w:cs="宋体"/>
          <w:color w:val="auto"/>
          <w:szCs w:val="21"/>
          <w:lang w:val="en-US" w:eastAsia="zh-CN"/>
        </w:rPr>
        <w:t>.</w:t>
      </w:r>
      <w:r>
        <w:rPr>
          <w:rFonts w:hint="eastAsia" w:ascii="宋体" w:hAnsi="宋体" w:cs="宋体"/>
          <w:color w:val="auto"/>
          <w:szCs w:val="21"/>
        </w:rPr>
        <w:t>投标文件及供应商与采购有关的来往通知，函件和文件均应使用中文。</w:t>
      </w:r>
    </w:p>
    <w:p w14:paraId="3EC3155F">
      <w:pPr>
        <w:spacing w:line="420" w:lineRule="exact"/>
        <w:ind w:firstLine="420" w:firstLineChars="200"/>
        <w:rPr>
          <w:rFonts w:ascii="宋体" w:hAnsi="宋体" w:cs="宋体"/>
          <w:color w:val="auto"/>
          <w:szCs w:val="21"/>
        </w:rPr>
      </w:pPr>
      <w:r>
        <w:rPr>
          <w:rFonts w:hint="eastAsia" w:ascii="宋体" w:hAnsi="宋体" w:cs="宋体"/>
          <w:color w:val="auto"/>
          <w:szCs w:val="21"/>
        </w:rPr>
        <w:t>3</w:t>
      </w:r>
      <w:r>
        <w:rPr>
          <w:rFonts w:hint="eastAsia" w:ascii="宋体" w:hAnsi="宋体" w:cs="宋体"/>
          <w:color w:val="auto"/>
          <w:szCs w:val="21"/>
          <w:lang w:val="en-US" w:eastAsia="zh-CN"/>
        </w:rPr>
        <w:t>.</w:t>
      </w:r>
      <w:r>
        <w:rPr>
          <w:rFonts w:hint="eastAsia" w:ascii="宋体" w:hAnsi="宋体" w:cs="宋体"/>
          <w:color w:val="auto"/>
          <w:szCs w:val="21"/>
        </w:rPr>
        <w:t>供应商应按本文件中提供的文件格式、内容和要求制作投标文件。</w:t>
      </w:r>
    </w:p>
    <w:p w14:paraId="7682447E">
      <w:pPr>
        <w:spacing w:line="420" w:lineRule="exact"/>
        <w:ind w:firstLine="422" w:firstLineChars="200"/>
        <w:jc w:val="left"/>
        <w:rPr>
          <w:rFonts w:ascii="宋体" w:hAnsi="宋体" w:cs="宋体"/>
          <w:bCs/>
          <w:color w:val="auto"/>
          <w:szCs w:val="21"/>
        </w:rPr>
      </w:pPr>
      <w:r>
        <w:rPr>
          <w:rFonts w:hint="eastAsia" w:ascii="宋体" w:hAnsi="宋体" w:cs="宋体"/>
          <w:b/>
          <w:color w:val="auto"/>
          <w:szCs w:val="21"/>
        </w:rPr>
        <w:t>4</w:t>
      </w:r>
      <w:r>
        <w:rPr>
          <w:rFonts w:hint="eastAsia" w:ascii="宋体" w:hAnsi="宋体" w:cs="宋体"/>
          <w:b/>
          <w:color w:val="auto"/>
          <w:szCs w:val="21"/>
          <w:lang w:val="en-US" w:eastAsia="zh-CN"/>
        </w:rPr>
        <w:t>.</w:t>
      </w:r>
      <w:r>
        <w:rPr>
          <w:rFonts w:hint="eastAsia" w:ascii="宋体" w:hAnsi="宋体" w:cs="宋体"/>
          <w:b/>
          <w:color w:val="auto"/>
          <w:szCs w:val="21"/>
        </w:rPr>
        <w:t>投标文件的效力：投标文件的启用，按先后顺位分别为电子投标文件、电子备份投标文件。</w:t>
      </w:r>
      <w:r>
        <w:rPr>
          <w:rFonts w:hint="eastAsia" w:ascii="宋体" w:hAnsi="宋体" w:cs="宋体"/>
          <w:bCs/>
          <w:color w:val="auto"/>
          <w:szCs w:val="21"/>
        </w:rPr>
        <w:t>通过“政府采购云平台”成功上传递交的“电子加密投标文件”无法按时解密，投标供应商如按规定递交了“备份投标文件”的，以“备份投标文件”为依据（由采购组织机构按“政府采购云平台”操作规范将“备份投标文件”上传至“政府采购云平台”，上传成功后，“电子加密投标文件”自动失效），否则视为投标文件撤回。</w:t>
      </w:r>
    </w:p>
    <w:p w14:paraId="0A8FAE8F">
      <w:pPr>
        <w:snapToGrid w:val="0"/>
        <w:spacing w:line="420" w:lineRule="exact"/>
        <w:ind w:firstLine="422" w:firstLineChars="200"/>
        <w:jc w:val="left"/>
        <w:outlineLvl w:val="0"/>
        <w:rPr>
          <w:rFonts w:ascii="宋体" w:hAnsi="宋体" w:cs="宋体"/>
          <w:b/>
          <w:color w:val="auto"/>
          <w:szCs w:val="21"/>
        </w:rPr>
      </w:pPr>
      <w:bookmarkStart w:id="16" w:name="_Toc406402944"/>
      <w:bookmarkStart w:id="17" w:name="_Toc406402988"/>
      <w:bookmarkStart w:id="18" w:name="_Toc33535358"/>
      <w:r>
        <w:rPr>
          <w:rFonts w:hint="eastAsia" w:ascii="宋体" w:hAnsi="宋体" w:cs="宋体"/>
          <w:b/>
          <w:color w:val="auto"/>
          <w:szCs w:val="21"/>
        </w:rPr>
        <w:t>（二）投标文件的组成</w:t>
      </w:r>
      <w:bookmarkEnd w:id="16"/>
      <w:bookmarkEnd w:id="17"/>
      <w:bookmarkEnd w:id="18"/>
    </w:p>
    <w:p w14:paraId="17E888EA">
      <w:pPr>
        <w:snapToGrid w:val="0"/>
        <w:spacing w:line="420" w:lineRule="exact"/>
        <w:ind w:firstLine="422" w:firstLineChars="200"/>
        <w:jc w:val="left"/>
        <w:rPr>
          <w:rFonts w:ascii="宋体" w:hAnsi="宋体" w:cs="宋体"/>
          <w:b/>
          <w:color w:val="auto"/>
          <w:szCs w:val="21"/>
        </w:rPr>
      </w:pPr>
      <w:r>
        <w:rPr>
          <w:rFonts w:hint="eastAsia" w:ascii="宋体" w:hAnsi="宋体" w:cs="宋体"/>
          <w:b/>
          <w:color w:val="auto"/>
          <w:szCs w:val="21"/>
        </w:rPr>
        <w:t>包括电子投标文件和电子备份投标文件（选送），均由资格文件、商务技术文件及报价文件三部份组成。</w:t>
      </w:r>
    </w:p>
    <w:p w14:paraId="017222B9">
      <w:pPr>
        <w:snapToGrid w:val="0"/>
        <w:spacing w:line="420" w:lineRule="exact"/>
        <w:ind w:firstLine="422" w:firstLineChars="200"/>
        <w:jc w:val="left"/>
        <w:rPr>
          <w:rFonts w:ascii="宋体" w:hAnsi="宋体" w:cs="宋体"/>
          <w:b/>
          <w:color w:val="auto"/>
          <w:szCs w:val="21"/>
        </w:rPr>
      </w:pPr>
      <w:r>
        <w:rPr>
          <w:rFonts w:hint="eastAsia" w:ascii="宋体" w:hAnsi="宋体" w:cs="宋体"/>
          <w:b/>
          <w:color w:val="auto"/>
          <w:szCs w:val="21"/>
        </w:rPr>
        <w:t>1</w:t>
      </w:r>
      <w:r>
        <w:rPr>
          <w:rFonts w:hint="eastAsia" w:ascii="宋体" w:hAnsi="宋体" w:cs="宋体"/>
          <w:b/>
          <w:color w:val="auto"/>
          <w:szCs w:val="21"/>
          <w:lang w:val="en-US" w:eastAsia="zh-CN"/>
        </w:rPr>
        <w:t>.</w:t>
      </w:r>
      <w:r>
        <w:rPr>
          <w:rFonts w:hint="eastAsia" w:ascii="宋体" w:hAnsi="宋体" w:cs="宋体"/>
          <w:b/>
          <w:color w:val="auto"/>
          <w:szCs w:val="21"/>
        </w:rPr>
        <w:t>资格文件：</w:t>
      </w:r>
    </w:p>
    <w:p w14:paraId="193002EE">
      <w:pPr>
        <w:pStyle w:val="16"/>
        <w:snapToGrid w:val="0"/>
        <w:spacing w:line="412" w:lineRule="exact"/>
        <w:ind w:left="-178" w:leftChars="-85" w:firstLine="575" w:firstLineChars="274"/>
        <w:rPr>
          <w:rFonts w:ascii="宋体" w:hAnsi="宋体" w:eastAsia="宋体"/>
          <w:color w:val="auto"/>
          <w:sz w:val="21"/>
          <w:szCs w:val="21"/>
        </w:rPr>
      </w:pPr>
      <w:r>
        <w:rPr>
          <w:rFonts w:hint="eastAsia" w:ascii="宋体" w:hAnsi="宋体" w:eastAsia="宋体"/>
          <w:color w:val="auto"/>
          <w:sz w:val="21"/>
          <w:szCs w:val="21"/>
        </w:rPr>
        <w:t>（1）投标声明书(格式见附件)；</w:t>
      </w:r>
    </w:p>
    <w:p w14:paraId="3B5B6C0B">
      <w:pPr>
        <w:pStyle w:val="16"/>
        <w:snapToGrid w:val="0"/>
        <w:spacing w:line="412" w:lineRule="exact"/>
        <w:ind w:left="-178" w:leftChars="-85" w:firstLine="575" w:firstLineChars="274"/>
        <w:rPr>
          <w:rFonts w:ascii="宋体" w:hAnsi="宋体" w:eastAsia="宋体"/>
          <w:color w:val="auto"/>
          <w:sz w:val="21"/>
          <w:szCs w:val="21"/>
        </w:rPr>
      </w:pPr>
      <w:r>
        <w:rPr>
          <w:rFonts w:hint="eastAsia" w:ascii="宋体" w:hAnsi="宋体" w:eastAsia="宋体"/>
          <w:color w:val="auto"/>
          <w:sz w:val="21"/>
          <w:szCs w:val="21"/>
        </w:rPr>
        <w:t>（2）法定代表人授权委托书(格式见附件)；</w:t>
      </w:r>
    </w:p>
    <w:p w14:paraId="1A4A3CBC">
      <w:pPr>
        <w:pStyle w:val="16"/>
        <w:snapToGrid w:val="0"/>
        <w:spacing w:line="412" w:lineRule="exact"/>
        <w:ind w:left="-178" w:leftChars="-85" w:firstLine="575" w:firstLineChars="274"/>
        <w:rPr>
          <w:rFonts w:ascii="宋体" w:hAnsi="宋体" w:eastAsia="宋体"/>
          <w:color w:val="auto"/>
          <w:sz w:val="21"/>
          <w:szCs w:val="21"/>
        </w:rPr>
      </w:pPr>
      <w:r>
        <w:rPr>
          <w:rFonts w:hint="eastAsia" w:ascii="宋体" w:hAnsi="宋体" w:eastAsia="宋体"/>
          <w:color w:val="auto"/>
          <w:sz w:val="21"/>
          <w:szCs w:val="21"/>
        </w:rPr>
        <w:t>（3）供应商市场行为信誉（信用）情况承诺书(格式见附件)；</w:t>
      </w:r>
    </w:p>
    <w:p w14:paraId="0D10B1F1">
      <w:pPr>
        <w:pStyle w:val="16"/>
        <w:snapToGrid w:val="0"/>
        <w:spacing w:line="412" w:lineRule="exact"/>
        <w:ind w:left="-178" w:leftChars="-85" w:firstLine="575" w:firstLineChars="274"/>
        <w:rPr>
          <w:rFonts w:ascii="宋体" w:hAnsi="宋体" w:eastAsia="宋体"/>
          <w:color w:val="auto"/>
          <w:sz w:val="21"/>
          <w:szCs w:val="21"/>
        </w:rPr>
      </w:pPr>
      <w:r>
        <w:rPr>
          <w:rFonts w:hint="eastAsia" w:ascii="宋体" w:hAnsi="宋体" w:eastAsia="宋体"/>
          <w:color w:val="auto"/>
          <w:sz w:val="21"/>
          <w:szCs w:val="21"/>
        </w:rPr>
        <w:t>（4）承诺函(格式见附件)；</w:t>
      </w:r>
    </w:p>
    <w:p w14:paraId="7B78B827">
      <w:pPr>
        <w:pStyle w:val="16"/>
        <w:snapToGrid w:val="0"/>
        <w:spacing w:line="412" w:lineRule="exact"/>
        <w:ind w:left="-178" w:leftChars="-85" w:firstLine="575" w:firstLineChars="274"/>
        <w:rPr>
          <w:rFonts w:hint="eastAsia" w:ascii="宋体" w:hAnsi="宋体" w:eastAsia="宋体"/>
          <w:color w:val="auto"/>
          <w:sz w:val="21"/>
          <w:szCs w:val="21"/>
        </w:rPr>
      </w:pPr>
      <w:r>
        <w:rPr>
          <w:rFonts w:hint="eastAsia" w:ascii="宋体" w:hAnsi="宋体" w:eastAsia="宋体"/>
          <w:color w:val="auto"/>
          <w:sz w:val="21"/>
          <w:szCs w:val="21"/>
        </w:rPr>
        <w:t>（</w:t>
      </w:r>
      <w:r>
        <w:rPr>
          <w:rFonts w:hint="eastAsia" w:ascii="宋体" w:hAnsi="宋体" w:eastAsia="宋体"/>
          <w:color w:val="auto"/>
          <w:sz w:val="21"/>
          <w:szCs w:val="21"/>
          <w:lang w:val="en-US" w:eastAsia="zh-CN"/>
        </w:rPr>
        <w:t>5</w:t>
      </w:r>
      <w:r>
        <w:rPr>
          <w:rFonts w:hint="eastAsia" w:ascii="宋体" w:hAnsi="宋体" w:eastAsia="宋体"/>
          <w:color w:val="auto"/>
          <w:sz w:val="21"/>
          <w:szCs w:val="21"/>
        </w:rPr>
        <w:t>）营业执照等资格证明资料。</w:t>
      </w:r>
    </w:p>
    <w:p w14:paraId="390D361C">
      <w:pPr>
        <w:pStyle w:val="16"/>
        <w:snapToGrid w:val="0"/>
        <w:spacing w:line="412" w:lineRule="exact"/>
        <w:ind w:left="-178" w:leftChars="-85" w:firstLine="575" w:firstLineChars="274"/>
        <w:rPr>
          <w:rFonts w:hint="eastAsia" w:ascii="宋体" w:hAnsi="宋体" w:eastAsia="宋体"/>
          <w:color w:val="auto"/>
          <w:sz w:val="21"/>
          <w:szCs w:val="21"/>
        </w:rPr>
      </w:pPr>
      <w:r>
        <w:rPr>
          <w:rFonts w:hint="eastAsia" w:ascii="宋体" w:hAnsi="宋体" w:eastAsia="宋体"/>
          <w:color w:val="auto"/>
          <w:sz w:val="21"/>
          <w:szCs w:val="21"/>
        </w:rPr>
        <w:t>（</w:t>
      </w:r>
      <w:r>
        <w:rPr>
          <w:rFonts w:hint="eastAsia" w:ascii="宋体" w:hAnsi="宋体" w:eastAsia="宋体"/>
          <w:color w:val="auto"/>
          <w:sz w:val="21"/>
          <w:szCs w:val="21"/>
          <w:lang w:val="en-US" w:eastAsia="zh-CN"/>
        </w:rPr>
        <w:t>6</w:t>
      </w:r>
      <w:r>
        <w:rPr>
          <w:rFonts w:hint="eastAsia" w:ascii="宋体" w:hAnsi="宋体" w:eastAsia="宋体"/>
          <w:color w:val="auto"/>
          <w:sz w:val="21"/>
          <w:szCs w:val="21"/>
        </w:rPr>
        <w:t>）中小企业声明函（格式见附件）；</w:t>
      </w:r>
    </w:p>
    <w:p w14:paraId="183A4A02">
      <w:pPr>
        <w:pStyle w:val="16"/>
        <w:snapToGrid w:val="0"/>
        <w:spacing w:line="412" w:lineRule="exact"/>
        <w:ind w:left="-178" w:leftChars="-85" w:firstLine="575" w:firstLineChars="274"/>
        <w:rPr>
          <w:rFonts w:hint="eastAsia" w:ascii="宋体" w:hAnsi="宋体" w:eastAsia="宋体"/>
          <w:color w:val="auto"/>
          <w:sz w:val="21"/>
          <w:szCs w:val="21"/>
        </w:rPr>
      </w:pPr>
      <w:r>
        <w:rPr>
          <w:rFonts w:hint="eastAsia" w:ascii="宋体" w:hAnsi="宋体" w:eastAsia="宋体"/>
          <w:color w:val="auto"/>
          <w:sz w:val="21"/>
          <w:szCs w:val="21"/>
        </w:rPr>
        <w:t>（</w:t>
      </w:r>
      <w:r>
        <w:rPr>
          <w:rFonts w:hint="eastAsia" w:ascii="宋体" w:hAnsi="宋体" w:eastAsia="宋体"/>
          <w:color w:val="auto"/>
          <w:sz w:val="21"/>
          <w:szCs w:val="21"/>
          <w:lang w:val="en-US" w:eastAsia="zh-CN"/>
        </w:rPr>
        <w:t>7</w:t>
      </w:r>
      <w:r>
        <w:rPr>
          <w:rFonts w:hint="eastAsia" w:ascii="宋体" w:hAnsi="宋体" w:eastAsia="宋体"/>
          <w:color w:val="auto"/>
          <w:sz w:val="21"/>
          <w:szCs w:val="21"/>
        </w:rPr>
        <w:t>）残疾人福利性单位声明函（格式见附件）；</w:t>
      </w:r>
    </w:p>
    <w:p w14:paraId="7F8C740A">
      <w:pPr>
        <w:pStyle w:val="16"/>
        <w:snapToGrid w:val="0"/>
        <w:spacing w:line="412" w:lineRule="exact"/>
        <w:ind w:left="-178" w:leftChars="-85" w:firstLine="575" w:firstLineChars="274"/>
        <w:rPr>
          <w:rFonts w:hint="eastAsia" w:ascii="宋体" w:hAnsi="宋体" w:eastAsia="宋体"/>
          <w:color w:val="auto"/>
          <w:sz w:val="21"/>
          <w:szCs w:val="21"/>
        </w:rPr>
      </w:pPr>
      <w:r>
        <w:rPr>
          <w:rFonts w:hint="eastAsia" w:ascii="宋体" w:hAnsi="宋体" w:eastAsia="宋体"/>
          <w:color w:val="auto"/>
          <w:sz w:val="21"/>
          <w:szCs w:val="21"/>
        </w:rPr>
        <w:t>（</w:t>
      </w:r>
      <w:r>
        <w:rPr>
          <w:rFonts w:hint="eastAsia" w:ascii="宋体" w:hAnsi="宋体" w:eastAsia="宋体"/>
          <w:color w:val="auto"/>
          <w:sz w:val="21"/>
          <w:szCs w:val="21"/>
          <w:lang w:val="en-US" w:eastAsia="zh-CN"/>
        </w:rPr>
        <w:t>8</w:t>
      </w:r>
      <w:r>
        <w:rPr>
          <w:rFonts w:hint="eastAsia" w:ascii="宋体" w:hAnsi="宋体" w:eastAsia="宋体"/>
          <w:color w:val="auto"/>
          <w:sz w:val="21"/>
          <w:szCs w:val="21"/>
        </w:rPr>
        <w:t>）监狱企业声明函（格式见附件）</w:t>
      </w:r>
    </w:p>
    <w:p w14:paraId="3C1811CB">
      <w:pPr>
        <w:spacing w:line="420" w:lineRule="exact"/>
        <w:ind w:firstLine="422" w:firstLineChars="200"/>
        <w:rPr>
          <w:rFonts w:ascii="宋体" w:hAnsi="宋体" w:cs="宋体"/>
          <w:b/>
          <w:color w:val="auto"/>
          <w:szCs w:val="21"/>
        </w:rPr>
      </w:pPr>
      <w:r>
        <w:rPr>
          <w:rFonts w:hint="eastAsia" w:ascii="宋体" w:hAnsi="宋体" w:cs="宋体"/>
          <w:b/>
          <w:color w:val="auto"/>
          <w:szCs w:val="21"/>
        </w:rPr>
        <w:t>2</w:t>
      </w:r>
      <w:r>
        <w:rPr>
          <w:rFonts w:hint="eastAsia" w:ascii="宋体" w:hAnsi="宋体" w:cs="宋体"/>
          <w:b/>
          <w:color w:val="auto"/>
          <w:szCs w:val="21"/>
          <w:lang w:val="en-US" w:eastAsia="zh-CN"/>
        </w:rPr>
        <w:t>.</w:t>
      </w:r>
      <w:r>
        <w:rPr>
          <w:rFonts w:hint="eastAsia" w:ascii="宋体" w:hAnsi="宋体" w:cs="宋体"/>
          <w:b/>
          <w:color w:val="auto"/>
          <w:szCs w:val="21"/>
        </w:rPr>
        <w:t>商务技术文件：</w:t>
      </w:r>
    </w:p>
    <w:p w14:paraId="41D373E4">
      <w:pPr>
        <w:pStyle w:val="16"/>
        <w:snapToGrid w:val="0"/>
        <w:spacing w:line="360" w:lineRule="auto"/>
        <w:ind w:left="-178" w:leftChars="-85" w:firstLine="575" w:firstLineChars="274"/>
        <w:rPr>
          <w:rFonts w:hint="eastAsia" w:ascii="宋体" w:hAnsi="宋体" w:eastAsia="宋体"/>
          <w:color w:val="auto"/>
          <w:sz w:val="21"/>
          <w:szCs w:val="21"/>
        </w:rPr>
      </w:pPr>
      <w:bookmarkStart w:id="19" w:name="_Toc402963084"/>
      <w:bookmarkStart w:id="20" w:name="_Toc385854100"/>
      <w:bookmarkStart w:id="21" w:name="_Toc406402990"/>
      <w:bookmarkStart w:id="22" w:name="_Toc402963117"/>
      <w:bookmarkStart w:id="23" w:name="_Toc33535360"/>
      <w:bookmarkStart w:id="24" w:name="_Toc385854146"/>
      <w:bookmarkStart w:id="25" w:name="_Toc406402946"/>
      <w:r>
        <w:rPr>
          <w:rFonts w:hint="eastAsia" w:ascii="宋体" w:hAnsi="宋体" w:eastAsia="宋体"/>
          <w:color w:val="auto"/>
          <w:sz w:val="21"/>
          <w:szCs w:val="21"/>
        </w:rPr>
        <w:t>（1）投标人情况介绍；</w:t>
      </w:r>
    </w:p>
    <w:p w14:paraId="2B5F0A2E">
      <w:pPr>
        <w:snapToGrid w:val="0"/>
        <w:spacing w:line="360" w:lineRule="auto"/>
        <w:ind w:firstLine="411" w:firstLineChars="196"/>
        <w:jc w:val="left"/>
        <w:rPr>
          <w:rFonts w:hint="eastAsia" w:ascii="宋体" w:hAnsi="宋体" w:eastAsia="宋体" w:cs="宋体"/>
          <w:szCs w:val="21"/>
        </w:rPr>
      </w:pPr>
      <w:bookmarkStart w:id="26" w:name="_Hlk8682768"/>
      <w:r>
        <w:rPr>
          <w:rFonts w:hint="eastAsia" w:ascii="宋体" w:hAnsi="宋体" w:eastAsia="宋体" w:cs="宋体"/>
          <w:color w:val="auto"/>
          <w:szCs w:val="21"/>
        </w:rPr>
        <w:t>（</w:t>
      </w:r>
      <w:r>
        <w:rPr>
          <w:rFonts w:hint="eastAsia" w:ascii="宋体" w:hAnsi="宋体" w:eastAsia="宋体" w:cs="宋体"/>
          <w:color w:val="auto"/>
          <w:szCs w:val="21"/>
          <w:lang w:val="en-US" w:eastAsia="zh-CN"/>
        </w:rPr>
        <w:t>2</w:t>
      </w:r>
      <w:r>
        <w:rPr>
          <w:rFonts w:hint="eastAsia" w:ascii="宋体" w:hAnsi="宋体" w:eastAsia="宋体" w:cs="宋体"/>
          <w:color w:val="auto"/>
          <w:szCs w:val="21"/>
        </w:rPr>
        <w:t>）</w:t>
      </w:r>
      <w:bookmarkEnd w:id="26"/>
      <w:r>
        <w:rPr>
          <w:rFonts w:hint="eastAsia" w:ascii="宋体" w:hAnsi="宋体" w:eastAsia="宋体" w:cs="宋体"/>
          <w:color w:val="auto"/>
          <w:sz w:val="21"/>
          <w:szCs w:val="21"/>
          <w:highlight w:val="none"/>
        </w:rPr>
        <w:t>对本项目总体要求的叙述；</w:t>
      </w:r>
    </w:p>
    <w:p w14:paraId="675F7339">
      <w:pPr>
        <w:snapToGrid w:val="0"/>
        <w:spacing w:line="360" w:lineRule="auto"/>
        <w:ind w:firstLine="411" w:firstLineChars="196"/>
        <w:jc w:val="left"/>
        <w:rPr>
          <w:rFonts w:hint="eastAsia" w:ascii="宋体" w:hAnsi="宋体" w:cs="宋体"/>
          <w:color w:val="auto"/>
          <w:szCs w:val="21"/>
        </w:rPr>
      </w:pPr>
      <w:r>
        <w:rPr>
          <w:rFonts w:hint="eastAsia" w:ascii="宋体" w:hAnsi="宋体" w:cs="宋体"/>
          <w:color w:val="auto"/>
          <w:szCs w:val="21"/>
        </w:rPr>
        <w:t>（</w:t>
      </w:r>
      <w:r>
        <w:rPr>
          <w:rFonts w:hint="eastAsia" w:ascii="宋体" w:hAnsi="宋体" w:cs="宋体"/>
          <w:color w:val="auto"/>
          <w:szCs w:val="21"/>
          <w:lang w:val="en-US" w:eastAsia="zh-CN"/>
        </w:rPr>
        <w:t>3</w:t>
      </w:r>
      <w:r>
        <w:rPr>
          <w:rFonts w:hint="eastAsia" w:ascii="宋体" w:hAnsi="宋体" w:cs="宋体"/>
          <w:color w:val="auto"/>
          <w:szCs w:val="21"/>
        </w:rPr>
        <w:t>）项目实施具体方案（含策划设计方案、实施计划、对项目的理解、人员安排、各阶段的服</w:t>
      </w:r>
    </w:p>
    <w:p w14:paraId="67AE2DC7">
      <w:pPr>
        <w:snapToGrid w:val="0"/>
        <w:spacing w:line="360" w:lineRule="auto"/>
        <w:ind w:firstLine="411" w:firstLineChars="196"/>
        <w:jc w:val="left"/>
        <w:rPr>
          <w:rFonts w:ascii="宋体" w:hAnsi="宋体" w:eastAsia="宋体"/>
          <w:color w:val="auto"/>
          <w:sz w:val="21"/>
          <w:szCs w:val="21"/>
        </w:rPr>
      </w:pPr>
      <w:r>
        <w:rPr>
          <w:rFonts w:hint="eastAsia" w:ascii="宋体" w:hAnsi="宋体" w:cs="宋体"/>
          <w:color w:val="auto"/>
          <w:szCs w:val="21"/>
        </w:rPr>
        <w:t>务承诺、服务质量保证措施、其他优惠与承诺等）；</w:t>
      </w:r>
    </w:p>
    <w:p w14:paraId="2ABAC7C2">
      <w:pPr>
        <w:pStyle w:val="16"/>
        <w:snapToGrid w:val="0"/>
        <w:spacing w:line="360" w:lineRule="auto"/>
        <w:ind w:left="-178" w:leftChars="-85" w:firstLine="575" w:firstLineChars="274"/>
        <w:rPr>
          <w:rFonts w:ascii="宋体" w:hAnsi="宋体" w:eastAsia="宋体"/>
          <w:color w:val="auto"/>
          <w:sz w:val="21"/>
          <w:szCs w:val="21"/>
        </w:rPr>
      </w:pPr>
      <w:r>
        <w:rPr>
          <w:rFonts w:hint="eastAsia" w:ascii="宋体" w:hAnsi="宋体" w:eastAsia="宋体"/>
          <w:color w:val="auto"/>
          <w:sz w:val="21"/>
          <w:szCs w:val="21"/>
        </w:rPr>
        <w:t>（</w:t>
      </w:r>
      <w:r>
        <w:rPr>
          <w:rFonts w:hint="eastAsia" w:ascii="宋体" w:hAnsi="宋体" w:eastAsia="宋体"/>
          <w:color w:val="auto"/>
          <w:sz w:val="21"/>
          <w:szCs w:val="21"/>
          <w:lang w:val="en-US" w:eastAsia="zh-CN"/>
        </w:rPr>
        <w:t>4</w:t>
      </w:r>
      <w:r>
        <w:rPr>
          <w:rFonts w:hint="eastAsia" w:ascii="宋体" w:hAnsi="宋体" w:eastAsia="宋体"/>
          <w:color w:val="auto"/>
          <w:sz w:val="21"/>
          <w:szCs w:val="21"/>
        </w:rPr>
        <w:t>）组织实施方案；</w:t>
      </w:r>
    </w:p>
    <w:p w14:paraId="3F5A45E9">
      <w:pPr>
        <w:pStyle w:val="16"/>
        <w:snapToGrid w:val="0"/>
        <w:spacing w:line="360" w:lineRule="auto"/>
        <w:ind w:left="-178" w:leftChars="-85" w:firstLine="575" w:firstLineChars="274"/>
        <w:rPr>
          <w:rFonts w:ascii="宋体" w:hAnsi="宋体" w:eastAsia="宋体"/>
          <w:color w:val="auto"/>
          <w:sz w:val="21"/>
          <w:szCs w:val="21"/>
        </w:rPr>
      </w:pPr>
      <w:r>
        <w:rPr>
          <w:rFonts w:hint="eastAsia" w:ascii="宋体" w:hAnsi="宋体" w:eastAsia="宋体"/>
          <w:color w:val="auto"/>
          <w:sz w:val="21"/>
          <w:szCs w:val="21"/>
        </w:rPr>
        <w:t>（</w:t>
      </w:r>
      <w:r>
        <w:rPr>
          <w:rFonts w:hint="eastAsia" w:ascii="宋体" w:hAnsi="宋体" w:eastAsia="宋体"/>
          <w:color w:val="auto"/>
          <w:sz w:val="21"/>
          <w:szCs w:val="21"/>
          <w:lang w:val="en-US" w:eastAsia="zh-CN"/>
        </w:rPr>
        <w:t>5</w:t>
      </w:r>
      <w:r>
        <w:rPr>
          <w:rFonts w:hint="eastAsia" w:ascii="宋体" w:hAnsi="宋体" w:eastAsia="宋体"/>
          <w:color w:val="auto"/>
          <w:sz w:val="21"/>
          <w:szCs w:val="21"/>
        </w:rPr>
        <w:t>）质量保证；</w:t>
      </w:r>
    </w:p>
    <w:p w14:paraId="4FC8DB0D">
      <w:pPr>
        <w:pStyle w:val="16"/>
        <w:snapToGrid w:val="0"/>
        <w:spacing w:line="360" w:lineRule="auto"/>
        <w:ind w:left="-178" w:leftChars="-85" w:firstLine="575" w:firstLineChars="274"/>
        <w:rPr>
          <w:rFonts w:ascii="宋体" w:hAnsi="宋体" w:eastAsia="宋体"/>
          <w:color w:val="auto"/>
          <w:sz w:val="21"/>
          <w:szCs w:val="21"/>
        </w:rPr>
      </w:pPr>
      <w:r>
        <w:rPr>
          <w:rFonts w:hint="eastAsia" w:ascii="宋体" w:hAnsi="宋体" w:eastAsia="宋体"/>
          <w:color w:val="auto"/>
          <w:sz w:val="21"/>
          <w:szCs w:val="21"/>
        </w:rPr>
        <w:t>（</w:t>
      </w:r>
      <w:r>
        <w:rPr>
          <w:rFonts w:hint="eastAsia" w:ascii="宋体" w:hAnsi="宋体" w:eastAsia="宋体"/>
          <w:color w:val="auto"/>
          <w:sz w:val="21"/>
          <w:szCs w:val="21"/>
          <w:lang w:val="en-US" w:eastAsia="zh-CN"/>
        </w:rPr>
        <w:t>6</w:t>
      </w:r>
      <w:r>
        <w:rPr>
          <w:rFonts w:hint="eastAsia" w:ascii="宋体" w:hAnsi="宋体" w:eastAsia="宋体"/>
          <w:color w:val="auto"/>
          <w:sz w:val="21"/>
          <w:szCs w:val="21"/>
        </w:rPr>
        <w:t>）项目实施人员一览表；</w:t>
      </w:r>
    </w:p>
    <w:p w14:paraId="7ACCF833">
      <w:pPr>
        <w:snapToGrid w:val="0"/>
        <w:spacing w:line="360" w:lineRule="auto"/>
        <w:ind w:firstLine="411" w:firstLineChars="196"/>
        <w:jc w:val="left"/>
        <w:rPr>
          <w:rFonts w:hint="eastAsia" w:ascii="宋体" w:hAnsi="宋体" w:eastAsia="宋体" w:cs="宋体"/>
          <w:color w:val="auto"/>
          <w:szCs w:val="21"/>
        </w:rPr>
      </w:pPr>
      <w:r>
        <w:rPr>
          <w:rFonts w:hint="eastAsia" w:ascii="宋体" w:hAnsi="宋体" w:eastAsia="宋体" w:cs="宋体"/>
          <w:color w:val="auto"/>
          <w:szCs w:val="21"/>
        </w:rPr>
        <w:t>（</w:t>
      </w:r>
      <w:r>
        <w:rPr>
          <w:rFonts w:hint="eastAsia" w:ascii="宋体" w:hAnsi="宋体" w:eastAsia="宋体" w:cs="宋体"/>
          <w:color w:val="auto"/>
          <w:szCs w:val="21"/>
          <w:lang w:val="en-US" w:eastAsia="zh-CN"/>
        </w:rPr>
        <w:t>7</w:t>
      </w:r>
      <w:r>
        <w:rPr>
          <w:rFonts w:hint="eastAsia" w:ascii="宋体" w:hAnsi="宋体" w:eastAsia="宋体" w:cs="宋体"/>
          <w:color w:val="auto"/>
          <w:szCs w:val="21"/>
        </w:rPr>
        <w:t>）服务承诺等；</w:t>
      </w:r>
    </w:p>
    <w:p w14:paraId="622905CA">
      <w:pPr>
        <w:snapToGrid w:val="0"/>
        <w:spacing w:line="360" w:lineRule="auto"/>
        <w:ind w:firstLine="411" w:firstLineChars="196"/>
        <w:jc w:val="left"/>
        <w:rPr>
          <w:rFonts w:hint="eastAsia" w:ascii="宋体" w:hAnsi="宋体" w:eastAsia="宋体" w:cs="宋体"/>
          <w:color w:val="auto"/>
          <w:szCs w:val="21"/>
        </w:rPr>
      </w:pPr>
      <w:r>
        <w:rPr>
          <w:rFonts w:hint="eastAsia" w:ascii="宋体" w:hAnsi="宋体" w:eastAsia="宋体" w:cs="宋体"/>
          <w:color w:val="auto"/>
          <w:szCs w:val="21"/>
        </w:rPr>
        <w:t>（</w:t>
      </w:r>
      <w:r>
        <w:rPr>
          <w:rFonts w:hint="eastAsia" w:ascii="宋体" w:hAnsi="宋体" w:eastAsia="宋体" w:cs="宋体"/>
          <w:color w:val="auto"/>
          <w:szCs w:val="21"/>
          <w:lang w:val="en-US" w:eastAsia="zh-CN"/>
        </w:rPr>
        <w:t>8</w:t>
      </w:r>
      <w:r>
        <w:rPr>
          <w:rFonts w:hint="eastAsia" w:ascii="宋体" w:hAnsi="宋体" w:eastAsia="宋体" w:cs="宋体"/>
          <w:color w:val="auto"/>
          <w:szCs w:val="21"/>
        </w:rPr>
        <w:t>）投标人需要说明的其他内容（未尽事宜可按评分细则部分制作）。</w:t>
      </w:r>
    </w:p>
    <w:p w14:paraId="467597AF">
      <w:pPr>
        <w:spacing w:line="360" w:lineRule="auto"/>
        <w:ind w:firstLine="422" w:firstLineChars="200"/>
        <w:rPr>
          <w:rFonts w:ascii="宋体" w:hAnsi="宋体" w:cs="宋体"/>
          <w:b/>
          <w:color w:val="auto"/>
          <w:szCs w:val="21"/>
        </w:rPr>
      </w:pPr>
      <w:r>
        <w:rPr>
          <w:rFonts w:hint="eastAsia" w:ascii="宋体" w:hAnsi="宋体" w:cs="宋体"/>
          <w:b/>
          <w:color w:val="auto"/>
          <w:szCs w:val="21"/>
        </w:rPr>
        <w:t>3</w:t>
      </w:r>
      <w:r>
        <w:rPr>
          <w:rFonts w:hint="eastAsia" w:ascii="宋体" w:hAnsi="宋体" w:cs="宋体"/>
          <w:b/>
          <w:color w:val="auto"/>
          <w:szCs w:val="21"/>
          <w:lang w:val="en-US" w:eastAsia="zh-CN"/>
        </w:rPr>
        <w:t>.</w:t>
      </w:r>
      <w:r>
        <w:rPr>
          <w:rFonts w:hint="eastAsia" w:ascii="宋体" w:hAnsi="宋体" w:cs="宋体"/>
          <w:b/>
          <w:color w:val="auto"/>
          <w:szCs w:val="21"/>
        </w:rPr>
        <w:t>投标报价文件：</w:t>
      </w:r>
    </w:p>
    <w:p w14:paraId="38DF9908">
      <w:pPr>
        <w:snapToGrid w:val="0"/>
        <w:spacing w:line="360" w:lineRule="auto"/>
        <w:ind w:firstLine="411" w:firstLineChars="196"/>
        <w:jc w:val="left"/>
        <w:rPr>
          <w:rFonts w:hint="eastAsia" w:ascii="宋体" w:hAnsi="宋体" w:eastAsia="宋体" w:cs="宋体"/>
          <w:color w:val="auto"/>
          <w:szCs w:val="21"/>
        </w:rPr>
      </w:pPr>
      <w:r>
        <w:rPr>
          <w:rFonts w:hint="eastAsia" w:ascii="宋体" w:hAnsi="宋体" w:eastAsia="宋体" w:cs="宋体"/>
          <w:color w:val="auto"/>
          <w:szCs w:val="21"/>
        </w:rPr>
        <w:t>（1）投标函（格式见附件）；</w:t>
      </w:r>
    </w:p>
    <w:p w14:paraId="1C5E8B58">
      <w:pPr>
        <w:snapToGrid w:val="0"/>
        <w:spacing w:line="360" w:lineRule="auto"/>
        <w:ind w:firstLine="411" w:firstLineChars="196"/>
        <w:jc w:val="left"/>
        <w:rPr>
          <w:rFonts w:hint="eastAsia" w:ascii="宋体" w:hAnsi="宋体" w:eastAsia="宋体" w:cs="宋体"/>
          <w:color w:val="auto"/>
          <w:szCs w:val="21"/>
        </w:rPr>
      </w:pPr>
      <w:r>
        <w:rPr>
          <w:rFonts w:hint="eastAsia" w:ascii="宋体" w:hAnsi="宋体" w:eastAsia="宋体" w:cs="宋体"/>
          <w:color w:val="auto"/>
          <w:szCs w:val="21"/>
        </w:rPr>
        <w:t>（2）开标一览表（格式见附件）；</w:t>
      </w:r>
    </w:p>
    <w:p w14:paraId="69678BD6">
      <w:pPr>
        <w:snapToGrid w:val="0"/>
        <w:spacing w:line="360" w:lineRule="auto"/>
        <w:ind w:firstLine="411" w:firstLineChars="196"/>
        <w:jc w:val="left"/>
        <w:rPr>
          <w:rFonts w:hint="eastAsia" w:ascii="宋体" w:hAnsi="宋体" w:eastAsia="宋体" w:cs="宋体"/>
          <w:color w:val="auto"/>
          <w:szCs w:val="21"/>
          <w:lang w:val="en-US" w:eastAsia="zh-CN"/>
        </w:rPr>
      </w:pPr>
      <w:r>
        <w:rPr>
          <w:rFonts w:hint="eastAsia" w:ascii="宋体" w:hAnsi="宋体" w:eastAsia="宋体" w:cs="宋体"/>
          <w:color w:val="auto"/>
          <w:szCs w:val="21"/>
          <w:lang w:val="en-US" w:eastAsia="zh-CN"/>
        </w:rPr>
        <w:t>（3）报价明细表（格式可自拟）</w:t>
      </w:r>
    </w:p>
    <w:p w14:paraId="41815341">
      <w:pPr>
        <w:snapToGrid w:val="0"/>
        <w:spacing w:line="360" w:lineRule="auto"/>
        <w:ind w:firstLine="422" w:firstLineChars="200"/>
        <w:jc w:val="left"/>
        <w:outlineLvl w:val="0"/>
        <w:rPr>
          <w:rFonts w:ascii="宋体" w:hAnsi="宋体" w:cs="宋体"/>
          <w:b/>
          <w:color w:val="auto"/>
          <w:szCs w:val="21"/>
        </w:rPr>
      </w:pPr>
      <w:r>
        <w:rPr>
          <w:rFonts w:hint="eastAsia" w:ascii="宋体" w:hAnsi="宋体" w:cs="宋体"/>
          <w:b/>
          <w:color w:val="auto"/>
          <w:szCs w:val="21"/>
        </w:rPr>
        <w:t>（三）投标文件的语言及计量</w:t>
      </w:r>
      <w:bookmarkEnd w:id="19"/>
      <w:bookmarkEnd w:id="20"/>
      <w:bookmarkEnd w:id="21"/>
      <w:bookmarkEnd w:id="22"/>
      <w:bookmarkEnd w:id="23"/>
      <w:bookmarkEnd w:id="24"/>
      <w:bookmarkEnd w:id="25"/>
    </w:p>
    <w:p w14:paraId="14D9B7AC">
      <w:pPr>
        <w:snapToGrid w:val="0"/>
        <w:spacing w:line="360" w:lineRule="auto"/>
        <w:ind w:firstLine="420" w:firstLineChars="200"/>
        <w:jc w:val="left"/>
        <w:rPr>
          <w:rFonts w:ascii="宋体" w:hAnsi="宋体" w:cs="宋体"/>
          <w:color w:val="auto"/>
          <w:szCs w:val="21"/>
        </w:rPr>
      </w:pPr>
      <w:r>
        <w:rPr>
          <w:rFonts w:hint="eastAsia" w:ascii="宋体" w:hAnsi="宋体" w:cs="宋体"/>
          <w:color w:val="auto"/>
          <w:szCs w:val="21"/>
        </w:rPr>
        <w:t>1</w:t>
      </w:r>
      <w:r>
        <w:rPr>
          <w:rFonts w:hint="eastAsia" w:ascii="宋体" w:hAnsi="宋体" w:cs="宋体"/>
          <w:color w:val="auto"/>
          <w:szCs w:val="21"/>
          <w:lang w:val="en-US" w:eastAsia="zh-CN"/>
        </w:rPr>
        <w:t>.</w:t>
      </w:r>
      <w:r>
        <w:rPr>
          <w:rFonts w:hint="eastAsia" w:ascii="宋体" w:hAnsi="宋体" w:cs="宋体"/>
          <w:color w:val="auto"/>
          <w:szCs w:val="21"/>
        </w:rPr>
        <w:t>投标文件以及投标方与采购方就有关投标事宜的所有来往函电，均应以中文汉语书写。除签名、盖章、专用名称等特殊情形外，以中文汉语以外的文字表述的投标文件视同未提供。</w:t>
      </w:r>
    </w:p>
    <w:p w14:paraId="3F62F4C8">
      <w:pPr>
        <w:snapToGrid w:val="0"/>
        <w:spacing w:line="360" w:lineRule="auto"/>
        <w:ind w:firstLine="420" w:firstLineChars="200"/>
        <w:jc w:val="left"/>
        <w:rPr>
          <w:rFonts w:ascii="宋体" w:hAnsi="宋体" w:cs="宋体"/>
          <w:color w:val="auto"/>
          <w:szCs w:val="21"/>
        </w:rPr>
      </w:pPr>
      <w:r>
        <w:rPr>
          <w:rFonts w:hint="eastAsia" w:ascii="宋体" w:hAnsi="宋体" w:cs="宋体"/>
          <w:color w:val="auto"/>
          <w:szCs w:val="21"/>
        </w:rPr>
        <w:t>2</w:t>
      </w:r>
      <w:r>
        <w:rPr>
          <w:rFonts w:hint="eastAsia" w:ascii="宋体" w:hAnsi="宋体" w:cs="宋体"/>
          <w:color w:val="auto"/>
          <w:szCs w:val="21"/>
          <w:lang w:val="en-US" w:eastAsia="zh-CN"/>
        </w:rPr>
        <w:t>.</w:t>
      </w:r>
      <w:r>
        <w:rPr>
          <w:rFonts w:hint="eastAsia" w:ascii="宋体" w:hAnsi="宋体" w:cs="宋体"/>
          <w:color w:val="auto"/>
          <w:szCs w:val="21"/>
        </w:rPr>
        <w:t>投标计量单位，采购文件已有明确规定的，使用采购文件规定的计量单位；采购文件没有规定的，应采用中华人民共和国法定计量单位（货币单位：人民币元），否则视同未响应。</w:t>
      </w:r>
    </w:p>
    <w:p w14:paraId="75732024">
      <w:pPr>
        <w:snapToGrid w:val="0"/>
        <w:spacing w:line="360" w:lineRule="auto"/>
        <w:ind w:firstLine="422" w:firstLineChars="200"/>
        <w:jc w:val="left"/>
        <w:outlineLvl w:val="0"/>
        <w:rPr>
          <w:rFonts w:ascii="宋体" w:hAnsi="宋体" w:cs="宋体"/>
          <w:b/>
          <w:color w:val="auto"/>
          <w:szCs w:val="21"/>
        </w:rPr>
      </w:pPr>
      <w:bookmarkStart w:id="27" w:name="_Toc406402991"/>
      <w:bookmarkStart w:id="28" w:name="_Toc33535361"/>
      <w:bookmarkStart w:id="29" w:name="_Toc406402947"/>
      <w:bookmarkStart w:id="30" w:name="_Toc402963085"/>
      <w:bookmarkStart w:id="31" w:name="_Toc385854147"/>
      <w:bookmarkStart w:id="32" w:name="_Toc385854101"/>
      <w:bookmarkStart w:id="33" w:name="_Toc402963118"/>
      <w:r>
        <w:rPr>
          <w:rFonts w:hint="eastAsia" w:ascii="宋体" w:hAnsi="宋体" w:cs="宋体"/>
          <w:b/>
          <w:color w:val="auto"/>
          <w:szCs w:val="21"/>
        </w:rPr>
        <w:t>（四）投标报价</w:t>
      </w:r>
      <w:bookmarkEnd w:id="27"/>
      <w:bookmarkEnd w:id="28"/>
      <w:bookmarkEnd w:id="29"/>
      <w:bookmarkEnd w:id="30"/>
      <w:bookmarkEnd w:id="31"/>
      <w:bookmarkEnd w:id="32"/>
      <w:bookmarkEnd w:id="33"/>
    </w:p>
    <w:p w14:paraId="7A0A025D">
      <w:pPr>
        <w:pStyle w:val="15"/>
        <w:snapToGrid w:val="0"/>
        <w:spacing w:line="360" w:lineRule="auto"/>
        <w:ind w:firstLine="420" w:firstLineChars="200"/>
        <w:jc w:val="left"/>
        <w:rPr>
          <w:rFonts w:hAnsi="宋体"/>
          <w:color w:val="auto"/>
          <w:szCs w:val="21"/>
        </w:rPr>
      </w:pPr>
      <w:r>
        <w:rPr>
          <w:rFonts w:hint="eastAsia" w:hAnsi="宋体"/>
          <w:color w:val="auto"/>
          <w:szCs w:val="21"/>
        </w:rPr>
        <w:t>1</w:t>
      </w:r>
      <w:r>
        <w:rPr>
          <w:rFonts w:hint="eastAsia" w:hAnsi="宋体"/>
          <w:color w:val="auto"/>
          <w:szCs w:val="21"/>
          <w:lang w:val="en-US" w:eastAsia="zh-CN"/>
        </w:rPr>
        <w:t>.</w:t>
      </w:r>
      <w:r>
        <w:rPr>
          <w:rFonts w:hint="eastAsia" w:hAnsi="宋体"/>
          <w:color w:val="auto"/>
          <w:szCs w:val="21"/>
        </w:rPr>
        <w:t>投标报价应按采购文件中相关附表格式填写。</w:t>
      </w:r>
    </w:p>
    <w:p w14:paraId="55BA013F">
      <w:pPr>
        <w:pStyle w:val="10"/>
        <w:spacing w:line="360" w:lineRule="auto"/>
        <w:ind w:firstLine="420" w:firstLineChars="200"/>
        <w:rPr>
          <w:rFonts w:hAnsi="宋体"/>
          <w:color w:val="auto"/>
          <w:szCs w:val="21"/>
        </w:rPr>
      </w:pPr>
      <w:r>
        <w:rPr>
          <w:rFonts w:hint="eastAsia" w:hAnsi="宋体"/>
          <w:color w:val="auto"/>
          <w:szCs w:val="21"/>
        </w:rPr>
        <w:t>2</w:t>
      </w:r>
      <w:r>
        <w:rPr>
          <w:rFonts w:hint="eastAsia" w:hAnsi="宋体"/>
          <w:color w:val="auto"/>
          <w:szCs w:val="21"/>
          <w:lang w:val="en-US" w:eastAsia="zh-CN"/>
        </w:rPr>
        <w:t>.</w:t>
      </w:r>
      <w:r>
        <w:rPr>
          <w:rFonts w:hint="eastAsia"/>
          <w:color w:val="auto"/>
        </w:rPr>
        <w:t>投标报价</w:t>
      </w:r>
      <w:r>
        <w:rPr>
          <w:rFonts w:hint="eastAsia"/>
          <w:b/>
          <w:bCs/>
          <w:color w:val="auto"/>
        </w:rPr>
        <w:t>包括货款、人工、标准附件、备品备件、专用工具、包装、运输、装卸、保险、税金、货到就位以及安装、调试、培训、保修、运维等完成本项目的一切本身和不可或缺的所有工作开支、政策性文件规定及合同包含的所有风险、责任等各项全部费用。</w:t>
      </w:r>
    </w:p>
    <w:p w14:paraId="3ED8480D">
      <w:pPr>
        <w:pStyle w:val="15"/>
        <w:snapToGrid w:val="0"/>
        <w:spacing w:line="360" w:lineRule="auto"/>
        <w:ind w:firstLine="420" w:firstLineChars="200"/>
        <w:jc w:val="left"/>
        <w:rPr>
          <w:rFonts w:hint="eastAsia" w:hAnsi="宋体"/>
          <w:color w:val="auto"/>
          <w:szCs w:val="21"/>
        </w:rPr>
      </w:pPr>
      <w:r>
        <w:rPr>
          <w:rFonts w:hint="eastAsia" w:hAnsi="宋体"/>
          <w:color w:val="auto"/>
          <w:szCs w:val="21"/>
        </w:rPr>
        <w:t>3</w:t>
      </w:r>
      <w:r>
        <w:rPr>
          <w:rFonts w:hint="eastAsia" w:hAnsi="宋体"/>
          <w:color w:val="auto"/>
          <w:szCs w:val="21"/>
          <w:lang w:val="en-US" w:eastAsia="zh-CN"/>
        </w:rPr>
        <w:t>.</w:t>
      </w:r>
      <w:r>
        <w:rPr>
          <w:rFonts w:hint="eastAsia" w:hAnsi="宋体"/>
          <w:color w:val="auto"/>
          <w:szCs w:val="21"/>
        </w:rPr>
        <w:t>投标文件只允许有一个报价，有选择的或有条件的报价将不予接受。</w:t>
      </w:r>
    </w:p>
    <w:p w14:paraId="24C5FE31">
      <w:pPr>
        <w:pStyle w:val="15"/>
        <w:snapToGrid w:val="0"/>
        <w:spacing w:line="360" w:lineRule="auto"/>
        <w:ind w:firstLine="420" w:firstLineChars="200"/>
        <w:jc w:val="left"/>
        <w:rPr>
          <w:color w:val="auto"/>
        </w:rPr>
      </w:pPr>
      <w:r>
        <w:rPr>
          <w:rFonts w:hint="eastAsia" w:hAnsi="宋体" w:cs="宋体"/>
          <w:color w:val="auto"/>
          <w:szCs w:val="21"/>
          <w:highlight w:val="none"/>
          <w:lang w:val="en-US" w:eastAsia="zh-CN"/>
        </w:rPr>
        <w:t>4.具体磋商程序(响应文件开启、磋商、二次报价均在电子交易平台线上完成)。</w:t>
      </w:r>
    </w:p>
    <w:p w14:paraId="22F831B3">
      <w:pPr>
        <w:snapToGrid w:val="0"/>
        <w:spacing w:line="360" w:lineRule="auto"/>
        <w:ind w:firstLine="422" w:firstLineChars="200"/>
        <w:jc w:val="left"/>
        <w:outlineLvl w:val="0"/>
        <w:rPr>
          <w:rFonts w:ascii="宋体" w:hAnsi="宋体" w:cs="宋体"/>
          <w:b/>
          <w:color w:val="auto"/>
          <w:szCs w:val="21"/>
        </w:rPr>
      </w:pPr>
      <w:r>
        <w:rPr>
          <w:rFonts w:hint="eastAsia" w:ascii="宋体" w:hAnsi="宋体" w:cs="宋体"/>
          <w:b/>
          <w:color w:val="auto"/>
          <w:szCs w:val="21"/>
        </w:rPr>
        <w:t>（五）投标文件的有效期</w:t>
      </w:r>
    </w:p>
    <w:p w14:paraId="5E9A6CAA">
      <w:pPr>
        <w:snapToGrid w:val="0"/>
        <w:spacing w:line="360" w:lineRule="auto"/>
        <w:ind w:firstLine="420" w:firstLineChars="200"/>
        <w:jc w:val="left"/>
        <w:outlineLvl w:val="0"/>
        <w:rPr>
          <w:rFonts w:ascii="宋体" w:hAnsi="宋体" w:cs="宋体"/>
          <w:color w:val="auto"/>
          <w:szCs w:val="21"/>
        </w:rPr>
      </w:pPr>
      <w:r>
        <w:rPr>
          <w:rFonts w:hint="eastAsia" w:ascii="宋体" w:hAnsi="宋体" w:cs="宋体"/>
          <w:color w:val="auto"/>
          <w:szCs w:val="21"/>
        </w:rPr>
        <w:t>1</w:t>
      </w:r>
      <w:r>
        <w:rPr>
          <w:rFonts w:hint="eastAsia" w:ascii="宋体" w:hAnsi="宋体" w:cs="宋体"/>
          <w:color w:val="auto"/>
          <w:szCs w:val="21"/>
          <w:lang w:val="en-US" w:eastAsia="zh-CN"/>
        </w:rPr>
        <w:t>.</w:t>
      </w:r>
      <w:r>
        <w:rPr>
          <w:rFonts w:hint="eastAsia" w:ascii="宋体" w:hAnsi="宋体" w:cs="宋体"/>
          <w:color w:val="auto"/>
          <w:szCs w:val="21"/>
        </w:rPr>
        <w:t>自投标截止日起60天投标文件应保持有效。有效期不足的投标文件将被拒绝。</w:t>
      </w:r>
    </w:p>
    <w:p w14:paraId="5BB56051">
      <w:pPr>
        <w:snapToGrid w:val="0"/>
        <w:spacing w:line="360" w:lineRule="auto"/>
        <w:ind w:firstLine="420" w:firstLineChars="200"/>
        <w:jc w:val="left"/>
        <w:outlineLvl w:val="0"/>
        <w:rPr>
          <w:rFonts w:ascii="宋体" w:hAnsi="宋体" w:cs="宋体"/>
          <w:color w:val="auto"/>
          <w:szCs w:val="21"/>
        </w:rPr>
      </w:pPr>
      <w:r>
        <w:rPr>
          <w:rFonts w:hint="eastAsia" w:ascii="宋体" w:hAnsi="宋体" w:cs="宋体"/>
          <w:color w:val="auto"/>
          <w:szCs w:val="21"/>
        </w:rPr>
        <w:t>2</w:t>
      </w:r>
      <w:r>
        <w:rPr>
          <w:rFonts w:hint="eastAsia" w:ascii="宋体" w:hAnsi="宋体" w:cs="宋体"/>
          <w:color w:val="auto"/>
          <w:szCs w:val="21"/>
          <w:lang w:val="en-US" w:eastAsia="zh-CN"/>
        </w:rPr>
        <w:t>.</w:t>
      </w:r>
      <w:r>
        <w:rPr>
          <w:rFonts w:hint="eastAsia" w:ascii="宋体" w:hAnsi="宋体" w:cs="宋体"/>
          <w:color w:val="auto"/>
          <w:szCs w:val="21"/>
        </w:rPr>
        <w:t>在特殊情况下，采购人可与供应商协商延长投标书的有效期，这种要求和答复均以书面形式进行。</w:t>
      </w:r>
    </w:p>
    <w:p w14:paraId="02B0B4F7">
      <w:pPr>
        <w:snapToGrid w:val="0"/>
        <w:spacing w:line="420" w:lineRule="exact"/>
        <w:ind w:firstLine="420" w:firstLineChars="200"/>
        <w:jc w:val="left"/>
        <w:outlineLvl w:val="0"/>
        <w:rPr>
          <w:rFonts w:ascii="宋体" w:hAnsi="宋体" w:cs="宋体"/>
          <w:b/>
          <w:color w:val="auto"/>
          <w:szCs w:val="21"/>
        </w:rPr>
      </w:pPr>
      <w:bookmarkStart w:id="34" w:name="_Toc33535362"/>
      <w:bookmarkStart w:id="35" w:name="_Toc385854102"/>
      <w:bookmarkStart w:id="36" w:name="_Toc385854148"/>
      <w:bookmarkStart w:id="37" w:name="_Toc406402948"/>
      <w:bookmarkStart w:id="38" w:name="_Toc402963086"/>
      <w:bookmarkStart w:id="39" w:name="_Toc402963119"/>
      <w:bookmarkStart w:id="40" w:name="_Toc406402992"/>
      <w:r>
        <w:rPr>
          <w:rFonts w:hint="eastAsia" w:ascii="宋体" w:hAnsi="宋体" w:cs="宋体"/>
          <w:color w:val="auto"/>
          <w:szCs w:val="21"/>
        </w:rPr>
        <w:t>3</w:t>
      </w:r>
      <w:r>
        <w:rPr>
          <w:rFonts w:hint="eastAsia" w:ascii="宋体" w:hAnsi="宋体" w:cs="宋体"/>
          <w:color w:val="auto"/>
          <w:szCs w:val="21"/>
          <w:lang w:val="en-US" w:eastAsia="zh-CN"/>
        </w:rPr>
        <w:t>.</w:t>
      </w:r>
      <w:r>
        <w:rPr>
          <w:rFonts w:hint="eastAsia" w:ascii="宋体" w:hAnsi="宋体" w:cs="宋体"/>
          <w:color w:val="auto"/>
          <w:szCs w:val="21"/>
        </w:rPr>
        <w:t>供应商可拒绝接受延期要求。同意延长有效期的供应商不能修改投标文件。</w:t>
      </w:r>
      <w:bookmarkEnd w:id="34"/>
      <w:bookmarkEnd w:id="35"/>
      <w:bookmarkEnd w:id="36"/>
      <w:bookmarkEnd w:id="37"/>
      <w:bookmarkEnd w:id="38"/>
      <w:bookmarkEnd w:id="39"/>
      <w:bookmarkEnd w:id="40"/>
    </w:p>
    <w:p w14:paraId="7ED1D819">
      <w:pPr>
        <w:snapToGrid w:val="0"/>
        <w:spacing w:line="420" w:lineRule="exact"/>
        <w:ind w:firstLine="420" w:firstLineChars="200"/>
        <w:jc w:val="left"/>
        <w:outlineLvl w:val="0"/>
        <w:rPr>
          <w:rFonts w:ascii="宋体" w:hAnsi="宋体" w:cs="宋体"/>
          <w:b/>
          <w:color w:val="auto"/>
          <w:szCs w:val="21"/>
        </w:rPr>
      </w:pPr>
      <w:bookmarkStart w:id="41" w:name="_Toc402963087"/>
      <w:bookmarkStart w:id="42" w:name="_Toc33535363"/>
      <w:bookmarkStart w:id="43" w:name="_Toc406402949"/>
      <w:bookmarkStart w:id="44" w:name="_Toc385854103"/>
      <w:bookmarkStart w:id="45" w:name="_Toc402963120"/>
      <w:bookmarkStart w:id="46" w:name="_Toc406402993"/>
      <w:bookmarkStart w:id="47" w:name="_Toc385854149"/>
      <w:r>
        <w:rPr>
          <w:rFonts w:hint="eastAsia" w:ascii="宋体" w:hAnsi="宋体" w:cs="宋体"/>
          <w:color w:val="auto"/>
          <w:szCs w:val="21"/>
        </w:rPr>
        <w:t>4</w:t>
      </w:r>
      <w:r>
        <w:rPr>
          <w:rFonts w:hint="eastAsia" w:ascii="宋体" w:hAnsi="宋体" w:cs="宋体"/>
          <w:color w:val="auto"/>
          <w:szCs w:val="21"/>
          <w:lang w:val="en-US" w:eastAsia="zh-CN"/>
        </w:rPr>
        <w:t>.</w:t>
      </w:r>
      <w:r>
        <w:rPr>
          <w:rFonts w:hint="eastAsia" w:ascii="宋体" w:hAnsi="宋体" w:cs="宋体"/>
          <w:color w:val="auto"/>
          <w:szCs w:val="21"/>
        </w:rPr>
        <w:t>中标人的投标文件自开标之日起至合同履行完毕止均应保持有效。</w:t>
      </w:r>
      <w:bookmarkEnd w:id="41"/>
      <w:bookmarkEnd w:id="42"/>
      <w:bookmarkEnd w:id="43"/>
      <w:bookmarkEnd w:id="44"/>
      <w:bookmarkEnd w:id="45"/>
      <w:bookmarkEnd w:id="46"/>
      <w:bookmarkEnd w:id="47"/>
    </w:p>
    <w:p w14:paraId="452D32FC">
      <w:pPr>
        <w:snapToGrid w:val="0"/>
        <w:spacing w:line="420" w:lineRule="exact"/>
        <w:ind w:firstLine="422" w:firstLineChars="200"/>
        <w:jc w:val="left"/>
        <w:outlineLvl w:val="0"/>
        <w:rPr>
          <w:rFonts w:ascii="宋体" w:hAnsi="宋体" w:cs="宋体"/>
          <w:b/>
          <w:color w:val="auto"/>
          <w:szCs w:val="21"/>
        </w:rPr>
      </w:pPr>
      <w:bookmarkStart w:id="48" w:name="_Toc33535364"/>
      <w:bookmarkStart w:id="49" w:name="_Toc385854151"/>
      <w:bookmarkStart w:id="50" w:name="_Toc406402951"/>
      <w:bookmarkStart w:id="51" w:name="_Toc402963122"/>
      <w:bookmarkStart w:id="52" w:name="_Toc402963089"/>
      <w:bookmarkStart w:id="53" w:name="_Toc406402995"/>
      <w:bookmarkStart w:id="54" w:name="_Toc385854105"/>
      <w:r>
        <w:rPr>
          <w:rFonts w:hint="eastAsia" w:ascii="宋体" w:hAnsi="宋体" w:cs="宋体"/>
          <w:b/>
          <w:color w:val="auto"/>
          <w:szCs w:val="21"/>
        </w:rPr>
        <w:t>（六）投标文件的签署和份数</w:t>
      </w:r>
      <w:bookmarkEnd w:id="48"/>
      <w:bookmarkEnd w:id="49"/>
      <w:bookmarkEnd w:id="50"/>
      <w:bookmarkEnd w:id="51"/>
      <w:bookmarkEnd w:id="52"/>
      <w:bookmarkEnd w:id="53"/>
      <w:bookmarkEnd w:id="54"/>
    </w:p>
    <w:p w14:paraId="62226F9F">
      <w:pPr>
        <w:snapToGrid w:val="0"/>
        <w:spacing w:line="420" w:lineRule="exact"/>
        <w:ind w:firstLine="420" w:firstLineChars="200"/>
        <w:jc w:val="left"/>
        <w:outlineLvl w:val="0"/>
        <w:rPr>
          <w:rFonts w:ascii="宋体" w:hAnsi="宋体" w:cs="宋体"/>
          <w:b/>
          <w:bCs/>
          <w:color w:val="auto"/>
          <w:szCs w:val="21"/>
        </w:rPr>
      </w:pPr>
      <w:r>
        <w:rPr>
          <w:rFonts w:hint="eastAsia" w:ascii="宋体" w:hAnsi="宋体" w:cs="宋体"/>
          <w:color w:val="auto"/>
          <w:szCs w:val="21"/>
        </w:rPr>
        <w:t>投标文件的形式：</w:t>
      </w:r>
      <w:r>
        <w:rPr>
          <w:rFonts w:hint="eastAsia" w:ascii="宋体" w:hAnsi="宋体" w:cs="宋体"/>
          <w:b/>
          <w:bCs/>
          <w:color w:val="auto"/>
          <w:szCs w:val="21"/>
        </w:rPr>
        <w:t>☑电子投标文件（包括“电子加密投标文件”和“备份投标文件”，在投标文件编制完成后同时生成）；</w:t>
      </w:r>
    </w:p>
    <w:p w14:paraId="0B6358B2">
      <w:pPr>
        <w:spacing w:line="420" w:lineRule="exact"/>
        <w:ind w:firstLine="422" w:firstLineChars="200"/>
        <w:jc w:val="left"/>
        <w:rPr>
          <w:rFonts w:ascii="宋体" w:hAnsi="宋体" w:cs="宋体"/>
          <w:b/>
          <w:bCs/>
          <w:color w:val="auto"/>
          <w:szCs w:val="21"/>
        </w:rPr>
      </w:pPr>
      <w:r>
        <w:rPr>
          <w:rFonts w:hint="eastAsia" w:ascii="宋体" w:hAnsi="宋体" w:cs="宋体"/>
          <w:b/>
          <w:bCs/>
          <w:color w:val="auto"/>
          <w:szCs w:val="21"/>
        </w:rPr>
        <w:t>1</w:t>
      </w:r>
      <w:r>
        <w:rPr>
          <w:rFonts w:hint="eastAsia" w:ascii="宋体" w:hAnsi="宋体" w:cs="宋体"/>
          <w:b/>
          <w:bCs/>
          <w:color w:val="auto"/>
          <w:szCs w:val="21"/>
          <w:lang w:val="en-US" w:eastAsia="zh-CN"/>
        </w:rPr>
        <w:t>.</w:t>
      </w:r>
      <w:r>
        <w:rPr>
          <w:rFonts w:hint="eastAsia" w:ascii="宋体" w:hAnsi="宋体" w:cs="宋体"/>
          <w:b/>
          <w:bCs/>
          <w:color w:val="auto"/>
          <w:szCs w:val="21"/>
        </w:rPr>
        <w:t>“电子加密投标文件”是指通过“政采云电子交易客户端”完成投标文件编制后生成并加密的数据电文形式的投标文件。</w:t>
      </w:r>
    </w:p>
    <w:p w14:paraId="0BD16D3D">
      <w:pPr>
        <w:snapToGrid w:val="0"/>
        <w:spacing w:line="420" w:lineRule="exact"/>
        <w:ind w:firstLine="422" w:firstLineChars="200"/>
        <w:jc w:val="left"/>
        <w:rPr>
          <w:rFonts w:ascii="宋体" w:hAnsi="宋体" w:cs="宋体"/>
          <w:b/>
          <w:bCs/>
          <w:color w:val="auto"/>
          <w:szCs w:val="21"/>
        </w:rPr>
      </w:pPr>
      <w:r>
        <w:rPr>
          <w:rFonts w:hint="eastAsia" w:ascii="宋体" w:hAnsi="宋体" w:cs="宋体"/>
          <w:b/>
          <w:bCs/>
          <w:color w:val="auto"/>
          <w:szCs w:val="21"/>
        </w:rPr>
        <w:t>2</w:t>
      </w:r>
      <w:r>
        <w:rPr>
          <w:rFonts w:hint="eastAsia" w:ascii="宋体" w:hAnsi="宋体" w:cs="宋体"/>
          <w:b/>
          <w:bCs/>
          <w:color w:val="auto"/>
          <w:szCs w:val="21"/>
          <w:lang w:val="en-US" w:eastAsia="zh-CN"/>
        </w:rPr>
        <w:t>.</w:t>
      </w:r>
      <w:r>
        <w:rPr>
          <w:rFonts w:hint="eastAsia" w:ascii="宋体" w:hAnsi="宋体" w:cs="宋体"/>
          <w:b/>
          <w:bCs/>
          <w:color w:val="auto"/>
          <w:szCs w:val="21"/>
        </w:rPr>
        <w:t>“备份投标文件”是指与“电子加密投标文件”同时生成的数据电文形式的电子文件（备份标书），其他方式编制的备份投标文件视为无效备份投标文件。</w:t>
      </w:r>
    </w:p>
    <w:p w14:paraId="012EE4B8">
      <w:pPr>
        <w:snapToGrid w:val="0"/>
        <w:spacing w:line="420" w:lineRule="exact"/>
        <w:ind w:firstLine="422" w:firstLineChars="200"/>
        <w:jc w:val="left"/>
        <w:rPr>
          <w:rFonts w:ascii="宋体" w:hAnsi="宋体" w:cs="宋体"/>
          <w:b/>
          <w:bCs/>
          <w:color w:val="auto"/>
          <w:szCs w:val="21"/>
        </w:rPr>
      </w:pPr>
      <w:r>
        <w:rPr>
          <w:rFonts w:hint="eastAsia" w:ascii="宋体" w:hAnsi="宋体" w:cs="宋体"/>
          <w:b/>
          <w:bCs/>
          <w:color w:val="auto"/>
          <w:szCs w:val="21"/>
        </w:rPr>
        <w:t>（七）</w:t>
      </w:r>
      <w:bookmarkStart w:id="55" w:name="_Toc33535368"/>
      <w:r>
        <w:rPr>
          <w:rFonts w:hint="eastAsia" w:ascii="宋体" w:hAnsi="宋体" w:cs="宋体"/>
          <w:b/>
          <w:bCs/>
          <w:color w:val="auto"/>
          <w:szCs w:val="21"/>
        </w:rPr>
        <w:t>投标文件的上传和递交：</w:t>
      </w:r>
    </w:p>
    <w:p w14:paraId="4C74C134">
      <w:pPr>
        <w:snapToGrid w:val="0"/>
        <w:spacing w:line="420" w:lineRule="exact"/>
        <w:ind w:firstLine="422" w:firstLineChars="200"/>
        <w:jc w:val="left"/>
        <w:rPr>
          <w:rFonts w:ascii="宋体" w:hAnsi="宋体" w:cs="宋体"/>
          <w:b/>
          <w:bCs/>
          <w:color w:val="auto"/>
          <w:szCs w:val="21"/>
        </w:rPr>
      </w:pPr>
      <w:r>
        <w:rPr>
          <w:rFonts w:hint="eastAsia" w:ascii="宋体" w:hAnsi="宋体" w:cs="宋体"/>
          <w:b/>
          <w:bCs/>
          <w:color w:val="auto"/>
          <w:szCs w:val="21"/>
        </w:rPr>
        <w:t>1</w:t>
      </w:r>
      <w:r>
        <w:rPr>
          <w:rFonts w:hint="eastAsia" w:ascii="宋体" w:hAnsi="宋体" w:cs="宋体"/>
          <w:b/>
          <w:bCs/>
          <w:color w:val="auto"/>
          <w:szCs w:val="21"/>
          <w:lang w:val="en-US" w:eastAsia="zh-CN"/>
        </w:rPr>
        <w:t>.</w:t>
      </w:r>
      <w:r>
        <w:rPr>
          <w:rFonts w:hint="eastAsia" w:ascii="宋体" w:hAnsi="宋体" w:cs="宋体"/>
          <w:b/>
          <w:bCs/>
          <w:color w:val="auto"/>
          <w:szCs w:val="21"/>
        </w:rPr>
        <w:t>“电子加密投标文件”的上传、递交：</w:t>
      </w:r>
    </w:p>
    <w:p w14:paraId="34C0DBC6">
      <w:pPr>
        <w:snapToGrid w:val="0"/>
        <w:spacing w:line="420" w:lineRule="exact"/>
        <w:ind w:firstLine="422" w:firstLineChars="200"/>
        <w:jc w:val="left"/>
        <w:rPr>
          <w:rFonts w:ascii="宋体" w:hAnsi="宋体" w:cs="宋体"/>
          <w:b/>
          <w:bCs/>
          <w:color w:val="auto"/>
          <w:szCs w:val="21"/>
        </w:rPr>
      </w:pPr>
      <w:r>
        <w:rPr>
          <w:rFonts w:hint="eastAsia" w:ascii="宋体" w:hAnsi="宋体" w:cs="宋体"/>
          <w:b/>
          <w:bCs/>
          <w:color w:val="auto"/>
          <w:szCs w:val="21"/>
        </w:rPr>
        <w:t>a.投标供应商应在投标截止时间前将“电子加密投标文件”成功上传递交至“政府采购云平台”，否则投标无效。</w:t>
      </w:r>
    </w:p>
    <w:p w14:paraId="11B24CB7">
      <w:pPr>
        <w:snapToGrid w:val="0"/>
        <w:spacing w:line="420" w:lineRule="exact"/>
        <w:ind w:firstLine="422" w:firstLineChars="200"/>
        <w:jc w:val="left"/>
        <w:rPr>
          <w:rFonts w:ascii="宋体" w:hAnsi="宋体" w:cs="宋体"/>
          <w:b/>
          <w:bCs/>
          <w:color w:val="auto"/>
          <w:szCs w:val="21"/>
        </w:rPr>
      </w:pPr>
      <w:r>
        <w:rPr>
          <w:rFonts w:hint="eastAsia" w:ascii="宋体" w:hAnsi="宋体" w:cs="宋体"/>
          <w:b/>
          <w:bCs/>
          <w:color w:val="auto"/>
          <w:szCs w:val="21"/>
        </w:rPr>
        <w:t>2</w:t>
      </w:r>
      <w:r>
        <w:rPr>
          <w:rFonts w:hint="eastAsia" w:ascii="宋体" w:hAnsi="宋体" w:cs="宋体"/>
          <w:b/>
          <w:bCs/>
          <w:color w:val="auto"/>
          <w:szCs w:val="21"/>
          <w:lang w:val="en-US" w:eastAsia="zh-CN"/>
        </w:rPr>
        <w:t>.</w:t>
      </w:r>
      <w:r>
        <w:rPr>
          <w:rFonts w:hint="eastAsia" w:ascii="宋体" w:hAnsi="宋体" w:cs="宋体"/>
          <w:b/>
          <w:bCs/>
          <w:color w:val="auto"/>
          <w:szCs w:val="21"/>
        </w:rPr>
        <w:t>“备份投标文件”的密封包装、递交：</w:t>
      </w:r>
    </w:p>
    <w:p w14:paraId="3BD08C55">
      <w:pPr>
        <w:snapToGrid w:val="0"/>
        <w:spacing w:line="420" w:lineRule="exact"/>
        <w:ind w:firstLine="422" w:firstLineChars="200"/>
        <w:jc w:val="left"/>
        <w:rPr>
          <w:rFonts w:ascii="宋体" w:hAnsi="宋体" w:cs="宋体"/>
          <w:b/>
          <w:bCs/>
          <w:color w:val="auto"/>
          <w:szCs w:val="21"/>
        </w:rPr>
      </w:pPr>
      <w:r>
        <w:rPr>
          <w:rFonts w:hint="eastAsia" w:ascii="宋体" w:hAnsi="宋体" w:cs="宋体"/>
          <w:b/>
          <w:bCs/>
          <w:color w:val="auto"/>
          <w:szCs w:val="21"/>
        </w:rPr>
        <w:t>a.投标供应商在“政府采购云平台”完成“电子加密投标文件”的上传递交后，还可以（邮寄形式）在投标截止时间前递交以介质（U盘）存储的“备份投标文件”（一份）；</w:t>
      </w:r>
    </w:p>
    <w:p w14:paraId="6A870628">
      <w:pPr>
        <w:snapToGrid w:val="0"/>
        <w:spacing w:line="420" w:lineRule="exact"/>
        <w:ind w:firstLine="422" w:firstLineChars="200"/>
        <w:jc w:val="left"/>
        <w:rPr>
          <w:rFonts w:ascii="宋体" w:hAnsi="宋体" w:cs="宋体"/>
          <w:b/>
          <w:bCs/>
          <w:color w:val="auto"/>
          <w:szCs w:val="21"/>
        </w:rPr>
      </w:pPr>
      <w:r>
        <w:rPr>
          <w:rFonts w:hint="eastAsia" w:ascii="宋体" w:hAnsi="宋体" w:cs="宋体"/>
          <w:b/>
          <w:bCs/>
          <w:color w:val="auto"/>
          <w:szCs w:val="21"/>
        </w:rPr>
        <w:t>b.“备份投标文件”应当密封包装，并在包装上标注投标项目名称、投标单位名称并加盖公章。没有密封包装或者逾期邮寄送达至邮寄接收地点的“备份投标文件”将不予接收；</w:t>
      </w:r>
    </w:p>
    <w:p w14:paraId="4B4BC465">
      <w:pPr>
        <w:snapToGrid w:val="0"/>
        <w:spacing w:line="420" w:lineRule="exact"/>
        <w:ind w:firstLine="422" w:firstLineChars="200"/>
        <w:outlineLvl w:val="2"/>
        <w:rPr>
          <w:rFonts w:ascii="宋体" w:hAnsi="宋体" w:cs="宋体"/>
          <w:b/>
          <w:bCs/>
          <w:color w:val="auto"/>
          <w:szCs w:val="21"/>
        </w:rPr>
      </w:pPr>
      <w:r>
        <w:rPr>
          <w:rFonts w:hint="eastAsia" w:ascii="宋体" w:hAnsi="宋体" w:cs="宋体"/>
          <w:b/>
          <w:bCs/>
          <w:color w:val="auto"/>
          <w:szCs w:val="21"/>
        </w:rPr>
        <w:t>c.通过“政府采购云平台”成功上传递交的“电子加密投标文件”已按时解密的，“备份投标文件”自动失效。投标截止时间前，投标供应商仅递交了“备份投标文件”而未将“电子加密投标文件”成功上传至“政府采购云平台”的，投标无效。</w:t>
      </w:r>
    </w:p>
    <w:p w14:paraId="0CE2FC53">
      <w:pPr>
        <w:snapToGrid w:val="0"/>
        <w:spacing w:line="420" w:lineRule="exact"/>
        <w:ind w:firstLine="422" w:firstLineChars="200"/>
        <w:outlineLvl w:val="2"/>
        <w:rPr>
          <w:rFonts w:ascii="宋体" w:hAnsi="宋体" w:cs="宋体"/>
          <w:b/>
          <w:color w:val="auto"/>
          <w:szCs w:val="21"/>
        </w:rPr>
      </w:pPr>
      <w:r>
        <w:rPr>
          <w:rFonts w:hint="eastAsia" w:ascii="宋体" w:hAnsi="宋体" w:cs="宋体"/>
          <w:b/>
          <w:color w:val="auto"/>
          <w:szCs w:val="21"/>
        </w:rPr>
        <w:t>（八）投标无效的情形</w:t>
      </w:r>
      <w:bookmarkEnd w:id="55"/>
    </w:p>
    <w:p w14:paraId="69D837C3">
      <w:pPr>
        <w:snapToGrid w:val="0"/>
        <w:spacing w:line="420" w:lineRule="exact"/>
        <w:ind w:firstLine="420" w:firstLineChars="200"/>
        <w:jc w:val="left"/>
        <w:rPr>
          <w:rFonts w:ascii="宋体" w:hAnsi="宋体" w:cs="宋体"/>
          <w:color w:val="auto"/>
          <w:szCs w:val="21"/>
        </w:rPr>
      </w:pPr>
      <w:r>
        <w:rPr>
          <w:rFonts w:hint="eastAsia" w:ascii="宋体" w:hAnsi="宋体" w:cs="宋体"/>
          <w:color w:val="auto"/>
          <w:szCs w:val="21"/>
        </w:rPr>
        <w:t>根据《政府采购货物和服务招标投标管理办法》有下列情形之一的，视为供应商串通投标，其投标无效：</w:t>
      </w:r>
    </w:p>
    <w:p w14:paraId="199B616C">
      <w:pPr>
        <w:snapToGrid w:val="0"/>
        <w:spacing w:line="420" w:lineRule="exact"/>
        <w:ind w:firstLine="420" w:firstLineChars="200"/>
        <w:jc w:val="left"/>
        <w:rPr>
          <w:rFonts w:ascii="宋体" w:hAnsi="宋体" w:cs="宋体"/>
          <w:color w:val="auto"/>
          <w:szCs w:val="21"/>
        </w:rPr>
      </w:pPr>
      <w:r>
        <w:rPr>
          <w:rFonts w:hint="eastAsia" w:ascii="宋体" w:hAnsi="宋体" w:cs="宋体"/>
          <w:color w:val="auto"/>
          <w:szCs w:val="21"/>
        </w:rPr>
        <w:t>1</w:t>
      </w:r>
      <w:r>
        <w:rPr>
          <w:rFonts w:hint="eastAsia" w:ascii="宋体" w:hAnsi="宋体" w:cs="宋体"/>
          <w:color w:val="auto"/>
          <w:szCs w:val="21"/>
          <w:lang w:val="en-US" w:eastAsia="zh-CN"/>
        </w:rPr>
        <w:t>.</w:t>
      </w:r>
      <w:r>
        <w:rPr>
          <w:rFonts w:hint="eastAsia" w:ascii="宋体" w:hAnsi="宋体" w:cs="宋体"/>
          <w:color w:val="auto"/>
          <w:szCs w:val="21"/>
        </w:rPr>
        <w:t>不同供应商的投标文件由同一单位或者个人编制。</w:t>
      </w:r>
    </w:p>
    <w:p w14:paraId="44DA27F9">
      <w:pPr>
        <w:snapToGrid w:val="0"/>
        <w:spacing w:line="420" w:lineRule="exact"/>
        <w:ind w:firstLine="420" w:firstLineChars="200"/>
        <w:jc w:val="left"/>
        <w:rPr>
          <w:rFonts w:ascii="宋体" w:hAnsi="宋体" w:cs="宋体"/>
          <w:color w:val="auto"/>
          <w:szCs w:val="21"/>
        </w:rPr>
      </w:pPr>
      <w:r>
        <w:rPr>
          <w:rFonts w:hint="eastAsia" w:ascii="宋体" w:hAnsi="宋体" w:cs="宋体"/>
          <w:color w:val="auto"/>
          <w:szCs w:val="21"/>
        </w:rPr>
        <w:t>2</w:t>
      </w:r>
      <w:r>
        <w:rPr>
          <w:rFonts w:hint="eastAsia" w:ascii="宋体" w:hAnsi="宋体" w:cs="宋体"/>
          <w:color w:val="auto"/>
          <w:szCs w:val="21"/>
          <w:lang w:val="en-US" w:eastAsia="zh-CN"/>
        </w:rPr>
        <w:t>.</w:t>
      </w:r>
      <w:r>
        <w:rPr>
          <w:rFonts w:hint="eastAsia" w:ascii="宋体" w:hAnsi="宋体" w:cs="宋体"/>
          <w:color w:val="auto"/>
          <w:szCs w:val="21"/>
        </w:rPr>
        <w:t>不同供应商委托同一单位或者个人办理投标事宜。</w:t>
      </w:r>
    </w:p>
    <w:p w14:paraId="39547A97">
      <w:pPr>
        <w:snapToGrid w:val="0"/>
        <w:spacing w:line="420" w:lineRule="exact"/>
        <w:ind w:firstLine="420" w:firstLineChars="200"/>
        <w:jc w:val="left"/>
        <w:rPr>
          <w:rFonts w:ascii="宋体" w:hAnsi="宋体" w:cs="宋体"/>
          <w:color w:val="auto"/>
          <w:szCs w:val="21"/>
        </w:rPr>
      </w:pPr>
      <w:r>
        <w:rPr>
          <w:rFonts w:hint="eastAsia" w:ascii="宋体" w:hAnsi="宋体" w:cs="宋体"/>
          <w:color w:val="auto"/>
          <w:szCs w:val="21"/>
        </w:rPr>
        <w:t>3</w:t>
      </w:r>
      <w:r>
        <w:rPr>
          <w:rFonts w:hint="eastAsia" w:ascii="宋体" w:hAnsi="宋体" w:cs="宋体"/>
          <w:color w:val="auto"/>
          <w:szCs w:val="21"/>
          <w:lang w:val="en-US" w:eastAsia="zh-CN"/>
        </w:rPr>
        <w:t>.</w:t>
      </w:r>
      <w:r>
        <w:rPr>
          <w:rFonts w:hint="eastAsia" w:ascii="宋体" w:hAnsi="宋体" w:cs="宋体"/>
          <w:color w:val="auto"/>
          <w:szCs w:val="21"/>
        </w:rPr>
        <w:t>不同供应商的投标文件载明的项目管理成员或者联系人员为同一人。</w:t>
      </w:r>
    </w:p>
    <w:p w14:paraId="39B993FF">
      <w:pPr>
        <w:snapToGrid w:val="0"/>
        <w:spacing w:line="420" w:lineRule="exact"/>
        <w:ind w:firstLine="420" w:firstLineChars="200"/>
        <w:jc w:val="left"/>
        <w:rPr>
          <w:rFonts w:ascii="宋体" w:hAnsi="宋体" w:cs="宋体"/>
          <w:color w:val="auto"/>
          <w:szCs w:val="21"/>
        </w:rPr>
      </w:pPr>
      <w:r>
        <w:rPr>
          <w:rFonts w:hint="eastAsia" w:ascii="宋体" w:hAnsi="宋体" w:cs="宋体"/>
          <w:color w:val="auto"/>
          <w:szCs w:val="21"/>
        </w:rPr>
        <w:t>4</w:t>
      </w:r>
      <w:r>
        <w:rPr>
          <w:rFonts w:hint="eastAsia" w:ascii="宋体" w:hAnsi="宋体" w:cs="宋体"/>
          <w:color w:val="auto"/>
          <w:szCs w:val="21"/>
          <w:lang w:val="en-US" w:eastAsia="zh-CN"/>
        </w:rPr>
        <w:t>.</w:t>
      </w:r>
      <w:r>
        <w:rPr>
          <w:rFonts w:hint="eastAsia" w:ascii="宋体" w:hAnsi="宋体" w:cs="宋体"/>
          <w:color w:val="auto"/>
          <w:szCs w:val="21"/>
        </w:rPr>
        <w:t>不同供应商的投标文件异常一致或者投标报价呈规律性差异。</w:t>
      </w:r>
    </w:p>
    <w:p w14:paraId="36A87BFA">
      <w:pPr>
        <w:snapToGrid w:val="0"/>
        <w:spacing w:line="420" w:lineRule="exact"/>
        <w:ind w:firstLine="420" w:firstLineChars="200"/>
        <w:jc w:val="left"/>
        <w:rPr>
          <w:rFonts w:ascii="宋体" w:hAnsi="宋体" w:cs="宋体"/>
          <w:color w:val="auto"/>
          <w:szCs w:val="21"/>
        </w:rPr>
      </w:pPr>
      <w:r>
        <w:rPr>
          <w:rFonts w:hint="eastAsia" w:ascii="宋体" w:hAnsi="宋体" w:cs="宋体"/>
          <w:color w:val="auto"/>
          <w:szCs w:val="21"/>
        </w:rPr>
        <w:t>5</w:t>
      </w:r>
      <w:r>
        <w:rPr>
          <w:rFonts w:hint="eastAsia" w:ascii="宋体" w:hAnsi="宋体" w:cs="宋体"/>
          <w:color w:val="auto"/>
          <w:szCs w:val="21"/>
          <w:lang w:val="en-US" w:eastAsia="zh-CN"/>
        </w:rPr>
        <w:t>.</w:t>
      </w:r>
      <w:r>
        <w:rPr>
          <w:rFonts w:hint="eastAsia" w:ascii="宋体" w:hAnsi="宋体" w:cs="宋体"/>
          <w:color w:val="auto"/>
          <w:szCs w:val="21"/>
        </w:rPr>
        <w:t>不同供应商的投标文件相互混装。</w:t>
      </w:r>
    </w:p>
    <w:p w14:paraId="15A70343">
      <w:pPr>
        <w:snapToGrid w:val="0"/>
        <w:spacing w:line="420" w:lineRule="exact"/>
        <w:ind w:firstLine="422" w:firstLineChars="200"/>
        <w:rPr>
          <w:rFonts w:ascii="宋体" w:hAnsi="宋体" w:cs="宋体"/>
          <w:b/>
          <w:color w:val="auto"/>
          <w:szCs w:val="21"/>
        </w:rPr>
      </w:pPr>
      <w:r>
        <w:rPr>
          <w:rFonts w:hint="eastAsia" w:ascii="宋体" w:hAnsi="宋体" w:cs="宋体"/>
          <w:b/>
          <w:color w:val="auto"/>
          <w:szCs w:val="21"/>
        </w:rPr>
        <w:t>实质上没有响应采购文件要求的投标将被视为无效投标：</w:t>
      </w:r>
    </w:p>
    <w:p w14:paraId="3B9B3AB1">
      <w:pPr>
        <w:snapToGrid w:val="0"/>
        <w:spacing w:line="420" w:lineRule="exact"/>
        <w:ind w:firstLine="422" w:firstLineChars="200"/>
        <w:rPr>
          <w:rFonts w:ascii="宋体" w:hAnsi="宋体" w:cs="宋体"/>
          <w:b/>
          <w:bCs/>
          <w:color w:val="auto"/>
          <w:szCs w:val="21"/>
        </w:rPr>
      </w:pPr>
      <w:r>
        <w:rPr>
          <w:rFonts w:hint="eastAsia" w:ascii="宋体" w:hAnsi="宋体" w:cs="宋体"/>
          <w:b/>
          <w:bCs/>
          <w:color w:val="auto"/>
          <w:szCs w:val="21"/>
        </w:rPr>
        <w:t>1</w:t>
      </w:r>
      <w:r>
        <w:rPr>
          <w:rFonts w:hint="eastAsia" w:ascii="宋体" w:hAnsi="宋体" w:cs="宋体"/>
          <w:b/>
          <w:bCs/>
          <w:color w:val="auto"/>
          <w:szCs w:val="21"/>
          <w:lang w:val="en-US" w:eastAsia="zh-CN"/>
        </w:rPr>
        <w:t>.</w:t>
      </w:r>
      <w:r>
        <w:rPr>
          <w:rFonts w:hint="eastAsia" w:ascii="宋体" w:hAnsi="宋体" w:cs="宋体"/>
          <w:b/>
          <w:bCs/>
          <w:color w:val="auto"/>
          <w:szCs w:val="21"/>
        </w:rPr>
        <w:t>电子投标文件解密失败的，且未在规定时间内提交备份投标文件的。</w:t>
      </w:r>
    </w:p>
    <w:p w14:paraId="2A57A4A8">
      <w:pPr>
        <w:snapToGrid w:val="0"/>
        <w:spacing w:line="420" w:lineRule="exact"/>
        <w:ind w:firstLine="422" w:firstLineChars="200"/>
        <w:rPr>
          <w:rFonts w:ascii="宋体" w:hAnsi="宋体" w:cs="宋体"/>
          <w:b/>
          <w:bCs/>
          <w:color w:val="auto"/>
          <w:szCs w:val="21"/>
        </w:rPr>
      </w:pPr>
      <w:r>
        <w:rPr>
          <w:rFonts w:hint="eastAsia" w:ascii="宋体" w:hAnsi="宋体" w:cs="宋体"/>
          <w:b/>
          <w:bCs/>
          <w:color w:val="auto"/>
          <w:szCs w:val="21"/>
        </w:rPr>
        <w:t>2</w:t>
      </w:r>
      <w:r>
        <w:rPr>
          <w:rFonts w:hint="eastAsia" w:ascii="宋体" w:hAnsi="宋体" w:cs="宋体"/>
          <w:b/>
          <w:bCs/>
          <w:color w:val="auto"/>
          <w:szCs w:val="21"/>
          <w:lang w:val="en-US" w:eastAsia="zh-CN"/>
        </w:rPr>
        <w:t>.</w:t>
      </w:r>
      <w:r>
        <w:rPr>
          <w:rFonts w:hint="eastAsia" w:ascii="宋体" w:hAnsi="宋体" w:cs="宋体"/>
          <w:b/>
          <w:bCs/>
          <w:color w:val="auto"/>
          <w:szCs w:val="21"/>
        </w:rPr>
        <w:t>没有通过资格审查的，投标文件将被视为无效。</w:t>
      </w:r>
    </w:p>
    <w:p w14:paraId="4084FC0F">
      <w:pPr>
        <w:snapToGrid w:val="0"/>
        <w:spacing w:line="420" w:lineRule="exact"/>
        <w:ind w:firstLine="422" w:firstLineChars="200"/>
        <w:rPr>
          <w:rFonts w:ascii="宋体" w:hAnsi="宋体" w:cs="宋体"/>
          <w:b/>
          <w:bCs/>
          <w:color w:val="auto"/>
          <w:szCs w:val="21"/>
        </w:rPr>
      </w:pPr>
      <w:r>
        <w:rPr>
          <w:rFonts w:hint="eastAsia" w:ascii="宋体" w:hAnsi="宋体" w:cs="宋体"/>
          <w:b/>
          <w:bCs/>
          <w:color w:val="auto"/>
          <w:szCs w:val="21"/>
        </w:rPr>
        <w:t>3</w:t>
      </w:r>
      <w:r>
        <w:rPr>
          <w:rFonts w:hint="eastAsia" w:ascii="宋体" w:hAnsi="宋体" w:cs="宋体"/>
          <w:b/>
          <w:bCs/>
          <w:color w:val="auto"/>
          <w:szCs w:val="21"/>
          <w:lang w:val="en-US" w:eastAsia="zh-CN"/>
        </w:rPr>
        <w:t>.</w:t>
      </w:r>
      <w:r>
        <w:rPr>
          <w:rFonts w:hint="eastAsia" w:ascii="宋体" w:hAnsi="宋体" w:cs="宋体"/>
          <w:b/>
          <w:bCs/>
          <w:color w:val="auto"/>
          <w:szCs w:val="21"/>
        </w:rPr>
        <w:t>在符合性审查和商务评审时，如发现下列情形之一的，投标文件将被视为无效：</w:t>
      </w:r>
    </w:p>
    <w:p w14:paraId="1A8EA7C1">
      <w:pPr>
        <w:snapToGrid w:val="0"/>
        <w:spacing w:line="420" w:lineRule="exact"/>
        <w:ind w:firstLine="420" w:firstLineChars="200"/>
        <w:rPr>
          <w:rFonts w:ascii="宋体" w:hAnsi="宋体" w:cs="宋体"/>
          <w:color w:val="auto"/>
          <w:szCs w:val="21"/>
          <w:highlight w:val="none"/>
        </w:rPr>
      </w:pPr>
      <w:r>
        <w:rPr>
          <w:rFonts w:hint="eastAsia" w:ascii="宋体" w:hAnsi="宋体" w:cs="宋体"/>
          <w:bCs/>
          <w:color w:val="auto"/>
          <w:szCs w:val="21"/>
          <w:highlight w:val="none"/>
        </w:rPr>
        <w:t>（1）</w:t>
      </w:r>
      <w:r>
        <w:rPr>
          <w:rFonts w:hint="eastAsia" w:ascii="宋体" w:hAnsi="宋体" w:cs="宋体"/>
          <w:color w:val="auto"/>
          <w:szCs w:val="21"/>
          <w:highlight w:val="none"/>
        </w:rPr>
        <w:t>电子投标文件未按规定要求提供电子签章的；</w:t>
      </w:r>
    </w:p>
    <w:p w14:paraId="5C89BC38">
      <w:pPr>
        <w:snapToGrid w:val="0"/>
        <w:spacing w:line="4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（2）单位负责人为同一人或者存在直接控股、管理关系的不同供应商参加同一合同项下的政府采购活动；</w:t>
      </w:r>
    </w:p>
    <w:p w14:paraId="1E650546">
      <w:pPr>
        <w:snapToGrid w:val="0"/>
        <w:spacing w:line="420" w:lineRule="exact"/>
        <w:ind w:firstLine="420" w:firstLineChars="200"/>
        <w:rPr>
          <w:rFonts w:ascii="宋体" w:hAnsi="宋体" w:cs="宋体"/>
          <w:bCs/>
          <w:color w:val="auto"/>
          <w:kern w:val="0"/>
          <w:szCs w:val="21"/>
          <w:highlight w:val="none"/>
        </w:rPr>
      </w:pPr>
      <w:r>
        <w:rPr>
          <w:rFonts w:hint="eastAsia" w:ascii="宋体" w:hAnsi="宋体" w:cs="宋体"/>
          <w:color w:val="auto"/>
          <w:szCs w:val="21"/>
          <w:highlight w:val="none"/>
        </w:rPr>
        <w:t>（3）投标文件无法定代表人签字（或盖章）,或未</w:t>
      </w:r>
      <w:r>
        <w:rPr>
          <w:rFonts w:hint="eastAsia" w:ascii="宋体" w:hAnsi="宋体" w:cs="宋体"/>
          <w:bCs/>
          <w:color w:val="auto"/>
          <w:kern w:val="0"/>
          <w:szCs w:val="21"/>
          <w:highlight w:val="none"/>
        </w:rPr>
        <w:t>提供法定代表人授权委托书、投标声明书或者填写项目不齐全的；</w:t>
      </w:r>
    </w:p>
    <w:p w14:paraId="4B753934">
      <w:pPr>
        <w:pStyle w:val="13"/>
        <w:snapToGrid w:val="0"/>
        <w:spacing w:line="420" w:lineRule="exact"/>
        <w:ind w:firstLine="420"/>
        <w:rPr>
          <w:rFonts w:ascii="宋体" w:hAnsi="宋体" w:cs="宋体"/>
          <w:snapToGrid w:val="0"/>
          <w:color w:val="auto"/>
          <w:sz w:val="21"/>
          <w:szCs w:val="21"/>
          <w:highlight w:val="none"/>
        </w:rPr>
      </w:pPr>
      <w:r>
        <w:rPr>
          <w:rFonts w:hint="eastAsia" w:ascii="宋体" w:hAnsi="宋体" w:cs="宋体"/>
          <w:color w:val="auto"/>
          <w:sz w:val="21"/>
          <w:szCs w:val="21"/>
          <w:highlight w:val="none"/>
        </w:rPr>
        <w:t>（</w:t>
      </w:r>
      <w:r>
        <w:rPr>
          <w:rFonts w:hint="eastAsia" w:ascii="宋体" w:hAnsi="宋体" w:cs="宋体"/>
          <w:snapToGrid w:val="0"/>
          <w:color w:val="auto"/>
          <w:sz w:val="21"/>
          <w:szCs w:val="21"/>
          <w:highlight w:val="none"/>
        </w:rPr>
        <w:t>4）</w:t>
      </w:r>
      <w:r>
        <w:rPr>
          <w:rFonts w:hint="eastAsia" w:ascii="宋体" w:hAnsi="宋体" w:cs="宋体"/>
          <w:color w:val="auto"/>
          <w:sz w:val="21"/>
          <w:szCs w:val="21"/>
          <w:highlight w:val="none"/>
        </w:rPr>
        <w:t>投标文件格式不规范、项目不齐全或者内容虚假的；</w:t>
      </w:r>
    </w:p>
    <w:p w14:paraId="1877AC03">
      <w:pPr>
        <w:pStyle w:val="13"/>
        <w:snapToGrid w:val="0"/>
        <w:spacing w:line="420" w:lineRule="exact"/>
        <w:ind w:firstLine="420"/>
        <w:rPr>
          <w:rFonts w:ascii="宋体" w:hAnsi="宋体" w:cs="宋体"/>
          <w:snapToGrid w:val="0"/>
          <w:color w:val="auto"/>
          <w:sz w:val="21"/>
          <w:szCs w:val="21"/>
          <w:highlight w:val="none"/>
        </w:rPr>
      </w:pPr>
      <w:r>
        <w:rPr>
          <w:rFonts w:hint="eastAsia" w:ascii="宋体" w:hAnsi="宋体" w:cs="宋体"/>
          <w:color w:val="auto"/>
          <w:sz w:val="21"/>
          <w:szCs w:val="21"/>
          <w:highlight w:val="none"/>
        </w:rPr>
        <w:t>（5）投标文件的实质性内容未使用中文表述、意思表述不明确、前后矛盾或者使用计量单位不符合招标文件要求的（经评标委员会认定并允许其当场更正的笔误除外）；</w:t>
      </w:r>
    </w:p>
    <w:p w14:paraId="4E7BAB27">
      <w:pPr>
        <w:pStyle w:val="13"/>
        <w:snapToGrid w:val="0"/>
        <w:spacing w:line="420" w:lineRule="exact"/>
        <w:ind w:firstLine="420"/>
        <w:rPr>
          <w:rFonts w:ascii="宋体" w:hAnsi="宋体" w:cs="宋体"/>
          <w:snapToGrid w:val="0"/>
          <w:color w:val="auto"/>
          <w:sz w:val="21"/>
          <w:szCs w:val="21"/>
          <w:highlight w:val="none"/>
        </w:rPr>
      </w:pPr>
      <w:r>
        <w:rPr>
          <w:rFonts w:hint="eastAsia" w:ascii="宋体" w:hAnsi="宋体" w:cs="宋体"/>
          <w:color w:val="auto"/>
          <w:sz w:val="21"/>
          <w:szCs w:val="21"/>
          <w:highlight w:val="none"/>
        </w:rPr>
        <w:t>（</w:t>
      </w:r>
      <w:r>
        <w:rPr>
          <w:rFonts w:hint="eastAsia" w:ascii="宋体" w:hAnsi="宋体" w:cs="宋体"/>
          <w:snapToGrid w:val="0"/>
          <w:color w:val="auto"/>
          <w:sz w:val="21"/>
          <w:szCs w:val="21"/>
          <w:highlight w:val="none"/>
        </w:rPr>
        <w:t>6）投标有效期、工期、质保期等商务条款不能满足招标文件要求的；</w:t>
      </w:r>
    </w:p>
    <w:p w14:paraId="09FBCF1B">
      <w:pPr>
        <w:pStyle w:val="13"/>
        <w:snapToGrid w:val="0"/>
        <w:spacing w:line="420" w:lineRule="exact"/>
        <w:ind w:firstLine="420"/>
        <w:rPr>
          <w:rFonts w:ascii="宋体" w:hAnsi="宋体" w:cs="宋体"/>
          <w:color w:val="auto"/>
          <w:sz w:val="21"/>
          <w:szCs w:val="21"/>
          <w:highlight w:val="none"/>
        </w:rPr>
      </w:pPr>
      <w:r>
        <w:rPr>
          <w:rFonts w:hint="eastAsia" w:ascii="宋体" w:hAnsi="宋体" w:cs="宋体"/>
          <w:color w:val="auto"/>
          <w:sz w:val="21"/>
          <w:szCs w:val="21"/>
          <w:highlight w:val="none"/>
        </w:rPr>
        <w:t>（7）未实质性响应招标文件要求或者投标文件有招标方不能接受的附加条件的；</w:t>
      </w:r>
    </w:p>
    <w:p w14:paraId="6123E719">
      <w:pPr>
        <w:snapToGrid w:val="0"/>
        <w:spacing w:line="420" w:lineRule="exact"/>
        <w:ind w:firstLine="420" w:firstLineChars="200"/>
        <w:rPr>
          <w:rFonts w:ascii="宋体" w:hAnsi="宋体"/>
          <w:color w:val="auto"/>
          <w:sz w:val="21"/>
          <w:szCs w:val="21"/>
        </w:rPr>
      </w:pPr>
      <w:r>
        <w:rPr>
          <w:rFonts w:hint="eastAsia" w:ascii="宋体" w:hAnsi="宋体" w:cs="宋体"/>
          <w:color w:val="auto"/>
          <w:sz w:val="21"/>
          <w:szCs w:val="21"/>
          <w:highlight w:val="none"/>
        </w:rPr>
        <w:t>（8）不符合法律法规的相关规定。</w:t>
      </w:r>
      <w:bookmarkStart w:id="56" w:name="_Toc33535369"/>
    </w:p>
    <w:p w14:paraId="1062F189">
      <w:pPr>
        <w:pStyle w:val="13"/>
        <w:snapToGrid w:val="0"/>
        <w:spacing w:line="420" w:lineRule="exact"/>
        <w:ind w:firstLine="422"/>
        <w:rPr>
          <w:rFonts w:ascii="宋体" w:hAnsi="宋体"/>
          <w:b/>
          <w:bCs/>
          <w:color w:val="auto"/>
          <w:sz w:val="21"/>
          <w:szCs w:val="21"/>
        </w:rPr>
      </w:pPr>
      <w:r>
        <w:rPr>
          <w:rFonts w:hint="eastAsia" w:ascii="宋体" w:hAnsi="宋体"/>
          <w:b/>
          <w:bCs/>
          <w:color w:val="auto"/>
          <w:sz w:val="21"/>
          <w:szCs w:val="21"/>
        </w:rPr>
        <w:t>4</w:t>
      </w:r>
      <w:r>
        <w:rPr>
          <w:rFonts w:hint="eastAsia" w:ascii="宋体" w:hAnsi="宋体"/>
          <w:b/>
          <w:bCs/>
          <w:color w:val="auto"/>
          <w:sz w:val="21"/>
          <w:szCs w:val="21"/>
          <w:lang w:val="en-US" w:eastAsia="zh-CN"/>
        </w:rPr>
        <w:t>.</w:t>
      </w:r>
      <w:r>
        <w:rPr>
          <w:rFonts w:hint="eastAsia" w:ascii="宋体" w:hAnsi="宋体"/>
          <w:b/>
          <w:bCs/>
          <w:color w:val="auto"/>
          <w:sz w:val="21"/>
          <w:szCs w:val="21"/>
        </w:rPr>
        <w:t>在技术评审时，如发现下列情形之一的，投标文件将被视为无效：</w:t>
      </w:r>
    </w:p>
    <w:p w14:paraId="15724A7E">
      <w:pPr>
        <w:pStyle w:val="13"/>
        <w:snapToGrid w:val="0"/>
        <w:spacing w:line="420" w:lineRule="exact"/>
        <w:ind w:firstLine="420"/>
        <w:rPr>
          <w:rFonts w:ascii="宋体" w:hAnsi="宋体"/>
          <w:color w:val="auto"/>
          <w:sz w:val="21"/>
          <w:szCs w:val="21"/>
        </w:rPr>
      </w:pPr>
      <w:r>
        <w:rPr>
          <w:rFonts w:hint="eastAsia" w:ascii="宋体" w:hAnsi="宋体"/>
          <w:color w:val="auto"/>
          <w:sz w:val="21"/>
          <w:szCs w:val="21"/>
        </w:rPr>
        <w:t>（1）未提供或未如实提供投标货物的技术参数，或者投标文件标明的响应或偏离与事实不符或虚假投标的；</w:t>
      </w:r>
    </w:p>
    <w:p w14:paraId="6CC74404">
      <w:pPr>
        <w:pStyle w:val="13"/>
        <w:snapToGrid w:val="0"/>
        <w:spacing w:line="420" w:lineRule="exact"/>
        <w:ind w:firstLine="420"/>
        <w:rPr>
          <w:rFonts w:ascii="宋体" w:hAnsi="宋体"/>
          <w:color w:val="auto"/>
          <w:sz w:val="21"/>
          <w:szCs w:val="21"/>
        </w:rPr>
      </w:pPr>
      <w:r>
        <w:rPr>
          <w:rFonts w:hint="eastAsia" w:ascii="宋体" w:hAnsi="宋体"/>
          <w:color w:val="auto"/>
          <w:sz w:val="21"/>
          <w:szCs w:val="21"/>
        </w:rPr>
        <w:t>（2）</w:t>
      </w:r>
      <w:r>
        <w:rPr>
          <w:rFonts w:hint="eastAsia" w:ascii="宋体" w:hAnsi="宋体"/>
          <w:snapToGrid w:val="0"/>
          <w:color w:val="auto"/>
          <w:sz w:val="21"/>
          <w:szCs w:val="21"/>
        </w:rPr>
        <w:t>明显不符合采购文件要求的规格型号、质量标准，或者与</w:t>
      </w:r>
      <w:r>
        <w:rPr>
          <w:rFonts w:hint="eastAsia" w:ascii="宋体" w:hAnsi="宋体"/>
          <w:color w:val="auto"/>
          <w:sz w:val="21"/>
          <w:szCs w:val="21"/>
        </w:rPr>
        <w:t>采购文件中标“</w:t>
      </w:r>
      <w:r>
        <w:rPr>
          <w:rFonts w:hint="eastAsia" w:ascii="宋体" w:hAnsi="宋体" w:cs="宋体"/>
          <w:color w:val="auto"/>
          <w:kern w:val="0"/>
          <w:sz w:val="20"/>
          <w:szCs w:val="20"/>
          <w:highlight w:val="none"/>
        </w:rPr>
        <w:t>▲</w:t>
      </w:r>
      <w:r>
        <w:rPr>
          <w:rFonts w:hint="eastAsia" w:ascii="宋体" w:hAnsi="宋体"/>
          <w:color w:val="auto"/>
          <w:sz w:val="21"/>
          <w:szCs w:val="21"/>
        </w:rPr>
        <w:t>”的技术指标、主要功能项目发生实质性偏离的；</w:t>
      </w:r>
    </w:p>
    <w:p w14:paraId="4FAEEEDF">
      <w:pPr>
        <w:pStyle w:val="13"/>
        <w:snapToGrid w:val="0"/>
        <w:spacing w:line="420" w:lineRule="exact"/>
        <w:ind w:firstLine="420"/>
        <w:rPr>
          <w:rFonts w:ascii="宋体" w:hAnsi="宋体"/>
          <w:color w:val="auto"/>
          <w:sz w:val="21"/>
          <w:szCs w:val="21"/>
        </w:rPr>
      </w:pPr>
      <w:r>
        <w:rPr>
          <w:rFonts w:hint="eastAsia" w:ascii="宋体" w:hAnsi="宋体"/>
          <w:snapToGrid w:val="0"/>
          <w:color w:val="auto"/>
          <w:sz w:val="21"/>
          <w:szCs w:val="21"/>
        </w:rPr>
        <w:t>（3）</w:t>
      </w:r>
      <w:r>
        <w:rPr>
          <w:rFonts w:hint="eastAsia" w:ascii="宋体" w:hAnsi="宋体"/>
          <w:color w:val="auto"/>
          <w:sz w:val="21"/>
          <w:szCs w:val="21"/>
        </w:rPr>
        <w:t>投标技术方案不明确，存在一个或一个以上备选（替代）投标方案的；</w:t>
      </w:r>
    </w:p>
    <w:p w14:paraId="1CC02EF1">
      <w:pPr>
        <w:pStyle w:val="13"/>
        <w:snapToGrid w:val="0"/>
        <w:spacing w:line="420" w:lineRule="exact"/>
        <w:ind w:firstLine="420"/>
        <w:rPr>
          <w:rFonts w:ascii="宋体" w:hAnsi="宋体"/>
          <w:color w:val="auto"/>
          <w:sz w:val="21"/>
          <w:szCs w:val="21"/>
        </w:rPr>
      </w:pPr>
      <w:r>
        <w:rPr>
          <w:rFonts w:hint="eastAsia" w:ascii="宋体" w:hAnsi="宋体"/>
          <w:color w:val="auto"/>
          <w:sz w:val="21"/>
          <w:szCs w:val="21"/>
        </w:rPr>
        <w:t>（</w:t>
      </w:r>
      <w:r>
        <w:rPr>
          <w:rFonts w:hint="eastAsia" w:ascii="宋体" w:hAnsi="宋体"/>
          <w:snapToGrid w:val="0"/>
          <w:color w:val="auto"/>
          <w:sz w:val="21"/>
          <w:szCs w:val="21"/>
        </w:rPr>
        <w:t>4）</w:t>
      </w:r>
      <w:r>
        <w:rPr>
          <w:rFonts w:hint="eastAsia" w:ascii="宋体" w:hAnsi="宋体"/>
          <w:color w:val="auto"/>
          <w:sz w:val="21"/>
          <w:szCs w:val="21"/>
        </w:rPr>
        <w:t>未实质性响应采购文件要求或者投标文件有采购方不能接受的附加条件的。</w:t>
      </w:r>
    </w:p>
    <w:p w14:paraId="22CEFDBB">
      <w:pPr>
        <w:pStyle w:val="13"/>
        <w:snapToGrid w:val="0"/>
        <w:spacing w:line="420" w:lineRule="exact"/>
        <w:ind w:firstLine="422"/>
        <w:rPr>
          <w:rFonts w:ascii="宋体" w:hAnsi="宋体"/>
          <w:b/>
          <w:bCs/>
          <w:color w:val="auto"/>
          <w:sz w:val="21"/>
          <w:szCs w:val="21"/>
        </w:rPr>
      </w:pPr>
      <w:r>
        <w:rPr>
          <w:rFonts w:hint="eastAsia" w:ascii="宋体" w:hAnsi="宋体"/>
          <w:b/>
          <w:bCs/>
          <w:color w:val="auto"/>
          <w:sz w:val="21"/>
          <w:szCs w:val="21"/>
        </w:rPr>
        <w:t>5</w:t>
      </w:r>
      <w:r>
        <w:rPr>
          <w:rFonts w:hint="eastAsia" w:ascii="宋体" w:hAnsi="宋体"/>
          <w:b/>
          <w:bCs/>
          <w:color w:val="auto"/>
          <w:sz w:val="21"/>
          <w:szCs w:val="21"/>
          <w:lang w:val="en-US" w:eastAsia="zh-CN"/>
        </w:rPr>
        <w:t>.</w:t>
      </w:r>
      <w:r>
        <w:rPr>
          <w:rFonts w:hint="eastAsia" w:ascii="宋体" w:hAnsi="宋体"/>
          <w:b/>
          <w:bCs/>
          <w:color w:val="auto"/>
          <w:sz w:val="21"/>
          <w:szCs w:val="21"/>
        </w:rPr>
        <w:t>在报价评审时，如发现下列情形之一的，投标文件将被视为无效：</w:t>
      </w:r>
    </w:p>
    <w:p w14:paraId="58BB2C36">
      <w:pPr>
        <w:pStyle w:val="13"/>
        <w:snapToGrid w:val="0"/>
        <w:spacing w:line="420" w:lineRule="exact"/>
        <w:ind w:firstLine="420"/>
        <w:rPr>
          <w:rFonts w:ascii="宋体" w:hAnsi="宋体"/>
          <w:color w:val="auto"/>
          <w:sz w:val="21"/>
          <w:szCs w:val="21"/>
        </w:rPr>
      </w:pPr>
      <w:r>
        <w:rPr>
          <w:rFonts w:hint="eastAsia" w:ascii="宋体" w:hAnsi="宋体"/>
          <w:color w:val="auto"/>
          <w:sz w:val="21"/>
          <w:szCs w:val="21"/>
        </w:rPr>
        <w:t>（1）未采用人民币报价或者未按照采购文件标明的币种报价的；</w:t>
      </w:r>
    </w:p>
    <w:p w14:paraId="5E281E3F">
      <w:pPr>
        <w:pStyle w:val="13"/>
        <w:snapToGrid w:val="0"/>
        <w:spacing w:line="420" w:lineRule="exact"/>
        <w:ind w:firstLine="420"/>
        <w:rPr>
          <w:rFonts w:ascii="宋体" w:hAnsi="宋体"/>
          <w:color w:val="auto"/>
          <w:sz w:val="21"/>
          <w:szCs w:val="21"/>
        </w:rPr>
      </w:pPr>
      <w:r>
        <w:rPr>
          <w:rFonts w:hint="eastAsia" w:ascii="宋体" w:hAnsi="宋体"/>
          <w:color w:val="auto"/>
          <w:sz w:val="21"/>
          <w:szCs w:val="21"/>
        </w:rPr>
        <w:t>（2）报价超出最高限价的；</w:t>
      </w:r>
    </w:p>
    <w:p w14:paraId="78AB4F87">
      <w:pPr>
        <w:pStyle w:val="13"/>
        <w:snapToGrid w:val="0"/>
        <w:spacing w:line="420" w:lineRule="exact"/>
        <w:ind w:firstLine="420"/>
        <w:rPr>
          <w:rFonts w:ascii="宋体" w:hAnsi="宋体"/>
          <w:color w:val="auto"/>
          <w:sz w:val="21"/>
          <w:szCs w:val="21"/>
        </w:rPr>
      </w:pPr>
      <w:r>
        <w:rPr>
          <w:rFonts w:hint="eastAsia" w:ascii="宋体" w:hAnsi="宋体"/>
          <w:color w:val="auto"/>
          <w:sz w:val="21"/>
          <w:szCs w:val="21"/>
        </w:rPr>
        <w:t>（3）投标报价具有选择性，或者开标价格与投标文件承诺的优惠（折扣）价格不一致的；</w:t>
      </w:r>
    </w:p>
    <w:p w14:paraId="679189E6">
      <w:pPr>
        <w:pStyle w:val="13"/>
        <w:snapToGrid w:val="0"/>
        <w:spacing w:line="420" w:lineRule="exact"/>
        <w:ind w:firstLine="420"/>
        <w:rPr>
          <w:rFonts w:ascii="宋体" w:hAnsi="宋体"/>
          <w:color w:val="auto"/>
          <w:sz w:val="21"/>
          <w:szCs w:val="21"/>
        </w:rPr>
      </w:pPr>
      <w:r>
        <w:rPr>
          <w:rFonts w:hint="eastAsia" w:ascii="宋体" w:hAnsi="宋体"/>
          <w:color w:val="auto"/>
          <w:sz w:val="21"/>
          <w:szCs w:val="21"/>
        </w:rPr>
        <w:t>（</w:t>
      </w:r>
      <w:r>
        <w:rPr>
          <w:rFonts w:hint="eastAsia" w:ascii="宋体" w:hAnsi="宋体"/>
          <w:snapToGrid w:val="0"/>
          <w:color w:val="auto"/>
          <w:sz w:val="21"/>
          <w:szCs w:val="21"/>
        </w:rPr>
        <w:t>4）</w:t>
      </w:r>
      <w:r>
        <w:rPr>
          <w:rFonts w:hint="eastAsia" w:ascii="宋体" w:hAnsi="宋体"/>
          <w:color w:val="auto"/>
          <w:sz w:val="21"/>
          <w:szCs w:val="21"/>
        </w:rPr>
        <w:t>未实质性响应采购文件要求或者投标文件有采购方不能接受的附加条件的。</w:t>
      </w:r>
    </w:p>
    <w:p w14:paraId="645F9872">
      <w:pPr>
        <w:pStyle w:val="13"/>
        <w:snapToGrid w:val="0"/>
        <w:spacing w:line="420" w:lineRule="exact"/>
        <w:ind w:firstLine="422"/>
        <w:rPr>
          <w:rFonts w:ascii="宋体" w:hAnsi="宋体"/>
          <w:b/>
          <w:snapToGrid w:val="0"/>
          <w:color w:val="auto"/>
          <w:sz w:val="21"/>
          <w:szCs w:val="21"/>
        </w:rPr>
      </w:pPr>
      <w:r>
        <w:rPr>
          <w:rFonts w:hint="eastAsia" w:ascii="宋体" w:hAnsi="宋体"/>
          <w:b/>
          <w:color w:val="auto"/>
          <w:sz w:val="21"/>
          <w:szCs w:val="21"/>
        </w:rPr>
        <w:t>6</w:t>
      </w:r>
      <w:r>
        <w:rPr>
          <w:rFonts w:hint="eastAsia" w:ascii="宋体" w:hAnsi="宋体"/>
          <w:b/>
          <w:color w:val="auto"/>
          <w:sz w:val="21"/>
          <w:szCs w:val="21"/>
          <w:lang w:val="en-US" w:eastAsia="zh-CN"/>
        </w:rPr>
        <w:t>.</w:t>
      </w:r>
      <w:r>
        <w:rPr>
          <w:rFonts w:hint="eastAsia" w:ascii="宋体" w:hAnsi="宋体"/>
          <w:b/>
          <w:color w:val="auto"/>
          <w:sz w:val="21"/>
          <w:szCs w:val="21"/>
        </w:rPr>
        <w:t>被拒绝的投标文件为无效。</w:t>
      </w:r>
    </w:p>
    <w:p w14:paraId="20DC2994">
      <w:pPr>
        <w:pStyle w:val="13"/>
        <w:snapToGrid w:val="0"/>
        <w:spacing w:line="420" w:lineRule="exact"/>
        <w:ind w:firstLine="413" w:firstLineChars="196"/>
        <w:jc w:val="center"/>
        <w:outlineLvl w:val="1"/>
        <w:rPr>
          <w:rFonts w:ascii="宋体" w:hAnsi="宋体"/>
          <w:b/>
          <w:color w:val="auto"/>
          <w:sz w:val="21"/>
          <w:szCs w:val="21"/>
        </w:rPr>
      </w:pPr>
    </w:p>
    <w:p w14:paraId="0212BF43">
      <w:pPr>
        <w:pStyle w:val="13"/>
        <w:snapToGrid w:val="0"/>
        <w:spacing w:line="420" w:lineRule="exact"/>
        <w:ind w:firstLine="551" w:firstLineChars="196"/>
        <w:jc w:val="center"/>
        <w:outlineLvl w:val="1"/>
        <w:rPr>
          <w:rFonts w:ascii="宋体" w:hAnsi="宋体"/>
          <w:b/>
          <w:snapToGrid w:val="0"/>
          <w:color w:val="auto"/>
          <w:szCs w:val="28"/>
        </w:rPr>
      </w:pPr>
      <w:r>
        <w:rPr>
          <w:rFonts w:hint="eastAsia" w:ascii="宋体" w:hAnsi="宋体"/>
          <w:b/>
          <w:color w:val="auto"/>
          <w:szCs w:val="28"/>
        </w:rPr>
        <w:t>四、开标</w:t>
      </w:r>
      <w:bookmarkEnd w:id="56"/>
    </w:p>
    <w:p w14:paraId="3DC79BD8">
      <w:pPr>
        <w:pStyle w:val="15"/>
        <w:snapToGrid w:val="0"/>
        <w:spacing w:line="440" w:lineRule="exact"/>
        <w:ind w:firstLine="422" w:firstLineChars="200"/>
        <w:rPr>
          <w:rFonts w:hAnsi="宋体"/>
          <w:b/>
          <w:bCs/>
          <w:color w:val="auto"/>
          <w:szCs w:val="21"/>
        </w:rPr>
      </w:pPr>
      <w:r>
        <w:rPr>
          <w:rFonts w:hint="eastAsia" w:hAnsi="宋体"/>
          <w:b/>
          <w:bCs/>
          <w:color w:val="auto"/>
          <w:szCs w:val="21"/>
        </w:rPr>
        <w:t>（一）开标准备</w:t>
      </w:r>
    </w:p>
    <w:p w14:paraId="1F42872B">
      <w:pPr>
        <w:pStyle w:val="15"/>
        <w:snapToGrid w:val="0"/>
        <w:spacing w:line="440" w:lineRule="exact"/>
        <w:ind w:firstLine="420" w:firstLineChars="200"/>
        <w:rPr>
          <w:rFonts w:hAnsi="宋体"/>
          <w:bCs/>
          <w:color w:val="auto"/>
          <w:szCs w:val="21"/>
        </w:rPr>
      </w:pPr>
      <w:r>
        <w:rPr>
          <w:rFonts w:hint="eastAsia" w:hAnsi="宋体"/>
          <w:bCs/>
          <w:color w:val="auto"/>
          <w:szCs w:val="21"/>
        </w:rPr>
        <w:t>1</w:t>
      </w:r>
      <w:r>
        <w:rPr>
          <w:rFonts w:hint="eastAsia" w:hAnsi="宋体"/>
          <w:bCs/>
          <w:color w:val="auto"/>
          <w:szCs w:val="21"/>
          <w:lang w:val="en-US" w:eastAsia="zh-CN"/>
        </w:rPr>
        <w:t>.</w:t>
      </w:r>
      <w:r>
        <w:rPr>
          <w:rFonts w:hint="eastAsia" w:hAnsi="宋体"/>
          <w:bCs/>
          <w:color w:val="auto"/>
          <w:szCs w:val="21"/>
        </w:rPr>
        <w:t>开标的准备工作由采购组织机构负责落实。</w:t>
      </w:r>
    </w:p>
    <w:p w14:paraId="79D3075D">
      <w:pPr>
        <w:pStyle w:val="15"/>
        <w:snapToGrid w:val="0"/>
        <w:spacing w:line="440" w:lineRule="exact"/>
        <w:ind w:firstLine="420" w:firstLineChars="200"/>
        <w:rPr>
          <w:rFonts w:hAnsi="宋体"/>
          <w:bCs/>
          <w:color w:val="auto"/>
          <w:szCs w:val="21"/>
        </w:rPr>
      </w:pPr>
      <w:r>
        <w:rPr>
          <w:rFonts w:hint="eastAsia" w:hAnsi="宋体"/>
          <w:bCs/>
          <w:color w:val="auto"/>
          <w:szCs w:val="21"/>
        </w:rPr>
        <w:t>2</w:t>
      </w:r>
      <w:r>
        <w:rPr>
          <w:rFonts w:hint="eastAsia" w:hAnsi="宋体"/>
          <w:bCs/>
          <w:color w:val="auto"/>
          <w:szCs w:val="21"/>
          <w:lang w:val="en-US" w:eastAsia="zh-CN"/>
        </w:rPr>
        <w:t>.</w:t>
      </w:r>
      <w:r>
        <w:rPr>
          <w:rFonts w:hint="eastAsia" w:hAnsi="宋体"/>
          <w:bCs/>
          <w:color w:val="auto"/>
          <w:szCs w:val="21"/>
        </w:rPr>
        <w:t>采购组织机构将按照采购文件规定的时间通过“政府采购云平台”组织开标、开启投标文件，所有供应商均</w:t>
      </w:r>
      <w:r>
        <w:rPr>
          <w:rFonts w:hint="eastAsia" w:hAnsi="宋体"/>
          <w:b/>
          <w:color w:val="auto"/>
          <w:szCs w:val="21"/>
        </w:rPr>
        <w:t>应当准时在线参加</w:t>
      </w:r>
      <w:r>
        <w:rPr>
          <w:rFonts w:hint="eastAsia" w:hAnsi="宋体"/>
          <w:bCs/>
          <w:color w:val="auto"/>
          <w:szCs w:val="21"/>
        </w:rPr>
        <w:t>。投标供应商如不参加开标大会的，视同认可开标结果，事后不得对采购相关人员、开标过程和开标结果提出异议，同时投标供应商因未在线参加开标而导致投标文件无法按时解密等一切后果由供应商自己承担。</w:t>
      </w:r>
    </w:p>
    <w:p w14:paraId="1CECB291">
      <w:pPr>
        <w:pStyle w:val="15"/>
        <w:snapToGrid w:val="0"/>
        <w:spacing w:line="440" w:lineRule="exact"/>
        <w:ind w:firstLine="422" w:firstLineChars="200"/>
        <w:rPr>
          <w:rFonts w:hAnsi="宋体"/>
          <w:b/>
          <w:color w:val="auto"/>
          <w:szCs w:val="21"/>
        </w:rPr>
      </w:pPr>
      <w:r>
        <w:rPr>
          <w:rFonts w:hint="eastAsia" w:hAnsi="宋体"/>
          <w:b/>
          <w:bCs/>
          <w:color w:val="auto"/>
          <w:szCs w:val="21"/>
        </w:rPr>
        <w:t>（二）</w:t>
      </w:r>
      <w:r>
        <w:rPr>
          <w:rFonts w:hint="eastAsia" w:hAnsi="宋体"/>
          <w:b/>
          <w:color w:val="auto"/>
          <w:szCs w:val="21"/>
        </w:rPr>
        <w:t>采购人或者采购代理机构职责</w:t>
      </w:r>
    </w:p>
    <w:p w14:paraId="7911175F">
      <w:pPr>
        <w:pStyle w:val="15"/>
        <w:snapToGrid w:val="0"/>
        <w:spacing w:line="440" w:lineRule="exact"/>
        <w:ind w:firstLine="420" w:firstLineChars="200"/>
        <w:rPr>
          <w:rFonts w:hAnsi="宋体"/>
          <w:bCs/>
          <w:color w:val="auto"/>
          <w:szCs w:val="21"/>
        </w:rPr>
      </w:pPr>
      <w:r>
        <w:rPr>
          <w:rFonts w:hint="eastAsia" w:hAnsi="宋体"/>
          <w:bCs/>
          <w:color w:val="auto"/>
          <w:szCs w:val="21"/>
        </w:rPr>
        <w:t>采购人或者采购代理机构负责组织评标工作，并履行下列职责：</w:t>
      </w:r>
    </w:p>
    <w:p w14:paraId="4BF2FC75">
      <w:pPr>
        <w:pStyle w:val="15"/>
        <w:snapToGrid w:val="0"/>
        <w:spacing w:line="440" w:lineRule="exact"/>
        <w:ind w:firstLine="420" w:firstLineChars="200"/>
        <w:rPr>
          <w:rFonts w:hAnsi="宋体"/>
          <w:bCs/>
          <w:color w:val="auto"/>
          <w:szCs w:val="21"/>
        </w:rPr>
      </w:pPr>
      <w:r>
        <w:rPr>
          <w:rFonts w:hint="eastAsia" w:hAnsi="宋体"/>
          <w:bCs/>
          <w:color w:val="auto"/>
          <w:szCs w:val="21"/>
        </w:rPr>
        <w:t>1</w:t>
      </w:r>
      <w:r>
        <w:rPr>
          <w:rFonts w:hint="eastAsia" w:hAnsi="宋体"/>
          <w:bCs/>
          <w:color w:val="auto"/>
          <w:szCs w:val="21"/>
          <w:lang w:val="en-US" w:eastAsia="zh-CN"/>
        </w:rPr>
        <w:t>.</w:t>
      </w:r>
      <w:r>
        <w:rPr>
          <w:rFonts w:hint="eastAsia" w:hAnsi="宋体"/>
          <w:bCs/>
          <w:color w:val="auto"/>
          <w:szCs w:val="21"/>
        </w:rPr>
        <w:t>核对评审专家身份和采购人代表授权函，对评审专家在政府采购活动中的职责履行情况予以记录，并及时将有关违法违规行为向财政部门报告；</w:t>
      </w:r>
    </w:p>
    <w:p w14:paraId="7B8AF8B2">
      <w:pPr>
        <w:pStyle w:val="15"/>
        <w:snapToGrid w:val="0"/>
        <w:spacing w:line="440" w:lineRule="exact"/>
        <w:ind w:firstLine="420" w:firstLineChars="200"/>
        <w:rPr>
          <w:rFonts w:hAnsi="宋体"/>
          <w:bCs/>
          <w:color w:val="auto"/>
          <w:szCs w:val="21"/>
        </w:rPr>
      </w:pPr>
      <w:r>
        <w:rPr>
          <w:rFonts w:hint="eastAsia" w:hAnsi="宋体"/>
          <w:bCs/>
          <w:color w:val="auto"/>
          <w:szCs w:val="21"/>
        </w:rPr>
        <w:t>2</w:t>
      </w:r>
      <w:r>
        <w:rPr>
          <w:rFonts w:hint="eastAsia" w:hAnsi="宋体"/>
          <w:bCs/>
          <w:color w:val="auto"/>
          <w:szCs w:val="21"/>
          <w:lang w:val="en-US" w:eastAsia="zh-CN"/>
        </w:rPr>
        <w:t>.</w:t>
      </w:r>
      <w:r>
        <w:rPr>
          <w:rFonts w:hint="eastAsia" w:hAnsi="宋体"/>
          <w:bCs/>
          <w:color w:val="auto"/>
          <w:szCs w:val="21"/>
        </w:rPr>
        <w:t>宣布评标纪律；</w:t>
      </w:r>
    </w:p>
    <w:p w14:paraId="15166B1C">
      <w:pPr>
        <w:pStyle w:val="15"/>
        <w:snapToGrid w:val="0"/>
        <w:spacing w:line="440" w:lineRule="exact"/>
        <w:ind w:firstLine="420" w:firstLineChars="200"/>
        <w:rPr>
          <w:rFonts w:hAnsi="宋体"/>
          <w:bCs/>
          <w:color w:val="auto"/>
          <w:szCs w:val="21"/>
        </w:rPr>
      </w:pPr>
      <w:r>
        <w:rPr>
          <w:rFonts w:hint="eastAsia" w:hAnsi="宋体"/>
          <w:bCs/>
          <w:color w:val="auto"/>
          <w:szCs w:val="21"/>
        </w:rPr>
        <w:t>3</w:t>
      </w:r>
      <w:r>
        <w:rPr>
          <w:rFonts w:hint="eastAsia" w:hAnsi="宋体"/>
          <w:bCs/>
          <w:color w:val="auto"/>
          <w:szCs w:val="21"/>
          <w:lang w:val="en-US" w:eastAsia="zh-CN"/>
        </w:rPr>
        <w:t>.</w:t>
      </w:r>
      <w:r>
        <w:rPr>
          <w:rFonts w:hint="eastAsia" w:hAnsi="宋体"/>
          <w:bCs/>
          <w:color w:val="auto"/>
          <w:szCs w:val="21"/>
        </w:rPr>
        <w:t>公布供应商名单，告知评审专家应当回避的情形；</w:t>
      </w:r>
    </w:p>
    <w:p w14:paraId="445E49EE">
      <w:pPr>
        <w:pStyle w:val="15"/>
        <w:snapToGrid w:val="0"/>
        <w:spacing w:line="440" w:lineRule="exact"/>
        <w:ind w:firstLine="420" w:firstLineChars="200"/>
        <w:rPr>
          <w:rFonts w:hAnsi="宋体"/>
          <w:bCs/>
          <w:color w:val="auto"/>
          <w:szCs w:val="21"/>
        </w:rPr>
      </w:pPr>
      <w:r>
        <w:rPr>
          <w:rFonts w:hint="eastAsia" w:hAnsi="宋体"/>
          <w:bCs/>
          <w:color w:val="auto"/>
          <w:szCs w:val="21"/>
        </w:rPr>
        <w:t>4</w:t>
      </w:r>
      <w:r>
        <w:rPr>
          <w:rFonts w:hint="eastAsia" w:hAnsi="宋体"/>
          <w:bCs/>
          <w:color w:val="auto"/>
          <w:szCs w:val="21"/>
          <w:lang w:val="en-US" w:eastAsia="zh-CN"/>
        </w:rPr>
        <w:t>.</w:t>
      </w:r>
      <w:r>
        <w:rPr>
          <w:rFonts w:hint="eastAsia" w:hAnsi="宋体"/>
          <w:bCs/>
          <w:color w:val="auto"/>
          <w:szCs w:val="21"/>
        </w:rPr>
        <w:t>组织评标委员会推选评标组长，采购人代表不得担任组长；</w:t>
      </w:r>
    </w:p>
    <w:p w14:paraId="4076AA4C">
      <w:pPr>
        <w:pStyle w:val="15"/>
        <w:snapToGrid w:val="0"/>
        <w:spacing w:line="440" w:lineRule="exact"/>
        <w:ind w:firstLine="420" w:firstLineChars="200"/>
        <w:rPr>
          <w:rFonts w:hAnsi="宋体"/>
          <w:bCs/>
          <w:color w:val="auto"/>
          <w:szCs w:val="21"/>
        </w:rPr>
      </w:pPr>
      <w:r>
        <w:rPr>
          <w:rFonts w:hint="eastAsia" w:hAnsi="宋体"/>
          <w:bCs/>
          <w:color w:val="auto"/>
          <w:szCs w:val="21"/>
        </w:rPr>
        <w:t>5</w:t>
      </w:r>
      <w:r>
        <w:rPr>
          <w:rFonts w:hint="eastAsia" w:hAnsi="宋体"/>
          <w:bCs/>
          <w:color w:val="auto"/>
          <w:szCs w:val="21"/>
          <w:lang w:val="en-US" w:eastAsia="zh-CN"/>
        </w:rPr>
        <w:t>.</w:t>
      </w:r>
      <w:r>
        <w:rPr>
          <w:rFonts w:hint="eastAsia" w:hAnsi="宋体"/>
          <w:bCs/>
          <w:color w:val="auto"/>
          <w:szCs w:val="21"/>
        </w:rPr>
        <w:t>在评标期间采取必要的通讯管理措施，保证评标活动不受外界干扰；</w:t>
      </w:r>
    </w:p>
    <w:p w14:paraId="3BB412FE">
      <w:pPr>
        <w:pStyle w:val="15"/>
        <w:snapToGrid w:val="0"/>
        <w:spacing w:line="440" w:lineRule="exact"/>
        <w:ind w:firstLine="420" w:firstLineChars="200"/>
        <w:rPr>
          <w:rFonts w:hAnsi="宋体"/>
          <w:bCs/>
          <w:color w:val="auto"/>
          <w:szCs w:val="21"/>
        </w:rPr>
      </w:pPr>
      <w:r>
        <w:rPr>
          <w:rFonts w:hint="eastAsia" w:hAnsi="宋体"/>
          <w:bCs/>
          <w:color w:val="auto"/>
          <w:szCs w:val="21"/>
        </w:rPr>
        <w:t>6</w:t>
      </w:r>
      <w:r>
        <w:rPr>
          <w:rFonts w:hint="eastAsia" w:hAnsi="宋体"/>
          <w:bCs/>
          <w:color w:val="auto"/>
          <w:szCs w:val="21"/>
          <w:lang w:val="en-US" w:eastAsia="zh-CN"/>
        </w:rPr>
        <w:t>.</w:t>
      </w:r>
      <w:r>
        <w:rPr>
          <w:rFonts w:hint="eastAsia" w:hAnsi="宋体"/>
          <w:bCs/>
          <w:color w:val="auto"/>
          <w:szCs w:val="21"/>
        </w:rPr>
        <w:t>根据评标委员会的要求介绍政府采购相关政策法规、采购文件；</w:t>
      </w:r>
    </w:p>
    <w:p w14:paraId="4BB55242">
      <w:pPr>
        <w:pStyle w:val="15"/>
        <w:snapToGrid w:val="0"/>
        <w:spacing w:line="440" w:lineRule="exact"/>
        <w:ind w:firstLine="420" w:firstLineChars="200"/>
        <w:rPr>
          <w:rFonts w:hAnsi="宋体"/>
          <w:bCs/>
          <w:color w:val="auto"/>
          <w:szCs w:val="21"/>
        </w:rPr>
      </w:pPr>
      <w:r>
        <w:rPr>
          <w:rFonts w:hint="eastAsia" w:hAnsi="宋体"/>
          <w:bCs/>
          <w:color w:val="auto"/>
          <w:szCs w:val="21"/>
        </w:rPr>
        <w:t>7</w:t>
      </w:r>
      <w:r>
        <w:rPr>
          <w:rFonts w:hint="eastAsia" w:hAnsi="宋体"/>
          <w:bCs/>
          <w:color w:val="auto"/>
          <w:szCs w:val="21"/>
          <w:lang w:val="en-US" w:eastAsia="zh-CN"/>
        </w:rPr>
        <w:t>.</w:t>
      </w:r>
      <w:r>
        <w:rPr>
          <w:rFonts w:hint="eastAsia" w:hAnsi="宋体"/>
          <w:bCs/>
          <w:color w:val="auto"/>
          <w:szCs w:val="21"/>
        </w:rPr>
        <w:t>维护评标秩序，监督评标委员会依照采购文件规定的评标程序、方法和标准进行独立评审，及时制止和纠正采购人代表、评审专家的倾向性言论或者违法违规行为；</w:t>
      </w:r>
    </w:p>
    <w:p w14:paraId="59897BED">
      <w:pPr>
        <w:pStyle w:val="15"/>
        <w:snapToGrid w:val="0"/>
        <w:spacing w:line="440" w:lineRule="exact"/>
        <w:ind w:firstLine="420" w:firstLineChars="200"/>
        <w:rPr>
          <w:rFonts w:hAnsi="宋体"/>
          <w:bCs/>
          <w:color w:val="auto"/>
          <w:szCs w:val="21"/>
        </w:rPr>
      </w:pPr>
      <w:r>
        <w:rPr>
          <w:rFonts w:hint="eastAsia" w:hAnsi="宋体"/>
          <w:bCs/>
          <w:color w:val="auto"/>
          <w:szCs w:val="21"/>
        </w:rPr>
        <w:t>8</w:t>
      </w:r>
      <w:r>
        <w:rPr>
          <w:rFonts w:hint="eastAsia" w:hAnsi="宋体"/>
          <w:bCs/>
          <w:color w:val="auto"/>
          <w:szCs w:val="21"/>
          <w:lang w:val="en-US" w:eastAsia="zh-CN"/>
        </w:rPr>
        <w:t>.</w:t>
      </w:r>
      <w:r>
        <w:rPr>
          <w:rFonts w:hint="eastAsia" w:hAnsi="宋体"/>
          <w:bCs/>
          <w:color w:val="auto"/>
          <w:szCs w:val="21"/>
        </w:rPr>
        <w:t>核对评标结果，根据《政府采购货物和服务招标投标管理办法》，如有第六十四条规定情形的，要求评标委员会复核或者书面说明理由，评标委员会拒绝的，应予记录并向本级财政部门报告；</w:t>
      </w:r>
    </w:p>
    <w:p w14:paraId="2784F54C">
      <w:pPr>
        <w:pStyle w:val="15"/>
        <w:snapToGrid w:val="0"/>
        <w:spacing w:line="440" w:lineRule="exact"/>
        <w:ind w:firstLine="420" w:firstLineChars="200"/>
        <w:rPr>
          <w:rFonts w:hAnsi="宋体"/>
          <w:bCs/>
          <w:color w:val="auto"/>
          <w:szCs w:val="21"/>
        </w:rPr>
      </w:pPr>
      <w:r>
        <w:rPr>
          <w:rFonts w:hint="eastAsia" w:hAnsi="宋体"/>
          <w:bCs/>
          <w:color w:val="auto"/>
          <w:szCs w:val="21"/>
        </w:rPr>
        <w:t>9</w:t>
      </w:r>
      <w:r>
        <w:rPr>
          <w:rFonts w:hint="eastAsia" w:hAnsi="宋体"/>
          <w:bCs/>
          <w:color w:val="auto"/>
          <w:szCs w:val="21"/>
          <w:lang w:val="en-US" w:eastAsia="zh-CN"/>
        </w:rPr>
        <w:t>.</w:t>
      </w:r>
      <w:r>
        <w:rPr>
          <w:rFonts w:hint="eastAsia" w:hAnsi="宋体"/>
          <w:bCs/>
          <w:color w:val="auto"/>
          <w:szCs w:val="21"/>
        </w:rPr>
        <w:t>评审工作完成后，按照规定向评审专家支付劳务报酬和异地评审差旅费；</w:t>
      </w:r>
    </w:p>
    <w:p w14:paraId="5D23580D">
      <w:pPr>
        <w:pStyle w:val="15"/>
        <w:snapToGrid w:val="0"/>
        <w:spacing w:line="440" w:lineRule="exact"/>
        <w:ind w:firstLine="420" w:firstLineChars="200"/>
        <w:rPr>
          <w:rFonts w:hAnsi="宋体"/>
          <w:bCs/>
          <w:color w:val="auto"/>
          <w:szCs w:val="21"/>
        </w:rPr>
      </w:pPr>
      <w:r>
        <w:rPr>
          <w:rFonts w:hint="eastAsia" w:hAnsi="宋体"/>
          <w:bCs/>
          <w:color w:val="auto"/>
          <w:szCs w:val="21"/>
        </w:rPr>
        <w:t>10</w:t>
      </w:r>
      <w:r>
        <w:rPr>
          <w:rFonts w:hint="eastAsia" w:hAnsi="宋体"/>
          <w:bCs/>
          <w:color w:val="auto"/>
          <w:szCs w:val="21"/>
          <w:lang w:val="en-US" w:eastAsia="zh-CN"/>
        </w:rPr>
        <w:t>.</w:t>
      </w:r>
      <w:r>
        <w:rPr>
          <w:rFonts w:hint="eastAsia" w:hAnsi="宋体"/>
          <w:bCs/>
          <w:color w:val="auto"/>
          <w:szCs w:val="21"/>
        </w:rPr>
        <w:t>处理与评标有关的其他事项。</w:t>
      </w:r>
    </w:p>
    <w:p w14:paraId="4AB9BDD4">
      <w:pPr>
        <w:pStyle w:val="15"/>
        <w:snapToGrid w:val="0"/>
        <w:spacing w:line="440" w:lineRule="exact"/>
        <w:ind w:firstLine="422" w:firstLineChars="200"/>
        <w:rPr>
          <w:rFonts w:hAnsi="宋体"/>
          <w:b/>
          <w:bCs/>
          <w:color w:val="auto"/>
          <w:szCs w:val="21"/>
        </w:rPr>
      </w:pPr>
      <w:r>
        <w:rPr>
          <w:rFonts w:hint="eastAsia" w:hAnsi="宋体"/>
          <w:b/>
          <w:bCs/>
          <w:color w:val="auto"/>
          <w:szCs w:val="21"/>
        </w:rPr>
        <w:t>（三）开标流程（两阶段）</w:t>
      </w:r>
    </w:p>
    <w:p w14:paraId="31E77BEB">
      <w:pPr>
        <w:spacing w:line="440" w:lineRule="exact"/>
        <w:ind w:firstLine="422" w:firstLineChars="200"/>
        <w:jc w:val="left"/>
        <w:rPr>
          <w:rFonts w:ascii="宋体" w:hAnsi="宋体" w:cs="宋体"/>
          <w:b/>
          <w:color w:val="auto"/>
          <w:kern w:val="0"/>
          <w:szCs w:val="21"/>
        </w:rPr>
      </w:pPr>
      <w:r>
        <w:rPr>
          <w:rFonts w:hint="eastAsia" w:ascii="宋体" w:hAnsi="宋体" w:cs="宋体"/>
          <w:b/>
          <w:color w:val="auto"/>
          <w:kern w:val="0"/>
          <w:szCs w:val="21"/>
        </w:rPr>
        <w:t>1</w:t>
      </w:r>
      <w:r>
        <w:rPr>
          <w:rFonts w:hint="eastAsia" w:ascii="宋体" w:hAnsi="宋体" w:cs="宋体"/>
          <w:b/>
          <w:color w:val="auto"/>
          <w:kern w:val="0"/>
          <w:szCs w:val="21"/>
          <w:lang w:val="en-US" w:eastAsia="zh-CN"/>
        </w:rPr>
        <w:t>.</w:t>
      </w:r>
      <w:r>
        <w:rPr>
          <w:rFonts w:hint="eastAsia" w:ascii="宋体" w:hAnsi="宋体" w:cs="宋体"/>
          <w:b/>
          <w:color w:val="auto"/>
          <w:kern w:val="0"/>
          <w:szCs w:val="21"/>
        </w:rPr>
        <w:t>开标第一阶段</w:t>
      </w:r>
    </w:p>
    <w:p w14:paraId="345B291F">
      <w:pPr>
        <w:spacing w:line="440" w:lineRule="exact"/>
        <w:ind w:firstLine="420" w:firstLineChars="200"/>
        <w:jc w:val="left"/>
        <w:rPr>
          <w:rFonts w:ascii="宋体" w:hAnsi="宋体" w:cs="宋体"/>
          <w:color w:val="auto"/>
          <w:kern w:val="0"/>
          <w:szCs w:val="21"/>
        </w:rPr>
      </w:pPr>
      <w:r>
        <w:rPr>
          <w:rFonts w:hint="eastAsia" w:ascii="宋体" w:hAnsi="宋体" w:cs="宋体"/>
          <w:color w:val="auto"/>
          <w:kern w:val="0"/>
          <w:szCs w:val="21"/>
        </w:rPr>
        <w:t>（1）向各投标供应商发出电子加密投标文件【开始解密】通知，由供应商在30分钟内自行进行投标文件解密。投标供应商在规定的时间内无法完成已递交的“电子加密投标文件”解密的，如已按规定递交了备份投标文件的，将由采购组织机构按“政府采购云平台”操作规范将备份投标文件上传至“政府采购云平台”，上传成功后，“电子加密投标文件”自动失效。</w:t>
      </w:r>
    </w:p>
    <w:p w14:paraId="09144BE2">
      <w:pPr>
        <w:spacing w:line="440" w:lineRule="exact"/>
        <w:ind w:firstLine="420" w:firstLineChars="200"/>
        <w:jc w:val="left"/>
        <w:rPr>
          <w:rFonts w:ascii="宋体" w:hAnsi="宋体" w:cs="宋体"/>
          <w:color w:val="auto"/>
          <w:kern w:val="0"/>
          <w:szCs w:val="21"/>
        </w:rPr>
      </w:pPr>
      <w:r>
        <w:rPr>
          <w:rFonts w:hint="eastAsia" w:ascii="宋体" w:hAnsi="宋体" w:cs="宋体"/>
          <w:color w:val="auto"/>
          <w:kern w:val="0"/>
          <w:szCs w:val="21"/>
        </w:rPr>
        <w:t>（2）开启投标文件，进入资格审查；</w:t>
      </w:r>
    </w:p>
    <w:p w14:paraId="2829AF8B">
      <w:pPr>
        <w:spacing w:line="440" w:lineRule="exact"/>
        <w:ind w:firstLine="420" w:firstLineChars="200"/>
        <w:jc w:val="left"/>
        <w:rPr>
          <w:rFonts w:ascii="宋体" w:hAnsi="宋体" w:cs="宋体"/>
          <w:color w:val="auto"/>
          <w:kern w:val="0"/>
          <w:szCs w:val="21"/>
        </w:rPr>
      </w:pPr>
      <w:r>
        <w:rPr>
          <w:rFonts w:hint="eastAsia" w:ascii="宋体" w:hAnsi="宋体" w:cs="宋体"/>
          <w:color w:val="auto"/>
          <w:kern w:val="0"/>
          <w:szCs w:val="21"/>
        </w:rPr>
        <w:t>（3）开启资格审查通过的投标供应商的商务技术文件进入符合性审查、商务技术评审。</w:t>
      </w:r>
    </w:p>
    <w:p w14:paraId="6884213C">
      <w:pPr>
        <w:spacing w:line="440" w:lineRule="exact"/>
        <w:ind w:firstLine="420" w:firstLineChars="200"/>
        <w:jc w:val="left"/>
        <w:rPr>
          <w:rFonts w:ascii="宋体" w:hAnsi="宋体" w:cs="宋体"/>
          <w:color w:val="auto"/>
          <w:kern w:val="0"/>
          <w:szCs w:val="21"/>
        </w:rPr>
      </w:pPr>
      <w:r>
        <w:rPr>
          <w:rFonts w:hint="eastAsia" w:ascii="宋体" w:hAnsi="宋体" w:cs="宋体"/>
          <w:color w:val="auto"/>
          <w:kern w:val="0"/>
          <w:szCs w:val="21"/>
        </w:rPr>
        <w:t>（4）第一阶段开标结束。</w:t>
      </w:r>
    </w:p>
    <w:p w14:paraId="25E21726">
      <w:pPr>
        <w:spacing w:line="440" w:lineRule="exact"/>
        <w:ind w:firstLine="422" w:firstLineChars="200"/>
        <w:jc w:val="left"/>
        <w:rPr>
          <w:rFonts w:ascii="宋体" w:hAnsi="宋体" w:cs="宋体"/>
          <w:b/>
          <w:color w:val="auto"/>
          <w:kern w:val="0"/>
          <w:szCs w:val="21"/>
        </w:rPr>
      </w:pPr>
      <w:r>
        <w:rPr>
          <w:rFonts w:hint="eastAsia" w:ascii="宋体" w:hAnsi="宋体" w:cs="宋体"/>
          <w:b/>
          <w:color w:val="auto"/>
          <w:kern w:val="0"/>
          <w:szCs w:val="21"/>
        </w:rPr>
        <w:t>备注：首先依法对投标供应商的资格进行审查，资格审查结束后进入符合性审查和商务技术的评审工作，具体见本章节“投标供应商资格审查”相关规定。</w:t>
      </w:r>
    </w:p>
    <w:p w14:paraId="4BCEAFF8">
      <w:pPr>
        <w:spacing w:line="440" w:lineRule="exact"/>
        <w:ind w:firstLine="422" w:firstLineChars="200"/>
        <w:jc w:val="left"/>
        <w:rPr>
          <w:rFonts w:ascii="宋体" w:hAnsi="宋体" w:cs="宋体"/>
          <w:b/>
          <w:color w:val="auto"/>
          <w:kern w:val="0"/>
          <w:szCs w:val="21"/>
        </w:rPr>
      </w:pPr>
      <w:r>
        <w:rPr>
          <w:rFonts w:hint="eastAsia" w:ascii="宋体" w:hAnsi="宋体" w:cs="宋体"/>
          <w:b/>
          <w:color w:val="auto"/>
          <w:kern w:val="0"/>
          <w:szCs w:val="21"/>
        </w:rPr>
        <w:t>2</w:t>
      </w:r>
      <w:r>
        <w:rPr>
          <w:rFonts w:hint="eastAsia" w:ascii="宋体" w:hAnsi="宋体" w:cs="宋体"/>
          <w:b/>
          <w:color w:val="auto"/>
          <w:kern w:val="0"/>
          <w:szCs w:val="21"/>
          <w:lang w:val="en-US" w:eastAsia="zh-CN"/>
        </w:rPr>
        <w:t>.</w:t>
      </w:r>
      <w:r>
        <w:rPr>
          <w:rFonts w:hint="eastAsia" w:ascii="宋体" w:hAnsi="宋体" w:cs="宋体"/>
          <w:b/>
          <w:color w:val="auto"/>
          <w:kern w:val="0"/>
          <w:szCs w:val="21"/>
        </w:rPr>
        <w:t>开标大会第二阶段</w:t>
      </w:r>
    </w:p>
    <w:p w14:paraId="56DFCAB3">
      <w:pPr>
        <w:spacing w:line="420" w:lineRule="exact"/>
        <w:ind w:firstLine="420" w:firstLineChars="200"/>
        <w:jc w:val="left"/>
        <w:rPr>
          <w:rFonts w:ascii="宋体" w:hAnsi="宋体" w:cs="宋体"/>
          <w:color w:val="auto"/>
          <w:kern w:val="0"/>
          <w:szCs w:val="21"/>
          <w:highlight w:val="none"/>
        </w:rPr>
      </w:pPr>
      <w:bookmarkStart w:id="57" w:name="_Toc24550037"/>
      <w:bookmarkStart w:id="58" w:name="_Toc33194393"/>
      <w:r>
        <w:rPr>
          <w:rFonts w:hint="eastAsia" w:ascii="宋体" w:hAnsi="宋体" w:cs="宋体"/>
          <w:color w:val="auto"/>
          <w:kern w:val="0"/>
          <w:szCs w:val="21"/>
          <w:highlight w:val="none"/>
        </w:rPr>
        <w:t>（1）符合性审查、商务技术评审结束后，举行开标大会第二阶段会议。首先公布符合性审查、商务技术评审无效供应商名称及理由；公布经商务技术评审后有效投标供应商的名单，同时公布其商务资信技术部分得分情况。</w:t>
      </w:r>
    </w:p>
    <w:p w14:paraId="1B2DB372">
      <w:pPr>
        <w:spacing w:line="420" w:lineRule="exact"/>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（2）开启符合性审查、商务技术评审有效投标供应商的《报价文件》，供应商可在政采云系统中确认报价</w:t>
      </w:r>
      <w:r>
        <w:rPr>
          <w:rFonts w:hint="eastAsia" w:ascii="宋体" w:hAnsi="宋体" w:cs="宋体"/>
          <w:b/>
          <w:bCs/>
          <w:color w:val="auto"/>
          <w:kern w:val="0"/>
          <w:szCs w:val="21"/>
          <w:highlight w:val="none"/>
        </w:rPr>
        <w:t>（不予确认的应说明理由，否则视为无异议）</w:t>
      </w:r>
      <w:r>
        <w:rPr>
          <w:rFonts w:hint="eastAsia" w:ascii="宋体" w:hAnsi="宋体" w:cs="宋体"/>
          <w:color w:val="auto"/>
          <w:kern w:val="0"/>
          <w:szCs w:val="21"/>
          <w:highlight w:val="none"/>
        </w:rPr>
        <w:t>。然后由评标委员会对报价的合理性、准确性等进行审查核实。</w:t>
      </w:r>
    </w:p>
    <w:p w14:paraId="4D068775">
      <w:pPr>
        <w:spacing w:line="420" w:lineRule="exact"/>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（3）评审结束后，公布中标（成交）候选供应商名单，及采购人最终确定中标或成交供应商名单的时间和公告方式等。</w:t>
      </w:r>
    </w:p>
    <w:p w14:paraId="49BD9162">
      <w:pPr>
        <w:spacing w:line="420" w:lineRule="exact"/>
        <w:ind w:firstLine="422" w:firstLineChars="200"/>
        <w:jc w:val="left"/>
        <w:rPr>
          <w:rFonts w:ascii="宋体" w:hAnsi="宋体" w:cs="宋体"/>
          <w:b/>
          <w:color w:val="auto"/>
          <w:kern w:val="0"/>
          <w:szCs w:val="21"/>
          <w:highlight w:val="none"/>
        </w:rPr>
      </w:pPr>
      <w:r>
        <w:rPr>
          <w:rFonts w:hint="eastAsia" w:ascii="宋体" w:hAnsi="宋体" w:cs="宋体"/>
          <w:b/>
          <w:color w:val="auto"/>
          <w:kern w:val="0"/>
          <w:szCs w:val="21"/>
          <w:highlight w:val="none"/>
        </w:rPr>
        <w:t>特别说明：如遇“政府采购云平台”电子化开标或评审程序调整的，按调整后程序执行。</w:t>
      </w:r>
    </w:p>
    <w:p w14:paraId="2F22CA37">
      <w:pPr>
        <w:pStyle w:val="15"/>
        <w:snapToGrid w:val="0"/>
        <w:spacing w:line="440" w:lineRule="exact"/>
        <w:ind w:firstLine="422" w:firstLineChars="200"/>
        <w:rPr>
          <w:rFonts w:hAnsi="宋体"/>
          <w:b/>
          <w:bCs/>
          <w:color w:val="auto"/>
          <w:szCs w:val="21"/>
        </w:rPr>
      </w:pPr>
      <w:r>
        <w:rPr>
          <w:rFonts w:hint="eastAsia" w:hAnsi="宋体"/>
          <w:b/>
          <w:bCs/>
          <w:color w:val="auto"/>
          <w:szCs w:val="21"/>
        </w:rPr>
        <w:t>（四）投标供应商资格审查</w:t>
      </w:r>
      <w:bookmarkEnd w:id="57"/>
      <w:bookmarkEnd w:id="58"/>
    </w:p>
    <w:p w14:paraId="6E7DE288">
      <w:pPr>
        <w:spacing w:line="420" w:lineRule="exact"/>
        <w:ind w:firstLine="422" w:firstLineChars="200"/>
        <w:rPr>
          <w:rFonts w:ascii="宋体" w:hAnsi="宋体" w:cs="宋体"/>
          <w:color w:val="auto"/>
          <w:szCs w:val="21"/>
          <w:highlight w:val="none"/>
        </w:rPr>
      </w:pPr>
      <w:r>
        <w:rPr>
          <w:rFonts w:hint="eastAsia" w:ascii="宋体" w:hAnsi="宋体" w:cs="宋体"/>
          <w:b/>
          <w:color w:val="auto"/>
          <w:szCs w:val="21"/>
          <w:highlight w:val="none"/>
        </w:rPr>
        <w:t>1、采购人或采购代理机构首先依法对各投标供应商的资格进行审查，审查各投标供应商的资格是否满足招标文件的要求。</w:t>
      </w:r>
      <w:r>
        <w:rPr>
          <w:rFonts w:hint="eastAsia" w:ascii="宋体" w:hAnsi="宋体" w:cs="宋体"/>
          <w:color w:val="auto"/>
          <w:szCs w:val="21"/>
          <w:highlight w:val="none"/>
        </w:rPr>
        <w:t>采购人或采购代理机构对投标供应商所提交的资格证明材料仅负审核的责任。如发现投标供应商所提交的资格证明材料不合法或与事实不符，采购人可取消其中标资格并追究投标供应商的法律责任。</w:t>
      </w:r>
    </w:p>
    <w:p w14:paraId="60830872">
      <w:pPr>
        <w:spacing w:line="440" w:lineRule="exact"/>
        <w:ind w:firstLine="422" w:firstLineChars="200"/>
        <w:rPr>
          <w:rFonts w:ascii="宋体" w:hAnsi="宋体" w:cs="宋体"/>
          <w:b/>
          <w:color w:val="auto"/>
          <w:kern w:val="0"/>
          <w:szCs w:val="21"/>
        </w:rPr>
      </w:pPr>
      <w:r>
        <w:rPr>
          <w:rFonts w:hint="eastAsia" w:ascii="宋体" w:hAnsi="宋体" w:cs="宋体"/>
          <w:b/>
          <w:color w:val="auto"/>
          <w:szCs w:val="21"/>
        </w:rPr>
        <w:t>2</w:t>
      </w:r>
      <w:r>
        <w:rPr>
          <w:rFonts w:hint="eastAsia" w:ascii="宋体" w:hAnsi="宋体" w:cs="宋体"/>
          <w:b/>
          <w:color w:val="auto"/>
          <w:szCs w:val="21"/>
          <w:lang w:val="en-US" w:eastAsia="zh-CN"/>
        </w:rPr>
        <w:t>.</w:t>
      </w:r>
      <w:r>
        <w:rPr>
          <w:rFonts w:hint="eastAsia" w:ascii="宋体" w:hAnsi="宋体" w:cs="宋体"/>
          <w:b/>
          <w:color w:val="auto"/>
          <w:szCs w:val="21"/>
        </w:rPr>
        <w:t>投标供应商提交的资格证明材料无法证明其符合采购文件规定的“投标供应商资格要求”的，采购人或采购代理机构</w:t>
      </w:r>
      <w:r>
        <w:rPr>
          <w:rFonts w:hint="eastAsia" w:ascii="宋体" w:hAnsi="宋体" w:cs="宋体"/>
          <w:b/>
          <w:color w:val="auto"/>
          <w:kern w:val="0"/>
          <w:szCs w:val="21"/>
        </w:rPr>
        <w:t>将对其作资格审查不通过处理（无效投标），并不再将其投标提交评标委员会进行后续评审。</w:t>
      </w:r>
    </w:p>
    <w:p w14:paraId="33D2ABE4">
      <w:pPr>
        <w:pStyle w:val="15"/>
        <w:snapToGrid w:val="0"/>
        <w:spacing w:line="420" w:lineRule="exact"/>
        <w:rPr>
          <w:rFonts w:hAnsi="宋体"/>
          <w:color w:val="auto"/>
          <w:szCs w:val="21"/>
        </w:rPr>
      </w:pPr>
    </w:p>
    <w:p w14:paraId="198AA9CF">
      <w:pPr>
        <w:pStyle w:val="15"/>
        <w:snapToGrid w:val="0"/>
        <w:spacing w:line="420" w:lineRule="exact"/>
        <w:ind w:left="842" w:leftChars="267" w:hanging="281" w:hangingChars="100"/>
        <w:jc w:val="center"/>
        <w:outlineLvl w:val="1"/>
        <w:rPr>
          <w:rFonts w:hint="eastAsia" w:hAnsi="宋体"/>
          <w:b/>
          <w:color w:val="auto"/>
          <w:sz w:val="28"/>
          <w:szCs w:val="28"/>
        </w:rPr>
      </w:pPr>
      <w:bookmarkStart w:id="59" w:name="_Toc33535370"/>
    </w:p>
    <w:p w14:paraId="28F5C915">
      <w:pPr>
        <w:pStyle w:val="15"/>
        <w:snapToGrid w:val="0"/>
        <w:spacing w:line="420" w:lineRule="exact"/>
        <w:ind w:left="842" w:leftChars="267" w:hanging="281" w:hangingChars="100"/>
        <w:jc w:val="center"/>
        <w:outlineLvl w:val="1"/>
        <w:rPr>
          <w:rFonts w:hAnsi="宋体"/>
          <w:b/>
          <w:color w:val="auto"/>
          <w:sz w:val="28"/>
          <w:szCs w:val="28"/>
        </w:rPr>
      </w:pPr>
      <w:r>
        <w:rPr>
          <w:rFonts w:hint="eastAsia" w:hAnsi="宋体"/>
          <w:b/>
          <w:color w:val="auto"/>
          <w:sz w:val="28"/>
          <w:szCs w:val="28"/>
        </w:rPr>
        <w:t>五、评标</w:t>
      </w:r>
      <w:bookmarkEnd w:id="59"/>
    </w:p>
    <w:p w14:paraId="463E51F5">
      <w:pPr>
        <w:snapToGrid w:val="0"/>
        <w:spacing w:line="420" w:lineRule="exact"/>
        <w:ind w:firstLine="422" w:firstLineChars="200"/>
        <w:rPr>
          <w:rFonts w:ascii="宋体" w:hAnsi="宋体" w:cs="宋体"/>
          <w:b/>
          <w:color w:val="auto"/>
          <w:szCs w:val="21"/>
        </w:rPr>
      </w:pPr>
      <w:r>
        <w:rPr>
          <w:rFonts w:hint="eastAsia" w:ascii="宋体" w:hAnsi="宋体" w:cs="宋体"/>
          <w:b/>
          <w:color w:val="auto"/>
          <w:szCs w:val="21"/>
        </w:rPr>
        <w:t>（一）组建评标委员会</w:t>
      </w:r>
    </w:p>
    <w:p w14:paraId="7B7A0F00">
      <w:pPr>
        <w:pStyle w:val="15"/>
        <w:snapToGrid w:val="0"/>
        <w:spacing w:line="420" w:lineRule="exact"/>
        <w:ind w:firstLine="420" w:firstLineChars="200"/>
        <w:rPr>
          <w:rFonts w:hAnsi="宋体"/>
          <w:color w:val="auto"/>
          <w:szCs w:val="21"/>
        </w:rPr>
      </w:pPr>
      <w:r>
        <w:rPr>
          <w:rFonts w:hint="eastAsia" w:hAnsi="宋体"/>
          <w:color w:val="auto"/>
          <w:kern w:val="0"/>
          <w:szCs w:val="21"/>
        </w:rPr>
        <w:t>评标委员会由</w:t>
      </w:r>
      <w:r>
        <w:rPr>
          <w:rFonts w:hint="eastAsia" w:hAnsi="宋体"/>
          <w:color w:val="auto"/>
          <w:szCs w:val="21"/>
        </w:rPr>
        <w:t>政府采购评审专家</w:t>
      </w:r>
      <w:r>
        <w:rPr>
          <w:rFonts w:hint="eastAsia" w:hAnsi="宋体"/>
          <w:color w:val="auto"/>
          <w:szCs w:val="21"/>
          <w:highlight w:val="none"/>
          <w:u w:val="single"/>
        </w:rPr>
        <w:t>2</w:t>
      </w:r>
      <w:r>
        <w:rPr>
          <w:rFonts w:hint="eastAsia" w:hAnsi="宋体"/>
          <w:color w:val="auto"/>
          <w:szCs w:val="21"/>
          <w:highlight w:val="none"/>
        </w:rPr>
        <w:t>人和采购人代表</w:t>
      </w:r>
      <w:r>
        <w:rPr>
          <w:rFonts w:hint="eastAsia" w:hAnsi="宋体"/>
          <w:color w:val="auto"/>
          <w:szCs w:val="21"/>
          <w:highlight w:val="none"/>
          <w:u w:val="single"/>
        </w:rPr>
        <w:t>1</w:t>
      </w:r>
      <w:r>
        <w:rPr>
          <w:rFonts w:hint="eastAsia" w:hAnsi="宋体"/>
          <w:color w:val="auto"/>
          <w:szCs w:val="21"/>
        </w:rPr>
        <w:t>人，共</w:t>
      </w:r>
      <w:r>
        <w:rPr>
          <w:rFonts w:hint="eastAsia" w:hAnsi="宋体"/>
          <w:color w:val="auto"/>
          <w:szCs w:val="21"/>
          <w:u w:val="single"/>
        </w:rPr>
        <w:t>3</w:t>
      </w:r>
      <w:r>
        <w:rPr>
          <w:rFonts w:hint="eastAsia" w:hAnsi="宋体"/>
          <w:color w:val="auto"/>
          <w:szCs w:val="21"/>
        </w:rPr>
        <w:t>人组成。</w:t>
      </w:r>
    </w:p>
    <w:p w14:paraId="3CFC349F">
      <w:pPr>
        <w:widowControl/>
        <w:shd w:val="clear" w:color="auto" w:fill="FFFFFF"/>
        <w:spacing w:line="420" w:lineRule="exact"/>
        <w:ind w:firstLine="420" w:firstLineChars="200"/>
        <w:jc w:val="left"/>
        <w:rPr>
          <w:rFonts w:ascii="宋体" w:hAnsi="宋体" w:cs="宋体"/>
          <w:color w:val="auto"/>
          <w:kern w:val="0"/>
          <w:szCs w:val="21"/>
        </w:rPr>
      </w:pPr>
      <w:r>
        <w:rPr>
          <w:rFonts w:hint="eastAsia" w:ascii="宋体" w:hAnsi="宋体" w:cs="宋体"/>
          <w:color w:val="auto"/>
          <w:kern w:val="0"/>
          <w:szCs w:val="21"/>
        </w:rPr>
        <w:t>评标委员会负责具体评标事务，并独立履行下列职责：</w:t>
      </w:r>
    </w:p>
    <w:p w14:paraId="05D18A85">
      <w:pPr>
        <w:widowControl/>
        <w:shd w:val="clear" w:color="auto" w:fill="FFFFFF"/>
        <w:spacing w:line="420" w:lineRule="exact"/>
        <w:ind w:firstLine="420" w:firstLineChars="200"/>
        <w:jc w:val="left"/>
        <w:rPr>
          <w:rFonts w:ascii="宋体" w:hAnsi="宋体" w:cs="宋体"/>
          <w:color w:val="auto"/>
          <w:kern w:val="0"/>
          <w:szCs w:val="21"/>
        </w:rPr>
      </w:pPr>
      <w:r>
        <w:rPr>
          <w:rFonts w:hint="eastAsia" w:ascii="宋体" w:hAnsi="宋体" w:cs="宋体"/>
          <w:color w:val="auto"/>
          <w:kern w:val="0"/>
          <w:szCs w:val="21"/>
        </w:rPr>
        <w:t>1</w:t>
      </w:r>
      <w:r>
        <w:rPr>
          <w:rFonts w:hint="eastAsia" w:ascii="宋体" w:hAnsi="宋体" w:cs="宋体"/>
          <w:color w:val="auto"/>
          <w:kern w:val="0"/>
          <w:szCs w:val="21"/>
          <w:lang w:val="en-US" w:eastAsia="zh-CN"/>
        </w:rPr>
        <w:t>.</w:t>
      </w:r>
      <w:r>
        <w:rPr>
          <w:rFonts w:hint="eastAsia" w:ascii="宋体" w:hAnsi="宋体" w:cs="宋体"/>
          <w:color w:val="auto"/>
          <w:kern w:val="0"/>
          <w:szCs w:val="21"/>
        </w:rPr>
        <w:t>审查、评价投标文件是否符合采购文件的商务技术等实质性要求；</w:t>
      </w:r>
    </w:p>
    <w:p w14:paraId="6911C22A">
      <w:pPr>
        <w:widowControl/>
        <w:shd w:val="clear" w:color="auto" w:fill="FFFFFF"/>
        <w:spacing w:line="420" w:lineRule="exact"/>
        <w:ind w:firstLine="420" w:firstLineChars="200"/>
        <w:jc w:val="left"/>
        <w:rPr>
          <w:rFonts w:ascii="宋体" w:hAnsi="宋体" w:cs="宋体"/>
          <w:color w:val="auto"/>
          <w:kern w:val="0"/>
          <w:szCs w:val="21"/>
        </w:rPr>
      </w:pPr>
      <w:r>
        <w:rPr>
          <w:rFonts w:hint="eastAsia" w:ascii="宋体" w:hAnsi="宋体" w:cs="宋体"/>
          <w:color w:val="auto"/>
          <w:kern w:val="0"/>
          <w:szCs w:val="21"/>
        </w:rPr>
        <w:t>2</w:t>
      </w:r>
      <w:r>
        <w:rPr>
          <w:rFonts w:hint="eastAsia" w:ascii="宋体" w:hAnsi="宋体" w:cs="宋体"/>
          <w:color w:val="auto"/>
          <w:kern w:val="0"/>
          <w:szCs w:val="21"/>
          <w:lang w:val="en-US" w:eastAsia="zh-CN"/>
        </w:rPr>
        <w:t>.</w:t>
      </w:r>
      <w:r>
        <w:rPr>
          <w:rFonts w:hint="eastAsia" w:ascii="宋体" w:hAnsi="宋体" w:cs="宋体"/>
          <w:color w:val="auto"/>
          <w:kern w:val="0"/>
          <w:szCs w:val="21"/>
        </w:rPr>
        <w:t>要求供应商对投标文件有关事项作出澄清或者说明；</w:t>
      </w:r>
    </w:p>
    <w:p w14:paraId="6DD71E2F">
      <w:pPr>
        <w:widowControl/>
        <w:shd w:val="clear" w:color="auto" w:fill="FFFFFF"/>
        <w:spacing w:line="420" w:lineRule="exact"/>
        <w:ind w:firstLine="420" w:firstLineChars="200"/>
        <w:jc w:val="left"/>
        <w:rPr>
          <w:rFonts w:ascii="宋体" w:hAnsi="宋体" w:cs="宋体"/>
          <w:color w:val="auto"/>
          <w:kern w:val="0"/>
          <w:szCs w:val="21"/>
        </w:rPr>
      </w:pPr>
      <w:r>
        <w:rPr>
          <w:rFonts w:hint="eastAsia" w:ascii="宋体" w:hAnsi="宋体" w:cs="宋体"/>
          <w:color w:val="auto"/>
          <w:kern w:val="0"/>
          <w:szCs w:val="21"/>
        </w:rPr>
        <w:t>3</w:t>
      </w:r>
      <w:r>
        <w:rPr>
          <w:rFonts w:hint="eastAsia" w:ascii="宋体" w:hAnsi="宋体" w:cs="宋体"/>
          <w:color w:val="auto"/>
          <w:kern w:val="0"/>
          <w:szCs w:val="21"/>
          <w:lang w:val="en-US" w:eastAsia="zh-CN"/>
        </w:rPr>
        <w:t>.</w:t>
      </w:r>
      <w:r>
        <w:rPr>
          <w:rFonts w:hint="eastAsia" w:ascii="宋体" w:hAnsi="宋体" w:cs="宋体"/>
          <w:color w:val="auto"/>
          <w:kern w:val="0"/>
          <w:szCs w:val="21"/>
        </w:rPr>
        <w:t>对投标文件进行比较和评价；</w:t>
      </w:r>
    </w:p>
    <w:p w14:paraId="299DD671">
      <w:pPr>
        <w:widowControl/>
        <w:shd w:val="clear" w:color="auto" w:fill="FFFFFF"/>
        <w:spacing w:line="420" w:lineRule="exact"/>
        <w:ind w:firstLine="420" w:firstLineChars="200"/>
        <w:jc w:val="left"/>
        <w:rPr>
          <w:rFonts w:ascii="宋体" w:hAnsi="宋体" w:cs="宋体"/>
          <w:color w:val="auto"/>
          <w:kern w:val="0"/>
          <w:szCs w:val="21"/>
        </w:rPr>
      </w:pPr>
      <w:r>
        <w:rPr>
          <w:rFonts w:hint="eastAsia" w:ascii="宋体" w:hAnsi="宋体" w:cs="宋体"/>
          <w:color w:val="auto"/>
          <w:kern w:val="0"/>
          <w:szCs w:val="21"/>
        </w:rPr>
        <w:t>4</w:t>
      </w:r>
      <w:r>
        <w:rPr>
          <w:rFonts w:hint="eastAsia" w:ascii="宋体" w:hAnsi="宋体" w:cs="宋体"/>
          <w:color w:val="auto"/>
          <w:kern w:val="0"/>
          <w:szCs w:val="21"/>
          <w:lang w:val="en-US" w:eastAsia="zh-CN"/>
        </w:rPr>
        <w:t>.</w:t>
      </w:r>
      <w:r>
        <w:rPr>
          <w:rFonts w:hint="eastAsia" w:ascii="宋体" w:hAnsi="宋体" w:cs="宋体"/>
          <w:color w:val="auto"/>
          <w:kern w:val="0"/>
          <w:szCs w:val="21"/>
        </w:rPr>
        <w:t>确定中标候选人名单，以及根据采购人委托直接确定中标人；</w:t>
      </w:r>
    </w:p>
    <w:p w14:paraId="7033ADDE">
      <w:pPr>
        <w:widowControl/>
        <w:shd w:val="clear" w:color="auto" w:fill="FFFFFF"/>
        <w:spacing w:line="420" w:lineRule="exact"/>
        <w:ind w:firstLine="420" w:firstLineChars="200"/>
        <w:jc w:val="left"/>
        <w:rPr>
          <w:rFonts w:ascii="宋体" w:hAnsi="宋体" w:cs="宋体"/>
          <w:color w:val="auto"/>
          <w:kern w:val="0"/>
          <w:szCs w:val="21"/>
        </w:rPr>
      </w:pPr>
      <w:r>
        <w:rPr>
          <w:rFonts w:hint="eastAsia" w:ascii="宋体" w:hAnsi="宋体" w:cs="宋体"/>
          <w:color w:val="auto"/>
          <w:kern w:val="0"/>
          <w:szCs w:val="21"/>
        </w:rPr>
        <w:t>5</w:t>
      </w:r>
      <w:r>
        <w:rPr>
          <w:rFonts w:hint="eastAsia" w:ascii="宋体" w:hAnsi="宋体" w:cs="宋体"/>
          <w:color w:val="auto"/>
          <w:kern w:val="0"/>
          <w:szCs w:val="21"/>
          <w:lang w:val="en-US" w:eastAsia="zh-CN"/>
        </w:rPr>
        <w:t>.</w:t>
      </w:r>
      <w:r>
        <w:rPr>
          <w:rFonts w:hint="eastAsia" w:ascii="宋体" w:hAnsi="宋体" w:cs="宋体"/>
          <w:color w:val="auto"/>
          <w:kern w:val="0"/>
          <w:szCs w:val="21"/>
        </w:rPr>
        <w:t>向采购人、采购代理机构或者有关部门报告评标中发现的违法行为。</w:t>
      </w:r>
    </w:p>
    <w:p w14:paraId="2A967725">
      <w:pPr>
        <w:widowControl/>
        <w:shd w:val="clear" w:color="auto" w:fill="FFFFFF"/>
        <w:spacing w:line="420" w:lineRule="exact"/>
        <w:ind w:firstLine="422" w:firstLineChars="200"/>
        <w:jc w:val="left"/>
        <w:rPr>
          <w:rFonts w:ascii="宋体" w:hAnsi="宋体" w:cs="宋体"/>
          <w:b/>
          <w:color w:val="auto"/>
          <w:kern w:val="0"/>
          <w:szCs w:val="21"/>
        </w:rPr>
      </w:pPr>
      <w:r>
        <w:rPr>
          <w:rFonts w:hint="eastAsia" w:ascii="宋体" w:hAnsi="宋体" w:cs="宋体"/>
          <w:b/>
          <w:color w:val="auto"/>
          <w:kern w:val="0"/>
          <w:szCs w:val="21"/>
        </w:rPr>
        <w:t>除采购人代表、评标现场组织人员外，采购人的其他工作人员以及与评标工作无关的人员不得进入评标现场。</w:t>
      </w:r>
    </w:p>
    <w:p w14:paraId="7D1FB3B7">
      <w:pPr>
        <w:snapToGrid w:val="0"/>
        <w:spacing w:line="420" w:lineRule="exact"/>
        <w:ind w:firstLine="422" w:firstLineChars="200"/>
        <w:rPr>
          <w:rFonts w:ascii="宋体" w:hAnsi="宋体" w:cs="宋体"/>
          <w:b/>
          <w:color w:val="auto"/>
          <w:szCs w:val="21"/>
        </w:rPr>
      </w:pPr>
      <w:r>
        <w:rPr>
          <w:rFonts w:hint="eastAsia" w:ascii="宋体" w:hAnsi="宋体" w:cs="宋体"/>
          <w:b/>
          <w:color w:val="auto"/>
          <w:szCs w:val="21"/>
        </w:rPr>
        <w:t>（二）评标的方式</w:t>
      </w:r>
    </w:p>
    <w:p w14:paraId="3B5B0317">
      <w:pPr>
        <w:pStyle w:val="15"/>
        <w:snapToGrid w:val="0"/>
        <w:spacing w:line="420" w:lineRule="exact"/>
        <w:ind w:firstLine="420" w:firstLineChars="200"/>
        <w:rPr>
          <w:rFonts w:hAnsi="宋体"/>
          <w:bCs/>
          <w:color w:val="auto"/>
          <w:szCs w:val="21"/>
        </w:rPr>
      </w:pPr>
      <w:r>
        <w:rPr>
          <w:rFonts w:hint="eastAsia" w:hAnsi="宋体"/>
          <w:bCs/>
          <w:color w:val="auto"/>
          <w:szCs w:val="21"/>
        </w:rPr>
        <w:t>本项目评标的依据为采购文件和投标文件。</w:t>
      </w:r>
    </w:p>
    <w:p w14:paraId="30A1C0A1">
      <w:pPr>
        <w:snapToGrid w:val="0"/>
        <w:spacing w:line="420" w:lineRule="exact"/>
        <w:ind w:firstLine="422" w:firstLineChars="200"/>
        <w:rPr>
          <w:rFonts w:ascii="宋体" w:hAnsi="宋体" w:cs="宋体"/>
          <w:b/>
          <w:color w:val="auto"/>
          <w:szCs w:val="21"/>
        </w:rPr>
      </w:pPr>
      <w:r>
        <w:rPr>
          <w:rFonts w:hint="eastAsia" w:ascii="宋体" w:hAnsi="宋体" w:cs="宋体"/>
          <w:b/>
          <w:color w:val="auto"/>
          <w:szCs w:val="21"/>
        </w:rPr>
        <w:t>（三）评标程序</w:t>
      </w:r>
    </w:p>
    <w:p w14:paraId="36CD12BD">
      <w:pPr>
        <w:pStyle w:val="15"/>
        <w:snapToGrid w:val="0"/>
        <w:spacing w:line="420" w:lineRule="exact"/>
        <w:ind w:firstLine="420" w:firstLineChars="200"/>
        <w:rPr>
          <w:rFonts w:hAnsi="宋体"/>
          <w:bCs/>
          <w:color w:val="auto"/>
          <w:szCs w:val="21"/>
        </w:rPr>
      </w:pPr>
      <w:r>
        <w:rPr>
          <w:rFonts w:hint="eastAsia" w:hAnsi="宋体"/>
          <w:bCs/>
          <w:color w:val="auto"/>
          <w:szCs w:val="21"/>
        </w:rPr>
        <w:t>采购人可以在评标前说明项目背景和采购需求，说明内容不得含有歧视性、倾向性意见，不得超出采购文件所述范围。说明应当提交书面材料，并随采购文件一并存档。</w:t>
      </w:r>
    </w:p>
    <w:p w14:paraId="077FF9A4">
      <w:pPr>
        <w:snapToGrid w:val="0"/>
        <w:spacing w:line="420" w:lineRule="exact"/>
        <w:ind w:firstLine="422" w:firstLineChars="200"/>
        <w:rPr>
          <w:rFonts w:ascii="宋体" w:hAnsi="宋体" w:cs="宋体"/>
          <w:b/>
          <w:bCs/>
          <w:color w:val="auto"/>
          <w:szCs w:val="21"/>
        </w:rPr>
      </w:pPr>
      <w:r>
        <w:rPr>
          <w:rFonts w:hint="eastAsia" w:ascii="宋体" w:hAnsi="宋体" w:cs="宋体"/>
          <w:b/>
          <w:bCs/>
          <w:color w:val="auto"/>
          <w:szCs w:val="21"/>
        </w:rPr>
        <w:t>1</w:t>
      </w:r>
      <w:r>
        <w:rPr>
          <w:rFonts w:hint="eastAsia" w:ascii="宋体" w:hAnsi="宋体" w:cs="宋体"/>
          <w:b/>
          <w:bCs/>
          <w:color w:val="auto"/>
          <w:szCs w:val="21"/>
          <w:lang w:val="en-US" w:eastAsia="zh-CN"/>
        </w:rPr>
        <w:t>.</w:t>
      </w:r>
      <w:r>
        <w:rPr>
          <w:rFonts w:hint="eastAsia" w:ascii="宋体" w:hAnsi="宋体" w:cs="宋体"/>
          <w:b/>
          <w:bCs/>
          <w:color w:val="auto"/>
          <w:szCs w:val="21"/>
        </w:rPr>
        <w:t>形式审查</w:t>
      </w:r>
    </w:p>
    <w:p w14:paraId="5F9BF888">
      <w:pPr>
        <w:snapToGrid w:val="0"/>
        <w:spacing w:line="420" w:lineRule="exact"/>
        <w:ind w:firstLine="420" w:firstLineChars="200"/>
        <w:rPr>
          <w:rFonts w:ascii="宋体" w:hAnsi="宋体" w:cs="宋体"/>
          <w:bCs/>
          <w:color w:val="auto"/>
          <w:szCs w:val="21"/>
        </w:rPr>
      </w:pPr>
      <w:r>
        <w:rPr>
          <w:rFonts w:hint="eastAsia" w:ascii="宋体" w:hAnsi="宋体" w:cs="宋体"/>
          <w:bCs/>
          <w:color w:val="auto"/>
          <w:szCs w:val="21"/>
        </w:rPr>
        <w:t>形式审查包括资格审查和符合性审查，即对供应商的资格和投标文件的完整性、合法性等进行审查。投标文件形式审查未通过的供应商，其投标文件将不再评审。</w:t>
      </w:r>
    </w:p>
    <w:p w14:paraId="05FA46E0">
      <w:pPr>
        <w:snapToGrid w:val="0"/>
        <w:spacing w:line="420" w:lineRule="exact"/>
        <w:ind w:firstLine="422" w:firstLineChars="200"/>
        <w:rPr>
          <w:rFonts w:ascii="宋体" w:hAnsi="宋体" w:cs="宋体"/>
          <w:b/>
          <w:bCs/>
          <w:color w:val="auto"/>
          <w:szCs w:val="21"/>
        </w:rPr>
      </w:pPr>
      <w:r>
        <w:rPr>
          <w:rFonts w:hint="eastAsia" w:ascii="宋体" w:hAnsi="宋体" w:cs="宋体"/>
          <w:b/>
          <w:bCs/>
          <w:color w:val="auto"/>
          <w:szCs w:val="21"/>
        </w:rPr>
        <w:t>2</w:t>
      </w:r>
      <w:r>
        <w:rPr>
          <w:rFonts w:hint="eastAsia" w:ascii="宋体" w:hAnsi="宋体" w:cs="宋体"/>
          <w:b/>
          <w:bCs/>
          <w:color w:val="auto"/>
          <w:szCs w:val="21"/>
          <w:lang w:val="en-US" w:eastAsia="zh-CN"/>
        </w:rPr>
        <w:t>.</w:t>
      </w:r>
      <w:r>
        <w:rPr>
          <w:rFonts w:hint="eastAsia" w:ascii="宋体" w:hAnsi="宋体" w:cs="宋体"/>
          <w:b/>
          <w:bCs/>
          <w:color w:val="auto"/>
          <w:szCs w:val="21"/>
        </w:rPr>
        <w:t>实质审查与比较</w:t>
      </w:r>
    </w:p>
    <w:p w14:paraId="6588FD6C">
      <w:pPr>
        <w:snapToGrid w:val="0"/>
        <w:spacing w:line="420" w:lineRule="exact"/>
        <w:ind w:firstLine="420" w:firstLineChars="200"/>
        <w:rPr>
          <w:rFonts w:ascii="宋体" w:hAnsi="宋体" w:cs="宋体"/>
          <w:color w:val="auto"/>
          <w:szCs w:val="21"/>
        </w:rPr>
      </w:pPr>
      <w:r>
        <w:rPr>
          <w:rFonts w:hint="eastAsia" w:ascii="宋体" w:hAnsi="宋体" w:cs="宋体"/>
          <w:color w:val="auto"/>
          <w:szCs w:val="21"/>
        </w:rPr>
        <w:t>（1）评标委员会审查投标文件的实质性内容是否符合采购文件的实质性要求。</w:t>
      </w:r>
    </w:p>
    <w:p w14:paraId="0C850CEF">
      <w:pPr>
        <w:snapToGrid w:val="0"/>
        <w:spacing w:line="420" w:lineRule="exact"/>
        <w:ind w:firstLine="420" w:firstLineChars="200"/>
        <w:rPr>
          <w:rFonts w:ascii="宋体" w:hAnsi="宋体" w:cs="宋体"/>
          <w:color w:val="auto"/>
          <w:szCs w:val="21"/>
        </w:rPr>
      </w:pPr>
      <w:r>
        <w:rPr>
          <w:rFonts w:hint="eastAsia" w:ascii="宋体" w:hAnsi="宋体" w:cs="宋体"/>
          <w:color w:val="auto"/>
          <w:szCs w:val="21"/>
        </w:rPr>
        <w:t>（2）评标委员会将根据供应商的投标文件进行审查、核对，如有疑问，将对供应商进行询标，供应商要向评标委员会澄清有关问题，并最终以书面形式进行答复。</w:t>
      </w:r>
    </w:p>
    <w:p w14:paraId="60B20DCF">
      <w:pPr>
        <w:snapToGrid w:val="0"/>
        <w:spacing w:line="420" w:lineRule="exact"/>
        <w:ind w:firstLine="420" w:firstLineChars="200"/>
        <w:rPr>
          <w:rFonts w:ascii="宋体" w:hAnsi="宋体" w:cs="宋体"/>
          <w:color w:val="auto"/>
          <w:szCs w:val="21"/>
        </w:rPr>
      </w:pPr>
      <w:r>
        <w:rPr>
          <w:rFonts w:hint="eastAsia" w:ascii="宋体" w:hAnsi="宋体" w:cs="宋体"/>
          <w:color w:val="auto"/>
          <w:szCs w:val="21"/>
        </w:rPr>
        <w:t>询标时，供应商代表未在线或者拒绝澄清或者澄清的内容改变了投标文件的实质性内容的，评标委员会有权对该投标文件作出不利于供应商的评判。</w:t>
      </w:r>
    </w:p>
    <w:p w14:paraId="2D20CCF6">
      <w:pPr>
        <w:snapToGrid w:val="0"/>
        <w:spacing w:line="420" w:lineRule="exact"/>
        <w:ind w:firstLine="420" w:firstLineChars="200"/>
        <w:rPr>
          <w:rFonts w:ascii="宋体" w:hAnsi="宋体" w:cs="宋体"/>
          <w:color w:val="auto"/>
          <w:szCs w:val="21"/>
        </w:rPr>
      </w:pPr>
      <w:r>
        <w:rPr>
          <w:rFonts w:hint="eastAsia" w:ascii="宋体" w:hAnsi="宋体" w:cs="宋体"/>
          <w:color w:val="auto"/>
          <w:szCs w:val="21"/>
        </w:rPr>
        <w:t>（3）各供应商的商务资信技术分按照评标委员会成员的独立评分结果汇总后的算术平均分计算。</w:t>
      </w:r>
    </w:p>
    <w:p w14:paraId="61757410">
      <w:pPr>
        <w:snapToGrid w:val="0"/>
        <w:spacing w:line="420" w:lineRule="exact"/>
        <w:ind w:firstLine="420" w:firstLineChars="200"/>
        <w:rPr>
          <w:rFonts w:ascii="宋体" w:hAnsi="宋体" w:cs="宋体"/>
          <w:color w:val="auto"/>
          <w:szCs w:val="21"/>
        </w:rPr>
      </w:pPr>
      <w:r>
        <w:rPr>
          <w:rFonts w:hint="eastAsia" w:ascii="宋体" w:hAnsi="宋体" w:cs="宋体"/>
          <w:color w:val="auto"/>
          <w:szCs w:val="21"/>
        </w:rPr>
        <w:t>（4）采购代理机构工作人员协助评标委员会根据本项目的评分标准操作政府采购业务系统，由系统计算各供应商的报价得分。</w:t>
      </w:r>
    </w:p>
    <w:p w14:paraId="6458596D">
      <w:pPr>
        <w:snapToGrid w:val="0"/>
        <w:spacing w:line="420" w:lineRule="exact"/>
        <w:ind w:firstLine="420" w:firstLineChars="200"/>
        <w:rPr>
          <w:rFonts w:ascii="宋体" w:hAnsi="宋体" w:cs="宋体"/>
          <w:color w:val="auto"/>
          <w:szCs w:val="21"/>
        </w:rPr>
      </w:pPr>
      <w:r>
        <w:rPr>
          <w:rFonts w:hint="eastAsia" w:ascii="宋体" w:hAnsi="宋体" w:cs="宋体"/>
          <w:color w:val="auto"/>
          <w:szCs w:val="21"/>
        </w:rPr>
        <w:t>（5）评标委员会完成评标后，评委对各部分得分汇总，计算出本项目最终得分、性价比、评标价等。评标委员会按评标原则推荐中标候选人同时起草评标报告。</w:t>
      </w:r>
    </w:p>
    <w:p w14:paraId="31EC28FD">
      <w:pPr>
        <w:snapToGrid w:val="0"/>
        <w:spacing w:line="420" w:lineRule="exact"/>
        <w:ind w:firstLine="422" w:firstLineChars="200"/>
        <w:rPr>
          <w:rFonts w:ascii="宋体" w:hAnsi="宋体" w:cs="宋体"/>
          <w:b/>
          <w:color w:val="auto"/>
          <w:szCs w:val="21"/>
        </w:rPr>
      </w:pPr>
      <w:r>
        <w:rPr>
          <w:rFonts w:hint="eastAsia" w:ascii="宋体" w:hAnsi="宋体" w:cs="宋体"/>
          <w:b/>
          <w:color w:val="auto"/>
          <w:szCs w:val="21"/>
        </w:rPr>
        <w:t>（四）澄清问题的形式</w:t>
      </w:r>
    </w:p>
    <w:p w14:paraId="23B422E9">
      <w:pPr>
        <w:snapToGrid w:val="0"/>
        <w:spacing w:line="420" w:lineRule="exact"/>
        <w:ind w:firstLine="420" w:firstLineChars="200"/>
        <w:rPr>
          <w:rFonts w:ascii="宋体" w:hAnsi="宋体" w:cs="宋体"/>
          <w:color w:val="auto"/>
          <w:kern w:val="0"/>
          <w:szCs w:val="21"/>
        </w:rPr>
      </w:pPr>
      <w:r>
        <w:rPr>
          <w:rFonts w:hint="eastAsia" w:ascii="宋体" w:hAnsi="宋体" w:cs="宋体"/>
          <w:color w:val="auto"/>
          <w:szCs w:val="21"/>
        </w:rPr>
        <w:t>（1）</w:t>
      </w:r>
      <w:r>
        <w:rPr>
          <w:rFonts w:hint="eastAsia" w:ascii="宋体" w:hAnsi="宋体" w:cs="宋体"/>
          <w:color w:val="auto"/>
          <w:kern w:val="0"/>
          <w:szCs w:val="21"/>
        </w:rPr>
        <w:t>对于投标文件中含义不明确、同类问题表述不一致或者有明显文字和计算错误的内容，评标委员会将以书面形式（或通过“政府采购云平台”在线询标）的形式要求投标供应商在规定的时间内作出必要的澄清、说明或者补正，投标供应商澄清、说明或补正时间为30分钟。</w:t>
      </w:r>
    </w:p>
    <w:p w14:paraId="650F780E">
      <w:pPr>
        <w:spacing w:line="420" w:lineRule="exact"/>
        <w:ind w:firstLine="420" w:firstLineChars="200"/>
        <w:rPr>
          <w:rFonts w:ascii="宋体" w:hAnsi="宋体" w:cs="宋体"/>
          <w:color w:val="auto"/>
          <w:kern w:val="0"/>
          <w:szCs w:val="21"/>
        </w:rPr>
      </w:pPr>
      <w:r>
        <w:rPr>
          <w:rFonts w:hint="eastAsia" w:ascii="宋体" w:hAnsi="宋体" w:cs="宋体"/>
          <w:color w:val="auto"/>
          <w:szCs w:val="21"/>
        </w:rPr>
        <w:t>（2）</w:t>
      </w:r>
      <w:r>
        <w:rPr>
          <w:rFonts w:hint="eastAsia" w:ascii="宋体" w:hAnsi="宋体" w:cs="宋体"/>
          <w:color w:val="auto"/>
          <w:kern w:val="0"/>
          <w:szCs w:val="21"/>
        </w:rPr>
        <w:t>投标供应商的澄清、说明或者补正应当采用书面（或通过“政府采购云平台”在线答复）形式提交，并加盖公章，或者由法定代表人或其授权的代表签字。投标供应商的澄清、说明或者补正不得超出投标文件的范围或者改变投标文件的实质性内容。</w:t>
      </w:r>
    </w:p>
    <w:p w14:paraId="6243084C">
      <w:pPr>
        <w:pStyle w:val="15"/>
        <w:tabs>
          <w:tab w:val="left" w:pos="630"/>
        </w:tabs>
        <w:snapToGrid w:val="0"/>
        <w:spacing w:line="420" w:lineRule="exact"/>
        <w:ind w:firstLine="422" w:firstLineChars="200"/>
        <w:rPr>
          <w:rFonts w:hAnsi="宋体"/>
          <w:b/>
          <w:color w:val="auto"/>
          <w:szCs w:val="21"/>
        </w:rPr>
      </w:pPr>
      <w:r>
        <w:rPr>
          <w:rFonts w:hint="eastAsia" w:hAnsi="宋体"/>
          <w:b/>
          <w:color w:val="auto"/>
          <w:szCs w:val="21"/>
        </w:rPr>
        <w:t>（五）错误修正</w:t>
      </w:r>
    </w:p>
    <w:p w14:paraId="4F65071D">
      <w:pPr>
        <w:pStyle w:val="15"/>
        <w:snapToGrid w:val="0"/>
        <w:spacing w:line="420" w:lineRule="exact"/>
        <w:ind w:firstLine="420" w:firstLineChars="200"/>
        <w:rPr>
          <w:rFonts w:hAnsi="宋体"/>
          <w:color w:val="auto"/>
          <w:szCs w:val="21"/>
        </w:rPr>
      </w:pPr>
      <w:r>
        <w:rPr>
          <w:rFonts w:hint="eastAsia" w:hAnsi="宋体"/>
          <w:color w:val="auto"/>
          <w:szCs w:val="21"/>
        </w:rPr>
        <w:t>投标文件如果出现计算或表达上的错误，修正错误的原则如下：</w:t>
      </w:r>
    </w:p>
    <w:p w14:paraId="193652EA">
      <w:pPr>
        <w:snapToGrid w:val="0"/>
        <w:spacing w:line="420" w:lineRule="exact"/>
        <w:ind w:firstLine="420" w:firstLineChars="200"/>
        <w:rPr>
          <w:rFonts w:ascii="宋体" w:hAnsi="宋体" w:cs="宋体"/>
          <w:color w:val="auto"/>
          <w:szCs w:val="21"/>
        </w:rPr>
      </w:pPr>
      <w:r>
        <w:rPr>
          <w:rFonts w:hint="eastAsia" w:ascii="宋体" w:hAnsi="宋体" w:cs="宋体"/>
          <w:color w:val="auto"/>
          <w:szCs w:val="21"/>
        </w:rPr>
        <w:t>1</w:t>
      </w:r>
      <w:r>
        <w:rPr>
          <w:rFonts w:hint="eastAsia" w:ascii="宋体" w:hAnsi="宋体" w:cs="宋体"/>
          <w:color w:val="auto"/>
          <w:szCs w:val="21"/>
          <w:lang w:val="en-US" w:eastAsia="zh-CN"/>
        </w:rPr>
        <w:t>.</w:t>
      </w:r>
      <w:r>
        <w:rPr>
          <w:rFonts w:hint="eastAsia" w:ascii="宋体" w:hAnsi="宋体" w:cs="宋体"/>
          <w:color w:val="auto"/>
          <w:szCs w:val="21"/>
        </w:rPr>
        <w:t>开标一览表总价与投标报价明细表汇总数不一致的，</w:t>
      </w:r>
      <w:r>
        <w:rPr>
          <w:rFonts w:hint="eastAsia" w:ascii="宋体" w:hAnsi="宋体" w:cs="宋体"/>
          <w:color w:val="auto"/>
          <w:kern w:val="0"/>
          <w:szCs w:val="21"/>
        </w:rPr>
        <w:t>以开标一览表为准；</w:t>
      </w:r>
    </w:p>
    <w:p w14:paraId="4E303E31">
      <w:pPr>
        <w:pStyle w:val="15"/>
        <w:snapToGrid w:val="0"/>
        <w:spacing w:line="420" w:lineRule="exact"/>
        <w:ind w:firstLine="420" w:firstLineChars="200"/>
        <w:rPr>
          <w:rFonts w:hAnsi="宋体"/>
          <w:color w:val="auto"/>
          <w:szCs w:val="21"/>
        </w:rPr>
      </w:pPr>
      <w:r>
        <w:rPr>
          <w:rFonts w:hint="eastAsia" w:hAnsi="宋体"/>
          <w:color w:val="auto"/>
          <w:szCs w:val="21"/>
        </w:rPr>
        <w:t>2</w:t>
      </w:r>
      <w:r>
        <w:rPr>
          <w:rFonts w:hint="eastAsia" w:hAnsi="宋体"/>
          <w:color w:val="auto"/>
          <w:szCs w:val="21"/>
          <w:lang w:val="en-US" w:eastAsia="zh-CN"/>
        </w:rPr>
        <w:t>.</w:t>
      </w:r>
      <w:r>
        <w:rPr>
          <w:rFonts w:hint="eastAsia" w:hAnsi="宋体"/>
          <w:color w:val="auto"/>
          <w:szCs w:val="21"/>
        </w:rPr>
        <w:t>投标文件的大写金额和小写金额不一致的，以大写金额为准；</w:t>
      </w:r>
    </w:p>
    <w:p w14:paraId="19E84874">
      <w:pPr>
        <w:pStyle w:val="15"/>
        <w:snapToGrid w:val="0"/>
        <w:spacing w:line="420" w:lineRule="exact"/>
        <w:ind w:firstLine="420" w:firstLineChars="200"/>
        <w:rPr>
          <w:rFonts w:hAnsi="宋体"/>
          <w:color w:val="auto"/>
          <w:szCs w:val="21"/>
        </w:rPr>
      </w:pPr>
      <w:r>
        <w:rPr>
          <w:rFonts w:hint="eastAsia" w:hAnsi="宋体"/>
          <w:color w:val="auto"/>
          <w:szCs w:val="21"/>
        </w:rPr>
        <w:t>3</w:t>
      </w:r>
      <w:r>
        <w:rPr>
          <w:rFonts w:hint="eastAsia" w:hAnsi="宋体"/>
          <w:color w:val="auto"/>
          <w:szCs w:val="21"/>
          <w:lang w:val="en-US" w:eastAsia="zh-CN"/>
        </w:rPr>
        <w:t>.</w:t>
      </w:r>
      <w:r>
        <w:rPr>
          <w:rFonts w:hint="eastAsia" w:hAnsi="宋体"/>
          <w:color w:val="auto"/>
          <w:szCs w:val="21"/>
        </w:rPr>
        <w:t>总价金额与按单价汇总金额不一致的，以单价金额计算结果为准；</w:t>
      </w:r>
    </w:p>
    <w:p w14:paraId="66776F62">
      <w:pPr>
        <w:pStyle w:val="15"/>
        <w:snapToGrid w:val="0"/>
        <w:spacing w:line="420" w:lineRule="exact"/>
        <w:ind w:firstLine="420" w:firstLineChars="200"/>
        <w:rPr>
          <w:rFonts w:hAnsi="宋体"/>
          <w:color w:val="auto"/>
          <w:szCs w:val="21"/>
        </w:rPr>
      </w:pPr>
      <w:r>
        <w:rPr>
          <w:rFonts w:hint="eastAsia" w:hAnsi="宋体"/>
          <w:color w:val="auto"/>
          <w:szCs w:val="21"/>
        </w:rPr>
        <w:t>4</w:t>
      </w:r>
      <w:r>
        <w:rPr>
          <w:rFonts w:hint="eastAsia" w:hAnsi="宋体"/>
          <w:color w:val="auto"/>
          <w:szCs w:val="21"/>
          <w:lang w:val="en-US" w:eastAsia="zh-CN"/>
        </w:rPr>
        <w:t>.</w:t>
      </w:r>
      <w:r>
        <w:rPr>
          <w:rFonts w:hint="eastAsia" w:hAnsi="宋体"/>
          <w:color w:val="auto"/>
          <w:szCs w:val="21"/>
        </w:rPr>
        <w:t>对不同文字文本投标文件的解释发生异议的，以中文文本为准；</w:t>
      </w:r>
    </w:p>
    <w:p w14:paraId="38CE325B">
      <w:pPr>
        <w:pStyle w:val="15"/>
        <w:tabs>
          <w:tab w:val="left" w:pos="630"/>
        </w:tabs>
        <w:snapToGrid w:val="0"/>
        <w:spacing w:line="420" w:lineRule="exact"/>
        <w:ind w:firstLine="422" w:firstLineChars="200"/>
        <w:rPr>
          <w:rFonts w:hAnsi="宋体"/>
          <w:b/>
          <w:color w:val="auto"/>
          <w:szCs w:val="21"/>
        </w:rPr>
      </w:pPr>
      <w:r>
        <w:rPr>
          <w:rFonts w:hint="eastAsia" w:hAnsi="宋体"/>
          <w:b/>
          <w:color w:val="auto"/>
          <w:szCs w:val="21"/>
        </w:rPr>
        <w:t>（六）评标原则和评标办法</w:t>
      </w:r>
    </w:p>
    <w:p w14:paraId="3A62CA7D">
      <w:pPr>
        <w:pStyle w:val="15"/>
        <w:snapToGrid w:val="0"/>
        <w:spacing w:line="420" w:lineRule="exact"/>
        <w:ind w:firstLine="420" w:firstLineChars="200"/>
        <w:rPr>
          <w:rFonts w:hAnsi="宋体"/>
          <w:color w:val="auto"/>
          <w:szCs w:val="21"/>
        </w:rPr>
      </w:pPr>
      <w:r>
        <w:rPr>
          <w:rFonts w:hint="eastAsia" w:hAnsi="宋体"/>
          <w:color w:val="auto"/>
          <w:szCs w:val="21"/>
        </w:rPr>
        <w:t>1</w:t>
      </w:r>
      <w:r>
        <w:rPr>
          <w:rFonts w:hint="eastAsia" w:hAnsi="宋体"/>
          <w:color w:val="auto"/>
          <w:szCs w:val="21"/>
          <w:lang w:val="en-US" w:eastAsia="zh-CN"/>
        </w:rPr>
        <w:t>.</w:t>
      </w:r>
      <w:r>
        <w:rPr>
          <w:rFonts w:hint="eastAsia" w:hAnsi="宋体"/>
          <w:color w:val="auto"/>
          <w:szCs w:val="21"/>
        </w:rPr>
        <w:t>评标原则。评标委员会必须公平、公正、客观，不带任何倾向性和启发性；不得向外界透露任何与评标有关的内容；任何单位和个人不得干扰、影响评标的正常进行；评标委员会及有关工作人员不得私下与供应商接触。</w:t>
      </w:r>
    </w:p>
    <w:p w14:paraId="31B41FF7">
      <w:pPr>
        <w:pStyle w:val="15"/>
        <w:snapToGrid w:val="0"/>
        <w:spacing w:line="420" w:lineRule="exact"/>
        <w:ind w:firstLine="420" w:firstLineChars="200"/>
        <w:rPr>
          <w:rFonts w:hAnsi="宋体"/>
          <w:color w:val="auto"/>
          <w:szCs w:val="21"/>
        </w:rPr>
      </w:pPr>
      <w:r>
        <w:rPr>
          <w:rFonts w:hint="eastAsia" w:hAnsi="宋体"/>
          <w:color w:val="auto"/>
          <w:szCs w:val="21"/>
        </w:rPr>
        <w:t>2</w:t>
      </w:r>
      <w:r>
        <w:rPr>
          <w:rFonts w:hint="eastAsia" w:hAnsi="宋体"/>
          <w:color w:val="auto"/>
          <w:szCs w:val="21"/>
          <w:lang w:val="en-US" w:eastAsia="zh-CN"/>
        </w:rPr>
        <w:t>.</w:t>
      </w:r>
      <w:r>
        <w:rPr>
          <w:rFonts w:hint="eastAsia" w:hAnsi="宋体"/>
          <w:color w:val="auto"/>
          <w:szCs w:val="21"/>
        </w:rPr>
        <w:t>评标办法。本项目评标办法是 综合评分法 ，具体评标内容及评分标准等详见《第四章：评标办法及评分标准》。</w:t>
      </w:r>
    </w:p>
    <w:p w14:paraId="61963107">
      <w:pPr>
        <w:pStyle w:val="15"/>
        <w:snapToGrid w:val="0"/>
        <w:spacing w:line="420" w:lineRule="exact"/>
        <w:ind w:firstLine="422" w:firstLineChars="200"/>
        <w:rPr>
          <w:rFonts w:hAnsi="宋体"/>
          <w:b/>
          <w:color w:val="auto"/>
          <w:szCs w:val="21"/>
        </w:rPr>
      </w:pPr>
      <w:r>
        <w:rPr>
          <w:rFonts w:hint="eastAsia" w:hAnsi="宋体"/>
          <w:b/>
          <w:color w:val="auto"/>
          <w:szCs w:val="21"/>
        </w:rPr>
        <w:t>（七）评标过程的监控</w:t>
      </w:r>
    </w:p>
    <w:p w14:paraId="66EBBB41">
      <w:pPr>
        <w:pStyle w:val="15"/>
        <w:snapToGrid w:val="0"/>
        <w:spacing w:line="420" w:lineRule="exact"/>
        <w:ind w:firstLine="420" w:firstLineChars="200"/>
        <w:rPr>
          <w:rFonts w:hAnsi="宋体"/>
          <w:color w:val="auto"/>
          <w:szCs w:val="21"/>
        </w:rPr>
      </w:pPr>
      <w:r>
        <w:rPr>
          <w:rFonts w:hint="eastAsia" w:hAnsi="宋体"/>
          <w:color w:val="auto"/>
          <w:szCs w:val="21"/>
        </w:rPr>
        <w:t>本项目评标过程实行全程录音、录像监控。供应商在评标过程中所进行的试图影响评标结果的不公正活动，可能导致其投标被拒绝。</w:t>
      </w:r>
    </w:p>
    <w:p w14:paraId="7B2A8D4D">
      <w:pPr>
        <w:pStyle w:val="15"/>
        <w:snapToGrid w:val="0"/>
        <w:spacing w:line="420" w:lineRule="exact"/>
        <w:ind w:firstLine="413" w:firstLineChars="196"/>
        <w:jc w:val="center"/>
        <w:outlineLvl w:val="1"/>
        <w:rPr>
          <w:rFonts w:hAnsi="宋体"/>
          <w:b/>
          <w:color w:val="auto"/>
          <w:szCs w:val="21"/>
        </w:rPr>
      </w:pPr>
      <w:bookmarkStart w:id="60" w:name="_Toc33535371"/>
    </w:p>
    <w:p w14:paraId="351008B7">
      <w:pPr>
        <w:pStyle w:val="15"/>
        <w:snapToGrid w:val="0"/>
        <w:spacing w:line="420" w:lineRule="exact"/>
        <w:ind w:firstLine="551" w:firstLineChars="196"/>
        <w:jc w:val="center"/>
        <w:outlineLvl w:val="1"/>
        <w:rPr>
          <w:rFonts w:hAnsi="宋体"/>
          <w:b/>
          <w:color w:val="auto"/>
          <w:sz w:val="28"/>
          <w:szCs w:val="28"/>
        </w:rPr>
      </w:pPr>
      <w:r>
        <w:rPr>
          <w:rFonts w:hint="eastAsia" w:hAnsi="宋体"/>
          <w:b/>
          <w:color w:val="auto"/>
          <w:sz w:val="28"/>
          <w:szCs w:val="28"/>
        </w:rPr>
        <w:t>六、定标</w:t>
      </w:r>
      <w:bookmarkEnd w:id="60"/>
    </w:p>
    <w:p w14:paraId="1D12E62B">
      <w:pPr>
        <w:pStyle w:val="15"/>
        <w:snapToGrid w:val="0"/>
        <w:spacing w:line="420" w:lineRule="exact"/>
        <w:ind w:firstLine="413" w:firstLineChars="196"/>
        <w:rPr>
          <w:rFonts w:hAnsi="宋体"/>
          <w:b/>
          <w:bCs/>
          <w:color w:val="auto"/>
          <w:szCs w:val="21"/>
        </w:rPr>
      </w:pPr>
      <w:r>
        <w:rPr>
          <w:rFonts w:hint="eastAsia" w:hAnsi="宋体"/>
          <w:b/>
          <w:bCs/>
          <w:color w:val="auto"/>
          <w:szCs w:val="21"/>
        </w:rPr>
        <w:t>（一）确定中标人。</w:t>
      </w:r>
    </w:p>
    <w:p w14:paraId="4992410B">
      <w:pPr>
        <w:snapToGrid w:val="0"/>
        <w:spacing w:line="420" w:lineRule="exact"/>
        <w:ind w:firstLine="420" w:firstLineChars="200"/>
        <w:rPr>
          <w:rFonts w:ascii="宋体" w:hAnsi="宋体" w:cs="宋体"/>
          <w:color w:val="auto"/>
          <w:szCs w:val="21"/>
        </w:rPr>
      </w:pPr>
      <w:r>
        <w:rPr>
          <w:rFonts w:hint="eastAsia" w:ascii="宋体" w:hAnsi="宋体" w:cs="宋体"/>
          <w:color w:val="auto"/>
          <w:szCs w:val="21"/>
        </w:rPr>
        <w:t>1</w:t>
      </w:r>
      <w:r>
        <w:rPr>
          <w:rFonts w:hint="eastAsia" w:ascii="宋体" w:hAnsi="宋体" w:cs="宋体"/>
          <w:color w:val="auto"/>
          <w:szCs w:val="21"/>
          <w:lang w:val="en-US" w:eastAsia="zh-CN"/>
        </w:rPr>
        <w:t>.</w:t>
      </w:r>
      <w:r>
        <w:rPr>
          <w:rFonts w:hint="eastAsia" w:ascii="宋体" w:hAnsi="宋体" w:cs="宋体"/>
          <w:color w:val="auto"/>
          <w:szCs w:val="21"/>
        </w:rPr>
        <w:t>采购代理机构在评标结束后2个工作日内将评标报告交采购人确认，同时在发布采购公告的网站上对评标结果进行公告。</w:t>
      </w:r>
    </w:p>
    <w:p w14:paraId="0D9E3822">
      <w:pPr>
        <w:snapToGrid w:val="0"/>
        <w:spacing w:line="420" w:lineRule="exact"/>
        <w:ind w:firstLine="420" w:firstLineChars="200"/>
        <w:rPr>
          <w:rFonts w:ascii="宋体" w:hAnsi="宋体" w:cs="宋体"/>
          <w:color w:val="auto"/>
          <w:szCs w:val="21"/>
        </w:rPr>
      </w:pPr>
      <w:r>
        <w:rPr>
          <w:rFonts w:hint="eastAsia" w:ascii="宋体" w:hAnsi="宋体" w:cs="宋体"/>
          <w:color w:val="auto"/>
          <w:szCs w:val="21"/>
        </w:rPr>
        <w:t>2</w:t>
      </w:r>
      <w:r>
        <w:rPr>
          <w:rFonts w:hint="eastAsia" w:ascii="宋体" w:hAnsi="宋体" w:cs="宋体"/>
          <w:color w:val="auto"/>
          <w:szCs w:val="21"/>
          <w:lang w:val="en-US" w:eastAsia="zh-CN"/>
        </w:rPr>
        <w:t>.</w:t>
      </w:r>
      <w:r>
        <w:rPr>
          <w:rFonts w:hint="eastAsia" w:ascii="宋体" w:hAnsi="宋体" w:cs="宋体"/>
          <w:color w:val="auto"/>
          <w:szCs w:val="21"/>
        </w:rPr>
        <w:t>供应商对评标结果无异议的，采购人应在收到评标报告后5个工作日内对评标结果进行确认。如有供应商对评标结果提出质疑的，采购人可在质疑处理完毕后确定中标人。</w:t>
      </w:r>
    </w:p>
    <w:p w14:paraId="783A35B3">
      <w:pPr>
        <w:snapToGrid w:val="0"/>
        <w:spacing w:line="420" w:lineRule="exact"/>
        <w:ind w:firstLine="420" w:firstLineChars="200"/>
        <w:rPr>
          <w:rFonts w:ascii="宋体" w:hAnsi="宋体" w:cs="宋体"/>
          <w:color w:val="auto"/>
          <w:szCs w:val="21"/>
        </w:rPr>
      </w:pPr>
      <w:r>
        <w:rPr>
          <w:rFonts w:hint="eastAsia" w:ascii="宋体" w:hAnsi="宋体" w:cs="宋体"/>
          <w:color w:val="auto"/>
          <w:szCs w:val="21"/>
        </w:rPr>
        <w:t>3.在公告中标结果的同时，采购代理机构向中标人发出中标通知书。</w:t>
      </w:r>
    </w:p>
    <w:p w14:paraId="78787F62">
      <w:pPr>
        <w:pStyle w:val="15"/>
        <w:snapToGrid w:val="0"/>
        <w:spacing w:line="420" w:lineRule="exact"/>
        <w:ind w:firstLine="413" w:firstLineChars="196"/>
        <w:jc w:val="center"/>
        <w:outlineLvl w:val="1"/>
        <w:rPr>
          <w:rFonts w:hAnsi="宋体"/>
          <w:b/>
          <w:color w:val="auto"/>
          <w:szCs w:val="21"/>
        </w:rPr>
      </w:pPr>
      <w:bookmarkStart w:id="61" w:name="_Toc33535372"/>
    </w:p>
    <w:p w14:paraId="642A1B12">
      <w:pPr>
        <w:pStyle w:val="15"/>
        <w:snapToGrid w:val="0"/>
        <w:spacing w:line="420" w:lineRule="exact"/>
        <w:ind w:firstLine="551" w:firstLineChars="196"/>
        <w:jc w:val="center"/>
        <w:outlineLvl w:val="1"/>
        <w:rPr>
          <w:rFonts w:hAnsi="宋体"/>
          <w:b/>
          <w:color w:val="auto"/>
          <w:sz w:val="28"/>
          <w:szCs w:val="28"/>
        </w:rPr>
      </w:pPr>
      <w:r>
        <w:rPr>
          <w:rFonts w:hint="eastAsia" w:hAnsi="宋体"/>
          <w:b/>
          <w:color w:val="auto"/>
          <w:sz w:val="28"/>
          <w:szCs w:val="28"/>
        </w:rPr>
        <w:t>七、合同授予</w:t>
      </w:r>
      <w:bookmarkEnd w:id="61"/>
    </w:p>
    <w:p w14:paraId="1A5B1705">
      <w:pPr>
        <w:snapToGrid w:val="0"/>
        <w:spacing w:line="420" w:lineRule="exact"/>
        <w:ind w:firstLine="413" w:firstLineChars="196"/>
        <w:rPr>
          <w:rFonts w:ascii="宋体" w:hAnsi="宋体" w:cs="宋体"/>
          <w:b/>
          <w:bCs/>
          <w:color w:val="auto"/>
          <w:szCs w:val="21"/>
        </w:rPr>
      </w:pPr>
      <w:r>
        <w:rPr>
          <w:rFonts w:hint="eastAsia" w:ascii="宋体" w:hAnsi="宋体" w:cs="宋体"/>
          <w:b/>
          <w:bCs/>
          <w:color w:val="auto"/>
          <w:szCs w:val="21"/>
        </w:rPr>
        <w:t>（一）签订合同</w:t>
      </w:r>
    </w:p>
    <w:p w14:paraId="0DEA0429">
      <w:pPr>
        <w:snapToGrid w:val="0"/>
        <w:spacing w:line="420" w:lineRule="exact"/>
        <w:ind w:firstLine="420" w:firstLineChars="200"/>
        <w:rPr>
          <w:rFonts w:ascii="宋体" w:hAnsi="宋体" w:cs="宋体"/>
          <w:color w:val="auto"/>
          <w:szCs w:val="21"/>
        </w:rPr>
      </w:pPr>
      <w:r>
        <w:rPr>
          <w:rFonts w:hint="eastAsia" w:ascii="宋体" w:hAnsi="宋体" w:cs="宋体"/>
          <w:color w:val="auto"/>
          <w:szCs w:val="21"/>
        </w:rPr>
        <w:t>1</w:t>
      </w:r>
      <w:r>
        <w:rPr>
          <w:rFonts w:hint="eastAsia" w:ascii="宋体" w:hAnsi="宋体" w:cs="宋体"/>
          <w:color w:val="auto"/>
          <w:szCs w:val="21"/>
          <w:lang w:val="en-US" w:eastAsia="zh-CN"/>
        </w:rPr>
        <w:t>.</w:t>
      </w:r>
      <w:r>
        <w:rPr>
          <w:rFonts w:hint="eastAsia" w:ascii="宋体" w:hAnsi="宋体" w:cs="宋体"/>
          <w:color w:val="auto"/>
          <w:szCs w:val="21"/>
        </w:rPr>
        <w:t>采购人与中标人应当在《中标通知书》发出之日起30日内签订政府采购合同。同时，采购机构对合同内容进行审查，如发现与采购结果和投标承诺内容不一致的，将予以纠正。</w:t>
      </w:r>
    </w:p>
    <w:p w14:paraId="77FC9E98">
      <w:pPr>
        <w:snapToGrid w:val="0"/>
        <w:spacing w:line="420" w:lineRule="exact"/>
        <w:ind w:firstLine="420" w:firstLineChars="200"/>
        <w:rPr>
          <w:rFonts w:ascii="宋体" w:hAnsi="宋体" w:cs="宋体"/>
          <w:color w:val="auto"/>
          <w:szCs w:val="21"/>
        </w:rPr>
      </w:pPr>
      <w:r>
        <w:rPr>
          <w:rFonts w:hint="eastAsia" w:ascii="宋体" w:hAnsi="宋体" w:cs="宋体"/>
          <w:color w:val="auto"/>
          <w:szCs w:val="21"/>
        </w:rPr>
        <w:t>2</w:t>
      </w:r>
      <w:r>
        <w:rPr>
          <w:rFonts w:hint="eastAsia" w:ascii="宋体" w:hAnsi="宋体" w:cs="宋体"/>
          <w:color w:val="auto"/>
          <w:szCs w:val="21"/>
          <w:lang w:val="en-US" w:eastAsia="zh-CN"/>
        </w:rPr>
        <w:t>.</w:t>
      </w:r>
      <w:r>
        <w:rPr>
          <w:rFonts w:hint="eastAsia" w:ascii="宋体" w:hAnsi="宋体" w:cs="宋体"/>
          <w:color w:val="auto"/>
          <w:szCs w:val="21"/>
        </w:rPr>
        <w:t>中标人拖延、拒签合同的，将被取消中标资格，并报监督管理部门。采购人可以按照评审报告推荐的中标或者成交候选人名单排序，确定下一候选人为中标或者成交供应商，也可以重新开展政府采购活动。</w:t>
      </w:r>
    </w:p>
    <w:p w14:paraId="55261890">
      <w:pPr>
        <w:pStyle w:val="15"/>
        <w:snapToGrid w:val="0"/>
        <w:spacing w:line="420" w:lineRule="exact"/>
        <w:ind w:firstLine="551" w:firstLineChars="196"/>
        <w:jc w:val="center"/>
        <w:outlineLvl w:val="1"/>
        <w:rPr>
          <w:rFonts w:hAnsi="宋体"/>
          <w:b/>
          <w:color w:val="auto"/>
          <w:sz w:val="28"/>
          <w:szCs w:val="28"/>
          <w:highlight w:val="none"/>
        </w:rPr>
      </w:pPr>
      <w:r>
        <w:rPr>
          <w:rFonts w:hint="eastAsia" w:ascii="宋体" w:hAnsi="宋体" w:eastAsia="宋体"/>
          <w:b/>
          <w:color w:val="auto"/>
          <w:sz w:val="28"/>
          <w:szCs w:val="28"/>
          <w:highlight w:val="none"/>
        </w:rPr>
        <w:t>八、招标代理费</w:t>
      </w:r>
    </w:p>
    <w:p w14:paraId="264E74BF">
      <w:pPr>
        <w:snapToGrid w:val="0"/>
        <w:spacing w:line="420" w:lineRule="exact"/>
        <w:ind w:firstLine="420" w:firstLineChars="200"/>
        <w:jc w:val="left"/>
        <w:rPr>
          <w:rFonts w:ascii="宋体" w:hAnsi="宋体"/>
          <w:color w:val="auto"/>
          <w:szCs w:val="21"/>
          <w:highlight w:val="none"/>
        </w:rPr>
      </w:pPr>
      <w:r>
        <w:rPr>
          <w:rFonts w:ascii="宋体" w:hAnsi="宋体" w:eastAsia="宋体"/>
          <w:color w:val="auto"/>
          <w:sz w:val="21"/>
          <w:szCs w:val="21"/>
          <w:highlight w:val="none"/>
        </w:rPr>
        <w:t>1</w:t>
      </w:r>
      <w:r>
        <w:rPr>
          <w:rFonts w:hint="eastAsia" w:ascii="宋体" w:hAnsi="宋体"/>
          <w:color w:val="auto"/>
          <w:sz w:val="21"/>
          <w:szCs w:val="21"/>
          <w:highlight w:val="none"/>
          <w:lang w:val="en-US" w:eastAsia="zh-CN"/>
        </w:rPr>
        <w:t>.</w:t>
      </w:r>
      <w:r>
        <w:rPr>
          <w:rFonts w:ascii="宋体" w:hAnsi="宋体" w:eastAsia="宋体"/>
          <w:color w:val="auto"/>
          <w:sz w:val="21"/>
          <w:szCs w:val="21"/>
          <w:highlight w:val="none"/>
        </w:rPr>
        <w:t>本项目招标代理服务费按《招标代理服务收费管理暂行办法》（原国家计委计价格〔2002〕1980号）收费标准计取，由中标供应商支付。</w:t>
      </w:r>
    </w:p>
    <w:p w14:paraId="63C7B3A7">
      <w:pPr>
        <w:snapToGrid w:val="0"/>
        <w:spacing w:line="420" w:lineRule="exact"/>
        <w:ind w:firstLine="420" w:firstLineChars="200"/>
        <w:jc w:val="left"/>
        <w:rPr>
          <w:rFonts w:ascii="宋体" w:hAnsi="宋体"/>
          <w:color w:val="auto"/>
          <w:szCs w:val="21"/>
          <w:highlight w:val="none"/>
        </w:rPr>
      </w:pPr>
      <w:r>
        <w:rPr>
          <w:rFonts w:ascii="宋体" w:hAnsi="宋体" w:eastAsia="宋体"/>
          <w:color w:val="auto"/>
          <w:sz w:val="21"/>
          <w:szCs w:val="21"/>
          <w:highlight w:val="none"/>
        </w:rPr>
        <w:t>2</w:t>
      </w:r>
      <w:r>
        <w:rPr>
          <w:rFonts w:hint="eastAsia" w:ascii="宋体" w:hAnsi="宋体"/>
          <w:color w:val="auto"/>
          <w:sz w:val="21"/>
          <w:szCs w:val="21"/>
          <w:highlight w:val="none"/>
          <w:lang w:val="en-US" w:eastAsia="zh-CN"/>
        </w:rPr>
        <w:t>.</w:t>
      </w:r>
      <w:r>
        <w:rPr>
          <w:rFonts w:ascii="宋体" w:hAnsi="宋体" w:eastAsia="宋体"/>
          <w:color w:val="auto"/>
          <w:sz w:val="21"/>
          <w:szCs w:val="21"/>
          <w:highlight w:val="none"/>
        </w:rPr>
        <w:t>服务费的货币为人民币。</w:t>
      </w:r>
    </w:p>
    <w:p w14:paraId="790F17B8">
      <w:pPr>
        <w:snapToGrid w:val="0"/>
        <w:spacing w:line="420" w:lineRule="exact"/>
        <w:ind w:firstLine="420" w:firstLineChars="200"/>
        <w:jc w:val="left"/>
        <w:rPr>
          <w:rFonts w:ascii="宋体" w:hAnsi="宋体"/>
          <w:color w:val="auto"/>
          <w:szCs w:val="21"/>
          <w:highlight w:val="none"/>
        </w:rPr>
      </w:pPr>
      <w:r>
        <w:rPr>
          <w:rFonts w:ascii="宋体" w:hAnsi="宋体" w:eastAsia="宋体"/>
          <w:color w:val="auto"/>
          <w:sz w:val="21"/>
          <w:szCs w:val="21"/>
          <w:highlight w:val="none"/>
        </w:rPr>
        <w:t>3</w:t>
      </w:r>
      <w:r>
        <w:rPr>
          <w:rFonts w:hint="eastAsia" w:ascii="宋体" w:hAnsi="宋体"/>
          <w:color w:val="auto"/>
          <w:sz w:val="21"/>
          <w:szCs w:val="21"/>
          <w:highlight w:val="none"/>
          <w:lang w:val="en-US" w:eastAsia="zh-CN"/>
        </w:rPr>
        <w:t>.</w:t>
      </w:r>
      <w:r>
        <w:rPr>
          <w:rFonts w:ascii="宋体" w:hAnsi="宋体" w:eastAsia="宋体"/>
          <w:color w:val="auto"/>
          <w:sz w:val="21"/>
          <w:szCs w:val="21"/>
          <w:highlight w:val="none"/>
        </w:rPr>
        <w:t>服务费支付方式：一次性以银行划账、电汇、汇票或支票的形式支付。</w:t>
      </w:r>
    </w:p>
    <w:p w14:paraId="2AA733D7">
      <w:pPr>
        <w:snapToGrid w:val="0"/>
        <w:spacing w:line="420" w:lineRule="exact"/>
        <w:ind w:firstLine="420" w:firstLineChars="200"/>
        <w:jc w:val="left"/>
        <w:rPr>
          <w:rFonts w:ascii="宋体" w:hAnsi="宋体"/>
          <w:color w:val="auto"/>
          <w:szCs w:val="21"/>
          <w:highlight w:val="none"/>
        </w:rPr>
      </w:pPr>
      <w:r>
        <w:rPr>
          <w:rFonts w:ascii="宋体" w:hAnsi="宋体" w:eastAsia="宋体"/>
          <w:color w:val="auto"/>
          <w:sz w:val="21"/>
          <w:szCs w:val="21"/>
          <w:highlight w:val="none"/>
        </w:rPr>
        <w:t>4</w:t>
      </w:r>
      <w:r>
        <w:rPr>
          <w:rFonts w:hint="eastAsia" w:ascii="宋体" w:hAnsi="宋体"/>
          <w:color w:val="auto"/>
          <w:sz w:val="21"/>
          <w:szCs w:val="21"/>
          <w:highlight w:val="none"/>
          <w:lang w:val="en-US" w:eastAsia="zh-CN"/>
        </w:rPr>
        <w:t>.</w:t>
      </w:r>
      <w:r>
        <w:rPr>
          <w:rFonts w:ascii="宋体" w:hAnsi="宋体" w:eastAsia="宋体"/>
          <w:color w:val="auto"/>
          <w:sz w:val="21"/>
          <w:szCs w:val="21"/>
          <w:highlight w:val="none"/>
        </w:rPr>
        <w:t>服务费以银行划账方式按下列要求提交：</w:t>
      </w:r>
    </w:p>
    <w:p w14:paraId="0A0EBD1C">
      <w:pPr>
        <w:widowControl/>
        <w:tabs>
          <w:tab w:val="left" w:pos="848"/>
        </w:tabs>
        <w:snapToGrid w:val="0"/>
        <w:spacing w:line="420" w:lineRule="exact"/>
        <w:ind w:firstLine="843" w:firstLineChars="400"/>
        <w:jc w:val="left"/>
        <w:rPr>
          <w:rFonts w:ascii="宋体" w:hAnsi="宋体"/>
          <w:b/>
          <w:bCs/>
          <w:color w:val="auto"/>
          <w:szCs w:val="21"/>
          <w:highlight w:val="none"/>
        </w:rPr>
      </w:pPr>
      <w:r>
        <w:rPr>
          <w:rFonts w:hint="eastAsia" w:ascii="宋体" w:hAnsi="宋体" w:eastAsia="宋体"/>
          <w:b/>
          <w:bCs/>
          <w:color w:val="auto"/>
          <w:sz w:val="21"/>
          <w:szCs w:val="21"/>
          <w:highlight w:val="none"/>
        </w:rPr>
        <w:t>户名：舟山市嘉嵊咨询管理有限公司</w:t>
      </w:r>
    </w:p>
    <w:p w14:paraId="61C16DBA">
      <w:pPr>
        <w:widowControl/>
        <w:tabs>
          <w:tab w:val="left" w:pos="848"/>
        </w:tabs>
        <w:snapToGrid w:val="0"/>
        <w:spacing w:line="420" w:lineRule="exact"/>
        <w:ind w:firstLine="843" w:firstLineChars="400"/>
        <w:jc w:val="left"/>
        <w:rPr>
          <w:rFonts w:ascii="宋体" w:hAnsi="宋体"/>
          <w:b/>
          <w:bCs/>
          <w:color w:val="auto"/>
          <w:szCs w:val="21"/>
          <w:highlight w:val="none"/>
        </w:rPr>
      </w:pPr>
      <w:r>
        <w:rPr>
          <w:rFonts w:hint="eastAsia" w:ascii="宋体" w:hAnsi="宋体" w:eastAsia="宋体"/>
          <w:b/>
          <w:bCs/>
          <w:color w:val="auto"/>
          <w:sz w:val="21"/>
          <w:szCs w:val="21"/>
          <w:highlight w:val="none"/>
        </w:rPr>
        <w:t>开户银行：中国工商银行股份有限公司嵊泗支行</w:t>
      </w:r>
    </w:p>
    <w:p w14:paraId="4DB4F1C1">
      <w:pPr>
        <w:widowControl/>
        <w:tabs>
          <w:tab w:val="left" w:pos="848"/>
        </w:tabs>
        <w:snapToGrid w:val="0"/>
        <w:spacing w:line="420" w:lineRule="exact"/>
        <w:ind w:firstLine="843" w:firstLineChars="400"/>
        <w:jc w:val="left"/>
        <w:rPr>
          <w:rFonts w:ascii="宋体" w:hAnsi="宋体"/>
          <w:b/>
          <w:bCs/>
          <w:color w:val="auto"/>
          <w:szCs w:val="21"/>
          <w:highlight w:val="none"/>
        </w:rPr>
      </w:pPr>
      <w:r>
        <w:rPr>
          <w:rFonts w:hint="eastAsia" w:ascii="宋体" w:hAnsi="宋体" w:eastAsia="宋体"/>
          <w:b/>
          <w:bCs/>
          <w:color w:val="auto"/>
          <w:sz w:val="21"/>
          <w:szCs w:val="21"/>
          <w:highlight w:val="none"/>
        </w:rPr>
        <w:t>账号：</w:t>
      </w:r>
      <w:r>
        <w:rPr>
          <w:rFonts w:ascii="宋体" w:hAnsi="宋体" w:eastAsia="宋体"/>
          <w:b/>
          <w:bCs/>
          <w:color w:val="auto"/>
          <w:sz w:val="21"/>
          <w:szCs w:val="21"/>
          <w:highlight w:val="none"/>
        </w:rPr>
        <w:t>1206013209200147766</w:t>
      </w:r>
    </w:p>
    <w:p w14:paraId="3F8E166F">
      <w:pPr>
        <w:snapToGrid w:val="0"/>
        <w:spacing w:line="420" w:lineRule="exact"/>
        <w:ind w:firstLine="420" w:firstLineChars="200"/>
        <w:jc w:val="left"/>
        <w:rPr>
          <w:rFonts w:ascii="宋体" w:hAnsi="宋体"/>
          <w:b/>
          <w:color w:val="auto"/>
          <w:sz w:val="30"/>
          <w:szCs w:val="30"/>
          <w:highlight w:val="none"/>
        </w:rPr>
      </w:pPr>
      <w:r>
        <w:rPr>
          <w:rFonts w:ascii="宋体" w:hAnsi="宋体" w:eastAsia="宋体"/>
          <w:color w:val="auto"/>
          <w:sz w:val="21"/>
          <w:szCs w:val="21"/>
          <w:highlight w:val="none"/>
        </w:rPr>
        <w:t>5</w:t>
      </w:r>
      <w:r>
        <w:rPr>
          <w:rFonts w:hint="eastAsia" w:ascii="宋体" w:hAnsi="宋体"/>
          <w:color w:val="auto"/>
          <w:sz w:val="21"/>
          <w:szCs w:val="21"/>
          <w:highlight w:val="none"/>
          <w:lang w:val="en-US" w:eastAsia="zh-CN"/>
        </w:rPr>
        <w:t>.</w:t>
      </w:r>
      <w:r>
        <w:rPr>
          <w:rFonts w:ascii="宋体" w:hAnsi="宋体" w:eastAsia="宋体"/>
          <w:color w:val="auto"/>
          <w:sz w:val="21"/>
          <w:szCs w:val="21"/>
          <w:highlight w:val="none"/>
        </w:rPr>
        <w:t>服务费不在投标报价中单列。</w:t>
      </w:r>
    </w:p>
    <w:p w14:paraId="2D09415F">
      <w:pPr>
        <w:pStyle w:val="15"/>
        <w:spacing w:before="120" w:after="120" w:line="400" w:lineRule="exact"/>
        <w:jc w:val="center"/>
        <w:rPr>
          <w:rFonts w:hint="eastAsia" w:hAnsi="宋体"/>
          <w:b/>
          <w:color w:val="auto"/>
          <w:sz w:val="30"/>
          <w:szCs w:val="30"/>
        </w:rPr>
      </w:pPr>
      <w:r>
        <w:rPr>
          <w:rFonts w:hint="eastAsia" w:hAnsi="宋体"/>
          <w:b/>
          <w:color w:val="auto"/>
          <w:sz w:val="30"/>
          <w:szCs w:val="30"/>
        </w:rPr>
        <w:br w:type="page"/>
      </w:r>
    </w:p>
    <w:p w14:paraId="679D6167">
      <w:pPr>
        <w:pStyle w:val="15"/>
        <w:spacing w:before="120" w:after="120" w:line="400" w:lineRule="exact"/>
        <w:jc w:val="center"/>
        <w:rPr>
          <w:rFonts w:hint="eastAsia" w:hAnsi="宋体"/>
          <w:b/>
          <w:color w:val="auto"/>
          <w:sz w:val="30"/>
          <w:szCs w:val="30"/>
        </w:rPr>
      </w:pPr>
    </w:p>
    <w:p w14:paraId="060F15F6">
      <w:pPr>
        <w:pStyle w:val="15"/>
        <w:spacing w:before="120" w:after="120" w:line="420" w:lineRule="exact"/>
        <w:jc w:val="center"/>
        <w:rPr>
          <w:rFonts w:hAnsi="宋体" w:cs="宋体"/>
          <w:b/>
          <w:color w:val="auto"/>
          <w:sz w:val="30"/>
          <w:szCs w:val="30"/>
          <w:highlight w:val="none"/>
        </w:rPr>
      </w:pPr>
      <w:r>
        <w:rPr>
          <w:rFonts w:hint="eastAsia" w:hAnsi="宋体" w:cs="宋体"/>
          <w:b/>
          <w:color w:val="auto"/>
          <w:sz w:val="32"/>
          <w:szCs w:val="32"/>
          <w:highlight w:val="none"/>
        </w:rPr>
        <w:t>第四章  评标办法及评分标准</w:t>
      </w:r>
    </w:p>
    <w:p w14:paraId="6ACABA12">
      <w:pPr>
        <w:spacing w:line="420" w:lineRule="exact"/>
        <w:ind w:firstLine="420"/>
        <w:rPr>
          <w:rFonts w:ascii="宋体" w:hAnsi="宋体" w:cs="宋体"/>
          <w:color w:val="auto"/>
          <w:szCs w:val="21"/>
          <w:highlight w:val="none"/>
        </w:rPr>
      </w:pPr>
      <w:bookmarkStart w:id="62" w:name="_Toc19362"/>
      <w:bookmarkEnd w:id="62"/>
      <w:r>
        <w:rPr>
          <w:rFonts w:hint="eastAsia" w:ascii="宋体" w:hAnsi="宋体" w:cs="宋体"/>
          <w:color w:val="auto"/>
          <w:szCs w:val="21"/>
          <w:highlight w:val="none"/>
        </w:rPr>
        <w:t>为公正、公平、科学地选择中标人，根据《中华人民共和国政府采购法》等有关法律法规的规定，并结合本项目的实际，按照公正、公平、科学、择优的原则选择中标单位，制定本办法。</w:t>
      </w:r>
    </w:p>
    <w:p w14:paraId="16B67CFC">
      <w:pPr>
        <w:spacing w:line="420" w:lineRule="exact"/>
        <w:rPr>
          <w:rFonts w:ascii="宋体" w:hAnsi="宋体" w:cs="宋体"/>
          <w:b/>
          <w:color w:val="auto"/>
          <w:szCs w:val="21"/>
          <w:highlight w:val="none"/>
        </w:rPr>
      </w:pPr>
      <w:bookmarkStart w:id="63" w:name="_Toc170792813"/>
      <w:r>
        <w:rPr>
          <w:rFonts w:hint="eastAsia" w:ascii="宋体" w:hAnsi="宋体" w:cs="宋体"/>
          <w:b/>
          <w:color w:val="auto"/>
          <w:szCs w:val="21"/>
          <w:highlight w:val="none"/>
        </w:rPr>
        <w:t>一、总则</w:t>
      </w:r>
    </w:p>
    <w:bookmarkEnd w:id="63"/>
    <w:p w14:paraId="4C96F5E0">
      <w:pPr>
        <w:spacing w:line="420" w:lineRule="exact"/>
        <w:ind w:firstLine="420"/>
        <w:rPr>
          <w:rFonts w:ascii="宋体" w:hAnsi="宋体" w:cs="宋体"/>
          <w:color w:val="auto"/>
          <w:szCs w:val="21"/>
          <w:highlight w:val="none"/>
        </w:rPr>
      </w:pPr>
      <w:r>
        <w:rPr>
          <w:rFonts w:hint="eastAsia" w:ascii="宋体" w:hAnsi="宋体" w:cs="宋体"/>
          <w:color w:val="auto"/>
          <w:szCs w:val="21"/>
          <w:highlight w:val="none"/>
        </w:rPr>
        <w:t>本次评标采用综合评分法，其中商务资信技术分</w:t>
      </w:r>
      <w:r>
        <w:rPr>
          <w:rFonts w:hint="eastAsia" w:ascii="宋体" w:hAnsi="宋体" w:cs="宋体"/>
          <w:color w:val="auto"/>
          <w:szCs w:val="21"/>
          <w:highlight w:val="none"/>
          <w:lang w:val="en-US" w:eastAsia="zh-CN"/>
        </w:rPr>
        <w:t>9</w:t>
      </w:r>
      <w:r>
        <w:rPr>
          <w:rFonts w:hint="eastAsia" w:ascii="宋体" w:hAnsi="宋体" w:cs="宋体"/>
          <w:color w:val="auto"/>
          <w:szCs w:val="21"/>
          <w:highlight w:val="none"/>
        </w:rPr>
        <w:t>0分，价格分</w:t>
      </w:r>
      <w:r>
        <w:rPr>
          <w:rFonts w:hint="eastAsia" w:ascii="宋体" w:hAnsi="宋体" w:cs="宋体"/>
          <w:color w:val="auto"/>
          <w:szCs w:val="21"/>
          <w:highlight w:val="none"/>
          <w:lang w:val="en-US" w:eastAsia="zh-CN"/>
        </w:rPr>
        <w:t>1</w:t>
      </w:r>
      <w:r>
        <w:rPr>
          <w:rFonts w:hint="eastAsia" w:ascii="宋体" w:hAnsi="宋体" w:cs="宋体"/>
          <w:color w:val="auto"/>
          <w:szCs w:val="21"/>
          <w:highlight w:val="none"/>
        </w:rPr>
        <w:t>0分，共计100分。合格投标人的评标得分为各项目汇总得分，中标候选资格按评标总得分由高到低顺序排列，得分相同的，按投标报价由低到高顺序排列；得分且投标报价相同的，按技术得分由高到低顺序排列；都相同的，按合格投标人电子投标文件上传的先后顺序排列。</w:t>
      </w:r>
      <w:r>
        <w:rPr>
          <w:rFonts w:hint="eastAsia" w:ascii="宋体" w:hAnsi="宋体" w:cs="宋体"/>
          <w:b/>
          <w:bCs/>
          <w:color w:val="auto"/>
          <w:szCs w:val="21"/>
          <w:highlight w:val="none"/>
        </w:rPr>
        <w:t>总得分第一名的投标人为中标候选人，排名第二的投标人为候补中标候选人，其他投标人中标候</w:t>
      </w:r>
      <w:r>
        <w:rPr>
          <w:rFonts w:hint="eastAsia" w:ascii="宋体" w:hAnsi="宋体" w:cs="宋体"/>
          <w:b/>
          <w:bCs/>
          <w:color w:val="auto"/>
          <w:szCs w:val="21"/>
          <w:highlight w:val="none"/>
          <w:lang w:eastAsia="zh-CN"/>
        </w:rPr>
        <w:t>选人</w:t>
      </w:r>
      <w:r>
        <w:rPr>
          <w:rFonts w:hint="eastAsia" w:ascii="宋体" w:hAnsi="宋体" w:cs="宋体"/>
          <w:b/>
          <w:bCs/>
          <w:color w:val="auto"/>
          <w:szCs w:val="21"/>
          <w:highlight w:val="none"/>
        </w:rPr>
        <w:t>资格</w:t>
      </w:r>
      <w:r>
        <w:rPr>
          <w:rFonts w:hint="eastAsia" w:ascii="宋体" w:hAnsi="宋体" w:cs="宋体"/>
          <w:b/>
          <w:bCs/>
          <w:color w:val="auto"/>
          <w:szCs w:val="21"/>
          <w:highlight w:val="none"/>
          <w:lang w:eastAsia="zh-CN"/>
        </w:rPr>
        <w:t>以此类推</w:t>
      </w:r>
      <w:r>
        <w:rPr>
          <w:rFonts w:hint="eastAsia" w:ascii="宋体" w:hAnsi="宋体" w:cs="宋体"/>
          <w:b/>
          <w:bCs/>
          <w:color w:val="auto"/>
          <w:szCs w:val="21"/>
          <w:highlight w:val="none"/>
        </w:rPr>
        <w:t>。</w:t>
      </w:r>
    </w:p>
    <w:p w14:paraId="23E03ECA">
      <w:pPr>
        <w:spacing w:line="360" w:lineRule="exact"/>
        <w:ind w:firstLine="422"/>
        <w:rPr>
          <w:rFonts w:ascii="宋体" w:hAnsi="宋体" w:cs="Arial"/>
          <w:b/>
          <w:color w:val="auto"/>
          <w:sz w:val="21"/>
          <w:szCs w:val="21"/>
          <w:highlight w:val="none"/>
        </w:rPr>
      </w:pPr>
      <w:r>
        <w:rPr>
          <w:rFonts w:hint="eastAsia" w:ascii="宋体" w:hAnsi="宋体"/>
          <w:b/>
          <w:color w:val="auto"/>
          <w:sz w:val="21"/>
          <w:szCs w:val="21"/>
          <w:highlight w:val="none"/>
        </w:rPr>
        <w:t xml:space="preserve">  1、商务技术分</w:t>
      </w:r>
      <w:r>
        <w:rPr>
          <w:rFonts w:hint="eastAsia" w:ascii="宋体" w:hAnsi="宋体" w:cs="Arial"/>
          <w:b/>
          <w:color w:val="auto"/>
          <w:sz w:val="21"/>
          <w:szCs w:val="21"/>
          <w:highlight w:val="none"/>
        </w:rPr>
        <w:t>（</w:t>
      </w:r>
      <w:r>
        <w:rPr>
          <w:rFonts w:hint="eastAsia" w:ascii="宋体" w:hAnsi="宋体" w:cs="Arial"/>
          <w:b/>
          <w:color w:val="auto"/>
          <w:sz w:val="21"/>
          <w:szCs w:val="21"/>
          <w:highlight w:val="none"/>
          <w:lang w:val="en-US" w:eastAsia="zh-CN"/>
        </w:rPr>
        <w:t>9</w:t>
      </w:r>
      <w:r>
        <w:rPr>
          <w:rFonts w:hint="eastAsia" w:ascii="宋体" w:hAnsi="宋体" w:cs="Arial"/>
          <w:b/>
          <w:color w:val="auto"/>
          <w:sz w:val="21"/>
          <w:szCs w:val="21"/>
          <w:highlight w:val="none"/>
        </w:rPr>
        <w:t>0分）</w:t>
      </w:r>
    </w:p>
    <w:p w14:paraId="48B04BF8">
      <w:pPr>
        <w:spacing w:line="420" w:lineRule="exact"/>
        <w:ind w:firstLine="420"/>
        <w:rPr>
          <w:rFonts w:hint="eastAsia" w:ascii="宋体" w:hAnsi="宋体" w:cs="宋体"/>
          <w:color w:val="auto"/>
          <w:szCs w:val="21"/>
          <w:highlight w:val="none"/>
        </w:rPr>
      </w:pPr>
      <w:r>
        <w:rPr>
          <w:rFonts w:hint="eastAsia" w:ascii="宋体" w:hAnsi="宋体" w:cs="宋体"/>
          <w:color w:val="auto"/>
          <w:szCs w:val="21"/>
          <w:highlight w:val="none"/>
          <w:lang w:val="en-US" w:eastAsia="zh-CN"/>
        </w:rPr>
        <w:t>评审</w:t>
      </w:r>
      <w:r>
        <w:rPr>
          <w:rFonts w:hint="eastAsia" w:ascii="宋体" w:hAnsi="宋体" w:cs="宋体"/>
          <w:color w:val="auto"/>
          <w:szCs w:val="21"/>
          <w:highlight w:val="none"/>
        </w:rPr>
        <w:t>小组成员按下列评分内容和分值范围内独立打分，每人一张评分计算表，由</w:t>
      </w:r>
      <w:r>
        <w:rPr>
          <w:rFonts w:hint="eastAsia" w:ascii="宋体" w:hAnsi="宋体" w:cs="宋体"/>
          <w:color w:val="auto"/>
          <w:szCs w:val="21"/>
          <w:highlight w:val="none"/>
          <w:lang w:val="en-US" w:eastAsia="zh-CN"/>
        </w:rPr>
        <w:t>评审</w:t>
      </w:r>
      <w:r>
        <w:rPr>
          <w:rFonts w:hint="eastAsia" w:ascii="宋体" w:hAnsi="宋体" w:cs="宋体"/>
          <w:color w:val="auto"/>
          <w:szCs w:val="21"/>
          <w:highlight w:val="none"/>
        </w:rPr>
        <w:t>小组成员各自评定打分并记实名，然后将</w:t>
      </w:r>
      <w:r>
        <w:rPr>
          <w:rFonts w:hint="eastAsia" w:ascii="宋体" w:hAnsi="宋体" w:cs="宋体"/>
          <w:color w:val="auto"/>
          <w:szCs w:val="21"/>
          <w:highlight w:val="none"/>
          <w:lang w:val="en-US" w:eastAsia="zh-CN"/>
        </w:rPr>
        <w:t>评审</w:t>
      </w:r>
      <w:r>
        <w:rPr>
          <w:rFonts w:hint="eastAsia" w:ascii="宋体" w:hAnsi="宋体" w:cs="宋体"/>
          <w:color w:val="auto"/>
          <w:szCs w:val="21"/>
          <w:highlight w:val="none"/>
        </w:rPr>
        <w:t>小组各成员汇总分的算术平均值作为该供应商的商务技术最后得分（保留</w:t>
      </w:r>
      <w:r>
        <w:rPr>
          <w:rFonts w:hint="eastAsia" w:ascii="宋体" w:hAnsi="宋体" w:cs="宋体"/>
          <w:color w:val="auto"/>
          <w:szCs w:val="21"/>
          <w:highlight w:val="none"/>
          <w:lang w:eastAsia="zh-CN"/>
        </w:rPr>
        <w:t>两位</w:t>
      </w:r>
      <w:r>
        <w:rPr>
          <w:rFonts w:hint="eastAsia" w:ascii="宋体" w:hAnsi="宋体" w:cs="宋体"/>
          <w:color w:val="auto"/>
          <w:szCs w:val="21"/>
          <w:highlight w:val="none"/>
        </w:rPr>
        <w:t>小数，第三位四舍五入）。</w:t>
      </w:r>
    </w:p>
    <w:p w14:paraId="0EC4C373">
      <w:pPr>
        <w:numPr>
          <w:numId w:val="0"/>
        </w:numPr>
        <w:adjustRightInd w:val="0"/>
        <w:snapToGrid w:val="0"/>
        <w:spacing w:line="420" w:lineRule="exact"/>
        <w:ind w:firstLine="632" w:firstLineChars="300"/>
        <w:rPr>
          <w:rFonts w:hint="default" w:ascii="宋体" w:hAnsi="宋体" w:cs="宋体"/>
          <w:b/>
          <w:color w:val="auto"/>
          <w:szCs w:val="21"/>
          <w:highlight w:val="none"/>
          <w:lang w:val="en-US" w:eastAsia="zh-CN"/>
        </w:rPr>
      </w:pPr>
      <w:r>
        <w:rPr>
          <w:rFonts w:hint="eastAsia" w:ascii="宋体" w:hAnsi="宋体" w:cs="宋体"/>
          <w:b/>
          <w:color w:val="auto"/>
          <w:szCs w:val="21"/>
          <w:highlight w:val="none"/>
          <w:lang w:val="en-US" w:eastAsia="zh-CN"/>
        </w:rPr>
        <w:t>2、评分内容及标准</w:t>
      </w:r>
    </w:p>
    <w:tbl>
      <w:tblPr>
        <w:tblStyle w:val="34"/>
        <w:tblW w:w="927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7"/>
        <w:gridCol w:w="1404"/>
        <w:gridCol w:w="6231"/>
        <w:gridCol w:w="849"/>
      </w:tblGrid>
      <w:tr w14:paraId="430A7D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0" w:hRule="atLeast"/>
        </w:trPr>
        <w:tc>
          <w:tcPr>
            <w:tcW w:w="787" w:type="dxa"/>
            <w:noWrap w:val="0"/>
            <w:vAlign w:val="center"/>
          </w:tcPr>
          <w:p w14:paraId="29BE03D2">
            <w:pPr>
              <w:pStyle w:val="7"/>
              <w:numPr>
                <w:ilvl w:val="0"/>
                <w:numId w:val="0"/>
              </w:numPr>
              <w:tabs>
                <w:tab w:val="left" w:pos="720"/>
              </w:tabs>
              <w:spacing w:line="360" w:lineRule="auto"/>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序号</w:t>
            </w:r>
          </w:p>
        </w:tc>
        <w:tc>
          <w:tcPr>
            <w:tcW w:w="1404" w:type="dxa"/>
            <w:noWrap w:val="0"/>
            <w:vAlign w:val="center"/>
          </w:tcPr>
          <w:p w14:paraId="3D04DECF">
            <w:pPr>
              <w:pStyle w:val="7"/>
              <w:numPr>
                <w:ilvl w:val="0"/>
                <w:numId w:val="0"/>
              </w:numPr>
              <w:tabs>
                <w:tab w:val="left" w:pos="720"/>
              </w:tabs>
              <w:spacing w:line="360" w:lineRule="auto"/>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评分项目</w:t>
            </w:r>
          </w:p>
        </w:tc>
        <w:tc>
          <w:tcPr>
            <w:tcW w:w="6231" w:type="dxa"/>
            <w:noWrap w:val="0"/>
            <w:vAlign w:val="center"/>
          </w:tcPr>
          <w:p w14:paraId="68A9985E">
            <w:pPr>
              <w:pStyle w:val="7"/>
              <w:numPr>
                <w:ilvl w:val="0"/>
                <w:numId w:val="0"/>
              </w:numPr>
              <w:tabs>
                <w:tab w:val="left" w:pos="720"/>
              </w:tabs>
              <w:spacing w:line="360" w:lineRule="auto"/>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评审标准</w:t>
            </w:r>
          </w:p>
        </w:tc>
        <w:tc>
          <w:tcPr>
            <w:tcW w:w="849" w:type="dxa"/>
            <w:noWrap w:val="0"/>
            <w:vAlign w:val="center"/>
          </w:tcPr>
          <w:p w14:paraId="34CF8E76">
            <w:pPr>
              <w:pStyle w:val="7"/>
              <w:numPr>
                <w:ilvl w:val="0"/>
                <w:numId w:val="0"/>
              </w:numPr>
              <w:tabs>
                <w:tab w:val="left" w:pos="720"/>
              </w:tabs>
              <w:spacing w:line="360" w:lineRule="auto"/>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分值</w:t>
            </w:r>
          </w:p>
        </w:tc>
      </w:tr>
      <w:tr w14:paraId="2A4451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787" w:type="dxa"/>
            <w:noWrap w:val="0"/>
            <w:vAlign w:val="center"/>
          </w:tcPr>
          <w:p w14:paraId="545F6229">
            <w:pPr>
              <w:pStyle w:val="7"/>
              <w:numPr>
                <w:ilvl w:val="0"/>
                <w:numId w:val="0"/>
              </w:numPr>
              <w:tabs>
                <w:tab w:val="left" w:pos="720"/>
              </w:tabs>
              <w:spacing w:line="360" w:lineRule="auto"/>
              <w:jc w:val="center"/>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w:t>
            </w:r>
          </w:p>
        </w:tc>
        <w:tc>
          <w:tcPr>
            <w:tcW w:w="1404" w:type="dxa"/>
            <w:noWrap w:val="0"/>
            <w:vAlign w:val="center"/>
          </w:tcPr>
          <w:p w14:paraId="2A8948C1">
            <w:pPr>
              <w:pStyle w:val="7"/>
              <w:numPr>
                <w:ilvl w:val="0"/>
                <w:numId w:val="0"/>
              </w:numPr>
              <w:tabs>
                <w:tab w:val="left" w:pos="720"/>
              </w:tabs>
              <w:spacing w:line="360" w:lineRule="auto"/>
              <w:jc w:val="center"/>
              <w:textAlignment w:val="baseline"/>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报价分</w:t>
            </w:r>
          </w:p>
        </w:tc>
        <w:tc>
          <w:tcPr>
            <w:tcW w:w="6231" w:type="dxa"/>
            <w:noWrap w:val="0"/>
            <w:vAlign w:val="center"/>
          </w:tcPr>
          <w:p w14:paraId="7E8E41DF">
            <w:pPr>
              <w:pStyle w:val="7"/>
              <w:numPr>
                <w:ilvl w:val="0"/>
                <w:numId w:val="0"/>
              </w:numPr>
              <w:tabs>
                <w:tab w:val="left" w:pos="720"/>
              </w:tabs>
              <w:spacing w:line="360" w:lineRule="auto"/>
              <w:jc w:val="center"/>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各有效投标人的评标价中，取最低者作为基准价，其评分统一按下列公示计算：价格评分=（基准价÷投标价）×10。评分计算精确到小数点后2位（四舍五入)。</w:t>
            </w:r>
          </w:p>
        </w:tc>
        <w:tc>
          <w:tcPr>
            <w:tcW w:w="849" w:type="dxa"/>
            <w:noWrap w:val="0"/>
            <w:vAlign w:val="center"/>
          </w:tcPr>
          <w:p w14:paraId="3494F92E">
            <w:pPr>
              <w:pStyle w:val="7"/>
              <w:numPr>
                <w:ilvl w:val="0"/>
                <w:numId w:val="0"/>
              </w:numPr>
              <w:tabs>
                <w:tab w:val="left" w:pos="720"/>
              </w:tabs>
              <w:spacing w:line="360" w:lineRule="auto"/>
              <w:jc w:val="center"/>
              <w:textAlignment w:val="baseline"/>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10分</w:t>
            </w:r>
          </w:p>
        </w:tc>
      </w:tr>
      <w:tr w14:paraId="445B44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787" w:type="dxa"/>
            <w:noWrap w:val="0"/>
            <w:vAlign w:val="center"/>
          </w:tcPr>
          <w:p w14:paraId="397E3F66">
            <w:pPr>
              <w:pStyle w:val="7"/>
              <w:numPr>
                <w:ilvl w:val="0"/>
                <w:numId w:val="0"/>
              </w:numPr>
              <w:tabs>
                <w:tab w:val="left" w:pos="720"/>
              </w:tabs>
              <w:spacing w:line="360" w:lineRule="auto"/>
              <w:jc w:val="center"/>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w:t>
            </w:r>
          </w:p>
        </w:tc>
        <w:tc>
          <w:tcPr>
            <w:tcW w:w="1404" w:type="dxa"/>
            <w:noWrap w:val="0"/>
            <w:vAlign w:val="center"/>
          </w:tcPr>
          <w:p w14:paraId="1FEEFBA2">
            <w:pPr>
              <w:pStyle w:val="7"/>
              <w:numPr>
                <w:ilvl w:val="0"/>
                <w:numId w:val="0"/>
              </w:numPr>
              <w:tabs>
                <w:tab w:val="left" w:pos="720"/>
              </w:tabs>
              <w:spacing w:line="360" w:lineRule="auto"/>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企业综合评定</w:t>
            </w:r>
          </w:p>
        </w:tc>
        <w:tc>
          <w:tcPr>
            <w:tcW w:w="6231" w:type="dxa"/>
            <w:noWrap w:val="0"/>
            <w:vAlign w:val="center"/>
          </w:tcPr>
          <w:p w14:paraId="3A35118A">
            <w:pPr>
              <w:pStyle w:val="69"/>
              <w:keepNext w:val="0"/>
              <w:keepLines w:val="0"/>
              <w:pageBreakBefore w:val="0"/>
              <w:numPr>
                <w:ilvl w:val="0"/>
                <w:numId w:val="0"/>
              </w:numPr>
              <w:wordWrap/>
              <w:overflowPunct/>
              <w:topLinePunct w:val="0"/>
              <w:autoSpaceDE w:val="0"/>
              <w:autoSpaceDN w:val="0"/>
              <w:bidi w:val="0"/>
              <w:spacing w:before="0" w:line="360" w:lineRule="auto"/>
              <w:ind w:leftChars="0" w:right="0" w:rightChars="0"/>
              <w:jc w:val="both"/>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1、投标人具有互联网新闻许可证的得3分。</w:t>
            </w:r>
          </w:p>
          <w:p w14:paraId="4574188D">
            <w:pPr>
              <w:pStyle w:val="69"/>
              <w:keepNext w:val="0"/>
              <w:keepLines w:val="0"/>
              <w:pageBreakBefore w:val="0"/>
              <w:numPr>
                <w:ilvl w:val="0"/>
                <w:numId w:val="0"/>
              </w:numPr>
              <w:wordWrap/>
              <w:overflowPunct/>
              <w:topLinePunct w:val="0"/>
              <w:autoSpaceDE w:val="0"/>
              <w:autoSpaceDN w:val="0"/>
              <w:bidi w:val="0"/>
              <w:spacing w:before="0" w:line="360" w:lineRule="auto"/>
              <w:ind w:leftChars="0" w:right="0" w:rightChars="0"/>
              <w:jc w:val="both"/>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2、投标人具有网络出版服务许可证的得3分.</w:t>
            </w:r>
          </w:p>
          <w:p w14:paraId="72577117">
            <w:pPr>
              <w:pStyle w:val="7"/>
              <w:numPr>
                <w:ilvl w:val="0"/>
                <w:numId w:val="0"/>
              </w:numPr>
              <w:tabs>
                <w:tab w:val="left" w:pos="720"/>
              </w:tabs>
              <w:spacing w:line="360" w:lineRule="auto"/>
              <w:textAlignment w:val="baseline"/>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rPr>
              <w:t>注：须提供扫描件并加盖投标人公章否则不得分。</w:t>
            </w:r>
          </w:p>
        </w:tc>
        <w:tc>
          <w:tcPr>
            <w:tcW w:w="849" w:type="dxa"/>
            <w:noWrap w:val="0"/>
            <w:vAlign w:val="center"/>
          </w:tcPr>
          <w:p w14:paraId="43C6FD38">
            <w:pPr>
              <w:pStyle w:val="7"/>
              <w:numPr>
                <w:ilvl w:val="0"/>
                <w:numId w:val="0"/>
              </w:numPr>
              <w:tabs>
                <w:tab w:val="left" w:pos="720"/>
              </w:tabs>
              <w:spacing w:line="360" w:lineRule="auto"/>
              <w:jc w:val="center"/>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6分</w:t>
            </w:r>
          </w:p>
        </w:tc>
      </w:tr>
      <w:tr w14:paraId="021EC2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787" w:type="dxa"/>
            <w:noWrap w:val="0"/>
            <w:vAlign w:val="center"/>
          </w:tcPr>
          <w:p w14:paraId="397F1B00">
            <w:pPr>
              <w:pStyle w:val="7"/>
              <w:numPr>
                <w:ilvl w:val="0"/>
                <w:numId w:val="0"/>
              </w:numPr>
              <w:tabs>
                <w:tab w:val="left" w:pos="720"/>
              </w:tabs>
              <w:spacing w:line="360" w:lineRule="auto"/>
              <w:jc w:val="center"/>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w:t>
            </w:r>
          </w:p>
        </w:tc>
        <w:tc>
          <w:tcPr>
            <w:tcW w:w="1404" w:type="dxa"/>
            <w:noWrap w:val="0"/>
            <w:vAlign w:val="center"/>
          </w:tcPr>
          <w:p w14:paraId="6862B6D3">
            <w:pPr>
              <w:pStyle w:val="7"/>
              <w:numPr>
                <w:ilvl w:val="0"/>
                <w:numId w:val="0"/>
              </w:numPr>
              <w:tabs>
                <w:tab w:val="left" w:pos="720"/>
              </w:tabs>
              <w:spacing w:line="360" w:lineRule="auto"/>
              <w:jc w:val="center"/>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企业资质</w:t>
            </w:r>
          </w:p>
        </w:tc>
        <w:tc>
          <w:tcPr>
            <w:tcW w:w="6231" w:type="dxa"/>
            <w:noWrap w:val="0"/>
            <w:vAlign w:val="center"/>
          </w:tcPr>
          <w:p w14:paraId="43509752">
            <w:pPr>
              <w:pStyle w:val="69"/>
              <w:keepNext w:val="0"/>
              <w:keepLines w:val="0"/>
              <w:pageBreakBefore w:val="0"/>
              <w:numPr>
                <w:ilvl w:val="0"/>
                <w:numId w:val="0"/>
              </w:numPr>
              <w:wordWrap/>
              <w:overflowPunct/>
              <w:topLinePunct w:val="0"/>
              <w:autoSpaceDE w:val="0"/>
              <w:autoSpaceDN w:val="0"/>
              <w:bidi w:val="0"/>
              <w:spacing w:before="0" w:line="360" w:lineRule="auto"/>
              <w:ind w:right="0" w:rightChars="0"/>
              <w:jc w:val="both"/>
              <w:rPr>
                <w:rFonts w:hint="eastAsia" w:ascii="宋体" w:hAnsi="宋体" w:eastAsia="宋体" w:cs="宋体"/>
                <w:i w:val="0"/>
                <w:iCs w:val="0"/>
                <w:color w:val="auto"/>
                <w:sz w:val="21"/>
                <w:szCs w:val="21"/>
                <w:highlight w:val="none"/>
                <w:shd w:val="clear" w:color="auto" w:fill="auto"/>
                <w:lang w:val="en-US" w:eastAsia="zh-CN"/>
              </w:rPr>
            </w:pPr>
            <w:r>
              <w:rPr>
                <w:rFonts w:hint="eastAsia" w:ascii="宋体" w:hAnsi="宋体" w:eastAsia="宋体" w:cs="宋体"/>
                <w:i w:val="0"/>
                <w:iCs w:val="0"/>
                <w:color w:val="auto"/>
                <w:sz w:val="21"/>
                <w:szCs w:val="21"/>
                <w:highlight w:val="none"/>
                <w:shd w:val="clear" w:color="auto" w:fill="auto"/>
                <w:lang w:val="en-US" w:eastAsia="zh-CN"/>
              </w:rPr>
              <w:t>1、投标人承诺投入的省级主流媒体媒体记者4人及以上的得3分。</w:t>
            </w:r>
          </w:p>
          <w:p w14:paraId="1FE9C442">
            <w:pPr>
              <w:pStyle w:val="69"/>
              <w:keepNext w:val="0"/>
              <w:keepLines w:val="0"/>
              <w:pageBreakBefore w:val="0"/>
              <w:numPr>
                <w:ilvl w:val="0"/>
                <w:numId w:val="0"/>
              </w:numPr>
              <w:wordWrap/>
              <w:overflowPunct/>
              <w:topLinePunct w:val="0"/>
              <w:autoSpaceDE w:val="0"/>
              <w:autoSpaceDN w:val="0"/>
              <w:bidi w:val="0"/>
              <w:spacing w:before="0" w:line="360" w:lineRule="auto"/>
              <w:ind w:right="0" w:rightChars="0"/>
              <w:jc w:val="both"/>
              <w:rPr>
                <w:rFonts w:hint="eastAsia" w:ascii="宋体" w:hAnsi="宋体" w:eastAsia="宋体" w:cs="宋体"/>
                <w:i w:val="0"/>
                <w:iCs w:val="0"/>
                <w:color w:val="auto"/>
                <w:sz w:val="21"/>
                <w:szCs w:val="21"/>
                <w:highlight w:val="none"/>
                <w:shd w:val="clear" w:color="auto" w:fill="auto"/>
                <w:lang w:val="en-US" w:eastAsia="zh-CN"/>
              </w:rPr>
            </w:pPr>
            <w:r>
              <w:rPr>
                <w:rFonts w:hint="eastAsia" w:ascii="宋体" w:hAnsi="宋体" w:eastAsia="宋体" w:cs="宋体"/>
                <w:i w:val="0"/>
                <w:iCs w:val="0"/>
                <w:color w:val="auto"/>
                <w:sz w:val="21"/>
                <w:szCs w:val="21"/>
                <w:highlight w:val="none"/>
                <w:shd w:val="clear" w:color="auto" w:fill="auto"/>
                <w:lang w:val="en-US" w:eastAsia="zh-CN"/>
              </w:rPr>
              <w:t>2、投标人具有媒体行业高级职称得2人及以上得4分。</w:t>
            </w:r>
          </w:p>
          <w:p w14:paraId="74022107">
            <w:pPr>
              <w:pStyle w:val="69"/>
              <w:keepNext w:val="0"/>
              <w:keepLines w:val="0"/>
              <w:pageBreakBefore w:val="0"/>
              <w:numPr>
                <w:ilvl w:val="0"/>
                <w:numId w:val="0"/>
              </w:numPr>
              <w:wordWrap/>
              <w:overflowPunct/>
              <w:topLinePunct w:val="0"/>
              <w:autoSpaceDE w:val="0"/>
              <w:autoSpaceDN w:val="0"/>
              <w:bidi w:val="0"/>
              <w:spacing w:before="0" w:line="360" w:lineRule="auto"/>
              <w:ind w:right="0" w:rightChars="0"/>
              <w:jc w:val="both"/>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eastAsia="zh-CN"/>
              </w:rPr>
              <w:t>注：</w:t>
            </w:r>
            <w:r>
              <w:rPr>
                <w:rFonts w:hint="eastAsia" w:ascii="宋体" w:hAnsi="宋体" w:eastAsia="宋体" w:cs="宋体"/>
                <w:b/>
                <w:bCs/>
                <w:color w:val="auto"/>
                <w:kern w:val="0"/>
                <w:sz w:val="21"/>
                <w:szCs w:val="21"/>
                <w:highlight w:val="none"/>
                <w:lang w:val="en-US" w:eastAsia="zh-CN"/>
              </w:rPr>
              <w:t>需</w:t>
            </w:r>
            <w:r>
              <w:rPr>
                <w:rFonts w:hint="eastAsia" w:ascii="宋体" w:hAnsi="宋体" w:eastAsia="宋体" w:cs="宋体"/>
                <w:b/>
                <w:bCs/>
                <w:color w:val="auto"/>
                <w:kern w:val="0"/>
                <w:sz w:val="21"/>
                <w:szCs w:val="21"/>
                <w:highlight w:val="none"/>
              </w:rPr>
              <w:t>提供相关证明材料，如证书、</w:t>
            </w:r>
            <w:r>
              <w:rPr>
                <w:rFonts w:hint="eastAsia" w:ascii="宋体" w:hAnsi="宋体" w:eastAsia="宋体" w:cs="宋体"/>
                <w:b/>
                <w:bCs/>
                <w:color w:val="auto"/>
                <w:kern w:val="0"/>
                <w:sz w:val="21"/>
                <w:szCs w:val="21"/>
                <w:highlight w:val="none"/>
                <w:lang w:val="en-US" w:eastAsia="zh-CN"/>
              </w:rPr>
              <w:t>奖牌、</w:t>
            </w:r>
            <w:r>
              <w:rPr>
                <w:rFonts w:hint="eastAsia" w:ascii="宋体" w:hAnsi="宋体" w:eastAsia="宋体" w:cs="宋体"/>
                <w:b/>
                <w:bCs/>
                <w:color w:val="auto"/>
                <w:kern w:val="0"/>
                <w:sz w:val="21"/>
                <w:szCs w:val="21"/>
                <w:highlight w:val="none"/>
              </w:rPr>
              <w:t>文件、网页截图等。</w:t>
            </w:r>
          </w:p>
        </w:tc>
        <w:tc>
          <w:tcPr>
            <w:tcW w:w="849" w:type="dxa"/>
            <w:noWrap w:val="0"/>
            <w:vAlign w:val="center"/>
          </w:tcPr>
          <w:p w14:paraId="11FF58CE">
            <w:pPr>
              <w:pStyle w:val="7"/>
              <w:numPr>
                <w:ilvl w:val="0"/>
                <w:numId w:val="0"/>
              </w:numPr>
              <w:tabs>
                <w:tab w:val="left" w:pos="720"/>
              </w:tabs>
              <w:spacing w:line="360" w:lineRule="auto"/>
              <w:jc w:val="center"/>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7分</w:t>
            </w:r>
          </w:p>
        </w:tc>
      </w:tr>
      <w:tr w14:paraId="3745A8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787" w:type="dxa"/>
            <w:noWrap w:val="0"/>
            <w:vAlign w:val="center"/>
          </w:tcPr>
          <w:p w14:paraId="5A3139DB">
            <w:pPr>
              <w:pStyle w:val="7"/>
              <w:numPr>
                <w:ilvl w:val="0"/>
                <w:numId w:val="0"/>
              </w:numPr>
              <w:tabs>
                <w:tab w:val="left" w:pos="720"/>
              </w:tabs>
              <w:spacing w:line="360" w:lineRule="auto"/>
              <w:jc w:val="center"/>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w:t>
            </w:r>
          </w:p>
        </w:tc>
        <w:tc>
          <w:tcPr>
            <w:tcW w:w="1404" w:type="dxa"/>
            <w:noWrap w:val="0"/>
            <w:vAlign w:val="center"/>
          </w:tcPr>
          <w:p w14:paraId="5177626B">
            <w:pPr>
              <w:pStyle w:val="7"/>
              <w:numPr>
                <w:ilvl w:val="0"/>
                <w:numId w:val="0"/>
              </w:numPr>
              <w:tabs>
                <w:tab w:val="left" w:pos="720"/>
              </w:tabs>
              <w:spacing w:line="360" w:lineRule="auto"/>
              <w:jc w:val="center"/>
              <w:textAlignment w:val="baseline"/>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企业实力</w:t>
            </w:r>
          </w:p>
        </w:tc>
        <w:tc>
          <w:tcPr>
            <w:tcW w:w="6231" w:type="dxa"/>
            <w:noWrap w:val="0"/>
            <w:vAlign w:val="center"/>
          </w:tcPr>
          <w:p w14:paraId="2C29CF30">
            <w:pPr>
              <w:pStyle w:val="7"/>
              <w:numPr>
                <w:ilvl w:val="0"/>
                <w:numId w:val="0"/>
              </w:numPr>
              <w:tabs>
                <w:tab w:val="left" w:pos="720"/>
              </w:tabs>
              <w:spacing w:line="360" w:lineRule="auto"/>
              <w:ind w:left="0" w:leftChars="0" w:firstLine="0" w:firstLineChars="0"/>
              <w:textAlignment w:val="baseline"/>
              <w:rPr>
                <w:rFonts w:hint="eastAsia" w:ascii="宋体" w:hAnsi="宋体" w:eastAsia="宋体" w:cs="宋体"/>
                <w:i w:val="0"/>
                <w:iCs w:val="0"/>
                <w:color w:val="auto"/>
                <w:sz w:val="21"/>
                <w:szCs w:val="21"/>
                <w:highlight w:val="none"/>
                <w:shd w:val="clear" w:color="auto" w:fill="auto"/>
                <w:lang w:val="en-US" w:eastAsia="zh-CN"/>
              </w:rPr>
            </w:pPr>
            <w:r>
              <w:rPr>
                <w:rFonts w:hint="eastAsia" w:ascii="宋体" w:hAnsi="宋体" w:eastAsia="宋体" w:cs="宋体"/>
                <w:i w:val="0"/>
                <w:iCs w:val="0"/>
                <w:color w:val="auto"/>
                <w:sz w:val="21"/>
                <w:szCs w:val="21"/>
                <w:highlight w:val="none"/>
                <w:shd w:val="clear" w:color="auto" w:fill="auto"/>
                <w:lang w:val="en-US" w:eastAsia="zh-CN"/>
              </w:rPr>
              <w:t>投标人承诺投入的仲裁和裁判人员级别</w:t>
            </w:r>
          </w:p>
          <w:p w14:paraId="0D9B1C3D">
            <w:pPr>
              <w:pStyle w:val="7"/>
              <w:numPr>
                <w:ilvl w:val="0"/>
                <w:numId w:val="0"/>
              </w:numPr>
              <w:tabs>
                <w:tab w:val="left" w:pos="720"/>
              </w:tabs>
              <w:spacing w:line="360" w:lineRule="auto"/>
              <w:ind w:left="0" w:leftChars="0" w:firstLine="0" w:firstLineChars="0"/>
              <w:textAlignment w:val="baseline"/>
              <w:rPr>
                <w:rFonts w:hint="eastAsia" w:ascii="宋体" w:hAnsi="宋体" w:eastAsia="宋体" w:cs="宋体"/>
                <w:i w:val="0"/>
                <w:iCs w:val="0"/>
                <w:color w:val="auto"/>
                <w:sz w:val="21"/>
                <w:szCs w:val="21"/>
                <w:highlight w:val="none"/>
                <w:shd w:val="clear" w:color="auto" w:fill="auto"/>
                <w:lang w:val="en-US" w:eastAsia="zh-CN"/>
              </w:rPr>
            </w:pPr>
            <w:r>
              <w:rPr>
                <w:rFonts w:hint="eastAsia" w:ascii="宋体" w:hAnsi="宋体" w:eastAsia="宋体" w:cs="宋体"/>
                <w:i w:val="0"/>
                <w:iCs w:val="0"/>
                <w:color w:val="auto"/>
                <w:sz w:val="21"/>
                <w:szCs w:val="21"/>
                <w:highlight w:val="none"/>
                <w:shd w:val="clear" w:color="auto" w:fill="auto"/>
                <w:lang w:val="en-US" w:eastAsia="zh-CN"/>
              </w:rPr>
              <w:t>（1）国际级仲裁和裁判2人及以上（1分）</w:t>
            </w:r>
          </w:p>
          <w:p w14:paraId="711D2C86">
            <w:pPr>
              <w:pStyle w:val="7"/>
              <w:numPr>
                <w:ilvl w:val="0"/>
                <w:numId w:val="0"/>
              </w:numPr>
              <w:tabs>
                <w:tab w:val="left" w:pos="720"/>
              </w:tabs>
              <w:spacing w:line="360" w:lineRule="auto"/>
              <w:ind w:left="0" w:leftChars="0" w:firstLine="0" w:firstLineChars="0"/>
              <w:textAlignment w:val="baseline"/>
              <w:rPr>
                <w:rFonts w:hint="eastAsia" w:ascii="宋体" w:hAnsi="宋体" w:eastAsia="宋体" w:cs="宋体"/>
                <w:i w:val="0"/>
                <w:iCs w:val="0"/>
                <w:color w:val="auto"/>
                <w:sz w:val="21"/>
                <w:szCs w:val="21"/>
                <w:highlight w:val="none"/>
                <w:shd w:val="clear" w:color="auto" w:fill="auto"/>
                <w:lang w:val="en-US" w:eastAsia="zh-CN"/>
              </w:rPr>
            </w:pPr>
            <w:r>
              <w:rPr>
                <w:rFonts w:hint="eastAsia" w:ascii="宋体" w:hAnsi="宋体" w:eastAsia="宋体" w:cs="宋体"/>
                <w:i w:val="0"/>
                <w:iCs w:val="0"/>
                <w:color w:val="auto"/>
                <w:sz w:val="21"/>
                <w:szCs w:val="21"/>
                <w:highlight w:val="none"/>
                <w:shd w:val="clear" w:color="auto" w:fill="auto"/>
                <w:lang w:val="en-US" w:eastAsia="zh-CN"/>
              </w:rPr>
              <w:t>（2）国家级仲裁和裁判2人及以上（1分）</w:t>
            </w:r>
          </w:p>
          <w:p w14:paraId="0E5B53D5">
            <w:pPr>
              <w:pStyle w:val="69"/>
              <w:keepNext w:val="0"/>
              <w:keepLines w:val="0"/>
              <w:pageBreakBefore w:val="0"/>
              <w:numPr>
                <w:ilvl w:val="0"/>
                <w:numId w:val="0"/>
              </w:numPr>
              <w:wordWrap/>
              <w:overflowPunct/>
              <w:topLinePunct w:val="0"/>
              <w:autoSpaceDE w:val="0"/>
              <w:autoSpaceDN w:val="0"/>
              <w:bidi w:val="0"/>
              <w:spacing w:before="0" w:line="360" w:lineRule="auto"/>
              <w:ind w:right="0" w:rightChars="0"/>
              <w:jc w:val="both"/>
              <w:rPr>
                <w:rFonts w:hint="eastAsia" w:ascii="宋体" w:hAnsi="宋体" w:eastAsia="宋体" w:cs="宋体"/>
                <w:i w:val="0"/>
                <w:iCs w:val="0"/>
                <w:color w:val="auto"/>
                <w:sz w:val="21"/>
                <w:szCs w:val="21"/>
                <w:highlight w:val="none"/>
                <w:shd w:val="clear" w:color="auto" w:fill="auto"/>
                <w:lang w:val="en-US" w:eastAsia="zh-CN"/>
              </w:rPr>
            </w:pPr>
            <w:r>
              <w:rPr>
                <w:rFonts w:hint="eastAsia" w:ascii="宋体" w:hAnsi="宋体" w:eastAsia="宋体" w:cs="宋体"/>
                <w:i w:val="0"/>
                <w:iCs w:val="0"/>
                <w:color w:val="auto"/>
                <w:sz w:val="21"/>
                <w:szCs w:val="21"/>
                <w:highlight w:val="none"/>
                <w:shd w:val="clear" w:color="auto" w:fill="auto"/>
                <w:lang w:val="en-US" w:eastAsia="zh-CN"/>
              </w:rPr>
              <w:t>（3）仲裁委员会成员有外籍1人及以上（2分）</w:t>
            </w:r>
          </w:p>
          <w:p w14:paraId="22E4FCD2">
            <w:pPr>
              <w:pStyle w:val="69"/>
              <w:keepNext w:val="0"/>
              <w:keepLines w:val="0"/>
              <w:pageBreakBefore w:val="0"/>
              <w:numPr>
                <w:ilvl w:val="0"/>
                <w:numId w:val="0"/>
              </w:numPr>
              <w:wordWrap/>
              <w:overflowPunct/>
              <w:topLinePunct w:val="0"/>
              <w:autoSpaceDE w:val="0"/>
              <w:autoSpaceDN w:val="0"/>
              <w:bidi w:val="0"/>
              <w:spacing w:before="0" w:line="360" w:lineRule="auto"/>
              <w:ind w:right="0" w:rightChars="0" w:firstLine="210" w:firstLineChars="100"/>
              <w:jc w:val="both"/>
              <w:rPr>
                <w:rFonts w:hint="eastAsia" w:ascii="宋体" w:hAnsi="宋体" w:eastAsia="宋体" w:cs="宋体"/>
                <w:i w:val="0"/>
                <w:iCs w:val="0"/>
                <w:color w:val="auto"/>
                <w:sz w:val="21"/>
                <w:szCs w:val="21"/>
                <w:highlight w:val="none"/>
                <w:shd w:val="clear" w:color="auto" w:fill="auto"/>
                <w:lang w:val="en-US" w:eastAsia="zh-CN"/>
              </w:rPr>
            </w:pPr>
            <w:r>
              <w:rPr>
                <w:rFonts w:hint="eastAsia" w:ascii="宋体" w:hAnsi="宋体" w:cs="宋体"/>
                <w:i w:val="0"/>
                <w:iCs w:val="0"/>
                <w:color w:val="auto"/>
                <w:sz w:val="21"/>
                <w:szCs w:val="21"/>
                <w:highlight w:val="none"/>
                <w:shd w:val="clear" w:color="auto" w:fill="auto"/>
                <w:lang w:val="en-US" w:eastAsia="zh-CN"/>
              </w:rPr>
              <w:t>注：</w:t>
            </w:r>
            <w:r>
              <w:rPr>
                <w:rFonts w:hint="eastAsia" w:ascii="宋体" w:hAnsi="宋体" w:eastAsia="宋体" w:cs="宋体"/>
                <w:i w:val="0"/>
                <w:iCs w:val="0"/>
                <w:color w:val="auto"/>
                <w:sz w:val="21"/>
                <w:szCs w:val="21"/>
                <w:highlight w:val="none"/>
                <w:shd w:val="clear" w:color="auto" w:fill="auto"/>
                <w:lang w:val="en-US" w:eastAsia="zh-CN"/>
              </w:rPr>
              <w:t>本</w:t>
            </w:r>
            <w:r>
              <w:rPr>
                <w:rFonts w:hint="eastAsia" w:ascii="宋体" w:hAnsi="宋体" w:cs="宋体"/>
                <w:i w:val="0"/>
                <w:iCs w:val="0"/>
                <w:color w:val="auto"/>
                <w:sz w:val="21"/>
                <w:szCs w:val="21"/>
                <w:highlight w:val="none"/>
                <w:shd w:val="clear" w:color="auto" w:fill="auto"/>
                <w:lang w:val="en-US" w:eastAsia="zh-CN"/>
              </w:rPr>
              <w:t>项</w:t>
            </w:r>
            <w:r>
              <w:rPr>
                <w:rFonts w:hint="eastAsia" w:ascii="宋体" w:hAnsi="宋体" w:eastAsia="宋体" w:cs="宋体"/>
                <w:i w:val="0"/>
                <w:iCs w:val="0"/>
                <w:color w:val="auto"/>
                <w:sz w:val="21"/>
                <w:szCs w:val="21"/>
                <w:highlight w:val="none"/>
                <w:shd w:val="clear" w:color="auto" w:fill="auto"/>
                <w:lang w:val="en-US" w:eastAsia="zh-CN"/>
              </w:rPr>
              <w:t>最高得4分。</w:t>
            </w:r>
          </w:p>
        </w:tc>
        <w:tc>
          <w:tcPr>
            <w:tcW w:w="849" w:type="dxa"/>
            <w:noWrap w:val="0"/>
            <w:vAlign w:val="center"/>
          </w:tcPr>
          <w:p w14:paraId="3B2AA52C">
            <w:pPr>
              <w:pStyle w:val="7"/>
              <w:numPr>
                <w:ilvl w:val="0"/>
                <w:numId w:val="0"/>
              </w:numPr>
              <w:tabs>
                <w:tab w:val="left" w:pos="720"/>
              </w:tabs>
              <w:spacing w:line="360" w:lineRule="auto"/>
              <w:jc w:val="center"/>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4分</w:t>
            </w:r>
          </w:p>
        </w:tc>
      </w:tr>
      <w:tr w14:paraId="6D76CA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787" w:type="dxa"/>
            <w:noWrap w:val="0"/>
            <w:vAlign w:val="center"/>
          </w:tcPr>
          <w:p w14:paraId="6CA2B1EE">
            <w:pPr>
              <w:pStyle w:val="7"/>
              <w:numPr>
                <w:ilvl w:val="0"/>
                <w:numId w:val="0"/>
              </w:numPr>
              <w:tabs>
                <w:tab w:val="left" w:pos="720"/>
              </w:tabs>
              <w:spacing w:line="360" w:lineRule="auto"/>
              <w:jc w:val="center"/>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w:t>
            </w:r>
          </w:p>
        </w:tc>
        <w:tc>
          <w:tcPr>
            <w:tcW w:w="1404" w:type="dxa"/>
            <w:noWrap w:val="0"/>
            <w:vAlign w:val="center"/>
          </w:tcPr>
          <w:p w14:paraId="1A30E762">
            <w:pPr>
              <w:pStyle w:val="7"/>
              <w:numPr>
                <w:ilvl w:val="0"/>
                <w:numId w:val="0"/>
              </w:numPr>
              <w:tabs>
                <w:tab w:val="left" w:pos="720"/>
              </w:tabs>
              <w:spacing w:line="360" w:lineRule="auto"/>
              <w:jc w:val="center"/>
              <w:textAlignment w:val="baseline"/>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资源对接</w:t>
            </w:r>
          </w:p>
        </w:tc>
        <w:tc>
          <w:tcPr>
            <w:tcW w:w="6231" w:type="dxa"/>
            <w:noWrap w:val="0"/>
            <w:vAlign w:val="center"/>
          </w:tcPr>
          <w:p w14:paraId="29CC8526">
            <w:pPr>
              <w:pStyle w:val="7"/>
              <w:numPr>
                <w:ilvl w:val="0"/>
                <w:numId w:val="0"/>
              </w:numPr>
              <w:tabs>
                <w:tab w:val="left" w:pos="720"/>
              </w:tabs>
              <w:spacing w:line="360" w:lineRule="auto"/>
              <w:textAlignment w:val="baseline"/>
              <w:rPr>
                <w:rFonts w:hint="eastAsia" w:ascii="宋体" w:hAnsi="宋体" w:eastAsia="宋体" w:cs="宋体"/>
                <w:b/>
                <w:bCs/>
                <w:color w:val="auto"/>
                <w:sz w:val="21"/>
                <w:szCs w:val="21"/>
                <w:highlight w:val="none"/>
                <w:lang w:eastAsia="zh-CN"/>
              </w:rPr>
            </w:pPr>
            <w:r>
              <w:rPr>
                <w:rFonts w:hint="eastAsia" w:ascii="宋体" w:hAnsi="宋体" w:eastAsia="宋体" w:cs="宋体"/>
                <w:b/>
                <w:bCs/>
                <w:color w:val="auto"/>
                <w:kern w:val="2"/>
                <w:sz w:val="21"/>
                <w:szCs w:val="21"/>
                <w:highlight w:val="none"/>
                <w:lang w:val="en-US" w:eastAsia="zh-CN" w:bidi="ar-SA"/>
              </w:rPr>
              <w:t>投标人邀请亚洲帆船联合会作为大赛指导单位</w:t>
            </w:r>
            <w:r>
              <w:rPr>
                <w:rFonts w:hint="eastAsia" w:ascii="宋体" w:hAnsi="宋体" w:cs="宋体"/>
                <w:b/>
                <w:bCs/>
                <w:color w:val="auto"/>
                <w:kern w:val="2"/>
                <w:sz w:val="21"/>
                <w:szCs w:val="21"/>
                <w:highlight w:val="none"/>
                <w:lang w:val="en-US" w:eastAsia="zh-CN" w:bidi="ar-SA"/>
              </w:rPr>
              <w:t>的</w:t>
            </w:r>
            <w:r>
              <w:rPr>
                <w:rFonts w:hint="eastAsia" w:ascii="宋体" w:hAnsi="宋体" w:eastAsia="宋体" w:cs="宋体"/>
                <w:b/>
                <w:bCs/>
                <w:color w:val="auto"/>
                <w:kern w:val="2"/>
                <w:sz w:val="21"/>
                <w:szCs w:val="21"/>
                <w:highlight w:val="none"/>
                <w:lang w:val="en-US" w:eastAsia="zh-CN" w:bidi="ar-SA"/>
              </w:rPr>
              <w:t>，并提供亚洲帆船联合会同意指导的回复函，得</w:t>
            </w:r>
            <w:r>
              <w:rPr>
                <w:rFonts w:hint="eastAsia" w:ascii="宋体" w:hAnsi="宋体" w:cs="宋体"/>
                <w:b/>
                <w:bCs/>
                <w:i w:val="0"/>
                <w:iCs w:val="0"/>
                <w:color w:val="auto"/>
                <w:sz w:val="21"/>
                <w:szCs w:val="21"/>
                <w:highlight w:val="none"/>
                <w:shd w:val="clear" w:color="auto" w:fill="auto"/>
                <w:lang w:val="en-US" w:eastAsia="zh-CN"/>
              </w:rPr>
              <w:t>6</w:t>
            </w:r>
            <w:r>
              <w:rPr>
                <w:rFonts w:hint="eastAsia" w:ascii="宋体" w:hAnsi="宋体" w:eastAsia="宋体" w:cs="宋体"/>
                <w:b/>
                <w:bCs/>
                <w:i w:val="0"/>
                <w:iCs w:val="0"/>
                <w:color w:val="auto"/>
                <w:sz w:val="21"/>
                <w:szCs w:val="21"/>
                <w:highlight w:val="none"/>
                <w:shd w:val="clear" w:color="auto" w:fill="auto"/>
                <w:lang w:val="en-US" w:eastAsia="zh-CN"/>
              </w:rPr>
              <w:t>分</w:t>
            </w:r>
            <w:r>
              <w:rPr>
                <w:rFonts w:hint="eastAsia" w:ascii="宋体" w:hAnsi="宋体" w:eastAsia="宋体" w:cs="宋体"/>
                <w:b/>
                <w:bCs/>
                <w:color w:val="auto"/>
                <w:kern w:val="2"/>
                <w:sz w:val="21"/>
                <w:szCs w:val="21"/>
                <w:highlight w:val="none"/>
                <w:lang w:val="en-US" w:eastAsia="zh-CN" w:bidi="ar-SA"/>
              </w:rPr>
              <w:t>。</w:t>
            </w:r>
          </w:p>
        </w:tc>
        <w:tc>
          <w:tcPr>
            <w:tcW w:w="849" w:type="dxa"/>
            <w:noWrap w:val="0"/>
            <w:vAlign w:val="center"/>
          </w:tcPr>
          <w:p w14:paraId="420DC229">
            <w:pPr>
              <w:pStyle w:val="7"/>
              <w:numPr>
                <w:ilvl w:val="0"/>
                <w:numId w:val="0"/>
              </w:numPr>
              <w:tabs>
                <w:tab w:val="left" w:pos="720"/>
              </w:tabs>
              <w:spacing w:line="360" w:lineRule="auto"/>
              <w:jc w:val="center"/>
              <w:textAlignment w:val="baseline"/>
              <w:rPr>
                <w:rFonts w:hint="eastAsia" w:ascii="宋体" w:hAnsi="宋体" w:eastAsia="宋体" w:cs="宋体"/>
                <w:b/>
                <w:bCs/>
                <w:color w:val="auto"/>
                <w:sz w:val="21"/>
                <w:szCs w:val="21"/>
                <w:highlight w:val="none"/>
                <w:lang w:val="en-US" w:eastAsia="zh-CN"/>
              </w:rPr>
            </w:pPr>
            <w:r>
              <w:rPr>
                <w:rFonts w:hint="eastAsia" w:ascii="宋体" w:hAnsi="宋体" w:cs="宋体"/>
                <w:b/>
                <w:bCs/>
                <w:color w:val="auto"/>
                <w:sz w:val="21"/>
                <w:szCs w:val="21"/>
                <w:highlight w:val="none"/>
                <w:lang w:val="en-US" w:eastAsia="zh-CN"/>
              </w:rPr>
              <w:t>6</w:t>
            </w:r>
            <w:r>
              <w:rPr>
                <w:rFonts w:hint="eastAsia" w:ascii="宋体" w:hAnsi="宋体" w:eastAsia="宋体" w:cs="宋体"/>
                <w:b/>
                <w:bCs/>
                <w:color w:val="auto"/>
                <w:sz w:val="21"/>
                <w:szCs w:val="21"/>
                <w:highlight w:val="none"/>
                <w:lang w:val="en-US" w:eastAsia="zh-CN"/>
              </w:rPr>
              <w:t>分</w:t>
            </w:r>
          </w:p>
        </w:tc>
      </w:tr>
      <w:tr w14:paraId="220ADC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787" w:type="dxa"/>
            <w:noWrap w:val="0"/>
            <w:vAlign w:val="center"/>
          </w:tcPr>
          <w:p w14:paraId="346AEFDD">
            <w:pPr>
              <w:pStyle w:val="7"/>
              <w:numPr>
                <w:ilvl w:val="0"/>
                <w:numId w:val="0"/>
              </w:numPr>
              <w:tabs>
                <w:tab w:val="left" w:pos="720"/>
              </w:tabs>
              <w:spacing w:line="360" w:lineRule="auto"/>
              <w:jc w:val="center"/>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6</w:t>
            </w:r>
          </w:p>
        </w:tc>
        <w:tc>
          <w:tcPr>
            <w:tcW w:w="1404" w:type="dxa"/>
            <w:noWrap w:val="0"/>
            <w:vAlign w:val="center"/>
          </w:tcPr>
          <w:p w14:paraId="3F091F43">
            <w:pPr>
              <w:pStyle w:val="7"/>
              <w:numPr>
                <w:ilvl w:val="0"/>
                <w:numId w:val="0"/>
              </w:numPr>
              <w:tabs>
                <w:tab w:val="left" w:pos="720"/>
              </w:tabs>
              <w:spacing w:line="360" w:lineRule="auto"/>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项目背景及需求分析</w:t>
            </w:r>
          </w:p>
        </w:tc>
        <w:tc>
          <w:tcPr>
            <w:tcW w:w="6231" w:type="dxa"/>
            <w:noWrap w:val="0"/>
            <w:vAlign w:val="center"/>
          </w:tcPr>
          <w:p w14:paraId="2C2D783F">
            <w:pPr>
              <w:spacing w:line="360" w:lineRule="auto"/>
              <w:rPr>
                <w:rFonts w:hint="eastAsia" w:ascii="宋体" w:hAnsi="宋体" w:eastAsia="宋体" w:cs="宋体"/>
                <w:bCs/>
                <w:color w:val="auto"/>
                <w:sz w:val="21"/>
                <w:szCs w:val="21"/>
                <w:highlight w:val="none"/>
                <w:lang w:val="en-US" w:eastAsia="zh-CN"/>
              </w:rPr>
            </w:pPr>
            <w:r>
              <w:rPr>
                <w:rFonts w:hint="eastAsia" w:ascii="宋体" w:hAnsi="宋体" w:eastAsia="宋体" w:cs="宋体"/>
                <w:color w:val="auto"/>
                <w:sz w:val="21"/>
                <w:szCs w:val="21"/>
                <w:highlight w:val="none"/>
                <w:lang w:val="en-US" w:eastAsia="zh-CN"/>
              </w:rPr>
              <w:t>根据投标人</w:t>
            </w:r>
            <w:r>
              <w:rPr>
                <w:rFonts w:hint="eastAsia" w:ascii="宋体" w:hAnsi="宋体" w:eastAsia="宋体" w:cs="宋体"/>
                <w:color w:val="auto"/>
                <w:sz w:val="21"/>
                <w:szCs w:val="21"/>
                <w:highlight w:val="none"/>
              </w:rPr>
              <w:t>对本次赛事活动背景、赛事实际情况及采购需求等方面的分析了解</w:t>
            </w:r>
            <w:r>
              <w:rPr>
                <w:rFonts w:hint="eastAsia" w:ascii="宋体" w:hAnsi="宋体" w:eastAsia="宋体" w:cs="宋体"/>
                <w:color w:val="auto"/>
                <w:sz w:val="21"/>
                <w:szCs w:val="21"/>
                <w:highlight w:val="none"/>
                <w:lang w:val="en-US" w:eastAsia="zh-CN"/>
              </w:rPr>
              <w:t>进行</w:t>
            </w:r>
            <w:r>
              <w:rPr>
                <w:rFonts w:hint="eastAsia" w:ascii="宋体" w:hAnsi="宋体" w:eastAsia="宋体" w:cs="宋体"/>
                <w:color w:val="auto"/>
                <w:sz w:val="21"/>
                <w:szCs w:val="21"/>
                <w:highlight w:val="none"/>
                <w:lang w:val="en-US" w:eastAsia="zh-CN"/>
              </w:rPr>
              <w:t>综合评分：</w:t>
            </w:r>
          </w:p>
          <w:p w14:paraId="6783532F">
            <w:pPr>
              <w:pStyle w:val="7"/>
              <w:numPr>
                <w:ilvl w:val="0"/>
                <w:numId w:val="0"/>
              </w:numPr>
              <w:tabs>
                <w:tab w:val="left" w:pos="720"/>
              </w:tabs>
              <w:spacing w:line="360" w:lineRule="auto"/>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分析清晰全面、了解准确到位</w:t>
            </w:r>
            <w:r>
              <w:rPr>
                <w:rFonts w:hint="eastAsia" w:ascii="宋体" w:hAnsi="宋体" w:eastAsia="宋体" w:cs="宋体"/>
                <w:bCs/>
                <w:color w:val="auto"/>
                <w:sz w:val="21"/>
                <w:szCs w:val="21"/>
                <w:highlight w:val="none"/>
              </w:rPr>
              <w:t>，符合赛事实际情况，有利于赛事各项任务开展</w:t>
            </w:r>
            <w:r>
              <w:rPr>
                <w:rFonts w:hint="eastAsia" w:ascii="宋体" w:hAnsi="宋体" w:eastAsia="宋体" w:cs="宋体"/>
                <w:color w:val="auto"/>
                <w:sz w:val="21"/>
                <w:szCs w:val="21"/>
                <w:highlight w:val="none"/>
              </w:rPr>
              <w:t>的</w:t>
            </w: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rPr>
              <w:t>分；</w:t>
            </w:r>
          </w:p>
          <w:p w14:paraId="34AB06F1">
            <w:pPr>
              <w:pStyle w:val="7"/>
              <w:numPr>
                <w:ilvl w:val="0"/>
                <w:numId w:val="0"/>
              </w:numPr>
              <w:tabs>
                <w:tab w:val="left" w:pos="720"/>
              </w:tabs>
              <w:spacing w:line="360" w:lineRule="auto"/>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kern w:val="0"/>
                <w:sz w:val="21"/>
                <w:szCs w:val="21"/>
                <w:highlight w:val="none"/>
              </w:rPr>
              <w:t>分析了解</w:t>
            </w:r>
            <w:r>
              <w:rPr>
                <w:rFonts w:hint="eastAsia" w:ascii="宋体" w:hAnsi="宋体" w:eastAsia="宋体" w:cs="宋体"/>
                <w:color w:val="auto"/>
                <w:sz w:val="21"/>
                <w:szCs w:val="21"/>
                <w:highlight w:val="none"/>
              </w:rPr>
              <w:t>有部分内容符合赛事实际情况的</w:t>
            </w: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rPr>
              <w:t>分；</w:t>
            </w:r>
          </w:p>
          <w:p w14:paraId="5A2A7A74">
            <w:pPr>
              <w:pStyle w:val="7"/>
              <w:numPr>
                <w:ilvl w:val="0"/>
                <w:numId w:val="0"/>
              </w:numPr>
              <w:tabs>
                <w:tab w:val="left" w:pos="720"/>
              </w:tabs>
              <w:spacing w:line="360" w:lineRule="auto"/>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分析笼统、不够符合赛事实际情况的得</w:t>
            </w: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rPr>
              <w:t>分；</w:t>
            </w:r>
          </w:p>
          <w:p w14:paraId="723D6EED">
            <w:pPr>
              <w:pStyle w:val="7"/>
              <w:numPr>
                <w:ilvl w:val="0"/>
                <w:numId w:val="0"/>
              </w:numPr>
              <w:tabs>
                <w:tab w:val="left" w:pos="720"/>
              </w:tabs>
              <w:spacing w:line="360" w:lineRule="auto"/>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kern w:val="0"/>
                <w:sz w:val="21"/>
                <w:szCs w:val="21"/>
                <w:highlight w:val="none"/>
              </w:rPr>
              <w:t>未提供不得分。</w:t>
            </w:r>
          </w:p>
        </w:tc>
        <w:tc>
          <w:tcPr>
            <w:tcW w:w="849" w:type="dxa"/>
            <w:noWrap w:val="0"/>
            <w:vAlign w:val="center"/>
          </w:tcPr>
          <w:p w14:paraId="5D075861">
            <w:pPr>
              <w:pStyle w:val="7"/>
              <w:numPr>
                <w:ilvl w:val="0"/>
                <w:numId w:val="0"/>
              </w:numPr>
              <w:tabs>
                <w:tab w:val="left" w:pos="720"/>
              </w:tabs>
              <w:spacing w:line="360" w:lineRule="auto"/>
              <w:jc w:val="center"/>
              <w:textAlignment w:val="baseline"/>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rPr>
              <w:t>分</w:t>
            </w:r>
          </w:p>
        </w:tc>
      </w:tr>
      <w:tr w14:paraId="3ED83B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787" w:type="dxa"/>
            <w:noWrap w:val="0"/>
            <w:vAlign w:val="center"/>
          </w:tcPr>
          <w:p w14:paraId="0C88C086">
            <w:pPr>
              <w:pStyle w:val="7"/>
              <w:numPr>
                <w:ilvl w:val="0"/>
                <w:numId w:val="0"/>
              </w:numPr>
              <w:tabs>
                <w:tab w:val="left" w:pos="720"/>
              </w:tabs>
              <w:spacing w:line="360" w:lineRule="auto"/>
              <w:jc w:val="center"/>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7</w:t>
            </w:r>
          </w:p>
        </w:tc>
        <w:tc>
          <w:tcPr>
            <w:tcW w:w="1404" w:type="dxa"/>
            <w:noWrap w:val="0"/>
            <w:vAlign w:val="center"/>
          </w:tcPr>
          <w:p w14:paraId="582BFA18">
            <w:pPr>
              <w:pStyle w:val="7"/>
              <w:numPr>
                <w:ilvl w:val="0"/>
                <w:numId w:val="0"/>
              </w:numPr>
              <w:tabs>
                <w:tab w:val="left" w:pos="720"/>
              </w:tabs>
              <w:spacing w:line="360" w:lineRule="auto"/>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项目重点难点的分析及对策</w:t>
            </w:r>
          </w:p>
        </w:tc>
        <w:tc>
          <w:tcPr>
            <w:tcW w:w="6231" w:type="dxa"/>
            <w:noWrap w:val="0"/>
            <w:vAlign w:val="center"/>
          </w:tcPr>
          <w:p w14:paraId="19055FE1">
            <w:pPr>
              <w:spacing w:line="360" w:lineRule="auto"/>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投标人针</w:t>
            </w:r>
            <w:r>
              <w:rPr>
                <w:rFonts w:hint="eastAsia" w:ascii="宋体" w:hAnsi="宋体" w:eastAsia="宋体" w:cs="宋体"/>
                <w:color w:val="auto"/>
                <w:sz w:val="21"/>
                <w:szCs w:val="21"/>
                <w:highlight w:val="none"/>
              </w:rPr>
              <w:t>对本次赛事活动的重点、难点进行梳理、剖析，并针对性提出克服重难点的解决措施</w:t>
            </w:r>
            <w:r>
              <w:rPr>
                <w:rFonts w:hint="eastAsia" w:ascii="宋体" w:hAnsi="宋体" w:eastAsia="宋体" w:cs="宋体"/>
                <w:color w:val="auto"/>
                <w:sz w:val="21"/>
                <w:szCs w:val="21"/>
                <w:highlight w:val="none"/>
                <w:lang w:val="en-US" w:eastAsia="zh-CN"/>
              </w:rPr>
              <w:t>进行</w:t>
            </w:r>
            <w:r>
              <w:rPr>
                <w:rFonts w:hint="eastAsia" w:ascii="宋体" w:hAnsi="宋体" w:eastAsia="宋体" w:cs="宋体"/>
                <w:color w:val="auto"/>
                <w:sz w:val="21"/>
                <w:szCs w:val="21"/>
                <w:highlight w:val="none"/>
                <w:lang w:val="en-US" w:eastAsia="zh-CN"/>
              </w:rPr>
              <w:t>综合评分：</w:t>
            </w:r>
          </w:p>
          <w:p w14:paraId="40434A3E">
            <w:pPr>
              <w:pStyle w:val="7"/>
              <w:numPr>
                <w:ilvl w:val="0"/>
                <w:numId w:val="0"/>
              </w:numPr>
              <w:tabs>
                <w:tab w:val="left" w:pos="720"/>
              </w:tabs>
              <w:spacing w:line="360" w:lineRule="auto"/>
              <w:jc w:val="left"/>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对重难点问题的梳理剖析</w:t>
            </w:r>
            <w:r>
              <w:rPr>
                <w:rFonts w:hint="eastAsia" w:ascii="宋体" w:hAnsi="宋体" w:eastAsia="宋体" w:cs="宋体"/>
                <w:color w:val="auto"/>
                <w:kern w:val="0"/>
                <w:sz w:val="21"/>
                <w:szCs w:val="21"/>
                <w:highlight w:val="none"/>
              </w:rPr>
              <w:t>全面合理、准确到位，针对性强，提出解决措施</w:t>
            </w:r>
            <w:r>
              <w:rPr>
                <w:rFonts w:hint="eastAsia" w:ascii="宋体" w:hAnsi="宋体" w:eastAsia="宋体" w:cs="宋体"/>
                <w:color w:val="auto"/>
                <w:sz w:val="21"/>
                <w:szCs w:val="21"/>
                <w:highlight w:val="none"/>
              </w:rPr>
              <w:t>系统、科学、</w:t>
            </w:r>
            <w:r>
              <w:rPr>
                <w:rFonts w:hint="eastAsia" w:ascii="宋体" w:hAnsi="宋体" w:eastAsia="宋体" w:cs="宋体"/>
                <w:color w:val="auto"/>
                <w:kern w:val="0"/>
                <w:sz w:val="21"/>
                <w:szCs w:val="21"/>
                <w:highlight w:val="none"/>
              </w:rPr>
              <w:t>合理，可行性强的得</w:t>
            </w:r>
            <w:r>
              <w:rPr>
                <w:rFonts w:hint="eastAsia" w:ascii="宋体" w:hAnsi="宋体" w:cs="宋体"/>
                <w:color w:val="auto"/>
                <w:kern w:val="0"/>
                <w:sz w:val="21"/>
                <w:szCs w:val="21"/>
                <w:highlight w:val="none"/>
                <w:lang w:val="en-US" w:eastAsia="zh-CN"/>
              </w:rPr>
              <w:t>5</w:t>
            </w:r>
            <w:r>
              <w:rPr>
                <w:rFonts w:hint="eastAsia" w:ascii="宋体" w:hAnsi="宋体" w:eastAsia="宋体" w:cs="宋体"/>
                <w:color w:val="auto"/>
                <w:kern w:val="0"/>
                <w:sz w:val="21"/>
                <w:szCs w:val="21"/>
                <w:highlight w:val="none"/>
              </w:rPr>
              <w:t>分；</w:t>
            </w:r>
          </w:p>
          <w:p w14:paraId="2B6AA81F">
            <w:pPr>
              <w:pStyle w:val="7"/>
              <w:numPr>
                <w:ilvl w:val="0"/>
                <w:numId w:val="0"/>
              </w:numPr>
              <w:tabs>
                <w:tab w:val="left" w:pos="720"/>
              </w:tabs>
              <w:spacing w:line="360" w:lineRule="auto"/>
              <w:jc w:val="left"/>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lang w:val="en-US" w:eastAsia="zh-CN"/>
              </w:rPr>
              <w:t>2</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sz w:val="21"/>
                <w:szCs w:val="21"/>
                <w:highlight w:val="none"/>
              </w:rPr>
              <w:t>梳理剖析</w:t>
            </w:r>
            <w:r>
              <w:rPr>
                <w:rFonts w:hint="eastAsia" w:ascii="宋体" w:hAnsi="宋体" w:eastAsia="宋体" w:cs="宋体"/>
                <w:color w:val="auto"/>
                <w:kern w:val="0"/>
                <w:sz w:val="21"/>
                <w:szCs w:val="21"/>
                <w:highlight w:val="none"/>
              </w:rPr>
              <w:t>基本正确，解决措施的合理性可行性稍有欠缺的得</w:t>
            </w:r>
            <w:r>
              <w:rPr>
                <w:rFonts w:hint="eastAsia" w:ascii="宋体" w:hAnsi="宋体" w:eastAsia="宋体" w:cs="宋体"/>
                <w:color w:val="auto"/>
                <w:kern w:val="0"/>
                <w:sz w:val="21"/>
                <w:szCs w:val="21"/>
                <w:highlight w:val="none"/>
                <w:lang w:val="en-US" w:eastAsia="zh-CN"/>
              </w:rPr>
              <w:t>3</w:t>
            </w:r>
            <w:r>
              <w:rPr>
                <w:rFonts w:hint="eastAsia" w:ascii="宋体" w:hAnsi="宋体" w:eastAsia="宋体" w:cs="宋体"/>
                <w:color w:val="auto"/>
                <w:kern w:val="0"/>
                <w:sz w:val="21"/>
                <w:szCs w:val="21"/>
                <w:highlight w:val="none"/>
              </w:rPr>
              <w:t>分；</w:t>
            </w:r>
          </w:p>
          <w:p w14:paraId="5AACC50C">
            <w:pPr>
              <w:pStyle w:val="7"/>
              <w:numPr>
                <w:ilvl w:val="0"/>
                <w:numId w:val="0"/>
              </w:numPr>
              <w:tabs>
                <w:tab w:val="left" w:pos="720"/>
              </w:tabs>
              <w:spacing w:line="360" w:lineRule="auto"/>
              <w:jc w:val="left"/>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lang w:val="en-US" w:eastAsia="zh-CN"/>
              </w:rPr>
              <w:t>1</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sz w:val="21"/>
                <w:szCs w:val="21"/>
                <w:highlight w:val="none"/>
              </w:rPr>
              <w:t>梳理剖析简单，</w:t>
            </w:r>
            <w:r>
              <w:rPr>
                <w:rFonts w:hint="eastAsia" w:ascii="宋体" w:hAnsi="宋体" w:eastAsia="宋体" w:cs="宋体"/>
                <w:color w:val="auto"/>
                <w:kern w:val="0"/>
                <w:sz w:val="21"/>
                <w:szCs w:val="21"/>
                <w:highlight w:val="none"/>
              </w:rPr>
              <w:t>解决措施的合理性可行性比较欠缺</w:t>
            </w:r>
            <w:r>
              <w:rPr>
                <w:rStyle w:val="84"/>
                <w:rFonts w:hint="eastAsia" w:ascii="宋体" w:hAnsi="宋体" w:eastAsia="宋体" w:cs="宋体"/>
                <w:color w:val="auto"/>
                <w:sz w:val="21"/>
                <w:szCs w:val="21"/>
                <w:highlight w:val="none"/>
              </w:rPr>
              <w:t>的</w:t>
            </w:r>
            <w:r>
              <w:rPr>
                <w:rFonts w:hint="eastAsia" w:ascii="宋体" w:hAnsi="宋体" w:eastAsia="宋体" w:cs="宋体"/>
                <w:color w:val="auto"/>
                <w:kern w:val="0"/>
                <w:sz w:val="21"/>
                <w:szCs w:val="21"/>
                <w:highlight w:val="none"/>
              </w:rPr>
              <w:t>得</w:t>
            </w:r>
            <w:r>
              <w:rPr>
                <w:rFonts w:hint="eastAsia" w:ascii="宋体" w:hAnsi="宋体" w:cs="宋体"/>
                <w:color w:val="auto"/>
                <w:kern w:val="0"/>
                <w:sz w:val="21"/>
                <w:szCs w:val="21"/>
                <w:highlight w:val="none"/>
                <w:lang w:val="en-US" w:eastAsia="zh-CN"/>
              </w:rPr>
              <w:t>1</w:t>
            </w:r>
            <w:r>
              <w:rPr>
                <w:rFonts w:hint="eastAsia" w:ascii="宋体" w:hAnsi="宋体" w:eastAsia="宋体" w:cs="宋体"/>
                <w:color w:val="auto"/>
                <w:kern w:val="0"/>
                <w:sz w:val="21"/>
                <w:szCs w:val="21"/>
                <w:highlight w:val="none"/>
              </w:rPr>
              <w:t>分；</w:t>
            </w:r>
          </w:p>
          <w:p w14:paraId="19489488">
            <w:pPr>
              <w:pStyle w:val="7"/>
              <w:numPr>
                <w:ilvl w:val="0"/>
                <w:numId w:val="0"/>
              </w:numPr>
              <w:tabs>
                <w:tab w:val="left" w:pos="720"/>
              </w:tabs>
              <w:spacing w:line="360" w:lineRule="auto"/>
              <w:jc w:val="left"/>
              <w:textAlignment w:val="baseline"/>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lang w:val="en-US" w:eastAsia="zh-CN"/>
              </w:rPr>
              <w:t>4</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rPr>
              <w:t>未提供不得分。</w:t>
            </w:r>
          </w:p>
        </w:tc>
        <w:tc>
          <w:tcPr>
            <w:tcW w:w="849" w:type="dxa"/>
            <w:noWrap w:val="0"/>
            <w:vAlign w:val="center"/>
          </w:tcPr>
          <w:p w14:paraId="553707F2">
            <w:pPr>
              <w:pStyle w:val="7"/>
              <w:numPr>
                <w:ilvl w:val="0"/>
                <w:numId w:val="0"/>
              </w:numPr>
              <w:tabs>
                <w:tab w:val="left" w:pos="720"/>
              </w:tabs>
              <w:spacing w:line="360" w:lineRule="auto"/>
              <w:jc w:val="center"/>
              <w:textAlignment w:val="baseline"/>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rPr>
              <w:t>分</w:t>
            </w:r>
          </w:p>
        </w:tc>
      </w:tr>
      <w:tr w14:paraId="5E677E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787" w:type="dxa"/>
            <w:vMerge w:val="restart"/>
            <w:noWrap w:val="0"/>
            <w:vAlign w:val="center"/>
          </w:tcPr>
          <w:p w14:paraId="5E03DDE3">
            <w:pPr>
              <w:pStyle w:val="7"/>
              <w:numPr>
                <w:ilvl w:val="0"/>
                <w:numId w:val="0"/>
              </w:numPr>
              <w:tabs>
                <w:tab w:val="left" w:pos="720"/>
              </w:tabs>
              <w:spacing w:line="360" w:lineRule="auto"/>
              <w:jc w:val="center"/>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8</w:t>
            </w:r>
          </w:p>
        </w:tc>
        <w:tc>
          <w:tcPr>
            <w:tcW w:w="1404" w:type="dxa"/>
            <w:vMerge w:val="restart"/>
            <w:noWrap w:val="0"/>
            <w:vAlign w:val="center"/>
          </w:tcPr>
          <w:p w14:paraId="2ECE7644">
            <w:pPr>
              <w:pStyle w:val="7"/>
              <w:numPr>
                <w:ilvl w:val="0"/>
                <w:numId w:val="0"/>
              </w:numPr>
              <w:tabs>
                <w:tab w:val="left" w:pos="720"/>
              </w:tabs>
              <w:spacing w:line="360" w:lineRule="auto"/>
              <w:textAlignment w:val="baseline"/>
              <w:rPr>
                <w:rFonts w:hint="eastAsia" w:ascii="宋体" w:hAnsi="宋体" w:eastAsia="宋体" w:cs="宋体"/>
                <w:color w:val="auto"/>
                <w:sz w:val="21"/>
                <w:szCs w:val="21"/>
                <w:highlight w:val="none"/>
              </w:rPr>
            </w:pPr>
          </w:p>
          <w:p w14:paraId="054BFC75">
            <w:pPr>
              <w:pStyle w:val="7"/>
              <w:numPr>
                <w:ilvl w:val="0"/>
                <w:numId w:val="0"/>
              </w:numPr>
              <w:tabs>
                <w:tab w:val="left" w:pos="720"/>
              </w:tabs>
              <w:spacing w:line="360" w:lineRule="auto"/>
              <w:textAlignment w:val="baseline"/>
              <w:rPr>
                <w:rFonts w:hint="eastAsia" w:ascii="宋体" w:hAnsi="宋体" w:eastAsia="宋体" w:cs="宋体"/>
                <w:color w:val="auto"/>
                <w:sz w:val="21"/>
                <w:szCs w:val="21"/>
                <w:highlight w:val="none"/>
              </w:rPr>
            </w:pPr>
          </w:p>
          <w:p w14:paraId="6FEDD462">
            <w:pPr>
              <w:pStyle w:val="7"/>
              <w:numPr>
                <w:ilvl w:val="0"/>
                <w:numId w:val="0"/>
              </w:numPr>
              <w:tabs>
                <w:tab w:val="left" w:pos="720"/>
              </w:tabs>
              <w:spacing w:line="360" w:lineRule="auto"/>
              <w:textAlignment w:val="baseline"/>
              <w:rPr>
                <w:rFonts w:hint="eastAsia" w:ascii="宋体" w:hAnsi="宋体" w:eastAsia="宋体" w:cs="宋体"/>
                <w:color w:val="auto"/>
                <w:sz w:val="21"/>
                <w:szCs w:val="21"/>
                <w:highlight w:val="none"/>
              </w:rPr>
            </w:pPr>
          </w:p>
          <w:p w14:paraId="75DC3FC9">
            <w:pPr>
              <w:pStyle w:val="7"/>
              <w:numPr>
                <w:ilvl w:val="0"/>
                <w:numId w:val="0"/>
              </w:numPr>
              <w:tabs>
                <w:tab w:val="left" w:pos="720"/>
              </w:tabs>
              <w:spacing w:line="360" w:lineRule="auto"/>
              <w:textAlignment w:val="baseline"/>
              <w:rPr>
                <w:rFonts w:hint="eastAsia" w:ascii="宋体" w:hAnsi="宋体" w:eastAsia="宋体" w:cs="宋体"/>
                <w:color w:val="auto"/>
                <w:sz w:val="21"/>
                <w:szCs w:val="21"/>
                <w:highlight w:val="none"/>
              </w:rPr>
            </w:pPr>
          </w:p>
          <w:p w14:paraId="5F4E9554">
            <w:pPr>
              <w:pStyle w:val="7"/>
              <w:numPr>
                <w:ilvl w:val="0"/>
                <w:numId w:val="0"/>
              </w:numPr>
              <w:tabs>
                <w:tab w:val="left" w:pos="720"/>
              </w:tabs>
              <w:spacing w:line="360" w:lineRule="auto"/>
              <w:textAlignment w:val="baseline"/>
              <w:rPr>
                <w:rFonts w:hint="eastAsia" w:ascii="宋体" w:hAnsi="宋体" w:eastAsia="宋体" w:cs="宋体"/>
                <w:color w:val="auto"/>
                <w:sz w:val="21"/>
                <w:szCs w:val="21"/>
                <w:highlight w:val="none"/>
              </w:rPr>
            </w:pPr>
          </w:p>
          <w:p w14:paraId="3E47462D">
            <w:pPr>
              <w:pStyle w:val="7"/>
              <w:numPr>
                <w:ilvl w:val="0"/>
                <w:numId w:val="0"/>
              </w:numPr>
              <w:tabs>
                <w:tab w:val="left" w:pos="720"/>
              </w:tabs>
              <w:spacing w:line="360" w:lineRule="auto"/>
              <w:textAlignment w:val="baseline"/>
              <w:rPr>
                <w:rFonts w:hint="eastAsia" w:ascii="宋体" w:hAnsi="宋体" w:eastAsia="宋体" w:cs="宋体"/>
                <w:color w:val="auto"/>
                <w:sz w:val="21"/>
                <w:szCs w:val="21"/>
                <w:highlight w:val="none"/>
              </w:rPr>
            </w:pPr>
          </w:p>
          <w:p w14:paraId="38C633D9">
            <w:pPr>
              <w:pStyle w:val="7"/>
              <w:numPr>
                <w:ilvl w:val="0"/>
                <w:numId w:val="0"/>
              </w:numPr>
              <w:tabs>
                <w:tab w:val="left" w:pos="720"/>
              </w:tabs>
              <w:spacing w:line="360" w:lineRule="auto"/>
              <w:textAlignment w:val="baseline"/>
              <w:rPr>
                <w:rFonts w:hint="eastAsia" w:ascii="宋体" w:hAnsi="宋体" w:eastAsia="宋体" w:cs="宋体"/>
                <w:color w:val="auto"/>
                <w:sz w:val="21"/>
                <w:szCs w:val="21"/>
                <w:highlight w:val="none"/>
              </w:rPr>
            </w:pPr>
          </w:p>
          <w:p w14:paraId="13568FEB">
            <w:pPr>
              <w:pStyle w:val="7"/>
              <w:numPr>
                <w:ilvl w:val="0"/>
                <w:numId w:val="0"/>
              </w:numPr>
              <w:tabs>
                <w:tab w:val="left" w:pos="720"/>
              </w:tabs>
              <w:spacing w:line="360" w:lineRule="auto"/>
              <w:textAlignment w:val="baseline"/>
              <w:rPr>
                <w:rFonts w:hint="eastAsia" w:ascii="宋体" w:hAnsi="宋体" w:eastAsia="宋体" w:cs="宋体"/>
                <w:color w:val="auto"/>
                <w:sz w:val="21"/>
                <w:szCs w:val="21"/>
                <w:highlight w:val="none"/>
              </w:rPr>
            </w:pPr>
          </w:p>
          <w:p w14:paraId="5F2CABF4">
            <w:pPr>
              <w:pStyle w:val="7"/>
              <w:numPr>
                <w:ilvl w:val="0"/>
                <w:numId w:val="0"/>
              </w:numPr>
              <w:tabs>
                <w:tab w:val="left" w:pos="720"/>
              </w:tabs>
              <w:spacing w:line="360" w:lineRule="auto"/>
              <w:textAlignment w:val="baseline"/>
              <w:rPr>
                <w:rFonts w:hint="eastAsia" w:ascii="宋体" w:hAnsi="宋体" w:eastAsia="宋体" w:cs="宋体"/>
                <w:color w:val="auto"/>
                <w:sz w:val="21"/>
                <w:szCs w:val="21"/>
                <w:highlight w:val="none"/>
              </w:rPr>
            </w:pPr>
          </w:p>
          <w:p w14:paraId="19E6F74C">
            <w:pPr>
              <w:pStyle w:val="7"/>
              <w:numPr>
                <w:ilvl w:val="0"/>
                <w:numId w:val="0"/>
              </w:numPr>
              <w:tabs>
                <w:tab w:val="left" w:pos="720"/>
              </w:tabs>
              <w:spacing w:line="360" w:lineRule="auto"/>
              <w:textAlignment w:val="baseline"/>
              <w:rPr>
                <w:rFonts w:hint="eastAsia" w:ascii="宋体" w:hAnsi="宋体" w:eastAsia="宋体" w:cs="宋体"/>
                <w:color w:val="auto"/>
                <w:sz w:val="21"/>
                <w:szCs w:val="21"/>
                <w:highlight w:val="none"/>
              </w:rPr>
            </w:pPr>
          </w:p>
          <w:p w14:paraId="24A5863F">
            <w:pPr>
              <w:pStyle w:val="7"/>
              <w:numPr>
                <w:ilvl w:val="0"/>
                <w:numId w:val="0"/>
              </w:numPr>
              <w:tabs>
                <w:tab w:val="left" w:pos="720"/>
              </w:tabs>
              <w:spacing w:line="360" w:lineRule="auto"/>
              <w:textAlignment w:val="baseline"/>
              <w:rPr>
                <w:rFonts w:hint="eastAsia" w:ascii="宋体" w:hAnsi="宋体" w:eastAsia="宋体" w:cs="宋体"/>
                <w:color w:val="auto"/>
                <w:sz w:val="21"/>
                <w:szCs w:val="21"/>
                <w:highlight w:val="none"/>
              </w:rPr>
            </w:pPr>
          </w:p>
          <w:p w14:paraId="235E820C">
            <w:pPr>
              <w:pStyle w:val="7"/>
              <w:numPr>
                <w:ilvl w:val="0"/>
                <w:numId w:val="0"/>
              </w:numPr>
              <w:tabs>
                <w:tab w:val="left" w:pos="720"/>
              </w:tabs>
              <w:spacing w:line="360" w:lineRule="auto"/>
              <w:textAlignment w:val="baseline"/>
              <w:rPr>
                <w:rFonts w:hint="eastAsia" w:ascii="宋体" w:hAnsi="宋体" w:eastAsia="宋体" w:cs="宋体"/>
                <w:color w:val="auto"/>
                <w:sz w:val="21"/>
                <w:szCs w:val="21"/>
                <w:highlight w:val="none"/>
              </w:rPr>
            </w:pPr>
          </w:p>
          <w:p w14:paraId="79263B53">
            <w:pPr>
              <w:pStyle w:val="7"/>
              <w:numPr>
                <w:ilvl w:val="0"/>
                <w:numId w:val="0"/>
              </w:numPr>
              <w:tabs>
                <w:tab w:val="left" w:pos="720"/>
              </w:tabs>
              <w:spacing w:line="360" w:lineRule="auto"/>
              <w:textAlignment w:val="baseline"/>
              <w:rPr>
                <w:rFonts w:hint="eastAsia" w:ascii="宋体" w:hAnsi="宋体" w:eastAsia="宋体" w:cs="宋体"/>
                <w:color w:val="auto"/>
                <w:sz w:val="21"/>
                <w:szCs w:val="21"/>
                <w:highlight w:val="none"/>
              </w:rPr>
            </w:pPr>
          </w:p>
          <w:p w14:paraId="4006ABB1">
            <w:pPr>
              <w:pStyle w:val="7"/>
              <w:numPr>
                <w:ilvl w:val="0"/>
                <w:numId w:val="0"/>
              </w:numPr>
              <w:tabs>
                <w:tab w:val="left" w:pos="720"/>
              </w:tabs>
              <w:spacing w:line="360" w:lineRule="auto"/>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赛事组织方案</w:t>
            </w:r>
          </w:p>
        </w:tc>
        <w:tc>
          <w:tcPr>
            <w:tcW w:w="6231" w:type="dxa"/>
            <w:noWrap w:val="0"/>
            <w:vAlign w:val="center"/>
          </w:tcPr>
          <w:p w14:paraId="7674F0CA">
            <w:pPr>
              <w:spacing w:line="360" w:lineRule="auto"/>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赛事</w:t>
            </w:r>
            <w:r>
              <w:rPr>
                <w:rFonts w:hint="eastAsia" w:ascii="宋体" w:hAnsi="宋体" w:cs="宋体"/>
                <w:color w:val="auto"/>
                <w:sz w:val="21"/>
                <w:szCs w:val="21"/>
                <w:highlight w:val="none"/>
                <w:lang w:val="en-US" w:eastAsia="zh-CN"/>
              </w:rPr>
              <w:t>整体</w:t>
            </w:r>
            <w:r>
              <w:rPr>
                <w:rFonts w:hint="eastAsia" w:ascii="宋体" w:hAnsi="宋体" w:eastAsia="宋体" w:cs="宋体"/>
                <w:color w:val="auto"/>
                <w:sz w:val="21"/>
                <w:szCs w:val="21"/>
                <w:highlight w:val="none"/>
                <w:lang w:val="en-US" w:eastAsia="zh-CN"/>
              </w:rPr>
              <w:t>活动总体策划方案（包括</w:t>
            </w:r>
            <w:r>
              <w:rPr>
                <w:rFonts w:hint="eastAsia" w:ascii="宋体" w:hAnsi="宋体" w:eastAsia="宋体" w:cs="宋体"/>
                <w:color w:val="auto"/>
                <w:szCs w:val="21"/>
                <w:highlight w:val="none"/>
                <w:lang w:val="en-US" w:eastAsia="zh-CN"/>
              </w:rPr>
              <w:t>赛事航线、海岛拉力赛赛程</w:t>
            </w:r>
            <w:r>
              <w:rPr>
                <w:rFonts w:hint="eastAsia" w:ascii="宋体" w:hAnsi="宋体" w:eastAsia="宋体" w:cs="宋体"/>
                <w:color w:val="auto"/>
                <w:sz w:val="21"/>
                <w:szCs w:val="21"/>
                <w:highlight w:val="none"/>
                <w:lang w:val="en-US" w:eastAsia="zh-CN"/>
              </w:rPr>
              <w:t>、主要工作内容、实施方案、创新构想等内容）进行</w:t>
            </w:r>
            <w:r>
              <w:rPr>
                <w:rFonts w:hint="eastAsia" w:ascii="宋体" w:hAnsi="宋体" w:eastAsia="宋体" w:cs="宋体"/>
                <w:color w:val="auto"/>
                <w:sz w:val="21"/>
                <w:szCs w:val="21"/>
                <w:highlight w:val="none"/>
                <w:lang w:val="en-US" w:eastAsia="zh-CN"/>
              </w:rPr>
              <w:t>综合评分：</w:t>
            </w:r>
          </w:p>
          <w:p w14:paraId="4EF0B9DE">
            <w:pPr>
              <w:spacing w:line="360" w:lineRule="auto"/>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（1）方案内容详细完整、贴合项目实际情况、重点突出，具有可操作性并完全满足采购需求的得5分；</w:t>
            </w:r>
          </w:p>
          <w:p w14:paraId="71B04F62">
            <w:pPr>
              <w:pStyle w:val="7"/>
              <w:numPr>
                <w:ilvl w:val="0"/>
                <w:numId w:val="0"/>
              </w:numPr>
              <w:tabs>
                <w:tab w:val="left" w:pos="720"/>
              </w:tabs>
              <w:spacing w:line="360" w:lineRule="auto"/>
              <w:ind w:leftChars="0"/>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方案内容详细完整、贴合项目实际情况、重点突出，具有可操作性</w:t>
            </w:r>
            <w:r>
              <w:rPr>
                <w:rFonts w:hint="eastAsia" w:ascii="宋体" w:hAnsi="宋体" w:eastAsia="宋体" w:cs="宋体"/>
                <w:color w:val="auto"/>
                <w:sz w:val="21"/>
                <w:szCs w:val="21"/>
                <w:highlight w:val="none"/>
                <w:lang w:val="en-US" w:eastAsia="zh-CN"/>
              </w:rPr>
              <w:t>基本</w:t>
            </w:r>
            <w:r>
              <w:rPr>
                <w:rFonts w:hint="eastAsia" w:ascii="宋体" w:hAnsi="宋体" w:eastAsia="宋体" w:cs="宋体"/>
                <w:color w:val="auto"/>
                <w:sz w:val="21"/>
                <w:szCs w:val="21"/>
                <w:highlight w:val="none"/>
              </w:rPr>
              <w:t>满足采购需求</w:t>
            </w:r>
            <w:r>
              <w:rPr>
                <w:rFonts w:hint="eastAsia" w:ascii="宋体" w:hAnsi="宋体" w:eastAsia="宋体" w:cs="宋体"/>
                <w:color w:val="auto"/>
                <w:sz w:val="21"/>
                <w:szCs w:val="21"/>
                <w:highlight w:val="none"/>
                <w:lang w:val="en-US" w:eastAsia="zh-CN"/>
              </w:rPr>
              <w:t>的得3分；</w:t>
            </w:r>
          </w:p>
          <w:p w14:paraId="5BB63EA5">
            <w:pPr>
              <w:pStyle w:val="7"/>
              <w:numPr>
                <w:ilvl w:val="0"/>
                <w:numId w:val="0"/>
              </w:numPr>
              <w:tabs>
                <w:tab w:val="left" w:pos="720"/>
              </w:tabs>
              <w:spacing w:line="360" w:lineRule="auto"/>
              <w:ind w:leftChars="0"/>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方案内容</w:t>
            </w:r>
            <w:r>
              <w:rPr>
                <w:rFonts w:hint="eastAsia" w:ascii="宋体" w:hAnsi="宋体" w:eastAsia="宋体" w:cs="宋体"/>
                <w:color w:val="auto"/>
                <w:sz w:val="21"/>
                <w:szCs w:val="21"/>
                <w:highlight w:val="none"/>
                <w:lang w:val="en-US" w:eastAsia="zh-CN"/>
              </w:rPr>
              <w:t>有所欠缺的得1分；</w:t>
            </w:r>
          </w:p>
          <w:p w14:paraId="10EBB2FF">
            <w:pPr>
              <w:pStyle w:val="7"/>
              <w:numPr>
                <w:ilvl w:val="0"/>
                <w:numId w:val="0"/>
              </w:numPr>
              <w:tabs>
                <w:tab w:val="left" w:pos="720"/>
              </w:tabs>
              <w:spacing w:line="360" w:lineRule="auto"/>
              <w:ind w:leftChars="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（4）未提供不得分。</w:t>
            </w:r>
          </w:p>
        </w:tc>
        <w:tc>
          <w:tcPr>
            <w:tcW w:w="849" w:type="dxa"/>
            <w:noWrap w:val="0"/>
            <w:vAlign w:val="center"/>
          </w:tcPr>
          <w:p w14:paraId="14176EBD">
            <w:pPr>
              <w:pStyle w:val="7"/>
              <w:numPr>
                <w:ilvl w:val="0"/>
                <w:numId w:val="0"/>
              </w:numPr>
              <w:tabs>
                <w:tab w:val="left" w:pos="720"/>
              </w:tabs>
              <w:spacing w:line="360" w:lineRule="auto"/>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分</w:t>
            </w:r>
          </w:p>
        </w:tc>
      </w:tr>
      <w:tr w14:paraId="76E31C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787" w:type="dxa"/>
            <w:vMerge w:val="continue"/>
            <w:noWrap w:val="0"/>
            <w:vAlign w:val="center"/>
          </w:tcPr>
          <w:p w14:paraId="31AACF9D">
            <w:pPr>
              <w:pStyle w:val="7"/>
              <w:numPr>
                <w:ilvl w:val="0"/>
                <w:numId w:val="0"/>
              </w:numPr>
              <w:tabs>
                <w:tab w:val="left" w:pos="720"/>
              </w:tabs>
              <w:spacing w:line="360" w:lineRule="auto"/>
              <w:textAlignment w:val="baseline"/>
              <w:rPr>
                <w:rFonts w:hint="eastAsia" w:ascii="宋体" w:hAnsi="宋体" w:eastAsia="宋体" w:cs="宋体"/>
                <w:color w:val="auto"/>
                <w:sz w:val="21"/>
                <w:szCs w:val="21"/>
                <w:highlight w:val="none"/>
              </w:rPr>
            </w:pPr>
          </w:p>
        </w:tc>
        <w:tc>
          <w:tcPr>
            <w:tcW w:w="1404" w:type="dxa"/>
            <w:vMerge w:val="continue"/>
            <w:noWrap w:val="0"/>
            <w:vAlign w:val="center"/>
          </w:tcPr>
          <w:p w14:paraId="5526E392">
            <w:pPr>
              <w:pStyle w:val="7"/>
              <w:numPr>
                <w:ilvl w:val="0"/>
                <w:numId w:val="0"/>
              </w:numPr>
              <w:tabs>
                <w:tab w:val="left" w:pos="720"/>
              </w:tabs>
              <w:spacing w:line="360" w:lineRule="auto"/>
              <w:textAlignment w:val="baseline"/>
              <w:rPr>
                <w:rFonts w:hint="eastAsia" w:ascii="宋体" w:hAnsi="宋体" w:eastAsia="宋体" w:cs="宋体"/>
                <w:color w:val="auto"/>
                <w:sz w:val="21"/>
                <w:szCs w:val="21"/>
                <w:highlight w:val="none"/>
              </w:rPr>
            </w:pPr>
          </w:p>
        </w:tc>
        <w:tc>
          <w:tcPr>
            <w:tcW w:w="6231" w:type="dxa"/>
            <w:noWrap w:val="0"/>
            <w:vAlign w:val="center"/>
          </w:tcPr>
          <w:p w14:paraId="787E9DFA">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leftChars="0" w:right="0" w:rightChars="0"/>
              <w:jc w:val="both"/>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投标人根据</w:t>
            </w:r>
            <w:r>
              <w:rPr>
                <w:rFonts w:hint="eastAsia" w:ascii="宋体" w:hAnsi="宋体" w:eastAsia="宋体" w:cs="宋体"/>
                <w:color w:val="auto"/>
                <w:sz w:val="21"/>
                <w:szCs w:val="21"/>
                <w:highlight w:val="none"/>
              </w:rPr>
              <w:t>开闭幕式环节设置合理，主题鲜明，创意策划体现浙江文化、舟山元素、</w:t>
            </w:r>
            <w:r>
              <w:rPr>
                <w:rFonts w:hint="eastAsia" w:ascii="宋体" w:hAnsi="宋体" w:eastAsia="宋体" w:cs="宋体"/>
                <w:color w:val="auto"/>
                <w:sz w:val="21"/>
                <w:szCs w:val="21"/>
                <w:highlight w:val="none"/>
                <w:lang w:val="en-US" w:eastAsia="zh-CN"/>
              </w:rPr>
              <w:t>嵊泗</w:t>
            </w:r>
            <w:r>
              <w:rPr>
                <w:rFonts w:hint="eastAsia" w:ascii="宋体" w:hAnsi="宋体" w:eastAsia="宋体" w:cs="宋体"/>
                <w:color w:val="auto"/>
                <w:sz w:val="21"/>
                <w:szCs w:val="21"/>
                <w:highlight w:val="none"/>
                <w:lang w:val="en-US" w:eastAsia="zh-Hans"/>
              </w:rPr>
              <w:t>特色</w:t>
            </w:r>
            <w:r>
              <w:rPr>
                <w:rFonts w:hint="eastAsia" w:ascii="宋体" w:hAnsi="宋体" w:eastAsia="宋体" w:cs="宋体"/>
                <w:color w:val="auto"/>
                <w:sz w:val="21"/>
                <w:szCs w:val="21"/>
                <w:highlight w:val="none"/>
              </w:rPr>
              <w:t>、体育特色及嵊泗精神等</w:t>
            </w:r>
            <w:r>
              <w:rPr>
                <w:rFonts w:hint="eastAsia" w:ascii="宋体" w:hAnsi="宋体" w:eastAsia="宋体" w:cs="宋体"/>
                <w:color w:val="auto"/>
                <w:sz w:val="21"/>
                <w:szCs w:val="21"/>
                <w:highlight w:val="none"/>
                <w:lang w:val="en-US" w:eastAsia="zh-CN"/>
              </w:rPr>
              <w:t>进行</w:t>
            </w:r>
            <w:r>
              <w:rPr>
                <w:rFonts w:hint="eastAsia" w:ascii="宋体" w:hAnsi="宋体" w:eastAsia="宋体" w:cs="宋体"/>
                <w:color w:val="auto"/>
                <w:sz w:val="21"/>
                <w:szCs w:val="21"/>
                <w:highlight w:val="none"/>
                <w:lang w:val="en-US" w:eastAsia="zh-CN"/>
              </w:rPr>
              <w:t>综合评分：</w:t>
            </w:r>
          </w:p>
          <w:p w14:paraId="0D5811DE">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leftChars="0" w:right="0" w:rightChars="0"/>
              <w:jc w:val="both"/>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主创团队结构合理、经验丰富，舞美搭建、文体演出等实施方案细致合理、可执行度高</w:t>
            </w:r>
            <w:r>
              <w:rPr>
                <w:rFonts w:hint="eastAsia" w:ascii="宋体" w:hAnsi="宋体" w:eastAsia="宋体" w:cs="宋体"/>
                <w:color w:val="auto"/>
                <w:sz w:val="21"/>
                <w:szCs w:val="21"/>
                <w:highlight w:val="none"/>
                <w:lang w:eastAsia="zh-CN"/>
              </w:rPr>
              <w:t>的得</w:t>
            </w: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lang w:val="en-US" w:eastAsia="zh-CN"/>
              </w:rPr>
              <w:t>分</w:t>
            </w:r>
            <w:r>
              <w:rPr>
                <w:rFonts w:hint="eastAsia" w:ascii="宋体" w:hAnsi="宋体" w:cs="宋体"/>
                <w:color w:val="auto"/>
                <w:sz w:val="21"/>
                <w:szCs w:val="21"/>
                <w:highlight w:val="none"/>
                <w:lang w:val="en-US" w:eastAsia="zh-CN"/>
              </w:rPr>
              <w:t>；</w:t>
            </w:r>
          </w:p>
          <w:p w14:paraId="054DC5D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leftChars="0" w:right="0" w:rightChars="0"/>
              <w:jc w:val="both"/>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主创团队结构</w:t>
            </w:r>
            <w:r>
              <w:rPr>
                <w:rFonts w:hint="eastAsia" w:ascii="宋体" w:hAnsi="宋体" w:eastAsia="宋体" w:cs="宋体"/>
                <w:color w:val="auto"/>
                <w:sz w:val="21"/>
                <w:szCs w:val="21"/>
                <w:highlight w:val="none"/>
                <w:lang w:eastAsia="zh-CN"/>
              </w:rPr>
              <w:t>基本</w:t>
            </w:r>
            <w:r>
              <w:rPr>
                <w:rFonts w:hint="eastAsia" w:ascii="宋体" w:hAnsi="宋体" w:eastAsia="宋体" w:cs="宋体"/>
                <w:color w:val="auto"/>
                <w:sz w:val="21"/>
                <w:szCs w:val="21"/>
                <w:highlight w:val="none"/>
              </w:rPr>
              <w:t>合理、经验</w:t>
            </w:r>
            <w:r>
              <w:rPr>
                <w:rFonts w:hint="eastAsia" w:ascii="宋体" w:hAnsi="宋体" w:eastAsia="宋体" w:cs="宋体"/>
                <w:color w:val="auto"/>
                <w:sz w:val="21"/>
                <w:szCs w:val="21"/>
                <w:highlight w:val="none"/>
                <w:lang w:eastAsia="zh-CN"/>
              </w:rPr>
              <w:t>丰富</w:t>
            </w:r>
            <w:r>
              <w:rPr>
                <w:rFonts w:hint="eastAsia" w:ascii="宋体" w:hAnsi="宋体" w:eastAsia="宋体" w:cs="宋体"/>
                <w:color w:val="auto"/>
                <w:sz w:val="21"/>
                <w:szCs w:val="21"/>
                <w:highlight w:val="none"/>
              </w:rPr>
              <w:t>，舞美搭建、文体演出等实施方案</w:t>
            </w:r>
            <w:r>
              <w:rPr>
                <w:rFonts w:hint="eastAsia" w:ascii="宋体" w:hAnsi="宋体" w:eastAsia="宋体" w:cs="宋体"/>
                <w:color w:val="auto"/>
                <w:sz w:val="21"/>
                <w:szCs w:val="21"/>
                <w:highlight w:val="none"/>
                <w:lang w:eastAsia="zh-CN"/>
              </w:rPr>
              <w:t>基本</w:t>
            </w:r>
            <w:r>
              <w:rPr>
                <w:rFonts w:hint="eastAsia" w:ascii="宋体" w:hAnsi="宋体" w:eastAsia="宋体" w:cs="宋体"/>
                <w:color w:val="auto"/>
                <w:sz w:val="21"/>
                <w:szCs w:val="21"/>
                <w:highlight w:val="none"/>
              </w:rPr>
              <w:t>合理、可执行</w:t>
            </w:r>
            <w:r>
              <w:rPr>
                <w:rFonts w:hint="eastAsia" w:ascii="宋体" w:hAnsi="宋体" w:eastAsia="宋体" w:cs="宋体"/>
                <w:color w:val="auto"/>
                <w:sz w:val="21"/>
                <w:szCs w:val="21"/>
                <w:highlight w:val="none"/>
                <w:lang w:eastAsia="zh-CN"/>
              </w:rPr>
              <w:t>基本符合的得</w:t>
            </w: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lang w:val="en-US" w:eastAsia="zh-CN"/>
              </w:rPr>
              <w:t>分</w:t>
            </w:r>
            <w:r>
              <w:rPr>
                <w:rFonts w:hint="eastAsia" w:ascii="宋体" w:hAnsi="宋体" w:cs="宋体"/>
                <w:color w:val="auto"/>
                <w:sz w:val="21"/>
                <w:szCs w:val="21"/>
                <w:highlight w:val="none"/>
                <w:lang w:val="en-US" w:eastAsia="zh-CN"/>
              </w:rPr>
              <w:t>；</w:t>
            </w:r>
          </w:p>
          <w:p w14:paraId="17F01E1E">
            <w:pPr>
              <w:pStyle w:val="32"/>
              <w:spacing w:line="360" w:lineRule="auto"/>
              <w:ind w:left="0" w:leftChars="0" w:firstLine="0" w:firstLineChars="0"/>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kern w:val="2"/>
                <w:sz w:val="21"/>
                <w:szCs w:val="21"/>
                <w:highlight w:val="none"/>
                <w:lang w:val="en-US" w:eastAsia="zh-CN" w:bidi="ar-SA"/>
              </w:rPr>
              <w:t>3）主创团队结构合理性欠缺、经验丰富，舞美搭建、文体演出等实施方案基本合理、可执行度不高的得1分</w:t>
            </w:r>
            <w:r>
              <w:rPr>
                <w:rFonts w:hint="eastAsia" w:ascii="宋体" w:hAnsi="宋体" w:cs="宋体"/>
                <w:color w:val="auto"/>
                <w:kern w:val="2"/>
                <w:sz w:val="21"/>
                <w:szCs w:val="21"/>
                <w:highlight w:val="none"/>
                <w:lang w:val="en-US" w:eastAsia="zh-CN" w:bidi="ar-SA"/>
              </w:rPr>
              <w:t>；</w:t>
            </w:r>
          </w:p>
          <w:p w14:paraId="3A9B2899">
            <w:pPr>
              <w:pStyle w:val="32"/>
              <w:spacing w:line="360" w:lineRule="auto"/>
              <w:ind w:left="0" w:leftChars="0" w:firstLine="0" w:firstLineChars="0"/>
              <w:rPr>
                <w:rFonts w:hint="eastAsia" w:ascii="宋体" w:hAnsi="宋体" w:eastAsia="宋体" w:cs="宋体"/>
                <w:color w:val="auto"/>
                <w:sz w:val="21"/>
                <w:szCs w:val="21"/>
                <w:highlight w:val="none"/>
              </w:rPr>
            </w:pPr>
            <w:r>
              <w:rPr>
                <w:rFonts w:hint="eastAsia" w:ascii="宋体" w:hAnsi="宋体" w:eastAsia="宋体" w:cs="宋体"/>
                <w:color w:val="auto"/>
                <w:kern w:val="2"/>
                <w:sz w:val="21"/>
                <w:szCs w:val="21"/>
                <w:highlight w:val="none"/>
                <w:lang w:val="en-US" w:eastAsia="zh-CN" w:bidi="ar-SA"/>
              </w:rPr>
              <w:t>（4）未提供不得分。</w:t>
            </w:r>
          </w:p>
        </w:tc>
        <w:tc>
          <w:tcPr>
            <w:tcW w:w="849" w:type="dxa"/>
            <w:noWrap w:val="0"/>
            <w:vAlign w:val="center"/>
          </w:tcPr>
          <w:p w14:paraId="0C16DBAC">
            <w:pPr>
              <w:widowControl/>
              <w:spacing w:line="360" w:lineRule="auto"/>
              <w:jc w:val="center"/>
              <w:textAlignment w:val="center"/>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rPr>
              <w:t>分</w:t>
            </w:r>
          </w:p>
        </w:tc>
      </w:tr>
      <w:tr w14:paraId="4B5D86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787" w:type="dxa"/>
            <w:vMerge w:val="continue"/>
            <w:noWrap w:val="0"/>
            <w:vAlign w:val="center"/>
          </w:tcPr>
          <w:p w14:paraId="6D8FE7C0">
            <w:pPr>
              <w:pStyle w:val="7"/>
              <w:numPr>
                <w:ilvl w:val="0"/>
                <w:numId w:val="0"/>
              </w:numPr>
              <w:tabs>
                <w:tab w:val="left" w:pos="720"/>
              </w:tabs>
              <w:spacing w:line="360" w:lineRule="auto"/>
              <w:textAlignment w:val="baseline"/>
              <w:rPr>
                <w:rFonts w:hint="eastAsia" w:ascii="宋体" w:hAnsi="宋体" w:eastAsia="宋体" w:cs="宋体"/>
                <w:color w:val="auto"/>
                <w:sz w:val="21"/>
                <w:szCs w:val="21"/>
                <w:highlight w:val="none"/>
              </w:rPr>
            </w:pPr>
          </w:p>
        </w:tc>
        <w:tc>
          <w:tcPr>
            <w:tcW w:w="1404" w:type="dxa"/>
            <w:vMerge w:val="continue"/>
            <w:noWrap w:val="0"/>
            <w:vAlign w:val="center"/>
          </w:tcPr>
          <w:p w14:paraId="4748F547">
            <w:pPr>
              <w:pStyle w:val="7"/>
              <w:numPr>
                <w:ilvl w:val="0"/>
                <w:numId w:val="0"/>
              </w:numPr>
              <w:tabs>
                <w:tab w:val="left" w:pos="720"/>
              </w:tabs>
              <w:spacing w:line="360" w:lineRule="auto"/>
              <w:textAlignment w:val="baseline"/>
              <w:rPr>
                <w:rFonts w:hint="eastAsia" w:ascii="宋体" w:hAnsi="宋体" w:eastAsia="宋体" w:cs="宋体"/>
                <w:color w:val="auto"/>
                <w:sz w:val="21"/>
                <w:szCs w:val="21"/>
                <w:highlight w:val="none"/>
              </w:rPr>
            </w:pPr>
          </w:p>
        </w:tc>
        <w:tc>
          <w:tcPr>
            <w:tcW w:w="6231" w:type="dxa"/>
            <w:noWrap w:val="0"/>
            <w:vAlign w:val="center"/>
          </w:tcPr>
          <w:p w14:paraId="17AF1205">
            <w:pPr>
              <w:numPr>
                <w:ilvl w:val="0"/>
                <w:numId w:val="0"/>
              </w:numPr>
              <w:spacing w:line="360" w:lineRule="auto"/>
              <w:ind w:left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根据投标人针对本项目</w:t>
            </w:r>
            <w:r>
              <w:rPr>
                <w:rFonts w:hint="eastAsia" w:ascii="宋体" w:hAnsi="宋体" w:eastAsia="宋体" w:cs="宋体"/>
                <w:color w:val="auto"/>
                <w:sz w:val="21"/>
                <w:szCs w:val="21"/>
                <w:highlight w:val="none"/>
              </w:rPr>
              <w:t>帆船比赛安排方案</w:t>
            </w:r>
            <w:r>
              <w:rPr>
                <w:rFonts w:hint="eastAsia" w:ascii="宋体" w:hAnsi="宋体" w:eastAsia="宋体" w:cs="宋体"/>
                <w:color w:val="auto"/>
                <w:sz w:val="21"/>
                <w:szCs w:val="21"/>
                <w:highlight w:val="none"/>
                <w:lang w:val="en-US" w:eastAsia="zh-CN"/>
              </w:rPr>
              <w:t>进行</w:t>
            </w:r>
            <w:r>
              <w:rPr>
                <w:rFonts w:hint="eastAsia" w:ascii="宋体" w:hAnsi="宋体" w:eastAsia="宋体" w:cs="宋体"/>
                <w:color w:val="auto"/>
                <w:sz w:val="21"/>
                <w:szCs w:val="21"/>
                <w:highlight w:val="none"/>
                <w:lang w:val="en-US" w:eastAsia="zh-CN"/>
              </w:rPr>
              <w:t>综合评分：</w:t>
            </w:r>
          </w:p>
          <w:p w14:paraId="41AA974C">
            <w:pPr>
              <w:widowControl/>
              <w:numPr>
                <w:ilvl w:val="0"/>
                <w:numId w:val="12"/>
              </w:numPr>
              <w:spacing w:line="360" w:lineRule="auto"/>
              <w:textAlignment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方案完整</w:t>
            </w:r>
            <w:r>
              <w:rPr>
                <w:rFonts w:hint="eastAsia" w:ascii="宋体" w:hAnsi="宋体" w:eastAsia="宋体" w:cs="宋体"/>
                <w:color w:val="auto"/>
                <w:sz w:val="21"/>
                <w:szCs w:val="21"/>
                <w:highlight w:val="none"/>
                <w:lang w:val="en-US" w:eastAsia="zh-CN"/>
              </w:rPr>
              <w:t>且</w:t>
            </w:r>
            <w:r>
              <w:rPr>
                <w:rFonts w:hint="eastAsia" w:ascii="宋体" w:hAnsi="宋体" w:eastAsia="宋体" w:cs="宋体"/>
                <w:color w:val="auto"/>
                <w:sz w:val="21"/>
                <w:szCs w:val="21"/>
                <w:highlight w:val="none"/>
              </w:rPr>
              <w:t>详细，按照国际帆船赛规格策划、设计、举办场地赛和长距离赛，明确具体比赛时间、地点、场次、赛制规则</w:t>
            </w:r>
            <w:r>
              <w:rPr>
                <w:rFonts w:hint="eastAsia" w:ascii="宋体" w:hAnsi="宋体" w:eastAsia="宋体" w:cs="宋体"/>
                <w:color w:val="auto"/>
                <w:sz w:val="21"/>
                <w:szCs w:val="21"/>
                <w:highlight w:val="none"/>
                <w:lang w:val="en-US" w:eastAsia="zh-CN"/>
              </w:rPr>
              <w:t>的得</w:t>
            </w: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lang w:val="en-US" w:eastAsia="zh-CN"/>
              </w:rPr>
              <w:t>分；</w:t>
            </w:r>
          </w:p>
          <w:p w14:paraId="113AC62B">
            <w:pPr>
              <w:widowControl/>
              <w:numPr>
                <w:ilvl w:val="0"/>
                <w:numId w:val="0"/>
              </w:numPr>
              <w:spacing w:line="360" w:lineRule="auto"/>
              <w:textAlignment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方案</w:t>
            </w:r>
            <w:r>
              <w:rPr>
                <w:rFonts w:hint="eastAsia" w:ascii="宋体" w:hAnsi="宋体" w:eastAsia="宋体" w:cs="宋体"/>
                <w:color w:val="auto"/>
                <w:sz w:val="21"/>
                <w:szCs w:val="21"/>
                <w:highlight w:val="none"/>
                <w:lang w:val="en-US" w:eastAsia="zh-CN"/>
              </w:rPr>
              <w:t>基本</w:t>
            </w:r>
            <w:r>
              <w:rPr>
                <w:rFonts w:hint="eastAsia" w:ascii="宋体" w:hAnsi="宋体" w:eastAsia="宋体" w:cs="宋体"/>
                <w:color w:val="auto"/>
                <w:sz w:val="21"/>
                <w:szCs w:val="21"/>
                <w:highlight w:val="none"/>
              </w:rPr>
              <w:t>完整，按照国际帆船赛规格策划、设计、举办场地赛和长距离赛，明确具体比赛时间、地点、场次、赛制规则</w:t>
            </w:r>
            <w:r>
              <w:rPr>
                <w:rFonts w:hint="eastAsia" w:ascii="宋体" w:hAnsi="宋体" w:eastAsia="宋体" w:cs="宋体"/>
                <w:color w:val="auto"/>
                <w:sz w:val="21"/>
                <w:szCs w:val="21"/>
                <w:highlight w:val="none"/>
                <w:lang w:val="en-US" w:eastAsia="zh-CN"/>
              </w:rPr>
              <w:t>的得3分；</w:t>
            </w:r>
          </w:p>
          <w:p w14:paraId="352365A0">
            <w:pPr>
              <w:pStyle w:val="32"/>
              <w:spacing w:line="360" w:lineRule="auto"/>
              <w:ind w:left="0" w:leftChars="0" w:firstLine="0" w:firstLineChars="0"/>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(3)方案有所欠缺的得</w:t>
            </w:r>
            <w:r>
              <w:rPr>
                <w:rFonts w:hint="eastAsia" w:ascii="宋体" w:hAnsi="宋体" w:cs="宋体"/>
                <w:color w:val="auto"/>
                <w:kern w:val="2"/>
                <w:sz w:val="21"/>
                <w:szCs w:val="21"/>
                <w:highlight w:val="none"/>
                <w:lang w:val="en-US" w:eastAsia="zh-CN" w:bidi="ar-SA"/>
              </w:rPr>
              <w:t>1</w:t>
            </w:r>
            <w:r>
              <w:rPr>
                <w:rFonts w:hint="eastAsia" w:ascii="宋体" w:hAnsi="宋体" w:eastAsia="宋体" w:cs="宋体"/>
                <w:color w:val="auto"/>
                <w:kern w:val="2"/>
                <w:sz w:val="21"/>
                <w:szCs w:val="21"/>
                <w:highlight w:val="none"/>
                <w:lang w:val="en-US" w:eastAsia="zh-CN" w:bidi="ar-SA"/>
              </w:rPr>
              <w:t>分；</w:t>
            </w:r>
          </w:p>
          <w:p w14:paraId="30DBA4EB">
            <w:pPr>
              <w:pStyle w:val="32"/>
              <w:spacing w:line="360" w:lineRule="auto"/>
              <w:ind w:left="0" w:leftChars="0" w:firstLine="0" w:firstLineChars="0"/>
              <w:rPr>
                <w:rFonts w:hint="eastAsia" w:ascii="宋体" w:hAnsi="宋体" w:eastAsia="宋体" w:cs="宋体"/>
                <w:color w:val="auto"/>
                <w:sz w:val="21"/>
                <w:szCs w:val="21"/>
                <w:highlight w:val="none"/>
              </w:rPr>
            </w:pPr>
            <w:r>
              <w:rPr>
                <w:rFonts w:hint="eastAsia" w:ascii="宋体" w:hAnsi="宋体" w:eastAsia="宋体" w:cs="宋体"/>
                <w:color w:val="auto"/>
                <w:kern w:val="2"/>
                <w:sz w:val="21"/>
                <w:szCs w:val="21"/>
                <w:highlight w:val="none"/>
                <w:lang w:val="en-US" w:eastAsia="zh-CN" w:bidi="ar-SA"/>
              </w:rPr>
              <w:t>（4）未提供不得分。</w:t>
            </w:r>
          </w:p>
        </w:tc>
        <w:tc>
          <w:tcPr>
            <w:tcW w:w="849" w:type="dxa"/>
            <w:noWrap w:val="0"/>
            <w:vAlign w:val="center"/>
          </w:tcPr>
          <w:p w14:paraId="12C1EB8E">
            <w:pPr>
              <w:widowControl/>
              <w:spacing w:line="360" w:lineRule="auto"/>
              <w:jc w:val="center"/>
              <w:textAlignment w:val="center"/>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rPr>
              <w:t>分</w:t>
            </w:r>
          </w:p>
        </w:tc>
      </w:tr>
      <w:tr w14:paraId="6E785E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787" w:type="dxa"/>
            <w:vMerge w:val="continue"/>
            <w:noWrap w:val="0"/>
            <w:vAlign w:val="center"/>
          </w:tcPr>
          <w:p w14:paraId="103BBED9">
            <w:pPr>
              <w:pStyle w:val="7"/>
              <w:numPr>
                <w:ilvl w:val="0"/>
                <w:numId w:val="0"/>
              </w:numPr>
              <w:tabs>
                <w:tab w:val="left" w:pos="720"/>
              </w:tabs>
              <w:spacing w:line="360" w:lineRule="auto"/>
              <w:textAlignment w:val="baseline"/>
              <w:rPr>
                <w:rFonts w:hint="eastAsia" w:ascii="宋体" w:hAnsi="宋体" w:eastAsia="宋体" w:cs="宋体"/>
                <w:color w:val="auto"/>
                <w:sz w:val="21"/>
                <w:szCs w:val="21"/>
                <w:highlight w:val="none"/>
              </w:rPr>
            </w:pPr>
          </w:p>
        </w:tc>
        <w:tc>
          <w:tcPr>
            <w:tcW w:w="1404" w:type="dxa"/>
            <w:vMerge w:val="continue"/>
            <w:noWrap w:val="0"/>
            <w:vAlign w:val="center"/>
          </w:tcPr>
          <w:p w14:paraId="1ECAB0BC">
            <w:pPr>
              <w:pStyle w:val="7"/>
              <w:numPr>
                <w:ilvl w:val="0"/>
                <w:numId w:val="0"/>
              </w:numPr>
              <w:tabs>
                <w:tab w:val="left" w:pos="720"/>
              </w:tabs>
              <w:spacing w:line="360" w:lineRule="auto"/>
              <w:textAlignment w:val="baseline"/>
              <w:rPr>
                <w:rFonts w:hint="eastAsia" w:ascii="宋体" w:hAnsi="宋体" w:eastAsia="宋体" w:cs="宋体"/>
                <w:color w:val="auto"/>
                <w:sz w:val="21"/>
                <w:szCs w:val="21"/>
                <w:highlight w:val="none"/>
              </w:rPr>
            </w:pPr>
          </w:p>
        </w:tc>
        <w:tc>
          <w:tcPr>
            <w:tcW w:w="6231" w:type="dxa"/>
            <w:noWrap w:val="0"/>
            <w:vAlign w:val="center"/>
          </w:tcPr>
          <w:p w14:paraId="028F67A1">
            <w:pPr>
              <w:widowControl/>
              <w:numPr>
                <w:ilvl w:val="0"/>
                <w:numId w:val="0"/>
              </w:numPr>
              <w:spacing w:line="360" w:lineRule="auto"/>
              <w:textAlignment w:val="center"/>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rPr>
              <w:t>投标人制定详细的全方位进行宣传推广(通过广播、网络、报刊、海报等途径以及通过其他各种形式进行宣</w:t>
            </w:r>
            <w:r>
              <w:rPr>
                <w:rFonts w:hint="eastAsia" w:ascii="宋体" w:hAnsi="宋体" w:cs="宋体"/>
                <w:color w:val="auto"/>
                <w:sz w:val="21"/>
                <w:szCs w:val="21"/>
                <w:highlight w:val="none"/>
                <w:lang w:val="en-US" w:eastAsia="zh-CN"/>
              </w:rPr>
              <w:t>传</w:t>
            </w:r>
            <w:r>
              <w:rPr>
                <w:rFonts w:hint="eastAsia" w:ascii="宋体" w:hAnsi="宋体" w:eastAsia="宋体" w:cs="宋体"/>
                <w:color w:val="auto"/>
                <w:sz w:val="21"/>
                <w:szCs w:val="21"/>
                <w:highlight w:val="none"/>
              </w:rPr>
              <w:t>的，能够融入本土特色</w:t>
            </w:r>
            <w:r>
              <w:rPr>
                <w:rFonts w:hint="eastAsia" w:ascii="宋体" w:hAnsi="宋体" w:eastAsia="宋体" w:cs="宋体"/>
                <w:color w:val="auto"/>
                <w:sz w:val="21"/>
                <w:szCs w:val="21"/>
                <w:highlight w:val="none"/>
                <w:lang w:eastAsia="zh-Hans"/>
              </w:rPr>
              <w:t>、</w:t>
            </w:r>
            <w:r>
              <w:rPr>
                <w:rFonts w:hint="eastAsia" w:ascii="宋体" w:hAnsi="宋体" w:eastAsia="宋体" w:cs="宋体"/>
                <w:color w:val="auto"/>
                <w:sz w:val="21"/>
                <w:szCs w:val="21"/>
                <w:highlight w:val="none"/>
                <w:lang w:val="en-US" w:eastAsia="zh-Hans"/>
              </w:rPr>
              <w:t>海洋特色、</w:t>
            </w:r>
            <w:r>
              <w:rPr>
                <w:rFonts w:hint="eastAsia" w:ascii="宋体" w:hAnsi="宋体" w:eastAsia="宋体" w:cs="宋体"/>
                <w:color w:val="auto"/>
                <w:sz w:val="21"/>
                <w:szCs w:val="21"/>
                <w:highlight w:val="none"/>
              </w:rPr>
              <w:t>宣传浙江舟山</w:t>
            </w:r>
            <w:r>
              <w:rPr>
                <w:rFonts w:hint="eastAsia" w:ascii="宋体" w:hAnsi="宋体" w:eastAsia="宋体" w:cs="宋体"/>
                <w:color w:val="auto"/>
                <w:sz w:val="21"/>
                <w:szCs w:val="21"/>
                <w:highlight w:val="none"/>
                <w:lang w:eastAsia="zh-CN"/>
              </w:rPr>
              <w:t>嵊</w:t>
            </w:r>
            <w:r>
              <w:rPr>
                <w:rFonts w:hint="eastAsia" w:ascii="宋体" w:hAnsi="宋体" w:eastAsia="宋体" w:cs="宋体"/>
                <w:color w:val="auto"/>
                <w:sz w:val="21"/>
                <w:szCs w:val="21"/>
                <w:highlight w:val="none"/>
              </w:rPr>
              <w:t>泗，能为项目提供很好</w:t>
            </w:r>
            <w:r>
              <w:rPr>
                <w:rFonts w:hint="eastAsia" w:ascii="宋体" w:hAnsi="宋体" w:eastAsia="宋体" w:cs="宋体"/>
                <w:color w:val="auto"/>
                <w:sz w:val="21"/>
                <w:szCs w:val="21"/>
                <w:highlight w:val="none"/>
                <w:lang w:val="en-US" w:eastAsia="zh-CN"/>
              </w:rPr>
              <w:t>宣传</w:t>
            </w:r>
            <w:r>
              <w:rPr>
                <w:rFonts w:hint="eastAsia" w:ascii="宋体" w:hAnsi="宋体" w:eastAsia="宋体" w:cs="宋体"/>
                <w:color w:val="auto"/>
                <w:sz w:val="21"/>
                <w:szCs w:val="21"/>
                <w:highlight w:val="none"/>
              </w:rPr>
              <w:t>的相关方案</w:t>
            </w:r>
            <w:r>
              <w:rPr>
                <w:rFonts w:hint="eastAsia" w:ascii="宋体" w:hAnsi="宋体" w:eastAsia="宋体" w:cs="宋体"/>
                <w:color w:val="auto"/>
                <w:sz w:val="21"/>
                <w:szCs w:val="21"/>
                <w:highlight w:val="none"/>
                <w:lang w:val="en-US" w:eastAsia="zh-CN"/>
              </w:rPr>
              <w:t>进行</w:t>
            </w:r>
            <w:r>
              <w:rPr>
                <w:rFonts w:hint="eastAsia" w:ascii="宋体" w:hAnsi="宋体" w:eastAsia="宋体" w:cs="宋体"/>
                <w:color w:val="auto"/>
                <w:sz w:val="21"/>
                <w:szCs w:val="21"/>
                <w:highlight w:val="none"/>
                <w:lang w:val="en-US" w:eastAsia="zh-CN"/>
              </w:rPr>
              <w:t>综合评分</w:t>
            </w:r>
            <w:r>
              <w:rPr>
                <w:rFonts w:hint="eastAsia" w:ascii="宋体" w:hAnsi="宋体" w:eastAsia="宋体" w:cs="宋体"/>
                <w:color w:val="auto"/>
                <w:sz w:val="21"/>
                <w:szCs w:val="21"/>
                <w:highlight w:val="none"/>
                <w:lang w:eastAsia="zh-CN"/>
              </w:rPr>
              <w:t>：</w:t>
            </w:r>
          </w:p>
          <w:p w14:paraId="63A5E1EA">
            <w:pPr>
              <w:widowControl/>
              <w:numPr>
                <w:ilvl w:val="0"/>
                <w:numId w:val="0"/>
              </w:numPr>
              <w:spacing w:line="360" w:lineRule="auto"/>
              <w:textAlignment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（1）方案</w:t>
            </w:r>
            <w:r>
              <w:rPr>
                <w:rFonts w:hint="eastAsia" w:ascii="宋体" w:hAnsi="宋体" w:eastAsia="宋体" w:cs="宋体"/>
                <w:color w:val="auto"/>
                <w:sz w:val="21"/>
                <w:szCs w:val="21"/>
                <w:highlight w:val="none"/>
              </w:rPr>
              <w:t>为优得</w:t>
            </w: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lang w:val="en-US" w:eastAsia="zh-CN"/>
              </w:rPr>
              <w:t>分；</w:t>
            </w:r>
          </w:p>
          <w:p w14:paraId="2D326571">
            <w:pPr>
              <w:widowControl/>
              <w:numPr>
                <w:ilvl w:val="0"/>
                <w:numId w:val="0"/>
              </w:numPr>
              <w:spacing w:line="360" w:lineRule="auto"/>
              <w:textAlignment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较好得</w:t>
            </w: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lang w:val="en-US" w:eastAsia="zh-CN"/>
              </w:rPr>
              <w:t>分；</w:t>
            </w:r>
          </w:p>
          <w:p w14:paraId="456B6E62">
            <w:pPr>
              <w:widowControl/>
              <w:numPr>
                <w:ilvl w:val="0"/>
                <w:numId w:val="0"/>
              </w:numPr>
              <w:spacing w:line="360" w:lineRule="auto"/>
              <w:textAlignment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一般的</w:t>
            </w:r>
            <w:r>
              <w:rPr>
                <w:rFonts w:hint="eastAsia" w:ascii="宋体" w:hAnsi="宋体" w:eastAsia="宋体" w:cs="宋体"/>
                <w:color w:val="auto"/>
                <w:sz w:val="21"/>
                <w:szCs w:val="21"/>
                <w:highlight w:val="none"/>
              </w:rPr>
              <w:t>得</w:t>
            </w: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lang w:val="en-US" w:eastAsia="zh-CN"/>
              </w:rPr>
              <w:t>分；</w:t>
            </w:r>
          </w:p>
          <w:p w14:paraId="4A1D27DD">
            <w:pPr>
              <w:widowControl/>
              <w:numPr>
                <w:ilvl w:val="0"/>
                <w:numId w:val="0"/>
              </w:numPr>
              <w:spacing w:line="360" w:lineRule="auto"/>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lang w:eastAsia="zh-CN"/>
              </w:rPr>
              <w:t>）</w:t>
            </w:r>
            <w:r>
              <w:rPr>
                <w:rFonts w:hint="eastAsia" w:ascii="宋体" w:hAnsi="宋体" w:cs="宋体"/>
                <w:color w:val="auto"/>
                <w:sz w:val="21"/>
                <w:szCs w:val="21"/>
                <w:highlight w:val="none"/>
                <w:lang w:val="en-US" w:eastAsia="zh-CN"/>
              </w:rPr>
              <w:t>未提供不得分</w:t>
            </w:r>
            <w:r>
              <w:rPr>
                <w:rFonts w:hint="eastAsia" w:ascii="宋体" w:hAnsi="宋体" w:eastAsia="宋体" w:cs="宋体"/>
                <w:color w:val="auto"/>
                <w:sz w:val="21"/>
                <w:szCs w:val="21"/>
                <w:highlight w:val="none"/>
                <w:lang w:val="en-US" w:eastAsia="zh-CN"/>
              </w:rPr>
              <w:t>。</w:t>
            </w:r>
          </w:p>
          <w:p w14:paraId="187DE924">
            <w:pPr>
              <w:widowControl/>
              <w:numPr>
                <w:ilvl w:val="0"/>
                <w:numId w:val="0"/>
              </w:numPr>
              <w:spacing w:line="360" w:lineRule="auto"/>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w:t>
            </w: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lang w:val="en-US" w:eastAsia="zh-CN"/>
              </w:rPr>
              <w:t>视频直播：根据投标人提供网络视频直播宣传方案进行综合评分：</w:t>
            </w:r>
          </w:p>
          <w:p w14:paraId="46BFC69D">
            <w:pPr>
              <w:widowControl/>
              <w:numPr>
                <w:ilvl w:val="0"/>
                <w:numId w:val="0"/>
              </w:numPr>
              <w:spacing w:line="360" w:lineRule="auto"/>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（1）具有很强的可操作性和创新性、宣传力度的得3分；</w:t>
            </w:r>
          </w:p>
          <w:p w14:paraId="61387A25">
            <w:pPr>
              <w:widowControl/>
              <w:numPr>
                <w:ilvl w:val="0"/>
                <w:numId w:val="0"/>
              </w:numPr>
              <w:spacing w:line="360" w:lineRule="auto"/>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（2）相应内容有欠缺的得2分；</w:t>
            </w:r>
          </w:p>
          <w:p w14:paraId="7582199F">
            <w:pPr>
              <w:widowControl/>
              <w:numPr>
                <w:ilvl w:val="0"/>
                <w:numId w:val="0"/>
              </w:numPr>
              <w:spacing w:line="360" w:lineRule="auto"/>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（3）相应内容欠缺较多的得1分；</w:t>
            </w:r>
          </w:p>
          <w:p w14:paraId="68FD2765">
            <w:pPr>
              <w:widowControl/>
              <w:numPr>
                <w:ilvl w:val="0"/>
                <w:numId w:val="0"/>
              </w:numPr>
              <w:spacing w:line="360" w:lineRule="auto"/>
              <w:textAlignment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（4）不能满足或未提供的得0分。</w:t>
            </w:r>
          </w:p>
        </w:tc>
        <w:tc>
          <w:tcPr>
            <w:tcW w:w="849" w:type="dxa"/>
            <w:noWrap w:val="0"/>
            <w:vAlign w:val="center"/>
          </w:tcPr>
          <w:p w14:paraId="0FD1BDC8">
            <w:pPr>
              <w:pStyle w:val="7"/>
              <w:numPr>
                <w:ilvl w:val="0"/>
                <w:numId w:val="0"/>
              </w:numPr>
              <w:tabs>
                <w:tab w:val="left" w:pos="720"/>
              </w:tabs>
              <w:spacing w:line="360" w:lineRule="auto"/>
              <w:jc w:val="center"/>
              <w:textAlignment w:val="baseline"/>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8</w:t>
            </w:r>
            <w:r>
              <w:rPr>
                <w:rFonts w:hint="eastAsia" w:ascii="宋体" w:hAnsi="宋体" w:eastAsia="宋体" w:cs="宋体"/>
                <w:color w:val="auto"/>
                <w:sz w:val="21"/>
                <w:szCs w:val="21"/>
                <w:highlight w:val="none"/>
              </w:rPr>
              <w:t>分</w:t>
            </w:r>
          </w:p>
        </w:tc>
      </w:tr>
      <w:tr w14:paraId="62FE2D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787" w:type="dxa"/>
            <w:vMerge w:val="continue"/>
            <w:noWrap w:val="0"/>
            <w:vAlign w:val="center"/>
          </w:tcPr>
          <w:p w14:paraId="0D35E8A1">
            <w:pPr>
              <w:pStyle w:val="7"/>
              <w:numPr>
                <w:ilvl w:val="0"/>
                <w:numId w:val="0"/>
              </w:numPr>
              <w:tabs>
                <w:tab w:val="left" w:pos="720"/>
              </w:tabs>
              <w:spacing w:line="360" w:lineRule="auto"/>
              <w:textAlignment w:val="baseline"/>
              <w:rPr>
                <w:rFonts w:hint="eastAsia" w:ascii="宋体" w:hAnsi="宋体" w:eastAsia="宋体" w:cs="宋体"/>
                <w:color w:val="auto"/>
                <w:sz w:val="21"/>
                <w:szCs w:val="21"/>
                <w:highlight w:val="none"/>
              </w:rPr>
            </w:pPr>
          </w:p>
        </w:tc>
        <w:tc>
          <w:tcPr>
            <w:tcW w:w="1404" w:type="dxa"/>
            <w:vMerge w:val="continue"/>
            <w:noWrap w:val="0"/>
            <w:vAlign w:val="center"/>
          </w:tcPr>
          <w:p w14:paraId="11E8B278">
            <w:pPr>
              <w:pStyle w:val="7"/>
              <w:numPr>
                <w:ilvl w:val="0"/>
                <w:numId w:val="0"/>
              </w:numPr>
              <w:tabs>
                <w:tab w:val="left" w:pos="720"/>
              </w:tabs>
              <w:spacing w:line="360" w:lineRule="auto"/>
              <w:textAlignment w:val="baseline"/>
              <w:rPr>
                <w:rFonts w:hint="eastAsia" w:ascii="宋体" w:hAnsi="宋体" w:eastAsia="宋体" w:cs="宋体"/>
                <w:color w:val="auto"/>
                <w:sz w:val="21"/>
                <w:szCs w:val="21"/>
                <w:highlight w:val="none"/>
              </w:rPr>
            </w:pPr>
          </w:p>
        </w:tc>
        <w:tc>
          <w:tcPr>
            <w:tcW w:w="6231" w:type="dxa"/>
            <w:noWrap w:val="0"/>
            <w:vAlign w:val="center"/>
          </w:tcPr>
          <w:p w14:paraId="6BBC12AA">
            <w:pPr>
              <w:keepNext w:val="0"/>
              <w:keepLines w:val="0"/>
              <w:pageBreakBefore w:val="0"/>
              <w:numPr>
                <w:ilvl w:val="0"/>
                <w:numId w:val="0"/>
              </w:numPr>
              <w:wordWrap/>
              <w:overflowPunct/>
              <w:topLinePunct w:val="0"/>
              <w:autoSpaceDE w:val="0"/>
              <w:autoSpaceDN w:val="0"/>
              <w:bidi w:val="0"/>
              <w:spacing w:line="360" w:lineRule="auto"/>
              <w:ind w:leftChars="0" w:right="0" w:rightChars="0"/>
              <w:jc w:val="both"/>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lang w:val="en-US" w:eastAsia="zh-CN"/>
              </w:rPr>
              <w:t>投标人</w:t>
            </w:r>
            <w:r>
              <w:rPr>
                <w:rFonts w:hint="eastAsia" w:ascii="宋体" w:hAnsi="宋体" w:eastAsia="宋体" w:cs="宋体"/>
                <w:color w:val="auto"/>
                <w:kern w:val="0"/>
                <w:sz w:val="21"/>
                <w:szCs w:val="21"/>
                <w:highlight w:val="none"/>
              </w:rPr>
              <w:t>充分考虑</w:t>
            </w:r>
            <w:r>
              <w:rPr>
                <w:rFonts w:hint="eastAsia" w:ascii="宋体" w:hAnsi="宋体" w:eastAsia="宋体" w:cs="宋体"/>
                <w:color w:val="auto"/>
                <w:kern w:val="0"/>
                <w:sz w:val="21"/>
                <w:szCs w:val="21"/>
                <w:highlight w:val="none"/>
                <w:lang w:val="en-US" w:eastAsia="zh-CN"/>
              </w:rPr>
              <w:t>各</w:t>
            </w:r>
            <w:r>
              <w:rPr>
                <w:rFonts w:hint="eastAsia" w:ascii="宋体" w:hAnsi="宋体" w:eastAsia="宋体" w:cs="宋体"/>
                <w:color w:val="auto"/>
                <w:kern w:val="0"/>
                <w:sz w:val="21"/>
                <w:szCs w:val="21"/>
                <w:highlight w:val="none"/>
              </w:rPr>
              <w:t>项目、参赛人数、场地条件等因素，按竞赛要求制定详细的后勤保障方案</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rPr>
              <w:t>确保方案的科学性和可行性(包括比赛后勤、开闭幕式后勤、物资等保障</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lang w:val="en-US" w:eastAsia="zh-CN"/>
              </w:rPr>
              <w:t>并协调项目所涉及的餐饮、住宿、交通</w:t>
            </w:r>
            <w:r>
              <w:rPr>
                <w:rFonts w:hint="eastAsia" w:ascii="宋体" w:hAnsi="宋体" w:eastAsia="宋体" w:cs="宋体"/>
                <w:color w:val="auto"/>
                <w:kern w:val="0"/>
                <w:sz w:val="21"/>
                <w:szCs w:val="21"/>
                <w:highlight w:val="none"/>
                <w:lang w:val="en-US" w:eastAsia="zh-Hans"/>
              </w:rPr>
              <w:t>、观众服务</w:t>
            </w:r>
            <w:r>
              <w:rPr>
                <w:rFonts w:hint="eastAsia" w:ascii="宋体" w:hAnsi="宋体" w:eastAsia="宋体" w:cs="宋体"/>
                <w:color w:val="auto"/>
                <w:kern w:val="0"/>
                <w:sz w:val="21"/>
                <w:szCs w:val="21"/>
                <w:highlight w:val="none"/>
                <w:lang w:val="en-US" w:eastAsia="zh-CN"/>
              </w:rPr>
              <w:t>等进行</w:t>
            </w:r>
            <w:r>
              <w:rPr>
                <w:rFonts w:hint="eastAsia" w:ascii="宋体" w:hAnsi="宋体" w:eastAsia="宋体" w:cs="宋体"/>
                <w:color w:val="auto"/>
                <w:sz w:val="21"/>
                <w:szCs w:val="21"/>
                <w:highlight w:val="none"/>
                <w:lang w:val="en-US" w:eastAsia="zh-CN"/>
              </w:rPr>
              <w:t>综合评分</w:t>
            </w:r>
            <w:r>
              <w:rPr>
                <w:rFonts w:hint="eastAsia" w:ascii="宋体" w:hAnsi="宋体" w:eastAsia="宋体" w:cs="宋体"/>
                <w:color w:val="auto"/>
                <w:kern w:val="0"/>
                <w:sz w:val="21"/>
                <w:szCs w:val="21"/>
                <w:highlight w:val="none"/>
                <w:lang w:val="en-US" w:eastAsia="zh-CN"/>
              </w:rPr>
              <w:t>：</w:t>
            </w:r>
          </w:p>
          <w:p w14:paraId="5ADB2100">
            <w:pPr>
              <w:keepNext w:val="0"/>
              <w:keepLines w:val="0"/>
              <w:pageBreakBefore w:val="0"/>
              <w:numPr>
                <w:ilvl w:val="0"/>
                <w:numId w:val="0"/>
              </w:numPr>
              <w:wordWrap/>
              <w:overflowPunct/>
              <w:topLinePunct w:val="0"/>
              <w:autoSpaceDE w:val="0"/>
              <w:autoSpaceDN w:val="0"/>
              <w:bidi w:val="0"/>
              <w:spacing w:line="360" w:lineRule="auto"/>
              <w:ind w:leftChars="0" w:right="0" w:rightChars="0"/>
              <w:jc w:val="both"/>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lang w:val="en-US" w:eastAsia="zh-CN"/>
              </w:rPr>
              <w:t>（1）</w:t>
            </w:r>
            <w:r>
              <w:rPr>
                <w:rFonts w:hint="eastAsia" w:ascii="宋体" w:hAnsi="宋体" w:eastAsia="宋体" w:cs="宋体"/>
                <w:color w:val="auto"/>
                <w:kern w:val="0"/>
                <w:sz w:val="21"/>
                <w:szCs w:val="21"/>
                <w:highlight w:val="none"/>
              </w:rPr>
              <w:t>方案描述详尽且合理，完整符合项目要求的得</w:t>
            </w:r>
            <w:r>
              <w:rPr>
                <w:rFonts w:hint="eastAsia" w:ascii="宋体" w:hAnsi="宋体" w:cs="宋体"/>
                <w:color w:val="auto"/>
                <w:kern w:val="0"/>
                <w:sz w:val="21"/>
                <w:szCs w:val="21"/>
                <w:highlight w:val="none"/>
                <w:lang w:val="en-US" w:eastAsia="zh-CN"/>
              </w:rPr>
              <w:t>5</w:t>
            </w:r>
            <w:r>
              <w:rPr>
                <w:rFonts w:hint="eastAsia" w:ascii="宋体" w:hAnsi="宋体" w:eastAsia="宋体" w:cs="宋体"/>
                <w:color w:val="auto"/>
                <w:kern w:val="0"/>
                <w:sz w:val="21"/>
                <w:szCs w:val="21"/>
                <w:highlight w:val="none"/>
              </w:rPr>
              <w:t>分；</w:t>
            </w:r>
          </w:p>
          <w:p w14:paraId="4BEEA742">
            <w:pPr>
              <w:keepNext w:val="0"/>
              <w:keepLines w:val="0"/>
              <w:pageBreakBefore w:val="0"/>
              <w:numPr>
                <w:ilvl w:val="0"/>
                <w:numId w:val="0"/>
              </w:numPr>
              <w:wordWrap/>
              <w:overflowPunct/>
              <w:topLinePunct w:val="0"/>
              <w:autoSpaceDE w:val="0"/>
              <w:autoSpaceDN w:val="0"/>
              <w:bidi w:val="0"/>
              <w:spacing w:line="360" w:lineRule="auto"/>
              <w:ind w:left="0" w:right="0" w:rightChars="0" w:firstLine="0" w:firstLineChars="0"/>
              <w:jc w:val="both"/>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lang w:val="en-US" w:eastAsia="zh-CN"/>
              </w:rPr>
              <w:t>2</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rPr>
              <w:t>方案基本合理，能够满足</w:t>
            </w:r>
            <w:r>
              <w:rPr>
                <w:rFonts w:hint="eastAsia" w:ascii="宋体" w:hAnsi="宋体" w:cs="宋体"/>
                <w:color w:val="auto"/>
                <w:kern w:val="0"/>
                <w:sz w:val="21"/>
                <w:szCs w:val="21"/>
                <w:highlight w:val="none"/>
                <w:lang w:eastAsia="zh-CN"/>
              </w:rPr>
              <w:t>采购单位</w:t>
            </w:r>
            <w:r>
              <w:rPr>
                <w:rFonts w:hint="eastAsia" w:ascii="宋体" w:hAnsi="宋体" w:eastAsia="宋体" w:cs="宋体"/>
                <w:color w:val="auto"/>
                <w:kern w:val="0"/>
                <w:sz w:val="21"/>
                <w:szCs w:val="21"/>
                <w:highlight w:val="none"/>
              </w:rPr>
              <w:t>需求的得</w:t>
            </w:r>
            <w:r>
              <w:rPr>
                <w:rFonts w:hint="eastAsia" w:ascii="宋体" w:hAnsi="宋体" w:cs="宋体"/>
                <w:color w:val="auto"/>
                <w:kern w:val="0"/>
                <w:sz w:val="21"/>
                <w:szCs w:val="21"/>
                <w:highlight w:val="none"/>
                <w:lang w:val="en-US" w:eastAsia="zh-CN"/>
              </w:rPr>
              <w:t>3</w:t>
            </w:r>
            <w:r>
              <w:rPr>
                <w:rFonts w:hint="eastAsia" w:ascii="宋体" w:hAnsi="宋体" w:eastAsia="宋体" w:cs="宋体"/>
                <w:color w:val="auto"/>
                <w:kern w:val="0"/>
                <w:sz w:val="21"/>
                <w:szCs w:val="21"/>
                <w:highlight w:val="none"/>
              </w:rPr>
              <w:t>分；</w:t>
            </w:r>
          </w:p>
          <w:p w14:paraId="52EDA885">
            <w:pPr>
              <w:pStyle w:val="7"/>
              <w:numPr>
                <w:ilvl w:val="0"/>
                <w:numId w:val="0"/>
              </w:numPr>
              <w:tabs>
                <w:tab w:val="left" w:pos="720"/>
              </w:tabs>
              <w:spacing w:line="360" w:lineRule="auto"/>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lang w:val="en-US" w:eastAsia="zh-CN"/>
              </w:rPr>
              <w:t>3</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rPr>
              <w:t>方案不够合理的</w:t>
            </w:r>
            <w:r>
              <w:rPr>
                <w:rFonts w:hint="eastAsia" w:ascii="宋体" w:hAnsi="宋体" w:eastAsia="宋体" w:cs="宋体"/>
                <w:color w:val="auto"/>
                <w:sz w:val="21"/>
                <w:szCs w:val="21"/>
                <w:highlight w:val="none"/>
                <w:lang w:val="en-US" w:eastAsia="zh-CN"/>
              </w:rPr>
              <w:t>能够满足</w:t>
            </w:r>
            <w:r>
              <w:rPr>
                <w:rFonts w:hint="eastAsia" w:ascii="宋体" w:hAnsi="宋体" w:cs="宋体"/>
                <w:color w:val="auto"/>
                <w:sz w:val="21"/>
                <w:szCs w:val="21"/>
                <w:highlight w:val="none"/>
                <w:lang w:val="en-US" w:eastAsia="zh-CN"/>
              </w:rPr>
              <w:t>采购单位</w:t>
            </w:r>
            <w:r>
              <w:rPr>
                <w:rFonts w:hint="eastAsia" w:ascii="宋体" w:hAnsi="宋体" w:eastAsia="宋体" w:cs="宋体"/>
                <w:color w:val="auto"/>
                <w:sz w:val="21"/>
                <w:szCs w:val="21"/>
                <w:highlight w:val="none"/>
                <w:lang w:val="en-US" w:eastAsia="zh-CN"/>
              </w:rPr>
              <w:t>要求的得</w:t>
            </w: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lang w:val="en-US" w:eastAsia="zh-CN"/>
              </w:rPr>
              <w:t>分；</w:t>
            </w:r>
          </w:p>
          <w:p w14:paraId="63EC1025">
            <w:pPr>
              <w:pStyle w:val="7"/>
              <w:numPr>
                <w:ilvl w:val="0"/>
                <w:numId w:val="0"/>
              </w:numPr>
              <w:tabs>
                <w:tab w:val="left" w:pos="720"/>
              </w:tabs>
              <w:spacing w:line="360" w:lineRule="auto"/>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（4）未提供不得分。</w:t>
            </w:r>
          </w:p>
        </w:tc>
        <w:tc>
          <w:tcPr>
            <w:tcW w:w="849" w:type="dxa"/>
            <w:noWrap w:val="0"/>
            <w:vAlign w:val="center"/>
          </w:tcPr>
          <w:p w14:paraId="38739269">
            <w:pPr>
              <w:pStyle w:val="7"/>
              <w:numPr>
                <w:ilvl w:val="0"/>
                <w:numId w:val="0"/>
              </w:numPr>
              <w:tabs>
                <w:tab w:val="left" w:pos="720"/>
              </w:tabs>
              <w:spacing w:line="360" w:lineRule="auto"/>
              <w:jc w:val="center"/>
              <w:textAlignment w:val="baseline"/>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rPr>
              <w:t>分</w:t>
            </w:r>
          </w:p>
        </w:tc>
      </w:tr>
      <w:tr w14:paraId="5C7C12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787" w:type="dxa"/>
            <w:vMerge w:val="continue"/>
            <w:noWrap w:val="0"/>
            <w:vAlign w:val="center"/>
          </w:tcPr>
          <w:p w14:paraId="0E30FED2">
            <w:pPr>
              <w:pStyle w:val="7"/>
              <w:numPr>
                <w:ilvl w:val="0"/>
                <w:numId w:val="0"/>
              </w:numPr>
              <w:tabs>
                <w:tab w:val="left" w:pos="720"/>
              </w:tabs>
              <w:spacing w:line="360" w:lineRule="auto"/>
              <w:textAlignment w:val="baseline"/>
              <w:rPr>
                <w:rFonts w:hint="eastAsia" w:ascii="宋体" w:hAnsi="宋体" w:eastAsia="宋体" w:cs="宋体"/>
                <w:color w:val="auto"/>
                <w:sz w:val="21"/>
                <w:szCs w:val="21"/>
                <w:highlight w:val="none"/>
              </w:rPr>
            </w:pPr>
          </w:p>
        </w:tc>
        <w:tc>
          <w:tcPr>
            <w:tcW w:w="1404" w:type="dxa"/>
            <w:vMerge w:val="continue"/>
            <w:noWrap w:val="0"/>
            <w:vAlign w:val="center"/>
          </w:tcPr>
          <w:p w14:paraId="48278D02">
            <w:pPr>
              <w:pStyle w:val="7"/>
              <w:numPr>
                <w:ilvl w:val="0"/>
                <w:numId w:val="0"/>
              </w:numPr>
              <w:tabs>
                <w:tab w:val="left" w:pos="720"/>
              </w:tabs>
              <w:spacing w:line="360" w:lineRule="auto"/>
              <w:textAlignment w:val="baseline"/>
              <w:rPr>
                <w:rFonts w:hint="eastAsia" w:ascii="宋体" w:hAnsi="宋体" w:eastAsia="宋体" w:cs="宋体"/>
                <w:color w:val="auto"/>
                <w:sz w:val="21"/>
                <w:szCs w:val="21"/>
                <w:highlight w:val="none"/>
              </w:rPr>
            </w:pPr>
          </w:p>
        </w:tc>
        <w:tc>
          <w:tcPr>
            <w:tcW w:w="6231" w:type="dxa"/>
            <w:noWrap w:val="0"/>
            <w:vAlign w:val="center"/>
          </w:tcPr>
          <w:p w14:paraId="629E5E0E">
            <w:pPr>
              <w:keepNext w:val="0"/>
              <w:keepLines w:val="0"/>
              <w:pageBreakBefore w:val="0"/>
              <w:numPr>
                <w:ilvl w:val="0"/>
                <w:numId w:val="0"/>
              </w:numPr>
              <w:wordWrap/>
              <w:overflowPunct/>
              <w:topLinePunct w:val="0"/>
              <w:autoSpaceDE w:val="0"/>
              <w:autoSpaceDN w:val="0"/>
              <w:bidi w:val="0"/>
              <w:spacing w:line="360" w:lineRule="auto"/>
              <w:ind w:left="0" w:right="0" w:rightChars="0" w:firstLine="0" w:firstLineChars="0"/>
              <w:jc w:val="both"/>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投标人按赛事要求制定详细的安全保障</w:t>
            </w:r>
            <w:r>
              <w:rPr>
                <w:rFonts w:hint="eastAsia" w:ascii="宋体" w:hAnsi="宋体" w:eastAsia="宋体" w:cs="宋体"/>
                <w:color w:val="auto"/>
                <w:kern w:val="0"/>
                <w:sz w:val="21"/>
                <w:szCs w:val="21"/>
                <w:highlight w:val="none"/>
                <w:lang w:val="en-US" w:eastAsia="zh-Hans"/>
              </w:rPr>
              <w:t>方案</w:t>
            </w:r>
            <w:r>
              <w:rPr>
                <w:rFonts w:hint="eastAsia" w:ascii="宋体" w:hAnsi="宋体" w:eastAsia="宋体" w:cs="宋体"/>
                <w:color w:val="auto"/>
                <w:kern w:val="0"/>
                <w:sz w:val="21"/>
                <w:szCs w:val="21"/>
                <w:highlight w:val="none"/>
                <w:lang w:val="en-US" w:eastAsia="zh-CN"/>
              </w:rPr>
              <w:t>及措施(包括积极配合公安、医疗救护、海事等部门工作方案以及安全保障的具体计划)进行</w:t>
            </w:r>
            <w:r>
              <w:rPr>
                <w:rFonts w:hint="eastAsia" w:ascii="宋体" w:hAnsi="宋体" w:eastAsia="宋体" w:cs="宋体"/>
                <w:color w:val="auto"/>
                <w:sz w:val="21"/>
                <w:szCs w:val="21"/>
                <w:highlight w:val="none"/>
                <w:lang w:val="en-US" w:eastAsia="zh-CN"/>
              </w:rPr>
              <w:t>综合评分</w:t>
            </w:r>
            <w:r>
              <w:rPr>
                <w:rFonts w:hint="eastAsia" w:ascii="宋体" w:hAnsi="宋体" w:eastAsia="宋体" w:cs="宋体"/>
                <w:color w:val="auto"/>
                <w:kern w:val="0"/>
                <w:sz w:val="21"/>
                <w:szCs w:val="21"/>
                <w:highlight w:val="none"/>
                <w:lang w:val="en-US" w:eastAsia="zh-CN"/>
              </w:rPr>
              <w:t>：</w:t>
            </w:r>
          </w:p>
          <w:p w14:paraId="4D0283A2">
            <w:pPr>
              <w:keepNext w:val="0"/>
              <w:keepLines w:val="0"/>
              <w:pageBreakBefore w:val="0"/>
              <w:numPr>
                <w:ilvl w:val="0"/>
                <w:numId w:val="0"/>
              </w:numPr>
              <w:wordWrap/>
              <w:overflowPunct/>
              <w:topLinePunct w:val="0"/>
              <w:autoSpaceDE w:val="0"/>
              <w:autoSpaceDN w:val="0"/>
              <w:bidi w:val="0"/>
              <w:spacing w:line="360" w:lineRule="auto"/>
              <w:ind w:left="0" w:right="0" w:rightChars="0" w:firstLine="0" w:firstLineChars="0"/>
              <w:jc w:val="both"/>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（1）方案完整详细，赛事安全保障到位，医疗救护方案及质量保证措施可行性高、有效的得</w:t>
            </w:r>
            <w:r>
              <w:rPr>
                <w:rFonts w:hint="eastAsia" w:ascii="宋体" w:hAnsi="宋体" w:cs="宋体"/>
                <w:color w:val="auto"/>
                <w:kern w:val="0"/>
                <w:sz w:val="21"/>
                <w:szCs w:val="21"/>
                <w:highlight w:val="none"/>
                <w:lang w:val="en-US" w:eastAsia="zh-CN"/>
              </w:rPr>
              <w:t>5</w:t>
            </w:r>
            <w:r>
              <w:rPr>
                <w:rFonts w:hint="eastAsia" w:ascii="宋体" w:hAnsi="宋体" w:eastAsia="宋体" w:cs="宋体"/>
                <w:color w:val="auto"/>
                <w:kern w:val="0"/>
                <w:sz w:val="21"/>
                <w:szCs w:val="21"/>
                <w:highlight w:val="none"/>
                <w:lang w:val="en-US" w:eastAsia="zh-CN"/>
              </w:rPr>
              <w:t>分；</w:t>
            </w:r>
          </w:p>
          <w:p w14:paraId="214FA97B">
            <w:pPr>
              <w:keepNext w:val="0"/>
              <w:keepLines w:val="0"/>
              <w:pageBreakBefore w:val="0"/>
              <w:numPr>
                <w:ilvl w:val="0"/>
                <w:numId w:val="0"/>
              </w:numPr>
              <w:wordWrap/>
              <w:overflowPunct/>
              <w:topLinePunct w:val="0"/>
              <w:autoSpaceDE w:val="0"/>
              <w:autoSpaceDN w:val="0"/>
              <w:bidi w:val="0"/>
              <w:spacing w:line="360" w:lineRule="auto"/>
              <w:ind w:left="0" w:right="0" w:rightChars="0" w:firstLine="0" w:firstLineChars="0"/>
              <w:jc w:val="both"/>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（2）方案基本满足</w:t>
            </w:r>
            <w:r>
              <w:rPr>
                <w:rFonts w:hint="eastAsia" w:ascii="宋体" w:hAnsi="宋体" w:cs="宋体"/>
                <w:color w:val="auto"/>
                <w:kern w:val="0"/>
                <w:sz w:val="21"/>
                <w:szCs w:val="21"/>
                <w:highlight w:val="none"/>
                <w:lang w:val="en-US" w:eastAsia="zh-CN"/>
              </w:rPr>
              <w:t>采购单位</w:t>
            </w:r>
            <w:r>
              <w:rPr>
                <w:rFonts w:hint="eastAsia" w:ascii="宋体" w:hAnsi="宋体" w:eastAsia="宋体" w:cs="宋体"/>
                <w:color w:val="auto"/>
                <w:kern w:val="0"/>
                <w:sz w:val="21"/>
                <w:szCs w:val="21"/>
                <w:highlight w:val="none"/>
                <w:lang w:val="en-US" w:eastAsia="zh-CN"/>
              </w:rPr>
              <w:t>需求的得</w:t>
            </w:r>
            <w:r>
              <w:rPr>
                <w:rFonts w:hint="eastAsia" w:ascii="宋体" w:hAnsi="宋体" w:cs="宋体"/>
                <w:color w:val="auto"/>
                <w:kern w:val="0"/>
                <w:sz w:val="21"/>
                <w:szCs w:val="21"/>
                <w:highlight w:val="none"/>
                <w:lang w:val="en-US" w:eastAsia="zh-CN"/>
              </w:rPr>
              <w:t>3</w:t>
            </w:r>
            <w:r>
              <w:rPr>
                <w:rFonts w:hint="eastAsia" w:ascii="宋体" w:hAnsi="宋体" w:eastAsia="宋体" w:cs="宋体"/>
                <w:color w:val="auto"/>
                <w:kern w:val="0"/>
                <w:sz w:val="21"/>
                <w:szCs w:val="21"/>
                <w:highlight w:val="none"/>
                <w:lang w:val="en-US" w:eastAsia="zh-CN"/>
              </w:rPr>
              <w:t>分；</w:t>
            </w:r>
          </w:p>
          <w:p w14:paraId="6C18830C">
            <w:pPr>
              <w:snapToGrid w:val="0"/>
              <w:spacing w:line="360" w:lineRule="auto"/>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（3）方案简单或质量保证措施可操作性不强的得</w:t>
            </w:r>
            <w:r>
              <w:rPr>
                <w:rFonts w:hint="eastAsia" w:ascii="宋体" w:hAnsi="宋体" w:cs="宋体"/>
                <w:color w:val="auto"/>
                <w:kern w:val="0"/>
                <w:sz w:val="21"/>
                <w:szCs w:val="21"/>
                <w:highlight w:val="none"/>
                <w:lang w:val="en-US" w:eastAsia="zh-CN"/>
              </w:rPr>
              <w:t>1</w:t>
            </w:r>
            <w:r>
              <w:rPr>
                <w:rFonts w:hint="eastAsia" w:ascii="宋体" w:hAnsi="宋体" w:eastAsia="宋体" w:cs="宋体"/>
                <w:color w:val="auto"/>
                <w:kern w:val="0"/>
                <w:sz w:val="21"/>
                <w:szCs w:val="21"/>
                <w:highlight w:val="none"/>
                <w:lang w:val="en-US" w:eastAsia="zh-CN"/>
              </w:rPr>
              <w:t>分；</w:t>
            </w:r>
          </w:p>
          <w:p w14:paraId="3F0DB6A4">
            <w:pPr>
              <w:snapToGrid w:val="0"/>
              <w:spacing w:line="360" w:lineRule="auto"/>
              <w:rPr>
                <w:rFonts w:hint="eastAsia" w:ascii="宋体" w:hAnsi="宋体" w:eastAsia="宋体" w:cs="宋体"/>
                <w:color w:val="auto"/>
                <w:sz w:val="21"/>
                <w:szCs w:val="21"/>
                <w:highlight w:val="none"/>
                <w:lang w:val="en-US"/>
              </w:rPr>
            </w:pPr>
            <w:r>
              <w:rPr>
                <w:rFonts w:hint="eastAsia" w:ascii="宋体" w:hAnsi="宋体" w:eastAsia="宋体" w:cs="宋体"/>
                <w:color w:val="auto"/>
                <w:kern w:val="0"/>
                <w:sz w:val="21"/>
                <w:szCs w:val="21"/>
                <w:highlight w:val="none"/>
                <w:lang w:val="en-US" w:eastAsia="zh-CN"/>
              </w:rPr>
              <w:t>（4）未提供不得分</w:t>
            </w:r>
          </w:p>
        </w:tc>
        <w:tc>
          <w:tcPr>
            <w:tcW w:w="849" w:type="dxa"/>
            <w:noWrap w:val="0"/>
            <w:vAlign w:val="center"/>
          </w:tcPr>
          <w:p w14:paraId="5CF34901">
            <w:pPr>
              <w:widowControl/>
              <w:spacing w:line="360" w:lineRule="auto"/>
              <w:jc w:val="center"/>
              <w:rPr>
                <w:rFonts w:hint="eastAsia" w:ascii="宋体" w:hAnsi="宋体" w:eastAsia="宋体" w:cs="宋体"/>
                <w:color w:val="auto"/>
                <w:kern w:val="0"/>
                <w:sz w:val="21"/>
                <w:szCs w:val="21"/>
                <w:highlight w:val="none"/>
              </w:rPr>
            </w:pPr>
            <w:r>
              <w:rPr>
                <w:rFonts w:hint="eastAsia" w:ascii="宋体" w:hAnsi="宋体" w:cs="宋体"/>
                <w:color w:val="auto"/>
                <w:kern w:val="0"/>
                <w:sz w:val="21"/>
                <w:szCs w:val="21"/>
                <w:highlight w:val="none"/>
                <w:lang w:val="en-US" w:eastAsia="zh-CN"/>
              </w:rPr>
              <w:t>5</w:t>
            </w:r>
            <w:r>
              <w:rPr>
                <w:rFonts w:hint="eastAsia" w:ascii="宋体" w:hAnsi="宋体" w:eastAsia="宋体" w:cs="宋体"/>
                <w:color w:val="auto"/>
                <w:kern w:val="0"/>
                <w:sz w:val="21"/>
                <w:szCs w:val="21"/>
                <w:highlight w:val="none"/>
              </w:rPr>
              <w:t>分</w:t>
            </w:r>
          </w:p>
        </w:tc>
      </w:tr>
      <w:tr w14:paraId="0B6B82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787" w:type="dxa"/>
            <w:vMerge w:val="continue"/>
            <w:noWrap w:val="0"/>
            <w:vAlign w:val="center"/>
          </w:tcPr>
          <w:p w14:paraId="7C56199C">
            <w:pPr>
              <w:pStyle w:val="7"/>
              <w:numPr>
                <w:ilvl w:val="0"/>
                <w:numId w:val="0"/>
              </w:numPr>
              <w:tabs>
                <w:tab w:val="left" w:pos="720"/>
              </w:tabs>
              <w:spacing w:line="360" w:lineRule="auto"/>
              <w:textAlignment w:val="baseline"/>
              <w:rPr>
                <w:rFonts w:hint="eastAsia" w:ascii="宋体" w:hAnsi="宋体" w:eastAsia="宋体" w:cs="宋体"/>
                <w:color w:val="auto"/>
                <w:sz w:val="21"/>
                <w:szCs w:val="21"/>
                <w:highlight w:val="none"/>
              </w:rPr>
            </w:pPr>
          </w:p>
        </w:tc>
        <w:tc>
          <w:tcPr>
            <w:tcW w:w="1404" w:type="dxa"/>
            <w:vMerge w:val="continue"/>
            <w:noWrap w:val="0"/>
            <w:vAlign w:val="center"/>
          </w:tcPr>
          <w:p w14:paraId="2F2475B0">
            <w:pPr>
              <w:pStyle w:val="7"/>
              <w:numPr>
                <w:ilvl w:val="0"/>
                <w:numId w:val="0"/>
              </w:numPr>
              <w:tabs>
                <w:tab w:val="left" w:pos="720"/>
              </w:tabs>
              <w:spacing w:line="360" w:lineRule="auto"/>
              <w:textAlignment w:val="baseline"/>
              <w:rPr>
                <w:rFonts w:hint="eastAsia" w:ascii="宋体" w:hAnsi="宋体" w:eastAsia="宋体" w:cs="宋体"/>
                <w:color w:val="auto"/>
                <w:sz w:val="21"/>
                <w:szCs w:val="21"/>
                <w:highlight w:val="none"/>
              </w:rPr>
            </w:pPr>
          </w:p>
        </w:tc>
        <w:tc>
          <w:tcPr>
            <w:tcW w:w="6231" w:type="dxa"/>
            <w:noWrap w:val="0"/>
            <w:vAlign w:val="center"/>
          </w:tcPr>
          <w:p w14:paraId="01475968">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leftChars="0" w:right="0" w:rightChars="0"/>
              <w:jc w:val="left"/>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lang w:val="en-US" w:eastAsia="zh-CN"/>
              </w:rPr>
              <w:t>预防意外伤害的发生、及时有效地处理突发医疗事件、提高参与者的健康意识和自我保护能力</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rPr>
              <w:t>投标人按要求制定详细的医疗卫生保障</w:t>
            </w:r>
            <w:r>
              <w:rPr>
                <w:rFonts w:hint="eastAsia" w:ascii="宋体" w:hAnsi="宋体" w:eastAsia="宋体" w:cs="宋体"/>
                <w:color w:val="auto"/>
                <w:kern w:val="0"/>
                <w:sz w:val="21"/>
                <w:szCs w:val="21"/>
                <w:highlight w:val="none"/>
                <w:lang w:val="en-US" w:eastAsia="zh-Hans"/>
              </w:rPr>
              <w:t>方案</w:t>
            </w:r>
            <w:r>
              <w:rPr>
                <w:rFonts w:hint="eastAsia" w:ascii="宋体" w:hAnsi="宋体" w:eastAsia="宋体" w:cs="宋体"/>
                <w:color w:val="auto"/>
                <w:kern w:val="0"/>
                <w:sz w:val="21"/>
                <w:szCs w:val="21"/>
                <w:highlight w:val="none"/>
              </w:rPr>
              <w:t>(包括医疗保障、卫生内容以及具体的计划)</w:t>
            </w:r>
            <w:r>
              <w:rPr>
                <w:rFonts w:hint="eastAsia" w:ascii="宋体" w:hAnsi="宋体" w:eastAsia="宋体" w:cs="宋体"/>
                <w:color w:val="auto"/>
                <w:kern w:val="0"/>
                <w:sz w:val="21"/>
                <w:szCs w:val="21"/>
                <w:highlight w:val="none"/>
                <w:lang w:val="en-US" w:eastAsia="zh-CN"/>
              </w:rPr>
              <w:t>进行</w:t>
            </w:r>
            <w:r>
              <w:rPr>
                <w:rFonts w:hint="eastAsia" w:ascii="宋体" w:hAnsi="宋体" w:eastAsia="宋体" w:cs="宋体"/>
                <w:color w:val="auto"/>
                <w:sz w:val="21"/>
                <w:szCs w:val="21"/>
                <w:highlight w:val="none"/>
                <w:lang w:val="en-US" w:eastAsia="zh-CN"/>
              </w:rPr>
              <w:t>综合评分</w:t>
            </w:r>
            <w:r>
              <w:rPr>
                <w:rFonts w:hint="eastAsia" w:ascii="宋体" w:hAnsi="宋体" w:eastAsia="宋体" w:cs="宋体"/>
                <w:color w:val="auto"/>
                <w:kern w:val="0"/>
                <w:sz w:val="21"/>
                <w:szCs w:val="21"/>
                <w:highlight w:val="none"/>
                <w:lang w:val="en-US" w:eastAsia="zh-CN"/>
              </w:rPr>
              <w:t>：</w:t>
            </w:r>
          </w:p>
          <w:p w14:paraId="04256A20">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leftChars="0" w:right="0" w:rightChars="0"/>
              <w:jc w:val="left"/>
              <w:textAlignment w:val="baseline"/>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（1）方案描述详尽且合理，完整符合项目要求的得4分；</w:t>
            </w:r>
          </w:p>
          <w:p w14:paraId="0283E3CD">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leftChars="0" w:right="0" w:rightChars="0"/>
              <w:jc w:val="left"/>
              <w:textAlignment w:val="baseline"/>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（2）方案描述基本合理，基本符合项目要求的得2分；</w:t>
            </w:r>
          </w:p>
          <w:p w14:paraId="02B01DC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leftChars="0" w:right="0" w:rightChars="0"/>
              <w:jc w:val="left"/>
              <w:textAlignment w:val="baseline"/>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zh-CN" w:eastAsia="zh-CN"/>
              </w:rPr>
              <w:t>（</w:t>
            </w:r>
            <w:r>
              <w:rPr>
                <w:rFonts w:hint="eastAsia" w:ascii="宋体" w:hAnsi="宋体" w:eastAsia="宋体" w:cs="宋体"/>
                <w:color w:val="auto"/>
                <w:kern w:val="0"/>
                <w:sz w:val="21"/>
                <w:szCs w:val="21"/>
                <w:highlight w:val="none"/>
                <w:lang w:val="en-US" w:eastAsia="zh-CN"/>
              </w:rPr>
              <w:t>3</w:t>
            </w:r>
            <w:r>
              <w:rPr>
                <w:rFonts w:hint="eastAsia" w:ascii="宋体" w:hAnsi="宋体" w:eastAsia="宋体" w:cs="宋体"/>
                <w:color w:val="auto"/>
                <w:kern w:val="0"/>
                <w:sz w:val="21"/>
                <w:szCs w:val="21"/>
                <w:highlight w:val="none"/>
                <w:lang w:val="zh-CN" w:eastAsia="zh-CN"/>
              </w:rPr>
              <w:t>）方案描</w:t>
            </w:r>
            <w:r>
              <w:rPr>
                <w:rFonts w:hint="eastAsia" w:ascii="宋体" w:hAnsi="宋体" w:cs="宋体"/>
                <w:color w:val="auto"/>
                <w:kern w:val="0"/>
                <w:sz w:val="21"/>
                <w:szCs w:val="21"/>
                <w:highlight w:val="none"/>
                <w:lang w:val="en-US" w:eastAsia="zh-CN"/>
              </w:rPr>
              <w:t>有所欠缺的得1分</w:t>
            </w:r>
            <w:r>
              <w:rPr>
                <w:rFonts w:hint="eastAsia" w:ascii="宋体" w:hAnsi="宋体" w:eastAsia="宋体" w:cs="宋体"/>
                <w:color w:val="auto"/>
                <w:kern w:val="0"/>
                <w:sz w:val="21"/>
                <w:szCs w:val="21"/>
                <w:highlight w:val="none"/>
                <w:lang w:val="en-US" w:eastAsia="zh-CN"/>
              </w:rPr>
              <w:t>；</w:t>
            </w:r>
          </w:p>
          <w:p w14:paraId="128A3E9B">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leftChars="0" w:right="0" w:rightChars="0"/>
              <w:jc w:val="left"/>
              <w:textAlignment w:val="baseline"/>
              <w:rPr>
                <w:rFonts w:hint="eastAsia" w:ascii="宋体" w:hAnsi="宋体" w:eastAsia="宋体" w:cs="宋体"/>
                <w:color w:val="auto"/>
                <w:spacing w:val="4"/>
                <w:kern w:val="0"/>
                <w:sz w:val="21"/>
                <w:szCs w:val="21"/>
                <w:highlight w:val="none"/>
                <w:lang w:val="en-US" w:eastAsia="zh-CN" w:bidi="zh-CN"/>
              </w:rPr>
            </w:pPr>
            <w:r>
              <w:rPr>
                <w:rFonts w:hint="eastAsia" w:ascii="宋体" w:hAnsi="宋体" w:eastAsia="宋体" w:cs="宋体"/>
                <w:color w:val="auto"/>
                <w:kern w:val="0"/>
                <w:sz w:val="21"/>
                <w:szCs w:val="21"/>
                <w:highlight w:val="none"/>
                <w:lang w:val="en-US" w:eastAsia="zh-CN"/>
              </w:rPr>
              <w:t>（4）未提供不得分。</w:t>
            </w:r>
          </w:p>
        </w:tc>
        <w:tc>
          <w:tcPr>
            <w:tcW w:w="849" w:type="dxa"/>
            <w:noWrap w:val="0"/>
            <w:vAlign w:val="center"/>
          </w:tcPr>
          <w:p w14:paraId="406BF935">
            <w:pPr>
              <w:pStyle w:val="7"/>
              <w:numPr>
                <w:ilvl w:val="0"/>
                <w:numId w:val="0"/>
              </w:numPr>
              <w:tabs>
                <w:tab w:val="left" w:pos="720"/>
              </w:tabs>
              <w:spacing w:line="360" w:lineRule="auto"/>
              <w:jc w:val="center"/>
              <w:textAlignment w:val="baseline"/>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rPr>
              <w:t>分</w:t>
            </w:r>
          </w:p>
        </w:tc>
      </w:tr>
      <w:tr w14:paraId="103541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787" w:type="dxa"/>
            <w:vMerge w:val="continue"/>
            <w:noWrap w:val="0"/>
            <w:vAlign w:val="center"/>
          </w:tcPr>
          <w:p w14:paraId="21C3F358">
            <w:pPr>
              <w:pStyle w:val="7"/>
              <w:numPr>
                <w:ilvl w:val="0"/>
                <w:numId w:val="0"/>
              </w:numPr>
              <w:tabs>
                <w:tab w:val="left" w:pos="720"/>
              </w:tabs>
              <w:spacing w:line="360" w:lineRule="auto"/>
              <w:textAlignment w:val="baseline"/>
              <w:rPr>
                <w:rFonts w:hint="eastAsia" w:ascii="宋体" w:hAnsi="宋体" w:eastAsia="宋体" w:cs="宋体"/>
                <w:color w:val="auto"/>
                <w:sz w:val="21"/>
                <w:szCs w:val="21"/>
                <w:highlight w:val="none"/>
              </w:rPr>
            </w:pPr>
          </w:p>
        </w:tc>
        <w:tc>
          <w:tcPr>
            <w:tcW w:w="1404" w:type="dxa"/>
            <w:vMerge w:val="continue"/>
            <w:noWrap w:val="0"/>
            <w:vAlign w:val="center"/>
          </w:tcPr>
          <w:p w14:paraId="03C78729">
            <w:pPr>
              <w:pStyle w:val="7"/>
              <w:numPr>
                <w:ilvl w:val="0"/>
                <w:numId w:val="0"/>
              </w:numPr>
              <w:tabs>
                <w:tab w:val="left" w:pos="720"/>
              </w:tabs>
              <w:spacing w:line="360" w:lineRule="auto"/>
              <w:textAlignment w:val="baseline"/>
              <w:rPr>
                <w:rFonts w:hint="eastAsia" w:ascii="宋体" w:hAnsi="宋体" w:eastAsia="宋体" w:cs="宋体"/>
                <w:color w:val="auto"/>
                <w:sz w:val="21"/>
                <w:szCs w:val="21"/>
                <w:highlight w:val="none"/>
              </w:rPr>
            </w:pPr>
          </w:p>
        </w:tc>
        <w:tc>
          <w:tcPr>
            <w:tcW w:w="6231" w:type="dxa"/>
            <w:noWrap w:val="0"/>
            <w:vAlign w:val="center"/>
          </w:tcPr>
          <w:p w14:paraId="20C1CEE0">
            <w:pPr>
              <w:numPr>
                <w:ilvl w:val="0"/>
                <w:numId w:val="0"/>
              </w:numPr>
              <w:spacing w:line="360" w:lineRule="auto"/>
              <w:ind w:left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突发事件应急响应方案（包括发生台风、暴雨等灾害性天气、疫情、人员安全、消防安全、违法犯罪等突发事件）</w:t>
            </w:r>
            <w:r>
              <w:rPr>
                <w:rFonts w:hint="eastAsia" w:ascii="宋体" w:hAnsi="宋体" w:eastAsia="宋体" w:cs="宋体"/>
                <w:color w:val="auto"/>
                <w:sz w:val="21"/>
                <w:szCs w:val="21"/>
                <w:highlight w:val="none"/>
                <w:lang w:val="en-US" w:eastAsia="zh-CN"/>
              </w:rPr>
              <w:t>进行打分：</w:t>
            </w:r>
          </w:p>
          <w:p w14:paraId="43515A1D">
            <w:pPr>
              <w:numPr>
                <w:ilvl w:val="0"/>
                <w:numId w:val="13"/>
              </w:numPr>
              <w:spacing w:line="360" w:lineRule="auto"/>
              <w:rPr>
                <w:rStyle w:val="85"/>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方案完整具体、合理可行，能有效及时响应处理的</w:t>
            </w:r>
            <w:r>
              <w:rPr>
                <w:rStyle w:val="85"/>
                <w:rFonts w:hint="eastAsia" w:ascii="宋体" w:hAnsi="宋体" w:eastAsia="宋体" w:cs="宋体"/>
                <w:color w:val="auto"/>
                <w:sz w:val="21"/>
                <w:szCs w:val="21"/>
                <w:highlight w:val="none"/>
              </w:rPr>
              <w:t>得</w:t>
            </w:r>
            <w:r>
              <w:rPr>
                <w:rStyle w:val="85"/>
                <w:rFonts w:hint="eastAsia" w:ascii="宋体" w:hAnsi="宋体" w:cs="宋体"/>
                <w:color w:val="auto"/>
                <w:sz w:val="21"/>
                <w:szCs w:val="21"/>
                <w:highlight w:val="none"/>
                <w:lang w:val="en-US"/>
              </w:rPr>
              <w:t>5</w:t>
            </w:r>
            <w:r>
              <w:rPr>
                <w:rStyle w:val="85"/>
                <w:rFonts w:hint="eastAsia" w:ascii="宋体" w:hAnsi="宋体" w:eastAsia="宋体" w:cs="宋体"/>
                <w:color w:val="auto"/>
                <w:sz w:val="21"/>
                <w:szCs w:val="21"/>
                <w:highlight w:val="none"/>
              </w:rPr>
              <w:t>分；</w:t>
            </w:r>
          </w:p>
          <w:p w14:paraId="1AB12660">
            <w:pPr>
              <w:numPr>
                <w:ilvl w:val="0"/>
                <w:numId w:val="13"/>
              </w:num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方案基本完整可行</w:t>
            </w:r>
            <w:r>
              <w:rPr>
                <w:rStyle w:val="85"/>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rPr>
              <w:t>能及时响应</w:t>
            </w:r>
            <w:r>
              <w:rPr>
                <w:rStyle w:val="85"/>
                <w:rFonts w:hint="eastAsia" w:ascii="宋体" w:hAnsi="宋体" w:eastAsia="宋体" w:cs="宋体"/>
                <w:color w:val="auto"/>
                <w:sz w:val="21"/>
                <w:szCs w:val="21"/>
                <w:highlight w:val="none"/>
              </w:rPr>
              <w:t>的得</w:t>
            </w:r>
            <w:r>
              <w:rPr>
                <w:rStyle w:val="85"/>
                <w:rFonts w:hint="eastAsia" w:ascii="宋体" w:hAnsi="宋体" w:eastAsia="宋体" w:cs="宋体"/>
                <w:color w:val="auto"/>
                <w:sz w:val="21"/>
                <w:szCs w:val="21"/>
                <w:highlight w:val="none"/>
                <w:lang w:val="en-US"/>
              </w:rPr>
              <w:t>3</w:t>
            </w:r>
            <w:r>
              <w:rPr>
                <w:rStyle w:val="85"/>
                <w:rFonts w:hint="eastAsia" w:ascii="宋体" w:hAnsi="宋体" w:eastAsia="宋体" w:cs="宋体"/>
                <w:color w:val="auto"/>
                <w:sz w:val="21"/>
                <w:szCs w:val="21"/>
                <w:highlight w:val="none"/>
              </w:rPr>
              <w:t>分；</w:t>
            </w:r>
          </w:p>
          <w:p w14:paraId="296DCC91">
            <w:pPr>
              <w:numPr>
                <w:ilvl w:val="0"/>
                <w:numId w:val="13"/>
              </w:num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方案简单，内容明显欠缺不足的得</w:t>
            </w: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eastAsia="zh-CN"/>
              </w:rPr>
              <w:t>；</w:t>
            </w:r>
          </w:p>
          <w:p w14:paraId="3A164E98">
            <w:pPr>
              <w:numPr>
                <w:ilvl w:val="0"/>
                <w:numId w:val="13"/>
              </w:num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未提供不得分。</w:t>
            </w:r>
          </w:p>
        </w:tc>
        <w:tc>
          <w:tcPr>
            <w:tcW w:w="849" w:type="dxa"/>
            <w:noWrap w:val="0"/>
            <w:vAlign w:val="center"/>
          </w:tcPr>
          <w:p w14:paraId="771AB749">
            <w:pPr>
              <w:widowControl/>
              <w:spacing w:line="360" w:lineRule="auto"/>
              <w:jc w:val="center"/>
              <w:rPr>
                <w:rFonts w:hint="eastAsia" w:ascii="宋体" w:hAnsi="宋体" w:eastAsia="宋体" w:cs="宋体"/>
                <w:color w:val="auto"/>
                <w:kern w:val="0"/>
                <w:sz w:val="21"/>
                <w:szCs w:val="21"/>
                <w:highlight w:val="none"/>
              </w:rPr>
            </w:pPr>
            <w:r>
              <w:rPr>
                <w:rFonts w:hint="eastAsia" w:ascii="宋体" w:hAnsi="宋体" w:cs="宋体"/>
                <w:color w:val="auto"/>
                <w:kern w:val="0"/>
                <w:sz w:val="21"/>
                <w:szCs w:val="21"/>
                <w:highlight w:val="none"/>
                <w:lang w:val="en-US" w:eastAsia="zh-CN"/>
              </w:rPr>
              <w:t>5</w:t>
            </w:r>
            <w:r>
              <w:rPr>
                <w:rFonts w:hint="eastAsia" w:ascii="宋体" w:hAnsi="宋体" w:eastAsia="宋体" w:cs="宋体"/>
                <w:color w:val="auto"/>
                <w:kern w:val="0"/>
                <w:sz w:val="21"/>
                <w:szCs w:val="21"/>
                <w:highlight w:val="none"/>
              </w:rPr>
              <w:t>分</w:t>
            </w:r>
          </w:p>
        </w:tc>
      </w:tr>
      <w:tr w14:paraId="24530F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787" w:type="dxa"/>
            <w:vMerge w:val="continue"/>
            <w:noWrap w:val="0"/>
            <w:vAlign w:val="center"/>
          </w:tcPr>
          <w:p w14:paraId="4873BC52">
            <w:pPr>
              <w:pStyle w:val="7"/>
              <w:numPr>
                <w:ilvl w:val="0"/>
                <w:numId w:val="0"/>
              </w:numPr>
              <w:tabs>
                <w:tab w:val="left" w:pos="720"/>
              </w:tabs>
              <w:spacing w:line="360" w:lineRule="auto"/>
              <w:textAlignment w:val="baseline"/>
              <w:rPr>
                <w:rFonts w:hint="eastAsia" w:ascii="宋体" w:hAnsi="宋体" w:eastAsia="宋体" w:cs="宋体"/>
                <w:color w:val="auto"/>
                <w:sz w:val="21"/>
                <w:szCs w:val="21"/>
                <w:highlight w:val="none"/>
              </w:rPr>
            </w:pPr>
          </w:p>
        </w:tc>
        <w:tc>
          <w:tcPr>
            <w:tcW w:w="1404" w:type="dxa"/>
            <w:vMerge w:val="continue"/>
            <w:noWrap w:val="0"/>
            <w:vAlign w:val="center"/>
          </w:tcPr>
          <w:p w14:paraId="7373245C">
            <w:pPr>
              <w:pStyle w:val="7"/>
              <w:numPr>
                <w:ilvl w:val="0"/>
                <w:numId w:val="0"/>
              </w:numPr>
              <w:tabs>
                <w:tab w:val="left" w:pos="720"/>
              </w:tabs>
              <w:spacing w:line="360" w:lineRule="auto"/>
              <w:textAlignment w:val="baseline"/>
              <w:rPr>
                <w:rFonts w:hint="eastAsia" w:ascii="宋体" w:hAnsi="宋体" w:eastAsia="宋体" w:cs="宋体"/>
                <w:color w:val="auto"/>
                <w:sz w:val="21"/>
                <w:szCs w:val="21"/>
                <w:highlight w:val="none"/>
              </w:rPr>
            </w:pPr>
          </w:p>
        </w:tc>
        <w:tc>
          <w:tcPr>
            <w:tcW w:w="6231" w:type="dxa"/>
            <w:noWrap w:val="0"/>
            <w:vAlign w:val="center"/>
          </w:tcPr>
          <w:p w14:paraId="1C341D96">
            <w:pPr>
              <w:keepNext w:val="0"/>
              <w:keepLines w:val="0"/>
              <w:pageBreakBefore w:val="0"/>
              <w:numPr>
                <w:ilvl w:val="0"/>
                <w:numId w:val="0"/>
              </w:numPr>
              <w:wordWrap/>
              <w:overflowPunct/>
              <w:topLinePunct w:val="0"/>
              <w:autoSpaceDE w:val="0"/>
              <w:autoSpaceDN w:val="0"/>
              <w:bidi w:val="0"/>
              <w:spacing w:line="360" w:lineRule="auto"/>
              <w:ind w:leftChars="0" w:right="0" w:rightChars="0"/>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lang w:val="en-US" w:eastAsia="zh-CN"/>
              </w:rPr>
              <w:t>标人</w:t>
            </w:r>
            <w:r>
              <w:rPr>
                <w:rFonts w:hint="eastAsia" w:ascii="宋体" w:hAnsi="宋体" w:eastAsia="宋体" w:cs="宋体"/>
                <w:color w:val="auto"/>
                <w:kern w:val="0"/>
                <w:sz w:val="21"/>
                <w:szCs w:val="21"/>
                <w:highlight w:val="none"/>
              </w:rPr>
              <w:t>识别、评估、控制和监控风险，采取一系列措施，以最小化风险对</w:t>
            </w:r>
            <w:r>
              <w:rPr>
                <w:rFonts w:hint="eastAsia" w:ascii="宋体" w:hAnsi="宋体" w:eastAsia="宋体" w:cs="宋体"/>
                <w:color w:val="auto"/>
                <w:kern w:val="0"/>
                <w:sz w:val="21"/>
                <w:szCs w:val="21"/>
                <w:highlight w:val="none"/>
                <w:lang w:val="en-US" w:eastAsia="zh-CN"/>
              </w:rPr>
              <w:t>项目</w:t>
            </w:r>
            <w:r>
              <w:rPr>
                <w:rFonts w:hint="eastAsia" w:ascii="宋体" w:hAnsi="宋体" w:eastAsia="宋体" w:cs="宋体"/>
                <w:color w:val="auto"/>
                <w:kern w:val="0"/>
                <w:sz w:val="21"/>
                <w:szCs w:val="21"/>
                <w:highlight w:val="none"/>
              </w:rPr>
              <w:t>的影响</w:t>
            </w:r>
            <w:r>
              <w:rPr>
                <w:rFonts w:hint="eastAsia" w:ascii="宋体" w:hAnsi="宋体" w:eastAsia="宋体" w:cs="宋体"/>
                <w:color w:val="auto"/>
                <w:kern w:val="0"/>
                <w:sz w:val="21"/>
                <w:szCs w:val="21"/>
                <w:highlight w:val="none"/>
                <w:lang w:val="en-US" w:eastAsia="zh-CN"/>
              </w:rPr>
              <w:t>进行</w:t>
            </w:r>
            <w:r>
              <w:rPr>
                <w:rFonts w:hint="eastAsia" w:ascii="宋体" w:hAnsi="宋体" w:eastAsia="宋体" w:cs="宋体"/>
                <w:color w:val="auto"/>
                <w:sz w:val="21"/>
                <w:szCs w:val="21"/>
                <w:highlight w:val="none"/>
                <w:lang w:val="en-US" w:eastAsia="zh-CN"/>
              </w:rPr>
              <w:t>综合评分：</w:t>
            </w:r>
          </w:p>
          <w:p w14:paraId="1FB0B518">
            <w:pPr>
              <w:keepNext w:val="0"/>
              <w:keepLines w:val="0"/>
              <w:pageBreakBefore w:val="0"/>
              <w:numPr>
                <w:ilvl w:val="0"/>
                <w:numId w:val="0"/>
              </w:numPr>
              <w:wordWrap/>
              <w:overflowPunct/>
              <w:topLinePunct w:val="0"/>
              <w:autoSpaceDE w:val="0"/>
              <w:autoSpaceDN w:val="0"/>
              <w:bidi w:val="0"/>
              <w:spacing w:line="360" w:lineRule="auto"/>
              <w:ind w:leftChars="0" w:right="0" w:rightChars="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lang w:val="en-US" w:eastAsia="zh-CN"/>
              </w:rPr>
              <w:t>1</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rPr>
              <w:t>投标人</w:t>
            </w:r>
            <w:r>
              <w:rPr>
                <w:rFonts w:hint="eastAsia" w:ascii="宋体" w:hAnsi="宋体" w:eastAsia="宋体" w:cs="宋体"/>
                <w:color w:val="auto"/>
                <w:kern w:val="0"/>
                <w:sz w:val="21"/>
                <w:szCs w:val="21"/>
                <w:highlight w:val="none"/>
                <w:lang w:val="en-US" w:eastAsia="zh-Hans"/>
              </w:rPr>
              <w:t>管理建议、评估内容</w:t>
            </w:r>
            <w:r>
              <w:rPr>
                <w:rFonts w:hint="eastAsia" w:ascii="宋体" w:hAnsi="宋体" w:eastAsia="宋体" w:cs="宋体"/>
                <w:color w:val="auto"/>
                <w:kern w:val="0"/>
                <w:sz w:val="21"/>
                <w:szCs w:val="21"/>
                <w:highlight w:val="none"/>
              </w:rPr>
              <w:t>完整、合理、科学的得</w:t>
            </w:r>
            <w:r>
              <w:rPr>
                <w:rFonts w:hint="eastAsia" w:ascii="宋体" w:hAnsi="宋体" w:cs="宋体"/>
                <w:color w:val="auto"/>
                <w:kern w:val="0"/>
                <w:sz w:val="21"/>
                <w:szCs w:val="21"/>
                <w:highlight w:val="none"/>
                <w:lang w:val="en-US" w:eastAsia="zh-CN"/>
              </w:rPr>
              <w:t>4</w:t>
            </w:r>
            <w:r>
              <w:rPr>
                <w:rFonts w:hint="eastAsia" w:ascii="宋体" w:hAnsi="宋体" w:eastAsia="宋体" w:cs="宋体"/>
                <w:color w:val="auto"/>
                <w:kern w:val="0"/>
                <w:sz w:val="21"/>
                <w:szCs w:val="21"/>
                <w:highlight w:val="none"/>
              </w:rPr>
              <w:t>分；</w:t>
            </w:r>
          </w:p>
          <w:p w14:paraId="73F5AA00">
            <w:pPr>
              <w:keepNext w:val="0"/>
              <w:keepLines w:val="0"/>
              <w:pageBreakBefore w:val="0"/>
              <w:numPr>
                <w:ilvl w:val="0"/>
                <w:numId w:val="0"/>
              </w:numPr>
              <w:wordWrap/>
              <w:overflowPunct/>
              <w:topLinePunct w:val="0"/>
              <w:autoSpaceDE w:val="0"/>
              <w:autoSpaceDN w:val="0"/>
              <w:bidi w:val="0"/>
              <w:spacing w:line="360" w:lineRule="auto"/>
              <w:ind w:leftChars="0" w:right="0" w:rightChars="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lang w:val="en-US" w:eastAsia="zh-CN"/>
              </w:rPr>
              <w:t>2</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rPr>
              <w:t>投标人</w:t>
            </w:r>
            <w:r>
              <w:rPr>
                <w:rFonts w:hint="eastAsia" w:ascii="宋体" w:hAnsi="宋体" w:eastAsia="宋体" w:cs="宋体"/>
                <w:color w:val="auto"/>
                <w:kern w:val="0"/>
                <w:sz w:val="21"/>
                <w:szCs w:val="21"/>
                <w:highlight w:val="none"/>
                <w:lang w:val="en-US" w:eastAsia="zh-Hans"/>
              </w:rPr>
              <w:t>管理建议、评估内容</w:t>
            </w:r>
            <w:r>
              <w:rPr>
                <w:rFonts w:hint="eastAsia" w:ascii="宋体" w:hAnsi="宋体" w:eastAsia="宋体" w:cs="宋体"/>
                <w:color w:val="auto"/>
                <w:kern w:val="0"/>
                <w:sz w:val="21"/>
                <w:szCs w:val="21"/>
                <w:highlight w:val="none"/>
              </w:rPr>
              <w:t>基本完整、较合理、较科学的得</w:t>
            </w:r>
            <w:r>
              <w:rPr>
                <w:rFonts w:hint="eastAsia" w:ascii="宋体" w:hAnsi="宋体" w:cs="宋体"/>
                <w:color w:val="auto"/>
                <w:kern w:val="0"/>
                <w:sz w:val="21"/>
                <w:szCs w:val="21"/>
                <w:highlight w:val="none"/>
                <w:lang w:val="en-US" w:eastAsia="zh-CN"/>
              </w:rPr>
              <w:t>3</w:t>
            </w:r>
            <w:r>
              <w:rPr>
                <w:rFonts w:hint="eastAsia" w:ascii="宋体" w:hAnsi="宋体" w:eastAsia="宋体" w:cs="宋体"/>
                <w:color w:val="auto"/>
                <w:kern w:val="0"/>
                <w:sz w:val="21"/>
                <w:szCs w:val="21"/>
                <w:highlight w:val="none"/>
              </w:rPr>
              <w:t>分；</w:t>
            </w:r>
          </w:p>
          <w:p w14:paraId="64592DB1">
            <w:pPr>
              <w:widowControl/>
              <w:spacing w:line="360" w:lineRule="auto"/>
              <w:jc w:val="left"/>
              <w:textAlignment w:val="center"/>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lang w:val="en-US" w:eastAsia="zh-CN"/>
              </w:rPr>
              <w:t>（3）</w:t>
            </w:r>
            <w:r>
              <w:rPr>
                <w:rFonts w:hint="eastAsia" w:ascii="宋体" w:hAnsi="宋体" w:eastAsia="宋体" w:cs="宋体"/>
                <w:color w:val="auto"/>
                <w:kern w:val="0"/>
                <w:sz w:val="21"/>
                <w:szCs w:val="21"/>
                <w:highlight w:val="none"/>
              </w:rPr>
              <w:t>投标人</w:t>
            </w:r>
            <w:r>
              <w:rPr>
                <w:rFonts w:hint="eastAsia" w:ascii="宋体" w:hAnsi="宋体" w:eastAsia="宋体" w:cs="宋体"/>
                <w:color w:val="auto"/>
                <w:kern w:val="0"/>
                <w:sz w:val="21"/>
                <w:szCs w:val="21"/>
                <w:highlight w:val="none"/>
                <w:lang w:val="en-US" w:eastAsia="zh-Hans"/>
              </w:rPr>
              <w:t>管理建议、评估内容</w:t>
            </w:r>
            <w:r>
              <w:rPr>
                <w:rFonts w:hint="eastAsia" w:ascii="宋体" w:hAnsi="宋体" w:eastAsia="宋体" w:cs="宋体"/>
                <w:color w:val="auto"/>
                <w:kern w:val="0"/>
                <w:sz w:val="21"/>
                <w:szCs w:val="21"/>
                <w:highlight w:val="none"/>
              </w:rPr>
              <w:t>等欠完整、欠合理、欠科学的得</w:t>
            </w:r>
            <w:r>
              <w:rPr>
                <w:rFonts w:hint="eastAsia" w:ascii="宋体" w:hAnsi="宋体" w:eastAsia="宋体" w:cs="宋体"/>
                <w:color w:val="auto"/>
                <w:kern w:val="0"/>
                <w:sz w:val="21"/>
                <w:szCs w:val="21"/>
                <w:highlight w:val="none"/>
                <w:lang w:val="en-US" w:eastAsia="zh-CN"/>
              </w:rPr>
              <w:t>1</w:t>
            </w:r>
            <w:r>
              <w:rPr>
                <w:rFonts w:hint="eastAsia" w:ascii="宋体" w:hAnsi="宋体" w:eastAsia="宋体" w:cs="宋体"/>
                <w:color w:val="auto"/>
                <w:kern w:val="0"/>
                <w:sz w:val="21"/>
                <w:szCs w:val="21"/>
                <w:highlight w:val="none"/>
              </w:rPr>
              <w:t>分</w:t>
            </w:r>
            <w:r>
              <w:rPr>
                <w:rFonts w:hint="eastAsia" w:ascii="宋体" w:hAnsi="宋体" w:eastAsia="宋体" w:cs="宋体"/>
                <w:color w:val="auto"/>
                <w:kern w:val="0"/>
                <w:sz w:val="21"/>
                <w:szCs w:val="21"/>
                <w:highlight w:val="none"/>
                <w:lang w:eastAsia="zh-CN"/>
              </w:rPr>
              <w:t>；</w:t>
            </w:r>
          </w:p>
          <w:p w14:paraId="52EC0025">
            <w:pPr>
              <w:pStyle w:val="4"/>
              <w:numPr>
                <w:ilvl w:val="0"/>
                <w:numId w:val="0"/>
              </w:numPr>
              <w:tabs>
                <w:tab w:val="left" w:pos="1145"/>
                <w:tab w:val="clear" w:pos="1260"/>
                <w:tab w:val="clear" w:pos="1575"/>
              </w:tabs>
              <w:spacing w:line="360" w:lineRule="auto"/>
              <w:rPr>
                <w:rFonts w:hint="eastAsia" w:ascii="宋体" w:hAnsi="宋体" w:eastAsia="宋体" w:cs="宋体"/>
                <w:color w:val="auto"/>
                <w:sz w:val="21"/>
                <w:szCs w:val="21"/>
                <w:highlight w:val="none"/>
                <w:lang w:val="en-US"/>
              </w:rPr>
            </w:pPr>
            <w:r>
              <w:rPr>
                <w:rFonts w:hint="eastAsia" w:ascii="宋体" w:hAnsi="宋体" w:eastAsia="宋体" w:cs="宋体"/>
                <w:b w:val="0"/>
                <w:color w:val="auto"/>
                <w:kern w:val="0"/>
                <w:sz w:val="21"/>
                <w:szCs w:val="21"/>
                <w:highlight w:val="none"/>
                <w:lang w:val="en-US" w:eastAsia="zh-CN" w:bidi="ar-SA"/>
              </w:rPr>
              <w:t>（4）未提供不得分。</w:t>
            </w:r>
          </w:p>
        </w:tc>
        <w:tc>
          <w:tcPr>
            <w:tcW w:w="849" w:type="dxa"/>
            <w:noWrap w:val="0"/>
            <w:vAlign w:val="center"/>
          </w:tcPr>
          <w:p w14:paraId="2BDD28B2">
            <w:pPr>
              <w:widowControl/>
              <w:spacing w:line="360" w:lineRule="auto"/>
              <w:jc w:val="center"/>
              <w:textAlignment w:val="center"/>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rPr>
              <w:t>分</w:t>
            </w:r>
          </w:p>
        </w:tc>
      </w:tr>
      <w:tr w14:paraId="35255E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10" w:hRule="atLeast"/>
        </w:trPr>
        <w:tc>
          <w:tcPr>
            <w:tcW w:w="787" w:type="dxa"/>
            <w:noWrap w:val="0"/>
            <w:vAlign w:val="center"/>
          </w:tcPr>
          <w:p w14:paraId="18AA76FC">
            <w:pPr>
              <w:pStyle w:val="7"/>
              <w:numPr>
                <w:ilvl w:val="0"/>
                <w:numId w:val="0"/>
              </w:numPr>
              <w:tabs>
                <w:tab w:val="left" w:pos="720"/>
              </w:tabs>
              <w:spacing w:line="360" w:lineRule="auto"/>
              <w:jc w:val="center"/>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9</w:t>
            </w:r>
          </w:p>
        </w:tc>
        <w:tc>
          <w:tcPr>
            <w:tcW w:w="1404" w:type="dxa"/>
            <w:noWrap w:val="0"/>
            <w:vAlign w:val="center"/>
          </w:tcPr>
          <w:p w14:paraId="27DCD35B">
            <w:pPr>
              <w:pStyle w:val="7"/>
              <w:numPr>
                <w:ilvl w:val="0"/>
                <w:numId w:val="0"/>
              </w:numPr>
              <w:tabs>
                <w:tab w:val="left" w:pos="720"/>
              </w:tabs>
              <w:spacing w:line="360" w:lineRule="auto"/>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服务响应情况（</w:t>
            </w: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rPr>
              <w:t>分）</w:t>
            </w:r>
          </w:p>
        </w:tc>
        <w:tc>
          <w:tcPr>
            <w:tcW w:w="6231" w:type="dxa"/>
            <w:noWrap w:val="0"/>
            <w:vAlign w:val="center"/>
          </w:tcPr>
          <w:p w14:paraId="77471634">
            <w:pPr>
              <w:pStyle w:val="7"/>
              <w:numPr>
                <w:ilvl w:val="0"/>
                <w:numId w:val="0"/>
              </w:numPr>
              <w:tabs>
                <w:tab w:val="left" w:pos="720"/>
              </w:tabs>
              <w:spacing w:line="360" w:lineRule="auto"/>
              <w:ind w:leftChars="0"/>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根据供应商是否具备及时响应本项目的服务能力</w:t>
            </w:r>
            <w:r>
              <w:rPr>
                <w:rFonts w:hint="eastAsia" w:ascii="宋体" w:hAnsi="宋体" w:eastAsia="宋体" w:cs="宋体"/>
                <w:color w:val="auto"/>
                <w:sz w:val="21"/>
                <w:szCs w:val="21"/>
                <w:highlight w:val="none"/>
                <w:lang w:val="en-US" w:eastAsia="zh-CN"/>
              </w:rPr>
              <w:t>进行综合评分：</w:t>
            </w:r>
          </w:p>
          <w:p w14:paraId="29653EA4">
            <w:pPr>
              <w:pStyle w:val="7"/>
              <w:numPr>
                <w:ilvl w:val="0"/>
                <w:numId w:val="0"/>
              </w:numPr>
              <w:tabs>
                <w:tab w:val="left" w:pos="720"/>
              </w:tabs>
              <w:spacing w:line="360" w:lineRule="auto"/>
              <w:ind w:leftChars="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能随时指派专业人员与</w:t>
            </w:r>
            <w:r>
              <w:rPr>
                <w:rFonts w:hint="eastAsia" w:ascii="宋体" w:hAnsi="宋体" w:cs="宋体"/>
                <w:color w:val="auto"/>
                <w:sz w:val="21"/>
                <w:szCs w:val="21"/>
                <w:highlight w:val="none"/>
                <w:lang w:eastAsia="zh-CN"/>
              </w:rPr>
              <w:t>采购单位</w:t>
            </w:r>
            <w:r>
              <w:rPr>
                <w:rFonts w:hint="eastAsia" w:ascii="宋体" w:hAnsi="宋体" w:eastAsia="宋体" w:cs="宋体"/>
                <w:color w:val="auto"/>
                <w:sz w:val="21"/>
                <w:szCs w:val="21"/>
                <w:highlight w:val="none"/>
              </w:rPr>
              <w:t>当面进行项目沟通的得</w:t>
            </w: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能通过电话等其他方式与</w:t>
            </w:r>
            <w:r>
              <w:rPr>
                <w:rFonts w:hint="eastAsia" w:ascii="宋体" w:hAnsi="宋体" w:cs="宋体"/>
                <w:color w:val="auto"/>
                <w:sz w:val="21"/>
                <w:szCs w:val="21"/>
                <w:highlight w:val="none"/>
                <w:lang w:eastAsia="zh-CN"/>
              </w:rPr>
              <w:t>采购单位</w:t>
            </w:r>
            <w:r>
              <w:rPr>
                <w:rFonts w:hint="eastAsia" w:ascii="宋体" w:hAnsi="宋体" w:eastAsia="宋体" w:cs="宋体"/>
                <w:color w:val="auto"/>
                <w:sz w:val="21"/>
                <w:szCs w:val="21"/>
                <w:highlight w:val="none"/>
              </w:rPr>
              <w:t>及时沟通的得</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分；否则不得分。</w:t>
            </w:r>
          </w:p>
        </w:tc>
        <w:tc>
          <w:tcPr>
            <w:tcW w:w="849" w:type="dxa"/>
            <w:noWrap w:val="0"/>
            <w:vAlign w:val="center"/>
          </w:tcPr>
          <w:p w14:paraId="6CD8617D">
            <w:pPr>
              <w:pStyle w:val="7"/>
              <w:numPr>
                <w:ilvl w:val="0"/>
                <w:numId w:val="0"/>
              </w:numPr>
              <w:tabs>
                <w:tab w:val="left" w:pos="720"/>
              </w:tabs>
              <w:spacing w:line="360" w:lineRule="auto"/>
              <w:jc w:val="center"/>
              <w:textAlignment w:val="baseline"/>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rPr>
              <w:t>分</w:t>
            </w:r>
          </w:p>
        </w:tc>
      </w:tr>
      <w:tr w14:paraId="395031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787" w:type="dxa"/>
            <w:noWrap w:val="0"/>
            <w:vAlign w:val="center"/>
          </w:tcPr>
          <w:p w14:paraId="662BB196">
            <w:pPr>
              <w:pStyle w:val="7"/>
              <w:numPr>
                <w:ilvl w:val="0"/>
                <w:numId w:val="0"/>
              </w:numPr>
              <w:tabs>
                <w:tab w:val="left" w:pos="720"/>
              </w:tabs>
              <w:spacing w:line="360" w:lineRule="auto"/>
              <w:jc w:val="center"/>
              <w:textAlignment w:val="baseline"/>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10</w:t>
            </w:r>
          </w:p>
        </w:tc>
        <w:tc>
          <w:tcPr>
            <w:tcW w:w="1404" w:type="dxa"/>
            <w:noWrap w:val="0"/>
            <w:vAlign w:val="center"/>
          </w:tcPr>
          <w:p w14:paraId="1222A41D">
            <w:pPr>
              <w:pStyle w:val="7"/>
              <w:numPr>
                <w:ilvl w:val="0"/>
                <w:numId w:val="0"/>
              </w:numPr>
              <w:tabs>
                <w:tab w:val="left" w:pos="720"/>
              </w:tabs>
              <w:spacing w:line="360" w:lineRule="auto"/>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演讲及演示</w:t>
            </w:r>
          </w:p>
        </w:tc>
        <w:tc>
          <w:tcPr>
            <w:tcW w:w="6231" w:type="dxa"/>
            <w:noWrap w:val="0"/>
            <w:vAlign w:val="center"/>
          </w:tcPr>
          <w:p w14:paraId="0F211DEC">
            <w:pPr>
              <w:pStyle w:val="12"/>
              <w:keepNext w:val="0"/>
              <w:keepLines w:val="0"/>
              <w:pageBreakBefore w:val="0"/>
              <w:wordWrap/>
              <w:overflowPunct/>
              <w:topLinePunct w:val="0"/>
              <w:bidi w:val="0"/>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1、投标人总体方案符合嵊泗地域特色、科学合理、切实可行、并以视频等形式（存入U盘中）进行陈述，演示时间不超过5分钟，不包括评委提问和问答时间。</w:t>
            </w:r>
          </w:p>
          <w:p w14:paraId="1DE751FD">
            <w:pPr>
              <w:pStyle w:val="12"/>
              <w:keepNext w:val="0"/>
              <w:keepLines w:val="0"/>
              <w:pageBreakBefore w:val="0"/>
              <w:wordWrap/>
              <w:overflowPunct/>
              <w:topLinePunct w:val="0"/>
              <w:bidi w:val="0"/>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根据投标人的演讲内容须与其投标方案相结合，评审专家将根据以上评分内容结合供应商现场演示效果、讲解陈述及应答条件进行综合评分：</w:t>
            </w:r>
          </w:p>
          <w:p w14:paraId="346AA252">
            <w:pPr>
              <w:pStyle w:val="12"/>
              <w:keepNext w:val="0"/>
              <w:keepLines w:val="0"/>
              <w:pageBreakBefore w:val="0"/>
              <w:numPr>
                <w:ilvl w:val="0"/>
                <w:numId w:val="14"/>
              </w:numPr>
              <w:wordWrap/>
              <w:overflowPunct/>
              <w:topLinePunct w:val="0"/>
              <w:bidi w:val="0"/>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演示材料制作精良且创意科学合理得5分；</w:t>
            </w:r>
          </w:p>
          <w:p w14:paraId="21AFFC17">
            <w:pPr>
              <w:pStyle w:val="12"/>
              <w:keepNext w:val="0"/>
              <w:keepLines w:val="0"/>
              <w:pageBreakBefore w:val="0"/>
              <w:numPr>
                <w:ilvl w:val="0"/>
                <w:numId w:val="14"/>
              </w:numPr>
              <w:wordWrap/>
              <w:overflowPunct/>
              <w:topLinePunct w:val="0"/>
              <w:bidi w:val="0"/>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制作比较合理创意一般得3分；</w:t>
            </w:r>
          </w:p>
          <w:p w14:paraId="2F6D3529">
            <w:pPr>
              <w:pStyle w:val="12"/>
              <w:keepNext w:val="0"/>
              <w:keepLines w:val="0"/>
              <w:pageBreakBefore w:val="0"/>
              <w:numPr>
                <w:ilvl w:val="0"/>
                <w:numId w:val="14"/>
              </w:numPr>
              <w:wordWrap/>
              <w:overflowPunct/>
              <w:topLinePunct w:val="0"/>
              <w:bidi w:val="0"/>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制作基本合理创意一般的得1分。</w:t>
            </w:r>
          </w:p>
          <w:p w14:paraId="119A844B">
            <w:pPr>
              <w:pStyle w:val="32"/>
              <w:numPr>
                <w:ilvl w:val="0"/>
                <w:numId w:val="14"/>
              </w:numPr>
              <w:spacing w:line="360" w:lineRule="auto"/>
              <w:ind w:left="0" w:leftChars="0" w:firstLine="0" w:firstLine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未提供不得分</w:t>
            </w:r>
          </w:p>
          <w:p w14:paraId="725AEFBC">
            <w:pPr>
              <w:numPr>
                <w:ilvl w:val="0"/>
                <w:numId w:val="0"/>
              </w:numPr>
              <w:spacing w:line="360" w:lineRule="auto"/>
              <w:ind w:left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lang w:val="en-US" w:eastAsia="zh-CN"/>
              </w:rPr>
              <w:t>现场演示与问题答辩环节进行综合评分：</w:t>
            </w:r>
          </w:p>
          <w:p w14:paraId="10A3476A">
            <w:pPr>
              <w:pStyle w:val="7"/>
              <w:numPr>
                <w:ilvl w:val="0"/>
                <w:numId w:val="0"/>
              </w:numPr>
              <w:tabs>
                <w:tab w:val="left" w:pos="720"/>
              </w:tabs>
              <w:spacing w:line="360" w:lineRule="auto"/>
              <w:ind w:leftChars="0"/>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（1）现场演示与问题答辩环节思路清晰、答复明确得3分；</w:t>
            </w:r>
          </w:p>
          <w:p w14:paraId="5F020984">
            <w:pPr>
              <w:pStyle w:val="7"/>
              <w:numPr>
                <w:ilvl w:val="0"/>
                <w:numId w:val="0"/>
              </w:numPr>
              <w:tabs>
                <w:tab w:val="left" w:pos="720"/>
              </w:tabs>
              <w:spacing w:line="360" w:lineRule="auto"/>
              <w:ind w:leftChars="0"/>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（2）现场演示与问题答辩环节一般得2分；</w:t>
            </w:r>
          </w:p>
          <w:p w14:paraId="512ED076">
            <w:pPr>
              <w:pStyle w:val="7"/>
              <w:numPr>
                <w:ilvl w:val="0"/>
                <w:numId w:val="0"/>
              </w:numPr>
              <w:tabs>
                <w:tab w:val="left" w:pos="720"/>
              </w:tabs>
              <w:spacing w:line="360" w:lineRule="auto"/>
              <w:ind w:leftChars="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（3）答辩不明确不得分。</w:t>
            </w:r>
          </w:p>
        </w:tc>
        <w:tc>
          <w:tcPr>
            <w:tcW w:w="849" w:type="dxa"/>
            <w:noWrap w:val="0"/>
            <w:vAlign w:val="center"/>
          </w:tcPr>
          <w:p w14:paraId="697F9B11">
            <w:pPr>
              <w:pStyle w:val="7"/>
              <w:numPr>
                <w:ilvl w:val="0"/>
                <w:numId w:val="0"/>
              </w:numPr>
              <w:tabs>
                <w:tab w:val="left" w:pos="720"/>
              </w:tabs>
              <w:spacing w:line="360" w:lineRule="auto"/>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8</w:t>
            </w:r>
            <w:r>
              <w:rPr>
                <w:rFonts w:hint="eastAsia" w:ascii="宋体" w:hAnsi="宋体" w:eastAsia="宋体" w:cs="宋体"/>
                <w:color w:val="auto"/>
                <w:sz w:val="21"/>
                <w:szCs w:val="21"/>
                <w:highlight w:val="none"/>
              </w:rPr>
              <w:t>分</w:t>
            </w:r>
          </w:p>
        </w:tc>
      </w:tr>
    </w:tbl>
    <w:p w14:paraId="3E3BCCAE">
      <w:pPr>
        <w:adjustRightInd w:val="0"/>
        <w:snapToGrid w:val="0"/>
        <w:spacing w:line="360" w:lineRule="auto"/>
        <w:rPr>
          <w:rFonts w:hint="eastAsia" w:ascii="宋体" w:hAnsi="宋体" w:eastAsia="宋体" w:cs="宋体"/>
          <w:b/>
          <w:color w:val="auto"/>
          <w:sz w:val="21"/>
          <w:szCs w:val="21"/>
          <w:highlight w:val="none"/>
        </w:rPr>
      </w:pPr>
    </w:p>
    <w:p w14:paraId="378C433E">
      <w:pPr>
        <w:adjustRightInd w:val="0"/>
        <w:snapToGrid w:val="0"/>
        <w:spacing w:line="420" w:lineRule="exact"/>
        <w:ind w:firstLine="422" w:firstLineChars="200"/>
        <w:rPr>
          <w:rFonts w:ascii="宋体" w:hAnsi="宋体" w:cs="宋体"/>
          <w:b/>
          <w:color w:val="auto"/>
          <w:szCs w:val="21"/>
          <w:highlight w:val="none"/>
        </w:rPr>
      </w:pPr>
      <w:r>
        <w:rPr>
          <w:rFonts w:hint="eastAsia" w:ascii="宋体" w:hAnsi="宋体" w:cs="宋体"/>
          <w:b/>
          <w:color w:val="auto"/>
          <w:szCs w:val="21"/>
          <w:highlight w:val="none"/>
        </w:rPr>
        <w:t>（二）价格分（满分</w:t>
      </w:r>
      <w:r>
        <w:rPr>
          <w:rFonts w:hint="eastAsia" w:ascii="宋体" w:hAnsi="宋体" w:cs="宋体"/>
          <w:b/>
          <w:color w:val="auto"/>
          <w:szCs w:val="21"/>
          <w:highlight w:val="none"/>
          <w:lang w:val="en-US" w:eastAsia="zh-CN"/>
        </w:rPr>
        <w:t>1</w:t>
      </w:r>
      <w:r>
        <w:rPr>
          <w:rFonts w:hint="eastAsia" w:ascii="宋体" w:hAnsi="宋体" w:cs="宋体"/>
          <w:b/>
          <w:color w:val="auto"/>
          <w:szCs w:val="21"/>
          <w:highlight w:val="none"/>
        </w:rPr>
        <w:t>0分）</w:t>
      </w:r>
    </w:p>
    <w:p w14:paraId="5B5558DE">
      <w:pPr>
        <w:pStyle w:val="15"/>
        <w:tabs>
          <w:tab w:val="left" w:pos="630"/>
        </w:tabs>
        <w:spacing w:line="420" w:lineRule="exact"/>
        <w:ind w:firstLine="420" w:firstLineChars="200"/>
        <w:rPr>
          <w:rFonts w:hAnsi="宋体" w:cs="宋体"/>
          <w:color w:val="auto"/>
          <w:szCs w:val="21"/>
          <w:highlight w:val="none"/>
        </w:rPr>
      </w:pPr>
      <w:r>
        <w:rPr>
          <w:rFonts w:hint="eastAsia" w:hAnsi="宋体" w:cs="宋体"/>
          <w:color w:val="auto"/>
          <w:szCs w:val="21"/>
          <w:highlight w:val="none"/>
        </w:rPr>
        <w:t>1、投标报价在</w:t>
      </w:r>
      <w:r>
        <w:rPr>
          <w:rFonts w:hint="eastAsia" w:hAnsi="宋体" w:cs="宋体"/>
          <w:color w:val="auto"/>
          <w:szCs w:val="21"/>
          <w:highlight w:val="none"/>
          <w:lang w:eastAsia="zh-CN"/>
        </w:rPr>
        <w:t>采购单位</w:t>
      </w:r>
      <w:r>
        <w:rPr>
          <w:rFonts w:hint="eastAsia" w:hAnsi="宋体" w:cs="宋体"/>
          <w:color w:val="auto"/>
          <w:szCs w:val="21"/>
          <w:highlight w:val="none"/>
        </w:rPr>
        <w:t>公布的最高限价以下、在各阶段评审中未</w:t>
      </w:r>
      <w:r>
        <w:rPr>
          <w:rFonts w:hint="eastAsia" w:hAnsi="宋体" w:cs="宋体"/>
          <w:color w:val="auto"/>
          <w:szCs w:val="21"/>
          <w:highlight w:val="none"/>
          <w:lang w:eastAsia="zh-CN"/>
        </w:rPr>
        <w:t>被认</w:t>
      </w:r>
      <w:r>
        <w:rPr>
          <w:rFonts w:hint="eastAsia" w:hAnsi="宋体" w:cs="宋体"/>
          <w:color w:val="auto"/>
          <w:szCs w:val="21"/>
          <w:highlight w:val="none"/>
        </w:rPr>
        <w:t>定为无效响应文件或废标，其投标人的投标报价为有效投标报价</w:t>
      </w:r>
    </w:p>
    <w:p w14:paraId="3907CC5D">
      <w:pPr>
        <w:pStyle w:val="15"/>
        <w:tabs>
          <w:tab w:val="left" w:pos="630"/>
        </w:tabs>
        <w:spacing w:line="420" w:lineRule="exact"/>
        <w:ind w:firstLine="420" w:firstLineChars="200"/>
        <w:rPr>
          <w:rFonts w:hAnsi="宋体" w:cs="宋体"/>
          <w:color w:val="auto"/>
          <w:szCs w:val="21"/>
          <w:highlight w:val="none"/>
        </w:rPr>
      </w:pPr>
      <w:r>
        <w:rPr>
          <w:rFonts w:hint="eastAsia" w:hAnsi="宋体" w:cs="宋体"/>
          <w:color w:val="auto"/>
          <w:szCs w:val="21"/>
          <w:highlight w:val="none"/>
        </w:rPr>
        <w:t>政采云平台填报的开标一览表中的价格与上传的报价文件中开标一览表的报价不一致的，以上传的报价文件为准</w:t>
      </w:r>
    </w:p>
    <w:p w14:paraId="5DBF7C6A">
      <w:pPr>
        <w:pStyle w:val="15"/>
        <w:tabs>
          <w:tab w:val="left" w:pos="630"/>
        </w:tabs>
        <w:spacing w:line="420" w:lineRule="exact"/>
        <w:ind w:firstLine="420" w:firstLineChars="200"/>
        <w:rPr>
          <w:rFonts w:hAnsi="宋体" w:cs="宋体"/>
          <w:color w:val="auto"/>
          <w:szCs w:val="21"/>
          <w:highlight w:val="none"/>
        </w:rPr>
      </w:pPr>
      <w:r>
        <w:rPr>
          <w:rFonts w:hint="eastAsia" w:hAnsi="宋体" w:cs="宋体"/>
          <w:color w:val="auto"/>
          <w:szCs w:val="21"/>
          <w:highlight w:val="none"/>
        </w:rPr>
        <w:t>价格分采用低价优先法计算，即满足招标文件要求且投标报价最低的投标报价为评标基准价</w:t>
      </w:r>
      <w:r>
        <w:rPr>
          <w:rFonts w:hint="eastAsia" w:hAnsi="宋体" w:cs="宋体"/>
          <w:color w:val="auto"/>
          <w:kern w:val="0"/>
          <w:szCs w:val="21"/>
          <w:highlight w:val="none"/>
        </w:rPr>
        <w:t>，其价格分为满分。</w:t>
      </w:r>
      <w:r>
        <w:rPr>
          <w:rFonts w:hint="eastAsia" w:hAnsi="宋体" w:cs="宋体"/>
          <w:color w:val="auto"/>
          <w:szCs w:val="21"/>
          <w:highlight w:val="none"/>
        </w:rPr>
        <w:t>其他投标人的价格分按照下列公式计算：</w:t>
      </w:r>
    </w:p>
    <w:p w14:paraId="48E4B77E">
      <w:pPr>
        <w:pStyle w:val="15"/>
        <w:tabs>
          <w:tab w:val="left" w:pos="630"/>
        </w:tabs>
        <w:spacing w:line="420" w:lineRule="exact"/>
        <w:ind w:firstLine="420" w:firstLineChars="200"/>
        <w:rPr>
          <w:rFonts w:hAnsi="宋体" w:cs="宋体"/>
          <w:color w:val="auto"/>
          <w:szCs w:val="21"/>
          <w:highlight w:val="none"/>
        </w:rPr>
      </w:pPr>
      <w:r>
        <w:rPr>
          <w:rFonts w:hint="eastAsia" w:hAnsi="宋体" w:cs="宋体"/>
          <w:color w:val="auto"/>
          <w:szCs w:val="21"/>
          <w:highlight w:val="none"/>
        </w:rPr>
        <w:t>价格分=（评标基准价/投标报价）×</w:t>
      </w:r>
      <w:r>
        <w:rPr>
          <w:rFonts w:hint="eastAsia" w:hAnsi="宋体" w:cs="宋体"/>
          <w:b w:val="0"/>
          <w:bCs w:val="0"/>
          <w:color w:val="auto"/>
          <w:szCs w:val="21"/>
          <w:highlight w:val="none"/>
          <w:lang w:val="en-US" w:eastAsia="zh-CN"/>
        </w:rPr>
        <w:t>1</w:t>
      </w:r>
      <w:r>
        <w:rPr>
          <w:rFonts w:hint="eastAsia" w:hAnsi="宋体" w:cs="宋体"/>
          <w:b w:val="0"/>
          <w:bCs w:val="0"/>
          <w:color w:val="auto"/>
          <w:szCs w:val="21"/>
          <w:highlight w:val="none"/>
        </w:rPr>
        <w:t>0%</w:t>
      </w:r>
      <w:r>
        <w:rPr>
          <w:rFonts w:hint="eastAsia" w:hAnsi="宋体" w:cs="宋体"/>
          <w:b/>
          <w:color w:val="auto"/>
          <w:szCs w:val="21"/>
          <w:highlight w:val="none"/>
        </w:rPr>
        <w:t>×</w:t>
      </w:r>
      <w:r>
        <w:rPr>
          <w:rFonts w:hint="eastAsia" w:hAnsi="宋体" w:cs="宋体"/>
          <w:color w:val="auto"/>
          <w:szCs w:val="21"/>
          <w:highlight w:val="none"/>
        </w:rPr>
        <w:t>100</w:t>
      </w:r>
    </w:p>
    <w:p w14:paraId="3837F7ED">
      <w:pPr>
        <w:pStyle w:val="15"/>
        <w:tabs>
          <w:tab w:val="left" w:pos="630"/>
        </w:tabs>
        <w:spacing w:line="420" w:lineRule="exact"/>
        <w:ind w:firstLine="420" w:firstLineChars="200"/>
        <w:rPr>
          <w:rFonts w:hAnsi="宋体" w:cs="宋体"/>
          <w:color w:val="auto"/>
          <w:szCs w:val="21"/>
          <w:highlight w:val="none"/>
        </w:rPr>
      </w:pPr>
      <w:r>
        <w:rPr>
          <w:rFonts w:hint="eastAsia" w:hAnsi="宋体" w:cs="宋体"/>
          <w:color w:val="auto"/>
          <w:szCs w:val="21"/>
          <w:highlight w:val="none"/>
        </w:rPr>
        <w:t>2.中小企业有关政策：根据财库﹝2022﹞8号的相关规定，在评审时对小型和微型企业的投标报价给予</w:t>
      </w:r>
      <w:r>
        <w:rPr>
          <w:rFonts w:hint="eastAsia" w:hAnsi="宋体" w:cs="宋体"/>
          <w:color w:val="auto"/>
          <w:szCs w:val="21"/>
          <w:highlight w:val="none"/>
          <w:lang w:val="en-US" w:eastAsia="zh-CN"/>
        </w:rPr>
        <w:t>1</w:t>
      </w:r>
      <w:r>
        <w:rPr>
          <w:rFonts w:hint="eastAsia" w:hAnsi="宋体" w:cs="宋体"/>
          <w:color w:val="auto"/>
          <w:szCs w:val="21"/>
          <w:highlight w:val="none"/>
        </w:rPr>
        <w:t>0%的扣除，取扣除后的价格作为最终投标报价（此最终投标报价仅作为价格分计算）。属于小型和微型企业的，投标文件中提供《中小企业声明函》（见附件）。</w:t>
      </w:r>
    </w:p>
    <w:p w14:paraId="3E0F5BFE">
      <w:pPr>
        <w:pStyle w:val="15"/>
        <w:tabs>
          <w:tab w:val="left" w:pos="630"/>
        </w:tabs>
        <w:spacing w:line="420" w:lineRule="exact"/>
        <w:ind w:firstLine="420" w:firstLineChars="200"/>
        <w:rPr>
          <w:rFonts w:hAnsi="宋体" w:cs="宋体"/>
          <w:color w:val="auto"/>
          <w:szCs w:val="21"/>
          <w:highlight w:val="none"/>
        </w:rPr>
      </w:pPr>
      <w:r>
        <w:rPr>
          <w:rFonts w:hint="eastAsia" w:hAnsi="宋体" w:cs="宋体"/>
          <w:color w:val="auto"/>
          <w:szCs w:val="21"/>
          <w:highlight w:val="none"/>
        </w:rPr>
        <w:t>3.根据财库〔2017〕141号的相关规定，在政府采购活动中，残疾人福利性单位视同小型、微型企业，享受评审中价格扣除政策。属于享受政府采购支持政策的残疾人福利性单位，应满足财库〔2017〕141号文件第一条的规定，并在投标文件中提供残疾人福利性单位声明函（见附件）。</w:t>
      </w:r>
    </w:p>
    <w:p w14:paraId="7DE9882E">
      <w:pPr>
        <w:pStyle w:val="15"/>
        <w:tabs>
          <w:tab w:val="left" w:pos="630"/>
        </w:tabs>
        <w:spacing w:line="420" w:lineRule="exact"/>
        <w:ind w:firstLine="420" w:firstLineChars="200"/>
        <w:rPr>
          <w:rFonts w:hAnsi="宋体" w:cs="宋体"/>
          <w:color w:val="auto"/>
          <w:szCs w:val="21"/>
          <w:highlight w:val="none"/>
        </w:rPr>
      </w:pPr>
      <w:r>
        <w:rPr>
          <w:rFonts w:hint="eastAsia" w:hAnsi="宋体" w:cs="宋体"/>
          <w:color w:val="auto"/>
          <w:szCs w:val="21"/>
          <w:highlight w:val="none"/>
        </w:rPr>
        <w:t>4.根据财库〔2014〕68号的相关规定，在政府采购活动中，监狱企业视同小型、微型企业，享受评审中价格扣除政策。属于享受政府采购支持政策的监狱企业，应满足财库〔2014〕68号文件第一条的规定，并在投标文件中提供监狱企业声明函（见附件）。</w:t>
      </w:r>
    </w:p>
    <w:p w14:paraId="6FF36F70">
      <w:pPr>
        <w:pStyle w:val="15"/>
        <w:tabs>
          <w:tab w:val="left" w:pos="630"/>
        </w:tabs>
        <w:spacing w:line="420" w:lineRule="exact"/>
        <w:ind w:firstLine="422" w:firstLineChars="200"/>
        <w:rPr>
          <w:rFonts w:hAnsi="宋体" w:cs="宋体"/>
          <w:b/>
          <w:bCs/>
          <w:color w:val="auto"/>
          <w:szCs w:val="21"/>
          <w:highlight w:val="none"/>
        </w:rPr>
      </w:pPr>
      <w:r>
        <w:rPr>
          <w:rFonts w:hint="eastAsia" w:hAnsi="宋体" w:cs="宋体"/>
          <w:b/>
          <w:bCs/>
          <w:color w:val="auto"/>
          <w:szCs w:val="21"/>
          <w:highlight w:val="none"/>
        </w:rPr>
        <w:t>5.投标人的投标报价超过</w:t>
      </w:r>
      <w:r>
        <w:rPr>
          <w:rFonts w:hint="eastAsia" w:hAnsi="宋体" w:cs="宋体"/>
          <w:b/>
          <w:bCs/>
          <w:color w:val="auto"/>
          <w:szCs w:val="21"/>
          <w:highlight w:val="none"/>
          <w:lang w:eastAsia="zh-CN"/>
        </w:rPr>
        <w:t>采购单位</w:t>
      </w:r>
      <w:r>
        <w:rPr>
          <w:rFonts w:hint="eastAsia" w:hAnsi="宋体" w:cs="宋体"/>
          <w:b/>
          <w:bCs/>
          <w:color w:val="auto"/>
          <w:szCs w:val="21"/>
          <w:highlight w:val="none"/>
        </w:rPr>
        <w:t>设定的最高限价，将作为无效标。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0A19E93A">
      <w:pPr>
        <w:widowControl/>
        <w:adjustRightInd w:val="0"/>
        <w:snapToGrid w:val="0"/>
        <w:spacing w:line="360" w:lineRule="auto"/>
        <w:jc w:val="center"/>
        <w:rPr>
          <w:rFonts w:hint="eastAsia" w:ascii="宋体" w:hAnsi="宋体" w:cs="宋体"/>
          <w:b/>
          <w:color w:val="auto"/>
          <w:sz w:val="36"/>
          <w:szCs w:val="36"/>
        </w:rPr>
      </w:pPr>
      <w:r>
        <w:rPr>
          <w:rFonts w:hint="eastAsia" w:ascii="宋体" w:hAnsi="宋体" w:cs="宋体"/>
          <w:b/>
          <w:color w:val="auto"/>
          <w:sz w:val="36"/>
          <w:szCs w:val="36"/>
        </w:rPr>
        <w:br w:type="page"/>
      </w:r>
    </w:p>
    <w:p w14:paraId="25B3DBF3">
      <w:pPr>
        <w:widowControl/>
        <w:adjustRightInd w:val="0"/>
        <w:snapToGrid w:val="0"/>
        <w:spacing w:line="360" w:lineRule="auto"/>
        <w:jc w:val="center"/>
        <w:rPr>
          <w:rFonts w:hint="eastAsia" w:ascii="宋体" w:hAnsi="宋体" w:cs="宋体"/>
          <w:b/>
          <w:color w:val="auto"/>
          <w:sz w:val="36"/>
          <w:szCs w:val="36"/>
        </w:rPr>
      </w:pPr>
    </w:p>
    <w:p w14:paraId="3243EA78">
      <w:pPr>
        <w:widowControl/>
        <w:adjustRightInd w:val="0"/>
        <w:snapToGrid w:val="0"/>
        <w:spacing w:line="360" w:lineRule="auto"/>
        <w:jc w:val="center"/>
        <w:rPr>
          <w:rFonts w:ascii="宋体" w:hAnsi="宋体" w:cs="宋体"/>
          <w:b/>
          <w:color w:val="auto"/>
          <w:sz w:val="30"/>
          <w:szCs w:val="30"/>
        </w:rPr>
      </w:pPr>
      <w:r>
        <w:rPr>
          <w:rFonts w:hint="eastAsia" w:ascii="宋体" w:hAnsi="宋体" w:cs="宋体"/>
          <w:b/>
          <w:color w:val="auto"/>
          <w:sz w:val="32"/>
          <w:szCs w:val="32"/>
        </w:rPr>
        <w:t>第五章  政府采购合同主要条款</w:t>
      </w:r>
    </w:p>
    <w:p w14:paraId="31749D37">
      <w:pPr>
        <w:widowControl/>
        <w:spacing w:line="420" w:lineRule="exact"/>
        <w:jc w:val="center"/>
        <w:rPr>
          <w:rFonts w:ascii="宋体" w:hAnsi="宋体" w:cs="宋体"/>
          <w:b/>
          <w:bCs/>
          <w:color w:val="auto"/>
          <w:kern w:val="0"/>
          <w:sz w:val="28"/>
          <w:szCs w:val="28"/>
        </w:rPr>
      </w:pPr>
      <w:r>
        <w:rPr>
          <w:rFonts w:hint="eastAsia" w:ascii="宋体" w:hAnsi="宋体" w:cs="宋体"/>
          <w:b/>
          <w:bCs/>
          <w:color w:val="auto"/>
          <w:kern w:val="0"/>
          <w:sz w:val="28"/>
          <w:szCs w:val="28"/>
        </w:rPr>
        <w:t>一、通用条款部分</w:t>
      </w:r>
    </w:p>
    <w:p w14:paraId="2F02C456">
      <w:pPr>
        <w:widowControl/>
        <w:spacing w:line="420" w:lineRule="exact"/>
        <w:jc w:val="left"/>
        <w:rPr>
          <w:rFonts w:hint="eastAsia" w:ascii="宋体" w:hAnsi="宋体" w:cs="宋体"/>
          <w:color w:val="auto"/>
          <w:kern w:val="0"/>
          <w:szCs w:val="21"/>
          <w:lang w:eastAsia="zh-CN"/>
        </w:rPr>
      </w:pPr>
      <w:r>
        <w:rPr>
          <w:rFonts w:hint="eastAsia" w:ascii="宋体" w:hAnsi="宋体" w:cs="宋体"/>
          <w:color w:val="auto"/>
          <w:kern w:val="0"/>
          <w:szCs w:val="21"/>
        </w:rPr>
        <w:t>招标编号：</w:t>
      </w:r>
      <w:r>
        <w:rPr>
          <w:rFonts w:hint="eastAsia" w:ascii="宋体" w:hAnsi="宋体" w:cs="宋体"/>
          <w:color w:val="auto"/>
          <w:kern w:val="0"/>
          <w:szCs w:val="21"/>
          <w:lang w:eastAsia="zh-CN"/>
        </w:rPr>
        <w:t xml:space="preserve">ZSJS-2025-009 </w:t>
      </w:r>
    </w:p>
    <w:p w14:paraId="2C54E4F2">
      <w:pPr>
        <w:widowControl/>
        <w:spacing w:line="420" w:lineRule="exact"/>
        <w:jc w:val="left"/>
        <w:rPr>
          <w:rFonts w:hint="default" w:ascii="宋体" w:hAnsi="宋体" w:cs="宋体"/>
          <w:color w:val="auto"/>
          <w:kern w:val="0"/>
          <w:szCs w:val="21"/>
          <w:lang w:val="en-US" w:eastAsia="zh-CN"/>
        </w:rPr>
      </w:pPr>
      <w:r>
        <w:rPr>
          <w:rFonts w:hint="eastAsia" w:ascii="宋体" w:hAnsi="宋体" w:cs="宋体"/>
          <w:color w:val="auto"/>
          <w:kern w:val="0"/>
          <w:szCs w:val="21"/>
          <w:lang w:val="en-US" w:eastAsia="zh-CN"/>
        </w:rPr>
        <w:t>合同编号</w:t>
      </w:r>
      <w:r>
        <w:rPr>
          <w:rFonts w:hint="eastAsia" w:ascii="宋体" w:hAnsi="宋体" w:cs="宋体"/>
          <w:color w:val="auto"/>
          <w:kern w:val="0"/>
          <w:szCs w:val="21"/>
        </w:rPr>
        <w:t>：</w:t>
      </w:r>
    </w:p>
    <w:p w14:paraId="63B2D213">
      <w:pPr>
        <w:widowControl/>
        <w:spacing w:line="420" w:lineRule="exact"/>
        <w:jc w:val="left"/>
        <w:rPr>
          <w:rFonts w:hint="eastAsia" w:ascii="宋体" w:hAnsi="宋体" w:eastAsia="宋体" w:cs="宋体"/>
          <w:b/>
          <w:bCs/>
          <w:color w:val="auto"/>
          <w:kern w:val="0"/>
          <w:szCs w:val="21"/>
          <w:highlight w:val="red"/>
          <w:shd w:val="clear" w:color="FFFFFF" w:fill="D9D9D9"/>
          <w:lang w:eastAsia="zh-CN"/>
        </w:rPr>
      </w:pPr>
      <w:r>
        <w:rPr>
          <w:rFonts w:hint="eastAsia" w:ascii="宋体" w:hAnsi="宋体" w:cs="宋体"/>
          <w:color w:val="auto"/>
          <w:kern w:val="0"/>
          <w:szCs w:val="21"/>
        </w:rPr>
        <w:t>政府采购计划（预算）确认</w:t>
      </w:r>
      <w:r>
        <w:rPr>
          <w:rFonts w:hint="eastAsia" w:ascii="宋体" w:hAnsi="宋体" w:cs="宋体"/>
          <w:b/>
          <w:bCs/>
          <w:color w:val="auto"/>
          <w:kern w:val="0"/>
          <w:szCs w:val="21"/>
        </w:rPr>
        <w:t>号：</w:t>
      </w:r>
      <w:r>
        <w:rPr>
          <w:rFonts w:hint="eastAsia" w:ascii="宋体" w:hAnsi="宋体"/>
          <w:b/>
          <w:bCs/>
          <w:color w:val="auto"/>
          <w:szCs w:val="21"/>
          <w:highlight w:val="none"/>
          <w:u w:val="single"/>
          <w:shd w:val="clear" w:color="FFFFFF" w:fill="D9D9D9"/>
          <w:lang w:eastAsia="zh-CN"/>
        </w:rPr>
        <w:t>嵊财采确临[2025]</w:t>
      </w:r>
      <w:r>
        <w:rPr>
          <w:rFonts w:hint="eastAsia" w:ascii="宋体" w:hAnsi="宋体"/>
          <w:b/>
          <w:bCs/>
          <w:color w:val="auto"/>
          <w:szCs w:val="21"/>
          <w:highlight w:val="none"/>
          <w:u w:val="single"/>
          <w:shd w:val="clear" w:color="FFFFFF" w:fill="D9D9D9"/>
          <w:lang w:val="en-US" w:eastAsia="zh-CN"/>
        </w:rPr>
        <w:t>312</w:t>
      </w:r>
      <w:r>
        <w:rPr>
          <w:rFonts w:hint="eastAsia" w:ascii="宋体" w:hAnsi="宋体"/>
          <w:b/>
          <w:bCs/>
          <w:color w:val="auto"/>
          <w:szCs w:val="21"/>
          <w:highlight w:val="none"/>
          <w:u w:val="single"/>
          <w:shd w:val="clear" w:color="FFFFFF" w:fill="D9D9D9"/>
          <w:lang w:eastAsia="zh-CN"/>
        </w:rPr>
        <w:t>号</w:t>
      </w:r>
    </w:p>
    <w:p w14:paraId="716DE91D">
      <w:pPr>
        <w:widowControl/>
        <w:spacing w:line="420" w:lineRule="exact"/>
        <w:jc w:val="left"/>
        <w:rPr>
          <w:rFonts w:hint="eastAsia" w:ascii="宋体" w:hAnsi="宋体"/>
          <w:color w:val="auto"/>
          <w:kern w:val="0"/>
          <w:lang w:eastAsia="zh-CN"/>
        </w:rPr>
      </w:pPr>
      <w:r>
        <w:rPr>
          <w:rFonts w:hint="eastAsia" w:ascii="宋体" w:hAnsi="宋体" w:cs="宋体"/>
          <w:color w:val="auto"/>
          <w:kern w:val="0"/>
          <w:szCs w:val="21"/>
        </w:rPr>
        <w:t>采购人（以下称甲方）：</w:t>
      </w:r>
      <w:r>
        <w:rPr>
          <w:rFonts w:hint="eastAsia" w:ascii="宋体" w:hAnsi="宋体"/>
          <w:color w:val="auto"/>
          <w:kern w:val="0"/>
        </w:rPr>
        <w:t>嵊泗县</w:t>
      </w:r>
      <w:r>
        <w:rPr>
          <w:rFonts w:hint="eastAsia" w:ascii="宋体" w:hAnsi="宋体"/>
          <w:color w:val="auto"/>
          <w:kern w:val="0"/>
          <w:lang w:eastAsia="zh-CN"/>
        </w:rPr>
        <w:t>文化和广电旅游体育局</w:t>
      </w:r>
    </w:p>
    <w:p w14:paraId="4BAB2984">
      <w:pPr>
        <w:widowControl/>
        <w:spacing w:line="420" w:lineRule="exact"/>
        <w:jc w:val="left"/>
        <w:rPr>
          <w:rFonts w:hint="eastAsia"/>
          <w:lang w:eastAsia="zh-CN"/>
        </w:rPr>
      </w:pPr>
      <w:r>
        <w:rPr>
          <w:rFonts w:hint="eastAsia" w:ascii="宋体" w:hAnsi="宋体" w:cs="宋体"/>
          <w:color w:val="auto"/>
          <w:kern w:val="0"/>
          <w:szCs w:val="21"/>
          <w:highlight w:val="none"/>
          <w:lang w:val="en-US" w:eastAsia="zh-CN"/>
        </w:rPr>
        <w:t>最高限价</w:t>
      </w:r>
      <w:r>
        <w:rPr>
          <w:rFonts w:hint="eastAsia" w:ascii="宋体" w:hAnsi="宋体" w:cs="宋体"/>
          <w:color w:val="auto"/>
          <w:kern w:val="0"/>
          <w:szCs w:val="21"/>
          <w:highlight w:val="none"/>
        </w:rPr>
        <w:t>金额：</w:t>
      </w:r>
      <w:r>
        <w:rPr>
          <w:rFonts w:hint="eastAsia" w:ascii="宋体" w:hAnsi="宋体" w:cs="宋体"/>
          <w:color w:val="auto"/>
          <w:szCs w:val="21"/>
          <w:highlight w:val="none"/>
        </w:rPr>
        <w:t>人民币</w:t>
      </w:r>
      <w:r>
        <w:rPr>
          <w:rFonts w:hint="eastAsia" w:ascii="宋体" w:hAnsi="宋体" w:cs="宋体"/>
          <w:color w:val="auto"/>
          <w:szCs w:val="21"/>
          <w:highlight w:val="none"/>
          <w:lang w:val="en-US" w:eastAsia="zh-CN"/>
        </w:rPr>
        <w:t>180万</w:t>
      </w:r>
      <w:r>
        <w:rPr>
          <w:rFonts w:hint="eastAsia" w:ascii="宋体" w:hAnsi="宋体" w:cs="宋体"/>
          <w:color w:val="auto"/>
          <w:szCs w:val="21"/>
          <w:highlight w:val="none"/>
        </w:rPr>
        <w:t>元</w:t>
      </w:r>
    </w:p>
    <w:p w14:paraId="0A1C496F">
      <w:pPr>
        <w:widowControl/>
        <w:spacing w:line="420" w:lineRule="exact"/>
        <w:jc w:val="left"/>
        <w:rPr>
          <w:rFonts w:ascii="宋体" w:hAnsi="宋体" w:cs="宋体"/>
          <w:color w:val="auto"/>
          <w:kern w:val="0"/>
          <w:szCs w:val="21"/>
        </w:rPr>
      </w:pPr>
      <w:r>
        <w:rPr>
          <w:rFonts w:hint="eastAsia" w:ascii="宋体" w:hAnsi="宋体" w:cs="宋体"/>
          <w:color w:val="auto"/>
          <w:kern w:val="0"/>
          <w:szCs w:val="21"/>
        </w:rPr>
        <w:t>供应商（以下称乙方）：</w:t>
      </w:r>
    </w:p>
    <w:p w14:paraId="53F8C9D8">
      <w:pPr>
        <w:widowControl/>
        <w:spacing w:line="420" w:lineRule="exact"/>
        <w:jc w:val="left"/>
        <w:rPr>
          <w:rFonts w:ascii="宋体" w:hAnsi="宋体" w:cs="宋体"/>
          <w:color w:val="auto"/>
          <w:kern w:val="0"/>
          <w:szCs w:val="21"/>
        </w:rPr>
      </w:pPr>
      <w:r>
        <w:rPr>
          <w:rFonts w:hint="eastAsia" w:ascii="宋体" w:hAnsi="宋体" w:cs="宋体"/>
          <w:color w:val="auto"/>
          <w:kern w:val="0"/>
          <w:szCs w:val="21"/>
        </w:rPr>
        <w:t>采购代理机构：舟山市嘉嵊咨询管理有限公司</w:t>
      </w:r>
    </w:p>
    <w:p w14:paraId="3811AA83">
      <w:pPr>
        <w:widowControl/>
        <w:spacing w:line="420" w:lineRule="exact"/>
        <w:jc w:val="left"/>
        <w:rPr>
          <w:rFonts w:ascii="宋体" w:hAnsi="宋体" w:cs="宋体"/>
          <w:color w:val="auto"/>
          <w:kern w:val="0"/>
          <w:szCs w:val="21"/>
        </w:rPr>
      </w:pPr>
      <w:r>
        <w:rPr>
          <w:rFonts w:hint="eastAsia" w:ascii="宋体" w:hAnsi="宋体" w:cs="宋体"/>
          <w:color w:val="auto"/>
          <w:kern w:val="0"/>
          <w:szCs w:val="21"/>
        </w:rPr>
        <w:t>采购方式：</w:t>
      </w:r>
      <w:r>
        <w:rPr>
          <w:rFonts w:hint="eastAsia" w:ascii="宋体" w:hAnsi="宋体" w:cs="宋体"/>
          <w:color w:val="auto"/>
          <w:szCs w:val="21"/>
        </w:rPr>
        <w:t>竞争性磋商</w:t>
      </w:r>
    </w:p>
    <w:p w14:paraId="433CAC90">
      <w:pPr>
        <w:widowControl/>
        <w:spacing w:line="420" w:lineRule="exact"/>
        <w:ind w:firstLine="436" w:firstLineChars="200"/>
        <w:jc w:val="left"/>
        <w:rPr>
          <w:rFonts w:hint="eastAsia" w:ascii="宋体" w:hAnsi="宋体" w:cs="宋体"/>
          <w:color w:val="auto"/>
          <w:spacing w:val="4"/>
          <w:szCs w:val="21"/>
          <w:highlight w:val="none"/>
        </w:rPr>
      </w:pPr>
      <w:r>
        <w:rPr>
          <w:rFonts w:hint="eastAsia" w:ascii="宋体" w:hAnsi="宋体" w:cs="宋体"/>
          <w:color w:val="auto"/>
          <w:spacing w:val="4"/>
          <w:szCs w:val="21"/>
          <w:highlight w:val="none"/>
        </w:rPr>
        <w:t>甲方对</w:t>
      </w:r>
      <w:r>
        <w:rPr>
          <w:rFonts w:hint="eastAsia" w:ascii="宋体" w:hAnsi="宋体" w:cs="宋体"/>
          <w:color w:val="auto"/>
          <w:spacing w:val="4"/>
          <w:szCs w:val="21"/>
          <w:highlight w:val="none"/>
          <w:u w:val="single"/>
          <w:lang w:val="en-US" w:eastAsia="zh-CN"/>
        </w:rPr>
        <w:t xml:space="preserve">  </w:t>
      </w:r>
      <w:r>
        <w:rPr>
          <w:rFonts w:hint="eastAsia" w:ascii="宋体" w:hAnsi="宋体" w:cs="宋体"/>
          <w:b/>
          <w:bCs/>
          <w:color w:val="auto"/>
          <w:kern w:val="0"/>
          <w:szCs w:val="21"/>
          <w:u w:val="single"/>
          <w:lang w:val="zh-CN"/>
        </w:rPr>
        <w:t xml:space="preserve">2025嵊泗国际帆船赛 </w:t>
      </w:r>
      <w:r>
        <w:rPr>
          <w:rFonts w:hint="eastAsia" w:ascii="宋体" w:hAnsi="宋体" w:cs="宋体"/>
          <w:color w:val="auto"/>
          <w:spacing w:val="4"/>
          <w:szCs w:val="21"/>
          <w:highlight w:val="none"/>
        </w:rPr>
        <w:t>，采购编号</w:t>
      </w:r>
      <w:r>
        <w:rPr>
          <w:rFonts w:hint="eastAsia" w:ascii="宋体" w:hAnsi="宋体" w:cs="宋体"/>
          <w:color w:val="auto"/>
          <w:spacing w:val="4"/>
          <w:szCs w:val="21"/>
          <w:highlight w:val="none"/>
          <w:u w:val="single"/>
        </w:rPr>
        <w:t>：</w:t>
      </w:r>
      <w:r>
        <w:rPr>
          <w:rFonts w:hint="eastAsia" w:ascii="宋体" w:hAnsi="宋体" w:cs="宋体"/>
          <w:color w:val="auto"/>
          <w:spacing w:val="4"/>
          <w:szCs w:val="21"/>
          <w:highlight w:val="none"/>
          <w:u w:val="single"/>
          <w:lang w:val="en-US" w:eastAsia="zh-CN"/>
        </w:rPr>
        <w:t xml:space="preserve">    </w:t>
      </w:r>
      <w:r>
        <w:rPr>
          <w:rFonts w:ascii="宋体" w:hAnsi="宋体" w:cs="宋体"/>
          <w:color w:val="auto"/>
          <w:kern w:val="0"/>
          <w:szCs w:val="21"/>
          <w:highlight w:val="none"/>
          <w:u w:val="single"/>
        </w:rPr>
        <w:t xml:space="preserve">       </w:t>
      </w:r>
      <w:r>
        <w:rPr>
          <w:rFonts w:hint="eastAsia" w:ascii="宋体" w:hAnsi="宋体" w:cs="宋体"/>
          <w:color w:val="auto"/>
          <w:spacing w:val="4"/>
          <w:szCs w:val="21"/>
          <w:highlight w:val="none"/>
        </w:rPr>
        <w:t>进行</w:t>
      </w:r>
      <w:r>
        <w:rPr>
          <w:rFonts w:hint="eastAsia" w:ascii="宋体" w:hAnsi="宋体" w:cs="宋体"/>
          <w:color w:val="auto"/>
          <w:spacing w:val="4"/>
          <w:szCs w:val="21"/>
          <w:highlight w:val="none"/>
          <w:lang w:val="en-US" w:eastAsia="zh-CN"/>
        </w:rPr>
        <w:t>竞争性磋商招标</w:t>
      </w:r>
      <w:r>
        <w:rPr>
          <w:rFonts w:hint="eastAsia" w:ascii="宋体" w:hAnsi="宋体" w:cs="宋体"/>
          <w:color w:val="auto"/>
          <w:spacing w:val="4"/>
          <w:szCs w:val="21"/>
          <w:highlight w:val="none"/>
        </w:rPr>
        <w:t>。经评审小组评定并最终审核通过，确定乙方为本项采购项目的乙方。甲乙双方根据《中华人民共和国政府采购法》、《中华人民共和国民民法典》等相关法律法规及本项目招标文件的规定，双方经平等协商达成一致意见，订立本合同。</w:t>
      </w:r>
    </w:p>
    <w:p w14:paraId="79FF2402">
      <w:pPr>
        <w:spacing w:line="360" w:lineRule="auto"/>
        <w:ind w:firstLine="413" w:firstLineChars="196"/>
        <w:rPr>
          <w:rFonts w:ascii="宋体" w:hAnsi="宋体" w:cs="宋体"/>
          <w:b/>
          <w:color w:val="auto"/>
          <w:szCs w:val="21"/>
          <w:highlight w:val="none"/>
        </w:rPr>
      </w:pPr>
      <w:r>
        <w:rPr>
          <w:rFonts w:hint="eastAsia" w:ascii="宋体" w:hAnsi="宋体" w:cs="宋体"/>
          <w:b/>
          <w:color w:val="auto"/>
          <w:szCs w:val="21"/>
          <w:highlight w:val="none"/>
        </w:rPr>
        <w:t>一、合同文件</w:t>
      </w:r>
    </w:p>
    <w:p w14:paraId="41AB0974">
      <w:pPr>
        <w:spacing w:line="360" w:lineRule="auto"/>
        <w:ind w:firstLine="420"/>
        <w:rPr>
          <w:rFonts w:ascii="宋体" w:hAnsi="宋体" w:cs="宋体"/>
          <w:color w:val="auto"/>
          <w:szCs w:val="21"/>
          <w:highlight w:val="none"/>
        </w:rPr>
      </w:pPr>
      <w:r>
        <w:rPr>
          <w:rFonts w:hint="eastAsia" w:ascii="宋体" w:hAnsi="宋体" w:cs="宋体"/>
          <w:color w:val="auto"/>
          <w:szCs w:val="21"/>
          <w:highlight w:val="none"/>
        </w:rPr>
        <w:t>下列文件构成本合同的组成部分：</w:t>
      </w:r>
    </w:p>
    <w:p w14:paraId="62F5754A">
      <w:pPr>
        <w:adjustRightInd w:val="0"/>
        <w:spacing w:line="360" w:lineRule="auto"/>
        <w:ind w:left="420"/>
        <w:textAlignment w:val="baseline"/>
        <w:rPr>
          <w:rFonts w:ascii="宋体" w:hAnsi="宋体" w:cs="宋体"/>
          <w:color w:val="auto"/>
          <w:szCs w:val="21"/>
          <w:highlight w:val="none"/>
        </w:rPr>
      </w:pPr>
      <w:r>
        <w:rPr>
          <w:rFonts w:hint="eastAsia" w:ascii="宋体" w:hAnsi="宋体" w:cs="宋体"/>
          <w:color w:val="auto"/>
          <w:szCs w:val="21"/>
          <w:highlight w:val="none"/>
        </w:rPr>
        <w:t>（1）招标文件</w:t>
      </w:r>
    </w:p>
    <w:p w14:paraId="3DC1DC4E">
      <w:pPr>
        <w:adjustRightInd w:val="0"/>
        <w:spacing w:line="360" w:lineRule="auto"/>
        <w:ind w:left="420"/>
        <w:textAlignment w:val="baseline"/>
        <w:rPr>
          <w:rFonts w:ascii="宋体" w:hAnsi="宋体" w:cs="宋体"/>
          <w:color w:val="auto"/>
          <w:szCs w:val="21"/>
          <w:highlight w:val="none"/>
        </w:rPr>
      </w:pPr>
      <w:r>
        <w:rPr>
          <w:rFonts w:hint="eastAsia" w:ascii="宋体" w:hAnsi="宋体" w:cs="宋体"/>
          <w:color w:val="auto"/>
          <w:szCs w:val="21"/>
          <w:highlight w:val="none"/>
        </w:rPr>
        <w:t>（2）投标文件</w:t>
      </w:r>
    </w:p>
    <w:p w14:paraId="332201ED">
      <w:pPr>
        <w:adjustRightInd w:val="0"/>
        <w:spacing w:line="360" w:lineRule="auto"/>
        <w:ind w:left="420"/>
        <w:textAlignment w:val="baseline"/>
        <w:rPr>
          <w:rFonts w:ascii="宋体" w:hAnsi="宋体" w:cs="宋体"/>
          <w:color w:val="auto"/>
          <w:szCs w:val="21"/>
          <w:highlight w:val="none"/>
        </w:rPr>
      </w:pPr>
      <w:r>
        <w:rPr>
          <w:rFonts w:hint="eastAsia" w:ascii="宋体" w:hAnsi="宋体" w:cs="宋体"/>
          <w:color w:val="auto"/>
          <w:szCs w:val="21"/>
          <w:highlight w:val="none"/>
        </w:rPr>
        <w:t>（3）相关补充文件</w:t>
      </w:r>
    </w:p>
    <w:p w14:paraId="5EC5B11C">
      <w:pPr>
        <w:adjustRightInd w:val="0"/>
        <w:spacing w:line="360" w:lineRule="auto"/>
        <w:ind w:left="420"/>
        <w:textAlignment w:val="baseline"/>
        <w:rPr>
          <w:rFonts w:ascii="宋体" w:hAnsi="宋体" w:cs="宋体"/>
          <w:color w:val="auto"/>
          <w:szCs w:val="21"/>
          <w:highlight w:val="none"/>
        </w:rPr>
      </w:pPr>
      <w:r>
        <w:rPr>
          <w:rFonts w:hint="eastAsia" w:ascii="宋体" w:hAnsi="宋体" w:cs="宋体"/>
          <w:color w:val="auto"/>
          <w:szCs w:val="21"/>
          <w:highlight w:val="none"/>
        </w:rPr>
        <w:t>（4）</w:t>
      </w:r>
      <w:r>
        <w:rPr>
          <w:rFonts w:hint="eastAsia" w:ascii="宋体" w:hAnsi="宋体" w:cs="宋体"/>
          <w:color w:val="auto"/>
          <w:kern w:val="0"/>
          <w:szCs w:val="21"/>
          <w:highlight w:val="none"/>
        </w:rPr>
        <w:t>中标或成交通知书</w:t>
      </w:r>
    </w:p>
    <w:p w14:paraId="44F610D8">
      <w:pPr>
        <w:spacing w:line="360" w:lineRule="auto"/>
        <w:ind w:firstLine="413" w:firstLineChars="196"/>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二、合同范围和条件</w:t>
      </w:r>
    </w:p>
    <w:p w14:paraId="09FC5BB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20" w:lineRule="exact"/>
        <w:ind w:firstLine="420" w:firstLineChars="200"/>
        <w:jc w:val="both"/>
        <w:rPr>
          <w:rFonts w:hint="eastAsia" w:ascii="宋体" w:hAnsi="宋体" w:cs="宋体"/>
          <w:color w:val="auto"/>
          <w:szCs w:val="21"/>
          <w:highlight w:val="none"/>
        </w:rPr>
      </w:pPr>
      <w:r>
        <w:rPr>
          <w:rFonts w:hint="eastAsia" w:ascii="宋体" w:hAnsi="宋体" w:cs="宋体"/>
          <w:color w:val="auto"/>
          <w:szCs w:val="21"/>
          <w:highlight w:val="none"/>
        </w:rPr>
        <w:t>本合同的范围和条件与上述规定的合同文件内容一致。</w:t>
      </w:r>
    </w:p>
    <w:p w14:paraId="0158FA6A">
      <w:pPr>
        <w:spacing w:line="360" w:lineRule="auto"/>
        <w:ind w:firstLine="413" w:firstLineChars="196"/>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三、合同金额</w:t>
      </w:r>
    </w:p>
    <w:p w14:paraId="60C32D02">
      <w:pPr>
        <w:pStyle w:val="25"/>
        <w:ind w:left="0" w:leftChars="0" w:firstLine="420" w:firstLineChars="200"/>
        <w:jc w:val="left"/>
        <w:rPr>
          <w:rFonts w:ascii="宋体" w:hAnsi="宋体" w:cs="宋体"/>
          <w:color w:val="auto"/>
          <w:sz w:val="21"/>
          <w:szCs w:val="21"/>
          <w:highlight w:val="none"/>
        </w:rPr>
      </w:pPr>
      <w:r>
        <w:rPr>
          <w:rFonts w:hint="eastAsia" w:ascii="宋体" w:hAnsi="宋体" w:cs="宋体"/>
          <w:color w:val="auto"/>
          <w:sz w:val="21"/>
          <w:szCs w:val="21"/>
          <w:highlight w:val="none"/>
        </w:rPr>
        <w:t>项目中标合同金额：小写：元，大写：。</w:t>
      </w:r>
    </w:p>
    <w:p w14:paraId="6DF8B047">
      <w:pPr>
        <w:pStyle w:val="25"/>
        <w:ind w:left="0" w:leftChars="0" w:firstLine="420" w:firstLineChars="200"/>
        <w:jc w:val="left"/>
        <w:rPr>
          <w:rFonts w:hint="eastAsia" w:ascii="宋体" w:hAnsi="宋体" w:cs="宋体"/>
          <w:color w:val="auto"/>
          <w:sz w:val="21"/>
          <w:szCs w:val="21"/>
          <w:highlight w:val="none"/>
        </w:rPr>
      </w:pPr>
      <w:r>
        <w:rPr>
          <w:rFonts w:hint="eastAsia" w:ascii="宋体" w:hAnsi="宋体" w:cs="宋体"/>
          <w:color w:val="auto"/>
          <w:sz w:val="21"/>
          <w:szCs w:val="21"/>
          <w:highlight w:val="none"/>
        </w:rPr>
        <w:t>附合同中标相关报价分项清单。</w:t>
      </w:r>
    </w:p>
    <w:p w14:paraId="612E8F00">
      <w:pPr>
        <w:spacing w:line="360" w:lineRule="auto"/>
        <w:ind w:firstLine="413" w:firstLineChars="196"/>
        <w:rPr>
          <w:rFonts w:hint="eastAsia" w:ascii="宋体" w:hAnsi="宋体" w:eastAsia="宋体" w:cs="宋体"/>
          <w:b/>
          <w:color w:val="auto"/>
          <w:szCs w:val="21"/>
          <w:highlight w:val="none"/>
        </w:rPr>
      </w:pPr>
      <w:r>
        <w:rPr>
          <w:rFonts w:hint="eastAsia" w:ascii="宋体" w:hAnsi="宋体" w:cs="宋体"/>
          <w:b/>
          <w:color w:val="auto"/>
          <w:szCs w:val="21"/>
          <w:highlight w:val="none"/>
          <w:lang w:val="en-US" w:eastAsia="zh-CN"/>
        </w:rPr>
        <w:t>四、</w:t>
      </w:r>
      <w:r>
        <w:rPr>
          <w:rFonts w:hint="eastAsia" w:ascii="宋体" w:hAnsi="宋体" w:eastAsia="宋体" w:cs="宋体"/>
          <w:b/>
          <w:color w:val="auto"/>
          <w:szCs w:val="21"/>
          <w:highlight w:val="none"/>
        </w:rPr>
        <w:t>服务内容</w:t>
      </w:r>
    </w:p>
    <w:p w14:paraId="6B659D20">
      <w:pPr>
        <w:pStyle w:val="32"/>
        <w:spacing w:line="360" w:lineRule="auto"/>
        <w:rPr>
          <w:rFonts w:hint="default" w:eastAsia="宋体"/>
          <w:lang w:val="en-US" w:eastAsia="zh-CN"/>
        </w:rPr>
      </w:pPr>
      <w:r>
        <w:rPr>
          <w:rFonts w:hint="eastAsia" w:ascii="Calibri" w:hAnsi="Calibri" w:eastAsia="宋体" w:cs="Times New Roman"/>
          <w:b/>
          <w:bCs/>
          <w:color w:val="auto"/>
          <w:sz w:val="24"/>
          <w:szCs w:val="24"/>
          <w:highlight w:val="none"/>
          <w:lang w:eastAsia="zh-CN"/>
        </w:rPr>
        <w:t>（</w:t>
      </w:r>
      <w:r>
        <w:rPr>
          <w:rFonts w:hint="eastAsia" w:ascii="Calibri" w:hAnsi="Calibri" w:eastAsia="宋体" w:cs="Times New Roman"/>
          <w:b/>
          <w:bCs/>
          <w:color w:val="auto"/>
          <w:sz w:val="24"/>
          <w:szCs w:val="24"/>
          <w:highlight w:val="none"/>
          <w:lang w:val="en-US" w:eastAsia="zh-CN"/>
        </w:rPr>
        <w:t>一</w:t>
      </w:r>
      <w:r>
        <w:rPr>
          <w:rFonts w:hint="eastAsia" w:ascii="Calibri" w:hAnsi="Calibri" w:eastAsia="宋体" w:cs="Times New Roman"/>
          <w:b/>
          <w:bCs/>
          <w:color w:val="auto"/>
          <w:sz w:val="24"/>
          <w:szCs w:val="24"/>
          <w:highlight w:val="none"/>
          <w:lang w:eastAsia="zh-CN"/>
        </w:rPr>
        <w:t>）</w:t>
      </w:r>
      <w:r>
        <w:rPr>
          <w:rFonts w:hint="eastAsia" w:ascii="Calibri" w:hAnsi="Calibri" w:eastAsia="宋体" w:cs="Times New Roman"/>
          <w:b/>
          <w:bCs/>
          <w:color w:val="auto"/>
          <w:sz w:val="24"/>
          <w:szCs w:val="24"/>
          <w:highlight w:val="none"/>
          <w:lang w:val="en-US" w:eastAsia="zh-CN"/>
        </w:rPr>
        <w:t>项目概况</w:t>
      </w:r>
    </w:p>
    <w:p w14:paraId="2674FCAE">
      <w:pPr>
        <w:widowControl/>
        <w:spacing w:line="360" w:lineRule="auto"/>
        <w:ind w:firstLine="442" w:firstLineChars="200"/>
        <w:rPr>
          <w:rFonts w:hint="eastAsia" w:ascii="新宋体" w:hAnsi="新宋体" w:eastAsia="新宋体"/>
          <w:b/>
          <w:bCs/>
          <w:color w:val="000000"/>
          <w:sz w:val="22"/>
          <w:szCs w:val="22"/>
        </w:rPr>
      </w:pPr>
      <w:r>
        <w:rPr>
          <w:rFonts w:hint="eastAsia" w:ascii="新宋体" w:hAnsi="新宋体" w:eastAsia="新宋体"/>
          <w:b/>
          <w:bCs/>
          <w:color w:val="000000"/>
          <w:sz w:val="22"/>
          <w:szCs w:val="22"/>
        </w:rPr>
        <w:t>1、项目名称</w:t>
      </w:r>
    </w:p>
    <w:p w14:paraId="32F47895">
      <w:pPr>
        <w:widowControl/>
        <w:spacing w:line="360" w:lineRule="auto"/>
        <w:ind w:firstLine="420" w:firstLineChars="200"/>
        <w:rPr>
          <w:rFonts w:hint="eastAsia" w:ascii="新宋体" w:hAnsi="新宋体" w:eastAsia="新宋体"/>
          <w:color w:val="000000"/>
          <w:sz w:val="22"/>
          <w:szCs w:val="22"/>
        </w:rPr>
      </w:pPr>
      <w:r>
        <w:rPr>
          <w:rFonts w:hint="eastAsia" w:ascii="宋体" w:hAnsi="宋体" w:eastAsia="宋体" w:cs="宋体"/>
          <w:color w:val="auto"/>
          <w:szCs w:val="21"/>
          <w:highlight w:val="none"/>
          <w:lang w:val="en-US" w:eastAsia="zh-CN"/>
        </w:rPr>
        <w:t>2025嵊泗国际帆船赛</w:t>
      </w:r>
    </w:p>
    <w:p w14:paraId="247B4527">
      <w:pPr>
        <w:widowControl/>
        <w:spacing w:line="360" w:lineRule="auto"/>
        <w:ind w:firstLine="442" w:firstLineChars="200"/>
        <w:rPr>
          <w:rFonts w:hint="eastAsia" w:ascii="宋体" w:hAnsi="宋体" w:eastAsia="宋体" w:cs="宋体"/>
          <w:color w:val="000000"/>
          <w:sz w:val="21"/>
          <w:szCs w:val="21"/>
          <w:lang w:val="en-US" w:eastAsia="zh-CN"/>
        </w:rPr>
      </w:pPr>
      <w:r>
        <w:rPr>
          <w:rFonts w:hint="eastAsia" w:ascii="新宋体" w:hAnsi="新宋体" w:eastAsia="新宋体"/>
          <w:b/>
          <w:bCs/>
          <w:color w:val="000000"/>
          <w:sz w:val="22"/>
          <w:szCs w:val="22"/>
        </w:rPr>
        <w:t>2、组织</w:t>
      </w:r>
      <w:r>
        <w:rPr>
          <w:rFonts w:hint="eastAsia" w:ascii="新宋体" w:hAnsi="新宋体" w:eastAsia="新宋体"/>
          <w:b/>
          <w:bCs/>
          <w:color w:val="000000"/>
          <w:sz w:val="22"/>
          <w:szCs w:val="22"/>
          <w:lang w:val="en-US" w:eastAsia="zh-CN"/>
        </w:rPr>
        <w:t>机构</w:t>
      </w:r>
      <w:r>
        <w:rPr>
          <w:rFonts w:hint="eastAsia" w:ascii="宋体" w:hAnsi="宋体" w:eastAsia="宋体" w:cs="宋体"/>
          <w:color w:val="000000"/>
          <w:sz w:val="21"/>
          <w:szCs w:val="21"/>
          <w:lang w:val="en-US" w:eastAsia="zh-CN"/>
        </w:rPr>
        <w:t xml:space="preserve"> </w:t>
      </w:r>
    </w:p>
    <w:p w14:paraId="05EBB62C">
      <w:pPr>
        <w:widowControl/>
        <w:spacing w:line="360" w:lineRule="auto"/>
        <w:ind w:firstLine="420" w:firstLineChars="200"/>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rPr>
        <w:t>（</w:t>
      </w:r>
      <w:r>
        <w:rPr>
          <w:rFonts w:hint="eastAsia" w:ascii="宋体" w:hAnsi="宋体" w:eastAsia="宋体" w:cs="宋体"/>
          <w:color w:val="000000"/>
          <w:sz w:val="21"/>
          <w:szCs w:val="21"/>
          <w:lang w:val="en-US" w:eastAsia="zh-CN"/>
        </w:rPr>
        <w:t>1</w:t>
      </w:r>
      <w:r>
        <w:rPr>
          <w:rFonts w:hint="eastAsia" w:ascii="宋体" w:hAnsi="宋体" w:eastAsia="宋体" w:cs="宋体"/>
          <w:color w:val="000000"/>
          <w:sz w:val="21"/>
          <w:szCs w:val="21"/>
        </w:rPr>
        <w:t>）主办单位：</w:t>
      </w:r>
      <w:r>
        <w:rPr>
          <w:rFonts w:hint="eastAsia" w:ascii="宋体" w:hAnsi="宋体" w:eastAsia="宋体" w:cs="宋体"/>
          <w:color w:val="000000"/>
          <w:sz w:val="21"/>
          <w:szCs w:val="21"/>
          <w:lang w:val="en-US" w:eastAsia="zh-CN"/>
        </w:rPr>
        <w:t>嵊泗县人民政府、舟山市文化和广电旅游体育局</w:t>
      </w:r>
    </w:p>
    <w:p w14:paraId="4E924AC0">
      <w:pPr>
        <w:widowControl/>
        <w:spacing w:line="360" w:lineRule="auto"/>
        <w:ind w:firstLine="420" w:firstLineChars="200"/>
        <w:rPr>
          <w:rFonts w:hint="default" w:ascii="宋体" w:hAnsi="宋体" w:eastAsia="宋体" w:cs="宋体"/>
          <w:color w:val="000000"/>
          <w:sz w:val="21"/>
          <w:szCs w:val="21"/>
          <w:lang w:val="en-US" w:eastAsia="zh-CN"/>
        </w:rPr>
      </w:pPr>
      <w:r>
        <w:rPr>
          <w:rFonts w:hint="eastAsia" w:ascii="宋体" w:hAnsi="宋体" w:eastAsia="宋体" w:cs="宋体"/>
          <w:color w:val="000000"/>
          <w:sz w:val="21"/>
          <w:szCs w:val="21"/>
          <w:lang w:val="en-US" w:eastAsia="zh-CN"/>
        </w:rPr>
        <w:t>（2）承办单位：嵊泗县文化和广电旅游体育局</w:t>
      </w:r>
    </w:p>
    <w:p w14:paraId="134A6FA5">
      <w:pPr>
        <w:widowControl/>
        <w:spacing w:line="360" w:lineRule="auto"/>
        <w:ind w:firstLine="442" w:firstLineChars="200"/>
        <w:rPr>
          <w:rFonts w:hint="eastAsia" w:ascii="新宋体" w:hAnsi="新宋体" w:eastAsia="新宋体"/>
          <w:b/>
          <w:bCs/>
          <w:color w:val="000000"/>
          <w:sz w:val="22"/>
          <w:szCs w:val="22"/>
        </w:rPr>
      </w:pPr>
      <w:r>
        <w:rPr>
          <w:rFonts w:hint="eastAsia" w:ascii="新宋体" w:hAnsi="新宋体" w:eastAsia="新宋体"/>
          <w:b/>
          <w:bCs/>
          <w:color w:val="000000"/>
          <w:sz w:val="22"/>
          <w:szCs w:val="22"/>
        </w:rPr>
        <w:t>3、</w:t>
      </w:r>
      <w:r>
        <w:rPr>
          <w:rFonts w:hint="eastAsia" w:ascii="新宋体" w:hAnsi="新宋体" w:eastAsia="新宋体"/>
          <w:b/>
          <w:bCs/>
          <w:color w:val="000000"/>
          <w:sz w:val="22"/>
          <w:szCs w:val="22"/>
          <w:lang w:val="en-US" w:eastAsia="zh-CN"/>
        </w:rPr>
        <w:t>比赛</w:t>
      </w:r>
      <w:r>
        <w:rPr>
          <w:rFonts w:hint="eastAsia" w:ascii="新宋体" w:hAnsi="新宋体" w:eastAsia="新宋体"/>
          <w:b/>
          <w:bCs/>
          <w:color w:val="000000"/>
          <w:sz w:val="22"/>
          <w:szCs w:val="22"/>
        </w:rPr>
        <w:t>时间</w:t>
      </w:r>
      <w:r>
        <w:rPr>
          <w:rFonts w:hint="eastAsia" w:ascii="新宋体" w:hAnsi="新宋体" w:eastAsia="新宋体"/>
          <w:b/>
          <w:bCs/>
          <w:color w:val="000000"/>
          <w:sz w:val="22"/>
          <w:szCs w:val="22"/>
          <w:lang w:val="en-US" w:eastAsia="zh-CN"/>
        </w:rPr>
        <w:t>及</w:t>
      </w:r>
      <w:r>
        <w:rPr>
          <w:rFonts w:hint="eastAsia" w:ascii="新宋体" w:hAnsi="新宋体" w:eastAsia="新宋体"/>
          <w:b/>
          <w:bCs/>
          <w:color w:val="000000"/>
          <w:sz w:val="22"/>
          <w:szCs w:val="22"/>
        </w:rPr>
        <w:t>地点</w:t>
      </w:r>
    </w:p>
    <w:p w14:paraId="065E9166">
      <w:pPr>
        <w:widowControl/>
        <w:spacing w:line="360" w:lineRule="auto"/>
        <w:ind w:firstLine="420" w:firstLineChars="200"/>
        <w:rPr>
          <w:rFonts w:hint="default" w:ascii="宋体" w:hAnsi="宋体" w:eastAsia="宋体" w:cs="宋体"/>
          <w:color w:val="000000"/>
          <w:sz w:val="21"/>
          <w:szCs w:val="21"/>
          <w:lang w:val="en-US" w:eastAsia="zh-CN"/>
        </w:rPr>
      </w:pPr>
      <w:r>
        <w:rPr>
          <w:rFonts w:hint="eastAsia" w:ascii="宋体" w:hAnsi="宋体" w:eastAsia="宋体" w:cs="宋体"/>
          <w:color w:val="000000"/>
          <w:sz w:val="21"/>
          <w:szCs w:val="21"/>
          <w:lang w:val="en-US" w:eastAsia="zh-CN"/>
        </w:rPr>
        <w:t>（1）比赛时间：</w:t>
      </w:r>
      <w:r>
        <w:rPr>
          <w:rFonts w:hint="eastAsia" w:ascii="宋体" w:hAnsi="宋体" w:eastAsia="宋体" w:cs="宋体"/>
          <w:color w:val="auto"/>
          <w:sz w:val="21"/>
          <w:szCs w:val="21"/>
          <w:lang w:val="en-US" w:eastAsia="zh-CN"/>
        </w:rPr>
        <w:t>2025年6月</w:t>
      </w:r>
      <w:r>
        <w:rPr>
          <w:rFonts w:hint="eastAsia" w:ascii="宋体" w:hAnsi="宋体" w:cs="宋体"/>
          <w:color w:val="auto"/>
          <w:sz w:val="21"/>
          <w:szCs w:val="21"/>
          <w:lang w:val="en-US" w:eastAsia="zh-CN"/>
        </w:rPr>
        <w:t>份拟定</w:t>
      </w:r>
      <w:r>
        <w:rPr>
          <w:rFonts w:hint="eastAsia" w:ascii="宋体" w:hAnsi="宋体" w:eastAsia="宋体" w:cs="宋体"/>
          <w:color w:val="000000"/>
          <w:sz w:val="21"/>
          <w:szCs w:val="21"/>
          <w:lang w:val="en-US" w:eastAsia="zh-CN"/>
        </w:rPr>
        <w:t>4天。</w:t>
      </w:r>
    </w:p>
    <w:p w14:paraId="5B7CACC1">
      <w:pPr>
        <w:widowControl/>
        <w:spacing w:line="360" w:lineRule="auto"/>
        <w:ind w:firstLine="420" w:firstLineChars="200"/>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lang w:val="en-US" w:eastAsia="zh-CN"/>
        </w:rPr>
        <w:t xml:space="preserve">（2）比赛地点：嵊泗 </w:t>
      </w:r>
    </w:p>
    <w:p w14:paraId="344A0252">
      <w:pPr>
        <w:widowControl/>
        <w:spacing w:line="360" w:lineRule="auto"/>
        <w:ind w:firstLine="482" w:firstLineChars="200"/>
        <w:rPr>
          <w:rFonts w:hint="eastAsia" w:ascii="Calibri" w:hAnsi="Calibri" w:eastAsia="宋体" w:cs="Times New Roman"/>
          <w:b/>
          <w:bCs/>
          <w:color w:val="auto"/>
          <w:sz w:val="24"/>
          <w:szCs w:val="24"/>
          <w:highlight w:val="none"/>
          <w:lang w:val="en-US" w:eastAsia="zh-CN"/>
        </w:rPr>
      </w:pPr>
      <w:r>
        <w:rPr>
          <w:rFonts w:hint="eastAsia" w:ascii="Calibri" w:hAnsi="Calibri" w:eastAsia="宋体" w:cs="Times New Roman"/>
          <w:b/>
          <w:bCs/>
          <w:color w:val="auto"/>
          <w:sz w:val="24"/>
          <w:szCs w:val="24"/>
          <w:highlight w:val="none"/>
          <w:lang w:eastAsia="zh-CN"/>
        </w:rPr>
        <w:t>（</w:t>
      </w:r>
      <w:r>
        <w:rPr>
          <w:rFonts w:hint="eastAsia" w:ascii="Calibri" w:hAnsi="Calibri" w:eastAsia="宋体" w:cs="Times New Roman"/>
          <w:b/>
          <w:bCs/>
          <w:color w:val="auto"/>
          <w:sz w:val="24"/>
          <w:szCs w:val="24"/>
          <w:highlight w:val="none"/>
          <w:lang w:val="en-US" w:eastAsia="zh-CN"/>
        </w:rPr>
        <w:t>二</w:t>
      </w:r>
      <w:r>
        <w:rPr>
          <w:rFonts w:hint="eastAsia" w:ascii="Calibri" w:hAnsi="Calibri" w:eastAsia="宋体" w:cs="Times New Roman"/>
          <w:b/>
          <w:bCs/>
          <w:color w:val="auto"/>
          <w:sz w:val="24"/>
          <w:szCs w:val="24"/>
          <w:highlight w:val="none"/>
          <w:lang w:eastAsia="zh-CN"/>
        </w:rPr>
        <w:t>）</w:t>
      </w:r>
      <w:r>
        <w:rPr>
          <w:rFonts w:hint="eastAsia" w:ascii="Calibri" w:hAnsi="Calibri" w:eastAsia="宋体" w:cs="Times New Roman"/>
          <w:b/>
          <w:bCs/>
          <w:color w:val="auto"/>
          <w:sz w:val="24"/>
          <w:szCs w:val="24"/>
          <w:highlight w:val="none"/>
          <w:lang w:val="en-US" w:eastAsia="zh-CN"/>
        </w:rPr>
        <w:t>项目活动安排</w:t>
      </w:r>
    </w:p>
    <w:p w14:paraId="4A13D143">
      <w:pPr>
        <w:widowControl/>
        <w:spacing w:line="360" w:lineRule="auto"/>
        <w:ind w:firstLine="482" w:firstLineChars="200"/>
        <w:rPr>
          <w:rFonts w:hint="default"/>
          <w:b/>
          <w:bCs/>
          <w:lang w:val="en-US" w:eastAsia="zh-CN"/>
        </w:rPr>
      </w:pPr>
      <w:r>
        <w:rPr>
          <w:rFonts w:hint="eastAsia" w:ascii="Calibri" w:hAnsi="Calibri" w:eastAsia="宋体" w:cs="Times New Roman"/>
          <w:b/>
          <w:bCs/>
          <w:color w:val="auto"/>
          <w:sz w:val="24"/>
          <w:szCs w:val="24"/>
          <w:highlight w:val="none"/>
          <w:lang w:val="en-US" w:eastAsia="zh-CN"/>
        </w:rPr>
        <w:t>1、</w:t>
      </w:r>
      <w:r>
        <w:rPr>
          <w:rFonts w:hint="eastAsia" w:ascii="宋体" w:hAnsi="宋体" w:eastAsia="宋体" w:cs="宋体"/>
          <w:b/>
          <w:bCs/>
          <w:color w:val="auto"/>
          <w:szCs w:val="21"/>
          <w:highlight w:val="none"/>
          <w:lang w:val="en-US" w:eastAsia="zh-CN"/>
        </w:rPr>
        <w:t>2025嵊泗国际帆船赛新闻发布会</w:t>
      </w:r>
    </w:p>
    <w:p w14:paraId="1BFCB695">
      <w:pPr>
        <w:widowControl/>
        <w:spacing w:line="360" w:lineRule="auto"/>
        <w:ind w:firstLine="420" w:firstLineChars="200"/>
        <w:rPr>
          <w:rFonts w:hint="default" w:ascii="宋体" w:hAnsi="宋体" w:eastAsia="宋体" w:cs="宋体"/>
          <w:color w:val="000000"/>
          <w:sz w:val="21"/>
          <w:szCs w:val="21"/>
          <w:lang w:val="en-US" w:eastAsia="zh-CN"/>
        </w:rPr>
      </w:pPr>
      <w:r>
        <w:rPr>
          <w:rFonts w:hint="eastAsia" w:ascii="宋体" w:hAnsi="宋体" w:eastAsia="宋体" w:cs="宋体"/>
          <w:color w:val="000000"/>
          <w:sz w:val="21"/>
          <w:szCs w:val="21"/>
          <w:lang w:val="en-US" w:eastAsia="zh-CN"/>
        </w:rPr>
        <w:t>（1）时间：2025年5月，具体时间待定。</w:t>
      </w:r>
    </w:p>
    <w:p w14:paraId="1B110E37">
      <w:pPr>
        <w:widowControl/>
        <w:spacing w:line="360" w:lineRule="auto"/>
        <w:ind w:firstLine="420" w:firstLineChars="200"/>
        <w:rPr>
          <w:rFonts w:hint="default" w:ascii="宋体" w:hAnsi="宋体" w:eastAsia="宋体" w:cs="宋体"/>
          <w:color w:val="000000"/>
          <w:sz w:val="21"/>
          <w:szCs w:val="21"/>
          <w:lang w:val="en-US" w:eastAsia="zh-CN"/>
        </w:rPr>
      </w:pPr>
      <w:r>
        <w:rPr>
          <w:rFonts w:hint="eastAsia" w:ascii="宋体" w:hAnsi="宋体" w:eastAsia="宋体" w:cs="宋体"/>
          <w:color w:val="000000"/>
          <w:sz w:val="21"/>
          <w:szCs w:val="21"/>
          <w:lang w:val="en-US" w:eastAsia="zh-CN"/>
        </w:rPr>
        <w:t>（2）地点：杭州</w:t>
      </w:r>
    </w:p>
    <w:p w14:paraId="6F285A46">
      <w:pPr>
        <w:widowControl/>
        <w:spacing w:line="360" w:lineRule="auto"/>
        <w:ind w:firstLine="420" w:firstLineChars="200"/>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lang w:val="en-US" w:eastAsia="zh-CN"/>
        </w:rPr>
        <w:t>（3）参加人员：省、市、县相关单位领导及部门代表参加；10家媒体记者等，共约40人。</w:t>
      </w:r>
    </w:p>
    <w:p w14:paraId="2D6FC77D">
      <w:pPr>
        <w:widowControl/>
        <w:spacing w:line="360" w:lineRule="auto"/>
        <w:ind w:firstLine="420" w:firstLineChars="200"/>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lang w:val="en-US" w:eastAsia="zh-CN"/>
        </w:rPr>
        <w:t>（4）主要内容：2025嵊泗国际帆船赛相关情况介绍及答记者问等。</w:t>
      </w:r>
    </w:p>
    <w:p w14:paraId="420C4C06">
      <w:pPr>
        <w:widowControl/>
        <w:numPr>
          <w:ilvl w:val="0"/>
          <w:numId w:val="0"/>
        </w:numPr>
        <w:spacing w:line="360" w:lineRule="auto"/>
        <w:ind w:left="420" w:leftChars="0"/>
        <w:rPr>
          <w:rFonts w:hint="default" w:ascii="宋体" w:hAnsi="宋体" w:eastAsia="宋体" w:cs="宋体"/>
          <w:color w:val="000000"/>
          <w:kern w:val="2"/>
          <w:sz w:val="21"/>
          <w:szCs w:val="21"/>
          <w:lang w:val="en-US" w:eastAsia="zh-CN" w:bidi="ar-SA"/>
        </w:rPr>
      </w:pPr>
      <w:r>
        <w:rPr>
          <w:rFonts w:hint="eastAsia" w:ascii="宋体" w:hAnsi="宋体" w:eastAsia="宋体" w:cs="宋体"/>
          <w:color w:val="000000"/>
          <w:kern w:val="2"/>
          <w:sz w:val="21"/>
          <w:szCs w:val="21"/>
          <w:lang w:val="en-US" w:eastAsia="zh-CN" w:bidi="ar-SA"/>
        </w:rPr>
        <w:t>注：需定制新闻发布会具体实施方案。</w:t>
      </w:r>
    </w:p>
    <w:p w14:paraId="20822B87">
      <w:pPr>
        <w:widowControl/>
        <w:numPr>
          <w:ilvl w:val="0"/>
          <w:numId w:val="0"/>
        </w:numPr>
        <w:spacing w:line="360" w:lineRule="auto"/>
        <w:ind w:left="630" w:leftChars="0"/>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kern w:val="2"/>
          <w:sz w:val="21"/>
          <w:szCs w:val="21"/>
          <w:highlight w:val="none"/>
          <w:lang w:val="en-US" w:eastAsia="zh-CN" w:bidi="ar-SA"/>
        </w:rPr>
        <w:t>活动流程：</w:t>
      </w:r>
    </w:p>
    <w:p w14:paraId="250A4714">
      <w:pPr>
        <w:widowControl/>
        <w:numPr>
          <w:ilvl w:val="0"/>
          <w:numId w:val="0"/>
        </w:numPr>
        <w:spacing w:line="360" w:lineRule="auto"/>
        <w:ind w:left="630" w:leftChars="0"/>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·开场与介绍：主持人开场，介绍发布会背景、目的及参会嘉宾；对嵊泗国际帆船赛进行简短介绍。</w:t>
      </w:r>
    </w:p>
    <w:p w14:paraId="7C08D8CA">
      <w:pPr>
        <w:widowControl/>
        <w:numPr>
          <w:ilvl w:val="0"/>
          <w:numId w:val="0"/>
        </w:numPr>
        <w:spacing w:line="360" w:lineRule="auto"/>
        <w:ind w:left="630" w:leftChars="0"/>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·相关领导致辞。</w:t>
      </w:r>
    </w:p>
    <w:p w14:paraId="2846B68F">
      <w:pPr>
        <w:widowControl/>
        <w:numPr>
          <w:ilvl w:val="0"/>
          <w:numId w:val="0"/>
        </w:numPr>
        <w:spacing w:line="360" w:lineRule="auto"/>
        <w:ind w:left="630" w:leftChars="0"/>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·赛事情况介绍：由赛事主办方或相关负责人详细介绍首届嵊泗国际帆船赛的筹备情况、比赛规则、参赛队伍、比赛日程等。</w:t>
      </w:r>
    </w:p>
    <w:p w14:paraId="596DBBF2">
      <w:pPr>
        <w:widowControl/>
        <w:numPr>
          <w:ilvl w:val="0"/>
          <w:numId w:val="0"/>
        </w:numPr>
        <w:spacing w:line="360" w:lineRule="auto"/>
        <w:ind w:left="630" w:leftChars="0"/>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·媒体提问环节：主持人邀请</w:t>
      </w:r>
      <w:r>
        <w:rPr>
          <w:rFonts w:hint="eastAsia" w:ascii="宋体" w:hAnsi="宋体" w:cs="宋体"/>
          <w:color w:val="auto"/>
          <w:szCs w:val="21"/>
          <w:highlight w:val="none"/>
          <w:lang w:val="en-US" w:eastAsia="zh-CN"/>
        </w:rPr>
        <w:t>主流</w:t>
      </w:r>
      <w:r>
        <w:rPr>
          <w:rFonts w:hint="eastAsia" w:ascii="宋体" w:hAnsi="宋体" w:eastAsia="宋体" w:cs="宋体"/>
          <w:color w:val="auto"/>
          <w:szCs w:val="21"/>
          <w:highlight w:val="none"/>
          <w:lang w:val="en-US" w:eastAsia="zh-CN"/>
        </w:rPr>
        <w:t>媒体记者提问；嘉宾及赛事主办方针对记者提问进行回答，增进媒体对赛事的了解。</w:t>
      </w:r>
    </w:p>
    <w:p w14:paraId="7C778134">
      <w:pPr>
        <w:widowControl/>
        <w:numPr>
          <w:ilvl w:val="0"/>
          <w:numId w:val="0"/>
        </w:numPr>
        <w:spacing w:line="360" w:lineRule="auto"/>
        <w:ind w:left="630" w:leftChars="0"/>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·相关合作签约仪式。</w:t>
      </w:r>
    </w:p>
    <w:p w14:paraId="5092A6A3">
      <w:pPr>
        <w:widowControl/>
        <w:numPr>
          <w:ilvl w:val="0"/>
          <w:numId w:val="0"/>
        </w:numPr>
        <w:spacing w:line="360" w:lineRule="auto"/>
        <w:ind w:left="630" w:leftChars="0"/>
        <w:rPr>
          <w:rFonts w:hint="default" w:ascii="宋体" w:hAnsi="宋体" w:eastAsia="宋体" w:cs="宋体"/>
          <w:color w:val="auto"/>
          <w:szCs w:val="21"/>
          <w:highlight w:val="yellow"/>
          <w:lang w:val="en-US" w:eastAsia="zh-CN"/>
        </w:rPr>
      </w:pPr>
      <w:r>
        <w:rPr>
          <w:rFonts w:hint="eastAsia" w:ascii="宋体" w:hAnsi="宋体" w:eastAsia="宋体" w:cs="宋体"/>
          <w:color w:val="auto"/>
          <w:szCs w:val="21"/>
          <w:highlight w:val="none"/>
          <w:lang w:val="en-US" w:eastAsia="zh-CN"/>
        </w:rPr>
        <w:t>·主持人对发布会进行总结；宣布发布会结束。</w:t>
      </w:r>
    </w:p>
    <w:p w14:paraId="2070813B">
      <w:pPr>
        <w:widowControl/>
        <w:spacing w:line="360" w:lineRule="auto"/>
        <w:ind w:firstLine="482" w:firstLineChars="200"/>
        <w:rPr>
          <w:rFonts w:hint="eastAsia" w:ascii="宋体" w:hAnsi="宋体" w:eastAsia="宋体" w:cs="宋体"/>
          <w:b/>
          <w:bCs/>
          <w:color w:val="auto"/>
          <w:szCs w:val="21"/>
          <w:highlight w:val="none"/>
          <w:lang w:val="en-US" w:eastAsia="zh-CN"/>
        </w:rPr>
      </w:pPr>
      <w:r>
        <w:rPr>
          <w:rFonts w:hint="eastAsia" w:ascii="Calibri" w:hAnsi="Calibri" w:eastAsia="宋体" w:cs="Times New Roman"/>
          <w:b/>
          <w:bCs/>
          <w:color w:val="auto"/>
          <w:sz w:val="24"/>
          <w:szCs w:val="24"/>
          <w:highlight w:val="none"/>
          <w:lang w:val="en-US" w:eastAsia="zh-CN"/>
        </w:rPr>
        <w:t>2、</w:t>
      </w:r>
      <w:r>
        <w:rPr>
          <w:rFonts w:hint="eastAsia" w:ascii="宋体" w:hAnsi="宋体" w:eastAsia="宋体" w:cs="宋体"/>
          <w:b/>
          <w:bCs/>
          <w:color w:val="auto"/>
          <w:szCs w:val="21"/>
          <w:highlight w:val="none"/>
          <w:lang w:val="en-US" w:eastAsia="zh-CN"/>
        </w:rPr>
        <w:t>2025嵊泗国际帆船赛开幕式</w:t>
      </w:r>
    </w:p>
    <w:p w14:paraId="59483518">
      <w:pPr>
        <w:widowControl/>
        <w:numPr>
          <w:ilvl w:val="0"/>
          <w:numId w:val="0"/>
        </w:numPr>
        <w:spacing w:line="360" w:lineRule="auto"/>
        <w:ind w:left="630" w:leftChars="0"/>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（1）报到时间：第一天（相关会议）</w:t>
      </w:r>
    </w:p>
    <w:p w14:paraId="6D20602F">
      <w:pPr>
        <w:widowControl/>
        <w:numPr>
          <w:ilvl w:val="0"/>
          <w:numId w:val="0"/>
        </w:numPr>
        <w:spacing w:line="360" w:lineRule="auto"/>
        <w:ind w:left="630" w:leftChars="0"/>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（2）开幕式时间：第二天</w:t>
      </w:r>
    </w:p>
    <w:p w14:paraId="2361445D">
      <w:pPr>
        <w:widowControl/>
        <w:numPr>
          <w:ilvl w:val="0"/>
          <w:numId w:val="0"/>
        </w:numPr>
        <w:spacing w:line="360" w:lineRule="auto"/>
        <w:ind w:left="630" w:leftChars="0"/>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（3）赛事活动安排：第三天</w:t>
      </w:r>
    </w:p>
    <w:p w14:paraId="7E53C696">
      <w:pPr>
        <w:widowControl/>
        <w:numPr>
          <w:ilvl w:val="0"/>
          <w:numId w:val="0"/>
        </w:numPr>
        <w:spacing w:line="360" w:lineRule="auto"/>
        <w:ind w:left="630" w:leftChars="0"/>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（4）离会</w:t>
      </w:r>
      <w:r>
        <w:rPr>
          <w:rFonts w:hint="eastAsia" w:ascii="宋体" w:hAnsi="宋体" w:cs="宋体"/>
          <w:color w:val="auto"/>
          <w:szCs w:val="21"/>
          <w:highlight w:val="none"/>
          <w:lang w:val="en-US" w:eastAsia="zh-CN"/>
        </w:rPr>
        <w:t>安排</w:t>
      </w:r>
      <w:r>
        <w:rPr>
          <w:rFonts w:hint="eastAsia" w:ascii="宋体" w:hAnsi="宋体" w:eastAsia="宋体" w:cs="宋体"/>
          <w:color w:val="auto"/>
          <w:szCs w:val="21"/>
          <w:highlight w:val="none"/>
          <w:lang w:val="en-US" w:eastAsia="zh-CN"/>
        </w:rPr>
        <w:t>：第四天</w:t>
      </w:r>
    </w:p>
    <w:p w14:paraId="05558320">
      <w:pPr>
        <w:pStyle w:val="2"/>
        <w:spacing w:line="360" w:lineRule="auto"/>
        <w:ind w:firstLine="630" w:firstLineChars="300"/>
        <w:rPr>
          <w:rFonts w:hint="default" w:ascii="宋体" w:hAnsi="宋体" w:cs="宋体"/>
          <w:b w:val="0"/>
          <w:bCs w:val="0"/>
          <w:color w:val="auto"/>
          <w:szCs w:val="21"/>
          <w:highlight w:val="none"/>
          <w:lang w:val="en-US" w:eastAsia="zh-CN"/>
        </w:rPr>
      </w:pPr>
      <w:r>
        <w:rPr>
          <w:rFonts w:hint="eastAsia" w:ascii="宋体" w:hAnsi="宋体" w:cs="宋体"/>
          <w:b w:val="0"/>
          <w:bCs w:val="0"/>
          <w:color w:val="auto"/>
          <w:szCs w:val="21"/>
          <w:highlight w:val="none"/>
          <w:lang w:val="en-US" w:eastAsia="zh-CN"/>
        </w:rPr>
        <w:t>（5）地点：(供应商根据整体活动方案策划设计)</w:t>
      </w:r>
    </w:p>
    <w:p w14:paraId="116F1371">
      <w:pPr>
        <w:pStyle w:val="2"/>
        <w:spacing w:line="360" w:lineRule="auto"/>
        <w:ind w:firstLine="630" w:firstLineChars="300"/>
        <w:rPr>
          <w:rFonts w:hint="default" w:ascii="宋体" w:hAnsi="宋体" w:cs="宋体"/>
          <w:b w:val="0"/>
          <w:bCs w:val="0"/>
          <w:color w:val="auto"/>
          <w:szCs w:val="21"/>
          <w:highlight w:val="none"/>
          <w:lang w:val="en-US" w:eastAsia="zh-CN"/>
        </w:rPr>
      </w:pPr>
      <w:r>
        <w:rPr>
          <w:rFonts w:hint="eastAsia" w:ascii="宋体" w:hAnsi="宋体" w:cs="宋体"/>
          <w:b w:val="0"/>
          <w:bCs w:val="0"/>
          <w:color w:val="auto"/>
          <w:szCs w:val="21"/>
          <w:highlight w:val="none"/>
          <w:lang w:val="en-US" w:eastAsia="zh-CN"/>
        </w:rPr>
        <w:t>（6）参加人员：省、市、县、协会等相关单位领导，参赛运动员、裁判员、相关协会代表、帆船俱乐部代表、重要企业代表、主流媒体等。</w:t>
      </w:r>
    </w:p>
    <w:p w14:paraId="371EE1C7">
      <w:pPr>
        <w:pStyle w:val="2"/>
        <w:spacing w:line="360" w:lineRule="auto"/>
        <w:ind w:firstLine="630" w:firstLineChars="300"/>
        <w:rPr>
          <w:rFonts w:hint="default" w:ascii="宋体" w:hAnsi="宋体" w:cs="宋体"/>
          <w:b w:val="0"/>
          <w:bCs w:val="0"/>
          <w:color w:val="auto"/>
          <w:szCs w:val="21"/>
          <w:highlight w:val="none"/>
          <w:lang w:val="en-US" w:eastAsia="zh-CN"/>
        </w:rPr>
      </w:pPr>
      <w:r>
        <w:rPr>
          <w:rFonts w:hint="eastAsia" w:ascii="宋体" w:hAnsi="宋体" w:cs="宋体"/>
          <w:b w:val="0"/>
          <w:bCs w:val="0"/>
          <w:color w:val="auto"/>
          <w:szCs w:val="21"/>
          <w:highlight w:val="none"/>
          <w:lang w:val="en-US" w:eastAsia="zh-CN"/>
        </w:rPr>
        <w:t>（7）主要内容：举办开幕式并邀请相关领导出席并讲话，以及开幕式相关议程。</w:t>
      </w:r>
    </w:p>
    <w:p w14:paraId="3789A111">
      <w:pPr>
        <w:spacing w:line="360" w:lineRule="auto"/>
        <w:ind w:firstLine="630" w:firstLineChars="300"/>
        <w:rPr>
          <w:rFonts w:hint="eastAsia" w:ascii="宋体" w:hAnsi="宋体" w:eastAsia="宋体" w:cs="宋体"/>
          <w:color w:val="000000"/>
          <w:kern w:val="2"/>
          <w:sz w:val="21"/>
          <w:szCs w:val="21"/>
          <w:lang w:val="en-US" w:eastAsia="zh-CN" w:bidi="ar-SA"/>
        </w:rPr>
      </w:pPr>
      <w:r>
        <w:rPr>
          <w:rFonts w:hint="eastAsia" w:ascii="宋体" w:hAnsi="宋体" w:eastAsia="宋体" w:cs="宋体"/>
          <w:color w:val="000000"/>
          <w:kern w:val="2"/>
          <w:sz w:val="21"/>
          <w:szCs w:val="21"/>
          <w:lang w:val="en-US" w:eastAsia="zh-CN" w:bidi="ar-SA"/>
        </w:rPr>
        <w:t>议程：</w:t>
      </w:r>
    </w:p>
    <w:p w14:paraId="621595D8">
      <w:pPr>
        <w:spacing w:line="360" w:lineRule="auto"/>
        <w:ind w:firstLine="630" w:firstLineChars="300"/>
        <w:rPr>
          <w:rFonts w:hint="default" w:ascii="宋体" w:hAnsi="宋体" w:eastAsia="宋体" w:cs="宋体"/>
          <w:color w:val="000000"/>
          <w:kern w:val="2"/>
          <w:sz w:val="21"/>
          <w:szCs w:val="21"/>
          <w:lang w:val="en-US" w:eastAsia="zh-CN" w:bidi="ar-SA"/>
        </w:rPr>
      </w:pPr>
      <w:r>
        <w:rPr>
          <w:rFonts w:hint="default" w:ascii="宋体" w:hAnsi="宋体" w:eastAsia="宋体" w:cs="宋体"/>
          <w:color w:val="000000"/>
          <w:kern w:val="2"/>
          <w:sz w:val="21"/>
          <w:szCs w:val="21"/>
          <w:lang w:val="en-US" w:eastAsia="zh-CN" w:bidi="ar-SA"/>
        </w:rPr>
        <w:t>·节目开场表演</w:t>
      </w:r>
    </w:p>
    <w:p w14:paraId="55AA2913">
      <w:pPr>
        <w:spacing w:line="360" w:lineRule="auto"/>
        <w:ind w:firstLine="630" w:firstLineChars="300"/>
        <w:rPr>
          <w:rFonts w:hint="default" w:ascii="宋体" w:hAnsi="宋体" w:eastAsia="宋体" w:cs="宋体"/>
          <w:color w:val="000000"/>
          <w:kern w:val="2"/>
          <w:sz w:val="21"/>
          <w:szCs w:val="21"/>
          <w:lang w:val="en-US" w:eastAsia="zh-CN" w:bidi="ar-SA"/>
        </w:rPr>
      </w:pPr>
      <w:r>
        <w:rPr>
          <w:rFonts w:hint="default" w:ascii="宋体" w:hAnsi="宋体" w:eastAsia="宋体" w:cs="宋体"/>
          <w:color w:val="000000"/>
          <w:kern w:val="2"/>
          <w:sz w:val="21"/>
          <w:szCs w:val="21"/>
          <w:lang w:val="en-US" w:eastAsia="zh-CN" w:bidi="ar-SA"/>
        </w:rPr>
        <w:t>·领导致辞环节</w:t>
      </w:r>
      <w:r>
        <w:rPr>
          <w:rFonts w:hint="eastAsia" w:ascii="宋体" w:hAnsi="宋体" w:eastAsia="宋体" w:cs="宋体"/>
          <w:color w:val="000000"/>
          <w:kern w:val="2"/>
          <w:sz w:val="21"/>
          <w:szCs w:val="21"/>
          <w:lang w:val="en-US" w:eastAsia="zh-CN" w:bidi="ar-SA"/>
        </w:rPr>
        <w:t>：</w:t>
      </w:r>
      <w:r>
        <w:rPr>
          <w:rFonts w:hint="default" w:ascii="宋体" w:hAnsi="宋体" w:eastAsia="宋体" w:cs="宋体"/>
          <w:color w:val="000000"/>
          <w:kern w:val="2"/>
          <w:sz w:val="21"/>
          <w:szCs w:val="21"/>
          <w:lang w:val="en-US" w:eastAsia="zh-CN" w:bidi="ar-SA"/>
        </w:rPr>
        <w:t xml:space="preserve"> 省、市、县相关领导致辞</w:t>
      </w:r>
      <w:r>
        <w:rPr>
          <w:rFonts w:hint="eastAsia" w:ascii="宋体" w:hAnsi="宋体" w:eastAsia="宋体" w:cs="宋体"/>
          <w:color w:val="000000"/>
          <w:kern w:val="2"/>
          <w:sz w:val="21"/>
          <w:szCs w:val="21"/>
          <w:lang w:val="en-US" w:eastAsia="zh-CN" w:bidi="ar-SA"/>
        </w:rPr>
        <w:t>；</w:t>
      </w:r>
      <w:r>
        <w:rPr>
          <w:rFonts w:hint="default" w:ascii="宋体" w:hAnsi="宋体" w:eastAsia="宋体" w:cs="宋体"/>
          <w:color w:val="000000"/>
          <w:kern w:val="2"/>
          <w:sz w:val="21"/>
          <w:szCs w:val="21"/>
          <w:lang w:val="en-US" w:eastAsia="zh-CN" w:bidi="ar-SA"/>
        </w:rPr>
        <w:t xml:space="preserve"> </w:t>
      </w:r>
    </w:p>
    <w:p w14:paraId="2C02BAE5">
      <w:pPr>
        <w:spacing w:line="360" w:lineRule="auto"/>
        <w:ind w:firstLine="630" w:firstLineChars="300"/>
        <w:rPr>
          <w:rFonts w:hint="default" w:ascii="宋体" w:hAnsi="宋体" w:eastAsia="宋体" w:cs="宋体"/>
          <w:color w:val="000000"/>
          <w:kern w:val="2"/>
          <w:sz w:val="21"/>
          <w:szCs w:val="21"/>
          <w:lang w:val="en-US" w:eastAsia="zh-CN" w:bidi="ar-SA"/>
        </w:rPr>
      </w:pPr>
      <w:r>
        <w:rPr>
          <w:rFonts w:hint="default" w:ascii="宋体" w:hAnsi="宋体" w:eastAsia="宋体" w:cs="宋体"/>
          <w:color w:val="000000"/>
          <w:kern w:val="2"/>
          <w:sz w:val="21"/>
          <w:szCs w:val="21"/>
          <w:lang w:val="en-US" w:eastAsia="zh-CN" w:bidi="ar-SA"/>
        </w:rPr>
        <w:t>·播放助力打call视频</w:t>
      </w:r>
    </w:p>
    <w:p w14:paraId="30F282EB">
      <w:pPr>
        <w:spacing w:line="360" w:lineRule="auto"/>
        <w:ind w:firstLine="630" w:firstLineChars="300"/>
        <w:rPr>
          <w:rFonts w:hint="default" w:ascii="宋体" w:hAnsi="宋体" w:eastAsia="宋体" w:cs="宋体"/>
          <w:color w:val="000000"/>
          <w:kern w:val="2"/>
          <w:sz w:val="21"/>
          <w:szCs w:val="21"/>
          <w:lang w:val="en-US" w:eastAsia="zh-CN" w:bidi="ar-SA"/>
        </w:rPr>
      </w:pPr>
      <w:r>
        <w:rPr>
          <w:rFonts w:hint="default" w:ascii="宋体" w:hAnsi="宋体" w:eastAsia="宋体" w:cs="宋体"/>
          <w:color w:val="000000"/>
          <w:kern w:val="2"/>
          <w:sz w:val="21"/>
          <w:szCs w:val="21"/>
          <w:lang w:val="en-US" w:eastAsia="zh-CN" w:bidi="ar-SA"/>
        </w:rPr>
        <w:t>·中国各省市帆船协会、俱乐部助力</w:t>
      </w:r>
      <w:r>
        <w:rPr>
          <w:rFonts w:hint="eastAsia" w:ascii="宋体" w:hAnsi="宋体" w:eastAsia="宋体" w:cs="宋体"/>
          <w:color w:val="000000"/>
          <w:kern w:val="2"/>
          <w:sz w:val="21"/>
          <w:szCs w:val="21"/>
          <w:lang w:val="en-US" w:eastAsia="zh-CN" w:bidi="ar-SA"/>
        </w:rPr>
        <w:t>嵊泗</w:t>
      </w:r>
      <w:r>
        <w:rPr>
          <w:rFonts w:hint="default" w:ascii="宋体" w:hAnsi="宋体" w:eastAsia="宋体" w:cs="宋体"/>
          <w:color w:val="000000"/>
          <w:kern w:val="2"/>
          <w:sz w:val="21"/>
          <w:szCs w:val="21"/>
          <w:lang w:val="en-US" w:eastAsia="zh-CN" w:bidi="ar-SA"/>
        </w:rPr>
        <w:t>帆船赛</w:t>
      </w:r>
    </w:p>
    <w:p w14:paraId="1EDD136D">
      <w:pPr>
        <w:spacing w:line="360" w:lineRule="auto"/>
        <w:ind w:firstLine="630" w:firstLineChars="300"/>
        <w:rPr>
          <w:rFonts w:hint="default" w:ascii="宋体" w:hAnsi="宋体" w:eastAsia="宋体" w:cs="宋体"/>
          <w:color w:val="000000"/>
          <w:kern w:val="2"/>
          <w:sz w:val="21"/>
          <w:szCs w:val="21"/>
          <w:lang w:val="en-US" w:eastAsia="zh-CN" w:bidi="ar-SA"/>
        </w:rPr>
      </w:pPr>
      <w:r>
        <w:rPr>
          <w:rFonts w:hint="default" w:ascii="宋体" w:hAnsi="宋体" w:eastAsia="宋体" w:cs="宋体"/>
          <w:color w:val="000000"/>
          <w:kern w:val="2"/>
          <w:sz w:val="21"/>
          <w:szCs w:val="21"/>
          <w:lang w:val="en-US" w:eastAsia="zh-CN" w:bidi="ar-SA"/>
        </w:rPr>
        <w:t>·运动员、裁判员宣誓</w:t>
      </w:r>
    </w:p>
    <w:p w14:paraId="4961D7F1">
      <w:pPr>
        <w:spacing w:line="360" w:lineRule="auto"/>
        <w:ind w:firstLine="630" w:firstLineChars="300"/>
        <w:rPr>
          <w:rFonts w:hint="default" w:ascii="宋体" w:hAnsi="宋体" w:eastAsia="宋体" w:cs="宋体"/>
          <w:color w:val="000000"/>
          <w:kern w:val="2"/>
          <w:sz w:val="21"/>
          <w:szCs w:val="21"/>
          <w:lang w:val="en-US" w:eastAsia="zh-CN" w:bidi="ar-SA"/>
        </w:rPr>
      </w:pPr>
      <w:r>
        <w:rPr>
          <w:rFonts w:hint="default" w:ascii="宋体" w:hAnsi="宋体" w:eastAsia="宋体" w:cs="宋体"/>
          <w:color w:val="000000"/>
          <w:kern w:val="2"/>
          <w:sz w:val="21"/>
          <w:szCs w:val="21"/>
          <w:lang w:val="en-US" w:eastAsia="zh-CN" w:bidi="ar-SA"/>
        </w:rPr>
        <w:t>·领导上台启动嵊泗国际帆船赛</w:t>
      </w:r>
    </w:p>
    <w:p w14:paraId="1651C5D3">
      <w:pPr>
        <w:widowControl/>
        <w:numPr>
          <w:ilvl w:val="0"/>
          <w:numId w:val="0"/>
        </w:numPr>
        <w:spacing w:line="360" w:lineRule="auto"/>
        <w:ind w:left="420" w:leftChars="0"/>
        <w:rPr>
          <w:rFonts w:hint="default" w:ascii="宋体" w:hAnsi="宋体" w:eastAsia="宋体" w:cs="宋体"/>
          <w:b/>
          <w:bCs/>
          <w:color w:val="auto"/>
          <w:szCs w:val="21"/>
          <w:highlight w:val="none"/>
          <w:lang w:val="en-US" w:eastAsia="zh-CN"/>
        </w:rPr>
      </w:pPr>
      <w:r>
        <w:rPr>
          <w:rFonts w:hint="eastAsia" w:ascii="宋体" w:hAnsi="宋体" w:cs="宋体"/>
          <w:b/>
          <w:bCs/>
          <w:color w:val="auto"/>
          <w:szCs w:val="21"/>
          <w:highlight w:val="none"/>
          <w:lang w:val="en-US" w:eastAsia="zh-CN"/>
        </w:rPr>
        <w:t>3、</w:t>
      </w:r>
      <w:r>
        <w:rPr>
          <w:rFonts w:hint="eastAsia" w:ascii="宋体" w:hAnsi="宋体" w:eastAsia="宋体" w:cs="宋体"/>
          <w:b/>
          <w:bCs/>
          <w:color w:val="auto"/>
          <w:szCs w:val="21"/>
          <w:highlight w:val="none"/>
          <w:lang w:val="en-US" w:eastAsia="zh-CN"/>
        </w:rPr>
        <w:t>2025嵊泗国际帆船赛情况</w:t>
      </w:r>
    </w:p>
    <w:p w14:paraId="5CF7A2AE">
      <w:pPr>
        <w:widowControl/>
        <w:numPr>
          <w:ilvl w:val="0"/>
          <w:numId w:val="8"/>
        </w:numPr>
        <w:spacing w:line="360" w:lineRule="auto"/>
        <w:ind w:left="420" w:leftChars="0" w:firstLineChars="0"/>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赛事概况</w:t>
      </w:r>
    </w:p>
    <w:p w14:paraId="66F95170">
      <w:pPr>
        <w:widowControl/>
        <w:numPr>
          <w:ilvl w:val="1"/>
          <w:numId w:val="8"/>
        </w:numPr>
        <w:spacing w:line="360" w:lineRule="auto"/>
        <w:ind w:left="1050" w:leftChars="0" w:hanging="420" w:firstLineChars="0"/>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比赛项目：设拉力赛和场地赛。</w:t>
      </w:r>
    </w:p>
    <w:p w14:paraId="4683C48B">
      <w:pPr>
        <w:widowControl/>
        <w:numPr>
          <w:ilvl w:val="1"/>
          <w:numId w:val="8"/>
        </w:numPr>
        <w:spacing w:line="360" w:lineRule="auto"/>
        <w:ind w:left="1050" w:leftChars="0" w:hanging="420" w:firstLineChars="0"/>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比赛用船：J80级别高水平龙骨帆船，至少</w:t>
      </w:r>
      <w:r>
        <w:rPr>
          <w:rFonts w:hint="eastAsia" w:ascii="宋体" w:hAnsi="宋体" w:cs="宋体"/>
          <w:color w:val="auto"/>
          <w:szCs w:val="21"/>
          <w:highlight w:val="none"/>
          <w:lang w:val="en-US" w:eastAsia="zh-CN"/>
        </w:rPr>
        <w:t>20</w:t>
      </w:r>
      <w:r>
        <w:rPr>
          <w:rFonts w:hint="eastAsia" w:ascii="宋体" w:hAnsi="宋体" w:eastAsia="宋体" w:cs="宋体"/>
          <w:color w:val="auto"/>
          <w:szCs w:val="21"/>
          <w:highlight w:val="none"/>
          <w:lang w:val="en-US" w:eastAsia="zh-CN"/>
        </w:rPr>
        <w:t>艘。</w:t>
      </w:r>
    </w:p>
    <w:p w14:paraId="1DAE3C86">
      <w:pPr>
        <w:widowControl/>
        <w:numPr>
          <w:ilvl w:val="1"/>
          <w:numId w:val="8"/>
        </w:numPr>
        <w:spacing w:line="360" w:lineRule="auto"/>
        <w:ind w:left="1050" w:leftChars="0" w:hanging="420" w:firstLineChars="0"/>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邀请赛队：至少邀请</w:t>
      </w:r>
      <w:r>
        <w:rPr>
          <w:rFonts w:hint="eastAsia" w:ascii="宋体" w:hAnsi="宋体" w:cs="宋体"/>
          <w:color w:val="auto"/>
          <w:szCs w:val="21"/>
          <w:highlight w:val="none"/>
          <w:lang w:val="en-US" w:eastAsia="zh-CN"/>
        </w:rPr>
        <w:t>20</w:t>
      </w:r>
      <w:r>
        <w:rPr>
          <w:rFonts w:hint="eastAsia" w:ascii="宋体" w:hAnsi="宋体" w:eastAsia="宋体" w:cs="宋体"/>
          <w:color w:val="auto"/>
          <w:szCs w:val="21"/>
          <w:highlight w:val="none"/>
          <w:lang w:val="en-US" w:eastAsia="zh-CN"/>
        </w:rPr>
        <w:t>支赛队，约130人，赛队中要有2支以上国际赛队。</w:t>
      </w:r>
    </w:p>
    <w:p w14:paraId="4C52B929">
      <w:pPr>
        <w:widowControl/>
        <w:numPr>
          <w:ilvl w:val="1"/>
          <w:numId w:val="8"/>
        </w:numPr>
        <w:spacing w:line="360" w:lineRule="auto"/>
        <w:ind w:left="1050" w:leftChars="0" w:hanging="420" w:firstLineChars="0"/>
        <w:rPr>
          <w:rFonts w:hint="eastAsia"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竞</w:t>
      </w:r>
      <w:r>
        <w:rPr>
          <w:rFonts w:hint="eastAsia" w:ascii="宋体" w:hAnsi="宋体" w:eastAsia="宋体" w:cs="宋体"/>
          <w:color w:val="auto"/>
          <w:szCs w:val="21"/>
          <w:highlight w:val="none"/>
          <w:lang w:val="en-US" w:eastAsia="zh-CN"/>
        </w:rPr>
        <w:t>赛组：按照国际帆船赛标准聘请裁判长、裁判员、技术代表，成立禁赛委员会。</w:t>
      </w:r>
    </w:p>
    <w:p w14:paraId="04504E4D">
      <w:pPr>
        <w:widowControl/>
        <w:numPr>
          <w:ilvl w:val="1"/>
          <w:numId w:val="8"/>
        </w:numPr>
        <w:spacing w:line="360" w:lineRule="auto"/>
        <w:ind w:left="1050" w:leftChars="0" w:hanging="420" w:firstLineChars="0"/>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配套保障船：10艘（含安全保障船，裁判船、巡逻船等</w:t>
      </w:r>
      <w:r>
        <w:rPr>
          <w:rFonts w:hint="eastAsia" w:ascii="宋体" w:hAnsi="宋体" w:cs="宋体"/>
          <w:color w:val="auto"/>
          <w:szCs w:val="21"/>
          <w:highlight w:val="none"/>
          <w:lang w:val="en-US" w:eastAsia="zh-CN"/>
        </w:rPr>
        <w:t>船支</w:t>
      </w:r>
      <w:r>
        <w:rPr>
          <w:rFonts w:hint="eastAsia" w:ascii="宋体" w:hAnsi="宋体" w:eastAsia="宋体" w:cs="宋体"/>
          <w:color w:val="auto"/>
          <w:szCs w:val="21"/>
          <w:highlight w:val="none"/>
          <w:lang w:val="en-US" w:eastAsia="zh-CN"/>
        </w:rPr>
        <w:t>）</w:t>
      </w:r>
    </w:p>
    <w:p w14:paraId="61F4B08B">
      <w:pPr>
        <w:widowControl/>
        <w:numPr>
          <w:ilvl w:val="0"/>
          <w:numId w:val="8"/>
        </w:numPr>
        <w:spacing w:line="360" w:lineRule="auto"/>
        <w:ind w:left="420" w:leftChars="0" w:firstLineChars="0"/>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赛事情况</w:t>
      </w:r>
    </w:p>
    <w:p w14:paraId="55FCAEE5">
      <w:pPr>
        <w:widowControl/>
        <w:numPr>
          <w:numId w:val="0"/>
        </w:numPr>
        <w:spacing w:line="360" w:lineRule="auto"/>
        <w:ind w:left="630" w:leftChars="0"/>
        <w:rPr>
          <w:rFonts w:hint="default" w:ascii="宋体" w:hAnsi="宋体" w:eastAsia="宋体" w:cs="宋体"/>
          <w:color w:val="auto"/>
          <w:szCs w:val="21"/>
          <w:highlight w:val="none"/>
          <w:lang w:val="en-US" w:eastAsia="zh-CN"/>
        </w:rPr>
      </w:pPr>
      <w:r>
        <w:rPr>
          <w:rFonts w:hint="default" w:ascii="Calibri" w:hAnsi="Calibri" w:eastAsia="宋体" w:cs="Calibri"/>
          <w:color w:val="auto"/>
          <w:szCs w:val="21"/>
          <w:highlight w:val="none"/>
          <w:lang w:val="en-US" w:eastAsia="zh-CN"/>
        </w:rPr>
        <w:t>①</w:t>
      </w:r>
      <w:r>
        <w:rPr>
          <w:rFonts w:hint="default" w:ascii="宋体" w:hAnsi="宋体" w:eastAsia="宋体" w:cs="宋体"/>
          <w:color w:val="auto"/>
          <w:szCs w:val="21"/>
          <w:highlight w:val="none"/>
          <w:lang w:val="en-US" w:eastAsia="zh-CN"/>
        </w:rPr>
        <w:t>赛事时间：</w:t>
      </w:r>
      <w:r>
        <w:rPr>
          <w:rFonts w:hint="eastAsia" w:ascii="宋体" w:hAnsi="宋体" w:cs="宋体"/>
          <w:color w:val="auto"/>
          <w:szCs w:val="21"/>
          <w:highlight w:val="none"/>
          <w:lang w:val="en-US" w:eastAsia="zh-CN"/>
        </w:rPr>
        <w:t>3天</w:t>
      </w:r>
      <w:r>
        <w:rPr>
          <w:rFonts w:hint="default" w:ascii="宋体" w:hAnsi="宋体" w:eastAsia="宋体" w:cs="宋体"/>
          <w:color w:val="auto"/>
          <w:szCs w:val="21"/>
          <w:highlight w:val="none"/>
          <w:lang w:val="en-US" w:eastAsia="zh-CN"/>
        </w:rPr>
        <w:t>，按照国际帆船赛规格策划、设计、举办</w:t>
      </w:r>
      <w:r>
        <w:rPr>
          <w:rFonts w:hint="eastAsia" w:ascii="宋体" w:hAnsi="宋体" w:cs="宋体"/>
          <w:color w:val="auto"/>
          <w:szCs w:val="21"/>
          <w:highlight w:val="none"/>
          <w:lang w:val="en-US" w:eastAsia="zh-CN"/>
        </w:rPr>
        <w:t>场地赛和</w:t>
      </w:r>
      <w:r>
        <w:rPr>
          <w:rFonts w:hint="default" w:ascii="宋体" w:hAnsi="宋体" w:eastAsia="宋体" w:cs="宋体"/>
          <w:color w:val="auto"/>
          <w:szCs w:val="21"/>
          <w:highlight w:val="none"/>
          <w:lang w:val="en-US" w:eastAsia="zh-CN"/>
        </w:rPr>
        <w:t>跳岛拉力赛</w:t>
      </w:r>
      <w:r>
        <w:rPr>
          <w:rFonts w:hint="default" w:ascii="宋体" w:hAnsi="宋体" w:eastAsia="宋体" w:cs="宋体"/>
          <w:b w:val="0"/>
          <w:bCs w:val="0"/>
          <w:color w:val="auto"/>
          <w:sz w:val="21"/>
          <w:szCs w:val="21"/>
          <w:highlight w:val="none"/>
          <w:lang w:val="en-US" w:eastAsia="zh-CN"/>
        </w:rPr>
        <w:t>。</w:t>
      </w:r>
    </w:p>
    <w:p w14:paraId="19F273C0">
      <w:pPr>
        <w:widowControl/>
        <w:numPr>
          <w:numId w:val="0"/>
        </w:numPr>
        <w:spacing w:line="360" w:lineRule="auto"/>
        <w:ind w:left="630" w:leftChars="0"/>
        <w:rPr>
          <w:rFonts w:hint="default" w:ascii="宋体" w:hAnsi="宋体" w:eastAsia="宋体" w:cs="宋体"/>
          <w:color w:val="auto"/>
          <w:szCs w:val="21"/>
          <w:highlight w:val="none"/>
          <w:lang w:val="en-US" w:eastAsia="zh-CN"/>
        </w:rPr>
      </w:pPr>
      <w:r>
        <w:rPr>
          <w:rFonts w:hint="default" w:ascii="Calibri" w:hAnsi="Calibri" w:eastAsia="宋体" w:cs="Calibri"/>
          <w:color w:val="auto"/>
          <w:szCs w:val="21"/>
          <w:highlight w:val="none"/>
          <w:lang w:val="en-US" w:eastAsia="zh-CN"/>
        </w:rPr>
        <w:t>②</w:t>
      </w:r>
      <w:r>
        <w:rPr>
          <w:rFonts w:hint="default" w:ascii="宋体" w:hAnsi="宋体" w:eastAsia="宋体" w:cs="宋体"/>
          <w:color w:val="auto"/>
          <w:szCs w:val="21"/>
          <w:highlight w:val="none"/>
          <w:lang w:val="en-US" w:eastAsia="zh-CN"/>
        </w:rPr>
        <w:t>赛事地点：</w:t>
      </w:r>
      <w:r>
        <w:rPr>
          <w:rFonts w:hint="eastAsia" w:ascii="宋体" w:hAnsi="宋体" w:eastAsia="宋体" w:cs="宋体"/>
          <w:color w:val="auto"/>
          <w:szCs w:val="21"/>
          <w:highlight w:val="none"/>
          <w:lang w:val="en-US" w:eastAsia="zh-CN"/>
        </w:rPr>
        <w:t>嵊泗</w:t>
      </w:r>
    </w:p>
    <w:p w14:paraId="19AA5B36">
      <w:pPr>
        <w:widowControl/>
        <w:numPr>
          <w:numId w:val="0"/>
        </w:numPr>
        <w:spacing w:line="360" w:lineRule="auto"/>
        <w:ind w:left="630" w:leftChars="0"/>
        <w:rPr>
          <w:rFonts w:hint="default" w:ascii="宋体" w:hAnsi="宋体" w:eastAsia="宋体" w:cs="宋体"/>
          <w:color w:val="auto"/>
          <w:szCs w:val="21"/>
          <w:highlight w:val="none"/>
          <w:lang w:val="en-US" w:eastAsia="zh-CN"/>
        </w:rPr>
      </w:pPr>
      <w:r>
        <w:rPr>
          <w:rFonts w:hint="default" w:ascii="Calibri" w:hAnsi="Calibri" w:eastAsia="宋体" w:cs="Calibri"/>
          <w:color w:val="auto"/>
          <w:szCs w:val="21"/>
          <w:highlight w:val="none"/>
          <w:lang w:val="en-US" w:eastAsia="zh-CN"/>
        </w:rPr>
        <w:t>③</w:t>
      </w:r>
      <w:r>
        <w:rPr>
          <w:rFonts w:hint="eastAsia" w:ascii="宋体" w:hAnsi="宋体" w:eastAsia="宋体" w:cs="宋体"/>
          <w:color w:val="auto"/>
          <w:szCs w:val="21"/>
          <w:highlight w:val="none"/>
          <w:lang w:val="en-US" w:eastAsia="zh-CN"/>
        </w:rPr>
        <w:t>赛事航线：</w:t>
      </w:r>
      <w:r>
        <w:rPr>
          <w:rFonts w:hint="default" w:ascii="宋体" w:hAnsi="宋体" w:eastAsia="宋体" w:cs="宋体"/>
          <w:color w:val="auto"/>
          <w:szCs w:val="21"/>
          <w:highlight w:val="none"/>
          <w:lang w:val="en-US" w:eastAsia="zh-CN"/>
        </w:rPr>
        <w:t>供应商根</w:t>
      </w:r>
      <w:r>
        <w:rPr>
          <w:rFonts w:hint="eastAsia" w:ascii="宋体" w:hAnsi="宋体" w:eastAsia="宋体" w:cs="宋体"/>
          <w:color w:val="auto"/>
          <w:szCs w:val="21"/>
          <w:highlight w:val="none"/>
          <w:lang w:val="en-US" w:eastAsia="zh-CN"/>
        </w:rPr>
        <w:t>据整体活动方案策划设计海岛拉力赛赛程及航线</w:t>
      </w:r>
      <w:r>
        <w:rPr>
          <w:rFonts w:hint="eastAsia" w:ascii="宋体" w:hAnsi="宋体" w:cs="宋体"/>
          <w:color w:val="auto"/>
          <w:szCs w:val="21"/>
          <w:highlight w:val="none"/>
          <w:lang w:val="en-US" w:eastAsia="zh-CN"/>
        </w:rPr>
        <w:t>。</w:t>
      </w:r>
    </w:p>
    <w:p w14:paraId="47BFAB33">
      <w:pPr>
        <w:widowControl/>
        <w:numPr>
          <w:numId w:val="0"/>
        </w:numPr>
        <w:spacing w:line="360" w:lineRule="auto"/>
        <w:ind w:left="630" w:leftChars="0"/>
        <w:rPr>
          <w:rFonts w:hint="default" w:ascii="宋体" w:hAnsi="宋体" w:eastAsia="宋体" w:cs="宋体"/>
          <w:b/>
          <w:bCs/>
          <w:color w:val="auto"/>
          <w:szCs w:val="21"/>
          <w:highlight w:val="none"/>
          <w:lang w:val="en-US" w:eastAsia="zh-CN"/>
        </w:rPr>
      </w:pPr>
      <w:r>
        <w:rPr>
          <w:rFonts w:hint="eastAsia" w:ascii="宋体" w:hAnsi="宋体" w:cs="宋体"/>
          <w:b/>
          <w:bCs/>
          <w:color w:val="auto"/>
          <w:szCs w:val="21"/>
          <w:highlight w:val="none"/>
          <w:lang w:val="en-US" w:eastAsia="zh-CN"/>
        </w:rPr>
        <w:t>注：具体落实航线审批工作由中标供应商执行。</w:t>
      </w:r>
    </w:p>
    <w:p w14:paraId="512FCD41">
      <w:pPr>
        <w:widowControl/>
        <w:numPr>
          <w:ilvl w:val="0"/>
          <w:numId w:val="0"/>
        </w:numPr>
        <w:spacing w:line="360" w:lineRule="auto"/>
        <w:ind w:left="420" w:leftChars="0"/>
        <w:rPr>
          <w:rFonts w:hint="default" w:ascii="宋体" w:hAnsi="宋体" w:eastAsia="宋体" w:cs="宋体"/>
          <w:b/>
          <w:bCs/>
          <w:color w:val="auto"/>
          <w:szCs w:val="21"/>
          <w:highlight w:val="none"/>
          <w:lang w:val="en-US" w:eastAsia="zh-CN"/>
        </w:rPr>
      </w:pPr>
      <w:r>
        <w:rPr>
          <w:rFonts w:hint="eastAsia" w:ascii="宋体" w:hAnsi="宋体" w:cs="宋体"/>
          <w:b/>
          <w:bCs/>
          <w:color w:val="auto"/>
          <w:szCs w:val="21"/>
          <w:highlight w:val="none"/>
          <w:lang w:val="en-US" w:eastAsia="zh-CN"/>
        </w:rPr>
        <w:t>4、</w:t>
      </w:r>
      <w:r>
        <w:rPr>
          <w:rFonts w:hint="eastAsia" w:ascii="宋体" w:hAnsi="宋体" w:eastAsia="宋体" w:cs="宋体"/>
          <w:b/>
          <w:bCs/>
          <w:color w:val="auto"/>
          <w:szCs w:val="21"/>
          <w:highlight w:val="none"/>
          <w:lang w:val="en-US" w:eastAsia="zh-CN"/>
        </w:rPr>
        <w:t>2025嵊泗国际帆船赛晚宴</w:t>
      </w:r>
    </w:p>
    <w:p w14:paraId="1EEA12BC">
      <w:pPr>
        <w:widowControl/>
        <w:numPr>
          <w:ilvl w:val="1"/>
          <w:numId w:val="9"/>
        </w:numPr>
        <w:spacing w:line="360" w:lineRule="auto"/>
        <w:ind w:left="1050" w:leftChars="0" w:hanging="420" w:firstLineChars="0"/>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时间：晚上</w:t>
      </w:r>
    </w:p>
    <w:p w14:paraId="7B9B61F1">
      <w:pPr>
        <w:widowControl/>
        <w:numPr>
          <w:ilvl w:val="1"/>
          <w:numId w:val="9"/>
        </w:numPr>
        <w:spacing w:line="360" w:lineRule="auto"/>
        <w:ind w:left="1050" w:leftChars="0" w:hanging="420" w:firstLineChars="0"/>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地点：供应商根据整体活动方案策划设计</w:t>
      </w:r>
    </w:p>
    <w:p w14:paraId="4A2183B3">
      <w:pPr>
        <w:widowControl/>
        <w:numPr>
          <w:ilvl w:val="1"/>
          <w:numId w:val="9"/>
        </w:numPr>
        <w:spacing w:line="360" w:lineRule="auto"/>
        <w:ind w:left="1050" w:leftChars="0" w:hanging="420" w:firstLineChars="0"/>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参加人员：相关领导、嘉宾、选手、裁判员等，约200人。</w:t>
      </w:r>
    </w:p>
    <w:p w14:paraId="174F4DD0">
      <w:pPr>
        <w:widowControl/>
        <w:numPr>
          <w:ilvl w:val="1"/>
          <w:numId w:val="9"/>
        </w:numPr>
        <w:spacing w:line="360" w:lineRule="auto"/>
        <w:ind w:left="1050" w:leftChars="0" w:hanging="420" w:firstLineChars="0"/>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主要内容：举办颁奖晚宴</w:t>
      </w:r>
    </w:p>
    <w:p w14:paraId="79D47DFA">
      <w:pPr>
        <w:widowControl/>
        <w:numPr>
          <w:ilvl w:val="0"/>
          <w:numId w:val="0"/>
        </w:numPr>
        <w:tabs>
          <w:tab w:val="left" w:pos="840"/>
        </w:tabs>
        <w:spacing w:line="360" w:lineRule="auto"/>
        <w:ind w:left="630" w:leftChars="0" w:firstLine="0" w:firstLineChars="0"/>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活动流程：</w:t>
      </w:r>
    </w:p>
    <w:p w14:paraId="61535161">
      <w:pPr>
        <w:widowControl/>
        <w:numPr>
          <w:ilvl w:val="0"/>
          <w:numId w:val="0"/>
        </w:numPr>
        <w:tabs>
          <w:tab w:val="left" w:pos="840"/>
        </w:tabs>
        <w:spacing w:line="360" w:lineRule="auto"/>
        <w:ind w:left="630" w:leftChars="0" w:firstLine="0" w:firstLineChars="0"/>
        <w:rPr>
          <w:rFonts w:hint="default" w:ascii="宋体" w:hAnsi="宋体" w:eastAsia="宋体" w:cs="宋体"/>
          <w:color w:val="auto"/>
          <w:szCs w:val="21"/>
          <w:highlight w:val="none"/>
          <w:lang w:val="en-US" w:eastAsia="zh-CN"/>
        </w:rPr>
      </w:pPr>
      <w:r>
        <w:rPr>
          <w:rFonts w:hint="default" w:ascii="宋体" w:hAnsi="宋体" w:eastAsia="宋体" w:cs="宋体"/>
          <w:color w:val="auto"/>
          <w:szCs w:val="21"/>
          <w:highlight w:val="none"/>
          <w:lang w:val="en-US" w:eastAsia="zh-CN"/>
        </w:rPr>
        <w:t>·开场环节：主持人开场，介绍出席颁奖典礼的领导、嘉宾</w:t>
      </w:r>
      <w:r>
        <w:rPr>
          <w:rFonts w:hint="eastAsia" w:ascii="宋体" w:hAnsi="宋体" w:eastAsia="宋体" w:cs="宋体"/>
          <w:color w:val="auto"/>
          <w:szCs w:val="21"/>
          <w:highlight w:val="none"/>
          <w:lang w:val="en-US" w:eastAsia="zh-CN"/>
        </w:rPr>
        <w:t>；</w:t>
      </w:r>
      <w:r>
        <w:rPr>
          <w:rFonts w:hint="default" w:ascii="宋体" w:hAnsi="宋体" w:eastAsia="宋体" w:cs="宋体"/>
          <w:color w:val="auto"/>
          <w:szCs w:val="21"/>
          <w:highlight w:val="none"/>
          <w:lang w:val="en-US" w:eastAsia="zh-CN"/>
        </w:rPr>
        <w:t>播放赛事精彩瞬间视频。</w:t>
      </w:r>
    </w:p>
    <w:p w14:paraId="21668B72">
      <w:pPr>
        <w:widowControl/>
        <w:numPr>
          <w:ilvl w:val="0"/>
          <w:numId w:val="0"/>
        </w:numPr>
        <w:tabs>
          <w:tab w:val="left" w:pos="840"/>
        </w:tabs>
        <w:spacing w:line="360" w:lineRule="auto"/>
        <w:ind w:left="630" w:leftChars="0" w:firstLine="0" w:firstLineChars="0"/>
        <w:rPr>
          <w:rFonts w:hint="default" w:ascii="宋体" w:hAnsi="宋体" w:eastAsia="宋体" w:cs="宋体"/>
          <w:color w:val="auto"/>
          <w:szCs w:val="21"/>
          <w:highlight w:val="none"/>
          <w:lang w:val="en-US" w:eastAsia="zh-CN"/>
        </w:rPr>
      </w:pPr>
      <w:r>
        <w:rPr>
          <w:rFonts w:hint="default" w:ascii="宋体" w:hAnsi="宋体" w:eastAsia="宋体" w:cs="宋体"/>
          <w:color w:val="auto"/>
          <w:szCs w:val="21"/>
          <w:highlight w:val="none"/>
          <w:lang w:val="en-US" w:eastAsia="zh-CN"/>
        </w:rPr>
        <w:t>·领导致辞：领导发言。</w:t>
      </w:r>
    </w:p>
    <w:p w14:paraId="5138EBC3">
      <w:pPr>
        <w:widowControl/>
        <w:numPr>
          <w:ilvl w:val="0"/>
          <w:numId w:val="0"/>
        </w:numPr>
        <w:tabs>
          <w:tab w:val="left" w:pos="840"/>
        </w:tabs>
        <w:spacing w:line="360" w:lineRule="auto"/>
        <w:ind w:left="630" w:leftChars="0" w:firstLine="0" w:firstLineChars="0"/>
        <w:rPr>
          <w:rFonts w:hint="default" w:ascii="宋体" w:hAnsi="宋体" w:eastAsia="宋体" w:cs="宋体"/>
          <w:color w:val="auto"/>
          <w:szCs w:val="21"/>
          <w:highlight w:val="none"/>
          <w:lang w:val="en-US" w:eastAsia="zh-CN"/>
        </w:rPr>
      </w:pPr>
      <w:r>
        <w:rPr>
          <w:rFonts w:hint="default" w:ascii="宋体" w:hAnsi="宋体" w:eastAsia="宋体" w:cs="宋体"/>
          <w:color w:val="auto"/>
          <w:szCs w:val="21"/>
          <w:highlight w:val="none"/>
          <w:lang w:val="en-US" w:eastAsia="zh-CN"/>
        </w:rPr>
        <w:t>·推介环节：嵊泗文旅体主题推介。</w:t>
      </w:r>
    </w:p>
    <w:p w14:paraId="062F8584">
      <w:pPr>
        <w:widowControl/>
        <w:numPr>
          <w:ilvl w:val="0"/>
          <w:numId w:val="0"/>
        </w:numPr>
        <w:tabs>
          <w:tab w:val="left" w:pos="840"/>
        </w:tabs>
        <w:spacing w:line="360" w:lineRule="auto"/>
        <w:ind w:left="630" w:leftChars="0" w:firstLine="0" w:firstLineChars="0"/>
        <w:rPr>
          <w:rFonts w:hint="default" w:ascii="宋体" w:hAnsi="宋体" w:eastAsia="宋体" w:cs="宋体"/>
          <w:color w:val="auto"/>
          <w:szCs w:val="21"/>
          <w:highlight w:val="none"/>
          <w:lang w:val="en-US" w:eastAsia="zh-CN"/>
        </w:rPr>
      </w:pPr>
      <w:r>
        <w:rPr>
          <w:rFonts w:hint="default" w:ascii="宋体" w:hAnsi="宋体" w:eastAsia="宋体" w:cs="宋体"/>
          <w:color w:val="auto"/>
          <w:szCs w:val="21"/>
          <w:highlight w:val="none"/>
          <w:lang w:val="en-US" w:eastAsia="zh-CN"/>
        </w:rPr>
        <w:t>·颁奖环节：由赛事组委会代表颁奖</w:t>
      </w:r>
      <w:r>
        <w:rPr>
          <w:rFonts w:hint="eastAsia" w:ascii="宋体" w:hAnsi="宋体" w:eastAsia="宋体" w:cs="宋体"/>
          <w:color w:val="auto"/>
          <w:szCs w:val="21"/>
          <w:highlight w:val="none"/>
          <w:lang w:val="en-US" w:eastAsia="zh-CN"/>
        </w:rPr>
        <w:t>；</w:t>
      </w:r>
      <w:r>
        <w:rPr>
          <w:rFonts w:hint="default" w:ascii="宋体" w:hAnsi="宋体" w:eastAsia="宋体" w:cs="宋体"/>
          <w:color w:val="auto"/>
          <w:szCs w:val="21"/>
          <w:highlight w:val="none"/>
          <w:lang w:val="en-US" w:eastAsia="zh-CN"/>
        </w:rPr>
        <w:t>颁奖过程中，获奖选手上台发言</w:t>
      </w:r>
      <w:r>
        <w:rPr>
          <w:rFonts w:hint="eastAsia" w:ascii="宋体" w:hAnsi="宋体" w:cs="宋体"/>
          <w:color w:val="auto"/>
          <w:szCs w:val="21"/>
          <w:highlight w:val="none"/>
          <w:lang w:val="en-US" w:eastAsia="zh-CN"/>
        </w:rPr>
        <w:t>。</w:t>
      </w:r>
    </w:p>
    <w:p w14:paraId="364CA00D">
      <w:pPr>
        <w:widowControl/>
        <w:numPr>
          <w:ilvl w:val="0"/>
          <w:numId w:val="0"/>
        </w:numPr>
        <w:tabs>
          <w:tab w:val="left" w:pos="840"/>
        </w:tabs>
        <w:spacing w:line="360" w:lineRule="auto"/>
        <w:ind w:left="630" w:leftChars="0" w:firstLine="0" w:firstLineChars="0"/>
        <w:rPr>
          <w:rFonts w:hint="default" w:ascii="宋体" w:hAnsi="宋体" w:eastAsia="宋体" w:cs="宋体"/>
          <w:color w:val="auto"/>
          <w:szCs w:val="21"/>
          <w:highlight w:val="none"/>
          <w:lang w:val="en-US" w:eastAsia="zh-CN"/>
        </w:rPr>
      </w:pPr>
      <w:r>
        <w:rPr>
          <w:rFonts w:hint="default" w:ascii="宋体" w:hAnsi="宋体" w:eastAsia="宋体" w:cs="宋体"/>
          <w:color w:val="auto"/>
          <w:szCs w:val="21"/>
          <w:highlight w:val="none"/>
          <w:lang w:val="en-US" w:eastAsia="zh-CN"/>
        </w:rPr>
        <w:t>·自由交流与合影环节：领导、嘉宾、选手及工作人员合影留念</w:t>
      </w:r>
      <w:r>
        <w:rPr>
          <w:rFonts w:hint="eastAsia" w:ascii="宋体" w:hAnsi="宋体" w:eastAsia="宋体" w:cs="宋体"/>
          <w:color w:val="auto"/>
          <w:szCs w:val="21"/>
          <w:highlight w:val="none"/>
          <w:lang w:val="en-US" w:eastAsia="zh-CN"/>
        </w:rPr>
        <w:t>；</w:t>
      </w:r>
      <w:r>
        <w:rPr>
          <w:rFonts w:hint="default" w:ascii="宋体" w:hAnsi="宋体" w:eastAsia="宋体" w:cs="宋体"/>
          <w:color w:val="auto"/>
          <w:szCs w:val="21"/>
          <w:highlight w:val="none"/>
          <w:lang w:val="en-US" w:eastAsia="zh-CN"/>
        </w:rPr>
        <w:t>自由交流，结束颁奖典礼。</w:t>
      </w:r>
    </w:p>
    <w:p w14:paraId="3EC3BC15">
      <w:pPr>
        <w:widowControl/>
        <w:numPr>
          <w:ilvl w:val="0"/>
          <w:numId w:val="0"/>
        </w:numPr>
        <w:spacing w:line="360" w:lineRule="auto"/>
        <w:ind w:left="420" w:leftChars="0"/>
        <w:rPr>
          <w:rFonts w:hint="eastAsia" w:ascii="宋体" w:hAnsi="宋体" w:eastAsia="宋体" w:cs="宋体"/>
          <w:b/>
          <w:bCs/>
          <w:color w:val="auto"/>
          <w:szCs w:val="21"/>
          <w:highlight w:val="none"/>
          <w:lang w:val="en-US" w:eastAsia="zh-CN"/>
        </w:rPr>
      </w:pPr>
      <w:r>
        <w:rPr>
          <w:rFonts w:hint="eastAsia" w:ascii="宋体" w:hAnsi="宋体" w:cs="宋体"/>
          <w:b/>
          <w:bCs/>
          <w:color w:val="auto"/>
          <w:szCs w:val="21"/>
          <w:highlight w:val="none"/>
          <w:lang w:val="en-US" w:eastAsia="zh-CN"/>
        </w:rPr>
        <w:t>5、</w:t>
      </w:r>
      <w:r>
        <w:rPr>
          <w:rFonts w:hint="eastAsia" w:ascii="宋体" w:hAnsi="宋体" w:eastAsia="宋体" w:cs="宋体"/>
          <w:b/>
          <w:bCs/>
          <w:color w:val="auto"/>
          <w:szCs w:val="21"/>
          <w:highlight w:val="none"/>
          <w:lang w:val="en-US" w:eastAsia="zh-CN"/>
        </w:rPr>
        <w:t>嵊泗文旅</w:t>
      </w:r>
      <w:r>
        <w:rPr>
          <w:rFonts w:hint="eastAsia" w:ascii="宋体" w:hAnsi="宋体" w:cs="宋体"/>
          <w:b/>
          <w:bCs/>
          <w:color w:val="auto"/>
          <w:szCs w:val="21"/>
          <w:highlight w:val="none"/>
          <w:lang w:val="en-US" w:eastAsia="zh-CN"/>
        </w:rPr>
        <w:t>投资</w:t>
      </w:r>
      <w:r>
        <w:rPr>
          <w:rFonts w:hint="eastAsia" w:ascii="宋体" w:hAnsi="宋体" w:eastAsia="宋体" w:cs="宋体"/>
          <w:b/>
          <w:bCs/>
          <w:color w:val="auto"/>
          <w:szCs w:val="21"/>
          <w:highlight w:val="none"/>
          <w:lang w:val="en-US" w:eastAsia="zh-CN"/>
        </w:rPr>
        <w:t>考察和市民游客帆船体验活动</w:t>
      </w:r>
    </w:p>
    <w:p w14:paraId="68ABA7A9">
      <w:pPr>
        <w:widowControl/>
        <w:numPr>
          <w:ilvl w:val="0"/>
          <w:numId w:val="0"/>
        </w:numPr>
        <w:spacing w:line="360" w:lineRule="auto"/>
        <w:ind w:left="420" w:leftChars="0"/>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（1）泗礁岛文旅</w:t>
      </w:r>
      <w:r>
        <w:rPr>
          <w:rFonts w:hint="eastAsia" w:ascii="宋体" w:hAnsi="宋体" w:cs="宋体"/>
          <w:color w:val="auto"/>
          <w:szCs w:val="21"/>
          <w:highlight w:val="none"/>
          <w:lang w:val="en-US" w:eastAsia="zh-CN"/>
        </w:rPr>
        <w:t>投资</w:t>
      </w:r>
      <w:r>
        <w:rPr>
          <w:rFonts w:hint="eastAsia" w:ascii="宋体" w:hAnsi="宋体" w:eastAsia="宋体" w:cs="宋体"/>
          <w:color w:val="auto"/>
          <w:szCs w:val="21"/>
          <w:highlight w:val="none"/>
          <w:lang w:val="en-US" w:eastAsia="zh-CN"/>
        </w:rPr>
        <w:t>考察</w:t>
      </w:r>
    </w:p>
    <w:p w14:paraId="52A1DC4E">
      <w:pPr>
        <w:widowControl/>
        <w:numPr>
          <w:ilvl w:val="1"/>
          <w:numId w:val="10"/>
        </w:numPr>
        <w:spacing w:line="360" w:lineRule="auto"/>
        <w:ind w:left="1050" w:leftChars="0" w:hanging="420" w:firstLineChars="0"/>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时间：</w:t>
      </w:r>
      <w:r>
        <w:rPr>
          <w:rFonts w:hint="eastAsia" w:ascii="宋体" w:hAnsi="宋体" w:cs="宋体"/>
          <w:color w:val="auto"/>
          <w:szCs w:val="21"/>
          <w:highlight w:val="none"/>
          <w:lang w:val="en-US" w:eastAsia="zh-CN"/>
        </w:rPr>
        <w:t>半天</w:t>
      </w:r>
    </w:p>
    <w:p w14:paraId="2EB53890">
      <w:pPr>
        <w:widowControl/>
        <w:numPr>
          <w:ilvl w:val="1"/>
          <w:numId w:val="10"/>
        </w:numPr>
        <w:spacing w:line="360" w:lineRule="auto"/>
        <w:ind w:left="1050" w:leftChars="0" w:hanging="420" w:firstLineChars="0"/>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地点：泗礁岛</w:t>
      </w:r>
    </w:p>
    <w:p w14:paraId="578D68E7">
      <w:pPr>
        <w:widowControl/>
        <w:numPr>
          <w:ilvl w:val="1"/>
          <w:numId w:val="10"/>
        </w:numPr>
        <w:spacing w:line="360" w:lineRule="auto"/>
        <w:ind w:left="1050" w:leftChars="0" w:hanging="420" w:firstLineChars="0"/>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活动内容：组织100名大赛相关人员进行嵊泗文旅体验考察</w:t>
      </w:r>
    </w:p>
    <w:p w14:paraId="3B37754B">
      <w:pPr>
        <w:widowControl/>
        <w:numPr>
          <w:ilvl w:val="1"/>
          <w:numId w:val="10"/>
        </w:numPr>
        <w:spacing w:line="360" w:lineRule="auto"/>
        <w:ind w:left="1050" w:leftChars="0" w:hanging="420" w:firstLineChars="0"/>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考察线路：东海渔村——左岸公路——大悲山——灵音禅寺——南长涂沙滩</w:t>
      </w:r>
    </w:p>
    <w:p w14:paraId="18F4363A">
      <w:pPr>
        <w:widowControl/>
        <w:numPr>
          <w:ilvl w:val="0"/>
          <w:numId w:val="0"/>
        </w:numPr>
        <w:spacing w:line="360" w:lineRule="auto"/>
        <w:ind w:left="420" w:leftChars="0"/>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（2）市民游客帆船体验活动</w:t>
      </w:r>
    </w:p>
    <w:p w14:paraId="65E6A18E">
      <w:pPr>
        <w:widowControl/>
        <w:numPr>
          <w:ilvl w:val="1"/>
          <w:numId w:val="11"/>
        </w:numPr>
        <w:spacing w:line="360" w:lineRule="auto"/>
        <w:ind w:left="1050" w:leftChars="0" w:hanging="420" w:firstLineChars="0"/>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时间：</w:t>
      </w:r>
      <w:r>
        <w:rPr>
          <w:rFonts w:hint="eastAsia" w:ascii="宋体" w:hAnsi="宋体" w:cs="宋体"/>
          <w:color w:val="auto"/>
          <w:szCs w:val="21"/>
          <w:highlight w:val="none"/>
          <w:lang w:val="en-US" w:eastAsia="zh-CN"/>
        </w:rPr>
        <w:t>半天</w:t>
      </w:r>
    </w:p>
    <w:p w14:paraId="0516EB37">
      <w:pPr>
        <w:widowControl/>
        <w:numPr>
          <w:ilvl w:val="1"/>
          <w:numId w:val="11"/>
        </w:numPr>
        <w:spacing w:line="360" w:lineRule="auto"/>
        <w:ind w:left="1050" w:leftChars="0" w:hanging="420" w:firstLineChars="0"/>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地点：泗礁岛</w:t>
      </w:r>
    </w:p>
    <w:p w14:paraId="0A45CA02">
      <w:pPr>
        <w:widowControl/>
        <w:numPr>
          <w:ilvl w:val="0"/>
          <w:numId w:val="0"/>
        </w:numPr>
        <w:spacing w:line="360" w:lineRule="auto"/>
        <w:ind w:left="630" w:leftChars="0"/>
        <w:rPr>
          <w:rFonts w:hint="default" w:ascii="宋体" w:hAnsi="宋体" w:eastAsia="宋体" w:cs="宋体"/>
          <w:color w:val="0000FF"/>
          <w:szCs w:val="21"/>
          <w:highlight w:val="yellow"/>
          <w:lang w:val="en-US" w:eastAsia="zh-CN"/>
        </w:rPr>
      </w:pPr>
      <w:r>
        <w:rPr>
          <w:rFonts w:hint="default" w:ascii="Calibri" w:hAnsi="Calibri" w:eastAsia="宋体" w:cs="Calibri"/>
          <w:color w:val="auto"/>
          <w:szCs w:val="21"/>
          <w:highlight w:val="none"/>
          <w:lang w:val="en-US" w:eastAsia="zh-CN"/>
        </w:rPr>
        <w:t>③</w:t>
      </w:r>
      <w:r>
        <w:rPr>
          <w:rFonts w:hint="eastAsia" w:ascii="宋体" w:hAnsi="宋体" w:eastAsia="宋体" w:cs="宋体"/>
          <w:color w:val="auto"/>
          <w:szCs w:val="21"/>
          <w:highlight w:val="none"/>
          <w:lang w:val="en-US" w:eastAsia="zh-CN"/>
        </w:rPr>
        <w:t>活动内容：邀请</w:t>
      </w:r>
      <w:r>
        <w:rPr>
          <w:rFonts w:hint="eastAsia" w:ascii="宋体" w:hAnsi="宋体" w:cs="宋体"/>
          <w:color w:val="auto"/>
          <w:szCs w:val="21"/>
          <w:highlight w:val="none"/>
          <w:lang w:val="en-US" w:eastAsia="zh-CN"/>
        </w:rPr>
        <w:t>40</w:t>
      </w:r>
      <w:r>
        <w:rPr>
          <w:rFonts w:hint="eastAsia" w:ascii="宋体" w:hAnsi="宋体" w:eastAsia="宋体" w:cs="宋体"/>
          <w:color w:val="auto"/>
          <w:szCs w:val="21"/>
          <w:highlight w:val="none"/>
          <w:lang w:val="en-US" w:eastAsia="zh-CN"/>
        </w:rPr>
        <w:t>名市民游客进行帆船体验，在20名专业帆船赛手的带领下使用10</w:t>
      </w:r>
      <w:r>
        <w:rPr>
          <w:rFonts w:hint="eastAsia" w:ascii="宋体" w:hAnsi="宋体" w:cs="宋体"/>
          <w:color w:val="auto"/>
          <w:szCs w:val="21"/>
          <w:highlight w:val="none"/>
          <w:lang w:val="en-US" w:eastAsia="zh-CN"/>
        </w:rPr>
        <w:t>艘</w:t>
      </w:r>
      <w:r>
        <w:rPr>
          <w:rFonts w:hint="eastAsia" w:ascii="宋体" w:hAnsi="宋体" w:eastAsia="宋体" w:cs="宋体"/>
          <w:color w:val="auto"/>
          <w:szCs w:val="21"/>
          <w:highlight w:val="none"/>
          <w:lang w:val="en-US" w:eastAsia="zh-CN"/>
        </w:rPr>
        <w:t>帆船在黄沙村码头周边海域进行帆船体验（每艘船包含1名船长、1名船员、4名游客）</w:t>
      </w:r>
      <w:r>
        <w:rPr>
          <w:rFonts w:hint="eastAsia" w:ascii="宋体" w:hAnsi="宋体" w:cs="宋体"/>
          <w:color w:val="auto"/>
          <w:szCs w:val="21"/>
          <w:highlight w:val="none"/>
          <w:lang w:val="en-US" w:eastAsia="zh-CN"/>
        </w:rPr>
        <w:t>。</w:t>
      </w:r>
    </w:p>
    <w:p w14:paraId="7D56F85C">
      <w:pPr>
        <w:widowControl/>
        <w:numPr>
          <w:ilvl w:val="0"/>
          <w:numId w:val="0"/>
        </w:numPr>
        <w:spacing w:line="360" w:lineRule="auto"/>
        <w:ind w:firstLine="482" w:firstLineChars="200"/>
        <w:rPr>
          <w:rFonts w:hint="default" w:ascii="宋体" w:hAnsi="宋体" w:eastAsia="宋体" w:cs="宋体"/>
          <w:b/>
          <w:bCs/>
          <w:color w:val="auto"/>
          <w:szCs w:val="21"/>
          <w:highlight w:val="none"/>
          <w:lang w:val="en-US" w:eastAsia="zh-CN"/>
        </w:rPr>
      </w:pPr>
      <w:r>
        <w:rPr>
          <w:rFonts w:hint="eastAsia" w:ascii="Calibri" w:hAnsi="Calibri" w:cs="Calibri"/>
          <w:b/>
          <w:bCs/>
          <w:color w:val="auto"/>
          <w:kern w:val="2"/>
          <w:sz w:val="24"/>
          <w:szCs w:val="24"/>
          <w:highlight w:val="none"/>
          <w:lang w:val="en-US" w:eastAsia="zh-CN" w:bidi="ar-SA"/>
        </w:rPr>
        <w:t>6</w:t>
      </w:r>
      <w:r>
        <w:rPr>
          <w:rFonts w:hint="default" w:ascii="Calibri" w:hAnsi="Calibri" w:eastAsia="宋体" w:cs="Calibri"/>
          <w:b/>
          <w:bCs/>
          <w:color w:val="auto"/>
          <w:kern w:val="2"/>
          <w:sz w:val="24"/>
          <w:szCs w:val="24"/>
          <w:highlight w:val="none"/>
          <w:lang w:val="en-US" w:eastAsia="zh-CN" w:bidi="ar-SA"/>
        </w:rPr>
        <w:t>、</w:t>
      </w:r>
      <w:r>
        <w:rPr>
          <w:rFonts w:hint="eastAsia" w:ascii="Calibri" w:hAnsi="Calibri" w:eastAsia="宋体" w:cs="Calibri"/>
          <w:b/>
          <w:bCs/>
          <w:color w:val="auto"/>
          <w:kern w:val="2"/>
          <w:sz w:val="24"/>
          <w:szCs w:val="24"/>
          <w:highlight w:val="none"/>
          <w:lang w:val="en-US" w:eastAsia="zh-CN" w:bidi="ar-SA"/>
        </w:rPr>
        <w:t>嵊泗</w:t>
      </w:r>
      <w:r>
        <w:rPr>
          <w:rFonts w:hint="eastAsia" w:ascii="宋体" w:hAnsi="宋体" w:eastAsia="宋体" w:cs="宋体"/>
          <w:b/>
          <w:bCs/>
          <w:color w:val="auto"/>
          <w:szCs w:val="21"/>
          <w:highlight w:val="none"/>
          <w:lang w:val="en-US" w:eastAsia="zh-CN"/>
        </w:rPr>
        <w:t>Island Walk体验线路设计</w:t>
      </w:r>
    </w:p>
    <w:p w14:paraId="539DC84C">
      <w:pPr>
        <w:pStyle w:val="2"/>
        <w:spacing w:line="360" w:lineRule="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结合嵊泗国际帆船赛影响力，围绕海洋文化、美食文化设计6条嵊泗Island Walk体验线路由供应商提供设计。</w:t>
      </w:r>
    </w:p>
    <w:p w14:paraId="1924B629">
      <w:pPr>
        <w:pStyle w:val="2"/>
        <w:spacing w:line="360" w:lineRule="auto"/>
        <w:rPr>
          <w:rFonts w:hint="eastAsia" w:ascii="宋体" w:hAnsi="宋体" w:cs="宋体"/>
          <w:b/>
          <w:bCs/>
          <w:color w:val="auto"/>
          <w:szCs w:val="21"/>
          <w:highlight w:val="none"/>
          <w:lang w:val="en-US" w:eastAsia="zh-CN"/>
        </w:rPr>
      </w:pPr>
      <w:r>
        <w:rPr>
          <w:rFonts w:hint="eastAsia" w:ascii="宋体" w:hAnsi="宋体" w:cs="宋体"/>
          <w:b/>
          <w:bCs/>
          <w:color w:val="auto"/>
          <w:szCs w:val="21"/>
          <w:highlight w:val="none"/>
          <w:lang w:val="en-US" w:eastAsia="zh-CN"/>
        </w:rPr>
        <w:t>注：本次活动的冠名或者赞助说明：中标人自主进行市场开发，允许赞助商按赞助项目开展冠名行为，但相关冠名和合作伙伴不得出现有暴力色情游戏、烟、酒等物资品。</w:t>
      </w:r>
    </w:p>
    <w:p w14:paraId="18A61382">
      <w:pPr>
        <w:pStyle w:val="2"/>
        <w:spacing w:line="360" w:lineRule="auto"/>
        <w:rPr>
          <w:rFonts w:hint="default"/>
          <w:b/>
          <w:bCs/>
          <w:lang w:val="en-US" w:eastAsia="zh-CN"/>
        </w:rPr>
      </w:pPr>
      <w:r>
        <w:rPr>
          <w:rFonts w:hint="eastAsia" w:ascii="宋体" w:hAnsi="宋体" w:cs="宋体"/>
          <w:b/>
          <w:bCs/>
          <w:color w:val="auto"/>
          <w:szCs w:val="21"/>
          <w:highlight w:val="none"/>
          <w:lang w:val="en-US" w:eastAsia="zh-CN"/>
        </w:rPr>
        <w:t>本次活动的所有冠名、赞助必须由业主审核后才可冠名赞助。</w:t>
      </w:r>
    </w:p>
    <w:p w14:paraId="7659B295">
      <w:pPr>
        <w:spacing w:line="360" w:lineRule="auto"/>
        <w:ind w:firstLine="413" w:firstLineChars="196"/>
        <w:rPr>
          <w:rFonts w:hint="default" w:ascii="宋体" w:hAnsi="宋体" w:cs="宋体"/>
          <w:b/>
          <w:color w:val="auto"/>
          <w:szCs w:val="21"/>
          <w:highlight w:val="none"/>
          <w:lang w:val="en-US" w:eastAsia="zh-CN"/>
        </w:rPr>
      </w:pPr>
      <w:r>
        <w:rPr>
          <w:rFonts w:hint="eastAsia" w:ascii="宋体" w:hAnsi="宋体" w:cs="宋体"/>
          <w:b/>
          <w:color w:val="auto"/>
          <w:szCs w:val="21"/>
          <w:highlight w:val="none"/>
          <w:lang w:val="en-US" w:eastAsia="zh-CN"/>
        </w:rPr>
        <w:t>五、项目主要任务</w:t>
      </w:r>
    </w:p>
    <w:p w14:paraId="023A425D">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color w:val="0000FF"/>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中标供应商负责承担2025嵊泗国际帆船赛的前期筹备、竞赛组织、开幕式和颁奖仪式、市场开发、赛事设计、策划、包装、媒体宣传推广[含市（地）级及以上电视，网络直播费用以及自媒体、流媒体、新媒体、与直播相关联的搭建费用]等费用；承担竞赛组织和器材保障、场地布置、志愿者招募管理、赛事与竞赛相关后勤接待保障、各类证件和资料印制等费用；邀请媒体的相关费用；赛事风险评估、氛围营造、网络及供电等费用；人身意外险投保（含猝死险）、税金；技术专员、裁判员、运动员志愿者以及其他工作人员服装等费用；赛事所需配置的饮用水、食品、水果等费用；赛事交通安保经费、医疗保障经费以及</w:t>
      </w:r>
      <w:r>
        <w:rPr>
          <w:rFonts w:hint="eastAsia" w:ascii="新宋体" w:hAnsi="新宋体" w:eastAsia="新宋体" w:cs="新宋体"/>
          <w:color w:val="auto"/>
          <w:kern w:val="2"/>
          <w:sz w:val="21"/>
          <w:szCs w:val="21"/>
          <w:highlight w:val="none"/>
          <w:lang w:val="en-US" w:eastAsia="zh-CN" w:bidi="ar-SA"/>
        </w:rPr>
        <w:t>与赛事执行相关的其他费用支出等完成本项目所需的一切本身和不可或缺的开支、及合同包含的所有风险、责任、不可预见等各项全部费用。</w:t>
      </w:r>
    </w:p>
    <w:p w14:paraId="5E6B25EF">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为确保赛事顺利有序进行，具体要求如下：</w:t>
      </w:r>
    </w:p>
    <w:p w14:paraId="5A0FDF07">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1.做好赛事总体思路策划，包括但不限于赛事形象设计等，要求能充分展现帆船赛事特点、嵊泗特色、易于传播。赛事总体思路策划经采购单位和赛事组委会确认后由中标供应商组织实施。</w:t>
      </w:r>
    </w:p>
    <w:p w14:paraId="485140A3">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2.负责媒体宣传推广费用。宣传方案总体要求形成媒体矩阵，形式丰富多样，线上线下结合。整个赛事必须实现在至少 1 个网络平台进行网络同步直播。具体包括但不限于：</w:t>
      </w:r>
    </w:p>
    <w:p w14:paraId="5B9F9F06">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2.1.赛事直播：结合组委会需求，制定直播方案。直播内容要结合嵊泗特色，体现嵊泗的发展、环境、旅游、人文等方面内容。</w:t>
      </w:r>
    </w:p>
    <w:p w14:paraId="23A2AF0E">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color w:val="auto"/>
          <w:kern w:val="2"/>
          <w:sz w:val="21"/>
          <w:szCs w:val="21"/>
          <w:highlight w:val="none"/>
          <w:lang w:val="en-US" w:eastAsia="zh-CN" w:bidi="ar-SA"/>
        </w:rPr>
      </w:pPr>
      <w:r>
        <w:rPr>
          <w:rFonts w:hint="eastAsia" w:ascii="新宋体" w:hAnsi="新宋体" w:eastAsia="新宋体" w:cs="新宋体"/>
          <w:color w:val="auto"/>
          <w:kern w:val="2"/>
          <w:sz w:val="21"/>
          <w:szCs w:val="21"/>
          <w:highlight w:val="none"/>
          <w:lang w:val="en-US" w:eastAsia="zh-CN" w:bidi="ar-SA"/>
        </w:rPr>
        <w:t>2.2.宣传范围包括但不限于省内，至少有包括国家级媒体在内的 1 家主要权威电视媒体参与报道。在省级主流客户端开设大赛专题1个，开机页3次，省级主流都市类报纸2个版，以及抖音、微信、微博、视频号多种平台，宣传要贯穿赛前、赛中、赛后。整合宣传资源，运用多种手段，构建形式多样、全方位、多角度的宣传格局，为赛事的顺利举办营造良好舆论环境，充分展示此次比赛的知名度与影响力。</w:t>
      </w:r>
    </w:p>
    <w:p w14:paraId="2B38799D">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color w:val="auto"/>
          <w:kern w:val="2"/>
          <w:sz w:val="21"/>
          <w:szCs w:val="21"/>
          <w:highlight w:val="none"/>
          <w:lang w:val="en-US" w:eastAsia="zh-CN" w:bidi="ar-SA"/>
        </w:rPr>
      </w:pPr>
      <w:r>
        <w:rPr>
          <w:rFonts w:hint="eastAsia" w:ascii="新宋体" w:hAnsi="新宋体" w:eastAsia="新宋体" w:cs="新宋体"/>
          <w:color w:val="auto"/>
          <w:kern w:val="2"/>
          <w:sz w:val="21"/>
          <w:szCs w:val="21"/>
          <w:highlight w:val="none"/>
          <w:lang w:val="en-US" w:eastAsia="zh-CN" w:bidi="ar-SA"/>
        </w:rPr>
        <w:t>2.3.新闻发布会：根据组委会赛程安排，策划主题突出、简介、有创意的新闻发布会，为赛事倒计时，助力赛事。营造赛事氛围，提高赛事知晓度。</w:t>
      </w:r>
    </w:p>
    <w:p w14:paraId="1013C246">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color w:val="auto"/>
          <w:kern w:val="2"/>
          <w:sz w:val="21"/>
          <w:szCs w:val="21"/>
          <w:highlight w:val="none"/>
          <w:lang w:val="en-US" w:eastAsia="zh-CN" w:bidi="ar-SA"/>
        </w:rPr>
      </w:pPr>
      <w:r>
        <w:rPr>
          <w:rFonts w:hint="eastAsia" w:ascii="新宋体" w:hAnsi="新宋体" w:eastAsia="新宋体" w:cs="新宋体"/>
          <w:color w:val="auto"/>
          <w:kern w:val="2"/>
          <w:sz w:val="21"/>
          <w:szCs w:val="21"/>
          <w:highlight w:val="none"/>
          <w:lang w:val="en-US" w:eastAsia="zh-CN" w:bidi="ar-SA"/>
        </w:rPr>
        <w:t>2.4赛事视频：组织赛事专业摄像团队，策划制定拍摄记录方案，后期剪辑制作完成15秒和3-5分钟的宣传片，用于采购单位宣传推广。</w:t>
      </w:r>
    </w:p>
    <w:p w14:paraId="6B1358E4">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2.5.承担平面媒体、自媒体、流媒体、新媒体对赛事的宣传推广及直播费用。</w:t>
      </w:r>
    </w:p>
    <w:p w14:paraId="405A5544">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2.6.承担直播团队、邀请媒体记者的差旅费、食宿费、劳务费等。</w:t>
      </w:r>
    </w:p>
    <w:p w14:paraId="2860DF08">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2.7.承担与直播相关联的器材及设施设备的购置或租赁费用。</w:t>
      </w:r>
    </w:p>
    <w:p w14:paraId="2C8F0EED">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2.8.承担与直播相关联的搭建费用。</w:t>
      </w:r>
    </w:p>
    <w:p w14:paraId="62CD9EA8">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2.9.承担比赛现场主持人的接待及其相关费用。</w:t>
      </w:r>
    </w:p>
    <w:p w14:paraId="70C58CA3">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2.10.承担赛场及周边与赛事相关的道旗的费用。</w:t>
      </w:r>
    </w:p>
    <w:p w14:paraId="0DEB694A">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2.11.承担新闻发布会的策划与组织实施及相关费用。</w:t>
      </w:r>
    </w:p>
    <w:p w14:paraId="583BC2E1">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3.整个赛事的VI设计。具体包括但不限于：</w:t>
      </w:r>
    </w:p>
    <w:p w14:paraId="23BA325D">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3.1.整个赛事的形象设计；</w:t>
      </w:r>
    </w:p>
    <w:p w14:paraId="31FAFFFF">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3.2.赛事场地设计及布置方案。要按照比赛的标准要求进行场地和水域布置，具体包括但不限于主背景墙、主席台和颁奖台、嘉宾休息区、导引提示牌、地贴指示、饮用水和饮料食品补给、隔离带、活动桌椅、各类宣传广告牌和道旗、注水旗等。中标供应商制订的场地和水域布置方案，应包含形象设计、各类平面布置图、效果图，以及各类物品的数量和总体施工计划安排。</w:t>
      </w:r>
    </w:p>
    <w:p w14:paraId="0CFED914">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3.3.提供各类证件（含组委会证、贵宾证、嘉宾证、志愿者证、安保人员证、媒体记者证、工作人员证等）及秩序册等的设计。</w:t>
      </w:r>
    </w:p>
    <w:p w14:paraId="063D634B">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3.4.提供参赛运动员前三名获奖运动员的奖杯、奖牌的设计。</w:t>
      </w:r>
    </w:p>
    <w:p w14:paraId="791C54FB">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3.5.提供船帆等的设计和制作，承担船帆等的设计和制作费用。</w:t>
      </w:r>
    </w:p>
    <w:p w14:paraId="4ACDFDB7">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4.为所有参赛选手、赛事技术代表、技术专员、裁判员、工作人员及现场观众投保人身意外险（含突发性死亡保险赔付），并购买公众责任险。</w:t>
      </w:r>
    </w:p>
    <w:p w14:paraId="078ADF0B">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5.提供运动装备（须经采购单位确认）。</w:t>
      </w:r>
    </w:p>
    <w:p w14:paraId="65DD7CA0">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6.配合做好赛事商业运作和市场开发，扩大赛事品牌知名度。</w:t>
      </w:r>
    </w:p>
    <w:p w14:paraId="36043047">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7.提供赛事用车，根据赛事整体推进的进度配备相应的工作人员。</w:t>
      </w:r>
    </w:p>
    <w:p w14:paraId="056097F0">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8.开幕式和颁奖仪式。要按照比赛的标准要求布置开幕式和颁奖仪式，完成设计、实施，并承担开幕式和颁奖仪式所有费用。</w:t>
      </w:r>
    </w:p>
    <w:p w14:paraId="60E83196">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9.竞赛组织工作：</w:t>
      </w:r>
    </w:p>
    <w:p w14:paraId="2527C768">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9.1.赛事指导服务、注册；赛场布局方案需报经组委会同意后方可组织实施。</w:t>
      </w:r>
    </w:p>
    <w:p w14:paraId="2684C37C">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9.2 赛事奖金设置，具体奖励名次、金额及发放时间由赛事规程设定。</w:t>
      </w:r>
    </w:p>
    <w:p w14:paraId="4E623399">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9.3赛事的嘉宾、技术代表、裁判员、工作人员等的食宿接待。</w:t>
      </w:r>
    </w:p>
    <w:p w14:paraId="1A85A75E">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9.4.赛前技术代表、裁判员培训、技术会议等工作的会场、食宿。</w:t>
      </w:r>
    </w:p>
    <w:p w14:paraId="6A7CE0C4">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9.5. 参赛运动员男女前三名获奖运动员的奖杯、奖牌和鲜花。</w:t>
      </w:r>
    </w:p>
    <w:p w14:paraId="658E085C">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9.6.负责提供竞赛相关系统平台；满足比赛要求的裁判员、后勤保障人员无线通讯系统和设备；裁判所需的电脑、打印机和相应耗材等。</w:t>
      </w:r>
    </w:p>
    <w:p w14:paraId="17146E75">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9.7.制订满足上述需求（可高于但不可低于上述需求）的竞赛和器材保障方案，并根据比赛时间节点明确倒计时实施进度计划。</w:t>
      </w:r>
    </w:p>
    <w:p w14:paraId="7920FA4E">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9.8.志愿者的招募、培训、管理、用餐、车辆接送安排，根据竞赛要求配足志愿者人员并做好志愿者的培训、岗位分配和比赛期间的集结投放，为每名志愿者提供T恤、帽子、志愿服务证书。中标供应商需按照上述需求（可高于而不可低于上述需求）制订志愿者招募分配管理方案，并根据比赛时间节点明确倒计时实施进度计划，以及相应的工作人员配备。</w:t>
      </w:r>
    </w:p>
    <w:p w14:paraId="6DE513DD">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9.9.后勤保障。中标供应商应协助做好以下后勤保障，包括但不限于：</w:t>
      </w:r>
    </w:p>
    <w:p w14:paraId="3D4B0241">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9.9.1.嘉宾接待工作及车辆（嘉宾具体人数以采购单位审定为主）。</w:t>
      </w:r>
    </w:p>
    <w:p w14:paraId="5A1CF286">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9.9.2.志愿者和裁判员接送、运动员摆渡等用车。</w:t>
      </w:r>
    </w:p>
    <w:p w14:paraId="54596E0E">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9.9.3.竞赛所需通讯网络及电力保障服务。</w:t>
      </w:r>
    </w:p>
    <w:p w14:paraId="5170E2D5">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中标供应商需按照上述需求（可高不可低于上述需求）制订后勤保障方案，确保饮用水、饮料和食品质量安全。</w:t>
      </w:r>
    </w:p>
    <w:p w14:paraId="0B06AA82">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9.9.4.组委会和执委会集中办公期间工作用餐，志愿者和工作期间用餐；</w:t>
      </w:r>
    </w:p>
    <w:p w14:paraId="5B88B96E">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9.9.5.嘉宾在赛事期间的住宿和用餐。</w:t>
      </w:r>
    </w:p>
    <w:p w14:paraId="049AC014">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9.10.应急预案。中标供应商需针对竞赛和器材保障、志愿者招募管理、媒体宣传推广、后勤保障、场地布置和医疗急救等工作可能遇到的突发性情况协助采购单位制订应急预案；协助公安等部门做好维稳、安保及交通等应急预案。</w:t>
      </w:r>
    </w:p>
    <w:p w14:paraId="41F0990F">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color w:val="auto"/>
          <w:kern w:val="2"/>
          <w:sz w:val="21"/>
          <w:szCs w:val="21"/>
          <w:highlight w:val="none"/>
          <w:lang w:val="en-US" w:eastAsia="zh-CN" w:bidi="ar-SA"/>
        </w:rPr>
      </w:pPr>
      <w:r>
        <w:rPr>
          <w:rFonts w:hint="eastAsia" w:ascii="新宋体" w:hAnsi="新宋体" w:eastAsia="新宋体" w:cs="新宋体"/>
          <w:color w:val="auto"/>
          <w:kern w:val="2"/>
          <w:sz w:val="21"/>
          <w:szCs w:val="21"/>
          <w:highlight w:val="none"/>
          <w:lang w:val="en-US" w:eastAsia="zh-CN" w:bidi="ar-SA"/>
        </w:rPr>
        <w:t>10.做好赛事报名工作。</w:t>
      </w:r>
    </w:p>
    <w:p w14:paraId="721B2D38">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11.医疗救护和水上救助。</w:t>
      </w:r>
    </w:p>
    <w:p w14:paraId="0F15FC4C">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11.1.提供合理第三方医疗急救团队及设备确保赛事医疗救助快速响应，制订医疗急救方案，确保经费投入到位，为参赛运动员免费提供必须的药品和医疗耗材。</w:t>
      </w:r>
    </w:p>
    <w:p w14:paraId="3F275EA7">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11.2 保障赛事及周边水域安全，保障急救通道，负责水上救援，落实水上救生人员和器材配置，确保经费投入到位。</w:t>
      </w:r>
    </w:p>
    <w:p w14:paraId="3CB910B2">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12.备案审批。负责赛事活动相关审批备案工作（包括但不限于体育部门审批、海事审批、水域管理部门备案等）。</w:t>
      </w:r>
    </w:p>
    <w:p w14:paraId="7D462F6F">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13.负责新闻发布会的组织和执行。</w:t>
      </w:r>
    </w:p>
    <w:p w14:paraId="6FC637BE">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14.负责嵊泗文旅投资考察和市民游客帆船体验活动的组织和执行。</w:t>
      </w:r>
    </w:p>
    <w:p w14:paraId="590D3BBE">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15.负责策划设计嵊泗Island Walk体验线路。</w:t>
      </w:r>
    </w:p>
    <w:p w14:paraId="06B8F54A">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16.负责赛前安全风险评估报告、社会绩效评估报告等工作。</w:t>
      </w:r>
    </w:p>
    <w:p w14:paraId="3A8B07AC">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17.中标供应商承担赛事活动的一切费用。</w:t>
      </w:r>
    </w:p>
    <w:p w14:paraId="05D7A0E3">
      <w:pPr>
        <w:spacing w:line="360" w:lineRule="auto"/>
        <w:ind w:firstLine="413" w:firstLineChars="196"/>
        <w:rPr>
          <w:rFonts w:hint="eastAsia" w:ascii="宋体" w:hAnsi="宋体" w:cs="宋体"/>
          <w:b/>
          <w:color w:val="auto"/>
          <w:szCs w:val="21"/>
          <w:highlight w:val="none"/>
          <w:lang w:val="en-US" w:eastAsia="zh-CN"/>
        </w:rPr>
      </w:pPr>
      <w:r>
        <w:rPr>
          <w:rFonts w:hint="eastAsia" w:ascii="宋体" w:hAnsi="宋体" w:cs="宋体"/>
          <w:b/>
          <w:color w:val="auto"/>
          <w:szCs w:val="21"/>
          <w:highlight w:val="none"/>
          <w:lang w:val="en-US" w:eastAsia="zh-CN"/>
        </w:rPr>
        <w:t>六、其他约定</w:t>
      </w:r>
    </w:p>
    <w:p w14:paraId="59BFE17E">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1.如因不可抗力原因，赛事延期一年以内的，费用待项目结束后正式结算。</w:t>
      </w:r>
    </w:p>
    <w:p w14:paraId="1207342A">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2.如因不可抗力原因，赛事取消的，由甲乙双方友好协商，乙方因承办赛事已经产生的费用凭发票等依据按实结算。</w:t>
      </w:r>
    </w:p>
    <w:p w14:paraId="4CFAB6E1">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3.如因不可抗力原因，赛事延期一年又再次取消的，由甲乙双方友好协商，乙方因承办赛事已经产生的费用凭发票等依据按实结算。</w:t>
      </w:r>
    </w:p>
    <w:p w14:paraId="115DDC85">
      <w:pPr>
        <w:spacing w:line="360" w:lineRule="auto"/>
        <w:ind w:firstLine="413" w:firstLineChars="196"/>
        <w:rPr>
          <w:rFonts w:hint="eastAsia" w:ascii="宋体" w:hAnsi="宋体" w:cs="宋体"/>
          <w:b/>
          <w:color w:val="auto"/>
          <w:szCs w:val="21"/>
          <w:highlight w:val="none"/>
          <w:lang w:val="en-US" w:eastAsia="zh-CN"/>
        </w:rPr>
      </w:pPr>
      <w:r>
        <w:rPr>
          <w:rFonts w:hint="eastAsia" w:ascii="宋体" w:hAnsi="宋体" w:cs="宋体"/>
          <w:b/>
          <w:color w:val="auto"/>
          <w:szCs w:val="21"/>
          <w:highlight w:val="none"/>
          <w:lang w:val="en-US" w:eastAsia="zh-CN"/>
        </w:rPr>
        <w:t>七、技术要求</w:t>
      </w:r>
    </w:p>
    <w:p w14:paraId="5BB1EB4B">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1.供应商须在响应文件中提供承办本次大赛完善且可行的组织实施方案，制定应急预案，做好风险防范工作。</w:t>
      </w:r>
    </w:p>
    <w:p w14:paraId="47B6BCDD">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2.供应商应根据项目需要，在响应文件中提出项目组团队及主要人员组成，项目组成员必须都具有较强的专业能力，并委派一位具有丰富经验的项目负责人负责管理，积极与采购单位沟通联系，并定期向采购单位通报项目服务进展情况。项目实施过程中项目组负责人及项目组人员发生变动的，需提前通知采购单位并获同意才能更换，更换后的负责人或技术人员的专业素质、技术能力及经验等情况不能低于原先水准。</w:t>
      </w:r>
    </w:p>
    <w:p w14:paraId="506EEAF0">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3.项目组应合理分工、分组负责，积极协调配合与赛事保障工作有关的各部门单位，做好赛事宣传、联络接待、安全保卫、水上救助、消防安全、交通疏导及车辆停放、餐饮卫生、环境卫生、医疗保健等各方面的保障工作，并制订各项工作的应急预案，确保活动安全、成功举办。</w:t>
      </w:r>
    </w:p>
    <w:p w14:paraId="7FB6719D">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4.落实领导及嘉宾、裁判、参赛队伍的邀请，联络接待，交通出行，酒店预定等事宜，做好接待准备工作；大赛期间的食宿接待，差旅费和劳务费按同类赛事相关标准执行；费用由供应商承担。</w:t>
      </w:r>
    </w:p>
    <w:p w14:paraId="73B19259">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5.邀请专业帆船运动裁判员成立裁判组，赛事水准符合国际赛要求，裁判员聘请及食宿交通等费用均有供应商承担。为所有参赛裁判员、运动员购买保险，费用由供应商承担。</w:t>
      </w:r>
    </w:p>
    <w:p w14:paraId="06EDD64B">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6.负责比赛船、配套保障船的提供，费用由供应商承担。</w:t>
      </w:r>
    </w:p>
    <w:p w14:paraId="4E9780A4">
      <w:pPr>
        <w:keepNext w:val="0"/>
        <w:keepLines w:val="0"/>
        <w:pageBreakBefore w:val="0"/>
        <w:widowControl w:val="0"/>
        <w:kinsoku/>
        <w:wordWrap/>
        <w:overflowPunct/>
        <w:topLinePunct w:val="0"/>
        <w:autoSpaceDE/>
        <w:autoSpaceDN/>
        <w:bidi w:val="0"/>
        <w:adjustRightInd/>
        <w:snapToGrid/>
        <w:spacing w:line="360" w:lineRule="auto"/>
        <w:ind w:firstLine="424" w:firstLineChars="202"/>
        <w:textAlignment w:val="auto"/>
        <w:rPr>
          <w:rFonts w:hint="eastAsia" w:ascii="新宋体" w:hAnsi="新宋体" w:eastAsia="新宋体" w:cs="新宋体"/>
          <w:kern w:val="2"/>
          <w:sz w:val="21"/>
          <w:szCs w:val="21"/>
          <w:highlight w:val="none"/>
          <w:lang w:val="en-US" w:eastAsia="zh-CN" w:bidi="ar-SA"/>
        </w:rPr>
      </w:pPr>
      <w:r>
        <w:rPr>
          <w:rFonts w:hint="eastAsia" w:ascii="新宋体" w:hAnsi="新宋体" w:eastAsia="新宋体" w:cs="新宋体"/>
          <w:kern w:val="2"/>
          <w:sz w:val="21"/>
          <w:szCs w:val="21"/>
          <w:highlight w:val="none"/>
          <w:lang w:val="en-US" w:eastAsia="zh-CN" w:bidi="ar-SA"/>
        </w:rPr>
        <w:t>7.借鉴其他赛事活动新闻宣传经验，组织开展对赛事活动的宣传报道，运用多种手段，构建形式多样、全方位、多角度的宣传格局，为赛事的顺利举办营造良好舆论环境，充分展示此次赛事的知名度与影响力。负责赛事期间记者的接待和采访的交通食宿安排。</w:t>
      </w:r>
    </w:p>
    <w:p w14:paraId="793051D0">
      <w:pPr>
        <w:spacing w:line="360" w:lineRule="auto"/>
        <w:ind w:firstLine="413" w:firstLineChars="196"/>
        <w:rPr>
          <w:rFonts w:hint="eastAsia" w:ascii="宋体" w:hAnsi="宋体" w:cs="宋体"/>
          <w:b/>
          <w:color w:val="auto"/>
          <w:szCs w:val="21"/>
          <w:highlight w:val="none"/>
          <w:lang w:val="en-US" w:eastAsia="zh-CN"/>
        </w:rPr>
      </w:pPr>
      <w:r>
        <w:rPr>
          <w:rFonts w:hint="eastAsia" w:ascii="宋体" w:hAnsi="宋体" w:cs="宋体"/>
          <w:b/>
          <w:color w:val="auto"/>
          <w:szCs w:val="21"/>
          <w:highlight w:val="none"/>
          <w:lang w:val="en-US" w:eastAsia="zh-CN"/>
        </w:rPr>
        <w:t>八、验收要求</w:t>
      </w:r>
    </w:p>
    <w:p w14:paraId="555C43A4">
      <w:pPr>
        <w:widowControl w:val="0"/>
        <w:numPr>
          <w:ilvl w:val="0"/>
          <w:numId w:val="0"/>
        </w:numPr>
        <w:adjustRightInd/>
        <w:spacing w:line="360" w:lineRule="auto"/>
        <w:ind w:left="0" w:leftChars="0" w:firstLine="420" w:firstLineChars="200"/>
        <w:jc w:val="left"/>
        <w:outlineLvl w:val="9"/>
        <w:rPr>
          <w:rFonts w:hint="eastAsia" w:ascii="宋体" w:hAnsi="宋体" w:eastAsia="宋体" w:cs="宋体"/>
          <w:b w:val="0"/>
          <w:bCs w:val="0"/>
          <w:color w:val="auto"/>
          <w:sz w:val="21"/>
          <w:szCs w:val="21"/>
          <w:highlight w:val="none"/>
          <w:shd w:val="clear" w:color="auto" w:fill="auto"/>
          <w:lang w:val="en-US" w:eastAsia="zh-CN"/>
        </w:rPr>
      </w:pPr>
      <w:r>
        <w:rPr>
          <w:rFonts w:hint="eastAsia" w:ascii="宋体" w:hAnsi="宋体" w:eastAsia="宋体" w:cs="宋体"/>
          <w:b w:val="0"/>
          <w:bCs w:val="0"/>
          <w:color w:val="auto"/>
          <w:sz w:val="21"/>
          <w:szCs w:val="21"/>
          <w:highlight w:val="none"/>
          <w:shd w:val="clear" w:color="auto" w:fill="auto"/>
          <w:lang w:val="en-US" w:eastAsia="zh-CN"/>
        </w:rPr>
        <w:t>1、中标供应商提供的策划方案等须经承办单位及采购</w:t>
      </w:r>
      <w:r>
        <w:rPr>
          <w:rFonts w:hint="eastAsia" w:ascii="宋体" w:hAnsi="宋体" w:cs="宋体"/>
          <w:b w:val="0"/>
          <w:bCs w:val="0"/>
          <w:color w:val="auto"/>
          <w:sz w:val="21"/>
          <w:szCs w:val="21"/>
          <w:highlight w:val="none"/>
          <w:shd w:val="clear" w:color="auto" w:fill="auto"/>
          <w:lang w:val="en-US" w:eastAsia="zh-CN"/>
        </w:rPr>
        <w:t>单位</w:t>
      </w:r>
      <w:r>
        <w:rPr>
          <w:rFonts w:hint="eastAsia" w:ascii="宋体" w:hAnsi="宋体" w:eastAsia="宋体" w:cs="宋体"/>
          <w:b w:val="0"/>
          <w:bCs w:val="0"/>
          <w:color w:val="auto"/>
          <w:sz w:val="21"/>
          <w:szCs w:val="21"/>
          <w:highlight w:val="none"/>
          <w:shd w:val="clear" w:color="auto" w:fill="auto"/>
          <w:lang w:val="en-US" w:eastAsia="zh-CN"/>
        </w:rPr>
        <w:t>认可后方可实施。</w:t>
      </w:r>
    </w:p>
    <w:p w14:paraId="0AC7B5B6">
      <w:pPr>
        <w:pageBreakBefore w:val="0"/>
        <w:widowControl w:val="0"/>
        <w:kinsoku/>
        <w:wordWrap/>
        <w:overflowPunct/>
        <w:topLinePunct w:val="0"/>
        <w:bidi w:val="0"/>
        <w:snapToGrid/>
        <w:spacing w:line="360" w:lineRule="auto"/>
        <w:ind w:firstLine="420" w:firstLineChars="200"/>
        <w:textAlignment w:val="auto"/>
        <w:rPr>
          <w:rFonts w:hint="eastAsia" w:ascii="宋体" w:hAnsi="宋体" w:eastAsia="宋体" w:cs="宋体"/>
          <w:i w:val="0"/>
          <w:iCs w:val="0"/>
          <w:color w:val="auto"/>
          <w:sz w:val="21"/>
          <w:szCs w:val="21"/>
          <w:highlight w:val="none"/>
          <w:shd w:val="clear" w:color="auto" w:fill="auto"/>
          <w:lang w:val="en-US" w:eastAsia="zh-CN"/>
        </w:rPr>
      </w:pPr>
      <w:r>
        <w:rPr>
          <w:rFonts w:hint="eastAsia" w:ascii="宋体" w:hAnsi="宋体" w:eastAsia="宋体" w:cs="宋体"/>
          <w:i w:val="0"/>
          <w:iCs w:val="0"/>
          <w:color w:val="auto"/>
          <w:sz w:val="21"/>
          <w:szCs w:val="21"/>
          <w:highlight w:val="none"/>
          <w:shd w:val="clear" w:color="auto" w:fill="auto"/>
          <w:lang w:val="en-US" w:eastAsia="zh-CN"/>
        </w:rPr>
        <w:t>2、</w:t>
      </w:r>
      <w:r>
        <w:rPr>
          <w:rFonts w:hint="eastAsia" w:ascii="宋体" w:hAnsi="宋体" w:cs="宋体"/>
          <w:i w:val="0"/>
          <w:iCs w:val="0"/>
          <w:color w:val="auto"/>
          <w:sz w:val="21"/>
          <w:szCs w:val="21"/>
          <w:highlight w:val="none"/>
          <w:shd w:val="clear" w:color="auto" w:fill="auto"/>
          <w:lang w:val="en-US" w:eastAsia="zh-CN"/>
        </w:rPr>
        <w:t>采购单位</w:t>
      </w:r>
      <w:r>
        <w:rPr>
          <w:rFonts w:hint="eastAsia" w:ascii="宋体" w:hAnsi="宋体" w:eastAsia="宋体" w:cs="宋体"/>
          <w:i w:val="0"/>
          <w:iCs w:val="0"/>
          <w:color w:val="auto"/>
          <w:sz w:val="21"/>
          <w:szCs w:val="21"/>
          <w:highlight w:val="none"/>
          <w:shd w:val="clear" w:color="auto" w:fill="auto"/>
          <w:lang w:val="en-US" w:eastAsia="zh-CN"/>
        </w:rPr>
        <w:t>应当根据采购项目的具体情况，委托有资质的第三方机构进行项目验收，验收费用由中标供应商支付。</w:t>
      </w:r>
    </w:p>
    <w:p w14:paraId="61252984">
      <w:pPr>
        <w:pageBreakBefore w:val="0"/>
        <w:widowControl w:val="0"/>
        <w:kinsoku/>
        <w:wordWrap/>
        <w:overflowPunct/>
        <w:topLinePunct w:val="0"/>
        <w:bidi w:val="0"/>
        <w:snapToGrid/>
        <w:spacing w:line="360" w:lineRule="auto"/>
        <w:ind w:firstLine="420" w:firstLineChars="200"/>
        <w:textAlignment w:val="auto"/>
        <w:rPr>
          <w:rFonts w:hint="eastAsia" w:ascii="宋体" w:hAnsi="宋体" w:eastAsia="宋体" w:cs="宋体"/>
          <w:i w:val="0"/>
          <w:iCs w:val="0"/>
          <w:color w:val="auto"/>
          <w:sz w:val="21"/>
          <w:szCs w:val="21"/>
          <w:highlight w:val="none"/>
          <w:shd w:val="clear" w:color="auto" w:fill="auto"/>
          <w:lang w:val="en-US" w:eastAsia="zh-CN"/>
        </w:rPr>
      </w:pPr>
      <w:r>
        <w:rPr>
          <w:rFonts w:hint="eastAsia" w:ascii="宋体" w:hAnsi="宋体" w:eastAsia="宋体" w:cs="宋体"/>
          <w:i w:val="0"/>
          <w:iCs w:val="0"/>
          <w:color w:val="auto"/>
          <w:sz w:val="21"/>
          <w:szCs w:val="21"/>
          <w:highlight w:val="none"/>
          <w:shd w:val="clear" w:color="auto" w:fill="auto"/>
          <w:lang w:val="en-US" w:eastAsia="zh-CN"/>
        </w:rPr>
        <w:t>3、严格按照采购合同开展履约验收。按照采购合同的约定对供应商履约情况进行验收。验收时，按照采购合同的约定对每一项技术、服务、安全标准的履约情况进行确认。</w:t>
      </w:r>
    </w:p>
    <w:p w14:paraId="15352F55">
      <w:pPr>
        <w:pageBreakBefore w:val="0"/>
        <w:widowControl w:val="0"/>
        <w:kinsoku/>
        <w:wordWrap/>
        <w:overflowPunct/>
        <w:topLinePunct w:val="0"/>
        <w:bidi w:val="0"/>
        <w:snapToGrid/>
        <w:spacing w:line="360" w:lineRule="auto"/>
        <w:ind w:firstLine="420" w:firstLineChars="200"/>
        <w:textAlignment w:val="auto"/>
        <w:rPr>
          <w:rFonts w:hint="eastAsia" w:ascii="宋体" w:hAnsi="宋体" w:eastAsia="宋体" w:cs="宋体"/>
          <w:i w:val="0"/>
          <w:iCs w:val="0"/>
          <w:color w:val="auto"/>
          <w:sz w:val="21"/>
          <w:szCs w:val="21"/>
          <w:highlight w:val="none"/>
          <w:shd w:val="clear" w:color="auto" w:fill="auto"/>
          <w:lang w:val="en-US" w:eastAsia="zh-CN"/>
        </w:rPr>
      </w:pPr>
      <w:r>
        <w:rPr>
          <w:rFonts w:hint="eastAsia" w:ascii="宋体" w:hAnsi="宋体" w:eastAsia="宋体" w:cs="宋体"/>
          <w:i w:val="0"/>
          <w:iCs w:val="0"/>
          <w:color w:val="auto"/>
          <w:sz w:val="21"/>
          <w:szCs w:val="21"/>
          <w:highlight w:val="none"/>
          <w:shd w:val="clear" w:color="auto" w:fill="auto"/>
          <w:lang w:val="en-US" w:eastAsia="zh-CN"/>
        </w:rPr>
        <w:t>4、验收合格的项目，</w:t>
      </w:r>
      <w:r>
        <w:rPr>
          <w:rFonts w:hint="eastAsia" w:ascii="宋体" w:hAnsi="宋体" w:cs="宋体"/>
          <w:i w:val="0"/>
          <w:iCs w:val="0"/>
          <w:color w:val="auto"/>
          <w:sz w:val="21"/>
          <w:szCs w:val="21"/>
          <w:highlight w:val="none"/>
          <w:shd w:val="clear" w:color="auto" w:fill="auto"/>
          <w:lang w:val="en-US" w:eastAsia="zh-CN"/>
        </w:rPr>
        <w:t>采购单位</w:t>
      </w:r>
      <w:r>
        <w:rPr>
          <w:rFonts w:hint="eastAsia" w:ascii="宋体" w:hAnsi="宋体" w:eastAsia="宋体" w:cs="宋体"/>
          <w:i w:val="0"/>
          <w:iCs w:val="0"/>
          <w:color w:val="auto"/>
          <w:sz w:val="21"/>
          <w:szCs w:val="21"/>
          <w:highlight w:val="none"/>
          <w:shd w:val="clear" w:color="auto" w:fill="auto"/>
          <w:lang w:val="en-US" w:eastAsia="zh-CN"/>
        </w:rPr>
        <w:t>将根据采购合同的约定及时向供应商支付采购资金、退还履约保证金。验收不合格的项目，</w:t>
      </w:r>
      <w:r>
        <w:rPr>
          <w:rFonts w:hint="eastAsia" w:ascii="宋体" w:hAnsi="宋体" w:cs="宋体"/>
          <w:i w:val="0"/>
          <w:iCs w:val="0"/>
          <w:color w:val="auto"/>
          <w:sz w:val="21"/>
          <w:szCs w:val="21"/>
          <w:highlight w:val="none"/>
          <w:shd w:val="clear" w:color="auto" w:fill="auto"/>
          <w:lang w:val="en-US" w:eastAsia="zh-CN"/>
        </w:rPr>
        <w:t>采购单位</w:t>
      </w:r>
      <w:r>
        <w:rPr>
          <w:rFonts w:hint="eastAsia" w:ascii="宋体" w:hAnsi="宋体" w:eastAsia="宋体" w:cs="宋体"/>
          <w:i w:val="0"/>
          <w:iCs w:val="0"/>
          <w:color w:val="auto"/>
          <w:sz w:val="21"/>
          <w:szCs w:val="21"/>
          <w:highlight w:val="none"/>
          <w:shd w:val="clear" w:color="auto" w:fill="auto"/>
          <w:lang w:val="en-US" w:eastAsia="zh-CN"/>
        </w:rPr>
        <w:t>将依法及时处理。采购合同的履行、违约责任和解决争议的方式等适用《中华人民共和国民法典》。供应商在履约过程中有政府采购法律法规规定的违法违规情形的，</w:t>
      </w:r>
      <w:r>
        <w:rPr>
          <w:rFonts w:hint="eastAsia" w:ascii="宋体" w:hAnsi="宋体" w:cs="宋体"/>
          <w:i w:val="0"/>
          <w:iCs w:val="0"/>
          <w:color w:val="auto"/>
          <w:sz w:val="21"/>
          <w:szCs w:val="21"/>
          <w:highlight w:val="none"/>
          <w:shd w:val="clear" w:color="auto" w:fill="auto"/>
          <w:lang w:val="en-US" w:eastAsia="zh-CN"/>
        </w:rPr>
        <w:t>采购单位</w:t>
      </w:r>
      <w:r>
        <w:rPr>
          <w:rFonts w:hint="eastAsia" w:ascii="宋体" w:hAnsi="宋体" w:eastAsia="宋体" w:cs="宋体"/>
          <w:i w:val="0"/>
          <w:iCs w:val="0"/>
          <w:color w:val="auto"/>
          <w:sz w:val="21"/>
          <w:szCs w:val="21"/>
          <w:highlight w:val="none"/>
          <w:shd w:val="clear" w:color="auto" w:fill="auto"/>
          <w:lang w:val="en-US" w:eastAsia="zh-CN"/>
        </w:rPr>
        <w:t>应当及时报告本级财政部门。</w:t>
      </w:r>
    </w:p>
    <w:p w14:paraId="0345A8DD">
      <w:pPr>
        <w:spacing w:line="360" w:lineRule="auto"/>
        <w:ind w:firstLine="413" w:firstLineChars="196"/>
        <w:rPr>
          <w:rFonts w:hint="eastAsia" w:ascii="宋体" w:hAnsi="宋体" w:cs="宋体"/>
          <w:b/>
          <w:color w:val="auto"/>
          <w:szCs w:val="21"/>
          <w:highlight w:val="none"/>
          <w:lang w:val="en-US" w:eastAsia="zh-CN"/>
        </w:rPr>
      </w:pPr>
      <w:r>
        <w:rPr>
          <w:rFonts w:hint="eastAsia" w:ascii="宋体" w:hAnsi="宋体" w:cs="宋体"/>
          <w:b/>
          <w:color w:val="auto"/>
          <w:szCs w:val="21"/>
          <w:highlight w:val="none"/>
          <w:lang w:val="en-US" w:eastAsia="zh-CN"/>
        </w:rPr>
        <w:t>九、服务期限</w:t>
      </w:r>
    </w:p>
    <w:p w14:paraId="79DBED4F">
      <w:pPr>
        <w:pStyle w:val="33"/>
        <w:spacing w:line="360" w:lineRule="auto"/>
        <w:rPr>
          <w:rFonts w:hint="eastAsia" w:ascii="宋体" w:hAnsi="宋体" w:eastAsia="宋体" w:cs="宋体"/>
          <w:i w:val="0"/>
          <w:iCs w:val="0"/>
          <w:color w:val="auto"/>
          <w:kern w:val="2"/>
          <w:sz w:val="21"/>
          <w:szCs w:val="21"/>
          <w:highlight w:val="none"/>
          <w:shd w:val="clear" w:color="auto" w:fill="auto"/>
          <w:lang w:val="en-US" w:eastAsia="zh-CN" w:bidi="ar-SA"/>
        </w:rPr>
      </w:pPr>
      <w:r>
        <w:rPr>
          <w:rFonts w:hint="eastAsia" w:ascii="宋体" w:hAnsi="宋体" w:eastAsia="宋体" w:cs="宋体"/>
          <w:i w:val="0"/>
          <w:iCs w:val="0"/>
          <w:color w:val="auto"/>
          <w:kern w:val="2"/>
          <w:sz w:val="21"/>
          <w:szCs w:val="21"/>
          <w:highlight w:val="none"/>
          <w:shd w:val="clear" w:color="auto" w:fill="auto"/>
          <w:lang w:val="en-US" w:eastAsia="zh-CN" w:bidi="ar-SA"/>
        </w:rPr>
        <w:t>2025年4月-7月</w:t>
      </w:r>
    </w:p>
    <w:p w14:paraId="3855D5E4">
      <w:pPr>
        <w:spacing w:line="360" w:lineRule="auto"/>
        <w:ind w:firstLine="413" w:firstLineChars="196"/>
        <w:rPr>
          <w:rFonts w:hint="eastAsia" w:ascii="宋体" w:hAnsi="宋体" w:cs="宋体"/>
          <w:b/>
          <w:color w:val="auto"/>
          <w:szCs w:val="21"/>
          <w:highlight w:val="none"/>
          <w:lang w:val="en-US" w:eastAsia="zh-CN"/>
        </w:rPr>
      </w:pPr>
      <w:r>
        <w:rPr>
          <w:rFonts w:hint="eastAsia" w:ascii="宋体" w:hAnsi="宋体" w:cs="宋体"/>
          <w:b/>
          <w:color w:val="auto"/>
          <w:szCs w:val="21"/>
          <w:highlight w:val="none"/>
          <w:lang w:val="en-US" w:eastAsia="zh-CN"/>
        </w:rPr>
        <w:t>十、付款方式</w:t>
      </w:r>
    </w:p>
    <w:p w14:paraId="5CA74A57">
      <w:pPr>
        <w:pStyle w:val="12"/>
        <w:snapToGrid w:val="0"/>
        <w:spacing w:line="360" w:lineRule="auto"/>
        <w:ind w:firstLine="420" w:firstLineChars="200"/>
        <w:rPr>
          <w:rFonts w:hint="eastAsia" w:ascii="宋体" w:hAnsi="宋体" w:eastAsia="宋体" w:cs="宋体"/>
          <w:i w:val="0"/>
          <w:iCs w:val="0"/>
          <w:color w:val="auto"/>
          <w:sz w:val="21"/>
          <w:szCs w:val="21"/>
          <w:highlight w:val="none"/>
          <w:shd w:val="clear" w:color="auto" w:fill="auto"/>
        </w:rPr>
      </w:pPr>
      <w:r>
        <w:rPr>
          <w:rFonts w:hint="eastAsia" w:ascii="宋体" w:hAnsi="宋体" w:eastAsia="宋体" w:cs="宋体"/>
          <w:i w:val="0"/>
          <w:iCs w:val="0"/>
          <w:color w:val="auto"/>
          <w:sz w:val="21"/>
          <w:szCs w:val="21"/>
          <w:highlight w:val="none"/>
          <w:shd w:val="clear" w:color="auto" w:fill="auto"/>
        </w:rPr>
        <w:t>第一笔付款：合同签订后，</w:t>
      </w:r>
      <w:r>
        <w:rPr>
          <w:rFonts w:hint="eastAsia" w:ascii="宋体" w:hAnsi="宋体" w:eastAsia="宋体" w:cs="宋体"/>
          <w:i w:val="0"/>
          <w:iCs w:val="0"/>
          <w:color w:val="auto"/>
          <w:sz w:val="21"/>
          <w:szCs w:val="21"/>
          <w:highlight w:val="none"/>
          <w:shd w:val="clear" w:color="auto" w:fill="auto"/>
          <w:lang w:val="en-US" w:eastAsia="zh-CN"/>
        </w:rPr>
        <w:t>甲方</w:t>
      </w:r>
      <w:r>
        <w:rPr>
          <w:rFonts w:hint="eastAsia" w:ascii="宋体" w:hAnsi="宋体" w:eastAsia="宋体" w:cs="宋体"/>
          <w:i w:val="0"/>
          <w:iCs w:val="0"/>
          <w:color w:val="auto"/>
          <w:sz w:val="21"/>
          <w:szCs w:val="21"/>
          <w:highlight w:val="none"/>
          <w:shd w:val="clear" w:color="auto" w:fill="auto"/>
        </w:rPr>
        <w:t>收到乙方</w:t>
      </w:r>
      <w:r>
        <w:rPr>
          <w:rFonts w:hint="eastAsia" w:ascii="宋体" w:hAnsi="宋体" w:eastAsia="宋体" w:cs="宋体"/>
          <w:i w:val="0"/>
          <w:iCs w:val="0"/>
          <w:color w:val="auto"/>
          <w:sz w:val="21"/>
          <w:szCs w:val="21"/>
          <w:highlight w:val="none"/>
          <w:shd w:val="clear" w:color="auto" w:fill="auto"/>
          <w:lang w:val="en-US" w:eastAsia="zh-CN"/>
        </w:rPr>
        <w:t>开具的正规</w:t>
      </w:r>
      <w:r>
        <w:rPr>
          <w:rFonts w:hint="eastAsia" w:ascii="宋体" w:hAnsi="宋体" w:eastAsia="宋体" w:cs="宋体"/>
          <w:i w:val="0"/>
          <w:iCs w:val="0"/>
          <w:color w:val="auto"/>
          <w:sz w:val="21"/>
          <w:szCs w:val="21"/>
          <w:highlight w:val="none"/>
          <w:shd w:val="clear" w:color="auto" w:fill="auto"/>
        </w:rPr>
        <w:t>发票5个工作日内支付合同款的</w:t>
      </w:r>
      <w:r>
        <w:rPr>
          <w:rFonts w:hint="eastAsia" w:ascii="宋体" w:hAnsi="宋体" w:eastAsia="宋体" w:cs="宋体"/>
          <w:i w:val="0"/>
          <w:iCs w:val="0"/>
          <w:color w:val="auto"/>
          <w:sz w:val="21"/>
          <w:szCs w:val="21"/>
          <w:highlight w:val="none"/>
          <w:shd w:val="clear" w:color="auto" w:fill="auto"/>
          <w:lang w:val="en-US" w:eastAsia="zh-CN"/>
        </w:rPr>
        <w:t>50</w:t>
      </w:r>
      <w:r>
        <w:rPr>
          <w:rFonts w:hint="eastAsia" w:ascii="宋体" w:hAnsi="宋体" w:eastAsia="宋体" w:cs="宋体"/>
          <w:i w:val="0"/>
          <w:iCs w:val="0"/>
          <w:color w:val="auto"/>
          <w:sz w:val="21"/>
          <w:szCs w:val="21"/>
          <w:highlight w:val="none"/>
          <w:shd w:val="clear" w:color="auto" w:fill="auto"/>
        </w:rPr>
        <w:t>%。</w:t>
      </w:r>
    </w:p>
    <w:p w14:paraId="4EA10DC2">
      <w:pPr>
        <w:pStyle w:val="12"/>
        <w:snapToGrid w:val="0"/>
        <w:spacing w:line="360" w:lineRule="auto"/>
        <w:ind w:firstLine="420" w:firstLineChars="200"/>
        <w:rPr>
          <w:rFonts w:hint="eastAsia" w:ascii="宋体" w:hAnsi="宋体" w:eastAsia="宋体" w:cs="宋体"/>
          <w:i w:val="0"/>
          <w:iCs w:val="0"/>
          <w:color w:val="auto"/>
          <w:sz w:val="21"/>
          <w:szCs w:val="21"/>
          <w:highlight w:val="none"/>
          <w:shd w:val="clear" w:color="auto" w:fill="auto"/>
          <w:lang w:val="en-US" w:eastAsia="zh-CN"/>
        </w:rPr>
      </w:pPr>
      <w:r>
        <w:rPr>
          <w:rFonts w:hint="eastAsia" w:ascii="宋体" w:hAnsi="宋体" w:eastAsia="宋体" w:cs="宋体"/>
          <w:i w:val="0"/>
          <w:iCs w:val="0"/>
          <w:color w:val="auto"/>
          <w:sz w:val="21"/>
          <w:szCs w:val="21"/>
          <w:highlight w:val="none"/>
          <w:shd w:val="clear" w:color="auto" w:fill="auto"/>
        </w:rPr>
        <w:t>第二笔付款：</w:t>
      </w:r>
      <w:r>
        <w:rPr>
          <w:rFonts w:hint="eastAsia" w:ascii="宋体" w:hAnsi="宋体" w:eastAsia="宋体" w:cs="宋体"/>
          <w:i w:val="0"/>
          <w:iCs w:val="0"/>
          <w:color w:val="auto"/>
          <w:sz w:val="21"/>
          <w:szCs w:val="21"/>
          <w:highlight w:val="none"/>
          <w:shd w:val="clear" w:color="auto" w:fill="auto"/>
          <w:lang w:val="en-US" w:eastAsia="zh-CN"/>
        </w:rPr>
        <w:t>赛事结束后，</w:t>
      </w:r>
      <w:r>
        <w:rPr>
          <w:rFonts w:hint="eastAsia" w:ascii="宋体" w:hAnsi="宋体" w:eastAsia="宋体" w:cs="宋体"/>
          <w:i w:val="0"/>
          <w:iCs w:val="0"/>
          <w:color w:val="auto"/>
          <w:sz w:val="21"/>
          <w:szCs w:val="21"/>
          <w:highlight w:val="none"/>
          <w:shd w:val="clear" w:color="auto" w:fill="auto"/>
        </w:rPr>
        <w:t>甲方在收到乙方</w:t>
      </w:r>
      <w:r>
        <w:rPr>
          <w:rFonts w:hint="eastAsia" w:ascii="宋体" w:hAnsi="宋体" w:eastAsia="宋体" w:cs="宋体"/>
          <w:i w:val="0"/>
          <w:iCs w:val="0"/>
          <w:color w:val="auto"/>
          <w:sz w:val="21"/>
          <w:szCs w:val="21"/>
          <w:highlight w:val="none"/>
          <w:shd w:val="clear" w:color="auto" w:fill="auto"/>
          <w:lang w:val="en-US" w:eastAsia="zh-CN"/>
        </w:rPr>
        <w:t>开具的正规</w:t>
      </w:r>
      <w:r>
        <w:rPr>
          <w:rFonts w:hint="eastAsia" w:ascii="宋体" w:hAnsi="宋体" w:eastAsia="宋体" w:cs="宋体"/>
          <w:i w:val="0"/>
          <w:iCs w:val="0"/>
          <w:color w:val="auto"/>
          <w:sz w:val="21"/>
          <w:szCs w:val="21"/>
          <w:highlight w:val="none"/>
          <w:shd w:val="clear" w:color="auto" w:fill="auto"/>
        </w:rPr>
        <w:t>发票5个工作日内向乙方支付合同款</w:t>
      </w:r>
      <w:r>
        <w:rPr>
          <w:rFonts w:hint="eastAsia" w:ascii="宋体" w:hAnsi="宋体" w:eastAsia="宋体" w:cs="宋体"/>
          <w:i w:val="0"/>
          <w:iCs w:val="0"/>
          <w:color w:val="auto"/>
          <w:sz w:val="21"/>
          <w:szCs w:val="21"/>
          <w:highlight w:val="none"/>
          <w:shd w:val="clear" w:color="auto" w:fill="auto"/>
          <w:lang w:val="en-US" w:eastAsia="zh-CN"/>
        </w:rPr>
        <w:t>的30%。</w:t>
      </w:r>
    </w:p>
    <w:p w14:paraId="7FE630C6">
      <w:pPr>
        <w:pStyle w:val="12"/>
        <w:snapToGrid w:val="0"/>
        <w:spacing w:line="360" w:lineRule="auto"/>
        <w:ind w:firstLine="420" w:firstLineChars="200"/>
        <w:rPr>
          <w:rFonts w:hint="default" w:ascii="宋体" w:hAnsi="宋体" w:eastAsia="宋体" w:cs="宋体"/>
          <w:i w:val="0"/>
          <w:iCs w:val="0"/>
          <w:color w:val="auto"/>
          <w:sz w:val="21"/>
          <w:szCs w:val="21"/>
          <w:highlight w:val="none"/>
          <w:shd w:val="clear" w:color="auto" w:fill="auto"/>
          <w:lang w:val="en-US" w:eastAsia="zh-CN"/>
        </w:rPr>
      </w:pPr>
      <w:r>
        <w:rPr>
          <w:rFonts w:hint="eastAsia" w:ascii="宋体" w:hAnsi="宋体" w:eastAsia="宋体" w:cs="宋体"/>
          <w:i w:val="0"/>
          <w:iCs w:val="0"/>
          <w:color w:val="auto"/>
          <w:sz w:val="21"/>
          <w:szCs w:val="21"/>
          <w:highlight w:val="none"/>
          <w:shd w:val="clear" w:color="auto" w:fill="auto"/>
          <w:lang w:val="en-US" w:eastAsia="zh-CN"/>
        </w:rPr>
        <w:t>第三笔付款：通过项目验收合格后，</w:t>
      </w:r>
      <w:r>
        <w:rPr>
          <w:rFonts w:hint="eastAsia" w:ascii="宋体" w:hAnsi="宋体" w:eastAsia="宋体" w:cs="宋体"/>
          <w:i w:val="0"/>
          <w:iCs w:val="0"/>
          <w:color w:val="auto"/>
          <w:sz w:val="21"/>
          <w:szCs w:val="21"/>
          <w:highlight w:val="none"/>
          <w:shd w:val="clear" w:color="auto" w:fill="auto"/>
        </w:rPr>
        <w:t>甲方在收到乙方</w:t>
      </w:r>
      <w:r>
        <w:rPr>
          <w:rFonts w:hint="eastAsia" w:ascii="宋体" w:hAnsi="宋体" w:eastAsia="宋体" w:cs="宋体"/>
          <w:i w:val="0"/>
          <w:iCs w:val="0"/>
          <w:color w:val="auto"/>
          <w:sz w:val="21"/>
          <w:szCs w:val="21"/>
          <w:highlight w:val="none"/>
          <w:shd w:val="clear" w:color="auto" w:fill="auto"/>
          <w:lang w:val="en-US" w:eastAsia="zh-CN"/>
        </w:rPr>
        <w:t>开具的正规</w:t>
      </w:r>
      <w:r>
        <w:rPr>
          <w:rFonts w:hint="eastAsia" w:ascii="宋体" w:hAnsi="宋体" w:eastAsia="宋体" w:cs="宋体"/>
          <w:i w:val="0"/>
          <w:iCs w:val="0"/>
          <w:color w:val="auto"/>
          <w:sz w:val="21"/>
          <w:szCs w:val="21"/>
          <w:highlight w:val="none"/>
          <w:shd w:val="clear" w:color="auto" w:fill="auto"/>
        </w:rPr>
        <w:t>发票5个工作日内向乙方支付合同款</w:t>
      </w:r>
      <w:r>
        <w:rPr>
          <w:rFonts w:hint="eastAsia" w:ascii="宋体" w:hAnsi="宋体" w:eastAsia="宋体" w:cs="宋体"/>
          <w:i w:val="0"/>
          <w:iCs w:val="0"/>
          <w:color w:val="auto"/>
          <w:sz w:val="21"/>
          <w:szCs w:val="21"/>
          <w:highlight w:val="none"/>
          <w:shd w:val="clear" w:color="auto" w:fill="auto"/>
          <w:lang w:val="en-US" w:eastAsia="zh-CN"/>
        </w:rPr>
        <w:t>20%。</w:t>
      </w:r>
    </w:p>
    <w:p w14:paraId="546D4ADC">
      <w:pPr>
        <w:spacing w:line="360" w:lineRule="auto"/>
        <w:ind w:firstLine="422" w:firstLineChars="200"/>
        <w:rPr>
          <w:rFonts w:hint="eastAsia" w:ascii="宋体" w:hAnsi="宋体" w:cs="宋体"/>
          <w:b/>
          <w:bCs/>
          <w:color w:val="auto"/>
          <w:szCs w:val="21"/>
          <w:highlight w:val="none"/>
        </w:rPr>
      </w:pPr>
      <w:r>
        <w:rPr>
          <w:rFonts w:hint="eastAsia" w:ascii="宋体" w:hAnsi="宋体" w:cs="宋体"/>
          <w:b/>
          <w:bCs/>
          <w:color w:val="auto"/>
          <w:highlight w:val="none"/>
        </w:rPr>
        <w:t>注：付款前中标人应按规定向</w:t>
      </w:r>
      <w:r>
        <w:rPr>
          <w:rFonts w:hint="eastAsia" w:ascii="宋体" w:hAnsi="宋体" w:cs="宋体"/>
          <w:b/>
          <w:bCs/>
          <w:color w:val="auto"/>
          <w:highlight w:val="none"/>
          <w:lang w:eastAsia="zh-CN"/>
        </w:rPr>
        <w:t>采购单位</w:t>
      </w:r>
      <w:r>
        <w:rPr>
          <w:rFonts w:hint="eastAsia" w:ascii="宋体" w:hAnsi="宋体" w:cs="宋体"/>
          <w:b/>
          <w:bCs/>
          <w:color w:val="auto"/>
          <w:highlight w:val="none"/>
        </w:rPr>
        <w:t>开具正规发票。</w:t>
      </w:r>
    </w:p>
    <w:p w14:paraId="713EA2EE">
      <w:pPr>
        <w:pStyle w:val="2"/>
        <w:ind w:left="0" w:leftChars="0" w:firstLine="0" w:firstLineChars="0"/>
        <w:rPr>
          <w:color w:val="auto"/>
          <w:highlight w:val="none"/>
        </w:rPr>
      </w:pPr>
    </w:p>
    <w:p w14:paraId="563B6070">
      <w:pPr>
        <w:pStyle w:val="83"/>
        <w:ind w:left="0" w:leftChars="0" w:firstLine="0" w:firstLineChars="0"/>
        <w:rPr>
          <w:color w:val="auto"/>
          <w:highlight w:val="none"/>
        </w:rPr>
      </w:pPr>
    </w:p>
    <w:p w14:paraId="0F7D2250">
      <w:pPr>
        <w:spacing w:line="360" w:lineRule="auto"/>
        <w:ind w:firstLine="413" w:firstLineChars="196"/>
        <w:rPr>
          <w:rFonts w:ascii="宋体" w:hAnsi="宋体" w:cs="宋体"/>
          <w:b/>
          <w:color w:val="auto"/>
          <w:kern w:val="0"/>
          <w:szCs w:val="21"/>
        </w:rPr>
      </w:pPr>
      <w:r>
        <w:rPr>
          <w:rFonts w:hint="eastAsia" w:ascii="宋体" w:hAnsi="宋体" w:cs="宋体"/>
          <w:b/>
          <w:color w:val="auto"/>
          <w:kern w:val="0"/>
          <w:szCs w:val="21"/>
          <w:lang w:val="en-US" w:eastAsia="zh-CN"/>
        </w:rPr>
        <w:t>十一</w:t>
      </w:r>
      <w:r>
        <w:rPr>
          <w:rFonts w:hint="eastAsia" w:ascii="宋体" w:hAnsi="宋体" w:cs="宋体"/>
          <w:b/>
          <w:color w:val="auto"/>
          <w:szCs w:val="21"/>
          <w:highlight w:val="none"/>
          <w:lang w:val="en-US" w:eastAsia="zh-CN"/>
        </w:rPr>
        <w:t>、</w:t>
      </w:r>
      <w:r>
        <w:rPr>
          <w:rFonts w:hint="eastAsia" w:ascii="宋体" w:hAnsi="宋体" w:cs="宋体"/>
          <w:b/>
          <w:color w:val="auto"/>
          <w:kern w:val="0"/>
          <w:szCs w:val="21"/>
        </w:rPr>
        <w:t>合同的变更和终止</w:t>
      </w:r>
    </w:p>
    <w:p w14:paraId="6DA41B4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20" w:lineRule="exact"/>
        <w:ind w:firstLine="420" w:firstLineChars="200"/>
        <w:jc w:val="both"/>
        <w:rPr>
          <w:rFonts w:ascii="宋体" w:hAnsi="宋体" w:cs="宋体"/>
          <w:color w:val="auto"/>
          <w:kern w:val="0"/>
          <w:szCs w:val="21"/>
        </w:rPr>
      </w:pPr>
      <w:r>
        <w:rPr>
          <w:rFonts w:hint="eastAsia" w:ascii="宋体" w:hAnsi="宋体" w:cs="宋体"/>
          <w:color w:val="auto"/>
          <w:kern w:val="0"/>
          <w:szCs w:val="21"/>
        </w:rPr>
        <w:t>除《政府采购法》第49条、第50条第二款规定的情形外，本合同一经签订，甲乙双方不得擅自终止合同或对合同实质性条款进行变更。确有特殊情况的，须经同级财政部门备案同意。</w:t>
      </w:r>
    </w:p>
    <w:p w14:paraId="62AF7AA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20" w:lineRule="exact"/>
        <w:ind w:firstLine="422" w:firstLineChars="200"/>
        <w:jc w:val="both"/>
        <w:rPr>
          <w:rFonts w:ascii="宋体" w:hAnsi="宋体" w:cs="宋体"/>
          <w:b/>
          <w:color w:val="auto"/>
          <w:kern w:val="0"/>
          <w:szCs w:val="21"/>
        </w:rPr>
      </w:pPr>
      <w:r>
        <w:rPr>
          <w:rFonts w:hint="eastAsia" w:ascii="宋体" w:hAnsi="宋体" w:cs="宋体"/>
          <w:b/>
          <w:color w:val="auto"/>
          <w:kern w:val="0"/>
          <w:szCs w:val="21"/>
          <w:lang w:val="en-US" w:eastAsia="zh-CN"/>
        </w:rPr>
        <w:t>十二、</w:t>
      </w:r>
      <w:r>
        <w:rPr>
          <w:rFonts w:hint="eastAsia" w:ascii="宋体" w:hAnsi="宋体" w:cs="宋体"/>
          <w:b/>
          <w:color w:val="auto"/>
          <w:kern w:val="0"/>
          <w:szCs w:val="21"/>
        </w:rPr>
        <w:t xml:space="preserve"> 合同的转让与分包</w:t>
      </w:r>
    </w:p>
    <w:p w14:paraId="4B60224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20" w:lineRule="exact"/>
        <w:ind w:firstLine="420" w:firstLineChars="200"/>
        <w:jc w:val="both"/>
        <w:rPr>
          <w:rFonts w:hint="eastAsia" w:ascii="宋体" w:hAnsi="宋体" w:cs="宋体"/>
          <w:b/>
          <w:color w:val="auto"/>
          <w:kern w:val="0"/>
          <w:szCs w:val="21"/>
        </w:rPr>
      </w:pPr>
      <w:r>
        <w:rPr>
          <w:rFonts w:hint="eastAsia" w:ascii="宋体" w:hAnsi="宋体" w:cs="宋体"/>
          <w:color w:val="auto"/>
          <w:kern w:val="0"/>
          <w:szCs w:val="21"/>
        </w:rPr>
        <w:t>乙方不得擅自部分或全部转让其应履行的合同义务。</w:t>
      </w:r>
    </w:p>
    <w:p w14:paraId="506F4D1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20" w:lineRule="exact"/>
        <w:ind w:firstLine="422" w:firstLineChars="200"/>
        <w:jc w:val="both"/>
        <w:rPr>
          <w:rFonts w:ascii="宋体" w:hAnsi="宋体" w:cs="宋体"/>
          <w:b/>
          <w:color w:val="auto"/>
          <w:kern w:val="0"/>
          <w:szCs w:val="21"/>
        </w:rPr>
      </w:pPr>
      <w:r>
        <w:rPr>
          <w:rFonts w:hint="eastAsia" w:ascii="宋体" w:hAnsi="宋体" w:cs="宋体"/>
          <w:b/>
          <w:color w:val="auto"/>
          <w:kern w:val="0"/>
          <w:szCs w:val="21"/>
          <w:lang w:val="en-US" w:eastAsia="zh-CN"/>
        </w:rPr>
        <w:t>十三、</w:t>
      </w:r>
      <w:r>
        <w:rPr>
          <w:rFonts w:hint="eastAsia" w:ascii="宋体" w:hAnsi="宋体" w:cs="宋体"/>
          <w:b/>
          <w:color w:val="auto"/>
          <w:kern w:val="0"/>
          <w:szCs w:val="21"/>
        </w:rPr>
        <w:t xml:space="preserve"> 争议的解决</w:t>
      </w:r>
    </w:p>
    <w:p w14:paraId="27B5B33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20" w:lineRule="exact"/>
        <w:ind w:firstLine="420" w:firstLineChars="200"/>
        <w:jc w:val="both"/>
        <w:rPr>
          <w:rFonts w:ascii="宋体" w:hAnsi="宋体" w:cs="宋体"/>
          <w:color w:val="auto"/>
          <w:kern w:val="0"/>
          <w:szCs w:val="21"/>
        </w:rPr>
      </w:pPr>
      <w:bookmarkStart w:id="64" w:name="OLE_LINK3"/>
      <w:r>
        <w:rPr>
          <w:rFonts w:hint="eastAsia" w:ascii="宋体" w:hAnsi="宋体" w:cs="宋体"/>
          <w:color w:val="auto"/>
          <w:kern w:val="0"/>
          <w:szCs w:val="21"/>
        </w:rPr>
        <w:t>1</w:t>
      </w:r>
      <w:r>
        <w:rPr>
          <w:rFonts w:hint="eastAsia" w:ascii="宋体" w:hAnsi="宋体" w:cs="宋体"/>
          <w:color w:val="auto"/>
          <w:kern w:val="0"/>
          <w:szCs w:val="21"/>
          <w:lang w:val="en-US" w:eastAsia="zh-CN"/>
        </w:rPr>
        <w:t>.</w:t>
      </w:r>
      <w:r>
        <w:rPr>
          <w:rFonts w:hint="eastAsia" w:ascii="宋体" w:hAnsi="宋体" w:cs="宋体"/>
          <w:color w:val="auto"/>
          <w:kern w:val="0"/>
          <w:szCs w:val="21"/>
        </w:rPr>
        <w:t>因履行本合同引起的或与本合同有关的争议，甲、乙双方应首先通过友好协商解决，如果协商不能解决争议，则采取以下第</w:t>
      </w:r>
      <w:r>
        <w:rPr>
          <w:rFonts w:hint="eastAsia" w:ascii="宋体" w:hAnsi="宋体" w:cs="宋体"/>
          <w:color w:val="auto"/>
          <w:kern w:val="0"/>
          <w:szCs w:val="21"/>
          <w:u w:val="single"/>
        </w:rPr>
        <w:t xml:space="preserve">  （1）  </w:t>
      </w:r>
      <w:r>
        <w:rPr>
          <w:rFonts w:hint="eastAsia" w:ascii="宋体" w:hAnsi="宋体" w:cs="宋体"/>
          <w:color w:val="auto"/>
          <w:kern w:val="0"/>
          <w:szCs w:val="21"/>
        </w:rPr>
        <w:t>种方式解决争议：</w:t>
      </w:r>
    </w:p>
    <w:p w14:paraId="46EE5EC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20" w:lineRule="exact"/>
        <w:ind w:firstLine="420" w:firstLineChars="200"/>
        <w:jc w:val="left"/>
        <w:rPr>
          <w:rFonts w:ascii="宋体" w:hAnsi="宋体" w:cs="宋体"/>
          <w:color w:val="auto"/>
          <w:kern w:val="0"/>
          <w:szCs w:val="21"/>
        </w:rPr>
      </w:pPr>
      <w:r>
        <w:rPr>
          <w:rFonts w:hint="eastAsia" w:ascii="宋体" w:hAnsi="宋体" w:cs="宋体"/>
          <w:color w:val="auto"/>
          <w:kern w:val="0"/>
          <w:szCs w:val="21"/>
        </w:rPr>
        <w:t>（1）向甲方所在地有管辖权的人民法院提起诉讼；</w:t>
      </w:r>
    </w:p>
    <w:p w14:paraId="07CBAC1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20" w:lineRule="exact"/>
        <w:ind w:firstLine="420" w:firstLineChars="200"/>
        <w:jc w:val="left"/>
        <w:rPr>
          <w:rFonts w:ascii="宋体" w:hAnsi="宋体" w:cs="宋体"/>
          <w:color w:val="auto"/>
          <w:kern w:val="0"/>
          <w:szCs w:val="21"/>
        </w:rPr>
      </w:pPr>
      <w:r>
        <w:rPr>
          <w:rFonts w:hint="eastAsia" w:ascii="宋体" w:hAnsi="宋体" w:cs="宋体"/>
          <w:color w:val="auto"/>
          <w:kern w:val="0"/>
          <w:szCs w:val="21"/>
        </w:rPr>
        <w:t>（2）向</w:t>
      </w:r>
      <w:r>
        <w:rPr>
          <w:rFonts w:hint="eastAsia" w:ascii="宋体" w:hAnsi="宋体" w:cs="宋体"/>
          <w:color w:val="auto"/>
          <w:kern w:val="0"/>
          <w:szCs w:val="21"/>
          <w:u w:val="single"/>
        </w:rPr>
        <w:t xml:space="preserve">  </w:t>
      </w:r>
      <w:r>
        <w:rPr>
          <w:rFonts w:hint="eastAsia" w:ascii="宋体" w:hAnsi="宋体" w:cs="宋体"/>
          <w:color w:val="auto"/>
          <w:kern w:val="0"/>
          <w:szCs w:val="21"/>
          <w:u w:val="single"/>
          <w:lang w:val="en-US" w:eastAsia="zh-CN"/>
        </w:rPr>
        <w:t>嵊泗</w:t>
      </w:r>
      <w:bookmarkStart w:id="73" w:name="_GoBack"/>
      <w:bookmarkEnd w:id="73"/>
      <w:r>
        <w:rPr>
          <w:rFonts w:hint="eastAsia" w:ascii="宋体" w:hAnsi="宋体" w:cs="宋体"/>
          <w:color w:val="auto"/>
          <w:kern w:val="0"/>
          <w:szCs w:val="21"/>
          <w:u w:val="single"/>
        </w:rPr>
        <w:t xml:space="preserve"> </w:t>
      </w:r>
      <w:r>
        <w:rPr>
          <w:rFonts w:hint="eastAsia" w:ascii="宋体" w:hAnsi="宋体" w:cs="宋体"/>
          <w:color w:val="auto"/>
          <w:kern w:val="0"/>
          <w:szCs w:val="21"/>
        </w:rPr>
        <w:t>仲裁委员申请仲裁。</w:t>
      </w:r>
    </w:p>
    <w:bookmarkEnd w:id="64"/>
    <w:p w14:paraId="480AA77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20" w:lineRule="exact"/>
        <w:ind w:firstLine="422" w:firstLineChars="200"/>
        <w:jc w:val="left"/>
        <w:rPr>
          <w:rFonts w:ascii="宋体" w:hAnsi="宋体" w:cs="宋体"/>
          <w:b/>
          <w:color w:val="auto"/>
          <w:kern w:val="0"/>
          <w:szCs w:val="21"/>
        </w:rPr>
      </w:pPr>
      <w:r>
        <w:rPr>
          <w:rFonts w:hint="eastAsia" w:ascii="宋体" w:hAnsi="宋体" w:cs="宋体"/>
          <w:b/>
          <w:color w:val="auto"/>
          <w:kern w:val="0"/>
          <w:szCs w:val="21"/>
          <w:lang w:val="en-US" w:eastAsia="zh-CN"/>
        </w:rPr>
        <w:t>十四、</w:t>
      </w:r>
      <w:r>
        <w:rPr>
          <w:rFonts w:hint="eastAsia" w:ascii="宋体" w:hAnsi="宋体" w:cs="宋体"/>
          <w:b/>
          <w:color w:val="auto"/>
          <w:kern w:val="0"/>
          <w:szCs w:val="21"/>
        </w:rPr>
        <w:t xml:space="preserve"> 合同备案及其他</w:t>
      </w:r>
    </w:p>
    <w:p w14:paraId="2A8B3E0D">
      <w:pPr>
        <w:widowControl/>
        <w:spacing w:line="420" w:lineRule="exact"/>
        <w:ind w:firstLine="420" w:firstLineChars="200"/>
        <w:jc w:val="left"/>
        <w:rPr>
          <w:rFonts w:ascii="宋体" w:hAnsi="宋体" w:cs="宋体"/>
          <w:b/>
          <w:bCs/>
          <w:color w:val="auto"/>
          <w:kern w:val="0"/>
          <w:sz w:val="30"/>
          <w:szCs w:val="30"/>
        </w:rPr>
      </w:pPr>
      <w:r>
        <w:rPr>
          <w:rFonts w:hint="eastAsia" w:ascii="宋体" w:hAnsi="宋体" w:cs="宋体"/>
          <w:color w:val="auto"/>
          <w:kern w:val="0"/>
          <w:szCs w:val="21"/>
        </w:rPr>
        <w:t>本合同一式</w:t>
      </w:r>
      <w:r>
        <w:rPr>
          <w:rFonts w:hint="eastAsia" w:ascii="宋体" w:hAnsi="宋体" w:cs="宋体"/>
          <w:color w:val="auto"/>
          <w:kern w:val="0"/>
          <w:szCs w:val="21"/>
          <w:u w:val="single"/>
        </w:rPr>
        <w:t xml:space="preserve"> 五 </w:t>
      </w:r>
      <w:r>
        <w:rPr>
          <w:rFonts w:hint="eastAsia" w:ascii="宋体" w:hAnsi="宋体" w:cs="宋体"/>
          <w:color w:val="auto"/>
          <w:kern w:val="0"/>
          <w:szCs w:val="21"/>
        </w:rPr>
        <w:t>份，甲乙双方各执</w:t>
      </w:r>
      <w:r>
        <w:rPr>
          <w:rFonts w:hint="eastAsia" w:ascii="宋体" w:hAnsi="宋体" w:cs="宋体"/>
          <w:color w:val="auto"/>
          <w:kern w:val="0"/>
          <w:szCs w:val="21"/>
          <w:u w:val="single"/>
        </w:rPr>
        <w:t xml:space="preserve"> 二 </w:t>
      </w:r>
      <w:r>
        <w:rPr>
          <w:rFonts w:hint="eastAsia" w:ascii="宋体" w:hAnsi="宋体" w:cs="宋体"/>
          <w:color w:val="auto"/>
          <w:kern w:val="0"/>
          <w:szCs w:val="21"/>
        </w:rPr>
        <w:t>份，</w:t>
      </w:r>
      <w:r>
        <w:rPr>
          <w:rFonts w:hint="eastAsia" w:ascii="宋体" w:hAnsi="宋体" w:cs="宋体"/>
          <w:color w:val="auto"/>
          <w:kern w:val="0"/>
          <w:szCs w:val="21"/>
          <w:u w:val="single"/>
        </w:rPr>
        <w:t xml:space="preserve"> 一 </w:t>
      </w:r>
      <w:r>
        <w:rPr>
          <w:rFonts w:hint="eastAsia" w:ascii="宋体" w:hAnsi="宋体" w:cs="宋体"/>
          <w:color w:val="auto"/>
          <w:kern w:val="0"/>
          <w:szCs w:val="21"/>
        </w:rPr>
        <w:t>份留采购代理单位存档备查。</w:t>
      </w:r>
      <w:r>
        <w:rPr>
          <w:rFonts w:hint="eastAsia" w:ascii="宋体" w:hAnsi="宋体" w:cs="宋体"/>
          <w:b/>
          <w:bCs/>
          <w:color w:val="auto"/>
          <w:kern w:val="0"/>
          <w:szCs w:val="21"/>
          <w:u w:val="single"/>
        </w:rPr>
        <w:t>（若执行“政采贷”，另加二份）</w:t>
      </w:r>
    </w:p>
    <w:p w14:paraId="332D6753">
      <w:pPr>
        <w:pStyle w:val="40"/>
      </w:pPr>
    </w:p>
    <w:p w14:paraId="29A0BBDE">
      <w:pPr>
        <w:pStyle w:val="15"/>
        <w:snapToGrid w:val="0"/>
        <w:spacing w:before="120" w:after="120" w:line="420" w:lineRule="exact"/>
        <w:jc w:val="center"/>
        <w:rPr>
          <w:rFonts w:hAnsi="宋体"/>
          <w:b/>
          <w:bCs/>
          <w:color w:val="auto"/>
          <w:sz w:val="28"/>
          <w:szCs w:val="28"/>
        </w:rPr>
      </w:pPr>
      <w:r>
        <w:rPr>
          <w:rFonts w:hint="eastAsia" w:hAnsi="宋体"/>
          <w:b/>
          <w:bCs/>
          <w:color w:val="auto"/>
          <w:kern w:val="0"/>
          <w:sz w:val="28"/>
          <w:szCs w:val="28"/>
        </w:rPr>
        <w:t>二、专用条款部分</w:t>
      </w:r>
    </w:p>
    <w:p w14:paraId="38EF19ED">
      <w:pPr>
        <w:autoSpaceDE w:val="0"/>
        <w:autoSpaceDN w:val="0"/>
        <w:adjustRightInd w:val="0"/>
        <w:spacing w:line="336" w:lineRule="auto"/>
        <w:ind w:firstLine="422" w:firstLineChars="200"/>
        <w:rPr>
          <w:rFonts w:ascii="宋体" w:hAnsi="宋体" w:cs="宋体"/>
          <w:b/>
          <w:color w:val="auto"/>
          <w:kern w:val="36"/>
          <w:szCs w:val="21"/>
        </w:rPr>
      </w:pPr>
      <w:r>
        <w:rPr>
          <w:rFonts w:hint="eastAsia" w:ascii="宋体" w:hAnsi="宋体" w:cs="宋体"/>
          <w:b/>
          <w:color w:val="auto"/>
          <w:kern w:val="36"/>
          <w:szCs w:val="21"/>
        </w:rPr>
        <w:t>......</w:t>
      </w:r>
    </w:p>
    <w:p w14:paraId="2438DEC2">
      <w:pPr>
        <w:pStyle w:val="15"/>
        <w:snapToGrid w:val="0"/>
        <w:spacing w:before="120" w:after="120" w:line="400" w:lineRule="exact"/>
        <w:rPr>
          <w:rFonts w:hAnsi="宋体"/>
          <w:color w:val="auto"/>
        </w:rPr>
      </w:pPr>
    </w:p>
    <w:p w14:paraId="68CBEA50">
      <w:pPr>
        <w:autoSpaceDE w:val="0"/>
        <w:autoSpaceDN w:val="0"/>
        <w:adjustRightInd w:val="0"/>
        <w:spacing w:line="440" w:lineRule="atLeast"/>
        <w:rPr>
          <w:rFonts w:ascii="宋体" w:hAnsi="宋体" w:cs="宋体"/>
          <w:color w:val="auto"/>
          <w:szCs w:val="21"/>
        </w:rPr>
      </w:pPr>
      <w:r>
        <w:rPr>
          <w:rFonts w:hint="eastAsia" w:ascii="宋体" w:hAnsi="宋体" w:cs="宋体"/>
          <w:color w:val="auto"/>
          <w:szCs w:val="21"/>
        </w:rPr>
        <w:t xml:space="preserve">    甲方：                               乙方： </w:t>
      </w:r>
    </w:p>
    <w:p w14:paraId="62E5A077">
      <w:pPr>
        <w:autoSpaceDE w:val="0"/>
        <w:autoSpaceDN w:val="0"/>
        <w:adjustRightInd w:val="0"/>
        <w:spacing w:line="440" w:lineRule="atLeast"/>
        <w:rPr>
          <w:rFonts w:ascii="宋体" w:hAnsi="宋体" w:cs="宋体"/>
          <w:color w:val="auto"/>
          <w:szCs w:val="21"/>
        </w:rPr>
      </w:pPr>
      <w:r>
        <w:rPr>
          <w:rFonts w:hint="eastAsia" w:ascii="宋体" w:hAnsi="宋体" w:cs="宋体"/>
          <w:color w:val="auto"/>
          <w:szCs w:val="21"/>
        </w:rPr>
        <w:t xml:space="preserve">    地址：                               地址： </w:t>
      </w:r>
    </w:p>
    <w:p w14:paraId="12FE4562">
      <w:pPr>
        <w:autoSpaceDE w:val="0"/>
        <w:autoSpaceDN w:val="0"/>
        <w:adjustRightInd w:val="0"/>
        <w:spacing w:line="440" w:lineRule="atLeast"/>
        <w:rPr>
          <w:rFonts w:ascii="宋体" w:hAnsi="宋体" w:cs="宋体"/>
          <w:color w:val="auto"/>
          <w:szCs w:val="21"/>
        </w:rPr>
      </w:pPr>
      <w:r>
        <w:rPr>
          <w:rFonts w:hint="eastAsia" w:ascii="宋体" w:hAnsi="宋体" w:cs="宋体"/>
          <w:color w:val="auto"/>
          <w:szCs w:val="21"/>
        </w:rPr>
        <w:t xml:space="preserve">    法定代表人：                         法定代表人：</w:t>
      </w:r>
    </w:p>
    <w:p w14:paraId="18391BBB">
      <w:pPr>
        <w:autoSpaceDE w:val="0"/>
        <w:autoSpaceDN w:val="0"/>
        <w:adjustRightInd w:val="0"/>
        <w:spacing w:line="440" w:lineRule="atLeast"/>
        <w:ind w:firstLine="420"/>
        <w:rPr>
          <w:rFonts w:ascii="宋体" w:hAnsi="宋体" w:cs="宋体"/>
          <w:color w:val="auto"/>
          <w:szCs w:val="21"/>
        </w:rPr>
      </w:pPr>
      <w:r>
        <w:rPr>
          <w:rFonts w:hint="eastAsia" w:ascii="宋体" w:hAnsi="宋体" w:cs="宋体"/>
          <w:color w:val="auto"/>
          <w:szCs w:val="21"/>
        </w:rPr>
        <w:t>授权委托代理人：（签字）             授权委托代理人：（签字）</w:t>
      </w:r>
    </w:p>
    <w:p w14:paraId="64322D8B">
      <w:pPr>
        <w:pStyle w:val="3"/>
        <w:ind w:firstLine="420"/>
        <w:rPr>
          <w:rFonts w:ascii="宋体" w:hAnsi="宋体" w:eastAsia="宋体"/>
          <w:color w:val="auto"/>
        </w:rPr>
      </w:pPr>
    </w:p>
    <w:p w14:paraId="01753935">
      <w:pPr>
        <w:autoSpaceDE w:val="0"/>
        <w:autoSpaceDN w:val="0"/>
        <w:adjustRightInd w:val="0"/>
        <w:spacing w:line="360" w:lineRule="auto"/>
        <w:ind w:right="480"/>
        <w:jc w:val="center"/>
        <w:rPr>
          <w:rFonts w:hint="eastAsia" w:ascii="宋体" w:hAnsi="宋体" w:eastAsia="宋体" w:cs="宋体"/>
          <w:color w:val="auto"/>
          <w:szCs w:val="21"/>
          <w:lang w:val="en-US" w:eastAsia="zh-CN"/>
        </w:rPr>
      </w:pPr>
      <w:r>
        <w:rPr>
          <w:rFonts w:hint="eastAsia" w:ascii="宋体" w:hAnsi="宋体" w:cs="宋体"/>
          <w:color w:val="auto"/>
        </w:rPr>
        <w:t xml:space="preserve">                                                 </w:t>
      </w:r>
      <w:r>
        <w:rPr>
          <w:rFonts w:hint="eastAsia" w:ascii="宋体" w:hAnsi="宋体" w:cs="宋体"/>
          <w:color w:val="auto"/>
          <w:lang w:val="en-US" w:eastAsia="zh-CN"/>
        </w:rPr>
        <w:t xml:space="preserve"> </w:t>
      </w:r>
      <w:r>
        <w:rPr>
          <w:rFonts w:hint="eastAsia" w:ascii="宋体" w:hAnsi="宋体" w:cs="宋体"/>
          <w:color w:val="auto"/>
          <w:szCs w:val="21"/>
        </w:rPr>
        <w:t>签订地点：</w:t>
      </w:r>
      <w:r>
        <w:rPr>
          <w:rFonts w:hint="eastAsia" w:ascii="宋体" w:hAnsi="宋体" w:cs="宋体"/>
          <w:color w:val="auto"/>
          <w:szCs w:val="21"/>
          <w:lang w:val="en-US" w:eastAsia="zh-CN"/>
        </w:rPr>
        <w:t>嵊泗</w:t>
      </w:r>
    </w:p>
    <w:p w14:paraId="5CDC1F39">
      <w:pPr>
        <w:autoSpaceDE w:val="0"/>
        <w:autoSpaceDN w:val="0"/>
        <w:adjustRightInd w:val="0"/>
        <w:spacing w:line="360" w:lineRule="auto"/>
        <w:jc w:val="right"/>
        <w:rPr>
          <w:rFonts w:ascii="宋体" w:hAnsi="宋体" w:cs="宋体"/>
          <w:color w:val="auto"/>
        </w:rPr>
      </w:pPr>
      <w:r>
        <w:rPr>
          <w:rFonts w:hint="eastAsia" w:ascii="宋体" w:hAnsi="宋体" w:cs="宋体"/>
          <w:color w:val="auto"/>
          <w:szCs w:val="21"/>
        </w:rPr>
        <w:t>签订日期：      年   月   日</w:t>
      </w:r>
    </w:p>
    <w:p w14:paraId="11FDD5E9">
      <w:pPr>
        <w:pStyle w:val="15"/>
        <w:snapToGrid w:val="0"/>
        <w:spacing w:before="120" w:after="120" w:line="400" w:lineRule="exact"/>
        <w:rPr>
          <w:rFonts w:hAnsi="宋体"/>
          <w:color w:val="auto"/>
        </w:rPr>
      </w:pPr>
    </w:p>
    <w:p w14:paraId="2BA2DB31">
      <w:pPr>
        <w:spacing w:before="156" w:beforeLines="50" w:after="156" w:afterLines="50" w:line="440" w:lineRule="exact"/>
        <w:jc w:val="center"/>
        <w:rPr>
          <w:rFonts w:ascii="宋体" w:hAnsi="宋体" w:cs="宋体"/>
          <w:b/>
          <w:color w:val="auto"/>
          <w:sz w:val="30"/>
          <w:szCs w:val="30"/>
        </w:rPr>
      </w:pPr>
      <w:r>
        <w:rPr>
          <w:rFonts w:hint="eastAsia" w:ascii="宋体" w:hAnsi="宋体" w:cs="宋体"/>
          <w:b/>
          <w:color w:val="auto"/>
          <w:sz w:val="30"/>
          <w:szCs w:val="30"/>
        </w:rPr>
        <w:br w:type="page"/>
      </w:r>
      <w:r>
        <w:rPr>
          <w:rFonts w:hint="eastAsia" w:ascii="宋体" w:hAnsi="宋体" w:cs="宋体"/>
          <w:b/>
          <w:color w:val="auto"/>
          <w:sz w:val="30"/>
          <w:szCs w:val="30"/>
        </w:rPr>
        <w:t>第六章  投标文件格式</w:t>
      </w:r>
    </w:p>
    <w:p w14:paraId="040BAD0D">
      <w:pPr>
        <w:snapToGrid w:val="0"/>
        <w:spacing w:before="156" w:beforeLines="50" w:after="50" w:line="440" w:lineRule="exact"/>
        <w:jc w:val="center"/>
        <w:outlineLvl w:val="1"/>
        <w:rPr>
          <w:rFonts w:ascii="宋体" w:hAnsi="宋体" w:cs="宋体"/>
          <w:color w:val="auto"/>
          <w:sz w:val="24"/>
        </w:rPr>
      </w:pPr>
      <w:r>
        <w:rPr>
          <w:rFonts w:hint="eastAsia" w:ascii="宋体" w:hAnsi="宋体" w:cs="宋体"/>
          <w:b/>
          <w:bCs/>
          <w:color w:val="auto"/>
          <w:sz w:val="24"/>
        </w:rPr>
        <w:t>一、资格文件格式</w:t>
      </w:r>
    </w:p>
    <w:p w14:paraId="126EEACE">
      <w:pPr>
        <w:snapToGrid w:val="0"/>
        <w:spacing w:before="156" w:beforeLines="50" w:after="50" w:line="440" w:lineRule="exact"/>
        <w:rPr>
          <w:rFonts w:ascii="宋体" w:hAnsi="宋体" w:cs="宋体"/>
          <w:color w:val="auto"/>
          <w:sz w:val="24"/>
        </w:rPr>
      </w:pPr>
      <w:r>
        <w:rPr>
          <w:rFonts w:hint="eastAsia" w:ascii="宋体" w:hAnsi="宋体" w:cs="宋体"/>
          <w:color w:val="auto"/>
          <w:sz w:val="24"/>
        </w:rPr>
        <w:t>·资格文件封面格式：</w:t>
      </w:r>
    </w:p>
    <w:p w14:paraId="33F4ECCA">
      <w:pPr>
        <w:snapToGrid w:val="0"/>
        <w:spacing w:before="156" w:beforeLines="50" w:after="50" w:line="440" w:lineRule="exact"/>
        <w:rPr>
          <w:rFonts w:ascii="宋体" w:hAnsi="宋体" w:cs="宋体"/>
          <w:b/>
          <w:bCs/>
          <w:color w:val="auto"/>
          <w:sz w:val="32"/>
        </w:rPr>
      </w:pPr>
      <w:r>
        <w:rPr>
          <w:rFonts w:hint="eastAsia" w:ascii="宋体" w:hAnsi="宋体" w:cs="宋体"/>
          <w:color w:val="auto"/>
          <w:sz w:val="24"/>
        </w:rPr>
        <w:t xml:space="preserve">                                               </w:t>
      </w:r>
    </w:p>
    <w:p w14:paraId="33F118F6">
      <w:pPr>
        <w:snapToGrid w:val="0"/>
        <w:spacing w:before="156" w:beforeLines="50" w:after="50" w:line="440" w:lineRule="exact"/>
        <w:rPr>
          <w:rFonts w:ascii="宋体" w:hAnsi="宋体" w:cs="宋体"/>
          <w:color w:val="auto"/>
          <w:sz w:val="24"/>
        </w:rPr>
      </w:pPr>
    </w:p>
    <w:p w14:paraId="0270D6F3">
      <w:pPr>
        <w:snapToGrid w:val="0"/>
        <w:spacing w:before="156" w:beforeLines="50" w:after="50" w:line="440" w:lineRule="exact"/>
        <w:jc w:val="center"/>
        <w:rPr>
          <w:rFonts w:ascii="宋体" w:hAnsi="宋体" w:cs="宋体"/>
          <w:bCs/>
          <w:color w:val="auto"/>
          <w:sz w:val="24"/>
        </w:rPr>
      </w:pPr>
    </w:p>
    <w:p w14:paraId="4988A35D">
      <w:pPr>
        <w:snapToGrid w:val="0"/>
        <w:spacing w:before="156" w:beforeLines="50" w:after="50" w:line="440" w:lineRule="exact"/>
        <w:jc w:val="center"/>
        <w:rPr>
          <w:rFonts w:ascii="宋体" w:hAnsi="宋体" w:cs="宋体"/>
          <w:bCs/>
          <w:color w:val="auto"/>
          <w:sz w:val="24"/>
        </w:rPr>
      </w:pPr>
      <w:r>
        <w:rPr>
          <w:rFonts w:hint="eastAsia" w:ascii="宋体" w:hAnsi="宋体" w:cs="宋体"/>
          <w:bCs/>
          <w:color w:val="auto"/>
          <w:sz w:val="24"/>
        </w:rPr>
        <w:t>资格</w:t>
      </w:r>
      <w:r>
        <w:rPr>
          <w:rFonts w:hint="eastAsia" w:ascii="宋体" w:hAnsi="宋体" w:cs="宋体"/>
          <w:color w:val="auto"/>
          <w:sz w:val="24"/>
        </w:rPr>
        <w:t>文件</w:t>
      </w:r>
    </w:p>
    <w:p w14:paraId="324F5088">
      <w:pPr>
        <w:snapToGrid w:val="0"/>
        <w:spacing w:before="156" w:beforeLines="50" w:after="50" w:line="440" w:lineRule="exact"/>
        <w:rPr>
          <w:rFonts w:ascii="宋体" w:hAnsi="宋体" w:cs="宋体"/>
          <w:bCs/>
          <w:color w:val="auto"/>
          <w:sz w:val="24"/>
        </w:rPr>
      </w:pPr>
    </w:p>
    <w:p w14:paraId="47E919D6">
      <w:pPr>
        <w:snapToGrid w:val="0"/>
        <w:spacing w:before="156" w:beforeLines="50" w:after="50" w:line="440" w:lineRule="exact"/>
        <w:ind w:firstLine="1068" w:firstLineChars="445"/>
        <w:rPr>
          <w:rFonts w:ascii="宋体" w:hAnsi="宋体" w:cs="宋体"/>
          <w:bCs/>
          <w:color w:val="auto"/>
          <w:sz w:val="24"/>
        </w:rPr>
      </w:pPr>
      <w:r>
        <w:rPr>
          <w:rFonts w:hint="eastAsia" w:ascii="宋体" w:hAnsi="宋体" w:cs="宋体"/>
          <w:bCs/>
          <w:color w:val="auto"/>
          <w:sz w:val="24"/>
        </w:rPr>
        <w:t>项目名称：</w:t>
      </w:r>
    </w:p>
    <w:p w14:paraId="798ED7B5">
      <w:pPr>
        <w:snapToGrid w:val="0"/>
        <w:spacing w:before="156" w:beforeLines="50" w:after="50" w:line="440" w:lineRule="exact"/>
        <w:ind w:firstLine="480" w:firstLineChars="200"/>
        <w:rPr>
          <w:rFonts w:ascii="宋体" w:hAnsi="宋体" w:cs="宋体"/>
          <w:bCs/>
          <w:color w:val="auto"/>
          <w:sz w:val="24"/>
        </w:rPr>
      </w:pPr>
      <w:r>
        <w:rPr>
          <w:rFonts w:hint="eastAsia" w:ascii="宋体" w:hAnsi="宋体" w:cs="宋体"/>
          <w:bCs/>
          <w:color w:val="auto"/>
          <w:sz w:val="24"/>
        </w:rPr>
        <w:t xml:space="preserve">     项目编号：</w:t>
      </w:r>
    </w:p>
    <w:p w14:paraId="7C3E54DC">
      <w:pPr>
        <w:snapToGrid w:val="0"/>
        <w:spacing w:before="156" w:beforeLines="50" w:after="50" w:line="440" w:lineRule="exact"/>
        <w:ind w:firstLine="480" w:firstLineChars="200"/>
        <w:rPr>
          <w:rFonts w:ascii="宋体" w:hAnsi="宋体" w:cs="宋体"/>
          <w:bCs/>
          <w:color w:val="auto"/>
          <w:sz w:val="24"/>
        </w:rPr>
      </w:pPr>
      <w:r>
        <w:rPr>
          <w:rFonts w:hint="eastAsia" w:ascii="宋体" w:hAnsi="宋体" w:cs="宋体"/>
          <w:bCs/>
          <w:color w:val="auto"/>
          <w:sz w:val="24"/>
        </w:rPr>
        <w:t xml:space="preserve">     投标人名称：</w:t>
      </w:r>
    </w:p>
    <w:p w14:paraId="4E4C05D4">
      <w:pPr>
        <w:pStyle w:val="8"/>
        <w:spacing w:before="50" w:after="50" w:line="440" w:lineRule="exact"/>
        <w:ind w:firstLine="998" w:firstLineChars="416"/>
        <w:rPr>
          <w:rFonts w:hAnsi="宋体"/>
          <w:bCs/>
          <w:color w:val="auto"/>
          <w:sz w:val="24"/>
          <w:szCs w:val="24"/>
        </w:rPr>
      </w:pPr>
      <w:r>
        <w:rPr>
          <w:rFonts w:hint="eastAsia" w:hAnsi="宋体"/>
          <w:bCs/>
          <w:color w:val="auto"/>
          <w:sz w:val="24"/>
          <w:szCs w:val="24"/>
        </w:rPr>
        <w:t>投标人地址：</w:t>
      </w:r>
    </w:p>
    <w:p w14:paraId="53AF020C">
      <w:pPr>
        <w:snapToGrid w:val="0"/>
        <w:spacing w:before="156" w:beforeLines="50" w:after="50" w:line="440" w:lineRule="exact"/>
        <w:ind w:firstLine="4080" w:firstLineChars="1700"/>
        <w:rPr>
          <w:rFonts w:ascii="宋体" w:hAnsi="宋体" w:cs="宋体"/>
          <w:color w:val="auto"/>
          <w:sz w:val="24"/>
        </w:rPr>
      </w:pPr>
    </w:p>
    <w:p w14:paraId="6726A1F8">
      <w:pPr>
        <w:snapToGrid w:val="0"/>
        <w:spacing w:before="156" w:beforeLines="50" w:after="50" w:line="440" w:lineRule="exact"/>
        <w:ind w:firstLine="645"/>
        <w:jc w:val="center"/>
        <w:rPr>
          <w:rFonts w:ascii="宋体" w:hAnsi="宋体" w:cs="宋体"/>
          <w:b/>
          <w:color w:val="auto"/>
          <w:sz w:val="24"/>
        </w:rPr>
      </w:pPr>
      <w:r>
        <w:rPr>
          <w:rFonts w:hint="eastAsia" w:ascii="宋体" w:hAnsi="宋体" w:cs="宋体"/>
          <w:color w:val="auto"/>
          <w:sz w:val="24"/>
        </w:rPr>
        <w:t xml:space="preserve">                        年  月  日</w:t>
      </w:r>
    </w:p>
    <w:p w14:paraId="5B61F665">
      <w:pPr>
        <w:pStyle w:val="29"/>
        <w:spacing w:before="0" w:beforeAutospacing="0" w:after="0" w:afterAutospacing="0" w:line="420" w:lineRule="exact"/>
        <w:jc w:val="both"/>
        <w:rPr>
          <w:color w:val="auto"/>
          <w:sz w:val="21"/>
          <w:szCs w:val="21"/>
        </w:rPr>
      </w:pPr>
      <w:bookmarkStart w:id="65" w:name="OLE_LINK9"/>
    </w:p>
    <w:p w14:paraId="38C6A22B">
      <w:pPr>
        <w:snapToGrid w:val="0"/>
        <w:spacing w:line="360" w:lineRule="auto"/>
        <w:rPr>
          <w:rFonts w:ascii="宋体" w:hAnsi="宋体" w:cs="宋体"/>
          <w:color w:val="auto"/>
          <w:szCs w:val="21"/>
        </w:rPr>
      </w:pPr>
      <w:r>
        <w:rPr>
          <w:rFonts w:hint="eastAsia" w:ascii="宋体" w:hAnsi="宋体" w:cs="宋体"/>
          <w:b/>
          <w:color w:val="auto"/>
          <w:sz w:val="24"/>
        </w:rPr>
        <w:br w:type="page"/>
      </w:r>
      <w:bookmarkEnd w:id="65"/>
      <w:r>
        <w:rPr>
          <w:rFonts w:hint="eastAsia" w:ascii="宋体" w:hAnsi="宋体" w:cs="宋体"/>
          <w:b/>
          <w:color w:val="auto"/>
          <w:szCs w:val="21"/>
        </w:rPr>
        <w:t>资格文件、商务技术文件及报价文件目录</w:t>
      </w:r>
      <w:r>
        <w:rPr>
          <w:rFonts w:hint="eastAsia" w:ascii="宋体" w:hAnsi="宋体" w:cs="宋体"/>
          <w:b/>
          <w:bCs/>
          <w:color w:val="auto"/>
          <w:szCs w:val="21"/>
        </w:rPr>
        <w:t>（请按照“第三章投标人须知，三、投标文件的编制”的顺序、评分内容自行编制目录）</w:t>
      </w:r>
    </w:p>
    <w:p w14:paraId="101CA923">
      <w:pPr>
        <w:snapToGrid w:val="0"/>
        <w:spacing w:line="360" w:lineRule="auto"/>
        <w:rPr>
          <w:rFonts w:ascii="宋体" w:hAnsi="宋体" w:cs="宋体"/>
          <w:b/>
          <w:bCs/>
          <w:color w:val="auto"/>
          <w:szCs w:val="21"/>
        </w:rPr>
      </w:pPr>
      <w:r>
        <w:rPr>
          <w:rFonts w:hint="eastAsia" w:ascii="宋体" w:hAnsi="宋体" w:cs="宋体"/>
          <w:b/>
          <w:bCs/>
          <w:color w:val="auto"/>
          <w:szCs w:val="21"/>
        </w:rPr>
        <w:t>例如：</w:t>
      </w:r>
    </w:p>
    <w:p w14:paraId="1FD6A625">
      <w:pPr>
        <w:snapToGrid w:val="0"/>
        <w:spacing w:line="360" w:lineRule="auto"/>
        <w:rPr>
          <w:rFonts w:ascii="宋体" w:hAnsi="宋体" w:cs="宋体"/>
          <w:color w:val="auto"/>
          <w:szCs w:val="21"/>
        </w:rPr>
      </w:pPr>
      <w:r>
        <w:rPr>
          <w:rFonts w:hint="eastAsia" w:ascii="宋体" w:hAnsi="宋体" w:cs="宋体"/>
          <w:b/>
          <w:bCs/>
          <w:color w:val="auto"/>
          <w:szCs w:val="21"/>
        </w:rPr>
        <w:t>资格文件：</w:t>
      </w:r>
    </w:p>
    <w:p w14:paraId="0082B08D">
      <w:pPr>
        <w:snapToGrid w:val="0"/>
        <w:spacing w:line="360" w:lineRule="auto"/>
        <w:jc w:val="left"/>
        <w:rPr>
          <w:rFonts w:ascii="宋体" w:hAnsi="宋体" w:cs="宋体"/>
          <w:color w:val="auto"/>
          <w:szCs w:val="21"/>
        </w:rPr>
      </w:pPr>
      <w:r>
        <w:rPr>
          <w:rFonts w:hint="eastAsia" w:ascii="宋体" w:hAnsi="宋体" w:cs="宋体"/>
          <w:color w:val="auto"/>
          <w:szCs w:val="21"/>
        </w:rPr>
        <w:t>（1）投标声明书(格式见附件)————————页码</w:t>
      </w:r>
    </w:p>
    <w:p w14:paraId="6FE47982">
      <w:pPr>
        <w:snapToGrid w:val="0"/>
        <w:spacing w:line="360" w:lineRule="auto"/>
        <w:jc w:val="left"/>
        <w:rPr>
          <w:rFonts w:ascii="宋体" w:hAnsi="宋体" w:cs="宋体"/>
          <w:color w:val="auto"/>
          <w:szCs w:val="21"/>
        </w:rPr>
      </w:pPr>
      <w:r>
        <w:rPr>
          <w:rFonts w:hint="eastAsia" w:ascii="宋体" w:hAnsi="宋体" w:cs="宋体"/>
          <w:color w:val="auto"/>
          <w:szCs w:val="21"/>
        </w:rPr>
        <w:t>（2）法定代表人</w:t>
      </w:r>
      <w:r>
        <w:rPr>
          <w:rFonts w:hint="eastAsia" w:ascii="宋体" w:hAnsi="宋体" w:cs="宋体"/>
          <w:color w:val="auto"/>
          <w:szCs w:val="21"/>
          <w:lang w:val="en-US" w:eastAsia="zh-CN"/>
        </w:rPr>
        <w:t>或</w:t>
      </w:r>
      <w:r>
        <w:rPr>
          <w:rFonts w:hint="eastAsia" w:ascii="宋体" w:hAnsi="宋体" w:cs="宋体"/>
          <w:color w:val="auto"/>
          <w:szCs w:val="21"/>
        </w:rPr>
        <w:t>授权委托书(格式见附件)————————</w:t>
      </w:r>
    </w:p>
    <w:p w14:paraId="512604E9">
      <w:pPr>
        <w:snapToGrid w:val="0"/>
        <w:spacing w:line="360" w:lineRule="auto"/>
        <w:jc w:val="left"/>
        <w:rPr>
          <w:rFonts w:ascii="宋体" w:hAnsi="宋体" w:cs="宋体"/>
          <w:b/>
          <w:color w:val="auto"/>
          <w:szCs w:val="21"/>
        </w:rPr>
      </w:pPr>
      <w:r>
        <w:rPr>
          <w:rFonts w:hint="eastAsia" w:ascii="宋体" w:hAnsi="宋体" w:cs="宋体"/>
          <w:b/>
          <w:color w:val="auto"/>
          <w:szCs w:val="21"/>
        </w:rPr>
        <w:t>......</w:t>
      </w:r>
    </w:p>
    <w:p w14:paraId="56C7F246">
      <w:pPr>
        <w:snapToGrid w:val="0"/>
        <w:spacing w:line="360" w:lineRule="auto"/>
        <w:rPr>
          <w:rFonts w:ascii="宋体" w:hAnsi="宋体" w:cs="宋体"/>
          <w:color w:val="auto"/>
          <w:sz w:val="32"/>
          <w:szCs w:val="32"/>
        </w:rPr>
      </w:pPr>
      <w:bookmarkStart w:id="66" w:name="OLE_LINK11"/>
    </w:p>
    <w:p w14:paraId="20B92848">
      <w:pPr>
        <w:spacing w:line="460" w:lineRule="exact"/>
        <w:rPr>
          <w:rFonts w:ascii="宋体" w:hAnsi="宋体" w:cs="宋体"/>
          <w:b/>
          <w:color w:val="auto"/>
          <w:sz w:val="24"/>
        </w:rPr>
      </w:pPr>
      <w:r>
        <w:rPr>
          <w:rFonts w:hint="eastAsia" w:ascii="宋体" w:hAnsi="宋体" w:cs="宋体"/>
          <w:b/>
          <w:color w:val="auto"/>
          <w:sz w:val="24"/>
        </w:rPr>
        <w:br w:type="page"/>
      </w:r>
      <w:r>
        <w:rPr>
          <w:rFonts w:hint="eastAsia" w:ascii="宋体" w:hAnsi="宋体" w:cs="宋体"/>
          <w:b/>
          <w:color w:val="auto"/>
          <w:sz w:val="24"/>
        </w:rPr>
        <w:t>1</w:t>
      </w:r>
      <w:r>
        <w:rPr>
          <w:rFonts w:hint="eastAsia" w:ascii="宋体" w:hAnsi="宋体" w:cs="宋体"/>
          <w:b/>
          <w:color w:val="auto"/>
          <w:sz w:val="24"/>
          <w:lang w:val="en-US" w:eastAsia="zh-CN"/>
        </w:rPr>
        <w:t>.</w:t>
      </w:r>
      <w:r>
        <w:rPr>
          <w:rFonts w:hint="eastAsia" w:ascii="宋体" w:hAnsi="宋体" w:cs="宋体"/>
          <w:b/>
          <w:color w:val="auto"/>
          <w:sz w:val="24"/>
        </w:rPr>
        <w:t>投标声明书格式：</w:t>
      </w:r>
    </w:p>
    <w:bookmarkEnd w:id="66"/>
    <w:p w14:paraId="1BC9E68B">
      <w:pPr>
        <w:snapToGrid w:val="0"/>
        <w:spacing w:before="156" w:beforeLines="50" w:after="50" w:line="440" w:lineRule="exact"/>
        <w:jc w:val="center"/>
        <w:rPr>
          <w:rFonts w:ascii="宋体" w:hAnsi="宋体" w:cs="宋体"/>
          <w:b/>
          <w:bCs/>
          <w:color w:val="auto"/>
          <w:sz w:val="32"/>
          <w:szCs w:val="32"/>
        </w:rPr>
      </w:pPr>
      <w:bookmarkStart w:id="67" w:name="OLE_LINK12"/>
      <w:r>
        <w:rPr>
          <w:rFonts w:hint="eastAsia" w:ascii="宋体" w:hAnsi="宋体" w:cs="宋体"/>
          <w:b/>
          <w:bCs/>
          <w:color w:val="auto"/>
          <w:sz w:val="32"/>
          <w:szCs w:val="32"/>
        </w:rPr>
        <w:t>投标声明书</w:t>
      </w:r>
    </w:p>
    <w:p w14:paraId="10C06C9B">
      <w:pPr>
        <w:snapToGrid w:val="0"/>
        <w:spacing w:before="156" w:beforeLines="50" w:after="50" w:line="440" w:lineRule="exact"/>
        <w:rPr>
          <w:rFonts w:ascii="宋体" w:hAnsi="宋体" w:cs="宋体"/>
          <w:color w:val="auto"/>
          <w:sz w:val="24"/>
        </w:rPr>
      </w:pPr>
      <w:r>
        <w:rPr>
          <w:rFonts w:hint="eastAsia" w:ascii="宋体" w:hAnsi="宋体" w:cs="宋体"/>
          <w:color w:val="auto"/>
          <w:sz w:val="24"/>
        </w:rPr>
        <w:t>致：</w:t>
      </w:r>
      <w:r>
        <w:rPr>
          <w:rFonts w:hint="eastAsia" w:ascii="宋体" w:hAnsi="宋体" w:cs="宋体"/>
          <w:color w:val="auto"/>
          <w:sz w:val="24"/>
          <w:u w:val="single"/>
        </w:rPr>
        <w:t xml:space="preserve">               </w:t>
      </w:r>
      <w:r>
        <w:rPr>
          <w:rFonts w:hint="eastAsia" w:ascii="宋体" w:hAnsi="宋体" w:cs="宋体"/>
          <w:color w:val="auto"/>
          <w:sz w:val="24"/>
        </w:rPr>
        <w:t>（采购单位名称）：</w:t>
      </w:r>
    </w:p>
    <w:p w14:paraId="105AF5B7">
      <w:pPr>
        <w:snapToGrid w:val="0"/>
        <w:spacing w:before="156" w:beforeLines="50" w:after="50" w:line="440" w:lineRule="exact"/>
        <w:ind w:firstLine="480" w:firstLineChars="200"/>
        <w:rPr>
          <w:rFonts w:ascii="宋体" w:hAnsi="宋体" w:cs="宋体"/>
          <w:color w:val="auto"/>
          <w:sz w:val="24"/>
        </w:rPr>
      </w:pPr>
      <w:r>
        <w:rPr>
          <w:rFonts w:hint="eastAsia" w:ascii="宋体" w:hAnsi="宋体" w:cs="宋体"/>
          <w:color w:val="auto"/>
          <w:sz w:val="24"/>
          <w:u w:val="single"/>
        </w:rPr>
        <w:t xml:space="preserve">                        </w:t>
      </w:r>
      <w:r>
        <w:rPr>
          <w:rFonts w:hint="eastAsia" w:ascii="宋体" w:hAnsi="宋体" w:cs="宋体"/>
          <w:color w:val="auto"/>
          <w:sz w:val="24"/>
        </w:rPr>
        <w:t>（投标人名称）系中华人民共和国合法企业，经营地址</w:t>
      </w:r>
      <w:r>
        <w:rPr>
          <w:rFonts w:hint="eastAsia" w:ascii="宋体" w:hAnsi="宋体" w:cs="宋体"/>
          <w:color w:val="auto"/>
          <w:sz w:val="24"/>
          <w:u w:val="single"/>
        </w:rPr>
        <w:t xml:space="preserve">                               </w:t>
      </w:r>
      <w:r>
        <w:rPr>
          <w:rFonts w:hint="eastAsia" w:ascii="宋体" w:hAnsi="宋体" w:cs="宋体"/>
          <w:color w:val="auto"/>
          <w:sz w:val="24"/>
        </w:rPr>
        <w:t>。</w:t>
      </w:r>
    </w:p>
    <w:p w14:paraId="01C3BA52">
      <w:pPr>
        <w:snapToGrid w:val="0"/>
        <w:spacing w:before="156" w:beforeLines="50" w:after="50" w:line="440" w:lineRule="exact"/>
        <w:ind w:firstLine="480" w:firstLineChars="200"/>
        <w:rPr>
          <w:rFonts w:ascii="宋体" w:hAnsi="宋体" w:cs="宋体"/>
          <w:color w:val="auto"/>
          <w:sz w:val="24"/>
        </w:rPr>
      </w:pPr>
      <w:r>
        <w:rPr>
          <w:rFonts w:hint="eastAsia" w:ascii="宋体" w:hAnsi="宋体" w:cs="宋体"/>
          <w:color w:val="auto"/>
          <w:sz w:val="24"/>
        </w:rPr>
        <w:t>我</w:t>
      </w:r>
      <w:r>
        <w:rPr>
          <w:rFonts w:hint="eastAsia" w:ascii="宋体" w:hAnsi="宋体" w:cs="宋体"/>
          <w:color w:val="auto"/>
          <w:sz w:val="24"/>
          <w:u w:val="single"/>
        </w:rPr>
        <w:t xml:space="preserve">         </w:t>
      </w:r>
      <w:r>
        <w:rPr>
          <w:rFonts w:hint="eastAsia" w:ascii="宋体" w:hAnsi="宋体" w:cs="宋体"/>
          <w:color w:val="auto"/>
          <w:sz w:val="24"/>
        </w:rPr>
        <w:t>（姓名）系</w:t>
      </w:r>
      <w:r>
        <w:rPr>
          <w:rFonts w:hint="eastAsia" w:ascii="宋体" w:hAnsi="宋体" w:cs="宋体"/>
          <w:color w:val="auto"/>
          <w:sz w:val="24"/>
          <w:u w:val="single"/>
        </w:rPr>
        <w:t xml:space="preserve">                  </w:t>
      </w:r>
      <w:r>
        <w:rPr>
          <w:rFonts w:hint="eastAsia" w:ascii="宋体" w:hAnsi="宋体" w:cs="宋体"/>
          <w:color w:val="auto"/>
          <w:sz w:val="24"/>
        </w:rPr>
        <w:t>（投标人名称）的法定代表人，我方愿意参加贵方组织的</w:t>
      </w:r>
      <w:r>
        <w:rPr>
          <w:rFonts w:hint="eastAsia" w:ascii="宋体" w:hAnsi="宋体" w:cs="宋体"/>
          <w:color w:val="auto"/>
          <w:sz w:val="24"/>
          <w:u w:val="single"/>
        </w:rPr>
        <w:t xml:space="preserve">                       </w:t>
      </w:r>
      <w:r>
        <w:rPr>
          <w:rFonts w:hint="eastAsia" w:ascii="宋体" w:hAnsi="宋体" w:cs="宋体"/>
          <w:color w:val="auto"/>
          <w:sz w:val="24"/>
        </w:rPr>
        <w:t>项目的投标，为便于贵方公正、择优地确定中标人及服务，我方就本次投标有关事项郑重声明如下：</w:t>
      </w:r>
    </w:p>
    <w:p w14:paraId="12063A3E">
      <w:pPr>
        <w:snapToGrid w:val="0"/>
        <w:spacing w:line="440" w:lineRule="exact"/>
        <w:ind w:firstLine="480" w:firstLineChars="200"/>
        <w:rPr>
          <w:rFonts w:ascii="宋体" w:hAnsi="宋体" w:cs="宋体"/>
          <w:color w:val="auto"/>
          <w:sz w:val="24"/>
        </w:rPr>
      </w:pPr>
      <w:r>
        <w:rPr>
          <w:rFonts w:hint="eastAsia" w:ascii="宋体" w:hAnsi="宋体" w:cs="宋体"/>
          <w:color w:val="auto"/>
          <w:sz w:val="24"/>
        </w:rPr>
        <w:t>1.我方向贵方提交的所有投标文件、资料都是准确的和真实的。</w:t>
      </w:r>
    </w:p>
    <w:p w14:paraId="2A89A7AC">
      <w:pPr>
        <w:snapToGrid w:val="0"/>
        <w:spacing w:line="440" w:lineRule="exact"/>
        <w:ind w:firstLine="480" w:firstLineChars="200"/>
        <w:rPr>
          <w:rFonts w:ascii="宋体" w:hAnsi="宋体" w:cs="宋体"/>
          <w:color w:val="auto"/>
          <w:sz w:val="24"/>
        </w:rPr>
      </w:pPr>
      <w:r>
        <w:rPr>
          <w:rFonts w:hint="eastAsia" w:ascii="宋体" w:hAnsi="宋体" w:cs="宋体"/>
          <w:color w:val="auto"/>
          <w:sz w:val="24"/>
        </w:rPr>
        <w:t>2.我方不是采购人的附属机构；在获知本项目投标信息后，与采购人聘请的为此项目提供采购代理公司及其附属机构没有任何联系。</w:t>
      </w:r>
    </w:p>
    <w:p w14:paraId="700E2D0D">
      <w:pPr>
        <w:snapToGrid w:val="0"/>
        <w:spacing w:line="440" w:lineRule="exact"/>
        <w:ind w:firstLine="480" w:firstLineChars="200"/>
        <w:rPr>
          <w:rFonts w:ascii="宋体" w:hAnsi="宋体" w:cs="宋体"/>
          <w:color w:val="auto"/>
          <w:sz w:val="24"/>
        </w:rPr>
      </w:pPr>
      <w:r>
        <w:rPr>
          <w:rFonts w:hint="eastAsia" w:ascii="宋体" w:hAnsi="宋体" w:cs="宋体"/>
          <w:color w:val="auto"/>
          <w:sz w:val="24"/>
        </w:rPr>
        <w:t>3.以上事项如有虚假或隐瞒，我方愿意承担一切后果，并不再寻求任何旨在减轻或免除法律责任的辩解。</w:t>
      </w:r>
    </w:p>
    <w:p w14:paraId="6054D02C">
      <w:pPr>
        <w:pStyle w:val="14"/>
        <w:tabs>
          <w:tab w:val="left" w:pos="939"/>
        </w:tabs>
        <w:snapToGrid w:val="0"/>
        <w:spacing w:line="440" w:lineRule="exact"/>
        <w:ind w:left="773" w:leftChars="150" w:hanging="458" w:hangingChars="191"/>
        <w:rPr>
          <w:rFonts w:ascii="宋体" w:hAnsi="宋体"/>
          <w:color w:val="auto"/>
          <w:sz w:val="24"/>
        </w:rPr>
      </w:pPr>
    </w:p>
    <w:p w14:paraId="6E4A77F9">
      <w:pPr>
        <w:pStyle w:val="14"/>
        <w:tabs>
          <w:tab w:val="left" w:pos="939"/>
        </w:tabs>
        <w:snapToGrid w:val="0"/>
        <w:spacing w:line="440" w:lineRule="exact"/>
        <w:ind w:left="773" w:leftChars="150" w:hanging="458" w:hangingChars="191"/>
        <w:rPr>
          <w:rFonts w:ascii="宋体" w:hAnsi="宋体"/>
          <w:color w:val="auto"/>
          <w:sz w:val="24"/>
        </w:rPr>
      </w:pPr>
    </w:p>
    <w:p w14:paraId="4E6DB197">
      <w:pPr>
        <w:snapToGrid w:val="0"/>
        <w:spacing w:before="156" w:beforeLines="50" w:line="440" w:lineRule="exact"/>
        <w:rPr>
          <w:rFonts w:ascii="宋体" w:hAnsi="宋体" w:cs="宋体"/>
          <w:color w:val="auto"/>
          <w:sz w:val="24"/>
          <w:u w:val="single"/>
        </w:rPr>
      </w:pPr>
      <w:r>
        <w:rPr>
          <w:rFonts w:hint="eastAsia" w:ascii="宋体" w:hAnsi="宋体" w:cs="宋体"/>
          <w:color w:val="auto"/>
          <w:sz w:val="24"/>
        </w:rPr>
        <w:t>法定代表人（签字或盖章）：</w:t>
      </w:r>
      <w:r>
        <w:rPr>
          <w:rFonts w:hint="eastAsia" w:ascii="宋体" w:hAnsi="宋体" w:cs="宋体"/>
          <w:color w:val="auto"/>
          <w:sz w:val="24"/>
          <w:u w:val="single"/>
        </w:rPr>
        <w:t xml:space="preserve">             </w:t>
      </w:r>
    </w:p>
    <w:p w14:paraId="177FC68F">
      <w:pPr>
        <w:widowControl/>
        <w:spacing w:line="360" w:lineRule="auto"/>
        <w:jc w:val="left"/>
        <w:rPr>
          <w:rFonts w:ascii="宋体" w:hAnsi="宋体" w:cs="宋体"/>
          <w:color w:val="auto"/>
          <w:sz w:val="24"/>
        </w:rPr>
      </w:pPr>
      <w:r>
        <w:rPr>
          <w:rFonts w:hint="eastAsia" w:ascii="宋体" w:hAnsi="宋体" w:cs="宋体"/>
          <w:color w:val="auto"/>
          <w:sz w:val="24"/>
        </w:rPr>
        <w:t>投标人公章：</w:t>
      </w:r>
      <w:r>
        <w:rPr>
          <w:rFonts w:hint="eastAsia" w:ascii="宋体" w:hAnsi="宋体" w:cs="宋体"/>
          <w:color w:val="auto"/>
          <w:sz w:val="24"/>
          <w:u w:val="single"/>
        </w:rPr>
        <w:t xml:space="preserve">               </w:t>
      </w:r>
      <w:r>
        <w:rPr>
          <w:rFonts w:hint="eastAsia" w:ascii="宋体" w:hAnsi="宋体" w:cs="宋体"/>
          <w:color w:val="auto"/>
          <w:sz w:val="24"/>
        </w:rPr>
        <w:t xml:space="preserve">                      </w:t>
      </w:r>
    </w:p>
    <w:p w14:paraId="1F81B3DF">
      <w:pPr>
        <w:widowControl/>
        <w:spacing w:line="360" w:lineRule="auto"/>
        <w:jc w:val="left"/>
        <w:rPr>
          <w:rFonts w:ascii="宋体" w:hAnsi="宋体" w:cs="宋体"/>
          <w:color w:val="auto"/>
          <w:sz w:val="24"/>
        </w:rPr>
      </w:pPr>
      <w:r>
        <w:rPr>
          <w:rFonts w:hint="eastAsia" w:ascii="宋体" w:hAnsi="宋体" w:cs="宋体"/>
          <w:color w:val="auto"/>
          <w:sz w:val="24"/>
        </w:rPr>
        <w:t xml:space="preserve">        年    月    日</w:t>
      </w:r>
    </w:p>
    <w:bookmarkEnd w:id="67"/>
    <w:p w14:paraId="431CD263">
      <w:pPr>
        <w:widowControl/>
        <w:spacing w:line="360" w:lineRule="auto"/>
        <w:jc w:val="left"/>
        <w:rPr>
          <w:rFonts w:ascii="宋体" w:hAnsi="宋体" w:cs="宋体"/>
          <w:b/>
          <w:color w:val="auto"/>
          <w:sz w:val="24"/>
        </w:rPr>
      </w:pPr>
      <w:r>
        <w:rPr>
          <w:rFonts w:hint="eastAsia" w:ascii="宋体" w:hAnsi="宋体" w:cs="宋体"/>
          <w:color w:val="auto"/>
          <w:sz w:val="24"/>
        </w:rPr>
        <w:br w:type="page"/>
      </w:r>
      <w:bookmarkStart w:id="68" w:name="OLE_LINK15"/>
      <w:r>
        <w:rPr>
          <w:rFonts w:hint="eastAsia" w:ascii="宋体" w:hAnsi="宋体" w:cs="宋体"/>
          <w:b/>
          <w:bCs/>
          <w:color w:val="auto"/>
          <w:sz w:val="24"/>
        </w:rPr>
        <w:t>2</w:t>
      </w:r>
      <w:r>
        <w:rPr>
          <w:rFonts w:hint="eastAsia" w:ascii="宋体" w:hAnsi="宋体" w:cs="宋体"/>
          <w:b/>
          <w:bCs/>
          <w:color w:val="auto"/>
          <w:sz w:val="24"/>
          <w:lang w:val="en-US" w:eastAsia="zh-CN"/>
        </w:rPr>
        <w:t>.</w:t>
      </w:r>
      <w:r>
        <w:rPr>
          <w:rFonts w:hint="eastAsia" w:ascii="宋体" w:hAnsi="宋体" w:cs="宋体"/>
          <w:b/>
          <w:bCs/>
          <w:color w:val="auto"/>
          <w:sz w:val="24"/>
        </w:rPr>
        <w:t>法定代表人</w:t>
      </w:r>
      <w:r>
        <w:rPr>
          <w:rFonts w:hint="eastAsia" w:ascii="宋体" w:hAnsi="宋体" w:cs="宋体"/>
          <w:b/>
          <w:bCs/>
          <w:color w:val="auto"/>
          <w:sz w:val="24"/>
          <w:lang w:val="en-US" w:eastAsia="zh-CN"/>
        </w:rPr>
        <w:t>或</w:t>
      </w:r>
      <w:r>
        <w:rPr>
          <w:rFonts w:hint="eastAsia" w:ascii="宋体" w:hAnsi="宋体" w:cs="宋体"/>
          <w:b/>
          <w:bCs/>
          <w:color w:val="auto"/>
          <w:sz w:val="24"/>
        </w:rPr>
        <w:t>授权委托书格式：</w:t>
      </w:r>
      <w:bookmarkEnd w:id="68"/>
    </w:p>
    <w:p w14:paraId="40B218B7">
      <w:pPr>
        <w:snapToGrid w:val="0"/>
        <w:spacing w:before="156" w:beforeLines="50" w:after="50" w:line="440" w:lineRule="exact"/>
        <w:jc w:val="center"/>
        <w:rPr>
          <w:rFonts w:ascii="宋体" w:hAnsi="宋体" w:cs="宋体"/>
          <w:b/>
          <w:color w:val="auto"/>
          <w:sz w:val="32"/>
          <w:szCs w:val="32"/>
        </w:rPr>
      </w:pPr>
      <w:r>
        <w:rPr>
          <w:rFonts w:hint="eastAsia" w:ascii="宋体" w:hAnsi="宋体" w:cs="宋体"/>
          <w:b/>
          <w:color w:val="auto"/>
          <w:sz w:val="32"/>
          <w:szCs w:val="32"/>
        </w:rPr>
        <w:t>法定代表人授权委托书</w:t>
      </w:r>
    </w:p>
    <w:p w14:paraId="04B2198F">
      <w:pPr>
        <w:snapToGrid w:val="0"/>
        <w:spacing w:before="156" w:beforeLines="50" w:after="50" w:line="440" w:lineRule="exact"/>
        <w:rPr>
          <w:rFonts w:ascii="宋体" w:hAnsi="宋体" w:cs="宋体"/>
          <w:b/>
          <w:bCs/>
          <w:color w:val="auto"/>
          <w:sz w:val="24"/>
        </w:rPr>
      </w:pPr>
      <w:r>
        <w:rPr>
          <w:rFonts w:hint="eastAsia" w:ascii="宋体" w:hAnsi="宋体" w:cs="宋体"/>
          <w:bCs/>
          <w:color w:val="auto"/>
          <w:sz w:val="24"/>
        </w:rPr>
        <w:t>致：</w:t>
      </w:r>
      <w:r>
        <w:rPr>
          <w:rFonts w:hint="eastAsia" w:ascii="宋体" w:hAnsi="宋体" w:cs="宋体"/>
          <w:color w:val="auto"/>
          <w:sz w:val="24"/>
        </w:rPr>
        <w:t>（采购单位名称）：</w:t>
      </w:r>
    </w:p>
    <w:p w14:paraId="6195F0AE">
      <w:pPr>
        <w:snapToGrid w:val="0"/>
        <w:spacing w:before="156" w:beforeLines="50" w:after="50" w:line="440" w:lineRule="exact"/>
        <w:ind w:firstLine="480" w:firstLineChars="200"/>
        <w:rPr>
          <w:rFonts w:hint="eastAsia" w:ascii="宋体" w:hAnsi="宋体" w:cs="宋体"/>
          <w:color w:val="auto"/>
          <w:sz w:val="24"/>
          <w:highlight w:val="none"/>
        </w:rPr>
      </w:pPr>
      <w:r>
        <w:rPr>
          <w:rFonts w:hint="eastAsia" w:ascii="宋体" w:hAnsi="宋体" w:cs="宋体"/>
          <w:color w:val="auto"/>
          <w:sz w:val="24"/>
        </w:rPr>
        <w:t>我（姓名）系（投标人名称）的法定代表人，现授权委托本单位在职职工（姓名）以我方的名义参加</w:t>
      </w:r>
      <w:r>
        <w:rPr>
          <w:rFonts w:hint="eastAsia" w:ascii="宋体" w:hAnsi="宋体" w:cs="宋体"/>
          <w:color w:val="auto"/>
          <w:sz w:val="24"/>
          <w:u w:val="single"/>
        </w:rPr>
        <w:t xml:space="preserve">                  </w:t>
      </w:r>
      <w:r>
        <w:rPr>
          <w:rFonts w:hint="eastAsia" w:ascii="宋体" w:hAnsi="宋体" w:cs="宋体"/>
          <w:color w:val="auto"/>
          <w:sz w:val="24"/>
        </w:rPr>
        <w:t>项目的投标活动，</w:t>
      </w:r>
      <w:r>
        <w:rPr>
          <w:rFonts w:hint="eastAsia" w:ascii="宋体" w:hAnsi="宋体" w:cs="宋体"/>
          <w:color w:val="auto"/>
          <w:sz w:val="24"/>
          <w:highlight w:val="none"/>
        </w:rPr>
        <w:t>并代表我方全权办理针对上述项目的投标、开标、评标、签约等具体事务和签署相关文件。</w:t>
      </w:r>
    </w:p>
    <w:p w14:paraId="402EFCA5">
      <w:pPr>
        <w:snapToGrid w:val="0"/>
        <w:spacing w:before="156" w:beforeLines="50" w:after="50" w:line="440" w:lineRule="exact"/>
        <w:ind w:firstLine="480" w:firstLineChars="200"/>
        <w:rPr>
          <w:rFonts w:ascii="宋体" w:hAnsi="宋体" w:cs="宋体"/>
          <w:color w:val="auto"/>
          <w:sz w:val="24"/>
        </w:rPr>
      </w:pPr>
      <w:r>
        <w:rPr>
          <w:rFonts w:hint="eastAsia" w:ascii="宋体" w:hAnsi="宋体" w:cs="宋体"/>
          <w:color w:val="auto"/>
          <w:sz w:val="24"/>
        </w:rPr>
        <w:t>我方对被授权人的签名事项负全部责任。</w:t>
      </w:r>
    </w:p>
    <w:p w14:paraId="065804AB">
      <w:pPr>
        <w:snapToGrid w:val="0"/>
        <w:spacing w:before="156" w:beforeLines="50" w:after="50" w:line="440" w:lineRule="exact"/>
        <w:ind w:firstLine="480" w:firstLineChars="200"/>
        <w:rPr>
          <w:rFonts w:ascii="宋体" w:hAnsi="宋体" w:cs="宋体"/>
          <w:color w:val="auto"/>
          <w:sz w:val="24"/>
        </w:rPr>
      </w:pPr>
      <w:r>
        <w:rPr>
          <w:rFonts w:hint="eastAsia" w:ascii="宋体" w:hAnsi="宋体" w:cs="宋体"/>
          <w:color w:val="auto"/>
          <w:sz w:val="24"/>
          <w:u w:val="single"/>
        </w:rPr>
        <w:t>在撤销授权的书面通知以前，本授权书一直有效。</w:t>
      </w:r>
      <w:r>
        <w:rPr>
          <w:rFonts w:hint="eastAsia" w:ascii="宋体" w:hAnsi="宋体" w:cs="宋体"/>
          <w:color w:val="auto"/>
          <w:sz w:val="24"/>
        </w:rPr>
        <w:t>被授权人在授权书有效期内签署的所有文件不因授权的撤销而失效。</w:t>
      </w:r>
    </w:p>
    <w:p w14:paraId="597D0746">
      <w:pPr>
        <w:snapToGrid w:val="0"/>
        <w:spacing w:before="156" w:beforeLines="50" w:after="50" w:line="440" w:lineRule="exact"/>
        <w:ind w:firstLine="480"/>
        <w:rPr>
          <w:rFonts w:ascii="宋体" w:hAnsi="宋体" w:cs="宋体"/>
          <w:color w:val="auto"/>
          <w:sz w:val="24"/>
        </w:rPr>
      </w:pPr>
      <w:r>
        <w:rPr>
          <w:rFonts w:hint="eastAsia" w:ascii="宋体" w:hAnsi="宋体" w:cs="宋体"/>
          <w:color w:val="auto"/>
          <w:sz w:val="24"/>
        </w:rPr>
        <w:t>被授权人无转委托权，特此委托。</w:t>
      </w:r>
    </w:p>
    <w:p w14:paraId="6CD37D25">
      <w:pPr>
        <w:snapToGrid w:val="0"/>
        <w:spacing w:before="156" w:beforeLines="50" w:after="50" w:line="440" w:lineRule="exact"/>
        <w:rPr>
          <w:rFonts w:ascii="宋体" w:hAnsi="宋体" w:cs="宋体"/>
          <w:color w:val="auto"/>
          <w:sz w:val="24"/>
        </w:rPr>
      </w:pPr>
    </w:p>
    <w:p w14:paraId="32C7F5DB">
      <w:pPr>
        <w:snapToGrid w:val="0"/>
        <w:spacing w:before="156" w:beforeLines="50" w:after="50" w:line="440" w:lineRule="exact"/>
        <w:rPr>
          <w:rFonts w:ascii="宋体" w:hAnsi="宋体" w:cs="宋体"/>
          <w:color w:val="auto"/>
          <w:sz w:val="24"/>
          <w:u w:val="single"/>
        </w:rPr>
      </w:pPr>
      <w:r>
        <w:rPr>
          <w:rFonts w:hint="eastAsia" w:ascii="宋体" w:hAnsi="宋体" w:cs="宋体"/>
          <w:color w:val="auto"/>
          <w:sz w:val="24"/>
        </w:rPr>
        <w:t>被授权人：</w:t>
      </w:r>
      <w:r>
        <w:rPr>
          <w:rFonts w:hint="eastAsia" w:ascii="宋体" w:hAnsi="宋体" w:cs="宋体"/>
          <w:color w:val="auto"/>
          <w:sz w:val="24"/>
          <w:u w:val="single"/>
        </w:rPr>
        <w:t xml:space="preserve">          </w:t>
      </w:r>
      <w:r>
        <w:rPr>
          <w:rFonts w:hint="eastAsia" w:ascii="宋体" w:hAnsi="宋体" w:cs="宋体"/>
          <w:color w:val="auto"/>
          <w:sz w:val="24"/>
        </w:rPr>
        <w:t xml:space="preserve">                 法定代表人签名或盖章：</w:t>
      </w:r>
      <w:r>
        <w:rPr>
          <w:rFonts w:hint="eastAsia" w:ascii="宋体" w:hAnsi="宋体" w:cs="宋体"/>
          <w:color w:val="auto"/>
          <w:sz w:val="24"/>
          <w:u w:val="single"/>
        </w:rPr>
        <w:t xml:space="preserve">          </w:t>
      </w:r>
    </w:p>
    <w:p w14:paraId="4E98FEF4">
      <w:pPr>
        <w:snapToGrid w:val="0"/>
        <w:spacing w:before="156" w:beforeLines="50" w:after="50" w:line="440" w:lineRule="exact"/>
        <w:ind w:firstLine="480" w:firstLineChars="200"/>
        <w:rPr>
          <w:rFonts w:ascii="宋体" w:hAnsi="宋体" w:cs="宋体"/>
          <w:color w:val="auto"/>
          <w:sz w:val="24"/>
        </w:rPr>
      </w:pPr>
      <w:r>
        <w:rPr>
          <w:rFonts w:hint="eastAsia" w:ascii="宋体" w:hAnsi="宋体" w:cs="宋体"/>
          <w:color w:val="auto"/>
          <w:sz w:val="24"/>
        </w:rPr>
        <w:t>职务：</w:t>
      </w:r>
      <w:r>
        <w:rPr>
          <w:rFonts w:hint="eastAsia" w:ascii="宋体" w:hAnsi="宋体" w:cs="宋体"/>
          <w:color w:val="auto"/>
          <w:sz w:val="24"/>
          <w:u w:val="single"/>
        </w:rPr>
        <w:t xml:space="preserve">           </w:t>
      </w:r>
      <w:r>
        <w:rPr>
          <w:rFonts w:hint="eastAsia" w:ascii="宋体" w:hAnsi="宋体" w:cs="宋体"/>
          <w:color w:val="auto"/>
          <w:sz w:val="24"/>
        </w:rPr>
        <w:t xml:space="preserve">                                职务：</w:t>
      </w:r>
      <w:r>
        <w:rPr>
          <w:rFonts w:hint="eastAsia" w:ascii="宋体" w:hAnsi="宋体" w:cs="宋体"/>
          <w:color w:val="auto"/>
          <w:sz w:val="24"/>
          <w:u w:val="single"/>
        </w:rPr>
        <w:t xml:space="preserve">           </w:t>
      </w:r>
    </w:p>
    <w:p w14:paraId="4FA5CE8E">
      <w:pPr>
        <w:snapToGrid w:val="0"/>
        <w:spacing w:before="156" w:beforeLines="50" w:after="50" w:line="440" w:lineRule="exact"/>
        <w:rPr>
          <w:rFonts w:ascii="宋体" w:hAnsi="宋体" w:cs="宋体"/>
          <w:color w:val="auto"/>
          <w:sz w:val="24"/>
        </w:rPr>
      </w:pPr>
      <w:r>
        <w:rPr>
          <w:rFonts w:hint="eastAsia" w:ascii="宋体" w:hAnsi="宋体" w:cs="宋体"/>
          <w:color w:val="auto"/>
          <w:sz w:val="24"/>
        </w:rPr>
        <w:t>被授权人</w:t>
      </w:r>
      <w:r>
        <w:rPr>
          <w:rFonts w:hint="eastAsia" w:ascii="宋体" w:hAnsi="宋体" w:cs="宋体"/>
          <w:color w:val="auto"/>
          <w:sz w:val="24"/>
          <w:lang w:eastAsia="zh-CN"/>
        </w:rPr>
        <w:t>、</w:t>
      </w:r>
      <w:r>
        <w:rPr>
          <w:rFonts w:hint="eastAsia" w:ascii="宋体" w:hAnsi="宋体" w:cs="宋体"/>
          <w:color w:val="auto"/>
          <w:sz w:val="24"/>
          <w:highlight w:val="none"/>
          <w:lang w:val="en-US" w:eastAsia="zh-CN"/>
        </w:rPr>
        <w:t>法定代表人</w:t>
      </w:r>
      <w:r>
        <w:rPr>
          <w:rFonts w:hint="eastAsia" w:ascii="宋体" w:hAnsi="宋体" w:cs="宋体"/>
          <w:color w:val="auto"/>
          <w:sz w:val="24"/>
          <w:highlight w:val="none"/>
        </w:rPr>
        <w:t>身份证</w:t>
      </w:r>
      <w:r>
        <w:rPr>
          <w:rFonts w:hint="eastAsia" w:ascii="宋体" w:hAnsi="宋体" w:cs="宋体"/>
          <w:color w:val="auto"/>
          <w:sz w:val="24"/>
          <w:highlight w:val="none"/>
          <w:lang w:val="en-US" w:eastAsia="zh-CN"/>
        </w:rPr>
        <w:t>正反面</w:t>
      </w:r>
      <w:r>
        <w:rPr>
          <w:rFonts w:hint="eastAsia" w:ascii="宋体" w:hAnsi="宋体" w:cs="宋体"/>
          <w:color w:val="auto"/>
          <w:sz w:val="24"/>
          <w:highlight w:val="none"/>
        </w:rPr>
        <w:t>：</w:t>
      </w:r>
      <w:r>
        <w:rPr>
          <w:rFonts w:hint="eastAsia" w:ascii="宋体" w:hAnsi="宋体" w:cs="宋体"/>
          <w:color w:val="auto"/>
          <w:sz w:val="24"/>
          <w:u w:val="single"/>
        </w:rPr>
        <w:t xml:space="preserve">                             </w:t>
      </w:r>
      <w:r>
        <w:rPr>
          <w:rFonts w:hint="eastAsia" w:ascii="宋体" w:hAnsi="宋体" w:cs="宋体"/>
          <w:color w:val="auto"/>
          <w:sz w:val="24"/>
        </w:rPr>
        <w:t xml:space="preserve"> </w:t>
      </w:r>
    </w:p>
    <w:p w14:paraId="68766697">
      <w:pPr>
        <w:snapToGrid w:val="0"/>
        <w:spacing w:before="156" w:beforeLines="50" w:after="50" w:line="440" w:lineRule="exact"/>
        <w:rPr>
          <w:rFonts w:ascii="宋体" w:hAnsi="宋体" w:cs="宋体"/>
          <w:color w:val="auto"/>
          <w:sz w:val="24"/>
        </w:rPr>
      </w:pPr>
      <w:r>
        <w:rPr>
          <w:rFonts w:hint="eastAsia" w:ascii="宋体" w:hAnsi="宋体" w:cs="宋体"/>
          <w:color w:val="auto"/>
          <w:sz w:val="24"/>
        </w:rPr>
        <w:t xml:space="preserve">                                     投标人公章：</w:t>
      </w:r>
    </w:p>
    <w:p w14:paraId="5C7E99FE">
      <w:pPr>
        <w:snapToGrid w:val="0"/>
        <w:spacing w:before="156" w:beforeLines="50" w:after="50" w:line="440" w:lineRule="exact"/>
        <w:jc w:val="center"/>
        <w:rPr>
          <w:rFonts w:ascii="宋体" w:hAnsi="宋体" w:cs="宋体"/>
          <w:color w:val="auto"/>
          <w:sz w:val="24"/>
        </w:rPr>
      </w:pPr>
      <w:r>
        <w:rPr>
          <w:rFonts w:hint="eastAsia" w:ascii="宋体" w:hAnsi="宋体" w:cs="宋体"/>
          <w:color w:val="auto"/>
          <w:sz w:val="24"/>
        </w:rPr>
        <w:t xml:space="preserve">                                        年    月    日</w:t>
      </w:r>
    </w:p>
    <w:p w14:paraId="4D24E15E">
      <w:pPr>
        <w:snapToGrid w:val="0"/>
        <w:spacing w:before="156" w:beforeLines="50" w:line="360" w:lineRule="auto"/>
        <w:rPr>
          <w:rFonts w:ascii="宋体" w:hAnsi="宋体" w:cs="宋体"/>
          <w:color w:val="auto"/>
          <w:sz w:val="24"/>
        </w:rPr>
      </w:pPr>
      <w:r>
        <w:rPr>
          <w:rFonts w:hint="eastAsia" w:ascii="宋体" w:hAnsi="宋体" w:cs="宋体"/>
          <w:color w:val="auto"/>
          <w:sz w:val="24"/>
        </w:rPr>
        <w:br w:type="page"/>
      </w:r>
      <w:r>
        <w:rPr>
          <w:rFonts w:hint="eastAsia" w:ascii="宋体" w:hAnsi="宋体" w:cs="宋体"/>
          <w:b/>
          <w:bCs/>
          <w:color w:val="auto"/>
          <w:sz w:val="24"/>
        </w:rPr>
        <w:t>3</w:t>
      </w:r>
      <w:r>
        <w:rPr>
          <w:rFonts w:hint="eastAsia" w:ascii="宋体" w:hAnsi="宋体" w:cs="宋体"/>
          <w:b/>
          <w:bCs/>
          <w:color w:val="auto"/>
          <w:sz w:val="24"/>
          <w:lang w:val="en-US" w:eastAsia="zh-CN"/>
        </w:rPr>
        <w:t>.</w:t>
      </w:r>
      <w:r>
        <w:rPr>
          <w:rFonts w:hint="eastAsia" w:ascii="宋体" w:hAnsi="宋体" w:cs="宋体"/>
          <w:b/>
          <w:bCs/>
          <w:color w:val="auto"/>
          <w:sz w:val="24"/>
        </w:rPr>
        <w:t>供应商市场行为信誉（信用）情况承诺书格式：</w:t>
      </w:r>
    </w:p>
    <w:p w14:paraId="33BD806F">
      <w:pPr>
        <w:pStyle w:val="23"/>
        <w:snapToGrid w:val="0"/>
        <w:spacing w:line="360" w:lineRule="auto"/>
        <w:ind w:left="643" w:hanging="643"/>
        <w:jc w:val="center"/>
        <w:rPr>
          <w:rFonts w:ascii="宋体" w:hAnsi="宋体"/>
          <w:b/>
          <w:color w:val="auto"/>
          <w:sz w:val="32"/>
          <w:szCs w:val="32"/>
        </w:rPr>
      </w:pPr>
      <w:r>
        <w:rPr>
          <w:rFonts w:hint="eastAsia" w:ascii="宋体" w:hAnsi="宋体"/>
          <w:b/>
          <w:color w:val="auto"/>
          <w:sz w:val="32"/>
          <w:szCs w:val="32"/>
        </w:rPr>
        <w:t>供应商市场行为信誉（信用）情况承诺书（申明书）</w:t>
      </w:r>
    </w:p>
    <w:tbl>
      <w:tblPr>
        <w:tblStyle w:val="34"/>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209"/>
        <w:gridCol w:w="898"/>
        <w:gridCol w:w="196"/>
        <w:gridCol w:w="2685"/>
        <w:gridCol w:w="2112"/>
        <w:gridCol w:w="2340"/>
      </w:tblGrid>
      <w:tr w14:paraId="1950E2A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04" w:hRule="atLeast"/>
        </w:trPr>
        <w:tc>
          <w:tcPr>
            <w:tcW w:w="2303" w:type="dxa"/>
            <w:gridSpan w:val="3"/>
            <w:tcBorders>
              <w:top w:val="single" w:color="auto" w:sz="4" w:space="0"/>
              <w:left w:val="single" w:color="auto" w:sz="4" w:space="0"/>
              <w:bottom w:val="dotted" w:color="auto" w:sz="4" w:space="0"/>
              <w:right w:val="dotted" w:color="auto" w:sz="4" w:space="0"/>
            </w:tcBorders>
            <w:vAlign w:val="center"/>
          </w:tcPr>
          <w:p w14:paraId="4155C771">
            <w:pPr>
              <w:spacing w:before="100" w:beforeAutospacing="1" w:after="100" w:afterAutospacing="1" w:line="260" w:lineRule="exact"/>
              <w:jc w:val="center"/>
              <w:rPr>
                <w:rFonts w:ascii="宋体" w:hAnsi="宋体" w:cs="宋体"/>
                <w:color w:val="auto"/>
                <w:sz w:val="24"/>
              </w:rPr>
            </w:pPr>
            <w:r>
              <w:rPr>
                <w:rFonts w:hint="eastAsia" w:ascii="宋体" w:hAnsi="宋体" w:cs="宋体"/>
                <w:color w:val="auto"/>
              </w:rPr>
              <w:t>投（竞）标</w:t>
            </w:r>
            <w:r>
              <w:rPr>
                <w:rFonts w:hint="eastAsia" w:ascii="宋体" w:hAnsi="宋体" w:cs="宋体"/>
                <w:b/>
                <w:bCs/>
                <w:color w:val="auto"/>
              </w:rPr>
              <w:t>供应商</w:t>
            </w:r>
            <w:r>
              <w:rPr>
                <w:rFonts w:hint="eastAsia" w:ascii="宋体" w:hAnsi="宋体" w:cs="宋体"/>
                <w:color w:val="auto"/>
              </w:rPr>
              <w:t xml:space="preserve">名称 </w:t>
            </w:r>
          </w:p>
        </w:tc>
        <w:tc>
          <w:tcPr>
            <w:tcW w:w="2685" w:type="dxa"/>
            <w:tcBorders>
              <w:top w:val="single" w:color="auto" w:sz="4" w:space="0"/>
              <w:left w:val="dotted" w:color="auto" w:sz="4" w:space="0"/>
              <w:bottom w:val="dotted" w:color="auto" w:sz="4" w:space="0"/>
              <w:right w:val="dotted" w:color="auto" w:sz="4" w:space="0"/>
            </w:tcBorders>
            <w:vAlign w:val="center"/>
          </w:tcPr>
          <w:p w14:paraId="3E0636CB">
            <w:pPr>
              <w:spacing w:line="260" w:lineRule="exact"/>
              <w:rPr>
                <w:rFonts w:ascii="宋体" w:hAnsi="宋体" w:cs="宋体"/>
                <w:color w:val="auto"/>
                <w:sz w:val="18"/>
                <w:szCs w:val="18"/>
              </w:rPr>
            </w:pPr>
          </w:p>
        </w:tc>
        <w:tc>
          <w:tcPr>
            <w:tcW w:w="2112" w:type="dxa"/>
            <w:tcBorders>
              <w:top w:val="single" w:color="auto" w:sz="4" w:space="0"/>
              <w:left w:val="dotted" w:color="auto" w:sz="4" w:space="0"/>
              <w:bottom w:val="dotted" w:color="auto" w:sz="4" w:space="0"/>
              <w:right w:val="dotted" w:color="auto" w:sz="4" w:space="0"/>
            </w:tcBorders>
            <w:vAlign w:val="center"/>
          </w:tcPr>
          <w:p w14:paraId="75A8AC8F">
            <w:pPr>
              <w:spacing w:before="100" w:beforeAutospacing="1" w:after="100" w:afterAutospacing="1" w:line="260" w:lineRule="exact"/>
              <w:jc w:val="center"/>
              <w:rPr>
                <w:rFonts w:ascii="宋体" w:hAnsi="宋体" w:cs="宋体"/>
                <w:color w:val="auto"/>
              </w:rPr>
            </w:pPr>
            <w:r>
              <w:rPr>
                <w:rFonts w:hint="eastAsia" w:ascii="宋体" w:hAnsi="宋体" w:cs="宋体"/>
                <w:color w:val="auto"/>
              </w:rPr>
              <w:t>企业资质等级</w:t>
            </w:r>
          </w:p>
          <w:p w14:paraId="2FD07892">
            <w:pPr>
              <w:spacing w:before="100" w:beforeAutospacing="1" w:after="100" w:afterAutospacing="1" w:line="260" w:lineRule="exact"/>
              <w:jc w:val="center"/>
              <w:rPr>
                <w:rFonts w:ascii="宋体" w:hAnsi="宋体" w:cs="宋体"/>
                <w:color w:val="auto"/>
                <w:sz w:val="24"/>
              </w:rPr>
            </w:pPr>
            <w:r>
              <w:rPr>
                <w:rFonts w:hint="eastAsia" w:ascii="宋体" w:hAnsi="宋体" w:cs="宋体"/>
                <w:color w:val="auto"/>
              </w:rPr>
              <w:t xml:space="preserve">（如 有） </w:t>
            </w:r>
          </w:p>
        </w:tc>
        <w:tc>
          <w:tcPr>
            <w:tcW w:w="2340" w:type="dxa"/>
            <w:tcBorders>
              <w:top w:val="single" w:color="auto" w:sz="4" w:space="0"/>
              <w:left w:val="dotted" w:color="auto" w:sz="4" w:space="0"/>
              <w:bottom w:val="dotted" w:color="auto" w:sz="4" w:space="0"/>
              <w:right w:val="single" w:color="auto" w:sz="4" w:space="0"/>
            </w:tcBorders>
            <w:vAlign w:val="center"/>
          </w:tcPr>
          <w:p w14:paraId="2B0B3452">
            <w:pPr>
              <w:spacing w:line="260" w:lineRule="exact"/>
              <w:rPr>
                <w:rFonts w:ascii="宋体" w:hAnsi="宋体" w:cs="宋体"/>
                <w:color w:val="auto"/>
                <w:sz w:val="18"/>
                <w:szCs w:val="18"/>
              </w:rPr>
            </w:pPr>
          </w:p>
        </w:tc>
      </w:tr>
      <w:tr w14:paraId="37C78A5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2303" w:type="dxa"/>
            <w:gridSpan w:val="3"/>
            <w:tcBorders>
              <w:top w:val="dotted" w:color="auto" w:sz="4" w:space="0"/>
              <w:left w:val="single" w:color="auto" w:sz="4" w:space="0"/>
              <w:bottom w:val="dotted" w:color="auto" w:sz="4" w:space="0"/>
              <w:right w:val="dotted" w:color="auto" w:sz="4" w:space="0"/>
            </w:tcBorders>
            <w:vAlign w:val="center"/>
          </w:tcPr>
          <w:p w14:paraId="47FBC20A">
            <w:pPr>
              <w:spacing w:before="100" w:beforeAutospacing="1" w:after="100" w:afterAutospacing="1" w:line="260" w:lineRule="exact"/>
              <w:jc w:val="center"/>
              <w:rPr>
                <w:rFonts w:ascii="宋体" w:hAnsi="宋体" w:cs="宋体"/>
                <w:color w:val="auto"/>
                <w:sz w:val="24"/>
              </w:rPr>
            </w:pPr>
            <w:r>
              <w:rPr>
                <w:rFonts w:hint="eastAsia" w:ascii="宋体" w:hAnsi="宋体" w:cs="宋体"/>
                <w:color w:val="auto"/>
              </w:rPr>
              <w:t xml:space="preserve">企 业 地 址 </w:t>
            </w:r>
          </w:p>
        </w:tc>
        <w:tc>
          <w:tcPr>
            <w:tcW w:w="2685" w:type="dxa"/>
            <w:tcBorders>
              <w:top w:val="dotted" w:color="auto" w:sz="4" w:space="0"/>
              <w:left w:val="dotted" w:color="auto" w:sz="4" w:space="0"/>
              <w:bottom w:val="dotted" w:color="auto" w:sz="4" w:space="0"/>
              <w:right w:val="dotted" w:color="auto" w:sz="4" w:space="0"/>
            </w:tcBorders>
            <w:vAlign w:val="center"/>
          </w:tcPr>
          <w:p w14:paraId="1AE4FD7D">
            <w:pPr>
              <w:spacing w:line="260" w:lineRule="exact"/>
              <w:rPr>
                <w:rFonts w:ascii="宋体" w:hAnsi="宋体" w:cs="宋体"/>
                <w:color w:val="auto"/>
                <w:sz w:val="18"/>
                <w:szCs w:val="18"/>
              </w:rPr>
            </w:pPr>
          </w:p>
        </w:tc>
        <w:tc>
          <w:tcPr>
            <w:tcW w:w="2112" w:type="dxa"/>
            <w:tcBorders>
              <w:top w:val="dotted" w:color="auto" w:sz="4" w:space="0"/>
              <w:left w:val="dotted" w:color="auto" w:sz="4" w:space="0"/>
              <w:bottom w:val="dotted" w:color="auto" w:sz="4" w:space="0"/>
              <w:right w:val="dotted" w:color="auto" w:sz="4" w:space="0"/>
            </w:tcBorders>
            <w:vAlign w:val="center"/>
          </w:tcPr>
          <w:p w14:paraId="10FD1840">
            <w:pPr>
              <w:spacing w:before="100" w:beforeAutospacing="1" w:after="100" w:afterAutospacing="1" w:line="260" w:lineRule="exact"/>
              <w:jc w:val="center"/>
              <w:rPr>
                <w:rFonts w:ascii="宋体" w:hAnsi="宋体" w:cs="宋体"/>
                <w:color w:val="auto"/>
                <w:sz w:val="24"/>
              </w:rPr>
            </w:pPr>
            <w:r>
              <w:rPr>
                <w:rFonts w:hint="eastAsia" w:ascii="宋体" w:hAnsi="宋体" w:cs="宋体"/>
                <w:color w:val="auto"/>
              </w:rPr>
              <w:t xml:space="preserve">联 系 电 话 </w:t>
            </w:r>
          </w:p>
        </w:tc>
        <w:tc>
          <w:tcPr>
            <w:tcW w:w="2340" w:type="dxa"/>
            <w:tcBorders>
              <w:top w:val="dotted" w:color="auto" w:sz="4" w:space="0"/>
              <w:left w:val="dotted" w:color="auto" w:sz="4" w:space="0"/>
              <w:bottom w:val="dotted" w:color="auto" w:sz="4" w:space="0"/>
              <w:right w:val="single" w:color="auto" w:sz="4" w:space="0"/>
            </w:tcBorders>
            <w:vAlign w:val="center"/>
          </w:tcPr>
          <w:p w14:paraId="2B13F75E">
            <w:pPr>
              <w:spacing w:line="260" w:lineRule="exact"/>
              <w:rPr>
                <w:rFonts w:ascii="宋体" w:hAnsi="宋体" w:cs="宋体"/>
                <w:color w:val="auto"/>
                <w:sz w:val="18"/>
                <w:szCs w:val="18"/>
              </w:rPr>
            </w:pPr>
          </w:p>
        </w:tc>
      </w:tr>
      <w:tr w14:paraId="6D68777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5" w:hRule="atLeast"/>
        </w:trPr>
        <w:tc>
          <w:tcPr>
            <w:tcW w:w="2303" w:type="dxa"/>
            <w:gridSpan w:val="3"/>
            <w:tcBorders>
              <w:top w:val="dotted" w:color="auto" w:sz="4" w:space="0"/>
              <w:left w:val="single" w:color="auto" w:sz="4" w:space="0"/>
              <w:bottom w:val="dotted" w:color="auto" w:sz="4" w:space="0"/>
              <w:right w:val="dotted" w:color="auto" w:sz="4" w:space="0"/>
            </w:tcBorders>
            <w:vAlign w:val="center"/>
          </w:tcPr>
          <w:p w14:paraId="5BE2886C">
            <w:pPr>
              <w:spacing w:before="100" w:beforeAutospacing="1" w:after="100" w:afterAutospacing="1" w:line="260" w:lineRule="exact"/>
              <w:jc w:val="center"/>
              <w:rPr>
                <w:rFonts w:ascii="宋体" w:hAnsi="宋体" w:cs="宋体"/>
                <w:color w:val="auto"/>
                <w:sz w:val="24"/>
              </w:rPr>
            </w:pPr>
            <w:r>
              <w:rPr>
                <w:rFonts w:hint="eastAsia" w:ascii="宋体" w:hAnsi="宋体" w:cs="宋体"/>
                <w:color w:val="auto"/>
              </w:rPr>
              <w:t xml:space="preserve">拟投（竞）标项目名称 </w:t>
            </w:r>
          </w:p>
        </w:tc>
        <w:tc>
          <w:tcPr>
            <w:tcW w:w="2685" w:type="dxa"/>
            <w:tcBorders>
              <w:top w:val="dotted" w:color="auto" w:sz="4" w:space="0"/>
              <w:left w:val="dotted" w:color="auto" w:sz="4" w:space="0"/>
              <w:bottom w:val="dotted" w:color="auto" w:sz="4" w:space="0"/>
              <w:right w:val="dotted" w:color="auto" w:sz="4" w:space="0"/>
            </w:tcBorders>
            <w:vAlign w:val="center"/>
          </w:tcPr>
          <w:p w14:paraId="16DFCE2C">
            <w:pPr>
              <w:spacing w:line="260" w:lineRule="exact"/>
              <w:rPr>
                <w:rFonts w:ascii="宋体" w:hAnsi="宋体" w:cs="宋体"/>
                <w:color w:val="auto"/>
                <w:sz w:val="18"/>
                <w:szCs w:val="18"/>
              </w:rPr>
            </w:pPr>
          </w:p>
        </w:tc>
        <w:tc>
          <w:tcPr>
            <w:tcW w:w="2112" w:type="dxa"/>
            <w:tcBorders>
              <w:top w:val="dotted" w:color="auto" w:sz="4" w:space="0"/>
              <w:left w:val="dotted" w:color="auto" w:sz="4" w:space="0"/>
              <w:bottom w:val="dotted" w:color="auto" w:sz="4" w:space="0"/>
              <w:right w:val="dotted" w:color="auto" w:sz="4" w:space="0"/>
            </w:tcBorders>
            <w:vAlign w:val="center"/>
          </w:tcPr>
          <w:p w14:paraId="554B6432">
            <w:pPr>
              <w:spacing w:before="100" w:beforeAutospacing="1" w:after="100" w:afterAutospacing="1" w:line="260" w:lineRule="exact"/>
              <w:jc w:val="center"/>
              <w:rPr>
                <w:rFonts w:ascii="宋体" w:hAnsi="宋体" w:cs="宋体"/>
                <w:color w:val="auto"/>
                <w:sz w:val="24"/>
              </w:rPr>
            </w:pPr>
            <w:r>
              <w:rPr>
                <w:rFonts w:hint="eastAsia" w:ascii="宋体" w:hAnsi="宋体" w:cs="宋体"/>
                <w:color w:val="auto"/>
              </w:rPr>
              <w:t xml:space="preserve">拟投标项目负责人姓名及资质 </w:t>
            </w:r>
          </w:p>
        </w:tc>
        <w:tc>
          <w:tcPr>
            <w:tcW w:w="2340" w:type="dxa"/>
            <w:tcBorders>
              <w:top w:val="dotted" w:color="auto" w:sz="4" w:space="0"/>
              <w:left w:val="dotted" w:color="auto" w:sz="4" w:space="0"/>
              <w:bottom w:val="dotted" w:color="auto" w:sz="4" w:space="0"/>
              <w:right w:val="single" w:color="auto" w:sz="4" w:space="0"/>
            </w:tcBorders>
          </w:tcPr>
          <w:p w14:paraId="1467A335">
            <w:pPr>
              <w:spacing w:line="260" w:lineRule="exact"/>
              <w:rPr>
                <w:rFonts w:ascii="宋体" w:hAnsi="宋体" w:cs="宋体"/>
                <w:color w:val="auto"/>
                <w:sz w:val="18"/>
                <w:szCs w:val="18"/>
              </w:rPr>
            </w:pPr>
          </w:p>
        </w:tc>
      </w:tr>
      <w:tr w14:paraId="327634D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18" w:hRule="atLeast"/>
        </w:trPr>
        <w:tc>
          <w:tcPr>
            <w:tcW w:w="1209" w:type="dxa"/>
            <w:vMerge w:val="restart"/>
            <w:tcBorders>
              <w:top w:val="single" w:color="auto" w:sz="4" w:space="0"/>
              <w:left w:val="single" w:color="auto" w:sz="4" w:space="0"/>
              <w:right w:val="dotted" w:color="auto" w:sz="4" w:space="0"/>
            </w:tcBorders>
            <w:vAlign w:val="center"/>
          </w:tcPr>
          <w:p w14:paraId="136DACA0">
            <w:pPr>
              <w:spacing w:before="100" w:beforeAutospacing="1" w:after="100" w:afterAutospacing="1" w:line="260" w:lineRule="exact"/>
              <w:jc w:val="center"/>
              <w:rPr>
                <w:rFonts w:ascii="宋体" w:hAnsi="宋体" w:cs="宋体"/>
                <w:color w:val="auto"/>
                <w:sz w:val="24"/>
              </w:rPr>
            </w:pPr>
            <w:r>
              <w:rPr>
                <w:rFonts w:hint="eastAsia" w:ascii="宋体" w:hAnsi="宋体" w:cs="宋体"/>
                <w:color w:val="auto"/>
              </w:rPr>
              <w:t>供应商</w:t>
            </w:r>
          </w:p>
          <w:p w14:paraId="62EAED41">
            <w:pPr>
              <w:spacing w:before="100" w:beforeAutospacing="1" w:after="100" w:afterAutospacing="1" w:line="260" w:lineRule="exact"/>
              <w:jc w:val="center"/>
              <w:rPr>
                <w:rFonts w:ascii="宋体" w:hAnsi="宋体" w:cs="宋体"/>
                <w:color w:val="auto"/>
                <w:sz w:val="24"/>
              </w:rPr>
            </w:pPr>
            <w:r>
              <w:rPr>
                <w:rFonts w:hint="eastAsia" w:ascii="宋体" w:hAnsi="宋体" w:cs="宋体"/>
                <w:color w:val="auto"/>
              </w:rPr>
              <w:t>市场</w:t>
            </w:r>
          </w:p>
          <w:p w14:paraId="5B097601">
            <w:pPr>
              <w:spacing w:before="100" w:beforeAutospacing="1" w:after="100" w:afterAutospacing="1" w:line="260" w:lineRule="exact"/>
              <w:jc w:val="center"/>
              <w:rPr>
                <w:rFonts w:ascii="宋体" w:hAnsi="宋体" w:cs="宋体"/>
                <w:color w:val="auto"/>
              </w:rPr>
            </w:pPr>
            <w:r>
              <w:rPr>
                <w:rFonts w:hint="eastAsia" w:ascii="宋体" w:hAnsi="宋体" w:cs="宋体"/>
                <w:color w:val="auto"/>
              </w:rPr>
              <w:t>行为</w:t>
            </w:r>
          </w:p>
          <w:p w14:paraId="599172E4">
            <w:pPr>
              <w:spacing w:before="100" w:beforeAutospacing="1" w:after="100" w:afterAutospacing="1" w:line="260" w:lineRule="exact"/>
              <w:jc w:val="center"/>
              <w:rPr>
                <w:rFonts w:ascii="宋体" w:hAnsi="宋体" w:cs="宋体"/>
                <w:color w:val="auto"/>
                <w:sz w:val="24"/>
              </w:rPr>
            </w:pPr>
            <w:r>
              <w:rPr>
                <w:rFonts w:hint="eastAsia" w:ascii="宋体" w:hAnsi="宋体" w:cs="宋体"/>
                <w:color w:val="auto"/>
              </w:rPr>
              <w:t>信誉</w:t>
            </w:r>
          </w:p>
          <w:p w14:paraId="3479FA6A">
            <w:pPr>
              <w:spacing w:before="100" w:beforeAutospacing="1" w:after="100" w:afterAutospacing="1" w:line="260" w:lineRule="exact"/>
              <w:jc w:val="center"/>
              <w:rPr>
                <w:rFonts w:ascii="宋体" w:hAnsi="宋体" w:cs="宋体"/>
                <w:color w:val="auto"/>
              </w:rPr>
            </w:pPr>
            <w:r>
              <w:rPr>
                <w:rFonts w:hint="eastAsia" w:ascii="宋体" w:hAnsi="宋体" w:cs="宋体"/>
                <w:color w:val="auto"/>
              </w:rPr>
              <w:t>情况</w:t>
            </w:r>
          </w:p>
        </w:tc>
        <w:tc>
          <w:tcPr>
            <w:tcW w:w="3779" w:type="dxa"/>
            <w:gridSpan w:val="3"/>
            <w:tcBorders>
              <w:top w:val="single" w:color="auto" w:sz="4" w:space="0"/>
              <w:left w:val="dotted" w:color="auto" w:sz="4" w:space="0"/>
              <w:bottom w:val="dotted" w:color="auto" w:sz="4" w:space="0"/>
              <w:right w:val="dotted" w:color="auto" w:sz="4" w:space="0"/>
            </w:tcBorders>
            <w:vAlign w:val="center"/>
          </w:tcPr>
          <w:p w14:paraId="24736C14">
            <w:pPr>
              <w:spacing w:before="100" w:beforeAutospacing="1" w:after="100" w:afterAutospacing="1" w:line="260" w:lineRule="exact"/>
              <w:rPr>
                <w:rFonts w:ascii="宋体" w:hAnsi="宋体" w:cs="宋体"/>
                <w:color w:val="auto"/>
              </w:rPr>
            </w:pPr>
            <w:r>
              <w:rPr>
                <w:rFonts w:hint="eastAsia" w:ascii="宋体" w:hAnsi="宋体" w:cs="宋体"/>
                <w:color w:val="auto"/>
              </w:rPr>
              <w:t>有无受到财政监管部门处理、公告的不良行为。（未注明公告期限的）</w:t>
            </w:r>
          </w:p>
        </w:tc>
        <w:tc>
          <w:tcPr>
            <w:tcW w:w="4452" w:type="dxa"/>
            <w:gridSpan w:val="2"/>
            <w:tcBorders>
              <w:top w:val="single" w:color="auto" w:sz="4" w:space="0"/>
              <w:left w:val="dotted" w:color="auto" w:sz="4" w:space="0"/>
              <w:bottom w:val="dotted" w:color="auto" w:sz="4" w:space="0"/>
              <w:right w:val="single" w:color="auto" w:sz="4" w:space="0"/>
            </w:tcBorders>
          </w:tcPr>
          <w:p w14:paraId="4E888614">
            <w:pPr>
              <w:spacing w:line="260" w:lineRule="exact"/>
              <w:rPr>
                <w:rFonts w:ascii="宋体" w:hAnsi="宋体" w:cs="宋体"/>
                <w:color w:val="auto"/>
                <w:sz w:val="18"/>
                <w:szCs w:val="18"/>
              </w:rPr>
            </w:pPr>
          </w:p>
        </w:tc>
      </w:tr>
      <w:tr w14:paraId="4AEC0FA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27" w:hRule="atLeast"/>
        </w:trPr>
        <w:tc>
          <w:tcPr>
            <w:tcW w:w="1209" w:type="dxa"/>
            <w:vMerge w:val="continue"/>
            <w:tcBorders>
              <w:top w:val="single" w:color="auto" w:sz="4" w:space="0"/>
              <w:left w:val="single" w:color="auto" w:sz="4" w:space="0"/>
              <w:right w:val="dotted" w:color="auto" w:sz="4" w:space="0"/>
            </w:tcBorders>
            <w:vAlign w:val="center"/>
          </w:tcPr>
          <w:p w14:paraId="4AD04094">
            <w:pPr>
              <w:spacing w:before="100" w:beforeAutospacing="1" w:after="100" w:afterAutospacing="1" w:line="260" w:lineRule="exact"/>
              <w:jc w:val="center"/>
              <w:rPr>
                <w:rFonts w:ascii="宋体" w:hAnsi="宋体" w:cs="宋体"/>
                <w:color w:val="auto"/>
              </w:rPr>
            </w:pPr>
          </w:p>
        </w:tc>
        <w:tc>
          <w:tcPr>
            <w:tcW w:w="3779" w:type="dxa"/>
            <w:gridSpan w:val="3"/>
            <w:tcBorders>
              <w:top w:val="single" w:color="auto" w:sz="4" w:space="0"/>
              <w:left w:val="dotted" w:color="auto" w:sz="4" w:space="0"/>
              <w:bottom w:val="dotted" w:color="auto" w:sz="4" w:space="0"/>
              <w:right w:val="dotted" w:color="auto" w:sz="4" w:space="0"/>
            </w:tcBorders>
            <w:vAlign w:val="center"/>
          </w:tcPr>
          <w:p w14:paraId="6DF9C30A">
            <w:pPr>
              <w:spacing w:before="100" w:beforeAutospacing="1" w:after="100" w:afterAutospacing="1" w:line="260" w:lineRule="exact"/>
              <w:rPr>
                <w:rFonts w:ascii="宋体" w:hAnsi="宋体" w:cs="宋体"/>
                <w:color w:val="auto"/>
              </w:rPr>
            </w:pPr>
            <w:r>
              <w:rPr>
                <w:rFonts w:hint="eastAsia" w:ascii="宋体" w:hAnsi="宋体" w:cs="宋体"/>
                <w:color w:val="auto"/>
              </w:rPr>
              <w:t>有无受到财政监管部门处理、公告的不良行为（在公告期内）。</w:t>
            </w:r>
          </w:p>
        </w:tc>
        <w:tc>
          <w:tcPr>
            <w:tcW w:w="4452" w:type="dxa"/>
            <w:gridSpan w:val="2"/>
            <w:tcBorders>
              <w:top w:val="single" w:color="auto" w:sz="4" w:space="0"/>
              <w:left w:val="dotted" w:color="auto" w:sz="4" w:space="0"/>
              <w:bottom w:val="dotted" w:color="auto" w:sz="4" w:space="0"/>
              <w:right w:val="single" w:color="auto" w:sz="4" w:space="0"/>
            </w:tcBorders>
          </w:tcPr>
          <w:p w14:paraId="339EEF26">
            <w:pPr>
              <w:spacing w:line="260" w:lineRule="exact"/>
              <w:rPr>
                <w:rFonts w:ascii="宋体" w:hAnsi="宋体" w:cs="宋体"/>
                <w:color w:val="auto"/>
                <w:sz w:val="18"/>
                <w:szCs w:val="18"/>
              </w:rPr>
            </w:pPr>
          </w:p>
        </w:tc>
      </w:tr>
      <w:tr w14:paraId="31143F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19" w:hRule="atLeast"/>
        </w:trPr>
        <w:tc>
          <w:tcPr>
            <w:tcW w:w="1209" w:type="dxa"/>
            <w:vMerge w:val="continue"/>
            <w:tcBorders>
              <w:left w:val="single" w:color="auto" w:sz="4" w:space="0"/>
              <w:right w:val="dotted" w:color="auto" w:sz="4" w:space="0"/>
            </w:tcBorders>
            <w:vAlign w:val="center"/>
          </w:tcPr>
          <w:p w14:paraId="75531549">
            <w:pPr>
              <w:spacing w:line="260" w:lineRule="exact"/>
              <w:rPr>
                <w:rFonts w:ascii="宋体" w:hAnsi="宋体" w:cs="宋体"/>
                <w:color w:val="auto"/>
                <w:sz w:val="24"/>
              </w:rPr>
            </w:pPr>
          </w:p>
        </w:tc>
        <w:tc>
          <w:tcPr>
            <w:tcW w:w="3779" w:type="dxa"/>
            <w:gridSpan w:val="3"/>
            <w:tcBorders>
              <w:top w:val="dotted" w:color="auto" w:sz="4" w:space="0"/>
              <w:left w:val="dotted" w:color="auto" w:sz="4" w:space="0"/>
              <w:right w:val="dotted" w:color="auto" w:sz="4" w:space="0"/>
            </w:tcBorders>
            <w:vAlign w:val="center"/>
          </w:tcPr>
          <w:p w14:paraId="14060618">
            <w:pPr>
              <w:spacing w:before="100" w:beforeAutospacing="1" w:after="100" w:afterAutospacing="1" w:line="260" w:lineRule="exact"/>
              <w:rPr>
                <w:rFonts w:ascii="宋体" w:hAnsi="宋体" w:cs="宋体"/>
                <w:color w:val="auto"/>
                <w:sz w:val="24"/>
              </w:rPr>
            </w:pPr>
            <w:r>
              <w:rPr>
                <w:rFonts w:hint="eastAsia" w:ascii="宋体" w:hAnsi="宋体" w:cs="宋体"/>
                <w:color w:val="auto"/>
              </w:rPr>
              <w:t>有无受到财政监管部门处理、公告的不良行为（不在公告期但在三年内）。</w:t>
            </w:r>
          </w:p>
        </w:tc>
        <w:tc>
          <w:tcPr>
            <w:tcW w:w="4452" w:type="dxa"/>
            <w:gridSpan w:val="2"/>
            <w:tcBorders>
              <w:top w:val="dotted" w:color="auto" w:sz="4" w:space="0"/>
              <w:left w:val="dotted" w:color="auto" w:sz="4" w:space="0"/>
              <w:right w:val="single" w:color="auto" w:sz="4" w:space="0"/>
            </w:tcBorders>
          </w:tcPr>
          <w:p w14:paraId="7E6CC02B">
            <w:pPr>
              <w:spacing w:line="260" w:lineRule="exact"/>
              <w:rPr>
                <w:rFonts w:ascii="宋体" w:hAnsi="宋体" w:cs="宋体"/>
                <w:color w:val="auto"/>
                <w:sz w:val="18"/>
                <w:szCs w:val="18"/>
              </w:rPr>
            </w:pPr>
          </w:p>
        </w:tc>
      </w:tr>
      <w:tr w14:paraId="6B64CE6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905" w:hRule="atLeast"/>
        </w:trPr>
        <w:tc>
          <w:tcPr>
            <w:tcW w:w="1209" w:type="dxa"/>
            <w:vMerge w:val="continue"/>
            <w:tcBorders>
              <w:left w:val="single" w:color="auto" w:sz="4" w:space="0"/>
              <w:bottom w:val="dotted" w:color="auto" w:sz="4" w:space="0"/>
              <w:right w:val="dotted" w:color="auto" w:sz="4" w:space="0"/>
            </w:tcBorders>
            <w:vAlign w:val="center"/>
          </w:tcPr>
          <w:p w14:paraId="12C1089E">
            <w:pPr>
              <w:spacing w:line="260" w:lineRule="exact"/>
              <w:rPr>
                <w:rFonts w:ascii="宋体" w:hAnsi="宋体" w:cs="宋体"/>
                <w:color w:val="auto"/>
                <w:sz w:val="24"/>
              </w:rPr>
            </w:pPr>
          </w:p>
        </w:tc>
        <w:tc>
          <w:tcPr>
            <w:tcW w:w="3779" w:type="dxa"/>
            <w:gridSpan w:val="3"/>
            <w:tcBorders>
              <w:top w:val="dotted" w:color="auto" w:sz="4" w:space="0"/>
              <w:left w:val="dotted" w:color="auto" w:sz="4" w:space="0"/>
              <w:bottom w:val="dotted" w:color="auto" w:sz="4" w:space="0"/>
              <w:right w:val="dotted" w:color="auto" w:sz="4" w:space="0"/>
            </w:tcBorders>
            <w:vAlign w:val="center"/>
          </w:tcPr>
          <w:p w14:paraId="10941042">
            <w:pPr>
              <w:spacing w:before="100" w:beforeAutospacing="1" w:after="100" w:afterAutospacing="1" w:line="260" w:lineRule="exact"/>
              <w:rPr>
                <w:rFonts w:ascii="宋体" w:hAnsi="宋体" w:cs="宋体"/>
                <w:color w:val="auto"/>
              </w:rPr>
            </w:pPr>
            <w:r>
              <w:rPr>
                <w:rFonts w:hint="eastAsia" w:ascii="宋体" w:hAnsi="宋体" w:cs="宋体"/>
                <w:color w:val="auto"/>
              </w:rPr>
              <w:t>申请报名前三年内，在经营活动中有无重大违法记录（重大违法记录包括：（一）县级以上行政机关对供应商或其法定代表人、董事、监事、高级管理人员在经营活动中的违法行为作出的行政处罚决定，但警告和罚款额在人民币200万元以下的行政处罚决定除外。（二）各级司法机关对供应商或其法定代表人、董事、监事、高级管理人员在经营活动中的违法行为作出的刑事判决。）</w:t>
            </w:r>
          </w:p>
        </w:tc>
        <w:tc>
          <w:tcPr>
            <w:tcW w:w="4452" w:type="dxa"/>
            <w:gridSpan w:val="2"/>
            <w:tcBorders>
              <w:top w:val="dotted" w:color="auto" w:sz="4" w:space="0"/>
              <w:left w:val="dotted" w:color="auto" w:sz="4" w:space="0"/>
              <w:bottom w:val="dotted" w:color="auto" w:sz="4" w:space="0"/>
              <w:right w:val="single" w:color="auto" w:sz="4" w:space="0"/>
            </w:tcBorders>
          </w:tcPr>
          <w:p w14:paraId="1880C2DA">
            <w:pPr>
              <w:spacing w:line="260" w:lineRule="exact"/>
              <w:rPr>
                <w:rFonts w:ascii="宋体" w:hAnsi="宋体" w:cs="宋体"/>
                <w:color w:val="auto"/>
                <w:sz w:val="18"/>
                <w:szCs w:val="18"/>
              </w:rPr>
            </w:pPr>
          </w:p>
        </w:tc>
      </w:tr>
      <w:tr w14:paraId="3B03B24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402" w:hRule="atLeast"/>
        </w:trPr>
        <w:tc>
          <w:tcPr>
            <w:tcW w:w="1209" w:type="dxa"/>
            <w:tcBorders>
              <w:left w:val="single" w:color="auto" w:sz="4" w:space="0"/>
              <w:bottom w:val="dotted" w:color="auto" w:sz="4" w:space="0"/>
              <w:right w:val="dotted" w:color="auto" w:sz="4" w:space="0"/>
            </w:tcBorders>
            <w:vAlign w:val="center"/>
          </w:tcPr>
          <w:p w14:paraId="173DBFF3">
            <w:pPr>
              <w:spacing w:before="100" w:beforeAutospacing="1" w:after="100" w:afterAutospacing="1" w:line="260" w:lineRule="exact"/>
              <w:jc w:val="center"/>
              <w:rPr>
                <w:rFonts w:ascii="宋体" w:hAnsi="宋体" w:cs="宋体"/>
                <w:color w:val="auto"/>
                <w:sz w:val="24"/>
              </w:rPr>
            </w:pPr>
            <w:r>
              <w:rPr>
                <w:rFonts w:hint="eastAsia" w:ascii="宋体" w:hAnsi="宋体" w:cs="宋体"/>
                <w:color w:val="auto"/>
              </w:rPr>
              <w:t>供应商</w:t>
            </w:r>
          </w:p>
          <w:p w14:paraId="2B6E985E">
            <w:pPr>
              <w:spacing w:before="100" w:beforeAutospacing="1" w:after="100" w:afterAutospacing="1" w:line="260" w:lineRule="exact"/>
              <w:jc w:val="center"/>
              <w:rPr>
                <w:rFonts w:ascii="宋体" w:hAnsi="宋体" w:cs="宋体"/>
                <w:color w:val="auto"/>
                <w:sz w:val="24"/>
              </w:rPr>
            </w:pPr>
            <w:r>
              <w:rPr>
                <w:rFonts w:hint="eastAsia" w:ascii="宋体" w:hAnsi="宋体" w:cs="宋体"/>
                <w:color w:val="auto"/>
              </w:rPr>
              <w:t>信用</w:t>
            </w:r>
          </w:p>
          <w:p w14:paraId="11119634">
            <w:pPr>
              <w:spacing w:line="260" w:lineRule="exact"/>
              <w:jc w:val="center"/>
              <w:rPr>
                <w:rFonts w:ascii="宋体" w:hAnsi="宋体" w:cs="宋体"/>
                <w:color w:val="auto"/>
                <w:sz w:val="24"/>
              </w:rPr>
            </w:pPr>
            <w:r>
              <w:rPr>
                <w:rFonts w:hint="eastAsia" w:ascii="宋体" w:hAnsi="宋体" w:cs="宋体"/>
                <w:color w:val="auto"/>
              </w:rPr>
              <w:t>情况</w:t>
            </w:r>
          </w:p>
        </w:tc>
        <w:tc>
          <w:tcPr>
            <w:tcW w:w="3779" w:type="dxa"/>
            <w:gridSpan w:val="3"/>
            <w:tcBorders>
              <w:top w:val="dotted" w:color="auto" w:sz="4" w:space="0"/>
              <w:left w:val="dotted" w:color="auto" w:sz="4" w:space="0"/>
              <w:bottom w:val="dotted" w:color="auto" w:sz="4" w:space="0"/>
              <w:right w:val="dotted" w:color="auto" w:sz="4" w:space="0"/>
            </w:tcBorders>
            <w:vAlign w:val="center"/>
          </w:tcPr>
          <w:p w14:paraId="0B05D9A5">
            <w:pPr>
              <w:spacing w:before="100" w:beforeAutospacing="1" w:after="100" w:afterAutospacing="1" w:line="260" w:lineRule="exact"/>
              <w:rPr>
                <w:rFonts w:ascii="宋体" w:hAnsi="宋体" w:cs="宋体"/>
                <w:color w:val="auto"/>
              </w:rPr>
            </w:pPr>
            <w:r>
              <w:rPr>
                <w:rFonts w:hint="eastAsia" w:ascii="宋体" w:hAnsi="宋体" w:cs="宋体"/>
                <w:color w:val="auto"/>
              </w:rPr>
              <w:t>是否列入失信被执行人、重大税收违法案件当事人名单、政府采购严重违法失信行为记录名单及其他不符合《中华人民共和国政府采购法》第二十二条规定条件。</w:t>
            </w:r>
          </w:p>
        </w:tc>
        <w:tc>
          <w:tcPr>
            <w:tcW w:w="4452" w:type="dxa"/>
            <w:gridSpan w:val="2"/>
            <w:tcBorders>
              <w:top w:val="dotted" w:color="auto" w:sz="4" w:space="0"/>
              <w:left w:val="dotted" w:color="auto" w:sz="4" w:space="0"/>
              <w:bottom w:val="dotted" w:color="auto" w:sz="4" w:space="0"/>
              <w:right w:val="single" w:color="auto" w:sz="4" w:space="0"/>
            </w:tcBorders>
          </w:tcPr>
          <w:p w14:paraId="35EE5F86">
            <w:pPr>
              <w:spacing w:line="260" w:lineRule="exact"/>
              <w:rPr>
                <w:rFonts w:ascii="宋体" w:hAnsi="宋体" w:cs="宋体"/>
                <w:color w:val="auto"/>
                <w:sz w:val="18"/>
                <w:szCs w:val="18"/>
              </w:rPr>
            </w:pPr>
          </w:p>
        </w:tc>
      </w:tr>
      <w:tr w14:paraId="4745A5F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143" w:hRule="atLeast"/>
        </w:trPr>
        <w:tc>
          <w:tcPr>
            <w:tcW w:w="2107" w:type="dxa"/>
            <w:gridSpan w:val="2"/>
            <w:tcBorders>
              <w:top w:val="dotted" w:color="auto" w:sz="4" w:space="0"/>
              <w:left w:val="single" w:color="auto" w:sz="4" w:space="0"/>
              <w:bottom w:val="single" w:color="auto" w:sz="4" w:space="0"/>
              <w:right w:val="dotted" w:color="auto" w:sz="4" w:space="0"/>
            </w:tcBorders>
            <w:vAlign w:val="center"/>
          </w:tcPr>
          <w:p w14:paraId="648AAF34">
            <w:pPr>
              <w:spacing w:before="100" w:beforeAutospacing="1" w:after="100" w:afterAutospacing="1" w:line="260" w:lineRule="exact"/>
              <w:jc w:val="center"/>
              <w:rPr>
                <w:rFonts w:ascii="宋体" w:hAnsi="宋体" w:cs="宋体"/>
                <w:color w:val="auto"/>
              </w:rPr>
            </w:pPr>
            <w:r>
              <w:rPr>
                <w:rFonts w:hint="eastAsia" w:ascii="宋体" w:hAnsi="宋体" w:cs="宋体"/>
                <w:color w:val="auto"/>
              </w:rPr>
              <w:t>投标供应商</w:t>
            </w:r>
          </w:p>
          <w:p w14:paraId="0B66A507">
            <w:pPr>
              <w:spacing w:before="100" w:beforeAutospacing="1" w:after="100" w:afterAutospacing="1" w:line="260" w:lineRule="exact"/>
              <w:jc w:val="center"/>
              <w:rPr>
                <w:rFonts w:ascii="宋体" w:hAnsi="宋体" w:cs="宋体"/>
                <w:color w:val="auto"/>
                <w:sz w:val="24"/>
              </w:rPr>
            </w:pPr>
            <w:r>
              <w:rPr>
                <w:rFonts w:hint="eastAsia" w:ascii="宋体" w:hAnsi="宋体" w:cs="宋体"/>
                <w:color w:val="auto"/>
              </w:rPr>
              <w:t xml:space="preserve"> 声 明 </w:t>
            </w:r>
          </w:p>
        </w:tc>
        <w:tc>
          <w:tcPr>
            <w:tcW w:w="7333" w:type="dxa"/>
            <w:gridSpan w:val="4"/>
            <w:tcBorders>
              <w:top w:val="dotted" w:color="auto" w:sz="4" w:space="0"/>
              <w:left w:val="dotted" w:color="auto" w:sz="4" w:space="0"/>
              <w:bottom w:val="single" w:color="auto" w:sz="4" w:space="0"/>
              <w:right w:val="single" w:color="auto" w:sz="4" w:space="0"/>
            </w:tcBorders>
          </w:tcPr>
          <w:p w14:paraId="3C94A437">
            <w:pPr>
              <w:pStyle w:val="13"/>
              <w:spacing w:line="260" w:lineRule="exact"/>
              <w:ind w:firstLine="411" w:firstLineChars="196"/>
              <w:rPr>
                <w:rFonts w:ascii="宋体" w:hAnsi="宋体"/>
                <w:color w:val="auto"/>
                <w:sz w:val="21"/>
                <w:szCs w:val="18"/>
              </w:rPr>
            </w:pPr>
            <w:r>
              <w:rPr>
                <w:rFonts w:hint="eastAsia" w:ascii="宋体" w:hAnsi="宋体"/>
                <w:color w:val="auto"/>
                <w:sz w:val="21"/>
                <w:szCs w:val="18"/>
              </w:rPr>
              <w:t>以上内容是本企业市场行为信誉（信用）的真实反映，如有不实，愿取消本项目投标资格。</w:t>
            </w:r>
          </w:p>
          <w:p w14:paraId="117DC22C">
            <w:pPr>
              <w:spacing w:before="100" w:beforeAutospacing="1" w:after="100" w:afterAutospacing="1" w:line="260" w:lineRule="exact"/>
              <w:jc w:val="center"/>
              <w:rPr>
                <w:rFonts w:ascii="宋体" w:hAnsi="宋体" w:cs="宋体"/>
                <w:color w:val="auto"/>
                <w:sz w:val="24"/>
              </w:rPr>
            </w:pPr>
            <w:r>
              <w:rPr>
                <w:rFonts w:hint="eastAsia" w:ascii="宋体" w:hAnsi="宋体" w:cs="宋体"/>
                <w:color w:val="auto"/>
                <w:highlight w:val="none"/>
              </w:rPr>
              <w:t>法定代表人签名或盖章：</w:t>
            </w:r>
            <w:r>
              <w:rPr>
                <w:rFonts w:hint="eastAsia" w:ascii="宋体" w:hAnsi="宋体" w:cs="宋体"/>
                <w:color w:val="auto"/>
              </w:rPr>
              <w:t xml:space="preserve"> </w:t>
            </w:r>
          </w:p>
          <w:p w14:paraId="58D2596F">
            <w:pPr>
              <w:spacing w:before="100" w:beforeAutospacing="1" w:after="100" w:afterAutospacing="1" w:line="260" w:lineRule="exact"/>
              <w:jc w:val="center"/>
              <w:rPr>
                <w:rFonts w:ascii="宋体" w:hAnsi="宋体" w:cs="宋体"/>
                <w:color w:val="auto"/>
                <w:sz w:val="24"/>
              </w:rPr>
            </w:pPr>
            <w:r>
              <w:rPr>
                <w:rFonts w:hint="eastAsia" w:ascii="宋体" w:hAnsi="宋体" w:cs="宋体"/>
                <w:color w:val="auto"/>
              </w:rPr>
              <w:t xml:space="preserve">       (单位公章) </w:t>
            </w:r>
          </w:p>
          <w:p w14:paraId="2AC74837">
            <w:pPr>
              <w:spacing w:before="100" w:beforeAutospacing="1" w:after="100" w:afterAutospacing="1" w:line="260" w:lineRule="exact"/>
              <w:jc w:val="center"/>
              <w:rPr>
                <w:rFonts w:ascii="宋体" w:hAnsi="宋体" w:cs="宋体"/>
                <w:color w:val="auto"/>
                <w:sz w:val="24"/>
              </w:rPr>
            </w:pPr>
            <w:r>
              <w:rPr>
                <w:rFonts w:hint="eastAsia" w:ascii="宋体" w:hAnsi="宋体" w:cs="宋体"/>
                <w:color w:val="auto"/>
              </w:rPr>
              <w:t xml:space="preserve">               日 期：    年  月   日 </w:t>
            </w:r>
          </w:p>
        </w:tc>
      </w:tr>
    </w:tbl>
    <w:p w14:paraId="47A398ED">
      <w:pPr>
        <w:rPr>
          <w:rFonts w:ascii="宋体" w:hAnsi="宋体" w:cs="宋体"/>
          <w:color w:val="auto"/>
        </w:rPr>
      </w:pPr>
      <w:r>
        <w:rPr>
          <w:rFonts w:hint="eastAsia" w:ascii="宋体" w:hAnsi="宋体" w:cs="宋体"/>
          <w:color w:val="auto"/>
        </w:rPr>
        <w:t>注：1</w:t>
      </w:r>
      <w:r>
        <w:rPr>
          <w:rFonts w:hint="eastAsia" w:ascii="宋体" w:hAnsi="宋体" w:cs="宋体"/>
          <w:color w:val="auto"/>
          <w:lang w:val="en-US" w:eastAsia="zh-CN"/>
        </w:rPr>
        <w:t>.</w:t>
      </w:r>
      <w:r>
        <w:rPr>
          <w:rFonts w:hint="eastAsia" w:ascii="宋体" w:hAnsi="宋体" w:cs="宋体"/>
          <w:color w:val="auto"/>
        </w:rPr>
        <w:t>本表格内容须如实填写；</w:t>
      </w:r>
    </w:p>
    <w:p w14:paraId="1873C226">
      <w:pPr>
        <w:ind w:firstLine="420" w:firstLineChars="200"/>
        <w:rPr>
          <w:rFonts w:ascii="宋体" w:hAnsi="宋体" w:cs="宋体"/>
          <w:color w:val="auto"/>
        </w:rPr>
      </w:pPr>
      <w:r>
        <w:rPr>
          <w:rFonts w:hint="eastAsia" w:ascii="宋体" w:hAnsi="宋体" w:cs="宋体"/>
          <w:color w:val="auto"/>
        </w:rPr>
        <w:t>2</w:t>
      </w:r>
      <w:r>
        <w:rPr>
          <w:rFonts w:hint="eastAsia" w:ascii="宋体" w:hAnsi="宋体" w:cs="宋体"/>
          <w:color w:val="auto"/>
          <w:lang w:val="en-US" w:eastAsia="zh-CN"/>
        </w:rPr>
        <w:t>.</w:t>
      </w:r>
      <w:r>
        <w:rPr>
          <w:rFonts w:hint="eastAsia" w:ascii="宋体" w:hAnsi="宋体" w:cs="宋体"/>
          <w:color w:val="auto"/>
        </w:rPr>
        <w:t>本表格由供应商自己填写，若无表中所列情况，则在相应栏中写“无”，若有，须按具体次数分别说明（包括处罚时间、事由、处罚主体等）；</w:t>
      </w:r>
    </w:p>
    <w:p w14:paraId="4103A9D5">
      <w:pPr>
        <w:ind w:firstLine="435"/>
        <w:rPr>
          <w:rFonts w:ascii="宋体" w:hAnsi="宋体" w:cs="宋体"/>
          <w:color w:val="auto"/>
        </w:rPr>
      </w:pPr>
      <w:r>
        <w:rPr>
          <w:rFonts w:hint="eastAsia" w:ascii="宋体" w:hAnsi="宋体" w:cs="宋体"/>
          <w:color w:val="auto"/>
        </w:rPr>
        <w:t>3</w:t>
      </w:r>
      <w:r>
        <w:rPr>
          <w:rFonts w:hint="eastAsia" w:ascii="宋体" w:hAnsi="宋体" w:cs="宋体"/>
          <w:color w:val="auto"/>
          <w:lang w:val="en-US" w:eastAsia="zh-CN"/>
        </w:rPr>
        <w:t>.</w:t>
      </w:r>
      <w:r>
        <w:rPr>
          <w:rFonts w:hint="eastAsia" w:ascii="宋体" w:hAnsi="宋体" w:cs="宋体"/>
          <w:color w:val="auto"/>
        </w:rPr>
        <w:t>联合体成员存在不良信用记录的，视同联合体存在不良信用记录。</w:t>
      </w:r>
    </w:p>
    <w:p w14:paraId="3880184A">
      <w:pPr>
        <w:wordWrap w:val="0"/>
        <w:snapToGrid w:val="0"/>
        <w:spacing w:after="156" w:afterLines="50" w:line="360" w:lineRule="auto"/>
        <w:jc w:val="left"/>
        <w:rPr>
          <w:rFonts w:ascii="宋体" w:hAnsi="宋体" w:cs="宋体"/>
          <w:b/>
          <w:color w:val="auto"/>
          <w:sz w:val="24"/>
        </w:rPr>
      </w:pPr>
      <w:r>
        <w:rPr>
          <w:rFonts w:hint="eastAsia" w:ascii="宋体" w:hAnsi="宋体" w:cs="宋体"/>
          <w:color w:val="auto"/>
          <w:sz w:val="24"/>
        </w:rPr>
        <w:br w:type="page"/>
      </w:r>
      <w:bookmarkStart w:id="69" w:name="OLE_LINK16"/>
      <w:r>
        <w:rPr>
          <w:rFonts w:hint="eastAsia" w:ascii="宋体" w:hAnsi="宋体" w:cs="宋体"/>
          <w:b/>
          <w:bCs/>
          <w:color w:val="auto"/>
          <w:sz w:val="24"/>
        </w:rPr>
        <w:t>4</w:t>
      </w:r>
      <w:r>
        <w:rPr>
          <w:rFonts w:hint="eastAsia" w:ascii="宋体" w:hAnsi="宋体" w:cs="宋体"/>
          <w:b/>
          <w:bCs/>
          <w:color w:val="auto"/>
          <w:sz w:val="24"/>
          <w:lang w:val="en-US" w:eastAsia="zh-CN"/>
        </w:rPr>
        <w:t>.</w:t>
      </w:r>
      <w:r>
        <w:rPr>
          <w:rFonts w:hint="eastAsia" w:ascii="宋体" w:hAnsi="宋体" w:cs="宋体"/>
          <w:b/>
          <w:bCs/>
          <w:color w:val="auto"/>
          <w:sz w:val="24"/>
        </w:rPr>
        <w:t>承诺函格式</w:t>
      </w:r>
    </w:p>
    <w:p w14:paraId="4CEA1C2A">
      <w:pPr>
        <w:spacing w:line="360" w:lineRule="auto"/>
        <w:jc w:val="center"/>
        <w:rPr>
          <w:rFonts w:ascii="宋体" w:hAnsi="宋体" w:cs="宋体"/>
          <w:b/>
          <w:color w:val="auto"/>
          <w:sz w:val="32"/>
        </w:rPr>
      </w:pPr>
      <w:r>
        <w:rPr>
          <w:rFonts w:hint="eastAsia" w:ascii="宋体" w:hAnsi="宋体" w:cs="宋体"/>
          <w:b/>
          <w:color w:val="auto"/>
          <w:sz w:val="32"/>
        </w:rPr>
        <w:t>承诺函</w:t>
      </w:r>
    </w:p>
    <w:p w14:paraId="5D93FE5F">
      <w:pPr>
        <w:wordWrap w:val="0"/>
        <w:spacing w:line="360" w:lineRule="auto"/>
        <w:rPr>
          <w:rFonts w:ascii="宋体" w:hAnsi="宋体" w:cs="宋体"/>
          <w:color w:val="auto"/>
          <w:sz w:val="24"/>
        </w:rPr>
      </w:pPr>
      <w:r>
        <w:rPr>
          <w:rFonts w:hint="eastAsia" w:ascii="宋体" w:hAnsi="宋体" w:cs="宋体"/>
          <w:color w:val="auto"/>
          <w:sz w:val="24"/>
        </w:rPr>
        <w:t>致：</w:t>
      </w:r>
      <w:r>
        <w:rPr>
          <w:rFonts w:hint="eastAsia" w:ascii="宋体" w:hAnsi="宋体" w:cs="宋体"/>
          <w:color w:val="auto"/>
          <w:sz w:val="24"/>
          <w:u w:val="single"/>
        </w:rPr>
        <w:t xml:space="preserve">               </w:t>
      </w:r>
      <w:r>
        <w:rPr>
          <w:rFonts w:hint="eastAsia" w:ascii="宋体" w:hAnsi="宋体" w:cs="宋体"/>
          <w:color w:val="auto"/>
          <w:sz w:val="24"/>
        </w:rPr>
        <w:t>（采购单位名称）：</w:t>
      </w:r>
    </w:p>
    <w:p w14:paraId="035ADA2A">
      <w:pPr>
        <w:spacing w:line="360" w:lineRule="auto"/>
        <w:ind w:firstLine="480" w:firstLineChars="200"/>
        <w:rPr>
          <w:rFonts w:ascii="宋体" w:hAnsi="宋体" w:cs="宋体"/>
          <w:color w:val="auto"/>
          <w:sz w:val="24"/>
        </w:rPr>
      </w:pPr>
      <w:r>
        <w:rPr>
          <w:rFonts w:hint="eastAsia" w:ascii="宋体" w:hAnsi="宋体" w:cs="宋体"/>
          <w:color w:val="auto"/>
          <w:sz w:val="24"/>
        </w:rPr>
        <w:t>我方在参加贵单位的</w:t>
      </w:r>
      <w:r>
        <w:rPr>
          <w:rFonts w:hint="eastAsia" w:ascii="宋体" w:hAnsi="宋体" w:cs="宋体"/>
          <w:color w:val="auto"/>
          <w:sz w:val="24"/>
          <w:u w:val="single"/>
        </w:rPr>
        <w:t xml:space="preserve">               </w:t>
      </w:r>
      <w:r>
        <w:rPr>
          <w:rFonts w:hint="eastAsia" w:ascii="宋体" w:hAnsi="宋体" w:cs="宋体"/>
          <w:color w:val="auto"/>
          <w:sz w:val="24"/>
        </w:rPr>
        <w:t>政府采购项目的招投标活动中，郑重承诺如下：</w:t>
      </w:r>
    </w:p>
    <w:p w14:paraId="04B16640">
      <w:pPr>
        <w:spacing w:line="360" w:lineRule="auto"/>
        <w:ind w:firstLine="480" w:firstLineChars="200"/>
        <w:rPr>
          <w:rFonts w:ascii="宋体" w:hAnsi="宋体" w:cs="宋体"/>
          <w:color w:val="auto"/>
          <w:sz w:val="24"/>
        </w:rPr>
      </w:pPr>
      <w:r>
        <w:rPr>
          <w:rFonts w:hint="eastAsia" w:ascii="宋体" w:hAnsi="宋体" w:cs="宋体"/>
          <w:color w:val="auto"/>
          <w:sz w:val="24"/>
        </w:rPr>
        <w:t>1</w:t>
      </w:r>
      <w:r>
        <w:rPr>
          <w:rFonts w:hint="eastAsia" w:ascii="宋体" w:hAnsi="宋体" w:cs="宋体"/>
          <w:color w:val="auto"/>
          <w:sz w:val="24"/>
          <w:lang w:val="en-US" w:eastAsia="zh-CN"/>
        </w:rPr>
        <w:t>.</w:t>
      </w:r>
      <w:r>
        <w:rPr>
          <w:rFonts w:hint="eastAsia" w:ascii="宋体" w:hAnsi="宋体" w:cs="宋体"/>
          <w:color w:val="auto"/>
          <w:sz w:val="24"/>
        </w:rPr>
        <w:t>我方申报的所有资料都是真实、准确、完整的；</w:t>
      </w:r>
    </w:p>
    <w:p w14:paraId="42B4C6AB">
      <w:pPr>
        <w:spacing w:line="360" w:lineRule="auto"/>
        <w:ind w:firstLine="480" w:firstLineChars="200"/>
        <w:rPr>
          <w:rFonts w:ascii="宋体" w:hAnsi="宋体" w:cs="宋体"/>
          <w:color w:val="auto"/>
          <w:sz w:val="24"/>
        </w:rPr>
      </w:pPr>
      <w:r>
        <w:rPr>
          <w:rFonts w:hint="eastAsia" w:ascii="宋体" w:hAnsi="宋体" w:cs="宋体"/>
          <w:color w:val="auto"/>
          <w:sz w:val="24"/>
        </w:rPr>
        <w:t>2</w:t>
      </w:r>
      <w:r>
        <w:rPr>
          <w:rFonts w:hint="eastAsia" w:ascii="宋体" w:hAnsi="宋体" w:cs="宋体"/>
          <w:color w:val="auto"/>
          <w:sz w:val="24"/>
          <w:lang w:val="en-US" w:eastAsia="zh-CN"/>
        </w:rPr>
        <w:t>.</w:t>
      </w:r>
      <w:r>
        <w:rPr>
          <w:rFonts w:hint="eastAsia" w:ascii="宋体" w:hAnsi="宋体" w:cs="宋体"/>
          <w:color w:val="auto"/>
          <w:sz w:val="24"/>
        </w:rPr>
        <w:t>我方无资质挂靠情形，保证不参与串标、围标及抬标；</w:t>
      </w:r>
    </w:p>
    <w:p w14:paraId="26362C27">
      <w:pPr>
        <w:spacing w:line="360" w:lineRule="auto"/>
        <w:ind w:firstLine="480" w:firstLineChars="200"/>
        <w:rPr>
          <w:rFonts w:ascii="宋体" w:hAnsi="宋体" w:cs="宋体"/>
          <w:color w:val="auto"/>
          <w:sz w:val="24"/>
        </w:rPr>
      </w:pPr>
      <w:r>
        <w:rPr>
          <w:rFonts w:hint="eastAsia" w:ascii="宋体" w:hAnsi="宋体" w:cs="宋体"/>
          <w:color w:val="auto"/>
          <w:sz w:val="24"/>
        </w:rPr>
        <w:t>3</w:t>
      </w:r>
      <w:r>
        <w:rPr>
          <w:rFonts w:hint="eastAsia" w:ascii="宋体" w:hAnsi="宋体" w:cs="宋体"/>
          <w:color w:val="auto"/>
          <w:sz w:val="24"/>
          <w:lang w:val="en-US" w:eastAsia="zh-CN"/>
        </w:rPr>
        <w:t>.</w:t>
      </w:r>
      <w:r>
        <w:rPr>
          <w:rFonts w:hint="eastAsia" w:ascii="宋体" w:hAnsi="宋体" w:cs="宋体"/>
          <w:color w:val="auto"/>
          <w:sz w:val="24"/>
        </w:rPr>
        <w:t>我方未处于被各级行政主管部门作出停止市场行为处罚的期限内；</w:t>
      </w:r>
    </w:p>
    <w:p w14:paraId="0F15BD18">
      <w:pPr>
        <w:spacing w:line="360" w:lineRule="auto"/>
        <w:ind w:firstLine="480" w:firstLineChars="200"/>
        <w:rPr>
          <w:rFonts w:ascii="宋体" w:hAnsi="宋体" w:cs="宋体"/>
          <w:color w:val="auto"/>
          <w:sz w:val="24"/>
        </w:rPr>
      </w:pPr>
      <w:r>
        <w:rPr>
          <w:rFonts w:hint="eastAsia" w:ascii="宋体" w:hAnsi="宋体" w:cs="宋体"/>
          <w:color w:val="auto"/>
          <w:sz w:val="24"/>
        </w:rPr>
        <w:t>4</w:t>
      </w:r>
      <w:r>
        <w:rPr>
          <w:rFonts w:hint="eastAsia" w:ascii="宋体" w:hAnsi="宋体" w:cs="宋体"/>
          <w:color w:val="auto"/>
          <w:sz w:val="24"/>
          <w:lang w:val="en-US" w:eastAsia="zh-CN"/>
        </w:rPr>
        <w:t>.</w:t>
      </w:r>
      <w:r>
        <w:rPr>
          <w:rFonts w:hint="eastAsia" w:ascii="宋体" w:hAnsi="宋体" w:cs="宋体"/>
          <w:color w:val="auto"/>
          <w:sz w:val="24"/>
        </w:rPr>
        <w:t>我方参加本项目政府采购活动前3年内在经营活动中没有重大违法记录；</w:t>
      </w:r>
    </w:p>
    <w:p w14:paraId="48F8F851">
      <w:pPr>
        <w:spacing w:line="360" w:lineRule="auto"/>
        <w:ind w:firstLine="480" w:firstLineChars="200"/>
        <w:rPr>
          <w:rFonts w:ascii="宋体" w:hAnsi="宋体" w:cs="宋体"/>
          <w:color w:val="auto"/>
          <w:sz w:val="24"/>
        </w:rPr>
      </w:pPr>
      <w:r>
        <w:rPr>
          <w:rFonts w:hint="eastAsia" w:ascii="宋体" w:hAnsi="宋体" w:cs="宋体"/>
          <w:color w:val="auto"/>
          <w:sz w:val="24"/>
        </w:rPr>
        <w:t>5</w:t>
      </w:r>
      <w:r>
        <w:rPr>
          <w:rFonts w:hint="eastAsia" w:ascii="宋体" w:hAnsi="宋体" w:cs="宋体"/>
          <w:color w:val="auto"/>
          <w:sz w:val="24"/>
          <w:lang w:val="en-US" w:eastAsia="zh-CN"/>
        </w:rPr>
        <w:t>.</w:t>
      </w:r>
      <w:r>
        <w:rPr>
          <w:rFonts w:hint="eastAsia" w:ascii="宋体" w:hAnsi="宋体" w:cs="宋体"/>
          <w:color w:val="auto"/>
          <w:sz w:val="24"/>
        </w:rPr>
        <w:t>若我方中标，将严格按照规定及时与采购人签订合同；</w:t>
      </w:r>
    </w:p>
    <w:p w14:paraId="0DDE0057">
      <w:pPr>
        <w:spacing w:line="360" w:lineRule="auto"/>
        <w:ind w:firstLine="480" w:firstLineChars="200"/>
        <w:rPr>
          <w:rFonts w:ascii="宋体" w:hAnsi="宋体" w:cs="宋体"/>
          <w:color w:val="auto"/>
          <w:sz w:val="24"/>
        </w:rPr>
      </w:pPr>
      <w:r>
        <w:rPr>
          <w:rFonts w:hint="eastAsia" w:ascii="宋体" w:hAnsi="宋体" w:cs="宋体"/>
          <w:color w:val="auto"/>
          <w:sz w:val="24"/>
        </w:rPr>
        <w:t>6</w:t>
      </w:r>
      <w:r>
        <w:rPr>
          <w:rFonts w:hint="eastAsia" w:ascii="宋体" w:hAnsi="宋体" w:cs="宋体"/>
          <w:color w:val="auto"/>
          <w:sz w:val="24"/>
          <w:lang w:val="en-US" w:eastAsia="zh-CN"/>
        </w:rPr>
        <w:t>.</w:t>
      </w:r>
      <w:r>
        <w:rPr>
          <w:rFonts w:hint="eastAsia" w:ascii="宋体" w:hAnsi="宋体" w:cs="宋体"/>
          <w:color w:val="auto"/>
          <w:sz w:val="24"/>
        </w:rPr>
        <w:t>若我方中标，将严格按照采购文件要求及投标文件承诺的报价、质量、工期、投标方案、项目负责人等内容组织实施；</w:t>
      </w:r>
    </w:p>
    <w:p w14:paraId="2F32A988">
      <w:pPr>
        <w:spacing w:line="360" w:lineRule="auto"/>
        <w:ind w:firstLine="480" w:firstLineChars="200"/>
        <w:rPr>
          <w:rFonts w:ascii="宋体" w:hAnsi="宋体" w:cs="宋体"/>
          <w:color w:val="auto"/>
          <w:sz w:val="24"/>
        </w:rPr>
      </w:pPr>
      <w:r>
        <w:rPr>
          <w:rFonts w:hint="eastAsia" w:ascii="宋体" w:hAnsi="宋体" w:cs="宋体"/>
          <w:color w:val="auto"/>
          <w:sz w:val="24"/>
        </w:rPr>
        <w:t>我方若违反上述承诺，隐瞒、提供虚假资料或不按采购文件要求组织实施或参与串标、抬标及围标等行为，被贵方发现或被他人举报查实，无条件接受采购人、行政监管部门作出的取消投标资格、中标资格、解除合同、拒绝后续政府采购投标、不良行为记录等的处罚。对造成的损失，任何法律和经济责任完全由我方负责。</w:t>
      </w:r>
    </w:p>
    <w:p w14:paraId="735EDB6D">
      <w:pPr>
        <w:spacing w:line="360" w:lineRule="auto"/>
        <w:ind w:firstLine="480" w:firstLineChars="200"/>
        <w:rPr>
          <w:rFonts w:ascii="宋体" w:hAnsi="宋体" w:cs="宋体"/>
          <w:color w:val="auto"/>
          <w:sz w:val="24"/>
        </w:rPr>
      </w:pPr>
      <w:r>
        <w:rPr>
          <w:rFonts w:hint="eastAsia" w:ascii="宋体" w:hAnsi="宋体" w:cs="宋体"/>
          <w:color w:val="auto"/>
          <w:sz w:val="24"/>
        </w:rPr>
        <w:t>特此承诺。</w:t>
      </w:r>
    </w:p>
    <w:p w14:paraId="265EC22C">
      <w:pPr>
        <w:spacing w:line="360" w:lineRule="auto"/>
        <w:ind w:firstLine="480" w:firstLineChars="200"/>
        <w:rPr>
          <w:rFonts w:ascii="宋体" w:hAnsi="宋体" w:cs="宋体"/>
          <w:color w:val="auto"/>
          <w:sz w:val="24"/>
        </w:rPr>
      </w:pPr>
    </w:p>
    <w:p w14:paraId="30D2FEE1">
      <w:pPr>
        <w:pStyle w:val="3"/>
        <w:rPr>
          <w:rFonts w:ascii="宋体" w:hAnsi="宋体" w:eastAsia="宋体"/>
          <w:color w:val="auto"/>
        </w:rPr>
      </w:pPr>
    </w:p>
    <w:p w14:paraId="2713632E">
      <w:pPr>
        <w:spacing w:line="360" w:lineRule="auto"/>
        <w:ind w:firstLine="480" w:firstLineChars="200"/>
        <w:rPr>
          <w:rFonts w:ascii="宋体" w:hAnsi="宋体" w:cs="宋体"/>
          <w:color w:val="auto"/>
          <w:sz w:val="24"/>
        </w:rPr>
      </w:pPr>
      <w:r>
        <w:rPr>
          <w:rFonts w:hint="eastAsia" w:ascii="宋体" w:hAnsi="宋体" w:cs="宋体"/>
          <w:color w:val="auto"/>
          <w:sz w:val="24"/>
        </w:rPr>
        <w:t>供应商（加盖公章）：</w:t>
      </w:r>
    </w:p>
    <w:p w14:paraId="494DC44C">
      <w:pPr>
        <w:pStyle w:val="3"/>
        <w:spacing w:line="360" w:lineRule="auto"/>
        <w:ind w:firstLine="480" w:firstLineChars="200"/>
        <w:rPr>
          <w:rFonts w:ascii="宋体" w:hAnsi="宋体" w:eastAsia="宋体"/>
          <w:color w:val="auto"/>
        </w:rPr>
      </w:pPr>
      <w:r>
        <w:rPr>
          <w:rFonts w:hint="eastAsia" w:ascii="宋体" w:hAnsi="宋体" w:eastAsia="宋体"/>
          <w:color w:val="auto"/>
          <w:kern w:val="2"/>
        </w:rPr>
        <w:t>时间：</w:t>
      </w:r>
      <w:r>
        <w:rPr>
          <w:rFonts w:hint="eastAsia" w:ascii="宋体" w:hAnsi="宋体" w:eastAsia="宋体"/>
          <w:color w:val="auto"/>
        </w:rPr>
        <w:t xml:space="preserve">    年  月   日 </w:t>
      </w:r>
    </w:p>
    <w:p w14:paraId="4634AB83">
      <w:pPr>
        <w:pStyle w:val="3"/>
        <w:spacing w:line="360" w:lineRule="auto"/>
        <w:ind w:firstLine="480" w:firstLineChars="200"/>
        <w:rPr>
          <w:rFonts w:ascii="宋体" w:hAnsi="宋体" w:eastAsia="宋体"/>
          <w:color w:val="auto"/>
          <w:kern w:val="2"/>
        </w:rPr>
      </w:pPr>
    </w:p>
    <w:p w14:paraId="454CD88D">
      <w:pPr>
        <w:snapToGrid w:val="0"/>
        <w:spacing w:before="156" w:beforeLines="50" w:after="50" w:line="440" w:lineRule="exact"/>
        <w:rPr>
          <w:rFonts w:ascii="宋体" w:hAnsi="宋体" w:cs="宋体"/>
          <w:b/>
          <w:bCs/>
          <w:color w:val="auto"/>
          <w:sz w:val="24"/>
        </w:rPr>
      </w:pPr>
      <w:r>
        <w:rPr>
          <w:rFonts w:hint="eastAsia" w:ascii="宋体" w:hAnsi="宋体" w:cs="宋体"/>
          <w:color w:val="auto"/>
          <w:sz w:val="24"/>
        </w:rPr>
        <w:br w:type="page"/>
      </w:r>
    </w:p>
    <w:p w14:paraId="6BA537CA">
      <w:pPr>
        <w:snapToGrid w:val="0"/>
        <w:spacing w:line="460" w:lineRule="atLeast"/>
        <w:jc w:val="left"/>
        <w:rPr>
          <w:rFonts w:ascii="宋体" w:hAnsi="宋体" w:cs="宋体"/>
          <w:b/>
          <w:bCs/>
          <w:color w:val="auto"/>
          <w:sz w:val="24"/>
        </w:rPr>
      </w:pPr>
      <w:r>
        <w:rPr>
          <w:rFonts w:hint="eastAsia" w:ascii="宋体" w:hAnsi="宋体" w:cs="宋体"/>
          <w:b/>
          <w:bCs/>
          <w:color w:val="auto"/>
          <w:sz w:val="24"/>
          <w:lang w:val="en-US" w:eastAsia="zh-CN"/>
        </w:rPr>
        <w:t>5.</w:t>
      </w:r>
      <w:r>
        <w:rPr>
          <w:rFonts w:hint="eastAsia" w:ascii="宋体" w:hAnsi="宋体" w:cs="宋体"/>
          <w:b/>
          <w:bCs/>
          <w:color w:val="auto"/>
          <w:sz w:val="24"/>
        </w:rPr>
        <w:t>营业执照等资格证明资料</w:t>
      </w:r>
    </w:p>
    <w:p w14:paraId="264653F0">
      <w:pPr>
        <w:snapToGrid w:val="0"/>
        <w:spacing w:before="156" w:beforeLines="50" w:after="50" w:line="440" w:lineRule="exact"/>
        <w:jc w:val="center"/>
        <w:outlineLvl w:val="1"/>
        <w:rPr>
          <w:rFonts w:ascii="宋体" w:hAnsi="宋体" w:cs="宋体"/>
          <w:color w:val="auto"/>
          <w:sz w:val="24"/>
        </w:rPr>
      </w:pPr>
    </w:p>
    <w:p w14:paraId="385BE4E9">
      <w:pPr>
        <w:snapToGrid w:val="0"/>
        <w:spacing w:before="156" w:beforeLines="50" w:after="50" w:line="440" w:lineRule="exact"/>
        <w:jc w:val="center"/>
        <w:outlineLvl w:val="1"/>
        <w:rPr>
          <w:rFonts w:ascii="宋体" w:hAnsi="宋体" w:cs="宋体"/>
          <w:color w:val="auto"/>
          <w:sz w:val="24"/>
        </w:rPr>
      </w:pPr>
    </w:p>
    <w:p w14:paraId="1C64BBFF">
      <w:pPr>
        <w:snapToGrid w:val="0"/>
        <w:spacing w:before="156" w:beforeLines="50" w:after="50" w:line="440" w:lineRule="exact"/>
        <w:jc w:val="center"/>
        <w:outlineLvl w:val="1"/>
        <w:rPr>
          <w:rFonts w:ascii="宋体" w:hAnsi="宋体" w:cs="宋体"/>
          <w:color w:val="auto"/>
          <w:sz w:val="24"/>
        </w:rPr>
      </w:pPr>
    </w:p>
    <w:p w14:paraId="23A07012">
      <w:pPr>
        <w:snapToGrid w:val="0"/>
        <w:spacing w:before="156" w:beforeLines="50" w:after="50" w:line="440" w:lineRule="exact"/>
        <w:jc w:val="center"/>
        <w:outlineLvl w:val="1"/>
        <w:rPr>
          <w:rFonts w:ascii="宋体" w:hAnsi="宋体" w:cs="宋体"/>
          <w:color w:val="auto"/>
          <w:sz w:val="24"/>
        </w:rPr>
      </w:pPr>
    </w:p>
    <w:p w14:paraId="46E53117">
      <w:pPr>
        <w:snapToGrid w:val="0"/>
        <w:spacing w:before="156" w:beforeLines="50" w:after="50" w:line="440" w:lineRule="exact"/>
        <w:jc w:val="center"/>
        <w:outlineLvl w:val="1"/>
        <w:rPr>
          <w:rFonts w:ascii="宋体" w:hAnsi="宋体" w:cs="宋体"/>
          <w:color w:val="auto"/>
          <w:sz w:val="24"/>
        </w:rPr>
      </w:pPr>
    </w:p>
    <w:p w14:paraId="6BD78BEB">
      <w:pPr>
        <w:snapToGrid w:val="0"/>
        <w:spacing w:before="156" w:beforeLines="50" w:after="50" w:line="440" w:lineRule="exact"/>
        <w:jc w:val="center"/>
        <w:outlineLvl w:val="1"/>
        <w:rPr>
          <w:rFonts w:ascii="宋体" w:hAnsi="宋体" w:cs="宋体"/>
          <w:color w:val="auto"/>
          <w:sz w:val="24"/>
        </w:rPr>
      </w:pPr>
    </w:p>
    <w:p w14:paraId="0DBC6873">
      <w:pPr>
        <w:snapToGrid w:val="0"/>
        <w:spacing w:before="156" w:beforeLines="50" w:after="50" w:line="440" w:lineRule="exact"/>
        <w:jc w:val="center"/>
        <w:outlineLvl w:val="1"/>
        <w:rPr>
          <w:rFonts w:ascii="宋体" w:hAnsi="宋体" w:cs="宋体"/>
          <w:color w:val="auto"/>
          <w:sz w:val="24"/>
        </w:rPr>
      </w:pPr>
    </w:p>
    <w:p w14:paraId="74D27D7A">
      <w:pPr>
        <w:snapToGrid w:val="0"/>
        <w:spacing w:before="156" w:beforeLines="50" w:after="50" w:line="440" w:lineRule="exact"/>
        <w:jc w:val="center"/>
        <w:outlineLvl w:val="1"/>
        <w:rPr>
          <w:rFonts w:ascii="宋体" w:hAnsi="宋体" w:cs="宋体"/>
          <w:color w:val="auto"/>
          <w:sz w:val="24"/>
        </w:rPr>
      </w:pPr>
    </w:p>
    <w:p w14:paraId="64B35B15">
      <w:pPr>
        <w:snapToGrid w:val="0"/>
        <w:spacing w:before="156" w:beforeLines="50" w:after="50" w:line="440" w:lineRule="exact"/>
        <w:jc w:val="center"/>
        <w:outlineLvl w:val="1"/>
        <w:rPr>
          <w:rFonts w:ascii="宋体" w:hAnsi="宋体" w:cs="宋体"/>
          <w:color w:val="auto"/>
          <w:sz w:val="24"/>
        </w:rPr>
      </w:pPr>
    </w:p>
    <w:p w14:paraId="08BE1F94">
      <w:pPr>
        <w:snapToGrid w:val="0"/>
        <w:spacing w:before="156" w:beforeLines="50" w:after="50" w:line="440" w:lineRule="exact"/>
        <w:jc w:val="center"/>
        <w:outlineLvl w:val="1"/>
        <w:rPr>
          <w:rFonts w:ascii="宋体" w:hAnsi="宋体" w:cs="宋体"/>
          <w:color w:val="auto"/>
          <w:sz w:val="24"/>
        </w:rPr>
      </w:pPr>
    </w:p>
    <w:p w14:paraId="45B49857">
      <w:pPr>
        <w:snapToGrid w:val="0"/>
        <w:spacing w:before="156" w:beforeLines="50" w:after="50" w:line="440" w:lineRule="exact"/>
        <w:jc w:val="center"/>
        <w:outlineLvl w:val="1"/>
        <w:rPr>
          <w:rFonts w:ascii="宋体" w:hAnsi="宋体" w:cs="宋体"/>
          <w:color w:val="auto"/>
          <w:sz w:val="24"/>
        </w:rPr>
      </w:pPr>
    </w:p>
    <w:p w14:paraId="0F1FC9E9">
      <w:pPr>
        <w:snapToGrid w:val="0"/>
        <w:spacing w:before="156" w:beforeLines="50" w:after="50" w:line="440" w:lineRule="exact"/>
        <w:jc w:val="center"/>
        <w:outlineLvl w:val="1"/>
        <w:rPr>
          <w:rFonts w:ascii="宋体" w:hAnsi="宋体" w:cs="宋体"/>
          <w:color w:val="auto"/>
          <w:sz w:val="24"/>
        </w:rPr>
      </w:pPr>
    </w:p>
    <w:p w14:paraId="61860D63">
      <w:pPr>
        <w:snapToGrid w:val="0"/>
        <w:spacing w:before="156" w:beforeLines="50" w:after="50" w:line="440" w:lineRule="exact"/>
        <w:jc w:val="center"/>
        <w:outlineLvl w:val="1"/>
        <w:rPr>
          <w:rFonts w:ascii="宋体" w:hAnsi="宋体" w:cs="宋体"/>
          <w:color w:val="auto"/>
          <w:sz w:val="24"/>
        </w:rPr>
      </w:pPr>
    </w:p>
    <w:p w14:paraId="5B469526">
      <w:pPr>
        <w:snapToGrid w:val="0"/>
        <w:spacing w:before="156" w:beforeLines="50" w:after="50" w:line="440" w:lineRule="exact"/>
        <w:jc w:val="center"/>
        <w:outlineLvl w:val="1"/>
        <w:rPr>
          <w:rFonts w:ascii="宋体" w:hAnsi="宋体" w:cs="宋体"/>
          <w:color w:val="auto"/>
          <w:sz w:val="24"/>
        </w:rPr>
      </w:pPr>
    </w:p>
    <w:p w14:paraId="708FEF2F">
      <w:pPr>
        <w:snapToGrid w:val="0"/>
        <w:spacing w:before="156" w:beforeLines="50" w:after="50" w:line="440" w:lineRule="exact"/>
        <w:jc w:val="center"/>
        <w:outlineLvl w:val="1"/>
        <w:rPr>
          <w:rFonts w:ascii="宋体" w:hAnsi="宋体" w:cs="宋体"/>
          <w:color w:val="auto"/>
          <w:sz w:val="24"/>
        </w:rPr>
      </w:pPr>
    </w:p>
    <w:p w14:paraId="13460018">
      <w:pPr>
        <w:snapToGrid w:val="0"/>
        <w:spacing w:before="156" w:beforeLines="50" w:after="50" w:line="440" w:lineRule="exact"/>
        <w:jc w:val="center"/>
        <w:outlineLvl w:val="1"/>
        <w:rPr>
          <w:rFonts w:ascii="宋体" w:hAnsi="宋体" w:cs="宋体"/>
          <w:color w:val="auto"/>
          <w:sz w:val="24"/>
        </w:rPr>
      </w:pPr>
    </w:p>
    <w:p w14:paraId="32F40936">
      <w:pPr>
        <w:snapToGrid w:val="0"/>
        <w:spacing w:before="156" w:beforeLines="50" w:after="50" w:line="440" w:lineRule="exact"/>
        <w:jc w:val="center"/>
        <w:outlineLvl w:val="1"/>
        <w:rPr>
          <w:rFonts w:ascii="宋体" w:hAnsi="宋体" w:cs="宋体"/>
          <w:color w:val="auto"/>
          <w:sz w:val="24"/>
        </w:rPr>
      </w:pPr>
    </w:p>
    <w:p w14:paraId="01AB8939">
      <w:pPr>
        <w:snapToGrid w:val="0"/>
        <w:spacing w:before="156" w:beforeLines="50" w:after="50" w:line="440" w:lineRule="exact"/>
        <w:jc w:val="center"/>
        <w:outlineLvl w:val="1"/>
        <w:rPr>
          <w:rFonts w:ascii="宋体" w:hAnsi="宋体" w:cs="宋体"/>
          <w:color w:val="auto"/>
          <w:sz w:val="24"/>
        </w:rPr>
      </w:pPr>
    </w:p>
    <w:p w14:paraId="309023A3">
      <w:pPr>
        <w:snapToGrid w:val="0"/>
        <w:spacing w:before="156" w:beforeLines="50" w:after="50" w:line="440" w:lineRule="exact"/>
        <w:jc w:val="center"/>
        <w:outlineLvl w:val="1"/>
        <w:rPr>
          <w:rFonts w:ascii="宋体" w:hAnsi="宋体" w:cs="宋体"/>
          <w:color w:val="auto"/>
          <w:sz w:val="24"/>
        </w:rPr>
      </w:pPr>
    </w:p>
    <w:p w14:paraId="41FE0233">
      <w:pPr>
        <w:snapToGrid w:val="0"/>
        <w:spacing w:before="156" w:beforeLines="50" w:after="50" w:line="440" w:lineRule="exact"/>
        <w:jc w:val="center"/>
        <w:outlineLvl w:val="1"/>
        <w:rPr>
          <w:rFonts w:ascii="宋体" w:hAnsi="宋体" w:cs="宋体"/>
          <w:color w:val="auto"/>
          <w:sz w:val="24"/>
        </w:rPr>
      </w:pPr>
    </w:p>
    <w:p w14:paraId="156B11B2">
      <w:pPr>
        <w:snapToGrid w:val="0"/>
        <w:spacing w:before="156" w:beforeLines="50" w:after="50" w:line="440" w:lineRule="exact"/>
        <w:jc w:val="center"/>
        <w:outlineLvl w:val="1"/>
        <w:rPr>
          <w:rFonts w:ascii="宋体" w:hAnsi="宋体" w:cs="宋体"/>
          <w:color w:val="auto"/>
          <w:sz w:val="24"/>
        </w:rPr>
      </w:pPr>
    </w:p>
    <w:p w14:paraId="398CD8E6">
      <w:pPr>
        <w:snapToGrid w:val="0"/>
        <w:spacing w:before="156" w:beforeLines="50" w:after="50" w:line="440" w:lineRule="exact"/>
        <w:jc w:val="center"/>
        <w:outlineLvl w:val="1"/>
        <w:rPr>
          <w:rFonts w:ascii="宋体" w:hAnsi="宋体" w:cs="宋体"/>
          <w:color w:val="auto"/>
          <w:sz w:val="24"/>
        </w:rPr>
      </w:pPr>
    </w:p>
    <w:p w14:paraId="5CAA209C">
      <w:pPr>
        <w:snapToGrid w:val="0"/>
        <w:spacing w:before="156" w:beforeLines="50" w:after="50" w:line="440" w:lineRule="exact"/>
        <w:jc w:val="center"/>
        <w:outlineLvl w:val="1"/>
        <w:rPr>
          <w:rFonts w:ascii="宋体" w:hAnsi="宋体" w:cs="宋体"/>
          <w:color w:val="auto"/>
          <w:sz w:val="24"/>
        </w:rPr>
      </w:pPr>
    </w:p>
    <w:p w14:paraId="66E09EA9">
      <w:pPr>
        <w:pStyle w:val="29"/>
        <w:jc w:val="both"/>
        <w:rPr>
          <w:rFonts w:hint="eastAsia"/>
          <w:b/>
          <w:color w:val="auto"/>
        </w:rPr>
      </w:pPr>
      <w:r>
        <w:rPr>
          <w:rFonts w:hint="eastAsia"/>
          <w:b/>
          <w:color w:val="auto"/>
          <w:lang w:val="en-US" w:eastAsia="zh-CN"/>
        </w:rPr>
        <w:t>6.</w:t>
      </w:r>
      <w:r>
        <w:rPr>
          <w:rFonts w:hint="eastAsia"/>
          <w:b/>
          <w:color w:val="auto"/>
        </w:rPr>
        <w:t>中小企业声明函格式</w:t>
      </w:r>
    </w:p>
    <w:p w14:paraId="70AE9169">
      <w:pPr>
        <w:pStyle w:val="29"/>
        <w:jc w:val="both"/>
        <w:rPr>
          <w:rFonts w:hint="eastAsia"/>
          <w:b/>
          <w:color w:val="auto"/>
        </w:rPr>
      </w:pPr>
    </w:p>
    <w:p w14:paraId="4E3C3265">
      <w:pPr>
        <w:pStyle w:val="29"/>
        <w:jc w:val="center"/>
        <w:rPr>
          <w:b/>
          <w:color w:val="auto"/>
          <w:kern w:val="2"/>
          <w:sz w:val="32"/>
          <w:szCs w:val="32"/>
        </w:rPr>
      </w:pPr>
      <w:r>
        <w:rPr>
          <w:rFonts w:hint="eastAsia"/>
          <w:b/>
          <w:color w:val="auto"/>
          <w:kern w:val="2"/>
          <w:sz w:val="32"/>
          <w:szCs w:val="32"/>
        </w:rPr>
        <w:t>中小企业声明函</w:t>
      </w:r>
    </w:p>
    <w:p w14:paraId="5BC1FFE1">
      <w:pPr>
        <w:spacing w:line="360" w:lineRule="auto"/>
        <w:ind w:firstLine="480" w:firstLineChars="200"/>
        <w:rPr>
          <w:rFonts w:ascii="宋体" w:hAnsi="宋体" w:cs="宋体"/>
          <w:color w:val="auto"/>
          <w:sz w:val="24"/>
        </w:rPr>
      </w:pPr>
      <w:r>
        <w:rPr>
          <w:rFonts w:hint="eastAsia" w:ascii="宋体" w:hAnsi="宋体" w:cs="宋体"/>
          <w:color w:val="auto"/>
          <w:sz w:val="24"/>
        </w:rPr>
        <w:t>本公司郑重声明，根据《政府采购促进中小企业发展管理办法》（财库﹝2020﹞46号）的规定，本公司（联合体）参加</w:t>
      </w:r>
      <w:r>
        <w:rPr>
          <w:rFonts w:hint="eastAsia" w:ascii="宋体" w:hAnsi="宋体" w:cs="宋体"/>
          <w:color w:val="auto"/>
          <w:sz w:val="24"/>
          <w:u w:val="single"/>
        </w:rPr>
        <w:t xml:space="preserve"> （单位名称） </w:t>
      </w:r>
      <w:r>
        <w:rPr>
          <w:rFonts w:hint="eastAsia" w:ascii="宋体" w:hAnsi="宋体" w:cs="宋体"/>
          <w:color w:val="auto"/>
          <w:sz w:val="24"/>
        </w:rPr>
        <w:t>的</w:t>
      </w:r>
      <w:r>
        <w:rPr>
          <w:rFonts w:hint="eastAsia" w:ascii="宋体" w:hAnsi="宋体" w:cs="宋体"/>
          <w:color w:val="auto"/>
          <w:sz w:val="24"/>
          <w:u w:val="single"/>
        </w:rPr>
        <w:t xml:space="preserve">（项目名称） </w:t>
      </w:r>
      <w:r>
        <w:rPr>
          <w:rFonts w:hint="eastAsia" w:ascii="宋体" w:hAnsi="宋体" w:cs="宋体"/>
          <w:color w:val="auto"/>
          <w:sz w:val="24"/>
        </w:rPr>
        <w:t>采购活动，提供的货物全部由符合政策要求的中小企业制造。相关企业（含联合体中的中小企业、签订分包意向协议的中小企业）的具体情况如下：</w:t>
      </w:r>
    </w:p>
    <w:p w14:paraId="22198C3C">
      <w:pPr>
        <w:spacing w:line="360" w:lineRule="auto"/>
        <w:ind w:firstLine="480" w:firstLineChars="200"/>
        <w:rPr>
          <w:rFonts w:ascii="宋体" w:hAnsi="宋体" w:cs="宋体"/>
          <w:color w:val="auto"/>
          <w:sz w:val="24"/>
        </w:rPr>
      </w:pPr>
      <w:r>
        <w:rPr>
          <w:rFonts w:hint="eastAsia" w:ascii="宋体" w:hAnsi="宋体" w:cs="宋体"/>
          <w:color w:val="auto"/>
          <w:sz w:val="24"/>
        </w:rPr>
        <w:t>1.</w:t>
      </w:r>
      <w:r>
        <w:rPr>
          <w:rFonts w:hint="eastAsia" w:ascii="宋体" w:hAnsi="宋体" w:cs="宋体"/>
          <w:color w:val="auto"/>
          <w:sz w:val="24"/>
          <w:u w:val="single"/>
        </w:rPr>
        <w:t xml:space="preserve"> （标的名称） </w:t>
      </w:r>
      <w:r>
        <w:rPr>
          <w:rFonts w:hint="eastAsia" w:ascii="宋体" w:hAnsi="宋体" w:cs="宋体"/>
          <w:color w:val="auto"/>
          <w:sz w:val="24"/>
        </w:rPr>
        <w:t>，属于</w:t>
      </w:r>
      <w:r>
        <w:rPr>
          <w:rFonts w:hint="eastAsia" w:ascii="宋体" w:hAnsi="宋体" w:cs="宋体"/>
          <w:color w:val="auto"/>
          <w:sz w:val="24"/>
          <w:u w:val="single"/>
        </w:rPr>
        <w:t xml:space="preserve"> （采购文件中明确的所属行业） </w:t>
      </w:r>
      <w:r>
        <w:rPr>
          <w:rFonts w:hint="eastAsia" w:ascii="宋体" w:hAnsi="宋体" w:cs="宋体"/>
          <w:color w:val="auto"/>
          <w:sz w:val="24"/>
          <w:lang w:eastAsia="zh-CN"/>
        </w:rPr>
        <w:t>制造</w:t>
      </w:r>
      <w:r>
        <w:rPr>
          <w:rFonts w:hint="eastAsia" w:ascii="宋体" w:hAnsi="宋体" w:cs="宋体"/>
          <w:color w:val="auto"/>
          <w:sz w:val="24"/>
        </w:rPr>
        <w:t>企业为</w:t>
      </w:r>
      <w:r>
        <w:rPr>
          <w:rFonts w:hint="eastAsia" w:ascii="宋体" w:hAnsi="宋体" w:cs="宋体"/>
          <w:color w:val="auto"/>
          <w:sz w:val="24"/>
          <w:u w:val="single"/>
        </w:rPr>
        <w:t xml:space="preserve"> （企业名称） </w:t>
      </w:r>
      <w:r>
        <w:rPr>
          <w:rFonts w:hint="eastAsia" w:ascii="宋体" w:hAnsi="宋体" w:cs="宋体"/>
          <w:color w:val="auto"/>
          <w:sz w:val="24"/>
        </w:rPr>
        <w:t>，从业人员</w:t>
      </w:r>
      <w:r>
        <w:rPr>
          <w:rFonts w:hint="eastAsia" w:ascii="宋体" w:hAnsi="宋体" w:cs="宋体"/>
          <w:color w:val="auto"/>
          <w:sz w:val="24"/>
          <w:u w:val="single"/>
        </w:rPr>
        <w:t xml:space="preserve">    </w:t>
      </w:r>
      <w:r>
        <w:rPr>
          <w:rFonts w:hint="eastAsia" w:ascii="宋体" w:hAnsi="宋体" w:cs="宋体"/>
          <w:color w:val="auto"/>
          <w:sz w:val="24"/>
        </w:rPr>
        <w:t>人，营业收入为</w:t>
      </w:r>
      <w:r>
        <w:rPr>
          <w:rFonts w:hint="eastAsia" w:ascii="宋体" w:hAnsi="宋体" w:cs="宋体"/>
          <w:color w:val="auto"/>
          <w:sz w:val="24"/>
          <w:u w:val="single"/>
        </w:rPr>
        <w:t xml:space="preserve">    </w:t>
      </w:r>
      <w:r>
        <w:rPr>
          <w:rFonts w:hint="eastAsia" w:ascii="宋体" w:hAnsi="宋体" w:cs="宋体"/>
          <w:color w:val="auto"/>
          <w:sz w:val="24"/>
        </w:rPr>
        <w:t>万元，资产总额为</w:t>
      </w:r>
      <w:r>
        <w:rPr>
          <w:rFonts w:hint="eastAsia" w:ascii="宋体" w:hAnsi="宋体" w:cs="宋体"/>
          <w:color w:val="auto"/>
          <w:sz w:val="24"/>
          <w:u w:val="single"/>
        </w:rPr>
        <w:t xml:space="preserve">    </w:t>
      </w:r>
      <w:r>
        <w:rPr>
          <w:rFonts w:hint="eastAsia" w:ascii="宋体" w:hAnsi="宋体" w:cs="宋体"/>
          <w:color w:val="auto"/>
          <w:sz w:val="24"/>
        </w:rPr>
        <w:t>万元，属于</w:t>
      </w:r>
      <w:r>
        <w:rPr>
          <w:rFonts w:hint="eastAsia" w:ascii="宋体" w:hAnsi="宋体" w:cs="宋体"/>
          <w:color w:val="auto"/>
          <w:sz w:val="24"/>
          <w:u w:val="single"/>
        </w:rPr>
        <w:t>（中型企业、小型企业、微型企业）</w:t>
      </w:r>
      <w:r>
        <w:rPr>
          <w:rFonts w:hint="eastAsia" w:ascii="宋体" w:hAnsi="宋体" w:cs="宋体"/>
          <w:color w:val="auto"/>
          <w:sz w:val="24"/>
        </w:rPr>
        <w:t>；</w:t>
      </w:r>
    </w:p>
    <w:p w14:paraId="4B00864E">
      <w:pPr>
        <w:spacing w:line="360" w:lineRule="auto"/>
        <w:ind w:firstLine="480" w:firstLineChars="200"/>
        <w:rPr>
          <w:rFonts w:ascii="宋体" w:hAnsi="宋体" w:cs="宋体"/>
          <w:color w:val="auto"/>
          <w:sz w:val="24"/>
        </w:rPr>
      </w:pPr>
      <w:r>
        <w:rPr>
          <w:rFonts w:hint="eastAsia" w:ascii="宋体" w:hAnsi="宋体" w:cs="宋体"/>
          <w:color w:val="auto"/>
          <w:sz w:val="24"/>
        </w:rPr>
        <w:t>2.</w:t>
      </w:r>
      <w:r>
        <w:rPr>
          <w:rFonts w:hint="eastAsia" w:ascii="宋体" w:hAnsi="宋体" w:cs="宋体"/>
          <w:color w:val="auto"/>
          <w:sz w:val="24"/>
          <w:u w:val="single"/>
        </w:rPr>
        <w:t xml:space="preserve"> （标的名称） </w:t>
      </w:r>
      <w:r>
        <w:rPr>
          <w:rFonts w:hint="eastAsia" w:ascii="宋体" w:hAnsi="宋体" w:cs="宋体"/>
          <w:color w:val="auto"/>
          <w:sz w:val="24"/>
        </w:rPr>
        <w:t>，属于</w:t>
      </w:r>
      <w:r>
        <w:rPr>
          <w:rFonts w:hint="eastAsia" w:ascii="宋体" w:hAnsi="宋体" w:cs="宋体"/>
          <w:color w:val="auto"/>
          <w:sz w:val="24"/>
          <w:u w:val="single"/>
        </w:rPr>
        <w:t xml:space="preserve"> （采购文件中明确的所属行业） </w:t>
      </w:r>
      <w:r>
        <w:rPr>
          <w:rFonts w:hint="eastAsia" w:ascii="宋体" w:hAnsi="宋体" w:cs="宋体"/>
          <w:color w:val="auto"/>
          <w:sz w:val="24"/>
          <w:lang w:eastAsia="zh-CN"/>
        </w:rPr>
        <w:t>制造</w:t>
      </w:r>
      <w:r>
        <w:rPr>
          <w:rFonts w:hint="eastAsia" w:ascii="宋体" w:hAnsi="宋体" w:cs="宋体"/>
          <w:color w:val="auto"/>
          <w:sz w:val="24"/>
        </w:rPr>
        <w:t>企业为</w:t>
      </w:r>
      <w:r>
        <w:rPr>
          <w:rFonts w:hint="eastAsia" w:ascii="宋体" w:hAnsi="宋体" w:cs="宋体"/>
          <w:color w:val="auto"/>
          <w:sz w:val="24"/>
          <w:u w:val="single"/>
        </w:rPr>
        <w:t xml:space="preserve"> （企业名称） </w:t>
      </w:r>
      <w:r>
        <w:rPr>
          <w:rFonts w:hint="eastAsia" w:ascii="宋体" w:hAnsi="宋体" w:cs="宋体"/>
          <w:color w:val="auto"/>
          <w:sz w:val="24"/>
        </w:rPr>
        <w:t>，从业人员</w:t>
      </w:r>
      <w:r>
        <w:rPr>
          <w:rFonts w:hint="eastAsia" w:ascii="宋体" w:hAnsi="宋体" w:cs="宋体"/>
          <w:color w:val="auto"/>
          <w:sz w:val="24"/>
          <w:u w:val="single"/>
        </w:rPr>
        <w:t xml:space="preserve">    </w:t>
      </w:r>
      <w:r>
        <w:rPr>
          <w:rFonts w:hint="eastAsia" w:ascii="宋体" w:hAnsi="宋体" w:cs="宋体"/>
          <w:color w:val="auto"/>
          <w:sz w:val="24"/>
        </w:rPr>
        <w:t>人，营业收入为</w:t>
      </w:r>
      <w:r>
        <w:rPr>
          <w:rFonts w:hint="eastAsia" w:ascii="宋体" w:hAnsi="宋体" w:cs="宋体"/>
          <w:color w:val="auto"/>
          <w:sz w:val="24"/>
          <w:u w:val="single"/>
        </w:rPr>
        <w:t xml:space="preserve">    </w:t>
      </w:r>
      <w:r>
        <w:rPr>
          <w:rFonts w:hint="eastAsia" w:ascii="宋体" w:hAnsi="宋体" w:cs="宋体"/>
          <w:color w:val="auto"/>
          <w:sz w:val="24"/>
        </w:rPr>
        <w:t>万元，资产总额为</w:t>
      </w:r>
      <w:r>
        <w:rPr>
          <w:rFonts w:hint="eastAsia" w:ascii="宋体" w:hAnsi="宋体" w:cs="宋体"/>
          <w:color w:val="auto"/>
          <w:sz w:val="24"/>
          <w:u w:val="single"/>
        </w:rPr>
        <w:t xml:space="preserve">    </w:t>
      </w:r>
      <w:r>
        <w:rPr>
          <w:rFonts w:hint="eastAsia" w:ascii="宋体" w:hAnsi="宋体" w:cs="宋体"/>
          <w:color w:val="auto"/>
          <w:sz w:val="24"/>
        </w:rPr>
        <w:t>万元，属于</w:t>
      </w:r>
      <w:r>
        <w:rPr>
          <w:rFonts w:hint="eastAsia" w:ascii="宋体" w:hAnsi="宋体" w:cs="宋体"/>
          <w:color w:val="auto"/>
          <w:sz w:val="24"/>
          <w:u w:val="single"/>
        </w:rPr>
        <w:t>（中型企业、小型企业、微型企业）</w:t>
      </w:r>
      <w:r>
        <w:rPr>
          <w:rFonts w:hint="eastAsia" w:ascii="宋体" w:hAnsi="宋体" w:cs="宋体"/>
          <w:color w:val="auto"/>
          <w:sz w:val="24"/>
        </w:rPr>
        <w:t>；</w:t>
      </w:r>
    </w:p>
    <w:p w14:paraId="4A204BE2">
      <w:pPr>
        <w:spacing w:line="360" w:lineRule="auto"/>
        <w:ind w:firstLine="480" w:firstLineChars="200"/>
        <w:rPr>
          <w:rFonts w:ascii="宋体" w:hAnsi="宋体" w:cs="宋体"/>
          <w:color w:val="auto"/>
          <w:sz w:val="24"/>
        </w:rPr>
      </w:pPr>
      <w:r>
        <w:rPr>
          <w:rFonts w:hint="eastAsia" w:ascii="宋体" w:hAnsi="宋体" w:cs="宋体"/>
          <w:color w:val="auto"/>
          <w:sz w:val="24"/>
        </w:rPr>
        <w:t>……</w:t>
      </w:r>
    </w:p>
    <w:p w14:paraId="32ED3C40">
      <w:pPr>
        <w:spacing w:line="360" w:lineRule="auto"/>
        <w:ind w:firstLine="480" w:firstLineChars="200"/>
        <w:rPr>
          <w:rFonts w:ascii="宋体" w:hAnsi="宋体" w:cs="宋体"/>
          <w:color w:val="auto"/>
          <w:sz w:val="24"/>
        </w:rPr>
      </w:pPr>
      <w:r>
        <w:rPr>
          <w:rFonts w:hint="eastAsia" w:ascii="宋体" w:hAnsi="宋体" w:cs="宋体"/>
          <w:color w:val="auto"/>
          <w:sz w:val="24"/>
        </w:rPr>
        <w:t>以上企业，不属于大企业的分支机构，不存在控股股东为大企业的情形，也不存在与大企业的负责人为同一人的情形。</w:t>
      </w:r>
    </w:p>
    <w:p w14:paraId="712E7F27">
      <w:pPr>
        <w:spacing w:line="360" w:lineRule="auto"/>
        <w:ind w:firstLine="480" w:firstLineChars="200"/>
        <w:rPr>
          <w:rFonts w:ascii="宋体" w:hAnsi="宋体" w:cs="宋体"/>
          <w:color w:val="auto"/>
          <w:sz w:val="24"/>
        </w:rPr>
      </w:pPr>
      <w:r>
        <w:rPr>
          <w:rFonts w:hint="eastAsia" w:ascii="宋体" w:hAnsi="宋体" w:cs="宋体"/>
          <w:color w:val="auto"/>
          <w:sz w:val="24"/>
        </w:rPr>
        <w:t>本企业对上述声明内容的真实性负责。如有虚假，将依法承担相应责任。</w:t>
      </w:r>
    </w:p>
    <w:p w14:paraId="068B8DCC">
      <w:pPr>
        <w:spacing w:line="360" w:lineRule="auto"/>
        <w:ind w:firstLine="480" w:firstLineChars="200"/>
        <w:rPr>
          <w:rFonts w:ascii="宋体" w:hAnsi="宋体" w:cs="宋体"/>
          <w:color w:val="auto"/>
          <w:sz w:val="24"/>
        </w:rPr>
      </w:pPr>
    </w:p>
    <w:p w14:paraId="72E83145">
      <w:pPr>
        <w:pStyle w:val="3"/>
        <w:rPr>
          <w:rFonts w:ascii="宋体" w:hAnsi="宋体" w:eastAsia="宋体"/>
          <w:color w:val="auto"/>
        </w:rPr>
      </w:pPr>
    </w:p>
    <w:p w14:paraId="18A44DF6">
      <w:pPr>
        <w:spacing w:line="360" w:lineRule="auto"/>
        <w:ind w:firstLine="5280" w:firstLineChars="2200"/>
        <w:rPr>
          <w:rFonts w:ascii="宋体" w:hAnsi="宋体" w:cs="宋体"/>
          <w:color w:val="auto"/>
          <w:sz w:val="24"/>
        </w:rPr>
      </w:pPr>
      <w:r>
        <w:rPr>
          <w:rFonts w:hint="eastAsia" w:ascii="宋体" w:hAnsi="宋体" w:cs="宋体"/>
          <w:color w:val="auto"/>
          <w:sz w:val="24"/>
        </w:rPr>
        <w:t>企业名称（盖章）：</w:t>
      </w:r>
    </w:p>
    <w:p w14:paraId="2411BE73">
      <w:pPr>
        <w:spacing w:line="360" w:lineRule="auto"/>
        <w:ind w:firstLine="6000" w:firstLineChars="2500"/>
        <w:rPr>
          <w:rFonts w:ascii="宋体" w:hAnsi="宋体" w:cs="宋体"/>
          <w:color w:val="auto"/>
          <w:sz w:val="24"/>
        </w:rPr>
      </w:pPr>
      <w:r>
        <w:rPr>
          <w:rFonts w:hint="eastAsia" w:ascii="宋体" w:hAnsi="宋体" w:cs="宋体"/>
          <w:color w:val="auto"/>
          <w:sz w:val="24"/>
        </w:rPr>
        <w:t>日 期：</w:t>
      </w:r>
    </w:p>
    <w:p w14:paraId="42CB805F">
      <w:pPr>
        <w:spacing w:line="360" w:lineRule="auto"/>
        <w:ind w:firstLine="480" w:firstLineChars="200"/>
        <w:rPr>
          <w:rFonts w:ascii="宋体" w:hAnsi="宋体" w:cs="宋体"/>
          <w:color w:val="auto"/>
          <w:sz w:val="24"/>
        </w:rPr>
      </w:pPr>
      <w:r>
        <w:rPr>
          <w:rFonts w:hint="eastAsia" w:ascii="宋体" w:hAnsi="宋体" w:cs="宋体"/>
          <w:color w:val="auto"/>
          <w:sz w:val="24"/>
        </w:rPr>
        <w:t>说明：</w:t>
      </w:r>
    </w:p>
    <w:p w14:paraId="34EF1B58">
      <w:pPr>
        <w:spacing w:line="360" w:lineRule="auto"/>
        <w:ind w:firstLine="480" w:firstLineChars="200"/>
        <w:rPr>
          <w:rFonts w:ascii="宋体" w:hAnsi="宋体" w:cs="宋体"/>
          <w:color w:val="auto"/>
          <w:sz w:val="24"/>
        </w:rPr>
      </w:pPr>
      <w:r>
        <w:rPr>
          <w:rFonts w:hint="eastAsia" w:ascii="宋体" w:hAnsi="宋体" w:cs="宋体"/>
          <w:color w:val="auto"/>
          <w:sz w:val="24"/>
        </w:rPr>
        <w:t>1</w:t>
      </w:r>
      <w:r>
        <w:rPr>
          <w:rFonts w:hint="eastAsia" w:ascii="宋体" w:hAnsi="宋体" w:cs="宋体"/>
          <w:color w:val="auto"/>
          <w:sz w:val="24"/>
          <w:lang w:val="en-US" w:eastAsia="zh-CN"/>
        </w:rPr>
        <w:t>.</w:t>
      </w:r>
      <w:r>
        <w:rPr>
          <w:rFonts w:hint="eastAsia" w:ascii="宋体" w:hAnsi="宋体" w:cs="宋体"/>
          <w:color w:val="auto"/>
          <w:sz w:val="24"/>
        </w:rPr>
        <w:t>从业人员、营业收入、资产总额填报上一年度数据，无上一年度数据的新成立企业可不填报。</w:t>
      </w:r>
    </w:p>
    <w:p w14:paraId="423D56AC">
      <w:pPr>
        <w:pStyle w:val="29"/>
        <w:jc w:val="both"/>
        <w:rPr>
          <w:b/>
          <w:color w:val="auto"/>
        </w:rPr>
      </w:pPr>
      <w:r>
        <w:rPr>
          <w:rFonts w:hint="eastAsia"/>
          <w:b/>
          <w:color w:val="auto"/>
        </w:rPr>
        <w:br w:type="page"/>
      </w:r>
      <w:r>
        <w:rPr>
          <w:rFonts w:hint="eastAsia"/>
          <w:b/>
          <w:color w:val="auto"/>
          <w:lang w:val="en-US" w:eastAsia="zh-CN"/>
        </w:rPr>
        <w:t>7.</w:t>
      </w:r>
      <w:r>
        <w:rPr>
          <w:rFonts w:hint="eastAsia"/>
          <w:b/>
          <w:color w:val="auto"/>
        </w:rPr>
        <w:t>残疾人福利性单位声明函格式</w:t>
      </w:r>
    </w:p>
    <w:p w14:paraId="1E938609">
      <w:pPr>
        <w:pStyle w:val="15"/>
        <w:snapToGrid w:val="0"/>
        <w:spacing w:before="31" w:beforeLines="10" w:after="31" w:afterLines="10" w:line="360" w:lineRule="auto"/>
        <w:jc w:val="center"/>
        <w:rPr>
          <w:rFonts w:hAnsi="宋体"/>
          <w:b/>
          <w:color w:val="auto"/>
          <w:sz w:val="32"/>
          <w:szCs w:val="32"/>
        </w:rPr>
      </w:pPr>
      <w:r>
        <w:rPr>
          <w:rFonts w:hint="eastAsia" w:hAnsi="宋体"/>
          <w:b/>
          <w:color w:val="auto"/>
          <w:sz w:val="32"/>
          <w:szCs w:val="32"/>
        </w:rPr>
        <w:t>残疾人福利性单位声明函</w:t>
      </w:r>
    </w:p>
    <w:p w14:paraId="38A4844F">
      <w:pPr>
        <w:pStyle w:val="15"/>
        <w:snapToGrid w:val="0"/>
        <w:spacing w:before="31" w:beforeLines="10" w:after="31" w:afterLines="10" w:line="360" w:lineRule="auto"/>
        <w:ind w:firstLine="480" w:firstLineChars="200"/>
        <w:rPr>
          <w:rFonts w:hAnsi="宋体"/>
          <w:color w:val="auto"/>
          <w:sz w:val="24"/>
        </w:rPr>
      </w:pPr>
      <w:r>
        <w:rPr>
          <w:rFonts w:hint="eastAsia" w:hAnsi="宋体"/>
          <w:color w:val="auto"/>
          <w:sz w:val="24"/>
        </w:rPr>
        <w:t>本单位郑重声明，根据《财政部 民政部 中国残疾人联合会关于促进残疾人就业政府采购政策的通知》（财库〔2017〕141号）的规定，本单位为符合条件的残疾人福利性单位，且本单位参加</w:t>
      </w:r>
      <w:r>
        <w:rPr>
          <w:rFonts w:hint="eastAsia" w:hAnsi="宋体"/>
          <w:color w:val="auto"/>
          <w:sz w:val="24"/>
          <w:u w:val="single"/>
        </w:rPr>
        <w:t xml:space="preserve">                     </w:t>
      </w:r>
      <w:r>
        <w:rPr>
          <w:rFonts w:hint="eastAsia" w:hAnsi="宋体"/>
          <w:color w:val="auto"/>
          <w:sz w:val="24"/>
        </w:rPr>
        <w:t>单位的</w:t>
      </w:r>
      <w:r>
        <w:rPr>
          <w:rFonts w:hint="eastAsia" w:hAnsi="宋体"/>
          <w:color w:val="auto"/>
          <w:sz w:val="24"/>
          <w:u w:val="single"/>
        </w:rPr>
        <w:t xml:space="preserve">                </w:t>
      </w:r>
      <w:r>
        <w:rPr>
          <w:rFonts w:hint="eastAsia" w:hAnsi="宋体"/>
          <w:color w:val="auto"/>
          <w:sz w:val="24"/>
        </w:rPr>
        <w:t>项目采购活动提供本单位制造的货物（由本单位承担工程、提供服务），或者提供其他残疾人福利性单位制造的货物（不包括使用非残疾人福利性单位注册商标的货物）。</w:t>
      </w:r>
    </w:p>
    <w:p w14:paraId="1090AD64">
      <w:pPr>
        <w:pStyle w:val="15"/>
        <w:snapToGrid w:val="0"/>
        <w:spacing w:before="31" w:beforeLines="10" w:after="31" w:afterLines="10" w:line="360" w:lineRule="auto"/>
        <w:ind w:firstLine="480" w:firstLineChars="200"/>
        <w:rPr>
          <w:rFonts w:hAnsi="宋体"/>
          <w:color w:val="auto"/>
          <w:sz w:val="24"/>
        </w:rPr>
      </w:pPr>
      <w:r>
        <w:rPr>
          <w:rFonts w:hint="eastAsia" w:hAnsi="宋体"/>
          <w:color w:val="auto"/>
          <w:sz w:val="24"/>
        </w:rPr>
        <w:t>本单位对上述声明的真实性负责。如有虚假，将依法承担相应责任。</w:t>
      </w:r>
    </w:p>
    <w:p w14:paraId="528999A1">
      <w:pPr>
        <w:pStyle w:val="15"/>
        <w:snapToGrid w:val="0"/>
        <w:spacing w:before="31" w:beforeLines="10" w:after="31" w:afterLines="10" w:line="360" w:lineRule="auto"/>
        <w:rPr>
          <w:rFonts w:hAnsi="宋体"/>
          <w:color w:val="auto"/>
          <w:sz w:val="24"/>
        </w:rPr>
      </w:pPr>
    </w:p>
    <w:p w14:paraId="5E6E277A">
      <w:pPr>
        <w:pStyle w:val="15"/>
        <w:snapToGrid w:val="0"/>
        <w:spacing w:before="31" w:beforeLines="10" w:after="31" w:afterLines="10" w:line="360" w:lineRule="auto"/>
        <w:rPr>
          <w:rFonts w:hAnsi="宋体"/>
          <w:color w:val="auto"/>
          <w:sz w:val="24"/>
        </w:rPr>
      </w:pPr>
    </w:p>
    <w:p w14:paraId="3DE4AEF5">
      <w:pPr>
        <w:pStyle w:val="15"/>
        <w:snapToGrid w:val="0"/>
        <w:spacing w:before="31" w:beforeLines="10" w:after="31" w:afterLines="10" w:line="360" w:lineRule="auto"/>
        <w:ind w:firstLine="480" w:firstLineChars="200"/>
        <w:rPr>
          <w:rFonts w:hAnsi="宋体"/>
          <w:color w:val="auto"/>
          <w:sz w:val="24"/>
        </w:rPr>
      </w:pPr>
      <w:r>
        <w:rPr>
          <w:rFonts w:hint="eastAsia" w:hAnsi="宋体"/>
          <w:color w:val="auto"/>
          <w:sz w:val="24"/>
        </w:rPr>
        <w:t xml:space="preserve">                                              投标人（盖章）</w:t>
      </w:r>
    </w:p>
    <w:p w14:paraId="6B84A6B0">
      <w:pPr>
        <w:pStyle w:val="15"/>
        <w:snapToGrid w:val="0"/>
        <w:spacing w:before="31" w:beforeLines="10" w:after="31" w:afterLines="10" w:line="360" w:lineRule="auto"/>
        <w:ind w:firstLine="480" w:firstLineChars="200"/>
        <w:rPr>
          <w:rFonts w:hAnsi="宋体"/>
          <w:color w:val="auto"/>
          <w:sz w:val="24"/>
        </w:rPr>
      </w:pPr>
      <w:r>
        <w:rPr>
          <w:rFonts w:hint="eastAsia" w:hAnsi="宋体"/>
          <w:color w:val="auto"/>
          <w:sz w:val="24"/>
        </w:rPr>
        <w:t xml:space="preserve">                                              日期：    年   月   日</w:t>
      </w:r>
    </w:p>
    <w:p w14:paraId="37DEBE90">
      <w:pPr>
        <w:spacing w:line="360" w:lineRule="auto"/>
        <w:ind w:firstLine="480" w:firstLineChars="200"/>
        <w:rPr>
          <w:rFonts w:ascii="宋体" w:hAnsi="宋体" w:cs="宋体"/>
          <w:color w:val="auto"/>
          <w:sz w:val="24"/>
        </w:rPr>
      </w:pPr>
      <w:r>
        <w:rPr>
          <w:rFonts w:hint="eastAsia" w:ascii="宋体" w:hAnsi="宋体" w:cs="宋体"/>
          <w:color w:val="auto"/>
          <w:sz w:val="24"/>
        </w:rPr>
        <w:t>说明：</w:t>
      </w:r>
    </w:p>
    <w:p w14:paraId="204C45A0">
      <w:pPr>
        <w:pStyle w:val="15"/>
        <w:snapToGrid w:val="0"/>
        <w:spacing w:before="31" w:beforeLines="10" w:after="31" w:afterLines="10" w:line="360" w:lineRule="auto"/>
        <w:ind w:firstLine="480" w:firstLineChars="200"/>
        <w:rPr>
          <w:rFonts w:hint="eastAsia" w:hAnsi="宋体"/>
          <w:color w:val="auto"/>
          <w:sz w:val="24"/>
        </w:rPr>
      </w:pPr>
      <w:r>
        <w:rPr>
          <w:rFonts w:hint="eastAsia" w:ascii="宋体" w:hAnsi="宋体" w:cs="宋体"/>
          <w:sz w:val="24"/>
          <w:lang w:val="en-US" w:eastAsia="zh-CN"/>
        </w:rPr>
        <w:t>1、</w:t>
      </w:r>
      <w:r>
        <w:rPr>
          <w:rFonts w:hint="eastAsia" w:ascii="宋体" w:hAnsi="宋体" w:cs="宋体"/>
          <w:color w:val="auto"/>
          <w:sz w:val="24"/>
          <w:highlight w:val="none"/>
        </w:rPr>
        <w:t>非残疾人福利性单位不需提供此声明函。</w:t>
      </w:r>
    </w:p>
    <w:p w14:paraId="501CBE8D">
      <w:pPr>
        <w:pStyle w:val="15"/>
        <w:snapToGrid w:val="0"/>
        <w:spacing w:before="31" w:beforeLines="10" w:after="31" w:afterLines="10" w:line="360" w:lineRule="auto"/>
        <w:rPr>
          <w:rFonts w:hAnsi="宋体"/>
          <w:b/>
          <w:color w:val="auto"/>
        </w:rPr>
      </w:pPr>
      <w:r>
        <w:rPr>
          <w:rFonts w:hint="eastAsia" w:hAnsi="宋体"/>
          <w:b/>
          <w:color w:val="auto"/>
          <w:sz w:val="24"/>
        </w:rPr>
        <w:br w:type="page"/>
      </w:r>
      <w:r>
        <w:rPr>
          <w:rFonts w:hint="eastAsia" w:hAnsi="宋体"/>
          <w:b/>
          <w:color w:val="auto"/>
          <w:sz w:val="24"/>
          <w:lang w:val="en-US" w:eastAsia="zh-CN"/>
        </w:rPr>
        <w:t>8.</w:t>
      </w:r>
      <w:r>
        <w:rPr>
          <w:rFonts w:hint="eastAsia" w:hAnsi="宋体"/>
          <w:b/>
          <w:color w:val="auto"/>
          <w:sz w:val="24"/>
        </w:rPr>
        <w:t>监狱企业声明函格式</w:t>
      </w:r>
    </w:p>
    <w:p w14:paraId="60515301">
      <w:pPr>
        <w:pStyle w:val="15"/>
        <w:snapToGrid w:val="0"/>
        <w:spacing w:before="31" w:beforeLines="10" w:after="31" w:afterLines="10" w:line="360" w:lineRule="auto"/>
        <w:jc w:val="center"/>
        <w:rPr>
          <w:rFonts w:hAnsi="宋体"/>
          <w:b/>
          <w:color w:val="auto"/>
          <w:sz w:val="32"/>
          <w:szCs w:val="32"/>
        </w:rPr>
      </w:pPr>
      <w:r>
        <w:rPr>
          <w:rFonts w:hint="eastAsia" w:hAnsi="宋体"/>
          <w:b/>
          <w:color w:val="auto"/>
          <w:sz w:val="32"/>
          <w:szCs w:val="32"/>
        </w:rPr>
        <w:t>监狱企业声明函</w:t>
      </w:r>
    </w:p>
    <w:p w14:paraId="2BA954A2">
      <w:pPr>
        <w:spacing w:line="360" w:lineRule="auto"/>
        <w:ind w:firstLine="480" w:firstLineChars="200"/>
        <w:rPr>
          <w:rFonts w:ascii="宋体" w:hAnsi="宋体" w:cs="宋体"/>
          <w:color w:val="auto"/>
          <w:sz w:val="24"/>
        </w:rPr>
      </w:pPr>
      <w:r>
        <w:rPr>
          <w:rFonts w:hint="eastAsia" w:ascii="宋体" w:hAnsi="宋体" w:cs="宋体"/>
          <w:color w:val="auto"/>
          <w:sz w:val="24"/>
        </w:rPr>
        <w:t>本单位郑重声明，根据《关于政府采购支持监狱企业发展有关问题的通知》（财库[2014]68号）的规定，本单位为监狱企业。</w:t>
      </w:r>
    </w:p>
    <w:p w14:paraId="3BB88C65">
      <w:pPr>
        <w:spacing w:line="360" w:lineRule="auto"/>
        <w:ind w:firstLine="480" w:firstLineChars="200"/>
        <w:rPr>
          <w:rFonts w:ascii="宋体" w:hAnsi="宋体" w:cs="宋体"/>
          <w:color w:val="auto"/>
          <w:sz w:val="24"/>
        </w:rPr>
      </w:pPr>
      <w:r>
        <w:rPr>
          <w:rFonts w:hint="eastAsia" w:ascii="宋体" w:hAnsi="宋体" w:cs="宋体"/>
          <w:color w:val="auto"/>
          <w:sz w:val="24"/>
        </w:rPr>
        <w:t>根据上述标准，我单位属于监狱企业的理由为：</w:t>
      </w:r>
      <w:r>
        <w:rPr>
          <w:rFonts w:hint="eastAsia" w:ascii="宋体" w:hAnsi="宋体" w:cs="宋体"/>
          <w:color w:val="auto"/>
          <w:sz w:val="24"/>
          <w:u w:val="single"/>
        </w:rPr>
        <w:t xml:space="preserve">                     </w:t>
      </w:r>
      <w:r>
        <w:rPr>
          <w:rFonts w:hint="eastAsia" w:ascii="宋体" w:hAnsi="宋体" w:cs="宋体"/>
          <w:color w:val="auto"/>
          <w:sz w:val="24"/>
        </w:rPr>
        <w:t>。</w:t>
      </w:r>
    </w:p>
    <w:p w14:paraId="3959044E">
      <w:pPr>
        <w:pStyle w:val="15"/>
        <w:snapToGrid w:val="0"/>
        <w:spacing w:before="31" w:beforeLines="10" w:after="31" w:afterLines="10" w:line="360" w:lineRule="auto"/>
        <w:ind w:firstLine="480" w:firstLineChars="200"/>
        <w:rPr>
          <w:rFonts w:hAnsi="宋体"/>
          <w:color w:val="auto"/>
          <w:sz w:val="24"/>
        </w:rPr>
      </w:pPr>
      <w:r>
        <w:rPr>
          <w:rFonts w:hint="eastAsia" w:hAnsi="宋体"/>
          <w:color w:val="auto"/>
          <w:sz w:val="24"/>
        </w:rPr>
        <w:t>本单位参加</w:t>
      </w:r>
      <w:r>
        <w:rPr>
          <w:rFonts w:hint="eastAsia" w:hAnsi="宋体"/>
          <w:color w:val="auto"/>
          <w:sz w:val="24"/>
          <w:u w:val="single"/>
        </w:rPr>
        <w:t xml:space="preserve">（采购人名称）       </w:t>
      </w:r>
      <w:r>
        <w:rPr>
          <w:rFonts w:hint="eastAsia" w:hAnsi="宋体"/>
          <w:color w:val="auto"/>
          <w:sz w:val="24"/>
        </w:rPr>
        <w:t>单位的</w:t>
      </w:r>
      <w:r>
        <w:rPr>
          <w:rFonts w:hint="eastAsia" w:hAnsi="宋体"/>
          <w:color w:val="auto"/>
          <w:sz w:val="24"/>
          <w:u w:val="single"/>
        </w:rPr>
        <w:t xml:space="preserve"> （项目名称）         </w:t>
      </w:r>
      <w:r>
        <w:rPr>
          <w:rFonts w:hint="eastAsia" w:hAnsi="宋体"/>
          <w:color w:val="auto"/>
          <w:sz w:val="24"/>
        </w:rPr>
        <w:t>项目的采购活动，并由本单位为本项目提供货物。</w:t>
      </w:r>
    </w:p>
    <w:p w14:paraId="114AD9BC">
      <w:pPr>
        <w:pStyle w:val="15"/>
        <w:snapToGrid w:val="0"/>
        <w:spacing w:before="31" w:beforeLines="10" w:after="31" w:afterLines="10" w:line="360" w:lineRule="auto"/>
        <w:ind w:firstLine="480" w:firstLineChars="200"/>
        <w:rPr>
          <w:rFonts w:hAnsi="宋体"/>
          <w:color w:val="auto"/>
          <w:sz w:val="24"/>
        </w:rPr>
      </w:pPr>
      <w:r>
        <w:rPr>
          <w:rFonts w:hint="eastAsia" w:hAnsi="宋体"/>
          <w:color w:val="auto"/>
          <w:sz w:val="24"/>
        </w:rPr>
        <w:t>本单位对上述声明的真实性负责。如有虚假，将依法承担相应责任。</w:t>
      </w:r>
    </w:p>
    <w:p w14:paraId="26E29B20">
      <w:pPr>
        <w:pStyle w:val="15"/>
        <w:snapToGrid w:val="0"/>
        <w:spacing w:before="31" w:beforeLines="10" w:after="31" w:afterLines="10" w:line="360" w:lineRule="auto"/>
        <w:rPr>
          <w:rFonts w:hAnsi="宋体"/>
          <w:color w:val="auto"/>
          <w:sz w:val="24"/>
        </w:rPr>
      </w:pPr>
    </w:p>
    <w:p w14:paraId="444630B3">
      <w:pPr>
        <w:pStyle w:val="15"/>
        <w:snapToGrid w:val="0"/>
        <w:spacing w:before="31" w:beforeLines="10" w:after="31" w:afterLines="10" w:line="360" w:lineRule="auto"/>
        <w:rPr>
          <w:rFonts w:hAnsi="宋体"/>
          <w:color w:val="auto"/>
          <w:sz w:val="24"/>
        </w:rPr>
      </w:pPr>
    </w:p>
    <w:p w14:paraId="1A836133">
      <w:pPr>
        <w:pStyle w:val="15"/>
        <w:snapToGrid w:val="0"/>
        <w:spacing w:before="31" w:beforeLines="10" w:after="31" w:afterLines="10" w:line="360" w:lineRule="auto"/>
        <w:ind w:firstLine="480" w:firstLineChars="200"/>
        <w:rPr>
          <w:rFonts w:hAnsi="宋体"/>
          <w:color w:val="auto"/>
          <w:sz w:val="24"/>
        </w:rPr>
      </w:pPr>
      <w:r>
        <w:rPr>
          <w:rFonts w:hint="eastAsia" w:hAnsi="宋体"/>
          <w:color w:val="auto"/>
          <w:sz w:val="24"/>
        </w:rPr>
        <w:t xml:space="preserve">                                              投标人（盖章）</w:t>
      </w:r>
    </w:p>
    <w:p w14:paraId="02886C24">
      <w:pPr>
        <w:pStyle w:val="15"/>
        <w:snapToGrid w:val="0"/>
        <w:spacing w:before="31" w:beforeLines="10" w:after="31" w:afterLines="10" w:line="360" w:lineRule="auto"/>
        <w:ind w:firstLine="480" w:firstLineChars="200"/>
        <w:rPr>
          <w:rFonts w:hAnsi="宋体"/>
          <w:color w:val="auto"/>
          <w:sz w:val="24"/>
        </w:rPr>
      </w:pPr>
      <w:r>
        <w:rPr>
          <w:rFonts w:hint="eastAsia" w:hAnsi="宋体"/>
          <w:color w:val="auto"/>
          <w:sz w:val="24"/>
        </w:rPr>
        <w:t xml:space="preserve">                                              日期：    年   月   日</w:t>
      </w:r>
    </w:p>
    <w:p w14:paraId="28079113">
      <w:pPr>
        <w:spacing w:line="360" w:lineRule="auto"/>
        <w:ind w:firstLine="480" w:firstLineChars="200"/>
        <w:rPr>
          <w:rFonts w:ascii="宋体" w:hAnsi="宋体" w:cs="宋体"/>
          <w:color w:val="auto"/>
          <w:sz w:val="24"/>
        </w:rPr>
      </w:pPr>
      <w:r>
        <w:rPr>
          <w:rFonts w:hint="eastAsia" w:ascii="宋体" w:hAnsi="宋体" w:cs="宋体"/>
          <w:color w:val="auto"/>
          <w:sz w:val="24"/>
        </w:rPr>
        <w:t>说明：</w:t>
      </w:r>
    </w:p>
    <w:p w14:paraId="20FD4342">
      <w:pPr>
        <w:spacing w:line="360" w:lineRule="auto"/>
        <w:ind w:firstLine="480" w:firstLineChars="200"/>
        <w:rPr>
          <w:rFonts w:ascii="宋体" w:hAnsi="宋体" w:cs="宋体"/>
          <w:color w:val="auto"/>
          <w:sz w:val="24"/>
        </w:rPr>
      </w:pPr>
      <w:r>
        <w:rPr>
          <w:rFonts w:hint="eastAsia" w:ascii="宋体" w:hAnsi="宋体" w:cs="宋体"/>
          <w:color w:val="auto"/>
          <w:sz w:val="24"/>
        </w:rPr>
        <w:t>1</w:t>
      </w:r>
      <w:r>
        <w:rPr>
          <w:rFonts w:hint="eastAsia" w:ascii="宋体" w:hAnsi="宋体" w:cs="宋体"/>
          <w:color w:val="auto"/>
          <w:sz w:val="24"/>
          <w:lang w:val="en-US" w:eastAsia="zh-CN"/>
        </w:rPr>
        <w:t>.</w:t>
      </w:r>
      <w:r>
        <w:rPr>
          <w:rFonts w:hint="eastAsia" w:ascii="宋体" w:hAnsi="宋体" w:cs="宋体"/>
          <w:color w:val="auto"/>
          <w:sz w:val="24"/>
        </w:rPr>
        <w:t>监狱企业参加采购活动时，应当提供由省级以上监狱管理局、戒毒管理局（含新疆生产建设兵团）出具的属于监狱企业的证明文件。</w:t>
      </w:r>
    </w:p>
    <w:p w14:paraId="5E1ADA30">
      <w:pPr>
        <w:spacing w:line="360" w:lineRule="auto"/>
        <w:ind w:firstLine="480" w:firstLineChars="200"/>
        <w:rPr>
          <w:rFonts w:ascii="宋体" w:hAnsi="宋体" w:cs="宋体"/>
          <w:color w:val="auto"/>
          <w:sz w:val="24"/>
        </w:rPr>
      </w:pPr>
      <w:r>
        <w:rPr>
          <w:rFonts w:hint="eastAsia" w:ascii="宋体" w:hAnsi="宋体" w:cs="宋体"/>
          <w:color w:val="auto"/>
          <w:sz w:val="24"/>
        </w:rPr>
        <w:t>2</w:t>
      </w:r>
      <w:r>
        <w:rPr>
          <w:rFonts w:hint="eastAsia" w:ascii="宋体" w:hAnsi="宋体" w:cs="宋体"/>
          <w:color w:val="auto"/>
          <w:sz w:val="24"/>
          <w:lang w:val="en-US" w:eastAsia="zh-CN"/>
        </w:rPr>
        <w:t>.</w:t>
      </w:r>
      <w:r>
        <w:rPr>
          <w:rFonts w:hint="eastAsia" w:ascii="宋体" w:hAnsi="宋体" w:cs="宋体"/>
          <w:color w:val="auto"/>
          <w:sz w:val="24"/>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3FF77EDE">
      <w:pPr>
        <w:pStyle w:val="15"/>
        <w:snapToGrid w:val="0"/>
        <w:spacing w:before="31" w:beforeLines="10" w:after="31" w:afterLines="10" w:line="360" w:lineRule="auto"/>
        <w:ind w:firstLine="480" w:firstLineChars="200"/>
        <w:rPr>
          <w:rFonts w:hint="eastAsia" w:hAnsi="宋体" w:cs="Times New Roman"/>
          <w:sz w:val="24"/>
        </w:rPr>
      </w:pPr>
      <w:r>
        <w:rPr>
          <w:rFonts w:hint="eastAsia" w:hAnsi="宋体" w:cs="Times New Roman"/>
          <w:sz w:val="24"/>
          <w:lang w:val="en-US" w:eastAsia="zh-CN"/>
        </w:rPr>
        <w:t>3.</w:t>
      </w:r>
      <w:r>
        <w:rPr>
          <w:rFonts w:hint="eastAsia" w:hAnsi="宋体" w:cs="Times New Roman"/>
          <w:sz w:val="24"/>
        </w:rPr>
        <w:t>非监狱企业不需提供此声明函。</w:t>
      </w:r>
    </w:p>
    <w:p w14:paraId="1407065C">
      <w:pPr>
        <w:snapToGrid w:val="0"/>
        <w:spacing w:before="156" w:beforeLines="50" w:after="50" w:line="440" w:lineRule="exact"/>
        <w:jc w:val="center"/>
        <w:outlineLvl w:val="1"/>
        <w:rPr>
          <w:rFonts w:ascii="宋体" w:hAnsi="宋体" w:cs="宋体"/>
          <w:color w:val="auto"/>
          <w:sz w:val="24"/>
        </w:rPr>
      </w:pPr>
      <w:r>
        <w:rPr>
          <w:rFonts w:hint="eastAsia" w:ascii="宋体" w:hAnsi="宋体" w:cs="宋体"/>
          <w:color w:val="auto"/>
          <w:sz w:val="24"/>
        </w:rPr>
        <w:br w:type="page"/>
      </w:r>
      <w:r>
        <w:rPr>
          <w:rFonts w:hint="eastAsia" w:ascii="宋体" w:hAnsi="宋体" w:cs="宋体"/>
          <w:b/>
          <w:bCs/>
          <w:color w:val="auto"/>
          <w:sz w:val="24"/>
        </w:rPr>
        <w:t>二、商务技术文件格式</w:t>
      </w:r>
    </w:p>
    <w:p w14:paraId="3D4AD6E3">
      <w:pPr>
        <w:snapToGrid w:val="0"/>
        <w:spacing w:before="156" w:beforeLines="50" w:after="50" w:line="440" w:lineRule="exact"/>
        <w:rPr>
          <w:rFonts w:ascii="宋体" w:hAnsi="宋体" w:cs="宋体"/>
          <w:color w:val="auto"/>
          <w:sz w:val="24"/>
        </w:rPr>
      </w:pPr>
      <w:r>
        <w:rPr>
          <w:rFonts w:hint="eastAsia" w:ascii="宋体" w:hAnsi="宋体" w:cs="宋体"/>
          <w:color w:val="auto"/>
          <w:sz w:val="24"/>
        </w:rPr>
        <w:t>·商务技术文件封面格式：</w:t>
      </w:r>
    </w:p>
    <w:p w14:paraId="7D1D4458">
      <w:pPr>
        <w:snapToGrid w:val="0"/>
        <w:spacing w:before="156" w:beforeLines="50" w:after="50" w:line="440" w:lineRule="exact"/>
        <w:rPr>
          <w:rFonts w:ascii="宋体" w:hAnsi="宋体" w:cs="宋体"/>
          <w:b/>
          <w:bCs/>
          <w:color w:val="auto"/>
          <w:sz w:val="32"/>
        </w:rPr>
      </w:pPr>
      <w:r>
        <w:rPr>
          <w:rFonts w:hint="eastAsia" w:ascii="宋体" w:hAnsi="宋体" w:cs="宋体"/>
          <w:color w:val="auto"/>
          <w:sz w:val="24"/>
        </w:rPr>
        <w:t xml:space="preserve">                                               </w:t>
      </w:r>
    </w:p>
    <w:p w14:paraId="48A283BE">
      <w:pPr>
        <w:snapToGrid w:val="0"/>
        <w:spacing w:before="156" w:beforeLines="50" w:after="50" w:line="440" w:lineRule="exact"/>
        <w:rPr>
          <w:rFonts w:ascii="宋体" w:hAnsi="宋体" w:cs="宋体"/>
          <w:color w:val="auto"/>
          <w:sz w:val="24"/>
        </w:rPr>
      </w:pPr>
    </w:p>
    <w:p w14:paraId="2700C964">
      <w:pPr>
        <w:snapToGrid w:val="0"/>
        <w:spacing w:before="156" w:beforeLines="50" w:after="50" w:line="440" w:lineRule="exact"/>
        <w:jc w:val="center"/>
        <w:rPr>
          <w:rFonts w:ascii="宋体" w:hAnsi="宋体" w:cs="宋体"/>
          <w:bCs/>
          <w:color w:val="auto"/>
          <w:sz w:val="24"/>
        </w:rPr>
      </w:pPr>
    </w:p>
    <w:p w14:paraId="3544BA36">
      <w:pPr>
        <w:snapToGrid w:val="0"/>
        <w:spacing w:before="156" w:beforeLines="50" w:after="50" w:line="440" w:lineRule="exact"/>
        <w:jc w:val="center"/>
        <w:rPr>
          <w:rFonts w:ascii="宋体" w:hAnsi="宋体" w:cs="宋体"/>
          <w:bCs/>
          <w:color w:val="auto"/>
          <w:sz w:val="24"/>
        </w:rPr>
      </w:pPr>
      <w:r>
        <w:rPr>
          <w:rFonts w:hint="eastAsia" w:ascii="宋体" w:hAnsi="宋体" w:cs="宋体"/>
          <w:bCs/>
          <w:color w:val="auto"/>
          <w:sz w:val="24"/>
        </w:rPr>
        <w:t>商务技术</w:t>
      </w:r>
      <w:r>
        <w:rPr>
          <w:rFonts w:hint="eastAsia" w:ascii="宋体" w:hAnsi="宋体" w:cs="宋体"/>
          <w:color w:val="auto"/>
          <w:sz w:val="24"/>
        </w:rPr>
        <w:t>文件</w:t>
      </w:r>
    </w:p>
    <w:p w14:paraId="6E8EF496">
      <w:pPr>
        <w:snapToGrid w:val="0"/>
        <w:spacing w:before="156" w:beforeLines="50" w:after="50" w:line="440" w:lineRule="exact"/>
        <w:rPr>
          <w:rFonts w:ascii="宋体" w:hAnsi="宋体" w:cs="宋体"/>
          <w:bCs/>
          <w:color w:val="auto"/>
          <w:sz w:val="24"/>
        </w:rPr>
      </w:pPr>
    </w:p>
    <w:p w14:paraId="6C0156B5">
      <w:pPr>
        <w:snapToGrid w:val="0"/>
        <w:spacing w:before="156" w:beforeLines="50" w:after="50" w:line="440" w:lineRule="exact"/>
        <w:ind w:firstLine="1068" w:firstLineChars="445"/>
        <w:rPr>
          <w:rFonts w:ascii="宋体" w:hAnsi="宋体" w:cs="宋体"/>
          <w:bCs/>
          <w:color w:val="auto"/>
          <w:sz w:val="24"/>
        </w:rPr>
      </w:pPr>
      <w:r>
        <w:rPr>
          <w:rFonts w:hint="eastAsia" w:ascii="宋体" w:hAnsi="宋体" w:cs="宋体"/>
          <w:bCs/>
          <w:color w:val="auto"/>
          <w:sz w:val="24"/>
        </w:rPr>
        <w:t>项目名称：</w:t>
      </w:r>
    </w:p>
    <w:p w14:paraId="73E1E538">
      <w:pPr>
        <w:snapToGrid w:val="0"/>
        <w:spacing w:before="156" w:beforeLines="50" w:after="50" w:line="440" w:lineRule="exact"/>
        <w:ind w:firstLine="480" w:firstLineChars="200"/>
        <w:rPr>
          <w:rFonts w:ascii="宋体" w:hAnsi="宋体" w:cs="宋体"/>
          <w:bCs/>
          <w:color w:val="auto"/>
          <w:sz w:val="24"/>
        </w:rPr>
      </w:pPr>
      <w:r>
        <w:rPr>
          <w:rFonts w:hint="eastAsia" w:ascii="宋体" w:hAnsi="宋体" w:cs="宋体"/>
          <w:bCs/>
          <w:color w:val="auto"/>
          <w:sz w:val="24"/>
        </w:rPr>
        <w:t xml:space="preserve">     项目编号：</w:t>
      </w:r>
    </w:p>
    <w:p w14:paraId="1ECB7EC0">
      <w:pPr>
        <w:snapToGrid w:val="0"/>
        <w:spacing w:before="156" w:beforeLines="50" w:after="50" w:line="440" w:lineRule="exact"/>
        <w:ind w:firstLine="480" w:firstLineChars="200"/>
        <w:rPr>
          <w:rFonts w:ascii="宋体" w:hAnsi="宋体" w:cs="宋体"/>
          <w:bCs/>
          <w:color w:val="auto"/>
          <w:sz w:val="24"/>
        </w:rPr>
      </w:pPr>
      <w:r>
        <w:rPr>
          <w:rFonts w:hint="eastAsia" w:ascii="宋体" w:hAnsi="宋体" w:cs="宋体"/>
          <w:bCs/>
          <w:color w:val="auto"/>
          <w:sz w:val="24"/>
        </w:rPr>
        <w:t xml:space="preserve">     投标人名称：</w:t>
      </w:r>
    </w:p>
    <w:p w14:paraId="7530BE38">
      <w:pPr>
        <w:pStyle w:val="8"/>
        <w:spacing w:before="50" w:after="50" w:line="440" w:lineRule="exact"/>
        <w:ind w:firstLine="998" w:firstLineChars="416"/>
        <w:rPr>
          <w:rFonts w:hAnsi="宋体"/>
          <w:bCs/>
          <w:color w:val="auto"/>
          <w:sz w:val="24"/>
          <w:szCs w:val="24"/>
        </w:rPr>
      </w:pPr>
      <w:r>
        <w:rPr>
          <w:rFonts w:hint="eastAsia" w:hAnsi="宋体"/>
          <w:bCs/>
          <w:color w:val="auto"/>
          <w:sz w:val="24"/>
          <w:szCs w:val="24"/>
        </w:rPr>
        <w:t>投标人地址：</w:t>
      </w:r>
    </w:p>
    <w:p w14:paraId="4EBDBA29">
      <w:pPr>
        <w:snapToGrid w:val="0"/>
        <w:spacing w:before="156" w:beforeLines="50" w:after="50" w:line="440" w:lineRule="exact"/>
        <w:ind w:firstLine="4080" w:firstLineChars="1700"/>
        <w:rPr>
          <w:rFonts w:ascii="宋体" w:hAnsi="宋体" w:cs="宋体"/>
          <w:color w:val="auto"/>
          <w:sz w:val="24"/>
        </w:rPr>
      </w:pPr>
    </w:p>
    <w:p w14:paraId="2EB01816">
      <w:pPr>
        <w:snapToGrid w:val="0"/>
        <w:spacing w:before="156" w:beforeLines="50" w:after="50" w:line="440" w:lineRule="exact"/>
        <w:ind w:firstLine="645"/>
        <w:jc w:val="center"/>
        <w:rPr>
          <w:rFonts w:ascii="宋体" w:hAnsi="宋体" w:cs="宋体"/>
          <w:b/>
          <w:color w:val="auto"/>
          <w:szCs w:val="21"/>
        </w:rPr>
      </w:pPr>
      <w:r>
        <w:rPr>
          <w:rFonts w:hint="eastAsia" w:ascii="宋体" w:hAnsi="宋体" w:cs="宋体"/>
          <w:color w:val="auto"/>
          <w:sz w:val="24"/>
        </w:rPr>
        <w:t xml:space="preserve">                        年  月  日</w:t>
      </w:r>
    </w:p>
    <w:p w14:paraId="2A2617ED">
      <w:pPr>
        <w:pStyle w:val="65"/>
        <w:spacing w:line="360" w:lineRule="auto"/>
        <w:jc w:val="right"/>
        <w:rPr>
          <w:rFonts w:hAnsi="宋体" w:eastAsia="宋体"/>
          <w:color w:val="auto"/>
          <w:szCs w:val="21"/>
        </w:rPr>
      </w:pPr>
    </w:p>
    <w:p w14:paraId="24C66722">
      <w:pPr>
        <w:snapToGrid w:val="0"/>
        <w:spacing w:before="50" w:after="156" w:afterLines="50" w:line="440" w:lineRule="exact"/>
        <w:jc w:val="left"/>
        <w:rPr>
          <w:rFonts w:ascii="宋体" w:hAnsi="宋体" w:cs="宋体"/>
          <w:b/>
          <w:bCs/>
          <w:color w:val="auto"/>
          <w:sz w:val="24"/>
        </w:rPr>
      </w:pPr>
      <w:r>
        <w:rPr>
          <w:rFonts w:hint="eastAsia" w:ascii="宋体" w:hAnsi="宋体" w:cs="宋体"/>
          <w:color w:val="auto"/>
          <w:szCs w:val="21"/>
        </w:rPr>
        <w:br w:type="page"/>
      </w:r>
      <w:bookmarkEnd w:id="69"/>
      <w:bookmarkStart w:id="70" w:name="OLE_LINK17"/>
      <w:r>
        <w:rPr>
          <w:rFonts w:hint="eastAsia" w:ascii="宋体" w:hAnsi="宋体" w:cs="宋体"/>
          <w:b/>
          <w:bCs/>
          <w:color w:val="auto"/>
          <w:sz w:val="24"/>
        </w:rPr>
        <w:t>1</w:t>
      </w:r>
      <w:r>
        <w:rPr>
          <w:rFonts w:hint="eastAsia" w:ascii="宋体" w:hAnsi="宋体" w:cs="宋体"/>
          <w:b/>
          <w:bCs/>
          <w:color w:val="auto"/>
          <w:sz w:val="24"/>
          <w:lang w:val="en-US" w:eastAsia="zh-CN"/>
        </w:rPr>
        <w:t>.</w:t>
      </w:r>
      <w:r>
        <w:rPr>
          <w:rFonts w:hint="eastAsia" w:ascii="宋体" w:hAnsi="宋体" w:cs="宋体"/>
          <w:b/>
          <w:bCs/>
          <w:color w:val="auto"/>
          <w:sz w:val="24"/>
        </w:rPr>
        <w:t>投标人情况介绍</w:t>
      </w:r>
    </w:p>
    <w:p w14:paraId="01CECC0C">
      <w:pPr>
        <w:spacing w:before="72"/>
        <w:ind w:left="65" w:right="6"/>
        <w:jc w:val="center"/>
        <w:rPr>
          <w:rFonts w:ascii="宋体" w:hAnsi="宋体" w:cs="宋体"/>
          <w:b/>
          <w:color w:val="auto"/>
          <w:sz w:val="32"/>
          <w:szCs w:val="32"/>
        </w:rPr>
      </w:pPr>
      <w:r>
        <w:rPr>
          <w:rFonts w:hint="eastAsia" w:ascii="宋体" w:hAnsi="宋体" w:cs="宋体"/>
          <w:b/>
          <w:color w:val="auto"/>
          <w:sz w:val="32"/>
          <w:szCs w:val="32"/>
        </w:rPr>
        <w:t>投标人基本情况表</w:t>
      </w:r>
    </w:p>
    <w:tbl>
      <w:tblPr>
        <w:tblStyle w:val="34"/>
        <w:tblW w:w="0" w:type="auto"/>
        <w:tblInd w:w="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5"/>
        <w:gridCol w:w="2279"/>
        <w:gridCol w:w="1640"/>
        <w:gridCol w:w="1920"/>
        <w:gridCol w:w="2756"/>
      </w:tblGrid>
      <w:tr w14:paraId="4C971C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trPr>
        <w:tc>
          <w:tcPr>
            <w:tcW w:w="645" w:type="dxa"/>
            <w:vMerge w:val="restart"/>
            <w:vAlign w:val="center"/>
          </w:tcPr>
          <w:p w14:paraId="0456F2E8">
            <w:pPr>
              <w:rPr>
                <w:rFonts w:ascii="宋体" w:hAnsi="宋体" w:cs="宋体"/>
                <w:color w:val="auto"/>
                <w:sz w:val="24"/>
              </w:rPr>
            </w:pPr>
          </w:p>
          <w:p w14:paraId="0FE89233">
            <w:pPr>
              <w:jc w:val="center"/>
              <w:rPr>
                <w:rFonts w:ascii="宋体" w:hAnsi="宋体" w:cs="宋体"/>
                <w:color w:val="auto"/>
                <w:sz w:val="24"/>
              </w:rPr>
            </w:pPr>
            <w:r>
              <w:rPr>
                <w:rFonts w:hint="eastAsia" w:ascii="宋体" w:hAnsi="宋体" w:cs="宋体"/>
                <w:color w:val="auto"/>
                <w:sz w:val="24"/>
              </w:rPr>
              <w:t>投</w:t>
            </w:r>
          </w:p>
          <w:p w14:paraId="23B22294">
            <w:pPr>
              <w:jc w:val="center"/>
              <w:rPr>
                <w:rFonts w:ascii="宋体" w:hAnsi="宋体" w:cs="宋体"/>
                <w:color w:val="auto"/>
                <w:sz w:val="24"/>
              </w:rPr>
            </w:pPr>
          </w:p>
          <w:p w14:paraId="5D5A8567">
            <w:pPr>
              <w:jc w:val="center"/>
              <w:rPr>
                <w:rFonts w:ascii="宋体" w:hAnsi="宋体" w:cs="宋体"/>
                <w:color w:val="auto"/>
                <w:sz w:val="24"/>
              </w:rPr>
            </w:pPr>
            <w:r>
              <w:rPr>
                <w:rFonts w:hint="eastAsia" w:ascii="宋体" w:hAnsi="宋体" w:cs="宋体"/>
                <w:color w:val="auto"/>
                <w:sz w:val="24"/>
              </w:rPr>
              <w:t>标</w:t>
            </w:r>
          </w:p>
          <w:p w14:paraId="12B3A9DD">
            <w:pPr>
              <w:jc w:val="center"/>
              <w:rPr>
                <w:rFonts w:ascii="宋体" w:hAnsi="宋体" w:cs="宋体"/>
                <w:color w:val="auto"/>
                <w:sz w:val="24"/>
              </w:rPr>
            </w:pPr>
          </w:p>
          <w:p w14:paraId="165C7761">
            <w:pPr>
              <w:jc w:val="center"/>
              <w:rPr>
                <w:rFonts w:ascii="宋体" w:hAnsi="宋体" w:cs="宋体"/>
                <w:color w:val="auto"/>
                <w:sz w:val="24"/>
              </w:rPr>
            </w:pPr>
            <w:r>
              <w:rPr>
                <w:rFonts w:hint="eastAsia" w:ascii="宋体" w:hAnsi="宋体" w:cs="宋体"/>
                <w:color w:val="auto"/>
                <w:sz w:val="24"/>
              </w:rPr>
              <w:t>人</w:t>
            </w:r>
          </w:p>
          <w:p w14:paraId="3F3F3216">
            <w:pPr>
              <w:jc w:val="center"/>
              <w:rPr>
                <w:rFonts w:ascii="宋体" w:hAnsi="宋体" w:cs="宋体"/>
                <w:color w:val="auto"/>
                <w:sz w:val="24"/>
              </w:rPr>
            </w:pPr>
          </w:p>
          <w:p w14:paraId="1DACEB95">
            <w:pPr>
              <w:jc w:val="center"/>
              <w:rPr>
                <w:rFonts w:ascii="宋体" w:hAnsi="宋体" w:cs="宋体"/>
                <w:color w:val="auto"/>
                <w:sz w:val="24"/>
              </w:rPr>
            </w:pPr>
            <w:r>
              <w:rPr>
                <w:rFonts w:hint="eastAsia" w:ascii="宋体" w:hAnsi="宋体" w:cs="宋体"/>
                <w:color w:val="auto"/>
                <w:sz w:val="24"/>
              </w:rPr>
              <w:t>概</w:t>
            </w:r>
          </w:p>
          <w:p w14:paraId="68EE5B33">
            <w:pPr>
              <w:jc w:val="center"/>
              <w:rPr>
                <w:rFonts w:ascii="宋体" w:hAnsi="宋体" w:cs="宋体"/>
                <w:color w:val="auto"/>
                <w:sz w:val="24"/>
              </w:rPr>
            </w:pPr>
          </w:p>
          <w:p w14:paraId="466002C7">
            <w:pPr>
              <w:jc w:val="center"/>
              <w:rPr>
                <w:rFonts w:ascii="宋体" w:hAnsi="宋体" w:cs="宋体"/>
                <w:color w:val="auto"/>
                <w:sz w:val="24"/>
              </w:rPr>
            </w:pPr>
            <w:r>
              <w:rPr>
                <w:rFonts w:hint="eastAsia" w:ascii="宋体" w:hAnsi="宋体" w:cs="宋体"/>
                <w:color w:val="auto"/>
                <w:sz w:val="24"/>
              </w:rPr>
              <w:t>况</w:t>
            </w:r>
          </w:p>
        </w:tc>
        <w:tc>
          <w:tcPr>
            <w:tcW w:w="2279" w:type="dxa"/>
            <w:vAlign w:val="center"/>
          </w:tcPr>
          <w:p w14:paraId="17573A78">
            <w:pPr>
              <w:jc w:val="center"/>
              <w:rPr>
                <w:rFonts w:ascii="宋体" w:hAnsi="宋体" w:cs="宋体"/>
                <w:color w:val="auto"/>
                <w:sz w:val="24"/>
              </w:rPr>
            </w:pPr>
            <w:r>
              <w:rPr>
                <w:rFonts w:hint="eastAsia" w:ascii="宋体" w:hAnsi="宋体" w:cs="宋体"/>
                <w:color w:val="auto"/>
                <w:sz w:val="24"/>
              </w:rPr>
              <w:t>公司名称</w:t>
            </w:r>
          </w:p>
        </w:tc>
        <w:tc>
          <w:tcPr>
            <w:tcW w:w="6316" w:type="dxa"/>
            <w:gridSpan w:val="3"/>
            <w:vAlign w:val="center"/>
          </w:tcPr>
          <w:p w14:paraId="49CC13AA">
            <w:pPr>
              <w:jc w:val="center"/>
              <w:rPr>
                <w:rFonts w:ascii="宋体" w:hAnsi="宋体" w:cs="宋体"/>
                <w:color w:val="auto"/>
                <w:sz w:val="24"/>
              </w:rPr>
            </w:pPr>
          </w:p>
        </w:tc>
      </w:tr>
      <w:tr w14:paraId="203742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trPr>
        <w:tc>
          <w:tcPr>
            <w:tcW w:w="645" w:type="dxa"/>
            <w:vMerge w:val="continue"/>
            <w:vAlign w:val="center"/>
          </w:tcPr>
          <w:p w14:paraId="5EDBEA58">
            <w:pPr>
              <w:jc w:val="center"/>
              <w:rPr>
                <w:rFonts w:ascii="宋体" w:hAnsi="宋体" w:cs="宋体"/>
                <w:color w:val="auto"/>
                <w:sz w:val="24"/>
              </w:rPr>
            </w:pPr>
          </w:p>
        </w:tc>
        <w:tc>
          <w:tcPr>
            <w:tcW w:w="2279" w:type="dxa"/>
            <w:vAlign w:val="center"/>
          </w:tcPr>
          <w:p w14:paraId="5EA3A17E">
            <w:pPr>
              <w:jc w:val="center"/>
              <w:rPr>
                <w:rFonts w:ascii="宋体" w:hAnsi="宋体" w:cs="宋体"/>
                <w:color w:val="auto"/>
                <w:sz w:val="24"/>
              </w:rPr>
            </w:pPr>
            <w:r>
              <w:rPr>
                <w:rFonts w:hint="eastAsia" w:ascii="宋体" w:hAnsi="宋体" w:cs="宋体"/>
                <w:color w:val="auto"/>
                <w:sz w:val="24"/>
              </w:rPr>
              <w:t>地址</w:t>
            </w:r>
          </w:p>
        </w:tc>
        <w:tc>
          <w:tcPr>
            <w:tcW w:w="6316" w:type="dxa"/>
            <w:gridSpan w:val="3"/>
            <w:vAlign w:val="center"/>
          </w:tcPr>
          <w:p w14:paraId="6CE0ED81">
            <w:pPr>
              <w:jc w:val="center"/>
              <w:rPr>
                <w:rFonts w:ascii="宋体" w:hAnsi="宋体" w:cs="宋体"/>
                <w:color w:val="auto"/>
                <w:sz w:val="24"/>
              </w:rPr>
            </w:pPr>
          </w:p>
        </w:tc>
      </w:tr>
      <w:tr w14:paraId="69BD58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trPr>
        <w:tc>
          <w:tcPr>
            <w:tcW w:w="645" w:type="dxa"/>
            <w:vMerge w:val="continue"/>
            <w:vAlign w:val="center"/>
          </w:tcPr>
          <w:p w14:paraId="50C5DE7E">
            <w:pPr>
              <w:jc w:val="center"/>
              <w:rPr>
                <w:rFonts w:ascii="宋体" w:hAnsi="宋体" w:cs="宋体"/>
                <w:color w:val="auto"/>
                <w:sz w:val="24"/>
              </w:rPr>
            </w:pPr>
          </w:p>
        </w:tc>
        <w:tc>
          <w:tcPr>
            <w:tcW w:w="2279" w:type="dxa"/>
            <w:vAlign w:val="center"/>
          </w:tcPr>
          <w:p w14:paraId="2E138055">
            <w:pPr>
              <w:jc w:val="center"/>
              <w:rPr>
                <w:rFonts w:ascii="宋体" w:hAnsi="宋体" w:cs="宋体"/>
                <w:color w:val="auto"/>
                <w:sz w:val="24"/>
              </w:rPr>
            </w:pPr>
            <w:r>
              <w:rPr>
                <w:rFonts w:hint="eastAsia" w:ascii="宋体" w:hAnsi="宋体" w:cs="宋体"/>
                <w:color w:val="auto"/>
                <w:sz w:val="24"/>
              </w:rPr>
              <w:t>经营范围</w:t>
            </w:r>
          </w:p>
        </w:tc>
        <w:tc>
          <w:tcPr>
            <w:tcW w:w="6316" w:type="dxa"/>
            <w:gridSpan w:val="3"/>
            <w:vAlign w:val="center"/>
          </w:tcPr>
          <w:p w14:paraId="16811292">
            <w:pPr>
              <w:jc w:val="center"/>
              <w:rPr>
                <w:rFonts w:ascii="宋体" w:hAnsi="宋体" w:cs="宋体"/>
                <w:color w:val="auto"/>
                <w:sz w:val="24"/>
              </w:rPr>
            </w:pPr>
          </w:p>
        </w:tc>
      </w:tr>
      <w:tr w14:paraId="23412A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trPr>
        <w:tc>
          <w:tcPr>
            <w:tcW w:w="645" w:type="dxa"/>
            <w:vMerge w:val="continue"/>
            <w:vAlign w:val="center"/>
          </w:tcPr>
          <w:p w14:paraId="18663603">
            <w:pPr>
              <w:jc w:val="center"/>
              <w:rPr>
                <w:rFonts w:ascii="宋体" w:hAnsi="宋体" w:cs="宋体"/>
                <w:color w:val="auto"/>
                <w:sz w:val="24"/>
              </w:rPr>
            </w:pPr>
          </w:p>
        </w:tc>
        <w:tc>
          <w:tcPr>
            <w:tcW w:w="2279" w:type="dxa"/>
            <w:vAlign w:val="center"/>
          </w:tcPr>
          <w:p w14:paraId="53DFBBEA">
            <w:pPr>
              <w:jc w:val="center"/>
              <w:rPr>
                <w:rFonts w:ascii="宋体" w:hAnsi="宋体" w:cs="宋体"/>
                <w:color w:val="auto"/>
                <w:sz w:val="24"/>
              </w:rPr>
            </w:pPr>
            <w:r>
              <w:rPr>
                <w:rFonts w:hint="eastAsia" w:ascii="宋体" w:hAnsi="宋体" w:cs="宋体"/>
                <w:color w:val="auto"/>
                <w:sz w:val="24"/>
              </w:rPr>
              <w:t>统一社会信用代码</w:t>
            </w:r>
          </w:p>
        </w:tc>
        <w:tc>
          <w:tcPr>
            <w:tcW w:w="6316" w:type="dxa"/>
            <w:gridSpan w:val="3"/>
            <w:vAlign w:val="center"/>
          </w:tcPr>
          <w:p w14:paraId="5934B9FA">
            <w:pPr>
              <w:jc w:val="center"/>
              <w:rPr>
                <w:rFonts w:ascii="宋体" w:hAnsi="宋体" w:cs="宋体"/>
                <w:color w:val="auto"/>
                <w:sz w:val="24"/>
              </w:rPr>
            </w:pPr>
          </w:p>
        </w:tc>
      </w:tr>
      <w:tr w14:paraId="1FE49D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trPr>
        <w:tc>
          <w:tcPr>
            <w:tcW w:w="645" w:type="dxa"/>
            <w:vMerge w:val="continue"/>
            <w:vAlign w:val="center"/>
          </w:tcPr>
          <w:p w14:paraId="3C2D25D2">
            <w:pPr>
              <w:jc w:val="center"/>
              <w:rPr>
                <w:rFonts w:ascii="宋体" w:hAnsi="宋体" w:cs="宋体"/>
                <w:color w:val="auto"/>
                <w:sz w:val="24"/>
              </w:rPr>
            </w:pPr>
          </w:p>
        </w:tc>
        <w:tc>
          <w:tcPr>
            <w:tcW w:w="2279" w:type="dxa"/>
            <w:vAlign w:val="center"/>
          </w:tcPr>
          <w:p w14:paraId="4112A27C">
            <w:pPr>
              <w:jc w:val="center"/>
              <w:rPr>
                <w:rFonts w:ascii="宋体" w:hAnsi="宋体" w:cs="宋体"/>
                <w:color w:val="auto"/>
                <w:sz w:val="24"/>
              </w:rPr>
            </w:pPr>
            <w:r>
              <w:rPr>
                <w:rFonts w:hint="eastAsia" w:ascii="宋体" w:hAnsi="宋体" w:cs="宋体"/>
                <w:color w:val="auto"/>
                <w:sz w:val="24"/>
              </w:rPr>
              <w:t>成立时间</w:t>
            </w:r>
          </w:p>
        </w:tc>
        <w:tc>
          <w:tcPr>
            <w:tcW w:w="1640" w:type="dxa"/>
            <w:vAlign w:val="center"/>
          </w:tcPr>
          <w:p w14:paraId="4F262543">
            <w:pPr>
              <w:jc w:val="center"/>
              <w:rPr>
                <w:rFonts w:ascii="宋体" w:hAnsi="宋体" w:cs="宋体"/>
                <w:color w:val="auto"/>
                <w:sz w:val="24"/>
              </w:rPr>
            </w:pPr>
          </w:p>
        </w:tc>
        <w:tc>
          <w:tcPr>
            <w:tcW w:w="1920" w:type="dxa"/>
            <w:vAlign w:val="center"/>
          </w:tcPr>
          <w:p w14:paraId="1AA986A8">
            <w:pPr>
              <w:jc w:val="center"/>
              <w:rPr>
                <w:rFonts w:ascii="宋体" w:hAnsi="宋体" w:cs="宋体"/>
                <w:color w:val="auto"/>
                <w:sz w:val="24"/>
              </w:rPr>
            </w:pPr>
            <w:r>
              <w:rPr>
                <w:rFonts w:hint="eastAsia" w:ascii="宋体" w:hAnsi="宋体" w:cs="宋体"/>
                <w:color w:val="auto"/>
                <w:sz w:val="24"/>
              </w:rPr>
              <w:t>经济性质</w:t>
            </w:r>
          </w:p>
        </w:tc>
        <w:tc>
          <w:tcPr>
            <w:tcW w:w="2756" w:type="dxa"/>
            <w:vAlign w:val="center"/>
          </w:tcPr>
          <w:p w14:paraId="1158CC7C">
            <w:pPr>
              <w:jc w:val="center"/>
              <w:rPr>
                <w:rFonts w:ascii="宋体" w:hAnsi="宋体" w:cs="宋体"/>
                <w:color w:val="auto"/>
                <w:sz w:val="24"/>
              </w:rPr>
            </w:pPr>
          </w:p>
        </w:tc>
      </w:tr>
      <w:tr w14:paraId="0F0B34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trPr>
        <w:tc>
          <w:tcPr>
            <w:tcW w:w="645" w:type="dxa"/>
            <w:vMerge w:val="continue"/>
            <w:vAlign w:val="center"/>
          </w:tcPr>
          <w:p w14:paraId="5CDF4267">
            <w:pPr>
              <w:jc w:val="center"/>
              <w:rPr>
                <w:rFonts w:ascii="宋体" w:hAnsi="宋体" w:cs="宋体"/>
                <w:color w:val="auto"/>
                <w:sz w:val="24"/>
              </w:rPr>
            </w:pPr>
          </w:p>
        </w:tc>
        <w:tc>
          <w:tcPr>
            <w:tcW w:w="2279" w:type="dxa"/>
            <w:vAlign w:val="center"/>
          </w:tcPr>
          <w:p w14:paraId="1918A0DF">
            <w:pPr>
              <w:jc w:val="center"/>
              <w:rPr>
                <w:rFonts w:ascii="宋体" w:hAnsi="宋体" w:cs="宋体"/>
                <w:color w:val="auto"/>
                <w:sz w:val="24"/>
              </w:rPr>
            </w:pPr>
            <w:r>
              <w:rPr>
                <w:rFonts w:hint="eastAsia" w:ascii="宋体" w:hAnsi="宋体" w:cs="宋体"/>
                <w:color w:val="auto"/>
                <w:sz w:val="24"/>
              </w:rPr>
              <w:t>法定代表人</w:t>
            </w:r>
          </w:p>
        </w:tc>
        <w:tc>
          <w:tcPr>
            <w:tcW w:w="1640" w:type="dxa"/>
            <w:vAlign w:val="center"/>
          </w:tcPr>
          <w:p w14:paraId="64E74272">
            <w:pPr>
              <w:jc w:val="center"/>
              <w:rPr>
                <w:rFonts w:ascii="宋体" w:hAnsi="宋体" w:cs="宋体"/>
                <w:color w:val="auto"/>
                <w:sz w:val="24"/>
              </w:rPr>
            </w:pPr>
          </w:p>
        </w:tc>
        <w:tc>
          <w:tcPr>
            <w:tcW w:w="1920" w:type="dxa"/>
            <w:vAlign w:val="center"/>
          </w:tcPr>
          <w:p w14:paraId="02B3104D">
            <w:pPr>
              <w:jc w:val="center"/>
              <w:rPr>
                <w:rFonts w:ascii="宋体" w:hAnsi="宋体" w:cs="宋体"/>
                <w:color w:val="auto"/>
                <w:sz w:val="24"/>
              </w:rPr>
            </w:pPr>
            <w:r>
              <w:rPr>
                <w:rFonts w:hint="eastAsia" w:ascii="宋体" w:hAnsi="宋体" w:cs="宋体"/>
                <w:color w:val="auto"/>
                <w:sz w:val="24"/>
              </w:rPr>
              <w:t>联系电话</w:t>
            </w:r>
          </w:p>
        </w:tc>
        <w:tc>
          <w:tcPr>
            <w:tcW w:w="2756" w:type="dxa"/>
            <w:vAlign w:val="center"/>
          </w:tcPr>
          <w:p w14:paraId="58DADBC2">
            <w:pPr>
              <w:jc w:val="center"/>
              <w:rPr>
                <w:rFonts w:ascii="宋体" w:hAnsi="宋体" w:cs="宋体"/>
                <w:color w:val="auto"/>
                <w:sz w:val="24"/>
              </w:rPr>
            </w:pPr>
          </w:p>
        </w:tc>
      </w:tr>
      <w:tr w14:paraId="0A316A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trPr>
        <w:tc>
          <w:tcPr>
            <w:tcW w:w="645" w:type="dxa"/>
            <w:vMerge w:val="continue"/>
            <w:vAlign w:val="center"/>
          </w:tcPr>
          <w:p w14:paraId="45A51FA3">
            <w:pPr>
              <w:jc w:val="center"/>
              <w:rPr>
                <w:rFonts w:ascii="宋体" w:hAnsi="宋体" w:cs="宋体"/>
                <w:color w:val="auto"/>
                <w:sz w:val="24"/>
              </w:rPr>
            </w:pPr>
          </w:p>
        </w:tc>
        <w:tc>
          <w:tcPr>
            <w:tcW w:w="2279" w:type="dxa"/>
            <w:vAlign w:val="center"/>
          </w:tcPr>
          <w:p w14:paraId="5E6C3D04">
            <w:pPr>
              <w:jc w:val="center"/>
              <w:rPr>
                <w:rFonts w:ascii="宋体" w:hAnsi="宋体" w:cs="宋体"/>
                <w:color w:val="auto"/>
                <w:sz w:val="24"/>
              </w:rPr>
            </w:pPr>
            <w:r>
              <w:rPr>
                <w:rFonts w:hint="eastAsia" w:ascii="宋体" w:hAnsi="宋体" w:cs="宋体"/>
                <w:color w:val="auto"/>
                <w:sz w:val="24"/>
              </w:rPr>
              <w:t>注册资金</w:t>
            </w:r>
          </w:p>
        </w:tc>
        <w:tc>
          <w:tcPr>
            <w:tcW w:w="1640" w:type="dxa"/>
            <w:vAlign w:val="center"/>
          </w:tcPr>
          <w:p w14:paraId="21220345">
            <w:pPr>
              <w:jc w:val="center"/>
              <w:rPr>
                <w:rFonts w:ascii="宋体" w:hAnsi="宋体" w:cs="宋体"/>
                <w:color w:val="auto"/>
                <w:sz w:val="24"/>
              </w:rPr>
            </w:pPr>
          </w:p>
        </w:tc>
        <w:tc>
          <w:tcPr>
            <w:tcW w:w="1920" w:type="dxa"/>
            <w:vAlign w:val="center"/>
          </w:tcPr>
          <w:p w14:paraId="32F171E6">
            <w:pPr>
              <w:jc w:val="center"/>
              <w:rPr>
                <w:rFonts w:ascii="宋体" w:hAnsi="宋体" w:cs="宋体"/>
                <w:color w:val="auto"/>
                <w:sz w:val="24"/>
              </w:rPr>
            </w:pPr>
            <w:r>
              <w:rPr>
                <w:rFonts w:hint="eastAsia" w:ascii="宋体" w:hAnsi="宋体" w:cs="宋体"/>
                <w:color w:val="auto"/>
                <w:sz w:val="24"/>
              </w:rPr>
              <w:t>技术人员数</w:t>
            </w:r>
          </w:p>
        </w:tc>
        <w:tc>
          <w:tcPr>
            <w:tcW w:w="2756" w:type="dxa"/>
            <w:vAlign w:val="center"/>
          </w:tcPr>
          <w:p w14:paraId="679E2D29">
            <w:pPr>
              <w:jc w:val="center"/>
              <w:rPr>
                <w:rFonts w:ascii="宋体" w:hAnsi="宋体" w:cs="宋体"/>
                <w:color w:val="auto"/>
                <w:sz w:val="24"/>
              </w:rPr>
            </w:pPr>
          </w:p>
        </w:tc>
      </w:tr>
      <w:tr w14:paraId="751570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trPr>
        <w:tc>
          <w:tcPr>
            <w:tcW w:w="645" w:type="dxa"/>
            <w:vMerge w:val="continue"/>
            <w:vAlign w:val="center"/>
          </w:tcPr>
          <w:p w14:paraId="3C8DC656">
            <w:pPr>
              <w:jc w:val="center"/>
              <w:rPr>
                <w:rFonts w:ascii="宋体" w:hAnsi="宋体" w:cs="宋体"/>
                <w:color w:val="auto"/>
                <w:sz w:val="24"/>
              </w:rPr>
            </w:pPr>
          </w:p>
        </w:tc>
        <w:tc>
          <w:tcPr>
            <w:tcW w:w="2279" w:type="dxa"/>
            <w:vAlign w:val="center"/>
          </w:tcPr>
          <w:p w14:paraId="25ECC3E1">
            <w:pPr>
              <w:jc w:val="center"/>
              <w:rPr>
                <w:rFonts w:ascii="宋体" w:hAnsi="宋体" w:cs="宋体"/>
                <w:color w:val="auto"/>
                <w:sz w:val="24"/>
              </w:rPr>
            </w:pPr>
            <w:r>
              <w:rPr>
                <w:rFonts w:hint="eastAsia" w:ascii="宋体" w:hAnsi="宋体" w:cs="宋体"/>
                <w:color w:val="auto"/>
                <w:sz w:val="24"/>
              </w:rPr>
              <w:t>资产总额</w:t>
            </w:r>
          </w:p>
        </w:tc>
        <w:tc>
          <w:tcPr>
            <w:tcW w:w="1640" w:type="dxa"/>
            <w:vAlign w:val="center"/>
          </w:tcPr>
          <w:p w14:paraId="4DBB0D72">
            <w:pPr>
              <w:jc w:val="center"/>
              <w:rPr>
                <w:rFonts w:ascii="宋体" w:hAnsi="宋体" w:cs="宋体"/>
                <w:color w:val="auto"/>
                <w:sz w:val="24"/>
              </w:rPr>
            </w:pPr>
          </w:p>
        </w:tc>
        <w:tc>
          <w:tcPr>
            <w:tcW w:w="1920" w:type="dxa"/>
            <w:vAlign w:val="center"/>
          </w:tcPr>
          <w:p w14:paraId="146B91DB">
            <w:pPr>
              <w:jc w:val="center"/>
              <w:rPr>
                <w:rFonts w:ascii="宋体" w:hAnsi="宋体" w:cs="宋体"/>
                <w:color w:val="auto"/>
                <w:sz w:val="24"/>
              </w:rPr>
            </w:pPr>
            <w:r>
              <w:rPr>
                <w:rFonts w:hint="eastAsia" w:ascii="宋体" w:hAnsi="宋体" w:cs="宋体"/>
                <w:color w:val="auto"/>
                <w:sz w:val="24"/>
              </w:rPr>
              <w:t>净资产</w:t>
            </w:r>
          </w:p>
        </w:tc>
        <w:tc>
          <w:tcPr>
            <w:tcW w:w="2756" w:type="dxa"/>
            <w:vAlign w:val="center"/>
          </w:tcPr>
          <w:p w14:paraId="208E6287">
            <w:pPr>
              <w:jc w:val="center"/>
              <w:rPr>
                <w:rFonts w:ascii="宋体" w:hAnsi="宋体" w:cs="宋体"/>
                <w:color w:val="auto"/>
                <w:sz w:val="24"/>
              </w:rPr>
            </w:pPr>
          </w:p>
        </w:tc>
      </w:tr>
      <w:tr w14:paraId="4BF9DF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trPr>
        <w:tc>
          <w:tcPr>
            <w:tcW w:w="645" w:type="dxa"/>
            <w:vMerge w:val="continue"/>
            <w:vAlign w:val="center"/>
          </w:tcPr>
          <w:p w14:paraId="651745E0">
            <w:pPr>
              <w:jc w:val="center"/>
              <w:rPr>
                <w:rFonts w:ascii="宋体" w:hAnsi="宋体" w:cs="宋体"/>
                <w:color w:val="auto"/>
                <w:sz w:val="24"/>
              </w:rPr>
            </w:pPr>
          </w:p>
        </w:tc>
        <w:tc>
          <w:tcPr>
            <w:tcW w:w="2279" w:type="dxa"/>
            <w:vAlign w:val="center"/>
          </w:tcPr>
          <w:p w14:paraId="7BE0C8CB">
            <w:pPr>
              <w:jc w:val="center"/>
              <w:rPr>
                <w:rFonts w:ascii="宋体" w:hAnsi="宋体" w:cs="宋体"/>
                <w:color w:val="auto"/>
                <w:sz w:val="24"/>
              </w:rPr>
            </w:pPr>
            <w:r>
              <w:rPr>
                <w:rFonts w:hint="eastAsia" w:ascii="宋体" w:hAnsi="宋体" w:cs="宋体"/>
                <w:color w:val="auto"/>
                <w:sz w:val="24"/>
              </w:rPr>
              <w:t>是否依法纳税</w:t>
            </w:r>
          </w:p>
        </w:tc>
        <w:tc>
          <w:tcPr>
            <w:tcW w:w="1640" w:type="dxa"/>
            <w:vAlign w:val="center"/>
          </w:tcPr>
          <w:p w14:paraId="4345CF11">
            <w:pPr>
              <w:jc w:val="center"/>
              <w:rPr>
                <w:rFonts w:ascii="宋体" w:hAnsi="宋体" w:cs="宋体"/>
                <w:color w:val="auto"/>
                <w:sz w:val="24"/>
              </w:rPr>
            </w:pPr>
          </w:p>
        </w:tc>
        <w:tc>
          <w:tcPr>
            <w:tcW w:w="1920" w:type="dxa"/>
            <w:vAlign w:val="center"/>
          </w:tcPr>
          <w:p w14:paraId="1DB05D3D">
            <w:pPr>
              <w:jc w:val="center"/>
              <w:rPr>
                <w:rFonts w:ascii="宋体" w:hAnsi="宋体" w:cs="宋体"/>
                <w:color w:val="auto"/>
                <w:sz w:val="24"/>
              </w:rPr>
            </w:pPr>
            <w:r>
              <w:rPr>
                <w:rFonts w:hint="eastAsia" w:ascii="宋体" w:hAnsi="宋体" w:cs="宋体"/>
                <w:color w:val="auto"/>
                <w:sz w:val="24"/>
              </w:rPr>
              <w:t>是否参加社保</w:t>
            </w:r>
          </w:p>
        </w:tc>
        <w:tc>
          <w:tcPr>
            <w:tcW w:w="2756" w:type="dxa"/>
            <w:vAlign w:val="center"/>
          </w:tcPr>
          <w:p w14:paraId="5EF47272">
            <w:pPr>
              <w:jc w:val="center"/>
              <w:rPr>
                <w:rFonts w:ascii="宋体" w:hAnsi="宋体" w:cs="宋体"/>
                <w:color w:val="auto"/>
                <w:sz w:val="24"/>
              </w:rPr>
            </w:pPr>
          </w:p>
        </w:tc>
      </w:tr>
      <w:tr w14:paraId="76E8BD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71" w:hRule="atLeast"/>
        </w:trPr>
        <w:tc>
          <w:tcPr>
            <w:tcW w:w="645" w:type="dxa"/>
            <w:vMerge w:val="continue"/>
            <w:vAlign w:val="center"/>
          </w:tcPr>
          <w:p w14:paraId="00CDD4F0">
            <w:pPr>
              <w:jc w:val="center"/>
              <w:rPr>
                <w:rFonts w:ascii="宋体" w:hAnsi="宋体" w:cs="宋体"/>
                <w:color w:val="auto"/>
                <w:sz w:val="24"/>
              </w:rPr>
            </w:pPr>
          </w:p>
        </w:tc>
        <w:tc>
          <w:tcPr>
            <w:tcW w:w="2279" w:type="dxa"/>
            <w:vAlign w:val="center"/>
          </w:tcPr>
          <w:p w14:paraId="03986ECE">
            <w:pPr>
              <w:jc w:val="center"/>
              <w:rPr>
                <w:rFonts w:ascii="宋体" w:hAnsi="宋体" w:cs="宋体"/>
                <w:color w:val="auto"/>
                <w:sz w:val="24"/>
              </w:rPr>
            </w:pPr>
            <w:r>
              <w:rPr>
                <w:rFonts w:hint="eastAsia" w:ascii="宋体" w:hAnsi="宋体" w:cs="宋体"/>
                <w:color w:val="auto"/>
                <w:sz w:val="24"/>
              </w:rPr>
              <w:t>近三年公司</w:t>
            </w:r>
          </w:p>
          <w:p w14:paraId="1B921274">
            <w:pPr>
              <w:jc w:val="center"/>
              <w:rPr>
                <w:rFonts w:ascii="宋体" w:hAnsi="宋体" w:cs="宋体"/>
                <w:color w:val="auto"/>
                <w:sz w:val="24"/>
              </w:rPr>
            </w:pPr>
            <w:r>
              <w:rPr>
                <w:rFonts w:hint="eastAsia" w:ascii="宋体" w:hAnsi="宋体" w:cs="宋体"/>
                <w:color w:val="auto"/>
                <w:sz w:val="24"/>
              </w:rPr>
              <w:t>业绩、信誉</w:t>
            </w:r>
          </w:p>
        </w:tc>
        <w:tc>
          <w:tcPr>
            <w:tcW w:w="6316" w:type="dxa"/>
            <w:gridSpan w:val="3"/>
            <w:vAlign w:val="center"/>
          </w:tcPr>
          <w:p w14:paraId="28FF2595">
            <w:pPr>
              <w:jc w:val="center"/>
              <w:rPr>
                <w:rFonts w:ascii="宋体" w:hAnsi="宋体" w:cs="宋体"/>
                <w:color w:val="auto"/>
                <w:sz w:val="24"/>
              </w:rPr>
            </w:pPr>
          </w:p>
          <w:p w14:paraId="35A59CA2">
            <w:pPr>
              <w:rPr>
                <w:rFonts w:ascii="宋体" w:hAnsi="宋体" w:cs="宋体"/>
                <w:color w:val="auto"/>
                <w:sz w:val="24"/>
              </w:rPr>
            </w:pPr>
          </w:p>
        </w:tc>
      </w:tr>
      <w:tr w14:paraId="590707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84" w:hRule="atLeast"/>
        </w:trPr>
        <w:tc>
          <w:tcPr>
            <w:tcW w:w="645" w:type="dxa"/>
            <w:vMerge w:val="continue"/>
            <w:vAlign w:val="center"/>
          </w:tcPr>
          <w:p w14:paraId="0B939743">
            <w:pPr>
              <w:jc w:val="center"/>
              <w:rPr>
                <w:rFonts w:ascii="宋体" w:hAnsi="宋体" w:cs="宋体"/>
                <w:color w:val="auto"/>
                <w:sz w:val="24"/>
              </w:rPr>
            </w:pPr>
          </w:p>
        </w:tc>
        <w:tc>
          <w:tcPr>
            <w:tcW w:w="8595" w:type="dxa"/>
            <w:gridSpan w:val="4"/>
          </w:tcPr>
          <w:p w14:paraId="17FE5ADC">
            <w:pPr>
              <w:rPr>
                <w:rFonts w:ascii="宋体" w:hAnsi="宋体" w:cs="宋体"/>
                <w:color w:val="auto"/>
                <w:sz w:val="24"/>
              </w:rPr>
            </w:pPr>
            <w:r>
              <w:rPr>
                <w:rFonts w:hint="eastAsia" w:ascii="宋体" w:hAnsi="宋体" w:cs="宋体"/>
                <w:color w:val="auto"/>
                <w:sz w:val="24"/>
              </w:rPr>
              <w:t>单位优势及特点：</w:t>
            </w:r>
          </w:p>
        </w:tc>
      </w:tr>
    </w:tbl>
    <w:p w14:paraId="21140B0A">
      <w:pPr>
        <w:pStyle w:val="29"/>
        <w:spacing w:before="0" w:beforeAutospacing="0" w:after="0" w:afterAutospacing="0"/>
        <w:rPr>
          <w:snapToGrid w:val="0"/>
          <w:color w:val="auto"/>
        </w:rPr>
      </w:pPr>
      <w:r>
        <w:rPr>
          <w:rFonts w:hint="eastAsia"/>
          <w:snapToGrid w:val="0"/>
          <w:color w:val="auto"/>
        </w:rPr>
        <w:t>说明：本表后应附有单位简介。</w:t>
      </w:r>
    </w:p>
    <w:p w14:paraId="39899890">
      <w:pPr>
        <w:snapToGrid w:val="0"/>
        <w:spacing w:before="50" w:after="50" w:line="360" w:lineRule="auto"/>
        <w:rPr>
          <w:rFonts w:ascii="宋体" w:hAnsi="宋体" w:cs="宋体"/>
          <w:color w:val="auto"/>
          <w:sz w:val="24"/>
        </w:rPr>
      </w:pPr>
    </w:p>
    <w:p w14:paraId="23619A6B">
      <w:pPr>
        <w:pStyle w:val="3"/>
        <w:rPr>
          <w:rFonts w:ascii="宋体" w:hAnsi="宋体" w:eastAsia="宋体"/>
          <w:color w:val="auto"/>
        </w:rPr>
      </w:pPr>
    </w:p>
    <w:p w14:paraId="7D2F51E3">
      <w:pPr>
        <w:snapToGrid w:val="0"/>
        <w:spacing w:before="50" w:after="50" w:line="360" w:lineRule="auto"/>
        <w:rPr>
          <w:rFonts w:ascii="宋体" w:hAnsi="宋体" w:cs="宋体"/>
          <w:color w:val="auto"/>
          <w:spacing w:val="20"/>
          <w:sz w:val="24"/>
          <w:u w:val="single"/>
        </w:rPr>
      </w:pPr>
      <w:r>
        <w:rPr>
          <w:rFonts w:hint="eastAsia" w:ascii="宋体" w:hAnsi="宋体" w:cs="宋体"/>
          <w:color w:val="auto"/>
          <w:sz w:val="24"/>
          <w:lang w:val="en-US" w:eastAsia="zh-CN"/>
        </w:rPr>
        <w:t>投标</w:t>
      </w:r>
      <w:r>
        <w:rPr>
          <w:rFonts w:hint="eastAsia" w:ascii="宋体" w:hAnsi="宋体" w:cs="宋体"/>
          <w:color w:val="auto"/>
          <w:sz w:val="24"/>
        </w:rPr>
        <w:t>人签字或盖章</w:t>
      </w:r>
      <w:r>
        <w:rPr>
          <w:rFonts w:hint="eastAsia" w:ascii="宋体" w:hAnsi="宋体" w:cs="宋体"/>
          <w:color w:val="auto"/>
          <w:spacing w:val="20"/>
          <w:sz w:val="24"/>
        </w:rPr>
        <w:t>：</w:t>
      </w:r>
      <w:r>
        <w:rPr>
          <w:rFonts w:hint="eastAsia" w:ascii="宋体" w:hAnsi="宋体" w:cs="宋体"/>
          <w:color w:val="auto"/>
          <w:spacing w:val="20"/>
          <w:sz w:val="24"/>
          <w:u w:val="single"/>
        </w:rPr>
        <w:t xml:space="preserve">        </w:t>
      </w:r>
    </w:p>
    <w:p w14:paraId="7ED512B2">
      <w:pPr>
        <w:pStyle w:val="65"/>
        <w:spacing w:line="360" w:lineRule="auto"/>
        <w:ind w:right="480"/>
        <w:rPr>
          <w:rFonts w:hAnsi="宋体" w:eastAsia="宋体"/>
          <w:b/>
          <w:color w:val="auto"/>
          <w:szCs w:val="21"/>
        </w:rPr>
      </w:pPr>
      <w:r>
        <w:rPr>
          <w:rFonts w:hint="eastAsia" w:hAnsi="宋体" w:eastAsia="宋体"/>
          <w:color w:val="auto"/>
          <w:sz w:val="24"/>
        </w:rPr>
        <w:t>投标人公章：                           年    月    日</w:t>
      </w:r>
    </w:p>
    <w:p w14:paraId="18E73143">
      <w:pPr>
        <w:snapToGrid w:val="0"/>
        <w:spacing w:before="156" w:beforeLines="50" w:after="50" w:line="440" w:lineRule="exact"/>
        <w:rPr>
          <w:rFonts w:ascii="宋体" w:hAnsi="宋体" w:cs="宋体"/>
          <w:b/>
          <w:bCs/>
          <w:color w:val="auto"/>
          <w:sz w:val="24"/>
        </w:rPr>
      </w:pPr>
      <w:r>
        <w:rPr>
          <w:rFonts w:hint="eastAsia" w:ascii="宋体" w:hAnsi="宋体" w:cs="宋体"/>
          <w:b/>
          <w:color w:val="auto"/>
          <w:szCs w:val="21"/>
        </w:rPr>
        <w:br w:type="page"/>
      </w:r>
      <w:bookmarkEnd w:id="70"/>
    </w:p>
    <w:p w14:paraId="7D829930">
      <w:pPr>
        <w:pStyle w:val="12"/>
        <w:rPr>
          <w:rFonts w:hint="eastAsia"/>
          <w:lang w:val="en-US" w:eastAsia="zh-CN"/>
        </w:rPr>
      </w:pPr>
      <w:r>
        <w:rPr>
          <w:rFonts w:hint="eastAsia" w:ascii="宋体" w:hAnsi="宋体" w:cs="宋体"/>
          <w:b/>
          <w:bCs/>
          <w:color w:val="auto"/>
          <w:sz w:val="24"/>
          <w:highlight w:val="none"/>
          <w:lang w:val="en-US" w:eastAsia="zh-CN"/>
        </w:rPr>
        <w:t>2.</w:t>
      </w:r>
      <w:r>
        <w:rPr>
          <w:rFonts w:hint="eastAsia" w:ascii="宋体" w:hAnsi="宋体" w:cs="宋体"/>
          <w:b/>
          <w:bCs/>
          <w:color w:val="auto"/>
          <w:sz w:val="24"/>
          <w:highlight w:val="none"/>
        </w:rPr>
        <w:t>对本项目总体要求的理解</w:t>
      </w:r>
    </w:p>
    <w:p w14:paraId="47E74DE7">
      <w:pPr>
        <w:pStyle w:val="12"/>
        <w:rPr>
          <w:rFonts w:hint="eastAsia"/>
          <w:lang w:val="en-US" w:eastAsia="zh-CN"/>
        </w:rPr>
      </w:pPr>
    </w:p>
    <w:p w14:paraId="22A3D947">
      <w:pPr>
        <w:pStyle w:val="12"/>
        <w:rPr>
          <w:rFonts w:hint="eastAsia"/>
          <w:lang w:val="en-US" w:eastAsia="zh-CN"/>
        </w:rPr>
      </w:pPr>
    </w:p>
    <w:p w14:paraId="35720FC2">
      <w:pPr>
        <w:pStyle w:val="12"/>
        <w:rPr>
          <w:rFonts w:hint="eastAsia"/>
          <w:lang w:val="en-US" w:eastAsia="zh-CN"/>
        </w:rPr>
      </w:pPr>
    </w:p>
    <w:p w14:paraId="096EEDBA">
      <w:pPr>
        <w:pStyle w:val="12"/>
        <w:rPr>
          <w:rFonts w:hint="eastAsia"/>
          <w:lang w:val="en-US" w:eastAsia="zh-CN"/>
        </w:rPr>
      </w:pPr>
    </w:p>
    <w:p w14:paraId="737C0FA2">
      <w:pPr>
        <w:pStyle w:val="12"/>
        <w:rPr>
          <w:rFonts w:hint="eastAsia"/>
          <w:lang w:val="en-US" w:eastAsia="zh-CN"/>
        </w:rPr>
      </w:pPr>
    </w:p>
    <w:p w14:paraId="2EC965AC">
      <w:pPr>
        <w:pStyle w:val="12"/>
        <w:rPr>
          <w:rFonts w:hint="eastAsia"/>
          <w:lang w:val="en-US" w:eastAsia="zh-CN"/>
        </w:rPr>
      </w:pPr>
    </w:p>
    <w:p w14:paraId="52FD7B04">
      <w:pPr>
        <w:pStyle w:val="12"/>
        <w:rPr>
          <w:rFonts w:hint="eastAsia"/>
          <w:lang w:val="en-US" w:eastAsia="zh-CN"/>
        </w:rPr>
      </w:pPr>
    </w:p>
    <w:p w14:paraId="6D045FC5">
      <w:pPr>
        <w:pStyle w:val="12"/>
        <w:rPr>
          <w:rFonts w:hint="eastAsia"/>
          <w:lang w:val="en-US" w:eastAsia="zh-CN"/>
        </w:rPr>
      </w:pPr>
    </w:p>
    <w:p w14:paraId="03F9AB3E">
      <w:pPr>
        <w:pStyle w:val="12"/>
        <w:rPr>
          <w:rFonts w:hint="eastAsia"/>
          <w:lang w:val="en-US" w:eastAsia="zh-CN"/>
        </w:rPr>
      </w:pPr>
    </w:p>
    <w:p w14:paraId="62224608">
      <w:pPr>
        <w:pStyle w:val="12"/>
        <w:rPr>
          <w:rFonts w:hint="eastAsia"/>
          <w:lang w:val="en-US" w:eastAsia="zh-CN"/>
        </w:rPr>
      </w:pPr>
    </w:p>
    <w:p w14:paraId="0AAFC0C3">
      <w:pPr>
        <w:pStyle w:val="12"/>
        <w:rPr>
          <w:rFonts w:hint="eastAsia"/>
          <w:lang w:val="en-US" w:eastAsia="zh-CN"/>
        </w:rPr>
      </w:pPr>
    </w:p>
    <w:p w14:paraId="4DA4AE11">
      <w:pPr>
        <w:pStyle w:val="12"/>
        <w:rPr>
          <w:rFonts w:hint="eastAsia"/>
          <w:lang w:val="en-US" w:eastAsia="zh-CN"/>
        </w:rPr>
      </w:pPr>
    </w:p>
    <w:p w14:paraId="35CC3E35">
      <w:pPr>
        <w:pStyle w:val="12"/>
        <w:rPr>
          <w:rFonts w:hint="eastAsia"/>
          <w:lang w:val="en-US" w:eastAsia="zh-CN"/>
        </w:rPr>
      </w:pPr>
    </w:p>
    <w:p w14:paraId="4072293D">
      <w:pPr>
        <w:pStyle w:val="12"/>
        <w:rPr>
          <w:rFonts w:hint="eastAsia"/>
          <w:lang w:val="en-US" w:eastAsia="zh-CN"/>
        </w:rPr>
      </w:pPr>
    </w:p>
    <w:p w14:paraId="7B506051">
      <w:pPr>
        <w:snapToGrid w:val="0"/>
        <w:spacing w:line="240" w:lineRule="auto"/>
        <w:jc w:val="left"/>
        <w:rPr>
          <w:rFonts w:hint="eastAsia" w:ascii="宋体" w:hAnsi="宋体" w:cs="宋体"/>
          <w:b/>
          <w:bCs/>
          <w:color w:val="auto"/>
          <w:sz w:val="24"/>
          <w:lang w:val="en-US" w:eastAsia="zh-CN"/>
        </w:rPr>
      </w:pPr>
    </w:p>
    <w:p w14:paraId="35BB3831">
      <w:pPr>
        <w:snapToGrid w:val="0"/>
        <w:spacing w:line="240" w:lineRule="auto"/>
        <w:ind w:firstLine="472" w:firstLineChars="196"/>
        <w:jc w:val="left"/>
        <w:rPr>
          <w:rFonts w:hint="eastAsia" w:ascii="宋体" w:hAnsi="宋体" w:cs="宋体"/>
          <w:b/>
          <w:bCs/>
          <w:color w:val="auto"/>
          <w:sz w:val="24"/>
          <w:lang w:val="en-US" w:eastAsia="zh-CN"/>
        </w:rPr>
      </w:pPr>
    </w:p>
    <w:p w14:paraId="0E518E38">
      <w:pPr>
        <w:snapToGrid w:val="0"/>
        <w:spacing w:line="240" w:lineRule="auto"/>
        <w:ind w:firstLine="472" w:firstLineChars="196"/>
        <w:jc w:val="left"/>
        <w:rPr>
          <w:rFonts w:hint="eastAsia" w:ascii="宋体" w:hAnsi="宋体" w:cs="宋体"/>
          <w:b/>
          <w:bCs/>
          <w:color w:val="auto"/>
          <w:sz w:val="24"/>
          <w:lang w:val="en-US" w:eastAsia="zh-CN"/>
        </w:rPr>
      </w:pPr>
    </w:p>
    <w:p w14:paraId="5D761805">
      <w:pPr>
        <w:snapToGrid w:val="0"/>
        <w:spacing w:line="240" w:lineRule="auto"/>
        <w:ind w:firstLine="472" w:firstLineChars="196"/>
        <w:jc w:val="left"/>
        <w:rPr>
          <w:rFonts w:hint="eastAsia" w:ascii="宋体" w:hAnsi="宋体" w:cs="宋体"/>
          <w:b/>
          <w:bCs/>
          <w:color w:val="auto"/>
          <w:sz w:val="24"/>
          <w:lang w:val="en-US" w:eastAsia="zh-CN"/>
        </w:rPr>
      </w:pPr>
    </w:p>
    <w:p w14:paraId="0D563A07">
      <w:pPr>
        <w:snapToGrid w:val="0"/>
        <w:spacing w:line="240" w:lineRule="auto"/>
        <w:ind w:firstLine="472" w:firstLineChars="196"/>
        <w:jc w:val="left"/>
        <w:rPr>
          <w:rFonts w:hint="eastAsia" w:ascii="宋体" w:hAnsi="宋体" w:cs="宋体"/>
          <w:b/>
          <w:bCs/>
          <w:color w:val="auto"/>
          <w:sz w:val="24"/>
          <w:lang w:val="en-US" w:eastAsia="zh-CN"/>
        </w:rPr>
      </w:pPr>
    </w:p>
    <w:p w14:paraId="236EDE5D">
      <w:pPr>
        <w:snapToGrid w:val="0"/>
        <w:spacing w:line="240" w:lineRule="auto"/>
        <w:ind w:firstLine="472" w:firstLineChars="196"/>
        <w:jc w:val="left"/>
        <w:rPr>
          <w:rFonts w:hint="eastAsia" w:ascii="宋体" w:hAnsi="宋体" w:cs="宋体"/>
          <w:b/>
          <w:bCs/>
          <w:color w:val="auto"/>
          <w:sz w:val="24"/>
          <w:lang w:val="en-US" w:eastAsia="zh-CN"/>
        </w:rPr>
      </w:pPr>
    </w:p>
    <w:p w14:paraId="1701DACA">
      <w:pPr>
        <w:snapToGrid w:val="0"/>
        <w:spacing w:line="240" w:lineRule="auto"/>
        <w:ind w:firstLine="472" w:firstLineChars="196"/>
        <w:jc w:val="left"/>
        <w:rPr>
          <w:rFonts w:hint="eastAsia" w:ascii="宋体" w:hAnsi="宋体" w:cs="宋体"/>
          <w:b/>
          <w:bCs/>
          <w:color w:val="auto"/>
          <w:sz w:val="24"/>
          <w:lang w:val="en-US" w:eastAsia="zh-CN"/>
        </w:rPr>
      </w:pPr>
    </w:p>
    <w:p w14:paraId="73E5349A">
      <w:pPr>
        <w:snapToGrid w:val="0"/>
        <w:spacing w:line="240" w:lineRule="auto"/>
        <w:ind w:firstLine="472" w:firstLineChars="196"/>
        <w:jc w:val="left"/>
        <w:rPr>
          <w:rFonts w:hint="eastAsia" w:ascii="宋体" w:hAnsi="宋体" w:cs="宋体"/>
          <w:b/>
          <w:bCs/>
          <w:color w:val="auto"/>
          <w:sz w:val="24"/>
          <w:lang w:val="en-US" w:eastAsia="zh-CN"/>
        </w:rPr>
      </w:pPr>
    </w:p>
    <w:p w14:paraId="7214A662">
      <w:pPr>
        <w:snapToGrid w:val="0"/>
        <w:spacing w:line="240" w:lineRule="auto"/>
        <w:ind w:firstLine="472" w:firstLineChars="196"/>
        <w:jc w:val="left"/>
        <w:rPr>
          <w:rFonts w:hint="eastAsia" w:ascii="宋体" w:hAnsi="宋体" w:cs="宋体"/>
          <w:b/>
          <w:bCs/>
          <w:color w:val="auto"/>
          <w:sz w:val="24"/>
          <w:lang w:val="en-US" w:eastAsia="zh-CN"/>
        </w:rPr>
      </w:pPr>
    </w:p>
    <w:p w14:paraId="7D3B17FF">
      <w:pPr>
        <w:snapToGrid w:val="0"/>
        <w:spacing w:line="240" w:lineRule="auto"/>
        <w:ind w:firstLine="472" w:firstLineChars="196"/>
        <w:jc w:val="left"/>
        <w:rPr>
          <w:rFonts w:hint="eastAsia" w:ascii="宋体" w:hAnsi="宋体" w:cs="宋体"/>
          <w:b/>
          <w:bCs/>
          <w:color w:val="auto"/>
          <w:sz w:val="24"/>
          <w:lang w:val="en-US" w:eastAsia="zh-CN"/>
        </w:rPr>
      </w:pPr>
    </w:p>
    <w:p w14:paraId="5C9AB91C">
      <w:pPr>
        <w:snapToGrid w:val="0"/>
        <w:spacing w:before="156" w:beforeLines="50" w:after="50" w:line="440" w:lineRule="exact"/>
        <w:rPr>
          <w:rFonts w:hint="eastAsia" w:ascii="宋体" w:hAnsi="宋体" w:eastAsia="宋体" w:cs="宋体"/>
          <w:b/>
          <w:bCs/>
          <w:color w:val="auto"/>
          <w:sz w:val="24"/>
          <w:lang w:val="en-US" w:eastAsia="zh-CN"/>
        </w:rPr>
      </w:pPr>
      <w:r>
        <w:rPr>
          <w:rFonts w:hint="eastAsia" w:ascii="宋体" w:hAnsi="宋体" w:eastAsia="宋体" w:cs="宋体"/>
          <w:b/>
          <w:bCs/>
          <w:color w:val="auto"/>
          <w:sz w:val="24"/>
          <w:lang w:val="en-US" w:eastAsia="zh-CN"/>
        </w:rPr>
        <w:t>3</w:t>
      </w:r>
      <w:r>
        <w:rPr>
          <w:rFonts w:hint="eastAsia" w:ascii="宋体" w:hAnsi="宋体" w:cs="宋体"/>
          <w:b/>
          <w:bCs/>
          <w:color w:val="auto"/>
          <w:sz w:val="24"/>
          <w:lang w:val="en-US" w:eastAsia="zh-CN"/>
        </w:rPr>
        <w:t>.</w:t>
      </w:r>
      <w:r>
        <w:rPr>
          <w:rFonts w:hint="eastAsia" w:ascii="宋体" w:hAnsi="宋体" w:eastAsia="宋体" w:cs="宋体"/>
          <w:b/>
          <w:bCs/>
          <w:color w:val="auto"/>
          <w:sz w:val="24"/>
          <w:lang w:val="en-US" w:eastAsia="zh-CN"/>
        </w:rPr>
        <w:t>项目实施具体方案（含策划设计方案、实施计划、对项目的理解、人员安排、各阶段的服务承诺、服务质量保证措施、其他优惠与承诺等）；</w:t>
      </w:r>
    </w:p>
    <w:p w14:paraId="13DB3609">
      <w:pPr>
        <w:snapToGrid w:val="0"/>
        <w:spacing w:before="156" w:beforeLines="50" w:after="50" w:line="440" w:lineRule="exact"/>
        <w:rPr>
          <w:rFonts w:hint="eastAsia" w:ascii="宋体" w:hAnsi="宋体" w:eastAsia="宋体" w:cs="宋体"/>
          <w:b/>
          <w:bCs/>
          <w:color w:val="auto"/>
          <w:sz w:val="24"/>
          <w:lang w:val="en-US" w:eastAsia="zh-CN"/>
        </w:rPr>
      </w:pPr>
    </w:p>
    <w:p w14:paraId="0327A39F">
      <w:pPr>
        <w:pStyle w:val="12"/>
        <w:rPr>
          <w:rFonts w:hint="default" w:eastAsia="宋体"/>
          <w:lang w:val="en-US" w:eastAsia="zh-CN"/>
        </w:rPr>
      </w:pPr>
    </w:p>
    <w:p w14:paraId="272B7467">
      <w:pPr>
        <w:pStyle w:val="12"/>
      </w:pPr>
    </w:p>
    <w:p w14:paraId="5A7A0317">
      <w:pPr>
        <w:pStyle w:val="29"/>
        <w:spacing w:before="0" w:beforeAutospacing="0" w:after="0" w:afterAutospacing="0"/>
        <w:jc w:val="both"/>
        <w:rPr>
          <w:color w:val="auto"/>
        </w:rPr>
      </w:pPr>
    </w:p>
    <w:p w14:paraId="2219A9E9">
      <w:pPr>
        <w:snapToGrid w:val="0"/>
        <w:spacing w:before="50" w:after="156" w:afterLines="50"/>
        <w:jc w:val="left"/>
        <w:rPr>
          <w:rFonts w:hint="eastAsia" w:ascii="宋体" w:hAnsi="宋体" w:eastAsia="宋体" w:cs="宋体"/>
          <w:b/>
          <w:bCs/>
          <w:color w:val="auto"/>
          <w:sz w:val="24"/>
          <w:lang w:val="en-US" w:eastAsia="zh-CN"/>
        </w:rPr>
      </w:pPr>
    </w:p>
    <w:p w14:paraId="23DB592A">
      <w:pPr>
        <w:snapToGrid w:val="0"/>
        <w:spacing w:before="50" w:after="156" w:afterLines="50"/>
        <w:jc w:val="left"/>
        <w:rPr>
          <w:rFonts w:hint="eastAsia" w:ascii="宋体" w:hAnsi="宋体" w:cs="宋体"/>
          <w:b/>
          <w:bCs/>
          <w:color w:val="auto"/>
          <w:sz w:val="24"/>
          <w:lang w:val="en-US" w:eastAsia="zh-CN"/>
        </w:rPr>
      </w:pPr>
    </w:p>
    <w:p w14:paraId="511287F4">
      <w:pPr>
        <w:snapToGrid w:val="0"/>
        <w:spacing w:before="50" w:after="156" w:afterLines="50"/>
        <w:jc w:val="left"/>
        <w:rPr>
          <w:rFonts w:hint="eastAsia" w:ascii="宋体" w:hAnsi="宋体" w:cs="宋体"/>
          <w:b/>
          <w:bCs/>
          <w:color w:val="auto"/>
          <w:sz w:val="24"/>
          <w:lang w:val="en-US" w:eastAsia="zh-CN"/>
        </w:rPr>
      </w:pPr>
    </w:p>
    <w:p w14:paraId="01B49120">
      <w:pPr>
        <w:snapToGrid w:val="0"/>
        <w:spacing w:before="50" w:after="156" w:afterLines="50"/>
        <w:jc w:val="left"/>
        <w:rPr>
          <w:rFonts w:hint="eastAsia" w:ascii="宋体" w:hAnsi="宋体" w:cs="宋体"/>
          <w:b/>
          <w:bCs/>
          <w:color w:val="auto"/>
          <w:sz w:val="24"/>
          <w:lang w:val="en-US" w:eastAsia="zh-CN"/>
        </w:rPr>
      </w:pPr>
    </w:p>
    <w:p w14:paraId="239F44AF">
      <w:pPr>
        <w:snapToGrid w:val="0"/>
        <w:spacing w:before="50" w:after="50" w:line="360" w:lineRule="auto"/>
        <w:rPr>
          <w:rFonts w:ascii="宋体" w:hAnsi="宋体" w:cs="宋体"/>
          <w:b/>
          <w:bCs/>
          <w:color w:val="auto"/>
          <w:sz w:val="24"/>
        </w:rPr>
      </w:pPr>
      <w:r>
        <w:rPr>
          <w:rFonts w:hint="eastAsia" w:ascii="宋体" w:hAnsi="宋体" w:cs="宋体"/>
          <w:b/>
          <w:bCs/>
          <w:color w:val="auto"/>
          <w:spacing w:val="20"/>
          <w:sz w:val="24"/>
          <w:lang w:val="en-US" w:eastAsia="zh-CN"/>
        </w:rPr>
        <w:t>4.</w:t>
      </w:r>
      <w:r>
        <w:rPr>
          <w:rFonts w:hint="eastAsia" w:ascii="宋体" w:hAnsi="宋体" w:cs="宋体"/>
          <w:b/>
          <w:bCs/>
          <w:color w:val="auto"/>
          <w:sz w:val="24"/>
        </w:rPr>
        <w:t>组织实施方案</w:t>
      </w:r>
    </w:p>
    <w:p w14:paraId="6824E7B7">
      <w:pPr>
        <w:snapToGrid w:val="0"/>
        <w:spacing w:before="50" w:after="156" w:afterLines="50"/>
        <w:jc w:val="left"/>
        <w:rPr>
          <w:rFonts w:ascii="宋体" w:hAnsi="宋体" w:cs="宋体"/>
          <w:b/>
          <w:bCs/>
          <w:color w:val="auto"/>
          <w:sz w:val="24"/>
        </w:rPr>
      </w:pPr>
    </w:p>
    <w:p w14:paraId="64D6BB90">
      <w:pPr>
        <w:snapToGrid w:val="0"/>
        <w:spacing w:before="50" w:after="156" w:afterLines="50"/>
        <w:jc w:val="left"/>
        <w:rPr>
          <w:rFonts w:ascii="宋体" w:hAnsi="宋体" w:cs="宋体"/>
          <w:b/>
          <w:bCs/>
          <w:color w:val="auto"/>
          <w:sz w:val="24"/>
        </w:rPr>
      </w:pPr>
    </w:p>
    <w:p w14:paraId="2CC5C774">
      <w:pPr>
        <w:snapToGrid w:val="0"/>
        <w:spacing w:before="50" w:after="156" w:afterLines="50"/>
        <w:jc w:val="left"/>
        <w:rPr>
          <w:rFonts w:ascii="宋体" w:hAnsi="宋体" w:cs="宋体"/>
          <w:b/>
          <w:bCs/>
          <w:color w:val="auto"/>
          <w:sz w:val="24"/>
        </w:rPr>
      </w:pPr>
    </w:p>
    <w:p w14:paraId="7894EDBA">
      <w:pPr>
        <w:snapToGrid w:val="0"/>
        <w:spacing w:before="50" w:after="156" w:afterLines="50"/>
        <w:jc w:val="left"/>
        <w:rPr>
          <w:rFonts w:ascii="宋体" w:hAnsi="宋体" w:cs="宋体"/>
          <w:b/>
          <w:bCs/>
          <w:color w:val="auto"/>
          <w:sz w:val="24"/>
        </w:rPr>
      </w:pPr>
    </w:p>
    <w:p w14:paraId="13343D1D">
      <w:pPr>
        <w:snapToGrid w:val="0"/>
        <w:spacing w:before="50" w:after="156" w:afterLines="50"/>
        <w:jc w:val="left"/>
        <w:rPr>
          <w:rFonts w:ascii="宋体" w:hAnsi="宋体" w:cs="宋体"/>
          <w:b/>
          <w:bCs/>
          <w:color w:val="auto"/>
          <w:sz w:val="24"/>
        </w:rPr>
      </w:pPr>
    </w:p>
    <w:p w14:paraId="70E6C761">
      <w:pPr>
        <w:snapToGrid w:val="0"/>
        <w:spacing w:before="50" w:after="156" w:afterLines="50"/>
        <w:jc w:val="left"/>
        <w:rPr>
          <w:rFonts w:ascii="宋体" w:hAnsi="宋体" w:cs="宋体"/>
          <w:b/>
          <w:bCs/>
          <w:color w:val="auto"/>
          <w:sz w:val="24"/>
        </w:rPr>
      </w:pPr>
    </w:p>
    <w:p w14:paraId="528686D0">
      <w:pPr>
        <w:snapToGrid w:val="0"/>
        <w:spacing w:before="50" w:after="156" w:afterLines="50"/>
        <w:jc w:val="left"/>
        <w:rPr>
          <w:rFonts w:ascii="宋体" w:hAnsi="宋体" w:cs="宋体"/>
          <w:b/>
          <w:bCs/>
          <w:color w:val="auto"/>
          <w:sz w:val="24"/>
        </w:rPr>
      </w:pPr>
    </w:p>
    <w:p w14:paraId="6E2E112B">
      <w:pPr>
        <w:snapToGrid w:val="0"/>
        <w:spacing w:before="50" w:after="156" w:afterLines="50"/>
        <w:jc w:val="left"/>
        <w:rPr>
          <w:rFonts w:ascii="宋体" w:hAnsi="宋体" w:cs="宋体"/>
          <w:b/>
          <w:bCs/>
          <w:color w:val="auto"/>
          <w:sz w:val="24"/>
        </w:rPr>
      </w:pPr>
    </w:p>
    <w:p w14:paraId="69B34933">
      <w:pPr>
        <w:snapToGrid w:val="0"/>
        <w:spacing w:before="50" w:after="156" w:afterLines="50"/>
        <w:jc w:val="left"/>
        <w:rPr>
          <w:rFonts w:ascii="宋体" w:hAnsi="宋体" w:cs="宋体"/>
          <w:b/>
          <w:bCs/>
          <w:color w:val="auto"/>
          <w:sz w:val="24"/>
        </w:rPr>
      </w:pPr>
    </w:p>
    <w:p w14:paraId="03901D30">
      <w:pPr>
        <w:snapToGrid w:val="0"/>
        <w:spacing w:before="50" w:after="156" w:afterLines="50"/>
        <w:jc w:val="left"/>
        <w:rPr>
          <w:rFonts w:ascii="宋体" w:hAnsi="宋体" w:cs="宋体"/>
          <w:b/>
          <w:bCs/>
          <w:color w:val="auto"/>
          <w:sz w:val="24"/>
        </w:rPr>
      </w:pPr>
    </w:p>
    <w:p w14:paraId="3583D3A7">
      <w:pPr>
        <w:snapToGrid w:val="0"/>
        <w:spacing w:before="50" w:after="156" w:afterLines="50"/>
        <w:jc w:val="left"/>
        <w:rPr>
          <w:rFonts w:ascii="宋体" w:hAnsi="宋体" w:cs="宋体"/>
          <w:b/>
          <w:bCs/>
          <w:color w:val="auto"/>
          <w:sz w:val="24"/>
        </w:rPr>
      </w:pPr>
    </w:p>
    <w:p w14:paraId="2FB26237">
      <w:pPr>
        <w:snapToGrid w:val="0"/>
        <w:spacing w:before="50" w:after="156" w:afterLines="50"/>
        <w:jc w:val="left"/>
        <w:rPr>
          <w:rFonts w:ascii="宋体" w:hAnsi="宋体" w:cs="宋体"/>
          <w:b/>
          <w:bCs/>
          <w:color w:val="auto"/>
          <w:sz w:val="24"/>
        </w:rPr>
      </w:pPr>
    </w:p>
    <w:p w14:paraId="708BE11E">
      <w:pPr>
        <w:snapToGrid w:val="0"/>
        <w:spacing w:before="50" w:after="156" w:afterLines="50"/>
        <w:jc w:val="left"/>
        <w:rPr>
          <w:rFonts w:ascii="宋体" w:hAnsi="宋体" w:cs="宋体"/>
          <w:b/>
          <w:bCs/>
          <w:color w:val="auto"/>
          <w:sz w:val="24"/>
        </w:rPr>
      </w:pPr>
    </w:p>
    <w:p w14:paraId="2D4BD98B">
      <w:pPr>
        <w:snapToGrid w:val="0"/>
        <w:spacing w:before="50" w:after="156" w:afterLines="50"/>
        <w:jc w:val="left"/>
        <w:rPr>
          <w:rFonts w:ascii="宋体" w:hAnsi="宋体" w:cs="宋体"/>
          <w:b/>
          <w:bCs/>
          <w:color w:val="auto"/>
          <w:sz w:val="24"/>
        </w:rPr>
      </w:pPr>
    </w:p>
    <w:p w14:paraId="716FBFC1">
      <w:pPr>
        <w:snapToGrid w:val="0"/>
        <w:spacing w:before="50" w:after="156" w:afterLines="50"/>
        <w:jc w:val="left"/>
        <w:rPr>
          <w:rFonts w:ascii="宋体" w:hAnsi="宋体" w:cs="宋体"/>
          <w:b/>
          <w:bCs/>
          <w:color w:val="auto"/>
          <w:sz w:val="24"/>
        </w:rPr>
      </w:pPr>
    </w:p>
    <w:p w14:paraId="5D10D6EE">
      <w:pPr>
        <w:pStyle w:val="40"/>
        <w:rPr>
          <w:rFonts w:ascii="宋体" w:hAnsi="宋体" w:cs="宋体"/>
          <w:b/>
          <w:bCs/>
          <w:color w:val="auto"/>
          <w:sz w:val="24"/>
        </w:rPr>
      </w:pPr>
    </w:p>
    <w:p w14:paraId="46C444DC">
      <w:pPr>
        <w:pStyle w:val="40"/>
        <w:rPr>
          <w:rFonts w:ascii="宋体" w:hAnsi="宋体" w:cs="宋体"/>
          <w:b/>
          <w:bCs/>
          <w:color w:val="auto"/>
          <w:sz w:val="24"/>
        </w:rPr>
      </w:pPr>
    </w:p>
    <w:p w14:paraId="5F160D39">
      <w:pPr>
        <w:pStyle w:val="40"/>
        <w:rPr>
          <w:rFonts w:ascii="宋体" w:hAnsi="宋体" w:cs="宋体"/>
          <w:b/>
          <w:bCs/>
          <w:color w:val="auto"/>
          <w:sz w:val="24"/>
        </w:rPr>
      </w:pPr>
    </w:p>
    <w:p w14:paraId="46C41CEE">
      <w:pPr>
        <w:pStyle w:val="40"/>
        <w:rPr>
          <w:rFonts w:ascii="宋体" w:hAnsi="宋体" w:cs="宋体"/>
          <w:b/>
          <w:bCs/>
          <w:color w:val="auto"/>
          <w:sz w:val="24"/>
        </w:rPr>
      </w:pPr>
    </w:p>
    <w:p w14:paraId="1DE9F2F5">
      <w:pPr>
        <w:pStyle w:val="40"/>
        <w:rPr>
          <w:rFonts w:ascii="宋体" w:hAnsi="宋体" w:cs="宋体"/>
          <w:b/>
          <w:bCs/>
          <w:color w:val="auto"/>
          <w:sz w:val="24"/>
        </w:rPr>
      </w:pPr>
    </w:p>
    <w:p w14:paraId="08FCAFDF">
      <w:pPr>
        <w:pStyle w:val="40"/>
        <w:rPr>
          <w:rFonts w:ascii="宋体" w:hAnsi="宋体" w:cs="宋体"/>
          <w:b/>
          <w:bCs/>
          <w:color w:val="auto"/>
          <w:sz w:val="24"/>
        </w:rPr>
      </w:pPr>
    </w:p>
    <w:p w14:paraId="2AA2E102">
      <w:pPr>
        <w:pStyle w:val="40"/>
        <w:rPr>
          <w:rFonts w:ascii="宋体" w:hAnsi="宋体" w:cs="宋体"/>
          <w:b/>
          <w:bCs/>
          <w:color w:val="auto"/>
          <w:sz w:val="24"/>
        </w:rPr>
      </w:pPr>
    </w:p>
    <w:p w14:paraId="21655623">
      <w:pPr>
        <w:pStyle w:val="40"/>
        <w:rPr>
          <w:rFonts w:ascii="宋体" w:hAnsi="宋体" w:cs="宋体"/>
          <w:b/>
          <w:bCs/>
          <w:color w:val="auto"/>
          <w:sz w:val="24"/>
        </w:rPr>
      </w:pPr>
    </w:p>
    <w:p w14:paraId="7977A1C9">
      <w:pPr>
        <w:snapToGrid w:val="0"/>
        <w:spacing w:before="50" w:after="156" w:afterLines="50"/>
        <w:jc w:val="left"/>
        <w:rPr>
          <w:rFonts w:ascii="宋体" w:hAnsi="宋体" w:cs="宋体"/>
          <w:b/>
          <w:bCs/>
          <w:color w:val="auto"/>
          <w:sz w:val="24"/>
        </w:rPr>
      </w:pPr>
      <w:r>
        <w:rPr>
          <w:rFonts w:hint="eastAsia" w:ascii="宋体" w:hAnsi="宋体" w:cs="宋体"/>
          <w:b/>
          <w:bCs/>
          <w:color w:val="auto"/>
          <w:sz w:val="24"/>
          <w:lang w:val="en-US" w:eastAsia="zh-CN"/>
        </w:rPr>
        <w:t>5.</w:t>
      </w:r>
      <w:r>
        <w:rPr>
          <w:rFonts w:hint="eastAsia" w:ascii="宋体" w:hAnsi="宋体" w:cs="宋体"/>
          <w:b/>
          <w:bCs/>
          <w:color w:val="auto"/>
          <w:sz w:val="24"/>
        </w:rPr>
        <w:t>质量保证。</w:t>
      </w:r>
    </w:p>
    <w:p w14:paraId="75B18BBF">
      <w:pPr>
        <w:snapToGrid w:val="0"/>
        <w:spacing w:before="50" w:after="156" w:afterLines="50"/>
        <w:jc w:val="left"/>
        <w:rPr>
          <w:rFonts w:ascii="宋体" w:hAnsi="宋体" w:cs="宋体"/>
          <w:color w:val="auto"/>
          <w:sz w:val="24"/>
        </w:rPr>
      </w:pPr>
    </w:p>
    <w:p w14:paraId="4FEA7D19">
      <w:pPr>
        <w:snapToGrid w:val="0"/>
        <w:spacing w:before="50" w:after="156" w:afterLines="50"/>
        <w:jc w:val="left"/>
        <w:rPr>
          <w:rFonts w:ascii="宋体" w:hAnsi="宋体" w:cs="宋体"/>
          <w:color w:val="auto"/>
          <w:sz w:val="24"/>
        </w:rPr>
      </w:pPr>
    </w:p>
    <w:p w14:paraId="0252D6F6">
      <w:pPr>
        <w:snapToGrid w:val="0"/>
        <w:spacing w:before="50" w:after="156" w:afterLines="50"/>
        <w:jc w:val="left"/>
        <w:rPr>
          <w:rFonts w:ascii="宋体" w:hAnsi="宋体" w:cs="宋体"/>
          <w:color w:val="auto"/>
          <w:sz w:val="24"/>
        </w:rPr>
      </w:pPr>
    </w:p>
    <w:p w14:paraId="6FE42B7B">
      <w:pPr>
        <w:snapToGrid w:val="0"/>
        <w:spacing w:before="50" w:after="156" w:afterLines="50"/>
        <w:jc w:val="left"/>
        <w:rPr>
          <w:rFonts w:ascii="宋体" w:hAnsi="宋体" w:cs="宋体"/>
          <w:color w:val="auto"/>
          <w:sz w:val="24"/>
        </w:rPr>
      </w:pPr>
      <w:r>
        <w:rPr>
          <w:rFonts w:hint="eastAsia" w:ascii="宋体" w:hAnsi="宋体" w:cs="宋体"/>
          <w:color w:val="auto"/>
          <w:sz w:val="24"/>
        </w:rPr>
        <w:br w:type="page"/>
      </w:r>
      <w:r>
        <w:rPr>
          <w:rFonts w:hint="eastAsia" w:ascii="宋体" w:hAnsi="宋体" w:cs="宋体"/>
          <w:b/>
          <w:bCs/>
          <w:color w:val="auto"/>
          <w:sz w:val="24"/>
          <w:lang w:val="en-US" w:eastAsia="zh-CN"/>
        </w:rPr>
        <w:t>6.</w:t>
      </w:r>
      <w:r>
        <w:rPr>
          <w:rFonts w:hint="eastAsia" w:ascii="宋体" w:hAnsi="宋体" w:cs="宋体"/>
          <w:b/>
          <w:bCs/>
          <w:color w:val="auto"/>
          <w:sz w:val="24"/>
        </w:rPr>
        <w:t>项目实施人员一览表</w:t>
      </w:r>
    </w:p>
    <w:p w14:paraId="39E6F423">
      <w:pPr>
        <w:pStyle w:val="15"/>
        <w:adjustRightInd w:val="0"/>
        <w:spacing w:before="120" w:after="120" w:line="360" w:lineRule="auto"/>
        <w:jc w:val="center"/>
        <w:textAlignment w:val="baseline"/>
        <w:rPr>
          <w:rFonts w:hAnsi="宋体"/>
          <w:color w:val="auto"/>
          <w:sz w:val="28"/>
          <w:szCs w:val="28"/>
        </w:rPr>
      </w:pPr>
      <w:r>
        <w:rPr>
          <w:rFonts w:hint="eastAsia" w:hAnsi="宋体"/>
          <w:b/>
          <w:color w:val="auto"/>
          <w:sz w:val="28"/>
          <w:szCs w:val="28"/>
        </w:rPr>
        <w:t>项目实施人员一览表</w:t>
      </w:r>
    </w:p>
    <w:tbl>
      <w:tblPr>
        <w:tblStyle w:val="34"/>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07"/>
        <w:gridCol w:w="1308"/>
        <w:gridCol w:w="915"/>
        <w:gridCol w:w="928"/>
        <w:gridCol w:w="1134"/>
        <w:gridCol w:w="1134"/>
        <w:gridCol w:w="976"/>
        <w:gridCol w:w="1798"/>
      </w:tblGrid>
      <w:tr w14:paraId="6BAE86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jc w:val="center"/>
        </w:trPr>
        <w:tc>
          <w:tcPr>
            <w:tcW w:w="807" w:type="dxa"/>
            <w:tcBorders>
              <w:top w:val="single" w:color="auto" w:sz="4" w:space="0"/>
              <w:left w:val="single" w:color="auto" w:sz="4" w:space="0"/>
              <w:bottom w:val="single" w:color="auto" w:sz="4" w:space="0"/>
              <w:right w:val="single" w:color="auto" w:sz="4" w:space="0"/>
            </w:tcBorders>
            <w:vAlign w:val="center"/>
          </w:tcPr>
          <w:p w14:paraId="753868C0">
            <w:pPr>
              <w:pStyle w:val="18"/>
              <w:jc w:val="center"/>
              <w:rPr>
                <w:rFonts w:ascii="宋体" w:hAnsi="宋体" w:cs="宋体"/>
                <w:color w:val="auto"/>
                <w:sz w:val="21"/>
                <w:szCs w:val="21"/>
              </w:rPr>
            </w:pPr>
            <w:r>
              <w:rPr>
                <w:rFonts w:hint="eastAsia" w:ascii="宋体" w:hAnsi="宋体" w:cs="宋体"/>
                <w:color w:val="auto"/>
                <w:sz w:val="21"/>
                <w:szCs w:val="21"/>
              </w:rPr>
              <w:t>序号</w:t>
            </w:r>
          </w:p>
        </w:tc>
        <w:tc>
          <w:tcPr>
            <w:tcW w:w="1308" w:type="dxa"/>
            <w:tcBorders>
              <w:top w:val="single" w:color="auto" w:sz="4" w:space="0"/>
              <w:left w:val="single" w:color="auto" w:sz="4" w:space="0"/>
              <w:bottom w:val="single" w:color="auto" w:sz="4" w:space="0"/>
              <w:right w:val="single" w:color="auto" w:sz="4" w:space="0"/>
            </w:tcBorders>
            <w:vAlign w:val="center"/>
          </w:tcPr>
          <w:p w14:paraId="14BF0BD0">
            <w:pPr>
              <w:pStyle w:val="18"/>
              <w:jc w:val="center"/>
              <w:rPr>
                <w:rFonts w:ascii="宋体" w:hAnsi="宋体" w:cs="宋体"/>
                <w:color w:val="auto"/>
                <w:sz w:val="21"/>
                <w:szCs w:val="21"/>
              </w:rPr>
            </w:pPr>
            <w:r>
              <w:rPr>
                <w:rFonts w:hint="eastAsia" w:ascii="宋体" w:hAnsi="宋体" w:cs="宋体"/>
                <w:color w:val="auto"/>
                <w:sz w:val="21"/>
                <w:szCs w:val="21"/>
              </w:rPr>
              <w:t>项目组所任职务</w:t>
            </w:r>
          </w:p>
        </w:tc>
        <w:tc>
          <w:tcPr>
            <w:tcW w:w="915" w:type="dxa"/>
            <w:tcBorders>
              <w:top w:val="single" w:color="auto" w:sz="4" w:space="0"/>
              <w:left w:val="single" w:color="auto" w:sz="4" w:space="0"/>
              <w:bottom w:val="single" w:color="auto" w:sz="4" w:space="0"/>
              <w:right w:val="single" w:color="auto" w:sz="4" w:space="0"/>
            </w:tcBorders>
            <w:vAlign w:val="center"/>
          </w:tcPr>
          <w:p w14:paraId="5007D94D">
            <w:pPr>
              <w:pStyle w:val="18"/>
              <w:jc w:val="center"/>
              <w:rPr>
                <w:rFonts w:ascii="宋体" w:hAnsi="宋体" w:cs="宋体"/>
                <w:color w:val="auto"/>
                <w:sz w:val="21"/>
                <w:szCs w:val="21"/>
              </w:rPr>
            </w:pPr>
            <w:r>
              <w:rPr>
                <w:rFonts w:hint="eastAsia" w:ascii="宋体" w:hAnsi="宋体" w:cs="宋体"/>
                <w:color w:val="auto"/>
                <w:sz w:val="21"/>
                <w:szCs w:val="21"/>
              </w:rPr>
              <w:t>姓名</w:t>
            </w:r>
          </w:p>
        </w:tc>
        <w:tc>
          <w:tcPr>
            <w:tcW w:w="928" w:type="dxa"/>
            <w:tcBorders>
              <w:top w:val="single" w:color="auto" w:sz="4" w:space="0"/>
              <w:left w:val="single" w:color="auto" w:sz="4" w:space="0"/>
              <w:bottom w:val="single" w:color="auto" w:sz="4" w:space="0"/>
              <w:right w:val="single" w:color="auto" w:sz="4" w:space="0"/>
            </w:tcBorders>
            <w:vAlign w:val="center"/>
          </w:tcPr>
          <w:p w14:paraId="030376AE">
            <w:pPr>
              <w:jc w:val="center"/>
              <w:rPr>
                <w:rFonts w:ascii="宋体" w:hAnsi="宋体" w:cs="宋体"/>
                <w:color w:val="auto"/>
                <w:szCs w:val="21"/>
              </w:rPr>
            </w:pPr>
            <w:r>
              <w:rPr>
                <w:rFonts w:hint="eastAsia" w:ascii="宋体" w:hAnsi="宋体" w:cs="宋体"/>
                <w:color w:val="auto"/>
                <w:szCs w:val="21"/>
              </w:rPr>
              <w:t>性别</w:t>
            </w:r>
          </w:p>
        </w:tc>
        <w:tc>
          <w:tcPr>
            <w:tcW w:w="1134" w:type="dxa"/>
            <w:tcBorders>
              <w:top w:val="single" w:color="auto" w:sz="4" w:space="0"/>
              <w:left w:val="single" w:color="auto" w:sz="4" w:space="0"/>
              <w:bottom w:val="single" w:color="auto" w:sz="4" w:space="0"/>
              <w:right w:val="single" w:color="auto" w:sz="4" w:space="0"/>
            </w:tcBorders>
            <w:vAlign w:val="center"/>
          </w:tcPr>
          <w:p w14:paraId="31290059">
            <w:pPr>
              <w:jc w:val="center"/>
              <w:rPr>
                <w:rFonts w:ascii="宋体" w:hAnsi="宋体" w:cs="宋体"/>
                <w:color w:val="auto"/>
                <w:szCs w:val="21"/>
              </w:rPr>
            </w:pPr>
            <w:r>
              <w:rPr>
                <w:rFonts w:hint="eastAsia" w:ascii="宋体" w:hAnsi="宋体" w:cs="宋体"/>
                <w:color w:val="auto"/>
                <w:szCs w:val="21"/>
              </w:rPr>
              <w:t>年龄</w:t>
            </w:r>
          </w:p>
        </w:tc>
        <w:tc>
          <w:tcPr>
            <w:tcW w:w="1134" w:type="dxa"/>
            <w:tcBorders>
              <w:top w:val="single" w:color="auto" w:sz="4" w:space="0"/>
              <w:left w:val="single" w:color="auto" w:sz="4" w:space="0"/>
              <w:bottom w:val="single" w:color="auto" w:sz="4" w:space="0"/>
              <w:right w:val="single" w:color="auto" w:sz="4" w:space="0"/>
            </w:tcBorders>
            <w:vAlign w:val="center"/>
          </w:tcPr>
          <w:p w14:paraId="59FA0489">
            <w:pPr>
              <w:jc w:val="center"/>
              <w:rPr>
                <w:rFonts w:ascii="宋体" w:hAnsi="宋体" w:cs="宋体"/>
                <w:color w:val="auto"/>
                <w:szCs w:val="21"/>
              </w:rPr>
            </w:pPr>
            <w:r>
              <w:rPr>
                <w:rFonts w:hint="eastAsia" w:ascii="宋体" w:hAnsi="宋体" w:cs="宋体"/>
                <w:color w:val="auto"/>
                <w:szCs w:val="21"/>
              </w:rPr>
              <w:t>学 历</w:t>
            </w:r>
          </w:p>
        </w:tc>
        <w:tc>
          <w:tcPr>
            <w:tcW w:w="976" w:type="dxa"/>
            <w:tcBorders>
              <w:top w:val="single" w:color="auto" w:sz="4" w:space="0"/>
              <w:left w:val="single" w:color="auto" w:sz="4" w:space="0"/>
              <w:bottom w:val="single" w:color="auto" w:sz="4" w:space="0"/>
              <w:right w:val="single" w:color="auto" w:sz="4" w:space="0"/>
            </w:tcBorders>
            <w:vAlign w:val="center"/>
          </w:tcPr>
          <w:p w14:paraId="42AC797C">
            <w:pPr>
              <w:jc w:val="center"/>
              <w:rPr>
                <w:rFonts w:ascii="宋体" w:hAnsi="宋体" w:cs="宋体"/>
                <w:color w:val="auto"/>
                <w:szCs w:val="21"/>
              </w:rPr>
            </w:pPr>
            <w:r>
              <w:rPr>
                <w:rFonts w:hint="eastAsia" w:ascii="宋体" w:hAnsi="宋体" w:cs="宋体"/>
                <w:color w:val="auto"/>
                <w:szCs w:val="21"/>
              </w:rPr>
              <w:t>专业</w:t>
            </w:r>
          </w:p>
        </w:tc>
        <w:tc>
          <w:tcPr>
            <w:tcW w:w="1798" w:type="dxa"/>
            <w:tcBorders>
              <w:top w:val="single" w:color="auto" w:sz="4" w:space="0"/>
              <w:left w:val="single" w:color="auto" w:sz="4" w:space="0"/>
              <w:bottom w:val="single" w:color="auto" w:sz="4" w:space="0"/>
              <w:right w:val="single" w:color="auto" w:sz="4" w:space="0"/>
            </w:tcBorders>
            <w:vAlign w:val="center"/>
          </w:tcPr>
          <w:p w14:paraId="3710EE6F">
            <w:pPr>
              <w:pStyle w:val="18"/>
              <w:jc w:val="center"/>
              <w:rPr>
                <w:rFonts w:ascii="宋体" w:hAnsi="宋体" w:cs="宋体"/>
                <w:color w:val="auto"/>
                <w:sz w:val="21"/>
                <w:szCs w:val="21"/>
              </w:rPr>
            </w:pPr>
            <w:r>
              <w:rPr>
                <w:rFonts w:hint="eastAsia" w:ascii="宋体" w:hAnsi="宋体" w:cs="宋体"/>
                <w:color w:val="auto"/>
                <w:sz w:val="21"/>
                <w:szCs w:val="21"/>
              </w:rPr>
              <w:t>从事本工作时间</w:t>
            </w:r>
          </w:p>
        </w:tc>
      </w:tr>
      <w:tr w14:paraId="055CAFB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07" w:type="dxa"/>
            <w:tcBorders>
              <w:top w:val="single" w:color="auto" w:sz="4" w:space="0"/>
              <w:left w:val="single" w:color="auto" w:sz="4" w:space="0"/>
              <w:bottom w:val="single" w:color="auto" w:sz="4" w:space="0"/>
              <w:right w:val="single" w:color="auto" w:sz="4" w:space="0"/>
            </w:tcBorders>
            <w:vAlign w:val="center"/>
          </w:tcPr>
          <w:p w14:paraId="40D21E65">
            <w:pPr>
              <w:pStyle w:val="18"/>
              <w:jc w:val="center"/>
              <w:rPr>
                <w:rFonts w:ascii="宋体" w:hAnsi="宋体" w:cs="宋体"/>
                <w:color w:val="auto"/>
                <w:sz w:val="21"/>
                <w:szCs w:val="21"/>
              </w:rPr>
            </w:pPr>
            <w:r>
              <w:rPr>
                <w:rFonts w:hint="eastAsia" w:ascii="宋体" w:hAnsi="宋体" w:cs="宋体"/>
                <w:color w:val="auto"/>
                <w:sz w:val="21"/>
                <w:szCs w:val="21"/>
              </w:rPr>
              <w:t>1</w:t>
            </w:r>
          </w:p>
        </w:tc>
        <w:tc>
          <w:tcPr>
            <w:tcW w:w="1308" w:type="dxa"/>
            <w:tcBorders>
              <w:top w:val="single" w:color="auto" w:sz="4" w:space="0"/>
              <w:left w:val="single" w:color="auto" w:sz="4" w:space="0"/>
              <w:bottom w:val="single" w:color="auto" w:sz="4" w:space="0"/>
              <w:right w:val="single" w:color="auto" w:sz="4" w:space="0"/>
            </w:tcBorders>
            <w:vAlign w:val="center"/>
          </w:tcPr>
          <w:p w14:paraId="64A70400">
            <w:pPr>
              <w:pStyle w:val="18"/>
              <w:jc w:val="center"/>
              <w:rPr>
                <w:rFonts w:ascii="宋体" w:hAnsi="宋体" w:cs="宋体"/>
                <w:color w:val="auto"/>
                <w:sz w:val="21"/>
                <w:szCs w:val="21"/>
              </w:rPr>
            </w:pPr>
          </w:p>
        </w:tc>
        <w:tc>
          <w:tcPr>
            <w:tcW w:w="915" w:type="dxa"/>
            <w:tcBorders>
              <w:top w:val="single" w:color="auto" w:sz="4" w:space="0"/>
              <w:left w:val="single" w:color="auto" w:sz="4" w:space="0"/>
              <w:bottom w:val="single" w:color="auto" w:sz="4" w:space="0"/>
              <w:right w:val="single" w:color="auto" w:sz="4" w:space="0"/>
            </w:tcBorders>
            <w:vAlign w:val="center"/>
          </w:tcPr>
          <w:p w14:paraId="7E97F513">
            <w:pPr>
              <w:pStyle w:val="18"/>
              <w:jc w:val="center"/>
              <w:rPr>
                <w:rFonts w:ascii="宋体" w:hAnsi="宋体" w:cs="宋体"/>
                <w:color w:val="auto"/>
                <w:sz w:val="21"/>
                <w:szCs w:val="21"/>
              </w:rPr>
            </w:pPr>
          </w:p>
        </w:tc>
        <w:tc>
          <w:tcPr>
            <w:tcW w:w="928" w:type="dxa"/>
            <w:tcBorders>
              <w:top w:val="single" w:color="auto" w:sz="4" w:space="0"/>
              <w:left w:val="single" w:color="auto" w:sz="4" w:space="0"/>
              <w:bottom w:val="single" w:color="auto" w:sz="4" w:space="0"/>
              <w:right w:val="single" w:color="auto" w:sz="4" w:space="0"/>
            </w:tcBorders>
            <w:vAlign w:val="center"/>
          </w:tcPr>
          <w:p w14:paraId="4B70BEA1">
            <w:pPr>
              <w:jc w:val="center"/>
              <w:rPr>
                <w:rFonts w:ascii="宋体" w:hAnsi="宋体" w:cs="宋体"/>
                <w:color w:val="auto"/>
                <w:szCs w:val="21"/>
              </w:rPr>
            </w:pPr>
          </w:p>
        </w:tc>
        <w:tc>
          <w:tcPr>
            <w:tcW w:w="1134" w:type="dxa"/>
            <w:tcBorders>
              <w:top w:val="single" w:color="auto" w:sz="4" w:space="0"/>
              <w:left w:val="single" w:color="auto" w:sz="4" w:space="0"/>
              <w:bottom w:val="single" w:color="auto" w:sz="4" w:space="0"/>
              <w:right w:val="single" w:color="auto" w:sz="4" w:space="0"/>
            </w:tcBorders>
            <w:vAlign w:val="center"/>
          </w:tcPr>
          <w:p w14:paraId="6F3B8682">
            <w:pPr>
              <w:jc w:val="center"/>
              <w:rPr>
                <w:rFonts w:ascii="宋体" w:hAnsi="宋体" w:cs="宋体"/>
                <w:color w:val="auto"/>
                <w:szCs w:val="21"/>
              </w:rPr>
            </w:pPr>
          </w:p>
        </w:tc>
        <w:tc>
          <w:tcPr>
            <w:tcW w:w="1134" w:type="dxa"/>
            <w:tcBorders>
              <w:top w:val="single" w:color="auto" w:sz="4" w:space="0"/>
              <w:left w:val="single" w:color="auto" w:sz="4" w:space="0"/>
              <w:bottom w:val="single" w:color="auto" w:sz="4" w:space="0"/>
              <w:right w:val="single" w:color="auto" w:sz="4" w:space="0"/>
            </w:tcBorders>
            <w:vAlign w:val="center"/>
          </w:tcPr>
          <w:p w14:paraId="7EB6DB02">
            <w:pPr>
              <w:jc w:val="center"/>
              <w:rPr>
                <w:rFonts w:ascii="宋体" w:hAnsi="宋体" w:cs="宋体"/>
                <w:color w:val="auto"/>
                <w:szCs w:val="21"/>
              </w:rPr>
            </w:pPr>
          </w:p>
        </w:tc>
        <w:tc>
          <w:tcPr>
            <w:tcW w:w="976" w:type="dxa"/>
            <w:tcBorders>
              <w:top w:val="single" w:color="auto" w:sz="4" w:space="0"/>
              <w:left w:val="single" w:color="auto" w:sz="4" w:space="0"/>
              <w:bottom w:val="single" w:color="auto" w:sz="4" w:space="0"/>
              <w:right w:val="single" w:color="auto" w:sz="4" w:space="0"/>
            </w:tcBorders>
            <w:vAlign w:val="center"/>
          </w:tcPr>
          <w:p w14:paraId="21693875">
            <w:pPr>
              <w:jc w:val="center"/>
              <w:rPr>
                <w:rFonts w:ascii="宋体" w:hAnsi="宋体" w:cs="宋体"/>
                <w:color w:val="auto"/>
                <w:szCs w:val="21"/>
              </w:rPr>
            </w:pPr>
          </w:p>
        </w:tc>
        <w:tc>
          <w:tcPr>
            <w:tcW w:w="1798" w:type="dxa"/>
            <w:tcBorders>
              <w:top w:val="single" w:color="auto" w:sz="4" w:space="0"/>
              <w:left w:val="single" w:color="auto" w:sz="4" w:space="0"/>
              <w:bottom w:val="single" w:color="auto" w:sz="4" w:space="0"/>
              <w:right w:val="single" w:color="auto" w:sz="4" w:space="0"/>
            </w:tcBorders>
            <w:vAlign w:val="center"/>
          </w:tcPr>
          <w:p w14:paraId="0BBC625D">
            <w:pPr>
              <w:pStyle w:val="18"/>
              <w:jc w:val="center"/>
              <w:rPr>
                <w:rFonts w:ascii="宋体" w:hAnsi="宋体" w:cs="宋体"/>
                <w:color w:val="auto"/>
                <w:sz w:val="21"/>
                <w:szCs w:val="21"/>
              </w:rPr>
            </w:pPr>
          </w:p>
        </w:tc>
      </w:tr>
      <w:tr w14:paraId="505B137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07" w:type="dxa"/>
            <w:tcBorders>
              <w:top w:val="single" w:color="auto" w:sz="4" w:space="0"/>
              <w:left w:val="single" w:color="auto" w:sz="4" w:space="0"/>
              <w:bottom w:val="single" w:color="auto" w:sz="4" w:space="0"/>
              <w:right w:val="single" w:color="auto" w:sz="4" w:space="0"/>
            </w:tcBorders>
            <w:vAlign w:val="center"/>
          </w:tcPr>
          <w:p w14:paraId="4FFA90B6">
            <w:pPr>
              <w:pStyle w:val="18"/>
              <w:jc w:val="center"/>
              <w:rPr>
                <w:rFonts w:ascii="宋体" w:hAnsi="宋体" w:cs="宋体"/>
                <w:color w:val="auto"/>
                <w:sz w:val="21"/>
                <w:szCs w:val="21"/>
              </w:rPr>
            </w:pPr>
            <w:r>
              <w:rPr>
                <w:rFonts w:hint="eastAsia" w:ascii="宋体" w:hAnsi="宋体" w:cs="宋体"/>
                <w:color w:val="auto"/>
                <w:sz w:val="21"/>
                <w:szCs w:val="21"/>
              </w:rPr>
              <w:t>2</w:t>
            </w:r>
          </w:p>
        </w:tc>
        <w:tc>
          <w:tcPr>
            <w:tcW w:w="1308" w:type="dxa"/>
            <w:tcBorders>
              <w:top w:val="single" w:color="auto" w:sz="4" w:space="0"/>
              <w:left w:val="single" w:color="auto" w:sz="4" w:space="0"/>
              <w:bottom w:val="single" w:color="auto" w:sz="4" w:space="0"/>
              <w:right w:val="single" w:color="auto" w:sz="4" w:space="0"/>
            </w:tcBorders>
            <w:vAlign w:val="center"/>
          </w:tcPr>
          <w:p w14:paraId="33952DF9">
            <w:pPr>
              <w:pStyle w:val="18"/>
              <w:jc w:val="center"/>
              <w:rPr>
                <w:rFonts w:ascii="宋体" w:hAnsi="宋体" w:cs="宋体"/>
                <w:color w:val="auto"/>
                <w:sz w:val="21"/>
                <w:szCs w:val="21"/>
              </w:rPr>
            </w:pPr>
          </w:p>
        </w:tc>
        <w:tc>
          <w:tcPr>
            <w:tcW w:w="915" w:type="dxa"/>
            <w:tcBorders>
              <w:top w:val="single" w:color="auto" w:sz="4" w:space="0"/>
              <w:left w:val="single" w:color="auto" w:sz="4" w:space="0"/>
              <w:bottom w:val="single" w:color="auto" w:sz="4" w:space="0"/>
              <w:right w:val="single" w:color="auto" w:sz="4" w:space="0"/>
            </w:tcBorders>
            <w:vAlign w:val="center"/>
          </w:tcPr>
          <w:p w14:paraId="26E5E53E">
            <w:pPr>
              <w:pStyle w:val="18"/>
              <w:jc w:val="center"/>
              <w:rPr>
                <w:rFonts w:ascii="宋体" w:hAnsi="宋体" w:cs="宋体"/>
                <w:color w:val="auto"/>
                <w:sz w:val="21"/>
                <w:szCs w:val="21"/>
              </w:rPr>
            </w:pPr>
          </w:p>
        </w:tc>
        <w:tc>
          <w:tcPr>
            <w:tcW w:w="928" w:type="dxa"/>
            <w:tcBorders>
              <w:top w:val="single" w:color="auto" w:sz="4" w:space="0"/>
              <w:left w:val="single" w:color="auto" w:sz="4" w:space="0"/>
              <w:bottom w:val="single" w:color="auto" w:sz="4" w:space="0"/>
              <w:right w:val="single" w:color="auto" w:sz="4" w:space="0"/>
            </w:tcBorders>
            <w:vAlign w:val="center"/>
          </w:tcPr>
          <w:p w14:paraId="7400A7EE">
            <w:pPr>
              <w:pStyle w:val="18"/>
              <w:jc w:val="center"/>
              <w:rPr>
                <w:rFonts w:ascii="宋体" w:hAnsi="宋体" w:cs="宋体"/>
                <w:color w:val="auto"/>
                <w:sz w:val="21"/>
                <w:szCs w:val="21"/>
              </w:rPr>
            </w:pPr>
          </w:p>
        </w:tc>
        <w:tc>
          <w:tcPr>
            <w:tcW w:w="1134" w:type="dxa"/>
            <w:tcBorders>
              <w:top w:val="single" w:color="auto" w:sz="4" w:space="0"/>
              <w:left w:val="single" w:color="auto" w:sz="4" w:space="0"/>
              <w:bottom w:val="single" w:color="auto" w:sz="4" w:space="0"/>
              <w:right w:val="single" w:color="auto" w:sz="4" w:space="0"/>
            </w:tcBorders>
            <w:vAlign w:val="center"/>
          </w:tcPr>
          <w:p w14:paraId="74A10628">
            <w:pPr>
              <w:pStyle w:val="18"/>
              <w:jc w:val="center"/>
              <w:rPr>
                <w:rFonts w:ascii="宋体" w:hAnsi="宋体" w:cs="宋体"/>
                <w:color w:val="auto"/>
                <w:sz w:val="21"/>
                <w:szCs w:val="21"/>
              </w:rPr>
            </w:pPr>
          </w:p>
        </w:tc>
        <w:tc>
          <w:tcPr>
            <w:tcW w:w="1134" w:type="dxa"/>
            <w:tcBorders>
              <w:top w:val="single" w:color="auto" w:sz="4" w:space="0"/>
              <w:left w:val="single" w:color="auto" w:sz="4" w:space="0"/>
              <w:bottom w:val="single" w:color="auto" w:sz="4" w:space="0"/>
              <w:right w:val="single" w:color="auto" w:sz="4" w:space="0"/>
            </w:tcBorders>
          </w:tcPr>
          <w:p w14:paraId="49164AC3">
            <w:pPr>
              <w:pStyle w:val="18"/>
              <w:jc w:val="center"/>
              <w:rPr>
                <w:rFonts w:ascii="宋体" w:hAnsi="宋体" w:cs="宋体"/>
                <w:color w:val="auto"/>
                <w:sz w:val="21"/>
                <w:szCs w:val="21"/>
              </w:rPr>
            </w:pPr>
          </w:p>
        </w:tc>
        <w:tc>
          <w:tcPr>
            <w:tcW w:w="976" w:type="dxa"/>
            <w:tcBorders>
              <w:top w:val="single" w:color="auto" w:sz="4" w:space="0"/>
              <w:left w:val="single" w:color="auto" w:sz="4" w:space="0"/>
              <w:bottom w:val="single" w:color="auto" w:sz="4" w:space="0"/>
              <w:right w:val="single" w:color="auto" w:sz="4" w:space="0"/>
            </w:tcBorders>
            <w:vAlign w:val="center"/>
          </w:tcPr>
          <w:p w14:paraId="0A07B008">
            <w:pPr>
              <w:pStyle w:val="18"/>
              <w:jc w:val="center"/>
              <w:rPr>
                <w:rFonts w:ascii="宋体" w:hAnsi="宋体" w:cs="宋体"/>
                <w:color w:val="auto"/>
                <w:sz w:val="21"/>
                <w:szCs w:val="21"/>
              </w:rPr>
            </w:pPr>
          </w:p>
        </w:tc>
        <w:tc>
          <w:tcPr>
            <w:tcW w:w="1798" w:type="dxa"/>
            <w:tcBorders>
              <w:top w:val="single" w:color="auto" w:sz="4" w:space="0"/>
              <w:left w:val="single" w:color="auto" w:sz="4" w:space="0"/>
              <w:bottom w:val="single" w:color="auto" w:sz="4" w:space="0"/>
              <w:right w:val="single" w:color="auto" w:sz="4" w:space="0"/>
            </w:tcBorders>
            <w:vAlign w:val="center"/>
          </w:tcPr>
          <w:p w14:paraId="7EE2297F">
            <w:pPr>
              <w:pStyle w:val="18"/>
              <w:jc w:val="center"/>
              <w:rPr>
                <w:rFonts w:ascii="宋体" w:hAnsi="宋体" w:cs="宋体"/>
                <w:color w:val="auto"/>
                <w:sz w:val="21"/>
                <w:szCs w:val="21"/>
              </w:rPr>
            </w:pPr>
          </w:p>
        </w:tc>
      </w:tr>
      <w:tr w14:paraId="778E408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07" w:type="dxa"/>
            <w:tcBorders>
              <w:top w:val="single" w:color="auto" w:sz="4" w:space="0"/>
              <w:left w:val="single" w:color="auto" w:sz="4" w:space="0"/>
              <w:bottom w:val="single" w:color="auto" w:sz="4" w:space="0"/>
              <w:right w:val="single" w:color="auto" w:sz="4" w:space="0"/>
            </w:tcBorders>
            <w:vAlign w:val="center"/>
          </w:tcPr>
          <w:p w14:paraId="3A926D51">
            <w:pPr>
              <w:pStyle w:val="18"/>
              <w:jc w:val="center"/>
              <w:rPr>
                <w:rFonts w:ascii="宋体" w:hAnsi="宋体" w:cs="宋体"/>
                <w:color w:val="auto"/>
                <w:sz w:val="21"/>
                <w:szCs w:val="21"/>
              </w:rPr>
            </w:pPr>
            <w:r>
              <w:rPr>
                <w:rFonts w:hint="eastAsia" w:ascii="宋体" w:hAnsi="宋体" w:cs="宋体"/>
                <w:color w:val="auto"/>
                <w:sz w:val="21"/>
                <w:szCs w:val="21"/>
              </w:rPr>
              <w:t>3</w:t>
            </w:r>
          </w:p>
        </w:tc>
        <w:tc>
          <w:tcPr>
            <w:tcW w:w="1308" w:type="dxa"/>
            <w:tcBorders>
              <w:top w:val="single" w:color="auto" w:sz="4" w:space="0"/>
              <w:left w:val="single" w:color="auto" w:sz="4" w:space="0"/>
              <w:bottom w:val="single" w:color="auto" w:sz="4" w:space="0"/>
              <w:right w:val="single" w:color="auto" w:sz="4" w:space="0"/>
            </w:tcBorders>
            <w:vAlign w:val="center"/>
          </w:tcPr>
          <w:p w14:paraId="6DAE6AF2">
            <w:pPr>
              <w:pStyle w:val="18"/>
              <w:jc w:val="center"/>
              <w:rPr>
                <w:rFonts w:ascii="宋体" w:hAnsi="宋体" w:cs="宋体"/>
                <w:color w:val="auto"/>
                <w:sz w:val="21"/>
                <w:szCs w:val="21"/>
              </w:rPr>
            </w:pPr>
          </w:p>
        </w:tc>
        <w:tc>
          <w:tcPr>
            <w:tcW w:w="915" w:type="dxa"/>
            <w:tcBorders>
              <w:top w:val="single" w:color="auto" w:sz="4" w:space="0"/>
              <w:left w:val="single" w:color="auto" w:sz="4" w:space="0"/>
              <w:bottom w:val="single" w:color="auto" w:sz="4" w:space="0"/>
              <w:right w:val="single" w:color="auto" w:sz="4" w:space="0"/>
            </w:tcBorders>
            <w:vAlign w:val="center"/>
          </w:tcPr>
          <w:p w14:paraId="5F4160D0">
            <w:pPr>
              <w:pStyle w:val="18"/>
              <w:jc w:val="center"/>
              <w:rPr>
                <w:rFonts w:ascii="宋体" w:hAnsi="宋体" w:cs="宋体"/>
                <w:color w:val="auto"/>
                <w:sz w:val="21"/>
                <w:szCs w:val="21"/>
              </w:rPr>
            </w:pPr>
          </w:p>
        </w:tc>
        <w:tc>
          <w:tcPr>
            <w:tcW w:w="928" w:type="dxa"/>
            <w:tcBorders>
              <w:top w:val="single" w:color="auto" w:sz="4" w:space="0"/>
              <w:left w:val="single" w:color="auto" w:sz="4" w:space="0"/>
              <w:bottom w:val="single" w:color="auto" w:sz="4" w:space="0"/>
              <w:right w:val="single" w:color="auto" w:sz="4" w:space="0"/>
            </w:tcBorders>
            <w:vAlign w:val="center"/>
          </w:tcPr>
          <w:p w14:paraId="13CECE79">
            <w:pPr>
              <w:pStyle w:val="18"/>
              <w:jc w:val="center"/>
              <w:rPr>
                <w:rFonts w:ascii="宋体" w:hAnsi="宋体" w:cs="宋体"/>
                <w:color w:val="auto"/>
                <w:sz w:val="21"/>
                <w:szCs w:val="21"/>
              </w:rPr>
            </w:pPr>
          </w:p>
        </w:tc>
        <w:tc>
          <w:tcPr>
            <w:tcW w:w="1134" w:type="dxa"/>
            <w:tcBorders>
              <w:top w:val="single" w:color="auto" w:sz="4" w:space="0"/>
              <w:left w:val="single" w:color="auto" w:sz="4" w:space="0"/>
              <w:bottom w:val="single" w:color="auto" w:sz="4" w:space="0"/>
              <w:right w:val="single" w:color="auto" w:sz="4" w:space="0"/>
            </w:tcBorders>
            <w:vAlign w:val="center"/>
          </w:tcPr>
          <w:p w14:paraId="1923BD3A">
            <w:pPr>
              <w:pStyle w:val="18"/>
              <w:jc w:val="center"/>
              <w:rPr>
                <w:rFonts w:ascii="宋体" w:hAnsi="宋体" w:cs="宋体"/>
                <w:color w:val="auto"/>
                <w:sz w:val="21"/>
                <w:szCs w:val="21"/>
              </w:rPr>
            </w:pPr>
          </w:p>
        </w:tc>
        <w:tc>
          <w:tcPr>
            <w:tcW w:w="1134" w:type="dxa"/>
            <w:tcBorders>
              <w:top w:val="single" w:color="auto" w:sz="4" w:space="0"/>
              <w:left w:val="single" w:color="auto" w:sz="4" w:space="0"/>
              <w:bottom w:val="single" w:color="auto" w:sz="4" w:space="0"/>
              <w:right w:val="single" w:color="auto" w:sz="4" w:space="0"/>
            </w:tcBorders>
          </w:tcPr>
          <w:p w14:paraId="4946DD54">
            <w:pPr>
              <w:pStyle w:val="18"/>
              <w:jc w:val="center"/>
              <w:rPr>
                <w:rFonts w:ascii="宋体" w:hAnsi="宋体" w:cs="宋体"/>
                <w:color w:val="auto"/>
                <w:sz w:val="21"/>
                <w:szCs w:val="21"/>
              </w:rPr>
            </w:pPr>
          </w:p>
        </w:tc>
        <w:tc>
          <w:tcPr>
            <w:tcW w:w="976" w:type="dxa"/>
            <w:tcBorders>
              <w:top w:val="single" w:color="auto" w:sz="4" w:space="0"/>
              <w:left w:val="single" w:color="auto" w:sz="4" w:space="0"/>
              <w:bottom w:val="single" w:color="auto" w:sz="4" w:space="0"/>
              <w:right w:val="single" w:color="auto" w:sz="4" w:space="0"/>
            </w:tcBorders>
            <w:vAlign w:val="center"/>
          </w:tcPr>
          <w:p w14:paraId="7DF4F928">
            <w:pPr>
              <w:pStyle w:val="18"/>
              <w:jc w:val="center"/>
              <w:rPr>
                <w:rFonts w:ascii="宋体" w:hAnsi="宋体" w:cs="宋体"/>
                <w:color w:val="auto"/>
                <w:sz w:val="21"/>
                <w:szCs w:val="21"/>
              </w:rPr>
            </w:pPr>
          </w:p>
        </w:tc>
        <w:tc>
          <w:tcPr>
            <w:tcW w:w="1798" w:type="dxa"/>
            <w:tcBorders>
              <w:top w:val="single" w:color="auto" w:sz="4" w:space="0"/>
              <w:left w:val="single" w:color="auto" w:sz="4" w:space="0"/>
              <w:bottom w:val="single" w:color="auto" w:sz="4" w:space="0"/>
              <w:right w:val="single" w:color="auto" w:sz="4" w:space="0"/>
            </w:tcBorders>
            <w:vAlign w:val="center"/>
          </w:tcPr>
          <w:p w14:paraId="71F51BEB">
            <w:pPr>
              <w:pStyle w:val="18"/>
              <w:jc w:val="center"/>
              <w:rPr>
                <w:rFonts w:ascii="宋体" w:hAnsi="宋体" w:cs="宋体"/>
                <w:color w:val="auto"/>
                <w:sz w:val="21"/>
                <w:szCs w:val="21"/>
              </w:rPr>
            </w:pPr>
          </w:p>
        </w:tc>
      </w:tr>
      <w:tr w14:paraId="52A8142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07" w:type="dxa"/>
            <w:tcBorders>
              <w:top w:val="single" w:color="auto" w:sz="4" w:space="0"/>
              <w:left w:val="single" w:color="auto" w:sz="4" w:space="0"/>
              <w:bottom w:val="single" w:color="auto" w:sz="4" w:space="0"/>
              <w:right w:val="single" w:color="auto" w:sz="4" w:space="0"/>
            </w:tcBorders>
            <w:vAlign w:val="center"/>
          </w:tcPr>
          <w:p w14:paraId="69753E5E">
            <w:pPr>
              <w:pStyle w:val="18"/>
              <w:jc w:val="center"/>
              <w:rPr>
                <w:rFonts w:ascii="宋体" w:hAnsi="宋体" w:cs="宋体"/>
                <w:color w:val="auto"/>
                <w:sz w:val="21"/>
                <w:szCs w:val="21"/>
              </w:rPr>
            </w:pPr>
            <w:r>
              <w:rPr>
                <w:rFonts w:hint="eastAsia" w:ascii="宋体" w:hAnsi="宋体" w:cs="宋体"/>
                <w:color w:val="auto"/>
                <w:sz w:val="21"/>
                <w:szCs w:val="21"/>
              </w:rPr>
              <w:t>4</w:t>
            </w:r>
          </w:p>
        </w:tc>
        <w:tc>
          <w:tcPr>
            <w:tcW w:w="1308" w:type="dxa"/>
            <w:tcBorders>
              <w:top w:val="single" w:color="auto" w:sz="4" w:space="0"/>
              <w:left w:val="single" w:color="auto" w:sz="4" w:space="0"/>
              <w:bottom w:val="single" w:color="auto" w:sz="4" w:space="0"/>
              <w:right w:val="single" w:color="auto" w:sz="4" w:space="0"/>
            </w:tcBorders>
            <w:vAlign w:val="center"/>
          </w:tcPr>
          <w:p w14:paraId="7801ECCF">
            <w:pPr>
              <w:pStyle w:val="18"/>
              <w:jc w:val="center"/>
              <w:rPr>
                <w:rFonts w:ascii="宋体" w:hAnsi="宋体" w:cs="宋体"/>
                <w:color w:val="auto"/>
                <w:sz w:val="21"/>
                <w:szCs w:val="21"/>
              </w:rPr>
            </w:pPr>
          </w:p>
        </w:tc>
        <w:tc>
          <w:tcPr>
            <w:tcW w:w="915" w:type="dxa"/>
            <w:tcBorders>
              <w:top w:val="single" w:color="auto" w:sz="4" w:space="0"/>
              <w:left w:val="single" w:color="auto" w:sz="4" w:space="0"/>
              <w:bottom w:val="single" w:color="auto" w:sz="4" w:space="0"/>
              <w:right w:val="single" w:color="auto" w:sz="4" w:space="0"/>
            </w:tcBorders>
            <w:vAlign w:val="center"/>
          </w:tcPr>
          <w:p w14:paraId="3FB802CC">
            <w:pPr>
              <w:pStyle w:val="18"/>
              <w:jc w:val="center"/>
              <w:rPr>
                <w:rFonts w:ascii="宋体" w:hAnsi="宋体" w:cs="宋体"/>
                <w:color w:val="auto"/>
                <w:sz w:val="21"/>
                <w:szCs w:val="21"/>
              </w:rPr>
            </w:pPr>
          </w:p>
        </w:tc>
        <w:tc>
          <w:tcPr>
            <w:tcW w:w="928" w:type="dxa"/>
            <w:tcBorders>
              <w:top w:val="single" w:color="auto" w:sz="4" w:space="0"/>
              <w:left w:val="single" w:color="auto" w:sz="4" w:space="0"/>
              <w:bottom w:val="single" w:color="auto" w:sz="4" w:space="0"/>
              <w:right w:val="single" w:color="auto" w:sz="4" w:space="0"/>
            </w:tcBorders>
            <w:vAlign w:val="center"/>
          </w:tcPr>
          <w:p w14:paraId="549EAACC">
            <w:pPr>
              <w:pStyle w:val="18"/>
              <w:jc w:val="center"/>
              <w:rPr>
                <w:rFonts w:ascii="宋体" w:hAnsi="宋体" w:cs="宋体"/>
                <w:color w:val="auto"/>
                <w:sz w:val="21"/>
                <w:szCs w:val="21"/>
              </w:rPr>
            </w:pPr>
          </w:p>
        </w:tc>
        <w:tc>
          <w:tcPr>
            <w:tcW w:w="1134" w:type="dxa"/>
            <w:tcBorders>
              <w:top w:val="single" w:color="auto" w:sz="4" w:space="0"/>
              <w:left w:val="single" w:color="auto" w:sz="4" w:space="0"/>
              <w:bottom w:val="single" w:color="auto" w:sz="4" w:space="0"/>
              <w:right w:val="single" w:color="auto" w:sz="4" w:space="0"/>
            </w:tcBorders>
            <w:vAlign w:val="center"/>
          </w:tcPr>
          <w:p w14:paraId="4177EB0A">
            <w:pPr>
              <w:pStyle w:val="18"/>
              <w:jc w:val="center"/>
              <w:rPr>
                <w:rFonts w:ascii="宋体" w:hAnsi="宋体" w:cs="宋体"/>
                <w:color w:val="auto"/>
                <w:sz w:val="21"/>
                <w:szCs w:val="21"/>
              </w:rPr>
            </w:pPr>
          </w:p>
        </w:tc>
        <w:tc>
          <w:tcPr>
            <w:tcW w:w="1134" w:type="dxa"/>
            <w:tcBorders>
              <w:top w:val="single" w:color="auto" w:sz="4" w:space="0"/>
              <w:left w:val="single" w:color="auto" w:sz="4" w:space="0"/>
              <w:bottom w:val="single" w:color="auto" w:sz="4" w:space="0"/>
              <w:right w:val="single" w:color="auto" w:sz="4" w:space="0"/>
            </w:tcBorders>
          </w:tcPr>
          <w:p w14:paraId="2809B4D5">
            <w:pPr>
              <w:pStyle w:val="18"/>
              <w:jc w:val="center"/>
              <w:rPr>
                <w:rFonts w:ascii="宋体" w:hAnsi="宋体" w:cs="宋体"/>
                <w:color w:val="auto"/>
                <w:sz w:val="21"/>
                <w:szCs w:val="21"/>
              </w:rPr>
            </w:pPr>
          </w:p>
        </w:tc>
        <w:tc>
          <w:tcPr>
            <w:tcW w:w="976" w:type="dxa"/>
            <w:tcBorders>
              <w:top w:val="single" w:color="auto" w:sz="4" w:space="0"/>
              <w:left w:val="single" w:color="auto" w:sz="4" w:space="0"/>
              <w:bottom w:val="single" w:color="auto" w:sz="4" w:space="0"/>
              <w:right w:val="single" w:color="auto" w:sz="4" w:space="0"/>
            </w:tcBorders>
            <w:vAlign w:val="center"/>
          </w:tcPr>
          <w:p w14:paraId="0B1145F5">
            <w:pPr>
              <w:pStyle w:val="18"/>
              <w:jc w:val="center"/>
              <w:rPr>
                <w:rFonts w:ascii="宋体" w:hAnsi="宋体" w:cs="宋体"/>
                <w:color w:val="auto"/>
                <w:sz w:val="21"/>
                <w:szCs w:val="21"/>
              </w:rPr>
            </w:pPr>
          </w:p>
        </w:tc>
        <w:tc>
          <w:tcPr>
            <w:tcW w:w="1798" w:type="dxa"/>
            <w:tcBorders>
              <w:top w:val="single" w:color="auto" w:sz="4" w:space="0"/>
              <w:left w:val="single" w:color="auto" w:sz="4" w:space="0"/>
              <w:bottom w:val="single" w:color="auto" w:sz="4" w:space="0"/>
              <w:right w:val="single" w:color="auto" w:sz="4" w:space="0"/>
            </w:tcBorders>
            <w:vAlign w:val="center"/>
          </w:tcPr>
          <w:p w14:paraId="18D0CDAC">
            <w:pPr>
              <w:pStyle w:val="18"/>
              <w:jc w:val="center"/>
              <w:rPr>
                <w:rFonts w:ascii="宋体" w:hAnsi="宋体" w:cs="宋体"/>
                <w:color w:val="auto"/>
                <w:sz w:val="21"/>
                <w:szCs w:val="21"/>
              </w:rPr>
            </w:pPr>
          </w:p>
        </w:tc>
      </w:tr>
      <w:tr w14:paraId="65B1527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07" w:type="dxa"/>
            <w:tcBorders>
              <w:top w:val="single" w:color="auto" w:sz="4" w:space="0"/>
              <w:left w:val="single" w:color="auto" w:sz="4" w:space="0"/>
              <w:bottom w:val="single" w:color="auto" w:sz="4" w:space="0"/>
              <w:right w:val="single" w:color="auto" w:sz="4" w:space="0"/>
            </w:tcBorders>
            <w:vAlign w:val="center"/>
          </w:tcPr>
          <w:p w14:paraId="535B5DA0">
            <w:pPr>
              <w:pStyle w:val="18"/>
              <w:jc w:val="center"/>
              <w:rPr>
                <w:rFonts w:ascii="宋体" w:hAnsi="宋体" w:cs="宋体"/>
                <w:color w:val="auto"/>
                <w:sz w:val="21"/>
                <w:szCs w:val="21"/>
              </w:rPr>
            </w:pPr>
            <w:r>
              <w:rPr>
                <w:rFonts w:hint="eastAsia" w:ascii="宋体" w:hAnsi="宋体" w:cs="宋体"/>
                <w:color w:val="auto"/>
                <w:sz w:val="21"/>
                <w:szCs w:val="21"/>
              </w:rPr>
              <w:t>5</w:t>
            </w:r>
          </w:p>
        </w:tc>
        <w:tc>
          <w:tcPr>
            <w:tcW w:w="1308" w:type="dxa"/>
            <w:tcBorders>
              <w:top w:val="single" w:color="auto" w:sz="4" w:space="0"/>
              <w:left w:val="single" w:color="auto" w:sz="4" w:space="0"/>
              <w:bottom w:val="single" w:color="auto" w:sz="4" w:space="0"/>
              <w:right w:val="single" w:color="auto" w:sz="4" w:space="0"/>
            </w:tcBorders>
            <w:vAlign w:val="center"/>
          </w:tcPr>
          <w:p w14:paraId="7830A82A">
            <w:pPr>
              <w:pStyle w:val="18"/>
              <w:jc w:val="center"/>
              <w:rPr>
                <w:rFonts w:ascii="宋体" w:hAnsi="宋体" w:cs="宋体"/>
                <w:color w:val="auto"/>
                <w:sz w:val="21"/>
                <w:szCs w:val="21"/>
              </w:rPr>
            </w:pPr>
          </w:p>
        </w:tc>
        <w:tc>
          <w:tcPr>
            <w:tcW w:w="915" w:type="dxa"/>
            <w:tcBorders>
              <w:top w:val="single" w:color="auto" w:sz="4" w:space="0"/>
              <w:left w:val="single" w:color="auto" w:sz="4" w:space="0"/>
              <w:bottom w:val="single" w:color="auto" w:sz="4" w:space="0"/>
              <w:right w:val="single" w:color="auto" w:sz="4" w:space="0"/>
            </w:tcBorders>
            <w:vAlign w:val="center"/>
          </w:tcPr>
          <w:p w14:paraId="4D871D11">
            <w:pPr>
              <w:pStyle w:val="18"/>
              <w:jc w:val="center"/>
              <w:rPr>
                <w:rFonts w:ascii="宋体" w:hAnsi="宋体" w:cs="宋体"/>
                <w:color w:val="auto"/>
                <w:sz w:val="21"/>
                <w:szCs w:val="21"/>
              </w:rPr>
            </w:pPr>
          </w:p>
        </w:tc>
        <w:tc>
          <w:tcPr>
            <w:tcW w:w="928" w:type="dxa"/>
            <w:tcBorders>
              <w:top w:val="single" w:color="auto" w:sz="4" w:space="0"/>
              <w:left w:val="single" w:color="auto" w:sz="4" w:space="0"/>
              <w:bottom w:val="single" w:color="auto" w:sz="4" w:space="0"/>
              <w:right w:val="single" w:color="auto" w:sz="4" w:space="0"/>
            </w:tcBorders>
            <w:vAlign w:val="center"/>
          </w:tcPr>
          <w:p w14:paraId="5A753D84">
            <w:pPr>
              <w:pStyle w:val="18"/>
              <w:jc w:val="center"/>
              <w:rPr>
                <w:rFonts w:ascii="宋体" w:hAnsi="宋体" w:cs="宋体"/>
                <w:color w:val="auto"/>
                <w:sz w:val="21"/>
                <w:szCs w:val="21"/>
              </w:rPr>
            </w:pPr>
          </w:p>
        </w:tc>
        <w:tc>
          <w:tcPr>
            <w:tcW w:w="1134" w:type="dxa"/>
            <w:tcBorders>
              <w:top w:val="single" w:color="auto" w:sz="4" w:space="0"/>
              <w:left w:val="single" w:color="auto" w:sz="4" w:space="0"/>
              <w:bottom w:val="single" w:color="auto" w:sz="4" w:space="0"/>
              <w:right w:val="single" w:color="auto" w:sz="4" w:space="0"/>
            </w:tcBorders>
            <w:vAlign w:val="center"/>
          </w:tcPr>
          <w:p w14:paraId="08A6FB96">
            <w:pPr>
              <w:pStyle w:val="18"/>
              <w:jc w:val="center"/>
              <w:rPr>
                <w:rFonts w:ascii="宋体" w:hAnsi="宋体" w:cs="宋体"/>
                <w:color w:val="auto"/>
                <w:sz w:val="21"/>
                <w:szCs w:val="21"/>
              </w:rPr>
            </w:pPr>
          </w:p>
        </w:tc>
        <w:tc>
          <w:tcPr>
            <w:tcW w:w="1134" w:type="dxa"/>
            <w:tcBorders>
              <w:top w:val="single" w:color="auto" w:sz="4" w:space="0"/>
              <w:left w:val="single" w:color="auto" w:sz="4" w:space="0"/>
              <w:bottom w:val="single" w:color="auto" w:sz="4" w:space="0"/>
              <w:right w:val="single" w:color="auto" w:sz="4" w:space="0"/>
            </w:tcBorders>
          </w:tcPr>
          <w:p w14:paraId="0375A912">
            <w:pPr>
              <w:pStyle w:val="18"/>
              <w:jc w:val="center"/>
              <w:rPr>
                <w:rFonts w:ascii="宋体" w:hAnsi="宋体" w:cs="宋体"/>
                <w:color w:val="auto"/>
                <w:sz w:val="21"/>
                <w:szCs w:val="21"/>
              </w:rPr>
            </w:pPr>
          </w:p>
        </w:tc>
        <w:tc>
          <w:tcPr>
            <w:tcW w:w="976" w:type="dxa"/>
            <w:tcBorders>
              <w:top w:val="single" w:color="auto" w:sz="4" w:space="0"/>
              <w:left w:val="single" w:color="auto" w:sz="4" w:space="0"/>
              <w:bottom w:val="single" w:color="auto" w:sz="4" w:space="0"/>
              <w:right w:val="single" w:color="auto" w:sz="4" w:space="0"/>
            </w:tcBorders>
            <w:vAlign w:val="center"/>
          </w:tcPr>
          <w:p w14:paraId="734DAAB0">
            <w:pPr>
              <w:pStyle w:val="18"/>
              <w:jc w:val="center"/>
              <w:rPr>
                <w:rFonts w:ascii="宋体" w:hAnsi="宋体" w:cs="宋体"/>
                <w:color w:val="auto"/>
                <w:sz w:val="21"/>
                <w:szCs w:val="21"/>
              </w:rPr>
            </w:pPr>
          </w:p>
        </w:tc>
        <w:tc>
          <w:tcPr>
            <w:tcW w:w="1798" w:type="dxa"/>
            <w:tcBorders>
              <w:top w:val="single" w:color="auto" w:sz="4" w:space="0"/>
              <w:left w:val="single" w:color="auto" w:sz="4" w:space="0"/>
              <w:bottom w:val="single" w:color="auto" w:sz="4" w:space="0"/>
              <w:right w:val="single" w:color="auto" w:sz="4" w:space="0"/>
            </w:tcBorders>
            <w:vAlign w:val="center"/>
          </w:tcPr>
          <w:p w14:paraId="118BD68B">
            <w:pPr>
              <w:pStyle w:val="18"/>
              <w:jc w:val="center"/>
              <w:rPr>
                <w:rFonts w:ascii="宋体" w:hAnsi="宋体" w:cs="宋体"/>
                <w:color w:val="auto"/>
                <w:sz w:val="21"/>
                <w:szCs w:val="21"/>
              </w:rPr>
            </w:pPr>
          </w:p>
        </w:tc>
      </w:tr>
      <w:tr w14:paraId="3F82C2A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07" w:type="dxa"/>
            <w:tcBorders>
              <w:top w:val="single" w:color="auto" w:sz="4" w:space="0"/>
              <w:left w:val="single" w:color="auto" w:sz="4" w:space="0"/>
              <w:bottom w:val="single" w:color="auto" w:sz="4" w:space="0"/>
              <w:right w:val="single" w:color="auto" w:sz="4" w:space="0"/>
            </w:tcBorders>
            <w:vAlign w:val="center"/>
          </w:tcPr>
          <w:p w14:paraId="7C44E35C">
            <w:pPr>
              <w:pStyle w:val="18"/>
              <w:jc w:val="center"/>
              <w:rPr>
                <w:rFonts w:ascii="宋体" w:hAnsi="宋体" w:cs="宋体"/>
                <w:color w:val="auto"/>
                <w:sz w:val="21"/>
                <w:szCs w:val="21"/>
              </w:rPr>
            </w:pPr>
            <w:r>
              <w:rPr>
                <w:rFonts w:hint="eastAsia" w:ascii="宋体" w:hAnsi="宋体" w:cs="宋体"/>
                <w:color w:val="auto"/>
                <w:sz w:val="21"/>
                <w:szCs w:val="21"/>
              </w:rPr>
              <w:t>6</w:t>
            </w:r>
          </w:p>
        </w:tc>
        <w:tc>
          <w:tcPr>
            <w:tcW w:w="1308" w:type="dxa"/>
            <w:tcBorders>
              <w:top w:val="single" w:color="auto" w:sz="4" w:space="0"/>
              <w:left w:val="single" w:color="auto" w:sz="4" w:space="0"/>
              <w:bottom w:val="single" w:color="auto" w:sz="4" w:space="0"/>
              <w:right w:val="single" w:color="auto" w:sz="4" w:space="0"/>
            </w:tcBorders>
            <w:vAlign w:val="center"/>
          </w:tcPr>
          <w:p w14:paraId="177AF548">
            <w:pPr>
              <w:pStyle w:val="18"/>
              <w:jc w:val="center"/>
              <w:rPr>
                <w:rFonts w:ascii="宋体" w:hAnsi="宋体" w:cs="宋体"/>
                <w:color w:val="auto"/>
                <w:sz w:val="21"/>
                <w:szCs w:val="21"/>
              </w:rPr>
            </w:pPr>
          </w:p>
        </w:tc>
        <w:tc>
          <w:tcPr>
            <w:tcW w:w="915" w:type="dxa"/>
            <w:tcBorders>
              <w:top w:val="single" w:color="auto" w:sz="4" w:space="0"/>
              <w:left w:val="single" w:color="auto" w:sz="4" w:space="0"/>
              <w:bottom w:val="single" w:color="auto" w:sz="4" w:space="0"/>
              <w:right w:val="single" w:color="auto" w:sz="4" w:space="0"/>
            </w:tcBorders>
            <w:vAlign w:val="center"/>
          </w:tcPr>
          <w:p w14:paraId="0C1CB79B">
            <w:pPr>
              <w:pStyle w:val="18"/>
              <w:jc w:val="center"/>
              <w:rPr>
                <w:rFonts w:ascii="宋体" w:hAnsi="宋体" w:cs="宋体"/>
                <w:color w:val="auto"/>
                <w:sz w:val="21"/>
                <w:szCs w:val="21"/>
              </w:rPr>
            </w:pPr>
          </w:p>
        </w:tc>
        <w:tc>
          <w:tcPr>
            <w:tcW w:w="928" w:type="dxa"/>
            <w:tcBorders>
              <w:top w:val="single" w:color="auto" w:sz="4" w:space="0"/>
              <w:left w:val="single" w:color="auto" w:sz="4" w:space="0"/>
              <w:bottom w:val="single" w:color="auto" w:sz="4" w:space="0"/>
              <w:right w:val="single" w:color="auto" w:sz="4" w:space="0"/>
            </w:tcBorders>
            <w:vAlign w:val="center"/>
          </w:tcPr>
          <w:p w14:paraId="7BECD18B">
            <w:pPr>
              <w:pStyle w:val="18"/>
              <w:jc w:val="center"/>
              <w:rPr>
                <w:rFonts w:ascii="宋体" w:hAnsi="宋体" w:cs="宋体"/>
                <w:color w:val="auto"/>
                <w:sz w:val="21"/>
                <w:szCs w:val="21"/>
              </w:rPr>
            </w:pPr>
          </w:p>
        </w:tc>
        <w:tc>
          <w:tcPr>
            <w:tcW w:w="1134" w:type="dxa"/>
            <w:tcBorders>
              <w:top w:val="single" w:color="auto" w:sz="4" w:space="0"/>
              <w:left w:val="single" w:color="auto" w:sz="4" w:space="0"/>
              <w:bottom w:val="single" w:color="auto" w:sz="4" w:space="0"/>
              <w:right w:val="single" w:color="auto" w:sz="4" w:space="0"/>
            </w:tcBorders>
            <w:vAlign w:val="center"/>
          </w:tcPr>
          <w:p w14:paraId="00839B5C">
            <w:pPr>
              <w:pStyle w:val="18"/>
              <w:jc w:val="center"/>
              <w:rPr>
                <w:rFonts w:ascii="宋体" w:hAnsi="宋体" w:cs="宋体"/>
                <w:color w:val="auto"/>
                <w:sz w:val="21"/>
                <w:szCs w:val="21"/>
              </w:rPr>
            </w:pPr>
          </w:p>
        </w:tc>
        <w:tc>
          <w:tcPr>
            <w:tcW w:w="1134" w:type="dxa"/>
            <w:tcBorders>
              <w:top w:val="single" w:color="auto" w:sz="4" w:space="0"/>
              <w:left w:val="single" w:color="auto" w:sz="4" w:space="0"/>
              <w:bottom w:val="single" w:color="auto" w:sz="4" w:space="0"/>
              <w:right w:val="single" w:color="auto" w:sz="4" w:space="0"/>
            </w:tcBorders>
          </w:tcPr>
          <w:p w14:paraId="66E0C659">
            <w:pPr>
              <w:pStyle w:val="18"/>
              <w:jc w:val="center"/>
              <w:rPr>
                <w:rFonts w:ascii="宋体" w:hAnsi="宋体" w:cs="宋体"/>
                <w:color w:val="auto"/>
                <w:sz w:val="21"/>
                <w:szCs w:val="21"/>
              </w:rPr>
            </w:pPr>
          </w:p>
        </w:tc>
        <w:tc>
          <w:tcPr>
            <w:tcW w:w="976" w:type="dxa"/>
            <w:tcBorders>
              <w:top w:val="single" w:color="auto" w:sz="4" w:space="0"/>
              <w:left w:val="single" w:color="auto" w:sz="4" w:space="0"/>
              <w:bottom w:val="single" w:color="auto" w:sz="4" w:space="0"/>
              <w:right w:val="single" w:color="auto" w:sz="4" w:space="0"/>
            </w:tcBorders>
            <w:vAlign w:val="center"/>
          </w:tcPr>
          <w:p w14:paraId="7668BE49">
            <w:pPr>
              <w:pStyle w:val="18"/>
              <w:jc w:val="center"/>
              <w:rPr>
                <w:rFonts w:ascii="宋体" w:hAnsi="宋体" w:cs="宋体"/>
                <w:color w:val="auto"/>
                <w:sz w:val="21"/>
                <w:szCs w:val="21"/>
              </w:rPr>
            </w:pPr>
          </w:p>
        </w:tc>
        <w:tc>
          <w:tcPr>
            <w:tcW w:w="1798" w:type="dxa"/>
            <w:tcBorders>
              <w:top w:val="single" w:color="auto" w:sz="4" w:space="0"/>
              <w:left w:val="single" w:color="auto" w:sz="4" w:space="0"/>
              <w:bottom w:val="single" w:color="auto" w:sz="4" w:space="0"/>
              <w:right w:val="single" w:color="auto" w:sz="4" w:space="0"/>
            </w:tcBorders>
            <w:vAlign w:val="center"/>
          </w:tcPr>
          <w:p w14:paraId="23397C18">
            <w:pPr>
              <w:pStyle w:val="18"/>
              <w:jc w:val="center"/>
              <w:rPr>
                <w:rFonts w:ascii="宋体" w:hAnsi="宋体" w:cs="宋体"/>
                <w:color w:val="auto"/>
                <w:sz w:val="21"/>
                <w:szCs w:val="21"/>
              </w:rPr>
            </w:pPr>
          </w:p>
        </w:tc>
      </w:tr>
      <w:tr w14:paraId="7D0A091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07" w:type="dxa"/>
            <w:tcBorders>
              <w:top w:val="single" w:color="auto" w:sz="4" w:space="0"/>
              <w:left w:val="single" w:color="auto" w:sz="4" w:space="0"/>
              <w:bottom w:val="single" w:color="auto" w:sz="4" w:space="0"/>
              <w:right w:val="single" w:color="auto" w:sz="4" w:space="0"/>
            </w:tcBorders>
            <w:vAlign w:val="center"/>
          </w:tcPr>
          <w:p w14:paraId="61705B8C">
            <w:pPr>
              <w:rPr>
                <w:rFonts w:ascii="宋体" w:hAnsi="宋体" w:cs="宋体"/>
                <w:color w:val="auto"/>
                <w:szCs w:val="21"/>
              </w:rPr>
            </w:pPr>
            <w:r>
              <w:rPr>
                <w:rFonts w:hint="eastAsia" w:ascii="宋体" w:hAnsi="宋体" w:cs="宋体"/>
                <w:color w:val="auto"/>
                <w:szCs w:val="21"/>
              </w:rPr>
              <w:t>…</w:t>
            </w:r>
          </w:p>
        </w:tc>
        <w:tc>
          <w:tcPr>
            <w:tcW w:w="1308" w:type="dxa"/>
            <w:tcBorders>
              <w:top w:val="single" w:color="auto" w:sz="4" w:space="0"/>
              <w:left w:val="single" w:color="auto" w:sz="4" w:space="0"/>
              <w:bottom w:val="single" w:color="auto" w:sz="4" w:space="0"/>
              <w:right w:val="single" w:color="auto" w:sz="4" w:space="0"/>
            </w:tcBorders>
            <w:vAlign w:val="center"/>
          </w:tcPr>
          <w:p w14:paraId="02410FDD">
            <w:pPr>
              <w:rPr>
                <w:rFonts w:ascii="宋体" w:hAnsi="宋体" w:cs="宋体"/>
                <w:color w:val="auto"/>
                <w:szCs w:val="21"/>
              </w:rPr>
            </w:pPr>
          </w:p>
        </w:tc>
        <w:tc>
          <w:tcPr>
            <w:tcW w:w="915" w:type="dxa"/>
            <w:tcBorders>
              <w:top w:val="single" w:color="auto" w:sz="4" w:space="0"/>
              <w:left w:val="single" w:color="auto" w:sz="4" w:space="0"/>
              <w:bottom w:val="single" w:color="auto" w:sz="4" w:space="0"/>
              <w:right w:val="single" w:color="auto" w:sz="4" w:space="0"/>
            </w:tcBorders>
            <w:vAlign w:val="center"/>
          </w:tcPr>
          <w:p w14:paraId="176C2FBE">
            <w:pPr>
              <w:rPr>
                <w:rFonts w:ascii="宋体" w:hAnsi="宋体" w:cs="宋体"/>
                <w:color w:val="auto"/>
                <w:szCs w:val="21"/>
              </w:rPr>
            </w:pPr>
          </w:p>
        </w:tc>
        <w:tc>
          <w:tcPr>
            <w:tcW w:w="928" w:type="dxa"/>
            <w:tcBorders>
              <w:top w:val="single" w:color="auto" w:sz="4" w:space="0"/>
              <w:left w:val="single" w:color="auto" w:sz="4" w:space="0"/>
              <w:bottom w:val="single" w:color="auto" w:sz="4" w:space="0"/>
              <w:right w:val="single" w:color="auto" w:sz="4" w:space="0"/>
            </w:tcBorders>
            <w:vAlign w:val="center"/>
          </w:tcPr>
          <w:p w14:paraId="6FBC50EB">
            <w:pPr>
              <w:rPr>
                <w:rFonts w:ascii="宋体" w:hAnsi="宋体" w:cs="宋体"/>
                <w:color w:val="auto"/>
                <w:szCs w:val="21"/>
              </w:rPr>
            </w:pPr>
          </w:p>
        </w:tc>
        <w:tc>
          <w:tcPr>
            <w:tcW w:w="1134" w:type="dxa"/>
            <w:tcBorders>
              <w:top w:val="single" w:color="auto" w:sz="4" w:space="0"/>
              <w:left w:val="single" w:color="auto" w:sz="4" w:space="0"/>
              <w:bottom w:val="single" w:color="auto" w:sz="4" w:space="0"/>
              <w:right w:val="single" w:color="auto" w:sz="4" w:space="0"/>
            </w:tcBorders>
            <w:vAlign w:val="center"/>
          </w:tcPr>
          <w:p w14:paraId="740E7E22">
            <w:pPr>
              <w:rPr>
                <w:rFonts w:ascii="宋体" w:hAnsi="宋体" w:cs="宋体"/>
                <w:color w:val="auto"/>
                <w:szCs w:val="21"/>
              </w:rPr>
            </w:pPr>
          </w:p>
        </w:tc>
        <w:tc>
          <w:tcPr>
            <w:tcW w:w="1134" w:type="dxa"/>
            <w:tcBorders>
              <w:top w:val="single" w:color="auto" w:sz="4" w:space="0"/>
              <w:left w:val="single" w:color="auto" w:sz="4" w:space="0"/>
              <w:bottom w:val="single" w:color="auto" w:sz="4" w:space="0"/>
              <w:right w:val="single" w:color="auto" w:sz="4" w:space="0"/>
            </w:tcBorders>
          </w:tcPr>
          <w:p w14:paraId="25861437">
            <w:pPr>
              <w:rPr>
                <w:rFonts w:ascii="宋体" w:hAnsi="宋体" w:cs="宋体"/>
                <w:color w:val="auto"/>
                <w:szCs w:val="21"/>
              </w:rPr>
            </w:pPr>
          </w:p>
        </w:tc>
        <w:tc>
          <w:tcPr>
            <w:tcW w:w="976" w:type="dxa"/>
            <w:tcBorders>
              <w:top w:val="single" w:color="auto" w:sz="4" w:space="0"/>
              <w:left w:val="single" w:color="auto" w:sz="4" w:space="0"/>
              <w:bottom w:val="single" w:color="auto" w:sz="4" w:space="0"/>
              <w:right w:val="single" w:color="auto" w:sz="4" w:space="0"/>
            </w:tcBorders>
            <w:vAlign w:val="center"/>
          </w:tcPr>
          <w:p w14:paraId="6CDAA00D">
            <w:pPr>
              <w:rPr>
                <w:rFonts w:ascii="宋体" w:hAnsi="宋体" w:cs="宋体"/>
                <w:color w:val="auto"/>
                <w:szCs w:val="21"/>
              </w:rPr>
            </w:pPr>
          </w:p>
        </w:tc>
        <w:tc>
          <w:tcPr>
            <w:tcW w:w="1798" w:type="dxa"/>
            <w:tcBorders>
              <w:top w:val="single" w:color="auto" w:sz="4" w:space="0"/>
              <w:left w:val="single" w:color="auto" w:sz="4" w:space="0"/>
              <w:bottom w:val="single" w:color="auto" w:sz="4" w:space="0"/>
              <w:right w:val="single" w:color="auto" w:sz="4" w:space="0"/>
            </w:tcBorders>
            <w:vAlign w:val="center"/>
          </w:tcPr>
          <w:p w14:paraId="1AE8F069">
            <w:pPr>
              <w:rPr>
                <w:rFonts w:ascii="宋体" w:hAnsi="宋体" w:cs="宋体"/>
                <w:color w:val="auto"/>
                <w:szCs w:val="21"/>
              </w:rPr>
            </w:pPr>
          </w:p>
        </w:tc>
      </w:tr>
    </w:tbl>
    <w:p w14:paraId="497395EE">
      <w:pPr>
        <w:spacing w:line="360" w:lineRule="auto"/>
        <w:rPr>
          <w:rFonts w:ascii="宋体" w:hAnsi="宋体" w:cs="宋体"/>
          <w:b/>
          <w:color w:val="auto"/>
          <w:szCs w:val="21"/>
        </w:rPr>
      </w:pPr>
      <w:r>
        <w:rPr>
          <w:rFonts w:hint="eastAsia" w:ascii="宋体" w:hAnsi="宋体" w:cs="宋体"/>
          <w:b/>
          <w:color w:val="auto"/>
          <w:szCs w:val="21"/>
        </w:rPr>
        <w:t>注：1</w:t>
      </w:r>
      <w:r>
        <w:rPr>
          <w:rFonts w:hint="eastAsia" w:ascii="宋体" w:hAnsi="宋体" w:cs="宋体"/>
          <w:b/>
          <w:color w:val="auto"/>
          <w:szCs w:val="21"/>
          <w:lang w:val="en-US" w:eastAsia="zh-CN"/>
        </w:rPr>
        <w:t>.</w:t>
      </w:r>
      <w:r>
        <w:rPr>
          <w:rFonts w:hint="eastAsia" w:ascii="宋体" w:hAnsi="宋体" w:cs="宋体"/>
          <w:b/>
          <w:color w:val="auto"/>
          <w:szCs w:val="21"/>
        </w:rPr>
        <w:t>“项目实施人员”指投标单位针对该项目实施所配备的人员。</w:t>
      </w:r>
    </w:p>
    <w:p w14:paraId="3500A930">
      <w:pPr>
        <w:spacing w:line="360" w:lineRule="auto"/>
        <w:rPr>
          <w:rFonts w:ascii="宋体" w:hAnsi="宋体" w:cs="宋体"/>
          <w:b/>
          <w:color w:val="auto"/>
          <w:szCs w:val="21"/>
        </w:rPr>
      </w:pPr>
      <w:r>
        <w:rPr>
          <w:rFonts w:hint="eastAsia" w:ascii="宋体" w:hAnsi="宋体" w:cs="宋体"/>
          <w:b/>
          <w:color w:val="auto"/>
          <w:szCs w:val="21"/>
        </w:rPr>
        <w:t xml:space="preserve">    2</w:t>
      </w:r>
      <w:r>
        <w:rPr>
          <w:rFonts w:hint="eastAsia" w:ascii="宋体" w:hAnsi="宋体" w:cs="宋体"/>
          <w:b/>
          <w:color w:val="auto"/>
          <w:szCs w:val="21"/>
          <w:lang w:val="en-US" w:eastAsia="zh-CN"/>
        </w:rPr>
        <w:t>.</w:t>
      </w:r>
      <w:r>
        <w:rPr>
          <w:rFonts w:hint="eastAsia" w:ascii="宋体" w:hAnsi="宋体" w:cs="宋体"/>
          <w:b/>
          <w:color w:val="auto"/>
          <w:szCs w:val="21"/>
        </w:rPr>
        <w:t>后附各专业人员相关证明材料扫描件；项目负责人须填写简历表。</w:t>
      </w:r>
    </w:p>
    <w:p w14:paraId="68DDAA16">
      <w:pPr>
        <w:spacing w:line="360" w:lineRule="auto"/>
        <w:ind w:firstLine="481"/>
        <w:rPr>
          <w:rFonts w:ascii="宋体" w:hAnsi="宋体" w:cs="宋体"/>
          <w:b/>
          <w:color w:val="auto"/>
          <w:szCs w:val="21"/>
        </w:rPr>
      </w:pPr>
      <w:r>
        <w:rPr>
          <w:rFonts w:hint="eastAsia" w:ascii="宋体" w:hAnsi="宋体" w:cs="宋体"/>
          <w:b/>
          <w:color w:val="auto"/>
          <w:szCs w:val="21"/>
        </w:rPr>
        <w:t>3</w:t>
      </w:r>
      <w:r>
        <w:rPr>
          <w:rFonts w:hint="eastAsia" w:ascii="宋体" w:hAnsi="宋体" w:cs="宋体"/>
          <w:b/>
          <w:color w:val="auto"/>
          <w:szCs w:val="21"/>
          <w:lang w:val="en-US" w:eastAsia="zh-CN"/>
        </w:rPr>
        <w:t>.</w:t>
      </w:r>
      <w:r>
        <w:rPr>
          <w:rFonts w:hint="eastAsia" w:ascii="宋体" w:hAnsi="宋体" w:cs="宋体"/>
          <w:b/>
          <w:color w:val="auto"/>
          <w:szCs w:val="21"/>
        </w:rPr>
        <w:t>表格不够填写可添加。如本表格不适合投标人的实际情况，可自行制表填写。</w:t>
      </w:r>
    </w:p>
    <w:p w14:paraId="5EDE4E0D">
      <w:pPr>
        <w:spacing w:line="360" w:lineRule="auto"/>
        <w:rPr>
          <w:rFonts w:ascii="宋体" w:hAnsi="宋体" w:cs="宋体"/>
          <w:b/>
          <w:color w:val="auto"/>
          <w:sz w:val="24"/>
        </w:rPr>
      </w:pPr>
    </w:p>
    <w:p w14:paraId="5C6AB42A">
      <w:pPr>
        <w:spacing w:line="360" w:lineRule="auto"/>
        <w:rPr>
          <w:rFonts w:ascii="宋体" w:hAnsi="宋体" w:cs="宋体"/>
          <w:b/>
          <w:color w:val="auto"/>
          <w:sz w:val="24"/>
        </w:rPr>
      </w:pPr>
    </w:p>
    <w:p w14:paraId="4391263E">
      <w:pPr>
        <w:snapToGrid w:val="0"/>
        <w:spacing w:before="50" w:after="50" w:line="360" w:lineRule="auto"/>
        <w:rPr>
          <w:rFonts w:ascii="宋体" w:hAnsi="宋体" w:cs="宋体"/>
          <w:color w:val="auto"/>
          <w:spacing w:val="20"/>
          <w:sz w:val="24"/>
          <w:u w:val="single"/>
        </w:rPr>
      </w:pPr>
      <w:bookmarkStart w:id="71" w:name="OLE_LINK32"/>
      <w:r>
        <w:rPr>
          <w:rFonts w:hint="eastAsia" w:ascii="宋体" w:hAnsi="宋体" w:cs="宋体"/>
          <w:color w:val="auto"/>
          <w:sz w:val="24"/>
        </w:rPr>
        <w:t>法定代表人签字或盖章</w:t>
      </w:r>
      <w:r>
        <w:rPr>
          <w:rFonts w:hint="eastAsia" w:ascii="宋体" w:hAnsi="宋体" w:cs="宋体"/>
          <w:color w:val="auto"/>
          <w:spacing w:val="20"/>
          <w:sz w:val="24"/>
        </w:rPr>
        <w:t>：</w:t>
      </w:r>
      <w:r>
        <w:rPr>
          <w:rFonts w:hint="eastAsia" w:ascii="宋体" w:hAnsi="宋体" w:cs="宋体"/>
          <w:color w:val="auto"/>
          <w:spacing w:val="20"/>
          <w:sz w:val="24"/>
          <w:u w:val="single"/>
        </w:rPr>
        <w:t xml:space="preserve">        </w:t>
      </w:r>
    </w:p>
    <w:p w14:paraId="51E776E5">
      <w:pPr>
        <w:pStyle w:val="65"/>
        <w:spacing w:line="360" w:lineRule="auto"/>
        <w:ind w:right="480"/>
        <w:rPr>
          <w:rFonts w:hAnsi="宋体" w:eastAsia="宋体"/>
          <w:color w:val="auto"/>
          <w:sz w:val="24"/>
        </w:rPr>
      </w:pPr>
      <w:r>
        <w:rPr>
          <w:rFonts w:hint="eastAsia" w:hAnsi="宋体" w:eastAsia="宋体"/>
          <w:color w:val="auto"/>
          <w:sz w:val="24"/>
        </w:rPr>
        <w:t>投标人公章：                           年    月    日</w:t>
      </w:r>
    </w:p>
    <w:p w14:paraId="10B97F3E">
      <w:pPr>
        <w:pStyle w:val="29"/>
        <w:spacing w:before="0" w:beforeAutospacing="0" w:after="0" w:afterAutospacing="0"/>
        <w:jc w:val="center"/>
        <w:rPr>
          <w:b/>
          <w:snapToGrid w:val="0"/>
          <w:color w:val="auto"/>
        </w:rPr>
      </w:pPr>
      <w:r>
        <w:rPr>
          <w:rFonts w:hint="eastAsia"/>
          <w:color w:val="auto"/>
        </w:rPr>
        <w:br w:type="page"/>
      </w:r>
      <w:bookmarkEnd w:id="71"/>
      <w:r>
        <w:rPr>
          <w:rFonts w:hint="eastAsia"/>
          <w:b/>
          <w:color w:val="auto"/>
          <w:sz w:val="28"/>
          <w:szCs w:val="28"/>
        </w:rPr>
        <w:t>项目负责人简历表</w:t>
      </w:r>
    </w:p>
    <w:tbl>
      <w:tblPr>
        <w:tblStyle w:val="34"/>
        <w:tblW w:w="0" w:type="auto"/>
        <w:jc w:val="center"/>
        <w:tblLayout w:type="fixed"/>
        <w:tblCellMar>
          <w:top w:w="57" w:type="dxa"/>
          <w:left w:w="57" w:type="dxa"/>
          <w:bottom w:w="57" w:type="dxa"/>
          <w:right w:w="57" w:type="dxa"/>
        </w:tblCellMar>
      </w:tblPr>
      <w:tblGrid>
        <w:gridCol w:w="1856"/>
        <w:gridCol w:w="205"/>
        <w:gridCol w:w="1951"/>
        <w:gridCol w:w="730"/>
        <w:gridCol w:w="424"/>
        <w:gridCol w:w="296"/>
        <w:gridCol w:w="602"/>
        <w:gridCol w:w="118"/>
        <w:gridCol w:w="180"/>
        <w:gridCol w:w="616"/>
        <w:gridCol w:w="433"/>
        <w:gridCol w:w="181"/>
        <w:gridCol w:w="1437"/>
      </w:tblGrid>
      <w:tr w14:paraId="187723DE">
        <w:tblPrEx>
          <w:tblCellMar>
            <w:top w:w="57" w:type="dxa"/>
            <w:left w:w="57" w:type="dxa"/>
            <w:bottom w:w="57" w:type="dxa"/>
            <w:right w:w="57" w:type="dxa"/>
          </w:tblCellMar>
        </w:tblPrEx>
        <w:trPr>
          <w:trHeight w:val="743" w:hRule="atLeast"/>
          <w:jc w:val="center"/>
        </w:trPr>
        <w:tc>
          <w:tcPr>
            <w:tcW w:w="1856" w:type="dxa"/>
            <w:tcBorders>
              <w:top w:val="single" w:color="auto" w:sz="6" w:space="0"/>
              <w:left w:val="single" w:color="auto" w:sz="6" w:space="0"/>
              <w:bottom w:val="single" w:color="auto" w:sz="6" w:space="0"/>
              <w:right w:val="single" w:color="auto" w:sz="6" w:space="0"/>
            </w:tcBorders>
            <w:vAlign w:val="center"/>
          </w:tcPr>
          <w:p w14:paraId="67608A53">
            <w:pPr>
              <w:jc w:val="distribute"/>
              <w:rPr>
                <w:rFonts w:ascii="宋体" w:hAnsi="宋体" w:cs="宋体"/>
                <w:color w:val="auto"/>
                <w:szCs w:val="21"/>
              </w:rPr>
            </w:pPr>
            <w:r>
              <w:rPr>
                <w:rFonts w:hint="eastAsia" w:ascii="宋体" w:hAnsi="宋体" w:cs="宋体"/>
                <w:color w:val="auto"/>
                <w:szCs w:val="21"/>
              </w:rPr>
              <w:t>项目负责</w:t>
            </w:r>
          </w:p>
          <w:p w14:paraId="300D0A99">
            <w:pPr>
              <w:jc w:val="distribute"/>
              <w:rPr>
                <w:rFonts w:ascii="宋体" w:hAnsi="宋体" w:cs="宋体"/>
                <w:color w:val="auto"/>
                <w:szCs w:val="21"/>
              </w:rPr>
            </w:pPr>
            <w:r>
              <w:rPr>
                <w:rFonts w:hint="eastAsia" w:ascii="宋体" w:hAnsi="宋体" w:cs="宋体"/>
                <w:color w:val="auto"/>
                <w:szCs w:val="21"/>
              </w:rPr>
              <w:t>人姓名</w:t>
            </w:r>
          </w:p>
        </w:tc>
        <w:tc>
          <w:tcPr>
            <w:tcW w:w="2156" w:type="dxa"/>
            <w:gridSpan w:val="2"/>
            <w:tcBorders>
              <w:top w:val="single" w:color="auto" w:sz="6" w:space="0"/>
              <w:left w:val="single" w:color="auto" w:sz="6" w:space="0"/>
              <w:bottom w:val="single" w:color="auto" w:sz="6" w:space="0"/>
              <w:right w:val="single" w:color="auto" w:sz="6" w:space="0"/>
            </w:tcBorders>
            <w:vAlign w:val="center"/>
          </w:tcPr>
          <w:p w14:paraId="0D818742">
            <w:pPr>
              <w:jc w:val="center"/>
              <w:rPr>
                <w:rFonts w:ascii="宋体" w:hAnsi="宋体" w:cs="宋体"/>
                <w:color w:val="auto"/>
                <w:szCs w:val="21"/>
              </w:rPr>
            </w:pPr>
          </w:p>
        </w:tc>
        <w:tc>
          <w:tcPr>
            <w:tcW w:w="730" w:type="dxa"/>
            <w:tcBorders>
              <w:top w:val="single" w:color="auto" w:sz="6" w:space="0"/>
              <w:left w:val="single" w:color="auto" w:sz="6" w:space="0"/>
              <w:bottom w:val="single" w:color="auto" w:sz="6" w:space="0"/>
              <w:right w:val="single" w:color="auto" w:sz="6" w:space="0"/>
            </w:tcBorders>
            <w:vAlign w:val="center"/>
          </w:tcPr>
          <w:p w14:paraId="556424E2">
            <w:pPr>
              <w:jc w:val="center"/>
              <w:rPr>
                <w:rFonts w:ascii="宋体" w:hAnsi="宋体" w:cs="宋体"/>
                <w:color w:val="auto"/>
                <w:szCs w:val="21"/>
              </w:rPr>
            </w:pPr>
            <w:r>
              <w:rPr>
                <w:rFonts w:hint="eastAsia" w:ascii="宋体" w:hAnsi="宋体" w:cs="宋体"/>
                <w:color w:val="auto"/>
                <w:szCs w:val="21"/>
              </w:rPr>
              <w:t>性</w:t>
            </w:r>
          </w:p>
          <w:p w14:paraId="38691824">
            <w:pPr>
              <w:jc w:val="center"/>
              <w:rPr>
                <w:rFonts w:ascii="宋体" w:hAnsi="宋体" w:cs="宋体"/>
                <w:color w:val="auto"/>
                <w:szCs w:val="21"/>
              </w:rPr>
            </w:pPr>
            <w:r>
              <w:rPr>
                <w:rFonts w:hint="eastAsia" w:ascii="宋体" w:hAnsi="宋体" w:cs="宋体"/>
                <w:color w:val="auto"/>
                <w:szCs w:val="21"/>
              </w:rPr>
              <w:t>别</w:t>
            </w:r>
          </w:p>
        </w:tc>
        <w:tc>
          <w:tcPr>
            <w:tcW w:w="720" w:type="dxa"/>
            <w:gridSpan w:val="2"/>
            <w:tcBorders>
              <w:top w:val="single" w:color="auto" w:sz="6" w:space="0"/>
              <w:left w:val="single" w:color="auto" w:sz="6" w:space="0"/>
              <w:bottom w:val="single" w:color="auto" w:sz="6" w:space="0"/>
              <w:right w:val="single" w:color="auto" w:sz="6" w:space="0"/>
            </w:tcBorders>
            <w:vAlign w:val="center"/>
          </w:tcPr>
          <w:p w14:paraId="4E40C4DC">
            <w:pPr>
              <w:jc w:val="center"/>
              <w:rPr>
                <w:rFonts w:ascii="宋体" w:hAnsi="宋体" w:cs="宋体"/>
                <w:color w:val="auto"/>
                <w:szCs w:val="21"/>
              </w:rPr>
            </w:pPr>
          </w:p>
        </w:tc>
        <w:tc>
          <w:tcPr>
            <w:tcW w:w="720" w:type="dxa"/>
            <w:gridSpan w:val="2"/>
            <w:tcBorders>
              <w:top w:val="single" w:color="auto" w:sz="6" w:space="0"/>
              <w:left w:val="single" w:color="auto" w:sz="6" w:space="0"/>
              <w:bottom w:val="single" w:color="auto" w:sz="6" w:space="0"/>
              <w:right w:val="single" w:color="auto" w:sz="6" w:space="0"/>
            </w:tcBorders>
            <w:vAlign w:val="center"/>
          </w:tcPr>
          <w:p w14:paraId="44464BE1">
            <w:pPr>
              <w:jc w:val="center"/>
              <w:rPr>
                <w:rFonts w:ascii="宋体" w:hAnsi="宋体" w:cs="宋体"/>
                <w:color w:val="auto"/>
                <w:szCs w:val="21"/>
              </w:rPr>
            </w:pPr>
            <w:r>
              <w:rPr>
                <w:rFonts w:hint="eastAsia" w:ascii="宋体" w:hAnsi="宋体" w:cs="宋体"/>
                <w:color w:val="auto"/>
                <w:szCs w:val="21"/>
              </w:rPr>
              <w:t>年</w:t>
            </w:r>
          </w:p>
          <w:p w14:paraId="20BFD34B">
            <w:pPr>
              <w:jc w:val="center"/>
              <w:rPr>
                <w:rFonts w:ascii="宋体" w:hAnsi="宋体" w:cs="宋体"/>
                <w:color w:val="auto"/>
                <w:szCs w:val="21"/>
              </w:rPr>
            </w:pPr>
            <w:r>
              <w:rPr>
                <w:rFonts w:hint="eastAsia" w:ascii="宋体" w:hAnsi="宋体" w:cs="宋体"/>
                <w:color w:val="auto"/>
                <w:szCs w:val="21"/>
              </w:rPr>
              <w:t>龄</w:t>
            </w:r>
          </w:p>
        </w:tc>
        <w:tc>
          <w:tcPr>
            <w:tcW w:w="796" w:type="dxa"/>
            <w:gridSpan w:val="2"/>
            <w:tcBorders>
              <w:top w:val="single" w:color="auto" w:sz="6" w:space="0"/>
              <w:left w:val="single" w:color="auto" w:sz="6" w:space="0"/>
              <w:bottom w:val="single" w:color="auto" w:sz="6" w:space="0"/>
              <w:right w:val="single" w:color="auto" w:sz="6" w:space="0"/>
            </w:tcBorders>
            <w:vAlign w:val="center"/>
          </w:tcPr>
          <w:p w14:paraId="5C18039D">
            <w:pPr>
              <w:jc w:val="center"/>
              <w:rPr>
                <w:rFonts w:ascii="宋体" w:hAnsi="宋体" w:cs="宋体"/>
                <w:color w:val="auto"/>
                <w:szCs w:val="21"/>
              </w:rPr>
            </w:pPr>
          </w:p>
        </w:tc>
        <w:tc>
          <w:tcPr>
            <w:tcW w:w="614" w:type="dxa"/>
            <w:gridSpan w:val="2"/>
            <w:tcBorders>
              <w:top w:val="single" w:color="auto" w:sz="6" w:space="0"/>
              <w:left w:val="single" w:color="auto" w:sz="6" w:space="0"/>
              <w:bottom w:val="single" w:color="auto" w:sz="6" w:space="0"/>
              <w:right w:val="single" w:color="auto" w:sz="6" w:space="0"/>
            </w:tcBorders>
            <w:vAlign w:val="center"/>
          </w:tcPr>
          <w:p w14:paraId="2C9659B3">
            <w:pPr>
              <w:jc w:val="center"/>
              <w:rPr>
                <w:rFonts w:ascii="宋体" w:hAnsi="宋体" w:cs="宋体"/>
                <w:color w:val="auto"/>
                <w:szCs w:val="21"/>
              </w:rPr>
            </w:pPr>
            <w:r>
              <w:rPr>
                <w:rFonts w:hint="eastAsia" w:ascii="宋体" w:hAnsi="宋体" w:cs="宋体"/>
                <w:color w:val="auto"/>
                <w:szCs w:val="21"/>
              </w:rPr>
              <w:t>学</w:t>
            </w:r>
          </w:p>
          <w:p w14:paraId="009B728B">
            <w:pPr>
              <w:jc w:val="center"/>
              <w:rPr>
                <w:rFonts w:ascii="宋体" w:hAnsi="宋体" w:cs="宋体"/>
                <w:color w:val="auto"/>
                <w:szCs w:val="21"/>
              </w:rPr>
            </w:pPr>
            <w:r>
              <w:rPr>
                <w:rFonts w:hint="eastAsia" w:ascii="宋体" w:hAnsi="宋体" w:cs="宋体"/>
                <w:color w:val="auto"/>
                <w:szCs w:val="21"/>
              </w:rPr>
              <w:t>历</w:t>
            </w:r>
          </w:p>
        </w:tc>
        <w:tc>
          <w:tcPr>
            <w:tcW w:w="1437" w:type="dxa"/>
            <w:tcBorders>
              <w:top w:val="single" w:color="auto" w:sz="6" w:space="0"/>
              <w:left w:val="single" w:color="auto" w:sz="6" w:space="0"/>
              <w:bottom w:val="single" w:color="auto" w:sz="6" w:space="0"/>
              <w:right w:val="single" w:color="auto" w:sz="6" w:space="0"/>
            </w:tcBorders>
            <w:vAlign w:val="center"/>
          </w:tcPr>
          <w:p w14:paraId="3CFDD44B">
            <w:pPr>
              <w:jc w:val="center"/>
              <w:rPr>
                <w:rFonts w:ascii="宋体" w:hAnsi="宋体" w:cs="宋体"/>
                <w:color w:val="auto"/>
                <w:szCs w:val="21"/>
              </w:rPr>
            </w:pPr>
          </w:p>
        </w:tc>
      </w:tr>
      <w:tr w14:paraId="668EC007">
        <w:tblPrEx>
          <w:tblCellMar>
            <w:top w:w="57" w:type="dxa"/>
            <w:left w:w="57" w:type="dxa"/>
            <w:bottom w:w="57" w:type="dxa"/>
            <w:right w:w="57" w:type="dxa"/>
          </w:tblCellMar>
        </w:tblPrEx>
        <w:trPr>
          <w:trHeight w:val="490" w:hRule="atLeast"/>
          <w:jc w:val="center"/>
        </w:trPr>
        <w:tc>
          <w:tcPr>
            <w:tcW w:w="1856" w:type="dxa"/>
            <w:tcBorders>
              <w:top w:val="single" w:color="auto" w:sz="6" w:space="0"/>
              <w:left w:val="single" w:color="auto" w:sz="6" w:space="0"/>
              <w:bottom w:val="single" w:color="auto" w:sz="6" w:space="0"/>
              <w:right w:val="single" w:color="auto" w:sz="6" w:space="0"/>
            </w:tcBorders>
            <w:vAlign w:val="center"/>
          </w:tcPr>
          <w:p w14:paraId="01A4205A">
            <w:pPr>
              <w:jc w:val="distribute"/>
              <w:rPr>
                <w:rFonts w:ascii="宋体" w:hAnsi="宋体" w:cs="宋体"/>
                <w:color w:val="auto"/>
                <w:szCs w:val="21"/>
              </w:rPr>
            </w:pPr>
            <w:r>
              <w:rPr>
                <w:rFonts w:hint="eastAsia" w:ascii="宋体" w:hAnsi="宋体" w:cs="宋体"/>
                <w:color w:val="auto"/>
                <w:szCs w:val="21"/>
              </w:rPr>
              <w:t>行政职务</w:t>
            </w:r>
          </w:p>
        </w:tc>
        <w:tc>
          <w:tcPr>
            <w:tcW w:w="2156" w:type="dxa"/>
            <w:gridSpan w:val="2"/>
            <w:tcBorders>
              <w:top w:val="single" w:color="auto" w:sz="6" w:space="0"/>
              <w:left w:val="single" w:color="auto" w:sz="6" w:space="0"/>
              <w:bottom w:val="single" w:color="auto" w:sz="6" w:space="0"/>
              <w:right w:val="single" w:color="auto" w:sz="6" w:space="0"/>
            </w:tcBorders>
            <w:vAlign w:val="center"/>
          </w:tcPr>
          <w:p w14:paraId="26671290">
            <w:pPr>
              <w:jc w:val="center"/>
              <w:rPr>
                <w:rFonts w:ascii="宋体" w:hAnsi="宋体" w:cs="宋体"/>
                <w:color w:val="auto"/>
                <w:szCs w:val="21"/>
              </w:rPr>
            </w:pPr>
          </w:p>
        </w:tc>
        <w:tc>
          <w:tcPr>
            <w:tcW w:w="730" w:type="dxa"/>
            <w:tcBorders>
              <w:top w:val="single" w:color="auto" w:sz="6" w:space="0"/>
              <w:left w:val="single" w:color="auto" w:sz="6" w:space="0"/>
              <w:bottom w:val="single" w:color="auto" w:sz="6" w:space="0"/>
              <w:right w:val="single" w:color="auto" w:sz="6" w:space="0"/>
            </w:tcBorders>
            <w:vAlign w:val="center"/>
          </w:tcPr>
          <w:p w14:paraId="24154D7D">
            <w:pPr>
              <w:jc w:val="center"/>
              <w:rPr>
                <w:rFonts w:ascii="宋体" w:hAnsi="宋体" w:cs="宋体"/>
                <w:color w:val="auto"/>
                <w:szCs w:val="21"/>
              </w:rPr>
            </w:pPr>
            <w:r>
              <w:rPr>
                <w:rFonts w:hint="eastAsia" w:ascii="宋体" w:hAnsi="宋体" w:cs="宋体"/>
                <w:color w:val="auto"/>
                <w:szCs w:val="21"/>
              </w:rPr>
              <w:t>专业职称</w:t>
            </w:r>
          </w:p>
        </w:tc>
        <w:tc>
          <w:tcPr>
            <w:tcW w:w="1322" w:type="dxa"/>
            <w:gridSpan w:val="3"/>
            <w:tcBorders>
              <w:top w:val="single" w:color="auto" w:sz="6" w:space="0"/>
              <w:left w:val="single" w:color="auto" w:sz="6" w:space="0"/>
              <w:bottom w:val="single" w:color="auto" w:sz="6" w:space="0"/>
              <w:right w:val="single" w:color="auto" w:sz="6" w:space="0"/>
            </w:tcBorders>
            <w:vAlign w:val="center"/>
          </w:tcPr>
          <w:p w14:paraId="08E1535E">
            <w:pPr>
              <w:jc w:val="center"/>
              <w:rPr>
                <w:rFonts w:ascii="宋体" w:hAnsi="宋体" w:cs="宋体"/>
                <w:color w:val="auto"/>
                <w:szCs w:val="21"/>
              </w:rPr>
            </w:pPr>
          </w:p>
        </w:tc>
        <w:tc>
          <w:tcPr>
            <w:tcW w:w="1347" w:type="dxa"/>
            <w:gridSpan w:val="4"/>
            <w:tcBorders>
              <w:top w:val="single" w:color="auto" w:sz="6" w:space="0"/>
              <w:left w:val="single" w:color="auto" w:sz="6" w:space="0"/>
              <w:bottom w:val="single" w:color="auto" w:sz="6" w:space="0"/>
              <w:right w:val="single" w:color="auto" w:sz="6" w:space="0"/>
            </w:tcBorders>
            <w:vAlign w:val="center"/>
          </w:tcPr>
          <w:p w14:paraId="5C5C61ED">
            <w:pPr>
              <w:jc w:val="center"/>
              <w:rPr>
                <w:rFonts w:ascii="宋体" w:hAnsi="宋体" w:cs="宋体"/>
                <w:color w:val="auto"/>
                <w:szCs w:val="21"/>
              </w:rPr>
            </w:pPr>
            <w:r>
              <w:rPr>
                <w:rFonts w:hint="eastAsia" w:ascii="宋体" w:hAnsi="宋体" w:cs="宋体"/>
                <w:color w:val="auto"/>
                <w:szCs w:val="21"/>
              </w:rPr>
              <w:t>专业年限</w:t>
            </w:r>
          </w:p>
        </w:tc>
        <w:tc>
          <w:tcPr>
            <w:tcW w:w="1618" w:type="dxa"/>
            <w:gridSpan w:val="2"/>
            <w:tcBorders>
              <w:top w:val="single" w:color="auto" w:sz="6" w:space="0"/>
              <w:left w:val="single" w:color="auto" w:sz="6" w:space="0"/>
              <w:bottom w:val="single" w:color="auto" w:sz="6" w:space="0"/>
              <w:right w:val="single" w:color="auto" w:sz="6" w:space="0"/>
            </w:tcBorders>
            <w:vAlign w:val="center"/>
          </w:tcPr>
          <w:p w14:paraId="11542813">
            <w:pPr>
              <w:jc w:val="center"/>
              <w:rPr>
                <w:rFonts w:ascii="宋体" w:hAnsi="宋体" w:cs="宋体"/>
                <w:color w:val="auto"/>
                <w:szCs w:val="21"/>
              </w:rPr>
            </w:pPr>
          </w:p>
        </w:tc>
      </w:tr>
      <w:tr w14:paraId="485FC683">
        <w:tblPrEx>
          <w:tblCellMar>
            <w:top w:w="57" w:type="dxa"/>
            <w:left w:w="57" w:type="dxa"/>
            <w:bottom w:w="57" w:type="dxa"/>
            <w:right w:w="57" w:type="dxa"/>
          </w:tblCellMar>
        </w:tblPrEx>
        <w:trPr>
          <w:cantSplit/>
          <w:trHeight w:val="469" w:hRule="atLeast"/>
          <w:jc w:val="center"/>
        </w:trPr>
        <w:tc>
          <w:tcPr>
            <w:tcW w:w="1856" w:type="dxa"/>
            <w:tcBorders>
              <w:top w:val="single" w:color="auto" w:sz="6" w:space="0"/>
              <w:left w:val="single" w:color="auto" w:sz="6" w:space="0"/>
              <w:bottom w:val="single" w:color="auto" w:sz="6" w:space="0"/>
              <w:right w:val="single" w:color="auto" w:sz="6" w:space="0"/>
            </w:tcBorders>
            <w:vAlign w:val="center"/>
          </w:tcPr>
          <w:p w14:paraId="08F4434C">
            <w:pPr>
              <w:jc w:val="center"/>
              <w:rPr>
                <w:rFonts w:ascii="宋体" w:hAnsi="宋体" w:cs="宋体"/>
                <w:color w:val="auto"/>
                <w:szCs w:val="21"/>
              </w:rPr>
            </w:pPr>
            <w:r>
              <w:rPr>
                <w:rFonts w:hint="eastAsia" w:ascii="宋体" w:hAnsi="宋体" w:cs="宋体"/>
                <w:color w:val="auto"/>
                <w:szCs w:val="21"/>
              </w:rPr>
              <w:t>工 作 单 位</w:t>
            </w:r>
          </w:p>
        </w:tc>
        <w:tc>
          <w:tcPr>
            <w:tcW w:w="4208" w:type="dxa"/>
            <w:gridSpan w:val="6"/>
            <w:tcBorders>
              <w:top w:val="single" w:color="auto" w:sz="6" w:space="0"/>
              <w:left w:val="single" w:color="auto" w:sz="6" w:space="0"/>
              <w:bottom w:val="single" w:color="auto" w:sz="6" w:space="0"/>
              <w:right w:val="single" w:color="auto" w:sz="6" w:space="0"/>
            </w:tcBorders>
            <w:vAlign w:val="center"/>
          </w:tcPr>
          <w:p w14:paraId="4DFCE625">
            <w:pPr>
              <w:jc w:val="center"/>
              <w:rPr>
                <w:rFonts w:ascii="宋体" w:hAnsi="宋体" w:cs="宋体"/>
                <w:color w:val="auto"/>
                <w:szCs w:val="21"/>
              </w:rPr>
            </w:pPr>
          </w:p>
        </w:tc>
        <w:tc>
          <w:tcPr>
            <w:tcW w:w="1347" w:type="dxa"/>
            <w:gridSpan w:val="4"/>
            <w:tcBorders>
              <w:top w:val="single" w:color="auto" w:sz="6" w:space="0"/>
              <w:left w:val="single" w:color="auto" w:sz="6" w:space="0"/>
              <w:bottom w:val="single" w:color="auto" w:sz="6" w:space="0"/>
              <w:right w:val="single" w:color="auto" w:sz="6" w:space="0"/>
            </w:tcBorders>
            <w:vAlign w:val="center"/>
          </w:tcPr>
          <w:p w14:paraId="34570CF3">
            <w:pPr>
              <w:jc w:val="center"/>
              <w:rPr>
                <w:rFonts w:ascii="宋体" w:hAnsi="宋体" w:cs="宋体"/>
                <w:color w:val="auto"/>
                <w:szCs w:val="21"/>
              </w:rPr>
            </w:pPr>
            <w:r>
              <w:rPr>
                <w:rFonts w:hint="eastAsia" w:ascii="宋体" w:hAnsi="宋体" w:cs="宋体"/>
                <w:color w:val="auto"/>
                <w:szCs w:val="21"/>
              </w:rPr>
              <w:t>电话</w:t>
            </w:r>
          </w:p>
        </w:tc>
        <w:tc>
          <w:tcPr>
            <w:tcW w:w="1618" w:type="dxa"/>
            <w:gridSpan w:val="2"/>
            <w:tcBorders>
              <w:top w:val="single" w:color="auto" w:sz="6" w:space="0"/>
              <w:left w:val="single" w:color="auto" w:sz="6" w:space="0"/>
              <w:bottom w:val="single" w:color="auto" w:sz="6" w:space="0"/>
              <w:right w:val="single" w:color="auto" w:sz="6" w:space="0"/>
            </w:tcBorders>
            <w:vAlign w:val="center"/>
          </w:tcPr>
          <w:p w14:paraId="1CA4F446">
            <w:pPr>
              <w:jc w:val="center"/>
              <w:rPr>
                <w:rFonts w:ascii="宋体" w:hAnsi="宋体" w:cs="宋体"/>
                <w:color w:val="auto"/>
                <w:szCs w:val="21"/>
              </w:rPr>
            </w:pPr>
          </w:p>
        </w:tc>
      </w:tr>
      <w:tr w14:paraId="01A71617">
        <w:tblPrEx>
          <w:tblCellMar>
            <w:top w:w="57" w:type="dxa"/>
            <w:left w:w="57" w:type="dxa"/>
            <w:bottom w:w="57" w:type="dxa"/>
            <w:right w:w="57" w:type="dxa"/>
          </w:tblCellMar>
        </w:tblPrEx>
        <w:trPr>
          <w:trHeight w:val="469" w:hRule="atLeast"/>
          <w:jc w:val="center"/>
        </w:trPr>
        <w:tc>
          <w:tcPr>
            <w:tcW w:w="1856" w:type="dxa"/>
            <w:tcBorders>
              <w:top w:val="single" w:color="auto" w:sz="6" w:space="0"/>
              <w:left w:val="single" w:color="auto" w:sz="6" w:space="0"/>
              <w:bottom w:val="single" w:color="auto" w:sz="6" w:space="0"/>
              <w:right w:val="single" w:color="auto" w:sz="6" w:space="0"/>
            </w:tcBorders>
            <w:vAlign w:val="center"/>
          </w:tcPr>
          <w:p w14:paraId="7ADCE4C6">
            <w:pPr>
              <w:jc w:val="distribute"/>
              <w:rPr>
                <w:rFonts w:ascii="宋体" w:hAnsi="宋体" w:cs="宋体"/>
                <w:color w:val="auto"/>
                <w:szCs w:val="21"/>
              </w:rPr>
            </w:pPr>
            <w:r>
              <w:rPr>
                <w:rFonts w:hint="eastAsia" w:ascii="宋体" w:hAnsi="宋体" w:cs="宋体"/>
                <w:color w:val="auto"/>
                <w:szCs w:val="21"/>
              </w:rPr>
              <w:t>通讯地址</w:t>
            </w:r>
          </w:p>
        </w:tc>
        <w:tc>
          <w:tcPr>
            <w:tcW w:w="4208" w:type="dxa"/>
            <w:gridSpan w:val="6"/>
            <w:tcBorders>
              <w:top w:val="single" w:color="auto" w:sz="6" w:space="0"/>
              <w:left w:val="single" w:color="auto" w:sz="6" w:space="0"/>
              <w:bottom w:val="single" w:color="auto" w:sz="6" w:space="0"/>
              <w:right w:val="single" w:color="auto" w:sz="6" w:space="0"/>
            </w:tcBorders>
            <w:vAlign w:val="center"/>
          </w:tcPr>
          <w:p w14:paraId="0A79362D">
            <w:pPr>
              <w:jc w:val="center"/>
              <w:rPr>
                <w:rFonts w:ascii="宋体" w:hAnsi="宋体" w:cs="宋体"/>
                <w:color w:val="auto"/>
                <w:szCs w:val="21"/>
              </w:rPr>
            </w:pPr>
          </w:p>
        </w:tc>
        <w:tc>
          <w:tcPr>
            <w:tcW w:w="1347" w:type="dxa"/>
            <w:gridSpan w:val="4"/>
            <w:tcBorders>
              <w:top w:val="single" w:color="auto" w:sz="6" w:space="0"/>
              <w:left w:val="single" w:color="auto" w:sz="6" w:space="0"/>
              <w:bottom w:val="single" w:color="auto" w:sz="6" w:space="0"/>
              <w:right w:val="single" w:color="auto" w:sz="6" w:space="0"/>
            </w:tcBorders>
            <w:vAlign w:val="center"/>
          </w:tcPr>
          <w:p w14:paraId="10E095D4">
            <w:pPr>
              <w:jc w:val="center"/>
              <w:rPr>
                <w:rFonts w:ascii="宋体" w:hAnsi="宋体" w:cs="宋体"/>
                <w:color w:val="auto"/>
                <w:szCs w:val="21"/>
              </w:rPr>
            </w:pPr>
            <w:r>
              <w:rPr>
                <w:rFonts w:hint="eastAsia" w:ascii="宋体" w:hAnsi="宋体" w:cs="宋体"/>
                <w:color w:val="auto"/>
                <w:szCs w:val="21"/>
              </w:rPr>
              <w:t>邮编</w:t>
            </w:r>
          </w:p>
        </w:tc>
        <w:tc>
          <w:tcPr>
            <w:tcW w:w="1618" w:type="dxa"/>
            <w:gridSpan w:val="2"/>
            <w:tcBorders>
              <w:top w:val="single" w:color="auto" w:sz="6" w:space="0"/>
              <w:left w:val="single" w:color="auto" w:sz="6" w:space="0"/>
              <w:bottom w:val="single" w:color="auto" w:sz="6" w:space="0"/>
              <w:right w:val="single" w:color="auto" w:sz="6" w:space="0"/>
            </w:tcBorders>
            <w:vAlign w:val="center"/>
          </w:tcPr>
          <w:p w14:paraId="630A8950">
            <w:pPr>
              <w:jc w:val="center"/>
              <w:rPr>
                <w:rFonts w:ascii="宋体" w:hAnsi="宋体" w:cs="宋体"/>
                <w:color w:val="auto"/>
                <w:szCs w:val="21"/>
              </w:rPr>
            </w:pPr>
          </w:p>
        </w:tc>
      </w:tr>
      <w:tr w14:paraId="24F3D74D">
        <w:tblPrEx>
          <w:tblCellMar>
            <w:top w:w="57" w:type="dxa"/>
            <w:left w:w="57" w:type="dxa"/>
            <w:bottom w:w="57" w:type="dxa"/>
            <w:right w:w="57" w:type="dxa"/>
          </w:tblCellMar>
        </w:tblPrEx>
        <w:trPr>
          <w:cantSplit/>
          <w:trHeight w:val="551" w:hRule="atLeast"/>
          <w:jc w:val="center"/>
        </w:trPr>
        <w:tc>
          <w:tcPr>
            <w:tcW w:w="9029" w:type="dxa"/>
            <w:gridSpan w:val="13"/>
            <w:tcBorders>
              <w:top w:val="single" w:color="auto" w:sz="6" w:space="0"/>
              <w:left w:val="single" w:color="auto" w:sz="6" w:space="0"/>
              <w:bottom w:val="nil"/>
              <w:right w:val="single" w:color="auto" w:sz="6" w:space="0"/>
            </w:tcBorders>
            <w:vAlign w:val="center"/>
          </w:tcPr>
          <w:p w14:paraId="3CCBF93C">
            <w:pPr>
              <w:jc w:val="center"/>
              <w:rPr>
                <w:rFonts w:ascii="宋体" w:hAnsi="宋体" w:cs="宋体"/>
                <w:color w:val="auto"/>
                <w:szCs w:val="21"/>
              </w:rPr>
            </w:pPr>
            <w:r>
              <w:rPr>
                <w:rFonts w:hint="eastAsia" w:ascii="宋体" w:hAnsi="宋体" w:cs="宋体"/>
                <w:color w:val="auto"/>
                <w:szCs w:val="21"/>
              </w:rPr>
              <w:t>项目工作经验</w:t>
            </w:r>
          </w:p>
        </w:tc>
      </w:tr>
      <w:tr w14:paraId="45016922">
        <w:tblPrEx>
          <w:tblCellMar>
            <w:top w:w="57" w:type="dxa"/>
            <w:left w:w="57" w:type="dxa"/>
            <w:bottom w:w="57" w:type="dxa"/>
            <w:right w:w="57" w:type="dxa"/>
          </w:tblCellMar>
        </w:tblPrEx>
        <w:trPr>
          <w:cantSplit/>
          <w:trHeight w:val="795" w:hRule="atLeast"/>
          <w:jc w:val="center"/>
        </w:trPr>
        <w:tc>
          <w:tcPr>
            <w:tcW w:w="2061" w:type="dxa"/>
            <w:gridSpan w:val="2"/>
            <w:tcBorders>
              <w:top w:val="single" w:color="auto" w:sz="6" w:space="0"/>
              <w:left w:val="single" w:color="auto" w:sz="6" w:space="0"/>
              <w:bottom w:val="single" w:color="auto" w:sz="6" w:space="0"/>
              <w:right w:val="single" w:color="auto" w:sz="6" w:space="0"/>
            </w:tcBorders>
            <w:vAlign w:val="center"/>
          </w:tcPr>
          <w:p w14:paraId="14A1AC58">
            <w:pPr>
              <w:jc w:val="center"/>
              <w:rPr>
                <w:rFonts w:ascii="宋体" w:hAnsi="宋体" w:cs="宋体"/>
                <w:color w:val="auto"/>
                <w:szCs w:val="21"/>
              </w:rPr>
            </w:pPr>
            <w:r>
              <w:rPr>
                <w:rFonts w:hint="eastAsia" w:ascii="宋体" w:hAnsi="宋体" w:cs="宋体"/>
                <w:color w:val="auto"/>
                <w:szCs w:val="21"/>
              </w:rPr>
              <w:t>时间</w:t>
            </w:r>
          </w:p>
        </w:tc>
        <w:tc>
          <w:tcPr>
            <w:tcW w:w="3105" w:type="dxa"/>
            <w:gridSpan w:val="3"/>
            <w:tcBorders>
              <w:top w:val="single" w:color="auto" w:sz="6" w:space="0"/>
              <w:left w:val="single" w:color="auto" w:sz="6" w:space="0"/>
              <w:bottom w:val="single" w:color="auto" w:sz="6" w:space="0"/>
              <w:right w:val="single" w:color="auto" w:sz="6" w:space="0"/>
            </w:tcBorders>
            <w:vAlign w:val="center"/>
          </w:tcPr>
          <w:p w14:paraId="51D8EBD4">
            <w:pPr>
              <w:jc w:val="center"/>
              <w:rPr>
                <w:rFonts w:ascii="宋体" w:hAnsi="宋体" w:cs="宋体"/>
                <w:color w:val="auto"/>
                <w:szCs w:val="21"/>
              </w:rPr>
            </w:pPr>
            <w:r>
              <w:rPr>
                <w:rFonts w:hint="eastAsia" w:ascii="宋体" w:hAnsi="宋体" w:cs="宋体"/>
                <w:color w:val="auto"/>
                <w:szCs w:val="21"/>
              </w:rPr>
              <w:t>参加过的类似项目</w:t>
            </w:r>
          </w:p>
        </w:tc>
        <w:tc>
          <w:tcPr>
            <w:tcW w:w="1196" w:type="dxa"/>
            <w:gridSpan w:val="4"/>
            <w:tcBorders>
              <w:top w:val="single" w:color="auto" w:sz="6" w:space="0"/>
              <w:left w:val="single" w:color="auto" w:sz="6" w:space="0"/>
              <w:bottom w:val="single" w:color="auto" w:sz="6" w:space="0"/>
              <w:right w:val="single" w:color="auto" w:sz="6" w:space="0"/>
            </w:tcBorders>
            <w:vAlign w:val="center"/>
          </w:tcPr>
          <w:p w14:paraId="751A221C">
            <w:pPr>
              <w:jc w:val="center"/>
              <w:rPr>
                <w:rFonts w:ascii="宋体" w:hAnsi="宋体" w:cs="宋体"/>
                <w:color w:val="auto"/>
                <w:szCs w:val="21"/>
              </w:rPr>
            </w:pPr>
            <w:r>
              <w:rPr>
                <w:rFonts w:hint="eastAsia" w:ascii="宋体" w:hAnsi="宋体" w:cs="宋体"/>
                <w:color w:val="auto"/>
                <w:szCs w:val="21"/>
              </w:rPr>
              <w:t>担任职务</w:t>
            </w:r>
          </w:p>
        </w:tc>
        <w:tc>
          <w:tcPr>
            <w:tcW w:w="2667" w:type="dxa"/>
            <w:gridSpan w:val="4"/>
            <w:tcBorders>
              <w:top w:val="single" w:color="auto" w:sz="6" w:space="0"/>
              <w:left w:val="single" w:color="auto" w:sz="6" w:space="0"/>
              <w:bottom w:val="single" w:color="auto" w:sz="6" w:space="0"/>
              <w:right w:val="single" w:color="auto" w:sz="6" w:space="0"/>
            </w:tcBorders>
            <w:vAlign w:val="center"/>
          </w:tcPr>
          <w:p w14:paraId="27985880">
            <w:pPr>
              <w:ind w:firstLine="105" w:firstLineChars="50"/>
              <w:rPr>
                <w:rFonts w:ascii="宋体" w:hAnsi="宋体" w:cs="宋体"/>
                <w:color w:val="auto"/>
                <w:szCs w:val="21"/>
              </w:rPr>
            </w:pPr>
            <w:r>
              <w:rPr>
                <w:rFonts w:hint="eastAsia" w:ascii="宋体" w:hAnsi="宋体" w:cs="宋体"/>
                <w:color w:val="auto"/>
                <w:szCs w:val="21"/>
              </w:rPr>
              <w:t>发包人及联系电话</w:t>
            </w:r>
          </w:p>
        </w:tc>
      </w:tr>
      <w:tr w14:paraId="57DB1754">
        <w:tblPrEx>
          <w:tblCellMar>
            <w:top w:w="57" w:type="dxa"/>
            <w:left w:w="57" w:type="dxa"/>
            <w:bottom w:w="57" w:type="dxa"/>
            <w:right w:w="57" w:type="dxa"/>
          </w:tblCellMar>
        </w:tblPrEx>
        <w:trPr>
          <w:cantSplit/>
          <w:trHeight w:val="639" w:hRule="atLeast"/>
          <w:jc w:val="center"/>
        </w:trPr>
        <w:tc>
          <w:tcPr>
            <w:tcW w:w="2061" w:type="dxa"/>
            <w:gridSpan w:val="2"/>
            <w:tcBorders>
              <w:top w:val="single" w:color="auto" w:sz="6" w:space="0"/>
              <w:left w:val="single" w:color="auto" w:sz="6" w:space="0"/>
              <w:bottom w:val="single" w:color="auto" w:sz="4" w:space="0"/>
              <w:right w:val="single" w:color="auto" w:sz="6" w:space="0"/>
            </w:tcBorders>
            <w:vAlign w:val="center"/>
          </w:tcPr>
          <w:p w14:paraId="179222B2">
            <w:pPr>
              <w:spacing w:line="900" w:lineRule="auto"/>
              <w:jc w:val="center"/>
              <w:rPr>
                <w:rFonts w:ascii="宋体" w:hAnsi="宋体" w:cs="宋体"/>
                <w:color w:val="auto"/>
                <w:szCs w:val="21"/>
              </w:rPr>
            </w:pPr>
          </w:p>
          <w:p w14:paraId="54D9EDC0">
            <w:pPr>
              <w:spacing w:line="900" w:lineRule="auto"/>
              <w:jc w:val="center"/>
              <w:rPr>
                <w:rFonts w:ascii="宋体" w:hAnsi="宋体" w:cs="宋体"/>
                <w:color w:val="auto"/>
                <w:szCs w:val="21"/>
              </w:rPr>
            </w:pPr>
          </w:p>
        </w:tc>
        <w:tc>
          <w:tcPr>
            <w:tcW w:w="3105" w:type="dxa"/>
            <w:gridSpan w:val="3"/>
            <w:tcBorders>
              <w:top w:val="single" w:color="auto" w:sz="6" w:space="0"/>
              <w:left w:val="single" w:color="auto" w:sz="6" w:space="0"/>
              <w:bottom w:val="single" w:color="auto" w:sz="4" w:space="0"/>
              <w:right w:val="single" w:color="auto" w:sz="6" w:space="0"/>
            </w:tcBorders>
            <w:vAlign w:val="center"/>
          </w:tcPr>
          <w:p w14:paraId="7EAC4127">
            <w:pPr>
              <w:jc w:val="center"/>
              <w:rPr>
                <w:rFonts w:ascii="宋体" w:hAnsi="宋体" w:cs="宋体"/>
                <w:color w:val="auto"/>
                <w:szCs w:val="21"/>
              </w:rPr>
            </w:pPr>
          </w:p>
        </w:tc>
        <w:tc>
          <w:tcPr>
            <w:tcW w:w="1196" w:type="dxa"/>
            <w:gridSpan w:val="4"/>
            <w:tcBorders>
              <w:top w:val="single" w:color="auto" w:sz="6" w:space="0"/>
              <w:left w:val="single" w:color="auto" w:sz="6" w:space="0"/>
              <w:bottom w:val="single" w:color="auto" w:sz="4" w:space="0"/>
              <w:right w:val="single" w:color="auto" w:sz="6" w:space="0"/>
            </w:tcBorders>
            <w:vAlign w:val="center"/>
          </w:tcPr>
          <w:p w14:paraId="60AE05AA">
            <w:pPr>
              <w:jc w:val="center"/>
              <w:rPr>
                <w:rFonts w:ascii="宋体" w:hAnsi="宋体" w:cs="宋体"/>
                <w:color w:val="auto"/>
                <w:szCs w:val="21"/>
              </w:rPr>
            </w:pPr>
          </w:p>
        </w:tc>
        <w:tc>
          <w:tcPr>
            <w:tcW w:w="2667" w:type="dxa"/>
            <w:gridSpan w:val="4"/>
            <w:tcBorders>
              <w:top w:val="single" w:color="auto" w:sz="6" w:space="0"/>
              <w:left w:val="single" w:color="auto" w:sz="6" w:space="0"/>
              <w:bottom w:val="single" w:color="auto" w:sz="6" w:space="0"/>
              <w:right w:val="single" w:color="auto" w:sz="6" w:space="0"/>
            </w:tcBorders>
            <w:vAlign w:val="center"/>
          </w:tcPr>
          <w:p w14:paraId="4B26CB5E">
            <w:pPr>
              <w:jc w:val="center"/>
              <w:rPr>
                <w:rFonts w:ascii="宋体" w:hAnsi="宋体" w:cs="宋体"/>
                <w:color w:val="auto"/>
                <w:szCs w:val="21"/>
              </w:rPr>
            </w:pPr>
          </w:p>
        </w:tc>
      </w:tr>
    </w:tbl>
    <w:p w14:paraId="589C889F">
      <w:pPr>
        <w:spacing w:line="460" w:lineRule="atLeast"/>
        <w:rPr>
          <w:rFonts w:ascii="宋体" w:hAnsi="宋体" w:cs="宋体"/>
          <w:b/>
          <w:color w:val="auto"/>
          <w:szCs w:val="21"/>
        </w:rPr>
      </w:pPr>
      <w:r>
        <w:rPr>
          <w:rFonts w:hint="eastAsia" w:ascii="宋体" w:hAnsi="宋体" w:cs="宋体"/>
          <w:b/>
          <w:color w:val="auto"/>
          <w:szCs w:val="21"/>
        </w:rPr>
        <w:t>注：后附项目负责人相关证明材料扫描件；</w:t>
      </w:r>
    </w:p>
    <w:p w14:paraId="115A53A1">
      <w:pPr>
        <w:spacing w:line="460" w:lineRule="atLeast"/>
        <w:rPr>
          <w:rFonts w:ascii="宋体" w:hAnsi="宋体" w:cs="宋体"/>
          <w:b/>
          <w:color w:val="auto"/>
          <w:sz w:val="24"/>
        </w:rPr>
      </w:pPr>
    </w:p>
    <w:p w14:paraId="15F7B356">
      <w:pPr>
        <w:spacing w:line="460" w:lineRule="atLeast"/>
        <w:rPr>
          <w:rFonts w:ascii="宋体" w:hAnsi="宋体" w:cs="宋体"/>
          <w:b/>
          <w:color w:val="auto"/>
          <w:sz w:val="24"/>
        </w:rPr>
      </w:pPr>
    </w:p>
    <w:p w14:paraId="30BF73C1">
      <w:pPr>
        <w:snapToGrid w:val="0"/>
        <w:spacing w:before="50" w:after="50" w:line="360" w:lineRule="auto"/>
        <w:rPr>
          <w:rFonts w:ascii="宋体" w:hAnsi="宋体" w:cs="宋体"/>
          <w:color w:val="auto"/>
          <w:spacing w:val="20"/>
          <w:sz w:val="24"/>
          <w:u w:val="single"/>
        </w:rPr>
      </w:pPr>
      <w:bookmarkStart w:id="72" w:name="OLE_LINK47"/>
      <w:r>
        <w:rPr>
          <w:rFonts w:hint="eastAsia" w:ascii="宋体" w:hAnsi="宋体" w:cs="宋体"/>
          <w:color w:val="auto"/>
          <w:sz w:val="24"/>
        </w:rPr>
        <w:t>法定代表人签字或盖章</w:t>
      </w:r>
      <w:r>
        <w:rPr>
          <w:rFonts w:hint="eastAsia" w:ascii="宋体" w:hAnsi="宋体" w:cs="宋体"/>
          <w:color w:val="auto"/>
          <w:spacing w:val="20"/>
          <w:sz w:val="24"/>
        </w:rPr>
        <w:t>：</w:t>
      </w:r>
      <w:r>
        <w:rPr>
          <w:rFonts w:hint="eastAsia" w:ascii="宋体" w:hAnsi="宋体" w:cs="宋体"/>
          <w:color w:val="auto"/>
          <w:spacing w:val="20"/>
          <w:sz w:val="24"/>
          <w:u w:val="single"/>
        </w:rPr>
        <w:t xml:space="preserve">        </w:t>
      </w:r>
    </w:p>
    <w:p w14:paraId="1FB300CA">
      <w:pPr>
        <w:spacing w:line="460" w:lineRule="atLeast"/>
        <w:rPr>
          <w:rFonts w:ascii="宋体" w:hAnsi="宋体" w:cs="宋体"/>
          <w:b/>
          <w:color w:val="auto"/>
          <w:sz w:val="24"/>
        </w:rPr>
      </w:pPr>
      <w:r>
        <w:rPr>
          <w:rFonts w:hint="eastAsia" w:ascii="宋体" w:hAnsi="宋体" w:cs="宋体"/>
          <w:color w:val="auto"/>
          <w:sz w:val="24"/>
        </w:rPr>
        <w:t>投标人公章：                           年    月    日</w:t>
      </w:r>
    </w:p>
    <w:bookmarkEnd w:id="72"/>
    <w:p w14:paraId="692D0BB2">
      <w:pPr>
        <w:pStyle w:val="65"/>
        <w:spacing w:line="360" w:lineRule="auto"/>
        <w:rPr>
          <w:rFonts w:hAnsi="宋体"/>
          <w:b/>
          <w:bCs/>
          <w:color w:val="auto"/>
          <w:sz w:val="24"/>
        </w:rPr>
      </w:pPr>
      <w:r>
        <w:rPr>
          <w:rFonts w:hint="eastAsia" w:hAnsi="宋体" w:eastAsia="宋体"/>
          <w:b/>
          <w:snapToGrid w:val="0"/>
          <w:color w:val="auto"/>
        </w:rPr>
        <w:br w:type="page"/>
      </w:r>
      <w:r>
        <w:rPr>
          <w:rFonts w:hint="eastAsia" w:hAnsi="宋体" w:eastAsia="宋体"/>
          <w:b/>
          <w:snapToGrid w:val="0"/>
          <w:color w:val="auto"/>
          <w:lang w:val="en-US" w:eastAsia="zh-CN"/>
        </w:rPr>
        <w:t>7.</w:t>
      </w:r>
      <w:r>
        <w:rPr>
          <w:rFonts w:hint="eastAsia" w:hAnsi="宋体" w:eastAsia="宋体"/>
          <w:b/>
          <w:color w:val="auto"/>
          <w:kern w:val="0"/>
          <w:sz w:val="24"/>
        </w:rPr>
        <w:t>服务承诺等。</w:t>
      </w:r>
    </w:p>
    <w:p w14:paraId="4AD1B67B">
      <w:pPr>
        <w:snapToGrid w:val="0"/>
        <w:spacing w:before="50" w:after="156" w:afterLines="50"/>
        <w:jc w:val="left"/>
        <w:rPr>
          <w:rFonts w:ascii="宋体" w:hAnsi="宋体" w:cs="宋体"/>
          <w:b/>
          <w:bCs/>
          <w:color w:val="auto"/>
          <w:sz w:val="24"/>
        </w:rPr>
      </w:pPr>
    </w:p>
    <w:p w14:paraId="7B6910AF">
      <w:pPr>
        <w:snapToGrid w:val="0"/>
        <w:spacing w:before="50" w:after="156" w:afterLines="50"/>
        <w:jc w:val="left"/>
        <w:rPr>
          <w:rFonts w:ascii="宋体" w:hAnsi="宋体" w:cs="宋体"/>
          <w:b/>
          <w:bCs/>
          <w:color w:val="auto"/>
          <w:sz w:val="24"/>
        </w:rPr>
      </w:pPr>
    </w:p>
    <w:p w14:paraId="056D736E">
      <w:pPr>
        <w:snapToGrid w:val="0"/>
        <w:spacing w:before="50" w:after="156" w:afterLines="50"/>
        <w:jc w:val="left"/>
        <w:rPr>
          <w:rFonts w:ascii="宋体" w:hAnsi="宋体" w:cs="宋体"/>
          <w:b/>
          <w:bCs/>
          <w:color w:val="auto"/>
          <w:sz w:val="24"/>
        </w:rPr>
      </w:pPr>
    </w:p>
    <w:p w14:paraId="576FEDA3">
      <w:pPr>
        <w:snapToGrid w:val="0"/>
        <w:spacing w:before="50" w:after="156" w:afterLines="50"/>
        <w:jc w:val="left"/>
        <w:rPr>
          <w:rFonts w:ascii="宋体" w:hAnsi="宋体" w:cs="宋体"/>
          <w:b/>
          <w:bCs/>
          <w:color w:val="auto"/>
          <w:sz w:val="24"/>
        </w:rPr>
      </w:pPr>
    </w:p>
    <w:p w14:paraId="6D8C91FF">
      <w:pPr>
        <w:snapToGrid w:val="0"/>
        <w:spacing w:before="50" w:after="156" w:afterLines="50"/>
        <w:jc w:val="left"/>
        <w:rPr>
          <w:rFonts w:ascii="宋体" w:hAnsi="宋体" w:cs="宋体"/>
          <w:b/>
          <w:bCs/>
          <w:color w:val="auto"/>
          <w:sz w:val="24"/>
        </w:rPr>
      </w:pPr>
    </w:p>
    <w:p w14:paraId="6CB5F003">
      <w:pPr>
        <w:snapToGrid w:val="0"/>
        <w:spacing w:before="50" w:after="156" w:afterLines="50"/>
        <w:jc w:val="left"/>
        <w:rPr>
          <w:rFonts w:ascii="宋体" w:hAnsi="宋体" w:cs="宋体"/>
          <w:b/>
          <w:bCs/>
          <w:color w:val="auto"/>
          <w:sz w:val="24"/>
        </w:rPr>
      </w:pPr>
    </w:p>
    <w:p w14:paraId="43EFE4F6">
      <w:pPr>
        <w:snapToGrid w:val="0"/>
        <w:spacing w:before="50" w:after="156" w:afterLines="50"/>
        <w:jc w:val="left"/>
        <w:rPr>
          <w:rFonts w:ascii="宋体" w:hAnsi="宋体" w:cs="宋体"/>
          <w:b/>
          <w:bCs/>
          <w:color w:val="auto"/>
          <w:sz w:val="24"/>
        </w:rPr>
      </w:pPr>
    </w:p>
    <w:p w14:paraId="649C7B80">
      <w:pPr>
        <w:snapToGrid w:val="0"/>
        <w:spacing w:before="50" w:after="156" w:afterLines="50"/>
        <w:jc w:val="left"/>
        <w:rPr>
          <w:rFonts w:ascii="宋体" w:hAnsi="宋体" w:cs="宋体"/>
          <w:b/>
          <w:bCs/>
          <w:color w:val="auto"/>
          <w:sz w:val="24"/>
        </w:rPr>
      </w:pPr>
    </w:p>
    <w:p w14:paraId="7D18AD93">
      <w:pPr>
        <w:snapToGrid w:val="0"/>
        <w:spacing w:before="50" w:after="156" w:afterLines="50"/>
        <w:jc w:val="left"/>
        <w:rPr>
          <w:rFonts w:ascii="宋体" w:hAnsi="宋体" w:cs="宋体"/>
          <w:b/>
          <w:bCs/>
          <w:color w:val="auto"/>
          <w:sz w:val="24"/>
        </w:rPr>
      </w:pPr>
    </w:p>
    <w:p w14:paraId="5ECF8896">
      <w:pPr>
        <w:snapToGrid w:val="0"/>
        <w:spacing w:line="240" w:lineRule="atLeast"/>
        <w:rPr>
          <w:rFonts w:ascii="宋体" w:hAnsi="宋体" w:cs="宋体"/>
          <w:color w:val="auto"/>
        </w:rPr>
      </w:pPr>
    </w:p>
    <w:p w14:paraId="3DA572E5">
      <w:pPr>
        <w:pStyle w:val="15"/>
        <w:snapToGrid w:val="0"/>
        <w:spacing w:before="31" w:beforeLines="10" w:after="31" w:afterLines="10" w:line="360" w:lineRule="auto"/>
        <w:ind w:firstLine="482" w:firstLineChars="200"/>
        <w:rPr>
          <w:rFonts w:hAnsi="宋体"/>
          <w:b/>
          <w:color w:val="auto"/>
          <w:sz w:val="24"/>
        </w:rPr>
      </w:pPr>
      <w:r>
        <w:rPr>
          <w:rFonts w:hint="eastAsia" w:hAnsi="宋体"/>
          <w:b/>
          <w:color w:val="auto"/>
          <w:sz w:val="24"/>
        </w:rPr>
        <w:br w:type="page"/>
      </w:r>
    </w:p>
    <w:p w14:paraId="40E4CD00">
      <w:pPr>
        <w:snapToGrid w:val="0"/>
        <w:spacing w:before="50" w:after="156" w:afterLines="50" w:line="440" w:lineRule="exact"/>
        <w:jc w:val="left"/>
        <w:rPr>
          <w:rFonts w:ascii="宋体" w:hAnsi="宋体" w:cs="宋体"/>
          <w:color w:val="auto"/>
          <w:sz w:val="24"/>
        </w:rPr>
      </w:pPr>
      <w:r>
        <w:rPr>
          <w:rFonts w:hint="eastAsia" w:ascii="宋体" w:hAnsi="宋体" w:cs="宋体"/>
          <w:b/>
          <w:color w:val="auto"/>
          <w:sz w:val="24"/>
          <w:lang w:val="en-US" w:eastAsia="zh-CN"/>
        </w:rPr>
        <w:t>8.</w:t>
      </w:r>
      <w:r>
        <w:rPr>
          <w:rFonts w:hint="eastAsia" w:ascii="宋体" w:hAnsi="宋体" w:cs="宋体"/>
          <w:b/>
          <w:color w:val="auto"/>
          <w:sz w:val="24"/>
        </w:rPr>
        <w:t>投标人需要说明的其他内容。（未尽事宜可按评分细则部分制作）</w:t>
      </w:r>
    </w:p>
    <w:p w14:paraId="25E1F65D">
      <w:pPr>
        <w:spacing w:line="460" w:lineRule="atLeast"/>
        <w:rPr>
          <w:rFonts w:ascii="宋体" w:hAnsi="宋体" w:cs="宋体"/>
          <w:color w:val="auto"/>
        </w:rPr>
      </w:pPr>
    </w:p>
    <w:p w14:paraId="2ACAC8E3">
      <w:pPr>
        <w:spacing w:line="460" w:lineRule="atLeast"/>
        <w:jc w:val="center"/>
        <w:rPr>
          <w:rFonts w:ascii="宋体" w:hAnsi="宋体" w:cs="宋体"/>
          <w:b/>
          <w:color w:val="auto"/>
          <w:sz w:val="24"/>
        </w:rPr>
      </w:pPr>
    </w:p>
    <w:p w14:paraId="018FBF8D">
      <w:pPr>
        <w:spacing w:line="460" w:lineRule="atLeast"/>
        <w:jc w:val="center"/>
        <w:rPr>
          <w:rFonts w:ascii="宋体" w:hAnsi="宋体" w:cs="宋体"/>
          <w:b/>
          <w:color w:val="auto"/>
          <w:sz w:val="24"/>
        </w:rPr>
      </w:pPr>
    </w:p>
    <w:p w14:paraId="3746E049">
      <w:pPr>
        <w:spacing w:line="460" w:lineRule="atLeast"/>
        <w:jc w:val="center"/>
        <w:rPr>
          <w:rFonts w:ascii="宋体" w:hAnsi="宋体" w:cs="宋体"/>
          <w:b/>
          <w:color w:val="auto"/>
          <w:sz w:val="24"/>
        </w:rPr>
      </w:pPr>
    </w:p>
    <w:p w14:paraId="5482F9C1">
      <w:pPr>
        <w:spacing w:line="460" w:lineRule="atLeast"/>
        <w:jc w:val="center"/>
        <w:rPr>
          <w:rFonts w:ascii="宋体" w:hAnsi="宋体" w:cs="宋体"/>
          <w:b/>
          <w:color w:val="auto"/>
          <w:sz w:val="24"/>
        </w:rPr>
      </w:pPr>
    </w:p>
    <w:p w14:paraId="3163D87A">
      <w:pPr>
        <w:spacing w:line="460" w:lineRule="atLeast"/>
        <w:jc w:val="center"/>
        <w:rPr>
          <w:rFonts w:ascii="宋体" w:hAnsi="宋体" w:cs="宋体"/>
          <w:b/>
          <w:color w:val="auto"/>
          <w:sz w:val="24"/>
        </w:rPr>
      </w:pPr>
    </w:p>
    <w:p w14:paraId="5F61C3D4">
      <w:pPr>
        <w:spacing w:line="460" w:lineRule="atLeast"/>
        <w:jc w:val="center"/>
        <w:rPr>
          <w:rFonts w:ascii="宋体" w:hAnsi="宋体" w:cs="宋体"/>
          <w:b/>
          <w:color w:val="auto"/>
          <w:sz w:val="24"/>
        </w:rPr>
      </w:pPr>
    </w:p>
    <w:p w14:paraId="183D759C">
      <w:pPr>
        <w:spacing w:line="460" w:lineRule="atLeast"/>
        <w:jc w:val="center"/>
        <w:rPr>
          <w:rFonts w:ascii="宋体" w:hAnsi="宋体" w:cs="宋体"/>
          <w:b/>
          <w:color w:val="auto"/>
          <w:sz w:val="24"/>
        </w:rPr>
      </w:pPr>
    </w:p>
    <w:p w14:paraId="1BCD73FA">
      <w:pPr>
        <w:spacing w:line="460" w:lineRule="atLeast"/>
        <w:jc w:val="center"/>
        <w:rPr>
          <w:rFonts w:ascii="宋体" w:hAnsi="宋体" w:cs="宋体"/>
          <w:b/>
          <w:color w:val="auto"/>
          <w:sz w:val="24"/>
        </w:rPr>
      </w:pPr>
    </w:p>
    <w:p w14:paraId="21A08FE8">
      <w:pPr>
        <w:spacing w:line="460" w:lineRule="atLeast"/>
        <w:jc w:val="center"/>
        <w:rPr>
          <w:rFonts w:ascii="宋体" w:hAnsi="宋体" w:cs="宋体"/>
          <w:b/>
          <w:color w:val="auto"/>
          <w:sz w:val="24"/>
        </w:rPr>
      </w:pPr>
    </w:p>
    <w:p w14:paraId="3CE2C85E">
      <w:pPr>
        <w:spacing w:line="460" w:lineRule="atLeast"/>
        <w:jc w:val="center"/>
        <w:rPr>
          <w:rFonts w:ascii="宋体" w:hAnsi="宋体" w:cs="宋体"/>
          <w:b/>
          <w:color w:val="auto"/>
          <w:sz w:val="24"/>
        </w:rPr>
      </w:pPr>
    </w:p>
    <w:p w14:paraId="28B9083B">
      <w:pPr>
        <w:spacing w:line="460" w:lineRule="atLeast"/>
        <w:jc w:val="center"/>
        <w:rPr>
          <w:rFonts w:ascii="宋体" w:hAnsi="宋体" w:cs="宋体"/>
          <w:b/>
          <w:color w:val="auto"/>
          <w:sz w:val="24"/>
        </w:rPr>
      </w:pPr>
    </w:p>
    <w:p w14:paraId="7663A76C">
      <w:pPr>
        <w:spacing w:line="460" w:lineRule="atLeast"/>
        <w:jc w:val="center"/>
        <w:rPr>
          <w:rFonts w:ascii="宋体" w:hAnsi="宋体" w:cs="宋体"/>
          <w:b/>
          <w:color w:val="auto"/>
          <w:sz w:val="24"/>
        </w:rPr>
      </w:pPr>
    </w:p>
    <w:p w14:paraId="11D5BB5D">
      <w:pPr>
        <w:spacing w:line="460" w:lineRule="atLeast"/>
        <w:jc w:val="center"/>
        <w:rPr>
          <w:rFonts w:ascii="宋体" w:hAnsi="宋体" w:cs="宋体"/>
          <w:b/>
          <w:color w:val="auto"/>
          <w:sz w:val="24"/>
        </w:rPr>
      </w:pPr>
    </w:p>
    <w:p w14:paraId="269B866D">
      <w:pPr>
        <w:spacing w:line="460" w:lineRule="atLeast"/>
        <w:jc w:val="center"/>
        <w:rPr>
          <w:rFonts w:ascii="宋体" w:hAnsi="宋体" w:cs="宋体"/>
          <w:b/>
          <w:color w:val="auto"/>
          <w:sz w:val="24"/>
        </w:rPr>
      </w:pPr>
    </w:p>
    <w:p w14:paraId="2012A5B9">
      <w:pPr>
        <w:spacing w:line="460" w:lineRule="atLeast"/>
        <w:jc w:val="center"/>
        <w:rPr>
          <w:rFonts w:ascii="宋体" w:hAnsi="宋体" w:cs="宋体"/>
          <w:b/>
          <w:color w:val="auto"/>
          <w:sz w:val="24"/>
        </w:rPr>
      </w:pPr>
    </w:p>
    <w:p w14:paraId="42A1C627">
      <w:pPr>
        <w:spacing w:line="460" w:lineRule="atLeast"/>
        <w:jc w:val="center"/>
        <w:rPr>
          <w:rFonts w:ascii="宋体" w:hAnsi="宋体" w:cs="宋体"/>
          <w:b/>
          <w:color w:val="auto"/>
          <w:sz w:val="24"/>
        </w:rPr>
      </w:pPr>
    </w:p>
    <w:p w14:paraId="253E4838">
      <w:pPr>
        <w:spacing w:line="460" w:lineRule="atLeast"/>
        <w:jc w:val="center"/>
        <w:rPr>
          <w:rFonts w:ascii="宋体" w:hAnsi="宋体" w:cs="宋体"/>
          <w:b/>
          <w:color w:val="auto"/>
          <w:sz w:val="24"/>
        </w:rPr>
      </w:pPr>
    </w:p>
    <w:p w14:paraId="0BBCFFFB">
      <w:pPr>
        <w:spacing w:line="460" w:lineRule="atLeast"/>
        <w:jc w:val="center"/>
        <w:rPr>
          <w:rFonts w:ascii="宋体" w:hAnsi="宋体" w:cs="宋体"/>
          <w:b/>
          <w:color w:val="auto"/>
          <w:sz w:val="24"/>
        </w:rPr>
      </w:pPr>
    </w:p>
    <w:p w14:paraId="701E487D">
      <w:pPr>
        <w:spacing w:line="460" w:lineRule="atLeast"/>
        <w:jc w:val="center"/>
        <w:rPr>
          <w:rFonts w:ascii="宋体" w:hAnsi="宋体" w:cs="宋体"/>
          <w:b/>
          <w:color w:val="auto"/>
          <w:sz w:val="24"/>
        </w:rPr>
      </w:pPr>
    </w:p>
    <w:p w14:paraId="3C39EA27">
      <w:pPr>
        <w:spacing w:line="460" w:lineRule="atLeast"/>
        <w:jc w:val="center"/>
        <w:rPr>
          <w:rFonts w:ascii="宋体" w:hAnsi="宋体" w:cs="宋体"/>
          <w:b/>
          <w:color w:val="auto"/>
          <w:sz w:val="24"/>
        </w:rPr>
      </w:pPr>
    </w:p>
    <w:p w14:paraId="21D023EB">
      <w:pPr>
        <w:spacing w:line="460" w:lineRule="atLeast"/>
        <w:jc w:val="center"/>
        <w:rPr>
          <w:rFonts w:ascii="宋体" w:hAnsi="宋体" w:cs="宋体"/>
          <w:b/>
          <w:color w:val="auto"/>
          <w:sz w:val="24"/>
        </w:rPr>
      </w:pPr>
    </w:p>
    <w:p w14:paraId="7C411501">
      <w:pPr>
        <w:spacing w:line="460" w:lineRule="atLeast"/>
        <w:jc w:val="center"/>
        <w:rPr>
          <w:rFonts w:ascii="宋体" w:hAnsi="宋体" w:cs="宋体"/>
          <w:b/>
          <w:color w:val="auto"/>
          <w:sz w:val="24"/>
        </w:rPr>
      </w:pPr>
    </w:p>
    <w:p w14:paraId="0AC82896">
      <w:pPr>
        <w:spacing w:line="460" w:lineRule="atLeast"/>
        <w:jc w:val="center"/>
        <w:rPr>
          <w:rFonts w:ascii="宋体" w:hAnsi="宋体" w:cs="宋体"/>
          <w:b/>
          <w:color w:val="auto"/>
          <w:sz w:val="24"/>
        </w:rPr>
      </w:pPr>
    </w:p>
    <w:p w14:paraId="1B547446">
      <w:pPr>
        <w:spacing w:line="460" w:lineRule="atLeast"/>
        <w:jc w:val="center"/>
        <w:rPr>
          <w:rFonts w:ascii="宋体" w:hAnsi="宋体" w:cs="宋体"/>
          <w:b/>
          <w:color w:val="auto"/>
          <w:sz w:val="24"/>
        </w:rPr>
      </w:pPr>
    </w:p>
    <w:p w14:paraId="5E42A75F">
      <w:pPr>
        <w:spacing w:line="460" w:lineRule="atLeast"/>
        <w:jc w:val="center"/>
        <w:rPr>
          <w:rFonts w:ascii="宋体" w:hAnsi="宋体" w:cs="宋体"/>
          <w:b/>
          <w:color w:val="auto"/>
          <w:sz w:val="24"/>
        </w:rPr>
      </w:pPr>
    </w:p>
    <w:p w14:paraId="215B5138">
      <w:pPr>
        <w:spacing w:line="460" w:lineRule="atLeast"/>
        <w:jc w:val="center"/>
        <w:rPr>
          <w:rFonts w:ascii="宋体" w:hAnsi="宋体" w:cs="宋体"/>
          <w:b/>
          <w:color w:val="auto"/>
          <w:sz w:val="24"/>
        </w:rPr>
      </w:pPr>
    </w:p>
    <w:p w14:paraId="67E274C3">
      <w:pPr>
        <w:spacing w:line="460" w:lineRule="atLeast"/>
        <w:jc w:val="center"/>
        <w:rPr>
          <w:rFonts w:ascii="宋体" w:hAnsi="宋体" w:cs="宋体"/>
          <w:b/>
          <w:color w:val="auto"/>
          <w:sz w:val="24"/>
        </w:rPr>
      </w:pPr>
    </w:p>
    <w:p w14:paraId="3CA440AB">
      <w:pPr>
        <w:spacing w:line="460" w:lineRule="atLeast"/>
        <w:jc w:val="center"/>
        <w:rPr>
          <w:rFonts w:ascii="宋体" w:hAnsi="宋体" w:cs="宋体"/>
          <w:b/>
          <w:color w:val="auto"/>
          <w:sz w:val="24"/>
        </w:rPr>
      </w:pPr>
    </w:p>
    <w:p w14:paraId="2D7D517D">
      <w:pPr>
        <w:spacing w:line="460" w:lineRule="atLeast"/>
        <w:jc w:val="center"/>
        <w:rPr>
          <w:rFonts w:ascii="宋体" w:hAnsi="宋体" w:cs="宋体"/>
          <w:b/>
          <w:color w:val="auto"/>
          <w:sz w:val="24"/>
        </w:rPr>
      </w:pPr>
    </w:p>
    <w:p w14:paraId="3851FA77">
      <w:pPr>
        <w:spacing w:line="460" w:lineRule="atLeast"/>
        <w:jc w:val="center"/>
        <w:rPr>
          <w:rFonts w:ascii="宋体" w:hAnsi="宋体" w:cs="宋体"/>
          <w:color w:val="auto"/>
          <w:sz w:val="24"/>
        </w:rPr>
      </w:pPr>
      <w:r>
        <w:rPr>
          <w:rFonts w:hint="eastAsia" w:ascii="宋体" w:hAnsi="宋体" w:cs="宋体"/>
          <w:b/>
          <w:color w:val="auto"/>
          <w:sz w:val="24"/>
        </w:rPr>
        <w:t>三、报价文件格式</w:t>
      </w:r>
    </w:p>
    <w:p w14:paraId="4DC11D51">
      <w:pPr>
        <w:snapToGrid w:val="0"/>
        <w:spacing w:before="156" w:beforeLines="50" w:after="50" w:line="440" w:lineRule="exact"/>
        <w:rPr>
          <w:rFonts w:ascii="宋体" w:hAnsi="宋体" w:cs="宋体"/>
          <w:color w:val="auto"/>
          <w:sz w:val="24"/>
        </w:rPr>
      </w:pPr>
      <w:r>
        <w:rPr>
          <w:rFonts w:hint="eastAsia" w:ascii="宋体" w:hAnsi="宋体" w:cs="宋体"/>
          <w:color w:val="auto"/>
          <w:sz w:val="24"/>
        </w:rPr>
        <w:t xml:space="preserve">·报价文件封面格式： </w:t>
      </w:r>
    </w:p>
    <w:p w14:paraId="1C4C3D4E">
      <w:pPr>
        <w:snapToGrid w:val="0"/>
        <w:spacing w:before="156" w:beforeLines="50" w:after="50" w:line="440" w:lineRule="exact"/>
        <w:rPr>
          <w:rFonts w:ascii="宋体" w:hAnsi="宋体" w:cs="宋体"/>
          <w:b/>
          <w:bCs/>
          <w:color w:val="auto"/>
          <w:sz w:val="32"/>
        </w:rPr>
      </w:pPr>
      <w:r>
        <w:rPr>
          <w:rFonts w:hint="eastAsia" w:ascii="宋体" w:hAnsi="宋体" w:cs="宋体"/>
          <w:color w:val="auto"/>
          <w:sz w:val="24"/>
        </w:rPr>
        <w:t xml:space="preserve">                                             </w:t>
      </w:r>
    </w:p>
    <w:p w14:paraId="7A07E820">
      <w:pPr>
        <w:snapToGrid w:val="0"/>
        <w:spacing w:before="156" w:beforeLines="50" w:after="50" w:line="440" w:lineRule="exact"/>
        <w:rPr>
          <w:rFonts w:ascii="宋体" w:hAnsi="宋体" w:cs="宋体"/>
          <w:bCs/>
          <w:color w:val="auto"/>
          <w:sz w:val="24"/>
        </w:rPr>
      </w:pPr>
    </w:p>
    <w:p w14:paraId="38AF1EB6">
      <w:pPr>
        <w:snapToGrid w:val="0"/>
        <w:spacing w:before="156" w:beforeLines="50" w:after="50" w:line="440" w:lineRule="exact"/>
        <w:jc w:val="center"/>
        <w:rPr>
          <w:rFonts w:ascii="宋体" w:hAnsi="宋体" w:cs="宋体"/>
          <w:bCs/>
          <w:color w:val="auto"/>
          <w:sz w:val="24"/>
        </w:rPr>
      </w:pPr>
      <w:r>
        <w:rPr>
          <w:rFonts w:hint="eastAsia" w:ascii="宋体" w:hAnsi="宋体" w:cs="宋体"/>
          <w:bCs/>
          <w:color w:val="auto"/>
          <w:sz w:val="24"/>
        </w:rPr>
        <w:t>报 价 文 件</w:t>
      </w:r>
    </w:p>
    <w:p w14:paraId="2E7D7BFA">
      <w:pPr>
        <w:snapToGrid w:val="0"/>
        <w:spacing w:before="156" w:beforeLines="50" w:after="50" w:line="440" w:lineRule="exact"/>
        <w:ind w:firstLine="1068" w:firstLineChars="445"/>
        <w:rPr>
          <w:rFonts w:ascii="宋体" w:hAnsi="宋体" w:cs="宋体"/>
          <w:bCs/>
          <w:color w:val="auto"/>
          <w:sz w:val="24"/>
        </w:rPr>
      </w:pPr>
      <w:r>
        <w:rPr>
          <w:rFonts w:hint="eastAsia" w:ascii="宋体" w:hAnsi="宋体" w:cs="宋体"/>
          <w:bCs/>
          <w:color w:val="auto"/>
          <w:sz w:val="24"/>
        </w:rPr>
        <w:t>项目名称：</w:t>
      </w:r>
    </w:p>
    <w:p w14:paraId="387F430A">
      <w:pPr>
        <w:snapToGrid w:val="0"/>
        <w:spacing w:before="156" w:beforeLines="50" w:after="50" w:line="440" w:lineRule="exact"/>
        <w:ind w:firstLine="480" w:firstLineChars="200"/>
        <w:rPr>
          <w:rFonts w:ascii="宋体" w:hAnsi="宋体" w:cs="宋体"/>
          <w:bCs/>
          <w:color w:val="auto"/>
          <w:sz w:val="24"/>
        </w:rPr>
      </w:pPr>
      <w:r>
        <w:rPr>
          <w:rFonts w:hint="eastAsia" w:ascii="宋体" w:hAnsi="宋体" w:cs="宋体"/>
          <w:bCs/>
          <w:color w:val="auto"/>
          <w:sz w:val="24"/>
        </w:rPr>
        <w:t xml:space="preserve">     项目编号：</w:t>
      </w:r>
    </w:p>
    <w:p w14:paraId="7D6E3CC7">
      <w:pPr>
        <w:snapToGrid w:val="0"/>
        <w:spacing w:before="156" w:beforeLines="50" w:after="50" w:line="440" w:lineRule="exact"/>
        <w:ind w:firstLine="480" w:firstLineChars="200"/>
        <w:rPr>
          <w:rFonts w:ascii="宋体" w:hAnsi="宋体" w:cs="宋体"/>
          <w:bCs/>
          <w:color w:val="auto"/>
          <w:sz w:val="24"/>
        </w:rPr>
      </w:pPr>
      <w:r>
        <w:rPr>
          <w:rFonts w:hint="eastAsia" w:ascii="宋体" w:hAnsi="宋体" w:cs="宋体"/>
          <w:bCs/>
          <w:color w:val="auto"/>
          <w:sz w:val="24"/>
        </w:rPr>
        <w:t xml:space="preserve">    投标人名称：</w:t>
      </w:r>
    </w:p>
    <w:p w14:paraId="3096412A">
      <w:pPr>
        <w:pStyle w:val="8"/>
        <w:spacing w:before="50" w:after="50" w:line="440" w:lineRule="exact"/>
        <w:ind w:firstLine="998" w:firstLineChars="416"/>
        <w:rPr>
          <w:rFonts w:hAnsi="宋体"/>
          <w:bCs/>
          <w:color w:val="auto"/>
          <w:sz w:val="24"/>
          <w:szCs w:val="24"/>
        </w:rPr>
      </w:pPr>
      <w:r>
        <w:rPr>
          <w:rFonts w:hint="eastAsia" w:hAnsi="宋体"/>
          <w:bCs/>
          <w:color w:val="auto"/>
          <w:sz w:val="24"/>
          <w:szCs w:val="24"/>
        </w:rPr>
        <w:t>投标人地址：</w:t>
      </w:r>
    </w:p>
    <w:p w14:paraId="6E429ED8">
      <w:pPr>
        <w:snapToGrid w:val="0"/>
        <w:spacing w:before="156" w:beforeLines="50" w:after="50" w:line="440" w:lineRule="exact"/>
        <w:rPr>
          <w:rFonts w:ascii="宋体" w:hAnsi="宋体" w:cs="宋体"/>
          <w:color w:val="auto"/>
          <w:sz w:val="24"/>
        </w:rPr>
      </w:pPr>
    </w:p>
    <w:p w14:paraId="62E33F17">
      <w:pPr>
        <w:snapToGrid w:val="0"/>
        <w:spacing w:before="156" w:beforeLines="50" w:after="50" w:line="440" w:lineRule="exact"/>
        <w:rPr>
          <w:rFonts w:ascii="宋体" w:hAnsi="宋体" w:cs="宋体"/>
          <w:color w:val="auto"/>
          <w:sz w:val="24"/>
        </w:rPr>
      </w:pPr>
      <w:r>
        <w:rPr>
          <w:rFonts w:hint="eastAsia" w:ascii="宋体" w:hAnsi="宋体" w:cs="宋体"/>
          <w:color w:val="auto"/>
          <w:sz w:val="24"/>
        </w:rPr>
        <w:t xml:space="preserve">                        年  月  日</w:t>
      </w:r>
    </w:p>
    <w:p w14:paraId="79BB0C89">
      <w:pPr>
        <w:snapToGrid w:val="0"/>
        <w:spacing w:before="156" w:beforeLines="50" w:after="50" w:line="440" w:lineRule="exact"/>
        <w:rPr>
          <w:rFonts w:ascii="宋体" w:hAnsi="宋体" w:cs="宋体"/>
          <w:b/>
          <w:color w:val="auto"/>
          <w:sz w:val="32"/>
          <w:szCs w:val="32"/>
        </w:rPr>
      </w:pPr>
      <w:r>
        <w:rPr>
          <w:rFonts w:hint="eastAsia" w:ascii="宋体" w:hAnsi="宋体" w:cs="宋体"/>
          <w:color w:val="auto"/>
          <w:sz w:val="24"/>
        </w:rPr>
        <w:br w:type="page"/>
      </w:r>
      <w:r>
        <w:rPr>
          <w:rFonts w:hint="eastAsia" w:ascii="宋体" w:hAnsi="宋体" w:cs="宋体"/>
          <w:b/>
          <w:bCs/>
          <w:color w:val="auto"/>
          <w:sz w:val="24"/>
        </w:rPr>
        <w:t>1</w:t>
      </w:r>
      <w:r>
        <w:rPr>
          <w:rFonts w:hint="eastAsia" w:ascii="宋体" w:hAnsi="宋体" w:cs="宋体"/>
          <w:b/>
          <w:bCs/>
          <w:color w:val="auto"/>
          <w:sz w:val="24"/>
          <w:lang w:val="en-US" w:eastAsia="zh-CN"/>
        </w:rPr>
        <w:t>.</w:t>
      </w:r>
      <w:r>
        <w:rPr>
          <w:rFonts w:hint="eastAsia" w:ascii="宋体" w:hAnsi="宋体" w:cs="宋体"/>
          <w:b/>
          <w:bCs/>
          <w:color w:val="auto"/>
          <w:sz w:val="24"/>
        </w:rPr>
        <w:t>投标函格式：</w:t>
      </w:r>
    </w:p>
    <w:p w14:paraId="2DB0ADCE">
      <w:pPr>
        <w:pStyle w:val="15"/>
        <w:adjustRightInd w:val="0"/>
        <w:snapToGrid w:val="0"/>
        <w:spacing w:line="360" w:lineRule="auto"/>
        <w:jc w:val="center"/>
        <w:rPr>
          <w:rFonts w:hAnsi="宋体"/>
          <w:b/>
          <w:bCs/>
          <w:color w:val="auto"/>
          <w:sz w:val="32"/>
          <w:szCs w:val="32"/>
        </w:rPr>
      </w:pPr>
      <w:r>
        <w:rPr>
          <w:rFonts w:hint="eastAsia" w:hAnsi="宋体"/>
          <w:b/>
          <w:bCs/>
          <w:color w:val="auto"/>
          <w:sz w:val="32"/>
          <w:szCs w:val="32"/>
        </w:rPr>
        <w:t>投 标 函</w:t>
      </w:r>
    </w:p>
    <w:p w14:paraId="58302590">
      <w:pPr>
        <w:snapToGrid w:val="0"/>
        <w:spacing w:line="360" w:lineRule="auto"/>
        <w:rPr>
          <w:rFonts w:ascii="宋体" w:hAnsi="宋体" w:cs="宋体"/>
          <w:color w:val="auto"/>
          <w:sz w:val="24"/>
        </w:rPr>
      </w:pPr>
      <w:r>
        <w:rPr>
          <w:rFonts w:hint="eastAsia" w:ascii="宋体" w:hAnsi="宋体" w:cs="宋体"/>
          <w:color w:val="auto"/>
          <w:sz w:val="24"/>
        </w:rPr>
        <w:t>致：</w:t>
      </w:r>
      <w:r>
        <w:rPr>
          <w:rFonts w:hint="eastAsia" w:ascii="宋体" w:hAnsi="宋体" w:cs="宋体"/>
          <w:color w:val="auto"/>
          <w:sz w:val="24"/>
          <w:u w:val="single"/>
        </w:rPr>
        <w:t xml:space="preserve">                </w:t>
      </w:r>
      <w:r>
        <w:rPr>
          <w:rFonts w:hint="eastAsia" w:ascii="宋体" w:hAnsi="宋体" w:cs="宋体"/>
          <w:color w:val="auto"/>
          <w:sz w:val="24"/>
        </w:rPr>
        <w:t>（采购单位名称）：</w:t>
      </w:r>
    </w:p>
    <w:p w14:paraId="63CFFE12">
      <w:pPr>
        <w:snapToGrid w:val="0"/>
        <w:spacing w:line="360" w:lineRule="auto"/>
        <w:ind w:firstLine="480"/>
        <w:rPr>
          <w:rFonts w:ascii="宋体" w:hAnsi="宋体" w:cs="宋体"/>
          <w:color w:val="auto"/>
          <w:sz w:val="24"/>
        </w:rPr>
      </w:pPr>
      <w:r>
        <w:rPr>
          <w:rFonts w:hint="eastAsia" w:ascii="宋体" w:hAnsi="宋体" w:cs="宋体"/>
          <w:color w:val="auto"/>
          <w:sz w:val="24"/>
        </w:rPr>
        <w:t>根据贵方为</w:t>
      </w:r>
      <w:r>
        <w:rPr>
          <w:rFonts w:hint="eastAsia" w:ascii="宋体" w:hAnsi="宋体" w:cs="宋体"/>
          <w:color w:val="auto"/>
          <w:sz w:val="24"/>
          <w:u w:val="single"/>
        </w:rPr>
        <w:t xml:space="preserve">                  </w:t>
      </w:r>
      <w:r>
        <w:rPr>
          <w:rFonts w:hint="eastAsia" w:ascii="宋体" w:hAnsi="宋体" w:cs="宋体"/>
          <w:color w:val="auto"/>
          <w:sz w:val="24"/>
        </w:rPr>
        <w:t>项目的采购公告（项目编号：</w:t>
      </w:r>
      <w:r>
        <w:rPr>
          <w:rFonts w:hint="eastAsia" w:ascii="宋体" w:hAnsi="宋体" w:cs="宋体"/>
          <w:color w:val="auto"/>
          <w:sz w:val="24"/>
          <w:u w:val="single"/>
        </w:rPr>
        <w:t xml:space="preserve">           </w:t>
      </w:r>
      <w:r>
        <w:rPr>
          <w:rFonts w:hint="eastAsia" w:ascii="宋体" w:hAnsi="宋体" w:cs="宋体"/>
          <w:color w:val="auto"/>
          <w:sz w:val="24"/>
        </w:rPr>
        <w:t>），签字代表</w:t>
      </w:r>
      <w:r>
        <w:rPr>
          <w:rFonts w:hint="eastAsia" w:ascii="宋体" w:hAnsi="宋体" w:cs="宋体"/>
          <w:color w:val="auto"/>
          <w:sz w:val="24"/>
          <w:u w:val="single"/>
        </w:rPr>
        <w:t xml:space="preserve">          </w:t>
      </w:r>
      <w:r>
        <w:rPr>
          <w:rFonts w:hint="eastAsia" w:ascii="宋体" w:hAnsi="宋体" w:cs="宋体"/>
          <w:color w:val="auto"/>
          <w:sz w:val="24"/>
        </w:rPr>
        <w:t>（全名）经正式授权并代表投标人</w:t>
      </w:r>
      <w:r>
        <w:rPr>
          <w:rFonts w:hint="eastAsia" w:ascii="宋体" w:hAnsi="宋体" w:cs="宋体"/>
          <w:color w:val="auto"/>
          <w:sz w:val="24"/>
          <w:u w:val="single"/>
        </w:rPr>
        <w:t xml:space="preserve">             </w:t>
      </w:r>
      <w:r>
        <w:rPr>
          <w:rFonts w:hint="eastAsia" w:ascii="宋体" w:hAnsi="宋体" w:cs="宋体"/>
          <w:color w:val="auto"/>
          <w:sz w:val="24"/>
        </w:rPr>
        <w:t>（投标人名称）提交了电子投标文件。</w:t>
      </w:r>
    </w:p>
    <w:p w14:paraId="72B3245C">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据此函，签字代表宣布同意如下：</w:t>
      </w:r>
    </w:p>
    <w:p w14:paraId="391348FE">
      <w:pPr>
        <w:pStyle w:val="13"/>
        <w:spacing w:line="360" w:lineRule="auto"/>
        <w:ind w:right="-91" w:firstLine="460" w:firstLineChars="192"/>
        <w:rPr>
          <w:rFonts w:ascii="宋体" w:hAnsi="宋体"/>
          <w:color w:val="auto"/>
          <w:sz w:val="24"/>
        </w:rPr>
      </w:pPr>
      <w:r>
        <w:rPr>
          <w:rFonts w:hint="eastAsia" w:ascii="宋体" w:hAnsi="宋体"/>
          <w:color w:val="auto"/>
          <w:sz w:val="24"/>
        </w:rPr>
        <w:t>1</w:t>
      </w:r>
      <w:r>
        <w:rPr>
          <w:rFonts w:hint="eastAsia" w:ascii="宋体" w:hAnsi="宋体"/>
          <w:color w:val="auto"/>
          <w:sz w:val="24"/>
          <w:lang w:val="en-US" w:eastAsia="zh-CN"/>
        </w:rPr>
        <w:t>.</w:t>
      </w:r>
      <w:r>
        <w:rPr>
          <w:rFonts w:hint="eastAsia" w:ascii="宋体" w:hAnsi="宋体"/>
          <w:color w:val="auto"/>
          <w:sz w:val="24"/>
        </w:rPr>
        <w:t>我方已详细审查了采购文件的全部内容及其相关补充文件</w:t>
      </w:r>
      <w:r>
        <w:rPr>
          <w:rFonts w:hint="eastAsia" w:ascii="宋体" w:hAnsi="宋体"/>
          <w:b/>
          <w:color w:val="auto"/>
          <w:sz w:val="24"/>
        </w:rPr>
        <w:t>（若有）</w:t>
      </w:r>
      <w:r>
        <w:rPr>
          <w:rFonts w:hint="eastAsia" w:ascii="宋体" w:hAnsi="宋体"/>
          <w:color w:val="auto"/>
          <w:sz w:val="24"/>
        </w:rPr>
        <w:t>，并完全清晰理解全部内容及相关的补充文件</w:t>
      </w:r>
      <w:r>
        <w:rPr>
          <w:rFonts w:hint="eastAsia" w:ascii="宋体" w:hAnsi="宋体"/>
          <w:b/>
          <w:color w:val="auto"/>
          <w:sz w:val="24"/>
        </w:rPr>
        <w:t>（若有）</w:t>
      </w:r>
      <w:r>
        <w:rPr>
          <w:rFonts w:hint="eastAsia" w:ascii="宋体" w:hAnsi="宋体"/>
          <w:color w:val="auto"/>
          <w:sz w:val="24"/>
        </w:rPr>
        <w:t>，不存在任何误解之处，同意放弃提出异议和质疑的权利。</w:t>
      </w:r>
    </w:p>
    <w:p w14:paraId="2305F9F4">
      <w:pPr>
        <w:spacing w:line="360" w:lineRule="auto"/>
        <w:ind w:right="-89" w:firstLine="464" w:firstLineChars="200"/>
        <w:jc w:val="left"/>
        <w:rPr>
          <w:rFonts w:ascii="宋体" w:hAnsi="宋体" w:cs="宋体"/>
          <w:color w:val="auto"/>
          <w:spacing w:val="-4"/>
          <w:sz w:val="24"/>
        </w:rPr>
      </w:pPr>
      <w:r>
        <w:rPr>
          <w:rFonts w:hint="eastAsia" w:ascii="宋体" w:hAnsi="宋体" w:cs="宋体"/>
          <w:color w:val="auto"/>
          <w:spacing w:val="-4"/>
          <w:sz w:val="24"/>
        </w:rPr>
        <w:t>2</w:t>
      </w:r>
      <w:r>
        <w:rPr>
          <w:rFonts w:hint="eastAsia" w:ascii="宋体" w:hAnsi="宋体" w:cs="宋体"/>
          <w:color w:val="auto"/>
          <w:spacing w:val="-4"/>
          <w:sz w:val="24"/>
          <w:lang w:val="en-US" w:eastAsia="zh-CN"/>
        </w:rPr>
        <w:t>.</w:t>
      </w:r>
      <w:r>
        <w:rPr>
          <w:rFonts w:hint="eastAsia" w:ascii="宋体" w:hAnsi="宋体" w:cs="宋体"/>
          <w:color w:val="auto"/>
          <w:spacing w:val="-4"/>
          <w:sz w:val="24"/>
        </w:rPr>
        <w:t>我方遵守《中华人民共和国政府采购法》及相关法律法规的规定。同意采购文件中所提到的无效标条款，并服从有关开标现场的会议纪律。否则，同意被废除投标资格。</w:t>
      </w:r>
    </w:p>
    <w:p w14:paraId="7C0960C1">
      <w:pPr>
        <w:spacing w:line="360" w:lineRule="auto"/>
        <w:ind w:firstLine="464" w:firstLineChars="200"/>
        <w:rPr>
          <w:rFonts w:ascii="宋体" w:hAnsi="宋体" w:cs="宋体"/>
          <w:color w:val="auto"/>
          <w:spacing w:val="-4"/>
          <w:sz w:val="24"/>
        </w:rPr>
      </w:pPr>
      <w:r>
        <w:rPr>
          <w:rFonts w:hint="eastAsia" w:ascii="宋体" w:hAnsi="宋体" w:cs="宋体"/>
          <w:color w:val="auto"/>
          <w:spacing w:val="-4"/>
          <w:sz w:val="24"/>
        </w:rPr>
        <w:t>3</w:t>
      </w:r>
      <w:r>
        <w:rPr>
          <w:rFonts w:hint="eastAsia" w:ascii="宋体" w:hAnsi="宋体" w:cs="宋体"/>
          <w:color w:val="auto"/>
          <w:spacing w:val="-4"/>
          <w:sz w:val="24"/>
          <w:lang w:val="en-US" w:eastAsia="zh-CN"/>
        </w:rPr>
        <w:t>.</w:t>
      </w:r>
      <w:r>
        <w:rPr>
          <w:rFonts w:hint="eastAsia" w:ascii="宋体" w:hAnsi="宋体" w:cs="宋体"/>
          <w:color w:val="auto"/>
          <w:spacing w:val="-4"/>
          <w:sz w:val="24"/>
        </w:rPr>
        <w:t>我方承诺所提供的一切投标文件经已认真严格审核，内容均为全面真实、准确有效且毫无保留，绝无任何遗漏、虚假、伪造和夸大的成份，若出现违背诚实信用和无如实告知之处，同意被废除投标资格和相关的处罚。</w:t>
      </w:r>
    </w:p>
    <w:p w14:paraId="5C50EE35">
      <w:pPr>
        <w:spacing w:line="360" w:lineRule="auto"/>
        <w:ind w:firstLine="464" w:firstLineChars="200"/>
        <w:rPr>
          <w:rFonts w:ascii="宋体" w:hAnsi="宋体" w:cs="宋体"/>
          <w:color w:val="auto"/>
          <w:spacing w:val="-4"/>
          <w:sz w:val="24"/>
        </w:rPr>
      </w:pPr>
      <w:r>
        <w:rPr>
          <w:rFonts w:hint="eastAsia" w:ascii="宋体" w:hAnsi="宋体" w:cs="宋体"/>
          <w:color w:val="auto"/>
          <w:spacing w:val="-4"/>
          <w:sz w:val="24"/>
        </w:rPr>
        <w:t>4</w:t>
      </w:r>
      <w:r>
        <w:rPr>
          <w:rFonts w:hint="eastAsia" w:ascii="宋体" w:hAnsi="宋体" w:cs="宋体"/>
          <w:color w:val="auto"/>
          <w:spacing w:val="-4"/>
          <w:sz w:val="24"/>
          <w:lang w:val="en-US" w:eastAsia="zh-CN"/>
        </w:rPr>
        <w:t>.</w:t>
      </w:r>
      <w:r>
        <w:rPr>
          <w:rFonts w:hint="eastAsia" w:ascii="宋体" w:hAnsi="宋体" w:cs="宋体"/>
          <w:color w:val="auto"/>
          <w:spacing w:val="-4"/>
          <w:sz w:val="24"/>
        </w:rPr>
        <w:t>投标有效期为自开标之日起</w:t>
      </w:r>
      <w:r>
        <w:rPr>
          <w:rFonts w:hint="eastAsia" w:ascii="宋体" w:hAnsi="宋体" w:cs="宋体"/>
          <w:color w:val="auto"/>
          <w:spacing w:val="-4"/>
          <w:sz w:val="24"/>
          <w:u w:val="single"/>
        </w:rPr>
        <w:t>60</w:t>
      </w:r>
      <w:r>
        <w:rPr>
          <w:rFonts w:hint="eastAsia" w:ascii="宋体" w:hAnsi="宋体" w:cs="宋体"/>
          <w:color w:val="auto"/>
          <w:spacing w:val="-4"/>
          <w:sz w:val="24"/>
        </w:rPr>
        <w:t>天内，如在投标有效期内撤回投标，我方同意被废除投标资格。</w:t>
      </w:r>
    </w:p>
    <w:p w14:paraId="3C55443C">
      <w:pPr>
        <w:spacing w:line="360" w:lineRule="auto"/>
        <w:ind w:firstLine="464" w:firstLineChars="200"/>
        <w:rPr>
          <w:rFonts w:ascii="宋体" w:hAnsi="宋体" w:cs="宋体"/>
          <w:color w:val="auto"/>
          <w:sz w:val="24"/>
        </w:rPr>
      </w:pPr>
      <w:r>
        <w:rPr>
          <w:rFonts w:hint="eastAsia" w:ascii="宋体" w:hAnsi="宋体" w:cs="宋体"/>
          <w:color w:val="auto"/>
          <w:spacing w:val="-4"/>
          <w:sz w:val="24"/>
        </w:rPr>
        <w:t>5</w:t>
      </w:r>
      <w:r>
        <w:rPr>
          <w:rFonts w:hint="eastAsia" w:ascii="宋体" w:hAnsi="宋体" w:cs="宋体"/>
          <w:color w:val="auto"/>
          <w:spacing w:val="-4"/>
          <w:sz w:val="24"/>
          <w:lang w:val="en-US" w:eastAsia="zh-CN"/>
        </w:rPr>
        <w:t>.</w:t>
      </w:r>
      <w:r>
        <w:rPr>
          <w:rFonts w:hint="eastAsia" w:ascii="宋体" w:hAnsi="宋体" w:cs="宋体"/>
          <w:color w:val="auto"/>
          <w:sz w:val="24"/>
        </w:rPr>
        <w:t>若我方中标，则直至合同履行完毕为止，本投标文件有效。</w:t>
      </w:r>
    </w:p>
    <w:p w14:paraId="63E718D4">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6</w:t>
      </w:r>
      <w:r>
        <w:rPr>
          <w:rFonts w:hint="eastAsia" w:ascii="宋体" w:hAnsi="宋体" w:cs="宋体"/>
          <w:color w:val="auto"/>
          <w:sz w:val="24"/>
          <w:lang w:val="en-US" w:eastAsia="zh-CN"/>
        </w:rPr>
        <w:t>.</w:t>
      </w:r>
      <w:r>
        <w:rPr>
          <w:rFonts w:hint="eastAsia" w:ascii="宋体" w:hAnsi="宋体" w:cs="宋体"/>
          <w:color w:val="auto"/>
          <w:sz w:val="24"/>
        </w:rPr>
        <w:t>与本投标有关的一切正式往来信函请寄：</w:t>
      </w:r>
    </w:p>
    <w:p w14:paraId="130F609B">
      <w:pPr>
        <w:snapToGrid w:val="0"/>
        <w:spacing w:line="440" w:lineRule="exact"/>
        <w:rPr>
          <w:rFonts w:ascii="宋体" w:hAnsi="宋体" w:cs="宋体"/>
          <w:color w:val="auto"/>
          <w:sz w:val="24"/>
        </w:rPr>
      </w:pPr>
    </w:p>
    <w:p w14:paraId="1FD5FB9F">
      <w:pPr>
        <w:snapToGrid w:val="0"/>
        <w:spacing w:line="440" w:lineRule="exact"/>
        <w:rPr>
          <w:rFonts w:ascii="宋体" w:hAnsi="宋体" w:cs="宋体"/>
          <w:color w:val="auto"/>
          <w:sz w:val="24"/>
        </w:rPr>
      </w:pPr>
      <w:r>
        <w:rPr>
          <w:rFonts w:hint="eastAsia" w:ascii="宋体" w:hAnsi="宋体" w:cs="宋体"/>
          <w:color w:val="auto"/>
          <w:sz w:val="24"/>
        </w:rPr>
        <w:t>地址：</w:t>
      </w:r>
      <w:r>
        <w:rPr>
          <w:rFonts w:hint="eastAsia" w:ascii="宋体" w:hAnsi="宋体" w:cs="宋体"/>
          <w:color w:val="auto"/>
          <w:sz w:val="24"/>
          <w:u w:val="single"/>
        </w:rPr>
        <w:t xml:space="preserve">                       </w:t>
      </w:r>
      <w:r>
        <w:rPr>
          <w:rFonts w:hint="eastAsia" w:ascii="宋体" w:hAnsi="宋体" w:cs="宋体"/>
          <w:color w:val="auto"/>
          <w:sz w:val="24"/>
        </w:rPr>
        <w:t>邮编：__________   电话：______________</w:t>
      </w:r>
    </w:p>
    <w:p w14:paraId="3AD887A0">
      <w:pPr>
        <w:snapToGrid w:val="0"/>
        <w:spacing w:line="440" w:lineRule="exact"/>
        <w:rPr>
          <w:rFonts w:ascii="宋体" w:hAnsi="宋体" w:cs="宋体"/>
          <w:color w:val="auto"/>
          <w:sz w:val="24"/>
        </w:rPr>
      </w:pPr>
      <w:r>
        <w:rPr>
          <w:rFonts w:hint="eastAsia" w:ascii="宋体" w:hAnsi="宋体" w:cs="宋体"/>
          <w:color w:val="auto"/>
          <w:sz w:val="24"/>
        </w:rPr>
        <w:t>传真：______________投标人代表姓名：___________  职务：</w:t>
      </w:r>
      <w:r>
        <w:rPr>
          <w:rFonts w:hint="eastAsia" w:ascii="宋体" w:hAnsi="宋体" w:cs="宋体"/>
          <w:color w:val="auto"/>
          <w:sz w:val="24"/>
          <w:u w:val="single"/>
        </w:rPr>
        <w:t xml:space="preserve">              </w:t>
      </w:r>
    </w:p>
    <w:p w14:paraId="0D69F4E7">
      <w:pPr>
        <w:snapToGrid w:val="0"/>
        <w:spacing w:line="440" w:lineRule="exact"/>
        <w:rPr>
          <w:rFonts w:ascii="宋体" w:hAnsi="宋体" w:cs="宋体"/>
          <w:color w:val="auto"/>
          <w:sz w:val="24"/>
        </w:rPr>
      </w:pPr>
      <w:r>
        <w:rPr>
          <w:rFonts w:hint="eastAsia" w:ascii="宋体" w:hAnsi="宋体" w:cs="宋体"/>
          <w:color w:val="auto"/>
          <w:sz w:val="24"/>
        </w:rPr>
        <w:t>投标人名称(公章):___________________</w:t>
      </w:r>
    </w:p>
    <w:p w14:paraId="75734460">
      <w:pPr>
        <w:snapToGrid w:val="0"/>
        <w:spacing w:line="440" w:lineRule="exact"/>
        <w:rPr>
          <w:rFonts w:ascii="宋体" w:hAnsi="宋体" w:cs="宋体"/>
          <w:color w:val="auto"/>
          <w:sz w:val="24"/>
        </w:rPr>
      </w:pPr>
      <w:r>
        <w:rPr>
          <w:rFonts w:hint="eastAsia" w:ascii="宋体" w:hAnsi="宋体" w:cs="宋体"/>
          <w:color w:val="auto"/>
          <w:sz w:val="24"/>
        </w:rPr>
        <w:t>开户银行：</w:t>
      </w:r>
      <w:r>
        <w:rPr>
          <w:rFonts w:hint="eastAsia" w:ascii="宋体" w:hAnsi="宋体" w:cs="宋体"/>
          <w:color w:val="auto"/>
          <w:sz w:val="24"/>
          <w:u w:val="single"/>
        </w:rPr>
        <w:t xml:space="preserve">                      </w:t>
      </w:r>
      <w:r>
        <w:rPr>
          <w:rFonts w:hint="eastAsia" w:ascii="宋体" w:hAnsi="宋体" w:cs="宋体"/>
          <w:color w:val="auto"/>
          <w:sz w:val="24"/>
        </w:rPr>
        <w:t xml:space="preserve">   银行账号：</w:t>
      </w:r>
      <w:r>
        <w:rPr>
          <w:rFonts w:hint="eastAsia" w:ascii="宋体" w:hAnsi="宋体" w:cs="宋体"/>
          <w:color w:val="auto"/>
          <w:sz w:val="24"/>
          <w:u w:val="single"/>
        </w:rPr>
        <w:t xml:space="preserve">                    </w:t>
      </w:r>
      <w:r>
        <w:rPr>
          <w:rFonts w:hint="eastAsia" w:ascii="宋体" w:hAnsi="宋体" w:cs="宋体"/>
          <w:color w:val="auto"/>
          <w:sz w:val="24"/>
        </w:rPr>
        <w:t xml:space="preserve"> </w:t>
      </w:r>
    </w:p>
    <w:p w14:paraId="76124C88">
      <w:pPr>
        <w:adjustRightInd w:val="0"/>
        <w:spacing w:line="440" w:lineRule="exact"/>
        <w:rPr>
          <w:rFonts w:ascii="宋体" w:hAnsi="宋体" w:cs="宋体"/>
          <w:color w:val="auto"/>
          <w:sz w:val="24"/>
        </w:rPr>
      </w:pPr>
      <w:r>
        <w:rPr>
          <w:rFonts w:hint="eastAsia" w:ascii="宋体" w:hAnsi="宋体" w:cs="宋体"/>
          <w:color w:val="auto"/>
          <w:sz w:val="24"/>
        </w:rPr>
        <w:t>法定代表人签字或盖章:___________</w:t>
      </w:r>
    </w:p>
    <w:p w14:paraId="342CBCAE">
      <w:pPr>
        <w:adjustRightInd w:val="0"/>
        <w:spacing w:line="440" w:lineRule="exact"/>
        <w:rPr>
          <w:rFonts w:ascii="宋体" w:hAnsi="宋体" w:cs="宋体"/>
          <w:b/>
          <w:color w:val="auto"/>
          <w:sz w:val="24"/>
        </w:rPr>
      </w:pPr>
      <w:r>
        <w:rPr>
          <w:rFonts w:hint="eastAsia" w:ascii="宋体" w:hAnsi="宋体" w:cs="宋体"/>
          <w:color w:val="auto"/>
          <w:sz w:val="24"/>
        </w:rPr>
        <w:t>日期:_____年___月___日</w:t>
      </w:r>
    </w:p>
    <w:p w14:paraId="1D9CFA14">
      <w:pPr>
        <w:snapToGrid w:val="0"/>
        <w:spacing w:line="360" w:lineRule="auto"/>
        <w:jc w:val="left"/>
        <w:rPr>
          <w:rFonts w:ascii="宋体" w:hAnsi="宋体" w:cs="宋体"/>
          <w:b/>
          <w:color w:val="auto"/>
          <w:sz w:val="24"/>
        </w:rPr>
      </w:pPr>
      <w:r>
        <w:rPr>
          <w:rFonts w:hint="eastAsia" w:ascii="宋体" w:hAnsi="宋体" w:cs="宋体"/>
          <w:b/>
          <w:color w:val="auto"/>
          <w:sz w:val="24"/>
        </w:rPr>
        <w:br w:type="page"/>
      </w:r>
      <w:r>
        <w:rPr>
          <w:rFonts w:hint="eastAsia" w:ascii="宋体" w:hAnsi="宋体" w:cs="宋体"/>
          <w:b/>
          <w:color w:val="auto"/>
          <w:sz w:val="24"/>
        </w:rPr>
        <w:t>2</w:t>
      </w:r>
      <w:r>
        <w:rPr>
          <w:rFonts w:hint="eastAsia" w:ascii="宋体" w:hAnsi="宋体" w:cs="宋体"/>
          <w:b/>
          <w:color w:val="auto"/>
          <w:sz w:val="24"/>
          <w:lang w:val="en-US" w:eastAsia="zh-CN"/>
        </w:rPr>
        <w:t>.</w:t>
      </w:r>
      <w:r>
        <w:rPr>
          <w:rFonts w:hint="eastAsia" w:ascii="宋体" w:hAnsi="宋体" w:cs="宋体"/>
          <w:b/>
          <w:color w:val="auto"/>
          <w:sz w:val="24"/>
        </w:rPr>
        <w:t>开标一览表格式</w:t>
      </w:r>
    </w:p>
    <w:p w14:paraId="55F5B323">
      <w:pPr>
        <w:jc w:val="center"/>
        <w:rPr>
          <w:rFonts w:ascii="宋体" w:hAnsi="宋体" w:cs="宋体"/>
          <w:b/>
          <w:color w:val="auto"/>
          <w:sz w:val="32"/>
          <w:szCs w:val="32"/>
        </w:rPr>
      </w:pPr>
      <w:r>
        <w:rPr>
          <w:rFonts w:hint="eastAsia" w:ascii="宋体" w:hAnsi="宋体" w:cs="宋体"/>
          <w:b/>
          <w:color w:val="auto"/>
          <w:sz w:val="32"/>
          <w:szCs w:val="32"/>
        </w:rPr>
        <w:t>开标一览表</w:t>
      </w:r>
    </w:p>
    <w:p w14:paraId="2332262E">
      <w:pPr>
        <w:spacing w:before="156" w:beforeLines="50" w:line="440" w:lineRule="exact"/>
        <w:rPr>
          <w:rFonts w:hint="eastAsia" w:ascii="宋体" w:hAnsi="宋体" w:eastAsia="宋体" w:cs="宋体"/>
          <w:b/>
          <w:color w:val="auto"/>
          <w:sz w:val="24"/>
          <w:lang w:eastAsia="zh-CN"/>
        </w:rPr>
      </w:pPr>
      <w:r>
        <w:rPr>
          <w:rFonts w:hint="eastAsia" w:ascii="宋体" w:hAnsi="宋体" w:cs="宋体"/>
          <w:color w:val="auto"/>
          <w:sz w:val="24"/>
        </w:rPr>
        <w:t>项目编号：</w:t>
      </w:r>
      <w:r>
        <w:rPr>
          <w:rFonts w:hint="eastAsia" w:ascii="宋体" w:hAnsi="宋体" w:cs="宋体"/>
          <w:color w:val="auto"/>
          <w:sz w:val="24"/>
          <w:lang w:eastAsia="zh-CN"/>
        </w:rPr>
        <w:t xml:space="preserve">ZSJS-2025-009 </w:t>
      </w:r>
    </w:p>
    <w:tbl>
      <w:tblPr>
        <w:tblStyle w:val="34"/>
        <w:tblW w:w="9237" w:type="dxa"/>
        <w:tblInd w:w="106"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182"/>
        <w:gridCol w:w="7055"/>
      </w:tblGrid>
      <w:tr w14:paraId="1756186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307" w:hRule="atLeast"/>
        </w:trPr>
        <w:tc>
          <w:tcPr>
            <w:tcW w:w="2182" w:type="dxa"/>
            <w:tcBorders>
              <w:top w:val="single" w:color="auto" w:sz="4" w:space="0"/>
              <w:left w:val="single" w:color="auto" w:sz="4" w:space="0"/>
              <w:bottom w:val="single" w:color="auto" w:sz="4" w:space="0"/>
              <w:right w:val="single" w:color="auto" w:sz="4" w:space="0"/>
            </w:tcBorders>
            <w:vAlign w:val="center"/>
          </w:tcPr>
          <w:p w14:paraId="27A1FA02">
            <w:pPr>
              <w:adjustRightInd w:val="0"/>
              <w:spacing w:line="440" w:lineRule="exact"/>
              <w:jc w:val="center"/>
              <w:rPr>
                <w:rFonts w:ascii="宋体" w:hAnsi="宋体" w:cs="宋体"/>
                <w:color w:val="auto"/>
                <w:sz w:val="24"/>
              </w:rPr>
            </w:pPr>
            <w:r>
              <w:rPr>
                <w:rFonts w:hint="eastAsia" w:ascii="宋体" w:hAnsi="宋体" w:cs="宋体"/>
                <w:color w:val="auto"/>
                <w:sz w:val="24"/>
              </w:rPr>
              <w:t>项目名称</w:t>
            </w:r>
          </w:p>
        </w:tc>
        <w:tc>
          <w:tcPr>
            <w:tcW w:w="7055" w:type="dxa"/>
            <w:tcBorders>
              <w:top w:val="single" w:color="auto" w:sz="4" w:space="0"/>
              <w:left w:val="single" w:color="auto" w:sz="4" w:space="0"/>
              <w:bottom w:val="single" w:color="auto" w:sz="4" w:space="0"/>
              <w:right w:val="single" w:color="000000" w:sz="4" w:space="0"/>
            </w:tcBorders>
            <w:vAlign w:val="center"/>
          </w:tcPr>
          <w:p w14:paraId="09C4D0DD">
            <w:pPr>
              <w:adjustRightInd w:val="0"/>
              <w:spacing w:line="440" w:lineRule="exact"/>
              <w:jc w:val="both"/>
              <w:rPr>
                <w:rFonts w:hint="eastAsia" w:ascii="宋体" w:hAnsi="宋体" w:eastAsia="宋体" w:cs="宋体"/>
                <w:color w:val="auto"/>
                <w:sz w:val="24"/>
                <w:lang w:eastAsia="zh-CN"/>
              </w:rPr>
            </w:pPr>
            <w:r>
              <w:rPr>
                <w:rFonts w:hint="eastAsia" w:ascii="宋体" w:hAnsi="宋体" w:cs="宋体"/>
                <w:color w:val="auto"/>
                <w:sz w:val="24"/>
                <w:lang w:eastAsia="zh-CN"/>
              </w:rPr>
              <w:t xml:space="preserve">2025嵊泗国际帆船赛 </w:t>
            </w:r>
          </w:p>
        </w:tc>
      </w:tr>
      <w:tr w14:paraId="60E336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479" w:hRule="atLeast"/>
        </w:trPr>
        <w:tc>
          <w:tcPr>
            <w:tcW w:w="2182" w:type="dxa"/>
            <w:tcBorders>
              <w:top w:val="single" w:color="auto" w:sz="4" w:space="0"/>
              <w:left w:val="single" w:color="auto" w:sz="4" w:space="0"/>
              <w:bottom w:val="single" w:color="auto" w:sz="4" w:space="0"/>
              <w:right w:val="single" w:color="auto" w:sz="4" w:space="0"/>
            </w:tcBorders>
            <w:vAlign w:val="center"/>
          </w:tcPr>
          <w:p w14:paraId="7936FB7A">
            <w:pPr>
              <w:spacing w:line="440" w:lineRule="atLeast"/>
              <w:jc w:val="center"/>
              <w:rPr>
                <w:rFonts w:ascii="宋体" w:hAnsi="宋体" w:cs="宋体"/>
                <w:color w:val="auto"/>
                <w:kern w:val="0"/>
                <w:sz w:val="24"/>
              </w:rPr>
            </w:pPr>
            <w:r>
              <w:rPr>
                <w:rFonts w:hint="eastAsia" w:ascii="宋体" w:hAnsi="宋体" w:cs="宋体"/>
                <w:color w:val="auto"/>
                <w:sz w:val="24"/>
              </w:rPr>
              <w:t>总投标报价</w:t>
            </w:r>
          </w:p>
        </w:tc>
        <w:tc>
          <w:tcPr>
            <w:tcW w:w="7055" w:type="dxa"/>
            <w:tcBorders>
              <w:top w:val="single" w:color="auto" w:sz="4" w:space="0"/>
              <w:left w:val="single" w:color="auto" w:sz="4" w:space="0"/>
              <w:bottom w:val="single" w:color="auto" w:sz="4" w:space="0"/>
              <w:right w:val="single" w:color="000000" w:sz="4" w:space="0"/>
            </w:tcBorders>
            <w:vAlign w:val="center"/>
          </w:tcPr>
          <w:p w14:paraId="535769DD">
            <w:pPr>
              <w:adjustRightInd w:val="0"/>
              <w:spacing w:line="440" w:lineRule="exact"/>
              <w:ind w:firstLine="240" w:firstLineChars="100"/>
              <w:jc w:val="left"/>
              <w:rPr>
                <w:rFonts w:ascii="宋体" w:hAnsi="宋体" w:cs="宋体"/>
                <w:color w:val="auto"/>
                <w:sz w:val="24"/>
                <w:u w:val="single"/>
              </w:rPr>
            </w:pPr>
            <w:r>
              <w:rPr>
                <w:rFonts w:hint="eastAsia" w:ascii="宋体" w:hAnsi="宋体" w:cs="宋体"/>
                <w:color w:val="auto"/>
                <w:sz w:val="24"/>
              </w:rPr>
              <w:t>大写（人民币）：</w:t>
            </w:r>
            <w:r>
              <w:rPr>
                <w:rFonts w:hint="eastAsia" w:ascii="宋体" w:hAnsi="宋体" w:cs="宋体"/>
                <w:color w:val="auto"/>
                <w:sz w:val="24"/>
                <w:u w:val="single"/>
              </w:rPr>
              <w:t xml:space="preserve">                  </w:t>
            </w:r>
          </w:p>
          <w:p w14:paraId="5AE9AD2B">
            <w:pPr>
              <w:adjustRightInd w:val="0"/>
              <w:spacing w:line="440" w:lineRule="exact"/>
              <w:ind w:firstLine="240" w:firstLineChars="100"/>
              <w:jc w:val="left"/>
              <w:rPr>
                <w:rFonts w:ascii="宋体" w:hAnsi="宋体" w:cs="宋体"/>
                <w:color w:val="auto"/>
                <w:sz w:val="24"/>
              </w:rPr>
            </w:pPr>
            <w:r>
              <w:rPr>
                <w:rFonts w:hint="eastAsia" w:ascii="宋体" w:hAnsi="宋体" w:cs="宋体"/>
                <w:color w:val="auto"/>
                <w:sz w:val="24"/>
              </w:rPr>
              <w:t xml:space="preserve">小写：￥ </w:t>
            </w:r>
            <w:r>
              <w:rPr>
                <w:rFonts w:hint="eastAsia" w:ascii="宋体" w:hAnsi="宋体" w:cs="宋体"/>
                <w:color w:val="auto"/>
                <w:sz w:val="24"/>
                <w:u w:val="single"/>
              </w:rPr>
              <w:t xml:space="preserve">                  </w:t>
            </w:r>
          </w:p>
        </w:tc>
      </w:tr>
      <w:tr w14:paraId="310EE4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52" w:hRule="atLeast"/>
        </w:trPr>
        <w:tc>
          <w:tcPr>
            <w:tcW w:w="2182" w:type="dxa"/>
            <w:tcBorders>
              <w:top w:val="single" w:color="auto" w:sz="4" w:space="0"/>
              <w:left w:val="single" w:color="auto" w:sz="4" w:space="0"/>
              <w:bottom w:val="single" w:color="auto" w:sz="4" w:space="0"/>
              <w:right w:val="single" w:color="auto" w:sz="4" w:space="0"/>
            </w:tcBorders>
            <w:vAlign w:val="center"/>
          </w:tcPr>
          <w:p w14:paraId="0844A338">
            <w:pPr>
              <w:adjustRightInd w:val="0"/>
              <w:spacing w:line="440" w:lineRule="exact"/>
              <w:jc w:val="center"/>
              <w:rPr>
                <w:rFonts w:ascii="宋体" w:hAnsi="宋体" w:cs="宋体"/>
                <w:color w:val="auto"/>
                <w:sz w:val="24"/>
              </w:rPr>
            </w:pPr>
            <w:r>
              <w:rPr>
                <w:rFonts w:hint="eastAsia" w:ascii="宋体" w:hAnsi="宋体" w:cs="宋体"/>
                <w:color w:val="auto"/>
                <w:sz w:val="24"/>
              </w:rPr>
              <w:t>备注</w:t>
            </w:r>
          </w:p>
        </w:tc>
        <w:tc>
          <w:tcPr>
            <w:tcW w:w="7055" w:type="dxa"/>
            <w:tcBorders>
              <w:top w:val="single" w:color="auto" w:sz="4" w:space="0"/>
              <w:left w:val="single" w:color="auto" w:sz="4" w:space="0"/>
              <w:bottom w:val="single" w:color="auto" w:sz="4" w:space="0"/>
              <w:right w:val="single" w:color="000000" w:sz="4" w:space="0"/>
            </w:tcBorders>
            <w:vAlign w:val="center"/>
          </w:tcPr>
          <w:p w14:paraId="7BEEBE7F">
            <w:pPr>
              <w:adjustRightInd w:val="0"/>
              <w:spacing w:line="440" w:lineRule="exact"/>
              <w:ind w:firstLine="240" w:firstLineChars="100"/>
              <w:rPr>
                <w:rFonts w:ascii="宋体" w:hAnsi="宋体" w:cs="宋体"/>
                <w:color w:val="auto"/>
                <w:sz w:val="24"/>
              </w:rPr>
            </w:pPr>
          </w:p>
        </w:tc>
      </w:tr>
    </w:tbl>
    <w:p w14:paraId="2C913E7A">
      <w:pPr>
        <w:adjustRightInd w:val="0"/>
        <w:spacing w:line="440" w:lineRule="exact"/>
        <w:rPr>
          <w:rFonts w:ascii="宋体" w:hAnsi="宋体" w:cs="宋体"/>
          <w:color w:val="auto"/>
          <w:szCs w:val="21"/>
        </w:rPr>
      </w:pPr>
      <w:r>
        <w:rPr>
          <w:rFonts w:hint="eastAsia" w:ascii="宋体" w:hAnsi="宋体" w:cs="宋体"/>
          <w:b/>
          <w:bCs/>
          <w:color w:val="auto"/>
          <w:szCs w:val="21"/>
        </w:rPr>
        <w:t>注</w:t>
      </w:r>
      <w:r>
        <w:rPr>
          <w:rFonts w:hint="eastAsia" w:ascii="宋体" w:hAnsi="宋体" w:cs="宋体"/>
          <w:color w:val="auto"/>
          <w:szCs w:val="21"/>
        </w:rPr>
        <w:t>：1</w:t>
      </w:r>
      <w:r>
        <w:rPr>
          <w:rFonts w:hint="eastAsia" w:ascii="宋体" w:hAnsi="宋体" w:cs="宋体"/>
          <w:color w:val="auto"/>
          <w:szCs w:val="21"/>
          <w:lang w:val="en-US" w:eastAsia="zh-CN"/>
        </w:rPr>
        <w:t>.</w:t>
      </w:r>
      <w:r>
        <w:rPr>
          <w:rFonts w:hint="eastAsia" w:ascii="宋体" w:hAnsi="宋体" w:cs="宋体"/>
          <w:color w:val="auto"/>
          <w:szCs w:val="21"/>
        </w:rPr>
        <w:t>按以上</w:t>
      </w:r>
      <w:r>
        <w:rPr>
          <w:rFonts w:hint="eastAsia" w:ascii="宋体" w:hAnsi="宋体" w:cs="宋体"/>
          <w:color w:val="auto"/>
          <w:kern w:val="0"/>
          <w:szCs w:val="21"/>
        </w:rPr>
        <w:t>表格形式填写。</w:t>
      </w:r>
    </w:p>
    <w:p w14:paraId="108C6668">
      <w:pPr>
        <w:adjustRightInd w:val="0"/>
        <w:spacing w:line="440" w:lineRule="exact"/>
        <w:ind w:firstLine="420" w:firstLineChars="200"/>
        <w:rPr>
          <w:rFonts w:ascii="宋体" w:hAnsi="宋体" w:cs="宋体"/>
          <w:b/>
          <w:bCs/>
          <w:color w:val="auto"/>
          <w:szCs w:val="21"/>
        </w:rPr>
      </w:pPr>
      <w:r>
        <w:rPr>
          <w:rFonts w:hint="eastAsia" w:ascii="宋体" w:hAnsi="宋体" w:cs="宋体"/>
          <w:color w:val="auto"/>
          <w:szCs w:val="21"/>
        </w:rPr>
        <w:t>2</w:t>
      </w:r>
      <w:r>
        <w:rPr>
          <w:rFonts w:hint="eastAsia" w:ascii="宋体" w:hAnsi="宋体" w:cs="宋体"/>
          <w:color w:val="auto"/>
          <w:szCs w:val="21"/>
          <w:lang w:val="en-US" w:eastAsia="zh-CN"/>
        </w:rPr>
        <w:t>.</w:t>
      </w:r>
      <w:r>
        <w:rPr>
          <w:rFonts w:hint="eastAsia"/>
          <w:color w:val="auto"/>
        </w:rPr>
        <w:t>投标报价</w:t>
      </w:r>
      <w:r>
        <w:rPr>
          <w:rFonts w:hint="eastAsia"/>
          <w:b/>
          <w:bCs/>
          <w:color w:val="auto"/>
        </w:rPr>
        <w:t>包括货款、人工、标准附件、备品备件、专用工具、包装、运输、装卸、保险、税金、货到就位以及安装、调试、培训、保修、运维等完成本项目的一切本身和不可或缺的所有工作开支、政策性文件规定及合同包含的所有风险、责任等各项全部费用</w:t>
      </w:r>
      <w:r>
        <w:rPr>
          <w:rFonts w:hint="eastAsia" w:hAnsi="宋体"/>
          <w:b/>
          <w:bCs/>
          <w:color w:val="auto"/>
          <w:kern w:val="0"/>
          <w:szCs w:val="21"/>
        </w:rPr>
        <w:t>。</w:t>
      </w:r>
    </w:p>
    <w:p w14:paraId="5F4F3994">
      <w:pPr>
        <w:snapToGrid w:val="0"/>
        <w:spacing w:line="440" w:lineRule="exact"/>
        <w:ind w:firstLine="420" w:firstLineChars="200"/>
        <w:jc w:val="left"/>
        <w:rPr>
          <w:rFonts w:ascii="宋体" w:hAnsi="宋体" w:cs="宋体"/>
          <w:color w:val="auto"/>
          <w:szCs w:val="21"/>
        </w:rPr>
      </w:pPr>
      <w:r>
        <w:rPr>
          <w:rFonts w:hint="eastAsia" w:ascii="宋体" w:hAnsi="宋体" w:cs="宋体"/>
          <w:color w:val="auto"/>
          <w:szCs w:val="21"/>
        </w:rPr>
        <w:t>3</w:t>
      </w:r>
      <w:r>
        <w:rPr>
          <w:rFonts w:hint="eastAsia" w:ascii="宋体" w:hAnsi="宋体" w:cs="宋体"/>
          <w:color w:val="auto"/>
          <w:szCs w:val="21"/>
          <w:lang w:val="en-US" w:eastAsia="zh-CN"/>
        </w:rPr>
        <w:t>.</w:t>
      </w:r>
      <w:r>
        <w:rPr>
          <w:rFonts w:hint="eastAsia" w:ascii="宋体" w:hAnsi="宋体" w:cs="宋体"/>
          <w:color w:val="auto"/>
          <w:szCs w:val="21"/>
        </w:rPr>
        <w:t>投标人如果需要对报价、服务或其它内容加以说明，可在备注一栏中填写。</w:t>
      </w:r>
    </w:p>
    <w:p w14:paraId="5151684A">
      <w:pPr>
        <w:spacing w:line="380" w:lineRule="exact"/>
        <w:rPr>
          <w:rFonts w:ascii="宋体" w:hAnsi="宋体" w:cs="宋体"/>
          <w:color w:val="auto"/>
          <w:sz w:val="24"/>
        </w:rPr>
      </w:pPr>
    </w:p>
    <w:p w14:paraId="452C2216">
      <w:pPr>
        <w:pStyle w:val="3"/>
        <w:rPr>
          <w:rFonts w:ascii="宋体" w:hAnsi="宋体" w:eastAsia="宋体"/>
          <w:color w:val="auto"/>
        </w:rPr>
      </w:pPr>
    </w:p>
    <w:p w14:paraId="11117DC6">
      <w:pPr>
        <w:spacing w:line="380" w:lineRule="exact"/>
        <w:rPr>
          <w:rFonts w:ascii="宋体" w:hAnsi="宋体" w:cs="宋体"/>
          <w:color w:val="auto"/>
          <w:sz w:val="24"/>
        </w:rPr>
      </w:pPr>
      <w:r>
        <w:rPr>
          <w:rFonts w:hint="eastAsia" w:ascii="宋体" w:hAnsi="宋体" w:cs="宋体"/>
          <w:color w:val="auto"/>
          <w:sz w:val="24"/>
        </w:rPr>
        <w:t>投标人全称(加盖公章)：</w:t>
      </w:r>
      <w:r>
        <w:rPr>
          <w:rFonts w:hint="eastAsia" w:ascii="宋体" w:hAnsi="宋体" w:cs="宋体"/>
          <w:color w:val="auto"/>
          <w:sz w:val="24"/>
          <w:u w:val="single"/>
        </w:rPr>
        <w:t xml:space="preserve">              </w:t>
      </w:r>
    </w:p>
    <w:p w14:paraId="1FC61C05">
      <w:pPr>
        <w:spacing w:line="380" w:lineRule="exact"/>
        <w:rPr>
          <w:rFonts w:ascii="宋体" w:hAnsi="宋体" w:cs="宋体"/>
          <w:color w:val="auto"/>
          <w:sz w:val="24"/>
          <w:u w:val="single"/>
        </w:rPr>
      </w:pPr>
      <w:r>
        <w:rPr>
          <w:rFonts w:hint="eastAsia" w:ascii="宋体" w:hAnsi="宋体" w:cs="宋体"/>
          <w:color w:val="auto"/>
          <w:sz w:val="24"/>
        </w:rPr>
        <w:t>投标人代表签字：</w:t>
      </w:r>
      <w:r>
        <w:rPr>
          <w:rFonts w:hint="eastAsia" w:ascii="宋体" w:hAnsi="宋体" w:cs="宋体"/>
          <w:color w:val="auto"/>
          <w:sz w:val="24"/>
          <w:u w:val="single"/>
        </w:rPr>
        <w:t xml:space="preserve">                </w:t>
      </w:r>
    </w:p>
    <w:p w14:paraId="15E461BC">
      <w:pPr>
        <w:spacing w:line="380" w:lineRule="exact"/>
        <w:rPr>
          <w:rFonts w:ascii="宋体" w:hAnsi="宋体" w:cs="宋体"/>
          <w:color w:val="auto"/>
          <w:sz w:val="24"/>
        </w:rPr>
      </w:pPr>
      <w:r>
        <w:rPr>
          <w:rFonts w:hint="eastAsia" w:ascii="宋体" w:hAnsi="宋体" w:cs="宋体"/>
          <w:color w:val="auto"/>
          <w:sz w:val="24"/>
        </w:rPr>
        <w:t>日期：</w:t>
      </w:r>
      <w:r>
        <w:rPr>
          <w:rFonts w:hint="eastAsia" w:ascii="宋体" w:hAnsi="宋体" w:cs="宋体"/>
          <w:color w:val="auto"/>
          <w:sz w:val="24"/>
          <w:u w:val="single"/>
        </w:rPr>
        <w:t xml:space="preserve">     </w:t>
      </w:r>
      <w:r>
        <w:rPr>
          <w:rFonts w:hint="eastAsia" w:ascii="宋体" w:hAnsi="宋体" w:cs="宋体"/>
          <w:color w:val="auto"/>
          <w:sz w:val="24"/>
        </w:rPr>
        <w:t>年</w:t>
      </w:r>
      <w:r>
        <w:rPr>
          <w:rFonts w:hint="eastAsia" w:ascii="宋体" w:hAnsi="宋体" w:cs="宋体"/>
          <w:color w:val="auto"/>
          <w:sz w:val="24"/>
          <w:u w:val="single"/>
        </w:rPr>
        <w:t xml:space="preserve">   </w:t>
      </w:r>
      <w:r>
        <w:rPr>
          <w:rFonts w:hint="eastAsia" w:ascii="宋体" w:hAnsi="宋体" w:cs="宋体"/>
          <w:color w:val="auto"/>
          <w:sz w:val="24"/>
        </w:rPr>
        <w:t>月</w:t>
      </w:r>
      <w:r>
        <w:rPr>
          <w:rFonts w:hint="eastAsia" w:ascii="宋体" w:hAnsi="宋体" w:cs="宋体"/>
          <w:color w:val="auto"/>
          <w:sz w:val="24"/>
          <w:u w:val="single"/>
        </w:rPr>
        <w:t xml:space="preserve">   </w:t>
      </w:r>
      <w:r>
        <w:rPr>
          <w:rFonts w:hint="eastAsia" w:ascii="宋体" w:hAnsi="宋体" w:cs="宋体"/>
          <w:color w:val="auto"/>
          <w:sz w:val="24"/>
        </w:rPr>
        <w:t>日</w:t>
      </w:r>
    </w:p>
    <w:p w14:paraId="2B9F41BD">
      <w:pPr>
        <w:pStyle w:val="8"/>
        <w:ind w:left="0" w:leftChars="0" w:firstLine="0" w:firstLineChars="0"/>
        <w:rPr>
          <w:rFonts w:hint="eastAsia"/>
        </w:rPr>
      </w:pPr>
    </w:p>
    <w:p w14:paraId="0306CA54">
      <w:pPr>
        <w:pStyle w:val="8"/>
        <w:ind w:left="0" w:leftChars="0" w:firstLine="0" w:firstLineChars="0"/>
        <w:rPr>
          <w:rFonts w:hint="eastAsia"/>
        </w:rPr>
      </w:pPr>
    </w:p>
    <w:p w14:paraId="1B55CE24">
      <w:pPr>
        <w:pStyle w:val="8"/>
        <w:ind w:left="0" w:leftChars="0" w:firstLine="0" w:firstLineChars="0"/>
        <w:rPr>
          <w:rFonts w:hint="eastAsia"/>
        </w:rPr>
      </w:pPr>
    </w:p>
    <w:p w14:paraId="3D9E85DC">
      <w:pPr>
        <w:pStyle w:val="8"/>
        <w:ind w:left="0" w:leftChars="0" w:firstLine="0" w:firstLineChars="0"/>
        <w:rPr>
          <w:rFonts w:hint="eastAsia"/>
        </w:rPr>
      </w:pPr>
    </w:p>
    <w:p w14:paraId="7043A5F6">
      <w:pPr>
        <w:pStyle w:val="8"/>
        <w:ind w:left="0" w:leftChars="0" w:firstLine="0" w:firstLineChars="0"/>
        <w:rPr>
          <w:rFonts w:hint="eastAsia"/>
        </w:rPr>
      </w:pPr>
    </w:p>
    <w:p w14:paraId="2DB31B09">
      <w:pPr>
        <w:pStyle w:val="8"/>
        <w:ind w:left="0" w:leftChars="0" w:firstLine="0" w:firstLineChars="0"/>
        <w:rPr>
          <w:rFonts w:hint="eastAsia"/>
        </w:rPr>
      </w:pPr>
    </w:p>
    <w:p w14:paraId="2708AE9B">
      <w:pPr>
        <w:pStyle w:val="8"/>
        <w:ind w:left="0" w:leftChars="0" w:firstLine="0" w:firstLineChars="0"/>
        <w:rPr>
          <w:rFonts w:hint="eastAsia"/>
        </w:rPr>
      </w:pPr>
    </w:p>
    <w:p w14:paraId="75F7B28F">
      <w:pPr>
        <w:pStyle w:val="8"/>
        <w:ind w:left="0" w:leftChars="0" w:firstLine="0" w:firstLineChars="0"/>
        <w:rPr>
          <w:rFonts w:hint="eastAsia"/>
        </w:rPr>
      </w:pPr>
    </w:p>
    <w:p w14:paraId="5660EADC">
      <w:pPr>
        <w:pStyle w:val="8"/>
        <w:ind w:left="0" w:leftChars="0" w:firstLine="0" w:firstLineChars="0"/>
        <w:rPr>
          <w:rFonts w:hint="eastAsia"/>
        </w:rPr>
      </w:pPr>
    </w:p>
    <w:p w14:paraId="4AF21E61">
      <w:pPr>
        <w:pStyle w:val="8"/>
        <w:ind w:left="0" w:leftChars="0" w:firstLine="0" w:firstLineChars="0"/>
        <w:rPr>
          <w:rFonts w:hint="eastAsia"/>
          <w:b/>
          <w:bCs/>
          <w:sz w:val="24"/>
          <w:szCs w:val="24"/>
        </w:rPr>
      </w:pPr>
      <w:r>
        <w:rPr>
          <w:rFonts w:hint="eastAsia"/>
          <w:b/>
          <w:bCs/>
          <w:sz w:val="24"/>
          <w:szCs w:val="24"/>
        </w:rPr>
        <w:t>3</w:t>
      </w:r>
      <w:r>
        <w:rPr>
          <w:rFonts w:hint="eastAsia"/>
          <w:b/>
          <w:bCs/>
          <w:sz w:val="24"/>
          <w:szCs w:val="24"/>
          <w:lang w:val="en-US" w:eastAsia="zh-CN"/>
        </w:rPr>
        <w:t>.</w:t>
      </w:r>
      <w:r>
        <w:rPr>
          <w:rFonts w:hint="eastAsia"/>
          <w:b/>
          <w:bCs/>
          <w:sz w:val="24"/>
          <w:szCs w:val="24"/>
        </w:rPr>
        <w:t>报价明细（格式自拟）</w:t>
      </w:r>
    </w:p>
    <w:sectPr>
      <w:pgSz w:w="11906" w:h="16838"/>
      <w:pgMar w:top="1134" w:right="1361" w:bottom="1134" w:left="1361" w:header="851" w:footer="992" w:gutter="0"/>
      <w:cols w:space="0" w:num="1"/>
      <w:rtlGutter w:val="0"/>
      <w:docGrid w:type="lines" w:linePitch="31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微软雅黑 Light">
    <w:panose1 w:val="020B0502040204020203"/>
    <w:charset w:val="86"/>
    <w:family w:val="swiss"/>
    <w:pitch w:val="default"/>
    <w:sig w:usb0="80000287" w:usb1="2ACF0010" w:usb2="00000016" w:usb3="00000000" w:csb0="0004001F" w:csb1="00000000"/>
  </w:font>
  <w:font w:name="Tahoma">
    <w:panose1 w:val="020B0604030504040204"/>
    <w:charset w:val="00"/>
    <w:family w:val="swiss"/>
    <w:pitch w:val="default"/>
    <w:sig w:usb0="E1002EFF" w:usb1="C000605B" w:usb2="00000029" w:usb3="00000000" w:csb0="200101FF" w:csb1="20280000"/>
  </w:font>
  <w:font w:name="MS UI Gothic">
    <w:panose1 w:val="020B0600070205080204"/>
    <w:charset w:val="80"/>
    <w:family w:val="swiss"/>
    <w:pitch w:val="default"/>
    <w:sig w:usb0="E00002FF" w:usb1="6AC7FDFB" w:usb2="08000012" w:usb3="00000000" w:csb0="4002009F" w:csb1="DFD70000"/>
  </w:font>
  <w:font w:name="Verdana">
    <w:panose1 w:val="020B0604030504040204"/>
    <w:charset w:val="00"/>
    <w:family w:val="swiss"/>
    <w:pitch w:val="default"/>
    <w:sig w:usb0="A00006FF" w:usb1="4000205B" w:usb2="00000010" w:usb3="00000000" w:csb0="2000019F" w:csb1="00000000"/>
  </w:font>
  <w:font w:name="新宋体">
    <w:panose1 w:val="02010609030101010101"/>
    <w:charset w:val="86"/>
    <w:family w:val="modern"/>
    <w:pitch w:val="default"/>
    <w:sig w:usb0="00000283" w:usb1="288F0000" w:usb2="0000000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42FE10">
    <w:pPr>
      <w:pStyle w:val="1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DC1BB1">
    <w:pPr>
      <w:pStyle w:val="19"/>
      <w:rPr>
        <w:rFonts w:ascii="宋体" w:hAnsi="宋体"/>
      </w:rPr>
    </w:pPr>
    <w: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1"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CD68750">
                          <w:pPr>
                            <w:pStyle w:val="19"/>
                          </w:pPr>
                          <w:r>
                            <w:fldChar w:fldCharType="begin"/>
                          </w:r>
                          <w:r>
                            <w:instrText xml:space="preserve"> PAGE  \* MERGEFORMAT </w:instrText>
                          </w:r>
                          <w:r>
                            <w:fldChar w:fldCharType="separate"/>
                          </w:r>
                          <w:r>
                            <w:t>1</w:t>
                          </w:r>
                          <w:r>
                            <w:fldChar w:fldCharType="end"/>
                          </w:r>
                        </w:p>
                      </w:txbxContent>
                    </wps:txbx>
                    <wps:bodyPr vert="horz" wrap="none" lIns="0" tIns="0" rIns="0" bIns="0" anchor="t" anchorCtr="0">
                      <a:spAutoFit/>
                    </wps:bodyPr>
                  </wps:wsp>
                </a:graphicData>
              </a:graphic>
            </wp:anchor>
          </w:drawing>
        </mc:Choice>
        <mc:Fallback>
          <w:pict>
            <v:shape id="文本框 4" o:spid="_x0000_s1026" o:spt="202" type="#_x0000_t202" style="position:absolute;left:0pt;margin-top:0pt;height:144pt;width:144pt;mso-position-horizontal:right;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zql5uc8AAAAFAQAADwAAAAAAAAABACAAAAAiAAAA&#10;ZHJzL2Rvd25yZXYueG1sUEsBAhQAFAAAAAgAh07iQGWaS1XXAQAAsgMAAA4AAAAAAAAAAQAgAAAA&#10;HgEAAGRycy9lMm9Eb2MueG1sUEsFBgAAAAAGAAYAWQEAAGcFAAAAAA==&#10;">
              <v:fill on="f" focussize="0,0"/>
              <v:stroke on="f"/>
              <v:imagedata o:title=""/>
              <o:lock v:ext="edit" aspectratio="f"/>
              <v:textbox inset="0mm,0mm,0mm,0mm" style="mso-fit-shape-to-text:t;">
                <w:txbxContent>
                  <w:p w14:paraId="0CD68750">
                    <w:pPr>
                      <w:pStyle w:val="19"/>
                    </w:pPr>
                    <w:r>
                      <w:fldChar w:fldCharType="begin"/>
                    </w:r>
                    <w:r>
                      <w:instrText xml:space="preserve"> PAGE  \* MERGEFORMAT </w:instrText>
                    </w:r>
                    <w:r>
                      <w:fldChar w:fldCharType="separate"/>
                    </w:r>
                    <w:r>
                      <w:t>1</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2D9429">
    <w:pPr>
      <w:pStyle w:val="21"/>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6DFDA9">
    <w:pPr>
      <w:pStyle w:val="21"/>
      <w:rPr>
        <w:rFonts w:ascii="宋体" w:hAnsi="宋体"/>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3F09224"/>
    <w:multiLevelType w:val="multilevel"/>
    <w:tmpl w:val="83F09224"/>
    <w:lvl w:ilvl="0" w:tentative="0">
      <w:start w:val="1"/>
      <w:numFmt w:val="decimal"/>
      <w:suff w:val="nothing"/>
      <w:lvlText w:val="（%1）"/>
      <w:lvlJc w:val="left"/>
      <w:pPr>
        <w:ind w:left="210"/>
      </w:pPr>
    </w:lvl>
    <w:lvl w:ilvl="1" w:tentative="0">
      <w:start w:val="1"/>
      <w:numFmt w:val="decimalEnclosedCircleChinese"/>
      <w:lvlText w:val="%2"/>
      <w:lvlJc w:val="left"/>
      <w:pPr>
        <w:tabs>
          <w:tab w:val="left" w:pos="840"/>
        </w:tabs>
        <w:ind w:left="1050" w:hanging="420"/>
      </w:pPr>
      <w:rPr>
        <w:rFonts w:hint="default"/>
      </w:rPr>
    </w:lvl>
    <w:lvl w:ilvl="2" w:tentative="0">
      <w:start w:val="1"/>
      <w:numFmt w:val="decimal"/>
      <w:lvlText w:val="%3)"/>
      <w:lvlJc w:val="left"/>
      <w:pPr>
        <w:tabs>
          <w:tab w:val="left" w:pos="1260"/>
        </w:tabs>
        <w:ind w:left="1260" w:hanging="420"/>
      </w:pPr>
      <w:rPr>
        <w:rFonts w:hint="default"/>
      </w:rPr>
    </w:lvl>
    <w:lvl w:ilvl="3" w:tentative="0">
      <w:start w:val="1"/>
      <w:numFmt w:val="lowerLetter"/>
      <w:lvlText w:val="%4."/>
      <w:lvlJc w:val="left"/>
      <w:pPr>
        <w:tabs>
          <w:tab w:val="left" w:pos="1680"/>
        </w:tabs>
        <w:ind w:left="1680" w:hanging="420"/>
      </w:pPr>
      <w:rPr>
        <w:rFonts w:hint="default"/>
      </w:rPr>
    </w:lvl>
    <w:lvl w:ilvl="4" w:tentative="0">
      <w:start w:val="1"/>
      <w:numFmt w:val="lowerLetter"/>
      <w:lvlText w:val="%5)"/>
      <w:lvlJc w:val="left"/>
      <w:pPr>
        <w:tabs>
          <w:tab w:val="left" w:pos="2100"/>
        </w:tabs>
        <w:ind w:left="2100" w:hanging="420"/>
      </w:pPr>
      <w:rPr>
        <w:rFonts w:hint="default"/>
      </w:rPr>
    </w:lvl>
    <w:lvl w:ilvl="5" w:tentative="0">
      <w:start w:val="1"/>
      <w:numFmt w:val="lowerRoman"/>
      <w:lvlText w:val="%6."/>
      <w:lvlJc w:val="left"/>
      <w:pPr>
        <w:tabs>
          <w:tab w:val="left" w:pos="2520"/>
        </w:tabs>
        <w:ind w:left="2520" w:hanging="420"/>
      </w:pPr>
      <w:rPr>
        <w:rFonts w:hint="default"/>
      </w:rPr>
    </w:lvl>
    <w:lvl w:ilvl="6" w:tentative="0">
      <w:start w:val="1"/>
      <w:numFmt w:val="lowerRoman"/>
      <w:lvlText w:val="%7)"/>
      <w:lvlJc w:val="left"/>
      <w:pPr>
        <w:tabs>
          <w:tab w:val="left" w:pos="2940"/>
        </w:tabs>
        <w:ind w:left="2940" w:hanging="420"/>
      </w:pPr>
      <w:rPr>
        <w:rFonts w:hint="default"/>
      </w:rPr>
    </w:lvl>
    <w:lvl w:ilvl="7" w:tentative="0">
      <w:start w:val="1"/>
      <w:numFmt w:val="lowerLetter"/>
      <w:lvlText w:val="%8."/>
      <w:lvlJc w:val="left"/>
      <w:pPr>
        <w:tabs>
          <w:tab w:val="left" w:pos="3360"/>
        </w:tabs>
        <w:ind w:left="3360" w:hanging="420"/>
      </w:pPr>
      <w:rPr>
        <w:rFonts w:hint="default"/>
      </w:rPr>
    </w:lvl>
    <w:lvl w:ilvl="8" w:tentative="0">
      <w:start w:val="1"/>
      <w:numFmt w:val="lowerLetter"/>
      <w:lvlText w:val="%9)"/>
      <w:lvlJc w:val="left"/>
      <w:pPr>
        <w:tabs>
          <w:tab w:val="left" w:pos="3780"/>
        </w:tabs>
        <w:ind w:left="3780" w:hanging="420"/>
      </w:pPr>
      <w:rPr>
        <w:rFonts w:hint="default"/>
      </w:rPr>
    </w:lvl>
  </w:abstractNum>
  <w:abstractNum w:abstractNumId="1">
    <w:nsid w:val="A20D00E0"/>
    <w:multiLevelType w:val="singleLevel"/>
    <w:tmpl w:val="A20D00E0"/>
    <w:lvl w:ilvl="0" w:tentative="0">
      <w:start w:val="2"/>
      <w:numFmt w:val="chineseCounting"/>
      <w:suff w:val="nothing"/>
      <w:lvlText w:val="%1、"/>
      <w:lvlJc w:val="left"/>
      <w:rPr>
        <w:rFonts w:hint="eastAsia"/>
      </w:rPr>
    </w:lvl>
  </w:abstractNum>
  <w:abstractNum w:abstractNumId="2">
    <w:nsid w:val="A6810ACD"/>
    <w:multiLevelType w:val="singleLevel"/>
    <w:tmpl w:val="A6810ACD"/>
    <w:lvl w:ilvl="0" w:tentative="0">
      <w:start w:val="1"/>
      <w:numFmt w:val="decimal"/>
      <w:suff w:val="nothing"/>
      <w:lvlText w:val="（%1）"/>
      <w:lvlJc w:val="left"/>
    </w:lvl>
  </w:abstractNum>
  <w:abstractNum w:abstractNumId="3">
    <w:nsid w:val="AD77E971"/>
    <w:multiLevelType w:val="singleLevel"/>
    <w:tmpl w:val="AD77E971"/>
    <w:lvl w:ilvl="0" w:tentative="0">
      <w:start w:val="1"/>
      <w:numFmt w:val="decimal"/>
      <w:suff w:val="nothing"/>
      <w:lvlText w:val="（%1）"/>
      <w:lvlJc w:val="left"/>
    </w:lvl>
  </w:abstractNum>
  <w:abstractNum w:abstractNumId="4">
    <w:nsid w:val="BC5C75A4"/>
    <w:multiLevelType w:val="singleLevel"/>
    <w:tmpl w:val="BC5C75A4"/>
    <w:lvl w:ilvl="0" w:tentative="0">
      <w:start w:val="1"/>
      <w:numFmt w:val="decimal"/>
      <w:suff w:val="nothing"/>
      <w:lvlText w:val="（%1）"/>
      <w:lvlJc w:val="left"/>
    </w:lvl>
  </w:abstractNum>
  <w:abstractNum w:abstractNumId="5">
    <w:nsid w:val="DD1779B1"/>
    <w:multiLevelType w:val="multilevel"/>
    <w:tmpl w:val="DD1779B1"/>
    <w:lvl w:ilvl="0" w:tentative="0">
      <w:start w:val="1"/>
      <w:numFmt w:val="decimal"/>
      <w:suff w:val="nothing"/>
      <w:lvlText w:val="（%1）"/>
      <w:lvlJc w:val="left"/>
      <w:pPr>
        <w:ind w:left="210"/>
      </w:pPr>
    </w:lvl>
    <w:lvl w:ilvl="1" w:tentative="0">
      <w:start w:val="1"/>
      <w:numFmt w:val="decimalEnclosedCircleChinese"/>
      <w:lvlText w:val="%2"/>
      <w:lvlJc w:val="left"/>
      <w:pPr>
        <w:tabs>
          <w:tab w:val="left" w:pos="840"/>
        </w:tabs>
        <w:ind w:left="1050" w:hanging="420"/>
      </w:pPr>
      <w:rPr>
        <w:rFonts w:hint="default"/>
      </w:rPr>
    </w:lvl>
    <w:lvl w:ilvl="2" w:tentative="0">
      <w:start w:val="1"/>
      <w:numFmt w:val="decimal"/>
      <w:lvlText w:val="%3)"/>
      <w:lvlJc w:val="left"/>
      <w:pPr>
        <w:tabs>
          <w:tab w:val="left" w:pos="1260"/>
        </w:tabs>
        <w:ind w:left="1260" w:hanging="420"/>
      </w:pPr>
      <w:rPr>
        <w:rFonts w:hint="default"/>
      </w:rPr>
    </w:lvl>
    <w:lvl w:ilvl="3" w:tentative="0">
      <w:start w:val="1"/>
      <w:numFmt w:val="lowerLetter"/>
      <w:lvlText w:val="%4."/>
      <w:lvlJc w:val="left"/>
      <w:pPr>
        <w:tabs>
          <w:tab w:val="left" w:pos="1680"/>
        </w:tabs>
        <w:ind w:left="1680" w:hanging="420"/>
      </w:pPr>
      <w:rPr>
        <w:rFonts w:hint="default"/>
      </w:rPr>
    </w:lvl>
    <w:lvl w:ilvl="4" w:tentative="0">
      <w:start w:val="1"/>
      <w:numFmt w:val="lowerLetter"/>
      <w:lvlText w:val="%5)"/>
      <w:lvlJc w:val="left"/>
      <w:pPr>
        <w:tabs>
          <w:tab w:val="left" w:pos="2100"/>
        </w:tabs>
        <w:ind w:left="2100" w:hanging="420"/>
      </w:pPr>
      <w:rPr>
        <w:rFonts w:hint="default"/>
      </w:rPr>
    </w:lvl>
    <w:lvl w:ilvl="5" w:tentative="0">
      <w:start w:val="1"/>
      <w:numFmt w:val="lowerRoman"/>
      <w:lvlText w:val="%6."/>
      <w:lvlJc w:val="left"/>
      <w:pPr>
        <w:tabs>
          <w:tab w:val="left" w:pos="2520"/>
        </w:tabs>
        <w:ind w:left="2520" w:hanging="420"/>
      </w:pPr>
      <w:rPr>
        <w:rFonts w:hint="default"/>
      </w:rPr>
    </w:lvl>
    <w:lvl w:ilvl="6" w:tentative="0">
      <w:start w:val="1"/>
      <w:numFmt w:val="lowerRoman"/>
      <w:lvlText w:val="%7)"/>
      <w:lvlJc w:val="left"/>
      <w:pPr>
        <w:tabs>
          <w:tab w:val="left" w:pos="2940"/>
        </w:tabs>
        <w:ind w:left="2940" w:hanging="420"/>
      </w:pPr>
      <w:rPr>
        <w:rFonts w:hint="default"/>
      </w:rPr>
    </w:lvl>
    <w:lvl w:ilvl="7" w:tentative="0">
      <w:start w:val="1"/>
      <w:numFmt w:val="lowerLetter"/>
      <w:lvlText w:val="%8."/>
      <w:lvlJc w:val="left"/>
      <w:pPr>
        <w:tabs>
          <w:tab w:val="left" w:pos="3360"/>
        </w:tabs>
        <w:ind w:left="3360" w:hanging="420"/>
      </w:pPr>
      <w:rPr>
        <w:rFonts w:hint="default"/>
      </w:rPr>
    </w:lvl>
    <w:lvl w:ilvl="8" w:tentative="0">
      <w:start w:val="1"/>
      <w:numFmt w:val="lowerLetter"/>
      <w:lvlText w:val="%9)"/>
      <w:lvlJc w:val="left"/>
      <w:pPr>
        <w:tabs>
          <w:tab w:val="left" w:pos="3780"/>
        </w:tabs>
        <w:ind w:left="3780" w:hanging="420"/>
      </w:pPr>
      <w:rPr>
        <w:rFonts w:hint="default"/>
      </w:rPr>
    </w:lvl>
  </w:abstractNum>
  <w:abstractNum w:abstractNumId="6">
    <w:nsid w:val="F6A48ED8"/>
    <w:multiLevelType w:val="singleLevel"/>
    <w:tmpl w:val="F6A48ED8"/>
    <w:lvl w:ilvl="0" w:tentative="0">
      <w:start w:val="3"/>
      <w:numFmt w:val="decimal"/>
      <w:suff w:val="nothing"/>
      <w:lvlText w:val="%1、"/>
      <w:lvlJc w:val="left"/>
      <w:pPr>
        <w:ind w:left="420"/>
      </w:pPr>
      <w:rPr>
        <w:rFonts w:hint="default" w:ascii="Calibri" w:hAnsi="Calibri" w:cs="Calibri"/>
        <w:b/>
        <w:bCs/>
        <w:sz w:val="24"/>
        <w:szCs w:val="24"/>
      </w:rPr>
    </w:lvl>
  </w:abstractNum>
  <w:abstractNum w:abstractNumId="7">
    <w:nsid w:val="00000001"/>
    <w:multiLevelType w:val="multilevel"/>
    <w:tmpl w:val="00000001"/>
    <w:lvl w:ilvl="0" w:tentative="0">
      <w:start w:val="1"/>
      <w:numFmt w:val="decimal"/>
      <w:pStyle w:val="70"/>
      <w:lvlText w:val="（%1）"/>
      <w:lvlJc w:val="left"/>
      <w:pPr>
        <w:tabs>
          <w:tab w:val="left" w:pos="1365"/>
        </w:tabs>
        <w:ind w:left="1365" w:hanging="735"/>
      </w:pPr>
      <w:rPr>
        <w:rFonts w:hint="eastAsia"/>
      </w:rPr>
    </w:lvl>
    <w:lvl w:ilvl="1" w:tentative="0">
      <w:start w:val="1"/>
      <w:numFmt w:val="lowerLetter"/>
      <w:lvlText w:val="%2)"/>
      <w:lvlJc w:val="left"/>
      <w:pPr>
        <w:tabs>
          <w:tab w:val="left" w:pos="1470"/>
        </w:tabs>
        <w:ind w:left="1470" w:hanging="420"/>
      </w:pPr>
    </w:lvl>
    <w:lvl w:ilvl="2" w:tentative="0">
      <w:start w:val="1"/>
      <w:numFmt w:val="lowerRoman"/>
      <w:lvlText w:val="%3."/>
      <w:lvlJc w:val="right"/>
      <w:pPr>
        <w:tabs>
          <w:tab w:val="left" w:pos="1890"/>
        </w:tabs>
        <w:ind w:left="1890" w:hanging="420"/>
      </w:pPr>
    </w:lvl>
    <w:lvl w:ilvl="3" w:tentative="0">
      <w:start w:val="1"/>
      <w:numFmt w:val="decimal"/>
      <w:lvlText w:val="%4."/>
      <w:lvlJc w:val="left"/>
      <w:pPr>
        <w:tabs>
          <w:tab w:val="left" w:pos="2310"/>
        </w:tabs>
        <w:ind w:left="2310" w:hanging="420"/>
      </w:pPr>
    </w:lvl>
    <w:lvl w:ilvl="4" w:tentative="0">
      <w:start w:val="1"/>
      <w:numFmt w:val="lowerLetter"/>
      <w:lvlText w:val="%5)"/>
      <w:lvlJc w:val="left"/>
      <w:pPr>
        <w:tabs>
          <w:tab w:val="left" w:pos="2730"/>
        </w:tabs>
        <w:ind w:left="2730" w:hanging="420"/>
      </w:pPr>
    </w:lvl>
    <w:lvl w:ilvl="5" w:tentative="0">
      <w:start w:val="1"/>
      <w:numFmt w:val="lowerRoman"/>
      <w:lvlText w:val="%6."/>
      <w:lvlJc w:val="right"/>
      <w:pPr>
        <w:tabs>
          <w:tab w:val="left" w:pos="3150"/>
        </w:tabs>
        <w:ind w:left="3150" w:hanging="420"/>
      </w:pPr>
    </w:lvl>
    <w:lvl w:ilvl="6" w:tentative="0">
      <w:start w:val="1"/>
      <w:numFmt w:val="decimal"/>
      <w:lvlText w:val="%7."/>
      <w:lvlJc w:val="left"/>
      <w:pPr>
        <w:tabs>
          <w:tab w:val="left" w:pos="3570"/>
        </w:tabs>
        <w:ind w:left="3570" w:hanging="420"/>
      </w:pPr>
    </w:lvl>
    <w:lvl w:ilvl="7" w:tentative="0">
      <w:start w:val="1"/>
      <w:numFmt w:val="lowerLetter"/>
      <w:lvlText w:val="%8)"/>
      <w:lvlJc w:val="left"/>
      <w:pPr>
        <w:tabs>
          <w:tab w:val="left" w:pos="3990"/>
        </w:tabs>
        <w:ind w:left="3990" w:hanging="420"/>
      </w:pPr>
    </w:lvl>
    <w:lvl w:ilvl="8" w:tentative="0">
      <w:start w:val="1"/>
      <w:numFmt w:val="lowerRoman"/>
      <w:lvlText w:val="%9."/>
      <w:lvlJc w:val="right"/>
      <w:pPr>
        <w:tabs>
          <w:tab w:val="left" w:pos="4410"/>
        </w:tabs>
        <w:ind w:left="4410" w:hanging="420"/>
      </w:pPr>
    </w:lvl>
  </w:abstractNum>
  <w:abstractNum w:abstractNumId="8">
    <w:nsid w:val="00000002"/>
    <w:multiLevelType w:val="singleLevel"/>
    <w:tmpl w:val="00000002"/>
    <w:lvl w:ilvl="0" w:tentative="0">
      <w:start w:val="1"/>
      <w:numFmt w:val="decimal"/>
      <w:pStyle w:val="7"/>
      <w:lvlText w:val="%1."/>
      <w:lvlJc w:val="left"/>
      <w:pPr>
        <w:tabs>
          <w:tab w:val="left" w:pos="360"/>
        </w:tabs>
        <w:ind w:left="360" w:hanging="360"/>
      </w:pPr>
    </w:lvl>
  </w:abstractNum>
  <w:abstractNum w:abstractNumId="9">
    <w:nsid w:val="00000003"/>
    <w:multiLevelType w:val="multilevel"/>
    <w:tmpl w:val="00000003"/>
    <w:lvl w:ilvl="0" w:tentative="0">
      <w:start w:val="1"/>
      <w:numFmt w:val="japaneseCounting"/>
      <w:lvlText w:val="第%1章"/>
      <w:lvlJc w:val="left"/>
      <w:pPr>
        <w:tabs>
          <w:tab w:val="left" w:pos="1275"/>
        </w:tabs>
        <w:ind w:left="1275" w:hanging="1275"/>
      </w:pPr>
      <w:rPr>
        <w:rFonts w:hint="eastAsia"/>
      </w:rPr>
    </w:lvl>
    <w:lvl w:ilvl="1" w:tentative="0">
      <w:start w:val="1"/>
      <w:numFmt w:val="japaneseCounting"/>
      <w:lvlText w:val="%2、"/>
      <w:lvlJc w:val="left"/>
      <w:pPr>
        <w:tabs>
          <w:tab w:val="left" w:pos="1140"/>
        </w:tabs>
        <w:ind w:left="1140" w:hanging="720"/>
      </w:pPr>
      <w:rPr>
        <w:rFonts w:hint="eastAsia"/>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0">
    <w:nsid w:val="0C4F8D2B"/>
    <w:multiLevelType w:val="multilevel"/>
    <w:tmpl w:val="0C4F8D2B"/>
    <w:lvl w:ilvl="0" w:tentative="0">
      <w:start w:val="1"/>
      <w:numFmt w:val="decimal"/>
      <w:suff w:val="nothing"/>
      <w:lvlText w:val="（%1）"/>
      <w:lvlJc w:val="left"/>
      <w:pPr>
        <w:ind w:left="210"/>
      </w:pPr>
    </w:lvl>
    <w:lvl w:ilvl="1" w:tentative="0">
      <w:start w:val="1"/>
      <w:numFmt w:val="decimalEnclosedCircleChinese"/>
      <w:lvlText w:val="%2"/>
      <w:lvlJc w:val="left"/>
      <w:pPr>
        <w:tabs>
          <w:tab w:val="left" w:pos="840"/>
        </w:tabs>
        <w:ind w:left="1050" w:hanging="420"/>
      </w:pPr>
      <w:rPr>
        <w:rFonts w:hint="default"/>
      </w:rPr>
    </w:lvl>
    <w:lvl w:ilvl="2" w:tentative="0">
      <w:start w:val="1"/>
      <w:numFmt w:val="decimal"/>
      <w:lvlText w:val="%3)"/>
      <w:lvlJc w:val="left"/>
      <w:pPr>
        <w:tabs>
          <w:tab w:val="left" w:pos="1260"/>
        </w:tabs>
        <w:ind w:left="1260" w:hanging="420"/>
      </w:pPr>
      <w:rPr>
        <w:rFonts w:hint="default"/>
      </w:rPr>
    </w:lvl>
    <w:lvl w:ilvl="3" w:tentative="0">
      <w:start w:val="1"/>
      <w:numFmt w:val="lowerLetter"/>
      <w:lvlText w:val="%4."/>
      <w:lvlJc w:val="left"/>
      <w:pPr>
        <w:tabs>
          <w:tab w:val="left" w:pos="1680"/>
        </w:tabs>
        <w:ind w:left="1680" w:hanging="420"/>
      </w:pPr>
      <w:rPr>
        <w:rFonts w:hint="default"/>
      </w:rPr>
    </w:lvl>
    <w:lvl w:ilvl="4" w:tentative="0">
      <w:start w:val="1"/>
      <w:numFmt w:val="lowerLetter"/>
      <w:lvlText w:val="%5)"/>
      <w:lvlJc w:val="left"/>
      <w:pPr>
        <w:tabs>
          <w:tab w:val="left" w:pos="2100"/>
        </w:tabs>
        <w:ind w:left="2100" w:hanging="420"/>
      </w:pPr>
      <w:rPr>
        <w:rFonts w:hint="default"/>
      </w:rPr>
    </w:lvl>
    <w:lvl w:ilvl="5" w:tentative="0">
      <w:start w:val="1"/>
      <w:numFmt w:val="lowerRoman"/>
      <w:lvlText w:val="%6."/>
      <w:lvlJc w:val="left"/>
      <w:pPr>
        <w:tabs>
          <w:tab w:val="left" w:pos="2520"/>
        </w:tabs>
        <w:ind w:left="2520" w:hanging="420"/>
      </w:pPr>
      <w:rPr>
        <w:rFonts w:hint="default"/>
      </w:rPr>
    </w:lvl>
    <w:lvl w:ilvl="6" w:tentative="0">
      <w:start w:val="1"/>
      <w:numFmt w:val="lowerRoman"/>
      <w:lvlText w:val="%7)"/>
      <w:lvlJc w:val="left"/>
      <w:pPr>
        <w:tabs>
          <w:tab w:val="left" w:pos="2940"/>
        </w:tabs>
        <w:ind w:left="2940" w:hanging="420"/>
      </w:pPr>
      <w:rPr>
        <w:rFonts w:hint="default"/>
      </w:rPr>
    </w:lvl>
    <w:lvl w:ilvl="7" w:tentative="0">
      <w:start w:val="1"/>
      <w:numFmt w:val="lowerLetter"/>
      <w:lvlText w:val="%8."/>
      <w:lvlJc w:val="left"/>
      <w:pPr>
        <w:tabs>
          <w:tab w:val="left" w:pos="3360"/>
        </w:tabs>
        <w:ind w:left="3360" w:hanging="420"/>
      </w:pPr>
      <w:rPr>
        <w:rFonts w:hint="default"/>
      </w:rPr>
    </w:lvl>
    <w:lvl w:ilvl="8" w:tentative="0">
      <w:start w:val="1"/>
      <w:numFmt w:val="lowerLetter"/>
      <w:lvlText w:val="%9)"/>
      <w:lvlJc w:val="left"/>
      <w:pPr>
        <w:tabs>
          <w:tab w:val="left" w:pos="3780"/>
        </w:tabs>
        <w:ind w:left="3780" w:hanging="420"/>
      </w:pPr>
      <w:rPr>
        <w:rFonts w:hint="default"/>
      </w:rPr>
    </w:lvl>
  </w:abstractNum>
  <w:abstractNum w:abstractNumId="11">
    <w:nsid w:val="23993576"/>
    <w:multiLevelType w:val="multilevel"/>
    <w:tmpl w:val="23993576"/>
    <w:lvl w:ilvl="0" w:tentative="0">
      <w:start w:val="1"/>
      <w:numFmt w:val="decimal"/>
      <w:suff w:val="nothing"/>
      <w:lvlText w:val="（%1）"/>
      <w:lvlJc w:val="left"/>
      <w:pPr>
        <w:ind w:left="420"/>
      </w:pPr>
    </w:lvl>
    <w:lvl w:ilvl="1" w:tentative="0">
      <w:start w:val="1"/>
      <w:numFmt w:val="decimalEnclosedCircleChinese"/>
      <w:lvlText w:val="%2"/>
      <w:lvlJc w:val="left"/>
      <w:pPr>
        <w:tabs>
          <w:tab w:val="left" w:pos="840"/>
        </w:tabs>
        <w:ind w:left="1050" w:hanging="420"/>
      </w:pPr>
      <w:rPr>
        <w:rFonts w:hint="default"/>
      </w:rPr>
    </w:lvl>
    <w:lvl w:ilvl="2" w:tentative="0">
      <w:start w:val="1"/>
      <w:numFmt w:val="decimal"/>
      <w:lvlText w:val="%3)"/>
      <w:lvlJc w:val="left"/>
      <w:pPr>
        <w:tabs>
          <w:tab w:val="left" w:pos="1260"/>
        </w:tabs>
        <w:ind w:left="1470" w:hanging="420"/>
      </w:pPr>
      <w:rPr>
        <w:rFonts w:hint="default"/>
      </w:rPr>
    </w:lvl>
    <w:lvl w:ilvl="3" w:tentative="0">
      <w:start w:val="1"/>
      <w:numFmt w:val="lowerLetter"/>
      <w:lvlText w:val="%4."/>
      <w:lvlJc w:val="left"/>
      <w:pPr>
        <w:tabs>
          <w:tab w:val="left" w:pos="1680"/>
        </w:tabs>
        <w:ind w:left="1890" w:hanging="420"/>
      </w:pPr>
      <w:rPr>
        <w:rFonts w:hint="default"/>
      </w:rPr>
    </w:lvl>
    <w:lvl w:ilvl="4" w:tentative="0">
      <w:start w:val="1"/>
      <w:numFmt w:val="lowerLetter"/>
      <w:lvlText w:val="%5)"/>
      <w:lvlJc w:val="left"/>
      <w:pPr>
        <w:tabs>
          <w:tab w:val="left" w:pos="2100"/>
        </w:tabs>
        <w:ind w:left="2310" w:hanging="420"/>
      </w:pPr>
      <w:rPr>
        <w:rFonts w:hint="default"/>
      </w:rPr>
    </w:lvl>
    <w:lvl w:ilvl="5" w:tentative="0">
      <w:start w:val="1"/>
      <w:numFmt w:val="lowerRoman"/>
      <w:lvlText w:val="%6."/>
      <w:lvlJc w:val="left"/>
      <w:pPr>
        <w:tabs>
          <w:tab w:val="left" w:pos="2520"/>
        </w:tabs>
        <w:ind w:left="2730" w:hanging="420"/>
      </w:pPr>
      <w:rPr>
        <w:rFonts w:hint="default"/>
      </w:rPr>
    </w:lvl>
    <w:lvl w:ilvl="6" w:tentative="0">
      <w:start w:val="1"/>
      <w:numFmt w:val="lowerRoman"/>
      <w:lvlText w:val="%7)"/>
      <w:lvlJc w:val="left"/>
      <w:pPr>
        <w:tabs>
          <w:tab w:val="left" w:pos="2940"/>
        </w:tabs>
        <w:ind w:left="3150" w:hanging="420"/>
      </w:pPr>
      <w:rPr>
        <w:rFonts w:hint="default"/>
      </w:rPr>
    </w:lvl>
    <w:lvl w:ilvl="7" w:tentative="0">
      <w:start w:val="1"/>
      <w:numFmt w:val="lowerLetter"/>
      <w:lvlText w:val="%8."/>
      <w:lvlJc w:val="left"/>
      <w:pPr>
        <w:tabs>
          <w:tab w:val="left" w:pos="3360"/>
        </w:tabs>
        <w:ind w:left="3570" w:hanging="420"/>
      </w:pPr>
      <w:rPr>
        <w:rFonts w:hint="default"/>
      </w:rPr>
    </w:lvl>
    <w:lvl w:ilvl="8" w:tentative="0">
      <w:start w:val="1"/>
      <w:numFmt w:val="lowerLetter"/>
      <w:lvlText w:val="%9)"/>
      <w:lvlJc w:val="left"/>
      <w:pPr>
        <w:tabs>
          <w:tab w:val="left" w:pos="3780"/>
        </w:tabs>
        <w:ind w:left="3990" w:hanging="420"/>
      </w:pPr>
      <w:rPr>
        <w:rFonts w:hint="default"/>
      </w:rPr>
    </w:lvl>
  </w:abstractNum>
  <w:abstractNum w:abstractNumId="12">
    <w:nsid w:val="515B6699"/>
    <w:multiLevelType w:val="multilevel"/>
    <w:tmpl w:val="515B6699"/>
    <w:lvl w:ilvl="0" w:tentative="0">
      <w:start w:val="1"/>
      <w:numFmt w:val="decimal"/>
      <w:suff w:val="nothing"/>
      <w:lvlText w:val="第%1章 "/>
      <w:lvlJc w:val="left"/>
      <w:pPr>
        <w:ind w:left="432" w:hanging="432"/>
      </w:pPr>
      <w:rPr>
        <w:rFonts w:hint="eastAsia"/>
        <w:b w:val="0"/>
        <w:bCs w:val="0"/>
        <w:i w:val="0"/>
        <w:iCs w:val="0"/>
        <w:caps w:val="0"/>
        <w:smallCaps w:val="0"/>
        <w:strike w:val="0"/>
        <w:dstrike w:val="0"/>
        <w:vanish w:val="0"/>
        <w:spacing w:val="0"/>
        <w:position w:val="0"/>
        <w:u w:val="none"/>
        <w:vertAlign w:val="baseline"/>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props3d w14:extrusionH="0" w14:contourW="0" w14:prstMaterial="none"/>
        <w14:scene3d>
          <w14:lightRig w14:rig="threePt" w14:dir="t">
            <w14:rot w14:lat="0" w14:lon="0" w14:rev="0"/>
          </w14:lightRig>
        </w14:scene3d>
        <w14:ligatures w14:val="none"/>
        <w14:numForm w14:val="default"/>
        <w14:numSpacing w14:val="default"/>
      </w:rPr>
    </w:lvl>
    <w:lvl w:ilvl="1" w:tentative="0">
      <w:start w:val="1"/>
      <w:numFmt w:val="decimal"/>
      <w:isLgl/>
      <w:lvlText w:val="%1.%2."/>
      <w:lvlJc w:val="left"/>
      <w:pPr>
        <w:ind w:left="0" w:firstLine="0"/>
      </w:pPr>
      <w:rPr>
        <w:rFonts w:hint="eastAsia"/>
      </w:rPr>
    </w:lvl>
    <w:lvl w:ilvl="2" w:tentative="0">
      <w:start w:val="1"/>
      <w:numFmt w:val="decimal"/>
      <w:isLgl/>
      <w:lvlText w:val="%1.%2.%3."/>
      <w:lvlJc w:val="left"/>
      <w:pPr>
        <w:ind w:left="0" w:firstLine="0"/>
      </w:pPr>
      <w:rPr>
        <w:rFonts w:hint="eastAsia"/>
        <w:b w:val="0"/>
        <w:bCs w:val="0"/>
        <w:i w:val="0"/>
        <w:iCs w:val="0"/>
        <w:caps w:val="0"/>
        <w:smallCaps w:val="0"/>
        <w:strike w:val="0"/>
        <w:dstrike w:val="0"/>
        <w:vanish w:val="0"/>
        <w:spacing w:val="0"/>
        <w:position w:val="0"/>
        <w:u w:val="none"/>
        <w:vertAlign w:val="baseline"/>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props3d w14:extrusionH="0" w14:contourW="0" w14:prstMaterial="none"/>
        <w14:scene3d>
          <w14:lightRig w14:rig="threePt" w14:dir="t">
            <w14:rot w14:lat="0" w14:lon="0" w14:rev="0"/>
          </w14:lightRig>
        </w14:scene3d>
        <w14:ligatures w14:val="none"/>
        <w14:numForm w14:val="default"/>
        <w14:numSpacing w14:val="default"/>
      </w:rPr>
    </w:lvl>
    <w:lvl w:ilvl="3" w:tentative="0">
      <w:start w:val="1"/>
      <w:numFmt w:val="decimal"/>
      <w:pStyle w:val="6"/>
      <w:isLgl/>
      <w:lvlText w:val="%1.%2.%3.%4."/>
      <w:lvlJc w:val="left"/>
      <w:pPr>
        <w:ind w:left="0" w:firstLine="0"/>
      </w:pPr>
      <w:rPr>
        <w:b w:val="0"/>
        <w:bCs w:val="0"/>
        <w:i w:val="0"/>
        <w:iCs w:val="0"/>
        <w:caps w:val="0"/>
        <w:smallCaps w:val="0"/>
        <w:strike w:val="0"/>
        <w:dstrike w:val="0"/>
        <w:vanish w:val="0"/>
        <w:spacing w:val="0"/>
        <w:position w:val="0"/>
        <w:u w:val="none"/>
        <w:vertAlign w:val="baseline"/>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props3d w14:extrusionH="0" w14:contourW="0" w14:prstMaterial="none"/>
        <w14:scene3d>
          <w14:lightRig w14:rig="threePt" w14:dir="t">
            <w14:rot w14:lat="0" w14:lon="0" w14:rev="0"/>
          </w14:lightRig>
        </w14:scene3d>
        <w14:ligatures w14:val="none"/>
        <w14:numForm w14:val="default"/>
        <w14:numSpacing w14:val="default"/>
      </w:rPr>
    </w:lvl>
    <w:lvl w:ilvl="4" w:tentative="0">
      <w:start w:val="1"/>
      <w:numFmt w:val="decimal"/>
      <w:isLgl/>
      <w:lvlText w:val="%1.%2.%3.%4.%5."/>
      <w:lvlJc w:val="left"/>
      <w:pPr>
        <w:ind w:left="0" w:firstLine="0"/>
      </w:pPr>
      <w:rPr>
        <w:rFonts w:hint="eastAsia"/>
        <w:b/>
        <w:bCs w:val="0"/>
        <w:i w:val="0"/>
        <w:iCs w:val="0"/>
        <w:caps w:val="0"/>
        <w:smallCaps w:val="0"/>
        <w:strike w:val="0"/>
        <w:dstrike w:val="0"/>
        <w:vanish w:val="0"/>
        <w:spacing w:val="0"/>
        <w:position w:val="0"/>
        <w:u w:val="none"/>
        <w:vertAlign w:val="baseline"/>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props3d w14:extrusionH="0" w14:contourW="0" w14:prstMaterial="none"/>
        <w14:scene3d>
          <w14:lightRig w14:rig="threePt" w14:dir="t">
            <w14:rot w14:lat="0" w14:lon="0" w14:rev="0"/>
          </w14:lightRig>
        </w14:scene3d>
        <w14:ligatures w14:val="none"/>
        <w14:numForm w14:val="default"/>
        <w14:numSpacing w14:val="default"/>
      </w:rPr>
    </w:lvl>
    <w:lvl w:ilvl="5" w:tentative="0">
      <w:start w:val="1"/>
      <w:numFmt w:val="decimal"/>
      <w:isLgl/>
      <w:lvlText w:val="%1.%2.%3.%4.%5.%6."/>
      <w:lvlJc w:val="left"/>
      <w:pPr>
        <w:ind w:left="0" w:firstLine="0"/>
      </w:pPr>
      <w:rPr>
        <w:rFonts w:hint="eastAsia"/>
        <w:b/>
        <w:bCs w:val="0"/>
        <w:i w:val="0"/>
        <w:iCs w:val="0"/>
        <w:caps w:val="0"/>
        <w:smallCaps w:val="0"/>
        <w:strike w:val="0"/>
        <w:dstrike w:val="0"/>
        <w:vanish w:val="0"/>
        <w:spacing w:val="0"/>
        <w:position w:val="0"/>
        <w:u w:val="none"/>
        <w:vertAlign w:val="baseline"/>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props3d w14:extrusionH="0" w14:contourW="0" w14:prstMaterial="none"/>
        <w14:scene3d>
          <w14:lightRig w14:rig="threePt" w14:dir="t">
            <w14:rot w14:lat="0" w14:lon="0" w14:rev="0"/>
          </w14:lightRig>
        </w14:scene3d>
        <w14:ligatures w14:val="none"/>
        <w14:numForm w14:val="default"/>
        <w14:numSpacing w14:val="default"/>
      </w:rPr>
    </w:lvl>
    <w:lvl w:ilvl="6" w:tentative="0">
      <w:start w:val="1"/>
      <w:numFmt w:val="decimal"/>
      <w:isLgl/>
      <w:lvlText w:val="%1.%2.%3.%4.%5.%6.%7."/>
      <w:lvlJc w:val="left"/>
      <w:pPr>
        <w:ind w:left="0" w:firstLine="0"/>
      </w:pPr>
      <w:rPr>
        <w:b w:val="0"/>
        <w:bCs w:val="0"/>
        <w:i w:val="0"/>
        <w:iCs w:val="0"/>
        <w:caps w:val="0"/>
        <w:smallCaps w:val="0"/>
        <w:strike w:val="0"/>
        <w:dstrike w:val="0"/>
        <w:vanish w:val="0"/>
        <w:spacing w:val="0"/>
        <w:position w:val="0"/>
        <w:u w:val="none"/>
        <w:vertAlign w:val="baseline"/>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props3d w14:extrusionH="0" w14:contourW="0" w14:prstMaterial="none"/>
        <w14:scene3d>
          <w14:lightRig w14:rig="threePt" w14:dir="t">
            <w14:rot w14:lat="0" w14:lon="0" w14:rev="0"/>
          </w14:lightRig>
        </w14:scene3d>
        <w14:ligatures w14:val="none"/>
        <w14:numForm w14:val="default"/>
        <w14:numSpacing w14:val="default"/>
      </w:rPr>
    </w:lvl>
    <w:lvl w:ilvl="7" w:tentative="0">
      <w:start w:val="1"/>
      <w:numFmt w:val="decimal"/>
      <w:isLgl/>
      <w:lvlText w:val="%1.%2.%3.%4.%5.%6.%7.%8."/>
      <w:lvlJc w:val="left"/>
      <w:pPr>
        <w:ind w:left="0" w:firstLine="0"/>
      </w:pPr>
      <w:rPr>
        <w:rFonts w:hint="eastAsia"/>
      </w:rPr>
    </w:lvl>
    <w:lvl w:ilvl="8" w:tentative="0">
      <w:start w:val="1"/>
      <w:numFmt w:val="decimal"/>
      <w:isLgl/>
      <w:lvlText w:val="%1.%2.%3.%4.%5.%6.%7.%8.%9."/>
      <w:lvlJc w:val="left"/>
      <w:pPr>
        <w:ind w:left="0" w:firstLine="0"/>
      </w:pPr>
      <w:rPr>
        <w:rFonts w:hint="eastAsia"/>
        <w:b/>
      </w:rPr>
    </w:lvl>
  </w:abstractNum>
  <w:abstractNum w:abstractNumId="13">
    <w:nsid w:val="684C738B"/>
    <w:multiLevelType w:val="multilevel"/>
    <w:tmpl w:val="684C738B"/>
    <w:lvl w:ilvl="0" w:tentative="0">
      <w:start w:val="1"/>
      <w:numFmt w:val="decimal"/>
      <w:lvlText w:val="%1"/>
      <w:lvlJc w:val="left"/>
      <w:pPr>
        <w:ind w:left="432" w:hanging="432"/>
      </w:pPr>
      <w:rPr>
        <w:rFonts w:hint="eastAsia"/>
      </w:rPr>
    </w:lvl>
    <w:lvl w:ilvl="1" w:tentative="0">
      <w:start w:val="1"/>
      <w:numFmt w:val="decimal"/>
      <w:pStyle w:val="61"/>
      <w:lvlText w:val="%1.%2"/>
      <w:lvlJc w:val="left"/>
      <w:pPr>
        <w:ind w:left="1144" w:hanging="576"/>
      </w:pPr>
      <w:rPr>
        <w:rFonts w:hint="eastAsia"/>
      </w:rPr>
    </w:lvl>
    <w:lvl w:ilvl="2" w:tentative="0">
      <w:start w:val="1"/>
      <w:numFmt w:val="decimal"/>
      <w:pStyle w:val="62"/>
      <w:lvlText w:val="%1.%2.%3"/>
      <w:lvlJc w:val="left"/>
      <w:pPr>
        <w:ind w:left="720" w:hanging="720"/>
      </w:pPr>
      <w:rPr>
        <w:rFonts w:hint="eastAsia"/>
      </w:rPr>
    </w:lvl>
    <w:lvl w:ilvl="3" w:tentative="0">
      <w:start w:val="1"/>
      <w:numFmt w:val="decimal"/>
      <w:pStyle w:val="75"/>
      <w:lvlText w:val="%1.%2.%3.%4"/>
      <w:lvlJc w:val="left"/>
      <w:pPr>
        <w:ind w:left="864" w:hanging="580"/>
      </w:pPr>
      <w:rPr>
        <w:rFonts w:hint="eastAsia" w:cs="Times New Roman"/>
        <w:b w:val="0"/>
        <w:i w:val="0"/>
        <w:iCs w:val="0"/>
        <w:caps w:val="0"/>
        <w:smallCaps w:val="0"/>
        <w:strike w:val="0"/>
        <w:dstrike w:val="0"/>
        <w:outline w:val="0"/>
        <w:shadow w:val="0"/>
        <w:emboss w:val="0"/>
        <w:imprint w:val="0"/>
        <w:vanish w:val="0"/>
        <w:spacing w:val="0"/>
        <w:position w:val="0"/>
        <w:u w:val="none"/>
        <w:vertAlign w:val="baseline"/>
      </w:rPr>
    </w:lvl>
    <w:lvl w:ilvl="4" w:tentative="0">
      <w:start w:val="1"/>
      <w:numFmt w:val="decimal"/>
      <w:lvlText w:val="%1.%2.%3.%4.%5"/>
      <w:lvlJc w:val="left"/>
      <w:pPr>
        <w:ind w:left="1008" w:hanging="554"/>
      </w:pPr>
      <w:rPr>
        <w:rFonts w:hint="eastAsia" w:cs="Times New Roman"/>
        <w:b w:val="0"/>
        <w:i w:val="0"/>
        <w:iCs w:val="0"/>
        <w:caps w:val="0"/>
        <w:smallCaps w:val="0"/>
        <w:strike w:val="0"/>
        <w:dstrike w:val="0"/>
        <w:outline w:val="0"/>
        <w:shadow w:val="0"/>
        <w:emboss w:val="0"/>
        <w:imprint w:val="0"/>
        <w:vanish w:val="0"/>
        <w:spacing w:val="0"/>
        <w:position w:val="0"/>
        <w:u w:val="none"/>
        <w:vertAlign w:val="baseline"/>
      </w:rPr>
    </w:lvl>
    <w:lvl w:ilvl="5" w:tentative="0">
      <w:start w:val="1"/>
      <w:numFmt w:val="decimal"/>
      <w:lvlText w:val="%1.%2.%3.%4.%5.%6"/>
      <w:lvlJc w:val="left"/>
      <w:pPr>
        <w:ind w:left="1152" w:hanging="1152"/>
      </w:pPr>
      <w:rPr>
        <w:rFonts w:hint="eastAsia" w:cs="Times New Roman"/>
        <w:b w:val="0"/>
        <w:i w:val="0"/>
        <w:iCs w:val="0"/>
        <w:caps w:val="0"/>
        <w:smallCaps w:val="0"/>
        <w:strike w:val="0"/>
        <w:dstrike w:val="0"/>
        <w:outline w:val="0"/>
        <w:shadow w:val="0"/>
        <w:emboss w:val="0"/>
        <w:imprint w:val="0"/>
        <w:vanish w:val="0"/>
        <w:spacing w:val="0"/>
        <w:position w:val="0"/>
        <w:u w:val="none"/>
        <w:vertAlign w:val="baseline"/>
      </w:rPr>
    </w:lvl>
    <w:lvl w:ilvl="6" w:tentative="0">
      <w:start w:val="1"/>
      <w:numFmt w:val="decimal"/>
      <w:lvlText w:val="%1.%2.%3.%4.%5.%6.%7"/>
      <w:lvlJc w:val="left"/>
      <w:pPr>
        <w:ind w:left="1296" w:hanging="1296"/>
      </w:pPr>
      <w:rPr>
        <w:rFonts w:hint="eastAsia"/>
      </w:rPr>
    </w:lvl>
    <w:lvl w:ilvl="7" w:tentative="0">
      <w:start w:val="1"/>
      <w:numFmt w:val="decimal"/>
      <w:lvlText w:val="%8)"/>
      <w:lvlJc w:val="left"/>
      <w:pPr>
        <w:ind w:left="1440" w:hanging="1440"/>
      </w:pPr>
      <w:rPr>
        <w:rFonts w:hint="eastAsia"/>
      </w:rPr>
    </w:lvl>
    <w:lvl w:ilvl="8" w:tentative="0">
      <w:start w:val="1"/>
      <w:numFmt w:val="bullet"/>
      <w:lvlText w:val=""/>
      <w:lvlJc w:val="left"/>
      <w:pPr>
        <w:ind w:left="1584" w:hanging="1584"/>
      </w:pPr>
      <w:rPr>
        <w:rFonts w:hint="default" w:ascii="Wingdings" w:hAnsi="Wingdings"/>
      </w:rPr>
    </w:lvl>
  </w:abstractNum>
  <w:num w:numId="1">
    <w:abstractNumId w:val="12"/>
  </w:num>
  <w:num w:numId="2">
    <w:abstractNumId w:val="8"/>
  </w:num>
  <w:num w:numId="3">
    <w:abstractNumId w:val="13"/>
  </w:num>
  <w:num w:numId="4">
    <w:abstractNumId w:val="7"/>
  </w:num>
  <w:num w:numId="5">
    <w:abstractNumId w:val="9"/>
    <w:lvlOverride w:ilvl="0">
      <w:startOverride w:val="1"/>
    </w:lvlOverride>
  </w:num>
  <w:num w:numId="6">
    <w:abstractNumId w:val="1"/>
  </w:num>
  <w:num w:numId="7">
    <w:abstractNumId w:val="6"/>
  </w:num>
  <w:num w:numId="8">
    <w:abstractNumId w:val="11"/>
  </w:num>
  <w:num w:numId="9">
    <w:abstractNumId w:val="0"/>
  </w:num>
  <w:num w:numId="10">
    <w:abstractNumId w:val="5"/>
  </w:num>
  <w:num w:numId="11">
    <w:abstractNumId w:val="10"/>
  </w:num>
  <w:num w:numId="12">
    <w:abstractNumId w:val="3"/>
  </w:num>
  <w:num w:numId="13">
    <w:abstractNumId w:val="4"/>
  </w:num>
  <w:num w:numId="1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8"/>
  <w:displayHorizontalDrawingGridEvery w:val="1"/>
  <w:displayVerticalDrawingGridEvery w:val="1"/>
  <w:doNotShadeFormData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dhNzg4OTNmNTFjYjY4YTQ2YTA3OTI2NWYyZjA3YTgifQ=="/>
  </w:docVars>
  <w:rsids>
    <w:rsidRoot w:val="00172A27"/>
    <w:rsid w:val="00012E45"/>
    <w:rsid w:val="0002041C"/>
    <w:rsid w:val="00087C8E"/>
    <w:rsid w:val="000A7176"/>
    <w:rsid w:val="000C0028"/>
    <w:rsid w:val="000C3F4B"/>
    <w:rsid w:val="000E0D35"/>
    <w:rsid w:val="000F6467"/>
    <w:rsid w:val="00102CC5"/>
    <w:rsid w:val="0011760F"/>
    <w:rsid w:val="00123D38"/>
    <w:rsid w:val="0013429A"/>
    <w:rsid w:val="00165BEB"/>
    <w:rsid w:val="00172A27"/>
    <w:rsid w:val="0018099E"/>
    <w:rsid w:val="001B0817"/>
    <w:rsid w:val="001D721D"/>
    <w:rsid w:val="001F032E"/>
    <w:rsid w:val="001F167D"/>
    <w:rsid w:val="0020533F"/>
    <w:rsid w:val="002100AC"/>
    <w:rsid w:val="002167D2"/>
    <w:rsid w:val="0022559D"/>
    <w:rsid w:val="002352E9"/>
    <w:rsid w:val="00236D4C"/>
    <w:rsid w:val="002446C5"/>
    <w:rsid w:val="002455E5"/>
    <w:rsid w:val="002B4D2F"/>
    <w:rsid w:val="002B622E"/>
    <w:rsid w:val="002D1AA1"/>
    <w:rsid w:val="00314B28"/>
    <w:rsid w:val="0031582E"/>
    <w:rsid w:val="003339B3"/>
    <w:rsid w:val="0035587E"/>
    <w:rsid w:val="00357B76"/>
    <w:rsid w:val="0036787D"/>
    <w:rsid w:val="003679F9"/>
    <w:rsid w:val="00386377"/>
    <w:rsid w:val="003878A9"/>
    <w:rsid w:val="003A3DD7"/>
    <w:rsid w:val="003D2C21"/>
    <w:rsid w:val="003D765A"/>
    <w:rsid w:val="003E19F5"/>
    <w:rsid w:val="003F7C8F"/>
    <w:rsid w:val="00403EA5"/>
    <w:rsid w:val="004040E2"/>
    <w:rsid w:val="0042102D"/>
    <w:rsid w:val="00423EB4"/>
    <w:rsid w:val="0043659A"/>
    <w:rsid w:val="004443A0"/>
    <w:rsid w:val="00445864"/>
    <w:rsid w:val="00451FC3"/>
    <w:rsid w:val="004672B9"/>
    <w:rsid w:val="00497801"/>
    <w:rsid w:val="004C0647"/>
    <w:rsid w:val="004C6260"/>
    <w:rsid w:val="004F04F6"/>
    <w:rsid w:val="004F1E15"/>
    <w:rsid w:val="00511DFB"/>
    <w:rsid w:val="00534A8D"/>
    <w:rsid w:val="00552333"/>
    <w:rsid w:val="00553D27"/>
    <w:rsid w:val="00562481"/>
    <w:rsid w:val="00562580"/>
    <w:rsid w:val="00570F9C"/>
    <w:rsid w:val="0059156A"/>
    <w:rsid w:val="005916B2"/>
    <w:rsid w:val="005955D3"/>
    <w:rsid w:val="005B59A3"/>
    <w:rsid w:val="005D33C7"/>
    <w:rsid w:val="005D401F"/>
    <w:rsid w:val="005E4EF3"/>
    <w:rsid w:val="005E74ED"/>
    <w:rsid w:val="005E76AF"/>
    <w:rsid w:val="0060232A"/>
    <w:rsid w:val="006023D5"/>
    <w:rsid w:val="00613A68"/>
    <w:rsid w:val="00635A74"/>
    <w:rsid w:val="006410C3"/>
    <w:rsid w:val="00670BE6"/>
    <w:rsid w:val="00674F2B"/>
    <w:rsid w:val="006B1364"/>
    <w:rsid w:val="006D76E2"/>
    <w:rsid w:val="006F7F3C"/>
    <w:rsid w:val="0070254B"/>
    <w:rsid w:val="00740A2D"/>
    <w:rsid w:val="00742C8A"/>
    <w:rsid w:val="00781E2C"/>
    <w:rsid w:val="007B090C"/>
    <w:rsid w:val="007B4F57"/>
    <w:rsid w:val="007B6D0D"/>
    <w:rsid w:val="007C3E69"/>
    <w:rsid w:val="007C5227"/>
    <w:rsid w:val="007E703E"/>
    <w:rsid w:val="00801C63"/>
    <w:rsid w:val="008111F5"/>
    <w:rsid w:val="008141AD"/>
    <w:rsid w:val="00865297"/>
    <w:rsid w:val="00876902"/>
    <w:rsid w:val="008A3FBC"/>
    <w:rsid w:val="008A5FA9"/>
    <w:rsid w:val="008C1B1F"/>
    <w:rsid w:val="008D5EC3"/>
    <w:rsid w:val="008E5D9F"/>
    <w:rsid w:val="008F6496"/>
    <w:rsid w:val="00903100"/>
    <w:rsid w:val="009162DF"/>
    <w:rsid w:val="0092564A"/>
    <w:rsid w:val="0094678D"/>
    <w:rsid w:val="00964C02"/>
    <w:rsid w:val="009A23BC"/>
    <w:rsid w:val="009A6F7D"/>
    <w:rsid w:val="009B7EE6"/>
    <w:rsid w:val="009C5327"/>
    <w:rsid w:val="009D6D9E"/>
    <w:rsid w:val="009E3FE5"/>
    <w:rsid w:val="00A03F63"/>
    <w:rsid w:val="00A178B1"/>
    <w:rsid w:val="00A245A2"/>
    <w:rsid w:val="00A34D9B"/>
    <w:rsid w:val="00A96075"/>
    <w:rsid w:val="00AE107D"/>
    <w:rsid w:val="00AF38F6"/>
    <w:rsid w:val="00B20EEA"/>
    <w:rsid w:val="00B2286B"/>
    <w:rsid w:val="00B607A5"/>
    <w:rsid w:val="00B619B1"/>
    <w:rsid w:val="00B66875"/>
    <w:rsid w:val="00B702B5"/>
    <w:rsid w:val="00B91082"/>
    <w:rsid w:val="00B95618"/>
    <w:rsid w:val="00BB04FB"/>
    <w:rsid w:val="00BB4D4C"/>
    <w:rsid w:val="00BC3E29"/>
    <w:rsid w:val="00BC7507"/>
    <w:rsid w:val="00BD3672"/>
    <w:rsid w:val="00BF1BE2"/>
    <w:rsid w:val="00C17555"/>
    <w:rsid w:val="00C768E7"/>
    <w:rsid w:val="00C92E0B"/>
    <w:rsid w:val="00CA5324"/>
    <w:rsid w:val="00CA68E4"/>
    <w:rsid w:val="00CC3AFD"/>
    <w:rsid w:val="00CF2B1C"/>
    <w:rsid w:val="00D055E8"/>
    <w:rsid w:val="00D55EB4"/>
    <w:rsid w:val="00D63F1A"/>
    <w:rsid w:val="00D6408B"/>
    <w:rsid w:val="00DC24A5"/>
    <w:rsid w:val="00DD33A6"/>
    <w:rsid w:val="00DF6A79"/>
    <w:rsid w:val="00E02A38"/>
    <w:rsid w:val="00E05429"/>
    <w:rsid w:val="00E06E49"/>
    <w:rsid w:val="00E27396"/>
    <w:rsid w:val="00E37A92"/>
    <w:rsid w:val="00E44E8C"/>
    <w:rsid w:val="00E6174F"/>
    <w:rsid w:val="00E70845"/>
    <w:rsid w:val="00E8195F"/>
    <w:rsid w:val="00E82B94"/>
    <w:rsid w:val="00EC2881"/>
    <w:rsid w:val="00ED7547"/>
    <w:rsid w:val="00F13277"/>
    <w:rsid w:val="00F320B1"/>
    <w:rsid w:val="00F4290A"/>
    <w:rsid w:val="00F52D5B"/>
    <w:rsid w:val="00F54276"/>
    <w:rsid w:val="00F646F3"/>
    <w:rsid w:val="00F86987"/>
    <w:rsid w:val="00FD24C0"/>
    <w:rsid w:val="00FD7B13"/>
    <w:rsid w:val="00FF1B18"/>
    <w:rsid w:val="01064C9A"/>
    <w:rsid w:val="010A5FC0"/>
    <w:rsid w:val="014557C2"/>
    <w:rsid w:val="018D077E"/>
    <w:rsid w:val="0194674A"/>
    <w:rsid w:val="019E4CE6"/>
    <w:rsid w:val="01A3073B"/>
    <w:rsid w:val="01B36BD0"/>
    <w:rsid w:val="01B606DE"/>
    <w:rsid w:val="01BD17FD"/>
    <w:rsid w:val="01C56903"/>
    <w:rsid w:val="01CA4F94"/>
    <w:rsid w:val="01D96255"/>
    <w:rsid w:val="020E02AA"/>
    <w:rsid w:val="020F7B7E"/>
    <w:rsid w:val="021B4775"/>
    <w:rsid w:val="022F0983"/>
    <w:rsid w:val="023615AF"/>
    <w:rsid w:val="023C1BF9"/>
    <w:rsid w:val="025C1016"/>
    <w:rsid w:val="02B20C36"/>
    <w:rsid w:val="02D85BF6"/>
    <w:rsid w:val="02EB4148"/>
    <w:rsid w:val="02ED2503"/>
    <w:rsid w:val="02F05C02"/>
    <w:rsid w:val="02F23728"/>
    <w:rsid w:val="02FE4E90"/>
    <w:rsid w:val="033755DF"/>
    <w:rsid w:val="0356189E"/>
    <w:rsid w:val="03575C81"/>
    <w:rsid w:val="038A1948"/>
    <w:rsid w:val="038B1487"/>
    <w:rsid w:val="03E77005"/>
    <w:rsid w:val="04293179"/>
    <w:rsid w:val="04497378"/>
    <w:rsid w:val="046C750A"/>
    <w:rsid w:val="04820ADC"/>
    <w:rsid w:val="049B394B"/>
    <w:rsid w:val="04A3740E"/>
    <w:rsid w:val="04A80FAE"/>
    <w:rsid w:val="04BA64C7"/>
    <w:rsid w:val="04D550AF"/>
    <w:rsid w:val="05045FA7"/>
    <w:rsid w:val="05283431"/>
    <w:rsid w:val="05322502"/>
    <w:rsid w:val="054933A7"/>
    <w:rsid w:val="05616943"/>
    <w:rsid w:val="05917228"/>
    <w:rsid w:val="059A6126"/>
    <w:rsid w:val="059B55BE"/>
    <w:rsid w:val="05C30E47"/>
    <w:rsid w:val="05E05ABA"/>
    <w:rsid w:val="05FB6D97"/>
    <w:rsid w:val="0616571D"/>
    <w:rsid w:val="06277B8D"/>
    <w:rsid w:val="062E4A77"/>
    <w:rsid w:val="064F49ED"/>
    <w:rsid w:val="06A92350"/>
    <w:rsid w:val="06B225CD"/>
    <w:rsid w:val="072879FD"/>
    <w:rsid w:val="072A7934"/>
    <w:rsid w:val="0737795B"/>
    <w:rsid w:val="07591FC8"/>
    <w:rsid w:val="07797F74"/>
    <w:rsid w:val="0797489E"/>
    <w:rsid w:val="07AC659B"/>
    <w:rsid w:val="07BC2556"/>
    <w:rsid w:val="07D975A3"/>
    <w:rsid w:val="07F053D2"/>
    <w:rsid w:val="08000695"/>
    <w:rsid w:val="080D4B60"/>
    <w:rsid w:val="08145EEF"/>
    <w:rsid w:val="08425817"/>
    <w:rsid w:val="084F33CB"/>
    <w:rsid w:val="085C5E73"/>
    <w:rsid w:val="08A41020"/>
    <w:rsid w:val="08AD1F6E"/>
    <w:rsid w:val="08B33959"/>
    <w:rsid w:val="08C51BBC"/>
    <w:rsid w:val="09120680"/>
    <w:rsid w:val="092B1742"/>
    <w:rsid w:val="094559F1"/>
    <w:rsid w:val="0960344D"/>
    <w:rsid w:val="096D58B6"/>
    <w:rsid w:val="0983157E"/>
    <w:rsid w:val="09AC7EB3"/>
    <w:rsid w:val="09AD2157"/>
    <w:rsid w:val="09C474A0"/>
    <w:rsid w:val="09EF6C13"/>
    <w:rsid w:val="0A05052C"/>
    <w:rsid w:val="0A4F320E"/>
    <w:rsid w:val="0A516F86"/>
    <w:rsid w:val="0A530F50"/>
    <w:rsid w:val="0A813206"/>
    <w:rsid w:val="0AAF0151"/>
    <w:rsid w:val="0AE222D4"/>
    <w:rsid w:val="0AE3678E"/>
    <w:rsid w:val="0AEC6CAF"/>
    <w:rsid w:val="0AF142C5"/>
    <w:rsid w:val="0B0F1CB4"/>
    <w:rsid w:val="0B2058F5"/>
    <w:rsid w:val="0B274E3E"/>
    <w:rsid w:val="0B61769D"/>
    <w:rsid w:val="0B674587"/>
    <w:rsid w:val="0B792C38"/>
    <w:rsid w:val="0B7A4F1C"/>
    <w:rsid w:val="0C50326D"/>
    <w:rsid w:val="0C886EAB"/>
    <w:rsid w:val="0CD45C4C"/>
    <w:rsid w:val="0CD54911"/>
    <w:rsid w:val="0CE00A95"/>
    <w:rsid w:val="0D060E2A"/>
    <w:rsid w:val="0D0E7D44"/>
    <w:rsid w:val="0D103128"/>
    <w:rsid w:val="0D5C636E"/>
    <w:rsid w:val="0D662D48"/>
    <w:rsid w:val="0D674D12"/>
    <w:rsid w:val="0D774F56"/>
    <w:rsid w:val="0D837D9E"/>
    <w:rsid w:val="0DAF3692"/>
    <w:rsid w:val="0DB717F6"/>
    <w:rsid w:val="0DBF4B4E"/>
    <w:rsid w:val="0DC21F49"/>
    <w:rsid w:val="0E0E5FD3"/>
    <w:rsid w:val="0E182A1F"/>
    <w:rsid w:val="0E340E7E"/>
    <w:rsid w:val="0E5C0210"/>
    <w:rsid w:val="0E5E7EC3"/>
    <w:rsid w:val="0E87566C"/>
    <w:rsid w:val="0EC818A5"/>
    <w:rsid w:val="0F000F7B"/>
    <w:rsid w:val="0F182768"/>
    <w:rsid w:val="0F1A028E"/>
    <w:rsid w:val="0F274759"/>
    <w:rsid w:val="0F2B249C"/>
    <w:rsid w:val="0F517A28"/>
    <w:rsid w:val="0F5E4E99"/>
    <w:rsid w:val="0F865924"/>
    <w:rsid w:val="0F9C5147"/>
    <w:rsid w:val="0FA20284"/>
    <w:rsid w:val="0FE8213B"/>
    <w:rsid w:val="100F5919"/>
    <w:rsid w:val="10190546"/>
    <w:rsid w:val="101F3C57"/>
    <w:rsid w:val="109A59F5"/>
    <w:rsid w:val="10AB11F1"/>
    <w:rsid w:val="10C43F6C"/>
    <w:rsid w:val="11001706"/>
    <w:rsid w:val="11036B00"/>
    <w:rsid w:val="110A7E8F"/>
    <w:rsid w:val="11166833"/>
    <w:rsid w:val="111C10F1"/>
    <w:rsid w:val="113413B0"/>
    <w:rsid w:val="11553800"/>
    <w:rsid w:val="11691059"/>
    <w:rsid w:val="117143B2"/>
    <w:rsid w:val="118553C3"/>
    <w:rsid w:val="11CC5193"/>
    <w:rsid w:val="11F748B7"/>
    <w:rsid w:val="11FA2072"/>
    <w:rsid w:val="121D1E44"/>
    <w:rsid w:val="122B630F"/>
    <w:rsid w:val="1230601B"/>
    <w:rsid w:val="123F1DBA"/>
    <w:rsid w:val="12633CFA"/>
    <w:rsid w:val="1279351E"/>
    <w:rsid w:val="12BA7692"/>
    <w:rsid w:val="12DB263C"/>
    <w:rsid w:val="12F831C5"/>
    <w:rsid w:val="13182D37"/>
    <w:rsid w:val="13313C85"/>
    <w:rsid w:val="134A0A16"/>
    <w:rsid w:val="137361BF"/>
    <w:rsid w:val="13765CAF"/>
    <w:rsid w:val="137837D5"/>
    <w:rsid w:val="137A05D7"/>
    <w:rsid w:val="138A52B7"/>
    <w:rsid w:val="13A54B13"/>
    <w:rsid w:val="13B3480E"/>
    <w:rsid w:val="13DF1AA7"/>
    <w:rsid w:val="13EB21F9"/>
    <w:rsid w:val="140212F1"/>
    <w:rsid w:val="142771FD"/>
    <w:rsid w:val="1432607A"/>
    <w:rsid w:val="143F0797"/>
    <w:rsid w:val="145A3528"/>
    <w:rsid w:val="14AB2720"/>
    <w:rsid w:val="14B44CE1"/>
    <w:rsid w:val="14EF3F6B"/>
    <w:rsid w:val="14F0527E"/>
    <w:rsid w:val="14F81BA5"/>
    <w:rsid w:val="14FB646C"/>
    <w:rsid w:val="150869FD"/>
    <w:rsid w:val="15323E58"/>
    <w:rsid w:val="153656F6"/>
    <w:rsid w:val="15393438"/>
    <w:rsid w:val="15485429"/>
    <w:rsid w:val="155344FA"/>
    <w:rsid w:val="156F462C"/>
    <w:rsid w:val="15B4486D"/>
    <w:rsid w:val="15B91E83"/>
    <w:rsid w:val="16210154"/>
    <w:rsid w:val="163360DA"/>
    <w:rsid w:val="163D4862"/>
    <w:rsid w:val="163F2850"/>
    <w:rsid w:val="16557DFE"/>
    <w:rsid w:val="165A7400"/>
    <w:rsid w:val="165F6ECF"/>
    <w:rsid w:val="169851FD"/>
    <w:rsid w:val="16AF3382"/>
    <w:rsid w:val="16B8213B"/>
    <w:rsid w:val="16E318AE"/>
    <w:rsid w:val="16E80C72"/>
    <w:rsid w:val="17313342"/>
    <w:rsid w:val="178A7FB9"/>
    <w:rsid w:val="179130B8"/>
    <w:rsid w:val="17B40B54"/>
    <w:rsid w:val="17CC2342"/>
    <w:rsid w:val="17D905BB"/>
    <w:rsid w:val="17E855D9"/>
    <w:rsid w:val="17FA6EAF"/>
    <w:rsid w:val="180B5027"/>
    <w:rsid w:val="182C643A"/>
    <w:rsid w:val="1841746F"/>
    <w:rsid w:val="18664544"/>
    <w:rsid w:val="186B1B5B"/>
    <w:rsid w:val="186C7681"/>
    <w:rsid w:val="18C4126B"/>
    <w:rsid w:val="18CB25F9"/>
    <w:rsid w:val="18D56FD4"/>
    <w:rsid w:val="19485069"/>
    <w:rsid w:val="19540841"/>
    <w:rsid w:val="19687E48"/>
    <w:rsid w:val="197D7D98"/>
    <w:rsid w:val="19B117EF"/>
    <w:rsid w:val="19BC3F64"/>
    <w:rsid w:val="19D96F98"/>
    <w:rsid w:val="1A116605"/>
    <w:rsid w:val="1A1D50D7"/>
    <w:rsid w:val="1A246465"/>
    <w:rsid w:val="1A4545F6"/>
    <w:rsid w:val="1A4A567E"/>
    <w:rsid w:val="1A562397"/>
    <w:rsid w:val="1A606D71"/>
    <w:rsid w:val="1A976395"/>
    <w:rsid w:val="1A9A6727"/>
    <w:rsid w:val="1AB70D51"/>
    <w:rsid w:val="1ADF238C"/>
    <w:rsid w:val="1AE9267E"/>
    <w:rsid w:val="1AFD7C26"/>
    <w:rsid w:val="1B117D24"/>
    <w:rsid w:val="1B266DAF"/>
    <w:rsid w:val="1B2B55D1"/>
    <w:rsid w:val="1B5A1A13"/>
    <w:rsid w:val="1B5B5EB7"/>
    <w:rsid w:val="1B756116"/>
    <w:rsid w:val="1B8C2514"/>
    <w:rsid w:val="1B8F5B60"/>
    <w:rsid w:val="1BB45A42"/>
    <w:rsid w:val="1BF65BDF"/>
    <w:rsid w:val="1C093B64"/>
    <w:rsid w:val="1C2B5A39"/>
    <w:rsid w:val="1C2C33AF"/>
    <w:rsid w:val="1C424981"/>
    <w:rsid w:val="1C8C6544"/>
    <w:rsid w:val="1C915908"/>
    <w:rsid w:val="1C9C787F"/>
    <w:rsid w:val="1CB452A0"/>
    <w:rsid w:val="1CE72AD3"/>
    <w:rsid w:val="1D036806"/>
    <w:rsid w:val="1D3A5FA0"/>
    <w:rsid w:val="1D412E8A"/>
    <w:rsid w:val="1D7A45EE"/>
    <w:rsid w:val="1DD82E36"/>
    <w:rsid w:val="1DDB32DF"/>
    <w:rsid w:val="1DE16609"/>
    <w:rsid w:val="1E37603B"/>
    <w:rsid w:val="1E5170FD"/>
    <w:rsid w:val="1EC602F1"/>
    <w:rsid w:val="1EE371AA"/>
    <w:rsid w:val="1F341150"/>
    <w:rsid w:val="1F3A5D31"/>
    <w:rsid w:val="1F464788"/>
    <w:rsid w:val="1F503858"/>
    <w:rsid w:val="1F686DF4"/>
    <w:rsid w:val="1F6918EA"/>
    <w:rsid w:val="1F7E6617"/>
    <w:rsid w:val="1F861028"/>
    <w:rsid w:val="1FB00EE7"/>
    <w:rsid w:val="1FC16504"/>
    <w:rsid w:val="1FD0596B"/>
    <w:rsid w:val="1FE3647B"/>
    <w:rsid w:val="202F346E"/>
    <w:rsid w:val="204F119E"/>
    <w:rsid w:val="204F4DC5"/>
    <w:rsid w:val="20605D1D"/>
    <w:rsid w:val="20825C93"/>
    <w:rsid w:val="20837948"/>
    <w:rsid w:val="209B0B03"/>
    <w:rsid w:val="20A26A4C"/>
    <w:rsid w:val="20B54B1F"/>
    <w:rsid w:val="20CB3E78"/>
    <w:rsid w:val="20CC5161"/>
    <w:rsid w:val="20D34741"/>
    <w:rsid w:val="21052421"/>
    <w:rsid w:val="210E5779"/>
    <w:rsid w:val="211C60E8"/>
    <w:rsid w:val="212136FE"/>
    <w:rsid w:val="212B00D9"/>
    <w:rsid w:val="21710C7A"/>
    <w:rsid w:val="218E0668"/>
    <w:rsid w:val="219519F6"/>
    <w:rsid w:val="21A34113"/>
    <w:rsid w:val="21B13157"/>
    <w:rsid w:val="21C40EEC"/>
    <w:rsid w:val="222B5EB7"/>
    <w:rsid w:val="223905D4"/>
    <w:rsid w:val="22394A78"/>
    <w:rsid w:val="2251497C"/>
    <w:rsid w:val="2258365F"/>
    <w:rsid w:val="226C09A9"/>
    <w:rsid w:val="229657DF"/>
    <w:rsid w:val="22D651EB"/>
    <w:rsid w:val="22DD3655"/>
    <w:rsid w:val="22E94F81"/>
    <w:rsid w:val="23072480"/>
    <w:rsid w:val="233C211C"/>
    <w:rsid w:val="233D5EA2"/>
    <w:rsid w:val="23713D9D"/>
    <w:rsid w:val="238B4578"/>
    <w:rsid w:val="23F92711"/>
    <w:rsid w:val="23FE7D27"/>
    <w:rsid w:val="241C1F5B"/>
    <w:rsid w:val="2432177F"/>
    <w:rsid w:val="244514B2"/>
    <w:rsid w:val="24DF37F0"/>
    <w:rsid w:val="2524184E"/>
    <w:rsid w:val="25357778"/>
    <w:rsid w:val="25437D0A"/>
    <w:rsid w:val="25535E50"/>
    <w:rsid w:val="255B4D05"/>
    <w:rsid w:val="258E50DA"/>
    <w:rsid w:val="25D80104"/>
    <w:rsid w:val="264833F1"/>
    <w:rsid w:val="26647BE9"/>
    <w:rsid w:val="26663961"/>
    <w:rsid w:val="266C203C"/>
    <w:rsid w:val="26804A23"/>
    <w:rsid w:val="26864004"/>
    <w:rsid w:val="26C16DEA"/>
    <w:rsid w:val="26D7660D"/>
    <w:rsid w:val="27094CDC"/>
    <w:rsid w:val="271256A3"/>
    <w:rsid w:val="271433BD"/>
    <w:rsid w:val="27315D1D"/>
    <w:rsid w:val="27337CE7"/>
    <w:rsid w:val="273F48DE"/>
    <w:rsid w:val="27473793"/>
    <w:rsid w:val="274F0899"/>
    <w:rsid w:val="2784119E"/>
    <w:rsid w:val="27855AC2"/>
    <w:rsid w:val="27A42993"/>
    <w:rsid w:val="27A746DC"/>
    <w:rsid w:val="27AC2841"/>
    <w:rsid w:val="27BA2942"/>
    <w:rsid w:val="27C43035"/>
    <w:rsid w:val="28074CD0"/>
    <w:rsid w:val="280C22E7"/>
    <w:rsid w:val="281F026C"/>
    <w:rsid w:val="281F78F5"/>
    <w:rsid w:val="282231B6"/>
    <w:rsid w:val="285F2D5E"/>
    <w:rsid w:val="28677014"/>
    <w:rsid w:val="28865233"/>
    <w:rsid w:val="28885E11"/>
    <w:rsid w:val="288A1B89"/>
    <w:rsid w:val="289C366A"/>
    <w:rsid w:val="28CB21A2"/>
    <w:rsid w:val="28CF3A40"/>
    <w:rsid w:val="28F07582"/>
    <w:rsid w:val="28F60FCD"/>
    <w:rsid w:val="28F65471"/>
    <w:rsid w:val="28FD67FF"/>
    <w:rsid w:val="28FE2577"/>
    <w:rsid w:val="29243FC6"/>
    <w:rsid w:val="292E6004"/>
    <w:rsid w:val="29363ABF"/>
    <w:rsid w:val="29695AF9"/>
    <w:rsid w:val="297D349C"/>
    <w:rsid w:val="29B0281D"/>
    <w:rsid w:val="29BD1AEA"/>
    <w:rsid w:val="29D05CC2"/>
    <w:rsid w:val="29D532D8"/>
    <w:rsid w:val="29F13D11"/>
    <w:rsid w:val="2A021BF3"/>
    <w:rsid w:val="2A2C6C70"/>
    <w:rsid w:val="2A467D32"/>
    <w:rsid w:val="2A73664D"/>
    <w:rsid w:val="2AA809EC"/>
    <w:rsid w:val="2AAD6003"/>
    <w:rsid w:val="2AC670C5"/>
    <w:rsid w:val="2B006133"/>
    <w:rsid w:val="2B0A6FB1"/>
    <w:rsid w:val="2B603075"/>
    <w:rsid w:val="2B70072D"/>
    <w:rsid w:val="2B8458DC"/>
    <w:rsid w:val="2B856638"/>
    <w:rsid w:val="2BA70CA4"/>
    <w:rsid w:val="2BA94A1C"/>
    <w:rsid w:val="2BD96984"/>
    <w:rsid w:val="2BE615F5"/>
    <w:rsid w:val="2BE617CC"/>
    <w:rsid w:val="2BF227B1"/>
    <w:rsid w:val="2BF37A45"/>
    <w:rsid w:val="2C136339"/>
    <w:rsid w:val="2C3D4F9B"/>
    <w:rsid w:val="2C555C95"/>
    <w:rsid w:val="2C5F332D"/>
    <w:rsid w:val="2C9C632F"/>
    <w:rsid w:val="2CBE44F7"/>
    <w:rsid w:val="2CCB5AF7"/>
    <w:rsid w:val="2CD5539D"/>
    <w:rsid w:val="2CF3274D"/>
    <w:rsid w:val="2D1D374B"/>
    <w:rsid w:val="2D2D342B"/>
    <w:rsid w:val="2D3E73E6"/>
    <w:rsid w:val="2D6C3F53"/>
    <w:rsid w:val="2D706302"/>
    <w:rsid w:val="2DB72CF5"/>
    <w:rsid w:val="2DE81100"/>
    <w:rsid w:val="2DFB7085"/>
    <w:rsid w:val="2E2C5491"/>
    <w:rsid w:val="2E424CB4"/>
    <w:rsid w:val="2E446C02"/>
    <w:rsid w:val="2E9F2106"/>
    <w:rsid w:val="2EB21E3A"/>
    <w:rsid w:val="2EB8596B"/>
    <w:rsid w:val="2EBF6305"/>
    <w:rsid w:val="2ECD54C5"/>
    <w:rsid w:val="2F065CE2"/>
    <w:rsid w:val="2F083808"/>
    <w:rsid w:val="2F2461C7"/>
    <w:rsid w:val="2F884949"/>
    <w:rsid w:val="2FB43990"/>
    <w:rsid w:val="2FB87737"/>
    <w:rsid w:val="2FD34791"/>
    <w:rsid w:val="2FDB53C0"/>
    <w:rsid w:val="2FF330EE"/>
    <w:rsid w:val="30703D5A"/>
    <w:rsid w:val="30D836AE"/>
    <w:rsid w:val="31066A12"/>
    <w:rsid w:val="311961A0"/>
    <w:rsid w:val="312E1520"/>
    <w:rsid w:val="316136A3"/>
    <w:rsid w:val="317258B0"/>
    <w:rsid w:val="318C4BC4"/>
    <w:rsid w:val="31C43C8D"/>
    <w:rsid w:val="31C854D0"/>
    <w:rsid w:val="31E046EB"/>
    <w:rsid w:val="31EF6F01"/>
    <w:rsid w:val="31F87952"/>
    <w:rsid w:val="320F1684"/>
    <w:rsid w:val="32132BEF"/>
    <w:rsid w:val="322C5A5F"/>
    <w:rsid w:val="32E67349"/>
    <w:rsid w:val="331C1F78"/>
    <w:rsid w:val="33260700"/>
    <w:rsid w:val="335C2374"/>
    <w:rsid w:val="335C7983"/>
    <w:rsid w:val="338E37D7"/>
    <w:rsid w:val="33B006C1"/>
    <w:rsid w:val="33CD5020"/>
    <w:rsid w:val="33D27F07"/>
    <w:rsid w:val="33DF326B"/>
    <w:rsid w:val="33E02FA5"/>
    <w:rsid w:val="33E86ECF"/>
    <w:rsid w:val="33F20F2A"/>
    <w:rsid w:val="341669C7"/>
    <w:rsid w:val="3421711A"/>
    <w:rsid w:val="34346E4D"/>
    <w:rsid w:val="34476B80"/>
    <w:rsid w:val="344A6670"/>
    <w:rsid w:val="34733E19"/>
    <w:rsid w:val="34757B91"/>
    <w:rsid w:val="3491429F"/>
    <w:rsid w:val="34930017"/>
    <w:rsid w:val="34954F50"/>
    <w:rsid w:val="34AC732B"/>
    <w:rsid w:val="34CE1050"/>
    <w:rsid w:val="34D827D7"/>
    <w:rsid w:val="350902DA"/>
    <w:rsid w:val="35265452"/>
    <w:rsid w:val="35325A82"/>
    <w:rsid w:val="3550415A"/>
    <w:rsid w:val="357D27F8"/>
    <w:rsid w:val="35954682"/>
    <w:rsid w:val="35A46254"/>
    <w:rsid w:val="361707D4"/>
    <w:rsid w:val="36186C7D"/>
    <w:rsid w:val="365B6913"/>
    <w:rsid w:val="367B7FC3"/>
    <w:rsid w:val="36871DCF"/>
    <w:rsid w:val="369D3403"/>
    <w:rsid w:val="36B129D7"/>
    <w:rsid w:val="36B81FB7"/>
    <w:rsid w:val="36B85B13"/>
    <w:rsid w:val="36DB5CA6"/>
    <w:rsid w:val="37103BA1"/>
    <w:rsid w:val="3715513B"/>
    <w:rsid w:val="373158C6"/>
    <w:rsid w:val="373B6744"/>
    <w:rsid w:val="373F4487"/>
    <w:rsid w:val="374B4C2A"/>
    <w:rsid w:val="377311F1"/>
    <w:rsid w:val="378C0D4E"/>
    <w:rsid w:val="37C52BDE"/>
    <w:rsid w:val="37EE37B7"/>
    <w:rsid w:val="37EF1A09"/>
    <w:rsid w:val="37FF36C2"/>
    <w:rsid w:val="38043251"/>
    <w:rsid w:val="382C4A0B"/>
    <w:rsid w:val="38A547BD"/>
    <w:rsid w:val="38AF2F46"/>
    <w:rsid w:val="391556D7"/>
    <w:rsid w:val="3958538C"/>
    <w:rsid w:val="395C1320"/>
    <w:rsid w:val="396B333D"/>
    <w:rsid w:val="39F41558"/>
    <w:rsid w:val="3A557B1D"/>
    <w:rsid w:val="3A654204"/>
    <w:rsid w:val="3A927A2B"/>
    <w:rsid w:val="3A9B19D4"/>
    <w:rsid w:val="3AA12D62"/>
    <w:rsid w:val="3AE25855"/>
    <w:rsid w:val="3AEA720B"/>
    <w:rsid w:val="3AF43C81"/>
    <w:rsid w:val="3B220A43"/>
    <w:rsid w:val="3B2C0E8E"/>
    <w:rsid w:val="3B31058A"/>
    <w:rsid w:val="3B563B4D"/>
    <w:rsid w:val="3B7C7A57"/>
    <w:rsid w:val="3BAD21DD"/>
    <w:rsid w:val="3BB911A2"/>
    <w:rsid w:val="3BDC0FD0"/>
    <w:rsid w:val="3BDE372A"/>
    <w:rsid w:val="3BDF7FE6"/>
    <w:rsid w:val="3BFA6BCE"/>
    <w:rsid w:val="3C096844"/>
    <w:rsid w:val="3C3328AA"/>
    <w:rsid w:val="3CB13B28"/>
    <w:rsid w:val="3CD65500"/>
    <w:rsid w:val="3D216783"/>
    <w:rsid w:val="3D271C45"/>
    <w:rsid w:val="3D7F382F"/>
    <w:rsid w:val="3D830958"/>
    <w:rsid w:val="3DA768E2"/>
    <w:rsid w:val="3DC26BB7"/>
    <w:rsid w:val="3DEC0798"/>
    <w:rsid w:val="3E574458"/>
    <w:rsid w:val="3E5878C6"/>
    <w:rsid w:val="3E972761"/>
    <w:rsid w:val="3E9E1A93"/>
    <w:rsid w:val="3EA45DE0"/>
    <w:rsid w:val="3EAD43CC"/>
    <w:rsid w:val="3EAD7F28"/>
    <w:rsid w:val="3EC62D97"/>
    <w:rsid w:val="3ECD6DBE"/>
    <w:rsid w:val="3ED11044"/>
    <w:rsid w:val="3F0C7426"/>
    <w:rsid w:val="3F0F473E"/>
    <w:rsid w:val="3F3E5024"/>
    <w:rsid w:val="3F5A718F"/>
    <w:rsid w:val="3F7942AE"/>
    <w:rsid w:val="3F8F772E"/>
    <w:rsid w:val="3FB47094"/>
    <w:rsid w:val="3FB62E0C"/>
    <w:rsid w:val="3FBA73C5"/>
    <w:rsid w:val="3FCC262F"/>
    <w:rsid w:val="3FE47979"/>
    <w:rsid w:val="400064CF"/>
    <w:rsid w:val="400D729E"/>
    <w:rsid w:val="40153FD6"/>
    <w:rsid w:val="401C5365"/>
    <w:rsid w:val="40556615"/>
    <w:rsid w:val="40556AC9"/>
    <w:rsid w:val="405F7A3C"/>
    <w:rsid w:val="40A35A86"/>
    <w:rsid w:val="40A47108"/>
    <w:rsid w:val="40B3559D"/>
    <w:rsid w:val="40B530C4"/>
    <w:rsid w:val="40D01B70"/>
    <w:rsid w:val="40D21EC7"/>
    <w:rsid w:val="40EF4827"/>
    <w:rsid w:val="40F63E08"/>
    <w:rsid w:val="40FE0F0E"/>
    <w:rsid w:val="410B7187"/>
    <w:rsid w:val="41265D6F"/>
    <w:rsid w:val="41286304"/>
    <w:rsid w:val="4148218A"/>
    <w:rsid w:val="41764F49"/>
    <w:rsid w:val="417C52F2"/>
    <w:rsid w:val="419D4ED4"/>
    <w:rsid w:val="41AF2209"/>
    <w:rsid w:val="41CC6917"/>
    <w:rsid w:val="42213106"/>
    <w:rsid w:val="422C3859"/>
    <w:rsid w:val="42304060"/>
    <w:rsid w:val="42336996"/>
    <w:rsid w:val="424072EE"/>
    <w:rsid w:val="42571DE4"/>
    <w:rsid w:val="42611E51"/>
    <w:rsid w:val="42621029"/>
    <w:rsid w:val="427434C5"/>
    <w:rsid w:val="4278084D"/>
    <w:rsid w:val="428F187A"/>
    <w:rsid w:val="429C653D"/>
    <w:rsid w:val="42B06238"/>
    <w:rsid w:val="42B9333F"/>
    <w:rsid w:val="42FC76D0"/>
    <w:rsid w:val="431247FD"/>
    <w:rsid w:val="432307B8"/>
    <w:rsid w:val="432B1D63"/>
    <w:rsid w:val="438C45B0"/>
    <w:rsid w:val="439B47F3"/>
    <w:rsid w:val="43A062AD"/>
    <w:rsid w:val="43B32B74"/>
    <w:rsid w:val="43FA6695"/>
    <w:rsid w:val="441822E7"/>
    <w:rsid w:val="441F3676"/>
    <w:rsid w:val="445873A3"/>
    <w:rsid w:val="44CB735A"/>
    <w:rsid w:val="44D51F86"/>
    <w:rsid w:val="44EA28D6"/>
    <w:rsid w:val="45022200"/>
    <w:rsid w:val="45470A2E"/>
    <w:rsid w:val="45774DEB"/>
    <w:rsid w:val="45800144"/>
    <w:rsid w:val="45A55DFD"/>
    <w:rsid w:val="45AB43F0"/>
    <w:rsid w:val="45DF1F40"/>
    <w:rsid w:val="45E76415"/>
    <w:rsid w:val="45EF52CA"/>
    <w:rsid w:val="45FB5A1D"/>
    <w:rsid w:val="45FD79E7"/>
    <w:rsid w:val="46380A1F"/>
    <w:rsid w:val="46526B04"/>
    <w:rsid w:val="46625A9C"/>
    <w:rsid w:val="46834233"/>
    <w:rsid w:val="46845A12"/>
    <w:rsid w:val="46AA2F9F"/>
    <w:rsid w:val="46F030A7"/>
    <w:rsid w:val="47046B53"/>
    <w:rsid w:val="470C44B2"/>
    <w:rsid w:val="473E02B7"/>
    <w:rsid w:val="47694C08"/>
    <w:rsid w:val="477055F6"/>
    <w:rsid w:val="477517FF"/>
    <w:rsid w:val="4784434F"/>
    <w:rsid w:val="479E0D55"/>
    <w:rsid w:val="47CD25AB"/>
    <w:rsid w:val="47E2130D"/>
    <w:rsid w:val="47ED3A8B"/>
    <w:rsid w:val="480C5855"/>
    <w:rsid w:val="483A66EF"/>
    <w:rsid w:val="48435459"/>
    <w:rsid w:val="485F6737"/>
    <w:rsid w:val="489B7043"/>
    <w:rsid w:val="48BD16AF"/>
    <w:rsid w:val="48BD520B"/>
    <w:rsid w:val="48EF5AA8"/>
    <w:rsid w:val="48FA1FBB"/>
    <w:rsid w:val="49171924"/>
    <w:rsid w:val="4921579A"/>
    <w:rsid w:val="49351245"/>
    <w:rsid w:val="493A2D00"/>
    <w:rsid w:val="49417BEA"/>
    <w:rsid w:val="49595C1C"/>
    <w:rsid w:val="49912662"/>
    <w:rsid w:val="499E328F"/>
    <w:rsid w:val="49CA5E32"/>
    <w:rsid w:val="49FC7E5D"/>
    <w:rsid w:val="4A0008D3"/>
    <w:rsid w:val="4A2C657A"/>
    <w:rsid w:val="4A5E31D9"/>
    <w:rsid w:val="4A616D3D"/>
    <w:rsid w:val="4A6F0787"/>
    <w:rsid w:val="4A8B3C5F"/>
    <w:rsid w:val="4A9106FD"/>
    <w:rsid w:val="4A9401EE"/>
    <w:rsid w:val="4AAA79CF"/>
    <w:rsid w:val="4AC26B09"/>
    <w:rsid w:val="4AC62A9D"/>
    <w:rsid w:val="4AD4683C"/>
    <w:rsid w:val="4AF60EA8"/>
    <w:rsid w:val="4B201A81"/>
    <w:rsid w:val="4B3B3748"/>
    <w:rsid w:val="4B3F2A49"/>
    <w:rsid w:val="4B4734B2"/>
    <w:rsid w:val="4B49547C"/>
    <w:rsid w:val="4B5856BF"/>
    <w:rsid w:val="4B976E41"/>
    <w:rsid w:val="4BBC17AA"/>
    <w:rsid w:val="4BCF3BD3"/>
    <w:rsid w:val="4BD20FCE"/>
    <w:rsid w:val="4BEB02E1"/>
    <w:rsid w:val="4BEF7DD1"/>
    <w:rsid w:val="4C765DFD"/>
    <w:rsid w:val="4C871DB8"/>
    <w:rsid w:val="4CA87F80"/>
    <w:rsid w:val="4CB701C3"/>
    <w:rsid w:val="4CFB09F8"/>
    <w:rsid w:val="4D057181"/>
    <w:rsid w:val="4D072EF9"/>
    <w:rsid w:val="4D292176"/>
    <w:rsid w:val="4D381304"/>
    <w:rsid w:val="4D3A507C"/>
    <w:rsid w:val="4D4561CC"/>
    <w:rsid w:val="4D673998"/>
    <w:rsid w:val="4D7143BC"/>
    <w:rsid w:val="4D775082"/>
    <w:rsid w:val="4D862070"/>
    <w:rsid w:val="4DA60B74"/>
    <w:rsid w:val="4DB4734B"/>
    <w:rsid w:val="4DD10F56"/>
    <w:rsid w:val="4DE807AA"/>
    <w:rsid w:val="4E2007F5"/>
    <w:rsid w:val="4E261AA5"/>
    <w:rsid w:val="4E45017D"/>
    <w:rsid w:val="4E683E6B"/>
    <w:rsid w:val="4E6B1B79"/>
    <w:rsid w:val="4E721147"/>
    <w:rsid w:val="4E983712"/>
    <w:rsid w:val="4EDA4C65"/>
    <w:rsid w:val="4EF31BF6"/>
    <w:rsid w:val="4F1E4433"/>
    <w:rsid w:val="4F253B0A"/>
    <w:rsid w:val="4F363F69"/>
    <w:rsid w:val="4F624D5E"/>
    <w:rsid w:val="4F6D4750"/>
    <w:rsid w:val="4F7E0295"/>
    <w:rsid w:val="4FAD422B"/>
    <w:rsid w:val="4FAE1D52"/>
    <w:rsid w:val="4FDF0628"/>
    <w:rsid w:val="4FE63299"/>
    <w:rsid w:val="4FE90FDC"/>
    <w:rsid w:val="4FFA4F97"/>
    <w:rsid w:val="5001192D"/>
    <w:rsid w:val="50250266"/>
    <w:rsid w:val="50445142"/>
    <w:rsid w:val="50454464"/>
    <w:rsid w:val="505A77E4"/>
    <w:rsid w:val="5066262C"/>
    <w:rsid w:val="50AB003F"/>
    <w:rsid w:val="51010497"/>
    <w:rsid w:val="51081B92"/>
    <w:rsid w:val="510E4306"/>
    <w:rsid w:val="51220301"/>
    <w:rsid w:val="5147155B"/>
    <w:rsid w:val="5151508A"/>
    <w:rsid w:val="518934D7"/>
    <w:rsid w:val="51C94C21"/>
    <w:rsid w:val="51F021AD"/>
    <w:rsid w:val="520F4F62"/>
    <w:rsid w:val="52693B3B"/>
    <w:rsid w:val="526F3A1A"/>
    <w:rsid w:val="527C0A76"/>
    <w:rsid w:val="52C33D66"/>
    <w:rsid w:val="52EB4F08"/>
    <w:rsid w:val="52EC69E9"/>
    <w:rsid w:val="52ED0DE3"/>
    <w:rsid w:val="53234805"/>
    <w:rsid w:val="533B38FC"/>
    <w:rsid w:val="53407856"/>
    <w:rsid w:val="535844AE"/>
    <w:rsid w:val="536410A5"/>
    <w:rsid w:val="53917414"/>
    <w:rsid w:val="53AB38FF"/>
    <w:rsid w:val="53B82E5C"/>
    <w:rsid w:val="53D77AC9"/>
    <w:rsid w:val="54332825"/>
    <w:rsid w:val="54413194"/>
    <w:rsid w:val="54694499"/>
    <w:rsid w:val="54BC6CBF"/>
    <w:rsid w:val="54DC110F"/>
    <w:rsid w:val="54E56216"/>
    <w:rsid w:val="54E9056E"/>
    <w:rsid w:val="55050666"/>
    <w:rsid w:val="55055F70"/>
    <w:rsid w:val="550C0239"/>
    <w:rsid w:val="55191A1B"/>
    <w:rsid w:val="55214D74"/>
    <w:rsid w:val="553B5E36"/>
    <w:rsid w:val="55592760"/>
    <w:rsid w:val="55674E7D"/>
    <w:rsid w:val="55951749"/>
    <w:rsid w:val="55A364A7"/>
    <w:rsid w:val="55B76F40"/>
    <w:rsid w:val="55BA1450"/>
    <w:rsid w:val="55DB3175"/>
    <w:rsid w:val="55DF0EB7"/>
    <w:rsid w:val="55F04E72"/>
    <w:rsid w:val="55F63D2B"/>
    <w:rsid w:val="55FA7A9F"/>
    <w:rsid w:val="56190197"/>
    <w:rsid w:val="563B3161"/>
    <w:rsid w:val="563F54B2"/>
    <w:rsid w:val="56671279"/>
    <w:rsid w:val="56690780"/>
    <w:rsid w:val="56890E23"/>
    <w:rsid w:val="568F468B"/>
    <w:rsid w:val="569752EE"/>
    <w:rsid w:val="56A95021"/>
    <w:rsid w:val="56AD68BF"/>
    <w:rsid w:val="57266671"/>
    <w:rsid w:val="574A1184"/>
    <w:rsid w:val="575C37E0"/>
    <w:rsid w:val="578D66F1"/>
    <w:rsid w:val="57A526A2"/>
    <w:rsid w:val="57A777B2"/>
    <w:rsid w:val="57BD6FD6"/>
    <w:rsid w:val="57E41835"/>
    <w:rsid w:val="57EC78BB"/>
    <w:rsid w:val="58247055"/>
    <w:rsid w:val="58523BC2"/>
    <w:rsid w:val="58725E54"/>
    <w:rsid w:val="58962D72"/>
    <w:rsid w:val="589C4E3D"/>
    <w:rsid w:val="589F66DB"/>
    <w:rsid w:val="58A27F7A"/>
    <w:rsid w:val="58B8779D"/>
    <w:rsid w:val="58D345D7"/>
    <w:rsid w:val="58E02B47"/>
    <w:rsid w:val="594C1C2D"/>
    <w:rsid w:val="594D25DB"/>
    <w:rsid w:val="596040BD"/>
    <w:rsid w:val="59901547"/>
    <w:rsid w:val="59C77C52"/>
    <w:rsid w:val="5A0031AA"/>
    <w:rsid w:val="5A3966BC"/>
    <w:rsid w:val="5ABF3219"/>
    <w:rsid w:val="5AE96334"/>
    <w:rsid w:val="5AF2338E"/>
    <w:rsid w:val="5B084A0C"/>
    <w:rsid w:val="5B26004A"/>
    <w:rsid w:val="5B37709F"/>
    <w:rsid w:val="5B672D1B"/>
    <w:rsid w:val="5B9C6F02"/>
    <w:rsid w:val="5BC56459"/>
    <w:rsid w:val="5BDD2EE5"/>
    <w:rsid w:val="5C1F025F"/>
    <w:rsid w:val="5C272C70"/>
    <w:rsid w:val="5C453775"/>
    <w:rsid w:val="5C5123E2"/>
    <w:rsid w:val="5C8956D8"/>
    <w:rsid w:val="5C9F4678"/>
    <w:rsid w:val="5CA50038"/>
    <w:rsid w:val="5CA86B39"/>
    <w:rsid w:val="5CAE513F"/>
    <w:rsid w:val="5CBF4A76"/>
    <w:rsid w:val="5CC47CC0"/>
    <w:rsid w:val="5CD01559"/>
    <w:rsid w:val="5CDA37D7"/>
    <w:rsid w:val="5CFF1550"/>
    <w:rsid w:val="5D0D5760"/>
    <w:rsid w:val="5D750910"/>
    <w:rsid w:val="5D7F38E5"/>
    <w:rsid w:val="5D887E95"/>
    <w:rsid w:val="5DAD34DD"/>
    <w:rsid w:val="5DE83964"/>
    <w:rsid w:val="5E021AD4"/>
    <w:rsid w:val="5E135BA1"/>
    <w:rsid w:val="5E47584B"/>
    <w:rsid w:val="5E5D6E1D"/>
    <w:rsid w:val="5E734892"/>
    <w:rsid w:val="5E766130"/>
    <w:rsid w:val="5E7C7578"/>
    <w:rsid w:val="5E8545C5"/>
    <w:rsid w:val="5E930A90"/>
    <w:rsid w:val="5ED13367"/>
    <w:rsid w:val="5EE50BC0"/>
    <w:rsid w:val="5F2147B1"/>
    <w:rsid w:val="5F381638"/>
    <w:rsid w:val="5F5B300E"/>
    <w:rsid w:val="5F64242D"/>
    <w:rsid w:val="5F6441DB"/>
    <w:rsid w:val="5F6E6E08"/>
    <w:rsid w:val="5FBE38EB"/>
    <w:rsid w:val="5FF13CC0"/>
    <w:rsid w:val="5FFE29C2"/>
    <w:rsid w:val="602D6DBB"/>
    <w:rsid w:val="60343BAD"/>
    <w:rsid w:val="607A4954"/>
    <w:rsid w:val="607F6A00"/>
    <w:rsid w:val="60E51508"/>
    <w:rsid w:val="615F10FE"/>
    <w:rsid w:val="6172193C"/>
    <w:rsid w:val="61825EA1"/>
    <w:rsid w:val="619F599E"/>
    <w:rsid w:val="61A74815"/>
    <w:rsid w:val="61B50D1E"/>
    <w:rsid w:val="61BF394A"/>
    <w:rsid w:val="61CE7843"/>
    <w:rsid w:val="61DF6CF6"/>
    <w:rsid w:val="61FA1656"/>
    <w:rsid w:val="62500A46"/>
    <w:rsid w:val="625E3163"/>
    <w:rsid w:val="62620EA5"/>
    <w:rsid w:val="628F08E1"/>
    <w:rsid w:val="62AE40EB"/>
    <w:rsid w:val="62B92EA8"/>
    <w:rsid w:val="62C8016A"/>
    <w:rsid w:val="62F3476A"/>
    <w:rsid w:val="62F53AC8"/>
    <w:rsid w:val="630E06E5"/>
    <w:rsid w:val="63116428"/>
    <w:rsid w:val="63367C3C"/>
    <w:rsid w:val="634B7B8C"/>
    <w:rsid w:val="636602F7"/>
    <w:rsid w:val="63901A42"/>
    <w:rsid w:val="639A641D"/>
    <w:rsid w:val="63A86D8C"/>
    <w:rsid w:val="63B50323"/>
    <w:rsid w:val="63B956FE"/>
    <w:rsid w:val="63BA6ABF"/>
    <w:rsid w:val="63C43C94"/>
    <w:rsid w:val="63D062E3"/>
    <w:rsid w:val="64072BE6"/>
    <w:rsid w:val="64153CF6"/>
    <w:rsid w:val="644545DB"/>
    <w:rsid w:val="64555CDA"/>
    <w:rsid w:val="645A5BAC"/>
    <w:rsid w:val="646A047C"/>
    <w:rsid w:val="647924D6"/>
    <w:rsid w:val="64A5151D"/>
    <w:rsid w:val="64BB664B"/>
    <w:rsid w:val="64C14FBA"/>
    <w:rsid w:val="64DB4F3F"/>
    <w:rsid w:val="64EA4AFA"/>
    <w:rsid w:val="64EC4A56"/>
    <w:rsid w:val="651F7F4D"/>
    <w:rsid w:val="653D3504"/>
    <w:rsid w:val="656E6A7D"/>
    <w:rsid w:val="657B5DDA"/>
    <w:rsid w:val="65BA4B55"/>
    <w:rsid w:val="65C15EE3"/>
    <w:rsid w:val="661A1A97"/>
    <w:rsid w:val="662E109F"/>
    <w:rsid w:val="662F5543"/>
    <w:rsid w:val="66333C0D"/>
    <w:rsid w:val="665723A3"/>
    <w:rsid w:val="66587CA1"/>
    <w:rsid w:val="667C4500"/>
    <w:rsid w:val="668223FF"/>
    <w:rsid w:val="66AB0941"/>
    <w:rsid w:val="66CC0FE3"/>
    <w:rsid w:val="66D25ECE"/>
    <w:rsid w:val="66DE0D17"/>
    <w:rsid w:val="66E83943"/>
    <w:rsid w:val="66F75934"/>
    <w:rsid w:val="67064B36"/>
    <w:rsid w:val="670C5884"/>
    <w:rsid w:val="67177D85"/>
    <w:rsid w:val="67A71109"/>
    <w:rsid w:val="67BF46A4"/>
    <w:rsid w:val="67C86AC4"/>
    <w:rsid w:val="67DE67B8"/>
    <w:rsid w:val="67E4410B"/>
    <w:rsid w:val="67F23E91"/>
    <w:rsid w:val="67F4246A"/>
    <w:rsid w:val="67F67F0B"/>
    <w:rsid w:val="68435CC2"/>
    <w:rsid w:val="68541AF0"/>
    <w:rsid w:val="68B95DF5"/>
    <w:rsid w:val="68F51C33"/>
    <w:rsid w:val="690B56C7"/>
    <w:rsid w:val="691342E5"/>
    <w:rsid w:val="69195C98"/>
    <w:rsid w:val="69201173"/>
    <w:rsid w:val="6945507D"/>
    <w:rsid w:val="69682C81"/>
    <w:rsid w:val="69992CD3"/>
    <w:rsid w:val="699B6A4B"/>
    <w:rsid w:val="69AA1760"/>
    <w:rsid w:val="69AF24F6"/>
    <w:rsid w:val="69D26DB2"/>
    <w:rsid w:val="69D87C9F"/>
    <w:rsid w:val="6A0D410F"/>
    <w:rsid w:val="6A2B0AA7"/>
    <w:rsid w:val="6A611A43"/>
    <w:rsid w:val="6A774534"/>
    <w:rsid w:val="6A7F7A92"/>
    <w:rsid w:val="6A965126"/>
    <w:rsid w:val="6AB302C8"/>
    <w:rsid w:val="6AC326FD"/>
    <w:rsid w:val="6ACA583A"/>
    <w:rsid w:val="6ADA17F5"/>
    <w:rsid w:val="6B0D5727"/>
    <w:rsid w:val="6B3709F5"/>
    <w:rsid w:val="6B3727A3"/>
    <w:rsid w:val="6B6D4417"/>
    <w:rsid w:val="6B7B2FD8"/>
    <w:rsid w:val="6B900564"/>
    <w:rsid w:val="6B9B5C39"/>
    <w:rsid w:val="6B9E2823"/>
    <w:rsid w:val="6C296590"/>
    <w:rsid w:val="6C3478D4"/>
    <w:rsid w:val="6C523D39"/>
    <w:rsid w:val="6C735A5D"/>
    <w:rsid w:val="6C863C6A"/>
    <w:rsid w:val="6C9D156C"/>
    <w:rsid w:val="6CA976D1"/>
    <w:rsid w:val="6CD40BF2"/>
    <w:rsid w:val="6CD56718"/>
    <w:rsid w:val="6CD75FEC"/>
    <w:rsid w:val="6CD877DD"/>
    <w:rsid w:val="6CDF2C9A"/>
    <w:rsid w:val="6D0A4613"/>
    <w:rsid w:val="6D444DEE"/>
    <w:rsid w:val="6D764DFA"/>
    <w:rsid w:val="6DD93FE6"/>
    <w:rsid w:val="6DEC3D19"/>
    <w:rsid w:val="6E2711F5"/>
    <w:rsid w:val="6E405E13"/>
    <w:rsid w:val="6E6908AD"/>
    <w:rsid w:val="6E7E20EE"/>
    <w:rsid w:val="6EC30BD5"/>
    <w:rsid w:val="6ECB1B80"/>
    <w:rsid w:val="6EE2027D"/>
    <w:rsid w:val="6F062BB9"/>
    <w:rsid w:val="6F067E4F"/>
    <w:rsid w:val="6F0E4B3B"/>
    <w:rsid w:val="6F173054"/>
    <w:rsid w:val="6F2B466F"/>
    <w:rsid w:val="6F3239AE"/>
    <w:rsid w:val="6F437969"/>
    <w:rsid w:val="6F760EA8"/>
    <w:rsid w:val="6FA7614A"/>
    <w:rsid w:val="6FAF4FFE"/>
    <w:rsid w:val="6FB73075"/>
    <w:rsid w:val="6FF57D37"/>
    <w:rsid w:val="7003534A"/>
    <w:rsid w:val="7060279C"/>
    <w:rsid w:val="709661BE"/>
    <w:rsid w:val="70981F36"/>
    <w:rsid w:val="709C1A26"/>
    <w:rsid w:val="70B84386"/>
    <w:rsid w:val="71066EA0"/>
    <w:rsid w:val="71327C95"/>
    <w:rsid w:val="714E0847"/>
    <w:rsid w:val="71701BA8"/>
    <w:rsid w:val="71A60683"/>
    <w:rsid w:val="71BB5EDC"/>
    <w:rsid w:val="71E76CD1"/>
    <w:rsid w:val="71F118FE"/>
    <w:rsid w:val="720E7302"/>
    <w:rsid w:val="721B697B"/>
    <w:rsid w:val="725F0F5E"/>
    <w:rsid w:val="727644F9"/>
    <w:rsid w:val="727A5D97"/>
    <w:rsid w:val="72842772"/>
    <w:rsid w:val="72FA0C86"/>
    <w:rsid w:val="730E4732"/>
    <w:rsid w:val="73186B3A"/>
    <w:rsid w:val="73217FC1"/>
    <w:rsid w:val="73261A7B"/>
    <w:rsid w:val="73310FF5"/>
    <w:rsid w:val="734B1851"/>
    <w:rsid w:val="73531308"/>
    <w:rsid w:val="7357013F"/>
    <w:rsid w:val="73EE785B"/>
    <w:rsid w:val="73F12089"/>
    <w:rsid w:val="74143FCA"/>
    <w:rsid w:val="746740F9"/>
    <w:rsid w:val="746A5998"/>
    <w:rsid w:val="74945441"/>
    <w:rsid w:val="749E5641"/>
    <w:rsid w:val="74A94380"/>
    <w:rsid w:val="74AA19FC"/>
    <w:rsid w:val="74BF3F35"/>
    <w:rsid w:val="74D379E1"/>
    <w:rsid w:val="74D55507"/>
    <w:rsid w:val="74FD78E8"/>
    <w:rsid w:val="75134281"/>
    <w:rsid w:val="75280D4A"/>
    <w:rsid w:val="75402C0D"/>
    <w:rsid w:val="75461F61"/>
    <w:rsid w:val="754E7067"/>
    <w:rsid w:val="757545F4"/>
    <w:rsid w:val="758E3908"/>
    <w:rsid w:val="75CF44C6"/>
    <w:rsid w:val="75D11A46"/>
    <w:rsid w:val="75D237F5"/>
    <w:rsid w:val="761E2EDE"/>
    <w:rsid w:val="762A7AD4"/>
    <w:rsid w:val="763E32C2"/>
    <w:rsid w:val="767E397C"/>
    <w:rsid w:val="7682500E"/>
    <w:rsid w:val="768C4122"/>
    <w:rsid w:val="76984A3E"/>
    <w:rsid w:val="76AC2297"/>
    <w:rsid w:val="76F53C3E"/>
    <w:rsid w:val="77100A78"/>
    <w:rsid w:val="7725204A"/>
    <w:rsid w:val="772938E8"/>
    <w:rsid w:val="77394704"/>
    <w:rsid w:val="77440DA3"/>
    <w:rsid w:val="77972F48"/>
    <w:rsid w:val="779C67B0"/>
    <w:rsid w:val="77B55193"/>
    <w:rsid w:val="77C335AC"/>
    <w:rsid w:val="77CD4BBB"/>
    <w:rsid w:val="77CE4501"/>
    <w:rsid w:val="78014865"/>
    <w:rsid w:val="78085BF3"/>
    <w:rsid w:val="78112CFA"/>
    <w:rsid w:val="78137BE6"/>
    <w:rsid w:val="781774FC"/>
    <w:rsid w:val="781E0F73"/>
    <w:rsid w:val="784F55D0"/>
    <w:rsid w:val="7868337E"/>
    <w:rsid w:val="78782D79"/>
    <w:rsid w:val="78EA70A7"/>
    <w:rsid w:val="78F63C9E"/>
    <w:rsid w:val="79022643"/>
    <w:rsid w:val="79110AD8"/>
    <w:rsid w:val="79132AA2"/>
    <w:rsid w:val="79295E21"/>
    <w:rsid w:val="792C5912"/>
    <w:rsid w:val="79915775"/>
    <w:rsid w:val="79BD2A81"/>
    <w:rsid w:val="79BD47BC"/>
    <w:rsid w:val="79F725D0"/>
    <w:rsid w:val="7A1E525A"/>
    <w:rsid w:val="7A2E4638"/>
    <w:rsid w:val="7A4B29B6"/>
    <w:rsid w:val="7AB874B0"/>
    <w:rsid w:val="7ACB4CB6"/>
    <w:rsid w:val="7AEA0041"/>
    <w:rsid w:val="7AED2E7F"/>
    <w:rsid w:val="7AF92645"/>
    <w:rsid w:val="7B0545DE"/>
    <w:rsid w:val="7B205002"/>
    <w:rsid w:val="7B2A6630"/>
    <w:rsid w:val="7B332F87"/>
    <w:rsid w:val="7B430CF1"/>
    <w:rsid w:val="7B6E5D6D"/>
    <w:rsid w:val="7B763E2F"/>
    <w:rsid w:val="7B780783"/>
    <w:rsid w:val="7B7D4202"/>
    <w:rsid w:val="7B7E5661"/>
    <w:rsid w:val="7B842120"/>
    <w:rsid w:val="7B9A6B62"/>
    <w:rsid w:val="7BB82CB9"/>
    <w:rsid w:val="7BDF6C6B"/>
    <w:rsid w:val="7C183F2B"/>
    <w:rsid w:val="7C2D79D7"/>
    <w:rsid w:val="7C336FB7"/>
    <w:rsid w:val="7C3C069A"/>
    <w:rsid w:val="7C414170"/>
    <w:rsid w:val="7C547659"/>
    <w:rsid w:val="7DFC2CBA"/>
    <w:rsid w:val="7DFD162B"/>
    <w:rsid w:val="7E154BC6"/>
    <w:rsid w:val="7E3C65F7"/>
    <w:rsid w:val="7E4061A7"/>
    <w:rsid w:val="7E4436FD"/>
    <w:rsid w:val="7E6F077A"/>
    <w:rsid w:val="7E7519B6"/>
    <w:rsid w:val="7E8A7362"/>
    <w:rsid w:val="7EA7194A"/>
    <w:rsid w:val="7EAA7A04"/>
    <w:rsid w:val="7ECD724F"/>
    <w:rsid w:val="7EDE320A"/>
    <w:rsid w:val="7EED2D5B"/>
    <w:rsid w:val="7F0F40ED"/>
    <w:rsid w:val="7F280929"/>
    <w:rsid w:val="7F5F77F2"/>
    <w:rsid w:val="7F604567"/>
    <w:rsid w:val="7F71127C"/>
    <w:rsid w:val="7FAC7C4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iPriority="39"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99"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99" w:semiHidden="0" w:name="Body Text First Indent"/>
    <w:lsdException w:qFormat="1" w:unhideWhenUsed="0" w:uiPriority="99"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0"/>
    <w:pPr>
      <w:adjustRightInd w:val="0"/>
      <w:spacing w:line="400" w:lineRule="exact"/>
      <w:jc w:val="left"/>
      <w:textAlignment w:val="baseline"/>
      <w:outlineLvl w:val="0"/>
    </w:pPr>
    <w:rPr>
      <w:rFonts w:ascii="Calibri" w:hAnsi="Calibri" w:eastAsia="黑体" w:cs="宋体"/>
      <w:kern w:val="0"/>
      <w:sz w:val="24"/>
    </w:rPr>
  </w:style>
  <w:style w:type="paragraph" w:styleId="4">
    <w:name w:val="heading 2"/>
    <w:basedOn w:val="1"/>
    <w:next w:val="1"/>
    <w:qFormat/>
    <w:uiPriority w:val="0"/>
    <w:pPr>
      <w:tabs>
        <w:tab w:val="left" w:pos="1260"/>
        <w:tab w:val="left" w:pos="1575"/>
      </w:tabs>
      <w:jc w:val="both"/>
      <w:outlineLvl w:val="1"/>
    </w:pPr>
    <w:rPr>
      <w:rFonts w:eastAsia="宋体"/>
    </w:rPr>
  </w:style>
  <w:style w:type="paragraph" w:styleId="5">
    <w:name w:val="heading 3"/>
    <w:basedOn w:val="1"/>
    <w:next w:val="1"/>
    <w:qFormat/>
    <w:uiPriority w:val="0"/>
    <w:pPr>
      <w:keepNext/>
      <w:keepLines/>
      <w:spacing w:before="260" w:after="260" w:line="413" w:lineRule="auto"/>
      <w:outlineLvl w:val="2"/>
    </w:pPr>
    <w:rPr>
      <w:rFonts w:ascii="Calibri" w:hAnsi="Calibri" w:cs="宋体"/>
      <w:b/>
      <w:bCs/>
      <w:sz w:val="32"/>
      <w:szCs w:val="32"/>
    </w:rPr>
  </w:style>
  <w:style w:type="paragraph" w:styleId="6">
    <w:name w:val="heading 4"/>
    <w:basedOn w:val="1"/>
    <w:next w:val="1"/>
    <w:unhideWhenUsed/>
    <w:qFormat/>
    <w:uiPriority w:val="0"/>
    <w:pPr>
      <w:keepNext/>
      <w:keepLines/>
      <w:numPr>
        <w:ilvl w:val="3"/>
        <w:numId w:val="1"/>
      </w:numPr>
      <w:tabs>
        <w:tab w:val="left" w:pos="0"/>
      </w:tabs>
      <w:spacing w:before="280" w:after="290" w:line="376" w:lineRule="auto"/>
      <w:ind w:firstLineChars="0"/>
      <w:outlineLvl w:val="3"/>
    </w:pPr>
    <w:rPr>
      <w:rFonts w:asciiTheme="majorHAnsi" w:hAnsiTheme="majorHAnsi" w:cstheme="majorBidi"/>
      <w:b/>
      <w:bCs/>
      <w:szCs w:val="28"/>
    </w:rPr>
  </w:style>
  <w:style w:type="character" w:default="1" w:styleId="36">
    <w:name w:val="Default Paragraph Font"/>
    <w:semiHidden/>
    <w:unhideWhenUsed/>
    <w:qFormat/>
    <w:uiPriority w:val="1"/>
  </w:style>
  <w:style w:type="table" w:default="1" w:styleId="34">
    <w:name w:val="Normal Table"/>
    <w:semiHidden/>
    <w:unhideWhenUsed/>
    <w:qFormat/>
    <w:uiPriority w:val="99"/>
    <w:tblPr>
      <w:tblCellMar>
        <w:top w:w="0" w:type="dxa"/>
        <w:left w:w="108" w:type="dxa"/>
        <w:bottom w:w="0" w:type="dxa"/>
        <w:right w:w="108" w:type="dxa"/>
      </w:tblCellMar>
    </w:tblPr>
  </w:style>
  <w:style w:type="paragraph" w:customStyle="1" w:styleId="2">
    <w:name w:val="正文-公1"/>
    <w:basedOn w:val="1"/>
    <w:qFormat/>
    <w:uiPriority w:val="0"/>
    <w:pPr>
      <w:ind w:firstLine="200" w:firstLineChars="200"/>
    </w:pPr>
  </w:style>
  <w:style w:type="paragraph" w:styleId="7">
    <w:name w:val="List Number"/>
    <w:basedOn w:val="1"/>
    <w:qFormat/>
    <w:uiPriority w:val="0"/>
    <w:pPr>
      <w:numPr>
        <w:ilvl w:val="0"/>
        <w:numId w:val="2"/>
      </w:numPr>
    </w:pPr>
    <w:rPr>
      <w:rFonts w:ascii="Calibri" w:hAnsi="Calibri" w:cs="宋体"/>
    </w:rPr>
  </w:style>
  <w:style w:type="paragraph" w:styleId="8">
    <w:name w:val="Normal Indent"/>
    <w:basedOn w:val="1"/>
    <w:qFormat/>
    <w:uiPriority w:val="0"/>
    <w:pPr>
      <w:widowControl/>
      <w:adjustRightInd w:val="0"/>
      <w:snapToGrid w:val="0"/>
      <w:spacing w:line="480" w:lineRule="exact"/>
      <w:ind w:firstLine="567"/>
    </w:pPr>
    <w:rPr>
      <w:rFonts w:ascii="宋体" w:hAnsi="Calibri" w:cs="宋体"/>
      <w:snapToGrid w:val="0"/>
      <w:color w:val="000000"/>
      <w:kern w:val="28"/>
      <w:sz w:val="28"/>
      <w:szCs w:val="20"/>
    </w:rPr>
  </w:style>
  <w:style w:type="paragraph" w:styleId="9">
    <w:name w:val="Document Map"/>
    <w:basedOn w:val="1"/>
    <w:link w:val="48"/>
    <w:qFormat/>
    <w:uiPriority w:val="0"/>
    <w:rPr>
      <w:rFonts w:ascii="宋体" w:hAnsi="Calibri" w:cs="宋体"/>
      <w:sz w:val="18"/>
      <w:szCs w:val="18"/>
    </w:rPr>
  </w:style>
  <w:style w:type="paragraph" w:styleId="10">
    <w:name w:val="annotation text"/>
    <w:basedOn w:val="1"/>
    <w:link w:val="49"/>
    <w:qFormat/>
    <w:uiPriority w:val="0"/>
    <w:pPr>
      <w:jc w:val="left"/>
    </w:pPr>
    <w:rPr>
      <w:rFonts w:ascii="Calibri" w:hAnsi="Calibri" w:cs="宋体"/>
    </w:rPr>
  </w:style>
  <w:style w:type="paragraph" w:styleId="11">
    <w:name w:val="Body Text 3"/>
    <w:basedOn w:val="1"/>
    <w:qFormat/>
    <w:uiPriority w:val="0"/>
    <w:pPr>
      <w:spacing w:after="120"/>
    </w:pPr>
    <w:rPr>
      <w:rFonts w:ascii="Calibri" w:hAnsi="Calibri" w:cs="宋体"/>
      <w:sz w:val="16"/>
      <w:szCs w:val="16"/>
    </w:rPr>
  </w:style>
  <w:style w:type="paragraph" w:styleId="12">
    <w:name w:val="Body Text"/>
    <w:basedOn w:val="1"/>
    <w:qFormat/>
    <w:uiPriority w:val="0"/>
    <w:pPr>
      <w:spacing w:after="120"/>
    </w:pPr>
    <w:rPr>
      <w:rFonts w:ascii="Calibri" w:hAnsi="Calibri" w:cs="宋体"/>
    </w:rPr>
  </w:style>
  <w:style w:type="paragraph" w:styleId="13">
    <w:name w:val="Body Text Indent"/>
    <w:basedOn w:val="1"/>
    <w:qFormat/>
    <w:uiPriority w:val="0"/>
    <w:pPr>
      <w:ind w:firstLine="560" w:firstLineChars="200"/>
    </w:pPr>
    <w:rPr>
      <w:rFonts w:ascii="Calibri" w:hAnsi="Calibri" w:cs="宋体"/>
      <w:sz w:val="28"/>
    </w:rPr>
  </w:style>
  <w:style w:type="paragraph" w:styleId="14">
    <w:name w:val="List 2"/>
    <w:basedOn w:val="1"/>
    <w:qFormat/>
    <w:uiPriority w:val="0"/>
    <w:pPr>
      <w:ind w:left="100" w:leftChars="200" w:hanging="200" w:hangingChars="200"/>
    </w:pPr>
    <w:rPr>
      <w:rFonts w:ascii="Calibri" w:hAnsi="Calibri" w:cs="宋体"/>
    </w:rPr>
  </w:style>
  <w:style w:type="paragraph" w:styleId="15">
    <w:name w:val="Plain Text"/>
    <w:basedOn w:val="1"/>
    <w:link w:val="50"/>
    <w:qFormat/>
    <w:uiPriority w:val="0"/>
    <w:rPr>
      <w:rFonts w:ascii="宋体" w:hAnsi="Courier New" w:cs="宋体"/>
    </w:rPr>
  </w:style>
  <w:style w:type="paragraph" w:styleId="16">
    <w:name w:val="Date"/>
    <w:basedOn w:val="1"/>
    <w:next w:val="1"/>
    <w:qFormat/>
    <w:uiPriority w:val="0"/>
    <w:pPr>
      <w:ind w:left="2500" w:leftChars="2500"/>
    </w:pPr>
    <w:rPr>
      <w:rFonts w:ascii="Calibri" w:hAnsi="Calibri" w:eastAsia="楷体_GB2312" w:cs="宋体"/>
      <w:sz w:val="32"/>
    </w:rPr>
  </w:style>
  <w:style w:type="paragraph" w:styleId="17">
    <w:name w:val="Body Text Indent 2"/>
    <w:basedOn w:val="1"/>
    <w:qFormat/>
    <w:uiPriority w:val="0"/>
    <w:pPr>
      <w:spacing w:line="360" w:lineRule="auto"/>
      <w:ind w:left="916" w:hanging="916" w:hangingChars="333"/>
    </w:pPr>
    <w:rPr>
      <w:rFonts w:ascii="Calibri" w:hAnsi="Calibri" w:eastAsia="黑体" w:cs="宋体"/>
      <w:b/>
      <w:bCs/>
      <w:sz w:val="28"/>
    </w:rPr>
  </w:style>
  <w:style w:type="paragraph" w:styleId="18">
    <w:name w:val="Balloon Text"/>
    <w:basedOn w:val="1"/>
    <w:qFormat/>
    <w:uiPriority w:val="0"/>
    <w:rPr>
      <w:sz w:val="24"/>
      <w:szCs w:val="18"/>
    </w:rPr>
  </w:style>
  <w:style w:type="paragraph" w:styleId="19">
    <w:name w:val="footer"/>
    <w:basedOn w:val="1"/>
    <w:qFormat/>
    <w:uiPriority w:val="0"/>
    <w:pPr>
      <w:tabs>
        <w:tab w:val="center" w:pos="4153"/>
        <w:tab w:val="right" w:pos="8306"/>
      </w:tabs>
      <w:snapToGrid w:val="0"/>
      <w:jc w:val="left"/>
    </w:pPr>
    <w:rPr>
      <w:rFonts w:ascii="Calibri" w:hAnsi="Calibri" w:cs="宋体"/>
      <w:sz w:val="18"/>
      <w:szCs w:val="18"/>
    </w:rPr>
  </w:style>
  <w:style w:type="paragraph" w:styleId="20">
    <w:name w:val="envelope return"/>
    <w:basedOn w:val="1"/>
    <w:qFormat/>
    <w:uiPriority w:val="99"/>
    <w:pPr>
      <w:snapToGrid w:val="0"/>
    </w:pPr>
    <w:rPr>
      <w:rFonts w:ascii="Arial" w:hAnsi="Arial" w:cs="Arial"/>
    </w:rPr>
  </w:style>
  <w:style w:type="paragraph" w:styleId="21">
    <w:name w:val="header"/>
    <w:basedOn w:val="1"/>
    <w:qFormat/>
    <w:uiPriority w:val="0"/>
    <w:pPr>
      <w:pBdr>
        <w:bottom w:val="single" w:color="auto" w:sz="6" w:space="1"/>
      </w:pBdr>
      <w:tabs>
        <w:tab w:val="center" w:pos="4153"/>
        <w:tab w:val="right" w:pos="8306"/>
      </w:tabs>
      <w:snapToGrid w:val="0"/>
      <w:jc w:val="center"/>
    </w:pPr>
    <w:rPr>
      <w:rFonts w:ascii="Calibri" w:hAnsi="Calibri" w:cs="宋体"/>
      <w:sz w:val="18"/>
      <w:szCs w:val="18"/>
    </w:rPr>
  </w:style>
  <w:style w:type="paragraph" w:styleId="22">
    <w:name w:val="Subtitle"/>
    <w:basedOn w:val="1"/>
    <w:next w:val="1"/>
    <w:qFormat/>
    <w:uiPriority w:val="0"/>
    <w:pPr>
      <w:spacing w:before="240" w:after="60" w:line="312" w:lineRule="auto"/>
      <w:jc w:val="center"/>
      <w:outlineLvl w:val="1"/>
    </w:pPr>
    <w:rPr>
      <w:rFonts w:ascii="Cambria" w:hAnsi="Cambria"/>
      <w:b/>
      <w:bCs/>
      <w:kern w:val="28"/>
      <w:sz w:val="32"/>
      <w:szCs w:val="32"/>
    </w:rPr>
  </w:style>
  <w:style w:type="paragraph" w:styleId="23">
    <w:name w:val="List"/>
    <w:basedOn w:val="1"/>
    <w:qFormat/>
    <w:uiPriority w:val="0"/>
    <w:pPr>
      <w:ind w:left="200" w:hanging="200"/>
    </w:pPr>
    <w:rPr>
      <w:rFonts w:ascii="Calibri" w:hAnsi="Calibri" w:cs="宋体"/>
    </w:rPr>
  </w:style>
  <w:style w:type="paragraph" w:styleId="24">
    <w:name w:val="toc 6"/>
    <w:basedOn w:val="1"/>
    <w:next w:val="1"/>
    <w:unhideWhenUsed/>
    <w:qFormat/>
    <w:uiPriority w:val="39"/>
    <w:pPr>
      <w:widowControl/>
      <w:ind w:left="2100" w:leftChars="1000" w:firstLine="0" w:firstLineChars="0"/>
      <w:jc w:val="left"/>
    </w:pPr>
    <w:rPr>
      <w:rFonts w:ascii="Calibri" w:hAnsi="Calibri" w:eastAsia="宋体" w:cs="Times New Roman"/>
      <w:kern w:val="0"/>
      <w:sz w:val="21"/>
      <w:lang w:eastAsia="en-US" w:bidi="en-US"/>
    </w:rPr>
  </w:style>
  <w:style w:type="paragraph" w:styleId="25">
    <w:name w:val="Body Text Indent 3"/>
    <w:basedOn w:val="1"/>
    <w:qFormat/>
    <w:uiPriority w:val="0"/>
    <w:pPr>
      <w:adjustRightInd w:val="0"/>
      <w:spacing w:line="360" w:lineRule="auto"/>
      <w:ind w:left="638" w:leftChars="304"/>
    </w:pPr>
    <w:rPr>
      <w:rFonts w:ascii="Calibri" w:hAnsi="Calibri" w:cs="宋体"/>
      <w:sz w:val="32"/>
    </w:rPr>
  </w:style>
  <w:style w:type="paragraph" w:styleId="26">
    <w:name w:val="toc 2"/>
    <w:basedOn w:val="1"/>
    <w:next w:val="1"/>
    <w:qFormat/>
    <w:uiPriority w:val="0"/>
    <w:pPr>
      <w:ind w:left="420" w:leftChars="200"/>
    </w:pPr>
    <w:rPr>
      <w:rFonts w:ascii="Calibri" w:hAnsi="Calibri" w:cs="宋体"/>
    </w:rPr>
  </w:style>
  <w:style w:type="paragraph" w:styleId="27">
    <w:name w:val="Body Text 2"/>
    <w:basedOn w:val="1"/>
    <w:qFormat/>
    <w:uiPriority w:val="0"/>
    <w:pPr>
      <w:jc w:val="center"/>
    </w:pPr>
    <w:rPr>
      <w:rFonts w:ascii="Calibri" w:hAnsi="Calibri" w:cs="宋体"/>
      <w:b/>
      <w:sz w:val="72"/>
    </w:rPr>
  </w:style>
  <w:style w:type="paragraph" w:styleId="28">
    <w:name w:val="HTML Preformatted"/>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Courier New" w:cs="宋体"/>
    </w:rPr>
  </w:style>
  <w:style w:type="paragraph" w:styleId="29">
    <w:name w:val="Normal (Web)"/>
    <w:basedOn w:val="1"/>
    <w:qFormat/>
    <w:uiPriority w:val="0"/>
    <w:pPr>
      <w:widowControl/>
      <w:spacing w:before="100" w:beforeAutospacing="1" w:after="100" w:afterAutospacing="1"/>
      <w:jc w:val="left"/>
    </w:pPr>
    <w:rPr>
      <w:rFonts w:ascii="宋体" w:hAnsi="宋体" w:cs="宋体"/>
      <w:kern w:val="0"/>
      <w:sz w:val="24"/>
    </w:rPr>
  </w:style>
  <w:style w:type="paragraph" w:styleId="30">
    <w:name w:val="Title"/>
    <w:basedOn w:val="1"/>
    <w:next w:val="1"/>
    <w:link w:val="51"/>
    <w:qFormat/>
    <w:uiPriority w:val="0"/>
    <w:pPr>
      <w:widowControl/>
      <w:overflowPunct w:val="0"/>
      <w:autoSpaceDE w:val="0"/>
      <w:autoSpaceDN w:val="0"/>
      <w:adjustRightInd w:val="0"/>
      <w:jc w:val="center"/>
      <w:textAlignment w:val="baseline"/>
    </w:pPr>
    <w:rPr>
      <w:b/>
      <w:kern w:val="0"/>
      <w:sz w:val="24"/>
      <w:lang w:val="en-GB"/>
    </w:rPr>
  </w:style>
  <w:style w:type="paragraph" w:styleId="31">
    <w:name w:val="annotation subject"/>
    <w:basedOn w:val="10"/>
    <w:next w:val="10"/>
    <w:link w:val="52"/>
    <w:qFormat/>
    <w:uiPriority w:val="0"/>
    <w:rPr>
      <w:b/>
      <w:bCs/>
    </w:rPr>
  </w:style>
  <w:style w:type="paragraph" w:styleId="32">
    <w:name w:val="Body Text First Indent"/>
    <w:basedOn w:val="12"/>
    <w:next w:val="1"/>
    <w:qFormat/>
    <w:uiPriority w:val="99"/>
    <w:pPr>
      <w:ind w:firstLine="420"/>
    </w:pPr>
    <w:rPr>
      <w:rFonts w:ascii="Times New Roman"/>
    </w:rPr>
  </w:style>
  <w:style w:type="paragraph" w:styleId="33">
    <w:name w:val="Body Text First Indent 2"/>
    <w:basedOn w:val="13"/>
    <w:qFormat/>
    <w:uiPriority w:val="99"/>
    <w:pPr>
      <w:ind w:firstLine="420"/>
    </w:pPr>
  </w:style>
  <w:style w:type="table" w:styleId="35">
    <w:name w:val="Table Grid"/>
    <w:basedOn w:val="3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7">
    <w:name w:val="page number"/>
    <w:qFormat/>
    <w:uiPriority w:val="0"/>
    <w:rPr>
      <w:rFonts w:ascii="Calibri" w:hAnsi="Calibri" w:eastAsia="宋体" w:cs="宋体"/>
    </w:rPr>
  </w:style>
  <w:style w:type="character" w:styleId="38">
    <w:name w:val="Hyperlink"/>
    <w:qFormat/>
    <w:uiPriority w:val="0"/>
    <w:rPr>
      <w:rFonts w:ascii="Calibri" w:hAnsi="Calibri" w:eastAsia="宋体" w:cs="宋体"/>
      <w:color w:val="0000FF"/>
      <w:u w:val="single"/>
    </w:rPr>
  </w:style>
  <w:style w:type="character" w:styleId="39">
    <w:name w:val="annotation reference"/>
    <w:qFormat/>
    <w:uiPriority w:val="0"/>
    <w:rPr>
      <w:rFonts w:ascii="Calibri" w:hAnsi="Calibri" w:eastAsia="宋体" w:cs="宋体"/>
      <w:sz w:val="21"/>
      <w:szCs w:val="21"/>
    </w:rPr>
  </w:style>
  <w:style w:type="paragraph" w:customStyle="1" w:styleId="40">
    <w:name w:val="Default"/>
    <w:autoRedefine/>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41">
    <w:name w:val="xl53"/>
    <w:basedOn w:val="1"/>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line="100" w:lineRule="exact"/>
      <w:jc w:val="center"/>
    </w:pPr>
    <w:rPr>
      <w:rFonts w:ascii="宋体" w:hAnsi="宋体"/>
      <w:b/>
      <w:bCs/>
      <w:kern w:val="0"/>
      <w:sz w:val="20"/>
      <w:szCs w:val="20"/>
    </w:rPr>
  </w:style>
  <w:style w:type="paragraph" w:customStyle="1" w:styleId="42">
    <w:name w:val="样式 表格正文 + 两端对齐"/>
    <w:basedOn w:val="1"/>
    <w:next w:val="43"/>
    <w:qFormat/>
    <w:uiPriority w:val="99"/>
    <w:pPr>
      <w:spacing w:line="300" w:lineRule="auto"/>
    </w:pPr>
    <w:rPr>
      <w:sz w:val="24"/>
    </w:rPr>
  </w:style>
  <w:style w:type="paragraph" w:customStyle="1" w:styleId="43">
    <w:name w:val="正文1"/>
    <w:basedOn w:val="1"/>
    <w:next w:val="44"/>
    <w:qFormat/>
    <w:uiPriority w:val="0"/>
    <w:pPr>
      <w:tabs>
        <w:tab w:val="left" w:pos="1980"/>
        <w:tab w:val="left" w:pos="2160"/>
      </w:tabs>
      <w:spacing w:line="360" w:lineRule="auto"/>
      <w:ind w:left="2160"/>
    </w:pPr>
    <w:rPr>
      <w:rFonts w:ascii="宋体" w:hAnsi="宋体"/>
    </w:rPr>
  </w:style>
  <w:style w:type="paragraph" w:customStyle="1" w:styleId="44">
    <w:name w:val="自动更正"/>
    <w:qFormat/>
    <w:uiPriority w:val="99"/>
    <w:pPr>
      <w:widowControl w:val="0"/>
      <w:jc w:val="both"/>
    </w:pPr>
    <w:rPr>
      <w:rFonts w:ascii="黑体" w:hAnsi="黑体" w:eastAsia="微软雅黑" w:cs="黑体"/>
      <w:kern w:val="2"/>
      <w:sz w:val="21"/>
      <w:szCs w:val="21"/>
      <w:lang w:val="en-US" w:eastAsia="zh-CN" w:bidi="ar-SA"/>
    </w:rPr>
  </w:style>
  <w:style w:type="paragraph" w:customStyle="1" w:styleId="45">
    <w:name w:val="无间距1"/>
    <w:qFormat/>
    <w:uiPriority w:val="0"/>
    <w:pPr>
      <w:widowControl w:val="0"/>
      <w:jc w:val="both"/>
    </w:pPr>
    <w:rPr>
      <w:rFonts w:ascii="Times New Roman" w:hAnsi="Times New Roman" w:eastAsia="微软雅黑 Light" w:cs="Times New Roman"/>
      <w:kern w:val="2"/>
      <w:sz w:val="24"/>
      <w:szCs w:val="22"/>
      <w:lang w:val="en-US" w:eastAsia="zh-CN" w:bidi="ar-SA"/>
    </w:rPr>
  </w:style>
  <w:style w:type="paragraph" w:customStyle="1" w:styleId="46">
    <w:name w:val="标准正文"/>
    <w:basedOn w:val="1"/>
    <w:qFormat/>
    <w:uiPriority w:val="0"/>
    <w:pPr>
      <w:spacing w:line="360" w:lineRule="auto"/>
      <w:ind w:firstLine="200" w:firstLineChars="200"/>
    </w:pPr>
    <w:rPr>
      <w:rFonts w:ascii="Calibri" w:hAnsi="Calibri" w:cs="宋体"/>
      <w:sz w:val="24"/>
      <w:szCs w:val="20"/>
    </w:rPr>
  </w:style>
  <w:style w:type="paragraph" w:customStyle="1" w:styleId="47">
    <w:name w:val="表格文字"/>
    <w:basedOn w:val="1"/>
    <w:next w:val="12"/>
    <w:qFormat/>
    <w:uiPriority w:val="99"/>
    <w:pPr>
      <w:adjustRightInd w:val="0"/>
      <w:spacing w:line="420" w:lineRule="atLeast"/>
      <w:jc w:val="left"/>
      <w:textAlignment w:val="baseline"/>
    </w:pPr>
    <w:rPr>
      <w:kern w:val="0"/>
    </w:rPr>
  </w:style>
  <w:style w:type="character" w:customStyle="1" w:styleId="48">
    <w:name w:val="文档结构图 字符"/>
    <w:link w:val="9"/>
    <w:qFormat/>
    <w:uiPriority w:val="0"/>
    <w:rPr>
      <w:rFonts w:ascii="宋体" w:hAnsi="Calibri" w:eastAsia="宋体" w:cs="宋体"/>
      <w:kern w:val="2"/>
      <w:sz w:val="18"/>
      <w:szCs w:val="18"/>
    </w:rPr>
  </w:style>
  <w:style w:type="character" w:customStyle="1" w:styleId="49">
    <w:name w:val="批注文字 字符"/>
    <w:link w:val="10"/>
    <w:qFormat/>
    <w:uiPriority w:val="0"/>
    <w:rPr>
      <w:rFonts w:ascii="Calibri" w:hAnsi="Calibri" w:eastAsia="宋体" w:cs="宋体"/>
      <w:kern w:val="2"/>
      <w:sz w:val="21"/>
      <w:szCs w:val="24"/>
    </w:rPr>
  </w:style>
  <w:style w:type="character" w:customStyle="1" w:styleId="50">
    <w:name w:val="纯文本 字符"/>
    <w:link w:val="15"/>
    <w:qFormat/>
    <w:uiPriority w:val="0"/>
    <w:rPr>
      <w:rFonts w:ascii="宋体" w:hAnsi="Courier New" w:eastAsia="宋体" w:cs="宋体"/>
      <w:kern w:val="2"/>
      <w:sz w:val="21"/>
      <w:lang w:val="en-US" w:eastAsia="zh-CN" w:bidi="ar-SA"/>
    </w:rPr>
  </w:style>
  <w:style w:type="character" w:customStyle="1" w:styleId="51">
    <w:name w:val="标题 字符"/>
    <w:link w:val="30"/>
    <w:qFormat/>
    <w:locked/>
    <w:uiPriority w:val="0"/>
    <w:rPr>
      <w:rFonts w:ascii="Calibri" w:hAnsi="Calibri" w:cs="宋体"/>
      <w:b/>
      <w:sz w:val="24"/>
      <w:szCs w:val="24"/>
      <w:lang w:val="en-GB"/>
    </w:rPr>
  </w:style>
  <w:style w:type="character" w:customStyle="1" w:styleId="52">
    <w:name w:val="批注主题 字符"/>
    <w:link w:val="31"/>
    <w:qFormat/>
    <w:uiPriority w:val="0"/>
    <w:rPr>
      <w:rFonts w:ascii="Calibri" w:hAnsi="Calibri" w:eastAsia="宋体" w:cs="宋体"/>
      <w:b/>
      <w:bCs/>
      <w:kern w:val="2"/>
      <w:sz w:val="21"/>
      <w:szCs w:val="24"/>
    </w:rPr>
  </w:style>
  <w:style w:type="character" w:customStyle="1" w:styleId="53">
    <w:name w:val="无"/>
    <w:qFormat/>
    <w:uiPriority w:val="0"/>
    <w:rPr>
      <w:rFonts w:ascii="Calibri" w:hAnsi="Calibri" w:eastAsia="宋体" w:cs="宋体"/>
    </w:rPr>
  </w:style>
  <w:style w:type="paragraph" w:styleId="54">
    <w:name w:val="List Paragraph"/>
    <w:basedOn w:val="1"/>
    <w:qFormat/>
    <w:uiPriority w:val="34"/>
    <w:pPr>
      <w:ind w:firstLine="420" w:firstLineChars="200"/>
    </w:pPr>
    <w:rPr>
      <w:rFonts w:ascii="Calibri" w:hAnsi="Calibri"/>
      <w:szCs w:val="22"/>
    </w:rPr>
  </w:style>
  <w:style w:type="paragraph" w:customStyle="1" w:styleId="55">
    <w:name w:val="正"/>
    <w:qFormat/>
    <w:uiPriority w:val="0"/>
    <w:pPr>
      <w:widowControl w:val="0"/>
      <w:spacing w:line="360" w:lineRule="auto"/>
      <w:ind w:firstLine="480" w:firstLineChars="200"/>
      <w:jc w:val="both"/>
    </w:pPr>
    <w:rPr>
      <w:rFonts w:ascii="Times New Roman" w:hAnsi="Times New Roman" w:eastAsia="宋体" w:cs="Times New Roman"/>
      <w:sz w:val="24"/>
      <w:szCs w:val="24"/>
      <w:lang w:val="en-US" w:eastAsia="zh-CN" w:bidi="ar-SA"/>
    </w:rPr>
  </w:style>
  <w:style w:type="paragraph" w:customStyle="1" w:styleId="56">
    <w:name w:val="HTML 预设格式1"/>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Courier New" w:cs="宋体"/>
    </w:rPr>
  </w:style>
  <w:style w:type="paragraph" w:customStyle="1" w:styleId="57">
    <w:name w:val="Char Char Char Char Char Char"/>
    <w:basedOn w:val="1"/>
    <w:qFormat/>
    <w:uiPriority w:val="0"/>
    <w:pPr>
      <w:ind w:firstLine="200" w:firstLineChars="200"/>
    </w:pPr>
    <w:rPr>
      <w:rFonts w:ascii="Tahoma" w:hAnsi="Tahoma" w:cs="Tahoma"/>
      <w:sz w:val="24"/>
    </w:rPr>
  </w:style>
  <w:style w:type="paragraph" w:customStyle="1" w:styleId="58">
    <w:name w:val="_Style 18"/>
    <w:basedOn w:val="1"/>
    <w:qFormat/>
    <w:uiPriority w:val="0"/>
    <w:pPr>
      <w:ind w:firstLine="420" w:firstLineChars="200"/>
    </w:pPr>
    <w:rPr>
      <w:rFonts w:ascii="Calibri" w:hAnsi="Calibri" w:cs="宋体"/>
    </w:rPr>
  </w:style>
  <w:style w:type="paragraph" w:customStyle="1" w:styleId="59">
    <w:name w:val="样式1"/>
    <w:basedOn w:val="1"/>
    <w:qFormat/>
    <w:uiPriority w:val="0"/>
    <w:pPr>
      <w:spacing w:line="360" w:lineRule="exact"/>
      <w:ind w:firstLine="200" w:firstLineChars="200"/>
    </w:pPr>
    <w:rPr>
      <w:rFonts w:ascii="Arial" w:hAnsi="Arial" w:cs="宋体"/>
    </w:rPr>
  </w:style>
  <w:style w:type="paragraph" w:customStyle="1" w:styleId="60">
    <w:name w:val="_Style 50"/>
    <w:unhideWhenUsed/>
    <w:qFormat/>
    <w:uiPriority w:val="99"/>
    <w:rPr>
      <w:rFonts w:ascii="Times New Roman" w:hAnsi="Times New Roman" w:eastAsia="宋体" w:cs="Times New Roman"/>
      <w:kern w:val="2"/>
      <w:sz w:val="21"/>
      <w:szCs w:val="24"/>
      <w:lang w:val="en-US" w:eastAsia="zh-CN" w:bidi="ar-SA"/>
    </w:rPr>
  </w:style>
  <w:style w:type="paragraph" w:customStyle="1" w:styleId="61">
    <w:name w:val="2级标题"/>
    <w:basedOn w:val="1"/>
    <w:next w:val="1"/>
    <w:qFormat/>
    <w:uiPriority w:val="0"/>
    <w:pPr>
      <w:numPr>
        <w:ilvl w:val="1"/>
        <w:numId w:val="3"/>
      </w:numPr>
      <w:spacing w:line="360" w:lineRule="auto"/>
      <w:outlineLvl w:val="1"/>
    </w:pPr>
    <w:rPr>
      <w:rFonts w:ascii="宋体" w:hAnsi="宋体"/>
      <w:b/>
      <w:sz w:val="24"/>
      <w:szCs w:val="28"/>
    </w:rPr>
  </w:style>
  <w:style w:type="paragraph" w:customStyle="1" w:styleId="62">
    <w:name w:val="3级标题"/>
    <w:basedOn w:val="61"/>
    <w:next w:val="1"/>
    <w:qFormat/>
    <w:uiPriority w:val="0"/>
    <w:pPr>
      <w:numPr>
        <w:ilvl w:val="2"/>
      </w:numPr>
      <w:outlineLvl w:val="2"/>
    </w:pPr>
  </w:style>
  <w:style w:type="paragraph" w:customStyle="1" w:styleId="63">
    <w:name w:val="Plain Text1"/>
    <w:basedOn w:val="1"/>
    <w:qFormat/>
    <w:uiPriority w:val="0"/>
    <w:pPr>
      <w:adjustRightInd w:val="0"/>
      <w:textAlignment w:val="baseline"/>
    </w:pPr>
    <w:rPr>
      <w:rFonts w:ascii="宋体" w:hAnsi="Courier New" w:eastAsia="楷体_GB2312" w:cs="宋体"/>
      <w:sz w:val="26"/>
    </w:rPr>
  </w:style>
  <w:style w:type="paragraph" w:customStyle="1" w:styleId="64">
    <w:name w:val="Heading1"/>
    <w:basedOn w:val="1"/>
    <w:next w:val="1"/>
    <w:qFormat/>
    <w:uiPriority w:val="0"/>
    <w:pPr>
      <w:keepNext/>
      <w:keepLines/>
      <w:spacing w:before="340" w:after="330" w:line="578" w:lineRule="auto"/>
      <w:jc w:val="center"/>
      <w:textAlignment w:val="baseline"/>
    </w:pPr>
    <w:rPr>
      <w:rFonts w:ascii="Calibri" w:hAnsi="Calibri"/>
      <w:b/>
      <w:bCs/>
      <w:kern w:val="44"/>
      <w:sz w:val="32"/>
      <w:szCs w:val="44"/>
    </w:rPr>
  </w:style>
  <w:style w:type="paragraph" w:customStyle="1" w:styleId="65">
    <w:name w:val="纯文本1"/>
    <w:basedOn w:val="1"/>
    <w:qFormat/>
    <w:uiPriority w:val="0"/>
    <w:pPr>
      <w:adjustRightInd w:val="0"/>
      <w:textAlignment w:val="baseline"/>
    </w:pPr>
    <w:rPr>
      <w:rFonts w:ascii="宋体" w:hAnsi="Courier New" w:eastAsia="楷体_GB2312" w:cs="宋体"/>
      <w:sz w:val="26"/>
    </w:rPr>
  </w:style>
  <w:style w:type="paragraph" w:customStyle="1" w:styleId="66">
    <w:name w:val="正文 A"/>
    <w:qFormat/>
    <w:uiPriority w:val="0"/>
    <w:pPr>
      <w:widowControl w:val="0"/>
      <w:jc w:val="both"/>
    </w:pPr>
    <w:rPr>
      <w:rFonts w:ascii="Times New Roman" w:hAnsi="Times New Roman" w:eastAsia="宋体" w:cs="Times New Roman"/>
      <w:color w:val="000000"/>
      <w:kern w:val="2"/>
      <w:sz w:val="28"/>
      <w:szCs w:val="28"/>
      <w:u w:color="000000"/>
      <w:lang w:val="en-US" w:eastAsia="zh-CN" w:bidi="ar-SA"/>
    </w:rPr>
  </w:style>
  <w:style w:type="paragraph" w:customStyle="1" w:styleId="67">
    <w:name w:val="表头文本"/>
    <w:basedOn w:val="1"/>
    <w:qFormat/>
    <w:uiPriority w:val="0"/>
    <w:pPr>
      <w:autoSpaceDE w:val="0"/>
      <w:autoSpaceDN w:val="0"/>
      <w:adjustRightInd w:val="0"/>
      <w:jc w:val="center"/>
    </w:pPr>
    <w:rPr>
      <w:rFonts w:ascii="Calibri" w:hAnsi="Calibri" w:cs="宋体"/>
      <w:b/>
      <w:kern w:val="0"/>
      <w:sz w:val="24"/>
    </w:rPr>
  </w:style>
  <w:style w:type="paragraph" w:customStyle="1" w:styleId="68">
    <w:name w:val="_Style 1"/>
    <w:basedOn w:val="1"/>
    <w:qFormat/>
    <w:uiPriority w:val="0"/>
    <w:pPr>
      <w:ind w:firstLine="420" w:firstLineChars="200"/>
    </w:pPr>
    <w:rPr>
      <w:rFonts w:ascii="Calibri" w:hAnsi="Calibri" w:cs="宋体"/>
    </w:rPr>
  </w:style>
  <w:style w:type="paragraph" w:customStyle="1" w:styleId="69">
    <w:name w:val="正文2"/>
    <w:basedOn w:val="1"/>
    <w:qFormat/>
    <w:uiPriority w:val="0"/>
    <w:pPr>
      <w:spacing w:before="156" w:line="360" w:lineRule="auto"/>
      <w:ind w:firstLine="510" w:firstLineChars="200"/>
    </w:pPr>
    <w:rPr>
      <w:rFonts w:ascii="Calibri" w:hAnsi="Calibri" w:cs="宋体"/>
      <w:sz w:val="24"/>
    </w:rPr>
  </w:style>
  <w:style w:type="paragraph" w:customStyle="1" w:styleId="70">
    <w:name w:val="条文1"/>
    <w:basedOn w:val="1"/>
    <w:qFormat/>
    <w:uiPriority w:val="0"/>
    <w:pPr>
      <w:numPr>
        <w:ilvl w:val="0"/>
        <w:numId w:val="4"/>
      </w:numPr>
      <w:tabs>
        <w:tab w:val="left" w:pos="720"/>
        <w:tab w:val="clear" w:pos="1365"/>
      </w:tabs>
      <w:spacing w:line="360" w:lineRule="auto"/>
    </w:pPr>
    <w:rPr>
      <w:rFonts w:ascii="MS UI Gothic" w:hAnsi="MS UI Gothic" w:cs="宋体"/>
      <w:kern w:val="44"/>
      <w:sz w:val="24"/>
    </w:rPr>
  </w:style>
  <w:style w:type="paragraph" w:customStyle="1" w:styleId="71">
    <w:name w:val="彩色列表 - 强调文字颜色 11"/>
    <w:basedOn w:val="1"/>
    <w:qFormat/>
    <w:uiPriority w:val="0"/>
    <w:pPr>
      <w:ind w:firstLine="420" w:firstLineChars="200"/>
    </w:pPr>
    <w:rPr>
      <w:rFonts w:ascii="Calibri" w:hAnsi="Calibri" w:cs="宋体"/>
      <w:szCs w:val="22"/>
    </w:rPr>
  </w:style>
  <w:style w:type="paragraph" w:customStyle="1" w:styleId="72">
    <w:name w:val="Char Char Char Char Char Char Char Char Char Char Char Char Char Char Char Char Char Char Char Char Char Char Char Char Char"/>
    <w:basedOn w:val="1"/>
    <w:qFormat/>
    <w:uiPriority w:val="0"/>
    <w:rPr>
      <w:rFonts w:ascii="Tahoma" w:hAnsi="Tahoma" w:cs="宋体"/>
      <w:sz w:val="24"/>
      <w:szCs w:val="20"/>
    </w:rPr>
  </w:style>
  <w:style w:type="paragraph" w:customStyle="1" w:styleId="73">
    <w:name w:val="列出段落1"/>
    <w:basedOn w:val="1"/>
    <w:qFormat/>
    <w:uiPriority w:val="0"/>
    <w:pPr>
      <w:ind w:firstLine="420" w:firstLineChars="200"/>
    </w:pPr>
    <w:rPr>
      <w:szCs w:val="20"/>
    </w:rPr>
  </w:style>
  <w:style w:type="paragraph" w:customStyle="1" w:styleId="74">
    <w:name w:val="正文段"/>
    <w:basedOn w:val="1"/>
    <w:qFormat/>
    <w:uiPriority w:val="0"/>
    <w:pPr>
      <w:widowControl/>
      <w:snapToGrid w:val="0"/>
      <w:spacing w:after="156" w:afterLines="50"/>
      <w:ind w:firstLine="200" w:firstLineChars="200"/>
    </w:pPr>
    <w:rPr>
      <w:rFonts w:ascii="Calibri" w:hAnsi="Calibri" w:cs="宋体"/>
      <w:kern w:val="0"/>
      <w:sz w:val="24"/>
      <w:szCs w:val="20"/>
    </w:rPr>
  </w:style>
  <w:style w:type="paragraph" w:customStyle="1" w:styleId="75">
    <w:name w:val="4级标题"/>
    <w:basedOn w:val="62"/>
    <w:next w:val="1"/>
    <w:qFormat/>
    <w:uiPriority w:val="0"/>
    <w:pPr>
      <w:numPr>
        <w:ilvl w:val="3"/>
      </w:numPr>
      <w:adjustRightInd w:val="0"/>
      <w:outlineLvl w:val="3"/>
    </w:pPr>
  </w:style>
  <w:style w:type="paragraph" w:customStyle="1" w:styleId="76">
    <w:name w:val="DAS正文"/>
    <w:basedOn w:val="1"/>
    <w:qFormat/>
    <w:uiPriority w:val="0"/>
    <w:pPr>
      <w:spacing w:line="360" w:lineRule="auto"/>
      <w:ind w:right="181" w:firstLine="480" w:firstLineChars="200"/>
    </w:pPr>
    <w:rPr>
      <w:rFonts w:ascii="Verdana" w:hAnsi="Verdana"/>
      <w:szCs w:val="20"/>
    </w:rPr>
  </w:style>
  <w:style w:type="character" w:customStyle="1" w:styleId="77">
    <w:name w:val="font71"/>
    <w:basedOn w:val="36"/>
    <w:qFormat/>
    <w:uiPriority w:val="0"/>
    <w:rPr>
      <w:rFonts w:hint="eastAsia" w:ascii="宋体" w:hAnsi="宋体" w:eastAsia="宋体" w:cs="宋体"/>
      <w:color w:val="000000"/>
      <w:sz w:val="20"/>
      <w:szCs w:val="20"/>
      <w:u w:val="none"/>
    </w:rPr>
  </w:style>
  <w:style w:type="paragraph" w:customStyle="1" w:styleId="78">
    <w:name w:val="正文段落"/>
    <w:basedOn w:val="1"/>
    <w:qFormat/>
    <w:uiPriority w:val="0"/>
    <w:pPr>
      <w:spacing w:line="360" w:lineRule="auto"/>
      <w:ind w:firstLine="883" w:firstLineChars="200"/>
      <w:jc w:val="left"/>
    </w:pPr>
    <w:rPr>
      <w:rFonts w:cs="宋体"/>
    </w:rPr>
  </w:style>
  <w:style w:type="character" w:customStyle="1" w:styleId="79">
    <w:name w:val="标题 3 Char"/>
    <w:qFormat/>
    <w:uiPriority w:val="0"/>
    <w:rPr>
      <w:b/>
      <w:sz w:val="32"/>
      <w:lang w:val="zh-CN" w:eastAsia="zh-CN"/>
    </w:rPr>
  </w:style>
  <w:style w:type="paragraph" w:styleId="80">
    <w:name w:val="No Spacing"/>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customStyle="1" w:styleId="81">
    <w:name w:val="font11"/>
    <w:basedOn w:val="36"/>
    <w:qFormat/>
    <w:uiPriority w:val="0"/>
    <w:rPr>
      <w:rFonts w:hint="eastAsia" w:ascii="宋体" w:hAnsi="宋体" w:eastAsia="宋体" w:cs="宋体"/>
      <w:color w:val="000000"/>
      <w:sz w:val="18"/>
      <w:szCs w:val="18"/>
      <w:u w:val="none"/>
    </w:rPr>
  </w:style>
  <w:style w:type="character" w:customStyle="1" w:styleId="82">
    <w:name w:val="font61"/>
    <w:basedOn w:val="36"/>
    <w:qFormat/>
    <w:uiPriority w:val="0"/>
    <w:rPr>
      <w:rFonts w:hint="eastAsia" w:ascii="宋体" w:hAnsi="宋体" w:eastAsia="宋体" w:cs="宋体"/>
      <w:color w:val="FF0000"/>
      <w:sz w:val="24"/>
      <w:szCs w:val="24"/>
      <w:u w:val="none"/>
    </w:rPr>
  </w:style>
  <w:style w:type="paragraph" w:customStyle="1" w:styleId="83">
    <w:name w:val="_Style 3"/>
    <w:basedOn w:val="13"/>
    <w:unhideWhenUsed/>
    <w:qFormat/>
    <w:uiPriority w:val="99"/>
    <w:pPr>
      <w:ind w:firstLine="420" w:firstLineChars="200"/>
    </w:pPr>
  </w:style>
  <w:style w:type="character" w:customStyle="1" w:styleId="84">
    <w:name w:val="16"/>
    <w:qFormat/>
    <w:uiPriority w:val="0"/>
    <w:rPr>
      <w:rFonts w:hint="default" w:ascii="Times New Roman" w:hAnsi="Times New Roman" w:eastAsia="宋体" w:cs="Times New Roman"/>
      <w:kern w:val="2"/>
      <w:sz w:val="21"/>
      <w:szCs w:val="21"/>
    </w:rPr>
  </w:style>
  <w:style w:type="character" w:customStyle="1" w:styleId="85">
    <w:name w:val="NormalCharacter"/>
    <w:semiHidden/>
    <w:qFormat/>
    <w:uiPriority w:val="0"/>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64</Pages>
  <Words>18421</Words>
  <Characters>19132</Characters>
  <Lines>305</Lines>
  <Paragraphs>86</Paragraphs>
  <TotalTime>4</TotalTime>
  <ScaleCrop>false</ScaleCrop>
  <LinksUpToDate>false</LinksUpToDate>
  <CharactersWithSpaces>19247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2021-06-21T04:14:00Z</dcterms:created>
  <dc:creator>杜娟</dc:creator>
  <cp:lastModifiedBy>嵊泗黄健</cp:lastModifiedBy>
  <cp:lastPrinted>2021-04-25T02:30:00Z</cp:lastPrinted>
  <dcterms:modified xsi:type="dcterms:W3CDTF">2025-03-28T08:47:05Z</dcterms:modified>
  <dc:title>南湖区市场监管局食品安全风险评估</dc:title>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812A31563C064DEF82A01775D5DFE200_13</vt:lpwstr>
  </property>
  <property fmtid="{D5CDD505-2E9C-101B-9397-08002B2CF9AE}" pid="4" name="KSOTemplateDocerSaveRecord">
    <vt:lpwstr>eyJoZGlkIjoiNjM1OTBiZmRkNTUyMDlhMWY2NGI2Yjg2ZGFlMmE0ZjAiLCJ1c2VySWQiOiI0MzQ2MzU4NzAifQ==</vt:lpwstr>
  </property>
</Properties>
</file>