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7A4AC2">
      <w:pPr>
        <w:rPr>
          <w:color w:val="auto"/>
          <w:highlight w:val="none"/>
        </w:rPr>
      </w:pPr>
    </w:p>
    <w:p w14:paraId="5685242D">
      <w:pPr>
        <w:jc w:val="center"/>
        <w:outlineLvl w:val="0"/>
        <w:rPr>
          <w:rFonts w:hint="default"/>
          <w:color w:val="auto"/>
          <w:sz w:val="52"/>
          <w:szCs w:val="52"/>
          <w:highlight w:val="none"/>
          <w:lang w:val="en-US"/>
        </w:rPr>
      </w:pPr>
      <w:r>
        <w:rPr>
          <w:rFonts w:hint="eastAsia"/>
          <w:color w:val="auto"/>
          <w:sz w:val="52"/>
          <w:szCs w:val="52"/>
          <w:highlight w:val="none"/>
          <w:lang w:val="en-US" w:eastAsia="zh-CN"/>
        </w:rPr>
        <w:t>2025年度岱山县高亭城区市政公用设施维修工程（重新招标）</w:t>
      </w:r>
    </w:p>
    <w:p w14:paraId="584D0739">
      <w:pPr>
        <w:pStyle w:val="13"/>
        <w:snapToGrid w:val="0"/>
        <w:spacing w:before="120" w:after="120" w:line="360" w:lineRule="auto"/>
        <w:jc w:val="center"/>
        <w:rPr>
          <w:rFonts w:hint="eastAsia" w:hAnsi="宋体" w:eastAsia="宋体" w:cs="宋体"/>
          <w:bCs/>
          <w:color w:val="auto"/>
          <w:sz w:val="84"/>
          <w:szCs w:val="84"/>
          <w:highlight w:val="none"/>
        </w:rPr>
      </w:pPr>
    </w:p>
    <w:p w14:paraId="61E1F84C">
      <w:pPr>
        <w:pStyle w:val="13"/>
        <w:snapToGrid w:val="0"/>
        <w:spacing w:before="120" w:after="120" w:line="360" w:lineRule="auto"/>
        <w:jc w:val="center"/>
        <w:rPr>
          <w:rFonts w:hAnsi="宋体" w:eastAsia="宋体" w:cs="宋体"/>
          <w:b/>
          <w:color w:val="auto"/>
          <w:sz w:val="24"/>
          <w:szCs w:val="24"/>
          <w:highlight w:val="none"/>
        </w:rPr>
      </w:pPr>
      <w:r>
        <w:rPr>
          <w:rFonts w:hint="eastAsia" w:hAnsi="宋体" w:eastAsia="宋体" w:cs="宋体"/>
          <w:bCs/>
          <w:color w:val="auto"/>
          <w:sz w:val="84"/>
          <w:szCs w:val="84"/>
          <w:highlight w:val="none"/>
        </w:rPr>
        <w:t>磋商文件</w:t>
      </w:r>
    </w:p>
    <w:p w14:paraId="09665A76">
      <w:pPr>
        <w:bidi w:val="0"/>
        <w:rPr>
          <w:color w:val="auto"/>
        </w:rPr>
      </w:pPr>
    </w:p>
    <w:p w14:paraId="036C08EB">
      <w:pPr>
        <w:rPr>
          <w:color w:val="auto"/>
        </w:rPr>
      </w:pPr>
    </w:p>
    <w:p w14:paraId="6EDF7962">
      <w:pPr>
        <w:pStyle w:val="13"/>
        <w:snapToGrid w:val="0"/>
        <w:spacing w:before="120" w:after="120" w:line="360" w:lineRule="auto"/>
        <w:rPr>
          <w:rFonts w:hAnsi="宋体" w:eastAsia="宋体" w:cs="宋体"/>
          <w:b/>
          <w:color w:val="auto"/>
          <w:sz w:val="24"/>
          <w:szCs w:val="24"/>
          <w:highlight w:val="none"/>
        </w:rPr>
      </w:pPr>
    </w:p>
    <w:p w14:paraId="5E1901FF">
      <w:pPr>
        <w:pStyle w:val="59"/>
        <w:widowControl w:val="0"/>
        <w:spacing w:line="720" w:lineRule="auto"/>
        <w:ind w:firstLine="1960" w:firstLineChars="700"/>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t>项目编号：</w:t>
      </w:r>
      <w:r>
        <w:rPr>
          <w:rFonts w:hint="eastAsia" w:ascii="宋体" w:hAnsi="宋体" w:cs="宋体"/>
          <w:color w:val="auto"/>
          <w:sz w:val="28"/>
          <w:szCs w:val="28"/>
          <w:highlight w:val="none"/>
          <w:lang w:eastAsia="zh-CN"/>
        </w:rPr>
        <w:t>ZSBC-2024-172-01</w:t>
      </w:r>
    </w:p>
    <w:p w14:paraId="4640F03B">
      <w:pPr>
        <w:pStyle w:val="59"/>
        <w:widowControl w:val="0"/>
        <w:spacing w:line="720" w:lineRule="auto"/>
        <w:ind w:left="3355" w:leftChars="931" w:hanging="1400" w:hangingChars="500"/>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rPr>
        <w:t>项目名称：</w:t>
      </w:r>
      <w:r>
        <w:rPr>
          <w:rFonts w:hint="eastAsia" w:ascii="宋体" w:hAnsi="宋体" w:cs="宋体"/>
          <w:color w:val="auto"/>
          <w:sz w:val="28"/>
          <w:szCs w:val="28"/>
          <w:highlight w:val="none"/>
          <w:lang w:eastAsia="zh-CN"/>
        </w:rPr>
        <w:t>2025年度岱山县高亭城区市政公用设施维修工程（</w:t>
      </w:r>
      <w:r>
        <w:rPr>
          <w:rFonts w:hint="eastAsia" w:ascii="宋体" w:hAnsi="宋体" w:cs="宋体"/>
          <w:color w:val="auto"/>
          <w:sz w:val="28"/>
          <w:szCs w:val="28"/>
          <w:highlight w:val="none"/>
          <w:lang w:val="en-US" w:eastAsia="zh-CN"/>
        </w:rPr>
        <w:t>重新招标</w:t>
      </w:r>
      <w:r>
        <w:rPr>
          <w:rFonts w:hint="eastAsia" w:ascii="宋体" w:hAnsi="宋体" w:cs="宋体"/>
          <w:color w:val="auto"/>
          <w:sz w:val="28"/>
          <w:szCs w:val="28"/>
          <w:highlight w:val="none"/>
          <w:lang w:eastAsia="zh-CN"/>
        </w:rPr>
        <w:t>）</w:t>
      </w:r>
    </w:p>
    <w:p w14:paraId="1C6DA636">
      <w:pPr>
        <w:spacing w:line="720" w:lineRule="auto"/>
        <w:ind w:firstLine="1960" w:firstLineChars="700"/>
        <w:rPr>
          <w:rFonts w:ascii="宋体" w:hAnsi="宋体" w:cs="宋体"/>
          <w:color w:val="auto"/>
          <w:sz w:val="28"/>
          <w:szCs w:val="28"/>
          <w:highlight w:val="none"/>
        </w:rPr>
      </w:pPr>
      <w:r>
        <w:rPr>
          <w:rFonts w:hint="eastAsia" w:ascii="宋体" w:hAnsi="宋体" w:cs="宋体"/>
          <w:color w:val="auto"/>
          <w:sz w:val="28"/>
          <w:szCs w:val="28"/>
          <w:highlight w:val="none"/>
        </w:rPr>
        <w:t>采 购 人：</w:t>
      </w:r>
      <w:r>
        <w:rPr>
          <w:rFonts w:hint="eastAsia" w:ascii="宋体" w:hAnsi="宋体" w:cs="宋体"/>
          <w:color w:val="auto"/>
          <w:sz w:val="28"/>
          <w:szCs w:val="28"/>
          <w:highlight w:val="none"/>
          <w:lang w:eastAsia="zh-CN"/>
        </w:rPr>
        <w:t>岱山县市政和园林绿化管理处</w:t>
      </w:r>
      <w:r>
        <w:rPr>
          <w:rFonts w:hint="eastAsia" w:ascii="宋体" w:hAnsi="宋体" w:cs="宋体"/>
          <w:color w:val="auto"/>
          <w:sz w:val="28"/>
          <w:szCs w:val="28"/>
          <w:highlight w:val="none"/>
        </w:rPr>
        <w:t>（盖章）</w:t>
      </w:r>
    </w:p>
    <w:p w14:paraId="3C2A4112">
      <w:pPr>
        <w:spacing w:line="720" w:lineRule="auto"/>
        <w:ind w:firstLine="1960" w:firstLineChars="700"/>
        <w:rPr>
          <w:rFonts w:ascii="宋体" w:hAnsi="宋体" w:cs="宋体"/>
          <w:color w:val="auto"/>
          <w:sz w:val="28"/>
          <w:szCs w:val="28"/>
          <w:highlight w:val="none"/>
        </w:rPr>
      </w:pPr>
      <w:r>
        <w:rPr>
          <w:rFonts w:hint="eastAsia" w:ascii="宋体" w:hAnsi="宋体" w:cs="宋体"/>
          <w:color w:val="auto"/>
          <w:sz w:val="28"/>
          <w:szCs w:val="28"/>
          <w:highlight w:val="none"/>
        </w:rPr>
        <w:t>代理机构：</w:t>
      </w:r>
      <w:r>
        <w:rPr>
          <w:rFonts w:hint="eastAsia" w:ascii="宋体" w:hAnsi="宋体" w:cs="宋体"/>
          <w:color w:val="auto"/>
          <w:sz w:val="28"/>
          <w:szCs w:val="28"/>
          <w:highlight w:val="none"/>
          <w:lang w:eastAsia="zh-CN"/>
        </w:rPr>
        <w:t>舟山市博琛建设工程管理有限公司</w:t>
      </w:r>
      <w:r>
        <w:rPr>
          <w:rFonts w:hint="eastAsia" w:ascii="宋体" w:hAnsi="宋体" w:cs="宋体"/>
          <w:color w:val="auto"/>
          <w:sz w:val="28"/>
          <w:szCs w:val="28"/>
          <w:highlight w:val="none"/>
        </w:rPr>
        <w:t>（盖章）</w:t>
      </w:r>
    </w:p>
    <w:p w14:paraId="68FCF91E">
      <w:pPr>
        <w:pStyle w:val="13"/>
        <w:spacing w:before="120" w:after="120" w:line="360" w:lineRule="auto"/>
        <w:ind w:firstLine="1960" w:firstLineChars="700"/>
        <w:rPr>
          <w:rFonts w:hint="eastAsia" w:ascii="宋体" w:hAnsi="宋体" w:eastAsia="宋体" w:cs="宋体"/>
          <w:color w:val="auto"/>
          <w:sz w:val="28"/>
          <w:szCs w:val="28"/>
          <w:highlight w:val="none"/>
        </w:rPr>
      </w:pPr>
      <w:r>
        <w:rPr>
          <w:rFonts w:hint="eastAsia" w:hAnsi="宋体" w:eastAsia="宋体" w:cs="宋体"/>
          <w:bCs/>
          <w:color w:val="auto"/>
          <w:sz w:val="28"/>
          <w:szCs w:val="28"/>
          <w:highlight w:val="none"/>
        </w:rPr>
        <w:t>日    期：</w:t>
      </w:r>
      <w:r>
        <w:rPr>
          <w:rFonts w:hint="eastAsia" w:ascii="宋体" w:hAnsi="宋体" w:eastAsia="宋体" w:cs="宋体"/>
          <w:i w:val="0"/>
          <w:iCs w:val="0"/>
          <w:caps w:val="0"/>
          <w:color w:val="auto"/>
          <w:spacing w:val="0"/>
          <w:kern w:val="0"/>
          <w:sz w:val="28"/>
          <w:szCs w:val="28"/>
          <w:lang w:val="en-US" w:eastAsia="zh-CN" w:bidi="ar-SA"/>
        </w:rPr>
        <w:t>二〇二</w:t>
      </w:r>
      <w:r>
        <w:rPr>
          <w:rFonts w:hint="eastAsia" w:hAnsi="宋体" w:eastAsia="宋体" w:cs="宋体"/>
          <w:i w:val="0"/>
          <w:iCs w:val="0"/>
          <w:caps w:val="0"/>
          <w:color w:val="auto"/>
          <w:spacing w:val="0"/>
          <w:kern w:val="0"/>
          <w:sz w:val="28"/>
          <w:szCs w:val="28"/>
          <w:lang w:val="en-US" w:eastAsia="zh-CN" w:bidi="ar-SA"/>
        </w:rPr>
        <w:t>四</w:t>
      </w:r>
      <w:r>
        <w:rPr>
          <w:rFonts w:hint="eastAsia" w:ascii="宋体" w:hAnsi="宋体" w:eastAsia="宋体" w:cs="宋体"/>
          <w:i w:val="0"/>
          <w:iCs w:val="0"/>
          <w:caps w:val="0"/>
          <w:color w:val="auto"/>
          <w:spacing w:val="0"/>
          <w:kern w:val="0"/>
          <w:sz w:val="28"/>
          <w:szCs w:val="28"/>
          <w:lang w:val="en-US" w:eastAsia="zh-CN" w:bidi="ar-SA"/>
        </w:rPr>
        <w:t>年</w:t>
      </w:r>
      <w:r>
        <w:rPr>
          <w:rFonts w:hint="eastAsia" w:hAnsi="宋体" w:eastAsia="宋体" w:cs="宋体"/>
          <w:i w:val="0"/>
          <w:iCs w:val="0"/>
          <w:caps w:val="0"/>
          <w:color w:val="auto"/>
          <w:spacing w:val="0"/>
          <w:kern w:val="0"/>
          <w:sz w:val="28"/>
          <w:szCs w:val="28"/>
          <w:lang w:val="en-US" w:eastAsia="zh-CN" w:bidi="ar-SA"/>
        </w:rPr>
        <w:t>十二</w:t>
      </w:r>
      <w:r>
        <w:rPr>
          <w:rFonts w:hint="eastAsia" w:ascii="宋体" w:hAnsi="宋体" w:eastAsia="宋体" w:cs="宋体"/>
          <w:i w:val="0"/>
          <w:iCs w:val="0"/>
          <w:caps w:val="0"/>
          <w:color w:val="auto"/>
          <w:spacing w:val="0"/>
          <w:kern w:val="0"/>
          <w:sz w:val="28"/>
          <w:szCs w:val="28"/>
          <w:lang w:val="en-US" w:eastAsia="zh-CN" w:bidi="ar-SA"/>
        </w:rPr>
        <w:t>月</w:t>
      </w:r>
    </w:p>
    <w:p w14:paraId="10FE50EF">
      <w:pPr>
        <w:pStyle w:val="13"/>
        <w:spacing w:before="120" w:after="120" w:line="600" w:lineRule="auto"/>
        <w:rPr>
          <w:rFonts w:hAnsi="宋体" w:eastAsia="宋体" w:cs="宋体"/>
          <w:color w:val="auto"/>
          <w:sz w:val="24"/>
          <w:szCs w:val="24"/>
          <w:highlight w:val="none"/>
        </w:rPr>
      </w:pPr>
    </w:p>
    <w:p w14:paraId="24BCB147">
      <w:pPr>
        <w:pStyle w:val="13"/>
        <w:spacing w:before="120" w:after="120" w:line="600" w:lineRule="auto"/>
        <w:jc w:val="center"/>
        <w:rPr>
          <w:rFonts w:hAnsi="宋体" w:eastAsia="宋体" w:cs="宋体"/>
          <w:color w:val="auto"/>
          <w:sz w:val="36"/>
          <w:szCs w:val="36"/>
          <w:highlight w:val="none"/>
        </w:rPr>
        <w:sectPr>
          <w:headerReference r:id="rId4" w:type="first"/>
          <w:headerReference r:id="rId3" w:type="default"/>
          <w:pgSz w:w="11906" w:h="16838"/>
          <w:pgMar w:top="1531" w:right="992" w:bottom="737" w:left="992" w:header="851" w:footer="584" w:gutter="0"/>
          <w:pgBorders>
            <w:top w:val="none" w:sz="0" w:space="0"/>
            <w:left w:val="none" w:sz="0" w:space="0"/>
            <w:bottom w:val="none" w:sz="0" w:space="0"/>
            <w:right w:val="none" w:sz="0" w:space="0"/>
          </w:pgBorders>
          <w:cols w:space="720" w:num="1"/>
          <w:titlePg/>
          <w:docGrid w:type="lines" w:linePitch="312" w:charSpace="0"/>
        </w:sectPr>
      </w:pPr>
    </w:p>
    <w:p w14:paraId="4E801D5A">
      <w:pPr>
        <w:pStyle w:val="13"/>
        <w:spacing w:before="120" w:after="120" w:line="600" w:lineRule="auto"/>
        <w:jc w:val="center"/>
        <w:outlineLvl w:val="0"/>
        <w:rPr>
          <w:rFonts w:hAnsi="宋体" w:eastAsia="宋体" w:cs="宋体"/>
          <w:color w:val="auto"/>
          <w:sz w:val="36"/>
          <w:szCs w:val="36"/>
          <w:highlight w:val="none"/>
        </w:rPr>
      </w:pPr>
      <w:r>
        <w:rPr>
          <w:rFonts w:hint="eastAsia" w:hAnsi="宋体" w:eastAsia="宋体" w:cs="宋体"/>
          <w:color w:val="auto"/>
          <w:sz w:val="36"/>
          <w:szCs w:val="36"/>
          <w:highlight w:val="none"/>
        </w:rPr>
        <w:t>目    录</w:t>
      </w:r>
    </w:p>
    <w:p w14:paraId="1FAD9961">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第一章  竞争性磋商公告</w:t>
      </w:r>
    </w:p>
    <w:p w14:paraId="0B58410D">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第二章  采购需求</w:t>
      </w:r>
    </w:p>
    <w:p w14:paraId="49E2E517">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第三章  响应人须知</w:t>
      </w:r>
    </w:p>
    <w:p w14:paraId="64C6C501">
      <w:pPr>
        <w:spacing w:before="120" w:line="552" w:lineRule="auto"/>
        <w:ind w:firstLine="1960" w:firstLineChars="700"/>
        <w:rPr>
          <w:rFonts w:ascii="宋体" w:hAnsi="宋体" w:cs="宋体"/>
          <w:color w:val="auto"/>
          <w:sz w:val="28"/>
          <w:szCs w:val="28"/>
          <w:highlight w:val="none"/>
        </w:rPr>
      </w:pPr>
      <w:r>
        <w:rPr>
          <w:rFonts w:hint="eastAsia" w:ascii="宋体" w:hAnsi="宋体" w:cs="宋体"/>
          <w:color w:val="auto"/>
          <w:sz w:val="28"/>
          <w:szCs w:val="28"/>
          <w:highlight w:val="none"/>
        </w:rPr>
        <w:t xml:space="preserve">前附表 </w:t>
      </w:r>
    </w:p>
    <w:p w14:paraId="06768263">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一、总 则</w:t>
      </w:r>
    </w:p>
    <w:p w14:paraId="2D2F4E78">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二、磋商文件</w:t>
      </w:r>
    </w:p>
    <w:p w14:paraId="32F43E77">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三、响应文件的编制</w:t>
      </w:r>
    </w:p>
    <w:p w14:paraId="4E36D62A">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四、开标</w:t>
      </w:r>
    </w:p>
    <w:p w14:paraId="48BF76AB">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五、评标</w:t>
      </w:r>
    </w:p>
    <w:p w14:paraId="0BEA384C">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六、废标</w:t>
      </w:r>
    </w:p>
    <w:p w14:paraId="157ED5C7">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七、定标</w:t>
      </w:r>
    </w:p>
    <w:p w14:paraId="0851887D">
      <w:pPr>
        <w:spacing w:before="120" w:line="552" w:lineRule="auto"/>
        <w:ind w:firstLine="1400" w:firstLineChars="500"/>
        <w:rPr>
          <w:rFonts w:ascii="宋体" w:hAnsi="宋体" w:cs="宋体"/>
          <w:color w:val="auto"/>
          <w:sz w:val="28"/>
          <w:szCs w:val="28"/>
          <w:highlight w:val="none"/>
        </w:rPr>
      </w:pPr>
      <w:r>
        <w:rPr>
          <w:rFonts w:hint="eastAsia" w:ascii="宋体" w:hAnsi="宋体" w:cs="宋体"/>
          <w:color w:val="auto"/>
          <w:sz w:val="28"/>
          <w:szCs w:val="28"/>
          <w:highlight w:val="none"/>
        </w:rPr>
        <w:t>八、合同授予</w:t>
      </w:r>
    </w:p>
    <w:p w14:paraId="6F4AD975">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第四章  评标办法及标准</w:t>
      </w:r>
    </w:p>
    <w:p w14:paraId="08FCEAEE">
      <w:pPr>
        <w:spacing w:before="120" w:line="552" w:lineRule="auto"/>
        <w:ind w:firstLine="840" w:firstLineChars="300"/>
        <w:rPr>
          <w:rFonts w:ascii="宋体" w:hAnsi="宋体" w:cs="宋体"/>
          <w:color w:val="auto"/>
          <w:sz w:val="28"/>
          <w:szCs w:val="28"/>
          <w:highlight w:val="none"/>
        </w:rPr>
      </w:pPr>
      <w:r>
        <w:rPr>
          <w:rFonts w:hint="eastAsia" w:ascii="宋体" w:hAnsi="宋体" w:cs="宋体"/>
          <w:color w:val="auto"/>
          <w:sz w:val="28"/>
          <w:szCs w:val="28"/>
          <w:highlight w:val="none"/>
        </w:rPr>
        <w:t>第五章  合同主要条款</w:t>
      </w:r>
    </w:p>
    <w:p w14:paraId="71A696A0">
      <w:pPr>
        <w:spacing w:before="120" w:line="552" w:lineRule="auto"/>
        <w:ind w:firstLine="840" w:firstLineChars="300"/>
        <w:rPr>
          <w:rFonts w:ascii="宋体" w:hAnsi="宋体" w:cs="宋体"/>
          <w:color w:val="auto"/>
          <w:sz w:val="24"/>
          <w:szCs w:val="24"/>
          <w:highlight w:val="none"/>
        </w:rPr>
      </w:pPr>
      <w:r>
        <w:rPr>
          <w:rFonts w:hint="eastAsia" w:ascii="宋体" w:hAnsi="宋体" w:cs="宋体"/>
          <w:color w:val="auto"/>
          <w:sz w:val="28"/>
          <w:szCs w:val="28"/>
          <w:highlight w:val="none"/>
        </w:rPr>
        <w:t>第六章  响应文件组成</w:t>
      </w:r>
    </w:p>
    <w:p w14:paraId="18D8884E">
      <w:pPr>
        <w:jc w:val="center"/>
        <w:outlineLvl w:val="0"/>
        <w:rPr>
          <w:rFonts w:hint="eastAsia" w:asciiTheme="minorEastAsia" w:hAnsiTheme="minorEastAsia" w:eastAsiaTheme="minorEastAsia" w:cstheme="minorEastAsia"/>
          <w:b/>
          <w:color w:val="auto"/>
          <w:sz w:val="21"/>
          <w:szCs w:val="21"/>
          <w:highlight w:val="none"/>
        </w:rPr>
      </w:pPr>
      <w:r>
        <w:rPr>
          <w:rFonts w:hint="eastAsia" w:ascii="宋体" w:hAnsi="宋体" w:cs="宋体"/>
          <w:b/>
          <w:color w:val="auto"/>
          <w:sz w:val="28"/>
          <w:szCs w:val="28"/>
          <w:highlight w:val="none"/>
        </w:rPr>
        <w:br w:type="page"/>
      </w:r>
      <w:r>
        <w:rPr>
          <w:rFonts w:hint="eastAsia" w:ascii="宋体" w:hAnsi="宋体" w:cs="宋体"/>
          <w:b/>
          <w:color w:val="auto"/>
          <w:sz w:val="28"/>
          <w:szCs w:val="28"/>
          <w:highlight w:val="none"/>
        </w:rPr>
        <w:t xml:space="preserve">第一章 </w:t>
      </w:r>
      <w:bookmarkStart w:id="0" w:name="OLE_LINK3"/>
      <w:r>
        <w:rPr>
          <w:rFonts w:hint="eastAsia" w:ascii="宋体" w:hAnsi="宋体" w:cs="宋体"/>
          <w:b/>
          <w:color w:val="auto"/>
          <w:sz w:val="28"/>
          <w:szCs w:val="28"/>
          <w:highlight w:val="none"/>
        </w:rPr>
        <w:t xml:space="preserve"> </w:t>
      </w:r>
      <w:bookmarkStart w:id="1" w:name="OLE_LINK2"/>
      <w:bookmarkStart w:id="2" w:name="OLE_LINK4"/>
      <w:r>
        <w:rPr>
          <w:rFonts w:hint="eastAsia" w:ascii="宋体" w:hAnsi="宋体" w:cs="宋体"/>
          <w:b/>
          <w:color w:val="auto"/>
          <w:sz w:val="28"/>
          <w:szCs w:val="28"/>
          <w:highlight w:val="none"/>
        </w:rPr>
        <w:t>竞争性磋商公告</w:t>
      </w:r>
    </w:p>
    <w:bookmarkEnd w:id="0"/>
    <w:bookmarkEnd w:id="1"/>
    <w:bookmarkEnd w:id="2"/>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64"/>
      </w:tblGrid>
      <w:tr w14:paraId="41017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38" w:type="dxa"/>
          </w:tcPr>
          <w:p w14:paraId="2E6E36AE">
            <w:pPr>
              <w:pStyle w:val="24"/>
              <w:keepNext w:val="0"/>
              <w:keepLines w:val="0"/>
              <w:widowControl/>
              <w:suppressLineNumbers w:val="0"/>
              <w:spacing w:before="75" w:beforeAutospacing="0" w:after="150" w:afterAutospacing="0"/>
              <w:ind w:left="0" w:right="0" w:firstLine="0"/>
              <w:rPr>
                <w:rFonts w:hint="eastAsia" w:asciiTheme="minorEastAsia" w:hAnsiTheme="minorEastAsia" w:eastAsiaTheme="minorEastAsia" w:cstheme="minorEastAsia"/>
                <w:b/>
                <w:bCs/>
                <w:i w:val="0"/>
                <w:iCs w:val="0"/>
                <w:caps w:val="0"/>
                <w:color w:val="auto"/>
                <w:spacing w:val="0"/>
                <w:sz w:val="21"/>
                <w:szCs w:val="21"/>
              </w:rPr>
            </w:pPr>
            <w:r>
              <w:rPr>
                <w:rFonts w:hint="eastAsia" w:asciiTheme="minorEastAsia" w:hAnsiTheme="minorEastAsia" w:eastAsiaTheme="minorEastAsia" w:cstheme="minorEastAsia"/>
                <w:b/>
                <w:bCs/>
                <w:i w:val="0"/>
                <w:iCs w:val="0"/>
                <w:caps w:val="0"/>
                <w:color w:val="auto"/>
                <w:spacing w:val="0"/>
                <w:sz w:val="21"/>
                <w:szCs w:val="21"/>
              </w:rPr>
              <w:t>    项目概况</w:t>
            </w:r>
          </w:p>
          <w:p w14:paraId="458ED5E5">
            <w:pPr>
              <w:pStyle w:val="24"/>
              <w:keepNext w:val="0"/>
              <w:keepLines w:val="0"/>
              <w:widowControl/>
              <w:suppressLineNumbers w:val="0"/>
              <w:spacing w:before="75" w:beforeAutospacing="0" w:after="75" w:afterAutospacing="0"/>
              <w:ind w:left="0" w:right="0" w:firstLine="0"/>
              <w:rPr>
                <w:rStyle w:val="31"/>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i w:val="0"/>
                <w:iCs w:val="0"/>
                <w:caps w:val="0"/>
                <w:color w:val="auto"/>
                <w:spacing w:val="0"/>
                <w:sz w:val="21"/>
                <w:szCs w:val="21"/>
              </w:rPr>
              <w:t>     </w:t>
            </w:r>
            <w:r>
              <w:rPr>
                <w:rFonts w:hint="eastAsia" w:asciiTheme="minorEastAsia" w:hAnsiTheme="minorEastAsia" w:eastAsiaTheme="minorEastAsia" w:cstheme="minorEastAsia"/>
                <w:i w:val="0"/>
                <w:iCs w:val="0"/>
                <w:caps w:val="0"/>
                <w:color w:val="auto"/>
                <w:spacing w:val="0"/>
                <w:sz w:val="21"/>
                <w:szCs w:val="21"/>
                <w:lang w:eastAsia="zh-CN"/>
              </w:rPr>
              <w:t>2025年度岱山县高亭城区市政公用设施维修工程（</w:t>
            </w:r>
            <w:r>
              <w:rPr>
                <w:rFonts w:hint="eastAsia" w:asciiTheme="minorEastAsia" w:hAnsiTheme="minorEastAsia" w:eastAsiaTheme="minorEastAsia" w:cstheme="minorEastAsia"/>
                <w:i w:val="0"/>
                <w:iCs w:val="0"/>
                <w:caps w:val="0"/>
                <w:color w:val="auto"/>
                <w:spacing w:val="0"/>
                <w:sz w:val="21"/>
                <w:szCs w:val="21"/>
                <w:lang w:val="en-US" w:eastAsia="zh-CN"/>
              </w:rPr>
              <w:t>重新招标</w:t>
            </w:r>
            <w:r>
              <w:rPr>
                <w:rFonts w:hint="eastAsia" w:asciiTheme="minorEastAsia" w:hAnsiTheme="minorEastAsia" w:eastAsiaTheme="minorEastAsia" w:cstheme="minorEastAsia"/>
                <w:i w:val="0"/>
                <w:iCs w:val="0"/>
                <w:caps w:val="0"/>
                <w:color w:val="auto"/>
                <w:spacing w:val="0"/>
                <w:sz w:val="21"/>
                <w:szCs w:val="21"/>
                <w:lang w:eastAsia="zh-CN"/>
              </w:rPr>
              <w:t>）</w:t>
            </w:r>
            <w:r>
              <w:rPr>
                <w:rFonts w:hint="eastAsia" w:asciiTheme="minorEastAsia" w:hAnsiTheme="minorEastAsia" w:eastAsiaTheme="minorEastAsia" w:cstheme="minorEastAsia"/>
                <w:i w:val="0"/>
                <w:iCs w:val="0"/>
                <w:caps w:val="0"/>
                <w:color w:val="auto"/>
                <w:spacing w:val="0"/>
                <w:sz w:val="21"/>
                <w:szCs w:val="21"/>
              </w:rPr>
              <w:t>采购项目的潜在供应商应在浙江政府采购网http://zfcg.czt.zj.gov.cn/（用“政采云”注册账号、密码登录系统后获取</w:t>
            </w:r>
            <w:r>
              <w:rPr>
                <w:rFonts w:hint="eastAsia" w:asciiTheme="minorEastAsia" w:hAnsiTheme="minorEastAsia" w:eastAsiaTheme="minorEastAsia" w:cstheme="minorEastAsia"/>
                <w:i w:val="0"/>
                <w:iCs w:val="0"/>
                <w:caps w:val="0"/>
                <w:color w:val="auto"/>
                <w:spacing w:val="0"/>
                <w:sz w:val="21"/>
                <w:szCs w:val="21"/>
                <w:lang w:val="en-US" w:eastAsia="zh-CN"/>
              </w:rPr>
              <w:t>磋商</w:t>
            </w:r>
            <w:r>
              <w:rPr>
                <w:rFonts w:hint="eastAsia" w:asciiTheme="minorEastAsia" w:hAnsiTheme="minorEastAsia" w:eastAsiaTheme="minorEastAsia" w:cstheme="minorEastAsia"/>
                <w:i w:val="0"/>
                <w:iCs w:val="0"/>
                <w:caps w:val="0"/>
                <w:color w:val="auto"/>
                <w:spacing w:val="0"/>
                <w:sz w:val="21"/>
                <w:szCs w:val="21"/>
              </w:rPr>
              <w:t>文件） 获取（下载）采购文件，并于202</w:t>
            </w:r>
            <w:r>
              <w:rPr>
                <w:rFonts w:hint="eastAsia" w:asciiTheme="minorEastAsia" w:hAnsiTheme="minorEastAsia" w:eastAsiaTheme="minorEastAsia" w:cstheme="minorEastAsia"/>
                <w:i w:val="0"/>
                <w:iCs w:val="0"/>
                <w:caps w:val="0"/>
                <w:color w:val="auto"/>
                <w:spacing w:val="0"/>
                <w:sz w:val="21"/>
                <w:szCs w:val="21"/>
                <w:lang w:val="en-US" w:eastAsia="zh-CN"/>
              </w:rPr>
              <w:t>4</w:t>
            </w:r>
            <w:r>
              <w:rPr>
                <w:rFonts w:hint="eastAsia" w:asciiTheme="minorEastAsia" w:hAnsiTheme="minorEastAsia" w:eastAsiaTheme="minorEastAsia" w:cstheme="minorEastAsia"/>
                <w:i w:val="0"/>
                <w:iCs w:val="0"/>
                <w:caps w:val="0"/>
                <w:color w:val="auto"/>
                <w:spacing w:val="0"/>
                <w:sz w:val="21"/>
                <w:szCs w:val="21"/>
              </w:rPr>
              <w:t>年</w:t>
            </w:r>
            <w:r>
              <w:rPr>
                <w:rFonts w:hint="eastAsia" w:asciiTheme="minorEastAsia" w:hAnsiTheme="minorEastAsia" w:eastAsiaTheme="minorEastAsia" w:cstheme="minorEastAsia"/>
                <w:i w:val="0"/>
                <w:iCs w:val="0"/>
                <w:caps w:val="0"/>
                <w:color w:val="auto"/>
                <w:spacing w:val="0"/>
                <w:sz w:val="21"/>
                <w:szCs w:val="21"/>
                <w:lang w:val="en-US" w:eastAsia="zh-CN"/>
              </w:rPr>
              <w:t>12</w:t>
            </w:r>
            <w:r>
              <w:rPr>
                <w:rFonts w:hint="eastAsia" w:asciiTheme="minorEastAsia" w:hAnsiTheme="minorEastAsia" w:eastAsiaTheme="minorEastAsia" w:cstheme="minorEastAsia"/>
                <w:i w:val="0"/>
                <w:iCs w:val="0"/>
                <w:caps w:val="0"/>
                <w:color w:val="auto"/>
                <w:spacing w:val="0"/>
                <w:sz w:val="21"/>
                <w:szCs w:val="21"/>
              </w:rPr>
              <w:t>月</w:t>
            </w:r>
            <w:r>
              <w:rPr>
                <w:rFonts w:hint="eastAsia" w:asciiTheme="minorEastAsia" w:hAnsiTheme="minorEastAsia" w:eastAsiaTheme="minorEastAsia" w:cstheme="minorEastAsia"/>
                <w:i w:val="0"/>
                <w:iCs w:val="0"/>
                <w:caps w:val="0"/>
                <w:color w:val="auto"/>
                <w:spacing w:val="0"/>
                <w:sz w:val="21"/>
                <w:szCs w:val="21"/>
                <w:lang w:val="en-US" w:eastAsia="zh-CN"/>
              </w:rPr>
              <w:t>23</w:t>
            </w:r>
            <w:r>
              <w:rPr>
                <w:rFonts w:hint="eastAsia" w:asciiTheme="minorEastAsia" w:hAnsiTheme="minorEastAsia" w:eastAsiaTheme="minorEastAsia" w:cstheme="minorEastAsia"/>
                <w:i w:val="0"/>
                <w:iCs w:val="0"/>
                <w:caps w:val="0"/>
                <w:color w:val="auto"/>
                <w:spacing w:val="0"/>
                <w:sz w:val="21"/>
                <w:szCs w:val="21"/>
              </w:rPr>
              <w:t xml:space="preserve">日 </w:t>
            </w:r>
            <w:r>
              <w:rPr>
                <w:rFonts w:hint="eastAsia" w:asciiTheme="minorEastAsia" w:hAnsiTheme="minorEastAsia" w:eastAsiaTheme="minorEastAsia" w:cstheme="minorEastAsia"/>
                <w:i w:val="0"/>
                <w:iCs w:val="0"/>
                <w:caps w:val="0"/>
                <w:color w:val="auto"/>
                <w:spacing w:val="0"/>
                <w:sz w:val="21"/>
                <w:szCs w:val="21"/>
                <w:lang w:val="en-US" w:eastAsia="zh-CN"/>
              </w:rPr>
              <w:t>9</w:t>
            </w:r>
            <w:r>
              <w:rPr>
                <w:rFonts w:hint="eastAsia" w:asciiTheme="minorEastAsia" w:hAnsiTheme="minorEastAsia" w:eastAsiaTheme="minorEastAsia" w:cstheme="minorEastAsia"/>
                <w:i w:val="0"/>
                <w:iCs w:val="0"/>
                <w:caps w:val="0"/>
                <w:color w:val="auto"/>
                <w:spacing w:val="0"/>
                <w:sz w:val="21"/>
                <w:szCs w:val="21"/>
              </w:rPr>
              <w:t>:</w:t>
            </w:r>
            <w:r>
              <w:rPr>
                <w:rFonts w:hint="eastAsia" w:asciiTheme="minorEastAsia" w:hAnsiTheme="minorEastAsia" w:eastAsiaTheme="minorEastAsia" w:cstheme="minorEastAsia"/>
                <w:i w:val="0"/>
                <w:iCs w:val="0"/>
                <w:caps w:val="0"/>
                <w:color w:val="auto"/>
                <w:spacing w:val="0"/>
                <w:sz w:val="21"/>
                <w:szCs w:val="21"/>
                <w:lang w:val="en-US" w:eastAsia="zh-CN"/>
              </w:rPr>
              <w:t>00</w:t>
            </w:r>
            <w:r>
              <w:rPr>
                <w:rFonts w:hint="eastAsia" w:asciiTheme="minorEastAsia" w:hAnsiTheme="minorEastAsia" w:eastAsiaTheme="minorEastAsia" w:cstheme="minorEastAsia"/>
                <w:i w:val="0"/>
                <w:iCs w:val="0"/>
                <w:caps w:val="0"/>
                <w:color w:val="auto"/>
                <w:spacing w:val="0"/>
                <w:sz w:val="21"/>
                <w:szCs w:val="21"/>
              </w:rPr>
              <w:t>（北京时间）前提交（上传）响应文件。</w:t>
            </w:r>
          </w:p>
        </w:tc>
      </w:tr>
    </w:tbl>
    <w:p w14:paraId="41EF4A13">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一、项目基本情况</w:t>
      </w:r>
    </w:p>
    <w:p w14:paraId="2E93F2A8">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lang w:eastAsia="zh-CN"/>
        </w:rPr>
      </w:pPr>
      <w:r>
        <w:rPr>
          <w:rFonts w:hint="eastAsia" w:ascii="宋体" w:hAnsi="宋体" w:eastAsia="宋体" w:cs="Times New Roman"/>
          <w:color w:val="auto"/>
          <w:szCs w:val="21"/>
        </w:rPr>
        <w:t>项目编号：</w:t>
      </w:r>
      <w:r>
        <w:rPr>
          <w:rFonts w:hint="eastAsia" w:ascii="宋体" w:hAnsi="宋体" w:cs="Times New Roman"/>
          <w:color w:val="auto"/>
          <w:szCs w:val="21"/>
          <w:lang w:eastAsia="zh-CN"/>
        </w:rPr>
        <w:t>ZSBC-2024-172-01</w:t>
      </w:r>
    </w:p>
    <w:p w14:paraId="46BFA854">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lang w:eastAsia="zh-CN"/>
        </w:rPr>
      </w:pPr>
      <w:r>
        <w:rPr>
          <w:rFonts w:hint="eastAsia" w:ascii="宋体" w:hAnsi="宋体" w:eastAsia="宋体" w:cs="Times New Roman"/>
          <w:color w:val="auto"/>
          <w:szCs w:val="21"/>
        </w:rPr>
        <w:t>项目名称：</w:t>
      </w:r>
      <w:r>
        <w:rPr>
          <w:rFonts w:hint="eastAsia" w:ascii="宋体" w:hAnsi="宋体" w:cs="Times New Roman"/>
          <w:color w:val="auto"/>
          <w:szCs w:val="21"/>
          <w:lang w:eastAsia="zh-CN"/>
        </w:rPr>
        <w:t>2025年度岱山县高亭城区市政公用设施维修工程</w:t>
      </w:r>
      <w:r>
        <w:rPr>
          <w:rFonts w:hint="eastAsia" w:asciiTheme="minorEastAsia" w:hAnsiTheme="minorEastAsia" w:eastAsiaTheme="minorEastAsia" w:cstheme="minorEastAsia"/>
          <w:i w:val="0"/>
          <w:iCs w:val="0"/>
          <w:caps w:val="0"/>
          <w:color w:val="auto"/>
          <w:spacing w:val="0"/>
          <w:sz w:val="21"/>
          <w:szCs w:val="21"/>
          <w:lang w:eastAsia="zh-CN"/>
        </w:rPr>
        <w:t>（</w:t>
      </w:r>
      <w:r>
        <w:rPr>
          <w:rFonts w:hint="eastAsia" w:asciiTheme="minorEastAsia" w:hAnsiTheme="minorEastAsia" w:eastAsiaTheme="minorEastAsia" w:cstheme="minorEastAsia"/>
          <w:i w:val="0"/>
          <w:iCs w:val="0"/>
          <w:caps w:val="0"/>
          <w:color w:val="auto"/>
          <w:spacing w:val="0"/>
          <w:sz w:val="21"/>
          <w:szCs w:val="21"/>
          <w:lang w:val="en-US" w:eastAsia="zh-CN"/>
        </w:rPr>
        <w:t>重新招标</w:t>
      </w:r>
      <w:r>
        <w:rPr>
          <w:rFonts w:hint="eastAsia" w:asciiTheme="minorEastAsia" w:hAnsiTheme="minorEastAsia" w:eastAsiaTheme="minorEastAsia" w:cstheme="minorEastAsia"/>
          <w:i w:val="0"/>
          <w:iCs w:val="0"/>
          <w:caps w:val="0"/>
          <w:color w:val="auto"/>
          <w:spacing w:val="0"/>
          <w:sz w:val="21"/>
          <w:szCs w:val="21"/>
          <w:lang w:eastAsia="zh-CN"/>
        </w:rPr>
        <w:t>）</w:t>
      </w:r>
    </w:p>
    <w:p w14:paraId="2BE7D29A">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rPr>
      </w:pPr>
      <w:r>
        <w:rPr>
          <w:rFonts w:hint="eastAsia" w:ascii="宋体" w:hAnsi="宋体" w:eastAsia="宋体" w:cs="Times New Roman"/>
          <w:color w:val="auto"/>
          <w:szCs w:val="21"/>
        </w:rPr>
        <w:t>采购方式：竞争性磋商</w:t>
      </w:r>
    </w:p>
    <w:p w14:paraId="417C22BA">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lang w:eastAsia="zh-CN"/>
        </w:rPr>
      </w:pPr>
      <w:r>
        <w:rPr>
          <w:rFonts w:hint="eastAsia" w:ascii="宋体" w:hAnsi="宋体" w:eastAsia="宋体" w:cs="Times New Roman"/>
          <w:color w:val="auto"/>
          <w:szCs w:val="21"/>
        </w:rPr>
        <w:t>预算金额（元）：</w:t>
      </w:r>
      <w:r>
        <w:rPr>
          <w:rFonts w:hint="eastAsia" w:ascii="宋体" w:hAnsi="宋体" w:cs="Times New Roman"/>
          <w:color w:val="auto"/>
          <w:szCs w:val="21"/>
          <w:lang w:val="en-US" w:eastAsia="zh-CN"/>
        </w:rPr>
        <w:t>200</w:t>
      </w:r>
      <w:r>
        <w:rPr>
          <w:rFonts w:hint="eastAsia" w:ascii="宋体" w:hAnsi="宋体" w:eastAsia="宋体" w:cs="Times New Roman"/>
          <w:color w:val="auto"/>
          <w:szCs w:val="21"/>
          <w:lang w:eastAsia="zh-CN"/>
        </w:rPr>
        <w:t>0000</w:t>
      </w:r>
    </w:p>
    <w:p w14:paraId="2006F452">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lang w:eastAsia="zh-CN"/>
        </w:rPr>
      </w:pPr>
      <w:r>
        <w:rPr>
          <w:rFonts w:hint="eastAsia" w:ascii="宋体" w:hAnsi="宋体" w:eastAsia="宋体" w:cs="Times New Roman"/>
          <w:color w:val="auto"/>
          <w:szCs w:val="21"/>
        </w:rPr>
        <w:t>最高限价（元）：</w:t>
      </w:r>
      <w:r>
        <w:rPr>
          <w:rFonts w:hint="eastAsia" w:ascii="宋体" w:hAnsi="宋体" w:cs="Times New Roman"/>
          <w:color w:val="auto"/>
          <w:szCs w:val="21"/>
          <w:lang w:val="en-US" w:eastAsia="zh-CN"/>
        </w:rPr>
        <w:t>1972317</w:t>
      </w:r>
    </w:p>
    <w:p w14:paraId="57F67B35">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rPr>
      </w:pPr>
      <w:r>
        <w:rPr>
          <w:rFonts w:hint="eastAsia" w:ascii="宋体" w:hAnsi="宋体" w:eastAsia="宋体" w:cs="Times New Roman"/>
          <w:color w:val="auto"/>
          <w:szCs w:val="21"/>
        </w:rPr>
        <w:t>采购需求：</w:t>
      </w:r>
    </w:p>
    <w:p w14:paraId="298CB217">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rPr>
      </w:pPr>
      <w:r>
        <w:rPr>
          <w:rFonts w:hint="eastAsia" w:ascii="宋体" w:hAnsi="宋体" w:eastAsia="宋体" w:cs="Times New Roman"/>
          <w:color w:val="auto"/>
          <w:szCs w:val="21"/>
          <w:lang w:val="en-US" w:eastAsia="zh-CN"/>
        </w:rPr>
        <w:t>           </w:t>
      </w:r>
      <w:r>
        <w:rPr>
          <w:rFonts w:hint="eastAsia" w:ascii="宋体" w:hAnsi="宋体" w:eastAsia="宋体" w:cs="Times New Roman"/>
          <w:color w:val="auto"/>
          <w:szCs w:val="21"/>
          <w:lang w:val="en-US" w:eastAsia="zh-CN"/>
        </w:rPr>
        <w:br w:type="textWrapping"/>
      </w:r>
      <w:r>
        <w:rPr>
          <w:rFonts w:hint="eastAsia" w:ascii="宋体" w:hAnsi="宋体" w:eastAsia="宋体" w:cs="Times New Roman"/>
          <w:color w:val="auto"/>
          <w:szCs w:val="21"/>
          <w:lang w:val="en-US" w:eastAsia="zh-CN"/>
        </w:rPr>
        <w:t>   数量：不限       </w:t>
      </w:r>
    </w:p>
    <w:p w14:paraId="41D7B6FA">
      <w:pPr>
        <w:pageBreakBefore w:val="0"/>
        <w:kinsoku/>
        <w:wordWrap/>
        <w:overflowPunct/>
        <w:topLinePunct w:val="0"/>
        <w:autoSpaceDE/>
        <w:autoSpaceDN/>
        <w:bidi w:val="0"/>
        <w:adjustRightInd/>
        <w:snapToGrid/>
        <w:spacing w:line="360" w:lineRule="auto"/>
        <w:textAlignment w:val="auto"/>
        <w:rPr>
          <w:rFonts w:hint="eastAsia" w:ascii="宋体" w:hAnsi="宋体" w:eastAsia="宋体" w:cs="Times New Roman"/>
          <w:color w:val="auto"/>
          <w:szCs w:val="21"/>
          <w:lang w:eastAsia="zh-CN"/>
        </w:rPr>
      </w:pPr>
      <w:r>
        <w:rPr>
          <w:rFonts w:hint="eastAsia" w:ascii="宋体" w:hAnsi="宋体" w:eastAsia="宋体" w:cs="Times New Roman"/>
          <w:color w:val="auto"/>
          <w:szCs w:val="21"/>
        </w:rPr>
        <w:t> </w:t>
      </w:r>
      <w:r>
        <w:rPr>
          <w:rFonts w:hint="eastAsia" w:ascii="宋体" w:hAnsi="宋体" w:eastAsia="宋体" w:cs="Times New Roman"/>
          <w:color w:val="auto"/>
          <w:szCs w:val="21"/>
          <w:lang w:val="en-US" w:eastAsia="zh-CN"/>
        </w:rPr>
        <w:t xml:space="preserve">  </w:t>
      </w:r>
      <w:r>
        <w:rPr>
          <w:rFonts w:hint="eastAsia" w:ascii="宋体" w:hAnsi="宋体" w:eastAsia="宋体" w:cs="Times New Roman"/>
          <w:color w:val="auto"/>
          <w:szCs w:val="21"/>
        </w:rPr>
        <w:t>预算金额（元）：</w:t>
      </w:r>
      <w:r>
        <w:rPr>
          <w:rFonts w:hint="eastAsia" w:ascii="宋体" w:hAnsi="宋体" w:cs="Times New Roman"/>
          <w:color w:val="auto"/>
          <w:szCs w:val="21"/>
          <w:lang w:val="en-US" w:eastAsia="zh-CN"/>
        </w:rPr>
        <w:t>200</w:t>
      </w:r>
      <w:r>
        <w:rPr>
          <w:rFonts w:hint="eastAsia" w:ascii="宋体" w:hAnsi="宋体" w:eastAsia="宋体" w:cs="Times New Roman"/>
          <w:color w:val="auto"/>
          <w:szCs w:val="21"/>
          <w:lang w:eastAsia="zh-CN"/>
        </w:rPr>
        <w:t>0000</w:t>
      </w:r>
    </w:p>
    <w:p w14:paraId="2282DE75">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rPr>
      </w:pPr>
      <w:r>
        <w:rPr>
          <w:rFonts w:hint="eastAsia" w:ascii="宋体" w:hAnsi="宋体" w:eastAsia="宋体" w:cs="Times New Roman"/>
          <w:color w:val="auto"/>
          <w:szCs w:val="21"/>
        </w:rPr>
        <w:t>简要规格描述：详见磋商文件</w:t>
      </w:r>
    </w:p>
    <w:p w14:paraId="5D5C726C">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rPr>
      </w:pPr>
      <w:r>
        <w:rPr>
          <w:rFonts w:hint="eastAsia" w:ascii="宋体" w:hAnsi="宋体" w:eastAsia="宋体" w:cs="Times New Roman"/>
          <w:color w:val="auto"/>
          <w:szCs w:val="21"/>
        </w:rPr>
        <w:t>备注：</w:t>
      </w:r>
    </w:p>
    <w:p w14:paraId="08D2B316">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rPr>
      </w:pPr>
      <w:r>
        <w:rPr>
          <w:rFonts w:hint="eastAsia" w:ascii="宋体" w:hAnsi="宋体" w:eastAsia="宋体" w:cs="Times New Roman"/>
          <w:color w:val="auto"/>
          <w:szCs w:val="21"/>
        </w:rPr>
        <w:t>合同履约期限：详见磋商文件</w:t>
      </w:r>
    </w:p>
    <w:p w14:paraId="791039EB">
      <w:pPr>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Cs w:val="21"/>
        </w:rPr>
      </w:pPr>
      <w:r>
        <w:rPr>
          <w:rFonts w:hint="eastAsia" w:ascii="宋体" w:hAnsi="宋体" w:eastAsia="宋体" w:cs="Times New Roman"/>
          <w:color w:val="auto"/>
          <w:szCs w:val="21"/>
        </w:rPr>
        <w:t>本项目（否）接受联合体</w:t>
      </w:r>
      <w:r>
        <w:rPr>
          <w:rFonts w:hint="eastAsia" w:ascii="宋体" w:hAnsi="宋体" w:cs="Times New Roman"/>
          <w:color w:val="auto"/>
          <w:szCs w:val="21"/>
          <w:lang w:val="en-US" w:eastAsia="zh-CN"/>
        </w:rPr>
        <w:t>响应</w:t>
      </w:r>
      <w:r>
        <w:rPr>
          <w:rFonts w:hint="eastAsia" w:ascii="宋体" w:hAnsi="宋体" w:eastAsia="宋体" w:cs="Times New Roman"/>
          <w:color w:val="auto"/>
          <w:szCs w:val="21"/>
        </w:rPr>
        <w:t>。</w:t>
      </w:r>
    </w:p>
    <w:p w14:paraId="139A5CF4">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二、申请人的资格要求：</w:t>
      </w:r>
    </w:p>
    <w:p w14:paraId="2AF182DE">
      <w:pPr>
        <w:spacing w:line="360" w:lineRule="auto"/>
        <w:ind w:firstLine="420" w:firstLineChars="200"/>
        <w:rPr>
          <w:rFonts w:hint="eastAsia" w:ascii="宋体" w:hAnsi="宋体"/>
          <w:color w:val="auto"/>
          <w:szCs w:val="21"/>
        </w:rPr>
      </w:pPr>
      <w:r>
        <w:rPr>
          <w:rFonts w:hint="eastAsia" w:ascii="宋体" w:hAnsi="宋体"/>
          <w:color w:val="auto"/>
          <w:szCs w:val="21"/>
        </w:rPr>
        <w:t>1</w:t>
      </w:r>
      <w:r>
        <w:rPr>
          <w:rFonts w:hint="eastAsia" w:ascii="宋体" w:hAnsi="宋体"/>
          <w:color w:val="auto"/>
          <w:szCs w:val="21"/>
          <w:lang w:val="en-US" w:eastAsia="zh-CN"/>
        </w:rPr>
        <w:t>.满足</w:t>
      </w:r>
      <w:r>
        <w:rPr>
          <w:rFonts w:hint="eastAsia" w:ascii="宋体" w:hAnsi="宋体"/>
          <w:color w:val="auto"/>
          <w:szCs w:val="21"/>
        </w:rPr>
        <w:t xml:space="preserve">《中华人民共和国政府采购法》第二十二条的规定 </w:t>
      </w:r>
      <w:r>
        <w:rPr>
          <w:rFonts w:hint="eastAsia" w:ascii="宋体" w:hAnsi="宋体"/>
          <w:color w:val="auto"/>
          <w:szCs w:val="21"/>
          <w:lang w:eastAsia="zh-CN"/>
        </w:rPr>
        <w:t>；</w:t>
      </w:r>
      <w:r>
        <w:rPr>
          <w:rFonts w:hint="eastAsia" w:ascii="宋体" w:hAnsi="宋体"/>
          <w:color w:val="auto"/>
          <w:szCs w:val="21"/>
        </w:rPr>
        <w:t>未被“信用中国”（www.creditchina.gov.cn）、中国政府采购网（www.ccgp.gov.cn）列入失信被执行人、重大税收违法案件当事人名单、政府采购严重违法失信行为记录名单。</w:t>
      </w:r>
    </w:p>
    <w:p w14:paraId="4008EDF0">
      <w:pPr>
        <w:spacing w:line="360" w:lineRule="auto"/>
        <w:ind w:firstLine="420" w:firstLineChars="200"/>
        <w:rPr>
          <w:rFonts w:hint="eastAsia" w:ascii="宋体" w:hAnsi="宋体" w:eastAsia="宋体" w:cs="Times New Roman"/>
          <w:color w:val="auto"/>
          <w:szCs w:val="21"/>
        </w:rPr>
      </w:pPr>
      <w:r>
        <w:rPr>
          <w:rFonts w:hint="eastAsia" w:ascii="宋体" w:hAnsi="宋体" w:eastAsia="宋体" w:cs="Times New Roman"/>
          <w:color w:val="auto"/>
          <w:szCs w:val="21"/>
          <w:lang w:val="en-US" w:eastAsia="zh-CN"/>
        </w:rPr>
        <w:t>2</w:t>
      </w:r>
      <w:r>
        <w:rPr>
          <w:rFonts w:hint="eastAsia" w:ascii="宋体" w:hAnsi="宋体" w:eastAsia="宋体" w:cs="Times New Roman"/>
          <w:color w:val="auto"/>
          <w:szCs w:val="21"/>
        </w:rPr>
        <w:t>.落实政府采购政策需满足的资格要求：供应商为中小企业。</w:t>
      </w:r>
    </w:p>
    <w:p w14:paraId="11E8713A">
      <w:pPr>
        <w:pStyle w:val="105"/>
        <w:snapToGrid w:val="0"/>
        <w:spacing w:line="360" w:lineRule="auto"/>
        <w:ind w:firstLine="420"/>
        <w:rPr>
          <w:rFonts w:hint="eastAsia" w:asciiTheme="minorEastAsia" w:hAnsiTheme="minorEastAsia" w:eastAsiaTheme="minorEastAsia" w:cstheme="minorEastAsia"/>
          <w:i w:val="0"/>
          <w:iCs w:val="0"/>
          <w:caps w:val="0"/>
          <w:color w:val="auto"/>
          <w:spacing w:val="0"/>
          <w:sz w:val="21"/>
          <w:szCs w:val="21"/>
        </w:rPr>
      </w:pPr>
      <w:r>
        <w:rPr>
          <w:rFonts w:hint="eastAsia" w:ascii="宋体" w:hAnsi="宋体" w:eastAsia="宋体" w:cs="Times New Roman"/>
          <w:color w:val="auto"/>
          <w:szCs w:val="21"/>
          <w:lang w:val="en-US" w:eastAsia="zh-CN"/>
        </w:rPr>
        <w:t>3.</w:t>
      </w:r>
      <w:r>
        <w:rPr>
          <w:rFonts w:hint="eastAsia" w:ascii="宋体" w:hAnsi="宋体" w:eastAsia="宋体" w:cs="Times New Roman"/>
          <w:color w:val="auto"/>
          <w:szCs w:val="21"/>
        </w:rPr>
        <w:t>本项目的特定资格要求：</w:t>
      </w:r>
      <w:r>
        <w:rPr>
          <w:rFonts w:hint="eastAsia" w:ascii="宋体" w:hAnsi="宋体" w:eastAsia="宋体" w:cs="Times New Roman"/>
          <w:color w:val="auto"/>
          <w:szCs w:val="21"/>
          <w:lang w:val="en-US" w:eastAsia="zh-CN"/>
        </w:rPr>
        <w:t>①</w:t>
      </w:r>
      <w:r>
        <w:rPr>
          <w:rFonts w:hint="eastAsia" w:ascii="宋体" w:hAnsi="宋体" w:eastAsia="宋体" w:cs="Times New Roman"/>
          <w:color w:val="auto"/>
          <w:szCs w:val="21"/>
        </w:rPr>
        <w:t>具有市政公用工程施工总承包叁级及以上资质的独立法人企业</w:t>
      </w:r>
      <w:r>
        <w:rPr>
          <w:rFonts w:hint="eastAsia" w:ascii="宋体" w:hAnsi="宋体" w:eastAsia="宋体" w:cs="Times New Roman"/>
          <w:color w:val="auto"/>
          <w:szCs w:val="21"/>
          <w:lang w:val="en-US" w:eastAsia="zh-CN"/>
        </w:rPr>
        <w:t>[</w:t>
      </w:r>
      <w:r>
        <w:rPr>
          <w:rFonts w:hint="eastAsia" w:ascii="宋体" w:hAnsi="宋体" w:eastAsia="宋体" w:cs="Times New Roman"/>
          <w:color w:val="auto"/>
          <w:szCs w:val="21"/>
        </w:rPr>
        <w:t>对应资质应在“浙江省建筑市场监管公共服务系统”上资质动态核查结果处于“合格”状态，提供</w:t>
      </w:r>
      <w:r>
        <w:rPr>
          <w:rFonts w:hint="eastAsia" w:eastAsia="宋体"/>
          <w:color w:val="auto"/>
          <w:highlight w:val="white"/>
          <w:lang w:val="en-US" w:eastAsia="zh-CN"/>
        </w:rPr>
        <w:t>响应</w:t>
      </w:r>
      <w:r>
        <w:rPr>
          <w:rFonts w:hint="eastAsia"/>
          <w:color w:val="auto"/>
          <w:highlight w:val="white"/>
        </w:rPr>
        <w:t>人核查发布日期为</w:t>
      </w:r>
      <w:bookmarkStart w:id="3" w:name="EB5d4ac42cf4f14826ae61833a0f991871"/>
      <w:r>
        <w:rPr>
          <w:rFonts w:hint="eastAsia"/>
          <w:b/>
          <w:bCs/>
          <w:color w:val="auto"/>
          <w:highlight w:val="white"/>
        </w:rPr>
        <w:t>2024年</w:t>
      </w:r>
      <w:r>
        <w:rPr>
          <w:rFonts w:hint="eastAsia"/>
          <w:b/>
          <w:bCs/>
          <w:color w:val="auto"/>
          <w:highlight w:val="white"/>
          <w:lang w:val="en-US" w:eastAsia="zh-CN"/>
        </w:rPr>
        <w:t>12</w:t>
      </w:r>
      <w:r>
        <w:rPr>
          <w:rFonts w:hint="eastAsia"/>
          <w:b/>
          <w:bCs/>
          <w:color w:val="auto"/>
          <w:highlight w:val="white"/>
        </w:rPr>
        <w:t>月</w:t>
      </w:r>
      <w:r>
        <w:rPr>
          <w:rFonts w:hint="eastAsia"/>
          <w:b/>
          <w:bCs/>
          <w:color w:val="auto"/>
          <w:highlight w:val="white"/>
          <w:lang w:val="en-US" w:eastAsia="zh-CN"/>
        </w:rPr>
        <w:t>16</w:t>
      </w:r>
      <w:r>
        <w:rPr>
          <w:rFonts w:hint="eastAsia"/>
          <w:b/>
          <w:bCs/>
          <w:color w:val="auto"/>
          <w:highlight w:val="white"/>
        </w:rPr>
        <w:t>日</w:t>
      </w:r>
      <w:bookmarkEnd w:id="3"/>
      <w:r>
        <w:rPr>
          <w:rFonts w:hint="eastAsia"/>
          <w:b/>
          <w:bCs/>
          <w:color w:val="auto"/>
          <w:highlight w:val="white"/>
        </w:rPr>
        <w:t>（周一）</w:t>
      </w:r>
      <w:r>
        <w:rPr>
          <w:rFonts w:hint="eastAsia"/>
          <w:color w:val="auto"/>
          <w:highlight w:val="white"/>
        </w:rPr>
        <w:t>在“浙江省建筑市场监管公共服务系统”上，参与</w:t>
      </w:r>
      <w:r>
        <w:rPr>
          <w:rFonts w:hint="eastAsia"/>
          <w:color w:val="auto"/>
          <w:highlight w:val="white"/>
          <w:lang w:val="en-US" w:eastAsia="zh-CN"/>
        </w:rPr>
        <w:t>响应</w:t>
      </w:r>
      <w:r>
        <w:rPr>
          <w:rFonts w:hint="eastAsia"/>
          <w:color w:val="auto"/>
          <w:highlight w:val="white"/>
        </w:rPr>
        <w:t>资质的“资质动态核查证明”。</w:t>
      </w:r>
      <w:bookmarkStart w:id="4" w:name="EB9b7704aa1e95459f9295c8bbc4e8a16a"/>
      <w:r>
        <w:rPr>
          <w:rFonts w:hint="eastAsia"/>
          <w:b/>
          <w:bCs/>
          <w:color w:val="auto"/>
          <w:highlight w:val="white"/>
        </w:rPr>
        <w:t>2024年</w:t>
      </w:r>
      <w:r>
        <w:rPr>
          <w:rFonts w:hint="eastAsia"/>
          <w:b/>
          <w:bCs/>
          <w:color w:val="auto"/>
          <w:highlight w:val="white"/>
          <w:lang w:val="en-US" w:eastAsia="zh-CN"/>
        </w:rPr>
        <w:t>12</w:t>
      </w:r>
      <w:r>
        <w:rPr>
          <w:rFonts w:hint="eastAsia"/>
          <w:b/>
          <w:bCs/>
          <w:color w:val="auto"/>
          <w:highlight w:val="white"/>
        </w:rPr>
        <w:t>月</w:t>
      </w:r>
      <w:r>
        <w:rPr>
          <w:rFonts w:hint="eastAsia"/>
          <w:b/>
          <w:bCs/>
          <w:color w:val="auto"/>
          <w:highlight w:val="white"/>
          <w:lang w:val="en-US" w:eastAsia="zh-CN"/>
        </w:rPr>
        <w:t>16</w:t>
      </w:r>
      <w:r>
        <w:rPr>
          <w:rFonts w:hint="eastAsia"/>
          <w:b/>
          <w:bCs/>
          <w:color w:val="auto"/>
          <w:highlight w:val="white"/>
        </w:rPr>
        <w:t>日</w:t>
      </w:r>
      <w:bookmarkEnd w:id="4"/>
      <w:r>
        <w:rPr>
          <w:rFonts w:hint="eastAsia"/>
          <w:b/>
          <w:bCs/>
          <w:color w:val="auto"/>
          <w:highlight w:val="white"/>
        </w:rPr>
        <w:t>（周一）</w:t>
      </w:r>
      <w:r>
        <w:rPr>
          <w:rFonts w:hint="eastAsia"/>
          <w:color w:val="auto"/>
          <w:highlight w:val="white"/>
        </w:rPr>
        <w:t>是指“浙江省建筑业企业资质动态核查证明”中的核查发布日期</w:t>
      </w:r>
      <w:r>
        <w:rPr>
          <w:rFonts w:hint="eastAsia"/>
          <w:color w:val="auto"/>
          <w:highlight w:val="white"/>
          <w:lang w:val="en-US" w:eastAsia="zh-CN"/>
        </w:rPr>
        <w:t>]</w:t>
      </w:r>
      <w:r>
        <w:rPr>
          <w:rFonts w:hint="eastAsia" w:ascii="宋体" w:hAnsi="宋体" w:eastAsia="宋体" w:cs="Times New Roman"/>
          <w:color w:val="auto"/>
          <w:szCs w:val="21"/>
          <w:lang w:eastAsia="zh-CN"/>
        </w:rPr>
        <w:t>；</w:t>
      </w:r>
      <w:r>
        <w:rPr>
          <w:rFonts w:hint="eastAsia" w:ascii="宋体" w:hAnsi="宋体" w:eastAsia="宋体" w:cs="Times New Roman"/>
          <w:color w:val="auto"/>
          <w:szCs w:val="21"/>
          <w:lang w:val="en-US" w:eastAsia="zh-CN"/>
        </w:rPr>
        <w:t>②</w:t>
      </w:r>
      <w:r>
        <w:rPr>
          <w:rFonts w:hint="eastAsia" w:ascii="宋体" w:hAnsi="宋体" w:eastAsia="宋体" w:cs="Times New Roman"/>
          <w:color w:val="auto"/>
          <w:szCs w:val="21"/>
        </w:rPr>
        <w:t>具有有效的安全生产许可证</w:t>
      </w:r>
      <w:r>
        <w:rPr>
          <w:rFonts w:hint="eastAsia" w:ascii="宋体" w:hAnsi="宋体" w:eastAsia="宋体" w:cs="Times New Roman"/>
          <w:color w:val="auto"/>
          <w:szCs w:val="21"/>
          <w:lang w:eastAsia="zh-CN"/>
        </w:rPr>
        <w:t>。</w:t>
      </w:r>
      <w:r>
        <w:rPr>
          <w:rFonts w:hint="eastAsia" w:ascii="宋体" w:hAnsi="宋体" w:eastAsia="宋体" w:cs="Times New Roman"/>
          <w:color w:val="auto"/>
          <w:szCs w:val="21"/>
          <w:lang w:val="en-US" w:eastAsia="zh-CN"/>
        </w:rPr>
        <w:t>③项目负责人</w:t>
      </w:r>
      <w:r>
        <w:rPr>
          <w:rFonts w:hint="eastAsia" w:ascii="宋体" w:hAnsi="宋体" w:eastAsia="宋体" w:cs="Times New Roman"/>
          <w:color w:val="auto"/>
          <w:szCs w:val="21"/>
          <w:lang w:eastAsia="zh-CN"/>
        </w:rPr>
        <w:t>具有市政公用工程二级及以上注册建造师</w:t>
      </w:r>
      <w:r>
        <w:rPr>
          <w:rFonts w:hint="eastAsia" w:ascii="宋体" w:hAnsi="宋体" w:eastAsia="宋体" w:cs="Times New Roman"/>
          <w:b/>
          <w:bCs/>
          <w:color w:val="auto"/>
          <w:szCs w:val="21"/>
          <w:lang w:val="en-US" w:eastAsia="zh-CN"/>
        </w:rPr>
        <w:t>(</w:t>
      </w:r>
      <w:r>
        <w:rPr>
          <w:rFonts w:hint="eastAsia" w:ascii="宋体" w:hAnsi="宋体" w:eastAsia="宋体" w:cs="Times New Roman"/>
          <w:b/>
          <w:bCs/>
          <w:color w:val="auto"/>
          <w:szCs w:val="21"/>
          <w:lang w:eastAsia="zh-CN"/>
        </w:rPr>
        <w:t>一级建造师采用电子证书的，其复制件应符合建设部建办市【2021】40号文件规定；二级建造师采用电子证书的，其复制件应符合二级建造师采用的电子证书，其复制件应在个人签名处手写本人签名，未手写签名的，该电子证书无效</w:t>
      </w:r>
      <w:r>
        <w:rPr>
          <w:rFonts w:hint="eastAsia" w:ascii="宋体" w:hAnsi="宋体" w:eastAsia="宋体" w:cs="Times New Roman"/>
          <w:b/>
          <w:bCs/>
          <w:color w:val="auto"/>
          <w:szCs w:val="21"/>
          <w:lang w:val="en-US" w:eastAsia="zh-CN"/>
        </w:rPr>
        <w:t>)</w:t>
      </w:r>
      <w:r>
        <w:rPr>
          <w:rFonts w:hint="eastAsia" w:ascii="宋体" w:hAnsi="宋体" w:eastAsia="宋体" w:cs="Times New Roman"/>
          <w:color w:val="auto"/>
          <w:szCs w:val="21"/>
          <w:lang w:eastAsia="zh-CN"/>
        </w:rPr>
        <w:t>。</w:t>
      </w:r>
      <w:r>
        <w:rPr>
          <w:rFonts w:hint="eastAsia" w:ascii="宋体" w:hAnsi="宋体" w:eastAsia="宋体" w:cs="Times New Roman"/>
          <w:color w:val="auto"/>
          <w:szCs w:val="21"/>
          <w:lang w:val="en-US" w:eastAsia="zh-CN"/>
        </w:rPr>
        <w:t>④项目负责人和安全员必须配备齐全（其中安全员配备符合建质【2008】91 号文件规定），项目负责人须有 B 类安全考核证书，项目安全员须有 C 类安全考核证书，且均应有本企业有效的社保证明（近 3 个月内任意一月）。如因故无法提供社保证明，须提供能证明是本企业在职人员的相关证明材料。⑤如浙江</w:t>
      </w:r>
      <w:r>
        <w:rPr>
          <w:rFonts w:hint="eastAsia" w:ascii="宋体" w:hAnsi="宋体" w:eastAsia="宋体" w:cs="Times New Roman"/>
          <w:color w:val="auto"/>
          <w:szCs w:val="21"/>
        </w:rPr>
        <w:t>省外企业</w:t>
      </w:r>
      <w:r>
        <w:rPr>
          <w:rFonts w:hint="eastAsia" w:eastAsia="宋体" w:cs="Times New Roman"/>
          <w:color w:val="auto"/>
          <w:szCs w:val="21"/>
          <w:lang w:val="en-US" w:eastAsia="zh-CN"/>
        </w:rPr>
        <w:t>响应</w:t>
      </w:r>
      <w:r>
        <w:rPr>
          <w:rFonts w:hint="eastAsia" w:ascii="宋体" w:hAnsi="宋体" w:eastAsia="宋体" w:cs="Times New Roman"/>
          <w:color w:val="auto"/>
          <w:szCs w:val="21"/>
          <w:lang w:eastAsia="zh-CN"/>
        </w:rPr>
        <w:t>的，</w:t>
      </w:r>
      <w:r>
        <w:rPr>
          <w:rFonts w:hint="eastAsia" w:ascii="宋体" w:hAnsi="宋体" w:eastAsia="宋体" w:cs="Times New Roman"/>
          <w:color w:val="auto"/>
          <w:szCs w:val="21"/>
          <w:lang w:val="en-US" w:eastAsia="zh-CN"/>
        </w:rPr>
        <w:t>须提供</w:t>
      </w:r>
      <w:r>
        <w:rPr>
          <w:rFonts w:hint="eastAsia" w:ascii="宋体" w:hAnsi="宋体" w:eastAsia="宋体" w:cs="Times New Roman"/>
          <w:color w:val="auto"/>
          <w:szCs w:val="21"/>
        </w:rPr>
        <w:t>在“浙江省建筑市场监管公共服务系统”备案信</w:t>
      </w:r>
      <w:r>
        <w:rPr>
          <w:rFonts w:hint="eastAsia"/>
          <w:color w:val="auto"/>
          <w:highlight w:val="white"/>
        </w:rPr>
        <w:t>息截图复制件</w:t>
      </w:r>
      <w:r>
        <w:rPr>
          <w:rFonts w:hint="eastAsia" w:ascii="宋体" w:hAnsi="宋体" w:eastAsia="宋体" w:cs="Times New Roman"/>
          <w:color w:val="auto"/>
          <w:szCs w:val="21"/>
          <w:lang w:eastAsia="zh-CN"/>
        </w:rPr>
        <w:t>。</w:t>
      </w:r>
    </w:p>
    <w:p w14:paraId="5E30725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三、获取（下载）采购文件</w:t>
      </w:r>
    </w:p>
    <w:p w14:paraId="740EFDB1">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highlight w:val="none"/>
        </w:rPr>
        <w:t>时间：/至202</w:t>
      </w:r>
      <w:r>
        <w:rPr>
          <w:rFonts w:hint="eastAsia" w:asciiTheme="minorEastAsia" w:hAnsiTheme="minorEastAsia" w:eastAsiaTheme="minorEastAsia" w:cstheme="minorEastAsia"/>
          <w:i w:val="0"/>
          <w:iCs w:val="0"/>
          <w:caps w:val="0"/>
          <w:color w:val="auto"/>
          <w:spacing w:val="0"/>
          <w:sz w:val="21"/>
          <w:szCs w:val="21"/>
          <w:highlight w:val="none"/>
          <w:lang w:val="en-US" w:eastAsia="zh-CN"/>
        </w:rPr>
        <w:t>4</w:t>
      </w:r>
      <w:r>
        <w:rPr>
          <w:rFonts w:hint="eastAsia" w:asciiTheme="minorEastAsia" w:hAnsiTheme="minorEastAsia" w:eastAsiaTheme="minorEastAsia" w:cstheme="minorEastAsia"/>
          <w:i w:val="0"/>
          <w:iCs w:val="0"/>
          <w:caps w:val="0"/>
          <w:color w:val="auto"/>
          <w:spacing w:val="0"/>
          <w:sz w:val="21"/>
          <w:szCs w:val="21"/>
          <w:highlight w:val="none"/>
        </w:rPr>
        <w:t>年</w:t>
      </w:r>
      <w:r>
        <w:rPr>
          <w:rFonts w:hint="eastAsia" w:asciiTheme="minorEastAsia" w:hAnsiTheme="minorEastAsia" w:eastAsiaTheme="minorEastAsia" w:cstheme="minorEastAsia"/>
          <w:i w:val="0"/>
          <w:iCs w:val="0"/>
          <w:caps w:val="0"/>
          <w:color w:val="auto"/>
          <w:spacing w:val="0"/>
          <w:sz w:val="21"/>
          <w:szCs w:val="21"/>
          <w:highlight w:val="none"/>
          <w:lang w:val="en-US" w:eastAsia="zh-CN"/>
        </w:rPr>
        <w:t>12</w:t>
      </w:r>
      <w:r>
        <w:rPr>
          <w:rFonts w:hint="eastAsia" w:asciiTheme="minorEastAsia" w:hAnsiTheme="minorEastAsia" w:eastAsiaTheme="minorEastAsia" w:cstheme="minorEastAsia"/>
          <w:i w:val="0"/>
          <w:iCs w:val="0"/>
          <w:caps w:val="0"/>
          <w:color w:val="auto"/>
          <w:spacing w:val="0"/>
          <w:sz w:val="21"/>
          <w:szCs w:val="21"/>
          <w:highlight w:val="none"/>
        </w:rPr>
        <w:t>月</w:t>
      </w:r>
      <w:r>
        <w:rPr>
          <w:rFonts w:hint="eastAsia" w:asciiTheme="minorEastAsia" w:hAnsiTheme="minorEastAsia" w:eastAsiaTheme="minorEastAsia" w:cstheme="minorEastAsia"/>
          <w:i w:val="0"/>
          <w:iCs w:val="0"/>
          <w:caps w:val="0"/>
          <w:color w:val="auto"/>
          <w:spacing w:val="0"/>
          <w:sz w:val="21"/>
          <w:szCs w:val="21"/>
          <w:highlight w:val="none"/>
          <w:lang w:val="en-US" w:eastAsia="zh-CN"/>
        </w:rPr>
        <w:t>23</w:t>
      </w:r>
      <w:r>
        <w:rPr>
          <w:rFonts w:hint="eastAsia" w:asciiTheme="minorEastAsia" w:hAnsiTheme="minorEastAsia" w:eastAsiaTheme="minorEastAsia" w:cstheme="minorEastAsia"/>
          <w:i w:val="0"/>
          <w:iCs w:val="0"/>
          <w:caps w:val="0"/>
          <w:color w:val="auto"/>
          <w:spacing w:val="0"/>
          <w:sz w:val="21"/>
          <w:szCs w:val="21"/>
          <w:highlight w:val="none"/>
        </w:rPr>
        <w:t>日，每天上午00:00至12:00，下午12:00至23:59（北京时间，线上获</w:t>
      </w:r>
      <w:r>
        <w:rPr>
          <w:rFonts w:hint="eastAsia" w:asciiTheme="minorEastAsia" w:hAnsiTheme="minorEastAsia" w:eastAsiaTheme="minorEastAsia" w:cstheme="minorEastAsia"/>
          <w:i w:val="0"/>
          <w:iCs w:val="0"/>
          <w:caps w:val="0"/>
          <w:color w:val="auto"/>
          <w:spacing w:val="0"/>
          <w:sz w:val="21"/>
          <w:szCs w:val="21"/>
        </w:rPr>
        <w:t>取法定节假日均可，线下获取文件法定节假日除外）</w:t>
      </w:r>
    </w:p>
    <w:p w14:paraId="5CC96557">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地点（网址）：浙江政府采购网http://zfcg.czt.zj.gov.cn/（用“政采云”注册账号、密码登录系统后获取</w:t>
      </w:r>
      <w:r>
        <w:rPr>
          <w:rFonts w:hint="eastAsia" w:asciiTheme="minorEastAsia" w:hAnsiTheme="minorEastAsia" w:eastAsiaTheme="minorEastAsia" w:cstheme="minorEastAsia"/>
          <w:i w:val="0"/>
          <w:iCs w:val="0"/>
          <w:caps w:val="0"/>
          <w:color w:val="auto"/>
          <w:spacing w:val="0"/>
          <w:sz w:val="21"/>
          <w:szCs w:val="21"/>
          <w:lang w:val="en-US" w:eastAsia="zh-CN"/>
        </w:rPr>
        <w:t>磋商</w:t>
      </w:r>
      <w:r>
        <w:rPr>
          <w:rFonts w:hint="eastAsia" w:asciiTheme="minorEastAsia" w:hAnsiTheme="minorEastAsia" w:eastAsiaTheme="minorEastAsia" w:cstheme="minorEastAsia"/>
          <w:i w:val="0"/>
          <w:iCs w:val="0"/>
          <w:caps w:val="0"/>
          <w:color w:val="auto"/>
          <w:spacing w:val="0"/>
          <w:sz w:val="21"/>
          <w:szCs w:val="21"/>
        </w:rPr>
        <w:t>文件） </w:t>
      </w:r>
    </w:p>
    <w:p w14:paraId="236FAEE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方式：网上获取。免费注册网址：浙江政府采购网（供应商注册页面）：https://middle.zcygov.cn/settle-front/#/registry“政采云”，已经注册成功的供应商无需重复注册，本项目实行电子</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人在使用系统进行</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的过程中涉及平台使用的任何问题可致电政采云平台技术支持热线：95763。</w:t>
      </w:r>
    </w:p>
    <w:p w14:paraId="3D658341">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售价（元）：0</w:t>
      </w:r>
    </w:p>
    <w:p w14:paraId="06992AD9">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四、响应文件提交（上传）</w:t>
      </w:r>
    </w:p>
    <w:p w14:paraId="75339852">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截止时间：</w:t>
      </w:r>
      <w:r>
        <w:rPr>
          <w:rFonts w:hint="eastAsia" w:asciiTheme="minorEastAsia" w:hAnsiTheme="minorEastAsia" w:eastAsiaTheme="minorEastAsia" w:cstheme="minorEastAsia"/>
          <w:i w:val="0"/>
          <w:iCs w:val="0"/>
          <w:caps w:val="0"/>
          <w:color w:val="auto"/>
          <w:spacing w:val="0"/>
          <w:sz w:val="21"/>
          <w:szCs w:val="21"/>
          <w:lang w:eastAsia="zh-CN"/>
        </w:rPr>
        <w:t>2024</w:t>
      </w:r>
      <w:r>
        <w:rPr>
          <w:rFonts w:hint="eastAsia" w:asciiTheme="minorEastAsia" w:hAnsiTheme="minorEastAsia" w:eastAsiaTheme="minorEastAsia" w:cstheme="minorEastAsia"/>
          <w:i w:val="0"/>
          <w:iCs w:val="0"/>
          <w:caps w:val="0"/>
          <w:color w:val="auto"/>
          <w:spacing w:val="0"/>
          <w:sz w:val="21"/>
          <w:szCs w:val="21"/>
        </w:rPr>
        <w:t>年</w:t>
      </w:r>
      <w:r>
        <w:rPr>
          <w:rFonts w:hint="eastAsia" w:asciiTheme="minorEastAsia" w:hAnsiTheme="minorEastAsia" w:eastAsiaTheme="minorEastAsia" w:cstheme="minorEastAsia"/>
          <w:i w:val="0"/>
          <w:iCs w:val="0"/>
          <w:caps w:val="0"/>
          <w:color w:val="auto"/>
          <w:spacing w:val="0"/>
          <w:sz w:val="21"/>
          <w:szCs w:val="21"/>
          <w:lang w:val="en-US" w:eastAsia="zh-CN"/>
        </w:rPr>
        <w:t>12</w:t>
      </w:r>
      <w:r>
        <w:rPr>
          <w:rFonts w:hint="eastAsia" w:asciiTheme="minorEastAsia" w:hAnsiTheme="minorEastAsia" w:eastAsiaTheme="minorEastAsia" w:cstheme="minorEastAsia"/>
          <w:i w:val="0"/>
          <w:iCs w:val="0"/>
          <w:caps w:val="0"/>
          <w:color w:val="auto"/>
          <w:spacing w:val="0"/>
          <w:sz w:val="21"/>
          <w:szCs w:val="21"/>
        </w:rPr>
        <w:t>月</w:t>
      </w:r>
      <w:r>
        <w:rPr>
          <w:rFonts w:hint="eastAsia" w:asciiTheme="minorEastAsia" w:hAnsiTheme="minorEastAsia" w:eastAsiaTheme="minorEastAsia" w:cstheme="minorEastAsia"/>
          <w:i w:val="0"/>
          <w:iCs w:val="0"/>
          <w:caps w:val="0"/>
          <w:color w:val="auto"/>
          <w:spacing w:val="0"/>
          <w:sz w:val="21"/>
          <w:szCs w:val="21"/>
          <w:lang w:val="en-US" w:eastAsia="zh-CN"/>
        </w:rPr>
        <w:t>23</w:t>
      </w:r>
      <w:r>
        <w:rPr>
          <w:rFonts w:hint="eastAsia" w:asciiTheme="minorEastAsia" w:hAnsiTheme="minorEastAsia" w:eastAsiaTheme="minorEastAsia" w:cstheme="minorEastAsia"/>
          <w:i w:val="0"/>
          <w:iCs w:val="0"/>
          <w:caps w:val="0"/>
          <w:color w:val="auto"/>
          <w:spacing w:val="0"/>
          <w:sz w:val="21"/>
          <w:szCs w:val="21"/>
        </w:rPr>
        <w:t xml:space="preserve">日 </w:t>
      </w:r>
      <w:r>
        <w:rPr>
          <w:rFonts w:hint="eastAsia" w:asciiTheme="minorEastAsia" w:hAnsiTheme="minorEastAsia" w:eastAsiaTheme="minorEastAsia" w:cstheme="minorEastAsia"/>
          <w:i w:val="0"/>
          <w:iCs w:val="0"/>
          <w:caps w:val="0"/>
          <w:color w:val="auto"/>
          <w:spacing w:val="0"/>
          <w:sz w:val="21"/>
          <w:szCs w:val="21"/>
          <w:lang w:val="en-US" w:eastAsia="zh-CN"/>
        </w:rPr>
        <w:t>9</w:t>
      </w:r>
      <w:r>
        <w:rPr>
          <w:rFonts w:hint="eastAsia" w:asciiTheme="minorEastAsia" w:hAnsiTheme="minorEastAsia" w:eastAsiaTheme="minorEastAsia" w:cstheme="minorEastAsia"/>
          <w:i w:val="0"/>
          <w:iCs w:val="0"/>
          <w:caps w:val="0"/>
          <w:color w:val="auto"/>
          <w:spacing w:val="0"/>
          <w:sz w:val="21"/>
          <w:szCs w:val="21"/>
        </w:rPr>
        <w:t>:</w:t>
      </w:r>
      <w:r>
        <w:rPr>
          <w:rFonts w:hint="eastAsia" w:asciiTheme="minorEastAsia" w:hAnsiTheme="minorEastAsia" w:eastAsiaTheme="minorEastAsia" w:cstheme="minorEastAsia"/>
          <w:i w:val="0"/>
          <w:iCs w:val="0"/>
          <w:caps w:val="0"/>
          <w:color w:val="auto"/>
          <w:spacing w:val="0"/>
          <w:sz w:val="21"/>
          <w:szCs w:val="21"/>
          <w:lang w:val="en-US" w:eastAsia="zh-CN"/>
        </w:rPr>
        <w:t>00</w:t>
      </w:r>
      <w:r>
        <w:rPr>
          <w:rFonts w:hint="eastAsia" w:asciiTheme="minorEastAsia" w:hAnsiTheme="minorEastAsia" w:eastAsiaTheme="minorEastAsia" w:cstheme="minorEastAsia"/>
          <w:i w:val="0"/>
          <w:iCs w:val="0"/>
          <w:caps w:val="0"/>
          <w:color w:val="auto"/>
          <w:spacing w:val="0"/>
          <w:sz w:val="21"/>
          <w:szCs w:val="21"/>
        </w:rPr>
        <w:t>（北京时间）</w:t>
      </w:r>
    </w:p>
    <w:p w14:paraId="58F262FB">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地点（网址）：本项目不要求供应商授权代表参加现场开标、开启</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文件活动。</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人将加密的电子版</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文件于</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截止时间前上传到政采云系统中。</w:t>
      </w:r>
    </w:p>
    <w:p w14:paraId="0BD91AA1">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五、响应文件开启</w:t>
      </w:r>
    </w:p>
    <w:p w14:paraId="70609D2B">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开启时间：</w:t>
      </w:r>
      <w:r>
        <w:rPr>
          <w:rFonts w:hint="eastAsia" w:asciiTheme="minorEastAsia" w:hAnsiTheme="minorEastAsia" w:eastAsiaTheme="minorEastAsia" w:cstheme="minorEastAsia"/>
          <w:i w:val="0"/>
          <w:iCs w:val="0"/>
          <w:caps w:val="0"/>
          <w:color w:val="auto"/>
          <w:spacing w:val="0"/>
          <w:sz w:val="21"/>
          <w:szCs w:val="21"/>
          <w:lang w:eastAsia="zh-CN"/>
        </w:rPr>
        <w:t>2024</w:t>
      </w:r>
      <w:r>
        <w:rPr>
          <w:rFonts w:hint="eastAsia" w:asciiTheme="minorEastAsia" w:hAnsiTheme="minorEastAsia" w:eastAsiaTheme="minorEastAsia" w:cstheme="minorEastAsia"/>
          <w:i w:val="0"/>
          <w:iCs w:val="0"/>
          <w:caps w:val="0"/>
          <w:color w:val="auto"/>
          <w:spacing w:val="0"/>
          <w:sz w:val="21"/>
          <w:szCs w:val="21"/>
        </w:rPr>
        <w:t>年</w:t>
      </w:r>
      <w:r>
        <w:rPr>
          <w:rFonts w:hint="eastAsia" w:asciiTheme="minorEastAsia" w:hAnsiTheme="minorEastAsia" w:eastAsiaTheme="minorEastAsia" w:cstheme="minorEastAsia"/>
          <w:i w:val="0"/>
          <w:iCs w:val="0"/>
          <w:caps w:val="0"/>
          <w:color w:val="auto"/>
          <w:spacing w:val="0"/>
          <w:sz w:val="21"/>
          <w:szCs w:val="21"/>
          <w:lang w:val="en-US" w:eastAsia="zh-CN"/>
        </w:rPr>
        <w:t>12</w:t>
      </w:r>
      <w:r>
        <w:rPr>
          <w:rFonts w:hint="eastAsia" w:asciiTheme="minorEastAsia" w:hAnsiTheme="minorEastAsia" w:eastAsiaTheme="minorEastAsia" w:cstheme="minorEastAsia"/>
          <w:i w:val="0"/>
          <w:iCs w:val="0"/>
          <w:caps w:val="0"/>
          <w:color w:val="auto"/>
          <w:spacing w:val="0"/>
          <w:sz w:val="21"/>
          <w:szCs w:val="21"/>
        </w:rPr>
        <w:t>月</w:t>
      </w:r>
      <w:r>
        <w:rPr>
          <w:rFonts w:hint="eastAsia" w:asciiTheme="minorEastAsia" w:hAnsiTheme="minorEastAsia" w:eastAsiaTheme="minorEastAsia" w:cstheme="minorEastAsia"/>
          <w:i w:val="0"/>
          <w:iCs w:val="0"/>
          <w:caps w:val="0"/>
          <w:color w:val="auto"/>
          <w:spacing w:val="0"/>
          <w:sz w:val="21"/>
          <w:szCs w:val="21"/>
          <w:lang w:val="en-US" w:eastAsia="zh-CN"/>
        </w:rPr>
        <w:t>23</w:t>
      </w:r>
      <w:r>
        <w:rPr>
          <w:rFonts w:hint="eastAsia" w:asciiTheme="minorEastAsia" w:hAnsiTheme="minorEastAsia" w:eastAsiaTheme="minorEastAsia" w:cstheme="minorEastAsia"/>
          <w:i w:val="0"/>
          <w:iCs w:val="0"/>
          <w:caps w:val="0"/>
          <w:color w:val="auto"/>
          <w:spacing w:val="0"/>
          <w:sz w:val="21"/>
          <w:szCs w:val="21"/>
        </w:rPr>
        <w:t xml:space="preserve">日 </w:t>
      </w:r>
      <w:r>
        <w:rPr>
          <w:rFonts w:hint="eastAsia" w:asciiTheme="minorEastAsia" w:hAnsiTheme="minorEastAsia" w:eastAsiaTheme="minorEastAsia" w:cstheme="minorEastAsia"/>
          <w:i w:val="0"/>
          <w:iCs w:val="0"/>
          <w:caps w:val="0"/>
          <w:color w:val="auto"/>
          <w:spacing w:val="0"/>
          <w:sz w:val="21"/>
          <w:szCs w:val="21"/>
          <w:lang w:val="en-US" w:eastAsia="zh-CN"/>
        </w:rPr>
        <w:t>9</w:t>
      </w:r>
      <w:r>
        <w:rPr>
          <w:rFonts w:hint="eastAsia" w:asciiTheme="minorEastAsia" w:hAnsiTheme="minorEastAsia" w:eastAsiaTheme="minorEastAsia" w:cstheme="minorEastAsia"/>
          <w:i w:val="0"/>
          <w:iCs w:val="0"/>
          <w:caps w:val="0"/>
          <w:color w:val="auto"/>
          <w:spacing w:val="0"/>
          <w:sz w:val="21"/>
          <w:szCs w:val="21"/>
        </w:rPr>
        <w:t>:</w:t>
      </w:r>
      <w:r>
        <w:rPr>
          <w:rFonts w:hint="eastAsia" w:asciiTheme="minorEastAsia" w:hAnsiTheme="minorEastAsia" w:eastAsiaTheme="minorEastAsia" w:cstheme="minorEastAsia"/>
          <w:i w:val="0"/>
          <w:iCs w:val="0"/>
          <w:caps w:val="0"/>
          <w:color w:val="auto"/>
          <w:spacing w:val="0"/>
          <w:sz w:val="21"/>
          <w:szCs w:val="21"/>
          <w:lang w:val="en-US" w:eastAsia="zh-CN"/>
        </w:rPr>
        <w:t>00</w:t>
      </w:r>
      <w:r>
        <w:rPr>
          <w:rFonts w:hint="eastAsia" w:asciiTheme="minorEastAsia" w:hAnsiTheme="minorEastAsia" w:eastAsiaTheme="minorEastAsia" w:cstheme="minorEastAsia"/>
          <w:i w:val="0"/>
          <w:iCs w:val="0"/>
          <w:caps w:val="0"/>
          <w:color w:val="auto"/>
          <w:spacing w:val="0"/>
          <w:sz w:val="21"/>
          <w:szCs w:val="21"/>
        </w:rPr>
        <w:t>（北京时间）</w:t>
      </w:r>
    </w:p>
    <w:p w14:paraId="5BCD23EF">
      <w:pPr>
        <w:pageBreakBefore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i w:val="0"/>
          <w:iCs w:val="0"/>
          <w:caps w:val="0"/>
          <w:color w:val="auto"/>
          <w:spacing w:val="0"/>
          <w:kern w:val="0"/>
          <w:sz w:val="21"/>
          <w:szCs w:val="21"/>
          <w:lang w:val="en-US" w:eastAsia="zh-CN" w:bidi="ar-SA"/>
        </w:rPr>
      </w:pPr>
      <w:r>
        <w:rPr>
          <w:rFonts w:hint="eastAsia" w:asciiTheme="minorEastAsia" w:hAnsiTheme="minorEastAsia" w:eastAsiaTheme="minorEastAsia" w:cstheme="minorEastAsia"/>
          <w:i w:val="0"/>
          <w:iCs w:val="0"/>
          <w:caps w:val="0"/>
          <w:color w:val="auto"/>
          <w:spacing w:val="0"/>
          <w:kern w:val="0"/>
          <w:sz w:val="21"/>
          <w:szCs w:val="21"/>
          <w:lang w:val="en-US" w:eastAsia="zh-CN" w:bidi="ar-SA"/>
        </w:rPr>
        <w:t>地点（网址）：舟山市公共资源交易中心岱山县分中心（岱山县高亭镇星河路250号3楼）</w:t>
      </w:r>
    </w:p>
    <w:p w14:paraId="791C1AE9">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六、采购意向公开链接</w:t>
      </w:r>
    </w:p>
    <w:p w14:paraId="08687EC1">
      <w:pPr>
        <w:spacing w:line="36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w:t>
      </w:r>
      <w:r>
        <w:rPr>
          <w:rFonts w:hint="eastAsia" w:ascii="宋体" w:hAnsi="宋体" w:eastAsia="宋体" w:cs="Times New Roman"/>
          <w:color w:val="auto"/>
          <w:szCs w:val="21"/>
        </w:rPr>
        <w:t>http://www.ccgp-zhejiang.gov.cn/site/detail?categoryCode=ZcyAnnouncement&amp;parentId=600007&amp;articleId=aaJOIIWZaFRPHjbRQ1HJBg==</w:t>
      </w:r>
    </w:p>
    <w:p w14:paraId="5A7FF3B3">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七、公告期限</w:t>
      </w:r>
    </w:p>
    <w:p w14:paraId="1BCFBBE0">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自本公告发布之日起3个工作日。</w:t>
      </w:r>
    </w:p>
    <w:p w14:paraId="36DC7427">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八、其他补充事宜</w:t>
      </w:r>
    </w:p>
    <w:p w14:paraId="5326907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2105D9A">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BD0E5BB">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aps w:val="0"/>
          <w:color w:val="auto"/>
          <w:spacing w:val="0"/>
          <w:sz w:val="21"/>
          <w:szCs w:val="21"/>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Theme="minorEastAsia" w:hAnsiTheme="minorEastAsia" w:eastAsiaTheme="minorEastAsia" w:cstheme="minorEastAsia"/>
          <w:i w:val="0"/>
          <w:iCs w:val="0"/>
          <w:caps w:val="0"/>
          <w:color w:val="auto"/>
          <w:spacing w:val="0"/>
          <w:sz w:val="21"/>
          <w:szCs w:val="21"/>
        </w:rPr>
        <w:br w:type="textWrapping"/>
      </w:r>
      <w:r>
        <w:rPr>
          <w:rFonts w:hint="eastAsia" w:asciiTheme="minorEastAsia" w:hAnsiTheme="minorEastAsia" w:eastAsiaTheme="minorEastAsia" w:cstheme="minorEastAsia"/>
          <w:i w:val="0"/>
          <w:iCs w:val="0"/>
          <w:caps w:val="0"/>
          <w:color w:val="auto"/>
          <w:spacing w:val="0"/>
          <w:sz w:val="21"/>
          <w:szCs w:val="21"/>
        </w:rPr>
        <w:t>　　4.其他事项：（1）</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文件的制作及递交：1）</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人须在线获取CA数字证书（完成CA数字证书办理预计一周左右，建议各</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人自行把握时间），并登录“浙江政府采购网”（ http://zfcg.czt.zj.gov.cn/），进入“下载专区”下载“电子交易客户端”，制作</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文件。2）具体的</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文件加密上传等操作详见政采云平台操作指南（https://edu.zcygov.cn/luban/e-biding?utm=a0004.2ef5001f.0001.0109.da8b35e0da8611e98d8937b7ef8a3544）。3）根据《浙江省政府采购项目电子交易管理暂行办法》第二十条规定，本次</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允许</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人递交备份</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文件，仅提交备份</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文件的，</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无效。（2）</w:t>
      </w:r>
      <w:r>
        <w:rPr>
          <w:rFonts w:hint="eastAsia" w:asciiTheme="minorEastAsia" w:hAnsiTheme="minorEastAsia" w:eastAsiaTheme="minorEastAsia" w:cstheme="minorEastAsia"/>
          <w:i w:val="0"/>
          <w:iCs w:val="0"/>
          <w:caps w:val="0"/>
          <w:color w:val="auto"/>
          <w:spacing w:val="0"/>
          <w:sz w:val="21"/>
          <w:szCs w:val="21"/>
          <w:lang w:val="en-US" w:eastAsia="zh-CN"/>
        </w:rPr>
        <w:t>响应</w:t>
      </w:r>
      <w:r>
        <w:rPr>
          <w:rFonts w:hint="eastAsia" w:asciiTheme="minorEastAsia" w:hAnsiTheme="minorEastAsia" w:eastAsiaTheme="minorEastAsia" w:cstheme="minorEastAsia"/>
          <w:i w:val="0"/>
          <w:iCs w:val="0"/>
          <w:caps w:val="0"/>
          <w:color w:val="auto"/>
          <w:spacing w:val="0"/>
          <w:sz w:val="21"/>
          <w:szCs w:val="21"/>
        </w:rPr>
        <w:t>人应在合同签订前成为浙江政府采购网正式注册供应商。</w:t>
      </w:r>
    </w:p>
    <w:p w14:paraId="0C7DC69D">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1"/>
          <w:szCs w:val="21"/>
        </w:rPr>
      </w:pPr>
    </w:p>
    <w:p w14:paraId="7F90592F">
      <w:pPr>
        <w:pStyle w:val="2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sz w:val="21"/>
          <w:szCs w:val="21"/>
        </w:rPr>
      </w:pPr>
      <w:r>
        <w:rPr>
          <w:rStyle w:val="31"/>
          <w:rFonts w:hint="eastAsia" w:asciiTheme="minorEastAsia" w:hAnsiTheme="minorEastAsia" w:eastAsiaTheme="minorEastAsia" w:cstheme="minorEastAsia"/>
          <w:i w:val="0"/>
          <w:iCs w:val="0"/>
          <w:caps w:val="0"/>
          <w:color w:val="auto"/>
          <w:spacing w:val="0"/>
          <w:sz w:val="21"/>
          <w:szCs w:val="21"/>
        </w:rPr>
        <w:t>九、凡对本次招标提出询问、质疑、投诉，请按以下方式联系</w:t>
      </w:r>
    </w:p>
    <w:p w14:paraId="0D6A03DF">
      <w:pPr>
        <w:widowControl/>
        <w:spacing w:line="360" w:lineRule="auto"/>
        <w:ind w:firstLine="420" w:firstLineChars="200"/>
        <w:jc w:val="left"/>
        <w:rPr>
          <w:rFonts w:hint="eastAsia" w:ascii="宋体" w:hAnsi="宋体"/>
          <w:color w:val="auto"/>
          <w:szCs w:val="21"/>
        </w:rPr>
      </w:pPr>
      <w:r>
        <w:rPr>
          <w:rFonts w:hint="eastAsia" w:asciiTheme="minorEastAsia" w:hAnsiTheme="minorEastAsia" w:eastAsiaTheme="minorEastAsia" w:cstheme="minorEastAsia"/>
          <w:i w:val="0"/>
          <w:iCs w:val="0"/>
          <w:caps w:val="0"/>
          <w:color w:val="auto"/>
          <w:spacing w:val="0"/>
          <w:sz w:val="21"/>
          <w:szCs w:val="21"/>
        </w:rPr>
        <w:t> </w:t>
      </w:r>
      <w:r>
        <w:rPr>
          <w:rFonts w:hint="eastAsia" w:ascii="宋体" w:hAnsi="宋体" w:cs="宋体"/>
          <w:color w:val="auto"/>
          <w:szCs w:val="21"/>
        </w:rPr>
        <w:t>1.采购人信息</w:t>
      </w:r>
    </w:p>
    <w:p w14:paraId="5063DDBE">
      <w:pPr>
        <w:spacing w:line="360" w:lineRule="auto"/>
        <w:ind w:firstLine="420" w:firstLineChars="200"/>
        <w:jc w:val="left"/>
        <w:rPr>
          <w:rFonts w:hint="eastAsia" w:ascii="宋体" w:hAnsi="宋体" w:eastAsia="宋体"/>
          <w:color w:val="auto"/>
          <w:szCs w:val="21"/>
          <w:lang w:eastAsia="zh-CN"/>
        </w:rPr>
      </w:pPr>
      <w:r>
        <w:rPr>
          <w:rFonts w:hint="eastAsia" w:ascii="宋体" w:hAnsi="宋体"/>
          <w:color w:val="auto"/>
          <w:szCs w:val="21"/>
        </w:rPr>
        <w:t>名称：</w:t>
      </w:r>
      <w:r>
        <w:rPr>
          <w:rFonts w:hint="eastAsia" w:ascii="宋体" w:hAnsi="宋体"/>
          <w:color w:val="auto"/>
          <w:szCs w:val="21"/>
          <w:lang w:eastAsia="zh-CN"/>
        </w:rPr>
        <w:t>岱山县市政和园林绿化管理处</w:t>
      </w:r>
    </w:p>
    <w:p w14:paraId="34FE347A">
      <w:pPr>
        <w:spacing w:line="360" w:lineRule="auto"/>
        <w:ind w:firstLine="420" w:firstLineChars="200"/>
        <w:jc w:val="left"/>
        <w:rPr>
          <w:rFonts w:hint="eastAsia" w:ascii="宋体" w:hAnsi="宋体" w:eastAsia="宋体" w:cs="Times New Roman"/>
          <w:color w:val="auto"/>
          <w:szCs w:val="21"/>
          <w:lang w:eastAsia="zh-CN"/>
        </w:rPr>
      </w:pPr>
      <w:r>
        <w:rPr>
          <w:rFonts w:hint="eastAsia" w:ascii="宋体" w:hAnsi="宋体"/>
          <w:color w:val="auto"/>
          <w:szCs w:val="21"/>
        </w:rPr>
        <w:t>地址：岱山县高亭镇蓬园路222号</w:t>
      </w:r>
    </w:p>
    <w:p w14:paraId="4C3B2C7F">
      <w:pPr>
        <w:spacing w:line="360" w:lineRule="auto"/>
        <w:ind w:firstLine="420" w:firstLineChars="200"/>
        <w:jc w:val="left"/>
        <w:rPr>
          <w:rFonts w:hint="eastAsia" w:ascii="宋体" w:hAnsi="宋体"/>
          <w:color w:val="auto"/>
          <w:szCs w:val="21"/>
        </w:rPr>
      </w:pPr>
      <w:r>
        <w:rPr>
          <w:rFonts w:hint="eastAsia" w:ascii="宋体" w:hAnsi="宋体"/>
          <w:color w:val="auto"/>
          <w:szCs w:val="21"/>
        </w:rPr>
        <w:t>传真：/</w:t>
      </w:r>
    </w:p>
    <w:p w14:paraId="4A2DC7FD">
      <w:pPr>
        <w:spacing w:line="360" w:lineRule="auto"/>
        <w:ind w:firstLine="420" w:firstLineChars="200"/>
        <w:jc w:val="left"/>
        <w:rPr>
          <w:rFonts w:hint="default" w:ascii="宋体" w:hAnsi="宋体" w:eastAsia="宋体"/>
          <w:color w:val="auto"/>
          <w:szCs w:val="21"/>
          <w:lang w:val="en-US" w:eastAsia="zh-CN"/>
        </w:rPr>
      </w:pPr>
      <w:r>
        <w:rPr>
          <w:rFonts w:hint="eastAsia" w:ascii="宋体" w:hAnsi="宋体"/>
          <w:color w:val="auto"/>
          <w:szCs w:val="21"/>
        </w:rPr>
        <w:t>项目联系人（询问）：姚先生</w:t>
      </w:r>
    </w:p>
    <w:p w14:paraId="6469FC4B">
      <w:pPr>
        <w:spacing w:line="360" w:lineRule="auto"/>
        <w:ind w:firstLine="420" w:firstLineChars="200"/>
        <w:jc w:val="left"/>
        <w:rPr>
          <w:rFonts w:hint="default" w:ascii="宋体" w:hAnsi="宋体" w:eastAsia="宋体" w:cs="Times New Roman"/>
          <w:bCs/>
          <w:color w:val="auto"/>
          <w:szCs w:val="21"/>
          <w:lang w:val="en-US" w:eastAsia="zh-CN"/>
        </w:rPr>
      </w:pPr>
      <w:r>
        <w:rPr>
          <w:rFonts w:hint="eastAsia" w:ascii="宋体" w:hAnsi="宋体"/>
          <w:color w:val="auto"/>
          <w:szCs w:val="21"/>
        </w:rPr>
        <w:t>项目联系方式（询问）</w:t>
      </w:r>
      <w:r>
        <w:rPr>
          <w:rFonts w:hint="eastAsia" w:ascii="宋体" w:hAnsi="宋体" w:eastAsia="宋体" w:cs="Times New Roman"/>
          <w:bCs/>
          <w:color w:val="auto"/>
          <w:szCs w:val="21"/>
        </w:rPr>
        <w:t>：0580-4470676</w:t>
      </w:r>
    </w:p>
    <w:p w14:paraId="700EB106">
      <w:pPr>
        <w:spacing w:line="360" w:lineRule="auto"/>
        <w:ind w:firstLine="420" w:firstLineChars="200"/>
        <w:jc w:val="left"/>
        <w:rPr>
          <w:rFonts w:hint="default" w:ascii="宋体" w:hAnsi="宋体" w:eastAsia="宋体"/>
          <w:color w:val="auto"/>
          <w:szCs w:val="21"/>
          <w:lang w:val="en-US" w:eastAsia="zh-CN"/>
        </w:rPr>
      </w:pPr>
      <w:r>
        <w:rPr>
          <w:rFonts w:hint="eastAsia" w:ascii="宋体" w:hAnsi="宋体"/>
          <w:color w:val="auto"/>
          <w:szCs w:val="21"/>
        </w:rPr>
        <w:t>质疑联系人：金先生</w:t>
      </w:r>
    </w:p>
    <w:p w14:paraId="7EF7AA89">
      <w:pPr>
        <w:spacing w:line="360" w:lineRule="auto"/>
        <w:ind w:firstLine="420" w:firstLineChars="200"/>
        <w:jc w:val="left"/>
        <w:rPr>
          <w:rFonts w:hint="eastAsia" w:ascii="宋体" w:hAnsi="宋体" w:eastAsia="宋体" w:cs="Times New Roman"/>
          <w:bCs/>
          <w:color w:val="auto"/>
          <w:szCs w:val="21"/>
        </w:rPr>
      </w:pPr>
      <w:r>
        <w:rPr>
          <w:rFonts w:hint="eastAsia" w:ascii="宋体" w:hAnsi="宋体"/>
          <w:color w:val="auto"/>
          <w:szCs w:val="21"/>
        </w:rPr>
        <w:t>质疑联系方式</w:t>
      </w:r>
      <w:r>
        <w:rPr>
          <w:rFonts w:hint="eastAsia" w:ascii="宋体" w:hAnsi="宋体" w:eastAsia="宋体" w:cs="Times New Roman"/>
          <w:bCs/>
          <w:color w:val="auto"/>
          <w:szCs w:val="21"/>
        </w:rPr>
        <w:t>：0580-4472127</w:t>
      </w:r>
    </w:p>
    <w:p w14:paraId="435E5619">
      <w:pPr>
        <w:spacing w:line="360" w:lineRule="auto"/>
        <w:ind w:firstLine="420" w:firstLineChars="200"/>
        <w:jc w:val="left"/>
        <w:rPr>
          <w:rFonts w:hint="eastAsia" w:ascii="宋体" w:hAnsi="宋体"/>
          <w:color w:val="auto"/>
          <w:szCs w:val="21"/>
        </w:rPr>
      </w:pPr>
      <w:r>
        <w:rPr>
          <w:rFonts w:hint="eastAsia" w:ascii="宋体" w:hAnsi="宋体" w:cs="宋体"/>
          <w:color w:val="auto"/>
          <w:szCs w:val="21"/>
        </w:rPr>
        <w:t>2.采购代理机构信息</w:t>
      </w:r>
    </w:p>
    <w:p w14:paraId="761970D5">
      <w:pPr>
        <w:spacing w:line="360" w:lineRule="auto"/>
        <w:ind w:firstLine="420" w:firstLineChars="200"/>
        <w:rPr>
          <w:rFonts w:hint="eastAsia" w:ascii="宋体" w:hAnsi="宋体"/>
          <w:color w:val="auto"/>
          <w:szCs w:val="21"/>
        </w:rPr>
      </w:pPr>
      <w:r>
        <w:rPr>
          <w:rFonts w:hint="eastAsia" w:ascii="宋体" w:hAnsi="宋体"/>
          <w:color w:val="auto"/>
          <w:szCs w:val="21"/>
        </w:rPr>
        <w:t>名称：舟山市博琛建设工程管理有限公司</w:t>
      </w:r>
    </w:p>
    <w:p w14:paraId="465766F9">
      <w:pPr>
        <w:spacing w:line="360" w:lineRule="auto"/>
        <w:ind w:firstLine="420" w:firstLineChars="200"/>
        <w:rPr>
          <w:rFonts w:hint="eastAsia" w:ascii="宋体" w:hAnsi="宋体"/>
          <w:color w:val="auto"/>
          <w:szCs w:val="21"/>
        </w:rPr>
      </w:pPr>
      <w:r>
        <w:rPr>
          <w:rFonts w:hint="eastAsia" w:ascii="宋体" w:hAnsi="宋体"/>
          <w:color w:val="auto"/>
          <w:szCs w:val="21"/>
        </w:rPr>
        <w:t>地址：岱山县高亭镇商会大厦10楼</w:t>
      </w:r>
    </w:p>
    <w:p w14:paraId="528FFD44">
      <w:pPr>
        <w:spacing w:line="360" w:lineRule="auto"/>
        <w:ind w:firstLine="420" w:firstLineChars="200"/>
        <w:rPr>
          <w:rFonts w:ascii="宋体" w:hAnsi="宋体"/>
          <w:color w:val="auto"/>
          <w:szCs w:val="21"/>
        </w:rPr>
      </w:pPr>
      <w:r>
        <w:rPr>
          <w:rFonts w:hint="eastAsia" w:ascii="宋体" w:hAnsi="宋体"/>
          <w:color w:val="auto"/>
          <w:szCs w:val="21"/>
        </w:rPr>
        <w:t>传真：0580-4472608</w:t>
      </w:r>
    </w:p>
    <w:p w14:paraId="20B98A87">
      <w:pPr>
        <w:spacing w:line="360" w:lineRule="auto"/>
        <w:ind w:firstLine="420" w:firstLineChars="200"/>
        <w:rPr>
          <w:rFonts w:hint="eastAsia" w:ascii="宋体" w:hAnsi="宋体"/>
          <w:color w:val="auto"/>
          <w:szCs w:val="21"/>
        </w:rPr>
      </w:pPr>
      <w:r>
        <w:rPr>
          <w:rFonts w:hint="eastAsia" w:ascii="宋体" w:hAnsi="宋体"/>
          <w:color w:val="auto"/>
          <w:szCs w:val="21"/>
        </w:rPr>
        <w:t>项目联系人（询问）：王女士</w:t>
      </w:r>
    </w:p>
    <w:p w14:paraId="663E02D8">
      <w:pPr>
        <w:spacing w:line="360" w:lineRule="auto"/>
        <w:ind w:firstLine="420" w:firstLineChars="200"/>
        <w:rPr>
          <w:rFonts w:ascii="宋体" w:hAnsi="宋体"/>
          <w:color w:val="auto"/>
          <w:szCs w:val="21"/>
        </w:rPr>
      </w:pPr>
      <w:r>
        <w:rPr>
          <w:rFonts w:hint="eastAsia" w:ascii="宋体" w:hAnsi="宋体"/>
          <w:color w:val="auto"/>
          <w:szCs w:val="21"/>
        </w:rPr>
        <w:t>项目联系方式（询问）：0580-4472608</w:t>
      </w:r>
    </w:p>
    <w:p w14:paraId="0DEDC53A">
      <w:pPr>
        <w:spacing w:line="360" w:lineRule="auto"/>
        <w:ind w:firstLine="420" w:firstLineChars="200"/>
        <w:rPr>
          <w:rFonts w:hint="eastAsia" w:ascii="宋体" w:hAnsi="宋体" w:eastAsia="宋体"/>
          <w:color w:val="auto"/>
          <w:szCs w:val="21"/>
          <w:lang w:eastAsia="zh-CN"/>
        </w:rPr>
      </w:pPr>
      <w:r>
        <w:rPr>
          <w:rFonts w:hint="eastAsia" w:ascii="宋体" w:hAnsi="宋体"/>
          <w:color w:val="auto"/>
          <w:szCs w:val="21"/>
        </w:rPr>
        <w:t>质疑联系人：何</w:t>
      </w:r>
      <w:r>
        <w:rPr>
          <w:rFonts w:hint="eastAsia" w:ascii="宋体" w:hAnsi="宋体"/>
          <w:color w:val="auto"/>
          <w:szCs w:val="21"/>
          <w:lang w:eastAsia="zh-CN"/>
        </w:rPr>
        <w:t>女士</w:t>
      </w:r>
    </w:p>
    <w:p w14:paraId="4DB80D9F">
      <w:pPr>
        <w:spacing w:line="360" w:lineRule="auto"/>
        <w:ind w:firstLine="420" w:firstLineChars="200"/>
        <w:rPr>
          <w:rFonts w:hint="eastAsia" w:ascii="宋体" w:hAnsi="宋体"/>
          <w:color w:val="auto"/>
          <w:szCs w:val="21"/>
        </w:rPr>
      </w:pPr>
      <w:r>
        <w:rPr>
          <w:rFonts w:hint="eastAsia" w:ascii="宋体" w:hAnsi="宋体"/>
          <w:color w:val="auto"/>
          <w:szCs w:val="21"/>
        </w:rPr>
        <w:t>质疑联系方式：0580-4472608</w:t>
      </w:r>
    </w:p>
    <w:p w14:paraId="689DBA59">
      <w:pPr>
        <w:spacing w:line="360" w:lineRule="auto"/>
        <w:ind w:firstLine="420" w:firstLineChars="200"/>
        <w:rPr>
          <w:rFonts w:hint="eastAsia" w:ascii="宋体" w:hAnsi="宋体"/>
          <w:color w:val="auto"/>
          <w:szCs w:val="21"/>
        </w:rPr>
      </w:pPr>
      <w:r>
        <w:rPr>
          <w:rFonts w:hint="eastAsia" w:ascii="宋体" w:hAnsi="宋体"/>
          <w:color w:val="auto"/>
          <w:szCs w:val="21"/>
        </w:rPr>
        <w:t>3.同级政府采购监督管理部门</w:t>
      </w:r>
    </w:p>
    <w:p w14:paraId="7A693A3F">
      <w:pPr>
        <w:spacing w:line="360" w:lineRule="auto"/>
        <w:ind w:firstLine="420" w:firstLineChars="200"/>
        <w:rPr>
          <w:rFonts w:hint="eastAsia" w:ascii="宋体" w:hAnsi="宋体"/>
          <w:color w:val="auto"/>
          <w:szCs w:val="21"/>
        </w:rPr>
      </w:pPr>
      <w:r>
        <w:rPr>
          <w:rFonts w:hint="eastAsia" w:ascii="宋体" w:hAnsi="宋体"/>
          <w:color w:val="auto"/>
          <w:szCs w:val="21"/>
        </w:rPr>
        <w:t>名称：岱山县财政局政府采购监管科</w:t>
      </w:r>
    </w:p>
    <w:p w14:paraId="6FBED276">
      <w:pPr>
        <w:spacing w:line="360" w:lineRule="auto"/>
        <w:ind w:firstLine="420" w:firstLineChars="200"/>
        <w:rPr>
          <w:rFonts w:ascii="宋体" w:hAnsi="宋体"/>
          <w:color w:val="auto"/>
          <w:szCs w:val="21"/>
        </w:rPr>
      </w:pPr>
      <w:r>
        <w:rPr>
          <w:rFonts w:hint="eastAsia" w:ascii="宋体" w:hAnsi="宋体"/>
          <w:color w:val="auto"/>
          <w:szCs w:val="21"/>
        </w:rPr>
        <w:t>地址：岱山县高亭镇鱼山大道671号</w:t>
      </w:r>
    </w:p>
    <w:p w14:paraId="43B0529F">
      <w:pPr>
        <w:spacing w:line="360" w:lineRule="auto"/>
        <w:ind w:firstLine="420" w:firstLineChars="200"/>
        <w:rPr>
          <w:rFonts w:hint="eastAsia" w:ascii="宋体" w:hAnsi="宋体"/>
          <w:color w:val="auto"/>
          <w:szCs w:val="21"/>
        </w:rPr>
      </w:pPr>
      <w:r>
        <w:rPr>
          <w:rFonts w:hint="eastAsia" w:ascii="宋体" w:hAnsi="宋体"/>
          <w:color w:val="auto"/>
          <w:szCs w:val="21"/>
        </w:rPr>
        <w:t>传真：/</w:t>
      </w:r>
    </w:p>
    <w:p w14:paraId="6D0DF7FA">
      <w:pPr>
        <w:spacing w:line="360" w:lineRule="auto"/>
        <w:ind w:firstLine="420" w:firstLineChars="200"/>
        <w:rPr>
          <w:rFonts w:hint="eastAsia" w:ascii="宋体" w:hAnsi="宋体"/>
          <w:color w:val="auto"/>
          <w:szCs w:val="21"/>
        </w:rPr>
      </w:pPr>
      <w:r>
        <w:rPr>
          <w:rFonts w:hint="eastAsia" w:ascii="宋体" w:hAnsi="宋体"/>
          <w:color w:val="auto"/>
          <w:szCs w:val="21"/>
        </w:rPr>
        <w:t>联系人：何先生</w:t>
      </w:r>
    </w:p>
    <w:p w14:paraId="6B45F318">
      <w:pPr>
        <w:spacing w:line="360" w:lineRule="auto"/>
        <w:ind w:firstLine="472" w:firstLineChars="225"/>
        <w:rPr>
          <w:rFonts w:hint="eastAsia" w:ascii="宋体" w:hAnsi="宋体" w:cs="仿宋"/>
          <w:color w:val="auto"/>
          <w:kern w:val="0"/>
          <w:szCs w:val="21"/>
          <w:lang w:bidi="ar"/>
        </w:rPr>
      </w:pPr>
      <w:r>
        <w:rPr>
          <w:rFonts w:hint="eastAsia" w:ascii="宋体" w:hAnsi="宋体"/>
          <w:color w:val="auto"/>
          <w:szCs w:val="21"/>
        </w:rPr>
        <w:t>监督投诉电话：0580-</w:t>
      </w:r>
      <w:r>
        <w:rPr>
          <w:rFonts w:ascii="宋体" w:hAnsi="宋体" w:cs="宋体"/>
          <w:color w:val="auto"/>
          <w:szCs w:val="21"/>
        </w:rPr>
        <w:t>4472749</w:t>
      </w:r>
    </w:p>
    <w:p w14:paraId="2ACE178D">
      <w:pPr>
        <w:widowControl/>
        <w:spacing w:line="360" w:lineRule="auto"/>
        <w:ind w:firstLine="420" w:firstLineChars="200"/>
        <w:rPr>
          <w:rFonts w:hint="eastAsia" w:ascii="宋体" w:hAnsi="宋体" w:cs="仿宋"/>
          <w:color w:val="auto"/>
          <w:kern w:val="0"/>
          <w:szCs w:val="21"/>
          <w:lang w:bidi="ar"/>
        </w:rPr>
      </w:pPr>
    </w:p>
    <w:p w14:paraId="323F0CA4">
      <w:pPr>
        <w:widowControl/>
        <w:spacing w:line="360" w:lineRule="auto"/>
        <w:ind w:firstLine="420" w:firstLineChars="200"/>
        <w:rPr>
          <w:rFonts w:hint="eastAsia" w:ascii="宋体" w:hAnsi="宋体" w:cs="仿宋"/>
          <w:color w:val="auto"/>
          <w:szCs w:val="21"/>
        </w:rPr>
      </w:pPr>
      <w:r>
        <w:rPr>
          <w:rFonts w:hint="eastAsia" w:ascii="宋体" w:hAnsi="宋体" w:cs="仿宋"/>
          <w:color w:val="auto"/>
          <w:kern w:val="0"/>
          <w:szCs w:val="21"/>
          <w:lang w:bidi="ar"/>
        </w:rPr>
        <w:t>若对项目采购电子交易系统操作有疑问，可登录政采云（https://www.zcygov.cn/），点击右侧咨询小采，获取采小蜜智能服务管家帮助，或拨打政采云服务热</w:t>
      </w:r>
      <w:r>
        <w:rPr>
          <w:rFonts w:hint="eastAsia" w:ascii="宋体" w:hAnsi="宋体" w:eastAsia="宋体" w:cs="仿宋"/>
          <w:color w:val="auto"/>
          <w:kern w:val="0"/>
          <w:szCs w:val="21"/>
          <w:lang w:bidi="ar"/>
        </w:rPr>
        <w:t>线95763获取</w:t>
      </w:r>
      <w:r>
        <w:rPr>
          <w:rFonts w:hint="eastAsia" w:ascii="宋体" w:hAnsi="宋体" w:cs="仿宋"/>
          <w:color w:val="auto"/>
          <w:kern w:val="0"/>
          <w:szCs w:val="21"/>
          <w:lang w:bidi="ar"/>
        </w:rPr>
        <w:t>热线服务帮助。CA问题联系电话（人工）：汇信CA 400-888-4636；天谷CA 400-087-8198。</w:t>
      </w:r>
    </w:p>
    <w:p w14:paraId="7E1C8E67">
      <w:pPr>
        <w:spacing w:line="360" w:lineRule="auto"/>
        <w:jc w:val="center"/>
        <w:outlineLvl w:val="0"/>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cs="宋体"/>
          <w:b/>
          <w:color w:val="auto"/>
          <w:sz w:val="28"/>
          <w:szCs w:val="28"/>
        </w:rPr>
        <w:br w:type="page"/>
      </w:r>
    </w:p>
    <w:p w14:paraId="7FD43F58">
      <w:pPr>
        <w:spacing w:line="360" w:lineRule="auto"/>
        <w:jc w:val="center"/>
        <w:outlineLvl w:val="0"/>
        <w:rPr>
          <w:rFonts w:hint="eastAsia" w:ascii="宋体" w:hAnsi="宋体" w:cs="宋体"/>
          <w:b/>
          <w:color w:val="auto"/>
          <w:sz w:val="28"/>
          <w:szCs w:val="28"/>
          <w:highlight w:val="none"/>
        </w:rPr>
      </w:pPr>
      <w:r>
        <w:rPr>
          <w:rFonts w:hint="eastAsia" w:ascii="宋体" w:hAnsi="宋体" w:cs="宋体"/>
          <w:b/>
          <w:color w:val="auto"/>
          <w:sz w:val="28"/>
          <w:szCs w:val="28"/>
        </w:rPr>
        <w:t>第二章  采购需求</w:t>
      </w:r>
      <w:r>
        <w:rPr>
          <w:rFonts w:hint="eastAsia" w:ascii="宋体" w:hAnsi="宋体" w:cs="宋体"/>
          <w:b/>
          <w:color w:val="auto"/>
          <w:sz w:val="28"/>
          <w:szCs w:val="28"/>
          <w:highlight w:val="none"/>
        </w:rPr>
        <w:t xml:space="preserve"> </w:t>
      </w:r>
    </w:p>
    <w:p w14:paraId="615EC837">
      <w:pPr>
        <w:spacing w:line="360" w:lineRule="auto"/>
        <w:rPr>
          <w:rFonts w:hint="eastAsia" w:ascii="宋体" w:hAnsi="Times New Roman" w:eastAsia="宋体" w:cs="Times New Roman"/>
          <w:b/>
          <w:color w:val="auto"/>
          <w:sz w:val="24"/>
          <w:szCs w:val="24"/>
        </w:rPr>
      </w:pPr>
      <w:r>
        <w:rPr>
          <w:rFonts w:hint="eastAsia" w:ascii="宋体"/>
          <w:b/>
          <w:color w:val="auto"/>
          <w:sz w:val="24"/>
          <w:szCs w:val="24"/>
        </w:rPr>
        <w:t>一、</w:t>
      </w:r>
      <w:r>
        <w:rPr>
          <w:rFonts w:hint="eastAsia" w:ascii="宋体" w:hAnsi="Times New Roman" w:eastAsia="宋体" w:cs="Times New Roman"/>
          <w:b/>
          <w:color w:val="auto"/>
          <w:sz w:val="24"/>
          <w:szCs w:val="24"/>
          <w:lang w:val="en-US" w:eastAsia="zh-CN"/>
        </w:rPr>
        <w:t>清单</w:t>
      </w:r>
      <w:r>
        <w:rPr>
          <w:rFonts w:hint="eastAsia" w:ascii="宋体" w:hAnsi="Times New Roman" w:eastAsia="宋体" w:cs="Times New Roman"/>
          <w:b/>
          <w:color w:val="auto"/>
          <w:sz w:val="24"/>
          <w:szCs w:val="24"/>
        </w:rPr>
        <w:t>编制说明</w:t>
      </w:r>
    </w:p>
    <w:p w14:paraId="34FFE89A">
      <w:pPr>
        <w:spacing w:line="360" w:lineRule="auto"/>
        <w:rPr>
          <w:rFonts w:hint="eastAsia" w:ascii="宋体"/>
          <w:b/>
          <w:color w:val="auto"/>
          <w:szCs w:val="21"/>
        </w:rPr>
      </w:pPr>
      <w:r>
        <w:rPr>
          <w:rFonts w:hint="eastAsia" w:ascii="宋体"/>
          <w:b/>
          <w:color w:val="auto"/>
          <w:szCs w:val="21"/>
          <w:lang w:eastAsia="zh-CN"/>
        </w:rPr>
        <w:t>（</w:t>
      </w:r>
      <w:r>
        <w:rPr>
          <w:rFonts w:hint="eastAsia" w:ascii="宋体"/>
          <w:b/>
          <w:color w:val="auto"/>
          <w:szCs w:val="21"/>
          <w:lang w:val="en-US" w:eastAsia="zh-CN"/>
        </w:rPr>
        <w:t>一</w:t>
      </w:r>
      <w:r>
        <w:rPr>
          <w:rFonts w:hint="eastAsia" w:ascii="宋体"/>
          <w:b/>
          <w:color w:val="auto"/>
          <w:szCs w:val="21"/>
          <w:lang w:eastAsia="zh-CN"/>
        </w:rPr>
        <w:t>）、</w:t>
      </w:r>
      <w:r>
        <w:rPr>
          <w:rFonts w:hint="eastAsia" w:ascii="宋体"/>
          <w:b/>
          <w:color w:val="auto"/>
          <w:szCs w:val="21"/>
        </w:rPr>
        <w:t>工程概况：</w:t>
      </w:r>
    </w:p>
    <w:p w14:paraId="300E9A13">
      <w:pPr>
        <w:spacing w:line="360" w:lineRule="auto"/>
        <w:ind w:firstLine="315" w:firstLineChars="150"/>
        <w:rPr>
          <w:rFonts w:hint="eastAsia" w:ascii="宋体" w:hAnsi="宋体" w:eastAsia="宋体" w:cs="宋体"/>
          <w:color w:val="auto"/>
          <w:szCs w:val="21"/>
          <w:lang w:val="en-US" w:eastAsia="zh-CN"/>
        </w:rPr>
      </w:pPr>
      <w:r>
        <w:rPr>
          <w:rFonts w:hint="eastAsia" w:ascii="宋体" w:hAnsi="宋体" w:cs="宋体"/>
          <w:color w:val="auto"/>
          <w:szCs w:val="21"/>
        </w:rPr>
        <w:t>2025年度岱山县高亭城区市政公用设施维修工程。本工程位于舟山市岱山县高亭镇，主要为城区市政道路、人行道、人行道护栏、各种井盖、市政管网零星维修及公园广场设施设备、抗台设备保养维修等内容。</w:t>
      </w:r>
    </w:p>
    <w:p w14:paraId="0584D389">
      <w:pPr>
        <w:tabs>
          <w:tab w:val="right" w:pos="8646"/>
        </w:tabs>
        <w:spacing w:line="360" w:lineRule="auto"/>
        <w:rPr>
          <w:rFonts w:hint="eastAsia" w:ascii="宋体" w:hAnsi="宋体"/>
          <w:b/>
          <w:color w:val="auto"/>
          <w:szCs w:val="21"/>
        </w:rPr>
      </w:pPr>
      <w:r>
        <w:rPr>
          <w:rFonts w:hint="eastAsia" w:ascii="宋体"/>
          <w:b/>
          <w:color w:val="auto"/>
          <w:szCs w:val="21"/>
          <w:lang w:eastAsia="zh-CN"/>
        </w:rPr>
        <w:t>（</w:t>
      </w:r>
      <w:r>
        <w:rPr>
          <w:rFonts w:hint="eastAsia" w:ascii="宋体"/>
          <w:b/>
          <w:color w:val="auto"/>
          <w:szCs w:val="21"/>
          <w:lang w:val="en-US" w:eastAsia="zh-CN"/>
        </w:rPr>
        <w:t>二</w:t>
      </w:r>
      <w:r>
        <w:rPr>
          <w:rFonts w:hint="eastAsia" w:ascii="宋体"/>
          <w:b/>
          <w:color w:val="auto"/>
          <w:szCs w:val="21"/>
          <w:lang w:eastAsia="zh-CN"/>
        </w:rPr>
        <w:t>）</w:t>
      </w:r>
      <w:r>
        <w:rPr>
          <w:rFonts w:hint="eastAsia" w:ascii="宋体" w:hAnsi="宋体"/>
          <w:b/>
          <w:color w:val="auto"/>
          <w:szCs w:val="21"/>
        </w:rPr>
        <w:t>、编制范围：</w:t>
      </w:r>
      <w:r>
        <w:rPr>
          <w:rFonts w:ascii="宋体" w:hAnsi="宋体"/>
          <w:b/>
          <w:color w:val="auto"/>
          <w:szCs w:val="21"/>
        </w:rPr>
        <w:tab/>
      </w:r>
    </w:p>
    <w:p w14:paraId="3EB50285">
      <w:pPr>
        <w:numPr>
          <w:ilvl w:val="0"/>
          <w:numId w:val="0"/>
        </w:numPr>
        <w:spacing w:line="360" w:lineRule="auto"/>
        <w:ind w:firstLine="420" w:firstLineChars="200"/>
        <w:rPr>
          <w:rFonts w:hint="eastAsia" w:ascii="宋体" w:hAnsi="宋体" w:cs="宋体"/>
          <w:color w:val="auto"/>
          <w:szCs w:val="21"/>
        </w:rPr>
      </w:pPr>
      <w:r>
        <w:rPr>
          <w:rFonts w:hint="eastAsia" w:ascii="宋体" w:hAnsi="宋体" w:cs="宋体"/>
          <w:color w:val="auto"/>
          <w:szCs w:val="21"/>
        </w:rPr>
        <w:t>本工程施工范围内的城区市政道路、人行道、人行道护栏、各种井盖、市政管网的零星维修及公园广场设施设备、抗台设备的保养维修等内容。</w:t>
      </w:r>
    </w:p>
    <w:p w14:paraId="65E3E2BD">
      <w:pPr>
        <w:numPr>
          <w:ilvl w:val="0"/>
          <w:numId w:val="0"/>
        </w:numPr>
        <w:spacing w:line="360" w:lineRule="auto"/>
        <w:rPr>
          <w:rFonts w:ascii="宋体" w:hAnsi="宋体"/>
          <w:bCs/>
          <w:color w:val="auto"/>
          <w:szCs w:val="21"/>
        </w:rPr>
      </w:pPr>
      <w:r>
        <w:rPr>
          <w:rFonts w:hint="eastAsia" w:ascii="宋体"/>
          <w:b/>
          <w:color w:val="auto"/>
          <w:szCs w:val="21"/>
          <w:lang w:eastAsia="zh-CN"/>
        </w:rPr>
        <w:t>（</w:t>
      </w:r>
      <w:r>
        <w:rPr>
          <w:rFonts w:hint="eastAsia" w:ascii="宋体"/>
          <w:b/>
          <w:color w:val="auto"/>
          <w:szCs w:val="21"/>
          <w:lang w:val="en-US" w:eastAsia="zh-CN"/>
        </w:rPr>
        <w:t>三</w:t>
      </w:r>
      <w:r>
        <w:rPr>
          <w:rFonts w:hint="eastAsia" w:ascii="宋体"/>
          <w:b/>
          <w:color w:val="auto"/>
          <w:szCs w:val="21"/>
          <w:lang w:eastAsia="zh-CN"/>
        </w:rPr>
        <w:t>）</w:t>
      </w:r>
      <w:r>
        <w:rPr>
          <w:rFonts w:hint="eastAsia" w:ascii="宋体" w:hAnsi="宋体"/>
          <w:b/>
          <w:color w:val="auto"/>
          <w:szCs w:val="21"/>
        </w:rPr>
        <w:t>、编制依据：</w:t>
      </w:r>
    </w:p>
    <w:p w14:paraId="1F328A62">
      <w:pPr>
        <w:spacing w:line="360" w:lineRule="auto"/>
        <w:ind w:firstLine="315" w:firstLineChars="150"/>
        <w:rPr>
          <w:rFonts w:hint="eastAsia" w:ascii="宋体" w:hAnsi="宋体"/>
          <w:color w:val="auto"/>
          <w:szCs w:val="21"/>
        </w:rPr>
      </w:pPr>
      <w:r>
        <w:rPr>
          <w:rFonts w:hint="eastAsia" w:ascii="宋体" w:hAnsi="宋体"/>
          <w:bCs/>
          <w:color w:val="auto"/>
          <w:szCs w:val="21"/>
          <w:lang w:val="en-US" w:eastAsia="zh-CN"/>
        </w:rPr>
        <w:t>1</w:t>
      </w:r>
      <w:r>
        <w:rPr>
          <w:rFonts w:hint="eastAsia" w:ascii="宋体" w:hAnsi="宋体"/>
          <w:bCs/>
          <w:color w:val="auto"/>
          <w:szCs w:val="21"/>
        </w:rPr>
        <w:t>、</w:t>
      </w:r>
      <w:r>
        <w:rPr>
          <w:rFonts w:hint="eastAsia" w:ascii="宋体" w:hAnsi="宋体"/>
          <w:bCs/>
          <w:color w:val="auto"/>
          <w:szCs w:val="21"/>
          <w:lang w:val="en-US" w:eastAsia="zh-CN"/>
        </w:rPr>
        <w:t>建设单位提供的工程量清单</w:t>
      </w:r>
      <w:r>
        <w:rPr>
          <w:rFonts w:hint="eastAsia" w:ascii="宋体" w:hAnsi="宋体"/>
          <w:color w:val="auto"/>
          <w:szCs w:val="21"/>
        </w:rPr>
        <w:t>；</w:t>
      </w:r>
    </w:p>
    <w:p w14:paraId="7BDBE7C3">
      <w:pPr>
        <w:spacing w:line="360" w:lineRule="auto"/>
        <w:ind w:firstLine="315" w:firstLineChars="150"/>
        <w:rPr>
          <w:rFonts w:hint="eastAsia" w:ascii="宋体" w:hAnsi="宋体"/>
          <w:color w:val="auto"/>
          <w:szCs w:val="21"/>
        </w:rPr>
      </w:pPr>
      <w:r>
        <w:rPr>
          <w:rFonts w:hint="eastAsia" w:ascii="宋体" w:hAnsi="宋体"/>
          <w:color w:val="auto"/>
          <w:szCs w:val="21"/>
          <w:lang w:val="en-US" w:eastAsia="zh-CN"/>
        </w:rPr>
        <w:t>2</w:t>
      </w:r>
      <w:r>
        <w:rPr>
          <w:rFonts w:hint="eastAsia" w:ascii="宋体" w:hAnsi="宋体"/>
          <w:color w:val="auto"/>
          <w:szCs w:val="21"/>
        </w:rPr>
        <w:t>、</w:t>
      </w:r>
      <w:r>
        <w:rPr>
          <w:rFonts w:hint="eastAsia" w:ascii="宋体" w:hAnsi="宋体" w:cs="宋体"/>
          <w:color w:val="auto"/>
          <w:szCs w:val="21"/>
        </w:rPr>
        <w:t>《建设工程工程量清单计价规范（</w:t>
      </w:r>
      <w:r>
        <w:rPr>
          <w:rFonts w:ascii="宋体" w:hAnsi="宋体" w:cs="宋体"/>
          <w:color w:val="auto"/>
          <w:szCs w:val="21"/>
        </w:rPr>
        <w:t>GB50500-2013</w:t>
      </w:r>
      <w:r>
        <w:rPr>
          <w:rFonts w:hint="eastAsia" w:ascii="宋体" w:hAnsi="宋体" w:cs="宋体"/>
          <w:color w:val="auto"/>
          <w:szCs w:val="21"/>
        </w:rPr>
        <w:t>）》、</w:t>
      </w:r>
      <w:r>
        <w:rPr>
          <w:rFonts w:hint="eastAsia" w:ascii="宋体" w:hAnsi="宋体"/>
          <w:color w:val="auto"/>
          <w:szCs w:val="21"/>
        </w:rPr>
        <w:t>《市政工程工程量计算规范》(GB50857-2013)、《园林绿化工程工程量计算规范》(GB50858-2013)、《通用安装工程工程量计算规范》GB50856-2013、</w:t>
      </w:r>
      <w:r>
        <w:rPr>
          <w:rFonts w:hint="eastAsia" w:ascii="宋体" w:hAnsi="宋体" w:cs="宋体"/>
          <w:color w:val="auto"/>
          <w:szCs w:val="21"/>
        </w:rPr>
        <w:t>《</w:t>
      </w:r>
      <w:r>
        <w:rPr>
          <w:rFonts w:hint="eastAsia" w:ascii="宋体" w:hAnsi="宋体" w:cs="宋体"/>
          <w:color w:val="auto"/>
          <w:szCs w:val="21"/>
          <w:lang w:eastAsia="zh-CN"/>
        </w:rPr>
        <w:t>房屋建筑与装饰工程工程量计算规范</w:t>
      </w:r>
      <w:r>
        <w:rPr>
          <w:rFonts w:hint="eastAsia" w:ascii="宋体" w:hAnsi="宋体" w:cs="宋体"/>
          <w:color w:val="auto"/>
          <w:szCs w:val="21"/>
        </w:rPr>
        <w:t>》</w:t>
      </w:r>
      <w:r>
        <w:rPr>
          <w:rFonts w:hint="eastAsia" w:ascii="宋体" w:hAnsi="宋体" w:cs="宋体"/>
          <w:color w:val="auto"/>
          <w:szCs w:val="21"/>
          <w:lang w:val="en-US" w:eastAsia="zh-CN"/>
        </w:rPr>
        <w:t>GB50854-2013、</w:t>
      </w:r>
      <w:r>
        <w:rPr>
          <w:rFonts w:hint="eastAsia" w:ascii="宋体" w:hAnsi="宋体" w:cs="宋体"/>
          <w:color w:val="auto"/>
          <w:szCs w:val="21"/>
        </w:rPr>
        <w:t>《建设工程工程量清单计算规范（2013）浙江省补充规定》、《建设工程工程量清单计算规范（2013）浙江省补充规定（二）》、《浙江省建设工程计价规则（2018版）》、《浙江省市政工程预算定额（2018版）》、《浙江省园林绿化及仿古建筑工程预算定额（2018版）》、《浙江省房屋建筑与装饰工程预算定额（2018版）》、《浙江省通用安装工程预算定额（2018版）》、《浙江省建设工程施工机械台班费用定额（2018版）》、舟建发﹝2018﹞265号（关于贯彻执行浙江省建设工程计价依据（2018版）的通知）、舟建发[2013]49号（关于贯彻实施建设工程工程量清单计价规范（GB50500-2013）、</w:t>
      </w:r>
      <w:r>
        <w:rPr>
          <w:rFonts w:ascii="宋体" w:hAnsi="宋体" w:cs="宋体"/>
          <w:color w:val="auto"/>
          <w:szCs w:val="21"/>
        </w:rPr>
        <w:t>建建发</w:t>
      </w:r>
      <w:r>
        <w:rPr>
          <w:rFonts w:ascii="宋体" w:hAnsi="宋体"/>
          <w:color w:val="auto"/>
          <w:szCs w:val="21"/>
        </w:rPr>
        <w:t>【2019】92 号</w:t>
      </w:r>
      <w:r>
        <w:rPr>
          <w:rFonts w:hint="eastAsia" w:ascii="宋体" w:hAnsi="宋体"/>
          <w:color w:val="auto"/>
          <w:szCs w:val="21"/>
        </w:rPr>
        <w:t>（</w:t>
      </w:r>
      <w:r>
        <w:rPr>
          <w:rFonts w:ascii="宋体" w:hAnsi="宋体" w:cs="宋体"/>
          <w:color w:val="auto"/>
          <w:szCs w:val="21"/>
        </w:rPr>
        <w:t>关于增值税调整后我省建设工程计价依据增值税税率及有关计价调整的通知</w:t>
      </w:r>
      <w:r>
        <w:rPr>
          <w:rFonts w:hint="eastAsia" w:ascii="宋体" w:hAnsi="宋体" w:cs="宋体"/>
          <w:color w:val="auto"/>
          <w:szCs w:val="21"/>
        </w:rPr>
        <w:t>）、浙建站信﹝2018﹞52号（关于发布浙江省房屋建筑人工综合价格指数的通知）等相关文件及规定。</w:t>
      </w:r>
    </w:p>
    <w:p w14:paraId="7C121890">
      <w:pPr>
        <w:autoSpaceDE w:val="0"/>
        <w:autoSpaceDN w:val="0"/>
        <w:adjustRightInd w:val="0"/>
        <w:spacing w:line="360" w:lineRule="auto"/>
        <w:ind w:firstLine="420"/>
        <w:rPr>
          <w:rFonts w:hint="eastAsia" w:ascii="宋体" w:hAnsi="宋体" w:cs="宋体"/>
          <w:color w:val="auto"/>
          <w:szCs w:val="21"/>
        </w:rPr>
      </w:pPr>
      <w:r>
        <w:rPr>
          <w:rFonts w:hint="eastAsia" w:ascii="宋体" w:hAnsi="宋体" w:cs="宋体"/>
          <w:color w:val="auto"/>
          <w:szCs w:val="21"/>
          <w:lang w:val="en-US" w:eastAsia="zh-CN"/>
        </w:rPr>
        <w:t>3</w:t>
      </w:r>
      <w:r>
        <w:rPr>
          <w:rFonts w:hint="eastAsia" w:ascii="宋体" w:hAnsi="宋体" w:cs="宋体"/>
          <w:color w:val="auto"/>
          <w:szCs w:val="21"/>
        </w:rPr>
        <w:t>、人工</w:t>
      </w:r>
      <w:r>
        <w:rPr>
          <w:rFonts w:hint="eastAsia" w:ascii="宋体" w:hAnsi="宋体" w:cs="宋体"/>
          <w:color w:val="auto"/>
          <w:szCs w:val="21"/>
          <w:lang w:eastAsia="zh-CN"/>
        </w:rPr>
        <w:t>信息单价按</w:t>
      </w:r>
      <w:r>
        <w:rPr>
          <w:rFonts w:hint="eastAsia" w:ascii="宋体" w:hAnsi="宋体" w:cs="宋体"/>
          <w:color w:val="auto"/>
          <w:szCs w:val="21"/>
        </w:rPr>
        <w:t>《</w:t>
      </w:r>
      <w:r>
        <w:rPr>
          <w:rFonts w:hint="eastAsia" w:ascii="宋体" w:hAnsi="宋体" w:cs="宋体"/>
          <w:color w:val="auto"/>
          <w:szCs w:val="21"/>
          <w:lang w:eastAsia="zh-CN"/>
        </w:rPr>
        <w:t>舟山建设工程造价信息</w:t>
      </w:r>
      <w:r>
        <w:rPr>
          <w:rFonts w:hint="eastAsia" w:ascii="宋体" w:hAnsi="宋体" w:cs="宋体"/>
          <w:color w:val="auto"/>
          <w:szCs w:val="21"/>
        </w:rPr>
        <w:t>》202</w:t>
      </w:r>
      <w:r>
        <w:rPr>
          <w:rFonts w:hint="eastAsia" w:ascii="宋体" w:hAnsi="宋体" w:cs="宋体"/>
          <w:color w:val="auto"/>
          <w:szCs w:val="21"/>
          <w:lang w:val="en-US" w:eastAsia="zh-CN"/>
        </w:rPr>
        <w:t>4</w:t>
      </w:r>
      <w:r>
        <w:rPr>
          <w:rFonts w:hint="eastAsia" w:ascii="宋体" w:hAnsi="宋体" w:cs="宋体"/>
          <w:color w:val="auto"/>
          <w:szCs w:val="21"/>
        </w:rPr>
        <w:t>年</w:t>
      </w:r>
      <w:r>
        <w:rPr>
          <w:rFonts w:hint="eastAsia" w:ascii="宋体" w:hAnsi="宋体" w:cs="宋体"/>
          <w:color w:val="auto"/>
          <w:szCs w:val="21"/>
          <w:lang w:val="en-US" w:eastAsia="zh-CN"/>
        </w:rPr>
        <w:t>9月</w:t>
      </w:r>
      <w:r>
        <w:rPr>
          <w:rFonts w:hint="eastAsia" w:ascii="宋体" w:hAnsi="宋体" w:cs="宋体"/>
          <w:color w:val="auto"/>
          <w:szCs w:val="21"/>
        </w:rPr>
        <w:t>。</w:t>
      </w:r>
    </w:p>
    <w:p w14:paraId="753634B9">
      <w:pPr>
        <w:autoSpaceDE w:val="0"/>
        <w:autoSpaceDN w:val="0"/>
        <w:adjustRightInd w:val="0"/>
        <w:spacing w:line="360" w:lineRule="auto"/>
        <w:ind w:firstLine="420"/>
        <w:rPr>
          <w:rFonts w:hint="eastAsia" w:ascii="宋体" w:hAnsi="宋体" w:cs="宋体"/>
          <w:color w:val="auto"/>
          <w:szCs w:val="21"/>
        </w:rPr>
      </w:pPr>
      <w:r>
        <w:rPr>
          <w:rFonts w:hint="eastAsia" w:ascii="宋体" w:hAnsi="宋体" w:cs="宋体"/>
          <w:color w:val="auto"/>
          <w:szCs w:val="21"/>
          <w:lang w:val="en-US" w:eastAsia="zh-CN"/>
        </w:rPr>
        <w:t>4</w:t>
      </w:r>
      <w:r>
        <w:rPr>
          <w:rFonts w:hint="eastAsia" w:ascii="宋体" w:hAnsi="宋体" w:cs="宋体"/>
          <w:color w:val="auto"/>
          <w:szCs w:val="21"/>
        </w:rPr>
        <w:t>、材料价格</w:t>
      </w:r>
      <w:r>
        <w:rPr>
          <w:rFonts w:hint="eastAsia" w:ascii="宋体" w:hAnsi="宋体" w:cs="宋体"/>
          <w:color w:val="auto"/>
          <w:szCs w:val="21"/>
          <w:lang w:eastAsia="zh-CN"/>
        </w:rPr>
        <w:t>价按</w:t>
      </w:r>
      <w:r>
        <w:rPr>
          <w:rFonts w:hint="eastAsia" w:ascii="宋体" w:hAnsi="宋体" w:cs="宋体"/>
          <w:color w:val="auto"/>
          <w:szCs w:val="21"/>
        </w:rPr>
        <w:t>《</w:t>
      </w:r>
      <w:r>
        <w:rPr>
          <w:rFonts w:hint="eastAsia" w:ascii="宋体" w:hAnsi="宋体" w:cs="宋体"/>
          <w:color w:val="auto"/>
          <w:szCs w:val="21"/>
          <w:lang w:eastAsia="zh-CN"/>
        </w:rPr>
        <w:t>舟山建设工程造价信息</w:t>
      </w:r>
      <w:r>
        <w:rPr>
          <w:rFonts w:hint="eastAsia" w:ascii="宋体" w:hAnsi="宋体" w:cs="宋体"/>
          <w:color w:val="auto"/>
          <w:szCs w:val="21"/>
        </w:rPr>
        <w:t>》20</w:t>
      </w:r>
      <w:r>
        <w:rPr>
          <w:rFonts w:hint="eastAsia" w:ascii="宋体" w:hAnsi="宋体" w:cs="宋体"/>
          <w:color w:val="auto"/>
          <w:szCs w:val="21"/>
          <w:lang w:val="en-US" w:eastAsia="zh-CN"/>
        </w:rPr>
        <w:t>24</w:t>
      </w:r>
      <w:r>
        <w:rPr>
          <w:rFonts w:hint="eastAsia" w:ascii="宋体" w:hAnsi="宋体" w:cs="宋体"/>
          <w:color w:val="auto"/>
          <w:szCs w:val="21"/>
        </w:rPr>
        <w:t>年</w:t>
      </w:r>
      <w:r>
        <w:rPr>
          <w:rFonts w:hint="eastAsia" w:ascii="宋体" w:hAnsi="宋体" w:cs="宋体"/>
          <w:color w:val="auto"/>
          <w:szCs w:val="21"/>
          <w:lang w:val="en-US" w:eastAsia="zh-CN"/>
        </w:rPr>
        <w:t>9月</w:t>
      </w:r>
      <w:r>
        <w:rPr>
          <w:rFonts w:hint="eastAsia" w:ascii="宋体" w:hAnsi="宋体" w:cs="宋体"/>
          <w:color w:val="auto"/>
          <w:szCs w:val="21"/>
        </w:rPr>
        <w:t>（岱山栏）；</w:t>
      </w:r>
      <w:r>
        <w:rPr>
          <w:rFonts w:hint="eastAsia" w:ascii="宋体" w:hAnsi="宋体" w:cs="宋体"/>
          <w:color w:val="auto"/>
          <w:szCs w:val="21"/>
          <w:lang w:eastAsia="zh-CN"/>
        </w:rPr>
        <w:t>岱山栏没有的按市区价格计入，</w:t>
      </w:r>
      <w:r>
        <w:rPr>
          <w:rFonts w:hint="eastAsia" w:ascii="宋体" w:hAnsi="宋体" w:cs="宋体"/>
          <w:color w:val="auto"/>
          <w:szCs w:val="21"/>
        </w:rPr>
        <w:t>以上无信息价材料按市场调查价格进行组价。</w:t>
      </w:r>
    </w:p>
    <w:p w14:paraId="2A9C84E3">
      <w:pPr>
        <w:tabs>
          <w:tab w:val="left" w:pos="6165"/>
        </w:tabs>
        <w:spacing w:line="360" w:lineRule="auto"/>
        <w:rPr>
          <w:rFonts w:hint="eastAsia" w:ascii="宋体" w:hAnsi="宋体"/>
          <w:b/>
          <w:color w:val="auto"/>
          <w:szCs w:val="21"/>
        </w:rPr>
      </w:pPr>
      <w:r>
        <w:rPr>
          <w:rFonts w:hint="eastAsia" w:ascii="宋体"/>
          <w:b/>
          <w:color w:val="auto"/>
          <w:szCs w:val="21"/>
          <w:lang w:eastAsia="zh-CN"/>
        </w:rPr>
        <w:t>（</w:t>
      </w:r>
      <w:r>
        <w:rPr>
          <w:rFonts w:hint="eastAsia" w:ascii="宋体"/>
          <w:b/>
          <w:color w:val="auto"/>
          <w:szCs w:val="21"/>
          <w:lang w:val="en-US" w:eastAsia="zh-CN"/>
        </w:rPr>
        <w:t>四</w:t>
      </w:r>
      <w:r>
        <w:rPr>
          <w:rFonts w:hint="eastAsia" w:ascii="宋体"/>
          <w:b/>
          <w:color w:val="auto"/>
          <w:szCs w:val="21"/>
          <w:lang w:eastAsia="zh-CN"/>
        </w:rPr>
        <w:t>）</w:t>
      </w:r>
      <w:r>
        <w:rPr>
          <w:rFonts w:hint="eastAsia" w:ascii="宋体" w:hAnsi="宋体"/>
          <w:b/>
          <w:color w:val="auto"/>
          <w:szCs w:val="21"/>
        </w:rPr>
        <w:t>、费率设置：</w:t>
      </w:r>
      <w:r>
        <w:rPr>
          <w:rFonts w:ascii="宋体" w:hAnsi="宋体"/>
          <w:b/>
          <w:color w:val="auto"/>
          <w:szCs w:val="21"/>
        </w:rPr>
        <w:tab/>
      </w:r>
    </w:p>
    <w:p w14:paraId="0DA7B18A">
      <w:pPr>
        <w:autoSpaceDE w:val="0"/>
        <w:autoSpaceDN w:val="0"/>
        <w:adjustRightInd w:val="0"/>
        <w:spacing w:line="360" w:lineRule="auto"/>
        <w:ind w:firstLine="420"/>
        <w:rPr>
          <w:rFonts w:hint="eastAsia" w:ascii="宋体" w:hAnsi="宋体" w:cs="宋体"/>
          <w:color w:val="auto"/>
          <w:szCs w:val="21"/>
          <w:lang w:eastAsia="zh-CN"/>
        </w:rPr>
      </w:pPr>
      <w:bookmarkStart w:id="5" w:name="OLE_LINK21"/>
      <w:bookmarkStart w:id="6" w:name="OLE_LINK23"/>
      <w:r>
        <w:rPr>
          <w:rFonts w:hint="eastAsia" w:ascii="宋体" w:hAnsi="宋体" w:cs="宋体"/>
          <w:color w:val="auto"/>
          <w:szCs w:val="21"/>
        </w:rPr>
        <w:t>1、工程类别：</w:t>
      </w:r>
      <w:r>
        <w:rPr>
          <w:rFonts w:hint="eastAsia" w:ascii="宋体" w:hAnsi="宋体" w:cs="宋体"/>
          <w:color w:val="auto"/>
          <w:szCs w:val="21"/>
          <w:lang w:val="en-US" w:eastAsia="zh-CN"/>
        </w:rPr>
        <w:t>市政按</w:t>
      </w:r>
      <w:r>
        <w:rPr>
          <w:rFonts w:hint="eastAsia" w:ascii="宋体" w:hAnsi="宋体" w:cs="宋体"/>
          <w:color w:val="auto"/>
          <w:szCs w:val="21"/>
          <w:lang w:eastAsia="zh-CN"/>
        </w:rPr>
        <w:t>“</w:t>
      </w:r>
      <w:r>
        <w:rPr>
          <w:rFonts w:hint="eastAsia" w:ascii="宋体" w:hAnsi="宋体"/>
          <w:color w:val="auto"/>
        </w:rPr>
        <w:t>道路、排水、河道护岸、水处理构筑物及城市综合管廊生活垃圾处理工程</w:t>
      </w:r>
      <w:r>
        <w:rPr>
          <w:rFonts w:hint="eastAsia" w:ascii="宋体" w:hAnsi="宋体"/>
          <w:color w:val="auto"/>
          <w:lang w:eastAsia="zh-CN"/>
        </w:rPr>
        <w:t>”</w:t>
      </w:r>
      <w:r>
        <w:rPr>
          <w:rFonts w:hint="eastAsia" w:ascii="宋体" w:hAnsi="宋体"/>
          <w:color w:val="auto"/>
        </w:rPr>
        <w:t>计取</w:t>
      </w:r>
      <w:bookmarkEnd w:id="5"/>
      <w:bookmarkEnd w:id="6"/>
      <w:r>
        <w:rPr>
          <w:rFonts w:hint="eastAsia" w:ascii="宋体" w:hAnsi="宋体" w:cs="宋体"/>
          <w:color w:val="auto"/>
          <w:szCs w:val="21"/>
          <w:lang w:eastAsia="zh-CN"/>
        </w:rPr>
        <w:t>。</w:t>
      </w:r>
    </w:p>
    <w:p w14:paraId="0771626F">
      <w:pPr>
        <w:autoSpaceDE w:val="0"/>
        <w:autoSpaceDN w:val="0"/>
        <w:adjustRightInd w:val="0"/>
        <w:spacing w:line="360" w:lineRule="auto"/>
        <w:ind w:firstLine="420"/>
        <w:rPr>
          <w:rFonts w:hint="eastAsia" w:ascii="宋体" w:hAnsi="宋体"/>
          <w:color w:val="auto"/>
        </w:rPr>
      </w:pPr>
      <w:r>
        <w:rPr>
          <w:rFonts w:hint="eastAsia" w:ascii="宋体" w:hAnsi="宋体" w:cs="宋体"/>
          <w:color w:val="auto"/>
          <w:szCs w:val="21"/>
        </w:rPr>
        <w:t>2、</w:t>
      </w:r>
      <w:r>
        <w:rPr>
          <w:rFonts w:hint="eastAsia" w:ascii="宋体" w:hAnsi="宋体"/>
          <w:color w:val="auto"/>
        </w:rPr>
        <w:t>本工程增值税采用一般计税方法计价，税金费率均按</w:t>
      </w:r>
      <w:r>
        <w:rPr>
          <w:rFonts w:ascii="宋体" w:hAnsi="宋体"/>
          <w:color w:val="auto"/>
        </w:rPr>
        <w:t>9%</w:t>
      </w:r>
      <w:r>
        <w:rPr>
          <w:rFonts w:hint="eastAsia" w:ascii="宋体" w:hAnsi="宋体"/>
          <w:color w:val="auto"/>
        </w:rPr>
        <w:t>计取，安全文明施工费按“市区工程”考虑</w:t>
      </w:r>
      <w:r>
        <w:rPr>
          <w:rFonts w:hint="eastAsia" w:ascii="宋体" w:hAnsi="宋体"/>
          <w:color w:val="auto"/>
          <w:lang w:eastAsia="zh-CN"/>
        </w:rPr>
        <w:t>，</w:t>
      </w:r>
      <w:r>
        <w:rPr>
          <w:rFonts w:hint="eastAsia" w:ascii="宋体" w:hAnsi="宋体"/>
          <w:color w:val="auto"/>
          <w:lang w:val="en-US" w:eastAsia="zh-CN"/>
        </w:rPr>
        <w:t>含疫情常态化防控，“智慧工地”增加费</w:t>
      </w:r>
      <w:r>
        <w:rPr>
          <w:rFonts w:hint="eastAsia" w:ascii="宋体" w:hAnsi="宋体"/>
          <w:color w:val="auto"/>
        </w:rPr>
        <w:t>。</w:t>
      </w:r>
    </w:p>
    <w:p w14:paraId="0B36B427">
      <w:pPr>
        <w:autoSpaceDE w:val="0"/>
        <w:autoSpaceDN w:val="0"/>
        <w:adjustRightInd w:val="0"/>
        <w:spacing w:line="360" w:lineRule="auto"/>
        <w:ind w:firstLine="420"/>
        <w:rPr>
          <w:rFonts w:hint="eastAsia" w:ascii="宋体" w:hAnsi="宋体" w:cs="宋体"/>
          <w:color w:val="auto"/>
          <w:szCs w:val="21"/>
        </w:rPr>
      </w:pPr>
      <w:r>
        <w:rPr>
          <w:rFonts w:hint="eastAsia" w:ascii="宋体" w:hAnsi="宋体" w:cs="宋体"/>
          <w:color w:val="auto"/>
          <w:szCs w:val="21"/>
        </w:rPr>
        <w:t>3、按《浙江省建设工程计价规则（2018版）》及相关文件规定，</w:t>
      </w:r>
      <w:r>
        <w:rPr>
          <w:rFonts w:hint="eastAsia" w:ascii="宋体" w:hAnsi="宋体" w:cs="宋体"/>
          <w:color w:val="auto"/>
          <w:szCs w:val="21"/>
          <w:lang w:val="en-US" w:eastAsia="zh-CN"/>
        </w:rPr>
        <w:t>采购</w:t>
      </w:r>
      <w:r>
        <w:rPr>
          <w:rFonts w:hint="eastAsia" w:ascii="宋体" w:hAnsi="宋体" w:cs="宋体"/>
          <w:color w:val="auto"/>
          <w:szCs w:val="21"/>
        </w:rPr>
        <w:t>人确认本工程的不可竞争费率分别为：</w:t>
      </w:r>
    </w:p>
    <w:tbl>
      <w:tblPr>
        <w:tblStyle w:val="2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2566"/>
        <w:gridCol w:w="1904"/>
        <w:gridCol w:w="1200"/>
        <w:gridCol w:w="2227"/>
      </w:tblGrid>
      <w:tr w14:paraId="03E4F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643" w:type="dxa"/>
            <w:tcBorders>
              <w:top w:val="single" w:color="auto" w:sz="4" w:space="0"/>
              <w:left w:val="single" w:color="auto" w:sz="4" w:space="0"/>
              <w:right w:val="single" w:color="auto" w:sz="4" w:space="0"/>
            </w:tcBorders>
            <w:noWrap w:val="0"/>
            <w:vAlign w:val="center"/>
          </w:tcPr>
          <w:p w14:paraId="3724D1A2">
            <w:pPr>
              <w:keepNext w:val="0"/>
              <w:keepLines w:val="0"/>
              <w:suppressLineNumbers w:val="0"/>
              <w:spacing w:before="0" w:beforeAutospacing="0" w:after="0" w:afterAutospacing="0" w:line="360" w:lineRule="auto"/>
              <w:ind w:left="0" w:right="0"/>
              <w:jc w:val="center"/>
              <w:rPr>
                <w:rFonts w:hint="eastAsia" w:ascii="宋体" w:hAnsi="宋体"/>
                <w:color w:val="auto"/>
                <w:szCs w:val="21"/>
              </w:rPr>
            </w:pPr>
            <w:r>
              <w:rPr>
                <w:rFonts w:hint="eastAsia" w:ascii="宋体" w:hAnsi="宋体"/>
                <w:color w:val="auto"/>
                <w:szCs w:val="21"/>
              </w:rPr>
              <w:t>序号</w:t>
            </w:r>
          </w:p>
        </w:tc>
        <w:tc>
          <w:tcPr>
            <w:tcW w:w="2566" w:type="dxa"/>
            <w:tcBorders>
              <w:top w:val="single" w:color="auto" w:sz="4" w:space="0"/>
              <w:left w:val="single" w:color="auto" w:sz="4" w:space="0"/>
              <w:right w:val="single" w:color="auto" w:sz="4" w:space="0"/>
            </w:tcBorders>
            <w:noWrap w:val="0"/>
            <w:vAlign w:val="center"/>
          </w:tcPr>
          <w:p w14:paraId="6608BE12">
            <w:pPr>
              <w:keepNext w:val="0"/>
              <w:keepLines w:val="0"/>
              <w:suppressLineNumbers w:val="0"/>
              <w:spacing w:before="0" w:beforeAutospacing="0" w:after="0" w:afterAutospacing="0" w:line="360" w:lineRule="auto"/>
              <w:ind w:left="0" w:right="0"/>
              <w:jc w:val="center"/>
              <w:rPr>
                <w:rFonts w:hint="default" w:ascii="宋体" w:hAnsi="宋体"/>
                <w:color w:val="auto"/>
                <w:szCs w:val="21"/>
              </w:rPr>
            </w:pPr>
            <w:r>
              <w:rPr>
                <w:rFonts w:hint="eastAsia" w:ascii="宋体" w:hAnsi="宋体"/>
                <w:color w:val="auto"/>
                <w:szCs w:val="21"/>
              </w:rPr>
              <w:t>项目名称</w:t>
            </w:r>
          </w:p>
        </w:tc>
        <w:tc>
          <w:tcPr>
            <w:tcW w:w="1904" w:type="dxa"/>
            <w:tcBorders>
              <w:top w:val="single" w:color="auto" w:sz="4" w:space="0"/>
              <w:left w:val="single" w:color="auto" w:sz="4" w:space="0"/>
              <w:right w:val="single" w:color="auto" w:sz="4" w:space="0"/>
            </w:tcBorders>
            <w:noWrap w:val="0"/>
            <w:vAlign w:val="center"/>
          </w:tcPr>
          <w:p w14:paraId="57471B35">
            <w:pPr>
              <w:keepNext w:val="0"/>
              <w:keepLines w:val="0"/>
              <w:suppressLineNumbers w:val="0"/>
              <w:spacing w:before="0" w:beforeAutospacing="0" w:after="0" w:afterAutospacing="0" w:line="360" w:lineRule="auto"/>
              <w:ind w:left="0" w:right="0"/>
              <w:jc w:val="center"/>
              <w:rPr>
                <w:rFonts w:hint="default" w:ascii="宋体" w:hAnsi="宋体"/>
                <w:color w:val="auto"/>
                <w:szCs w:val="21"/>
              </w:rPr>
            </w:pPr>
            <w:r>
              <w:rPr>
                <w:rFonts w:hint="eastAsia" w:ascii="宋体" w:hAnsi="宋体"/>
                <w:color w:val="auto"/>
                <w:szCs w:val="21"/>
              </w:rPr>
              <w:t>规费(%)</w:t>
            </w:r>
          </w:p>
        </w:tc>
        <w:tc>
          <w:tcPr>
            <w:tcW w:w="1200" w:type="dxa"/>
            <w:tcBorders>
              <w:top w:val="single" w:color="auto" w:sz="4" w:space="0"/>
              <w:left w:val="single" w:color="auto" w:sz="4" w:space="0"/>
              <w:right w:val="single" w:color="auto" w:sz="4" w:space="0"/>
            </w:tcBorders>
            <w:noWrap w:val="0"/>
            <w:vAlign w:val="center"/>
          </w:tcPr>
          <w:p w14:paraId="7A114DC7">
            <w:pPr>
              <w:keepNext w:val="0"/>
              <w:keepLines w:val="0"/>
              <w:suppressLineNumbers w:val="0"/>
              <w:spacing w:before="0" w:beforeAutospacing="0" w:after="0" w:afterAutospacing="0" w:line="360" w:lineRule="auto"/>
              <w:ind w:left="0" w:right="0"/>
              <w:jc w:val="center"/>
              <w:rPr>
                <w:rFonts w:hint="default" w:ascii="宋体" w:hAnsi="宋体"/>
                <w:color w:val="auto"/>
                <w:szCs w:val="21"/>
              </w:rPr>
            </w:pPr>
            <w:r>
              <w:rPr>
                <w:rFonts w:hint="eastAsia" w:ascii="宋体" w:hAnsi="宋体"/>
                <w:color w:val="auto"/>
                <w:szCs w:val="21"/>
              </w:rPr>
              <w:t>税金(%)</w:t>
            </w:r>
          </w:p>
        </w:tc>
        <w:tc>
          <w:tcPr>
            <w:tcW w:w="2227" w:type="dxa"/>
            <w:tcBorders>
              <w:top w:val="single" w:color="auto" w:sz="4" w:space="0"/>
              <w:left w:val="single" w:color="auto" w:sz="4" w:space="0"/>
              <w:right w:val="single" w:color="auto" w:sz="4" w:space="0"/>
            </w:tcBorders>
            <w:noWrap w:val="0"/>
            <w:vAlign w:val="top"/>
          </w:tcPr>
          <w:p w14:paraId="28EDB3DF">
            <w:pPr>
              <w:keepNext w:val="0"/>
              <w:keepLines w:val="0"/>
              <w:suppressLineNumbers w:val="0"/>
              <w:spacing w:before="0" w:beforeAutospacing="0" w:after="0" w:afterAutospacing="0" w:line="360" w:lineRule="auto"/>
              <w:ind w:left="0" w:right="0" w:firstLine="210" w:firstLineChars="100"/>
              <w:jc w:val="both"/>
              <w:rPr>
                <w:rFonts w:hint="eastAsia" w:ascii="宋体" w:hAnsi="宋体"/>
                <w:color w:val="auto"/>
                <w:szCs w:val="21"/>
              </w:rPr>
            </w:pPr>
            <w:r>
              <w:rPr>
                <w:rFonts w:hint="eastAsia" w:ascii="宋体" w:hAnsi="宋体"/>
                <w:color w:val="auto"/>
                <w:szCs w:val="21"/>
              </w:rPr>
              <w:t>安全文明施工费(%)</w:t>
            </w:r>
          </w:p>
        </w:tc>
      </w:tr>
      <w:tr w14:paraId="325FB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643" w:type="dxa"/>
            <w:tcBorders>
              <w:top w:val="single" w:color="auto" w:sz="4" w:space="0"/>
              <w:left w:val="single" w:color="auto" w:sz="4" w:space="0"/>
              <w:bottom w:val="single" w:color="auto" w:sz="4" w:space="0"/>
              <w:right w:val="single" w:color="auto" w:sz="4" w:space="0"/>
            </w:tcBorders>
            <w:noWrap w:val="0"/>
            <w:vAlign w:val="top"/>
          </w:tcPr>
          <w:p w14:paraId="54319606">
            <w:pPr>
              <w:keepNext w:val="0"/>
              <w:keepLines w:val="0"/>
              <w:suppressLineNumbers w:val="0"/>
              <w:spacing w:before="0" w:beforeAutospacing="0" w:after="0" w:afterAutospacing="0" w:line="360" w:lineRule="auto"/>
              <w:ind w:left="0" w:right="0"/>
              <w:jc w:val="center"/>
              <w:rPr>
                <w:rFonts w:hint="eastAsia" w:ascii="宋体" w:hAnsi="宋体"/>
                <w:color w:val="auto"/>
                <w:spacing w:val="-20"/>
                <w:szCs w:val="21"/>
              </w:rPr>
            </w:pPr>
            <w:r>
              <w:rPr>
                <w:rFonts w:hint="eastAsia" w:ascii="宋体" w:hAnsi="宋体"/>
                <w:color w:val="auto"/>
                <w:spacing w:val="-20"/>
                <w:szCs w:val="21"/>
              </w:rPr>
              <w:t>1</w:t>
            </w:r>
          </w:p>
        </w:tc>
        <w:tc>
          <w:tcPr>
            <w:tcW w:w="2566" w:type="dxa"/>
            <w:tcBorders>
              <w:top w:val="single" w:color="auto" w:sz="4" w:space="0"/>
              <w:left w:val="single" w:color="auto" w:sz="4" w:space="0"/>
              <w:bottom w:val="single" w:color="auto" w:sz="4" w:space="0"/>
              <w:right w:val="single" w:color="auto" w:sz="4" w:space="0"/>
            </w:tcBorders>
            <w:noWrap w:val="0"/>
            <w:vAlign w:val="center"/>
          </w:tcPr>
          <w:p w14:paraId="7C18E5C9">
            <w:pPr>
              <w:keepNext w:val="0"/>
              <w:keepLines w:val="0"/>
              <w:suppressLineNumbers w:val="0"/>
              <w:spacing w:before="0" w:beforeAutospacing="0" w:after="0" w:afterAutospacing="0" w:line="360" w:lineRule="auto"/>
              <w:ind w:left="0" w:right="0"/>
              <w:jc w:val="center"/>
              <w:rPr>
                <w:rFonts w:hint="eastAsia" w:ascii="宋体" w:hAnsi="宋体" w:eastAsia="宋体"/>
                <w:color w:val="auto"/>
                <w:spacing w:val="-20"/>
                <w:szCs w:val="21"/>
                <w:lang w:eastAsia="zh-CN"/>
              </w:rPr>
            </w:pPr>
            <w:r>
              <w:rPr>
                <w:rFonts w:hint="eastAsia" w:ascii="宋体" w:hAnsi="宋体" w:cs="宋体"/>
                <w:color w:val="auto"/>
                <w:szCs w:val="21"/>
                <w:lang w:val="en-US" w:eastAsia="zh-CN"/>
              </w:rPr>
              <w:t>市政</w:t>
            </w:r>
          </w:p>
        </w:tc>
        <w:tc>
          <w:tcPr>
            <w:tcW w:w="1904" w:type="dxa"/>
            <w:tcBorders>
              <w:top w:val="single" w:color="auto" w:sz="4" w:space="0"/>
              <w:left w:val="single" w:color="auto" w:sz="4" w:space="0"/>
              <w:bottom w:val="single" w:color="auto" w:sz="4" w:space="0"/>
              <w:right w:val="single" w:color="auto" w:sz="4" w:space="0"/>
            </w:tcBorders>
            <w:noWrap w:val="0"/>
            <w:vAlign w:val="center"/>
          </w:tcPr>
          <w:p w14:paraId="1AC94F0E">
            <w:pPr>
              <w:keepNext w:val="0"/>
              <w:keepLines w:val="0"/>
              <w:suppressLineNumbers w:val="0"/>
              <w:spacing w:before="0" w:beforeAutospacing="0" w:after="0" w:afterAutospacing="0" w:line="360" w:lineRule="auto"/>
              <w:ind w:left="0" w:right="0"/>
              <w:jc w:val="center"/>
              <w:rPr>
                <w:rFonts w:hint="default" w:ascii="宋体" w:hAnsi="宋体" w:eastAsia="宋体"/>
                <w:color w:val="auto"/>
                <w:szCs w:val="21"/>
                <w:lang w:val="en-US" w:eastAsia="zh-CN"/>
              </w:rPr>
            </w:pPr>
            <w:r>
              <w:rPr>
                <w:rFonts w:hint="eastAsia" w:ascii="宋体" w:hAnsi="宋体"/>
                <w:color w:val="auto"/>
                <w:szCs w:val="21"/>
              </w:rPr>
              <w:t>18.75</w:t>
            </w:r>
            <w:r>
              <w:rPr>
                <w:rFonts w:hint="eastAsia" w:ascii="宋体" w:hAnsi="宋体"/>
                <w:color w:val="auto"/>
                <w:szCs w:val="21"/>
                <w:lang w:val="en-US" w:eastAsia="zh-CN"/>
              </w:rPr>
              <w:t>~5.63</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71DE8288">
            <w:pPr>
              <w:keepNext w:val="0"/>
              <w:keepLines w:val="0"/>
              <w:suppressLineNumbers w:val="0"/>
              <w:spacing w:before="0" w:beforeAutospacing="0" w:after="0" w:afterAutospacing="0" w:line="360" w:lineRule="auto"/>
              <w:ind w:left="0" w:right="0"/>
              <w:jc w:val="center"/>
              <w:rPr>
                <w:rFonts w:hint="eastAsia" w:ascii="宋体" w:hAnsi="宋体"/>
                <w:color w:val="auto"/>
                <w:szCs w:val="21"/>
              </w:rPr>
            </w:pPr>
            <w:r>
              <w:rPr>
                <w:rFonts w:hint="eastAsia" w:ascii="宋体" w:hAnsi="宋体"/>
                <w:color w:val="auto"/>
                <w:szCs w:val="21"/>
              </w:rPr>
              <w:t>9</w:t>
            </w:r>
          </w:p>
        </w:tc>
        <w:tc>
          <w:tcPr>
            <w:tcW w:w="2227" w:type="dxa"/>
            <w:tcBorders>
              <w:top w:val="single" w:color="auto" w:sz="4" w:space="0"/>
              <w:left w:val="single" w:color="auto" w:sz="4" w:space="0"/>
              <w:bottom w:val="single" w:color="auto" w:sz="4" w:space="0"/>
              <w:right w:val="single" w:color="auto" w:sz="4" w:space="0"/>
            </w:tcBorders>
            <w:noWrap w:val="0"/>
            <w:vAlign w:val="top"/>
          </w:tcPr>
          <w:p w14:paraId="23E72A33">
            <w:pPr>
              <w:keepNext w:val="0"/>
              <w:keepLines w:val="0"/>
              <w:suppressLineNumbers w:val="0"/>
              <w:spacing w:before="0" w:beforeAutospacing="0" w:after="0" w:afterAutospacing="0" w:line="360" w:lineRule="auto"/>
              <w:ind w:left="0" w:right="0"/>
              <w:jc w:val="center"/>
              <w:rPr>
                <w:rFonts w:hint="default" w:ascii="宋体" w:hAnsi="宋体" w:eastAsia="宋体"/>
                <w:color w:val="auto"/>
                <w:szCs w:val="21"/>
                <w:lang w:val="en-US" w:eastAsia="zh-CN"/>
              </w:rPr>
            </w:pPr>
            <w:r>
              <w:rPr>
                <w:rFonts w:hint="eastAsia" w:ascii="宋体" w:hAnsi="宋体"/>
                <w:color w:val="auto"/>
                <w:szCs w:val="21"/>
                <w:lang w:val="en-US" w:eastAsia="zh-CN"/>
              </w:rPr>
              <w:t>8.81</w:t>
            </w:r>
          </w:p>
        </w:tc>
      </w:tr>
    </w:tbl>
    <w:p w14:paraId="3A92E1FE">
      <w:pPr>
        <w:spacing w:line="360" w:lineRule="auto"/>
        <w:ind w:firstLine="420" w:firstLineChars="200"/>
        <w:rPr>
          <w:rFonts w:hint="eastAsia" w:ascii="宋体" w:hAnsi="宋体"/>
          <w:color w:val="auto"/>
          <w:szCs w:val="21"/>
        </w:rPr>
      </w:pPr>
      <w:r>
        <w:rPr>
          <w:rFonts w:hint="eastAsia" w:ascii="宋体" w:hAnsi="宋体"/>
          <w:color w:val="auto"/>
          <w:szCs w:val="21"/>
        </w:rPr>
        <w:t>4、竞争性费率</w:t>
      </w:r>
      <w:r>
        <w:rPr>
          <w:rFonts w:hint="eastAsia" w:ascii="宋体" w:hAnsi="宋体"/>
          <w:color w:val="auto"/>
          <w:szCs w:val="21"/>
          <w:lang w:eastAsia="zh-CN"/>
        </w:rPr>
        <w:t>下</w:t>
      </w:r>
      <w:r>
        <w:rPr>
          <w:rFonts w:hint="eastAsia" w:ascii="宋体" w:hAnsi="宋体"/>
          <w:color w:val="auto"/>
          <w:szCs w:val="21"/>
        </w:rPr>
        <w:t>限：</w:t>
      </w:r>
    </w:p>
    <w:tbl>
      <w:tblPr>
        <w:tblStyle w:val="2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64"/>
        <w:gridCol w:w="4016"/>
      </w:tblGrid>
      <w:tr w14:paraId="36F88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164" w:type="dxa"/>
            <w:tcBorders>
              <w:top w:val="single" w:color="auto" w:sz="4" w:space="0"/>
              <w:left w:val="single" w:color="auto" w:sz="4" w:space="0"/>
              <w:bottom w:val="single" w:color="auto" w:sz="4" w:space="0"/>
              <w:right w:val="single" w:color="auto" w:sz="4" w:space="0"/>
            </w:tcBorders>
            <w:noWrap w:val="0"/>
            <w:vAlign w:val="center"/>
          </w:tcPr>
          <w:p w14:paraId="2EBC02D1">
            <w:pPr>
              <w:keepNext w:val="0"/>
              <w:keepLines w:val="0"/>
              <w:widowControl/>
              <w:suppressLineNumbers w:val="0"/>
              <w:spacing w:before="0" w:beforeAutospacing="0" w:after="0" w:afterAutospacing="0" w:line="360" w:lineRule="auto"/>
              <w:ind w:left="0" w:right="0"/>
              <w:jc w:val="center"/>
              <w:rPr>
                <w:rFonts w:hint="eastAsia" w:ascii="宋体" w:hAnsi="宋体" w:cs="宋体"/>
                <w:color w:val="auto"/>
                <w:szCs w:val="21"/>
              </w:rPr>
            </w:pPr>
            <w:r>
              <w:rPr>
                <w:rFonts w:hint="eastAsia" w:ascii="宋体" w:hAnsi="宋体" w:cs="宋体"/>
                <w:color w:val="auto"/>
                <w:szCs w:val="21"/>
              </w:rPr>
              <w:t>　名称</w:t>
            </w:r>
          </w:p>
        </w:tc>
        <w:tc>
          <w:tcPr>
            <w:tcW w:w="4016" w:type="dxa"/>
            <w:tcBorders>
              <w:top w:val="single" w:color="auto" w:sz="4" w:space="0"/>
              <w:left w:val="single" w:color="auto" w:sz="4" w:space="0"/>
              <w:bottom w:val="single" w:color="auto" w:sz="4" w:space="0"/>
              <w:right w:val="single" w:color="auto" w:sz="4" w:space="0"/>
            </w:tcBorders>
            <w:noWrap w:val="0"/>
            <w:vAlign w:val="top"/>
          </w:tcPr>
          <w:p w14:paraId="5FA3EB4C">
            <w:pPr>
              <w:keepNext w:val="0"/>
              <w:keepLines w:val="0"/>
              <w:widowControl/>
              <w:suppressLineNumbers w:val="0"/>
              <w:spacing w:before="0" w:beforeAutospacing="0" w:after="0" w:afterAutospacing="0" w:line="360" w:lineRule="auto"/>
              <w:ind w:left="0" w:right="0"/>
              <w:jc w:val="center"/>
              <w:rPr>
                <w:rFonts w:hint="eastAsia" w:ascii="宋体" w:hAnsi="宋体" w:cs="宋体"/>
                <w:color w:val="auto"/>
                <w:szCs w:val="21"/>
              </w:rPr>
            </w:pPr>
            <w:r>
              <w:rPr>
                <w:rFonts w:hint="eastAsia" w:ascii="宋体" w:hAnsi="宋体" w:cs="宋体"/>
                <w:color w:val="auto"/>
                <w:szCs w:val="21"/>
                <w:lang w:val="en-US" w:eastAsia="zh-CN"/>
              </w:rPr>
              <w:t>市政</w:t>
            </w:r>
            <w:r>
              <w:rPr>
                <w:rFonts w:hint="eastAsia" w:ascii="宋体" w:hAnsi="宋体" w:cs="宋体"/>
                <w:color w:val="auto"/>
                <w:szCs w:val="21"/>
              </w:rPr>
              <w:t>（%）</w:t>
            </w:r>
          </w:p>
        </w:tc>
      </w:tr>
      <w:tr w14:paraId="6DB31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164" w:type="dxa"/>
            <w:tcBorders>
              <w:top w:val="single" w:color="auto" w:sz="4" w:space="0"/>
              <w:left w:val="single" w:color="auto" w:sz="4" w:space="0"/>
              <w:bottom w:val="single" w:color="auto" w:sz="4" w:space="0"/>
              <w:right w:val="single" w:color="auto" w:sz="4" w:space="0"/>
            </w:tcBorders>
            <w:noWrap w:val="0"/>
            <w:vAlign w:val="center"/>
          </w:tcPr>
          <w:p w14:paraId="004D1D35">
            <w:pPr>
              <w:keepNext w:val="0"/>
              <w:keepLines w:val="0"/>
              <w:widowControl/>
              <w:suppressLineNumbers w:val="0"/>
              <w:spacing w:before="0" w:beforeAutospacing="0" w:after="0" w:afterAutospacing="0" w:line="360" w:lineRule="auto"/>
              <w:ind w:left="0" w:right="0"/>
              <w:jc w:val="center"/>
              <w:rPr>
                <w:rFonts w:hint="eastAsia" w:ascii="宋体" w:hAnsi="宋体" w:cs="宋体"/>
                <w:color w:val="auto"/>
                <w:szCs w:val="21"/>
              </w:rPr>
            </w:pPr>
            <w:bookmarkStart w:id="7" w:name="OLE_LINK27" w:colFirst="2" w:colLast="2"/>
            <w:bookmarkStart w:id="8" w:name="_Hlk456342127"/>
            <w:bookmarkStart w:id="9" w:name="OLE_LINK28" w:colFirst="2" w:colLast="2"/>
            <w:r>
              <w:rPr>
                <w:rFonts w:hint="eastAsia" w:ascii="宋体" w:hAnsi="宋体" w:cs="宋体"/>
                <w:color w:val="auto"/>
                <w:szCs w:val="21"/>
              </w:rPr>
              <w:t>冬雨季施工增加费</w:t>
            </w:r>
          </w:p>
        </w:tc>
        <w:tc>
          <w:tcPr>
            <w:tcW w:w="4016" w:type="dxa"/>
            <w:tcBorders>
              <w:top w:val="single" w:color="auto" w:sz="4" w:space="0"/>
              <w:left w:val="single" w:color="auto" w:sz="4" w:space="0"/>
              <w:bottom w:val="single" w:color="auto" w:sz="4" w:space="0"/>
              <w:right w:val="single" w:color="auto" w:sz="4" w:space="0"/>
            </w:tcBorders>
            <w:noWrap w:val="0"/>
            <w:vAlign w:val="center"/>
          </w:tcPr>
          <w:p w14:paraId="3F348898">
            <w:pPr>
              <w:keepNext w:val="0"/>
              <w:keepLines w:val="0"/>
              <w:widowControl/>
              <w:suppressLineNumbers w:val="0"/>
              <w:spacing w:before="0" w:beforeAutospacing="0" w:after="0" w:afterAutospacing="0" w:line="360" w:lineRule="auto"/>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0.07</w:t>
            </w:r>
          </w:p>
        </w:tc>
      </w:tr>
      <w:tr w14:paraId="7B14D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164" w:type="dxa"/>
            <w:tcBorders>
              <w:top w:val="single" w:color="auto" w:sz="4" w:space="0"/>
              <w:left w:val="single" w:color="auto" w:sz="4" w:space="0"/>
              <w:bottom w:val="single" w:color="auto" w:sz="4" w:space="0"/>
              <w:right w:val="single" w:color="auto" w:sz="4" w:space="0"/>
            </w:tcBorders>
            <w:noWrap w:val="0"/>
            <w:vAlign w:val="center"/>
          </w:tcPr>
          <w:p w14:paraId="27376005">
            <w:pPr>
              <w:keepNext w:val="0"/>
              <w:keepLines w:val="0"/>
              <w:widowControl/>
              <w:suppressLineNumbers w:val="0"/>
              <w:spacing w:before="0" w:beforeAutospacing="0" w:after="0" w:afterAutospacing="0" w:line="360" w:lineRule="auto"/>
              <w:ind w:left="0" w:right="0"/>
              <w:jc w:val="center"/>
              <w:rPr>
                <w:rFonts w:hint="eastAsia" w:ascii="宋体" w:hAnsi="宋体" w:cs="宋体"/>
                <w:color w:val="auto"/>
                <w:szCs w:val="21"/>
              </w:rPr>
            </w:pPr>
            <w:r>
              <w:rPr>
                <w:rFonts w:hint="eastAsia" w:ascii="宋体" w:hAnsi="宋体" w:cs="宋体"/>
                <w:color w:val="auto"/>
                <w:szCs w:val="21"/>
              </w:rPr>
              <w:t>行车、行人干扰增加费</w:t>
            </w:r>
          </w:p>
        </w:tc>
        <w:tc>
          <w:tcPr>
            <w:tcW w:w="4016" w:type="dxa"/>
            <w:tcBorders>
              <w:top w:val="single" w:color="auto" w:sz="4" w:space="0"/>
              <w:left w:val="single" w:color="auto" w:sz="4" w:space="0"/>
              <w:bottom w:val="single" w:color="auto" w:sz="4" w:space="0"/>
              <w:right w:val="single" w:color="auto" w:sz="4" w:space="0"/>
            </w:tcBorders>
            <w:noWrap w:val="0"/>
            <w:vAlign w:val="center"/>
          </w:tcPr>
          <w:p w14:paraId="05AEEF60">
            <w:pPr>
              <w:keepNext w:val="0"/>
              <w:keepLines w:val="0"/>
              <w:widowControl/>
              <w:suppressLineNumbers w:val="0"/>
              <w:spacing w:before="0" w:beforeAutospacing="0" w:after="0" w:afterAutospacing="0" w:line="360" w:lineRule="auto"/>
              <w:ind w:left="0" w:right="0"/>
              <w:jc w:val="center"/>
              <w:rPr>
                <w:rFonts w:hint="eastAsia" w:ascii="宋体" w:hAnsi="宋体" w:cs="宋体"/>
                <w:color w:val="auto"/>
                <w:szCs w:val="21"/>
                <w:lang w:val="en-US" w:eastAsia="zh-CN"/>
              </w:rPr>
            </w:pPr>
            <w:r>
              <w:rPr>
                <w:rFonts w:hint="eastAsia" w:ascii="宋体" w:hAnsi="宋体" w:cs="宋体"/>
                <w:color w:val="auto"/>
                <w:szCs w:val="21"/>
                <w:lang w:val="en-US" w:eastAsia="zh-CN"/>
              </w:rPr>
              <w:t>1.35</w:t>
            </w:r>
          </w:p>
        </w:tc>
      </w:tr>
      <w:tr w14:paraId="6B42F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4164" w:type="dxa"/>
            <w:tcBorders>
              <w:top w:val="single" w:color="auto" w:sz="4" w:space="0"/>
              <w:left w:val="single" w:color="auto" w:sz="4" w:space="0"/>
              <w:bottom w:val="single" w:color="auto" w:sz="4" w:space="0"/>
              <w:right w:val="single" w:color="auto" w:sz="4" w:space="0"/>
            </w:tcBorders>
            <w:noWrap w:val="0"/>
            <w:vAlign w:val="center"/>
          </w:tcPr>
          <w:p w14:paraId="11A745EE">
            <w:pPr>
              <w:keepNext w:val="0"/>
              <w:keepLines w:val="0"/>
              <w:widowControl/>
              <w:suppressLineNumbers w:val="0"/>
              <w:spacing w:before="0" w:beforeAutospacing="0" w:after="0" w:afterAutospacing="0" w:line="360" w:lineRule="auto"/>
              <w:ind w:left="0" w:right="0"/>
              <w:jc w:val="center"/>
              <w:rPr>
                <w:rFonts w:hint="eastAsia" w:ascii="宋体" w:hAnsi="宋体" w:cs="宋体"/>
                <w:color w:val="auto"/>
                <w:szCs w:val="21"/>
              </w:rPr>
            </w:pPr>
            <w:r>
              <w:rPr>
                <w:rFonts w:hint="eastAsia" w:ascii="宋体" w:hAnsi="宋体" w:cs="宋体"/>
                <w:color w:val="auto"/>
                <w:szCs w:val="21"/>
              </w:rPr>
              <w:t>企业管理费</w:t>
            </w:r>
          </w:p>
        </w:tc>
        <w:tc>
          <w:tcPr>
            <w:tcW w:w="4016" w:type="dxa"/>
            <w:tcBorders>
              <w:top w:val="single" w:color="auto" w:sz="4" w:space="0"/>
              <w:left w:val="single" w:color="auto" w:sz="4" w:space="0"/>
              <w:bottom w:val="single" w:color="auto" w:sz="4" w:space="0"/>
              <w:right w:val="single" w:color="auto" w:sz="4" w:space="0"/>
            </w:tcBorders>
            <w:noWrap w:val="0"/>
            <w:vAlign w:val="center"/>
          </w:tcPr>
          <w:p w14:paraId="3F74A2FE">
            <w:pPr>
              <w:keepNext w:val="0"/>
              <w:keepLines w:val="0"/>
              <w:widowControl/>
              <w:suppressLineNumbers w:val="0"/>
              <w:spacing w:before="0" w:beforeAutospacing="0" w:after="0" w:afterAutospacing="0" w:line="360" w:lineRule="auto"/>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12.78</w:t>
            </w:r>
          </w:p>
        </w:tc>
      </w:tr>
      <w:tr w14:paraId="54CB3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4164" w:type="dxa"/>
            <w:tcBorders>
              <w:top w:val="single" w:color="auto" w:sz="4" w:space="0"/>
              <w:left w:val="single" w:color="auto" w:sz="4" w:space="0"/>
              <w:bottom w:val="single" w:color="auto" w:sz="4" w:space="0"/>
              <w:right w:val="single" w:color="auto" w:sz="4" w:space="0"/>
            </w:tcBorders>
            <w:noWrap w:val="0"/>
            <w:vAlign w:val="center"/>
          </w:tcPr>
          <w:p w14:paraId="2F8C15EC">
            <w:pPr>
              <w:keepNext w:val="0"/>
              <w:keepLines w:val="0"/>
              <w:widowControl/>
              <w:suppressLineNumbers w:val="0"/>
              <w:spacing w:before="0" w:beforeAutospacing="0" w:after="0" w:afterAutospacing="0" w:line="360" w:lineRule="auto"/>
              <w:ind w:left="0" w:right="0"/>
              <w:jc w:val="center"/>
              <w:rPr>
                <w:rFonts w:hint="eastAsia" w:ascii="宋体" w:hAnsi="宋体" w:cs="宋体"/>
                <w:color w:val="auto"/>
                <w:szCs w:val="21"/>
              </w:rPr>
            </w:pPr>
            <w:r>
              <w:rPr>
                <w:rFonts w:hint="eastAsia" w:ascii="宋体" w:hAnsi="宋体" w:cs="宋体"/>
                <w:color w:val="auto"/>
                <w:szCs w:val="21"/>
              </w:rPr>
              <w:t>利润</w:t>
            </w:r>
          </w:p>
        </w:tc>
        <w:tc>
          <w:tcPr>
            <w:tcW w:w="4016" w:type="dxa"/>
            <w:tcBorders>
              <w:top w:val="single" w:color="auto" w:sz="4" w:space="0"/>
              <w:left w:val="single" w:color="auto" w:sz="4" w:space="0"/>
              <w:bottom w:val="single" w:color="auto" w:sz="4" w:space="0"/>
              <w:right w:val="single" w:color="auto" w:sz="4" w:space="0"/>
            </w:tcBorders>
            <w:noWrap w:val="0"/>
            <w:vAlign w:val="center"/>
          </w:tcPr>
          <w:p w14:paraId="2A5976A5">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color w:val="auto"/>
                <w:szCs w:val="21"/>
                <w:lang w:eastAsia="zh-CN"/>
              </w:rPr>
            </w:pPr>
            <w:r>
              <w:rPr>
                <w:rFonts w:hint="eastAsia" w:ascii="宋体" w:hAnsi="宋体" w:cs="宋体"/>
                <w:color w:val="auto"/>
                <w:szCs w:val="21"/>
                <w:lang w:val="en-US" w:eastAsia="zh-CN"/>
              </w:rPr>
              <w:t>0</w:t>
            </w:r>
          </w:p>
        </w:tc>
      </w:tr>
      <w:bookmarkEnd w:id="7"/>
      <w:bookmarkEnd w:id="8"/>
      <w:bookmarkEnd w:id="9"/>
    </w:tbl>
    <w:p w14:paraId="4780BE74">
      <w:pPr>
        <w:spacing w:line="360" w:lineRule="auto"/>
        <w:rPr>
          <w:rFonts w:ascii="宋体"/>
          <w:b/>
          <w:bCs/>
          <w:color w:val="auto"/>
        </w:rPr>
      </w:pPr>
      <w:r>
        <w:rPr>
          <w:rFonts w:hint="eastAsia" w:ascii="宋体"/>
          <w:b/>
          <w:color w:val="auto"/>
          <w:szCs w:val="21"/>
          <w:lang w:eastAsia="zh-CN"/>
        </w:rPr>
        <w:t>（</w:t>
      </w:r>
      <w:r>
        <w:rPr>
          <w:rFonts w:hint="eastAsia" w:ascii="宋体"/>
          <w:b/>
          <w:color w:val="auto"/>
          <w:szCs w:val="21"/>
          <w:lang w:val="en-US" w:eastAsia="zh-CN"/>
        </w:rPr>
        <w:t>五</w:t>
      </w:r>
      <w:r>
        <w:rPr>
          <w:rFonts w:hint="eastAsia" w:ascii="宋体"/>
          <w:b/>
          <w:color w:val="auto"/>
          <w:szCs w:val="21"/>
          <w:lang w:eastAsia="zh-CN"/>
        </w:rPr>
        <w:t>）</w:t>
      </w:r>
      <w:r>
        <w:rPr>
          <w:rFonts w:hint="eastAsia" w:ascii="宋体" w:hAnsi="宋体"/>
          <w:b/>
          <w:color w:val="auto"/>
          <w:szCs w:val="21"/>
        </w:rPr>
        <w:t>、</w:t>
      </w:r>
      <w:r>
        <w:rPr>
          <w:rFonts w:hint="eastAsia" w:ascii="宋体" w:hAnsi="宋体"/>
          <w:b/>
          <w:bCs/>
          <w:color w:val="auto"/>
        </w:rPr>
        <w:t>材料暂定品牌、型号：</w:t>
      </w:r>
    </w:p>
    <w:tbl>
      <w:tblPr>
        <w:tblStyle w:val="28"/>
        <w:tblW w:w="0" w:type="auto"/>
        <w:tblInd w:w="1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2182"/>
        <w:gridCol w:w="709"/>
        <w:gridCol w:w="3214"/>
        <w:gridCol w:w="1560"/>
      </w:tblGrid>
      <w:tr w14:paraId="38A59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4606ED70">
            <w:pPr>
              <w:keepNext w:val="0"/>
              <w:keepLines w:val="0"/>
              <w:suppressLineNumbers w:val="0"/>
              <w:spacing w:before="0" w:beforeAutospacing="0" w:after="0" w:afterAutospacing="0"/>
              <w:ind w:left="0" w:right="0"/>
              <w:jc w:val="center"/>
              <w:rPr>
                <w:rFonts w:hint="default" w:ascii="宋体"/>
                <w:color w:val="auto"/>
                <w:szCs w:val="20"/>
              </w:rPr>
            </w:pPr>
            <w:r>
              <w:rPr>
                <w:rFonts w:hint="eastAsia" w:ascii="宋体" w:hAnsi="宋体"/>
                <w:b/>
                <w:bCs/>
                <w:color w:val="auto"/>
                <w:szCs w:val="20"/>
              </w:rPr>
              <w:t>序号</w:t>
            </w:r>
          </w:p>
        </w:tc>
        <w:tc>
          <w:tcPr>
            <w:tcW w:w="2182" w:type="dxa"/>
            <w:tcBorders>
              <w:left w:val="nil"/>
            </w:tcBorders>
            <w:noWrap w:val="0"/>
            <w:vAlign w:val="center"/>
          </w:tcPr>
          <w:p w14:paraId="250318B5">
            <w:pPr>
              <w:keepNext w:val="0"/>
              <w:keepLines w:val="0"/>
              <w:suppressLineNumbers w:val="0"/>
              <w:spacing w:before="0" w:beforeAutospacing="0" w:after="0" w:afterAutospacing="0"/>
              <w:ind w:left="0" w:right="0"/>
              <w:jc w:val="center"/>
              <w:rPr>
                <w:rFonts w:hint="default" w:ascii="宋体"/>
                <w:color w:val="auto"/>
                <w:szCs w:val="20"/>
              </w:rPr>
            </w:pPr>
            <w:r>
              <w:rPr>
                <w:rFonts w:hint="eastAsia" w:ascii="宋体" w:hAnsi="宋体"/>
                <w:b/>
                <w:bCs/>
                <w:color w:val="auto"/>
                <w:szCs w:val="20"/>
              </w:rPr>
              <w:t>材料名称</w:t>
            </w:r>
          </w:p>
        </w:tc>
        <w:tc>
          <w:tcPr>
            <w:tcW w:w="709" w:type="dxa"/>
            <w:tcBorders>
              <w:left w:val="nil"/>
            </w:tcBorders>
            <w:noWrap w:val="0"/>
            <w:vAlign w:val="center"/>
          </w:tcPr>
          <w:p w14:paraId="136FC55A">
            <w:pPr>
              <w:keepNext w:val="0"/>
              <w:keepLines w:val="0"/>
              <w:suppressLineNumbers w:val="0"/>
              <w:spacing w:before="0" w:beforeAutospacing="0" w:after="0" w:afterAutospacing="0"/>
              <w:ind w:left="0" w:right="0"/>
              <w:jc w:val="center"/>
              <w:rPr>
                <w:rFonts w:hint="default" w:ascii="宋体"/>
                <w:color w:val="auto"/>
                <w:szCs w:val="20"/>
              </w:rPr>
            </w:pPr>
            <w:r>
              <w:rPr>
                <w:rFonts w:hint="eastAsia" w:ascii="宋体" w:hAnsi="宋体"/>
                <w:b/>
                <w:bCs/>
                <w:color w:val="auto"/>
                <w:szCs w:val="20"/>
              </w:rPr>
              <w:t>单位</w:t>
            </w:r>
          </w:p>
        </w:tc>
        <w:tc>
          <w:tcPr>
            <w:tcW w:w="3214" w:type="dxa"/>
            <w:tcBorders>
              <w:left w:val="nil"/>
            </w:tcBorders>
            <w:noWrap w:val="0"/>
            <w:vAlign w:val="center"/>
          </w:tcPr>
          <w:p w14:paraId="64073C51">
            <w:pPr>
              <w:keepNext w:val="0"/>
              <w:keepLines w:val="0"/>
              <w:suppressLineNumbers w:val="0"/>
              <w:spacing w:before="0" w:beforeAutospacing="0" w:after="0" w:afterAutospacing="0"/>
              <w:ind w:left="0" w:right="0"/>
              <w:jc w:val="center"/>
              <w:rPr>
                <w:rFonts w:hint="default" w:ascii="宋体"/>
                <w:color w:val="auto"/>
                <w:szCs w:val="20"/>
              </w:rPr>
            </w:pPr>
            <w:r>
              <w:rPr>
                <w:rFonts w:hint="eastAsia" w:ascii="宋体" w:hAnsi="宋体"/>
                <w:b/>
                <w:bCs/>
                <w:color w:val="auto"/>
                <w:szCs w:val="20"/>
              </w:rPr>
              <w:t>品牌、产地</w:t>
            </w:r>
          </w:p>
        </w:tc>
        <w:tc>
          <w:tcPr>
            <w:tcW w:w="1560" w:type="dxa"/>
            <w:tcBorders>
              <w:left w:val="nil"/>
            </w:tcBorders>
            <w:noWrap w:val="0"/>
            <w:vAlign w:val="center"/>
          </w:tcPr>
          <w:p w14:paraId="7AC2DDC3">
            <w:pPr>
              <w:keepNext w:val="0"/>
              <w:keepLines w:val="0"/>
              <w:suppressLineNumbers w:val="0"/>
              <w:spacing w:before="0" w:beforeAutospacing="0" w:after="0" w:afterAutospacing="0"/>
              <w:ind w:left="0" w:right="0"/>
              <w:jc w:val="center"/>
              <w:rPr>
                <w:rFonts w:hint="default"/>
                <w:color w:val="auto"/>
                <w:szCs w:val="20"/>
              </w:rPr>
            </w:pPr>
            <w:r>
              <w:rPr>
                <w:rFonts w:hint="eastAsia" w:ascii="宋体" w:hAnsi="宋体"/>
                <w:b/>
                <w:bCs/>
                <w:color w:val="auto"/>
                <w:szCs w:val="20"/>
              </w:rPr>
              <w:t>规格及其他</w:t>
            </w:r>
          </w:p>
        </w:tc>
      </w:tr>
      <w:tr w14:paraId="1484F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463908C8">
            <w:pPr>
              <w:keepNext w:val="0"/>
              <w:keepLines w:val="0"/>
              <w:widowControl/>
              <w:suppressLineNumbers w:val="0"/>
              <w:spacing w:before="0" w:beforeAutospacing="0" w:after="0" w:afterAutospacing="0"/>
              <w:ind w:left="0" w:right="0"/>
              <w:jc w:val="center"/>
              <w:rPr>
                <w:rFonts w:hint="default" w:ascii="宋体"/>
                <w:color w:val="auto"/>
                <w:szCs w:val="20"/>
              </w:rPr>
            </w:pPr>
            <w:r>
              <w:rPr>
                <w:rFonts w:hint="default" w:ascii="宋体" w:hAnsi="宋体"/>
                <w:color w:val="auto"/>
                <w:szCs w:val="20"/>
              </w:rPr>
              <w:t>1</w:t>
            </w:r>
          </w:p>
        </w:tc>
        <w:tc>
          <w:tcPr>
            <w:tcW w:w="2182" w:type="dxa"/>
            <w:tcBorders>
              <w:left w:val="nil"/>
            </w:tcBorders>
            <w:noWrap w:val="0"/>
            <w:vAlign w:val="center"/>
          </w:tcPr>
          <w:p w14:paraId="7A717711">
            <w:pPr>
              <w:keepNext w:val="0"/>
              <w:keepLines w:val="0"/>
              <w:suppressLineNumbers w:val="0"/>
              <w:spacing w:before="0" w:beforeAutospacing="0" w:after="0" w:afterAutospacing="0"/>
              <w:ind w:left="0" w:right="0"/>
              <w:jc w:val="left"/>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混凝土侧、平石</w:t>
            </w:r>
          </w:p>
        </w:tc>
        <w:tc>
          <w:tcPr>
            <w:tcW w:w="709" w:type="dxa"/>
            <w:tcBorders>
              <w:left w:val="nil"/>
            </w:tcBorders>
            <w:noWrap w:val="0"/>
            <w:vAlign w:val="center"/>
          </w:tcPr>
          <w:p w14:paraId="14BABA0D">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p>
        </w:tc>
        <w:tc>
          <w:tcPr>
            <w:tcW w:w="3214" w:type="dxa"/>
            <w:tcBorders>
              <w:left w:val="nil"/>
            </w:tcBorders>
            <w:noWrap w:val="0"/>
            <w:vAlign w:val="center"/>
          </w:tcPr>
          <w:p w14:paraId="5C1A01E4">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锦河、舟鑫山、沥晶</w:t>
            </w:r>
          </w:p>
        </w:tc>
        <w:tc>
          <w:tcPr>
            <w:tcW w:w="1560" w:type="dxa"/>
            <w:tcBorders>
              <w:left w:val="nil"/>
            </w:tcBorders>
            <w:noWrap w:val="0"/>
            <w:vAlign w:val="center"/>
          </w:tcPr>
          <w:p w14:paraId="37E02DA1">
            <w:pPr>
              <w:keepNext w:val="0"/>
              <w:keepLines w:val="0"/>
              <w:suppressLineNumbers w:val="0"/>
              <w:spacing w:before="0" w:beforeAutospacing="0" w:after="0" w:afterAutospacing="0"/>
              <w:ind w:left="0" w:right="0"/>
              <w:jc w:val="center"/>
              <w:rPr>
                <w:rFonts w:hint="default"/>
                <w:color w:val="auto"/>
                <w:szCs w:val="20"/>
              </w:rPr>
            </w:pPr>
          </w:p>
        </w:tc>
      </w:tr>
      <w:tr w14:paraId="45D7D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21C369F7">
            <w:pPr>
              <w:keepNext w:val="0"/>
              <w:keepLines w:val="0"/>
              <w:widowControl/>
              <w:suppressLineNumbers w:val="0"/>
              <w:spacing w:before="0" w:beforeAutospacing="0" w:after="0" w:afterAutospacing="0"/>
              <w:ind w:left="0" w:right="0"/>
              <w:jc w:val="center"/>
              <w:rPr>
                <w:rFonts w:hint="eastAsia" w:ascii="宋体" w:hAnsi="宋体" w:eastAsia="宋体"/>
                <w:color w:val="auto"/>
                <w:szCs w:val="20"/>
                <w:lang w:val="en-US" w:eastAsia="zh-CN"/>
              </w:rPr>
            </w:pPr>
            <w:r>
              <w:rPr>
                <w:rFonts w:hint="eastAsia" w:ascii="宋体" w:hAnsi="宋体"/>
                <w:color w:val="auto"/>
                <w:szCs w:val="20"/>
                <w:lang w:val="en-US" w:eastAsia="zh-CN"/>
              </w:rPr>
              <w:t>2</w:t>
            </w:r>
          </w:p>
        </w:tc>
        <w:tc>
          <w:tcPr>
            <w:tcW w:w="2182" w:type="dxa"/>
            <w:tcBorders>
              <w:left w:val="nil"/>
            </w:tcBorders>
            <w:noWrap w:val="0"/>
            <w:vAlign w:val="center"/>
          </w:tcPr>
          <w:p w14:paraId="786953EB">
            <w:pPr>
              <w:keepNext w:val="0"/>
              <w:keepLines w:val="0"/>
              <w:suppressLineNumbers w:val="0"/>
              <w:spacing w:before="0" w:beforeAutospacing="0" w:after="0" w:afterAutospacing="0"/>
              <w:ind w:left="0" w:right="0"/>
              <w:jc w:val="left"/>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混凝土路面砖（各种规格、型号）</w:t>
            </w:r>
          </w:p>
        </w:tc>
        <w:tc>
          <w:tcPr>
            <w:tcW w:w="709" w:type="dxa"/>
            <w:tcBorders>
              <w:left w:val="nil"/>
            </w:tcBorders>
            <w:noWrap w:val="0"/>
            <w:vAlign w:val="center"/>
          </w:tcPr>
          <w:p w14:paraId="106A3E2F">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p>
        </w:tc>
        <w:tc>
          <w:tcPr>
            <w:tcW w:w="3214" w:type="dxa"/>
            <w:tcBorders>
              <w:left w:val="nil"/>
            </w:tcBorders>
            <w:noWrap w:val="0"/>
            <w:vAlign w:val="center"/>
          </w:tcPr>
          <w:p w14:paraId="3135E091">
            <w:pPr>
              <w:keepNext w:val="0"/>
              <w:keepLines w:val="0"/>
              <w:suppressLineNumbers w:val="0"/>
              <w:spacing w:before="0" w:beforeAutospacing="0" w:after="0" w:afterAutospacing="0"/>
              <w:ind w:left="0" w:right="0"/>
              <w:jc w:val="center"/>
              <w:rPr>
                <w:rFonts w:hint="default" w:eastAsia="宋体"/>
                <w:color w:val="auto"/>
                <w:kern w:val="2"/>
                <w:sz w:val="21"/>
                <w:szCs w:val="24"/>
                <w:lang w:val="en-US" w:eastAsia="zh-CN" w:bidi="ar-SA"/>
              </w:rPr>
            </w:pPr>
            <w:r>
              <w:rPr>
                <w:rFonts w:hint="eastAsia" w:eastAsia="宋体"/>
                <w:color w:val="auto"/>
                <w:kern w:val="2"/>
                <w:sz w:val="21"/>
                <w:szCs w:val="24"/>
                <w:lang w:val="en-US" w:eastAsia="zh-CN" w:bidi="ar-SA"/>
              </w:rPr>
              <w:t>锦乐、众鑫、锦河、舟鑫山、沥晶</w:t>
            </w:r>
          </w:p>
        </w:tc>
        <w:tc>
          <w:tcPr>
            <w:tcW w:w="1560" w:type="dxa"/>
            <w:tcBorders>
              <w:left w:val="nil"/>
            </w:tcBorders>
            <w:noWrap w:val="0"/>
            <w:vAlign w:val="center"/>
          </w:tcPr>
          <w:p w14:paraId="2B8385B4">
            <w:pPr>
              <w:keepNext w:val="0"/>
              <w:keepLines w:val="0"/>
              <w:suppressLineNumbers w:val="0"/>
              <w:spacing w:before="0" w:beforeAutospacing="0" w:after="0" w:afterAutospacing="0"/>
              <w:ind w:left="0" w:right="0"/>
              <w:jc w:val="center"/>
              <w:rPr>
                <w:rFonts w:hint="default"/>
                <w:color w:val="auto"/>
                <w:szCs w:val="20"/>
              </w:rPr>
            </w:pPr>
          </w:p>
        </w:tc>
      </w:tr>
      <w:tr w14:paraId="178F7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33818033">
            <w:pPr>
              <w:keepNext w:val="0"/>
              <w:keepLines w:val="0"/>
              <w:widowControl/>
              <w:suppressLineNumbers w:val="0"/>
              <w:spacing w:before="0" w:beforeAutospacing="0" w:after="0" w:afterAutospacing="0"/>
              <w:ind w:left="0" w:right="0"/>
              <w:jc w:val="center"/>
              <w:rPr>
                <w:rFonts w:hint="eastAsia" w:ascii="宋体" w:hAnsi="宋体" w:eastAsia="宋体"/>
                <w:color w:val="auto"/>
                <w:szCs w:val="20"/>
                <w:lang w:val="en-US" w:eastAsia="zh-CN"/>
              </w:rPr>
            </w:pPr>
            <w:r>
              <w:rPr>
                <w:rFonts w:hint="eastAsia" w:ascii="宋体" w:hAnsi="宋体"/>
                <w:color w:val="auto"/>
                <w:szCs w:val="20"/>
                <w:lang w:val="en-US" w:eastAsia="zh-CN"/>
              </w:rPr>
              <w:t>3</w:t>
            </w:r>
          </w:p>
        </w:tc>
        <w:tc>
          <w:tcPr>
            <w:tcW w:w="2182" w:type="dxa"/>
            <w:tcBorders>
              <w:left w:val="nil"/>
            </w:tcBorders>
            <w:noWrap w:val="0"/>
            <w:vAlign w:val="center"/>
          </w:tcPr>
          <w:p w14:paraId="0C452190">
            <w:pPr>
              <w:keepNext w:val="0"/>
              <w:keepLines w:val="0"/>
              <w:suppressLineNumbers w:val="0"/>
              <w:spacing w:before="0" w:beforeAutospacing="0" w:after="0" w:afterAutospacing="0"/>
              <w:ind w:left="0" w:right="0"/>
              <w:jc w:val="left"/>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铝合金推拉窗</w:t>
            </w:r>
          </w:p>
        </w:tc>
        <w:tc>
          <w:tcPr>
            <w:tcW w:w="709" w:type="dxa"/>
            <w:tcBorders>
              <w:left w:val="nil"/>
            </w:tcBorders>
            <w:noWrap w:val="0"/>
            <w:vAlign w:val="center"/>
          </w:tcPr>
          <w:p w14:paraId="5E491F88">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p>
        </w:tc>
        <w:tc>
          <w:tcPr>
            <w:tcW w:w="3214" w:type="dxa"/>
            <w:tcBorders>
              <w:left w:val="nil"/>
            </w:tcBorders>
            <w:noWrap w:val="0"/>
            <w:vAlign w:val="center"/>
          </w:tcPr>
          <w:p w14:paraId="0775241D">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栋梁、兴发、凤铝</w:t>
            </w:r>
          </w:p>
        </w:tc>
        <w:tc>
          <w:tcPr>
            <w:tcW w:w="1560" w:type="dxa"/>
            <w:tcBorders>
              <w:left w:val="nil"/>
            </w:tcBorders>
            <w:noWrap w:val="0"/>
            <w:vAlign w:val="center"/>
          </w:tcPr>
          <w:p w14:paraId="19BBEE33">
            <w:pPr>
              <w:keepNext w:val="0"/>
              <w:keepLines w:val="0"/>
              <w:suppressLineNumbers w:val="0"/>
              <w:spacing w:before="0" w:beforeAutospacing="0" w:after="0" w:afterAutospacing="0"/>
              <w:ind w:left="0" w:right="0"/>
              <w:jc w:val="center"/>
              <w:rPr>
                <w:rFonts w:hint="default"/>
                <w:color w:val="auto"/>
                <w:szCs w:val="20"/>
              </w:rPr>
            </w:pPr>
          </w:p>
        </w:tc>
      </w:tr>
      <w:tr w14:paraId="5A467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7A7C8F09">
            <w:pPr>
              <w:keepNext w:val="0"/>
              <w:keepLines w:val="0"/>
              <w:widowControl/>
              <w:suppressLineNumbers w:val="0"/>
              <w:spacing w:before="0" w:beforeAutospacing="0" w:after="0" w:afterAutospacing="0"/>
              <w:ind w:left="0" w:right="0"/>
              <w:jc w:val="center"/>
              <w:rPr>
                <w:rFonts w:hint="eastAsia" w:ascii="宋体" w:hAnsi="宋体" w:eastAsia="宋体"/>
                <w:color w:val="auto"/>
                <w:szCs w:val="20"/>
                <w:lang w:val="en-US" w:eastAsia="zh-CN"/>
              </w:rPr>
            </w:pPr>
            <w:r>
              <w:rPr>
                <w:rFonts w:hint="eastAsia" w:ascii="宋体" w:hAnsi="宋体"/>
                <w:color w:val="auto"/>
                <w:szCs w:val="20"/>
                <w:lang w:val="en-US" w:eastAsia="zh-CN"/>
              </w:rPr>
              <w:t>4</w:t>
            </w:r>
          </w:p>
        </w:tc>
        <w:tc>
          <w:tcPr>
            <w:tcW w:w="2182" w:type="dxa"/>
            <w:tcBorders>
              <w:left w:val="nil"/>
            </w:tcBorders>
            <w:noWrap w:val="0"/>
            <w:vAlign w:val="center"/>
          </w:tcPr>
          <w:p w14:paraId="4F59642A">
            <w:pPr>
              <w:keepNext w:val="0"/>
              <w:keepLines w:val="0"/>
              <w:suppressLineNumbers w:val="0"/>
              <w:spacing w:before="0" w:beforeAutospacing="0" w:after="0" w:afterAutospacing="0"/>
              <w:ind w:left="0" w:right="0"/>
              <w:jc w:val="left"/>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内墙乳胶漆</w:t>
            </w:r>
          </w:p>
        </w:tc>
        <w:tc>
          <w:tcPr>
            <w:tcW w:w="709" w:type="dxa"/>
            <w:tcBorders>
              <w:left w:val="nil"/>
            </w:tcBorders>
            <w:noWrap w:val="0"/>
            <w:vAlign w:val="center"/>
          </w:tcPr>
          <w:p w14:paraId="6003F822">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p>
        </w:tc>
        <w:tc>
          <w:tcPr>
            <w:tcW w:w="3214" w:type="dxa"/>
            <w:tcBorders>
              <w:left w:val="nil"/>
            </w:tcBorders>
            <w:noWrap w:val="0"/>
            <w:vAlign w:val="center"/>
          </w:tcPr>
          <w:p w14:paraId="5BB0D1E1">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立邦、华润、多乐士</w:t>
            </w:r>
          </w:p>
        </w:tc>
        <w:tc>
          <w:tcPr>
            <w:tcW w:w="1560" w:type="dxa"/>
            <w:tcBorders>
              <w:left w:val="nil"/>
            </w:tcBorders>
            <w:noWrap w:val="0"/>
            <w:vAlign w:val="center"/>
          </w:tcPr>
          <w:p w14:paraId="0071BA02">
            <w:pPr>
              <w:keepNext w:val="0"/>
              <w:keepLines w:val="0"/>
              <w:suppressLineNumbers w:val="0"/>
              <w:spacing w:before="0" w:beforeAutospacing="0" w:after="0" w:afterAutospacing="0"/>
              <w:ind w:left="0" w:right="0"/>
              <w:jc w:val="center"/>
              <w:rPr>
                <w:rFonts w:hint="default"/>
                <w:color w:val="auto"/>
                <w:szCs w:val="20"/>
              </w:rPr>
            </w:pPr>
          </w:p>
        </w:tc>
      </w:tr>
      <w:tr w14:paraId="58AE0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481B98CF">
            <w:pPr>
              <w:keepNext w:val="0"/>
              <w:keepLines w:val="0"/>
              <w:widowControl/>
              <w:suppressLineNumbers w:val="0"/>
              <w:spacing w:before="0" w:beforeAutospacing="0" w:after="0" w:afterAutospacing="0"/>
              <w:ind w:left="0" w:right="0"/>
              <w:jc w:val="center"/>
              <w:rPr>
                <w:rFonts w:hint="eastAsia" w:ascii="宋体" w:hAnsi="宋体" w:eastAsia="宋体"/>
                <w:color w:val="auto"/>
                <w:szCs w:val="20"/>
                <w:lang w:val="en-US" w:eastAsia="zh-CN"/>
              </w:rPr>
            </w:pPr>
            <w:r>
              <w:rPr>
                <w:rFonts w:hint="eastAsia" w:ascii="宋体" w:hAnsi="宋体"/>
                <w:color w:val="auto"/>
                <w:szCs w:val="20"/>
                <w:lang w:val="en-US" w:eastAsia="zh-CN"/>
              </w:rPr>
              <w:t>5</w:t>
            </w:r>
          </w:p>
        </w:tc>
        <w:tc>
          <w:tcPr>
            <w:tcW w:w="2182" w:type="dxa"/>
            <w:tcBorders>
              <w:left w:val="nil"/>
            </w:tcBorders>
            <w:noWrap w:val="0"/>
            <w:vAlign w:val="center"/>
          </w:tcPr>
          <w:p w14:paraId="1C39E708">
            <w:pPr>
              <w:keepNext w:val="0"/>
              <w:keepLines w:val="0"/>
              <w:suppressLineNumbers w:val="0"/>
              <w:spacing w:before="0" w:beforeAutospacing="0" w:after="0" w:afterAutospacing="0"/>
              <w:ind w:left="0" w:right="0"/>
              <w:jc w:val="left"/>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外墙弹性涂料</w:t>
            </w:r>
          </w:p>
        </w:tc>
        <w:tc>
          <w:tcPr>
            <w:tcW w:w="709" w:type="dxa"/>
            <w:tcBorders>
              <w:left w:val="nil"/>
            </w:tcBorders>
            <w:noWrap w:val="0"/>
            <w:vAlign w:val="center"/>
          </w:tcPr>
          <w:p w14:paraId="366F0E50">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p>
        </w:tc>
        <w:tc>
          <w:tcPr>
            <w:tcW w:w="3214" w:type="dxa"/>
            <w:tcBorders>
              <w:left w:val="nil"/>
            </w:tcBorders>
            <w:noWrap w:val="0"/>
            <w:vAlign w:val="center"/>
          </w:tcPr>
          <w:p w14:paraId="39013EB7">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立邦、华润、多乐士</w:t>
            </w:r>
          </w:p>
        </w:tc>
        <w:tc>
          <w:tcPr>
            <w:tcW w:w="1560" w:type="dxa"/>
            <w:tcBorders>
              <w:left w:val="nil"/>
            </w:tcBorders>
            <w:noWrap w:val="0"/>
            <w:vAlign w:val="center"/>
          </w:tcPr>
          <w:p w14:paraId="56AC3EB0">
            <w:pPr>
              <w:keepNext w:val="0"/>
              <w:keepLines w:val="0"/>
              <w:suppressLineNumbers w:val="0"/>
              <w:spacing w:before="0" w:beforeAutospacing="0" w:after="0" w:afterAutospacing="0"/>
              <w:ind w:left="0" w:right="0"/>
              <w:jc w:val="center"/>
              <w:rPr>
                <w:rFonts w:hint="default"/>
                <w:color w:val="auto"/>
                <w:szCs w:val="20"/>
              </w:rPr>
            </w:pPr>
          </w:p>
        </w:tc>
      </w:tr>
      <w:tr w14:paraId="41B82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3732C63E">
            <w:pPr>
              <w:keepNext w:val="0"/>
              <w:keepLines w:val="0"/>
              <w:widowControl/>
              <w:suppressLineNumbers w:val="0"/>
              <w:spacing w:before="0" w:beforeAutospacing="0" w:after="0" w:afterAutospacing="0"/>
              <w:ind w:left="0" w:right="0"/>
              <w:jc w:val="center"/>
              <w:rPr>
                <w:rFonts w:hint="eastAsia" w:ascii="宋体" w:hAnsi="宋体" w:eastAsia="宋体"/>
                <w:color w:val="auto"/>
                <w:szCs w:val="20"/>
                <w:lang w:val="en-US" w:eastAsia="zh-CN"/>
              </w:rPr>
            </w:pPr>
            <w:r>
              <w:rPr>
                <w:rFonts w:hint="eastAsia" w:ascii="宋体" w:hAnsi="宋体"/>
                <w:color w:val="auto"/>
                <w:szCs w:val="20"/>
                <w:lang w:val="en-US" w:eastAsia="zh-CN"/>
              </w:rPr>
              <w:t>6</w:t>
            </w:r>
          </w:p>
        </w:tc>
        <w:tc>
          <w:tcPr>
            <w:tcW w:w="2182" w:type="dxa"/>
            <w:tcBorders>
              <w:left w:val="nil"/>
            </w:tcBorders>
            <w:noWrap w:val="0"/>
            <w:vAlign w:val="center"/>
          </w:tcPr>
          <w:p w14:paraId="29104F1A">
            <w:pPr>
              <w:keepNext w:val="0"/>
              <w:keepLines w:val="0"/>
              <w:suppressLineNumbers w:val="0"/>
              <w:spacing w:before="0" w:beforeAutospacing="0" w:after="0" w:afterAutospacing="0"/>
              <w:ind w:left="0" w:right="0"/>
              <w:jc w:val="left"/>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HDPE双壁波纹管</w:t>
            </w:r>
          </w:p>
        </w:tc>
        <w:tc>
          <w:tcPr>
            <w:tcW w:w="709" w:type="dxa"/>
            <w:tcBorders>
              <w:left w:val="nil"/>
            </w:tcBorders>
            <w:noWrap w:val="0"/>
            <w:vAlign w:val="center"/>
          </w:tcPr>
          <w:p w14:paraId="12A0C6AA">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p>
        </w:tc>
        <w:tc>
          <w:tcPr>
            <w:tcW w:w="3214" w:type="dxa"/>
            <w:tcBorders>
              <w:left w:val="nil"/>
            </w:tcBorders>
            <w:noWrap w:val="0"/>
            <w:vAlign w:val="center"/>
          </w:tcPr>
          <w:p w14:paraId="00322DB6">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永亨、公元、中财</w:t>
            </w:r>
          </w:p>
        </w:tc>
        <w:tc>
          <w:tcPr>
            <w:tcW w:w="1560" w:type="dxa"/>
            <w:tcBorders>
              <w:left w:val="nil"/>
            </w:tcBorders>
            <w:noWrap w:val="0"/>
            <w:vAlign w:val="center"/>
          </w:tcPr>
          <w:p w14:paraId="58100A16">
            <w:pPr>
              <w:keepNext w:val="0"/>
              <w:keepLines w:val="0"/>
              <w:suppressLineNumbers w:val="0"/>
              <w:spacing w:before="0" w:beforeAutospacing="0" w:after="0" w:afterAutospacing="0"/>
              <w:ind w:left="0" w:right="0"/>
              <w:jc w:val="center"/>
              <w:rPr>
                <w:rFonts w:hint="default"/>
                <w:color w:val="auto"/>
                <w:szCs w:val="20"/>
              </w:rPr>
            </w:pPr>
          </w:p>
        </w:tc>
      </w:tr>
      <w:tr w14:paraId="0E3BD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0" w:type="dxa"/>
            <w:noWrap w:val="0"/>
            <w:vAlign w:val="center"/>
          </w:tcPr>
          <w:p w14:paraId="3373D1A6">
            <w:pPr>
              <w:keepNext w:val="0"/>
              <w:keepLines w:val="0"/>
              <w:widowControl/>
              <w:suppressLineNumbers w:val="0"/>
              <w:spacing w:before="0" w:beforeAutospacing="0" w:after="0" w:afterAutospacing="0"/>
              <w:ind w:left="0" w:right="0"/>
              <w:jc w:val="center"/>
              <w:rPr>
                <w:rFonts w:hint="eastAsia" w:ascii="宋体" w:hAnsi="宋体" w:eastAsia="宋体"/>
                <w:color w:val="auto"/>
                <w:szCs w:val="20"/>
                <w:lang w:val="en-US" w:eastAsia="zh-CN"/>
              </w:rPr>
            </w:pPr>
            <w:r>
              <w:rPr>
                <w:rFonts w:hint="eastAsia" w:ascii="宋体" w:hAnsi="宋体"/>
                <w:color w:val="auto"/>
                <w:szCs w:val="20"/>
                <w:lang w:val="en-US" w:eastAsia="zh-CN"/>
              </w:rPr>
              <w:t>7</w:t>
            </w:r>
          </w:p>
        </w:tc>
        <w:tc>
          <w:tcPr>
            <w:tcW w:w="2182" w:type="dxa"/>
            <w:tcBorders>
              <w:left w:val="nil"/>
            </w:tcBorders>
            <w:noWrap w:val="0"/>
            <w:vAlign w:val="center"/>
          </w:tcPr>
          <w:p w14:paraId="40689DC0">
            <w:pPr>
              <w:keepNext w:val="0"/>
              <w:keepLines w:val="0"/>
              <w:suppressLineNumbers w:val="0"/>
              <w:spacing w:before="0" w:beforeAutospacing="0" w:after="0" w:afterAutospacing="0"/>
              <w:ind w:left="0" w:right="0"/>
              <w:jc w:val="left"/>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地砖、瓷砖</w:t>
            </w:r>
          </w:p>
        </w:tc>
        <w:tc>
          <w:tcPr>
            <w:tcW w:w="709" w:type="dxa"/>
            <w:tcBorders>
              <w:left w:val="nil"/>
            </w:tcBorders>
            <w:noWrap w:val="0"/>
            <w:vAlign w:val="center"/>
          </w:tcPr>
          <w:p w14:paraId="1C8DCC5B">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p>
        </w:tc>
        <w:tc>
          <w:tcPr>
            <w:tcW w:w="3214" w:type="dxa"/>
            <w:tcBorders>
              <w:left w:val="nil"/>
            </w:tcBorders>
            <w:noWrap w:val="0"/>
            <w:vAlign w:val="center"/>
          </w:tcPr>
          <w:p w14:paraId="2F4E91B6">
            <w:pPr>
              <w:keepNext w:val="0"/>
              <w:keepLines w:val="0"/>
              <w:suppressLineNumbers w:val="0"/>
              <w:spacing w:before="0" w:beforeAutospacing="0" w:after="0" w:afterAutospacing="0"/>
              <w:ind w:left="0" w:right="0"/>
              <w:jc w:val="center"/>
              <w:rPr>
                <w:rFonts w:hint="eastAsia" w:eastAsia="宋体"/>
                <w:color w:val="auto"/>
                <w:kern w:val="2"/>
                <w:sz w:val="21"/>
                <w:szCs w:val="24"/>
                <w:lang w:val="en-US" w:eastAsia="zh-CN" w:bidi="ar-SA"/>
              </w:rPr>
            </w:pPr>
            <w:r>
              <w:rPr>
                <w:rFonts w:hint="eastAsia" w:eastAsia="宋体"/>
                <w:color w:val="auto"/>
                <w:kern w:val="2"/>
                <w:sz w:val="21"/>
                <w:szCs w:val="24"/>
                <w:lang w:val="en-US" w:eastAsia="zh-CN" w:bidi="ar-SA"/>
              </w:rPr>
              <w:t>萨米特、冠珠、博华</w:t>
            </w:r>
          </w:p>
        </w:tc>
        <w:tc>
          <w:tcPr>
            <w:tcW w:w="1560" w:type="dxa"/>
            <w:tcBorders>
              <w:left w:val="nil"/>
            </w:tcBorders>
            <w:noWrap w:val="0"/>
            <w:vAlign w:val="center"/>
          </w:tcPr>
          <w:p w14:paraId="61D201FC">
            <w:pPr>
              <w:keepNext w:val="0"/>
              <w:keepLines w:val="0"/>
              <w:suppressLineNumbers w:val="0"/>
              <w:spacing w:before="0" w:beforeAutospacing="0" w:after="0" w:afterAutospacing="0"/>
              <w:ind w:left="0" w:right="0"/>
              <w:jc w:val="center"/>
              <w:rPr>
                <w:rFonts w:hint="default"/>
                <w:color w:val="auto"/>
                <w:szCs w:val="20"/>
              </w:rPr>
            </w:pPr>
          </w:p>
        </w:tc>
      </w:tr>
    </w:tbl>
    <w:p w14:paraId="06DD7338">
      <w:pPr>
        <w:autoSpaceDE w:val="0"/>
        <w:spacing w:line="400" w:lineRule="exact"/>
        <w:rPr>
          <w:rFonts w:hint="eastAsia" w:ascii="宋体" w:hAnsi="宋体"/>
          <w:color w:val="auto"/>
        </w:rPr>
      </w:pPr>
      <w:r>
        <w:rPr>
          <w:rFonts w:hint="eastAsia" w:ascii="宋体" w:hAnsi="宋体"/>
          <w:color w:val="auto"/>
        </w:rPr>
        <w:t>注：</w:t>
      </w:r>
      <w:r>
        <w:rPr>
          <w:rFonts w:hint="eastAsia" w:ascii="宋体" w:hAnsi="宋体"/>
          <w:color w:val="auto"/>
          <w:lang w:val="en-US" w:eastAsia="zh-CN"/>
        </w:rPr>
        <w:t>采购</w:t>
      </w:r>
      <w:r>
        <w:rPr>
          <w:rFonts w:ascii="宋体" w:hAnsi="宋体"/>
          <w:color w:val="auto"/>
        </w:rPr>
        <w:t>人在</w:t>
      </w:r>
      <w:r>
        <w:rPr>
          <w:rFonts w:hint="eastAsia" w:ascii="宋体" w:hAnsi="宋体"/>
          <w:color w:val="auto"/>
          <w:lang w:val="en-US" w:eastAsia="zh-CN"/>
        </w:rPr>
        <w:t>磋商</w:t>
      </w:r>
      <w:r>
        <w:rPr>
          <w:rFonts w:ascii="宋体" w:hAnsi="宋体"/>
          <w:color w:val="auto"/>
        </w:rPr>
        <w:t>文件中规定材料品牌的，</w:t>
      </w:r>
      <w:r>
        <w:rPr>
          <w:rFonts w:hint="eastAsia" w:ascii="宋体" w:hAnsi="宋体"/>
          <w:color w:val="auto"/>
          <w:lang w:val="en-US" w:eastAsia="zh-CN"/>
        </w:rPr>
        <w:t>响应</w:t>
      </w:r>
      <w:r>
        <w:rPr>
          <w:rFonts w:ascii="宋体" w:hAnsi="宋体"/>
          <w:color w:val="auto"/>
        </w:rPr>
        <w:t>人必须按</w:t>
      </w:r>
      <w:r>
        <w:rPr>
          <w:rFonts w:hint="eastAsia" w:ascii="宋体" w:hAnsi="宋体"/>
          <w:color w:val="auto"/>
          <w:lang w:val="en-US" w:eastAsia="zh-CN"/>
        </w:rPr>
        <w:t>采购</w:t>
      </w:r>
      <w:r>
        <w:rPr>
          <w:rFonts w:ascii="宋体" w:hAnsi="宋体"/>
          <w:color w:val="auto"/>
        </w:rPr>
        <w:t>人指定品牌经市场调查后自行报价；</w:t>
      </w:r>
      <w:r>
        <w:rPr>
          <w:rFonts w:hint="eastAsia" w:ascii="宋体" w:hAnsi="宋体"/>
          <w:color w:val="auto"/>
          <w:lang w:val="en-US" w:eastAsia="zh-CN"/>
        </w:rPr>
        <w:t>响应</w:t>
      </w:r>
      <w:r>
        <w:rPr>
          <w:rFonts w:ascii="宋体" w:hAnsi="宋体"/>
          <w:color w:val="auto"/>
        </w:rPr>
        <w:t>人在</w:t>
      </w:r>
      <w:r>
        <w:rPr>
          <w:rFonts w:hint="eastAsia" w:ascii="宋体" w:hAnsi="宋体"/>
          <w:color w:val="auto"/>
          <w:lang w:val="en-US" w:eastAsia="zh-CN"/>
        </w:rPr>
        <w:t>响应</w:t>
      </w:r>
      <w:r>
        <w:rPr>
          <w:rFonts w:ascii="宋体" w:hAnsi="宋体"/>
          <w:color w:val="auto"/>
        </w:rPr>
        <w:t>书中未注明材料品牌的，由承包人在签订合同时根据</w:t>
      </w:r>
      <w:r>
        <w:rPr>
          <w:rFonts w:hint="eastAsia" w:ascii="宋体" w:hAnsi="宋体"/>
          <w:color w:val="auto"/>
          <w:lang w:val="en-US" w:eastAsia="zh-CN"/>
        </w:rPr>
        <w:t>采购</w:t>
      </w:r>
      <w:r>
        <w:rPr>
          <w:rFonts w:ascii="宋体" w:hAnsi="宋体"/>
          <w:color w:val="auto"/>
        </w:rPr>
        <w:t>人提供的材料品牌中明确材料品牌</w:t>
      </w:r>
      <w:r>
        <w:rPr>
          <w:rFonts w:hint="eastAsia" w:ascii="宋体" w:hAnsi="宋体"/>
          <w:color w:val="auto"/>
        </w:rPr>
        <w:t>。</w:t>
      </w:r>
    </w:p>
    <w:p w14:paraId="105BF8D9">
      <w:pPr>
        <w:autoSpaceDE w:val="0"/>
        <w:spacing w:line="400" w:lineRule="exact"/>
        <w:rPr>
          <w:rFonts w:hint="eastAsia" w:ascii="宋体" w:hAnsi="宋体" w:cs="宋体"/>
          <w:b/>
          <w:color w:val="auto"/>
          <w:szCs w:val="21"/>
        </w:rPr>
      </w:pPr>
      <w:r>
        <w:rPr>
          <w:rFonts w:hint="eastAsia" w:ascii="宋体"/>
          <w:b/>
          <w:color w:val="auto"/>
          <w:szCs w:val="21"/>
          <w:lang w:eastAsia="zh-CN"/>
        </w:rPr>
        <w:t>（</w:t>
      </w:r>
      <w:r>
        <w:rPr>
          <w:rFonts w:hint="eastAsia" w:ascii="宋体"/>
          <w:b/>
          <w:color w:val="auto"/>
          <w:szCs w:val="21"/>
          <w:lang w:val="en-US" w:eastAsia="zh-CN"/>
        </w:rPr>
        <w:t>六</w:t>
      </w:r>
      <w:r>
        <w:rPr>
          <w:rFonts w:hint="eastAsia" w:ascii="宋体"/>
          <w:b/>
          <w:color w:val="auto"/>
          <w:szCs w:val="21"/>
          <w:lang w:eastAsia="zh-CN"/>
        </w:rPr>
        <w:t>）</w:t>
      </w:r>
      <w:r>
        <w:rPr>
          <w:rFonts w:hint="eastAsia" w:ascii="宋体" w:hAnsi="宋体"/>
          <w:b/>
          <w:color w:val="auto"/>
          <w:szCs w:val="21"/>
        </w:rPr>
        <w:t>、</w:t>
      </w:r>
      <w:r>
        <w:rPr>
          <w:rFonts w:hint="eastAsia" w:ascii="宋体" w:hAnsi="宋体" w:cs="宋体"/>
          <w:b/>
          <w:color w:val="auto"/>
          <w:szCs w:val="21"/>
        </w:rPr>
        <w:t>暂列金额(计入暂列金额明细表中)：</w:t>
      </w:r>
    </w:p>
    <w:tbl>
      <w:tblPr>
        <w:tblStyle w:val="28"/>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0"/>
        <w:gridCol w:w="3496"/>
        <w:gridCol w:w="681"/>
        <w:gridCol w:w="865"/>
        <w:gridCol w:w="1685"/>
        <w:gridCol w:w="993"/>
      </w:tblGrid>
      <w:tr w14:paraId="4B3E46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6" w:hRule="atLeast"/>
        </w:trPr>
        <w:tc>
          <w:tcPr>
            <w:tcW w:w="740" w:type="dxa"/>
            <w:tcBorders>
              <w:top w:val="single" w:color="auto" w:sz="6" w:space="0"/>
              <w:left w:val="single" w:color="auto" w:sz="6" w:space="0"/>
              <w:bottom w:val="single" w:color="auto" w:sz="6" w:space="0"/>
              <w:right w:val="single" w:color="auto" w:sz="6" w:space="0"/>
            </w:tcBorders>
            <w:noWrap w:val="0"/>
            <w:vAlign w:val="center"/>
          </w:tcPr>
          <w:p w14:paraId="43DC9361">
            <w:pPr>
              <w:keepNext w:val="0"/>
              <w:keepLines w:val="0"/>
              <w:suppressLineNumbers w:val="0"/>
              <w:spacing w:before="0" w:beforeAutospacing="0" w:after="0" w:afterAutospacing="0" w:line="320" w:lineRule="exact"/>
              <w:ind w:left="0" w:right="0"/>
              <w:jc w:val="center"/>
              <w:rPr>
                <w:rFonts w:hint="default" w:ascii="宋体"/>
                <w:b/>
                <w:bCs/>
                <w:color w:val="auto"/>
                <w:szCs w:val="20"/>
              </w:rPr>
            </w:pPr>
            <w:r>
              <w:rPr>
                <w:rFonts w:hint="eastAsia" w:ascii="宋体" w:hAnsi="宋体"/>
                <w:b/>
                <w:bCs/>
                <w:color w:val="auto"/>
                <w:szCs w:val="20"/>
              </w:rPr>
              <w:t>序号</w:t>
            </w:r>
          </w:p>
        </w:tc>
        <w:tc>
          <w:tcPr>
            <w:tcW w:w="3496" w:type="dxa"/>
            <w:tcBorders>
              <w:top w:val="single" w:color="auto" w:sz="6" w:space="0"/>
              <w:left w:val="nil"/>
              <w:bottom w:val="single" w:color="auto" w:sz="6" w:space="0"/>
              <w:right w:val="single" w:color="auto" w:sz="6" w:space="0"/>
            </w:tcBorders>
            <w:noWrap w:val="0"/>
            <w:vAlign w:val="center"/>
          </w:tcPr>
          <w:p w14:paraId="1A3FE691">
            <w:pPr>
              <w:keepNext w:val="0"/>
              <w:keepLines w:val="0"/>
              <w:suppressLineNumbers w:val="0"/>
              <w:spacing w:before="0" w:beforeAutospacing="0" w:after="0" w:afterAutospacing="0" w:line="320" w:lineRule="exact"/>
              <w:ind w:left="0" w:right="0"/>
              <w:jc w:val="center"/>
              <w:rPr>
                <w:rFonts w:hint="default" w:ascii="宋体"/>
                <w:b/>
                <w:bCs/>
                <w:color w:val="auto"/>
                <w:szCs w:val="20"/>
              </w:rPr>
            </w:pPr>
            <w:r>
              <w:rPr>
                <w:rFonts w:hint="eastAsia" w:ascii="宋体" w:hAnsi="宋体"/>
                <w:b/>
                <w:bCs/>
                <w:color w:val="auto"/>
                <w:szCs w:val="20"/>
              </w:rPr>
              <w:t>项目名称</w:t>
            </w:r>
          </w:p>
        </w:tc>
        <w:tc>
          <w:tcPr>
            <w:tcW w:w="681" w:type="dxa"/>
            <w:tcBorders>
              <w:top w:val="single" w:color="auto" w:sz="6" w:space="0"/>
              <w:left w:val="nil"/>
              <w:bottom w:val="single" w:color="auto" w:sz="6" w:space="0"/>
              <w:right w:val="single" w:color="auto" w:sz="6" w:space="0"/>
            </w:tcBorders>
            <w:noWrap w:val="0"/>
            <w:vAlign w:val="center"/>
          </w:tcPr>
          <w:p w14:paraId="65BC1E7F">
            <w:pPr>
              <w:keepNext w:val="0"/>
              <w:keepLines w:val="0"/>
              <w:suppressLineNumbers w:val="0"/>
              <w:spacing w:before="0" w:beforeAutospacing="0" w:after="0" w:afterAutospacing="0" w:line="320" w:lineRule="exact"/>
              <w:ind w:left="0" w:right="0"/>
              <w:jc w:val="center"/>
              <w:rPr>
                <w:rFonts w:hint="default" w:ascii="宋体"/>
                <w:b/>
                <w:bCs/>
                <w:color w:val="auto"/>
                <w:szCs w:val="20"/>
              </w:rPr>
            </w:pPr>
            <w:r>
              <w:rPr>
                <w:rFonts w:hint="eastAsia" w:ascii="宋体" w:hAnsi="宋体"/>
                <w:b/>
                <w:bCs/>
                <w:color w:val="auto"/>
                <w:szCs w:val="20"/>
              </w:rPr>
              <w:t>单位</w:t>
            </w:r>
          </w:p>
        </w:tc>
        <w:tc>
          <w:tcPr>
            <w:tcW w:w="865" w:type="dxa"/>
            <w:tcBorders>
              <w:top w:val="single" w:color="auto" w:sz="6" w:space="0"/>
              <w:left w:val="nil"/>
              <w:bottom w:val="single" w:color="auto" w:sz="6" w:space="0"/>
              <w:right w:val="single" w:color="auto" w:sz="6" w:space="0"/>
            </w:tcBorders>
            <w:noWrap w:val="0"/>
            <w:vAlign w:val="center"/>
          </w:tcPr>
          <w:p w14:paraId="0F47EC2F">
            <w:pPr>
              <w:keepNext w:val="0"/>
              <w:keepLines w:val="0"/>
              <w:suppressLineNumbers w:val="0"/>
              <w:spacing w:before="0" w:beforeAutospacing="0" w:after="0" w:afterAutospacing="0" w:line="320" w:lineRule="exact"/>
              <w:ind w:left="0" w:right="0"/>
              <w:jc w:val="center"/>
              <w:rPr>
                <w:rFonts w:hint="default" w:ascii="宋体"/>
                <w:b/>
                <w:bCs/>
                <w:color w:val="auto"/>
                <w:szCs w:val="20"/>
              </w:rPr>
            </w:pPr>
            <w:r>
              <w:rPr>
                <w:rFonts w:hint="eastAsia" w:ascii="宋体" w:hAnsi="宋体"/>
                <w:b/>
                <w:bCs/>
                <w:color w:val="auto"/>
                <w:szCs w:val="20"/>
              </w:rPr>
              <w:t>数量</w:t>
            </w:r>
          </w:p>
        </w:tc>
        <w:tc>
          <w:tcPr>
            <w:tcW w:w="1685" w:type="dxa"/>
            <w:tcBorders>
              <w:top w:val="single" w:color="auto" w:sz="6" w:space="0"/>
              <w:left w:val="nil"/>
              <w:bottom w:val="single" w:color="auto" w:sz="6" w:space="0"/>
              <w:right w:val="single" w:color="auto" w:sz="4" w:space="0"/>
            </w:tcBorders>
            <w:noWrap w:val="0"/>
            <w:vAlign w:val="center"/>
          </w:tcPr>
          <w:p w14:paraId="0B51F7C1">
            <w:pPr>
              <w:keepNext w:val="0"/>
              <w:keepLines w:val="0"/>
              <w:suppressLineNumbers w:val="0"/>
              <w:spacing w:before="0" w:beforeAutospacing="0" w:after="0" w:afterAutospacing="0" w:line="320" w:lineRule="exact"/>
              <w:ind w:left="0" w:right="0"/>
              <w:jc w:val="center"/>
              <w:rPr>
                <w:rFonts w:hint="default" w:ascii="宋体"/>
                <w:b/>
                <w:bCs/>
                <w:color w:val="auto"/>
                <w:szCs w:val="20"/>
              </w:rPr>
            </w:pPr>
            <w:r>
              <w:rPr>
                <w:rFonts w:hint="eastAsia" w:ascii="宋体" w:hAnsi="宋体"/>
                <w:b/>
                <w:bCs/>
                <w:color w:val="auto"/>
                <w:szCs w:val="20"/>
              </w:rPr>
              <w:t>除税金额</w:t>
            </w:r>
            <w:r>
              <w:rPr>
                <w:rFonts w:hint="default" w:ascii="宋体" w:hAnsi="宋体"/>
                <w:b/>
                <w:bCs/>
                <w:color w:val="auto"/>
                <w:szCs w:val="20"/>
              </w:rPr>
              <w:t>(</w:t>
            </w:r>
            <w:r>
              <w:rPr>
                <w:rFonts w:hint="eastAsia" w:ascii="宋体" w:hAnsi="宋体"/>
                <w:b/>
                <w:bCs/>
                <w:color w:val="auto"/>
                <w:szCs w:val="20"/>
              </w:rPr>
              <w:t>元</w:t>
            </w:r>
            <w:r>
              <w:rPr>
                <w:rFonts w:hint="default" w:ascii="宋体" w:hAnsi="宋体"/>
                <w:b/>
                <w:bCs/>
                <w:color w:val="auto"/>
                <w:szCs w:val="20"/>
              </w:rPr>
              <w:t>)</w:t>
            </w:r>
          </w:p>
        </w:tc>
        <w:tc>
          <w:tcPr>
            <w:tcW w:w="993" w:type="dxa"/>
            <w:tcBorders>
              <w:top w:val="single" w:color="auto" w:sz="6" w:space="0"/>
              <w:left w:val="nil"/>
              <w:bottom w:val="single" w:color="auto" w:sz="6" w:space="0"/>
              <w:right w:val="single" w:color="auto" w:sz="6" w:space="0"/>
            </w:tcBorders>
            <w:noWrap w:val="0"/>
            <w:vAlign w:val="center"/>
          </w:tcPr>
          <w:p w14:paraId="20300035">
            <w:pPr>
              <w:keepNext w:val="0"/>
              <w:keepLines w:val="0"/>
              <w:suppressLineNumbers w:val="0"/>
              <w:spacing w:before="0" w:beforeAutospacing="0" w:after="0" w:afterAutospacing="0" w:line="320" w:lineRule="exact"/>
              <w:ind w:left="0" w:right="0"/>
              <w:jc w:val="center"/>
              <w:rPr>
                <w:rFonts w:hint="default" w:ascii="宋体"/>
                <w:b/>
                <w:bCs/>
                <w:color w:val="auto"/>
                <w:szCs w:val="20"/>
              </w:rPr>
            </w:pPr>
            <w:r>
              <w:rPr>
                <w:rFonts w:hint="eastAsia" w:ascii="宋体" w:hAnsi="宋体"/>
                <w:b/>
                <w:bCs/>
                <w:color w:val="auto"/>
                <w:szCs w:val="20"/>
              </w:rPr>
              <w:t>备注</w:t>
            </w:r>
          </w:p>
        </w:tc>
      </w:tr>
      <w:tr w14:paraId="45D137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0" w:type="dxa"/>
            <w:tcBorders>
              <w:top w:val="single" w:color="auto" w:sz="6" w:space="0"/>
              <w:left w:val="single" w:color="auto" w:sz="6" w:space="0"/>
              <w:bottom w:val="single" w:color="auto" w:sz="6" w:space="0"/>
              <w:right w:val="single" w:color="auto" w:sz="6" w:space="0"/>
            </w:tcBorders>
            <w:noWrap w:val="0"/>
            <w:vAlign w:val="center"/>
          </w:tcPr>
          <w:p w14:paraId="68CE2F97">
            <w:pPr>
              <w:keepNext w:val="0"/>
              <w:keepLines w:val="0"/>
              <w:suppressLineNumbers w:val="0"/>
              <w:spacing w:before="0" w:beforeAutospacing="0" w:after="0" w:afterAutospacing="0" w:line="320" w:lineRule="exact"/>
              <w:ind w:left="0" w:right="0"/>
              <w:jc w:val="center"/>
              <w:rPr>
                <w:rFonts w:hint="default" w:ascii="宋体"/>
                <w:color w:val="auto"/>
                <w:szCs w:val="20"/>
              </w:rPr>
            </w:pPr>
            <w:r>
              <w:rPr>
                <w:rFonts w:hint="default" w:ascii="宋体" w:hAnsi="宋体"/>
                <w:color w:val="auto"/>
                <w:szCs w:val="20"/>
              </w:rPr>
              <w:t>1</w:t>
            </w:r>
          </w:p>
        </w:tc>
        <w:tc>
          <w:tcPr>
            <w:tcW w:w="3496" w:type="dxa"/>
            <w:tcBorders>
              <w:top w:val="single" w:color="auto" w:sz="6" w:space="0"/>
              <w:left w:val="nil"/>
              <w:bottom w:val="single" w:color="auto" w:sz="6" w:space="0"/>
              <w:right w:val="single" w:color="auto" w:sz="6" w:space="0"/>
            </w:tcBorders>
            <w:noWrap w:val="0"/>
            <w:vAlign w:val="center"/>
          </w:tcPr>
          <w:p w14:paraId="48C25B67">
            <w:pPr>
              <w:keepNext w:val="0"/>
              <w:keepLines w:val="0"/>
              <w:suppressLineNumbers w:val="0"/>
              <w:spacing w:before="0" w:beforeAutospacing="0" w:after="0" w:afterAutospacing="0" w:line="360" w:lineRule="auto"/>
              <w:ind w:left="0" w:right="0"/>
              <w:jc w:val="center"/>
              <w:rPr>
                <w:rFonts w:hint="default" w:ascii="宋体"/>
                <w:color w:val="auto"/>
                <w:szCs w:val="20"/>
              </w:rPr>
            </w:pPr>
            <w:r>
              <w:rPr>
                <w:rFonts w:hint="eastAsia" w:ascii="宋体" w:cs="宋体"/>
                <w:color w:val="auto"/>
                <w:szCs w:val="20"/>
                <w:lang w:val="en-US" w:eastAsia="zh-CN"/>
              </w:rPr>
              <w:t>采购</w:t>
            </w:r>
            <w:r>
              <w:rPr>
                <w:rFonts w:hint="eastAsia" w:ascii="宋体" w:cs="宋体"/>
                <w:color w:val="auto"/>
                <w:szCs w:val="20"/>
                <w:lang w:val="zh-CN"/>
              </w:rPr>
              <w:t>人暂列金额</w:t>
            </w:r>
          </w:p>
        </w:tc>
        <w:tc>
          <w:tcPr>
            <w:tcW w:w="681" w:type="dxa"/>
            <w:tcBorders>
              <w:top w:val="single" w:color="auto" w:sz="6" w:space="0"/>
              <w:left w:val="nil"/>
              <w:bottom w:val="single" w:color="auto" w:sz="6" w:space="0"/>
              <w:right w:val="single" w:color="auto" w:sz="6" w:space="0"/>
            </w:tcBorders>
            <w:noWrap w:val="0"/>
            <w:vAlign w:val="center"/>
          </w:tcPr>
          <w:p w14:paraId="3CB5803E">
            <w:pPr>
              <w:keepNext w:val="0"/>
              <w:keepLines w:val="0"/>
              <w:suppressLineNumbers w:val="0"/>
              <w:spacing w:before="0" w:beforeAutospacing="0" w:after="0" w:afterAutospacing="0" w:line="360" w:lineRule="auto"/>
              <w:ind w:left="0" w:right="0"/>
              <w:jc w:val="center"/>
              <w:rPr>
                <w:rFonts w:hint="default" w:ascii="宋体"/>
                <w:color w:val="auto"/>
                <w:szCs w:val="20"/>
              </w:rPr>
            </w:pPr>
            <w:r>
              <w:rPr>
                <w:rFonts w:hint="eastAsia" w:ascii="宋体" w:hAnsi="宋体"/>
                <w:color w:val="auto"/>
                <w:szCs w:val="20"/>
              </w:rPr>
              <w:t>项</w:t>
            </w:r>
          </w:p>
        </w:tc>
        <w:tc>
          <w:tcPr>
            <w:tcW w:w="865" w:type="dxa"/>
            <w:tcBorders>
              <w:top w:val="single" w:color="auto" w:sz="6" w:space="0"/>
              <w:left w:val="nil"/>
              <w:bottom w:val="single" w:color="auto" w:sz="6" w:space="0"/>
              <w:right w:val="single" w:color="auto" w:sz="6" w:space="0"/>
            </w:tcBorders>
            <w:noWrap w:val="0"/>
            <w:vAlign w:val="center"/>
          </w:tcPr>
          <w:p w14:paraId="2A8A1EEA">
            <w:pPr>
              <w:keepNext w:val="0"/>
              <w:keepLines w:val="0"/>
              <w:suppressLineNumbers w:val="0"/>
              <w:spacing w:before="0" w:beforeAutospacing="0" w:after="0" w:afterAutospacing="0" w:line="360" w:lineRule="auto"/>
              <w:ind w:left="0" w:right="0"/>
              <w:jc w:val="center"/>
              <w:rPr>
                <w:rFonts w:hint="default" w:ascii="宋体"/>
                <w:color w:val="auto"/>
                <w:szCs w:val="20"/>
              </w:rPr>
            </w:pPr>
            <w:r>
              <w:rPr>
                <w:rFonts w:hint="default" w:ascii="宋体" w:hAnsi="宋体"/>
                <w:color w:val="auto"/>
                <w:szCs w:val="20"/>
              </w:rPr>
              <w:t xml:space="preserve">1 </w:t>
            </w:r>
          </w:p>
        </w:tc>
        <w:tc>
          <w:tcPr>
            <w:tcW w:w="1685" w:type="dxa"/>
            <w:tcBorders>
              <w:top w:val="single" w:color="auto" w:sz="6" w:space="0"/>
              <w:left w:val="nil"/>
              <w:bottom w:val="single" w:color="auto" w:sz="6" w:space="0"/>
              <w:right w:val="single" w:color="auto" w:sz="4" w:space="0"/>
            </w:tcBorders>
            <w:noWrap w:val="0"/>
            <w:vAlign w:val="center"/>
          </w:tcPr>
          <w:p w14:paraId="51F5F229">
            <w:pPr>
              <w:keepNext w:val="0"/>
              <w:keepLines w:val="0"/>
              <w:suppressLineNumbers w:val="0"/>
              <w:spacing w:before="0" w:beforeAutospacing="0" w:after="0" w:afterAutospacing="0" w:line="360" w:lineRule="auto"/>
              <w:ind w:left="0" w:right="0"/>
              <w:jc w:val="center"/>
              <w:rPr>
                <w:rFonts w:hint="default" w:ascii="宋体"/>
                <w:color w:val="auto"/>
                <w:szCs w:val="20"/>
              </w:rPr>
            </w:pPr>
            <w:r>
              <w:rPr>
                <w:rFonts w:hint="eastAsia" w:ascii="宋体"/>
                <w:color w:val="auto"/>
                <w:szCs w:val="20"/>
                <w:lang w:val="en-US" w:eastAsia="zh-CN"/>
              </w:rPr>
              <w:t>80000</w:t>
            </w:r>
          </w:p>
        </w:tc>
        <w:tc>
          <w:tcPr>
            <w:tcW w:w="993" w:type="dxa"/>
            <w:tcBorders>
              <w:top w:val="single" w:color="auto" w:sz="6" w:space="0"/>
              <w:left w:val="nil"/>
              <w:bottom w:val="single" w:color="auto" w:sz="6" w:space="0"/>
              <w:right w:val="single" w:color="auto" w:sz="6" w:space="0"/>
            </w:tcBorders>
            <w:noWrap w:val="0"/>
            <w:vAlign w:val="center"/>
          </w:tcPr>
          <w:p w14:paraId="6C7D3DB5">
            <w:pPr>
              <w:keepNext w:val="0"/>
              <w:keepLines w:val="0"/>
              <w:suppressLineNumbers w:val="0"/>
              <w:spacing w:before="0" w:beforeAutospacing="0" w:after="0" w:afterAutospacing="0" w:line="360" w:lineRule="auto"/>
              <w:ind w:left="0" w:right="0"/>
              <w:jc w:val="center"/>
              <w:rPr>
                <w:rFonts w:hint="default" w:ascii="宋体"/>
                <w:color w:val="auto"/>
                <w:szCs w:val="20"/>
              </w:rPr>
            </w:pPr>
          </w:p>
        </w:tc>
      </w:tr>
    </w:tbl>
    <w:p w14:paraId="3F56FDFA">
      <w:pPr>
        <w:spacing w:line="400" w:lineRule="exact"/>
        <w:rPr>
          <w:rFonts w:hint="eastAsia" w:ascii="宋体" w:hAnsi="宋体" w:cs="宋体"/>
          <w:color w:val="auto"/>
        </w:rPr>
      </w:pPr>
      <w:r>
        <w:rPr>
          <w:rFonts w:hint="eastAsia" w:ascii="宋体" w:hAnsi="宋体"/>
          <w:color w:val="auto"/>
        </w:rPr>
        <w:t>注：</w:t>
      </w:r>
      <w:r>
        <w:rPr>
          <w:rFonts w:ascii="宋体" w:hAnsi="宋体"/>
          <w:color w:val="auto"/>
        </w:rPr>
        <w:t>1</w:t>
      </w:r>
      <w:r>
        <w:rPr>
          <w:rFonts w:hint="eastAsia" w:ascii="宋体" w:hAnsi="宋体"/>
          <w:color w:val="auto"/>
        </w:rPr>
        <w:t>、暂列金额包括工程合同签订时尚未确定或者不可预见的所需材料、工程设备、服务的采购，施工中可能发生的工程变更、合同约定调整因素出现时的合同价格调整以及发生的索赔、现场签证确认等的费用，</w:t>
      </w:r>
      <w:r>
        <w:rPr>
          <w:rFonts w:hint="eastAsia" w:ascii="宋体" w:hAnsi="宋体" w:cs="宋体"/>
          <w:color w:val="auto"/>
        </w:rPr>
        <w:t>结算时承包人取得发包人签字认定后按合同规定计算。</w:t>
      </w:r>
    </w:p>
    <w:p w14:paraId="58E85FD9">
      <w:pPr>
        <w:spacing w:line="400" w:lineRule="exact"/>
        <w:rPr>
          <w:rFonts w:hint="eastAsia" w:ascii="宋体" w:hAnsi="宋体"/>
          <w:b/>
          <w:color w:val="auto"/>
          <w:szCs w:val="21"/>
        </w:rPr>
      </w:pPr>
      <w:r>
        <w:rPr>
          <w:rFonts w:hint="eastAsia" w:ascii="宋体"/>
          <w:b/>
          <w:color w:val="auto"/>
          <w:szCs w:val="21"/>
          <w:lang w:eastAsia="zh-CN"/>
        </w:rPr>
        <w:t>（</w:t>
      </w:r>
      <w:r>
        <w:rPr>
          <w:rFonts w:hint="eastAsia" w:ascii="宋体"/>
          <w:b/>
          <w:color w:val="auto"/>
          <w:szCs w:val="21"/>
          <w:lang w:val="en-US" w:eastAsia="zh-CN"/>
        </w:rPr>
        <w:t>七</w:t>
      </w:r>
      <w:r>
        <w:rPr>
          <w:rFonts w:hint="eastAsia" w:ascii="宋体"/>
          <w:b/>
          <w:color w:val="auto"/>
          <w:szCs w:val="21"/>
          <w:lang w:eastAsia="zh-CN"/>
        </w:rPr>
        <w:t>）</w:t>
      </w:r>
      <w:r>
        <w:rPr>
          <w:rFonts w:hint="eastAsia" w:ascii="宋体" w:hAnsi="宋体"/>
          <w:b/>
          <w:color w:val="auto"/>
          <w:szCs w:val="21"/>
        </w:rPr>
        <w:t>、计日工：</w:t>
      </w:r>
    </w:p>
    <w:p w14:paraId="27D57F91">
      <w:pPr>
        <w:spacing w:line="360" w:lineRule="auto"/>
        <w:ind w:firstLine="420" w:firstLineChars="200"/>
        <w:rPr>
          <w:rFonts w:hint="eastAsia" w:ascii="宋体" w:hAnsi="宋体" w:cs="宋体"/>
          <w:bCs/>
          <w:color w:val="auto"/>
          <w:szCs w:val="21"/>
        </w:rPr>
      </w:pPr>
      <w:r>
        <w:rPr>
          <w:rFonts w:hint="eastAsia" w:ascii="宋体" w:hAnsi="宋体" w:cs="宋体"/>
          <w:bCs/>
          <w:color w:val="auto"/>
          <w:szCs w:val="21"/>
        </w:rPr>
        <w:t>1、本项目计日工人工：一类人工、二类人工、三类人工各按</w:t>
      </w:r>
      <w:r>
        <w:rPr>
          <w:rFonts w:hint="eastAsia" w:ascii="宋体" w:hAnsi="宋体" w:cs="宋体"/>
          <w:bCs/>
          <w:color w:val="auto"/>
          <w:szCs w:val="21"/>
          <w:lang w:val="en-US" w:eastAsia="zh-CN"/>
        </w:rPr>
        <w:t>60</w:t>
      </w:r>
      <w:r>
        <w:rPr>
          <w:rFonts w:hint="eastAsia" w:ascii="宋体" w:hAnsi="宋体" w:cs="宋体"/>
          <w:bCs/>
          <w:color w:val="auto"/>
          <w:szCs w:val="21"/>
        </w:rPr>
        <w:t>工日</w:t>
      </w:r>
      <w:r>
        <w:rPr>
          <w:rFonts w:hint="eastAsia" w:ascii="宋体" w:hAnsi="宋体" w:cs="宋体"/>
          <w:bCs/>
          <w:color w:val="auto"/>
          <w:szCs w:val="21"/>
          <w:lang w:eastAsia="zh-CN"/>
        </w:rPr>
        <w:t>；</w:t>
      </w:r>
      <w:r>
        <w:rPr>
          <w:rFonts w:hint="eastAsia" w:ascii="宋体" w:hAnsi="宋体" w:cs="宋体"/>
          <w:bCs/>
          <w:color w:val="auto"/>
          <w:szCs w:val="21"/>
        </w:rPr>
        <w:t>计入</w:t>
      </w:r>
      <w:r>
        <w:rPr>
          <w:rFonts w:hint="eastAsia" w:ascii="宋体" w:hAnsi="宋体" w:cs="宋体"/>
          <w:bCs/>
          <w:color w:val="auto"/>
          <w:szCs w:val="21"/>
          <w:lang w:val="en-US" w:eastAsia="zh-CN"/>
        </w:rPr>
        <w:t>市政</w:t>
      </w:r>
      <w:r>
        <w:rPr>
          <w:rFonts w:hint="eastAsia" w:ascii="宋体" w:hAnsi="宋体" w:cs="宋体"/>
          <w:bCs/>
          <w:color w:val="auto"/>
          <w:szCs w:val="21"/>
        </w:rPr>
        <w:t>“其他项目清单与计价汇总表《计日工》”栏中。计日工单价将用于少量额外工程的支付，所有按计日工方式支付的工程均应在承包人取得业主签字后才对其支付计日工费用。</w:t>
      </w:r>
    </w:p>
    <w:p w14:paraId="6513A6E5">
      <w:pPr>
        <w:tabs>
          <w:tab w:val="left" w:pos="7380"/>
        </w:tabs>
        <w:spacing w:line="360" w:lineRule="auto"/>
        <w:rPr>
          <w:rFonts w:hint="eastAsia" w:ascii="宋体" w:hAnsi="宋体"/>
          <w:b/>
          <w:color w:val="auto"/>
          <w:szCs w:val="21"/>
        </w:rPr>
      </w:pPr>
      <w:r>
        <w:rPr>
          <w:rFonts w:hint="eastAsia" w:ascii="宋体"/>
          <w:b/>
          <w:color w:val="auto"/>
          <w:szCs w:val="21"/>
          <w:lang w:eastAsia="zh-CN"/>
        </w:rPr>
        <w:t>（</w:t>
      </w:r>
      <w:r>
        <w:rPr>
          <w:rFonts w:hint="eastAsia" w:ascii="宋体"/>
          <w:b/>
          <w:color w:val="auto"/>
          <w:szCs w:val="21"/>
          <w:lang w:val="en-US" w:eastAsia="zh-CN"/>
        </w:rPr>
        <w:t>八</w:t>
      </w:r>
      <w:r>
        <w:rPr>
          <w:rFonts w:hint="eastAsia" w:ascii="宋体"/>
          <w:b/>
          <w:color w:val="auto"/>
          <w:szCs w:val="21"/>
          <w:lang w:eastAsia="zh-CN"/>
        </w:rPr>
        <w:t>）</w:t>
      </w:r>
      <w:r>
        <w:rPr>
          <w:rFonts w:hint="eastAsia" w:ascii="宋体" w:hAnsi="宋体"/>
          <w:b/>
          <w:color w:val="auto"/>
          <w:szCs w:val="21"/>
        </w:rPr>
        <w:t xml:space="preserve">、有关事项说明： </w:t>
      </w:r>
    </w:p>
    <w:p w14:paraId="12C62D4F">
      <w:pPr>
        <w:spacing w:line="360" w:lineRule="auto"/>
        <w:ind w:firstLine="420" w:firstLineChars="200"/>
        <w:rPr>
          <w:rFonts w:hint="eastAsia" w:ascii="宋体" w:hAnsi="宋体" w:eastAsia="宋体" w:cs="宋体"/>
          <w:bCs/>
          <w:color w:val="auto"/>
          <w:szCs w:val="21"/>
          <w:lang w:val="en-US" w:eastAsia="zh-CN"/>
        </w:rPr>
      </w:pPr>
      <w:r>
        <w:rPr>
          <w:rFonts w:hint="eastAsia" w:ascii="宋体" w:hAnsi="宋体" w:eastAsia="宋体" w:cs="宋体"/>
          <w:bCs/>
          <w:color w:val="auto"/>
          <w:szCs w:val="21"/>
        </w:rPr>
        <w:t>1、</w:t>
      </w:r>
      <w:r>
        <w:rPr>
          <w:rFonts w:hint="eastAsia" w:ascii="宋体" w:hAnsi="宋体" w:eastAsia="宋体" w:cs="宋体"/>
          <w:bCs/>
          <w:color w:val="auto"/>
          <w:szCs w:val="21"/>
          <w:lang w:val="en-US" w:eastAsia="zh-CN"/>
        </w:rPr>
        <w:t>本工程砌筑及抹灰砂浆按预拌砂浆（袋装）考虑，混凝土均按商品混凝土考虑。</w:t>
      </w:r>
    </w:p>
    <w:p w14:paraId="374C59FA">
      <w:pPr>
        <w:spacing w:line="360" w:lineRule="auto"/>
        <w:ind w:firstLine="420" w:firstLineChars="200"/>
        <w:rPr>
          <w:rFonts w:hint="eastAsia" w:ascii="宋体" w:hAnsi="宋体" w:eastAsia="宋体" w:cs="宋体"/>
          <w:bCs/>
          <w:color w:val="auto"/>
          <w:szCs w:val="21"/>
          <w:lang w:val="en-US" w:eastAsia="zh-CN"/>
        </w:rPr>
      </w:pPr>
      <w:r>
        <w:rPr>
          <w:rFonts w:hint="eastAsia" w:ascii="宋体" w:hAnsi="宋体" w:eastAsia="宋体" w:cs="宋体"/>
          <w:bCs/>
          <w:color w:val="auto"/>
          <w:szCs w:val="21"/>
          <w:lang w:val="en-US" w:eastAsia="zh-CN"/>
        </w:rPr>
        <w:t>2、未说明的砂浆标号均按定额标号计算，未说明的粉刷或抹灰厚度均按定额厚度。</w:t>
      </w:r>
    </w:p>
    <w:p w14:paraId="7739DD7C">
      <w:pPr>
        <w:spacing w:line="360" w:lineRule="auto"/>
        <w:ind w:firstLine="420" w:firstLineChars="200"/>
        <w:rPr>
          <w:rFonts w:hint="eastAsia" w:ascii="宋体" w:hAnsi="宋体" w:eastAsia="宋体" w:cs="宋体"/>
          <w:bCs/>
          <w:color w:val="auto"/>
          <w:szCs w:val="21"/>
          <w:lang w:val="en-US" w:eastAsia="zh-CN"/>
        </w:rPr>
      </w:pPr>
      <w:r>
        <w:rPr>
          <w:rFonts w:hint="eastAsia" w:ascii="宋体" w:hAnsi="宋体" w:eastAsia="宋体" w:cs="宋体"/>
          <w:bCs/>
          <w:color w:val="auto"/>
          <w:szCs w:val="21"/>
          <w:lang w:val="en-US" w:eastAsia="zh-CN"/>
        </w:rPr>
        <w:t>3、本工程开挖后多余土方外运，运距按15km内综合考虑。</w:t>
      </w:r>
    </w:p>
    <w:p w14:paraId="39746DF7">
      <w:pPr>
        <w:spacing w:line="360" w:lineRule="auto"/>
        <w:ind w:firstLine="420" w:firstLineChars="200"/>
        <w:rPr>
          <w:rFonts w:hint="eastAsia" w:ascii="宋体" w:hAnsi="宋体" w:eastAsia="宋体" w:cs="宋体"/>
          <w:bCs/>
          <w:color w:val="auto"/>
          <w:szCs w:val="21"/>
          <w:lang w:val="en-US" w:eastAsia="zh-CN"/>
        </w:rPr>
      </w:pPr>
      <w:r>
        <w:rPr>
          <w:rFonts w:hint="eastAsia" w:ascii="宋体" w:hAnsi="宋体" w:eastAsia="宋体" w:cs="宋体"/>
          <w:bCs/>
          <w:color w:val="auto"/>
          <w:szCs w:val="21"/>
          <w:lang w:val="en-US" w:eastAsia="zh-CN"/>
        </w:rPr>
        <w:t>4、本工程经各个施工地点管道维修的挖土方式按机械土方和人工土方开挖综合考虑，结算时不再调整。</w:t>
      </w:r>
    </w:p>
    <w:p w14:paraId="63B2E93E">
      <w:pPr>
        <w:spacing w:line="360" w:lineRule="auto"/>
        <w:ind w:firstLine="420" w:firstLineChars="200"/>
        <w:rPr>
          <w:rFonts w:hint="eastAsia" w:ascii="宋体" w:hAnsi="宋体" w:eastAsia="宋体" w:cs="宋体"/>
          <w:bCs/>
          <w:color w:val="auto"/>
          <w:szCs w:val="21"/>
          <w:lang w:val="en-US" w:eastAsia="zh-CN"/>
        </w:rPr>
      </w:pPr>
      <w:r>
        <w:rPr>
          <w:rFonts w:hint="eastAsia" w:ascii="宋体" w:hAnsi="宋体" w:eastAsia="宋体" w:cs="宋体"/>
          <w:bCs/>
          <w:color w:val="auto"/>
          <w:szCs w:val="21"/>
          <w:lang w:val="en-US" w:eastAsia="zh-CN"/>
        </w:rPr>
        <w:t>5、本工程经建设方确认，混凝土按商品砼考虑，因部分路段混凝土泵车限行，熟料运输按平均200m综合考虑。</w:t>
      </w:r>
    </w:p>
    <w:p w14:paraId="0A366FC7">
      <w:pPr>
        <w:spacing w:line="360" w:lineRule="auto"/>
        <w:rPr>
          <w:rFonts w:hint="eastAsia" w:ascii="宋体" w:hAnsi="Times New Roman" w:eastAsia="宋体" w:cs="Times New Roman"/>
          <w:b/>
          <w:color w:val="auto"/>
          <w:sz w:val="24"/>
          <w:szCs w:val="24"/>
          <w:lang w:val="en-US" w:eastAsia="zh-CN"/>
        </w:rPr>
      </w:pPr>
      <w:r>
        <w:rPr>
          <w:rFonts w:hint="eastAsia" w:ascii="宋体" w:hAnsi="Times New Roman" w:eastAsia="宋体" w:cs="Times New Roman"/>
          <w:b/>
          <w:color w:val="auto"/>
          <w:sz w:val="24"/>
          <w:szCs w:val="24"/>
          <w:lang w:val="en-US" w:eastAsia="zh-CN"/>
        </w:rPr>
        <w:t>二、工期：</w:t>
      </w:r>
    </w:p>
    <w:p w14:paraId="0098531C">
      <w:pPr>
        <w:numPr>
          <w:ilvl w:val="0"/>
          <w:numId w:val="0"/>
        </w:numPr>
        <w:spacing w:line="440" w:lineRule="exact"/>
        <w:ind w:firstLine="420" w:firstLineChars="200"/>
        <w:rPr>
          <w:rFonts w:hint="eastAsia" w:ascii="宋体" w:hAnsi="宋体" w:cs="宋体"/>
          <w:color w:val="auto"/>
          <w:sz w:val="21"/>
          <w:szCs w:val="21"/>
        </w:rPr>
      </w:pPr>
      <w:r>
        <w:rPr>
          <w:rFonts w:hint="eastAsia" w:ascii="宋体" w:hAnsi="宋体" w:eastAsia="宋体" w:cs="宋体"/>
          <w:color w:val="auto"/>
          <w:kern w:val="0"/>
          <w:sz w:val="21"/>
          <w:szCs w:val="21"/>
          <w:highlight w:val="none"/>
          <w:lang w:val="en-US" w:eastAsia="zh-CN" w:bidi="ar"/>
        </w:rPr>
        <w:t>一年，一年结束后若合同期内的综合表现情况良好，则可再续签一次，最多续签2次。</w:t>
      </w:r>
    </w:p>
    <w:p w14:paraId="3820143D">
      <w:pPr>
        <w:spacing w:line="360" w:lineRule="auto"/>
        <w:rPr>
          <w:rFonts w:hint="eastAsia" w:ascii="宋体" w:hAnsi="Times New Roman" w:eastAsia="宋体" w:cs="Times New Roman"/>
          <w:b/>
          <w:color w:val="auto"/>
          <w:sz w:val="24"/>
          <w:szCs w:val="24"/>
          <w:lang w:val="en-US" w:eastAsia="zh-CN"/>
        </w:rPr>
      </w:pPr>
      <w:r>
        <w:rPr>
          <w:rFonts w:hint="eastAsia" w:ascii="宋体" w:hAnsi="Times New Roman" w:eastAsia="宋体" w:cs="Times New Roman"/>
          <w:b/>
          <w:color w:val="auto"/>
          <w:sz w:val="24"/>
          <w:szCs w:val="24"/>
          <w:lang w:val="en-US" w:eastAsia="zh-CN"/>
        </w:rPr>
        <w:t xml:space="preserve">三、付款方式  </w:t>
      </w:r>
    </w:p>
    <w:p w14:paraId="7B353B9E">
      <w:pPr>
        <w:spacing w:line="440" w:lineRule="exact"/>
        <w:ind w:firstLine="420" w:firstLineChars="200"/>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采购人向成交人支付当期按合同第12.1、12.3款计量工程量价款的85%工程价款。当工程款支付至合同价格的85%时，采购人暂停支付；待结算审定后28日内采购人支付剩余款项。合同价款外增减部分（含设计变更、签证单等）等按合同通用条款约定。</w:t>
      </w:r>
    </w:p>
    <w:p w14:paraId="72541DFF">
      <w:pPr>
        <w:spacing w:line="360" w:lineRule="auto"/>
        <w:rPr>
          <w:rFonts w:hint="eastAsia" w:ascii="宋体" w:hAnsi="Times New Roman" w:eastAsia="宋体" w:cs="Times New Roman"/>
          <w:b/>
          <w:color w:val="auto"/>
          <w:sz w:val="24"/>
          <w:szCs w:val="24"/>
          <w:lang w:val="en-US" w:eastAsia="zh-CN"/>
        </w:rPr>
      </w:pPr>
      <w:r>
        <w:rPr>
          <w:rFonts w:hint="eastAsia" w:ascii="宋体" w:hAnsi="Times New Roman" w:eastAsia="宋体" w:cs="Times New Roman"/>
          <w:b/>
          <w:color w:val="auto"/>
          <w:sz w:val="24"/>
          <w:szCs w:val="24"/>
          <w:lang w:val="en-US" w:eastAsia="zh-CN"/>
        </w:rPr>
        <w:t>四、其他说明</w:t>
      </w:r>
    </w:p>
    <w:p w14:paraId="73F70D53">
      <w:pPr>
        <w:numPr>
          <w:ilvl w:val="0"/>
          <w:numId w:val="0"/>
        </w:numPr>
        <w:spacing w:line="440" w:lineRule="exact"/>
        <w:ind w:firstLine="420" w:firstLineChars="200"/>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详见其他附件。</w:t>
      </w:r>
    </w:p>
    <w:p w14:paraId="30F1AD77">
      <w:pPr>
        <w:rPr>
          <w:rFonts w:hint="eastAsia"/>
          <w:color w:val="auto"/>
          <w:sz w:val="21"/>
          <w:szCs w:val="21"/>
        </w:rPr>
      </w:pPr>
    </w:p>
    <w:p w14:paraId="59D36D90">
      <w:pPr>
        <w:pStyle w:val="27"/>
        <w:rPr>
          <w:rFonts w:hint="eastAsia"/>
          <w:color w:val="auto"/>
          <w:sz w:val="21"/>
          <w:szCs w:val="21"/>
        </w:rPr>
      </w:pPr>
    </w:p>
    <w:p w14:paraId="4C6D0450">
      <w:pPr>
        <w:rPr>
          <w:rFonts w:hint="eastAsia"/>
          <w:color w:val="auto"/>
          <w:sz w:val="21"/>
          <w:szCs w:val="21"/>
        </w:rPr>
      </w:pPr>
    </w:p>
    <w:p w14:paraId="36CC846B">
      <w:pPr>
        <w:jc w:val="center"/>
        <w:outlineLvl w:val="0"/>
        <w:rPr>
          <w:rFonts w:hint="eastAsia" w:ascii="宋体" w:hAnsi="宋体" w:cs="宋体"/>
          <w:b/>
          <w:color w:val="auto"/>
          <w:sz w:val="28"/>
          <w:szCs w:val="28"/>
          <w:highlight w:val="none"/>
        </w:rPr>
      </w:pPr>
    </w:p>
    <w:p w14:paraId="16EC0A45">
      <w:pPr>
        <w:jc w:val="center"/>
        <w:outlineLvl w:val="0"/>
        <w:rPr>
          <w:rFonts w:hint="eastAsia" w:ascii="宋体" w:hAnsi="宋体" w:cs="宋体"/>
          <w:b/>
          <w:color w:val="auto"/>
          <w:sz w:val="28"/>
          <w:szCs w:val="28"/>
          <w:highlight w:val="none"/>
        </w:rPr>
      </w:pPr>
    </w:p>
    <w:p w14:paraId="6DD92555">
      <w:pPr>
        <w:jc w:val="center"/>
        <w:outlineLvl w:val="0"/>
        <w:rPr>
          <w:rFonts w:hint="eastAsia" w:ascii="宋体" w:hAnsi="宋体" w:cs="宋体"/>
          <w:b/>
          <w:color w:val="auto"/>
          <w:sz w:val="28"/>
          <w:szCs w:val="28"/>
          <w:highlight w:val="none"/>
        </w:rPr>
      </w:pPr>
    </w:p>
    <w:p w14:paraId="29048293">
      <w:pPr>
        <w:pStyle w:val="2"/>
        <w:rPr>
          <w:rFonts w:hint="eastAsia" w:ascii="宋体" w:hAnsi="宋体" w:cs="宋体"/>
          <w:b/>
          <w:color w:val="auto"/>
          <w:sz w:val="28"/>
          <w:szCs w:val="28"/>
          <w:highlight w:val="none"/>
        </w:rPr>
      </w:pPr>
    </w:p>
    <w:p w14:paraId="7ABBC537">
      <w:pPr>
        <w:rPr>
          <w:rFonts w:hint="eastAsia" w:ascii="宋体" w:hAnsi="宋体" w:cs="宋体"/>
          <w:b/>
          <w:color w:val="auto"/>
          <w:sz w:val="28"/>
          <w:szCs w:val="28"/>
          <w:highlight w:val="none"/>
        </w:rPr>
      </w:pPr>
    </w:p>
    <w:p w14:paraId="560A62C2">
      <w:pPr>
        <w:pStyle w:val="2"/>
        <w:rPr>
          <w:rFonts w:hint="eastAsia"/>
          <w:color w:val="auto"/>
        </w:rPr>
      </w:pPr>
    </w:p>
    <w:p w14:paraId="303830ED">
      <w:pPr>
        <w:rPr>
          <w:rFonts w:hint="eastAsia"/>
          <w:color w:val="auto"/>
        </w:rPr>
      </w:pPr>
    </w:p>
    <w:p w14:paraId="218F645F">
      <w:pPr>
        <w:bidi w:val="0"/>
        <w:rPr>
          <w:rFonts w:hint="eastAsia"/>
          <w:color w:val="auto"/>
        </w:rPr>
      </w:pPr>
    </w:p>
    <w:p w14:paraId="6AC041FC">
      <w:pPr>
        <w:jc w:val="center"/>
        <w:outlineLvl w:val="0"/>
        <w:rPr>
          <w:rFonts w:ascii="宋体" w:hAnsi="宋体" w:cs="宋体"/>
          <w:b/>
          <w:color w:val="auto"/>
          <w:sz w:val="28"/>
          <w:szCs w:val="28"/>
          <w:highlight w:val="none"/>
        </w:rPr>
      </w:pPr>
      <w:r>
        <w:rPr>
          <w:rFonts w:hint="eastAsia" w:ascii="宋体" w:hAnsi="宋体" w:cs="宋体"/>
          <w:b/>
          <w:color w:val="auto"/>
          <w:sz w:val="28"/>
          <w:szCs w:val="28"/>
          <w:highlight w:val="none"/>
        </w:rPr>
        <w:t>第三章  响应人须知</w:t>
      </w:r>
    </w:p>
    <w:p w14:paraId="7F0804FA">
      <w:pPr>
        <w:snapToGrid w:val="0"/>
        <w:spacing w:line="276" w:lineRule="auto"/>
        <w:jc w:val="center"/>
        <w:outlineLvl w:val="1"/>
        <w:rPr>
          <w:color w:val="auto"/>
          <w:highlight w:val="none"/>
        </w:rPr>
      </w:pPr>
      <w:r>
        <w:rPr>
          <w:rFonts w:hint="eastAsia" w:ascii="宋体" w:hAnsi="宋体" w:cs="宋体"/>
          <w:b/>
          <w:color w:val="auto"/>
          <w:szCs w:val="21"/>
          <w:highlight w:val="none"/>
        </w:rPr>
        <w:t>前附表</w:t>
      </w:r>
    </w:p>
    <w:tbl>
      <w:tblPr>
        <w:tblStyle w:val="28"/>
        <w:tblpPr w:leftFromText="180" w:rightFromText="180" w:vertAnchor="text" w:horzAnchor="page" w:tblpXSpec="center" w:tblpY="313"/>
        <w:tblOverlap w:val="never"/>
        <w:tblW w:w="10081"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47"/>
        <w:gridCol w:w="1757"/>
        <w:gridCol w:w="7677"/>
      </w:tblGrid>
      <w:tr w14:paraId="4F48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49D0452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序号</w:t>
            </w:r>
          </w:p>
        </w:tc>
        <w:tc>
          <w:tcPr>
            <w:tcW w:w="9413" w:type="dxa"/>
            <w:gridSpan w:val="2"/>
            <w:shd w:val="clear" w:color="auto" w:fill="E0E0E0"/>
            <w:vAlign w:val="center"/>
          </w:tcPr>
          <w:p w14:paraId="0B0284D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内容说明及要求</w:t>
            </w:r>
          </w:p>
        </w:tc>
      </w:tr>
      <w:tr w14:paraId="2E870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0572080C">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1</w:t>
            </w:r>
          </w:p>
        </w:tc>
        <w:tc>
          <w:tcPr>
            <w:tcW w:w="1743" w:type="dxa"/>
            <w:shd w:val="clear" w:color="auto" w:fill="E0E0E0"/>
            <w:vAlign w:val="center"/>
          </w:tcPr>
          <w:p w14:paraId="54268FA2">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项目名称</w:t>
            </w:r>
          </w:p>
        </w:tc>
        <w:tc>
          <w:tcPr>
            <w:tcW w:w="7656" w:type="dxa"/>
            <w:shd w:val="clear" w:color="auto" w:fill="FFFFFF"/>
            <w:vAlign w:val="center"/>
          </w:tcPr>
          <w:p w14:paraId="1918F4B5">
            <w:pPr>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lang w:eastAsia="zh-CN"/>
              </w:rPr>
            </w:pPr>
            <w:r>
              <w:rPr>
                <w:rFonts w:hint="eastAsia" w:ascii="宋体"/>
                <w:color w:val="auto"/>
                <w:szCs w:val="20"/>
                <w:lang w:val="en-US" w:eastAsia="zh-CN"/>
              </w:rPr>
              <w:t>2025年度岱山县高亭城区市政公用设施维修工程</w:t>
            </w:r>
            <w:r>
              <w:rPr>
                <w:rFonts w:hint="eastAsia" w:asciiTheme="minorEastAsia" w:hAnsiTheme="minorEastAsia" w:eastAsiaTheme="minorEastAsia" w:cstheme="minorEastAsia"/>
                <w:i w:val="0"/>
                <w:iCs w:val="0"/>
                <w:caps w:val="0"/>
                <w:color w:val="auto"/>
                <w:spacing w:val="0"/>
                <w:sz w:val="21"/>
                <w:szCs w:val="21"/>
                <w:lang w:eastAsia="zh-CN"/>
              </w:rPr>
              <w:t>（</w:t>
            </w:r>
            <w:r>
              <w:rPr>
                <w:rFonts w:hint="eastAsia" w:asciiTheme="minorEastAsia" w:hAnsiTheme="minorEastAsia" w:eastAsiaTheme="minorEastAsia" w:cstheme="minorEastAsia"/>
                <w:i w:val="0"/>
                <w:iCs w:val="0"/>
                <w:caps w:val="0"/>
                <w:color w:val="auto"/>
                <w:spacing w:val="0"/>
                <w:sz w:val="21"/>
                <w:szCs w:val="21"/>
                <w:lang w:val="en-US" w:eastAsia="zh-CN"/>
              </w:rPr>
              <w:t>重新招标</w:t>
            </w:r>
            <w:r>
              <w:rPr>
                <w:rFonts w:hint="eastAsia" w:asciiTheme="minorEastAsia" w:hAnsiTheme="minorEastAsia" w:eastAsiaTheme="minorEastAsia" w:cstheme="minorEastAsia"/>
                <w:i w:val="0"/>
                <w:iCs w:val="0"/>
                <w:caps w:val="0"/>
                <w:color w:val="auto"/>
                <w:spacing w:val="0"/>
                <w:sz w:val="21"/>
                <w:szCs w:val="21"/>
                <w:lang w:eastAsia="zh-CN"/>
              </w:rPr>
              <w:t>）</w:t>
            </w:r>
          </w:p>
        </w:tc>
      </w:tr>
      <w:tr w14:paraId="4901A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16094567">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2</w:t>
            </w:r>
          </w:p>
        </w:tc>
        <w:tc>
          <w:tcPr>
            <w:tcW w:w="1743" w:type="dxa"/>
            <w:shd w:val="clear" w:color="auto" w:fill="E0E0E0"/>
            <w:vAlign w:val="center"/>
          </w:tcPr>
          <w:p w14:paraId="0693846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采购人名称</w:t>
            </w:r>
          </w:p>
        </w:tc>
        <w:tc>
          <w:tcPr>
            <w:tcW w:w="7656" w:type="dxa"/>
            <w:shd w:val="clear" w:color="auto" w:fill="FFFFFF"/>
            <w:vAlign w:val="center"/>
          </w:tcPr>
          <w:p w14:paraId="35536D66">
            <w:pPr>
              <w:keepNext w:val="0"/>
              <w:keepLines w:val="0"/>
              <w:widowControl w:val="0"/>
              <w:suppressLineNumbers w:val="0"/>
              <w:spacing w:before="0" w:beforeAutospacing="0" w:after="0" w:afterAutospacing="0"/>
              <w:ind w:left="0" w:right="0"/>
              <w:jc w:val="both"/>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岱山县市政和园林绿化管理处</w:t>
            </w:r>
          </w:p>
        </w:tc>
      </w:tr>
      <w:tr w14:paraId="2FEB0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024C18B1">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3</w:t>
            </w:r>
          </w:p>
        </w:tc>
        <w:tc>
          <w:tcPr>
            <w:tcW w:w="1743" w:type="dxa"/>
            <w:shd w:val="clear" w:color="auto" w:fill="E0E0E0"/>
            <w:vAlign w:val="center"/>
          </w:tcPr>
          <w:p w14:paraId="051CF6F8">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采购内容</w:t>
            </w:r>
          </w:p>
        </w:tc>
        <w:tc>
          <w:tcPr>
            <w:tcW w:w="7656" w:type="dxa"/>
            <w:shd w:val="clear" w:color="auto" w:fill="FFFFFF"/>
            <w:vAlign w:val="center"/>
          </w:tcPr>
          <w:p w14:paraId="709F46DB">
            <w:pPr>
              <w:keepNext w:val="0"/>
              <w:keepLines w:val="0"/>
              <w:suppressLineNumbers w:val="0"/>
              <w:spacing w:before="0" w:beforeAutospacing="0" w:after="0" w:afterAutospacing="0" w:line="360" w:lineRule="auto"/>
              <w:ind w:left="0" w:right="0"/>
              <w:rPr>
                <w:rFonts w:hint="default" w:ascii="宋体" w:hAnsi="宋体" w:cs="宋体"/>
                <w:bCs/>
                <w:color w:val="auto"/>
                <w:szCs w:val="21"/>
                <w:highlight w:val="none"/>
                <w:lang w:val="en-US"/>
              </w:rPr>
            </w:pPr>
            <w:r>
              <w:rPr>
                <w:rFonts w:hint="eastAsia" w:ascii="宋体" w:hAnsi="宋体"/>
                <w:bCs/>
                <w:color w:val="auto"/>
                <w:szCs w:val="21"/>
              </w:rPr>
              <w:t>详见采购需求</w:t>
            </w:r>
          </w:p>
        </w:tc>
      </w:tr>
      <w:tr w14:paraId="53A62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6A0A6610">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4</w:t>
            </w:r>
          </w:p>
        </w:tc>
        <w:tc>
          <w:tcPr>
            <w:tcW w:w="1743" w:type="dxa"/>
            <w:shd w:val="clear" w:color="auto" w:fill="E0E0E0"/>
            <w:vAlign w:val="center"/>
          </w:tcPr>
          <w:p w14:paraId="1F4283E2">
            <w:pPr>
              <w:keepNext w:val="0"/>
              <w:keepLines w:val="0"/>
              <w:suppressLineNumbers w:val="0"/>
              <w:spacing w:before="0" w:beforeAutospacing="0" w:after="0" w:afterAutospacing="0" w:line="360" w:lineRule="auto"/>
              <w:ind w:left="0" w:right="0"/>
              <w:jc w:val="center"/>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预算金额</w:t>
            </w:r>
          </w:p>
        </w:tc>
        <w:tc>
          <w:tcPr>
            <w:tcW w:w="7656" w:type="dxa"/>
            <w:shd w:val="clear" w:color="auto" w:fill="FFFFFF"/>
            <w:vAlign w:val="center"/>
          </w:tcPr>
          <w:p w14:paraId="1CD9A78E">
            <w:pPr>
              <w:keepNext w:val="0"/>
              <w:keepLines w:val="0"/>
              <w:suppressLineNumbers w:val="0"/>
              <w:spacing w:before="0" w:beforeAutospacing="0" w:after="0" w:afterAutospacing="0" w:line="360" w:lineRule="auto"/>
              <w:ind w:left="0" w:right="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2000000元</w:t>
            </w:r>
          </w:p>
        </w:tc>
      </w:tr>
      <w:tr w14:paraId="71F1B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4068373E">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5</w:t>
            </w:r>
          </w:p>
        </w:tc>
        <w:tc>
          <w:tcPr>
            <w:tcW w:w="1743" w:type="dxa"/>
            <w:shd w:val="clear" w:color="auto" w:fill="E0E0E0"/>
            <w:vAlign w:val="center"/>
          </w:tcPr>
          <w:p w14:paraId="29E34F1F">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 w:val="21"/>
                <w:szCs w:val="21"/>
                <w:highlight w:val="none"/>
                <w:lang w:val="en-US" w:eastAsia="zh-CN"/>
              </w:rPr>
              <w:t>工期</w:t>
            </w:r>
          </w:p>
        </w:tc>
        <w:tc>
          <w:tcPr>
            <w:tcW w:w="7656" w:type="dxa"/>
            <w:shd w:val="clear" w:color="auto" w:fill="FFFFFF"/>
            <w:vAlign w:val="center"/>
          </w:tcPr>
          <w:p w14:paraId="397365C8">
            <w:pPr>
              <w:keepNext w:val="0"/>
              <w:keepLines w:val="0"/>
              <w:suppressLineNumbers w:val="0"/>
              <w:spacing w:before="0" w:beforeAutospacing="0" w:after="0" w:afterAutospacing="0" w:line="360" w:lineRule="auto"/>
              <w:ind w:left="0" w:right="0"/>
              <w:rPr>
                <w:rFonts w:hint="default" w:ascii="宋体" w:hAnsi="宋体" w:eastAsia="宋体" w:cs="宋体"/>
                <w:color w:val="auto"/>
                <w:szCs w:val="21"/>
                <w:highlight w:val="none"/>
                <w:lang w:val="en-US" w:eastAsia="zh-CN"/>
              </w:rPr>
            </w:pPr>
            <w:r>
              <w:rPr>
                <w:rFonts w:hint="eastAsia" w:ascii="宋体" w:hAnsi="宋体" w:cs="宋体"/>
                <w:bCs/>
                <w:color w:val="auto"/>
                <w:szCs w:val="22"/>
                <w:highlight w:val="none"/>
                <w:lang w:val="en-US" w:eastAsia="zh-CN"/>
              </w:rPr>
              <w:t>详见采购需求</w:t>
            </w:r>
          </w:p>
        </w:tc>
      </w:tr>
      <w:tr w14:paraId="1865F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2A45223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6</w:t>
            </w:r>
          </w:p>
        </w:tc>
        <w:tc>
          <w:tcPr>
            <w:tcW w:w="1743" w:type="dxa"/>
            <w:shd w:val="clear" w:color="auto" w:fill="E0E0E0"/>
            <w:vAlign w:val="center"/>
          </w:tcPr>
          <w:p w14:paraId="1EFD2204">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有效期</w:t>
            </w:r>
          </w:p>
        </w:tc>
        <w:tc>
          <w:tcPr>
            <w:tcW w:w="7656" w:type="dxa"/>
            <w:shd w:val="clear" w:color="auto" w:fill="FFFFFF"/>
            <w:vAlign w:val="center"/>
          </w:tcPr>
          <w:p w14:paraId="62815016">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u w:val="single"/>
              </w:rPr>
              <w:t>90日</w:t>
            </w:r>
            <w:r>
              <w:rPr>
                <w:rFonts w:hint="eastAsia" w:ascii="宋体" w:hAnsi="宋体" w:cs="宋体"/>
                <w:color w:val="auto"/>
                <w:szCs w:val="21"/>
                <w:highlight w:val="none"/>
              </w:rPr>
              <w:t>历天。（从</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截止之日算起）</w:t>
            </w:r>
          </w:p>
        </w:tc>
      </w:tr>
      <w:tr w14:paraId="2128E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7BE1946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7</w:t>
            </w:r>
          </w:p>
        </w:tc>
        <w:tc>
          <w:tcPr>
            <w:tcW w:w="1743" w:type="dxa"/>
            <w:shd w:val="clear" w:color="auto" w:fill="E0E0E0"/>
            <w:vAlign w:val="center"/>
          </w:tcPr>
          <w:p w14:paraId="6A327FD6">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评标办法</w:t>
            </w:r>
          </w:p>
        </w:tc>
        <w:tc>
          <w:tcPr>
            <w:tcW w:w="7656" w:type="dxa"/>
            <w:shd w:val="clear" w:color="auto" w:fill="FFFFFF"/>
            <w:vAlign w:val="center"/>
          </w:tcPr>
          <w:p w14:paraId="017AC2D7">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综合评分法</w:t>
            </w:r>
          </w:p>
        </w:tc>
      </w:tr>
      <w:tr w14:paraId="4310B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43321A6C">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8</w:t>
            </w:r>
          </w:p>
        </w:tc>
        <w:tc>
          <w:tcPr>
            <w:tcW w:w="1743" w:type="dxa"/>
            <w:shd w:val="clear" w:color="auto" w:fill="E0E0E0"/>
            <w:vAlign w:val="center"/>
          </w:tcPr>
          <w:p w14:paraId="7C7F6784">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付款方式</w:t>
            </w:r>
          </w:p>
        </w:tc>
        <w:tc>
          <w:tcPr>
            <w:tcW w:w="7656" w:type="dxa"/>
            <w:shd w:val="clear" w:color="auto" w:fill="FFFFFF"/>
            <w:vAlign w:val="center"/>
          </w:tcPr>
          <w:p w14:paraId="572D5F36">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详见采购需求</w:t>
            </w:r>
          </w:p>
        </w:tc>
      </w:tr>
      <w:tr w14:paraId="4AEC7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4" w:hRule="atLeast"/>
          <w:tblCellSpacing w:w="7" w:type="dxa"/>
          <w:jc w:val="center"/>
        </w:trPr>
        <w:tc>
          <w:tcPr>
            <w:tcW w:w="626" w:type="dxa"/>
            <w:shd w:val="clear" w:color="auto" w:fill="E0E0E0"/>
            <w:vAlign w:val="center"/>
          </w:tcPr>
          <w:p w14:paraId="6AAAC5F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9</w:t>
            </w:r>
          </w:p>
        </w:tc>
        <w:tc>
          <w:tcPr>
            <w:tcW w:w="1743" w:type="dxa"/>
            <w:shd w:val="clear" w:color="auto" w:fill="E0E0E0"/>
            <w:vAlign w:val="center"/>
          </w:tcPr>
          <w:p w14:paraId="1A326F9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磋商报价</w:t>
            </w:r>
          </w:p>
          <w:p w14:paraId="3A12245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与相关费用</w:t>
            </w:r>
          </w:p>
        </w:tc>
        <w:tc>
          <w:tcPr>
            <w:tcW w:w="7656" w:type="dxa"/>
            <w:shd w:val="clear" w:color="auto" w:fill="FFFFFF"/>
            <w:vAlign w:val="center"/>
          </w:tcPr>
          <w:p w14:paraId="2E6F96A6">
            <w:pPr>
              <w:keepNext w:val="0"/>
              <w:keepLines w:val="0"/>
              <w:suppressLineNumbers w:val="0"/>
              <w:spacing w:before="0" w:beforeAutospacing="0" w:after="0" w:afterAutospacing="0" w:line="300" w:lineRule="auto"/>
              <w:ind w:left="0" w:right="0"/>
              <w:rPr>
                <w:rFonts w:hint="eastAsia" w:ascii="宋体" w:hAnsi="宋体" w:cs="宋体"/>
                <w:color w:val="auto"/>
                <w:szCs w:val="21"/>
                <w:lang w:val="zh-CN"/>
              </w:rPr>
            </w:pPr>
            <w:r>
              <w:rPr>
                <w:rFonts w:hint="eastAsia" w:ascii="宋体" w:hAnsi="宋体" w:cs="宋体"/>
                <w:color w:val="auto"/>
                <w:szCs w:val="22"/>
                <w:highlight w:val="none"/>
                <w:lang w:val="en-US" w:eastAsia="zh-CN"/>
              </w:rPr>
              <w:t>1、</w:t>
            </w:r>
            <w:r>
              <w:rPr>
                <w:rFonts w:hint="eastAsia" w:ascii="宋体" w:hAnsi="宋体" w:cs="宋体"/>
                <w:color w:val="auto"/>
                <w:szCs w:val="22"/>
                <w:highlight w:val="none"/>
              </w:rPr>
              <w:t>响应</w:t>
            </w:r>
            <w:r>
              <w:rPr>
                <w:rFonts w:hint="eastAsia" w:ascii="宋体" w:hAnsi="宋体" w:cs="宋体"/>
                <w:color w:val="auto"/>
                <w:szCs w:val="22"/>
                <w:highlight w:val="none"/>
                <w:lang w:val="zh-CN"/>
              </w:rPr>
              <w:t>人所投报的</w:t>
            </w:r>
            <w:r>
              <w:rPr>
                <w:rFonts w:hint="eastAsia" w:ascii="宋体" w:hAnsi="宋体" w:cs="宋体"/>
                <w:color w:val="auto"/>
                <w:szCs w:val="22"/>
                <w:highlight w:val="none"/>
              </w:rPr>
              <w:t>磋商</w:t>
            </w:r>
            <w:r>
              <w:rPr>
                <w:rFonts w:hint="eastAsia" w:ascii="宋体" w:hAnsi="宋体" w:cs="宋体"/>
                <w:color w:val="auto"/>
                <w:szCs w:val="22"/>
                <w:highlight w:val="none"/>
                <w:lang w:val="zh-CN"/>
              </w:rPr>
              <w:t>报价</w:t>
            </w:r>
            <w:r>
              <w:rPr>
                <w:rFonts w:hint="eastAsia" w:ascii="宋体" w:hAnsi="宋体" w:cs="宋体"/>
                <w:color w:val="auto"/>
                <w:szCs w:val="21"/>
                <w:lang w:val="zh-CN"/>
              </w:rPr>
              <w:t>应根据</w:t>
            </w:r>
            <w:r>
              <w:rPr>
                <w:rFonts w:hint="eastAsia" w:ascii="宋体" w:hAnsi="宋体" w:cs="宋体"/>
                <w:color w:val="auto"/>
                <w:szCs w:val="21"/>
                <w:lang w:val="en-US" w:eastAsia="zh-CN"/>
              </w:rPr>
              <w:t>磋商</w:t>
            </w:r>
            <w:r>
              <w:rPr>
                <w:rFonts w:hint="eastAsia" w:ascii="宋体" w:hAnsi="宋体" w:cs="宋体"/>
                <w:color w:val="auto"/>
                <w:szCs w:val="21"/>
                <w:lang w:val="zh-CN"/>
              </w:rPr>
              <w:t>文件报出</w:t>
            </w:r>
            <w:r>
              <w:rPr>
                <w:rFonts w:hint="eastAsia" w:ascii="宋体" w:hAnsi="宋体" w:cs="宋体"/>
                <w:color w:val="auto"/>
                <w:szCs w:val="21"/>
                <w:lang w:val="en-US" w:eastAsia="zh-CN"/>
              </w:rPr>
              <w:t>响应</w:t>
            </w:r>
            <w:r>
              <w:rPr>
                <w:rFonts w:hint="eastAsia" w:ascii="宋体" w:hAnsi="宋体" w:cs="宋体"/>
                <w:color w:val="auto"/>
                <w:szCs w:val="21"/>
                <w:lang w:val="zh-CN"/>
              </w:rPr>
              <w:t>报价。对</w:t>
            </w:r>
            <w:r>
              <w:rPr>
                <w:rFonts w:hint="eastAsia" w:ascii="宋体" w:hAnsi="宋体" w:cs="宋体"/>
                <w:color w:val="auto"/>
                <w:szCs w:val="21"/>
                <w:lang w:val="en-US" w:eastAsia="zh-CN"/>
              </w:rPr>
              <w:t>响应</w:t>
            </w:r>
            <w:r>
              <w:rPr>
                <w:rFonts w:hint="eastAsia" w:ascii="宋体" w:hAnsi="宋体" w:cs="宋体"/>
                <w:color w:val="auto"/>
                <w:szCs w:val="21"/>
              </w:rPr>
              <w:t>人</w:t>
            </w:r>
            <w:r>
              <w:rPr>
                <w:rFonts w:hint="eastAsia" w:ascii="宋体" w:hAnsi="宋体" w:cs="宋体"/>
                <w:color w:val="auto"/>
                <w:szCs w:val="21"/>
                <w:lang w:val="zh-CN"/>
              </w:rPr>
              <w:t>漏报致使整个项目未能达到需求的功能和效果，其费用和后果由</w:t>
            </w:r>
            <w:r>
              <w:rPr>
                <w:rFonts w:hint="eastAsia" w:ascii="宋体" w:hAnsi="宋体" w:cs="宋体"/>
                <w:color w:val="auto"/>
                <w:szCs w:val="21"/>
                <w:lang w:val="en-US" w:eastAsia="zh-CN"/>
              </w:rPr>
              <w:t>响应</w:t>
            </w:r>
            <w:r>
              <w:rPr>
                <w:rFonts w:hint="eastAsia" w:ascii="宋体" w:hAnsi="宋体" w:cs="宋体"/>
                <w:color w:val="auto"/>
                <w:szCs w:val="21"/>
              </w:rPr>
              <w:t>人</w:t>
            </w:r>
            <w:r>
              <w:rPr>
                <w:rFonts w:hint="eastAsia" w:ascii="宋体" w:hAnsi="宋体" w:cs="宋体"/>
                <w:color w:val="auto"/>
                <w:szCs w:val="21"/>
                <w:lang w:val="zh-CN"/>
              </w:rPr>
              <w:t>自行负责。</w:t>
            </w:r>
          </w:p>
          <w:p w14:paraId="6FF8472A">
            <w:pPr>
              <w:keepNext w:val="0"/>
              <w:keepLines w:val="0"/>
              <w:suppressLineNumbers w:val="0"/>
              <w:spacing w:before="0" w:beforeAutospacing="0" w:after="0" w:afterAutospacing="0" w:line="300" w:lineRule="auto"/>
              <w:ind w:left="0" w:right="0"/>
              <w:rPr>
                <w:rFonts w:hint="eastAsia" w:ascii="宋体" w:hAnsi="宋体" w:cs="宋体"/>
                <w:color w:val="auto"/>
                <w:szCs w:val="21"/>
                <w:lang w:val="zh-CN"/>
              </w:rPr>
            </w:pPr>
            <w:r>
              <w:rPr>
                <w:rFonts w:hint="eastAsia" w:ascii="宋体" w:hAnsi="宋体" w:cs="宋体"/>
                <w:color w:val="auto"/>
                <w:szCs w:val="21"/>
                <w:lang w:val="zh-CN"/>
              </w:rPr>
              <w:t>2、在符合总体要求的前提下，</w:t>
            </w:r>
            <w:r>
              <w:rPr>
                <w:rFonts w:hint="eastAsia" w:ascii="宋体" w:hAnsi="宋体" w:cs="宋体"/>
                <w:color w:val="auto"/>
                <w:szCs w:val="21"/>
                <w:lang w:val="en-US" w:eastAsia="zh-CN"/>
              </w:rPr>
              <w:t>响应</w:t>
            </w:r>
            <w:r>
              <w:rPr>
                <w:rFonts w:hint="eastAsia" w:ascii="宋体" w:hAnsi="宋体" w:cs="宋体"/>
                <w:color w:val="auto"/>
                <w:szCs w:val="21"/>
              </w:rPr>
              <w:t>人</w:t>
            </w:r>
            <w:r>
              <w:rPr>
                <w:rFonts w:hint="eastAsia" w:ascii="宋体" w:hAnsi="宋体" w:cs="宋体"/>
                <w:color w:val="auto"/>
                <w:szCs w:val="21"/>
                <w:lang w:val="zh-CN"/>
              </w:rPr>
              <w:t>可对</w:t>
            </w:r>
            <w:r>
              <w:rPr>
                <w:rFonts w:hint="eastAsia" w:ascii="宋体" w:hAnsi="宋体" w:cs="宋体"/>
                <w:color w:val="auto"/>
                <w:szCs w:val="21"/>
                <w:lang w:val="en-US" w:eastAsia="zh-CN"/>
              </w:rPr>
              <w:t>磋商</w:t>
            </w:r>
            <w:r>
              <w:rPr>
                <w:rFonts w:hint="eastAsia" w:ascii="宋体" w:hAnsi="宋体" w:cs="宋体"/>
                <w:color w:val="auto"/>
                <w:szCs w:val="21"/>
              </w:rPr>
              <w:t>文件</w:t>
            </w:r>
            <w:r>
              <w:rPr>
                <w:rFonts w:hint="eastAsia" w:ascii="宋体" w:hAnsi="宋体" w:cs="宋体"/>
                <w:color w:val="auto"/>
                <w:szCs w:val="21"/>
                <w:lang w:val="zh-CN"/>
              </w:rPr>
              <w:t>中没有提及的内容，按自己的理解适当增加，但有关价格及费用必须在</w:t>
            </w:r>
            <w:r>
              <w:rPr>
                <w:rFonts w:hint="eastAsia" w:ascii="宋体" w:hAnsi="宋体" w:cs="宋体"/>
                <w:color w:val="auto"/>
                <w:szCs w:val="21"/>
                <w:lang w:val="en-US" w:eastAsia="zh-CN"/>
              </w:rPr>
              <w:t>响应</w:t>
            </w:r>
            <w:r>
              <w:rPr>
                <w:rFonts w:hint="eastAsia" w:ascii="宋体" w:hAnsi="宋体" w:cs="宋体"/>
                <w:color w:val="auto"/>
                <w:szCs w:val="21"/>
              </w:rPr>
              <w:t>文件</w:t>
            </w:r>
            <w:r>
              <w:rPr>
                <w:rFonts w:hint="eastAsia" w:ascii="宋体" w:hAnsi="宋体" w:cs="宋体"/>
                <w:color w:val="auto"/>
                <w:szCs w:val="21"/>
                <w:lang w:val="zh-CN"/>
              </w:rPr>
              <w:t>中单独列出，并说明理由。</w:t>
            </w:r>
          </w:p>
          <w:p w14:paraId="36C67975">
            <w:pPr>
              <w:keepNext w:val="0"/>
              <w:keepLines w:val="0"/>
              <w:suppressLineNumbers w:val="0"/>
              <w:spacing w:before="0" w:beforeAutospacing="0" w:after="0" w:afterAutospacing="0" w:line="300" w:lineRule="auto"/>
              <w:ind w:left="0" w:right="0"/>
              <w:rPr>
                <w:rFonts w:hint="eastAsia" w:ascii="宋体" w:hAnsi="宋体" w:cs="宋体"/>
                <w:color w:val="auto"/>
                <w:szCs w:val="21"/>
              </w:rPr>
            </w:pPr>
            <w:r>
              <w:rPr>
                <w:rFonts w:hint="eastAsia" w:ascii="宋体" w:hAnsi="宋体" w:cs="宋体"/>
                <w:color w:val="auto"/>
                <w:szCs w:val="21"/>
              </w:rPr>
              <w:t>3、所有报价均应已包含国家规定的所有税费。</w:t>
            </w:r>
          </w:p>
          <w:p w14:paraId="37807A6A">
            <w:pPr>
              <w:keepNext w:val="0"/>
              <w:keepLines w:val="0"/>
              <w:suppressLineNumbers w:val="0"/>
              <w:spacing w:before="0" w:beforeAutospacing="0" w:after="0" w:afterAutospacing="0" w:line="300" w:lineRule="auto"/>
              <w:ind w:left="0" w:right="0"/>
              <w:rPr>
                <w:rFonts w:hint="eastAsia" w:ascii="宋体" w:hAnsi="宋体" w:cs="宋体"/>
                <w:color w:val="auto"/>
                <w:szCs w:val="21"/>
              </w:rPr>
            </w:pPr>
            <w:r>
              <w:rPr>
                <w:rFonts w:hint="eastAsia" w:ascii="宋体" w:hAnsi="宋体" w:cs="宋体"/>
                <w:color w:val="auto"/>
                <w:szCs w:val="21"/>
              </w:rPr>
              <w:t>4、</w:t>
            </w:r>
            <w:r>
              <w:rPr>
                <w:rFonts w:hint="eastAsia" w:ascii="宋体" w:hAnsi="宋体" w:cs="宋体"/>
                <w:color w:val="auto"/>
                <w:szCs w:val="21"/>
                <w:lang w:val="en-US" w:eastAsia="zh-CN"/>
              </w:rPr>
              <w:t>响应</w:t>
            </w:r>
            <w:r>
              <w:rPr>
                <w:rFonts w:hint="eastAsia" w:ascii="宋体" w:hAnsi="宋体" w:cs="宋体"/>
                <w:color w:val="auto"/>
                <w:szCs w:val="21"/>
              </w:rPr>
              <w:t>人应承担其参加本</w:t>
            </w:r>
            <w:r>
              <w:rPr>
                <w:rFonts w:hint="eastAsia" w:ascii="宋体" w:hAnsi="宋体" w:cs="宋体"/>
                <w:color w:val="auto"/>
                <w:szCs w:val="21"/>
                <w:lang w:val="en-US" w:eastAsia="zh-CN"/>
              </w:rPr>
              <w:t>磋商</w:t>
            </w:r>
            <w:r>
              <w:rPr>
                <w:rFonts w:hint="eastAsia" w:ascii="宋体" w:hAnsi="宋体" w:cs="宋体"/>
                <w:color w:val="auto"/>
                <w:szCs w:val="21"/>
              </w:rPr>
              <w:t>活动自身所发生的费用。</w:t>
            </w:r>
          </w:p>
          <w:p w14:paraId="535D1671">
            <w:pPr>
              <w:keepNext w:val="0"/>
              <w:keepLines w:val="0"/>
              <w:suppressLineNumbers w:val="0"/>
              <w:spacing w:before="0" w:beforeAutospacing="0" w:after="0" w:afterAutospacing="0" w:line="300" w:lineRule="auto"/>
              <w:ind w:left="0" w:right="0"/>
              <w:rPr>
                <w:rFonts w:hint="eastAsia" w:ascii="宋体" w:hAnsi="宋体" w:cs="宋体"/>
                <w:b/>
                <w:bCs/>
                <w:color w:val="auto"/>
                <w:szCs w:val="21"/>
              </w:rPr>
            </w:pPr>
            <w:r>
              <w:rPr>
                <w:rFonts w:hint="eastAsia" w:ascii="宋体" w:hAnsi="宋体" w:cs="宋体"/>
                <w:b/>
                <w:bCs/>
                <w:color w:val="auto"/>
                <w:szCs w:val="21"/>
              </w:rPr>
              <w:t>5、</w:t>
            </w:r>
            <w:r>
              <w:rPr>
                <w:rFonts w:hint="eastAsia" w:ascii="宋体" w:hAnsi="宋体" w:cs="宋体"/>
                <w:b/>
                <w:bCs/>
                <w:color w:val="auto"/>
                <w:szCs w:val="21"/>
                <w:lang w:val="en-US" w:eastAsia="zh-CN"/>
              </w:rPr>
              <w:t>成交</w:t>
            </w:r>
            <w:r>
              <w:rPr>
                <w:rFonts w:hint="eastAsia" w:ascii="宋体" w:hAnsi="宋体" w:cs="宋体"/>
                <w:b/>
                <w:bCs/>
                <w:color w:val="auto"/>
                <w:szCs w:val="21"/>
              </w:rPr>
              <w:t>人须缴纳</w:t>
            </w:r>
            <w:r>
              <w:rPr>
                <w:rFonts w:hint="eastAsia" w:ascii="宋体" w:hAnsi="宋体" w:cs="宋体"/>
                <w:b/>
                <w:bCs/>
                <w:color w:val="auto"/>
                <w:szCs w:val="21"/>
                <w:lang w:val="en-US" w:eastAsia="zh-CN"/>
              </w:rPr>
              <w:t>采购</w:t>
            </w:r>
            <w:r>
              <w:rPr>
                <w:rFonts w:hint="eastAsia" w:ascii="宋体" w:hAnsi="宋体" w:cs="宋体"/>
                <w:b/>
                <w:bCs/>
                <w:color w:val="auto"/>
                <w:szCs w:val="21"/>
              </w:rPr>
              <w:t>代理服务费，收费标准金额为：一次性包干</w:t>
            </w:r>
            <w:r>
              <w:rPr>
                <w:rFonts w:hint="eastAsia" w:ascii="宋体" w:hAnsi="宋体" w:cs="宋体"/>
                <w:b/>
                <w:bCs/>
                <w:color w:val="auto"/>
                <w:szCs w:val="21"/>
                <w:lang w:val="en-US" w:eastAsia="zh-CN"/>
              </w:rPr>
              <w:t>2.18</w:t>
            </w:r>
            <w:r>
              <w:rPr>
                <w:rFonts w:hint="eastAsia" w:ascii="宋体" w:hAnsi="宋体" w:cs="宋体"/>
                <w:b/>
                <w:bCs/>
                <w:color w:val="auto"/>
                <w:szCs w:val="21"/>
              </w:rPr>
              <w:t>万元。支付方式及时间为：</w:t>
            </w:r>
            <w:r>
              <w:rPr>
                <w:rFonts w:hint="eastAsia" w:ascii="宋体" w:hAnsi="宋体" w:cs="宋体"/>
                <w:b/>
                <w:bCs/>
                <w:color w:val="auto"/>
                <w:szCs w:val="21"/>
                <w:lang w:val="en-US" w:eastAsia="zh-CN"/>
              </w:rPr>
              <w:t>成交</w:t>
            </w:r>
            <w:r>
              <w:rPr>
                <w:rFonts w:hint="eastAsia" w:ascii="宋体" w:hAnsi="宋体" w:cs="宋体"/>
                <w:b/>
                <w:bCs/>
                <w:color w:val="auto"/>
                <w:szCs w:val="21"/>
              </w:rPr>
              <w:t>通知书发出后5个工作日内由</w:t>
            </w:r>
            <w:r>
              <w:rPr>
                <w:rFonts w:hint="eastAsia" w:ascii="宋体" w:hAnsi="宋体" w:cs="宋体"/>
                <w:b/>
                <w:bCs/>
                <w:color w:val="auto"/>
                <w:szCs w:val="21"/>
                <w:lang w:val="en-US" w:eastAsia="zh-CN"/>
              </w:rPr>
              <w:t>成交</w:t>
            </w:r>
            <w:r>
              <w:rPr>
                <w:rFonts w:hint="eastAsia" w:ascii="宋体" w:hAnsi="宋体" w:cs="宋体"/>
                <w:b/>
                <w:bCs/>
                <w:color w:val="auto"/>
                <w:szCs w:val="21"/>
              </w:rPr>
              <w:t>人一次性支付给</w:t>
            </w:r>
            <w:r>
              <w:rPr>
                <w:rFonts w:hint="eastAsia" w:ascii="宋体" w:hAnsi="宋体" w:cs="宋体"/>
                <w:b/>
                <w:bCs/>
                <w:color w:val="auto"/>
                <w:szCs w:val="21"/>
                <w:lang w:val="en-US" w:eastAsia="zh-CN"/>
              </w:rPr>
              <w:t>采购</w:t>
            </w:r>
            <w:r>
              <w:rPr>
                <w:rFonts w:hint="eastAsia" w:ascii="宋体" w:hAnsi="宋体" w:cs="宋体"/>
                <w:b/>
                <w:bCs/>
                <w:color w:val="auto"/>
                <w:szCs w:val="21"/>
              </w:rPr>
              <w:t>代理机构。</w:t>
            </w:r>
            <w:r>
              <w:rPr>
                <w:rFonts w:hint="eastAsia" w:ascii="宋体" w:hAnsi="宋体" w:eastAsia="宋体" w:cs="宋体"/>
                <w:b/>
                <w:bCs/>
                <w:color w:val="auto"/>
                <w:szCs w:val="21"/>
              </w:rPr>
              <w:t>响应</w:t>
            </w:r>
            <w:r>
              <w:rPr>
                <w:rFonts w:hint="eastAsia" w:ascii="宋体" w:hAnsi="宋体" w:eastAsia="宋体" w:cs="宋体"/>
                <w:b/>
                <w:bCs/>
                <w:color w:val="auto"/>
                <w:szCs w:val="21"/>
                <w:lang w:val="zh-CN"/>
              </w:rPr>
              <w:t>人</w:t>
            </w:r>
            <w:r>
              <w:rPr>
                <w:rFonts w:hint="eastAsia" w:ascii="宋体" w:hAnsi="宋体" w:eastAsia="宋体" w:cs="宋体"/>
                <w:b/>
                <w:bCs/>
                <w:color w:val="auto"/>
                <w:szCs w:val="21"/>
              </w:rPr>
              <w:t>在</w:t>
            </w:r>
            <w:r>
              <w:rPr>
                <w:rFonts w:hint="eastAsia" w:ascii="宋体" w:hAnsi="宋体" w:cs="宋体"/>
                <w:b/>
                <w:bCs/>
                <w:color w:val="auto"/>
                <w:szCs w:val="21"/>
              </w:rPr>
              <w:t>报价时须将</w:t>
            </w:r>
            <w:r>
              <w:rPr>
                <w:rFonts w:hint="eastAsia" w:ascii="宋体" w:hAnsi="宋体" w:cs="宋体"/>
                <w:b/>
                <w:bCs/>
                <w:color w:val="auto"/>
                <w:szCs w:val="21"/>
                <w:lang w:val="en-US" w:eastAsia="zh-CN"/>
              </w:rPr>
              <w:t>采购</w:t>
            </w:r>
            <w:r>
              <w:rPr>
                <w:rFonts w:hint="eastAsia" w:ascii="宋体" w:hAnsi="宋体" w:cs="宋体"/>
                <w:b/>
                <w:bCs/>
                <w:color w:val="auto"/>
                <w:szCs w:val="21"/>
              </w:rPr>
              <w:t>代理服务费综合考虑在内。</w:t>
            </w:r>
          </w:p>
          <w:p w14:paraId="1060D05F">
            <w:pPr>
              <w:keepNext w:val="0"/>
              <w:keepLines w:val="0"/>
              <w:suppressLineNumbers w:val="0"/>
              <w:spacing w:before="0" w:beforeAutospacing="0" w:after="0" w:afterAutospacing="0" w:line="300" w:lineRule="auto"/>
              <w:ind w:left="0" w:right="0"/>
              <w:rPr>
                <w:rFonts w:hint="eastAsia" w:ascii="宋体" w:hAnsi="宋体" w:cs="宋体"/>
                <w:b/>
                <w:bCs/>
                <w:color w:val="auto"/>
                <w:szCs w:val="21"/>
              </w:rPr>
            </w:pPr>
            <w:r>
              <w:rPr>
                <w:rFonts w:hint="eastAsia" w:ascii="宋体" w:hAnsi="宋体" w:cs="宋体"/>
                <w:b/>
                <w:bCs/>
                <w:color w:val="auto"/>
                <w:szCs w:val="21"/>
              </w:rPr>
              <w:t>收款单位名称：舟山市博琛建设工程管理有限公司</w:t>
            </w:r>
          </w:p>
          <w:p w14:paraId="49AE299A">
            <w:pPr>
              <w:keepNext w:val="0"/>
              <w:keepLines w:val="0"/>
              <w:suppressLineNumbers w:val="0"/>
              <w:spacing w:before="0" w:beforeAutospacing="0" w:after="0" w:afterAutospacing="0" w:line="460" w:lineRule="exact"/>
              <w:ind w:left="0" w:right="0"/>
              <w:rPr>
                <w:rFonts w:hint="eastAsia" w:ascii="宋体" w:hAnsi="宋体" w:cs="宋体"/>
                <w:b/>
                <w:bCs/>
                <w:color w:val="auto"/>
                <w:szCs w:val="21"/>
              </w:rPr>
            </w:pPr>
            <w:r>
              <w:rPr>
                <w:rFonts w:hint="eastAsia" w:ascii="宋体" w:hAnsi="宋体" w:cs="宋体"/>
                <w:b/>
                <w:bCs/>
                <w:color w:val="auto"/>
                <w:szCs w:val="21"/>
              </w:rPr>
              <w:t>开户银行：</w:t>
            </w:r>
            <w:r>
              <w:rPr>
                <w:rFonts w:hint="eastAsia" w:ascii="宋体" w:hAnsi="宋体"/>
                <w:b/>
                <w:bCs/>
                <w:color w:val="auto"/>
                <w:szCs w:val="21"/>
              </w:rPr>
              <w:t>浙江岱山农村商业银行股份有限公司营业部</w:t>
            </w:r>
          </w:p>
          <w:p w14:paraId="01519D74">
            <w:pPr>
              <w:pStyle w:val="22"/>
              <w:keepNext w:val="0"/>
              <w:keepLines w:val="0"/>
              <w:suppressLineNumbers w:val="0"/>
              <w:spacing w:before="0" w:beforeAutospacing="0" w:after="0" w:afterAutospacing="0"/>
              <w:ind w:left="0" w:leftChars="0" w:right="0" w:firstLine="0" w:firstLineChars="0"/>
              <w:rPr>
                <w:rFonts w:hint="eastAsia" w:eastAsia="宋体"/>
                <w:color w:val="auto"/>
                <w:lang w:val="en-US" w:eastAsia="zh-CN"/>
              </w:rPr>
            </w:pPr>
            <w:r>
              <w:rPr>
                <w:rFonts w:hint="eastAsia" w:ascii="宋体" w:hAnsi="宋体" w:cs="宋体"/>
                <w:b/>
                <w:bCs/>
                <w:color w:val="auto"/>
                <w:szCs w:val="21"/>
              </w:rPr>
              <w:t>银行账号：</w:t>
            </w:r>
            <w:r>
              <w:rPr>
                <w:rFonts w:hint="eastAsia" w:ascii="宋体" w:hAnsi="宋体"/>
                <w:b/>
                <w:bCs/>
                <w:color w:val="auto"/>
                <w:szCs w:val="21"/>
              </w:rPr>
              <w:t>201000275401882</w:t>
            </w:r>
          </w:p>
        </w:tc>
      </w:tr>
      <w:tr w14:paraId="5E174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64FB5C18">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10</w:t>
            </w:r>
          </w:p>
        </w:tc>
        <w:tc>
          <w:tcPr>
            <w:tcW w:w="1743" w:type="dxa"/>
            <w:shd w:val="clear" w:color="auto" w:fill="E0E0E0"/>
            <w:vAlign w:val="center"/>
          </w:tcPr>
          <w:p w14:paraId="1C0AB197">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响应文件的组成</w:t>
            </w:r>
          </w:p>
        </w:tc>
        <w:tc>
          <w:tcPr>
            <w:tcW w:w="7656" w:type="dxa"/>
            <w:shd w:val="clear" w:color="auto" w:fill="FFFFFF"/>
            <w:vAlign w:val="center"/>
          </w:tcPr>
          <w:p w14:paraId="1D4A186D">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本项目实行网上</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w:t>
            </w:r>
          </w:p>
          <w:p w14:paraId="6E49ED45">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响应人应准备电子</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文件、以介质存储的数据电文形式的备份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w:t>
            </w:r>
          </w:p>
          <w:p w14:paraId="4D3FAEC7">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s="宋体"/>
                <w:color w:val="auto"/>
                <w:szCs w:val="21"/>
                <w:highlight w:val="none"/>
              </w:rPr>
              <w:t>（1）电子</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文件，按政采云供应商项目采购-电子招投标操作指南及本</w:t>
            </w:r>
            <w:r>
              <w:rPr>
                <w:rFonts w:hint="eastAsia" w:ascii="宋体" w:hAnsi="宋体" w:cs="宋体"/>
                <w:color w:val="auto"/>
                <w:szCs w:val="21"/>
                <w:highlight w:val="none"/>
                <w:lang w:val="en-US" w:eastAsia="zh-CN"/>
              </w:rPr>
              <w:t>磋商</w:t>
            </w:r>
            <w:r>
              <w:rPr>
                <w:rFonts w:hint="eastAsia" w:ascii="宋体" w:hAnsi="宋体" w:cs="宋体"/>
                <w:color w:val="auto"/>
                <w:szCs w:val="21"/>
                <w:highlight w:val="none"/>
              </w:rPr>
              <w:t>文件要求制作，加密并递交。</w:t>
            </w:r>
          </w:p>
          <w:p w14:paraId="3B9B3E3C">
            <w:pPr>
              <w:pStyle w:val="10"/>
              <w:keepNext w:val="0"/>
              <w:keepLines w:val="0"/>
              <w:suppressLineNumbers w:val="0"/>
              <w:spacing w:before="0" w:beforeAutospacing="0" w:after="0" w:afterAutospacing="0" w:line="360" w:lineRule="auto"/>
              <w:ind w:left="0" w:right="0"/>
              <w:rPr>
                <w:rFonts w:hint="default"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（2）以介质存储的数据电文形式的备份</w:t>
            </w:r>
            <w:r>
              <w:rPr>
                <w:rFonts w:hint="eastAsia" w:ascii="宋体" w:hAnsi="宋体" w:eastAsia="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文件，按政采云供应商项目采购-电子招投标操作指南中制作的电子</w:t>
            </w:r>
            <w:r>
              <w:rPr>
                <w:rFonts w:hint="eastAsia" w:ascii="宋体" w:hAnsi="宋体" w:eastAsia="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文件，以DVD光盘或U盘形式提供。数量为1份。</w:t>
            </w:r>
          </w:p>
        </w:tc>
      </w:tr>
      <w:tr w14:paraId="13391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20EFFC97">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11</w:t>
            </w:r>
          </w:p>
        </w:tc>
        <w:tc>
          <w:tcPr>
            <w:tcW w:w="1743" w:type="dxa"/>
            <w:shd w:val="clear" w:color="auto" w:fill="E0E0E0"/>
            <w:vAlign w:val="center"/>
          </w:tcPr>
          <w:p w14:paraId="121614B0">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开标地点</w:t>
            </w:r>
          </w:p>
        </w:tc>
        <w:tc>
          <w:tcPr>
            <w:tcW w:w="7656" w:type="dxa"/>
            <w:shd w:val="clear" w:color="auto" w:fill="FFFFFF"/>
            <w:vAlign w:val="center"/>
          </w:tcPr>
          <w:p w14:paraId="244A1291">
            <w:pPr>
              <w:keepNext w:val="0"/>
              <w:keepLines w:val="0"/>
              <w:suppressLineNumbers w:val="0"/>
              <w:spacing w:before="0" w:beforeAutospacing="0" w:after="0" w:afterAutospacing="0" w:line="360" w:lineRule="auto"/>
              <w:ind w:left="0" w:right="0"/>
              <w:rPr>
                <w:rFonts w:hint="default" w:ascii="宋体" w:hAnsi="宋体" w:cs="宋体"/>
                <w:color w:val="auto"/>
                <w:szCs w:val="21"/>
                <w:highlight w:val="none"/>
              </w:rPr>
            </w:pPr>
            <w:r>
              <w:rPr>
                <w:rFonts w:hint="eastAsia" w:ascii="宋体" w:hAnsi="宋体"/>
                <w:color w:val="auto"/>
                <w:szCs w:val="21"/>
              </w:rPr>
              <w:t>舟山市公共资源交易中心岱山县分中心（</w:t>
            </w:r>
            <w:r>
              <w:rPr>
                <w:rFonts w:hint="eastAsia" w:cs="宋体"/>
                <w:bCs/>
                <w:color w:val="auto"/>
                <w:szCs w:val="21"/>
              </w:rPr>
              <w:t>岱山县高亭镇星河路250号3楼</w:t>
            </w:r>
            <w:r>
              <w:rPr>
                <w:rFonts w:hint="eastAsia" w:ascii="宋体" w:hAnsi="宋体"/>
                <w:color w:val="auto"/>
                <w:szCs w:val="21"/>
              </w:rPr>
              <w:t>）</w:t>
            </w:r>
          </w:p>
        </w:tc>
      </w:tr>
      <w:tr w14:paraId="27C5B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4ACC0E93">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12</w:t>
            </w:r>
          </w:p>
        </w:tc>
        <w:tc>
          <w:tcPr>
            <w:tcW w:w="1743" w:type="dxa"/>
            <w:shd w:val="clear" w:color="auto" w:fill="E0E0E0"/>
            <w:vAlign w:val="center"/>
          </w:tcPr>
          <w:p w14:paraId="65B4214F">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文件的递交</w:t>
            </w:r>
          </w:p>
        </w:tc>
        <w:tc>
          <w:tcPr>
            <w:tcW w:w="7656" w:type="dxa"/>
            <w:shd w:val="clear" w:color="auto" w:fill="FFFFFF"/>
            <w:vAlign w:val="center"/>
          </w:tcPr>
          <w:p w14:paraId="586FA471">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auto"/>
                <w:szCs w:val="21"/>
                <w:highlight w:val="none"/>
              </w:rPr>
            </w:pPr>
            <w:r>
              <w:rPr>
                <w:rFonts w:hint="eastAsia" w:ascii="宋体" w:hAnsi="宋体" w:cs="宋体"/>
                <w:color w:val="auto"/>
                <w:szCs w:val="21"/>
                <w:highlight w:val="none"/>
              </w:rPr>
              <w:t>响应人应当在</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截止时间前完成电子</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文件的传输递交，并可以补充、修改或者撤回电子</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文件。补充或者修改电子</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文件的，应当先行撤回原文件，补充、修改后重新传输递交。</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截止时间前未完成传输的，视为撤回响应文件。响应截止时间后送达的响应文件，将被政采云平台拒收。</w:t>
            </w:r>
          </w:p>
          <w:p w14:paraId="242375A8">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auto"/>
                <w:szCs w:val="21"/>
                <w:highlight w:val="none"/>
              </w:rPr>
            </w:pPr>
            <w:r>
              <w:rPr>
                <w:rFonts w:hint="eastAsia" w:ascii="宋体" w:hAnsi="宋体" w:cs="宋体"/>
                <w:color w:val="auto"/>
                <w:szCs w:val="21"/>
                <w:highlight w:val="none"/>
              </w:rPr>
              <w:t>响应人将备份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文件于</w:t>
            </w:r>
            <w:r>
              <w:rPr>
                <w:rFonts w:hint="eastAsia" w:ascii="宋体" w:hAnsi="宋体" w:cs="宋体"/>
                <w:color w:val="auto"/>
                <w:szCs w:val="21"/>
                <w:highlight w:val="none"/>
                <w:lang w:eastAsia="zh-CN"/>
              </w:rPr>
              <w:t>2024</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22</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17</w:t>
            </w:r>
            <w:r>
              <w:rPr>
                <w:rFonts w:hint="eastAsia" w:ascii="宋体" w:hAnsi="宋体" w:cs="宋体"/>
                <w:color w:val="auto"/>
                <w:szCs w:val="21"/>
                <w:highlight w:val="none"/>
              </w:rPr>
              <w:t>：00（北京时间）前通过邮寄或派人递送的方式送交到采购代理机构处（地址：</w:t>
            </w:r>
            <w:r>
              <w:rPr>
                <w:rFonts w:hint="eastAsia" w:ascii="宋体" w:hAnsi="宋体" w:eastAsia="宋体" w:cs="宋体"/>
                <w:color w:val="auto"/>
                <w:szCs w:val="21"/>
              </w:rPr>
              <w:t>地址：岱山县高亭镇</w:t>
            </w:r>
            <w:r>
              <w:rPr>
                <w:rFonts w:hint="eastAsia" w:ascii="宋体" w:hAnsi="宋体" w:cs="宋体"/>
                <w:color w:val="auto"/>
                <w:szCs w:val="21"/>
              </w:rPr>
              <w:t>商会大厦10楼招标代理室；联系人：王女士；联系方式：0580-4472608</w:t>
            </w:r>
            <w:r>
              <w:rPr>
                <w:rFonts w:hint="eastAsia" w:ascii="宋体" w:hAnsi="宋体" w:cs="宋体"/>
                <w:color w:val="auto"/>
                <w:szCs w:val="21"/>
                <w:highlight w:val="none"/>
              </w:rPr>
              <w:t>），也可以在开标时间前送至开标地点，未按时送达的自行承担风险。备份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文件须密封完好，并注明响应人单位名称。</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人未按规定递交的备份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文件，采购人有权拒收。</w:t>
            </w:r>
          </w:p>
          <w:p w14:paraId="14FFA63A">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响应人递交备份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文件时，如出现下列情况之一的，将被拒收：</w:t>
            </w:r>
          </w:p>
          <w:p w14:paraId="597E10B0">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1、未按规定密封或标记的</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w:t>
            </w:r>
          </w:p>
          <w:p w14:paraId="2C4E3AEF">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2、由于包装不妥，在送交途中严重破损或失散的；</w:t>
            </w:r>
          </w:p>
          <w:p w14:paraId="3A84D0D0">
            <w:pPr>
              <w:keepNext w:val="0"/>
              <w:keepLines w:val="0"/>
              <w:suppressLineNumbers w:val="0"/>
              <w:snapToGrid w:val="0"/>
              <w:spacing w:before="0" w:beforeAutospacing="0" w:after="0" w:afterAutospacing="0" w:line="360" w:lineRule="auto"/>
              <w:ind w:left="0" w:right="0" w:firstLine="420" w:firstLineChars="200"/>
              <w:jc w:val="left"/>
              <w:rPr>
                <w:rFonts w:hint="default" w:ascii="宋体" w:hAnsi="宋体" w:cs="宋体"/>
                <w:color w:val="auto"/>
                <w:szCs w:val="21"/>
                <w:highlight w:val="none"/>
              </w:rPr>
            </w:pPr>
            <w:r>
              <w:rPr>
                <w:rFonts w:hint="eastAsia" w:ascii="宋体" w:hAnsi="宋体" w:cs="宋体"/>
                <w:color w:val="auto"/>
                <w:szCs w:val="21"/>
                <w:highlight w:val="none"/>
              </w:rPr>
              <w:t>3、超过</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截止时间送达的。</w:t>
            </w:r>
          </w:p>
          <w:p w14:paraId="3820DEF3">
            <w:pPr>
              <w:keepNext w:val="0"/>
              <w:keepLines w:val="0"/>
              <w:suppressLineNumbers w:val="0"/>
              <w:autoSpaceDE w:val="0"/>
              <w:autoSpaceDN w:val="0"/>
              <w:snapToGrid w:val="0"/>
              <w:spacing w:before="0" w:beforeAutospacing="0" w:after="0" w:afterAutospacing="0" w:line="360" w:lineRule="auto"/>
              <w:ind w:left="0" w:right="0" w:firstLine="420" w:firstLineChars="200"/>
              <w:jc w:val="left"/>
              <w:textAlignment w:val="bottom"/>
              <w:rPr>
                <w:rFonts w:hint="default" w:ascii="宋体" w:hAnsi="宋体" w:cs="宋体"/>
                <w:color w:val="auto"/>
                <w:szCs w:val="21"/>
                <w:highlight w:val="none"/>
              </w:rPr>
            </w:pPr>
            <w:r>
              <w:rPr>
                <w:rFonts w:hint="eastAsia" w:ascii="宋体" w:hAnsi="宋体" w:cs="宋体"/>
                <w:color w:val="auto"/>
                <w:szCs w:val="21"/>
                <w:highlight w:val="none"/>
              </w:rPr>
              <w:t>4、仅提供备份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文件的。</w:t>
            </w:r>
          </w:p>
          <w:p w14:paraId="1C9E4EF3">
            <w:pPr>
              <w:keepNext w:val="0"/>
              <w:keepLines w:val="0"/>
              <w:suppressLineNumbers w:val="0"/>
              <w:spacing w:before="0" w:beforeAutospacing="0" w:after="0" w:afterAutospacing="0" w:line="360" w:lineRule="auto"/>
              <w:ind w:left="0" w:right="0" w:firstLine="420" w:firstLineChars="200"/>
              <w:rPr>
                <w:rFonts w:hint="default" w:ascii="宋体" w:hAnsi="宋体" w:cs="宋体"/>
                <w:b/>
                <w:color w:val="auto"/>
                <w:kern w:val="0"/>
                <w:szCs w:val="21"/>
                <w:highlight w:val="none"/>
              </w:rPr>
            </w:pPr>
            <w:r>
              <w:rPr>
                <w:rFonts w:hint="eastAsia" w:ascii="宋体" w:hAnsi="宋体" w:cs="宋体"/>
                <w:color w:val="auto"/>
                <w:szCs w:val="21"/>
                <w:highlight w:val="none"/>
              </w:rPr>
              <w:t>当发生解密失败或未按时解密的，响应人提供了备份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文件的，以备份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文件为依据，否则视为</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文件撤回。响应文件已按时解密的，备份</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文件自动失效。</w:t>
            </w:r>
          </w:p>
        </w:tc>
      </w:tr>
      <w:tr w14:paraId="74B5A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61" w:hRule="atLeast"/>
          <w:tblCellSpacing w:w="7" w:type="dxa"/>
          <w:jc w:val="center"/>
        </w:trPr>
        <w:tc>
          <w:tcPr>
            <w:tcW w:w="626" w:type="dxa"/>
            <w:shd w:val="clear" w:color="auto" w:fill="E0E0E0"/>
            <w:vAlign w:val="center"/>
          </w:tcPr>
          <w:p w14:paraId="414FE885">
            <w:pPr>
              <w:keepNext w:val="0"/>
              <w:keepLines w:val="0"/>
              <w:suppressLineNumbers w:val="0"/>
              <w:spacing w:before="0" w:beforeAutospacing="0" w:after="0" w:afterAutospacing="0" w:line="360" w:lineRule="auto"/>
              <w:ind w:left="0" w:right="0"/>
              <w:jc w:val="center"/>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13</w:t>
            </w:r>
          </w:p>
        </w:tc>
        <w:tc>
          <w:tcPr>
            <w:tcW w:w="1743" w:type="dxa"/>
            <w:shd w:val="clear" w:color="auto" w:fill="E0E0E0"/>
            <w:vAlign w:val="center"/>
          </w:tcPr>
          <w:p w14:paraId="0B8D47A2">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文件提交截止时间及开标时间</w:t>
            </w:r>
          </w:p>
        </w:tc>
        <w:tc>
          <w:tcPr>
            <w:tcW w:w="7656" w:type="dxa"/>
            <w:shd w:val="clear" w:color="auto" w:fill="FFFFFF"/>
            <w:vAlign w:val="center"/>
          </w:tcPr>
          <w:p w14:paraId="2770E460">
            <w:pPr>
              <w:keepNext w:val="0"/>
              <w:keepLines w:val="0"/>
              <w:suppressLineNumbers w:val="0"/>
              <w:spacing w:before="0" w:beforeAutospacing="0" w:after="0" w:afterAutospacing="0" w:line="360" w:lineRule="auto"/>
              <w:ind w:left="0" w:right="0"/>
              <w:jc w:val="left"/>
              <w:rPr>
                <w:rFonts w:hint="default" w:ascii="宋体" w:hAnsi="宋体" w:cs="宋体"/>
                <w:b/>
                <w:color w:val="auto"/>
                <w:szCs w:val="21"/>
                <w:highlight w:val="none"/>
              </w:rPr>
            </w:pPr>
            <w:r>
              <w:rPr>
                <w:rFonts w:hint="eastAsia" w:ascii="宋体" w:hAnsi="宋体" w:cs="宋体"/>
                <w:b/>
                <w:color w:val="auto"/>
                <w:kern w:val="0"/>
                <w:szCs w:val="21"/>
                <w:highlight w:val="none"/>
                <w:lang w:eastAsia="zh-CN"/>
              </w:rPr>
              <w:t>2024</w:t>
            </w:r>
            <w:r>
              <w:rPr>
                <w:rFonts w:hint="eastAsia" w:ascii="宋体" w:hAnsi="宋体" w:cs="宋体"/>
                <w:b/>
                <w:color w:val="auto"/>
                <w:kern w:val="0"/>
                <w:szCs w:val="21"/>
                <w:highlight w:val="none"/>
              </w:rPr>
              <w:t>年</w:t>
            </w:r>
            <w:r>
              <w:rPr>
                <w:rFonts w:hint="eastAsia" w:ascii="宋体" w:hAnsi="宋体" w:cs="宋体"/>
                <w:b/>
                <w:color w:val="auto"/>
                <w:kern w:val="0"/>
                <w:szCs w:val="21"/>
                <w:highlight w:val="none"/>
                <w:lang w:val="en-US" w:eastAsia="zh-CN"/>
              </w:rPr>
              <w:t>12</w:t>
            </w:r>
            <w:r>
              <w:rPr>
                <w:rFonts w:hint="eastAsia" w:ascii="宋体" w:hAnsi="宋体" w:cs="宋体"/>
                <w:b/>
                <w:color w:val="auto"/>
                <w:kern w:val="0"/>
                <w:szCs w:val="21"/>
                <w:highlight w:val="none"/>
              </w:rPr>
              <w:t>月</w:t>
            </w:r>
            <w:r>
              <w:rPr>
                <w:rFonts w:hint="eastAsia" w:ascii="宋体" w:hAnsi="宋体" w:cs="宋体"/>
                <w:b/>
                <w:color w:val="auto"/>
                <w:kern w:val="0"/>
                <w:szCs w:val="21"/>
                <w:highlight w:val="none"/>
                <w:lang w:val="en-US" w:eastAsia="zh-CN"/>
              </w:rPr>
              <w:t xml:space="preserve">23 </w:t>
            </w:r>
            <w:r>
              <w:rPr>
                <w:rFonts w:hint="eastAsia" w:ascii="宋体" w:hAnsi="宋体" w:cs="宋体"/>
                <w:b/>
                <w:color w:val="auto"/>
                <w:kern w:val="0"/>
                <w:szCs w:val="21"/>
                <w:highlight w:val="none"/>
              </w:rPr>
              <w:t>日</w:t>
            </w:r>
            <w:r>
              <w:rPr>
                <w:rFonts w:hint="eastAsia" w:ascii="宋体" w:hAnsi="宋体" w:cs="宋体"/>
                <w:b/>
                <w:color w:val="auto"/>
                <w:kern w:val="0"/>
                <w:szCs w:val="21"/>
                <w:highlight w:val="none"/>
                <w:lang w:val="en-US" w:eastAsia="zh-CN"/>
              </w:rPr>
              <w:t>9:00</w:t>
            </w:r>
            <w:r>
              <w:rPr>
                <w:rFonts w:hint="eastAsia" w:ascii="宋体" w:hAnsi="宋体" w:cs="宋体"/>
                <w:b/>
                <w:color w:val="auto"/>
                <w:szCs w:val="21"/>
                <w:highlight w:val="none"/>
              </w:rPr>
              <w:t>（北京时间）</w:t>
            </w:r>
          </w:p>
        </w:tc>
      </w:tr>
      <w:tr w14:paraId="023C4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61" w:hRule="atLeast"/>
          <w:tblCellSpacing w:w="7" w:type="dxa"/>
          <w:jc w:val="center"/>
        </w:trPr>
        <w:tc>
          <w:tcPr>
            <w:tcW w:w="626" w:type="dxa"/>
            <w:shd w:val="clear" w:color="auto" w:fill="E0E0E0"/>
            <w:vAlign w:val="center"/>
          </w:tcPr>
          <w:p w14:paraId="6C1DE1F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14</w:t>
            </w:r>
          </w:p>
        </w:tc>
        <w:tc>
          <w:tcPr>
            <w:tcW w:w="1743" w:type="dxa"/>
            <w:shd w:val="clear" w:color="auto" w:fill="E0E0E0"/>
            <w:vAlign w:val="center"/>
          </w:tcPr>
          <w:p w14:paraId="16431E98">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highlight w:val="none"/>
              </w:rPr>
            </w:pPr>
            <w:r>
              <w:rPr>
                <w:rFonts w:hint="eastAsia" w:ascii="宋体" w:hAnsi="宋体" w:cs="宋体"/>
                <w:b/>
                <w:color w:val="auto"/>
                <w:szCs w:val="21"/>
              </w:rPr>
              <w:t>不良信用记录查询</w:t>
            </w:r>
          </w:p>
        </w:tc>
        <w:tc>
          <w:tcPr>
            <w:tcW w:w="7656" w:type="dxa"/>
            <w:shd w:val="clear" w:color="auto" w:fill="FFFFFF"/>
            <w:vAlign w:val="center"/>
          </w:tcPr>
          <w:p w14:paraId="12E110B0">
            <w:pPr>
              <w:keepNext w:val="0"/>
              <w:keepLines w:val="0"/>
              <w:suppressLineNumbers w:val="0"/>
              <w:snapToGrid w:val="0"/>
              <w:spacing w:before="0" w:beforeAutospacing="0" w:after="0" w:afterAutospacing="0" w:line="300" w:lineRule="auto"/>
              <w:ind w:left="0" w:right="0"/>
              <w:jc w:val="left"/>
              <w:rPr>
                <w:rFonts w:hint="eastAsia" w:ascii="宋体" w:hAnsi="宋体" w:cs="宋体"/>
                <w:color w:val="auto"/>
                <w:szCs w:val="21"/>
              </w:rPr>
            </w:pPr>
            <w:r>
              <w:rPr>
                <w:rFonts w:hint="eastAsia" w:ascii="宋体" w:hAnsi="宋体" w:cs="宋体"/>
                <w:color w:val="auto"/>
                <w:szCs w:val="21"/>
              </w:rPr>
              <w:t>根据财库[2016]125号文件：</w:t>
            </w:r>
          </w:p>
          <w:p w14:paraId="780456C6">
            <w:pPr>
              <w:keepNext w:val="0"/>
              <w:keepLines w:val="0"/>
              <w:suppressLineNumbers w:val="0"/>
              <w:snapToGrid w:val="0"/>
              <w:spacing w:before="0" w:beforeAutospacing="0" w:after="0" w:afterAutospacing="0" w:line="300" w:lineRule="auto"/>
              <w:ind w:left="0" w:right="0"/>
              <w:jc w:val="left"/>
              <w:rPr>
                <w:rFonts w:hint="eastAsia" w:ascii="宋体" w:hAnsi="宋体" w:cs="宋体"/>
                <w:color w:val="auto"/>
                <w:szCs w:val="21"/>
              </w:rPr>
            </w:pPr>
            <w:r>
              <w:rPr>
                <w:rFonts w:hint="eastAsia" w:ascii="宋体" w:hAnsi="宋体" w:cs="宋体"/>
                <w:color w:val="auto"/>
                <w:szCs w:val="21"/>
              </w:rPr>
              <w:t>1、至本项目</w:t>
            </w:r>
            <w:r>
              <w:rPr>
                <w:rFonts w:hint="eastAsia" w:ascii="宋体" w:hAnsi="宋体" w:cs="宋体"/>
                <w:color w:val="auto"/>
                <w:szCs w:val="21"/>
                <w:lang w:val="en-US" w:eastAsia="zh-CN"/>
              </w:rPr>
              <w:t>响应</w:t>
            </w:r>
            <w:r>
              <w:rPr>
                <w:rFonts w:hint="eastAsia" w:ascii="宋体" w:hAnsi="宋体" w:cs="宋体"/>
                <w:color w:val="auto"/>
                <w:szCs w:val="21"/>
              </w:rPr>
              <w:t>截止前未被列入“信用中国”网站(www.creditchina.gov.cn)“记录失信被执行人或重大税收违法案件当事人名单”记录名单。</w:t>
            </w:r>
          </w:p>
          <w:p w14:paraId="392C0EF4">
            <w:pPr>
              <w:keepNext w:val="0"/>
              <w:keepLines w:val="0"/>
              <w:suppressLineNumbers w:val="0"/>
              <w:snapToGrid w:val="0"/>
              <w:spacing w:before="0" w:beforeAutospacing="0" w:after="0" w:afterAutospacing="0" w:line="300" w:lineRule="auto"/>
              <w:ind w:left="0" w:right="0"/>
              <w:jc w:val="left"/>
              <w:rPr>
                <w:rFonts w:hint="eastAsia" w:ascii="宋体" w:hAnsi="宋体" w:cs="宋体"/>
                <w:color w:val="auto"/>
                <w:szCs w:val="21"/>
              </w:rPr>
            </w:pPr>
            <w:r>
              <w:rPr>
                <w:rFonts w:hint="eastAsia" w:ascii="宋体" w:hAnsi="宋体" w:cs="宋体"/>
                <w:color w:val="auto"/>
                <w:szCs w:val="21"/>
              </w:rPr>
              <w:t>2、至本项目</w:t>
            </w:r>
            <w:r>
              <w:rPr>
                <w:rFonts w:hint="eastAsia" w:ascii="宋体" w:hAnsi="宋体" w:cs="宋体"/>
                <w:color w:val="auto"/>
                <w:szCs w:val="21"/>
                <w:lang w:val="en-US" w:eastAsia="zh-CN"/>
              </w:rPr>
              <w:t>响应</w:t>
            </w:r>
            <w:r>
              <w:rPr>
                <w:rFonts w:hint="eastAsia" w:ascii="宋体" w:hAnsi="宋体" w:cs="宋体"/>
                <w:color w:val="auto"/>
                <w:szCs w:val="21"/>
              </w:rPr>
              <w:t>截止前不处于中国政府采购网(www.ccgp.gov.cn)“政府采购严重违法失信行为信息记录”中的禁止参加政府采购活动期间。</w:t>
            </w:r>
          </w:p>
          <w:p w14:paraId="145C803F">
            <w:pPr>
              <w:keepNext w:val="0"/>
              <w:keepLines w:val="0"/>
              <w:suppressLineNumbers w:val="0"/>
              <w:snapToGrid w:val="0"/>
              <w:spacing w:before="0" w:beforeAutospacing="0" w:after="0" w:afterAutospacing="0" w:line="300" w:lineRule="auto"/>
              <w:ind w:left="0" w:right="0"/>
              <w:jc w:val="left"/>
              <w:rPr>
                <w:rFonts w:hint="eastAsia" w:ascii="宋体" w:hAnsi="宋体" w:cs="宋体"/>
                <w:b/>
                <w:color w:val="auto"/>
                <w:kern w:val="0"/>
                <w:szCs w:val="21"/>
                <w:highlight w:val="none"/>
              </w:rPr>
            </w:pPr>
            <w:r>
              <w:rPr>
                <w:rFonts w:hint="eastAsia" w:ascii="宋体" w:hAnsi="宋体" w:cs="宋体"/>
                <w:color w:val="auto"/>
                <w:szCs w:val="21"/>
              </w:rPr>
              <w:t>提供二个渠道查询截图（具体以开标现场网页查询结果为准）。对列入失信被执行人、重大税收违法案件当事人名单、政府采购严重违法失信行为记录名单的供应商，其</w:t>
            </w:r>
            <w:r>
              <w:rPr>
                <w:rFonts w:hint="eastAsia" w:ascii="宋体" w:hAnsi="宋体" w:cs="宋体"/>
                <w:color w:val="auto"/>
                <w:szCs w:val="21"/>
                <w:lang w:val="en-US" w:eastAsia="zh-CN"/>
              </w:rPr>
              <w:t>响应</w:t>
            </w:r>
            <w:r>
              <w:rPr>
                <w:rFonts w:hint="eastAsia" w:ascii="宋体" w:hAnsi="宋体" w:cs="宋体"/>
                <w:color w:val="auto"/>
                <w:szCs w:val="21"/>
              </w:rPr>
              <w:t>将作无效标处理。</w:t>
            </w:r>
          </w:p>
        </w:tc>
      </w:tr>
      <w:tr w14:paraId="4AA2F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restart"/>
            <w:shd w:val="clear" w:color="auto" w:fill="E0E0E0"/>
            <w:vAlign w:val="center"/>
          </w:tcPr>
          <w:p w14:paraId="4E2C41C0">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lang w:val="en-US"/>
              </w:rPr>
            </w:pPr>
            <w:r>
              <w:rPr>
                <w:rFonts w:hint="eastAsia" w:ascii="宋体" w:hAnsi="宋体" w:cs="宋体"/>
                <w:b/>
                <w:color w:val="auto"/>
                <w:szCs w:val="21"/>
                <w:highlight w:val="none"/>
                <w:lang w:val="en-US" w:eastAsia="zh-CN"/>
              </w:rPr>
              <w:t>15</w:t>
            </w:r>
          </w:p>
        </w:tc>
        <w:tc>
          <w:tcPr>
            <w:tcW w:w="1743" w:type="dxa"/>
            <w:vMerge w:val="restart"/>
            <w:shd w:val="clear" w:color="auto" w:fill="E0E0E0"/>
            <w:vAlign w:val="center"/>
          </w:tcPr>
          <w:p w14:paraId="6BDF109B">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中小企业</w:t>
            </w:r>
          </w:p>
          <w:p w14:paraId="2C39BF13">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扶持政策</w:t>
            </w:r>
          </w:p>
          <w:p w14:paraId="1C48FFBE">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7656" w:type="dxa"/>
            <w:shd w:val="clear" w:color="auto" w:fill="FFFFFF"/>
            <w:vAlign w:val="center"/>
          </w:tcPr>
          <w:p w14:paraId="0D25E79C">
            <w:pPr>
              <w:keepNext w:val="0"/>
              <w:keepLines w:val="0"/>
              <w:suppressLineNumbers w:val="0"/>
              <w:spacing w:before="0" w:beforeAutospacing="0" w:after="0" w:afterAutospacing="0" w:line="360" w:lineRule="auto"/>
              <w:ind w:left="0" w:right="0"/>
              <w:jc w:val="left"/>
              <w:rPr>
                <w:rFonts w:hint="default" w:ascii="宋体" w:hAnsi="宋体" w:cs="宋体"/>
                <w:bCs/>
                <w:color w:val="auto"/>
                <w:kern w:val="0"/>
                <w:szCs w:val="21"/>
                <w:highlight w:val="none"/>
              </w:rPr>
            </w:pPr>
            <w:r>
              <w:rPr>
                <w:rFonts w:hint="eastAsia" w:ascii="宋体" w:hAnsi="宋体" w:cs="宋体"/>
                <w:b/>
                <w:color w:val="auto"/>
                <w:kern w:val="0"/>
                <w:szCs w:val="21"/>
              </w:rPr>
              <w:t>本项目专门面向中小企业采购。</w:t>
            </w:r>
          </w:p>
        </w:tc>
      </w:tr>
      <w:tr w14:paraId="53CCB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69EDFF1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743" w:type="dxa"/>
            <w:vMerge w:val="continue"/>
            <w:shd w:val="clear" w:color="auto" w:fill="E0E0E0"/>
            <w:vAlign w:val="center"/>
          </w:tcPr>
          <w:p w14:paraId="6615380F">
            <w:pPr>
              <w:keepNext w:val="0"/>
              <w:keepLines w:val="0"/>
              <w:suppressLineNumbers w:val="0"/>
              <w:spacing w:before="0" w:beforeAutospacing="0" w:after="0" w:afterAutospacing="0" w:line="360" w:lineRule="auto"/>
              <w:ind w:left="0" w:right="0"/>
              <w:jc w:val="center"/>
              <w:rPr>
                <w:rFonts w:hint="default" w:ascii="宋体" w:hAnsi="宋体" w:cs="宋体"/>
                <w:b/>
                <w:color w:val="auto"/>
                <w:kern w:val="0"/>
                <w:szCs w:val="21"/>
                <w:highlight w:val="none"/>
              </w:rPr>
            </w:pPr>
          </w:p>
        </w:tc>
        <w:tc>
          <w:tcPr>
            <w:tcW w:w="7656" w:type="dxa"/>
            <w:shd w:val="clear" w:color="auto" w:fill="FFFFFF"/>
            <w:vAlign w:val="center"/>
          </w:tcPr>
          <w:p w14:paraId="17C43F71">
            <w:pPr>
              <w:keepNext w:val="0"/>
              <w:keepLines w:val="0"/>
              <w:suppressLineNumbers w:val="0"/>
              <w:spacing w:before="0" w:beforeAutospacing="0" w:after="0" w:afterAutospacing="0" w:line="360" w:lineRule="auto"/>
              <w:ind w:left="0" w:right="0"/>
              <w:jc w:val="left"/>
              <w:rPr>
                <w:rFonts w:hint="default" w:ascii="宋体" w:hAnsi="宋体" w:cs="宋体"/>
                <w:b/>
                <w:bCs w:val="0"/>
                <w:color w:val="auto"/>
                <w:kern w:val="0"/>
                <w:szCs w:val="21"/>
                <w:highlight w:val="none"/>
              </w:rPr>
            </w:pPr>
            <w:r>
              <w:rPr>
                <w:rFonts w:hint="eastAsia" w:ascii="宋体" w:hAnsi="宋体" w:cs="宋体"/>
                <w:b/>
                <w:bCs w:val="0"/>
                <w:color w:val="auto"/>
                <w:kern w:val="0"/>
                <w:szCs w:val="21"/>
                <w:highlight w:val="none"/>
              </w:rPr>
              <w:t>本项目不接受联合体</w:t>
            </w:r>
            <w:r>
              <w:rPr>
                <w:rFonts w:hint="eastAsia" w:ascii="宋体" w:hAnsi="宋体" w:cs="宋体"/>
                <w:b/>
                <w:bCs w:val="0"/>
                <w:color w:val="auto"/>
                <w:kern w:val="0"/>
                <w:szCs w:val="21"/>
                <w:highlight w:val="none"/>
                <w:lang w:val="en-US" w:eastAsia="zh-CN"/>
              </w:rPr>
              <w:t>响应</w:t>
            </w:r>
            <w:r>
              <w:rPr>
                <w:rFonts w:hint="eastAsia" w:ascii="宋体" w:hAnsi="宋体" w:cs="宋体"/>
                <w:b/>
                <w:bCs w:val="0"/>
                <w:color w:val="auto"/>
                <w:kern w:val="0"/>
                <w:szCs w:val="21"/>
                <w:highlight w:val="none"/>
              </w:rPr>
              <w:t>。</w:t>
            </w:r>
          </w:p>
        </w:tc>
      </w:tr>
      <w:tr w14:paraId="64043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57E0625E">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743" w:type="dxa"/>
            <w:vMerge w:val="continue"/>
            <w:shd w:val="clear" w:color="auto" w:fill="E0E0E0"/>
            <w:vAlign w:val="center"/>
          </w:tcPr>
          <w:p w14:paraId="67C46C55">
            <w:pPr>
              <w:keepNext w:val="0"/>
              <w:keepLines w:val="0"/>
              <w:suppressLineNumbers w:val="0"/>
              <w:spacing w:before="0" w:beforeAutospacing="0" w:after="0" w:afterAutospacing="0" w:line="360" w:lineRule="auto"/>
              <w:ind w:left="0" w:right="0"/>
              <w:jc w:val="center"/>
              <w:rPr>
                <w:rFonts w:hint="default" w:ascii="宋体" w:hAnsi="宋体" w:cs="宋体"/>
                <w:b/>
                <w:color w:val="auto"/>
                <w:kern w:val="0"/>
                <w:szCs w:val="21"/>
                <w:highlight w:val="none"/>
              </w:rPr>
            </w:pPr>
          </w:p>
        </w:tc>
        <w:tc>
          <w:tcPr>
            <w:tcW w:w="7656" w:type="dxa"/>
            <w:shd w:val="clear" w:color="auto" w:fill="FFFFFF"/>
            <w:vAlign w:val="center"/>
          </w:tcPr>
          <w:p w14:paraId="5EB23E5F">
            <w:pPr>
              <w:keepNext w:val="0"/>
              <w:keepLines w:val="0"/>
              <w:suppressLineNumbers w:val="0"/>
              <w:spacing w:before="0" w:beforeAutospacing="0" w:after="0" w:afterAutospacing="0" w:line="360" w:lineRule="auto"/>
              <w:ind w:left="0" w:right="0"/>
              <w:jc w:val="left"/>
              <w:rPr>
                <w:rFonts w:hint="default" w:ascii="宋体" w:hAnsi="宋体" w:cs="宋体"/>
                <w:b/>
                <w:bCs w:val="0"/>
                <w:color w:val="auto"/>
                <w:kern w:val="0"/>
                <w:szCs w:val="21"/>
                <w:highlight w:val="none"/>
              </w:rPr>
            </w:pPr>
            <w:r>
              <w:rPr>
                <w:rFonts w:hint="eastAsia" w:ascii="宋体" w:hAnsi="宋体" w:cs="宋体"/>
                <w:b/>
                <w:color w:val="auto"/>
                <w:kern w:val="0"/>
                <w:szCs w:val="21"/>
              </w:rPr>
              <w:t>本项目关键性、主体性部分不允许分包。</w:t>
            </w:r>
          </w:p>
        </w:tc>
      </w:tr>
      <w:tr w14:paraId="0C4E8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1B347D07">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743" w:type="dxa"/>
            <w:vMerge w:val="continue"/>
            <w:shd w:val="clear" w:color="auto" w:fill="E0E0E0"/>
            <w:vAlign w:val="center"/>
          </w:tcPr>
          <w:p w14:paraId="3B51E137">
            <w:pPr>
              <w:keepNext w:val="0"/>
              <w:keepLines w:val="0"/>
              <w:suppressLineNumbers w:val="0"/>
              <w:spacing w:before="0" w:beforeAutospacing="0" w:after="0" w:afterAutospacing="0" w:line="360" w:lineRule="auto"/>
              <w:ind w:left="0" w:right="0"/>
              <w:jc w:val="center"/>
              <w:rPr>
                <w:rFonts w:hint="default" w:ascii="宋体" w:hAnsi="宋体" w:cs="宋体"/>
                <w:b/>
                <w:color w:val="auto"/>
                <w:kern w:val="0"/>
                <w:szCs w:val="21"/>
                <w:highlight w:val="none"/>
              </w:rPr>
            </w:pPr>
          </w:p>
        </w:tc>
        <w:tc>
          <w:tcPr>
            <w:tcW w:w="7656" w:type="dxa"/>
            <w:shd w:val="clear" w:color="auto" w:fill="FFFFFF"/>
            <w:vAlign w:val="center"/>
          </w:tcPr>
          <w:p w14:paraId="311A1A9F">
            <w:pPr>
              <w:keepNext w:val="0"/>
              <w:keepLines w:val="0"/>
              <w:suppressLineNumbers w:val="0"/>
              <w:spacing w:before="0" w:beforeAutospacing="0" w:after="0" w:afterAutospacing="0" w:line="360" w:lineRule="auto"/>
              <w:ind w:left="0" w:right="0"/>
              <w:jc w:val="left"/>
              <w:rPr>
                <w:rFonts w:hint="eastAsia" w:ascii="宋体" w:hAnsi="宋体" w:eastAsia="宋体" w:cs="宋体"/>
                <w:b/>
                <w:bCs w:val="0"/>
                <w:color w:val="auto"/>
                <w:kern w:val="0"/>
                <w:szCs w:val="21"/>
                <w:highlight w:val="none"/>
                <w:lang w:eastAsia="zh-CN"/>
              </w:rPr>
            </w:pPr>
            <w:r>
              <w:rPr>
                <w:rFonts w:hint="eastAsia" w:ascii="宋体" w:hAnsi="宋体" w:cs="宋体"/>
                <w:b/>
                <w:bCs w:val="0"/>
                <w:color w:val="auto"/>
                <w:kern w:val="0"/>
                <w:szCs w:val="21"/>
                <w:highlight w:val="none"/>
              </w:rPr>
              <w:t>本项目采购标的对应的中小企业划分标准所属行业：</w:t>
            </w:r>
            <w:r>
              <w:rPr>
                <w:rFonts w:hint="eastAsia" w:ascii="宋体" w:hAnsi="宋体" w:cs="宋体"/>
                <w:b/>
                <w:color w:val="auto"/>
                <w:kern w:val="0"/>
                <w:szCs w:val="21"/>
                <w:lang w:val="en-US" w:eastAsia="zh-CN"/>
              </w:rPr>
              <w:t>建筑业</w:t>
            </w:r>
            <w:r>
              <w:rPr>
                <w:rFonts w:hint="eastAsia" w:ascii="宋体" w:hAnsi="宋体" w:cs="宋体"/>
                <w:b/>
                <w:bCs w:val="0"/>
                <w:color w:val="auto"/>
                <w:kern w:val="0"/>
                <w:szCs w:val="21"/>
                <w:highlight w:val="none"/>
                <w:lang w:eastAsia="zh-CN"/>
              </w:rPr>
              <w:t>。</w:t>
            </w:r>
          </w:p>
        </w:tc>
      </w:tr>
      <w:tr w14:paraId="4535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1109779E">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743" w:type="dxa"/>
            <w:vMerge w:val="continue"/>
            <w:shd w:val="clear" w:color="auto" w:fill="E0E0E0"/>
            <w:vAlign w:val="center"/>
          </w:tcPr>
          <w:p w14:paraId="5802AC1F">
            <w:pPr>
              <w:keepNext w:val="0"/>
              <w:keepLines w:val="0"/>
              <w:suppressLineNumbers w:val="0"/>
              <w:spacing w:before="0" w:beforeAutospacing="0" w:after="0" w:afterAutospacing="0" w:line="360" w:lineRule="auto"/>
              <w:ind w:left="0" w:right="0"/>
              <w:jc w:val="center"/>
              <w:rPr>
                <w:rFonts w:hint="default" w:ascii="宋体" w:hAnsi="宋体" w:cs="宋体"/>
                <w:b/>
                <w:color w:val="auto"/>
                <w:kern w:val="0"/>
                <w:szCs w:val="21"/>
                <w:highlight w:val="none"/>
              </w:rPr>
            </w:pPr>
          </w:p>
        </w:tc>
        <w:tc>
          <w:tcPr>
            <w:tcW w:w="7656" w:type="dxa"/>
            <w:shd w:val="clear" w:color="auto" w:fill="FFFFFF"/>
            <w:vAlign w:val="center"/>
          </w:tcPr>
          <w:p w14:paraId="45C6286A">
            <w:pPr>
              <w:keepNext w:val="0"/>
              <w:keepLines w:val="0"/>
              <w:suppressLineNumbers w:val="0"/>
              <w:spacing w:before="0" w:beforeAutospacing="0" w:after="0" w:afterAutospacing="0" w:line="360" w:lineRule="auto"/>
              <w:ind w:left="0" w:right="0"/>
              <w:jc w:val="left"/>
              <w:rPr>
                <w:rFonts w:hint="default" w:ascii="宋体" w:hAnsi="宋体" w:cs="宋体"/>
                <w:b/>
                <w:bCs w:val="0"/>
                <w:color w:val="auto"/>
                <w:kern w:val="0"/>
                <w:szCs w:val="21"/>
                <w:highlight w:val="none"/>
              </w:rPr>
            </w:pPr>
            <w:r>
              <w:rPr>
                <w:rFonts w:hint="eastAsia" w:ascii="宋体" w:hAnsi="宋体" w:cs="宋体"/>
                <w:b/>
                <w:color w:val="auto"/>
                <w:kern w:val="0"/>
                <w:szCs w:val="21"/>
              </w:rPr>
              <w:t>本项目为</w:t>
            </w:r>
            <w:r>
              <w:rPr>
                <w:rFonts w:hint="eastAsia" w:ascii="宋体" w:hAnsi="宋体" w:cs="宋体"/>
                <w:b/>
                <w:color w:val="auto"/>
                <w:kern w:val="0"/>
                <w:szCs w:val="21"/>
                <w:lang w:val="en-US" w:eastAsia="zh-CN"/>
              </w:rPr>
              <w:t>工程</w:t>
            </w:r>
            <w:r>
              <w:rPr>
                <w:rFonts w:hint="eastAsia" w:ascii="宋体" w:hAnsi="宋体" w:cs="宋体"/>
                <w:b/>
                <w:color w:val="auto"/>
                <w:kern w:val="0"/>
                <w:szCs w:val="21"/>
              </w:rPr>
              <w:t>采购项目。</w:t>
            </w:r>
          </w:p>
        </w:tc>
      </w:tr>
      <w:tr w14:paraId="6AC55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482978F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c>
          <w:tcPr>
            <w:tcW w:w="1743" w:type="dxa"/>
            <w:vMerge w:val="continue"/>
            <w:shd w:val="clear" w:color="auto" w:fill="E0E0E0"/>
            <w:vAlign w:val="center"/>
          </w:tcPr>
          <w:p w14:paraId="3EC8DDC5">
            <w:pPr>
              <w:keepNext w:val="0"/>
              <w:keepLines w:val="0"/>
              <w:suppressLineNumbers w:val="0"/>
              <w:spacing w:before="0" w:beforeAutospacing="0" w:after="0" w:afterAutospacing="0" w:line="360" w:lineRule="auto"/>
              <w:ind w:left="0" w:right="0"/>
              <w:jc w:val="center"/>
              <w:rPr>
                <w:rFonts w:hint="default" w:ascii="宋体" w:hAnsi="宋体" w:cs="宋体"/>
                <w:b/>
                <w:color w:val="auto"/>
                <w:kern w:val="0"/>
                <w:szCs w:val="21"/>
                <w:highlight w:val="none"/>
              </w:rPr>
            </w:pPr>
          </w:p>
        </w:tc>
        <w:tc>
          <w:tcPr>
            <w:tcW w:w="7656" w:type="dxa"/>
            <w:shd w:val="clear" w:color="auto" w:fill="FFFFFF"/>
            <w:vAlign w:val="center"/>
          </w:tcPr>
          <w:p w14:paraId="2A16708D">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一、根据《政府采购促进中小企业发展管理办法》（财库[2020]46号）规定：</w:t>
            </w:r>
          </w:p>
          <w:p w14:paraId="6083E7BC">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7EB186A2">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符合中小企业划分标准的个体工商户，在政府采购活动中视同中小企业。</w:t>
            </w:r>
          </w:p>
          <w:p w14:paraId="02739688">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2.在政府采购活动中，供应商提供的货物、工程或者服务符合下列情形的，享受本办法规定的中小企业扶持政策：</w:t>
            </w:r>
          </w:p>
          <w:p w14:paraId="4B16F357">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 xml:space="preserve">（1）在货物采购项目中，货物由中小企业制造，即货物由中小企业生产且使用该中小企业商号或者注册商标； </w:t>
            </w:r>
          </w:p>
          <w:p w14:paraId="720089B3">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 xml:space="preserve">（2）在工程采购项目中，工程由中小企业承建，即工程施工单位为中小企业； </w:t>
            </w:r>
          </w:p>
          <w:p w14:paraId="7A86C9C9">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 xml:space="preserve">（3）在服务采购项目中，服务由中小企业承接，即提供服务的人员为中小企业依照《中华人民共和国劳动合同法》订立劳动合同的从业人员。 </w:t>
            </w:r>
          </w:p>
          <w:p w14:paraId="2086CDF5">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 xml:space="preserve">在货物采购项目中，供应商提供的货物既有中小企业制造货物，也有大型企业制造货物的，不享受本办法规定的中小企业扶持政策。 </w:t>
            </w:r>
          </w:p>
          <w:p w14:paraId="588A9ED4">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3.在政府采购活动中，监狱企业、残疾人福利性单位视同小型、微型企业，享受本办法规定的中小企业扶持政策；监狱企业、残疾人福利性单位属于小型、微型企业的，不重复享受政策。</w:t>
            </w:r>
          </w:p>
          <w:p w14:paraId="2972D8D6">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二、本项目中小企业扶持政策：</w:t>
            </w:r>
          </w:p>
          <w:p w14:paraId="7D02FA9E">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1.【预留份额政策】本项目专门面向中小企业采购：</w:t>
            </w:r>
          </w:p>
          <w:p w14:paraId="51146EA7">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（1）中小企业须提供《中小企业声明函》，附在资格证明文件内，否则不享受预留份额政策；</w:t>
            </w:r>
          </w:p>
          <w:p w14:paraId="28594552">
            <w:pPr>
              <w:keepNext w:val="0"/>
              <w:keepLines w:val="0"/>
              <w:suppressLineNumbers w:val="0"/>
              <w:spacing w:before="0" w:beforeAutospacing="0" w:after="0" w:afterAutospacing="0" w:line="300" w:lineRule="auto"/>
              <w:ind w:left="0" w:right="0"/>
              <w:jc w:val="left"/>
              <w:rPr>
                <w:rFonts w:hint="eastAsia" w:ascii="宋体" w:hAnsi="宋体" w:cs="宋体"/>
                <w:b/>
                <w:color w:val="auto"/>
                <w:kern w:val="0"/>
                <w:szCs w:val="21"/>
              </w:rPr>
            </w:pPr>
            <w:r>
              <w:rPr>
                <w:rFonts w:hint="eastAsia" w:ascii="宋体" w:hAnsi="宋体" w:cs="宋体"/>
                <w:b/>
                <w:color w:val="auto"/>
                <w:kern w:val="0"/>
                <w:szCs w:val="21"/>
              </w:rPr>
              <w:t>（2）监狱企业须提供由省级以上监狱管理局、戒毒管理局（含新疆生产建设兵团）出具的属于监狱企业的证明文件，附在资格证明文件内，否则不享受预留份额政策；</w:t>
            </w:r>
          </w:p>
          <w:p w14:paraId="626D1BC3">
            <w:pPr>
              <w:keepNext w:val="0"/>
              <w:keepLines w:val="0"/>
              <w:suppressLineNumbers w:val="0"/>
              <w:spacing w:before="0" w:beforeAutospacing="0" w:after="0" w:afterAutospacing="0" w:line="360" w:lineRule="auto"/>
              <w:ind w:left="0" w:right="0"/>
              <w:jc w:val="left"/>
              <w:rPr>
                <w:rFonts w:hint="default" w:ascii="宋体" w:hAnsi="宋体" w:cs="宋体"/>
                <w:b/>
                <w:color w:val="auto"/>
                <w:kern w:val="0"/>
                <w:szCs w:val="21"/>
                <w:highlight w:val="none"/>
              </w:rPr>
            </w:pPr>
            <w:r>
              <w:rPr>
                <w:rFonts w:hint="eastAsia" w:ascii="宋体" w:hAnsi="宋体" w:cs="宋体"/>
                <w:b/>
                <w:color w:val="auto"/>
                <w:kern w:val="0"/>
                <w:szCs w:val="21"/>
              </w:rPr>
              <w:t>（3）残疾人福利性单位须提供《残疾人福利性单位声明函》，附在资格证明文件内，否则不享受预留份额政策。</w:t>
            </w:r>
          </w:p>
        </w:tc>
      </w:tr>
      <w:tr w14:paraId="31373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shd w:val="clear" w:color="auto" w:fill="E0E0E0"/>
            <w:vAlign w:val="center"/>
          </w:tcPr>
          <w:p w14:paraId="4BA8C075">
            <w:pPr>
              <w:keepNext w:val="0"/>
              <w:keepLines w:val="0"/>
              <w:suppressLineNumbers w:val="0"/>
              <w:spacing w:before="0" w:beforeAutospacing="0" w:after="0" w:afterAutospacing="0" w:line="300" w:lineRule="auto"/>
              <w:ind w:left="0" w:right="0"/>
              <w:jc w:val="center"/>
              <w:rPr>
                <w:rFonts w:hint="eastAsia" w:ascii="宋体" w:hAnsi="宋体" w:eastAsia="宋体" w:cs="宋体"/>
                <w:b/>
                <w:color w:val="auto"/>
                <w:kern w:val="2"/>
                <w:sz w:val="21"/>
                <w:szCs w:val="21"/>
                <w:lang w:val="en-US" w:eastAsia="zh-CN" w:bidi="ar-SA"/>
              </w:rPr>
            </w:pPr>
            <w:r>
              <w:rPr>
                <w:rFonts w:hint="eastAsia" w:ascii="宋体" w:hAnsi="宋体" w:cs="宋体"/>
                <w:b/>
                <w:color w:val="auto"/>
                <w:szCs w:val="21"/>
              </w:rPr>
              <w:t>1</w:t>
            </w:r>
            <w:r>
              <w:rPr>
                <w:rFonts w:hint="eastAsia" w:ascii="宋体" w:hAnsi="宋体" w:cs="宋体"/>
                <w:b/>
                <w:color w:val="auto"/>
                <w:szCs w:val="21"/>
                <w:lang w:val="en-US" w:eastAsia="zh-CN"/>
              </w:rPr>
              <w:t>6</w:t>
            </w:r>
          </w:p>
        </w:tc>
        <w:tc>
          <w:tcPr>
            <w:tcW w:w="1743" w:type="dxa"/>
            <w:shd w:val="clear" w:color="auto" w:fill="E0E0E0"/>
            <w:vAlign w:val="center"/>
          </w:tcPr>
          <w:p w14:paraId="1BEF9D21">
            <w:pPr>
              <w:keepNext w:val="0"/>
              <w:keepLines w:val="0"/>
              <w:suppressLineNumbers w:val="0"/>
              <w:autoSpaceDE w:val="0"/>
              <w:autoSpaceDN w:val="0"/>
              <w:adjustRightInd w:val="0"/>
              <w:spacing w:before="0" w:beforeAutospacing="0" w:after="0" w:afterAutospacing="0" w:line="360" w:lineRule="exact"/>
              <w:ind w:left="0" w:right="0"/>
              <w:jc w:val="center"/>
              <w:rPr>
                <w:rFonts w:hint="default" w:ascii="宋体" w:hAnsi="宋体" w:eastAsia="宋体" w:cs="Times New Roman"/>
                <w:bCs/>
                <w:color w:val="auto"/>
                <w:kern w:val="2"/>
                <w:sz w:val="21"/>
                <w:szCs w:val="21"/>
                <w:lang w:val="en-US" w:eastAsia="zh-CN" w:bidi="ar-SA"/>
              </w:rPr>
            </w:pPr>
            <w:r>
              <w:rPr>
                <w:rFonts w:hint="eastAsia" w:ascii="宋体" w:hAnsi="宋体"/>
                <w:bCs/>
                <w:color w:val="auto"/>
                <w:szCs w:val="21"/>
              </w:rPr>
              <w:t>▲项目最高限价</w:t>
            </w:r>
          </w:p>
        </w:tc>
        <w:tc>
          <w:tcPr>
            <w:tcW w:w="7656" w:type="dxa"/>
            <w:shd w:val="clear" w:color="auto" w:fill="FFFFFF"/>
            <w:vAlign w:val="center"/>
          </w:tcPr>
          <w:p w14:paraId="506431E6">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eastAsia="宋体" w:cs="Times New Roman"/>
                <w:bCs/>
                <w:color w:val="auto"/>
                <w:kern w:val="2"/>
                <w:sz w:val="21"/>
                <w:szCs w:val="21"/>
                <w:lang w:val="en-US" w:eastAsia="zh-CN" w:bidi="ar-SA"/>
              </w:rPr>
            </w:pPr>
            <w:r>
              <w:rPr>
                <w:rFonts w:hint="eastAsia" w:ascii="宋体" w:hAnsi="宋体"/>
                <w:b/>
                <w:color w:val="auto"/>
                <w:sz w:val="22"/>
                <w:szCs w:val="20"/>
              </w:rPr>
              <w:t>本项目设有最高限价：</w:t>
            </w:r>
            <w:r>
              <w:rPr>
                <w:rFonts w:hint="eastAsia" w:ascii="宋体" w:hAnsi="宋体"/>
                <w:b/>
                <w:color w:val="auto"/>
                <w:sz w:val="22"/>
                <w:szCs w:val="20"/>
                <w:lang w:val="en-US" w:eastAsia="zh-CN"/>
              </w:rPr>
              <w:t>1972317</w:t>
            </w:r>
            <w:r>
              <w:rPr>
                <w:rFonts w:hint="eastAsia" w:ascii="宋体" w:hAnsi="宋体"/>
                <w:b/>
                <w:color w:val="auto"/>
                <w:sz w:val="22"/>
                <w:szCs w:val="20"/>
                <w:lang w:eastAsia="zh-CN"/>
              </w:rPr>
              <w:t>元。</w:t>
            </w:r>
          </w:p>
        </w:tc>
      </w:tr>
      <w:tr w14:paraId="3DA40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shd w:val="clear" w:color="auto" w:fill="E0E0E0"/>
            <w:vAlign w:val="center"/>
          </w:tcPr>
          <w:p w14:paraId="7CB221B5">
            <w:pPr>
              <w:keepNext w:val="0"/>
              <w:keepLines w:val="0"/>
              <w:suppressLineNumbers w:val="0"/>
              <w:spacing w:before="0" w:beforeAutospacing="0" w:after="0" w:afterAutospacing="0" w:line="300" w:lineRule="auto"/>
              <w:ind w:left="0" w:right="0"/>
              <w:jc w:val="center"/>
              <w:rPr>
                <w:rFonts w:hint="default" w:ascii="宋体" w:hAnsi="宋体" w:eastAsia="宋体" w:cs="宋体"/>
                <w:b/>
                <w:color w:val="auto"/>
                <w:szCs w:val="21"/>
                <w:lang w:val="en-US" w:eastAsia="zh-CN"/>
              </w:rPr>
            </w:pPr>
            <w:r>
              <w:rPr>
                <w:rFonts w:hint="eastAsia" w:ascii="宋体" w:hAnsi="宋体" w:cs="宋体"/>
                <w:b/>
                <w:color w:val="auto"/>
                <w:szCs w:val="21"/>
                <w:lang w:val="en-US" w:eastAsia="zh-CN"/>
              </w:rPr>
              <w:t>17</w:t>
            </w:r>
          </w:p>
        </w:tc>
        <w:tc>
          <w:tcPr>
            <w:tcW w:w="1743" w:type="dxa"/>
            <w:shd w:val="clear" w:color="auto" w:fill="E0E0E0"/>
            <w:vAlign w:val="center"/>
          </w:tcPr>
          <w:p w14:paraId="048DEF62">
            <w:pPr>
              <w:keepNext w:val="0"/>
              <w:keepLines w:val="0"/>
              <w:suppressLineNumbers w:val="0"/>
              <w:autoSpaceDE w:val="0"/>
              <w:autoSpaceDN w:val="0"/>
              <w:adjustRightInd w:val="0"/>
              <w:spacing w:before="0" w:beforeAutospacing="0" w:after="0" w:afterAutospacing="0" w:line="360" w:lineRule="exact"/>
              <w:ind w:left="0" w:right="0"/>
              <w:jc w:val="center"/>
              <w:rPr>
                <w:rFonts w:hint="eastAsia" w:ascii="宋体" w:hAnsi="宋体"/>
                <w:bCs/>
                <w:color w:val="auto"/>
                <w:szCs w:val="21"/>
              </w:rPr>
            </w:pPr>
            <w:r>
              <w:rPr>
                <w:rFonts w:hint="eastAsia" w:ascii="宋体" w:hAnsi="宋体"/>
                <w:bCs/>
                <w:color w:val="auto"/>
                <w:szCs w:val="21"/>
              </w:rPr>
              <w:t>工程报价方式</w:t>
            </w:r>
          </w:p>
        </w:tc>
        <w:tc>
          <w:tcPr>
            <w:tcW w:w="7656" w:type="dxa"/>
            <w:shd w:val="clear" w:color="auto" w:fill="FFFFFF"/>
            <w:vAlign w:val="center"/>
          </w:tcPr>
          <w:p w14:paraId="66D6265E">
            <w:pPr>
              <w:keepNext w:val="0"/>
              <w:keepLines w:val="0"/>
              <w:suppressLineNumbers w:val="0"/>
              <w:autoSpaceDE w:val="0"/>
              <w:autoSpaceDN w:val="0"/>
              <w:adjustRightInd w:val="0"/>
              <w:spacing w:before="0" w:beforeAutospacing="0" w:after="0" w:afterAutospacing="0" w:line="360" w:lineRule="exact"/>
              <w:ind w:left="0" w:right="0"/>
              <w:rPr>
                <w:rFonts w:hint="eastAsia" w:ascii="宋体" w:hAnsi="宋体" w:eastAsia="宋体" w:cs="宋体"/>
                <w:b/>
                <w:color w:val="auto"/>
                <w:kern w:val="0"/>
                <w:szCs w:val="21"/>
              </w:rPr>
            </w:pPr>
            <w:r>
              <w:rPr>
                <w:rFonts w:hint="eastAsia" w:ascii="宋体" w:hAnsi="宋体"/>
                <w:b/>
                <w:color w:val="auto"/>
                <w:sz w:val="22"/>
                <w:szCs w:val="20"/>
              </w:rPr>
              <w:t>以</w:t>
            </w:r>
            <w:r>
              <w:rPr>
                <w:rFonts w:hint="eastAsia" w:ascii="宋体" w:hAnsi="宋体"/>
                <w:b/>
                <w:color w:val="auto"/>
                <w:sz w:val="22"/>
                <w:szCs w:val="20"/>
                <w:lang w:val="en-US" w:eastAsia="zh-CN"/>
              </w:rPr>
              <w:t>采购</w:t>
            </w:r>
            <w:r>
              <w:rPr>
                <w:rFonts w:hint="eastAsia" w:ascii="宋体" w:hAnsi="宋体"/>
                <w:b/>
                <w:color w:val="auto"/>
                <w:sz w:val="22"/>
                <w:szCs w:val="20"/>
              </w:rPr>
              <w:t>人提供的控制价为基</w:t>
            </w:r>
            <w:r>
              <w:rPr>
                <w:rFonts w:hint="eastAsia" w:ascii="宋体" w:hAnsi="宋体" w:eastAsia="宋体" w:cs="Times New Roman"/>
                <w:b/>
                <w:color w:val="auto"/>
                <w:sz w:val="22"/>
                <w:szCs w:val="20"/>
              </w:rPr>
              <w:t>数，总价下浮</w:t>
            </w:r>
            <w:r>
              <w:rPr>
                <w:rFonts w:hint="eastAsia" w:ascii="宋体" w:hAnsi="宋体" w:eastAsia="宋体" w:cs="Times New Roman"/>
                <w:b/>
                <w:color w:val="auto"/>
                <w:sz w:val="22"/>
                <w:szCs w:val="20"/>
                <w:lang w:eastAsia="zh-CN"/>
              </w:rPr>
              <w:t>。下浮率：</w:t>
            </w:r>
            <w:r>
              <w:rPr>
                <w:rFonts w:hint="eastAsia" w:ascii="宋体" w:hAnsi="宋体" w:eastAsia="宋体" w:cs="Times New Roman"/>
                <w:b/>
                <w:color w:val="auto"/>
                <w:sz w:val="22"/>
                <w:szCs w:val="20"/>
                <w:lang w:val="en-US" w:eastAsia="zh-CN"/>
              </w:rPr>
              <w:t>响应人响应</w:t>
            </w:r>
            <w:r>
              <w:rPr>
                <w:rFonts w:hint="eastAsia" w:ascii="宋体" w:hAnsi="宋体" w:eastAsia="宋体" w:cs="Times New Roman"/>
                <w:b/>
                <w:color w:val="auto"/>
                <w:sz w:val="22"/>
                <w:szCs w:val="20"/>
                <w:lang w:eastAsia="zh-CN"/>
              </w:rPr>
              <w:t>时确定的下浮率。</w:t>
            </w:r>
          </w:p>
        </w:tc>
      </w:tr>
    </w:tbl>
    <w:p w14:paraId="571ED73C">
      <w:pPr>
        <w:snapToGrid w:val="0"/>
        <w:spacing w:line="276" w:lineRule="auto"/>
        <w:rPr>
          <w:rFonts w:ascii="宋体" w:hAnsi="宋体" w:cs="宋体"/>
          <w:b/>
          <w:color w:val="auto"/>
          <w:szCs w:val="21"/>
          <w:highlight w:val="none"/>
        </w:rPr>
      </w:pPr>
    </w:p>
    <w:p w14:paraId="6B8B12F8">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一、总  则</w:t>
      </w:r>
    </w:p>
    <w:p w14:paraId="6EFCC8E5">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（一）适用范围</w:t>
      </w:r>
    </w:p>
    <w:p w14:paraId="0C055352">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本磋商文件适用于本次项目的评标、定标、验收、合同履约、付款等（法律、法规另有规定的，从其规定）。</w:t>
      </w:r>
    </w:p>
    <w:p w14:paraId="54CE16BD">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（二）定义</w:t>
      </w:r>
    </w:p>
    <w:p w14:paraId="4612B20E">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1、“采购人”系指组织本次采购的单位：</w:t>
      </w:r>
      <w:r>
        <w:rPr>
          <w:rFonts w:hint="eastAsia" w:hAnsi="宋体" w:eastAsia="宋体" w:cs="宋体"/>
          <w:color w:val="auto"/>
          <w:sz w:val="21"/>
          <w:szCs w:val="21"/>
          <w:highlight w:val="none"/>
          <w:lang w:eastAsia="zh-CN"/>
        </w:rPr>
        <w:t>岱山县市政和园林绿化管理处</w:t>
      </w:r>
      <w:r>
        <w:rPr>
          <w:rFonts w:hint="eastAsia" w:hAnsi="宋体" w:eastAsia="宋体" w:cs="宋体"/>
          <w:color w:val="auto"/>
          <w:sz w:val="21"/>
          <w:szCs w:val="21"/>
          <w:highlight w:val="none"/>
        </w:rPr>
        <w:t>。</w:t>
      </w:r>
    </w:p>
    <w:p w14:paraId="611BC61C">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w:t>
      </w:r>
      <w:r>
        <w:rPr>
          <w:rFonts w:hint="eastAsia" w:hAnsi="宋体" w:eastAsia="宋体" w:cs="宋体"/>
          <w:color w:val="auto"/>
          <w:sz w:val="21"/>
          <w:szCs w:val="21"/>
          <w:highlight w:val="none"/>
          <w:lang w:val="en-US" w:eastAsia="zh-CN"/>
        </w:rPr>
        <w:t>采购</w:t>
      </w:r>
      <w:r>
        <w:rPr>
          <w:rFonts w:hint="eastAsia" w:hAnsi="宋体" w:eastAsia="宋体" w:cs="宋体"/>
          <w:color w:val="auto"/>
          <w:sz w:val="21"/>
          <w:szCs w:val="21"/>
          <w:highlight w:val="none"/>
        </w:rPr>
        <w:t>代理机构”系指</w:t>
      </w:r>
      <w:r>
        <w:rPr>
          <w:rFonts w:hint="eastAsia" w:hAnsi="宋体" w:eastAsia="宋体" w:cs="宋体"/>
          <w:color w:val="auto"/>
          <w:sz w:val="21"/>
          <w:szCs w:val="21"/>
          <w:highlight w:val="none"/>
          <w:lang w:eastAsia="zh-CN"/>
        </w:rPr>
        <w:t>舟山市博琛建设工程管理有限公司</w:t>
      </w:r>
      <w:r>
        <w:rPr>
          <w:rFonts w:hint="eastAsia" w:hAnsi="宋体" w:eastAsia="宋体" w:cs="宋体"/>
          <w:color w:val="auto"/>
          <w:sz w:val="21"/>
          <w:szCs w:val="21"/>
          <w:highlight w:val="none"/>
        </w:rPr>
        <w:t>。</w:t>
      </w:r>
    </w:p>
    <w:p w14:paraId="3020B7CD">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3、“响应人”系指向</w:t>
      </w:r>
      <w:r>
        <w:rPr>
          <w:rFonts w:hint="eastAsia" w:hAnsi="宋体" w:eastAsia="宋体" w:cs="宋体"/>
          <w:color w:val="auto"/>
          <w:sz w:val="21"/>
          <w:szCs w:val="21"/>
          <w:highlight w:val="none"/>
          <w:lang w:val="en-US" w:eastAsia="zh-CN"/>
        </w:rPr>
        <w:t>采购</w:t>
      </w:r>
      <w:r>
        <w:rPr>
          <w:rFonts w:hint="eastAsia" w:hAnsi="宋体" w:eastAsia="宋体" w:cs="宋体"/>
          <w:color w:val="auto"/>
          <w:sz w:val="21"/>
          <w:szCs w:val="21"/>
          <w:highlight w:val="none"/>
        </w:rPr>
        <w:t>代理机构提交响应文件的供应商。</w:t>
      </w:r>
    </w:p>
    <w:p w14:paraId="428DAC26">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4、“成交人”系指经磋商小组评定，且审查通过，并经公示无异议的合格响应人。</w:t>
      </w:r>
    </w:p>
    <w:p w14:paraId="316EA3F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5、“响应人代表”系指全权代表响应人参加本次磋商活动并签署响应文件的人，如果响应人代表不是响应人的法定代表人，须提供《法定代表人授权函》。</w:t>
      </w:r>
    </w:p>
    <w:p w14:paraId="0D981622">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6、“产品”系指按磋商文件规定，须向采购人提供的一切产品、保险、税金、备品备件、工具、手册及其它有关技术资料和材料。</w:t>
      </w:r>
    </w:p>
    <w:p w14:paraId="176E8BB2">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7、“服务”系指磋商文件规定响应人须承担的须承担的</w:t>
      </w:r>
      <w:r>
        <w:rPr>
          <w:rFonts w:hint="eastAsia" w:hAnsi="宋体" w:eastAsia="宋体" w:cs="宋体"/>
          <w:color w:val="auto"/>
          <w:sz w:val="21"/>
          <w:szCs w:val="21"/>
          <w:highlight w:val="none"/>
          <w:lang w:val="en-US" w:eastAsia="zh-CN"/>
        </w:rPr>
        <w:t>系统开发、</w:t>
      </w:r>
      <w:r>
        <w:rPr>
          <w:rFonts w:hint="eastAsia" w:hAnsi="宋体" w:eastAsia="宋体" w:cs="宋体"/>
          <w:color w:val="auto"/>
          <w:sz w:val="21"/>
          <w:szCs w:val="21"/>
          <w:highlight w:val="none"/>
        </w:rPr>
        <w:t>安装、调试、技术协助、校准、培训、数据服务以及其他类似的义务。</w:t>
      </w:r>
    </w:p>
    <w:p w14:paraId="794E462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8、“项目”系指响应人按磋商文件规定向采购人提供的产品和服务。</w:t>
      </w:r>
    </w:p>
    <w:p w14:paraId="0046CB60">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9、“书面形式”包括信函、传真、快递、电报等。</w:t>
      </w:r>
    </w:p>
    <w:p w14:paraId="3866DACF">
      <w:pPr>
        <w:snapToGrid w:val="0"/>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（三）采购方式</w:t>
      </w:r>
    </w:p>
    <w:p w14:paraId="2D0E7CD8">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本次采用竞争性磋商方式进行。</w:t>
      </w:r>
    </w:p>
    <w:p w14:paraId="696E6CAD">
      <w:pPr>
        <w:pStyle w:val="13"/>
        <w:snapToGrid w:val="0"/>
        <w:spacing w:line="360" w:lineRule="auto"/>
        <w:ind w:firstLine="422" w:firstLineChars="200"/>
        <w:rPr>
          <w:rFonts w:hint="default" w:hAnsi="宋体" w:eastAsia="宋体" w:cs="宋体"/>
          <w:b/>
          <w:color w:val="auto"/>
          <w:sz w:val="21"/>
          <w:szCs w:val="21"/>
          <w:highlight w:val="none"/>
          <w:lang w:val="en-US" w:eastAsia="zh-CN"/>
        </w:rPr>
      </w:pPr>
      <w:r>
        <w:rPr>
          <w:rFonts w:hint="eastAsia" w:hAnsi="宋体" w:eastAsia="宋体" w:cs="宋体"/>
          <w:b/>
          <w:color w:val="auto"/>
          <w:sz w:val="21"/>
          <w:szCs w:val="21"/>
          <w:highlight w:val="none"/>
        </w:rPr>
        <w:t>（四）</w:t>
      </w:r>
      <w:r>
        <w:rPr>
          <w:rFonts w:hint="eastAsia" w:hAnsi="宋体" w:eastAsia="宋体" w:cs="宋体"/>
          <w:b/>
          <w:color w:val="auto"/>
          <w:sz w:val="21"/>
          <w:szCs w:val="21"/>
          <w:lang w:val="en-US" w:eastAsia="zh-CN"/>
        </w:rPr>
        <w:t>最高限价</w:t>
      </w:r>
    </w:p>
    <w:p w14:paraId="3FB85894">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本项</w:t>
      </w:r>
      <w:r>
        <w:rPr>
          <w:rFonts w:hint="eastAsia" w:ascii="宋体" w:hAnsi="宋体" w:cs="宋体"/>
          <w:b/>
          <w:color w:val="auto"/>
          <w:szCs w:val="21"/>
          <w:highlight w:val="none"/>
          <w:lang w:val="en-US" w:eastAsia="zh-CN"/>
        </w:rPr>
        <w:t>目</w:t>
      </w:r>
      <w:r>
        <w:rPr>
          <w:rFonts w:hint="eastAsia" w:hAnsi="宋体" w:eastAsia="宋体" w:cs="宋体"/>
          <w:b/>
          <w:color w:val="auto"/>
          <w:sz w:val="21"/>
          <w:szCs w:val="21"/>
          <w:lang w:val="en-US" w:eastAsia="zh-CN"/>
        </w:rPr>
        <w:t>最高限价</w:t>
      </w:r>
      <w:r>
        <w:rPr>
          <w:rFonts w:hint="eastAsia" w:ascii="宋体" w:hAnsi="宋体" w:cs="宋体"/>
          <w:b/>
          <w:color w:val="auto"/>
          <w:szCs w:val="21"/>
          <w:highlight w:val="none"/>
          <w:lang w:val="en-US" w:eastAsia="zh-CN"/>
        </w:rPr>
        <w:t>1972317</w:t>
      </w:r>
      <w:r>
        <w:rPr>
          <w:rFonts w:hint="eastAsia" w:ascii="宋体" w:hAnsi="宋体" w:eastAsia="宋体" w:cs="宋体"/>
          <w:b/>
          <w:bCs/>
          <w:color w:val="auto"/>
          <w:kern w:val="2"/>
          <w:sz w:val="21"/>
          <w:szCs w:val="21"/>
          <w:highlight w:val="none"/>
          <w:lang w:val="en-US" w:eastAsia="zh-CN" w:bidi="ar-SA"/>
        </w:rPr>
        <w:t>元</w:t>
      </w:r>
      <w:r>
        <w:rPr>
          <w:rFonts w:hint="eastAsia" w:ascii="宋体" w:hAnsi="宋体" w:cs="宋体"/>
          <w:b/>
          <w:color w:val="auto"/>
          <w:szCs w:val="21"/>
          <w:highlight w:val="none"/>
        </w:rPr>
        <w:t>，超过作</w:t>
      </w: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无效处理。</w:t>
      </w:r>
    </w:p>
    <w:p w14:paraId="6E6A3684">
      <w:pPr>
        <w:snapToGrid w:val="0"/>
        <w:spacing w:line="360" w:lineRule="auto"/>
        <w:ind w:firstLine="422" w:firstLineChars="200"/>
        <w:outlineLvl w:val="9"/>
        <w:rPr>
          <w:rFonts w:hint="eastAsia" w:ascii="宋体" w:hAnsi="宋体" w:eastAsia="宋体" w:cs="宋体"/>
          <w:b/>
          <w:color w:val="auto"/>
          <w:szCs w:val="21"/>
          <w:highlight w:val="none"/>
          <w:lang w:val="en-US" w:eastAsia="zh-CN"/>
        </w:rPr>
      </w:pPr>
      <w:r>
        <w:rPr>
          <w:rFonts w:hint="eastAsia" w:ascii="宋体" w:hAnsi="宋体" w:cs="宋体"/>
          <w:b/>
          <w:color w:val="auto"/>
          <w:szCs w:val="21"/>
          <w:highlight w:val="none"/>
        </w:rPr>
        <w:t>（五）联合体</w:t>
      </w:r>
      <w:r>
        <w:rPr>
          <w:rFonts w:hint="eastAsia" w:ascii="宋体" w:hAnsi="宋体" w:cs="宋体"/>
          <w:b/>
          <w:color w:val="auto"/>
          <w:szCs w:val="21"/>
          <w:highlight w:val="none"/>
          <w:lang w:val="en-US" w:eastAsia="zh-CN"/>
        </w:rPr>
        <w:t>响应</w:t>
      </w:r>
    </w:p>
    <w:p w14:paraId="462EBC24">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不接受联合体</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w:t>
      </w:r>
    </w:p>
    <w:p w14:paraId="0992C15F">
      <w:pPr>
        <w:snapToGrid w:val="0"/>
        <w:spacing w:line="360" w:lineRule="auto"/>
        <w:ind w:firstLine="422" w:firstLineChars="200"/>
        <w:outlineLvl w:val="9"/>
        <w:rPr>
          <w:rFonts w:hint="eastAsia" w:ascii="宋体" w:hAnsi="宋体" w:eastAsia="宋体" w:cs="宋体"/>
          <w:b/>
          <w:color w:val="auto"/>
          <w:szCs w:val="21"/>
          <w:highlight w:val="none"/>
          <w:lang w:val="en-US" w:eastAsia="zh-CN"/>
        </w:rPr>
      </w:pPr>
      <w:r>
        <w:rPr>
          <w:rFonts w:hint="eastAsia" w:ascii="宋体" w:hAnsi="宋体" w:cs="宋体"/>
          <w:b/>
          <w:color w:val="auto"/>
          <w:szCs w:val="21"/>
          <w:highlight w:val="none"/>
        </w:rPr>
        <w:t>（六）转包</w:t>
      </w:r>
      <w:r>
        <w:rPr>
          <w:rFonts w:hint="eastAsia" w:ascii="宋体" w:hAnsi="宋体" w:cs="宋体"/>
          <w:b/>
          <w:color w:val="auto"/>
          <w:szCs w:val="21"/>
          <w:highlight w:val="none"/>
          <w:lang w:val="en-US" w:eastAsia="zh-CN"/>
        </w:rPr>
        <w:t>与分包</w:t>
      </w:r>
    </w:p>
    <w:p w14:paraId="45FEA994">
      <w:pPr>
        <w:pStyle w:val="13"/>
        <w:snapToGrid w:val="0"/>
        <w:spacing w:line="360" w:lineRule="auto"/>
        <w:ind w:firstLine="420" w:firstLineChars="200"/>
        <w:rPr>
          <w:rFonts w:hAnsi="宋体" w:eastAsia="宋体" w:cs="宋体"/>
          <w:color w:val="auto"/>
          <w:sz w:val="21"/>
          <w:szCs w:val="21"/>
        </w:rPr>
      </w:pPr>
      <w:r>
        <w:rPr>
          <w:rFonts w:hint="eastAsia" w:hAnsi="宋体" w:eastAsia="宋体" w:cs="宋体"/>
          <w:color w:val="auto"/>
          <w:sz w:val="21"/>
          <w:szCs w:val="21"/>
        </w:rPr>
        <w:t>1.本项目不允许转包。</w:t>
      </w:r>
    </w:p>
    <w:p w14:paraId="60911E32">
      <w:pPr>
        <w:snapToGrid w:val="0"/>
        <w:spacing w:line="360" w:lineRule="auto"/>
        <w:ind w:firstLine="422" w:firstLineChars="200"/>
        <w:jc w:val="left"/>
        <w:rPr>
          <w:rFonts w:ascii="宋体" w:hAnsi="宋体" w:cs="宋体"/>
          <w:bCs/>
          <w:color w:val="auto"/>
          <w:szCs w:val="21"/>
        </w:rPr>
      </w:pPr>
      <w:r>
        <w:rPr>
          <w:rFonts w:hint="eastAsia" w:ascii="宋体" w:hAnsi="宋体" w:cs="宋体"/>
          <w:b/>
          <w:bCs w:val="0"/>
          <w:color w:val="auto"/>
          <w:szCs w:val="21"/>
        </w:rPr>
        <w:t>2.</w:t>
      </w:r>
      <w:r>
        <w:rPr>
          <w:rFonts w:hint="eastAsia" w:ascii="宋体" w:hAnsi="宋体" w:cs="宋体"/>
          <w:b/>
          <w:bCs w:val="0"/>
          <w:color w:val="auto"/>
          <w:kern w:val="0"/>
          <w:szCs w:val="21"/>
        </w:rPr>
        <w:t>本项</w:t>
      </w:r>
      <w:r>
        <w:rPr>
          <w:rFonts w:hint="eastAsia" w:ascii="宋体" w:hAnsi="宋体" w:cs="宋体"/>
          <w:b/>
          <w:color w:val="auto"/>
          <w:kern w:val="0"/>
          <w:szCs w:val="21"/>
        </w:rPr>
        <w:t>目关键性、主体性部分不允许分包。</w:t>
      </w:r>
    </w:p>
    <w:p w14:paraId="3F2CBE36">
      <w:pPr>
        <w:snapToGrid w:val="0"/>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（七）磋商相关费用</w:t>
      </w:r>
    </w:p>
    <w:p w14:paraId="6AF1E797">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不论竞争性磋商结果如何，响应人均应自行承担所有与磋商响应有关的全部费用。</w:t>
      </w:r>
    </w:p>
    <w:p w14:paraId="3406DACE">
      <w:pPr>
        <w:pStyle w:val="13"/>
        <w:snapToGrid w:val="0"/>
        <w:spacing w:line="360" w:lineRule="auto"/>
        <w:ind w:firstLine="422" w:firstLineChars="200"/>
        <w:outlineLvl w:val="9"/>
        <w:rPr>
          <w:rFonts w:hAnsi="宋体" w:eastAsia="宋体" w:cs="宋体"/>
          <w:b/>
          <w:color w:val="auto"/>
          <w:kern w:val="0"/>
          <w:sz w:val="21"/>
          <w:szCs w:val="21"/>
          <w:highlight w:val="none"/>
        </w:rPr>
      </w:pPr>
      <w:r>
        <w:rPr>
          <w:rFonts w:hint="eastAsia" w:hAnsi="宋体" w:eastAsia="宋体" w:cs="宋体"/>
          <w:b/>
          <w:color w:val="auto"/>
          <w:kern w:val="0"/>
          <w:sz w:val="21"/>
          <w:szCs w:val="21"/>
          <w:highlight w:val="none"/>
        </w:rPr>
        <w:t>（八）答疑与澄清</w:t>
      </w:r>
    </w:p>
    <w:p w14:paraId="24FAD9D8">
      <w:pPr>
        <w:pStyle w:val="1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响应人如认为磋商文件表述不清晰、存在歧视性、排他性或者其他违法内容的，应当以书面形式要求采购人作出书面解释、澄清或者向采购人提出一次性书面质疑；采购人将组织答疑；答疑内容是磋商文件的组成部份，并将以书面形式送达所有已依法获取采购文件的响应人。</w:t>
      </w:r>
    </w:p>
    <w:p w14:paraId="3E365610">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1、根据《中华人民共和国政府采购法实施条例》第五十三条：政府采购法第五十二条规定的供应商应知其权益受到损害之日，是指：</w:t>
      </w:r>
    </w:p>
    <w:p w14:paraId="6B3B2FA8">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①对可以质疑的采购文件提出质疑的，为收到采购文件之日或者采购文件公告期限届满之日；</w:t>
      </w:r>
    </w:p>
    <w:p w14:paraId="3A42BF2A">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②对采购过程提出质疑的，为各采购程序环节结束之日；</w:t>
      </w:r>
    </w:p>
    <w:p w14:paraId="16260758">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③对中标或者成交结果提出质疑的，为中标或者成交结果公告期限届满之日。</w:t>
      </w:r>
    </w:p>
    <w:p w14:paraId="7D363056">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2、质疑书应包括下列主要内容：</w:t>
      </w:r>
    </w:p>
    <w:p w14:paraId="5F7AD19A">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①质疑人的名称、地址、邮政编码、联系人、联系电话，以及被质疑人名称及联系方式；</w:t>
      </w:r>
    </w:p>
    <w:p w14:paraId="78E71658">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②被质疑采购项目名称、编号及采购内容；</w:t>
      </w:r>
    </w:p>
    <w:p w14:paraId="284B8BF6">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③具体的质疑事项及事实依据；</w:t>
      </w:r>
    </w:p>
    <w:p w14:paraId="48D7A8F5">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④认为自己合法权益受到损害或可能受到损害的相关证据材料；</w:t>
      </w:r>
    </w:p>
    <w:p w14:paraId="6280E83F">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⑤提出质疑的日期。</w:t>
      </w:r>
    </w:p>
    <w:p w14:paraId="06AE779C">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3、采购人或者</w:t>
      </w:r>
      <w:r>
        <w:rPr>
          <w:rFonts w:hint="eastAsia" w:hAnsi="宋体" w:eastAsia="宋体" w:cs="宋体"/>
          <w:color w:val="auto"/>
          <w:kern w:val="0"/>
          <w:sz w:val="21"/>
          <w:szCs w:val="21"/>
          <w:highlight w:val="none"/>
          <w:lang w:val="en-US" w:eastAsia="zh-CN"/>
        </w:rPr>
        <w:t>采购</w:t>
      </w:r>
      <w:r>
        <w:rPr>
          <w:rFonts w:hint="eastAsia" w:hAnsi="宋体" w:eastAsia="宋体" w:cs="宋体"/>
          <w:color w:val="auto"/>
          <w:kern w:val="0"/>
          <w:sz w:val="21"/>
          <w:szCs w:val="21"/>
          <w:highlight w:val="none"/>
        </w:rPr>
        <w:t>代理机构应当在3个工作日内对供应商依法提出的询问作出答复。采购人或者</w:t>
      </w:r>
      <w:r>
        <w:rPr>
          <w:rFonts w:hint="eastAsia" w:hAnsi="宋体" w:eastAsia="宋体" w:cs="宋体"/>
          <w:color w:val="auto"/>
          <w:kern w:val="0"/>
          <w:sz w:val="21"/>
          <w:szCs w:val="21"/>
          <w:highlight w:val="none"/>
          <w:lang w:val="en-US" w:eastAsia="zh-CN"/>
        </w:rPr>
        <w:t>采购</w:t>
      </w:r>
      <w:r>
        <w:rPr>
          <w:rFonts w:hint="eastAsia" w:hAnsi="宋体" w:eastAsia="宋体" w:cs="宋体"/>
          <w:color w:val="auto"/>
          <w:kern w:val="0"/>
          <w:sz w:val="21"/>
          <w:szCs w:val="21"/>
          <w:highlight w:val="none"/>
        </w:rPr>
        <w:t>代理机构应当在7个工作日内对供应商依法提出的质疑作出答复。供应商提出的询问或者质疑超出采购人对</w:t>
      </w:r>
      <w:r>
        <w:rPr>
          <w:rFonts w:hint="eastAsia" w:hAnsi="宋体" w:eastAsia="宋体" w:cs="宋体"/>
          <w:color w:val="auto"/>
          <w:kern w:val="0"/>
          <w:sz w:val="21"/>
          <w:szCs w:val="21"/>
          <w:highlight w:val="none"/>
          <w:lang w:eastAsia="zh-CN"/>
        </w:rPr>
        <w:t>采购代理机构</w:t>
      </w:r>
      <w:r>
        <w:rPr>
          <w:rFonts w:hint="eastAsia" w:hAnsi="宋体" w:eastAsia="宋体" w:cs="宋体"/>
          <w:color w:val="auto"/>
          <w:kern w:val="0"/>
          <w:sz w:val="21"/>
          <w:szCs w:val="21"/>
          <w:highlight w:val="none"/>
        </w:rPr>
        <w:t>委托授权范围的，</w:t>
      </w:r>
      <w:r>
        <w:rPr>
          <w:rFonts w:hint="eastAsia" w:hAnsi="宋体" w:eastAsia="宋体" w:cs="宋体"/>
          <w:color w:val="auto"/>
          <w:kern w:val="0"/>
          <w:sz w:val="21"/>
          <w:szCs w:val="21"/>
          <w:highlight w:val="none"/>
          <w:lang w:eastAsia="zh-CN"/>
        </w:rPr>
        <w:t>采购代理机构</w:t>
      </w:r>
      <w:r>
        <w:rPr>
          <w:rFonts w:hint="eastAsia" w:hAnsi="宋体" w:eastAsia="宋体" w:cs="宋体"/>
          <w:color w:val="auto"/>
          <w:kern w:val="0"/>
          <w:sz w:val="21"/>
          <w:szCs w:val="21"/>
          <w:highlight w:val="none"/>
        </w:rPr>
        <w:t>应当告知供应商向采购人提出。政府采购评审专家应当配合采购人或者</w:t>
      </w:r>
      <w:r>
        <w:rPr>
          <w:rFonts w:hint="eastAsia" w:hAnsi="宋体" w:eastAsia="宋体" w:cs="宋体"/>
          <w:color w:val="auto"/>
          <w:kern w:val="0"/>
          <w:sz w:val="21"/>
          <w:szCs w:val="21"/>
          <w:highlight w:val="none"/>
          <w:lang w:eastAsia="zh-CN"/>
        </w:rPr>
        <w:t>采购代理机构</w:t>
      </w:r>
      <w:r>
        <w:rPr>
          <w:rFonts w:hint="eastAsia" w:hAnsi="宋体" w:eastAsia="宋体" w:cs="宋体"/>
          <w:color w:val="auto"/>
          <w:kern w:val="0"/>
          <w:sz w:val="21"/>
          <w:szCs w:val="21"/>
          <w:highlight w:val="none"/>
        </w:rPr>
        <w:t>答复供应商的询问和质疑。</w:t>
      </w:r>
    </w:p>
    <w:p w14:paraId="3A557178">
      <w:pPr>
        <w:pStyle w:val="13"/>
        <w:snapToGrid w:val="0"/>
        <w:spacing w:line="360" w:lineRule="auto"/>
        <w:ind w:firstLine="420" w:firstLineChars="200"/>
        <w:outlineLvl w:val="9"/>
        <w:rPr>
          <w:rFonts w:hAnsi="宋体" w:eastAsia="宋体" w:cs="宋体"/>
          <w:color w:val="auto"/>
          <w:kern w:val="0"/>
          <w:sz w:val="21"/>
          <w:szCs w:val="21"/>
          <w:highlight w:val="none"/>
        </w:rPr>
      </w:pPr>
      <w:r>
        <w:rPr>
          <w:rFonts w:hint="eastAsia" w:hAnsi="宋体" w:eastAsia="宋体" w:cs="宋体"/>
          <w:color w:val="auto"/>
          <w:kern w:val="0"/>
          <w:sz w:val="21"/>
          <w:szCs w:val="21"/>
          <w:highlight w:val="none"/>
        </w:rPr>
        <w:t>4、质疑供应商对采购人、</w:t>
      </w:r>
      <w:r>
        <w:rPr>
          <w:rFonts w:hint="eastAsia" w:hAnsi="宋体" w:eastAsia="宋体" w:cs="宋体"/>
          <w:color w:val="auto"/>
          <w:kern w:val="0"/>
          <w:sz w:val="21"/>
          <w:szCs w:val="21"/>
          <w:highlight w:val="none"/>
          <w:lang w:eastAsia="zh-CN"/>
        </w:rPr>
        <w:t>采购代理机构</w:t>
      </w:r>
      <w:r>
        <w:rPr>
          <w:rFonts w:hint="eastAsia" w:hAnsi="宋体" w:eastAsia="宋体" w:cs="宋体"/>
          <w:color w:val="auto"/>
          <w:kern w:val="0"/>
          <w:sz w:val="21"/>
          <w:szCs w:val="21"/>
          <w:highlight w:val="none"/>
        </w:rPr>
        <w:t>的答复不满意或者采购人、</w:t>
      </w:r>
      <w:r>
        <w:rPr>
          <w:rFonts w:hint="eastAsia" w:hAnsi="宋体" w:eastAsia="宋体" w:cs="宋体"/>
          <w:color w:val="auto"/>
          <w:kern w:val="0"/>
          <w:sz w:val="21"/>
          <w:szCs w:val="21"/>
          <w:highlight w:val="none"/>
          <w:lang w:eastAsia="zh-CN"/>
        </w:rPr>
        <w:t>采购代理机构</w:t>
      </w:r>
      <w:r>
        <w:rPr>
          <w:rFonts w:hint="eastAsia" w:hAnsi="宋体" w:eastAsia="宋体" w:cs="宋体"/>
          <w:color w:val="auto"/>
          <w:kern w:val="0"/>
          <w:sz w:val="21"/>
          <w:szCs w:val="21"/>
          <w:highlight w:val="none"/>
        </w:rPr>
        <w:t>未在规定的时间内作出答复的，可以在答复期满后</w:t>
      </w:r>
      <w:r>
        <w:rPr>
          <w:rFonts w:hint="eastAsia" w:hAnsi="宋体" w:eastAsia="宋体" w:cs="宋体"/>
          <w:color w:val="auto"/>
          <w:kern w:val="0"/>
          <w:sz w:val="21"/>
          <w:szCs w:val="21"/>
          <w:highlight w:val="none"/>
          <w:lang w:val="en-US" w:eastAsia="zh-CN"/>
        </w:rPr>
        <w:t>15</w:t>
      </w:r>
      <w:r>
        <w:rPr>
          <w:rFonts w:hint="eastAsia" w:hAnsi="宋体" w:eastAsia="宋体" w:cs="宋体"/>
          <w:color w:val="auto"/>
          <w:kern w:val="0"/>
          <w:sz w:val="21"/>
          <w:szCs w:val="21"/>
          <w:highlight w:val="none"/>
        </w:rPr>
        <w:t>个工作日内向同级政府采购监督管理部门投诉。</w:t>
      </w:r>
    </w:p>
    <w:p w14:paraId="13E62DFD">
      <w:pPr>
        <w:pStyle w:val="13"/>
        <w:snapToGrid w:val="0"/>
        <w:spacing w:line="360" w:lineRule="auto"/>
        <w:ind w:firstLine="420" w:firstLineChars="200"/>
        <w:outlineLvl w:val="9"/>
        <w:rPr>
          <w:rFonts w:hAnsi="宋体" w:eastAsia="宋体" w:cs="宋体"/>
          <w:b/>
          <w:color w:val="auto"/>
          <w:kern w:val="0"/>
          <w:sz w:val="21"/>
          <w:szCs w:val="21"/>
          <w:highlight w:val="none"/>
        </w:rPr>
      </w:pPr>
      <w:r>
        <w:rPr>
          <w:rFonts w:hint="eastAsia" w:hAnsi="宋体" w:eastAsia="宋体" w:cs="宋体"/>
          <w:color w:val="auto"/>
          <w:kern w:val="0"/>
          <w:sz w:val="21"/>
          <w:szCs w:val="21"/>
          <w:highlight w:val="none"/>
        </w:rPr>
        <w:t>5、供应商质疑、投诉应当有明确的请求和必要的证明材料。供应商投诉的事项不得超出已质疑事项的范围。投诉人捏造事实、提供虚假材料或者以非法手段取得证明材料进行投诉的，财政部门应当予以驳回。财政部门受理投诉后，投诉人书面申请撤回投诉的，财政部门应当终止投诉处理程序。</w:t>
      </w:r>
    </w:p>
    <w:p w14:paraId="01EC5AEF">
      <w:pPr>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w:t>
      </w:r>
      <w:r>
        <w:rPr>
          <w:rFonts w:hint="eastAsia" w:ascii="宋体" w:hAnsi="宋体" w:cs="宋体"/>
          <w:b/>
          <w:bCs/>
          <w:color w:val="auto"/>
          <w:szCs w:val="21"/>
          <w:highlight w:val="none"/>
          <w:lang w:eastAsia="zh-CN"/>
        </w:rPr>
        <w:t>九</w:t>
      </w:r>
      <w:r>
        <w:rPr>
          <w:rFonts w:hint="eastAsia" w:ascii="宋体" w:hAnsi="宋体" w:cs="宋体"/>
          <w:b/>
          <w:bCs/>
          <w:color w:val="auto"/>
          <w:szCs w:val="21"/>
          <w:highlight w:val="none"/>
        </w:rPr>
        <w:t>）信贷政策</w:t>
      </w:r>
    </w:p>
    <w:p w14:paraId="5B44F062">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6"/>
        <w:gridCol w:w="4224"/>
        <w:gridCol w:w="1387"/>
        <w:gridCol w:w="1590"/>
      </w:tblGrid>
      <w:tr w14:paraId="6339C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7" w:type="dxa"/>
            <w:gridSpan w:val="4"/>
            <w:noWrap w:val="0"/>
            <w:vAlign w:val="center"/>
          </w:tcPr>
          <w:p w14:paraId="176FEAFA">
            <w:pPr>
              <w:pStyle w:val="96"/>
              <w:keepNext w:val="0"/>
              <w:keepLines w:val="0"/>
              <w:suppressLineNumbers w:val="0"/>
              <w:spacing w:before="0" w:beforeAutospacing="0" w:after="0" w:afterAutospacing="0"/>
              <w:ind w:left="0" w:right="0"/>
              <w:rPr>
                <w:rFonts w:hint="default" w:cs="宋体"/>
                <w:color w:val="auto"/>
                <w:kern w:val="2"/>
                <w:sz w:val="21"/>
                <w:szCs w:val="21"/>
              </w:rPr>
            </w:pPr>
            <w:r>
              <w:rPr>
                <w:rFonts w:hint="eastAsia" w:cs="宋体"/>
                <w:color w:val="auto"/>
                <w:kern w:val="2"/>
                <w:sz w:val="21"/>
                <w:szCs w:val="21"/>
              </w:rPr>
              <w:t>舟山市政府采购信用融资合作银行</w:t>
            </w:r>
          </w:p>
        </w:tc>
      </w:tr>
      <w:tr w14:paraId="12B23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696" w:type="dxa"/>
            <w:noWrap w:val="0"/>
            <w:vAlign w:val="center"/>
          </w:tcPr>
          <w:p w14:paraId="460FCF93">
            <w:pPr>
              <w:pStyle w:val="96"/>
              <w:keepNext w:val="0"/>
              <w:keepLines w:val="0"/>
              <w:suppressLineNumbers w:val="0"/>
              <w:spacing w:before="0" w:beforeAutospacing="0" w:after="0" w:afterAutospacing="0"/>
              <w:ind w:left="0" w:right="0"/>
              <w:rPr>
                <w:rFonts w:hint="default" w:cs="宋体"/>
                <w:color w:val="auto"/>
                <w:sz w:val="21"/>
                <w:szCs w:val="21"/>
              </w:rPr>
            </w:pPr>
            <w:r>
              <w:rPr>
                <w:rFonts w:hint="eastAsia" w:cs="宋体"/>
                <w:color w:val="auto"/>
                <w:sz w:val="21"/>
                <w:szCs w:val="21"/>
              </w:rPr>
              <w:t>银行名称</w:t>
            </w:r>
          </w:p>
        </w:tc>
        <w:tc>
          <w:tcPr>
            <w:tcW w:w="4224" w:type="dxa"/>
            <w:noWrap w:val="0"/>
            <w:vAlign w:val="center"/>
          </w:tcPr>
          <w:p w14:paraId="0FE59C58">
            <w:pPr>
              <w:pStyle w:val="96"/>
              <w:keepNext w:val="0"/>
              <w:keepLines w:val="0"/>
              <w:suppressLineNumbers w:val="0"/>
              <w:spacing w:before="0" w:beforeAutospacing="0" w:after="0" w:afterAutospacing="0"/>
              <w:ind w:left="0" w:right="0"/>
              <w:rPr>
                <w:rFonts w:hint="default" w:cs="宋体"/>
                <w:color w:val="auto"/>
                <w:sz w:val="21"/>
                <w:szCs w:val="21"/>
              </w:rPr>
            </w:pPr>
            <w:r>
              <w:rPr>
                <w:rFonts w:hint="eastAsia" w:cs="宋体"/>
                <w:color w:val="auto"/>
                <w:sz w:val="21"/>
                <w:szCs w:val="21"/>
              </w:rPr>
              <w:t>产品特点</w:t>
            </w:r>
          </w:p>
        </w:tc>
        <w:tc>
          <w:tcPr>
            <w:tcW w:w="1387" w:type="dxa"/>
            <w:noWrap w:val="0"/>
            <w:vAlign w:val="center"/>
          </w:tcPr>
          <w:p w14:paraId="0D13638F">
            <w:pPr>
              <w:pStyle w:val="96"/>
              <w:keepNext w:val="0"/>
              <w:keepLines w:val="0"/>
              <w:suppressLineNumbers w:val="0"/>
              <w:spacing w:before="0" w:beforeAutospacing="0" w:after="0" w:afterAutospacing="0"/>
              <w:ind w:left="0" w:right="0"/>
              <w:rPr>
                <w:rFonts w:hint="default" w:cs="宋体"/>
                <w:color w:val="auto"/>
                <w:sz w:val="21"/>
                <w:szCs w:val="21"/>
              </w:rPr>
            </w:pPr>
            <w:r>
              <w:rPr>
                <w:rFonts w:hint="eastAsia" w:cs="宋体"/>
                <w:color w:val="auto"/>
                <w:sz w:val="21"/>
                <w:szCs w:val="21"/>
              </w:rPr>
              <w:t>经办人</w:t>
            </w:r>
          </w:p>
        </w:tc>
        <w:tc>
          <w:tcPr>
            <w:tcW w:w="1590" w:type="dxa"/>
            <w:noWrap w:val="0"/>
            <w:vAlign w:val="center"/>
          </w:tcPr>
          <w:p w14:paraId="72F50651">
            <w:pPr>
              <w:pStyle w:val="96"/>
              <w:keepNext w:val="0"/>
              <w:keepLines w:val="0"/>
              <w:suppressLineNumbers w:val="0"/>
              <w:spacing w:before="0" w:beforeAutospacing="0" w:after="0" w:afterAutospacing="0"/>
              <w:ind w:left="0" w:right="0"/>
              <w:rPr>
                <w:rFonts w:hint="default" w:cs="宋体"/>
                <w:color w:val="auto"/>
                <w:kern w:val="2"/>
                <w:sz w:val="21"/>
                <w:szCs w:val="21"/>
              </w:rPr>
            </w:pPr>
            <w:r>
              <w:rPr>
                <w:rFonts w:hint="eastAsia" w:cs="宋体"/>
                <w:color w:val="auto"/>
                <w:kern w:val="2"/>
                <w:sz w:val="21"/>
                <w:szCs w:val="21"/>
              </w:rPr>
              <w:t>联系方式</w:t>
            </w:r>
          </w:p>
        </w:tc>
      </w:tr>
      <w:tr w14:paraId="3830C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96" w:type="dxa"/>
            <w:noWrap w:val="0"/>
            <w:vAlign w:val="center"/>
          </w:tcPr>
          <w:p w14:paraId="185E6AD2">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中国工商银行股份有限公司舟山分行</w:t>
            </w:r>
          </w:p>
        </w:tc>
        <w:tc>
          <w:tcPr>
            <w:tcW w:w="4224" w:type="dxa"/>
            <w:noWrap w:val="0"/>
            <w:vAlign w:val="top"/>
          </w:tcPr>
          <w:p w14:paraId="20764975">
            <w:pPr>
              <w:keepNext w:val="0"/>
              <w:keepLines w:val="0"/>
              <w:numPr>
                <w:ilvl w:val="0"/>
                <w:numId w:val="2"/>
              </w:numPr>
              <w:suppressLineNumbers w:val="0"/>
              <w:spacing w:before="0" w:beforeAutospacing="0" w:after="0" w:afterAutospacing="0" w:line="400" w:lineRule="exact"/>
              <w:ind w:left="0" w:right="0"/>
              <w:contextualSpacing/>
              <w:rPr>
                <w:rFonts w:hint="default" w:ascii="宋体" w:hAnsi="宋体" w:cs="仿宋_GB2312"/>
                <w:color w:val="auto"/>
                <w:szCs w:val="20"/>
              </w:rPr>
            </w:pPr>
            <w:r>
              <w:rPr>
                <w:rFonts w:hint="eastAsia" w:ascii="宋体" w:hAnsi="宋体" w:cs="仿宋_GB2312"/>
                <w:color w:val="auto"/>
                <w:szCs w:val="20"/>
              </w:rPr>
              <w:t>融资额度高，融资金额最高可至订单金额70%，线上申请，随借随还。2.融资利率低，最低可至当期LPR利率。</w:t>
            </w:r>
          </w:p>
          <w:p w14:paraId="7A711D4C">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s="仿宋_GB2312"/>
                <w:color w:val="auto"/>
                <w:szCs w:val="20"/>
              </w:rPr>
              <w:t>3.担保方式灵活，以政府采购合同进行融资，无需另外抵押。</w:t>
            </w:r>
          </w:p>
        </w:tc>
        <w:tc>
          <w:tcPr>
            <w:tcW w:w="1387" w:type="dxa"/>
            <w:noWrap w:val="0"/>
            <w:vAlign w:val="center"/>
          </w:tcPr>
          <w:p w14:paraId="0FB745D0">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柳超颖</w:t>
            </w:r>
          </w:p>
        </w:tc>
        <w:tc>
          <w:tcPr>
            <w:tcW w:w="1590" w:type="dxa"/>
            <w:noWrap w:val="0"/>
            <w:vAlign w:val="center"/>
          </w:tcPr>
          <w:p w14:paraId="473982EF">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0580-2166242, 15858076468</w:t>
            </w:r>
          </w:p>
        </w:tc>
      </w:tr>
      <w:tr w14:paraId="02B55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696" w:type="dxa"/>
            <w:noWrap w:val="0"/>
            <w:vAlign w:val="center"/>
          </w:tcPr>
          <w:p w14:paraId="4CE83045">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中国建设银行股份有限公司舟山分行</w:t>
            </w:r>
          </w:p>
        </w:tc>
        <w:tc>
          <w:tcPr>
            <w:tcW w:w="4224" w:type="dxa"/>
            <w:noWrap w:val="0"/>
            <w:vAlign w:val="top"/>
          </w:tcPr>
          <w:p w14:paraId="52C773F3">
            <w:pPr>
              <w:keepNext w:val="0"/>
              <w:keepLines w:val="0"/>
              <w:numPr>
                <w:ilvl w:val="0"/>
                <w:numId w:val="3"/>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快速便捷：全流程线上操作，通过浙江省政府采购网数据审核信用额度，建行供应链平台快速放款。</w:t>
            </w:r>
          </w:p>
          <w:p w14:paraId="6B055845">
            <w:pPr>
              <w:keepNext w:val="0"/>
              <w:keepLines w:val="0"/>
              <w:numPr>
                <w:ilvl w:val="0"/>
                <w:numId w:val="3"/>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申请额度高：单笔融资额度最高可达政府采购合同金额的90%，单户额度最高可达3000万。</w:t>
            </w:r>
          </w:p>
          <w:p w14:paraId="287755B8">
            <w:pPr>
              <w:keepNext w:val="0"/>
              <w:keepLines w:val="0"/>
              <w:numPr>
                <w:ilvl w:val="0"/>
                <w:numId w:val="3"/>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无需额外抵押：以浙江省政府采购网备案公示的政府采购合同进行融资，无需额外抵押担保。</w:t>
            </w:r>
          </w:p>
          <w:p w14:paraId="0DEB4467">
            <w:pPr>
              <w:keepNext w:val="0"/>
              <w:keepLines w:val="0"/>
              <w:numPr>
                <w:ilvl w:val="0"/>
                <w:numId w:val="3"/>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利率优惠：给予流动资金贷款最优惠利率。</w:t>
            </w:r>
          </w:p>
        </w:tc>
        <w:tc>
          <w:tcPr>
            <w:tcW w:w="1387" w:type="dxa"/>
            <w:noWrap w:val="0"/>
            <w:vAlign w:val="center"/>
          </w:tcPr>
          <w:p w14:paraId="7C7A9D47">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普陀片区：</w:t>
            </w:r>
          </w:p>
          <w:p w14:paraId="477FEC77">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蔡妮妮</w:t>
            </w:r>
          </w:p>
          <w:p w14:paraId="76303BE2">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定海片区：</w:t>
            </w:r>
          </w:p>
          <w:p w14:paraId="436B3C82">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杨莹</w:t>
            </w:r>
          </w:p>
          <w:p w14:paraId="14C04329">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自贸区片区：方晓</w:t>
            </w:r>
          </w:p>
        </w:tc>
        <w:tc>
          <w:tcPr>
            <w:tcW w:w="1590" w:type="dxa"/>
            <w:noWrap w:val="0"/>
            <w:vAlign w:val="center"/>
          </w:tcPr>
          <w:p w14:paraId="68EC0184">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普陀片区：13957201791</w:t>
            </w:r>
          </w:p>
          <w:p w14:paraId="577EFC6C">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定海片区：13655803997</w:t>
            </w:r>
          </w:p>
          <w:p w14:paraId="563EB6A1">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自贸区片区：13587086324</w:t>
            </w:r>
          </w:p>
        </w:tc>
      </w:tr>
      <w:tr w14:paraId="5ACD4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96" w:type="dxa"/>
            <w:noWrap w:val="0"/>
            <w:vAlign w:val="center"/>
          </w:tcPr>
          <w:p w14:paraId="31533791">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杭州银行股份有限公司舟山市分行</w:t>
            </w:r>
          </w:p>
        </w:tc>
        <w:tc>
          <w:tcPr>
            <w:tcW w:w="4224" w:type="dxa"/>
            <w:noWrap w:val="0"/>
            <w:vAlign w:val="top"/>
          </w:tcPr>
          <w:p w14:paraId="20B964C4">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1387" w:type="dxa"/>
            <w:noWrap w:val="0"/>
            <w:vAlign w:val="center"/>
          </w:tcPr>
          <w:p w14:paraId="16E1A5E7">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方经理</w:t>
            </w:r>
          </w:p>
        </w:tc>
        <w:tc>
          <w:tcPr>
            <w:tcW w:w="1590" w:type="dxa"/>
            <w:noWrap w:val="0"/>
            <w:vAlign w:val="center"/>
          </w:tcPr>
          <w:p w14:paraId="5C6C1D4F">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0580-2185201，18205800451</w:t>
            </w:r>
          </w:p>
        </w:tc>
      </w:tr>
      <w:tr w14:paraId="47EA5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96" w:type="dxa"/>
            <w:noWrap w:val="0"/>
            <w:vAlign w:val="center"/>
          </w:tcPr>
          <w:p w14:paraId="6148969A">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招商银行股份有限公司浙江自贸试验区舟山分行</w:t>
            </w:r>
          </w:p>
        </w:tc>
        <w:tc>
          <w:tcPr>
            <w:tcW w:w="4224" w:type="dxa"/>
            <w:noWrap w:val="0"/>
            <w:vAlign w:val="top"/>
          </w:tcPr>
          <w:p w14:paraId="684008B7">
            <w:pPr>
              <w:keepNext w:val="0"/>
              <w:keepLines w:val="0"/>
              <w:suppressLineNumbers w:val="0"/>
              <w:spacing w:before="0" w:beforeAutospacing="0" w:after="0" w:afterAutospacing="0" w:line="400" w:lineRule="exact"/>
              <w:ind w:left="0" w:right="0"/>
              <w:rPr>
                <w:rFonts w:hint="default" w:ascii="宋体" w:hAnsi="宋体"/>
                <w:color w:val="auto"/>
                <w:szCs w:val="20"/>
              </w:rPr>
            </w:pPr>
            <w:r>
              <w:rPr>
                <w:rFonts w:hint="eastAsia" w:ascii="宋体" w:hAnsi="宋体" w:cs="仿宋_GB2312"/>
                <w:color w:val="auto"/>
                <w:szCs w:val="20"/>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1387" w:type="dxa"/>
            <w:noWrap w:val="0"/>
            <w:vAlign w:val="center"/>
          </w:tcPr>
          <w:p w14:paraId="43AD51A9">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李玲</w:t>
            </w:r>
          </w:p>
        </w:tc>
        <w:tc>
          <w:tcPr>
            <w:tcW w:w="1590" w:type="dxa"/>
            <w:noWrap w:val="0"/>
            <w:vAlign w:val="center"/>
          </w:tcPr>
          <w:p w14:paraId="69D4221B">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0580-2061710，13957227971</w:t>
            </w:r>
          </w:p>
        </w:tc>
      </w:tr>
      <w:tr w14:paraId="5A115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696" w:type="dxa"/>
            <w:noWrap w:val="0"/>
            <w:vAlign w:val="center"/>
          </w:tcPr>
          <w:p w14:paraId="69D82850">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温州银行股份有限公司舟山市分行</w:t>
            </w:r>
          </w:p>
        </w:tc>
        <w:tc>
          <w:tcPr>
            <w:tcW w:w="4224" w:type="dxa"/>
            <w:noWrap w:val="0"/>
            <w:vAlign w:val="top"/>
          </w:tcPr>
          <w:p w14:paraId="22F69AC5">
            <w:pPr>
              <w:keepNext w:val="0"/>
              <w:keepLines w:val="0"/>
              <w:numPr>
                <w:ilvl w:val="0"/>
                <w:numId w:val="4"/>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单户授信敞口最高不超过1000万元，且最高额度核定一般不超过借款人（含实际控制人控制的其他经营实体）最近13个月合计有效中标合同金额的70%。</w:t>
            </w:r>
          </w:p>
          <w:p w14:paraId="0562C35C">
            <w:pPr>
              <w:keepNext w:val="0"/>
              <w:keepLines w:val="0"/>
              <w:numPr>
                <w:ilvl w:val="0"/>
                <w:numId w:val="4"/>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单笔借款额度最高不超过1000万元，单笔业务授信额度不超过“政采云平台”提供的中标通知书承载的中标金额或本次申请授信提供的采购合同金额的80%，且用信金额不超过采购合同未付金额的80%。</w:t>
            </w:r>
          </w:p>
          <w:p w14:paraId="6658AB52">
            <w:pPr>
              <w:keepNext w:val="0"/>
              <w:keepLines w:val="0"/>
              <w:numPr>
                <w:ilvl w:val="0"/>
                <w:numId w:val="4"/>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借款人中标采购人自行采购项目并向我行发起授信申请的，单笔业务授信敞口不超500万元，且不超过借款人中标通知书承载的中标金额或本次申请授信提供的采购合同的80%。</w:t>
            </w:r>
          </w:p>
          <w:p w14:paraId="68DC1C79">
            <w:pPr>
              <w:keepNext w:val="0"/>
              <w:keepLines w:val="0"/>
              <w:numPr>
                <w:ilvl w:val="0"/>
                <w:numId w:val="4"/>
              </w:numPr>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符合我行采购人资质的，且负债率不超75%，配合应收账款质押登记确认的，并可出具确认函，单笔借款额度可按不超过采购合同的90%办理。</w:t>
            </w:r>
          </w:p>
        </w:tc>
        <w:tc>
          <w:tcPr>
            <w:tcW w:w="1387" w:type="dxa"/>
            <w:noWrap w:val="0"/>
            <w:vAlign w:val="center"/>
          </w:tcPr>
          <w:p w14:paraId="4F638C58">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郑贤栋</w:t>
            </w:r>
          </w:p>
        </w:tc>
        <w:tc>
          <w:tcPr>
            <w:tcW w:w="1590" w:type="dxa"/>
            <w:noWrap w:val="0"/>
            <w:vAlign w:val="center"/>
          </w:tcPr>
          <w:p w14:paraId="3E7611A6">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058—8866086</w:t>
            </w:r>
          </w:p>
        </w:tc>
      </w:tr>
      <w:tr w14:paraId="2B4A1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96" w:type="dxa"/>
            <w:noWrap w:val="0"/>
            <w:vAlign w:val="center"/>
          </w:tcPr>
          <w:p w14:paraId="2D782D24">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交通银行股份有限公司舟山分行</w:t>
            </w:r>
          </w:p>
        </w:tc>
        <w:tc>
          <w:tcPr>
            <w:tcW w:w="4224" w:type="dxa"/>
            <w:noWrap w:val="0"/>
            <w:vAlign w:val="top"/>
          </w:tcPr>
          <w:p w14:paraId="53148BB4">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s="仿宋_GB2312"/>
                <w:color w:val="auto"/>
                <w:szCs w:val="20"/>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color w:val="auto"/>
                <w:szCs w:val="20"/>
              </w:rPr>
              <w:t>PR</w:t>
            </w:r>
            <w:r>
              <w:rPr>
                <w:rFonts w:hint="default" w:ascii="宋体" w:hAnsi="宋体"/>
                <w:color w:val="auto"/>
                <w:szCs w:val="20"/>
              </w:rPr>
              <w:t>。</w:t>
            </w:r>
          </w:p>
        </w:tc>
        <w:tc>
          <w:tcPr>
            <w:tcW w:w="1387" w:type="dxa"/>
            <w:noWrap w:val="0"/>
            <w:vAlign w:val="center"/>
          </w:tcPr>
          <w:p w14:paraId="40BF489A">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赵争艳</w:t>
            </w:r>
          </w:p>
        </w:tc>
        <w:tc>
          <w:tcPr>
            <w:tcW w:w="1590" w:type="dxa"/>
            <w:noWrap w:val="0"/>
            <w:vAlign w:val="center"/>
          </w:tcPr>
          <w:p w14:paraId="4C3596AB">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0580-2260728</w:t>
            </w:r>
          </w:p>
          <w:p w14:paraId="0AC6C3C7">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13758007280</w:t>
            </w:r>
          </w:p>
        </w:tc>
      </w:tr>
      <w:tr w14:paraId="3325F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696" w:type="dxa"/>
            <w:noWrap w:val="0"/>
            <w:vAlign w:val="center"/>
          </w:tcPr>
          <w:p w14:paraId="01040E1D">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中信银行股份有限公司舟山分行</w:t>
            </w:r>
          </w:p>
        </w:tc>
        <w:tc>
          <w:tcPr>
            <w:tcW w:w="4224" w:type="dxa"/>
            <w:noWrap w:val="0"/>
            <w:vAlign w:val="top"/>
          </w:tcPr>
          <w:p w14:paraId="354C7E12">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1387" w:type="dxa"/>
            <w:noWrap w:val="0"/>
            <w:vAlign w:val="center"/>
          </w:tcPr>
          <w:p w14:paraId="05F1539C">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default" w:ascii="宋体" w:hAnsi="宋体"/>
                <w:color w:val="auto"/>
                <w:szCs w:val="20"/>
              </w:rPr>
              <w:t>黄丽</w:t>
            </w:r>
          </w:p>
        </w:tc>
        <w:tc>
          <w:tcPr>
            <w:tcW w:w="1590" w:type="dxa"/>
            <w:noWrap w:val="0"/>
            <w:vAlign w:val="center"/>
          </w:tcPr>
          <w:p w14:paraId="69957090">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default" w:ascii="宋体" w:hAnsi="宋体"/>
                <w:color w:val="auto"/>
                <w:szCs w:val="20"/>
              </w:rPr>
              <w:t>13905808032</w:t>
            </w:r>
          </w:p>
        </w:tc>
      </w:tr>
      <w:tr w14:paraId="01107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696" w:type="dxa"/>
            <w:noWrap w:val="0"/>
            <w:vAlign w:val="center"/>
          </w:tcPr>
          <w:p w14:paraId="7FA36B69">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泰隆银行舟山市分行</w:t>
            </w:r>
          </w:p>
        </w:tc>
        <w:tc>
          <w:tcPr>
            <w:tcW w:w="4224" w:type="dxa"/>
            <w:noWrap w:val="0"/>
            <w:vAlign w:val="top"/>
          </w:tcPr>
          <w:p w14:paraId="1583292A">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1387" w:type="dxa"/>
            <w:noWrap w:val="0"/>
            <w:vAlign w:val="center"/>
          </w:tcPr>
          <w:p w14:paraId="2D996A28">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胡亢宇</w:t>
            </w:r>
          </w:p>
        </w:tc>
        <w:tc>
          <w:tcPr>
            <w:tcW w:w="1590" w:type="dxa"/>
            <w:noWrap w:val="0"/>
            <w:vAlign w:val="center"/>
          </w:tcPr>
          <w:p w14:paraId="5EBFFF46">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17605868703</w:t>
            </w:r>
          </w:p>
        </w:tc>
      </w:tr>
      <w:tr w14:paraId="55286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696" w:type="dxa"/>
            <w:noWrap w:val="0"/>
            <w:vAlign w:val="center"/>
          </w:tcPr>
          <w:p w14:paraId="00CE7A44">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中国农业银行股份有限公司舟山分行</w:t>
            </w:r>
          </w:p>
        </w:tc>
        <w:tc>
          <w:tcPr>
            <w:tcW w:w="4224" w:type="dxa"/>
            <w:noWrap w:val="0"/>
            <w:vAlign w:val="top"/>
          </w:tcPr>
          <w:p w14:paraId="6B145484">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1387" w:type="dxa"/>
            <w:noWrap w:val="0"/>
            <w:vAlign w:val="center"/>
          </w:tcPr>
          <w:p w14:paraId="391CDE62">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苏华瞻</w:t>
            </w:r>
          </w:p>
        </w:tc>
        <w:tc>
          <w:tcPr>
            <w:tcW w:w="1590" w:type="dxa"/>
            <w:noWrap w:val="0"/>
            <w:vAlign w:val="center"/>
          </w:tcPr>
          <w:p w14:paraId="00826A89">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13967228926</w:t>
            </w:r>
          </w:p>
        </w:tc>
      </w:tr>
      <w:tr w14:paraId="45F59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696" w:type="dxa"/>
            <w:noWrap w:val="0"/>
            <w:vAlign w:val="center"/>
          </w:tcPr>
          <w:p w14:paraId="11A627EB">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中国邮政储蓄银行股份有限公司舟山市分行</w:t>
            </w:r>
          </w:p>
        </w:tc>
        <w:tc>
          <w:tcPr>
            <w:tcW w:w="4224" w:type="dxa"/>
            <w:noWrap w:val="0"/>
            <w:vAlign w:val="top"/>
          </w:tcPr>
          <w:p w14:paraId="561C511D">
            <w:pPr>
              <w:keepNext w:val="0"/>
              <w:keepLines w:val="0"/>
              <w:suppressLineNumbers w:val="0"/>
              <w:tabs>
                <w:tab w:val="left" w:pos="0"/>
              </w:tabs>
              <w:spacing w:before="0" w:beforeAutospacing="0" w:after="0" w:afterAutospacing="0" w:line="400" w:lineRule="exact"/>
              <w:ind w:left="0" w:right="0"/>
              <w:rPr>
                <w:rFonts w:hint="default" w:ascii="宋体" w:hAnsi="宋体"/>
                <w:color w:val="auto"/>
                <w:szCs w:val="20"/>
              </w:rPr>
            </w:pPr>
            <w:r>
              <w:rPr>
                <w:rFonts w:hint="eastAsia" w:ascii="宋体" w:hAnsi="宋体"/>
                <w:color w:val="auto"/>
                <w:szCs w:val="20"/>
              </w:rPr>
              <w:t>符合我行基本准入，授信额度使用期最高为2年，单户授信最高为500万，担保方式享受信用贷款执行，利率最低可至当期LPR ，有无还本续贷，12月份线上产品可以自主自贷。</w:t>
            </w:r>
          </w:p>
        </w:tc>
        <w:tc>
          <w:tcPr>
            <w:tcW w:w="1387" w:type="dxa"/>
            <w:noWrap w:val="0"/>
            <w:vAlign w:val="center"/>
          </w:tcPr>
          <w:p w14:paraId="180B4D41">
            <w:pPr>
              <w:keepNext w:val="0"/>
              <w:keepLines w:val="0"/>
              <w:suppressLineNumbers w:val="0"/>
              <w:spacing w:before="0" w:beforeAutospacing="0" w:after="0" w:afterAutospacing="0" w:line="400" w:lineRule="exact"/>
              <w:ind w:left="0" w:right="0"/>
              <w:contextualSpacing/>
              <w:jc w:val="center"/>
              <w:rPr>
                <w:rFonts w:hint="default" w:ascii="宋体" w:hAnsi="宋体"/>
                <w:color w:val="auto"/>
                <w:szCs w:val="20"/>
              </w:rPr>
            </w:pPr>
            <w:r>
              <w:rPr>
                <w:rFonts w:hint="eastAsia" w:ascii="宋体" w:hAnsi="宋体"/>
                <w:color w:val="auto"/>
                <w:szCs w:val="20"/>
              </w:rPr>
              <w:t>蒋志燕</w:t>
            </w:r>
          </w:p>
        </w:tc>
        <w:tc>
          <w:tcPr>
            <w:tcW w:w="1590" w:type="dxa"/>
            <w:noWrap w:val="0"/>
            <w:vAlign w:val="center"/>
          </w:tcPr>
          <w:p w14:paraId="06FFC878">
            <w:pPr>
              <w:keepNext w:val="0"/>
              <w:keepLines w:val="0"/>
              <w:suppressLineNumbers w:val="0"/>
              <w:spacing w:before="0" w:beforeAutospacing="0" w:after="0" w:afterAutospacing="0" w:line="400" w:lineRule="exact"/>
              <w:ind w:left="0" w:right="0"/>
              <w:contextualSpacing/>
              <w:rPr>
                <w:rFonts w:hint="default" w:ascii="宋体" w:hAnsi="宋体"/>
                <w:color w:val="auto"/>
                <w:szCs w:val="20"/>
              </w:rPr>
            </w:pPr>
            <w:r>
              <w:rPr>
                <w:rFonts w:hint="eastAsia" w:ascii="宋体" w:hAnsi="宋体"/>
                <w:color w:val="auto"/>
                <w:szCs w:val="20"/>
              </w:rPr>
              <w:t>13732527321</w:t>
            </w:r>
          </w:p>
        </w:tc>
      </w:tr>
    </w:tbl>
    <w:p w14:paraId="565C0E22">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2.一般步骤</w:t>
      </w:r>
    </w:p>
    <w:p w14:paraId="54E95C1A">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（1）供应商先与银行对接，办理融资前期手续；</w:t>
      </w:r>
    </w:p>
    <w:p w14:paraId="7A82BC33">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（2）供应商中标后，凭中标通知书等材料，向相关合作银行发出融资申请；</w:t>
      </w:r>
    </w:p>
    <w:p w14:paraId="55007E10">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（3）银行、供应商线上办理审批、放贷事宜。</w:t>
      </w:r>
    </w:p>
    <w:p w14:paraId="788729CA">
      <w:pPr>
        <w:ind w:firstLine="420"/>
        <w:rPr>
          <w:color w:val="auto"/>
        </w:rPr>
      </w:pPr>
      <w:r>
        <w:rPr>
          <w:rFonts w:hint="eastAsia" w:ascii="宋体" w:hAnsi="宋体" w:cs="宋体"/>
          <w:color w:val="auto"/>
          <w:szCs w:val="21"/>
        </w:rPr>
        <w:t>3.</w:t>
      </w:r>
      <w:r>
        <w:rPr>
          <w:rFonts w:hint="eastAsia"/>
          <w:color w:val="auto"/>
        </w:rPr>
        <w:t>注意事项</w:t>
      </w:r>
    </w:p>
    <w:p w14:paraId="1D058AF6">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（1）中标供应商需确保政府采购合同的收款账户与融资银行开户账户一致。</w:t>
      </w:r>
    </w:p>
    <w:p w14:paraId="11D885A2">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（2）用于政府采购信用融资的政府采购合同，应当包含如下条款：“第 条：政府采购合同贷款</w:t>
      </w:r>
    </w:p>
    <w:p w14:paraId="6A2AA4B4">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本合同同时用于乙方向银行（金融机构）申请政府采购信用贷款。</w:t>
      </w:r>
    </w:p>
    <w:p w14:paraId="76866E09">
      <w:pPr>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lang w:val="zh-CN"/>
        </w:rPr>
        <w:t>本合同一经签订，原则上不得更改乙方收款账户信息。确须更改的，乙方应取得原合同收款账户开户银行书面同意，否则修改后的合同不予备案，采购资金不予支付。”</w:t>
      </w:r>
    </w:p>
    <w:p w14:paraId="091479D0">
      <w:pPr>
        <w:snapToGrid w:val="0"/>
        <w:spacing w:line="276" w:lineRule="auto"/>
        <w:ind w:firstLine="422" w:firstLineChars="200"/>
        <w:jc w:val="left"/>
        <w:rPr>
          <w:rFonts w:hint="eastAsia" w:ascii="宋体" w:hAnsi="宋体" w:cs="宋体"/>
          <w:b/>
          <w:color w:val="auto"/>
          <w:szCs w:val="21"/>
        </w:rPr>
      </w:pPr>
      <w:r>
        <w:rPr>
          <w:rFonts w:hint="eastAsia" w:ascii="宋体" w:hAnsi="宋体" w:cs="宋体"/>
          <w:b/>
          <w:color w:val="auto"/>
          <w:szCs w:val="21"/>
        </w:rPr>
        <w:t>（十）舟山市博琛建设工程管理有限公司拥有本</w:t>
      </w:r>
      <w:r>
        <w:rPr>
          <w:rFonts w:hint="eastAsia" w:ascii="宋体" w:hAnsi="宋体" w:cs="宋体"/>
          <w:b/>
          <w:color w:val="auto"/>
          <w:szCs w:val="21"/>
          <w:lang w:val="en-US" w:eastAsia="zh-CN"/>
        </w:rPr>
        <w:t>磋商</w:t>
      </w:r>
      <w:r>
        <w:rPr>
          <w:rFonts w:hint="eastAsia" w:ascii="宋体" w:hAnsi="宋体" w:cs="宋体"/>
          <w:b/>
          <w:color w:val="auto"/>
          <w:szCs w:val="21"/>
        </w:rPr>
        <w:t>文件最终解释权。</w:t>
      </w:r>
    </w:p>
    <w:p w14:paraId="6ABE8280">
      <w:pPr>
        <w:snapToGrid w:val="0"/>
        <w:spacing w:line="276" w:lineRule="auto"/>
        <w:rPr>
          <w:rFonts w:hint="eastAsia" w:ascii="宋体" w:hAnsi="宋体" w:cs="宋体"/>
          <w:b/>
          <w:color w:val="auto"/>
          <w:szCs w:val="21"/>
        </w:rPr>
      </w:pPr>
    </w:p>
    <w:p w14:paraId="59C24501">
      <w:pPr>
        <w:snapToGrid w:val="0"/>
        <w:spacing w:line="360" w:lineRule="auto"/>
        <w:jc w:val="center"/>
        <w:rPr>
          <w:rFonts w:ascii="宋体" w:hAnsi="宋体" w:cs="宋体"/>
          <w:b/>
          <w:color w:val="auto"/>
          <w:szCs w:val="21"/>
          <w:highlight w:val="none"/>
        </w:rPr>
      </w:pPr>
    </w:p>
    <w:p w14:paraId="23774C90">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二、磋商文件</w:t>
      </w:r>
    </w:p>
    <w:p w14:paraId="38E3CF9E">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（一）磋商文件的构成</w:t>
      </w:r>
    </w:p>
    <w:p w14:paraId="58FEA376">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第一章  竞争性磋商公告</w:t>
      </w:r>
    </w:p>
    <w:p w14:paraId="67696B32">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第二章  采购需求</w:t>
      </w:r>
    </w:p>
    <w:p w14:paraId="2B3B2DFC">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第三章  响应人须知</w:t>
      </w:r>
    </w:p>
    <w:p w14:paraId="45D33EE3">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第四章  评标办法及标准</w:t>
      </w:r>
    </w:p>
    <w:p w14:paraId="487D1C8E">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第五章  合同主要条款</w:t>
      </w:r>
    </w:p>
    <w:p w14:paraId="2D7CC33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第六章  响应文件组成</w:t>
      </w:r>
    </w:p>
    <w:p w14:paraId="5C1D0BF6">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其他有关补充文件</w:t>
      </w:r>
    </w:p>
    <w:p w14:paraId="248C4D68">
      <w:pPr>
        <w:pStyle w:val="5"/>
        <w:widowControl w:val="0"/>
        <w:snapToGrid w:val="0"/>
        <w:spacing w:after="0" w:afterLines="0" w:line="360" w:lineRule="auto"/>
        <w:ind w:left="0" w:firstLine="422" w:firstLineChars="200"/>
        <w:jc w:val="both"/>
        <w:rPr>
          <w:rFonts w:ascii="宋体" w:hAnsi="宋体" w:cs="宋体"/>
          <w:b/>
          <w:color w:val="auto"/>
          <w:kern w:val="2"/>
          <w:sz w:val="21"/>
          <w:szCs w:val="21"/>
          <w:highlight w:val="none"/>
        </w:rPr>
      </w:pPr>
      <w:r>
        <w:rPr>
          <w:rFonts w:hint="eastAsia" w:ascii="宋体" w:hAnsi="宋体" w:cs="宋体"/>
          <w:b/>
          <w:color w:val="auto"/>
          <w:sz w:val="21"/>
          <w:szCs w:val="21"/>
          <w:highlight w:val="none"/>
        </w:rPr>
        <w:t>（</w:t>
      </w:r>
      <w:r>
        <w:rPr>
          <w:rFonts w:hint="eastAsia" w:ascii="宋体" w:hAnsi="宋体" w:cs="宋体"/>
          <w:b/>
          <w:color w:val="auto"/>
          <w:kern w:val="2"/>
          <w:sz w:val="21"/>
          <w:szCs w:val="21"/>
          <w:highlight w:val="none"/>
        </w:rPr>
        <w:t xml:space="preserve">二）磋商文件的澄清与修改 </w:t>
      </w:r>
    </w:p>
    <w:p w14:paraId="7C8452E8">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1、响应人应认真阅读本磋商文件，发现其中有误或有要求不合理的，响应人必须在</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截止前5天内以书面形式要求采购人澄清。响应人对已发出的磋商文件进行必要澄清、答复、修改或补充的，应当在磋商文件要求提交响应文件截止时间5天前，在相关的采购信息发布媒体上发布更正公告，并通知所有已购买磋商文件的潜在响应人。</w:t>
      </w:r>
    </w:p>
    <w:p w14:paraId="5C9F84FC">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2、采购人以书面形式答复响应人要求澄清的问题，并将不包含问题来源的答复书面通知所有购买磋商文件的潜在响应人；除书面答复以外的其他澄清方式及澄清内容均无效。</w:t>
      </w:r>
    </w:p>
    <w:p w14:paraId="34631F0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3、磋商文件的答复、澄清、修改、补充通知实质上改变采购需求相关内容，且自磋商文件的答复、澄清、修改、补充通知发出之日起至</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截止时间止不足5天的，采购人可视情况推迟</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截止时间和开标时间，按规定在相关的采购信息发布媒体上发布变更公告，并将变更后的时间通知所有已购买磋商文件的潜在响应人。</w:t>
      </w:r>
    </w:p>
    <w:p w14:paraId="47872430">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4、磋商文件澄清、答复、修改、补充的内容为磋商文件的组成部分。当磋商文件与磋商文件的答复、澄清、修改、补充通知就同一内容的表述不一致时，以最后发出的书面文件为准。</w:t>
      </w:r>
    </w:p>
    <w:p w14:paraId="3D275C89">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5、磋商文件的澄清、答复、修改或补充都应该通过本</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以法定形式发布，采购人非通过本</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的，不得擅自澄清、答复、修改或补充磋商文件。</w:t>
      </w:r>
    </w:p>
    <w:p w14:paraId="0C8B8E4F">
      <w:pPr>
        <w:pStyle w:val="13"/>
        <w:snapToGrid w:val="0"/>
        <w:spacing w:line="360" w:lineRule="auto"/>
        <w:ind w:firstLine="415" w:firstLineChars="198"/>
        <w:rPr>
          <w:rFonts w:hAnsi="宋体" w:eastAsia="宋体" w:cs="宋体"/>
          <w:color w:val="auto"/>
          <w:sz w:val="21"/>
          <w:szCs w:val="21"/>
          <w:highlight w:val="none"/>
        </w:rPr>
      </w:pPr>
    </w:p>
    <w:p w14:paraId="3880EB15">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三、响应文件的编制</w:t>
      </w:r>
    </w:p>
    <w:p w14:paraId="481E1094">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（一）响应文件的形式和效力</w:t>
      </w:r>
    </w:p>
    <w:p w14:paraId="488D99C7">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响应文件分为电子响应文件以及备份响应文件，备份响应文件为以介质存储的数据电文形式的响应文件。</w:t>
      </w:r>
    </w:p>
    <w:p w14:paraId="31D5D55E">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1、电子响应文件，按“政采云供应商项目采购-电子招投标操作指南”及本采购文件要求制作、加密并递交。</w:t>
      </w:r>
    </w:p>
    <w:p w14:paraId="0C9E11AA">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2、以介质存储的数据电文形式的备份响应文件，按政采云供应商项目采购-电子招投标操作指南中制作的电子响应文件。</w:t>
      </w:r>
    </w:p>
    <w:p w14:paraId="4933E159">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响应文件的启用，按先后顺位分别为电子响应文件、以介质存储的数据电文形式的备份响应文件。在下一顺位的响应文件启用时，前一顺位的响应文件自动失效。</w:t>
      </w:r>
    </w:p>
    <w:p w14:paraId="7869CB16">
      <w:pPr>
        <w:snapToGrid w:val="0"/>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（二）响应文件的组成</w:t>
      </w:r>
    </w:p>
    <w:p w14:paraId="6A643EC0">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响应文件由磋商报价文件、资格证明文件、商务文件、技术文件组成。电子</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文件中所须加盖公章部分均</w:t>
      </w:r>
      <w:r>
        <w:rPr>
          <w:rFonts w:hint="eastAsia" w:ascii="宋体" w:hAnsi="宋体" w:cs="宋体"/>
          <w:color w:val="auto"/>
          <w:szCs w:val="21"/>
          <w:highlight w:val="none"/>
          <w:lang w:eastAsia="zh-CN"/>
        </w:rPr>
        <w:t>可</w:t>
      </w:r>
      <w:r>
        <w:rPr>
          <w:rFonts w:hint="eastAsia" w:ascii="宋体" w:hAnsi="宋体" w:cs="宋体"/>
          <w:color w:val="auto"/>
          <w:szCs w:val="21"/>
          <w:highlight w:val="none"/>
        </w:rPr>
        <w:t>采用CA签章。（具体要求详见第六章 响应文件组成）</w:t>
      </w:r>
    </w:p>
    <w:p w14:paraId="6EB94543">
      <w:pPr>
        <w:snapToGrid w:val="0"/>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（三）响应文件的语言及计量</w:t>
      </w:r>
    </w:p>
    <w:p w14:paraId="16FDE96B">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1、响应文件以及响应人与</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就有关</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事宜的所有来往函电，均应以中文汉语书写。除签名、盖章、专用名称、特殊证明材料等情形外，以中文汉语以外的文字表述的响应文件视同未提供。</w:t>
      </w:r>
    </w:p>
    <w:p w14:paraId="430A2A46">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计量单位，应采用中华人民共和国法定计量单位（货币单位：人民币元），否则视同未响应。</w:t>
      </w:r>
    </w:p>
    <w:p w14:paraId="38AC4AD1">
      <w:pPr>
        <w:snapToGrid w:val="0"/>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（四）磋商报价与相关费用</w:t>
      </w:r>
    </w:p>
    <w:p w14:paraId="0301F9DA">
      <w:pPr>
        <w:pStyle w:val="13"/>
        <w:snapToGrid w:val="0"/>
        <w:spacing w:line="360" w:lineRule="auto"/>
        <w:ind w:firstLine="420" w:firstLineChars="200"/>
        <w:rPr>
          <w:rFonts w:hint="eastAsia" w:hAnsi="宋体" w:eastAsia="宋体" w:cs="宋体"/>
          <w:bCs/>
          <w:color w:val="auto"/>
          <w:sz w:val="21"/>
          <w:szCs w:val="21"/>
          <w:highlight w:val="none"/>
          <w:lang w:val="en-US" w:eastAsia="zh-CN"/>
        </w:rPr>
      </w:pPr>
      <w:r>
        <w:rPr>
          <w:rFonts w:hint="eastAsia" w:hAnsi="宋体" w:eastAsia="宋体" w:cs="宋体"/>
          <w:bCs/>
          <w:color w:val="auto"/>
          <w:sz w:val="21"/>
          <w:szCs w:val="21"/>
          <w:highlight w:val="none"/>
          <w:lang w:val="en-US" w:eastAsia="zh-CN"/>
        </w:rPr>
        <w:t>详见《响应人须知前附表》</w:t>
      </w:r>
    </w:p>
    <w:p w14:paraId="7158B1C2">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（五）响应文件的有效期</w:t>
      </w:r>
    </w:p>
    <w:p w14:paraId="0B06195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1、自</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截止日起90天响应文件应保持有效。有效期不足的响应文件将被拒绝。</w:t>
      </w:r>
    </w:p>
    <w:p w14:paraId="4E6669C3">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2、在特殊情况下，采购人可与响应人协商延长响应文件的有效期，这种要求和答复均以书面形式进行。</w:t>
      </w:r>
    </w:p>
    <w:p w14:paraId="5F3DC16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3、成交人的响应文件自开标之日起至合同履行完毕止均应保持有效。</w:t>
      </w:r>
    </w:p>
    <w:p w14:paraId="780F1A9E">
      <w:pPr>
        <w:snapToGrid w:val="0"/>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（六）响应文件的签署和编制</w:t>
      </w:r>
    </w:p>
    <w:p w14:paraId="12D174BF">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1、电子响应文件部分：</w:t>
      </w:r>
    </w:p>
    <w:p w14:paraId="2074DBB4">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人应根据“政采云供应商项目采购-电子招投标操作指南”及本采购文件规定的格式和顺序编制电子</w:t>
      </w: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文件并进行关联定位。</w:t>
      </w:r>
    </w:p>
    <w:p w14:paraId="2996725E">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2、以介质存储的数据电文形式的备份</w:t>
      </w: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文件部分：</w:t>
      </w:r>
    </w:p>
    <w:p w14:paraId="1378455C">
      <w:pPr>
        <w:adjustRightInd w:val="0"/>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备份电子</w:t>
      </w: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文件，以DVD光盘、U盘形式存储。</w:t>
      </w:r>
    </w:p>
    <w:p w14:paraId="75F14EAD">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（七）备份</w:t>
      </w: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文件的修改和撤回</w:t>
      </w:r>
    </w:p>
    <w:p w14:paraId="03D15A5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响应人在</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截止时间之前，可以对已提交的响应文件进行修改或撤回，并书面形式（响应人代表签字）通知</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截止时间后，响应人不得撤回、修改响应文件。修改后重新递交的响应文件应当按本磋商文件的要求密封和签字。</w:t>
      </w:r>
    </w:p>
    <w:p w14:paraId="3B73615D">
      <w:pPr>
        <w:snapToGrid w:val="0"/>
        <w:spacing w:line="360" w:lineRule="auto"/>
        <w:ind w:firstLine="422" w:firstLineChars="200"/>
        <w:outlineLvl w:val="9"/>
        <w:rPr>
          <w:rFonts w:ascii="宋体" w:hAnsi="宋体" w:cs="宋体"/>
          <w:b/>
          <w:color w:val="auto"/>
          <w:szCs w:val="21"/>
          <w:highlight w:val="none"/>
        </w:rPr>
      </w:pPr>
      <w:r>
        <w:rPr>
          <w:rFonts w:hint="eastAsia" w:ascii="宋体" w:hAnsi="宋体" w:cs="宋体"/>
          <w:b/>
          <w:color w:val="auto"/>
          <w:szCs w:val="21"/>
          <w:highlight w:val="none"/>
        </w:rPr>
        <w:t>（八）响应无效的情形</w:t>
      </w:r>
    </w:p>
    <w:p w14:paraId="3A40254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实质上没有响应磋商文件要求的</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将被视为无效</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。响应人不得通过修正或撤消不合要求的偏离或保留从而使其</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成为实质上响应的</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经磋商小组认定属于响应人笔误所造成的差错，应当允许其在评标结束之前进行修改或者补正（可以是复印件、传真件等）。修改或者补正响应文件必须以书面形式进行，并应在中标结果公告之前查核原件。限期内不补正或经补正后仍不符合磋商文件要求的，应认定其</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无效。</w:t>
      </w:r>
      <w:r>
        <w:rPr>
          <w:rFonts w:hint="eastAsia" w:hAnsi="宋体" w:eastAsia="宋体" w:cs="宋体"/>
          <w:color w:val="auto"/>
          <w:sz w:val="21"/>
          <w:szCs w:val="21"/>
          <w:highlight w:val="none"/>
          <w:lang w:val="en-US" w:eastAsia="zh-CN"/>
        </w:rPr>
        <w:t>响应</w:t>
      </w:r>
      <w:r>
        <w:rPr>
          <w:rFonts w:hint="eastAsia" w:hAnsi="宋体" w:eastAsia="宋体" w:cs="宋体"/>
          <w:color w:val="auto"/>
          <w:sz w:val="21"/>
          <w:szCs w:val="21"/>
          <w:highlight w:val="none"/>
        </w:rPr>
        <w:t>人修改、补正响应文件后，不影响磋商小组对其响应文件所作的评价和评分结果。</w:t>
      </w:r>
    </w:p>
    <w:p w14:paraId="6220D6AB">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1、在符合性审查和商务评审时，如发现下列情形之一的，响应文件将被视为无效响应：</w:t>
      </w:r>
    </w:p>
    <w:p w14:paraId="1B52B282">
      <w:pPr>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1.1电子</w:t>
      </w:r>
      <w:r>
        <w:rPr>
          <w:rFonts w:hint="eastAsia" w:hAnsi="宋体" w:eastAsia="宋体" w:cs="宋体"/>
          <w:b/>
          <w:color w:val="auto"/>
          <w:sz w:val="21"/>
          <w:szCs w:val="21"/>
          <w:highlight w:val="none"/>
        </w:rPr>
        <w:t>响应</w:t>
      </w:r>
      <w:r>
        <w:rPr>
          <w:rFonts w:hint="eastAsia" w:ascii="宋体" w:hAnsi="宋体" w:cs="宋体"/>
          <w:b/>
          <w:bCs/>
          <w:color w:val="auto"/>
          <w:szCs w:val="21"/>
          <w:highlight w:val="none"/>
        </w:rPr>
        <w:t>文件解密失败的，且未在规定时间内提交有效备份</w:t>
      </w:r>
      <w:r>
        <w:rPr>
          <w:rFonts w:hint="eastAsia" w:hAnsi="宋体" w:eastAsia="宋体" w:cs="宋体"/>
          <w:b/>
          <w:color w:val="auto"/>
          <w:sz w:val="21"/>
          <w:szCs w:val="21"/>
          <w:highlight w:val="none"/>
        </w:rPr>
        <w:t>响应</w:t>
      </w:r>
      <w:r>
        <w:rPr>
          <w:rFonts w:hint="eastAsia" w:ascii="宋体" w:hAnsi="宋体" w:cs="宋体"/>
          <w:b/>
          <w:bCs/>
          <w:color w:val="auto"/>
          <w:szCs w:val="21"/>
          <w:highlight w:val="none"/>
        </w:rPr>
        <w:t>文件的；</w:t>
      </w:r>
    </w:p>
    <w:p w14:paraId="6D72C213">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1.2未按磋商文件要求密封、签字、盖章的；</w:t>
      </w:r>
    </w:p>
    <w:p w14:paraId="04E41D76">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1.3资格证明文件不全的，或者不符合磋商文件标明的资格要求的；</w:t>
      </w:r>
    </w:p>
    <w:p w14:paraId="60DB88E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1.4响应文件组成不全的；</w:t>
      </w:r>
    </w:p>
    <w:p w14:paraId="1DEF57D1">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1.5响应文件的实质性内容未使用中文表述、意思表述不明确、前后矛盾或者使用计量单位不符合磋商文件要求的；（经磋商小组认定允许其当场更正的笔误除外）</w:t>
      </w:r>
    </w:p>
    <w:p w14:paraId="21429A7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1.6响应文件的关键内容字迹模糊、无法辨认的，或者响应文件中经修正的内容字迹模糊难以辩认或者修改处未按规定签名盖章的；</w:t>
      </w:r>
    </w:p>
    <w:p w14:paraId="4349353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1.7实质性条款不能满足磋商文件要求的；</w:t>
      </w:r>
    </w:p>
    <w:p w14:paraId="5E6CDEEB">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1.8不响应磋商文件要求或者响应文件有采购人不能接受的附加条件的；</w:t>
      </w:r>
    </w:p>
    <w:p w14:paraId="54AD9A3B">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1.9 响应文件没有按磋商文件要求提供有标“▲”的条款的资料和材料的；</w:t>
      </w:r>
    </w:p>
    <w:p w14:paraId="7B1E5FA0">
      <w:pPr>
        <w:pStyle w:val="13"/>
        <w:snapToGrid w:val="0"/>
        <w:spacing w:line="360" w:lineRule="auto"/>
        <w:ind w:firstLine="415" w:firstLineChars="198"/>
        <w:rPr>
          <w:rFonts w:hint="eastAsia" w:ascii="宋体" w:hAnsi="宋体" w:eastAsia="宋体" w:cs="宋体"/>
          <w:color w:val="auto"/>
          <w:sz w:val="21"/>
          <w:szCs w:val="21"/>
        </w:rPr>
      </w:pPr>
      <w:r>
        <w:rPr>
          <w:rFonts w:hint="eastAsia" w:hAnsi="宋体" w:eastAsia="宋体" w:cs="宋体"/>
          <w:color w:val="auto"/>
          <w:sz w:val="21"/>
          <w:szCs w:val="21"/>
          <w:highlight w:val="none"/>
          <w:lang w:val="en-US" w:eastAsia="zh-CN"/>
        </w:rPr>
        <w:t>1.10</w:t>
      </w:r>
      <w:r>
        <w:rPr>
          <w:rFonts w:hint="eastAsia" w:ascii="宋体" w:hAnsi="宋体" w:eastAsia="宋体" w:cs="宋体"/>
          <w:color w:val="auto"/>
          <w:sz w:val="21"/>
          <w:szCs w:val="21"/>
          <w:lang w:val="en-US" w:eastAsia="zh-CN"/>
        </w:rPr>
        <w:t>在不影响公平竞争的前提下，采购文件中参与同一标段（包）的供应商存在以下情形的，其</w:t>
      </w:r>
      <w:r>
        <w:rPr>
          <w:rFonts w:hint="eastAsia" w:hAnsi="宋体" w:eastAsia="宋体" w:cs="宋体"/>
          <w:color w:val="auto"/>
          <w:sz w:val="21"/>
          <w:szCs w:val="21"/>
          <w:lang w:val="en-US" w:eastAsia="zh-CN"/>
        </w:rPr>
        <w:t>响应</w:t>
      </w:r>
      <w:r>
        <w:rPr>
          <w:rFonts w:hint="eastAsia" w:ascii="宋体" w:hAnsi="宋体" w:eastAsia="宋体" w:cs="宋体"/>
          <w:color w:val="auto"/>
          <w:sz w:val="21"/>
          <w:szCs w:val="21"/>
          <w:lang w:val="en-US" w:eastAsia="zh-CN"/>
        </w:rPr>
        <w:t>文件相应无效：MAC地址相同、计算机硬盘序列号相同、采购文件细节错误一致且无合理解释的等情形。</w:t>
      </w:r>
    </w:p>
    <w:p w14:paraId="76B3AB72">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2、在技术评审时，如发现下列情形之一的，响应文件将被视为无效响应标：</w:t>
      </w:r>
    </w:p>
    <w:p w14:paraId="5DC9A03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2.1响应文件标明的响应或偏离与事实不符或虚假响应的；</w:t>
      </w:r>
    </w:p>
    <w:p w14:paraId="6BC000B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2.2明显不符合磋商文件</w:t>
      </w:r>
      <w:r>
        <w:rPr>
          <w:rFonts w:hint="eastAsia" w:hAnsi="宋体" w:eastAsia="宋体" w:cs="宋体"/>
          <w:color w:val="auto"/>
          <w:sz w:val="21"/>
          <w:szCs w:val="21"/>
          <w:highlight w:val="none"/>
          <w:lang w:val="en-US" w:eastAsia="zh-CN"/>
        </w:rPr>
        <w:t>成交</w:t>
      </w:r>
      <w:r>
        <w:rPr>
          <w:rFonts w:hint="eastAsia" w:hAnsi="宋体" w:eastAsia="宋体" w:cs="宋体"/>
          <w:color w:val="auto"/>
          <w:sz w:val="21"/>
          <w:szCs w:val="21"/>
          <w:highlight w:val="none"/>
        </w:rPr>
        <w:t>“▲”的技术指标、主要功能项目发生实质性偏离的；</w:t>
      </w:r>
    </w:p>
    <w:p w14:paraId="77D552D4">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2.3响应技术方案不明确，存在一个或一个以上备选（替代）响应的；</w:t>
      </w:r>
    </w:p>
    <w:p w14:paraId="4F55B945">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3、在磋商报价文件评审时，如发现下列情形之一的，响应文件将被视为无效响应：</w:t>
      </w:r>
    </w:p>
    <w:p w14:paraId="02D734A4">
      <w:pPr>
        <w:pStyle w:val="13"/>
        <w:snapToGrid w:val="0"/>
        <w:spacing w:line="360" w:lineRule="auto"/>
        <w:ind w:firstLine="417" w:firstLineChars="198"/>
        <w:rPr>
          <w:rFonts w:hint="eastAsia" w:hAnsi="宋体" w:eastAsia="宋体" w:cs="宋体"/>
          <w:b/>
          <w:color w:val="auto"/>
          <w:sz w:val="21"/>
          <w:szCs w:val="21"/>
        </w:rPr>
      </w:pPr>
      <w:r>
        <w:rPr>
          <w:rFonts w:hint="eastAsia" w:hAnsi="宋体" w:eastAsia="宋体" w:cs="宋体"/>
          <w:b/>
          <w:color w:val="auto"/>
          <w:sz w:val="21"/>
          <w:szCs w:val="21"/>
        </w:rPr>
        <w:t>3.1超过项目的预算金额或最高限价的；</w:t>
      </w:r>
    </w:p>
    <w:p w14:paraId="0D0C7A37">
      <w:pPr>
        <w:pStyle w:val="13"/>
        <w:snapToGrid w:val="0"/>
        <w:spacing w:line="360" w:lineRule="auto"/>
        <w:ind w:firstLine="422" w:firstLineChars="200"/>
        <w:rPr>
          <w:rFonts w:hint="eastAsia" w:hAnsi="宋体" w:eastAsia="宋体" w:cs="宋体"/>
          <w:b/>
          <w:color w:val="auto"/>
          <w:sz w:val="21"/>
          <w:szCs w:val="21"/>
          <w:highlight w:val="none"/>
        </w:rPr>
      </w:pPr>
      <w:r>
        <w:rPr>
          <w:rFonts w:hint="eastAsia" w:hAnsi="宋体" w:eastAsia="宋体" w:cs="宋体"/>
          <w:b/>
          <w:color w:val="auto"/>
          <w:sz w:val="21"/>
          <w:szCs w:val="21"/>
          <w:highlight w:val="none"/>
        </w:rPr>
        <w:t>3.2有选择或有条件的报价的；</w:t>
      </w:r>
    </w:p>
    <w:p w14:paraId="766C5A3B">
      <w:pPr>
        <w:pStyle w:val="13"/>
        <w:snapToGrid w:val="0"/>
        <w:spacing w:line="360" w:lineRule="auto"/>
        <w:ind w:firstLine="422" w:firstLineChars="200"/>
        <w:rPr>
          <w:rFonts w:hint="eastAsia" w:hAnsi="宋体" w:eastAsia="宋体" w:cs="宋体"/>
          <w:b/>
          <w:color w:val="auto"/>
          <w:sz w:val="21"/>
          <w:szCs w:val="21"/>
          <w:highlight w:val="none"/>
          <w:lang w:val="en-US" w:eastAsia="zh-CN"/>
        </w:rPr>
      </w:pPr>
      <w:r>
        <w:rPr>
          <w:rFonts w:hint="eastAsia" w:hAnsi="宋体" w:eastAsia="宋体" w:cs="宋体"/>
          <w:b/>
          <w:color w:val="auto"/>
          <w:sz w:val="21"/>
          <w:szCs w:val="21"/>
          <w:highlight w:val="none"/>
          <w:lang w:val="en-US" w:eastAsia="zh-CN"/>
        </w:rPr>
        <w:t>3.3</w:t>
      </w:r>
      <w:r>
        <w:rPr>
          <w:rFonts w:hint="eastAsia" w:ascii="宋体" w:hAnsi="宋体" w:eastAsia="宋体" w:cs="宋体"/>
          <w:b/>
          <w:color w:val="auto"/>
          <w:sz w:val="21"/>
          <w:szCs w:val="21"/>
        </w:rPr>
        <w:t>未按照</w:t>
      </w:r>
      <w:r>
        <w:rPr>
          <w:rFonts w:hint="eastAsia" w:ascii="宋体" w:hAnsi="宋体" w:eastAsia="宋体" w:cs="宋体"/>
          <w:b/>
          <w:color w:val="auto"/>
          <w:sz w:val="21"/>
          <w:szCs w:val="21"/>
          <w:lang w:val="en-US" w:eastAsia="zh-CN"/>
        </w:rPr>
        <w:t>磋商</w:t>
      </w:r>
      <w:r>
        <w:rPr>
          <w:rFonts w:hint="eastAsia" w:ascii="宋体" w:hAnsi="宋体" w:eastAsia="宋体" w:cs="宋体"/>
          <w:b/>
          <w:color w:val="auto"/>
          <w:sz w:val="21"/>
          <w:szCs w:val="21"/>
        </w:rPr>
        <w:t>文件</w:t>
      </w:r>
      <w:r>
        <w:rPr>
          <w:rFonts w:hint="eastAsia" w:ascii="宋体" w:hAnsi="宋体" w:eastAsia="宋体" w:cs="宋体"/>
          <w:b/>
          <w:color w:val="auto"/>
          <w:sz w:val="21"/>
          <w:szCs w:val="21"/>
          <w:lang w:eastAsia="zh-CN"/>
        </w:rPr>
        <w:t>要求</w:t>
      </w:r>
      <w:r>
        <w:rPr>
          <w:rFonts w:hint="eastAsia" w:ascii="宋体" w:hAnsi="宋体" w:eastAsia="宋体" w:cs="宋体"/>
          <w:b/>
          <w:color w:val="auto"/>
          <w:sz w:val="21"/>
          <w:szCs w:val="21"/>
        </w:rPr>
        <w:t>报</w:t>
      </w:r>
      <w:r>
        <w:rPr>
          <w:rFonts w:hint="eastAsia" w:ascii="宋体" w:hAnsi="宋体" w:eastAsia="宋体" w:cs="宋体"/>
          <w:b/>
          <w:color w:val="auto"/>
          <w:sz w:val="21"/>
          <w:szCs w:val="21"/>
          <w:lang w:eastAsia="zh-CN"/>
        </w:rPr>
        <w:t>下浮率</w:t>
      </w:r>
      <w:r>
        <w:rPr>
          <w:rFonts w:hint="eastAsia" w:ascii="宋体" w:hAnsi="宋体" w:eastAsia="宋体" w:cs="宋体"/>
          <w:b/>
          <w:color w:val="auto"/>
          <w:sz w:val="21"/>
          <w:szCs w:val="21"/>
        </w:rPr>
        <w:t>的</w:t>
      </w:r>
      <w:r>
        <w:rPr>
          <w:rFonts w:hint="eastAsia" w:ascii="宋体" w:hAnsi="宋体" w:eastAsia="宋体" w:cs="宋体"/>
          <w:b/>
          <w:color w:val="auto"/>
          <w:sz w:val="21"/>
          <w:szCs w:val="21"/>
          <w:lang w:eastAsia="zh-CN"/>
        </w:rPr>
        <w:t>；</w:t>
      </w:r>
    </w:p>
    <w:p w14:paraId="284B12E8">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3.</w:t>
      </w:r>
      <w:r>
        <w:rPr>
          <w:rFonts w:hint="eastAsia" w:hAnsi="宋体" w:eastAsia="宋体" w:cs="宋体"/>
          <w:b/>
          <w:color w:val="auto"/>
          <w:sz w:val="21"/>
          <w:szCs w:val="21"/>
          <w:highlight w:val="none"/>
          <w:lang w:val="en-US" w:eastAsia="zh-CN"/>
        </w:rPr>
        <w:t>4</w:t>
      </w:r>
      <w:r>
        <w:rPr>
          <w:rFonts w:hint="eastAsia" w:hAnsi="宋体" w:eastAsia="宋体" w:cs="宋体"/>
          <w:b/>
          <w:color w:val="auto"/>
          <w:sz w:val="21"/>
          <w:szCs w:val="21"/>
          <w:highlight w:val="none"/>
        </w:rPr>
        <w:t xml:space="preserve"> 报价文件中缺失报价的。</w:t>
      </w:r>
    </w:p>
    <w:p w14:paraId="673AA66A">
      <w:pPr>
        <w:snapToGrid w:val="0"/>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4、被拒绝的</w:t>
      </w:r>
      <w:r>
        <w:rPr>
          <w:rFonts w:hint="eastAsia" w:ascii="宋体" w:hAnsi="宋体" w:eastAsia="宋体" w:cs="宋体"/>
          <w:b/>
          <w:color w:val="auto"/>
          <w:szCs w:val="21"/>
        </w:rPr>
        <w:t>响应文</w:t>
      </w:r>
      <w:r>
        <w:rPr>
          <w:rFonts w:hint="eastAsia" w:ascii="宋体" w:hAnsi="宋体" w:cs="宋体"/>
          <w:b/>
          <w:color w:val="auto"/>
          <w:szCs w:val="21"/>
        </w:rPr>
        <w:t>件为无效。</w:t>
      </w:r>
    </w:p>
    <w:p w14:paraId="618127B5">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（九）出现以下情形，导致电子交易平台无法正常运行，或者无法保证电子交易的公平、公正和安全时，中止电子交易活动：</w:t>
      </w:r>
    </w:p>
    <w:p w14:paraId="0CE35AC6">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1、电子交易平台发生故障而无法登录访问的；</w:t>
      </w:r>
    </w:p>
    <w:p w14:paraId="3295CF3D">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2、电子交易平台应用或数据库出现错误，不能进行正常操作的；</w:t>
      </w:r>
    </w:p>
    <w:p w14:paraId="608B3091">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3、电子交易平台发现严重安全漏洞，有潜在泄密危险的；</w:t>
      </w:r>
    </w:p>
    <w:p w14:paraId="764A697C">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4、病毒发作导致不能进行正常操作的；</w:t>
      </w:r>
    </w:p>
    <w:p w14:paraId="7AF4B3E1">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5、其他无法保证电子交易的公平、公正和安全的情况。</w:t>
      </w:r>
    </w:p>
    <w:p w14:paraId="7E27FA8E">
      <w:pPr>
        <w:snapToGrid w:val="0"/>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出现前款规定情形，不影响采购公平、公正性的，</w:t>
      </w:r>
      <w:r>
        <w:rPr>
          <w:rFonts w:hint="eastAsia" w:ascii="宋体" w:hAnsi="宋体" w:cs="宋体"/>
          <w:bCs/>
          <w:color w:val="auto"/>
          <w:szCs w:val="21"/>
          <w:highlight w:val="none"/>
          <w:lang w:eastAsia="zh-CN"/>
        </w:rPr>
        <w:t>采购代理机构</w:t>
      </w:r>
      <w:r>
        <w:rPr>
          <w:rFonts w:hint="eastAsia" w:ascii="宋体" w:hAnsi="宋体" w:cs="宋体"/>
          <w:bCs/>
          <w:color w:val="auto"/>
          <w:szCs w:val="21"/>
          <w:highlight w:val="none"/>
        </w:rPr>
        <w:t>可以待上述情形消除后继续组织电子交易活动，也可以决定某些环节以纸质形式进行；影响或可能影响采购公平、公正性的，重新采购。</w:t>
      </w:r>
    </w:p>
    <w:p w14:paraId="76AE0733">
      <w:pPr>
        <w:snapToGrid w:val="0"/>
        <w:spacing w:line="360" w:lineRule="auto"/>
        <w:jc w:val="center"/>
        <w:rPr>
          <w:rFonts w:ascii="宋体" w:hAnsi="宋体" w:cs="宋体"/>
          <w:b/>
          <w:color w:val="auto"/>
          <w:szCs w:val="21"/>
          <w:highlight w:val="none"/>
        </w:rPr>
      </w:pPr>
    </w:p>
    <w:p w14:paraId="54501ABC">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四、开标</w:t>
      </w:r>
    </w:p>
    <w:p w14:paraId="60D20AAA">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（一）开标准备</w:t>
      </w:r>
    </w:p>
    <w:p w14:paraId="3C018EF4">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将在规定的时间和地点进行开标。本项目不要求响应人授权代表参加现场开标、开启响应文件活动。</w:t>
      </w:r>
    </w:p>
    <w:p w14:paraId="1A5F9DAD">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（二）开标程序</w:t>
      </w:r>
    </w:p>
    <w:p w14:paraId="50A5F0E9">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1、开标会由</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相关工作人员主持，主持人宣布开标会议开始。</w:t>
      </w:r>
    </w:p>
    <w:p w14:paraId="4D170B31">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2、介绍参加开标会的人员名单。</w:t>
      </w:r>
    </w:p>
    <w:p w14:paraId="6307623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3、宣布开标纪律和有关事项，告知应当回避的情形，提请有关人员回避。</w:t>
      </w:r>
    </w:p>
    <w:p w14:paraId="03BC63FA">
      <w:pPr>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4、电子招投标开标及评审程序</w:t>
      </w:r>
    </w:p>
    <w:p w14:paraId="6BC51065">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4.1</w:t>
      </w:r>
      <w:r>
        <w:rPr>
          <w:rFonts w:hint="eastAsia" w:ascii="宋体" w:hAnsi="宋体" w:cs="宋体"/>
          <w:b/>
          <w:bCs/>
          <w:color w:val="auto"/>
          <w:szCs w:val="21"/>
          <w:highlight w:val="none"/>
          <w:lang w:val="en-US" w:eastAsia="zh-CN"/>
        </w:rPr>
        <w:t>响应</w:t>
      </w:r>
      <w:r>
        <w:rPr>
          <w:rFonts w:hint="eastAsia" w:ascii="宋体" w:hAnsi="宋体" w:cs="宋体"/>
          <w:b/>
          <w:bCs/>
          <w:color w:val="auto"/>
          <w:szCs w:val="21"/>
          <w:highlight w:val="none"/>
        </w:rPr>
        <w:t>截止时间后，</w:t>
      </w:r>
      <w:r>
        <w:rPr>
          <w:rFonts w:hint="eastAsia" w:ascii="宋体" w:hAnsi="宋体" w:cs="宋体"/>
          <w:b/>
          <w:bCs/>
          <w:color w:val="auto"/>
          <w:szCs w:val="21"/>
          <w:highlight w:val="none"/>
          <w:lang w:val="en-US" w:eastAsia="zh-CN"/>
        </w:rPr>
        <w:t>响应</w:t>
      </w:r>
      <w:r>
        <w:rPr>
          <w:rFonts w:hint="eastAsia" w:ascii="宋体" w:hAnsi="宋体" w:cs="宋体"/>
          <w:b/>
          <w:bCs/>
          <w:color w:val="auto"/>
          <w:szCs w:val="21"/>
          <w:highlight w:val="none"/>
        </w:rPr>
        <w:t>人登录政采云平台，用“项目采购-开标评标”功能对电子</w:t>
      </w:r>
      <w:r>
        <w:rPr>
          <w:rFonts w:hint="eastAsia" w:ascii="宋体" w:hAnsi="宋体" w:cs="宋体"/>
          <w:b/>
          <w:bCs/>
          <w:color w:val="auto"/>
          <w:szCs w:val="21"/>
          <w:highlight w:val="none"/>
          <w:lang w:val="en-US" w:eastAsia="zh-CN"/>
        </w:rPr>
        <w:t>响应</w:t>
      </w:r>
      <w:r>
        <w:rPr>
          <w:rFonts w:hint="eastAsia" w:ascii="宋体" w:hAnsi="宋体" w:cs="宋体"/>
          <w:b/>
          <w:bCs/>
          <w:color w:val="auto"/>
          <w:szCs w:val="21"/>
          <w:highlight w:val="none"/>
        </w:rPr>
        <w:t>文件进行在线解密。</w:t>
      </w:r>
    </w:p>
    <w:p w14:paraId="01561E1A">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4.2磋商小组对资格进行评审；</w:t>
      </w:r>
    </w:p>
    <w:p w14:paraId="0E0027F8">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4.3公布资格评审结果；</w:t>
      </w:r>
    </w:p>
    <w:p w14:paraId="17EAB94A">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4.4磋商小组就价格、服务等认为需要磋商的内容分别与各响应人进行磋商。</w:t>
      </w:r>
    </w:p>
    <w:p w14:paraId="52D78A26">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4.5磋商小组对商务技术响应文件进行评审；</w:t>
      </w:r>
    </w:p>
    <w:p w14:paraId="155A36F9">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4.6各响应人在规定时间内于系统上提交最终报价，最终报价不得超过自身的初次报价。</w:t>
      </w:r>
    </w:p>
    <w:p w14:paraId="37DD35A5">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4.7公布商务技术评审结果；</w:t>
      </w:r>
    </w:p>
    <w:p w14:paraId="73C3C47A">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4.8公布报价开标情况；</w:t>
      </w:r>
    </w:p>
    <w:p w14:paraId="47F36B4C">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4.9磋商小组对报价情况进行评审；</w:t>
      </w:r>
    </w:p>
    <w:p w14:paraId="62FBBA3A">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4.10公布评审结果。</w:t>
      </w:r>
    </w:p>
    <w:p w14:paraId="4DFCAF1A">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特别说明：政采云公司如对电子化开标及评审程序有调整的，按调整后的程序操作。</w:t>
      </w:r>
    </w:p>
    <w:p w14:paraId="58903D84">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5、如遇电子招投标系统故障的，启用备份</w:t>
      </w:r>
      <w:r>
        <w:rPr>
          <w:rFonts w:hint="eastAsia" w:ascii="宋体" w:hAnsi="宋体" w:cs="宋体"/>
          <w:b/>
          <w:bCs/>
          <w:color w:val="auto"/>
          <w:szCs w:val="21"/>
          <w:highlight w:val="none"/>
          <w:lang w:val="en-US" w:eastAsia="zh-CN"/>
        </w:rPr>
        <w:t>响应</w:t>
      </w:r>
      <w:r>
        <w:rPr>
          <w:rFonts w:hint="eastAsia" w:ascii="宋体" w:hAnsi="宋体" w:cs="宋体"/>
          <w:b/>
          <w:bCs/>
          <w:color w:val="auto"/>
          <w:szCs w:val="21"/>
          <w:highlight w:val="none"/>
        </w:rPr>
        <w:t>文件</w:t>
      </w:r>
    </w:p>
    <w:p w14:paraId="4E5DBDA8">
      <w:pPr>
        <w:snapToGrid w:val="0"/>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6、本项目原则上采用政采云电子招投标开标及评审程序，但若响应人在规定时间内无法解密或解密失败，</w:t>
      </w:r>
      <w:r>
        <w:rPr>
          <w:rFonts w:hint="eastAsia" w:ascii="宋体" w:hAnsi="宋体" w:cs="宋体"/>
          <w:b/>
          <w:bCs/>
          <w:color w:val="auto"/>
          <w:szCs w:val="21"/>
          <w:highlight w:val="none"/>
          <w:lang w:eastAsia="zh-CN"/>
        </w:rPr>
        <w:t>采购代理机构</w:t>
      </w:r>
      <w:r>
        <w:rPr>
          <w:rFonts w:hint="eastAsia" w:ascii="宋体" w:hAnsi="宋体" w:cs="宋体"/>
          <w:b/>
          <w:bCs/>
          <w:color w:val="auto"/>
          <w:szCs w:val="21"/>
          <w:highlight w:val="none"/>
        </w:rPr>
        <w:t>将开启未能在规定时间内解密的响应人递交的备份</w:t>
      </w:r>
      <w:r>
        <w:rPr>
          <w:rFonts w:hint="eastAsia" w:ascii="宋体" w:hAnsi="宋体" w:cs="宋体"/>
          <w:b/>
          <w:bCs/>
          <w:color w:val="auto"/>
          <w:szCs w:val="21"/>
          <w:highlight w:val="none"/>
          <w:lang w:val="en-US" w:eastAsia="zh-CN"/>
        </w:rPr>
        <w:t>响应</w:t>
      </w:r>
      <w:r>
        <w:rPr>
          <w:rFonts w:hint="eastAsia" w:ascii="宋体" w:hAnsi="宋体" w:cs="宋体"/>
          <w:b/>
          <w:bCs/>
          <w:color w:val="auto"/>
          <w:szCs w:val="21"/>
          <w:highlight w:val="none"/>
        </w:rPr>
        <w:t>文件。</w:t>
      </w:r>
    </w:p>
    <w:p w14:paraId="3D3C3292">
      <w:pPr>
        <w:snapToGrid w:val="0"/>
        <w:spacing w:line="360" w:lineRule="auto"/>
        <w:ind w:firstLine="422" w:firstLineChars="200"/>
        <w:jc w:val="center"/>
        <w:rPr>
          <w:rFonts w:ascii="宋体" w:hAnsi="宋体" w:cs="宋体"/>
          <w:b/>
          <w:color w:val="auto"/>
          <w:szCs w:val="21"/>
          <w:highlight w:val="none"/>
        </w:rPr>
      </w:pPr>
    </w:p>
    <w:p w14:paraId="07C6F110">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五、评标</w:t>
      </w:r>
    </w:p>
    <w:p w14:paraId="165F478E">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（一）组建磋商小组</w:t>
      </w:r>
    </w:p>
    <w:p w14:paraId="48D8915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磋商小组由采购人代表和评审专家共 3 人以上单数组成，其中评审专家人数不得少于磋商小组成员总数的 2/3。</w:t>
      </w:r>
    </w:p>
    <w:p w14:paraId="45A231CA">
      <w:pPr>
        <w:pStyle w:val="13"/>
        <w:snapToGrid w:val="0"/>
        <w:spacing w:line="360" w:lineRule="auto"/>
        <w:ind w:firstLine="422" w:firstLineChars="200"/>
        <w:rPr>
          <w:rFonts w:hAnsi="宋体" w:eastAsia="宋体" w:cs="宋体"/>
          <w:color w:val="auto"/>
          <w:sz w:val="21"/>
          <w:szCs w:val="21"/>
          <w:highlight w:val="none"/>
        </w:rPr>
      </w:pPr>
      <w:r>
        <w:rPr>
          <w:rFonts w:hint="eastAsia" w:hAnsi="宋体" w:eastAsia="宋体" w:cs="宋体"/>
          <w:b/>
          <w:color w:val="auto"/>
          <w:sz w:val="21"/>
          <w:szCs w:val="21"/>
          <w:highlight w:val="none"/>
        </w:rPr>
        <w:t>（二）评标程序</w:t>
      </w:r>
    </w:p>
    <w:p w14:paraId="2FC3B5D1">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1、资格审查</w:t>
      </w:r>
    </w:p>
    <w:p w14:paraId="27986244">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磋商小组对响应人的资格进行审查。</w:t>
      </w:r>
    </w:p>
    <w:p w14:paraId="5ECDF414">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2、实质审查与比较</w:t>
      </w:r>
    </w:p>
    <w:p w14:paraId="1D34512C">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2.1磋商小组审查响应文件的实质性内容是否符合磋商文件的实质性要求。</w:t>
      </w:r>
    </w:p>
    <w:p w14:paraId="58177352">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2.2磋商小组将根据响应人的响应文件进行审查、核对，如有疑问，将对响应人进行询标，响应人要向磋商小组澄清有关问题，并最终以书面形式进行答复。</w:t>
      </w:r>
    </w:p>
    <w:p w14:paraId="69757D31">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2.3响应人代表未到场或者拒绝澄清或者澄清的内容改变了响应文件的实质性内容的，磋商小组有权对该响应文件作出不利于响应人的评判。</w:t>
      </w:r>
    </w:p>
    <w:p w14:paraId="4CD7B7FF">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2.4各响应人的商务技术得分由指定专人进行计算复核。</w:t>
      </w:r>
    </w:p>
    <w:p w14:paraId="39DC9CC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2.5各响应人报价得分根据评分标准计算。</w:t>
      </w:r>
    </w:p>
    <w:p w14:paraId="0AC90E05">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2.6磋商小组完成评标后，对各部分得分汇总，得出本项目最终得分，磋商小组按评标原则推荐成交候选人同时起草评审报告。</w:t>
      </w:r>
    </w:p>
    <w:p w14:paraId="20F9AABD">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（三）澄清问题的形式</w:t>
      </w:r>
    </w:p>
    <w:p w14:paraId="7C3F5FF5">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对响应文件中含义不明确、同类问题表述不一致或者有明显文字和计算错误的内容，磋商小组可要求响应人作出必要的澄清、说明或者纠正。响应人的澄清、说明或者补正应当采用书面形式，由其全权代表签字或盖章确认，并不得超出响应文件的范围或者改变响应文件的实质性内容。</w:t>
      </w:r>
    </w:p>
    <w:p w14:paraId="65BE08CE">
      <w:pPr>
        <w:spacing w:line="360" w:lineRule="auto"/>
        <w:ind w:firstLine="422" w:firstLineChars="200"/>
        <w:rPr>
          <w:rFonts w:ascii="宋体" w:hAnsi="宋体" w:cs="宋体"/>
          <w:b/>
          <w:bCs/>
          <w:color w:val="auto"/>
          <w:szCs w:val="21"/>
          <w:highlight w:val="none"/>
        </w:rPr>
      </w:pPr>
      <w:r>
        <w:rPr>
          <w:rFonts w:hint="eastAsia" w:ascii="宋体" w:hAnsi="宋体" w:cs="宋体"/>
          <w:b/>
          <w:bCs/>
          <w:color w:val="auto"/>
          <w:szCs w:val="21"/>
          <w:highlight w:val="none"/>
        </w:rPr>
        <w:t>（四）报价错误修正</w:t>
      </w:r>
    </w:p>
    <w:p w14:paraId="23564CD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评标委员会对确定响应文件为实质上响应磋商文件要求的，磋商文件报价出现前后不一致的，按照下列规定修正：</w:t>
      </w:r>
    </w:p>
    <w:p w14:paraId="6394B18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shd w:val="clear" w:color="auto" w:fill="FFFFFF"/>
        </w:rPr>
        <w:t>响应文件开标一览表（报价表）内容与响应文件中相应内容不一致的，以开标一览表（报价表）为准；</w:t>
      </w:r>
    </w:p>
    <w:p w14:paraId="1FB4FBF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shd w:val="clear" w:color="auto" w:fill="FFFFFF"/>
        </w:rPr>
        <w:t>2、大写金额和小写金额不一致的，以大写金额为准；</w:t>
      </w:r>
    </w:p>
    <w:p w14:paraId="5A99C77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shd w:val="clear" w:color="auto" w:fill="FFFFFF"/>
        </w:rPr>
        <w:t>3、单价金额小数点或者百分比有明显错位的，以开标一览表的总价为准，并修改单价；</w:t>
      </w:r>
    </w:p>
    <w:p w14:paraId="221A11C1">
      <w:pPr>
        <w:spacing w:line="360" w:lineRule="auto"/>
        <w:ind w:firstLine="420" w:firstLineChars="200"/>
        <w:rPr>
          <w:rFonts w:ascii="宋体" w:hAnsi="宋体" w:cs="宋体"/>
          <w:color w:val="auto"/>
          <w:szCs w:val="21"/>
          <w:highlight w:val="none"/>
          <w:shd w:val="clear" w:color="auto" w:fill="FFFFFF"/>
        </w:rPr>
      </w:pPr>
      <w:r>
        <w:rPr>
          <w:rFonts w:hint="eastAsia" w:ascii="宋体" w:hAnsi="宋体" w:cs="宋体"/>
          <w:color w:val="auto"/>
          <w:szCs w:val="21"/>
          <w:highlight w:val="none"/>
          <w:shd w:val="clear" w:color="auto" w:fill="FFFFFF"/>
        </w:rPr>
        <w:t>4、总价金额与按单价汇总金额不一致的，以单价金额计算结果为准。</w:t>
      </w:r>
    </w:p>
    <w:p w14:paraId="6EE0904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shd w:val="clear" w:color="auto" w:fill="FFFFFF"/>
        </w:rPr>
        <w:t>5、</w:t>
      </w:r>
      <w:r>
        <w:rPr>
          <w:rFonts w:hint="eastAsia" w:ascii="宋体" w:hAnsi="宋体" w:cs="宋体"/>
          <w:color w:val="auto"/>
          <w:szCs w:val="21"/>
          <w:highlight w:val="none"/>
        </w:rPr>
        <w:t>电子交易平台客户端里开标一览表录入的信息与</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文件不一致的，以</w:t>
      </w:r>
      <w:r>
        <w:rPr>
          <w:rFonts w:hint="eastAsia" w:ascii="宋体" w:hAnsi="宋体" w:cs="宋体"/>
          <w:color w:val="auto"/>
          <w:szCs w:val="21"/>
          <w:highlight w:val="none"/>
          <w:lang w:val="en-US" w:eastAsia="zh-CN"/>
        </w:rPr>
        <w:t>响应</w:t>
      </w:r>
      <w:r>
        <w:rPr>
          <w:rFonts w:hint="eastAsia" w:ascii="宋体" w:hAnsi="宋体" w:cs="宋体"/>
          <w:color w:val="auto"/>
          <w:szCs w:val="21"/>
          <w:highlight w:val="none"/>
        </w:rPr>
        <w:t>文件为准；</w:t>
      </w:r>
    </w:p>
    <w:p w14:paraId="16D40BE0">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同时出现两种以上不一致的，按上述顺序修正；按上述修正错误的原则及方法调整或修正响应文件的投磋商报价，响应人同意并签字确认后，调整后的磋商报价对响应人具有约束作用。如果响应人不接受修正后的报价，则其</w:t>
      </w:r>
      <w:r>
        <w:rPr>
          <w:rFonts w:hint="eastAsia" w:hAnsi="宋体" w:eastAsia="宋体" w:cs="宋体"/>
          <w:b/>
          <w:color w:val="auto"/>
          <w:sz w:val="21"/>
          <w:szCs w:val="21"/>
          <w:highlight w:val="none"/>
          <w:lang w:val="en-US" w:eastAsia="zh-CN"/>
        </w:rPr>
        <w:t>响应</w:t>
      </w:r>
      <w:r>
        <w:rPr>
          <w:rFonts w:hint="eastAsia" w:hAnsi="宋体" w:eastAsia="宋体" w:cs="宋体"/>
          <w:b/>
          <w:color w:val="auto"/>
          <w:sz w:val="21"/>
          <w:szCs w:val="21"/>
          <w:highlight w:val="none"/>
        </w:rPr>
        <w:t>将作为无效</w:t>
      </w:r>
      <w:r>
        <w:rPr>
          <w:rFonts w:hint="eastAsia" w:hAnsi="宋体" w:eastAsia="宋体" w:cs="宋体"/>
          <w:b/>
          <w:color w:val="auto"/>
          <w:sz w:val="21"/>
          <w:szCs w:val="21"/>
          <w:highlight w:val="none"/>
          <w:lang w:val="en-US" w:eastAsia="zh-CN"/>
        </w:rPr>
        <w:t>响应</w:t>
      </w:r>
      <w:r>
        <w:rPr>
          <w:rFonts w:hint="eastAsia" w:hAnsi="宋体" w:eastAsia="宋体" w:cs="宋体"/>
          <w:b/>
          <w:color w:val="auto"/>
          <w:sz w:val="21"/>
          <w:szCs w:val="21"/>
          <w:highlight w:val="none"/>
        </w:rPr>
        <w:t>处理。</w:t>
      </w:r>
    </w:p>
    <w:p w14:paraId="503A0CC9">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（五）评标原则和评标办法</w:t>
      </w:r>
    </w:p>
    <w:p w14:paraId="59A4B7FA">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1、磋商小组必须公平、公正、客观，不带任何倾向性和启发性；不得向外界透露任何与评标有关的内容；任何单位和个人不得干扰、影响评标的正常进行；磋商小组及有关工作人员不得私下与响应人接触。</w:t>
      </w:r>
    </w:p>
    <w:p w14:paraId="6CF3BC3E">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2、评标办法。本项目评标办法是</w:t>
      </w:r>
      <w:r>
        <w:rPr>
          <w:rFonts w:hint="eastAsia" w:hAnsi="宋体" w:eastAsia="宋体" w:cs="宋体"/>
          <w:color w:val="auto"/>
          <w:sz w:val="21"/>
          <w:szCs w:val="21"/>
          <w:highlight w:val="none"/>
          <w:u w:val="single"/>
        </w:rPr>
        <w:t>综合评分法</w:t>
      </w:r>
      <w:r>
        <w:rPr>
          <w:rFonts w:hint="eastAsia" w:hAnsi="宋体" w:eastAsia="宋体" w:cs="宋体"/>
          <w:color w:val="auto"/>
          <w:sz w:val="21"/>
          <w:szCs w:val="21"/>
          <w:highlight w:val="none"/>
        </w:rPr>
        <w:t>，具体评标内容及评分标准等详见《第四章：评标办法及评分标准》。</w:t>
      </w:r>
    </w:p>
    <w:p w14:paraId="589F1ED5">
      <w:pPr>
        <w:pStyle w:val="13"/>
        <w:snapToGrid w:val="0"/>
        <w:spacing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（六）磋商过程的监控</w:t>
      </w:r>
    </w:p>
    <w:p w14:paraId="5969B64D">
      <w:pPr>
        <w:pStyle w:val="13"/>
        <w:snapToGrid w:val="0"/>
        <w:spacing w:line="360" w:lineRule="auto"/>
        <w:ind w:firstLine="420" w:firstLineChars="200"/>
        <w:rPr>
          <w:rFonts w:hAnsi="宋体" w:eastAsia="宋体" w:cs="宋体"/>
          <w:b/>
          <w:color w:val="auto"/>
          <w:sz w:val="21"/>
          <w:szCs w:val="21"/>
          <w:highlight w:val="none"/>
        </w:rPr>
      </w:pPr>
      <w:r>
        <w:rPr>
          <w:rFonts w:hint="eastAsia" w:hAnsi="宋体" w:eastAsia="宋体" w:cs="宋体"/>
          <w:color w:val="auto"/>
          <w:sz w:val="21"/>
          <w:szCs w:val="21"/>
          <w:highlight w:val="none"/>
        </w:rPr>
        <w:t>本项目磋商过程实行全程录音、录像监控，响应人在磋商过程中所进行的试图影响评标结果的不公正活动，可能导致其响应被拒绝。</w:t>
      </w:r>
    </w:p>
    <w:p w14:paraId="70B12032">
      <w:pPr>
        <w:snapToGrid w:val="0"/>
        <w:spacing w:line="360" w:lineRule="auto"/>
        <w:jc w:val="center"/>
        <w:rPr>
          <w:rFonts w:hint="eastAsia" w:ascii="宋体" w:hAnsi="宋体" w:cs="宋体"/>
          <w:b/>
          <w:color w:val="auto"/>
          <w:szCs w:val="21"/>
          <w:highlight w:val="none"/>
        </w:rPr>
      </w:pPr>
    </w:p>
    <w:p w14:paraId="59CDA6B7">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六、废标</w:t>
      </w:r>
    </w:p>
    <w:p w14:paraId="2BC83496">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根据《财政部关于政府采购竞争性磋商采购人式管理暂行办法有关问题的补充通知》：</w:t>
      </w:r>
    </w:p>
    <w:p w14:paraId="3DD7A320">
      <w:pP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用竞争性磋商采购人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w:t>
      </w:r>
      <w:r>
        <w:rPr>
          <w:rFonts w:hint="eastAsia" w:ascii="宋体" w:hAnsi="宋体" w:cs="宋体"/>
          <w:color w:val="auto"/>
          <w:szCs w:val="21"/>
          <w:highlight w:val="none"/>
          <w:lang w:eastAsia="zh-CN"/>
        </w:rPr>
        <w:t>采购代理机构</w:t>
      </w:r>
      <w:r>
        <w:rPr>
          <w:rFonts w:hint="eastAsia" w:ascii="宋体" w:hAnsi="宋体" w:cs="宋体"/>
          <w:color w:val="auto"/>
          <w:szCs w:val="21"/>
          <w:highlight w:val="none"/>
        </w:rPr>
        <w:t>应当终止竞争性磋商采购活动，发布项目终止公告并说明原因，重新开展采购活动。</w:t>
      </w:r>
    </w:p>
    <w:p w14:paraId="12A2D5F9">
      <w:pPr>
        <w:snapToGrid w:val="0"/>
        <w:spacing w:line="360" w:lineRule="auto"/>
        <w:rPr>
          <w:rFonts w:ascii="宋体" w:hAnsi="宋体" w:cs="宋体"/>
          <w:b/>
          <w:color w:val="auto"/>
          <w:szCs w:val="21"/>
          <w:highlight w:val="none"/>
        </w:rPr>
      </w:pPr>
    </w:p>
    <w:p w14:paraId="214EECE7">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七、定标</w:t>
      </w:r>
    </w:p>
    <w:p w14:paraId="6AC4847A">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（一）确定成交人。本项目由采购人事先授权磋商小组确定成交候选人3名。推荐第一名成交候选人为成交人，经采购人确认后，确定项目成交人，同时发布采购结果公告，发出成交通知书。</w:t>
      </w:r>
    </w:p>
    <w:p w14:paraId="76B0E90E">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在评标结束后在2个工作日内将评审报告交采购人确认。</w:t>
      </w:r>
    </w:p>
    <w:p w14:paraId="15F0A0B0">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2、采购人应当自收到评审报告之日起5个工作日内在评审报告推荐的中标或者成交候选人中按顺序确定中标或者成交供应商。</w:t>
      </w:r>
    </w:p>
    <w:p w14:paraId="0351DCED">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3、采购人或者</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应当自成交人确定之日起2个工作日内，在省级以上财政部门指定的媒体上公告中标结果，采购文件应当随中标结果同时公告。在公告中标结果的同时，采购人或者</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应当向成交人发出成交通知书。</w:t>
      </w:r>
    </w:p>
    <w:p w14:paraId="3D32334F">
      <w:pPr>
        <w:pStyle w:val="13"/>
        <w:snapToGrid w:val="0"/>
        <w:spacing w:line="360" w:lineRule="auto"/>
        <w:ind w:firstLine="420" w:firstLineChars="200"/>
        <w:rPr>
          <w:rFonts w:ascii="宋体" w:hAnsi="宋体" w:cs="宋体"/>
          <w:b/>
          <w:color w:val="auto"/>
          <w:szCs w:val="21"/>
          <w:highlight w:val="none"/>
        </w:rPr>
      </w:pPr>
      <w:r>
        <w:rPr>
          <w:rFonts w:hint="eastAsia" w:hAnsi="宋体" w:eastAsia="宋体" w:cs="宋体"/>
          <w:color w:val="auto"/>
          <w:sz w:val="21"/>
          <w:szCs w:val="21"/>
          <w:highlight w:val="none"/>
        </w:rPr>
        <w:t>（二）成交人因自身原因放弃中标或因不可抗力不能履行合同的；经质疑，</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审查确认因成交人在本次采购活动中存在违法违规行为或其他原因使质疑成立的，如发生上述两种情况的，采购人可以与排位在成交人之后第一位的成交候选人签订采购合同，以此类推。</w:t>
      </w:r>
    </w:p>
    <w:p w14:paraId="68F89E95">
      <w:pPr>
        <w:bidi w:val="0"/>
        <w:rPr>
          <w:rFonts w:hint="eastAsia"/>
          <w:color w:val="auto"/>
        </w:rPr>
      </w:pPr>
    </w:p>
    <w:p w14:paraId="55ADF116">
      <w:pPr>
        <w:snapToGrid w:val="0"/>
        <w:spacing w:line="360" w:lineRule="auto"/>
        <w:jc w:val="center"/>
        <w:outlineLvl w:val="1"/>
        <w:rPr>
          <w:rFonts w:ascii="宋体" w:hAnsi="宋体" w:cs="宋体"/>
          <w:b/>
          <w:color w:val="auto"/>
          <w:szCs w:val="21"/>
          <w:highlight w:val="none"/>
        </w:rPr>
      </w:pPr>
      <w:r>
        <w:rPr>
          <w:rFonts w:hint="eastAsia" w:ascii="宋体" w:hAnsi="宋体" w:cs="宋体"/>
          <w:b/>
          <w:color w:val="auto"/>
          <w:szCs w:val="21"/>
          <w:highlight w:val="none"/>
        </w:rPr>
        <w:t>八、合同授予</w:t>
      </w:r>
    </w:p>
    <w:p w14:paraId="744AC827">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（一）签订合同</w:t>
      </w:r>
    </w:p>
    <w:p w14:paraId="7BDB1A3E">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1、成交人应自接到成交通知书后30日内与采购人签定合同。同时，</w:t>
      </w:r>
      <w:r>
        <w:rPr>
          <w:rFonts w:hint="eastAsia" w:hAnsi="宋体" w:eastAsia="宋体" w:cs="宋体"/>
          <w:color w:val="auto"/>
          <w:sz w:val="21"/>
          <w:szCs w:val="21"/>
          <w:highlight w:val="none"/>
          <w:lang w:eastAsia="zh-CN"/>
        </w:rPr>
        <w:t>采购代理机构</w:t>
      </w:r>
      <w:r>
        <w:rPr>
          <w:rFonts w:hint="eastAsia" w:hAnsi="宋体" w:eastAsia="宋体" w:cs="宋体"/>
          <w:color w:val="auto"/>
          <w:sz w:val="21"/>
          <w:szCs w:val="21"/>
          <w:highlight w:val="none"/>
        </w:rPr>
        <w:t>对合同内容进行审查，如发现与采购结果和响应承诺内容不一致的，应予以纠正。</w:t>
      </w:r>
    </w:p>
    <w:p w14:paraId="1FF6F8BB">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2、成交人拖延、拒签合同的，将被取消中标资格。</w:t>
      </w:r>
    </w:p>
    <w:p w14:paraId="7255DF2E">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3、成交人和采购人签订合同，按合同约定执行。</w:t>
      </w:r>
    </w:p>
    <w:p w14:paraId="194AF325">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4、中标或者成交供应商拒绝与采购人签订合同的，采购人可以按照评审报告推荐的中标或者成交候选人名单排序，确定下一候选人为中标或者成交供应商，也可以重新开展政府采购活动。</w:t>
      </w:r>
    </w:p>
    <w:p w14:paraId="05F55D1B">
      <w:pPr>
        <w:pStyle w:val="13"/>
        <w:snapToGrid w:val="0"/>
        <w:spacing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（二）合同公告：采购人应当自政府采购合同签订之日起2个工作日内，将政府采购合同在省级以上人民政府财政部门指定的媒体上公告，但政府采购合同中涉及国家秘密、商业秘密的内容除外。</w:t>
      </w:r>
    </w:p>
    <w:p w14:paraId="4F13AD1B">
      <w:pPr>
        <w:pStyle w:val="13"/>
        <w:snapToGrid w:val="0"/>
        <w:spacing w:before="120" w:after="120" w:line="360" w:lineRule="auto"/>
        <w:jc w:val="center"/>
        <w:outlineLvl w:val="0"/>
        <w:rPr>
          <w:rFonts w:hAnsi="宋体" w:eastAsia="宋体" w:cs="宋体"/>
          <w:b/>
          <w:color w:val="auto"/>
          <w:sz w:val="28"/>
          <w:szCs w:val="28"/>
          <w:highlight w:val="none"/>
        </w:rPr>
      </w:pPr>
      <w:r>
        <w:rPr>
          <w:rFonts w:hint="eastAsia" w:hAnsi="宋体" w:eastAsia="宋体" w:cs="宋体"/>
          <w:b/>
          <w:color w:val="auto"/>
          <w:sz w:val="28"/>
          <w:szCs w:val="28"/>
          <w:highlight w:val="none"/>
        </w:rPr>
        <w:br w:type="page"/>
      </w:r>
      <w:r>
        <w:rPr>
          <w:rFonts w:hint="eastAsia" w:hAnsi="宋体" w:eastAsia="宋体" w:cs="宋体"/>
          <w:b/>
          <w:color w:val="auto"/>
          <w:sz w:val="28"/>
          <w:szCs w:val="28"/>
          <w:highlight w:val="none"/>
        </w:rPr>
        <w:t>第四章  评标办法及标准</w:t>
      </w:r>
    </w:p>
    <w:p w14:paraId="1114D83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为公正、公平、科学地选择成交人，根据《中华人民共和国政府采购法》等有关法律法规的规定，并结合本项目的实际，制定本办法，本办法适用本项目的评标。</w:t>
      </w:r>
    </w:p>
    <w:p w14:paraId="78E3032C">
      <w:pPr>
        <w:autoSpaceDE w:val="0"/>
        <w:autoSpaceDN w:val="0"/>
        <w:adjustRightIn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一、资格审查</w:t>
      </w:r>
    </w:p>
    <w:p w14:paraId="43602310">
      <w:pPr>
        <w:autoSpaceDE w:val="0"/>
        <w:autoSpaceDN w:val="0"/>
        <w:adjustRightIn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1、由</w:t>
      </w:r>
      <w:r>
        <w:rPr>
          <w:rFonts w:hint="eastAsia" w:ascii="宋体" w:hAnsi="宋体" w:cs="宋体"/>
          <w:color w:val="auto"/>
          <w:szCs w:val="21"/>
          <w:highlight w:val="none"/>
        </w:rPr>
        <w:t>磋商小组</w:t>
      </w:r>
      <w:r>
        <w:rPr>
          <w:rFonts w:hint="eastAsia" w:ascii="宋体" w:hAnsi="宋体" w:cs="宋体"/>
          <w:color w:val="auto"/>
          <w:szCs w:val="21"/>
          <w:highlight w:val="none"/>
          <w:lang w:val="zh-CN"/>
        </w:rPr>
        <w:t>对</w:t>
      </w:r>
      <w:r>
        <w:rPr>
          <w:rFonts w:hint="eastAsia" w:ascii="宋体" w:hAnsi="宋体" w:cs="宋体"/>
          <w:color w:val="auto"/>
          <w:szCs w:val="21"/>
          <w:highlight w:val="none"/>
        </w:rPr>
        <w:t>响应</w:t>
      </w:r>
      <w:r>
        <w:rPr>
          <w:rFonts w:hint="eastAsia" w:ascii="宋体" w:hAnsi="宋体" w:cs="宋体"/>
          <w:color w:val="auto"/>
          <w:szCs w:val="21"/>
          <w:highlight w:val="none"/>
          <w:lang w:val="zh-CN"/>
        </w:rPr>
        <w:t>人的资格进行审查。</w:t>
      </w:r>
    </w:p>
    <w:p w14:paraId="4941BA88">
      <w:pPr>
        <w:autoSpaceDE w:val="0"/>
        <w:autoSpaceDN w:val="0"/>
        <w:adjustRightInd w:val="0"/>
        <w:spacing w:line="360" w:lineRule="auto"/>
        <w:ind w:firstLine="420" w:firstLineChars="200"/>
        <w:rPr>
          <w:rFonts w:ascii="宋体" w:hAnsi="宋体" w:cs="宋体"/>
          <w:color w:val="auto"/>
          <w:szCs w:val="21"/>
          <w:highlight w:val="none"/>
          <w:lang w:val="zh-CN"/>
        </w:rPr>
      </w:pPr>
      <w:r>
        <w:rPr>
          <w:rFonts w:hint="eastAsia" w:ascii="宋体" w:hAnsi="宋体" w:cs="宋体"/>
          <w:color w:val="auto"/>
          <w:szCs w:val="21"/>
          <w:highlight w:val="none"/>
          <w:lang w:val="zh-CN"/>
        </w:rPr>
        <w:t>2、按以下内容审核</w:t>
      </w:r>
      <w:r>
        <w:rPr>
          <w:rFonts w:hint="eastAsia" w:ascii="宋体" w:hAnsi="宋体" w:cs="宋体"/>
          <w:color w:val="auto"/>
          <w:szCs w:val="21"/>
          <w:highlight w:val="none"/>
        </w:rPr>
        <w:t>响应</w:t>
      </w:r>
      <w:r>
        <w:rPr>
          <w:rFonts w:hint="eastAsia" w:ascii="宋体" w:hAnsi="宋体" w:cs="宋体"/>
          <w:color w:val="auto"/>
          <w:szCs w:val="21"/>
          <w:highlight w:val="none"/>
          <w:lang w:val="zh-CN"/>
        </w:rPr>
        <w:t>文件是否符合</w:t>
      </w:r>
      <w:r>
        <w:rPr>
          <w:rFonts w:hint="eastAsia" w:ascii="宋体" w:hAnsi="宋体" w:cs="宋体"/>
          <w:color w:val="auto"/>
          <w:szCs w:val="21"/>
          <w:highlight w:val="none"/>
        </w:rPr>
        <w:t>磋商</w:t>
      </w:r>
      <w:r>
        <w:rPr>
          <w:rFonts w:hint="eastAsia" w:ascii="宋体" w:hAnsi="宋体" w:cs="宋体"/>
          <w:color w:val="auto"/>
          <w:szCs w:val="21"/>
          <w:highlight w:val="none"/>
          <w:lang w:val="zh-CN"/>
        </w:rPr>
        <w:t>文件的资格文件要求。</w:t>
      </w:r>
    </w:p>
    <w:tbl>
      <w:tblPr>
        <w:tblStyle w:val="28"/>
        <w:tblpPr w:leftFromText="180" w:rightFromText="180" w:vertAnchor="text" w:tblpXSpec="center" w:tblpY="1"/>
        <w:tblOverlap w:val="never"/>
        <w:tblW w:w="98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7725"/>
        <w:gridCol w:w="1388"/>
      </w:tblGrid>
      <w:tr w14:paraId="5280F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762" w:type="dxa"/>
            <w:vAlign w:val="center"/>
          </w:tcPr>
          <w:p w14:paraId="0470854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序号</w:t>
            </w:r>
          </w:p>
        </w:tc>
        <w:tc>
          <w:tcPr>
            <w:tcW w:w="7725" w:type="dxa"/>
            <w:tcBorders>
              <w:tl2br w:val="single" w:color="auto" w:sz="4" w:space="0"/>
            </w:tcBorders>
          </w:tcPr>
          <w:p w14:paraId="04BF52CC">
            <w:pPr>
              <w:keepNext w:val="0"/>
              <w:keepLines w:val="0"/>
              <w:suppressLineNumbers w:val="0"/>
              <w:spacing w:before="0" w:beforeAutospacing="0" w:after="0" w:afterAutospacing="0" w:line="360" w:lineRule="auto"/>
              <w:ind w:left="0" w:right="0"/>
              <w:jc w:val="right"/>
              <w:rPr>
                <w:rFonts w:hint="default" w:ascii="宋体" w:hAnsi="宋体" w:cs="宋体"/>
                <w:b/>
                <w:color w:val="auto"/>
                <w:szCs w:val="21"/>
                <w:highlight w:val="none"/>
              </w:rPr>
            </w:pPr>
            <w:r>
              <w:rPr>
                <w:rFonts w:hint="eastAsia" w:ascii="宋体" w:hAnsi="宋体" w:cs="宋体"/>
                <w:b/>
                <w:color w:val="auto"/>
                <w:szCs w:val="21"/>
                <w:highlight w:val="none"/>
              </w:rPr>
              <w:t>响应人</w:t>
            </w:r>
          </w:p>
          <w:p w14:paraId="72FE26E1">
            <w:pPr>
              <w:keepNext w:val="0"/>
              <w:keepLines w:val="0"/>
              <w:suppressLineNumbers w:val="0"/>
              <w:spacing w:before="0" w:beforeAutospacing="0" w:after="0" w:afterAutospacing="0" w:line="360" w:lineRule="auto"/>
              <w:ind w:left="0" w:right="0"/>
              <w:rPr>
                <w:rFonts w:hint="default" w:ascii="宋体" w:hAnsi="宋体" w:cs="宋体"/>
                <w:b/>
                <w:color w:val="auto"/>
                <w:szCs w:val="21"/>
                <w:highlight w:val="none"/>
              </w:rPr>
            </w:pPr>
            <w:r>
              <w:rPr>
                <w:rFonts w:hint="eastAsia" w:ascii="宋体" w:hAnsi="宋体" w:cs="宋体"/>
                <w:b/>
                <w:color w:val="auto"/>
                <w:szCs w:val="21"/>
                <w:highlight w:val="none"/>
              </w:rPr>
              <w:t>内容</w:t>
            </w:r>
          </w:p>
        </w:tc>
        <w:tc>
          <w:tcPr>
            <w:tcW w:w="1388" w:type="dxa"/>
            <w:vAlign w:val="center"/>
          </w:tcPr>
          <w:p w14:paraId="42C7E56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审核标准</w:t>
            </w:r>
          </w:p>
        </w:tc>
      </w:tr>
      <w:tr w14:paraId="682F9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 w:hRule="atLeast"/>
        </w:trPr>
        <w:tc>
          <w:tcPr>
            <w:tcW w:w="762" w:type="dxa"/>
            <w:vAlign w:val="center"/>
          </w:tcPr>
          <w:p w14:paraId="424B6107">
            <w:pPr>
              <w:keepNext w:val="0"/>
              <w:keepLines w:val="0"/>
              <w:suppressLineNumbers w:val="0"/>
              <w:spacing w:before="0" w:beforeAutospacing="0" w:after="0" w:afterAutospacing="0" w:line="336" w:lineRule="auto"/>
              <w:ind w:left="0" w:right="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lang w:val="en-US" w:eastAsia="zh-CN"/>
              </w:rPr>
              <w:t>1</w:t>
            </w:r>
          </w:p>
        </w:tc>
        <w:tc>
          <w:tcPr>
            <w:tcW w:w="7725" w:type="dxa"/>
            <w:vAlign w:val="center"/>
          </w:tcPr>
          <w:p w14:paraId="35028B4F">
            <w:pPr>
              <w:keepNext w:val="0"/>
              <w:keepLines w:val="0"/>
              <w:suppressLineNumbers w:val="0"/>
              <w:snapToGrid w:val="0"/>
              <w:spacing w:before="0" w:beforeAutospacing="0" w:after="0" w:afterAutospacing="0" w:line="360" w:lineRule="auto"/>
              <w:ind w:left="0" w:right="0"/>
              <w:rPr>
                <w:rFonts w:hint="eastAsia" w:ascii="宋体" w:hAnsi="宋体" w:cs="宋体"/>
                <w:b w:val="0"/>
                <w:bCs/>
                <w:color w:val="auto"/>
                <w:sz w:val="21"/>
                <w:szCs w:val="21"/>
                <w:lang w:val="en-US" w:eastAsia="zh-CN"/>
              </w:rPr>
            </w:pPr>
            <w:r>
              <w:rPr>
                <w:rFonts w:hint="eastAsia" w:ascii="宋体" w:hAnsi="宋体" w:cs="宋体"/>
                <w:color w:val="auto"/>
                <w:szCs w:val="21"/>
              </w:rPr>
              <w:t>享受预留份额政策相关证明文件</w:t>
            </w:r>
          </w:p>
        </w:tc>
        <w:tc>
          <w:tcPr>
            <w:tcW w:w="1388" w:type="dxa"/>
            <w:vAlign w:val="center"/>
          </w:tcPr>
          <w:p w14:paraId="1F87FA8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2754B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62" w:type="dxa"/>
            <w:vAlign w:val="center"/>
          </w:tcPr>
          <w:p w14:paraId="25A452AC">
            <w:pPr>
              <w:keepNext w:val="0"/>
              <w:keepLines w:val="0"/>
              <w:suppressLineNumbers w:val="0"/>
              <w:spacing w:before="0" w:beforeAutospacing="0" w:after="0" w:afterAutospacing="0" w:line="336" w:lineRule="auto"/>
              <w:ind w:left="0" w:right="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rPr>
              <w:t>2</w:t>
            </w:r>
          </w:p>
        </w:tc>
        <w:tc>
          <w:tcPr>
            <w:tcW w:w="7725" w:type="dxa"/>
            <w:vAlign w:val="center"/>
          </w:tcPr>
          <w:p w14:paraId="2A758AB6">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color w:val="auto"/>
                <w:szCs w:val="20"/>
              </w:rPr>
              <w:t>具有独立承担民事责任的能力</w:t>
            </w:r>
          </w:p>
        </w:tc>
        <w:tc>
          <w:tcPr>
            <w:tcW w:w="1388" w:type="dxa"/>
            <w:vAlign w:val="center"/>
          </w:tcPr>
          <w:p w14:paraId="0B09288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55DEC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 w:hRule="atLeast"/>
        </w:trPr>
        <w:tc>
          <w:tcPr>
            <w:tcW w:w="762" w:type="dxa"/>
            <w:vAlign w:val="center"/>
          </w:tcPr>
          <w:p w14:paraId="1836EEC1">
            <w:pPr>
              <w:keepNext w:val="0"/>
              <w:keepLines w:val="0"/>
              <w:suppressLineNumbers w:val="0"/>
              <w:spacing w:before="0" w:beforeAutospacing="0" w:after="0" w:afterAutospacing="0" w:line="336" w:lineRule="auto"/>
              <w:ind w:left="0" w:right="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rPr>
              <w:t>3</w:t>
            </w:r>
          </w:p>
        </w:tc>
        <w:tc>
          <w:tcPr>
            <w:tcW w:w="7725" w:type="dxa"/>
            <w:vAlign w:val="center"/>
          </w:tcPr>
          <w:p w14:paraId="37503AE8">
            <w:pPr>
              <w:pStyle w:val="96"/>
              <w:keepNext w:val="0"/>
              <w:keepLines w:val="0"/>
              <w:suppressLineNumbers w:val="0"/>
              <w:spacing w:before="0" w:beforeAutospacing="0" w:after="0" w:afterAutospacing="0"/>
              <w:ind w:left="0" w:right="0"/>
              <w:jc w:val="left"/>
              <w:rPr>
                <w:rFonts w:hint="eastAsia" w:ascii="宋体" w:hAnsi="宋体" w:eastAsia="宋体" w:cs="宋体"/>
                <w:color w:val="auto"/>
                <w:kern w:val="2"/>
                <w:sz w:val="21"/>
                <w:szCs w:val="21"/>
                <w:lang w:val="en-US" w:eastAsia="zh-CN" w:bidi="ar-SA"/>
              </w:rPr>
            </w:pPr>
            <w:r>
              <w:rPr>
                <w:rFonts w:hint="eastAsia" w:hAnsi="宋体"/>
                <w:color w:val="auto"/>
                <w:sz w:val="21"/>
                <w:szCs w:val="21"/>
              </w:rPr>
              <w:t>资格承诺函</w:t>
            </w:r>
          </w:p>
        </w:tc>
        <w:tc>
          <w:tcPr>
            <w:tcW w:w="1388" w:type="dxa"/>
            <w:vAlign w:val="center"/>
          </w:tcPr>
          <w:p w14:paraId="6D3702B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7E2FC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762" w:type="dxa"/>
            <w:vAlign w:val="center"/>
          </w:tcPr>
          <w:p w14:paraId="493A5436">
            <w:pPr>
              <w:keepNext w:val="0"/>
              <w:keepLines w:val="0"/>
              <w:suppressLineNumbers w:val="0"/>
              <w:spacing w:before="0" w:beforeAutospacing="0" w:after="0" w:afterAutospacing="0" w:line="336" w:lineRule="auto"/>
              <w:ind w:left="0" w:right="0"/>
              <w:jc w:val="center"/>
              <w:rPr>
                <w:rFonts w:hint="eastAsia" w:ascii="宋体" w:hAnsi="宋体" w:eastAsia="宋体" w:cs="宋体"/>
                <w:color w:val="auto"/>
                <w:kern w:val="2"/>
                <w:sz w:val="21"/>
                <w:szCs w:val="21"/>
                <w:highlight w:val="none"/>
                <w:lang w:val="en-US" w:eastAsia="zh-CN" w:bidi="ar-SA"/>
              </w:rPr>
            </w:pPr>
            <w:r>
              <w:rPr>
                <w:rFonts w:hint="default" w:ascii="宋体" w:hAnsi="宋体" w:cs="宋体"/>
                <w:color w:val="auto"/>
                <w:szCs w:val="21"/>
              </w:rPr>
              <w:t>4</w:t>
            </w:r>
          </w:p>
        </w:tc>
        <w:tc>
          <w:tcPr>
            <w:tcW w:w="7725" w:type="dxa"/>
            <w:vAlign w:val="center"/>
          </w:tcPr>
          <w:p w14:paraId="29305574">
            <w:pPr>
              <w:pStyle w:val="96"/>
              <w:keepNext w:val="0"/>
              <w:keepLines w:val="0"/>
              <w:suppressLineNumbers w:val="0"/>
              <w:spacing w:before="0" w:beforeAutospacing="0" w:after="0" w:afterAutospacing="0"/>
              <w:ind w:left="0" w:right="0"/>
              <w:jc w:val="left"/>
              <w:rPr>
                <w:rFonts w:hint="eastAsia" w:ascii="宋体" w:hAnsi="宋体" w:eastAsia="宋体" w:cs="宋体"/>
                <w:color w:val="auto"/>
                <w:kern w:val="2"/>
                <w:sz w:val="21"/>
                <w:szCs w:val="21"/>
                <w:lang w:val="en-US" w:eastAsia="zh-CN" w:bidi="ar-SA"/>
              </w:rPr>
            </w:pPr>
            <w:r>
              <w:rPr>
                <w:rFonts w:hint="eastAsia" w:hAnsi="宋体" w:cs="宋体"/>
                <w:color w:val="auto"/>
                <w:kern w:val="2"/>
                <w:sz w:val="21"/>
                <w:szCs w:val="21"/>
              </w:rPr>
              <w:t>未被“信用中国”（www.creditchina.gov.cn）、中国政府采购网（www.ccgp.gov.cn）列入失信被执行人、重大税收违法案件当事人名单、政府采购严重违法失信行为记录名单。（具体以开标现场网页查询结果为准）</w:t>
            </w:r>
          </w:p>
        </w:tc>
        <w:tc>
          <w:tcPr>
            <w:tcW w:w="1388" w:type="dxa"/>
            <w:vAlign w:val="center"/>
          </w:tcPr>
          <w:p w14:paraId="49B4AB19">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57F9C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762" w:type="dxa"/>
            <w:vAlign w:val="center"/>
          </w:tcPr>
          <w:p w14:paraId="297B0F68">
            <w:pPr>
              <w:keepNext w:val="0"/>
              <w:keepLines w:val="0"/>
              <w:suppressLineNumbers w:val="0"/>
              <w:spacing w:before="0" w:beforeAutospacing="0" w:after="0" w:afterAutospacing="0" w:line="336" w:lineRule="auto"/>
              <w:ind w:left="0" w:right="0"/>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lang w:val="en-US" w:eastAsia="zh-CN" w:bidi="ar-SA"/>
              </w:rPr>
              <w:t>5</w:t>
            </w:r>
          </w:p>
        </w:tc>
        <w:tc>
          <w:tcPr>
            <w:tcW w:w="7725" w:type="dxa"/>
            <w:vAlign w:val="center"/>
          </w:tcPr>
          <w:p w14:paraId="300F0F9B">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lang w:val="en-US" w:eastAsia="zh-CN"/>
              </w:rPr>
              <w:t>响应</w:t>
            </w:r>
            <w:r>
              <w:rPr>
                <w:rFonts w:hint="eastAsia" w:ascii="宋体" w:hAnsi="宋体" w:cs="宋体"/>
                <w:color w:val="auto"/>
                <w:szCs w:val="21"/>
              </w:rPr>
              <w:t>人法定代表人身份证复印件</w:t>
            </w:r>
          </w:p>
        </w:tc>
        <w:tc>
          <w:tcPr>
            <w:tcW w:w="1388" w:type="dxa"/>
            <w:vAlign w:val="center"/>
          </w:tcPr>
          <w:p w14:paraId="00998846">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059E1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762" w:type="dxa"/>
            <w:vAlign w:val="center"/>
          </w:tcPr>
          <w:p w14:paraId="7E794C7C">
            <w:pPr>
              <w:keepNext w:val="0"/>
              <w:keepLines w:val="0"/>
              <w:suppressLineNumbers w:val="0"/>
              <w:spacing w:before="0" w:beforeAutospacing="0" w:after="0" w:afterAutospacing="0" w:line="336" w:lineRule="auto"/>
              <w:ind w:left="0" w:right="0"/>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lang w:val="en-US" w:eastAsia="zh-CN" w:bidi="ar-SA"/>
              </w:rPr>
              <w:t>6</w:t>
            </w:r>
          </w:p>
        </w:tc>
        <w:tc>
          <w:tcPr>
            <w:tcW w:w="7725" w:type="dxa"/>
            <w:vAlign w:val="center"/>
          </w:tcPr>
          <w:p w14:paraId="6156EAFF">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hAnsi="宋体" w:cs="宋体"/>
                <w:color w:val="auto"/>
                <w:szCs w:val="21"/>
                <w:lang w:val="en-US" w:eastAsia="zh-CN"/>
              </w:rPr>
              <w:t>响应</w:t>
            </w:r>
            <w:r>
              <w:rPr>
                <w:rFonts w:hint="eastAsia" w:hAnsi="宋体" w:cs="宋体"/>
                <w:color w:val="auto"/>
                <w:szCs w:val="21"/>
              </w:rPr>
              <w:t>函</w:t>
            </w:r>
          </w:p>
        </w:tc>
        <w:tc>
          <w:tcPr>
            <w:tcW w:w="1388" w:type="dxa"/>
            <w:vAlign w:val="center"/>
          </w:tcPr>
          <w:p w14:paraId="4571C0B2">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42308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62" w:type="dxa"/>
            <w:vAlign w:val="center"/>
          </w:tcPr>
          <w:p w14:paraId="36EF978D">
            <w:pPr>
              <w:keepNext w:val="0"/>
              <w:keepLines w:val="0"/>
              <w:suppressLineNumbers w:val="0"/>
              <w:spacing w:before="0" w:beforeAutospacing="0" w:after="0" w:afterAutospacing="0" w:line="336" w:lineRule="auto"/>
              <w:ind w:left="0" w:right="0"/>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lang w:val="en-US" w:eastAsia="zh-CN" w:bidi="ar-SA"/>
              </w:rPr>
              <w:t>7</w:t>
            </w:r>
          </w:p>
        </w:tc>
        <w:tc>
          <w:tcPr>
            <w:tcW w:w="7725" w:type="dxa"/>
            <w:vAlign w:val="center"/>
          </w:tcPr>
          <w:p w14:paraId="42FA4D7B">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rPr>
              <w:t>法定代表人授权函，非法定代表人参加</w:t>
            </w:r>
            <w:r>
              <w:rPr>
                <w:rFonts w:hint="eastAsia" w:ascii="宋体" w:hAnsi="宋体" w:cs="宋体"/>
                <w:color w:val="auto"/>
                <w:szCs w:val="21"/>
                <w:lang w:val="en-US" w:eastAsia="zh-CN"/>
              </w:rPr>
              <w:t>磋商</w:t>
            </w:r>
            <w:r>
              <w:rPr>
                <w:rFonts w:hint="eastAsia" w:ascii="宋体" w:hAnsi="宋体" w:cs="宋体"/>
                <w:color w:val="auto"/>
                <w:szCs w:val="21"/>
              </w:rPr>
              <w:t>时提供</w:t>
            </w:r>
          </w:p>
        </w:tc>
        <w:tc>
          <w:tcPr>
            <w:tcW w:w="1388" w:type="dxa"/>
            <w:vAlign w:val="center"/>
          </w:tcPr>
          <w:p w14:paraId="624FECAE">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206A0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762" w:type="dxa"/>
            <w:vAlign w:val="center"/>
          </w:tcPr>
          <w:p w14:paraId="129DCA2F">
            <w:pPr>
              <w:keepNext w:val="0"/>
              <w:keepLines w:val="0"/>
              <w:suppressLineNumbers w:val="0"/>
              <w:spacing w:before="0" w:beforeAutospacing="0" w:after="0" w:afterAutospacing="0" w:line="336" w:lineRule="auto"/>
              <w:ind w:left="0" w:right="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lang w:val="en-US" w:eastAsia="zh-CN"/>
              </w:rPr>
              <w:t>8</w:t>
            </w:r>
          </w:p>
        </w:tc>
        <w:tc>
          <w:tcPr>
            <w:tcW w:w="7725" w:type="dxa"/>
            <w:vAlign w:val="center"/>
          </w:tcPr>
          <w:p w14:paraId="2A9710EB">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lang w:val="en-US" w:eastAsia="zh-CN"/>
              </w:rPr>
              <w:t>响应</w:t>
            </w:r>
            <w:r>
              <w:rPr>
                <w:rFonts w:hint="eastAsia" w:ascii="宋体" w:hAnsi="宋体" w:cs="宋体"/>
                <w:color w:val="auto"/>
                <w:szCs w:val="21"/>
              </w:rPr>
              <w:t>人代表身份证复印件，非法定代表人参加</w:t>
            </w:r>
            <w:r>
              <w:rPr>
                <w:rFonts w:hint="eastAsia" w:ascii="宋体" w:hAnsi="宋体" w:cs="宋体"/>
                <w:color w:val="auto"/>
                <w:szCs w:val="21"/>
                <w:lang w:val="en-US" w:eastAsia="zh-CN"/>
              </w:rPr>
              <w:t>磋商</w:t>
            </w:r>
            <w:r>
              <w:rPr>
                <w:rFonts w:hint="eastAsia" w:ascii="宋体" w:hAnsi="宋体" w:cs="宋体"/>
                <w:color w:val="auto"/>
                <w:szCs w:val="21"/>
              </w:rPr>
              <w:t>时提供</w:t>
            </w:r>
          </w:p>
        </w:tc>
        <w:tc>
          <w:tcPr>
            <w:tcW w:w="1388" w:type="dxa"/>
            <w:vAlign w:val="center"/>
          </w:tcPr>
          <w:p w14:paraId="69254BA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0B756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762" w:type="dxa"/>
            <w:vAlign w:val="center"/>
          </w:tcPr>
          <w:p w14:paraId="099923AE">
            <w:pPr>
              <w:keepNext w:val="0"/>
              <w:keepLines w:val="0"/>
              <w:suppressLineNumbers w:val="0"/>
              <w:spacing w:before="0" w:beforeAutospacing="0" w:after="0" w:afterAutospacing="0" w:line="336" w:lineRule="auto"/>
              <w:ind w:left="0" w:right="0"/>
              <w:jc w:val="center"/>
              <w:rPr>
                <w:rFonts w:hint="default" w:ascii="宋体" w:hAnsi="宋体" w:cs="宋体"/>
                <w:color w:val="auto"/>
                <w:szCs w:val="21"/>
                <w:highlight w:val="none"/>
                <w:lang w:val="en-US" w:eastAsia="zh-CN"/>
              </w:rPr>
            </w:pPr>
            <w:r>
              <w:rPr>
                <w:rFonts w:hint="eastAsia" w:ascii="宋体" w:hAnsi="宋体" w:eastAsia="宋体" w:cs="宋体"/>
                <w:color w:val="auto"/>
                <w:szCs w:val="21"/>
                <w:lang w:val="en-US" w:eastAsia="zh-CN"/>
              </w:rPr>
              <w:t>9</w:t>
            </w:r>
          </w:p>
        </w:tc>
        <w:tc>
          <w:tcPr>
            <w:tcW w:w="7725" w:type="dxa"/>
            <w:vAlign w:val="center"/>
          </w:tcPr>
          <w:p w14:paraId="1E5F4A23">
            <w:pPr>
              <w:keepNext w:val="0"/>
              <w:keepLines w:val="0"/>
              <w:suppressLineNumbers w:val="0"/>
              <w:spacing w:before="0" w:beforeAutospacing="0" w:after="0" w:afterAutospacing="0"/>
              <w:ind w:left="0" w:right="0"/>
              <w:rPr>
                <w:rFonts w:hint="eastAsia" w:ascii="宋体" w:hAnsi="宋体" w:eastAsia="宋体" w:cs="宋体"/>
                <w:color w:val="auto"/>
                <w:kern w:val="2"/>
                <w:sz w:val="21"/>
                <w:szCs w:val="21"/>
                <w:lang w:val="en-US" w:eastAsia="zh-CN"/>
              </w:rPr>
            </w:pPr>
            <w:r>
              <w:rPr>
                <w:rFonts w:hint="eastAsia" w:ascii="宋体" w:hAnsi="宋体" w:eastAsia="宋体" w:cs="Times New Roman"/>
                <w:color w:val="auto"/>
                <w:szCs w:val="21"/>
              </w:rPr>
              <w:t>具有市政公用工程施工总承包叁级及以上资质的独立法人企业</w:t>
            </w:r>
            <w:r>
              <w:rPr>
                <w:rFonts w:hint="eastAsia" w:ascii="宋体" w:hAnsi="宋体" w:eastAsia="宋体" w:cs="Times New Roman"/>
                <w:color w:val="auto"/>
                <w:szCs w:val="21"/>
                <w:lang w:val="en-US" w:eastAsia="zh-CN"/>
              </w:rPr>
              <w:t>[</w:t>
            </w:r>
            <w:r>
              <w:rPr>
                <w:rFonts w:hint="eastAsia" w:ascii="宋体" w:hAnsi="宋体" w:eastAsia="宋体" w:cs="Times New Roman"/>
                <w:color w:val="auto"/>
                <w:szCs w:val="21"/>
              </w:rPr>
              <w:t>对应资质应在“浙江省建筑市场监管公共服务系统”上资质动态核查结果处于“合格”状态，提供</w:t>
            </w:r>
            <w:r>
              <w:rPr>
                <w:rFonts w:hint="eastAsia" w:eastAsia="宋体"/>
                <w:color w:val="auto"/>
                <w:szCs w:val="20"/>
                <w:highlight w:val="white"/>
                <w:lang w:val="en-US" w:eastAsia="zh-CN"/>
              </w:rPr>
              <w:t>响应</w:t>
            </w:r>
            <w:r>
              <w:rPr>
                <w:rFonts w:hint="eastAsia"/>
                <w:color w:val="auto"/>
                <w:szCs w:val="20"/>
                <w:highlight w:val="white"/>
              </w:rPr>
              <w:t>人核查发布日期为</w:t>
            </w:r>
            <w:r>
              <w:rPr>
                <w:rFonts w:hint="eastAsia"/>
                <w:b/>
                <w:bCs/>
                <w:color w:val="auto"/>
                <w:szCs w:val="20"/>
                <w:highlight w:val="white"/>
              </w:rPr>
              <w:t>2024年</w:t>
            </w:r>
            <w:r>
              <w:rPr>
                <w:rFonts w:hint="eastAsia"/>
                <w:b/>
                <w:bCs/>
                <w:color w:val="auto"/>
                <w:szCs w:val="20"/>
                <w:highlight w:val="white"/>
                <w:lang w:val="en-US" w:eastAsia="zh-CN"/>
              </w:rPr>
              <w:t>12</w:t>
            </w:r>
            <w:r>
              <w:rPr>
                <w:rFonts w:hint="eastAsia"/>
                <w:b/>
                <w:bCs/>
                <w:color w:val="auto"/>
                <w:szCs w:val="20"/>
                <w:highlight w:val="white"/>
              </w:rPr>
              <w:t>月</w:t>
            </w:r>
            <w:r>
              <w:rPr>
                <w:rFonts w:hint="eastAsia"/>
                <w:b/>
                <w:bCs/>
                <w:color w:val="auto"/>
                <w:szCs w:val="20"/>
                <w:highlight w:val="white"/>
                <w:lang w:val="en-US" w:eastAsia="zh-CN"/>
              </w:rPr>
              <w:t>16</w:t>
            </w:r>
            <w:r>
              <w:rPr>
                <w:rFonts w:hint="eastAsia"/>
                <w:b/>
                <w:bCs/>
                <w:color w:val="auto"/>
                <w:szCs w:val="20"/>
                <w:highlight w:val="white"/>
              </w:rPr>
              <w:t>日（周一）</w:t>
            </w:r>
            <w:r>
              <w:rPr>
                <w:rFonts w:hint="eastAsia"/>
                <w:color w:val="auto"/>
                <w:szCs w:val="20"/>
                <w:highlight w:val="white"/>
              </w:rPr>
              <w:t>在“浙江省建筑市场监管公共服务系统”上，参与</w:t>
            </w:r>
            <w:r>
              <w:rPr>
                <w:rFonts w:hint="eastAsia"/>
                <w:color w:val="auto"/>
                <w:szCs w:val="20"/>
                <w:highlight w:val="white"/>
                <w:lang w:val="en-US" w:eastAsia="zh-CN"/>
              </w:rPr>
              <w:t>响应</w:t>
            </w:r>
            <w:r>
              <w:rPr>
                <w:rFonts w:hint="eastAsia"/>
                <w:color w:val="auto"/>
                <w:szCs w:val="20"/>
                <w:highlight w:val="white"/>
              </w:rPr>
              <w:t>资质的“资质动态核查证明”。</w:t>
            </w:r>
            <w:r>
              <w:rPr>
                <w:rFonts w:hint="eastAsia"/>
                <w:b/>
                <w:bCs/>
                <w:color w:val="auto"/>
                <w:szCs w:val="20"/>
                <w:highlight w:val="white"/>
              </w:rPr>
              <w:t>2024年</w:t>
            </w:r>
            <w:r>
              <w:rPr>
                <w:rFonts w:hint="eastAsia"/>
                <w:b/>
                <w:bCs/>
                <w:color w:val="auto"/>
                <w:szCs w:val="20"/>
                <w:highlight w:val="white"/>
                <w:lang w:val="en-US" w:eastAsia="zh-CN"/>
              </w:rPr>
              <w:t>12</w:t>
            </w:r>
            <w:r>
              <w:rPr>
                <w:rFonts w:hint="eastAsia"/>
                <w:b/>
                <w:bCs/>
                <w:color w:val="auto"/>
                <w:szCs w:val="20"/>
                <w:highlight w:val="white"/>
              </w:rPr>
              <w:t>月</w:t>
            </w:r>
            <w:r>
              <w:rPr>
                <w:rFonts w:hint="eastAsia"/>
                <w:b/>
                <w:bCs/>
                <w:color w:val="auto"/>
                <w:szCs w:val="20"/>
                <w:highlight w:val="white"/>
                <w:lang w:val="en-US" w:eastAsia="zh-CN"/>
              </w:rPr>
              <w:t>16</w:t>
            </w:r>
            <w:r>
              <w:rPr>
                <w:rFonts w:hint="eastAsia"/>
                <w:b/>
                <w:bCs/>
                <w:color w:val="auto"/>
                <w:szCs w:val="20"/>
                <w:highlight w:val="white"/>
              </w:rPr>
              <w:t>日（周一）</w:t>
            </w:r>
            <w:r>
              <w:rPr>
                <w:rFonts w:hint="eastAsia"/>
                <w:color w:val="auto"/>
                <w:szCs w:val="20"/>
                <w:highlight w:val="white"/>
              </w:rPr>
              <w:t>是指“浙江省建筑业企业资质动态核查证明”中的核查发布日期</w:t>
            </w:r>
            <w:r>
              <w:rPr>
                <w:rFonts w:hint="eastAsia"/>
                <w:color w:val="auto"/>
                <w:szCs w:val="20"/>
                <w:highlight w:val="white"/>
                <w:lang w:val="en-US" w:eastAsia="zh-CN"/>
              </w:rPr>
              <w:t>]</w:t>
            </w:r>
          </w:p>
        </w:tc>
        <w:tc>
          <w:tcPr>
            <w:tcW w:w="1388" w:type="dxa"/>
            <w:vAlign w:val="center"/>
          </w:tcPr>
          <w:p w14:paraId="6B55DCC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68B53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762" w:type="dxa"/>
            <w:vAlign w:val="center"/>
          </w:tcPr>
          <w:p w14:paraId="03B6A978">
            <w:pPr>
              <w:keepNext w:val="0"/>
              <w:keepLines w:val="0"/>
              <w:suppressLineNumbers w:val="0"/>
              <w:spacing w:before="0" w:beforeAutospacing="0" w:after="0" w:afterAutospacing="0" w:line="336" w:lineRule="auto"/>
              <w:ind w:left="0" w:right="0"/>
              <w:jc w:val="center"/>
              <w:rPr>
                <w:rFonts w:hint="eastAsia" w:ascii="宋体" w:hAnsi="宋体" w:cs="宋体"/>
                <w:color w:val="auto"/>
                <w:szCs w:val="21"/>
                <w:highlight w:val="none"/>
                <w:lang w:val="en-US" w:eastAsia="zh-CN"/>
              </w:rPr>
            </w:pPr>
            <w:r>
              <w:rPr>
                <w:rFonts w:hint="eastAsia" w:ascii="宋体" w:hAnsi="宋体" w:eastAsia="宋体" w:cs="宋体"/>
                <w:color w:val="auto"/>
                <w:szCs w:val="21"/>
                <w:lang w:val="en-US" w:eastAsia="zh-CN"/>
              </w:rPr>
              <w:t>10</w:t>
            </w:r>
          </w:p>
        </w:tc>
        <w:tc>
          <w:tcPr>
            <w:tcW w:w="7725" w:type="dxa"/>
            <w:vAlign w:val="center"/>
          </w:tcPr>
          <w:p w14:paraId="3E1F568E">
            <w:pPr>
              <w:keepNext w:val="0"/>
              <w:keepLines w:val="0"/>
              <w:suppressLineNumbers w:val="0"/>
              <w:spacing w:before="0" w:beforeAutospacing="0" w:after="0" w:afterAutospacing="0"/>
              <w:ind w:left="0" w:right="0"/>
              <w:rPr>
                <w:rFonts w:hint="eastAsia" w:ascii="宋体" w:hAnsi="宋体" w:eastAsia="宋体" w:cs="宋体"/>
                <w:color w:val="auto"/>
                <w:kern w:val="2"/>
                <w:sz w:val="21"/>
                <w:szCs w:val="21"/>
              </w:rPr>
            </w:pPr>
            <w:r>
              <w:rPr>
                <w:rFonts w:hint="eastAsia" w:ascii="宋体" w:hAnsi="宋体" w:eastAsia="宋体" w:cs="Times New Roman"/>
                <w:color w:val="auto"/>
                <w:szCs w:val="21"/>
              </w:rPr>
              <w:t>具有有效的安全生产许可证</w:t>
            </w:r>
          </w:p>
        </w:tc>
        <w:tc>
          <w:tcPr>
            <w:tcW w:w="1388" w:type="dxa"/>
            <w:vAlign w:val="center"/>
          </w:tcPr>
          <w:p w14:paraId="38976499">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041AB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762" w:type="dxa"/>
            <w:vAlign w:val="center"/>
          </w:tcPr>
          <w:p w14:paraId="756D10E6">
            <w:pPr>
              <w:keepNext w:val="0"/>
              <w:keepLines w:val="0"/>
              <w:suppressLineNumbers w:val="0"/>
              <w:spacing w:before="0" w:beforeAutospacing="0" w:after="0" w:afterAutospacing="0" w:line="336" w:lineRule="auto"/>
              <w:ind w:left="0" w:right="0"/>
              <w:jc w:val="center"/>
              <w:rPr>
                <w:rFonts w:hint="eastAsia" w:ascii="宋体" w:hAnsi="宋体" w:cs="宋体"/>
                <w:color w:val="auto"/>
                <w:szCs w:val="21"/>
                <w:highlight w:val="none"/>
                <w:lang w:val="en-US" w:eastAsia="zh-CN"/>
              </w:rPr>
            </w:pPr>
            <w:r>
              <w:rPr>
                <w:rFonts w:hint="eastAsia" w:ascii="宋体" w:hAnsi="宋体" w:eastAsia="宋体" w:cs="宋体"/>
                <w:color w:val="auto"/>
                <w:szCs w:val="21"/>
                <w:lang w:val="en-US" w:eastAsia="zh-CN"/>
              </w:rPr>
              <w:t>11</w:t>
            </w:r>
          </w:p>
        </w:tc>
        <w:tc>
          <w:tcPr>
            <w:tcW w:w="7725" w:type="dxa"/>
            <w:vAlign w:val="center"/>
          </w:tcPr>
          <w:p w14:paraId="7E5EEC80">
            <w:pPr>
              <w:keepNext w:val="0"/>
              <w:keepLines w:val="0"/>
              <w:suppressLineNumbers w:val="0"/>
              <w:spacing w:before="0" w:beforeAutospacing="0" w:after="0" w:afterAutospacing="0"/>
              <w:ind w:left="0" w:right="0"/>
              <w:rPr>
                <w:rFonts w:hint="eastAsia" w:ascii="宋体" w:hAnsi="宋体" w:eastAsia="宋体" w:cs="宋体"/>
                <w:color w:val="auto"/>
                <w:kern w:val="2"/>
                <w:sz w:val="21"/>
                <w:szCs w:val="21"/>
              </w:rPr>
            </w:pPr>
            <w:r>
              <w:rPr>
                <w:rFonts w:hint="eastAsia" w:ascii="宋体" w:hAnsi="宋体" w:eastAsia="宋体" w:cs="Times New Roman"/>
                <w:color w:val="auto"/>
                <w:szCs w:val="21"/>
                <w:lang w:val="en-US" w:eastAsia="zh-CN"/>
              </w:rPr>
              <w:t>项目负责人</w:t>
            </w:r>
            <w:r>
              <w:rPr>
                <w:rFonts w:hint="eastAsia" w:ascii="宋体" w:hAnsi="宋体" w:eastAsia="宋体" w:cs="Times New Roman"/>
                <w:color w:val="auto"/>
                <w:szCs w:val="21"/>
                <w:lang w:eastAsia="zh-CN"/>
              </w:rPr>
              <w:t>具有市政公用工程二级及以上注册建造师</w:t>
            </w:r>
            <w:r>
              <w:rPr>
                <w:rFonts w:hint="eastAsia" w:ascii="宋体" w:hAnsi="宋体" w:eastAsia="宋体" w:cs="Times New Roman"/>
                <w:b/>
                <w:bCs/>
                <w:color w:val="auto"/>
                <w:szCs w:val="21"/>
                <w:lang w:val="en-US" w:eastAsia="zh-CN"/>
              </w:rPr>
              <w:t>(</w:t>
            </w:r>
            <w:r>
              <w:rPr>
                <w:rFonts w:hint="eastAsia" w:ascii="宋体" w:hAnsi="宋体" w:eastAsia="宋体" w:cs="Times New Roman"/>
                <w:b/>
                <w:bCs/>
                <w:color w:val="auto"/>
                <w:szCs w:val="21"/>
                <w:lang w:eastAsia="zh-CN"/>
              </w:rPr>
              <w:t>一级建造师采用电子证书的，其复制件应符合建设部建办市【2021】40号文件规定；二级建造师采用电子证书的，其复制件应符合二级建造师采用的电子证书，其复制件应在个人签名处手写本人签名，未手写签名的，该电子证书无效</w:t>
            </w:r>
            <w:r>
              <w:rPr>
                <w:rFonts w:hint="eastAsia" w:ascii="宋体" w:hAnsi="宋体" w:eastAsia="宋体" w:cs="Times New Roman"/>
                <w:b/>
                <w:bCs/>
                <w:color w:val="auto"/>
                <w:szCs w:val="21"/>
                <w:lang w:val="en-US" w:eastAsia="zh-CN"/>
              </w:rPr>
              <w:t>)</w:t>
            </w:r>
          </w:p>
        </w:tc>
        <w:tc>
          <w:tcPr>
            <w:tcW w:w="1388" w:type="dxa"/>
            <w:vAlign w:val="center"/>
          </w:tcPr>
          <w:p w14:paraId="7F11AE9A">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2BB46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762" w:type="dxa"/>
            <w:vAlign w:val="center"/>
          </w:tcPr>
          <w:p w14:paraId="113C55C9">
            <w:pPr>
              <w:keepNext w:val="0"/>
              <w:keepLines w:val="0"/>
              <w:suppressLineNumbers w:val="0"/>
              <w:spacing w:before="0" w:beforeAutospacing="0" w:after="0" w:afterAutospacing="0" w:line="336" w:lineRule="auto"/>
              <w:ind w:left="0" w:right="0"/>
              <w:jc w:val="center"/>
              <w:rPr>
                <w:rFonts w:hint="eastAsia" w:ascii="宋体" w:hAnsi="宋体" w:cs="宋体"/>
                <w:color w:val="auto"/>
                <w:szCs w:val="21"/>
                <w:highlight w:val="none"/>
                <w:lang w:val="en-US" w:eastAsia="zh-CN"/>
              </w:rPr>
            </w:pPr>
            <w:r>
              <w:rPr>
                <w:rFonts w:hint="eastAsia" w:ascii="宋体" w:hAnsi="宋体" w:eastAsia="宋体" w:cs="宋体"/>
                <w:color w:val="auto"/>
                <w:szCs w:val="21"/>
                <w:lang w:val="en-US" w:eastAsia="zh-CN"/>
              </w:rPr>
              <w:t>12</w:t>
            </w:r>
          </w:p>
        </w:tc>
        <w:tc>
          <w:tcPr>
            <w:tcW w:w="7725" w:type="dxa"/>
            <w:vAlign w:val="center"/>
          </w:tcPr>
          <w:p w14:paraId="23C69358">
            <w:pPr>
              <w:keepNext w:val="0"/>
              <w:keepLines w:val="0"/>
              <w:suppressLineNumbers w:val="0"/>
              <w:spacing w:before="0" w:beforeAutospacing="0" w:after="0" w:afterAutospacing="0"/>
              <w:ind w:left="0" w:right="0"/>
              <w:rPr>
                <w:rFonts w:hint="eastAsia" w:ascii="宋体" w:hAnsi="宋体" w:eastAsia="宋体" w:cs="宋体"/>
                <w:color w:val="auto"/>
                <w:kern w:val="2"/>
                <w:sz w:val="21"/>
                <w:szCs w:val="21"/>
              </w:rPr>
            </w:pPr>
            <w:r>
              <w:rPr>
                <w:rFonts w:hint="eastAsia" w:ascii="宋体" w:hAnsi="宋体" w:eastAsia="宋体" w:cs="Times New Roman"/>
                <w:color w:val="auto"/>
                <w:szCs w:val="21"/>
                <w:lang w:val="en-US" w:eastAsia="zh-CN"/>
              </w:rPr>
              <w:t>项目负责人和安全员必须配备齐全（其中安全员配备符合建质【2008】91 号文件规定），项目负责人须有 B 类安全考核证书，项目安全员须有 C 类安全考核证书，且均应有本企业有效的社保证明（近 3 个月内任意一月）。如因故无法提供社保证明，须提供能证明是本企业在职人员的相关证明材料。</w:t>
            </w:r>
          </w:p>
        </w:tc>
        <w:tc>
          <w:tcPr>
            <w:tcW w:w="1388" w:type="dxa"/>
            <w:vAlign w:val="center"/>
          </w:tcPr>
          <w:p w14:paraId="31BF00C3">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0AA39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762" w:type="dxa"/>
            <w:vAlign w:val="center"/>
          </w:tcPr>
          <w:p w14:paraId="2241D49A">
            <w:pPr>
              <w:keepNext w:val="0"/>
              <w:keepLines w:val="0"/>
              <w:suppressLineNumbers w:val="0"/>
              <w:spacing w:before="0" w:beforeAutospacing="0" w:after="0" w:afterAutospacing="0" w:line="336" w:lineRule="auto"/>
              <w:ind w:left="0" w:right="0"/>
              <w:jc w:val="center"/>
              <w:rPr>
                <w:rFonts w:hint="eastAsia" w:ascii="宋体" w:hAnsi="宋体" w:cs="宋体"/>
                <w:color w:val="auto"/>
                <w:szCs w:val="21"/>
                <w:highlight w:val="none"/>
                <w:lang w:val="en-US" w:eastAsia="zh-CN"/>
              </w:rPr>
            </w:pPr>
            <w:r>
              <w:rPr>
                <w:rFonts w:hint="eastAsia" w:ascii="宋体" w:hAnsi="宋体" w:eastAsia="宋体" w:cs="宋体"/>
                <w:color w:val="auto"/>
                <w:szCs w:val="21"/>
                <w:lang w:val="en-US" w:eastAsia="zh-CN"/>
              </w:rPr>
              <w:t>13</w:t>
            </w:r>
          </w:p>
        </w:tc>
        <w:tc>
          <w:tcPr>
            <w:tcW w:w="7725" w:type="dxa"/>
            <w:vAlign w:val="center"/>
          </w:tcPr>
          <w:p w14:paraId="53CAA2C0">
            <w:pPr>
              <w:keepNext w:val="0"/>
              <w:keepLines w:val="0"/>
              <w:suppressLineNumbers w:val="0"/>
              <w:spacing w:before="0" w:beforeAutospacing="0" w:after="0" w:afterAutospacing="0"/>
              <w:ind w:left="0" w:right="0"/>
              <w:rPr>
                <w:rFonts w:hint="eastAsia" w:ascii="宋体" w:hAnsi="宋体" w:eastAsia="宋体" w:cs="宋体"/>
                <w:color w:val="auto"/>
                <w:kern w:val="2"/>
                <w:sz w:val="21"/>
                <w:szCs w:val="21"/>
              </w:rPr>
            </w:pPr>
            <w:r>
              <w:rPr>
                <w:rFonts w:hint="eastAsia" w:ascii="宋体" w:hAnsi="宋体" w:eastAsia="宋体" w:cs="Times New Roman"/>
                <w:color w:val="auto"/>
                <w:szCs w:val="21"/>
                <w:lang w:val="en-US" w:eastAsia="zh-CN"/>
              </w:rPr>
              <w:t>如浙江</w:t>
            </w:r>
            <w:r>
              <w:rPr>
                <w:rFonts w:hint="eastAsia" w:ascii="宋体" w:hAnsi="宋体" w:eastAsia="宋体" w:cs="Times New Roman"/>
                <w:color w:val="auto"/>
                <w:szCs w:val="21"/>
              </w:rPr>
              <w:t>省外企业</w:t>
            </w:r>
            <w:r>
              <w:rPr>
                <w:rFonts w:hint="eastAsia" w:ascii="宋体" w:hAnsi="宋体" w:eastAsia="宋体" w:cs="Times New Roman"/>
                <w:color w:val="auto"/>
                <w:szCs w:val="21"/>
                <w:lang w:val="en-US" w:eastAsia="zh-CN"/>
              </w:rPr>
              <w:t>响应</w:t>
            </w:r>
            <w:r>
              <w:rPr>
                <w:rFonts w:hint="eastAsia" w:ascii="宋体" w:hAnsi="宋体" w:eastAsia="宋体" w:cs="Times New Roman"/>
                <w:color w:val="auto"/>
                <w:szCs w:val="21"/>
                <w:lang w:eastAsia="zh-CN"/>
              </w:rPr>
              <w:t>的，</w:t>
            </w:r>
            <w:r>
              <w:rPr>
                <w:rFonts w:hint="eastAsia" w:ascii="宋体" w:hAnsi="宋体" w:eastAsia="宋体" w:cs="Times New Roman"/>
                <w:color w:val="auto"/>
                <w:szCs w:val="21"/>
                <w:lang w:val="en-US" w:eastAsia="zh-CN"/>
              </w:rPr>
              <w:t>须提供</w:t>
            </w:r>
            <w:r>
              <w:rPr>
                <w:rFonts w:hint="eastAsia" w:ascii="宋体" w:hAnsi="宋体" w:eastAsia="宋体" w:cs="Times New Roman"/>
                <w:color w:val="auto"/>
                <w:szCs w:val="21"/>
              </w:rPr>
              <w:t>在“浙江省建筑市场监管公共服务系统”备案信</w:t>
            </w:r>
            <w:r>
              <w:rPr>
                <w:rFonts w:hint="eastAsia"/>
                <w:color w:val="auto"/>
                <w:szCs w:val="20"/>
                <w:highlight w:val="white"/>
              </w:rPr>
              <w:t>息截图复制件</w:t>
            </w:r>
          </w:p>
        </w:tc>
        <w:tc>
          <w:tcPr>
            <w:tcW w:w="1388" w:type="dxa"/>
            <w:vAlign w:val="center"/>
          </w:tcPr>
          <w:p w14:paraId="082055E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1E3E4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8487" w:type="dxa"/>
            <w:gridSpan w:val="2"/>
          </w:tcPr>
          <w:p w14:paraId="7FDE4BF2">
            <w:pPr>
              <w:pStyle w:val="15"/>
              <w:keepNext w:val="0"/>
              <w:keepLines w:val="0"/>
              <w:suppressLineNumbers w:val="0"/>
              <w:spacing w:before="0" w:beforeAutospacing="0" w:after="0" w:afterAutospacing="0" w:line="360" w:lineRule="auto"/>
              <w:ind w:left="0" w:right="0" w:firstLine="0" w:firstLineChars="0"/>
              <w:jc w:val="center"/>
              <w:rPr>
                <w:rFonts w:hint="default" w:ascii="宋体" w:hAnsi="宋体" w:cs="宋体"/>
                <w:b/>
                <w:color w:val="auto"/>
                <w:sz w:val="21"/>
                <w:szCs w:val="21"/>
                <w:highlight w:val="none"/>
              </w:rPr>
            </w:pPr>
            <w:r>
              <w:rPr>
                <w:rFonts w:hint="eastAsia" w:ascii="宋体" w:hAnsi="宋体" w:cs="宋体"/>
                <w:b/>
                <w:color w:val="auto"/>
                <w:sz w:val="21"/>
                <w:szCs w:val="21"/>
                <w:highlight w:val="none"/>
              </w:rPr>
              <w:t>结   论</w:t>
            </w:r>
          </w:p>
        </w:tc>
        <w:tc>
          <w:tcPr>
            <w:tcW w:w="1388" w:type="dxa"/>
            <w:vAlign w:val="center"/>
          </w:tcPr>
          <w:p w14:paraId="769BDD7E">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r>
    </w:tbl>
    <w:p w14:paraId="68312F66">
      <w:pPr>
        <w:autoSpaceDE w:val="0"/>
        <w:autoSpaceDN w:val="0"/>
        <w:adjustRightIn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zh-CN"/>
        </w:rPr>
        <w:t>注：1、表中只需填写“√”或“×”；</w:t>
      </w:r>
      <w:r>
        <w:rPr>
          <w:rFonts w:hint="eastAsia" w:ascii="宋体" w:hAnsi="宋体" w:cs="宋体"/>
          <w:color w:val="auto"/>
          <w:szCs w:val="21"/>
          <w:highlight w:val="none"/>
        </w:rPr>
        <w:t xml:space="preserve"> </w:t>
      </w:r>
      <w:r>
        <w:rPr>
          <w:rFonts w:hint="eastAsia" w:ascii="宋体" w:hAnsi="宋体" w:cs="宋体"/>
          <w:color w:val="auto"/>
          <w:szCs w:val="21"/>
          <w:highlight w:val="none"/>
          <w:lang w:val="zh-CN"/>
        </w:rPr>
        <w:t>2、在结论栏中填写“合格”或“不合格”。</w:t>
      </w:r>
    </w:p>
    <w:p w14:paraId="0F77EFCA">
      <w:pPr>
        <w:autoSpaceDE w:val="0"/>
        <w:autoSpaceDN w:val="0"/>
        <w:adjustRightIn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二、</w:t>
      </w:r>
      <w:r>
        <w:rPr>
          <w:rFonts w:ascii="宋体" w:hAnsi="宋体" w:cs="宋体"/>
          <w:b/>
          <w:color w:val="auto"/>
          <w:szCs w:val="21"/>
          <w:highlight w:val="none"/>
        </w:rPr>
        <w:t>成交</w:t>
      </w:r>
      <w:r>
        <w:rPr>
          <w:rFonts w:hint="eastAsia" w:ascii="宋体" w:hAnsi="宋体" w:cs="宋体"/>
          <w:b/>
          <w:color w:val="auto"/>
          <w:szCs w:val="21"/>
          <w:highlight w:val="none"/>
        </w:rPr>
        <w:t>候选人的选取</w:t>
      </w:r>
    </w:p>
    <w:p w14:paraId="08D1D3C2">
      <w:pPr>
        <w:spacing w:line="360" w:lineRule="auto"/>
        <w:ind w:firstLine="420" w:firstLineChars="200"/>
        <w:rPr>
          <w:rFonts w:ascii="宋体" w:hAnsi="宋体" w:cs="宋体"/>
          <w:b/>
          <w:color w:val="auto"/>
          <w:szCs w:val="21"/>
          <w:highlight w:val="none"/>
          <w:lang w:val="zh-CN"/>
        </w:rPr>
      </w:pPr>
      <w:r>
        <w:rPr>
          <w:rFonts w:hint="eastAsia" w:ascii="宋体" w:hAnsi="宋体" w:cs="宋体"/>
          <w:color w:val="auto"/>
          <w:szCs w:val="21"/>
          <w:highlight w:val="none"/>
        </w:rPr>
        <w:t>将综合评估分从高到低排序，得出响应人名次,按照综合评估分名次推荐成交候选人3名。综合评估分相同时，按磋商报价由低到高顺序排列，综合评估分且磋商报价相同的，抽签决定排序（弃权视为自动放弃中标资格）。</w:t>
      </w:r>
    </w:p>
    <w:p w14:paraId="3DBFC3AA">
      <w:pPr>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三、成交人选取依据</w:t>
      </w:r>
    </w:p>
    <w:p w14:paraId="41070A9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磋商小组根据综合评估分得分排序，推荐第一名成交候选人为成交人，经采购人确认后，确定项目成交人，同时发布采购结果公告，发出成交通知书。 </w:t>
      </w:r>
    </w:p>
    <w:p w14:paraId="62F56F0D">
      <w:pPr>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四、综合评估分计分方法</w:t>
      </w:r>
    </w:p>
    <w:p w14:paraId="2BCC7B49">
      <w:pPr>
        <w:autoSpaceDE w:val="0"/>
        <w:autoSpaceDN w:val="0"/>
        <w:adjustRightInd w:val="0"/>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color w:val="auto"/>
          <w:szCs w:val="21"/>
        </w:rPr>
        <w:t>满足</w:t>
      </w:r>
      <w:r>
        <w:rPr>
          <w:rFonts w:hint="eastAsia" w:ascii="宋体" w:hAnsi="宋体" w:cs="宋体"/>
          <w:color w:val="auto"/>
          <w:szCs w:val="21"/>
          <w:highlight w:val="none"/>
        </w:rPr>
        <w:t>磋商</w:t>
      </w:r>
      <w:r>
        <w:rPr>
          <w:rFonts w:hint="eastAsia" w:ascii="宋体" w:hAnsi="宋体"/>
          <w:color w:val="auto"/>
          <w:szCs w:val="21"/>
        </w:rPr>
        <w:t>文件要求且</w:t>
      </w:r>
      <w:r>
        <w:rPr>
          <w:rFonts w:hint="eastAsia" w:ascii="宋体" w:hAnsi="宋体" w:cs="宋体"/>
          <w:color w:val="auto"/>
          <w:spacing w:val="-6"/>
          <w:szCs w:val="21"/>
          <w:lang w:val="en-US" w:eastAsia="zh-CN"/>
        </w:rPr>
        <w:t>响应</w:t>
      </w:r>
      <w:r>
        <w:rPr>
          <w:rFonts w:hint="eastAsia" w:ascii="宋体" w:hAnsi="宋体" w:cs="宋体"/>
          <w:color w:val="auto"/>
          <w:spacing w:val="-6"/>
          <w:szCs w:val="21"/>
        </w:rPr>
        <w:t>下浮率最高</w:t>
      </w:r>
      <w:r>
        <w:rPr>
          <w:rFonts w:hint="eastAsia" w:ascii="宋体" w:hAnsi="宋体"/>
          <w:color w:val="auto"/>
          <w:szCs w:val="21"/>
        </w:rPr>
        <w:t>的</w:t>
      </w:r>
      <w:r>
        <w:rPr>
          <w:rFonts w:hint="eastAsia" w:ascii="宋体" w:hAnsi="宋体"/>
          <w:color w:val="auto"/>
          <w:szCs w:val="21"/>
          <w:lang w:val="en-US" w:eastAsia="zh-CN"/>
        </w:rPr>
        <w:t>为</w:t>
      </w:r>
      <w:r>
        <w:rPr>
          <w:rFonts w:hint="eastAsia" w:ascii="宋体" w:hAnsi="宋体" w:cs="宋体"/>
          <w:color w:val="auto"/>
          <w:szCs w:val="21"/>
          <w:highlight w:val="none"/>
        </w:rPr>
        <w:t>磋商</w:t>
      </w:r>
      <w:r>
        <w:rPr>
          <w:rFonts w:hint="eastAsia" w:ascii="宋体" w:hAnsi="宋体"/>
          <w:color w:val="auto"/>
          <w:szCs w:val="21"/>
        </w:rPr>
        <w:t>基准</w:t>
      </w:r>
      <w:r>
        <w:rPr>
          <w:rFonts w:hint="eastAsia" w:ascii="宋体" w:hAnsi="宋体"/>
          <w:color w:val="auto"/>
          <w:szCs w:val="21"/>
          <w:lang w:val="en-US" w:eastAsia="zh-CN"/>
        </w:rPr>
        <w:t>下浮率</w:t>
      </w:r>
      <w:r>
        <w:rPr>
          <w:rFonts w:hint="eastAsia" w:ascii="宋体" w:hAnsi="宋体"/>
          <w:color w:val="auto"/>
          <w:szCs w:val="21"/>
        </w:rPr>
        <w:t>，其价格分为满分。</w:t>
      </w:r>
      <w:r>
        <w:rPr>
          <w:rFonts w:hint="eastAsia" w:ascii="宋体" w:hAnsi="宋体" w:cs="宋体"/>
          <w:color w:val="auto"/>
          <w:szCs w:val="21"/>
          <w:highlight w:val="none"/>
          <w:lang w:val="zh-CN"/>
        </w:rPr>
        <w:t>其他</w:t>
      </w:r>
      <w:r>
        <w:rPr>
          <w:rFonts w:hint="eastAsia" w:ascii="宋体" w:hAnsi="宋体" w:cs="宋体"/>
          <w:color w:val="auto"/>
          <w:szCs w:val="21"/>
          <w:highlight w:val="none"/>
        </w:rPr>
        <w:t>供应商</w:t>
      </w:r>
      <w:r>
        <w:rPr>
          <w:rFonts w:hint="eastAsia" w:ascii="宋体" w:hAnsi="宋体"/>
          <w:color w:val="auto"/>
          <w:szCs w:val="21"/>
        </w:rPr>
        <w:t>的价格分统一按照下列公式计算：</w:t>
      </w:r>
      <w:r>
        <w:rPr>
          <w:rFonts w:hint="eastAsia" w:ascii="宋体" w:hAnsi="宋体" w:cs="宋体"/>
          <w:color w:val="auto"/>
          <w:szCs w:val="21"/>
          <w:highlight w:val="none"/>
        </w:rPr>
        <w:t>磋商</w:t>
      </w:r>
      <w:r>
        <w:rPr>
          <w:rFonts w:hint="eastAsia" w:ascii="宋体" w:hAnsi="宋体" w:cs="宋体"/>
          <w:color w:val="auto"/>
          <w:szCs w:val="21"/>
          <w:highlight w:val="none"/>
          <w:lang w:val="zh-CN"/>
        </w:rPr>
        <w:t>报价</w:t>
      </w:r>
      <w:r>
        <w:rPr>
          <w:rFonts w:hint="eastAsia" w:ascii="宋体" w:hAnsi="宋体"/>
          <w:color w:val="auto"/>
          <w:szCs w:val="21"/>
        </w:rPr>
        <w:t>得分=（1-</w:t>
      </w:r>
      <w:r>
        <w:rPr>
          <w:rFonts w:hint="eastAsia" w:ascii="宋体" w:hAnsi="宋体" w:cs="宋体"/>
          <w:color w:val="auto"/>
          <w:szCs w:val="21"/>
          <w:highlight w:val="none"/>
        </w:rPr>
        <w:t>磋商</w:t>
      </w:r>
      <w:r>
        <w:rPr>
          <w:rFonts w:hint="eastAsia" w:ascii="宋体" w:hAnsi="宋体"/>
          <w:color w:val="auto"/>
          <w:szCs w:val="21"/>
        </w:rPr>
        <w:t>基准下浮率 ）/（1-</w:t>
      </w:r>
      <w:r>
        <w:rPr>
          <w:rFonts w:hint="eastAsia" w:ascii="宋体" w:hAnsi="宋体" w:cs="宋体"/>
          <w:color w:val="auto"/>
          <w:spacing w:val="-6"/>
          <w:szCs w:val="21"/>
          <w:lang w:val="en-US" w:eastAsia="zh-CN"/>
        </w:rPr>
        <w:t>响应</w:t>
      </w:r>
      <w:r>
        <w:rPr>
          <w:rFonts w:hint="eastAsia" w:ascii="宋体" w:hAnsi="宋体"/>
          <w:color w:val="auto"/>
          <w:szCs w:val="21"/>
        </w:rPr>
        <w:t>下浮率）×报价权重×100。</w:t>
      </w:r>
    </w:p>
    <w:p w14:paraId="23C7EBC3">
      <w:pPr>
        <w:autoSpaceDE w:val="0"/>
        <w:autoSpaceDN w:val="0"/>
        <w:adjustRightIn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根据</w:t>
      </w:r>
      <w:r>
        <w:rPr>
          <w:rFonts w:hint="eastAsia" w:ascii="宋体" w:hAnsi="宋体"/>
          <w:color w:val="auto"/>
          <w:szCs w:val="21"/>
          <w:highlight w:val="none"/>
          <w:lang w:val="en-US" w:eastAsia="zh-CN"/>
        </w:rPr>
        <w:t>相关法律法规</w:t>
      </w:r>
      <w:r>
        <w:rPr>
          <w:rFonts w:hint="eastAsia" w:ascii="宋体" w:hAnsi="宋体"/>
          <w:color w:val="auto"/>
          <w:szCs w:val="21"/>
          <w:highlight w:val="none"/>
        </w:rPr>
        <w:t>：磋商小组认为响应人的报价明显低于其他通过符合性审查响应人的报价，有可能影响产品质量或者不能诚信履约的，应当要求其在评标现场合理的时间内提供书面说明，必要时提交相关证明材料；响应人不能证明其报价合理性的，磋商小组应当将其作为无效</w:t>
      </w:r>
      <w:r>
        <w:rPr>
          <w:rFonts w:hint="eastAsia" w:ascii="宋体" w:hAnsi="宋体"/>
          <w:color w:val="auto"/>
          <w:szCs w:val="21"/>
          <w:highlight w:val="none"/>
          <w:lang w:val="en-US" w:eastAsia="zh-CN"/>
        </w:rPr>
        <w:t>响应</w:t>
      </w:r>
      <w:r>
        <w:rPr>
          <w:rFonts w:hint="eastAsia" w:ascii="宋体" w:hAnsi="宋体"/>
          <w:color w:val="auto"/>
          <w:szCs w:val="21"/>
          <w:highlight w:val="none"/>
        </w:rPr>
        <w:t>处理。</w:t>
      </w:r>
    </w:p>
    <w:p w14:paraId="36AA089C">
      <w:pPr>
        <w:autoSpaceDE w:val="0"/>
        <w:autoSpaceDN w:val="0"/>
        <w:adjustRightInd w:val="0"/>
        <w:spacing w:line="360" w:lineRule="auto"/>
        <w:ind w:firstLine="420" w:firstLineChars="200"/>
        <w:rPr>
          <w:rFonts w:hint="eastAsia" w:ascii="宋体" w:hAnsi="宋体" w:cs="宋体"/>
          <w:color w:val="auto"/>
          <w:szCs w:val="21"/>
          <w:highlight w:val="none"/>
          <w:lang w:val="zh-CN"/>
        </w:rPr>
      </w:pPr>
      <w:r>
        <w:rPr>
          <w:rFonts w:hint="eastAsia" w:ascii="宋体" w:hAnsi="宋体" w:cs="宋体"/>
          <w:color w:val="auto"/>
          <w:szCs w:val="21"/>
          <w:highlight w:val="none"/>
        </w:rPr>
        <w:t>在评分时，各响应人磋商报价得分保留小数点后二位，第三位四舍五入。评审专家打分准确到小数点后一位，综合评估分=商务技术部分得分＋</w:t>
      </w:r>
      <w:r>
        <w:rPr>
          <w:rFonts w:hint="eastAsia" w:ascii="宋体" w:hAnsi="宋体" w:cs="宋体"/>
          <w:color w:val="auto"/>
          <w:szCs w:val="21"/>
          <w:highlight w:val="none"/>
          <w:lang w:val="en-US" w:eastAsia="zh-CN"/>
        </w:rPr>
        <w:t>磋商</w:t>
      </w:r>
      <w:r>
        <w:rPr>
          <w:rFonts w:hint="eastAsia" w:ascii="宋体" w:hAnsi="宋体" w:cs="宋体"/>
          <w:color w:val="auto"/>
          <w:szCs w:val="21"/>
          <w:highlight w:val="none"/>
        </w:rPr>
        <w:t>报价得分，商务技术部分得分为所有评委评分的算术平均值，得分保留小数点后二位。</w:t>
      </w:r>
    </w:p>
    <w:p w14:paraId="11CCFC62">
      <w:pPr>
        <w:autoSpaceDE w:val="0"/>
        <w:autoSpaceDN w:val="0"/>
        <w:adjustRightInd w:val="0"/>
        <w:spacing w:line="360" w:lineRule="auto"/>
        <w:outlineLvl w:val="1"/>
        <w:rPr>
          <w:rFonts w:ascii="宋体" w:hAnsi="宋体" w:cs="宋体"/>
          <w:b/>
          <w:color w:val="auto"/>
          <w:szCs w:val="21"/>
          <w:highlight w:val="none"/>
          <w:lang w:val="zh-CN"/>
        </w:rPr>
      </w:pPr>
      <w:r>
        <w:rPr>
          <w:rFonts w:hint="eastAsia" w:ascii="宋体" w:hAnsi="宋体" w:cs="宋体"/>
          <w:b/>
          <w:color w:val="auto"/>
          <w:szCs w:val="21"/>
          <w:highlight w:val="none"/>
        </w:rPr>
        <w:t>五、</w:t>
      </w:r>
      <w:r>
        <w:rPr>
          <w:rFonts w:hint="eastAsia" w:ascii="宋体" w:hAnsi="宋体" w:cs="宋体"/>
          <w:b/>
          <w:color w:val="auto"/>
          <w:szCs w:val="21"/>
          <w:highlight w:val="none"/>
          <w:lang w:val="zh-CN"/>
        </w:rPr>
        <w:t>评分表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4"/>
        <w:gridCol w:w="2470"/>
        <w:gridCol w:w="3480"/>
        <w:gridCol w:w="1462"/>
      </w:tblGrid>
      <w:tr w14:paraId="34276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724" w:type="dxa"/>
            <w:vAlign w:val="center"/>
          </w:tcPr>
          <w:p w14:paraId="60375608">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评标指标</w:t>
            </w:r>
          </w:p>
        </w:tc>
        <w:tc>
          <w:tcPr>
            <w:tcW w:w="2470" w:type="dxa"/>
            <w:vAlign w:val="center"/>
          </w:tcPr>
          <w:p w14:paraId="2AF6F4D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磋商报价</w:t>
            </w:r>
          </w:p>
        </w:tc>
        <w:tc>
          <w:tcPr>
            <w:tcW w:w="3480" w:type="dxa"/>
            <w:vAlign w:val="center"/>
          </w:tcPr>
          <w:p w14:paraId="0F03B2E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商务技术部分</w:t>
            </w:r>
          </w:p>
        </w:tc>
        <w:tc>
          <w:tcPr>
            <w:tcW w:w="1462" w:type="dxa"/>
            <w:vAlign w:val="center"/>
          </w:tcPr>
          <w:p w14:paraId="5F0D7C1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合计</w:t>
            </w:r>
          </w:p>
        </w:tc>
      </w:tr>
      <w:tr w14:paraId="3421A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724" w:type="dxa"/>
            <w:vAlign w:val="center"/>
          </w:tcPr>
          <w:p w14:paraId="32F9191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权重（%）</w:t>
            </w:r>
          </w:p>
        </w:tc>
        <w:tc>
          <w:tcPr>
            <w:tcW w:w="2470" w:type="dxa"/>
            <w:vAlign w:val="center"/>
          </w:tcPr>
          <w:p w14:paraId="5927C512">
            <w:pPr>
              <w:keepNext w:val="0"/>
              <w:keepLines w:val="0"/>
              <w:suppressLineNumbers w:val="0"/>
              <w:spacing w:before="0" w:beforeAutospacing="0" w:after="0" w:afterAutospacing="0" w:line="360" w:lineRule="auto"/>
              <w:ind w:left="0" w:right="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30</w:t>
            </w:r>
          </w:p>
        </w:tc>
        <w:tc>
          <w:tcPr>
            <w:tcW w:w="3480" w:type="dxa"/>
            <w:vAlign w:val="center"/>
          </w:tcPr>
          <w:p w14:paraId="369EC854">
            <w:pPr>
              <w:keepNext w:val="0"/>
              <w:keepLines w:val="0"/>
              <w:suppressLineNumbers w:val="0"/>
              <w:spacing w:before="0" w:beforeAutospacing="0" w:after="0" w:afterAutospacing="0" w:line="360" w:lineRule="auto"/>
              <w:ind w:left="0" w:right="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70</w:t>
            </w:r>
          </w:p>
        </w:tc>
        <w:tc>
          <w:tcPr>
            <w:tcW w:w="1462" w:type="dxa"/>
            <w:vAlign w:val="center"/>
          </w:tcPr>
          <w:p w14:paraId="4E1D5A6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r>
              <w:rPr>
                <w:rFonts w:hint="eastAsia" w:ascii="宋体" w:hAnsi="宋体" w:cs="宋体"/>
                <w:color w:val="auto"/>
                <w:szCs w:val="21"/>
                <w:highlight w:val="none"/>
              </w:rPr>
              <w:t>100</w:t>
            </w:r>
          </w:p>
        </w:tc>
      </w:tr>
    </w:tbl>
    <w:p w14:paraId="748EB2C6">
      <w:pPr>
        <w:pStyle w:val="36"/>
        <w:keepNext w:val="0"/>
        <w:keepLines w:val="0"/>
        <w:pageBreakBefore w:val="0"/>
        <w:widowControl w:val="0"/>
        <w:kinsoku/>
        <w:wordWrap/>
        <w:overflowPunct/>
        <w:topLinePunct w:val="0"/>
        <w:autoSpaceDE/>
        <w:autoSpaceDN/>
        <w:bidi w:val="0"/>
        <w:adjustRightInd w:val="0"/>
        <w:snapToGrid/>
        <w:spacing w:line="240" w:lineRule="exact"/>
        <w:textAlignment w:val="baseline"/>
        <w:rPr>
          <w:rFonts w:hint="eastAsia"/>
          <w:color w:val="auto"/>
          <w:lang w:val="en-US" w:eastAsia="zh-CN"/>
        </w:rPr>
      </w:pPr>
    </w:p>
    <w:tbl>
      <w:tblPr>
        <w:tblStyle w:val="28"/>
        <w:tblW w:w="96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749"/>
        <w:gridCol w:w="1316"/>
        <w:gridCol w:w="5987"/>
        <w:gridCol w:w="752"/>
        <w:gridCol w:w="876"/>
      </w:tblGrid>
      <w:tr w14:paraId="249D78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50" w:hRule="atLeast"/>
          <w:jc w:val="center"/>
        </w:trPr>
        <w:tc>
          <w:tcPr>
            <w:tcW w:w="749" w:type="dxa"/>
            <w:noWrap w:val="0"/>
            <w:vAlign w:val="center"/>
          </w:tcPr>
          <w:p w14:paraId="687D0FDE">
            <w:pPr>
              <w:keepNext w:val="0"/>
              <w:keepLines w:val="0"/>
              <w:suppressLineNumbers w:val="0"/>
              <w:spacing w:before="0" w:beforeAutospacing="0" w:after="0" w:afterAutospacing="0"/>
              <w:ind w:left="0" w:right="0"/>
              <w:jc w:val="center"/>
              <w:rPr>
                <w:rFonts w:hint="default" w:ascii="宋体" w:hAnsi="宋体" w:eastAsia="宋体" w:cs="宋体"/>
                <w:b/>
                <w:color w:val="auto"/>
                <w:sz w:val="21"/>
                <w:szCs w:val="21"/>
              </w:rPr>
            </w:pPr>
            <w:r>
              <w:rPr>
                <w:rFonts w:hint="eastAsia" w:ascii="宋体" w:hAnsi="宋体" w:eastAsia="宋体" w:cs="宋体"/>
                <w:b/>
                <w:color w:val="auto"/>
                <w:sz w:val="21"/>
                <w:szCs w:val="21"/>
              </w:rPr>
              <w:t>序号</w:t>
            </w:r>
          </w:p>
        </w:tc>
        <w:tc>
          <w:tcPr>
            <w:tcW w:w="1316" w:type="dxa"/>
            <w:noWrap w:val="0"/>
            <w:vAlign w:val="center"/>
          </w:tcPr>
          <w:p w14:paraId="02D409C4">
            <w:pPr>
              <w:keepNext w:val="0"/>
              <w:keepLines w:val="0"/>
              <w:suppressLineNumbers w:val="0"/>
              <w:spacing w:before="0" w:beforeAutospacing="0" w:after="0" w:afterAutospacing="0"/>
              <w:ind w:left="0" w:right="0"/>
              <w:jc w:val="center"/>
              <w:rPr>
                <w:rFonts w:hint="default" w:ascii="宋体" w:hAnsi="宋体" w:eastAsia="宋体" w:cs="宋体"/>
                <w:b/>
                <w:color w:val="auto"/>
                <w:sz w:val="21"/>
                <w:szCs w:val="21"/>
              </w:rPr>
            </w:pPr>
            <w:r>
              <w:rPr>
                <w:rFonts w:hint="eastAsia" w:ascii="宋体" w:hAnsi="宋体" w:eastAsia="宋体" w:cs="宋体"/>
                <w:b/>
                <w:color w:val="auto"/>
                <w:sz w:val="21"/>
                <w:szCs w:val="21"/>
              </w:rPr>
              <w:t>评审内容</w:t>
            </w:r>
          </w:p>
        </w:tc>
        <w:tc>
          <w:tcPr>
            <w:tcW w:w="5987" w:type="dxa"/>
            <w:noWrap w:val="0"/>
            <w:vAlign w:val="center"/>
          </w:tcPr>
          <w:p w14:paraId="0C916126">
            <w:pPr>
              <w:keepNext w:val="0"/>
              <w:keepLines w:val="0"/>
              <w:suppressLineNumbers w:val="0"/>
              <w:spacing w:before="0" w:beforeAutospacing="0" w:after="0" w:afterAutospacing="0"/>
              <w:ind w:left="0" w:right="0"/>
              <w:jc w:val="center"/>
              <w:rPr>
                <w:rFonts w:hint="default" w:ascii="宋体" w:hAnsi="宋体" w:eastAsia="宋体" w:cs="宋体"/>
                <w:b/>
                <w:color w:val="auto"/>
                <w:sz w:val="21"/>
                <w:szCs w:val="21"/>
              </w:rPr>
            </w:pPr>
            <w:r>
              <w:rPr>
                <w:rFonts w:hint="eastAsia" w:ascii="宋体" w:hAnsi="宋体" w:eastAsia="宋体" w:cs="宋体"/>
                <w:b/>
                <w:color w:val="auto"/>
                <w:sz w:val="21"/>
                <w:szCs w:val="21"/>
              </w:rPr>
              <w:t>评分标准</w:t>
            </w:r>
          </w:p>
        </w:tc>
        <w:tc>
          <w:tcPr>
            <w:tcW w:w="752" w:type="dxa"/>
            <w:noWrap w:val="0"/>
            <w:vAlign w:val="center"/>
          </w:tcPr>
          <w:p w14:paraId="591265A0">
            <w:pPr>
              <w:keepNext w:val="0"/>
              <w:keepLines w:val="0"/>
              <w:suppressLineNumbers w:val="0"/>
              <w:spacing w:before="0" w:beforeAutospacing="0" w:after="0" w:afterAutospacing="0"/>
              <w:ind w:left="0" w:right="0"/>
              <w:jc w:val="center"/>
              <w:rPr>
                <w:rFonts w:hint="default" w:ascii="宋体" w:hAnsi="宋体" w:eastAsia="宋体" w:cs="宋体"/>
                <w:b/>
                <w:color w:val="auto"/>
                <w:sz w:val="21"/>
                <w:szCs w:val="21"/>
              </w:rPr>
            </w:pPr>
            <w:r>
              <w:rPr>
                <w:rFonts w:hint="eastAsia" w:ascii="宋体" w:hAnsi="宋体" w:eastAsia="宋体" w:cs="宋体"/>
                <w:b/>
                <w:color w:val="auto"/>
                <w:sz w:val="21"/>
                <w:szCs w:val="21"/>
              </w:rPr>
              <w:t>分值</w:t>
            </w:r>
            <w:r>
              <w:rPr>
                <w:rFonts w:hint="eastAsia" w:ascii="宋体" w:hAnsi="宋体" w:eastAsia="宋体" w:cs="宋体"/>
                <w:b/>
                <w:bCs/>
                <w:color w:val="auto"/>
                <w:sz w:val="21"/>
                <w:szCs w:val="21"/>
              </w:rPr>
              <w:t>（分）</w:t>
            </w:r>
          </w:p>
        </w:tc>
        <w:tc>
          <w:tcPr>
            <w:tcW w:w="876" w:type="dxa"/>
            <w:noWrap w:val="0"/>
            <w:vAlign w:val="center"/>
          </w:tcPr>
          <w:p w14:paraId="5BE6FF0B">
            <w:pPr>
              <w:keepNext w:val="0"/>
              <w:keepLines w:val="0"/>
              <w:suppressLineNumbers w:val="0"/>
              <w:spacing w:before="0" w:beforeAutospacing="0" w:after="0" w:afterAutospacing="0"/>
              <w:ind w:left="0" w:right="0"/>
              <w:jc w:val="center"/>
              <w:rPr>
                <w:rFonts w:hint="default" w:ascii="宋体" w:hAnsi="宋体" w:eastAsia="宋体" w:cs="宋体"/>
                <w:b/>
                <w:color w:val="auto"/>
                <w:sz w:val="21"/>
                <w:szCs w:val="21"/>
              </w:rPr>
            </w:pPr>
            <w:r>
              <w:rPr>
                <w:rFonts w:hint="eastAsia" w:ascii="宋体" w:hAnsi="宋体" w:eastAsia="宋体" w:cs="宋体"/>
                <w:b/>
                <w:color w:val="auto"/>
                <w:sz w:val="21"/>
                <w:szCs w:val="21"/>
              </w:rPr>
              <w:t>备注</w:t>
            </w:r>
          </w:p>
        </w:tc>
      </w:tr>
      <w:tr w14:paraId="0D226E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749" w:type="dxa"/>
            <w:noWrap w:val="0"/>
            <w:vAlign w:val="center"/>
          </w:tcPr>
          <w:p w14:paraId="564C3900">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bCs/>
                <w:color w:val="auto"/>
                <w:sz w:val="21"/>
                <w:szCs w:val="21"/>
                <w:lang w:val="en-US" w:eastAsia="zh-CN"/>
              </w:rPr>
              <w:t>1</w:t>
            </w:r>
          </w:p>
        </w:tc>
        <w:tc>
          <w:tcPr>
            <w:tcW w:w="1316" w:type="dxa"/>
            <w:noWrap w:val="0"/>
            <w:vAlign w:val="center"/>
          </w:tcPr>
          <w:p w14:paraId="7619A678">
            <w:pPr>
              <w:keepNext w:val="0"/>
              <w:keepLines w:val="0"/>
              <w:suppressLineNumbers w:val="0"/>
              <w:spacing w:before="0" w:beforeAutospacing="0" w:after="0" w:afterAutospacing="0"/>
              <w:ind w:left="0" w:right="0"/>
              <w:jc w:val="center"/>
              <w:rPr>
                <w:rFonts w:hint="default" w:ascii="宋体" w:hAnsi="宋体" w:eastAsia="宋体" w:cs="宋体"/>
                <w:bCs/>
                <w:color w:val="auto"/>
                <w:kern w:val="2"/>
                <w:sz w:val="21"/>
                <w:szCs w:val="21"/>
                <w:lang w:val="en-US" w:eastAsia="zh-CN" w:bidi="ar-SA"/>
              </w:rPr>
            </w:pPr>
            <w:r>
              <w:rPr>
                <w:rFonts w:hint="eastAsia" w:ascii="宋体" w:hAnsi="宋体" w:eastAsia="宋体" w:cs="宋体"/>
                <w:color w:val="auto"/>
                <w:sz w:val="21"/>
                <w:szCs w:val="21"/>
              </w:rPr>
              <w:t>同类业绩</w:t>
            </w:r>
          </w:p>
        </w:tc>
        <w:tc>
          <w:tcPr>
            <w:tcW w:w="5987" w:type="dxa"/>
            <w:noWrap w:val="0"/>
            <w:vAlign w:val="center"/>
          </w:tcPr>
          <w:p w14:paraId="5139D71A">
            <w:pPr>
              <w:keepNext w:val="0"/>
              <w:keepLines w:val="0"/>
              <w:widowControl/>
              <w:suppressLineNumbers w:val="0"/>
              <w:spacing w:before="0" w:beforeAutospacing="0" w:after="0" w:afterAutospacing="0"/>
              <w:ind w:left="0" w:right="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响应</w:t>
            </w:r>
            <w:r>
              <w:rPr>
                <w:rFonts w:hint="eastAsia" w:ascii="宋体" w:hAnsi="宋体" w:eastAsia="宋体" w:cs="宋体"/>
                <w:color w:val="auto"/>
                <w:sz w:val="21"/>
                <w:szCs w:val="21"/>
              </w:rPr>
              <w:t>人202</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年1月1日以来（以合同签订时间为准）具备同类业绩，每个有效业绩得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分，最高得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p>
          <w:p w14:paraId="5E275EF6">
            <w:pPr>
              <w:keepNext w:val="0"/>
              <w:keepLines w:val="0"/>
              <w:widowControl/>
              <w:suppressLineNumbers w:val="0"/>
              <w:spacing w:before="0" w:beforeAutospacing="0" w:after="0" w:afterAutospacing="0"/>
              <w:ind w:left="0" w:right="0"/>
              <w:rPr>
                <w:rFonts w:hint="eastAsia" w:ascii="宋体" w:hAnsi="宋体" w:eastAsia="宋体" w:cs="宋体"/>
                <w:color w:val="auto"/>
                <w:kern w:val="2"/>
                <w:sz w:val="21"/>
                <w:szCs w:val="21"/>
                <w:lang w:val="en-US" w:eastAsia="zh-CN" w:bidi="ar-SA"/>
              </w:rPr>
            </w:pPr>
            <w:r>
              <w:rPr>
                <w:rFonts w:hint="eastAsia" w:ascii="宋体" w:hAnsi="宋体" w:eastAsia="宋体" w:cs="宋体"/>
                <w:b/>
                <w:bCs/>
                <w:color w:val="auto"/>
                <w:sz w:val="21"/>
                <w:szCs w:val="21"/>
              </w:rPr>
              <w:t>注：提供合同复印件；是否有效业绩以评审小组判定为准；合同内容模糊无法辨认的评审小组有权作出不利判定。</w:t>
            </w:r>
          </w:p>
        </w:tc>
        <w:tc>
          <w:tcPr>
            <w:tcW w:w="752" w:type="dxa"/>
            <w:noWrap w:val="0"/>
            <w:vAlign w:val="center"/>
          </w:tcPr>
          <w:p w14:paraId="0AF07A3E">
            <w:pPr>
              <w:keepNext w:val="0"/>
              <w:keepLines w:val="0"/>
              <w:widowControl/>
              <w:suppressLineNumbers w:val="0"/>
              <w:spacing w:before="0" w:beforeAutospacing="0" w:after="0" w:afterAutospacing="0"/>
              <w:ind w:left="0" w:right="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3</w:t>
            </w:r>
          </w:p>
        </w:tc>
        <w:tc>
          <w:tcPr>
            <w:tcW w:w="876" w:type="dxa"/>
            <w:noWrap w:val="0"/>
            <w:vAlign w:val="center"/>
          </w:tcPr>
          <w:p w14:paraId="2F35E73E">
            <w:pPr>
              <w:keepNext w:val="0"/>
              <w:keepLines w:val="0"/>
              <w:widowControl/>
              <w:suppressLineNumbers w:val="0"/>
              <w:spacing w:before="0" w:beforeAutospacing="0" w:after="0" w:afterAutospacing="0"/>
              <w:ind w:left="0" w:right="0"/>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客观分</w:t>
            </w:r>
          </w:p>
        </w:tc>
      </w:tr>
      <w:tr w14:paraId="60404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008" w:hRule="atLeast"/>
          <w:jc w:val="center"/>
        </w:trPr>
        <w:tc>
          <w:tcPr>
            <w:tcW w:w="749" w:type="dxa"/>
            <w:vMerge w:val="restart"/>
            <w:noWrap w:val="0"/>
            <w:vAlign w:val="center"/>
          </w:tcPr>
          <w:p w14:paraId="6FE25EC9">
            <w:pPr>
              <w:keepNext w:val="0"/>
              <w:keepLines w:val="0"/>
              <w:suppressLineNumbers w:val="0"/>
              <w:spacing w:before="0" w:beforeAutospacing="0" w:after="0" w:afterAutospacing="0"/>
              <w:ind w:left="0" w:right="0"/>
              <w:jc w:val="center"/>
              <w:rPr>
                <w:rFonts w:hint="eastAsia" w:ascii="宋体" w:hAnsi="宋体" w:eastAsia="宋体" w:cs="宋体"/>
                <w:bCs/>
                <w:color w:val="auto"/>
                <w:sz w:val="21"/>
                <w:szCs w:val="21"/>
                <w:lang w:eastAsia="zh-CN"/>
              </w:rPr>
            </w:pPr>
            <w:r>
              <w:rPr>
                <w:rFonts w:hint="eastAsia" w:ascii="宋体" w:hAnsi="宋体" w:eastAsia="宋体" w:cs="宋体"/>
                <w:color w:val="auto"/>
                <w:sz w:val="21"/>
                <w:szCs w:val="21"/>
                <w:lang w:val="en-US" w:eastAsia="zh-CN"/>
              </w:rPr>
              <w:t>2</w:t>
            </w:r>
          </w:p>
        </w:tc>
        <w:tc>
          <w:tcPr>
            <w:tcW w:w="1316" w:type="dxa"/>
            <w:vMerge w:val="restart"/>
            <w:noWrap w:val="0"/>
            <w:vAlign w:val="center"/>
          </w:tcPr>
          <w:p w14:paraId="22E97FF3">
            <w:pPr>
              <w:keepNext w:val="0"/>
              <w:keepLines w:val="0"/>
              <w:suppressLineNumbers w:val="0"/>
              <w:spacing w:before="0" w:beforeAutospacing="0" w:after="0" w:afterAutospacing="0"/>
              <w:ind w:left="0" w:right="0"/>
              <w:jc w:val="center"/>
              <w:rPr>
                <w:rFonts w:hint="default" w:ascii="宋体" w:hAnsi="宋体" w:eastAsia="宋体" w:cs="宋体"/>
                <w:color w:val="auto"/>
                <w:sz w:val="21"/>
                <w:szCs w:val="21"/>
              </w:rPr>
            </w:pPr>
            <w:r>
              <w:rPr>
                <w:rFonts w:hint="eastAsia" w:ascii="宋体" w:hAnsi="宋体" w:eastAsia="宋体" w:cs="宋体"/>
                <w:color w:val="auto"/>
                <w:sz w:val="21"/>
                <w:szCs w:val="21"/>
              </w:rPr>
              <w:t>团队服务能力</w:t>
            </w:r>
          </w:p>
        </w:tc>
        <w:tc>
          <w:tcPr>
            <w:tcW w:w="5987" w:type="dxa"/>
            <w:noWrap w:val="0"/>
            <w:vAlign w:val="center"/>
          </w:tcPr>
          <w:p w14:paraId="07906765">
            <w:pPr>
              <w:keepNext w:val="0"/>
              <w:keepLines w:val="0"/>
              <w:suppressLineNumbers w:val="0"/>
              <w:bidi w:val="0"/>
              <w:spacing w:before="0" w:beforeAutospacing="0" w:after="0" w:afterAutospacing="0"/>
              <w:ind w:left="0" w:right="0"/>
              <w:rPr>
                <w:rFonts w:hint="eastAsia"/>
                <w:color w:val="auto"/>
                <w:szCs w:val="20"/>
              </w:rPr>
            </w:pPr>
            <w:r>
              <w:rPr>
                <w:rFonts w:hint="eastAsia"/>
                <w:color w:val="auto"/>
                <w:szCs w:val="20"/>
              </w:rPr>
              <w:t>项目负责人情况：</w:t>
            </w:r>
          </w:p>
          <w:p w14:paraId="0ADE7027">
            <w:pPr>
              <w:keepNext w:val="0"/>
              <w:keepLines w:val="0"/>
              <w:suppressLineNumbers w:val="0"/>
              <w:bidi w:val="0"/>
              <w:spacing w:before="0" w:beforeAutospacing="0" w:after="0" w:afterAutospacing="0"/>
              <w:ind w:left="0" w:right="0"/>
              <w:rPr>
                <w:rFonts w:hint="default"/>
                <w:color w:val="auto"/>
                <w:szCs w:val="20"/>
                <w:lang w:val="en-US" w:eastAsia="zh-CN"/>
              </w:rPr>
            </w:pPr>
            <w:r>
              <w:rPr>
                <w:rFonts w:hint="eastAsia"/>
                <w:color w:val="auto"/>
                <w:szCs w:val="20"/>
                <w:lang w:val="en-US" w:eastAsia="zh-CN"/>
              </w:rPr>
              <w:t>项目负责人</w:t>
            </w:r>
            <w:r>
              <w:rPr>
                <w:rFonts w:hint="eastAsia"/>
                <w:color w:val="auto"/>
                <w:szCs w:val="20"/>
              </w:rPr>
              <w:t>202</w:t>
            </w:r>
            <w:r>
              <w:rPr>
                <w:rFonts w:hint="eastAsia"/>
                <w:color w:val="auto"/>
                <w:szCs w:val="20"/>
                <w:lang w:val="en-US" w:eastAsia="zh-CN"/>
              </w:rPr>
              <w:t>1</w:t>
            </w:r>
            <w:r>
              <w:rPr>
                <w:rFonts w:hint="eastAsia"/>
                <w:color w:val="auto"/>
                <w:szCs w:val="20"/>
              </w:rPr>
              <w:t>年1月1日以来（以合同签订时间为准）具备同类业绩，每个有效业绩得</w:t>
            </w:r>
            <w:r>
              <w:rPr>
                <w:rFonts w:hint="eastAsia"/>
                <w:color w:val="auto"/>
                <w:szCs w:val="20"/>
                <w:lang w:val="en-US" w:eastAsia="zh-CN"/>
              </w:rPr>
              <w:t>1</w:t>
            </w:r>
            <w:r>
              <w:rPr>
                <w:rFonts w:hint="eastAsia"/>
                <w:color w:val="auto"/>
                <w:szCs w:val="20"/>
              </w:rPr>
              <w:t>分，最高得</w:t>
            </w:r>
            <w:r>
              <w:rPr>
                <w:rFonts w:hint="eastAsia"/>
                <w:color w:val="auto"/>
                <w:szCs w:val="20"/>
                <w:lang w:val="en-US" w:eastAsia="zh-CN"/>
              </w:rPr>
              <w:t>3</w:t>
            </w:r>
            <w:r>
              <w:rPr>
                <w:rFonts w:hint="eastAsia"/>
                <w:color w:val="auto"/>
                <w:szCs w:val="20"/>
              </w:rPr>
              <w:t>分。</w:t>
            </w:r>
          </w:p>
          <w:p w14:paraId="78A1EC72">
            <w:pPr>
              <w:keepNext w:val="0"/>
              <w:keepLines w:val="0"/>
              <w:suppressLineNumbers w:val="0"/>
              <w:bidi w:val="0"/>
              <w:spacing w:before="0" w:beforeAutospacing="0" w:after="0" w:afterAutospacing="0"/>
              <w:ind w:left="0" w:right="0"/>
              <w:rPr>
                <w:rFonts w:hint="eastAsia"/>
                <w:color w:val="auto"/>
                <w:szCs w:val="20"/>
              </w:rPr>
            </w:pPr>
            <w:r>
              <w:rPr>
                <w:rFonts w:hint="eastAsia"/>
                <w:color w:val="auto"/>
                <w:szCs w:val="20"/>
                <w:lang w:val="en-US" w:eastAsia="zh-CN"/>
              </w:rPr>
              <w:t>项目负责人</w:t>
            </w:r>
            <w:r>
              <w:rPr>
                <w:rFonts w:hint="eastAsia"/>
                <w:color w:val="auto"/>
                <w:szCs w:val="20"/>
              </w:rPr>
              <w:t>具有相关专业高级</w:t>
            </w:r>
            <w:r>
              <w:rPr>
                <w:rFonts w:hint="eastAsia"/>
                <w:color w:val="auto"/>
                <w:szCs w:val="20"/>
                <w:lang w:val="en-US" w:eastAsia="zh-CN"/>
              </w:rPr>
              <w:t>工程师及以上</w:t>
            </w:r>
            <w:r>
              <w:rPr>
                <w:rFonts w:hint="eastAsia"/>
                <w:color w:val="auto"/>
                <w:szCs w:val="20"/>
              </w:rPr>
              <w:t>职称得</w:t>
            </w:r>
            <w:r>
              <w:rPr>
                <w:rFonts w:hint="eastAsia"/>
                <w:color w:val="auto"/>
                <w:szCs w:val="20"/>
                <w:lang w:val="en-US" w:eastAsia="zh-CN"/>
              </w:rPr>
              <w:t>4</w:t>
            </w:r>
            <w:r>
              <w:rPr>
                <w:rFonts w:hint="eastAsia"/>
                <w:color w:val="auto"/>
                <w:szCs w:val="20"/>
              </w:rPr>
              <w:t>分，具有相关专业</w:t>
            </w:r>
            <w:r>
              <w:rPr>
                <w:rFonts w:hint="eastAsia"/>
                <w:color w:val="auto"/>
                <w:szCs w:val="20"/>
                <w:lang w:val="en-US" w:eastAsia="zh-CN"/>
              </w:rPr>
              <w:t>工程师</w:t>
            </w:r>
            <w:r>
              <w:rPr>
                <w:rFonts w:hint="eastAsia"/>
                <w:color w:val="auto"/>
                <w:szCs w:val="20"/>
              </w:rPr>
              <w:t>职称得</w:t>
            </w:r>
            <w:r>
              <w:rPr>
                <w:rFonts w:hint="eastAsia"/>
                <w:color w:val="auto"/>
                <w:szCs w:val="20"/>
                <w:lang w:val="en-US" w:eastAsia="zh-CN"/>
              </w:rPr>
              <w:t>2</w:t>
            </w:r>
            <w:r>
              <w:rPr>
                <w:rFonts w:hint="eastAsia"/>
                <w:color w:val="auto"/>
                <w:szCs w:val="20"/>
              </w:rPr>
              <w:t>分，其他情况不得分。</w:t>
            </w:r>
          </w:p>
          <w:p w14:paraId="3063676B">
            <w:pPr>
              <w:keepNext w:val="0"/>
              <w:keepLines w:val="0"/>
              <w:suppressLineNumbers w:val="0"/>
              <w:bidi w:val="0"/>
              <w:spacing w:before="0" w:beforeAutospacing="0" w:after="0" w:afterAutospacing="0"/>
              <w:ind w:left="0" w:right="0"/>
              <w:rPr>
                <w:rFonts w:hint="eastAsia"/>
                <w:color w:val="auto"/>
                <w:szCs w:val="20"/>
              </w:rPr>
            </w:pPr>
            <w:r>
              <w:rPr>
                <w:rFonts w:hint="eastAsia"/>
                <w:b/>
                <w:bCs/>
                <w:color w:val="auto"/>
                <w:szCs w:val="20"/>
                <w:lang w:val="en-US" w:eastAsia="zh-CN"/>
              </w:rPr>
              <w:t>注：提供相关证书复印件及合同复印件；是否有效业绩以评审小组判定为准；合同内容模糊无法辨认的评审小组有权作出不利判定。</w:t>
            </w:r>
          </w:p>
        </w:tc>
        <w:tc>
          <w:tcPr>
            <w:tcW w:w="752" w:type="dxa"/>
            <w:noWrap w:val="0"/>
            <w:vAlign w:val="center"/>
          </w:tcPr>
          <w:p w14:paraId="393D7605">
            <w:pPr>
              <w:keepNext w:val="0"/>
              <w:keepLines w:val="0"/>
              <w:widowControl/>
              <w:suppressLineNumbers w:val="0"/>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kern w:val="0"/>
                <w:sz w:val="21"/>
                <w:szCs w:val="21"/>
                <w:lang w:val="en-US" w:eastAsia="zh-CN" w:bidi="ar"/>
              </w:rPr>
              <w:t>7</w:t>
            </w:r>
          </w:p>
        </w:tc>
        <w:tc>
          <w:tcPr>
            <w:tcW w:w="876" w:type="dxa"/>
            <w:noWrap w:val="0"/>
            <w:vAlign w:val="center"/>
          </w:tcPr>
          <w:p w14:paraId="622BE074">
            <w:pPr>
              <w:keepNext w:val="0"/>
              <w:keepLines w:val="0"/>
              <w:widowControl/>
              <w:suppressLineNumbers w:val="0"/>
              <w:spacing w:before="0" w:beforeAutospacing="0" w:after="0" w:afterAutospacing="0"/>
              <w:ind w:left="0" w:right="0"/>
              <w:jc w:val="center"/>
              <w:rPr>
                <w:rFonts w:hint="default" w:ascii="宋体" w:hAnsi="宋体" w:eastAsia="宋体" w:cs="宋体"/>
                <w:color w:val="auto"/>
                <w:sz w:val="21"/>
                <w:szCs w:val="21"/>
              </w:rPr>
            </w:pPr>
            <w:r>
              <w:rPr>
                <w:rFonts w:hint="eastAsia" w:ascii="宋体" w:hAnsi="宋体" w:eastAsia="宋体" w:cs="宋体"/>
                <w:color w:val="auto"/>
                <w:kern w:val="0"/>
                <w:sz w:val="21"/>
                <w:szCs w:val="21"/>
              </w:rPr>
              <w:t>客观分</w:t>
            </w:r>
          </w:p>
        </w:tc>
      </w:tr>
      <w:tr w14:paraId="3B7A2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749" w:type="dxa"/>
            <w:vMerge w:val="continue"/>
            <w:noWrap w:val="0"/>
            <w:vAlign w:val="center"/>
          </w:tcPr>
          <w:p w14:paraId="4D7A11B8">
            <w:pPr>
              <w:keepNext w:val="0"/>
              <w:keepLines w:val="0"/>
              <w:suppressLineNumbers w:val="0"/>
              <w:spacing w:before="0" w:beforeAutospacing="0" w:after="0" w:afterAutospacing="0"/>
              <w:ind w:left="0" w:right="0"/>
              <w:jc w:val="center"/>
              <w:rPr>
                <w:rFonts w:hint="default" w:ascii="宋体" w:hAnsi="宋体" w:eastAsia="宋体" w:cs="宋体"/>
                <w:bCs/>
                <w:color w:val="auto"/>
                <w:sz w:val="21"/>
                <w:szCs w:val="21"/>
              </w:rPr>
            </w:pPr>
          </w:p>
        </w:tc>
        <w:tc>
          <w:tcPr>
            <w:tcW w:w="1316" w:type="dxa"/>
            <w:vMerge w:val="continue"/>
            <w:noWrap w:val="0"/>
            <w:vAlign w:val="center"/>
          </w:tcPr>
          <w:p w14:paraId="4BA29587">
            <w:pPr>
              <w:keepNext w:val="0"/>
              <w:keepLines w:val="0"/>
              <w:suppressLineNumbers w:val="0"/>
              <w:spacing w:before="0" w:beforeAutospacing="0" w:after="0" w:afterAutospacing="0"/>
              <w:ind w:left="0" w:right="0"/>
              <w:jc w:val="center"/>
              <w:rPr>
                <w:rFonts w:hint="default" w:ascii="宋体" w:hAnsi="宋体" w:eastAsia="宋体" w:cs="宋体"/>
                <w:color w:val="auto"/>
                <w:sz w:val="21"/>
                <w:szCs w:val="21"/>
              </w:rPr>
            </w:pPr>
          </w:p>
        </w:tc>
        <w:tc>
          <w:tcPr>
            <w:tcW w:w="5987" w:type="dxa"/>
            <w:noWrap w:val="0"/>
            <w:vAlign w:val="center"/>
          </w:tcPr>
          <w:p w14:paraId="34537918">
            <w:pPr>
              <w:keepNext w:val="0"/>
              <w:keepLines w:val="0"/>
              <w:widowControl/>
              <w:suppressLineNumbers w:val="0"/>
              <w:spacing w:before="0" w:beforeAutospacing="0" w:after="0" w:afterAutospacing="0"/>
              <w:ind w:left="0" w:right="0"/>
              <w:textAlignment w:val="center"/>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lang w:bidi="ar"/>
              </w:rPr>
              <w:t>拟派项目组其他人员（项目负责人除外）配备情况：</w:t>
            </w:r>
          </w:p>
          <w:p w14:paraId="76F71C10">
            <w:pPr>
              <w:keepNext w:val="0"/>
              <w:keepLines w:val="0"/>
              <w:widowControl/>
              <w:suppressLineNumbers w:val="0"/>
              <w:spacing w:before="0" w:beforeAutospacing="0" w:after="0" w:afterAutospacing="0"/>
              <w:ind w:left="0" w:right="0"/>
              <w:textAlignment w:val="center"/>
              <w:rPr>
                <w:rFonts w:hint="eastAsia" w:ascii="宋体" w:hAnsi="宋体" w:eastAsia="宋体" w:cs="宋体"/>
                <w:color w:val="auto"/>
                <w:kern w:val="0"/>
                <w:sz w:val="21"/>
                <w:szCs w:val="21"/>
                <w:lang w:eastAsia="zh-CN" w:bidi="ar"/>
              </w:rPr>
            </w:pPr>
            <w:r>
              <w:rPr>
                <w:rFonts w:hint="eastAsia" w:ascii="宋体" w:hAnsi="宋体" w:eastAsia="宋体" w:cs="宋体"/>
                <w:color w:val="auto"/>
                <w:sz w:val="21"/>
                <w:szCs w:val="21"/>
                <w:lang w:val="en-US" w:eastAsia="zh-CN"/>
              </w:rPr>
              <w:t>技</w:t>
            </w:r>
            <w:r>
              <w:rPr>
                <w:rFonts w:hint="eastAsia" w:ascii="宋体" w:hAnsi="宋体" w:eastAsia="宋体" w:cs="宋体"/>
                <w:color w:val="auto"/>
                <w:kern w:val="0"/>
                <w:sz w:val="21"/>
                <w:szCs w:val="21"/>
                <w:lang w:val="en-US" w:eastAsia="zh-CN" w:bidi="ar"/>
              </w:rPr>
              <w:t>术负责人具有相关专业工程师及以上职称得2分，</w:t>
            </w:r>
            <w:r>
              <w:rPr>
                <w:rFonts w:hint="eastAsia" w:ascii="宋体" w:hAnsi="宋体" w:eastAsia="宋体" w:cs="宋体"/>
                <w:color w:val="auto"/>
                <w:kern w:val="0"/>
                <w:sz w:val="21"/>
                <w:szCs w:val="21"/>
                <w:lang w:eastAsia="zh-CN" w:bidi="ar"/>
              </w:rPr>
              <w:t>施工员、质量员、材料员</w:t>
            </w:r>
            <w:r>
              <w:rPr>
                <w:rFonts w:hint="eastAsia" w:ascii="宋体" w:hAnsi="宋体" w:eastAsia="宋体" w:cs="宋体"/>
                <w:color w:val="auto"/>
                <w:kern w:val="0"/>
                <w:sz w:val="21"/>
                <w:szCs w:val="21"/>
                <w:lang w:val="en-US" w:eastAsia="zh-CN" w:bidi="ar"/>
              </w:rPr>
              <w:t>具有</w:t>
            </w:r>
            <w:r>
              <w:rPr>
                <w:rFonts w:hint="eastAsia" w:ascii="宋体" w:hAnsi="宋体" w:eastAsia="宋体" w:cs="宋体"/>
                <w:color w:val="auto"/>
                <w:kern w:val="0"/>
                <w:sz w:val="21"/>
                <w:szCs w:val="21"/>
                <w:lang w:bidi="ar"/>
              </w:rPr>
              <w:t>相应的</w:t>
            </w:r>
            <w:r>
              <w:rPr>
                <w:rFonts w:hint="eastAsia" w:ascii="宋体" w:hAnsi="宋体" w:eastAsia="宋体" w:cs="宋体"/>
                <w:color w:val="auto"/>
                <w:kern w:val="0"/>
                <w:sz w:val="21"/>
                <w:szCs w:val="21"/>
                <w:lang w:val="en-US" w:eastAsia="zh-CN" w:bidi="ar"/>
              </w:rPr>
              <w:t>岗位</w:t>
            </w:r>
            <w:r>
              <w:rPr>
                <w:rFonts w:hint="eastAsia" w:ascii="宋体" w:hAnsi="宋体" w:eastAsia="宋体" w:cs="宋体"/>
                <w:color w:val="auto"/>
                <w:kern w:val="0"/>
                <w:sz w:val="21"/>
                <w:szCs w:val="21"/>
                <w:lang w:bidi="ar"/>
              </w:rPr>
              <w:t>资格证书</w:t>
            </w:r>
            <w:r>
              <w:rPr>
                <w:rFonts w:hint="eastAsia" w:ascii="宋体" w:hAnsi="宋体" w:eastAsia="宋体" w:cs="宋体"/>
                <w:color w:val="auto"/>
                <w:kern w:val="0"/>
                <w:sz w:val="21"/>
                <w:szCs w:val="21"/>
                <w:lang w:val="en-US" w:eastAsia="zh-CN" w:bidi="ar"/>
              </w:rPr>
              <w:t>每人各得2分，</w:t>
            </w:r>
            <w:r>
              <w:rPr>
                <w:rFonts w:hint="eastAsia" w:ascii="宋体" w:hAnsi="宋体" w:eastAsia="宋体" w:cs="宋体"/>
                <w:color w:val="auto"/>
                <w:kern w:val="0"/>
                <w:sz w:val="21"/>
                <w:szCs w:val="21"/>
                <w:lang w:bidi="ar"/>
              </w:rPr>
              <w:t>本项最高得</w:t>
            </w:r>
            <w:r>
              <w:rPr>
                <w:rFonts w:hint="eastAsia" w:ascii="宋体" w:hAnsi="宋体" w:eastAsia="宋体" w:cs="宋体"/>
                <w:color w:val="auto"/>
                <w:kern w:val="0"/>
                <w:sz w:val="21"/>
                <w:szCs w:val="21"/>
                <w:lang w:val="en-US" w:eastAsia="zh-CN" w:bidi="ar"/>
              </w:rPr>
              <w:t>8</w:t>
            </w:r>
            <w:r>
              <w:rPr>
                <w:rFonts w:hint="eastAsia" w:ascii="宋体" w:hAnsi="宋体" w:eastAsia="宋体" w:cs="宋体"/>
                <w:color w:val="auto"/>
                <w:kern w:val="0"/>
                <w:sz w:val="21"/>
                <w:szCs w:val="21"/>
                <w:lang w:bidi="ar"/>
              </w:rPr>
              <w:t>分。</w:t>
            </w:r>
          </w:p>
          <w:p w14:paraId="62CE0B74">
            <w:pPr>
              <w:keepNext w:val="0"/>
              <w:keepLines w:val="0"/>
              <w:widowControl/>
              <w:suppressLineNumbers w:val="0"/>
              <w:spacing w:before="0" w:beforeAutospacing="0" w:after="0" w:afterAutospacing="0"/>
              <w:ind w:left="0" w:right="0"/>
              <w:rPr>
                <w:rFonts w:hint="eastAsia" w:ascii="宋体" w:hAnsi="宋体" w:eastAsia="宋体" w:cs="宋体"/>
                <w:color w:val="auto"/>
                <w:sz w:val="21"/>
                <w:szCs w:val="21"/>
              </w:rPr>
            </w:pPr>
            <w:r>
              <w:rPr>
                <w:rFonts w:hint="eastAsia" w:ascii="Times New Roman" w:hAnsi="Times New Roman" w:eastAsia="宋体" w:cs="Times New Roman"/>
                <w:b/>
                <w:bCs/>
                <w:color w:val="auto"/>
                <w:szCs w:val="20"/>
                <w:lang w:val="en-US" w:eastAsia="zh-CN"/>
              </w:rPr>
              <w:t>注：提供以上人员的相关证书复印件及本企业有效的社保证明（近 3 个月内任意一月）。如因故无法提供社保证明，须提供能证明是本企业在职人员的相关证明材料。</w:t>
            </w:r>
          </w:p>
        </w:tc>
        <w:tc>
          <w:tcPr>
            <w:tcW w:w="752" w:type="dxa"/>
            <w:noWrap w:val="0"/>
            <w:vAlign w:val="center"/>
          </w:tcPr>
          <w:p w14:paraId="27B25AD2">
            <w:pPr>
              <w:keepNext w:val="0"/>
              <w:keepLines w:val="0"/>
              <w:widowControl/>
              <w:suppressLineNumbers w:val="0"/>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kern w:val="0"/>
                <w:sz w:val="21"/>
                <w:szCs w:val="21"/>
                <w:lang w:val="en-US" w:eastAsia="zh-CN" w:bidi="ar"/>
              </w:rPr>
              <w:t>8</w:t>
            </w:r>
          </w:p>
        </w:tc>
        <w:tc>
          <w:tcPr>
            <w:tcW w:w="876" w:type="dxa"/>
            <w:noWrap w:val="0"/>
            <w:vAlign w:val="center"/>
          </w:tcPr>
          <w:p w14:paraId="7E1E541A">
            <w:pPr>
              <w:keepNext w:val="0"/>
              <w:keepLines w:val="0"/>
              <w:widowControl/>
              <w:suppressLineNumbers w:val="0"/>
              <w:spacing w:before="0" w:beforeAutospacing="0" w:after="0" w:afterAutospacing="0"/>
              <w:ind w:left="0" w:right="0"/>
              <w:jc w:val="center"/>
              <w:rPr>
                <w:rFonts w:hint="default" w:ascii="宋体" w:hAnsi="宋体" w:eastAsia="宋体" w:cs="宋体"/>
                <w:color w:val="auto"/>
                <w:sz w:val="21"/>
                <w:szCs w:val="21"/>
              </w:rPr>
            </w:pPr>
            <w:r>
              <w:rPr>
                <w:rFonts w:hint="eastAsia" w:ascii="宋体" w:hAnsi="宋体" w:eastAsia="宋体" w:cs="宋体"/>
                <w:color w:val="auto"/>
                <w:kern w:val="0"/>
                <w:sz w:val="21"/>
                <w:szCs w:val="21"/>
              </w:rPr>
              <w:t>客观分</w:t>
            </w:r>
          </w:p>
        </w:tc>
      </w:tr>
      <w:tr w14:paraId="27EE33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749" w:type="dxa"/>
            <w:noWrap w:val="0"/>
            <w:vAlign w:val="center"/>
          </w:tcPr>
          <w:p w14:paraId="49BEB31C">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3</w:t>
            </w:r>
          </w:p>
        </w:tc>
        <w:tc>
          <w:tcPr>
            <w:tcW w:w="1316" w:type="dxa"/>
            <w:noWrap w:val="0"/>
            <w:vAlign w:val="center"/>
          </w:tcPr>
          <w:p w14:paraId="7A4420AF">
            <w:pPr>
              <w:keepNext w:val="0"/>
              <w:keepLines w:val="0"/>
              <w:suppressLineNumbers w:val="0"/>
              <w:bidi w:val="0"/>
              <w:spacing w:before="0" w:beforeAutospacing="0" w:after="0" w:afterAutospacing="0"/>
              <w:ind w:left="0" w:right="0"/>
              <w:jc w:val="both"/>
              <w:rPr>
                <w:rFonts w:hint="default" w:ascii="宋体" w:hAnsi="宋体" w:eastAsia="宋体" w:cs="宋体"/>
                <w:color w:val="auto"/>
                <w:sz w:val="21"/>
                <w:szCs w:val="21"/>
                <w:lang w:val="en-US" w:eastAsia="zh-CN"/>
              </w:rPr>
            </w:pPr>
            <w:r>
              <w:rPr>
                <w:rFonts w:hint="eastAsia"/>
                <w:color w:val="auto"/>
                <w:szCs w:val="20"/>
                <w:lang w:val="en-US" w:eastAsia="zh-CN"/>
              </w:rPr>
              <w:t>应急响应方案及处理措施</w:t>
            </w:r>
          </w:p>
        </w:tc>
        <w:tc>
          <w:tcPr>
            <w:tcW w:w="5987" w:type="dxa"/>
            <w:noWrap w:val="0"/>
            <w:vAlign w:val="center"/>
          </w:tcPr>
          <w:p w14:paraId="2A432B4A">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评价各供应商提出的针对本项目的实际情况，在应对自然灾害、突发事件等紧急情况下，制定的人员和机械应急调度计划、方案及承诺的合理性、有效性。</w:t>
            </w:r>
          </w:p>
          <w:p w14:paraId="55D68DBB">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1.阐述内容针对本项目、</w:t>
            </w:r>
            <w:r>
              <w:rPr>
                <w:rFonts w:hint="eastAsia"/>
                <w:color w:val="auto"/>
                <w:szCs w:val="20"/>
                <w:lang w:val="en-US" w:eastAsia="zh-CN"/>
              </w:rPr>
              <w:t>方案完整</w:t>
            </w:r>
            <w:r>
              <w:rPr>
                <w:rFonts w:hint="eastAsia"/>
                <w:color w:val="auto"/>
                <w:szCs w:val="20"/>
              </w:rPr>
              <w:t>合理</w:t>
            </w:r>
            <w:r>
              <w:rPr>
                <w:rFonts w:hint="eastAsia"/>
                <w:color w:val="auto"/>
                <w:szCs w:val="20"/>
                <w:lang w:val="en-US" w:eastAsia="zh-CN"/>
              </w:rPr>
              <w:t>，</w:t>
            </w:r>
            <w:r>
              <w:rPr>
                <w:rFonts w:hint="eastAsia"/>
                <w:color w:val="auto"/>
                <w:szCs w:val="20"/>
              </w:rPr>
              <w:t>满足采购需求，得</w:t>
            </w:r>
            <w:r>
              <w:rPr>
                <w:rFonts w:hint="eastAsia"/>
                <w:color w:val="auto"/>
                <w:szCs w:val="20"/>
                <w:lang w:val="en-US" w:eastAsia="zh-CN"/>
              </w:rPr>
              <w:t>14</w:t>
            </w:r>
            <w:r>
              <w:rPr>
                <w:rFonts w:hint="eastAsia"/>
                <w:color w:val="auto"/>
                <w:szCs w:val="20"/>
              </w:rPr>
              <w:t>分；</w:t>
            </w:r>
          </w:p>
          <w:p w14:paraId="62CD049D">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2.主要内容未遗漏，基本满足采购需求，得</w:t>
            </w:r>
            <w:r>
              <w:rPr>
                <w:rFonts w:hint="eastAsia"/>
                <w:color w:val="auto"/>
                <w:szCs w:val="20"/>
                <w:lang w:val="en-US" w:eastAsia="zh-CN"/>
              </w:rPr>
              <w:t>12</w:t>
            </w:r>
            <w:r>
              <w:rPr>
                <w:rFonts w:hint="eastAsia"/>
                <w:color w:val="auto"/>
                <w:szCs w:val="20"/>
              </w:rPr>
              <w:t>分；</w:t>
            </w:r>
          </w:p>
          <w:p w14:paraId="1EA67579">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3.内容有缺陷，得</w:t>
            </w:r>
            <w:r>
              <w:rPr>
                <w:rFonts w:hint="eastAsia"/>
                <w:color w:val="auto"/>
                <w:szCs w:val="20"/>
                <w:lang w:val="en-US" w:eastAsia="zh-CN"/>
              </w:rPr>
              <w:t>10</w:t>
            </w:r>
            <w:r>
              <w:rPr>
                <w:rFonts w:hint="eastAsia"/>
                <w:color w:val="auto"/>
                <w:szCs w:val="20"/>
              </w:rPr>
              <w:t>分。</w:t>
            </w:r>
          </w:p>
          <w:p w14:paraId="1D9C1690">
            <w:pPr>
              <w:keepNext w:val="0"/>
              <w:keepLines w:val="0"/>
              <w:suppressLineNumbers w:val="0"/>
              <w:bidi w:val="0"/>
              <w:spacing w:before="0" w:beforeAutospacing="0" w:after="0" w:afterAutospacing="0"/>
              <w:ind w:left="0" w:right="0"/>
              <w:jc w:val="both"/>
              <w:rPr>
                <w:rFonts w:hint="eastAsia" w:ascii="宋体" w:hAnsi="宋体" w:eastAsia="宋体" w:cs="宋体"/>
                <w:color w:val="auto"/>
                <w:sz w:val="21"/>
                <w:szCs w:val="21"/>
              </w:rPr>
            </w:pPr>
            <w:r>
              <w:rPr>
                <w:rFonts w:hint="eastAsia"/>
                <w:color w:val="auto"/>
                <w:szCs w:val="20"/>
              </w:rPr>
              <w:t>4.不满足采购需求的，不得分。</w:t>
            </w:r>
          </w:p>
        </w:tc>
        <w:tc>
          <w:tcPr>
            <w:tcW w:w="752" w:type="dxa"/>
            <w:noWrap w:val="0"/>
            <w:vAlign w:val="center"/>
          </w:tcPr>
          <w:p w14:paraId="00E7832D">
            <w:pPr>
              <w:keepNext w:val="0"/>
              <w:keepLines w:val="0"/>
              <w:suppressLineNumbers w:val="0"/>
              <w:spacing w:before="0" w:beforeAutospacing="0" w:after="0" w:afterAutospacing="0"/>
              <w:ind w:left="0" w:right="0"/>
              <w:jc w:val="center"/>
              <w:rPr>
                <w:rFonts w:hint="default" w:ascii="宋体" w:hAnsi="宋体" w:eastAsia="宋体" w:cs="宋体"/>
                <w:color w:val="auto"/>
                <w:sz w:val="21"/>
                <w:szCs w:val="21"/>
                <w:lang w:val="en-US"/>
              </w:rPr>
            </w:pPr>
            <w:r>
              <w:rPr>
                <w:rFonts w:hint="eastAsia" w:ascii="宋体" w:hAnsi="宋体" w:eastAsia="宋体" w:cs="宋体"/>
                <w:bCs/>
                <w:color w:val="auto"/>
                <w:sz w:val="21"/>
                <w:szCs w:val="21"/>
                <w:lang w:val="en-US" w:eastAsia="zh-CN"/>
              </w:rPr>
              <w:t>14</w:t>
            </w:r>
          </w:p>
        </w:tc>
        <w:tc>
          <w:tcPr>
            <w:tcW w:w="876" w:type="dxa"/>
            <w:noWrap w:val="0"/>
            <w:vAlign w:val="center"/>
          </w:tcPr>
          <w:p w14:paraId="61FAB541">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kern w:val="0"/>
                <w:sz w:val="21"/>
                <w:szCs w:val="21"/>
                <w:lang w:bidi="ar"/>
              </w:rPr>
            </w:pPr>
            <w:r>
              <w:rPr>
                <w:rFonts w:hint="eastAsia" w:ascii="宋体" w:hAnsi="宋体" w:eastAsia="宋体" w:cs="宋体"/>
                <w:color w:val="auto"/>
                <w:kern w:val="0"/>
                <w:sz w:val="21"/>
                <w:szCs w:val="21"/>
              </w:rPr>
              <w:t>主观分</w:t>
            </w:r>
          </w:p>
        </w:tc>
      </w:tr>
      <w:tr w14:paraId="63781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830" w:hRule="atLeast"/>
          <w:jc w:val="center"/>
        </w:trPr>
        <w:tc>
          <w:tcPr>
            <w:tcW w:w="749" w:type="dxa"/>
            <w:noWrap w:val="0"/>
            <w:vAlign w:val="center"/>
          </w:tcPr>
          <w:p w14:paraId="2C0228B6">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4</w:t>
            </w:r>
          </w:p>
        </w:tc>
        <w:tc>
          <w:tcPr>
            <w:tcW w:w="1316" w:type="dxa"/>
            <w:noWrap w:val="0"/>
            <w:vAlign w:val="center"/>
          </w:tcPr>
          <w:p w14:paraId="4CDFC7EA">
            <w:pPr>
              <w:keepNext w:val="0"/>
              <w:keepLines w:val="0"/>
              <w:suppressLineNumbers w:val="0"/>
              <w:bidi w:val="0"/>
              <w:spacing w:before="0" w:beforeAutospacing="0" w:after="0" w:afterAutospacing="0"/>
              <w:ind w:left="0" w:right="0"/>
              <w:jc w:val="both"/>
              <w:rPr>
                <w:rFonts w:hint="default" w:ascii="宋体" w:hAnsi="宋体" w:eastAsia="宋体" w:cs="宋体"/>
                <w:color w:val="auto"/>
                <w:sz w:val="21"/>
                <w:szCs w:val="21"/>
              </w:rPr>
            </w:pPr>
            <w:r>
              <w:rPr>
                <w:rFonts w:hint="eastAsia"/>
                <w:color w:val="auto"/>
                <w:szCs w:val="20"/>
                <w:lang w:val="en-US" w:eastAsia="zh-CN"/>
              </w:rPr>
              <w:t>服务承诺与质量保证措施</w:t>
            </w:r>
          </w:p>
        </w:tc>
        <w:tc>
          <w:tcPr>
            <w:tcW w:w="5987" w:type="dxa"/>
            <w:noWrap w:val="0"/>
            <w:vAlign w:val="center"/>
          </w:tcPr>
          <w:p w14:paraId="54A8CA15">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评价供应商提出的为确保项目顺利</w:t>
            </w:r>
            <w:r>
              <w:rPr>
                <w:rFonts w:hint="eastAsia"/>
                <w:color w:val="auto"/>
                <w:szCs w:val="20"/>
                <w:lang w:val="en-US" w:eastAsia="zh-CN"/>
              </w:rPr>
              <w:t>完成</w:t>
            </w:r>
            <w:r>
              <w:rPr>
                <w:rFonts w:hint="eastAsia"/>
                <w:color w:val="auto"/>
                <w:szCs w:val="20"/>
              </w:rPr>
              <w:t>所采取的各项措施与承诺，包括中标后项目所需人员的来源说明、人员到位时间的承诺、设备到位承诺等。</w:t>
            </w:r>
          </w:p>
          <w:p w14:paraId="41261197">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1.阐述内容针对本项目、</w:t>
            </w:r>
            <w:r>
              <w:rPr>
                <w:rFonts w:hint="eastAsia"/>
                <w:color w:val="auto"/>
                <w:szCs w:val="20"/>
                <w:lang w:val="en-US" w:eastAsia="zh-CN"/>
              </w:rPr>
              <w:t>措施与承诺针对性强，</w:t>
            </w:r>
            <w:r>
              <w:rPr>
                <w:rFonts w:hint="eastAsia"/>
                <w:color w:val="auto"/>
                <w:szCs w:val="20"/>
              </w:rPr>
              <w:t>满足采购需求，得</w:t>
            </w:r>
            <w:r>
              <w:rPr>
                <w:rFonts w:hint="eastAsia"/>
                <w:color w:val="auto"/>
                <w:szCs w:val="20"/>
                <w:lang w:val="en-US" w:eastAsia="zh-CN"/>
              </w:rPr>
              <w:t>14</w:t>
            </w:r>
            <w:r>
              <w:rPr>
                <w:rFonts w:hint="eastAsia"/>
                <w:color w:val="auto"/>
                <w:szCs w:val="20"/>
              </w:rPr>
              <w:t>分；</w:t>
            </w:r>
          </w:p>
          <w:p w14:paraId="2F85FCA9">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2.主要内容未遗漏，基本满足采购需求，得</w:t>
            </w:r>
            <w:r>
              <w:rPr>
                <w:rFonts w:hint="eastAsia"/>
                <w:color w:val="auto"/>
                <w:szCs w:val="20"/>
                <w:lang w:val="en-US" w:eastAsia="zh-CN"/>
              </w:rPr>
              <w:t>12</w:t>
            </w:r>
            <w:r>
              <w:rPr>
                <w:rFonts w:hint="eastAsia"/>
                <w:color w:val="auto"/>
                <w:szCs w:val="20"/>
              </w:rPr>
              <w:t>分；</w:t>
            </w:r>
          </w:p>
          <w:p w14:paraId="6976374B">
            <w:pPr>
              <w:keepNext w:val="0"/>
              <w:keepLines w:val="0"/>
              <w:suppressLineNumbers w:val="0"/>
              <w:bidi w:val="0"/>
              <w:spacing w:before="0" w:beforeAutospacing="0" w:after="0" w:afterAutospacing="0"/>
              <w:ind w:left="0" w:right="0"/>
              <w:jc w:val="both"/>
              <w:rPr>
                <w:rFonts w:hint="eastAsia"/>
                <w:color w:val="auto"/>
                <w:szCs w:val="20"/>
              </w:rPr>
            </w:pPr>
            <w:r>
              <w:rPr>
                <w:rFonts w:hint="eastAsia"/>
                <w:color w:val="auto"/>
                <w:szCs w:val="20"/>
              </w:rPr>
              <w:t>3.内容有缺陷，得</w:t>
            </w:r>
            <w:r>
              <w:rPr>
                <w:rFonts w:hint="eastAsia"/>
                <w:color w:val="auto"/>
                <w:szCs w:val="20"/>
                <w:lang w:val="en-US" w:eastAsia="zh-CN"/>
              </w:rPr>
              <w:t>10</w:t>
            </w:r>
            <w:r>
              <w:rPr>
                <w:rFonts w:hint="eastAsia"/>
                <w:color w:val="auto"/>
                <w:szCs w:val="20"/>
              </w:rPr>
              <w:t>分。</w:t>
            </w:r>
          </w:p>
          <w:p w14:paraId="6609B854">
            <w:pPr>
              <w:keepNext w:val="0"/>
              <w:keepLines w:val="0"/>
              <w:suppressLineNumbers w:val="0"/>
              <w:bidi w:val="0"/>
              <w:spacing w:before="0" w:beforeAutospacing="0" w:after="0" w:afterAutospacing="0"/>
              <w:ind w:left="0" w:right="0"/>
              <w:jc w:val="both"/>
              <w:rPr>
                <w:rFonts w:hint="eastAsia" w:ascii="宋体" w:hAnsi="宋体" w:eastAsia="宋体" w:cs="宋体"/>
                <w:color w:val="auto"/>
                <w:sz w:val="21"/>
                <w:szCs w:val="21"/>
              </w:rPr>
            </w:pPr>
            <w:r>
              <w:rPr>
                <w:rFonts w:hint="eastAsia"/>
                <w:color w:val="auto"/>
                <w:szCs w:val="20"/>
              </w:rPr>
              <w:t>4.不满足采购需求的，不得分。</w:t>
            </w:r>
          </w:p>
        </w:tc>
        <w:tc>
          <w:tcPr>
            <w:tcW w:w="752" w:type="dxa"/>
            <w:noWrap w:val="0"/>
            <w:vAlign w:val="center"/>
          </w:tcPr>
          <w:p w14:paraId="2CEBA348">
            <w:pPr>
              <w:keepNext w:val="0"/>
              <w:keepLines w:val="0"/>
              <w:suppressLineNumbers w:val="0"/>
              <w:spacing w:before="0" w:beforeAutospacing="0" w:after="0" w:afterAutospacing="0"/>
              <w:ind w:left="0" w:right="0"/>
              <w:jc w:val="center"/>
              <w:rPr>
                <w:rFonts w:hint="eastAsia" w:ascii="宋体" w:hAnsi="宋体" w:eastAsia="宋体" w:cs="宋体"/>
                <w:bCs/>
                <w:color w:val="auto"/>
                <w:sz w:val="21"/>
                <w:szCs w:val="21"/>
                <w:lang w:eastAsia="zh-CN"/>
              </w:rPr>
            </w:pPr>
            <w:r>
              <w:rPr>
                <w:rFonts w:hint="eastAsia" w:ascii="宋体" w:hAnsi="宋体" w:eastAsia="宋体" w:cs="宋体"/>
                <w:bCs/>
                <w:color w:val="auto"/>
                <w:sz w:val="21"/>
                <w:szCs w:val="21"/>
                <w:lang w:val="en-US" w:eastAsia="zh-CN"/>
              </w:rPr>
              <w:t>14</w:t>
            </w:r>
          </w:p>
        </w:tc>
        <w:tc>
          <w:tcPr>
            <w:tcW w:w="876" w:type="dxa"/>
            <w:noWrap w:val="0"/>
            <w:vAlign w:val="center"/>
          </w:tcPr>
          <w:p w14:paraId="5EC5B717">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kern w:val="0"/>
                <w:sz w:val="21"/>
                <w:szCs w:val="21"/>
              </w:rPr>
            </w:pPr>
            <w:r>
              <w:rPr>
                <w:rFonts w:hint="eastAsia" w:ascii="宋体" w:hAnsi="宋体" w:eastAsia="宋体" w:cs="宋体"/>
                <w:color w:val="auto"/>
                <w:kern w:val="0"/>
                <w:sz w:val="21"/>
                <w:szCs w:val="21"/>
              </w:rPr>
              <w:t>主观分</w:t>
            </w:r>
          </w:p>
        </w:tc>
      </w:tr>
      <w:tr w14:paraId="0E8E9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749" w:type="dxa"/>
            <w:noWrap w:val="0"/>
            <w:vAlign w:val="center"/>
          </w:tcPr>
          <w:p w14:paraId="30F5F0B5">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sz w:val="21"/>
                <w:szCs w:val="21"/>
                <w:lang w:val="en-US" w:eastAsia="zh-CN"/>
              </w:rPr>
              <w:t>5</w:t>
            </w:r>
          </w:p>
        </w:tc>
        <w:tc>
          <w:tcPr>
            <w:tcW w:w="1316" w:type="dxa"/>
            <w:noWrap w:val="0"/>
            <w:vAlign w:val="center"/>
          </w:tcPr>
          <w:p w14:paraId="64B7A1EA">
            <w:pPr>
              <w:keepNext w:val="0"/>
              <w:keepLines w:val="0"/>
              <w:pageBreakBefore w:val="0"/>
              <w:widowControl w:val="0"/>
              <w:numPr>
                <w:ilvl w:val="0"/>
                <w:numId w:val="0"/>
              </w:numPr>
              <w:suppressLineNumbers w:val="0"/>
              <w:tabs>
                <w:tab w:val="left" w:pos="1080"/>
                <w:tab w:val="left" w:pos="1620"/>
              </w:tabs>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重难点分析</w:t>
            </w:r>
          </w:p>
        </w:tc>
        <w:tc>
          <w:tcPr>
            <w:tcW w:w="5987" w:type="dxa"/>
            <w:noWrap w:val="0"/>
            <w:vAlign w:val="center"/>
          </w:tcPr>
          <w:p w14:paraId="53FF9DE7">
            <w:pPr>
              <w:keepNext w:val="0"/>
              <w:keepLines w:val="0"/>
              <w:suppressLineNumbers w:val="0"/>
              <w:bidi w:val="0"/>
              <w:spacing w:before="0" w:beforeAutospacing="0" w:after="0" w:afterAutospacing="0"/>
              <w:ind w:left="0" w:right="0"/>
              <w:jc w:val="both"/>
              <w:rPr>
                <w:rFonts w:hint="eastAsia" w:ascii="Times New Roman" w:hAnsi="Times New Roman" w:eastAsia="宋体" w:cs="Times New Roman"/>
                <w:color w:val="auto"/>
                <w:szCs w:val="20"/>
                <w:lang w:val="en-US" w:eastAsia="zh-CN"/>
              </w:rPr>
            </w:pPr>
            <w:r>
              <w:rPr>
                <w:rFonts w:hint="eastAsia" w:ascii="宋体" w:hAnsi="宋体" w:eastAsia="宋体" w:cs="宋体"/>
                <w:color w:val="auto"/>
                <w:sz w:val="21"/>
                <w:szCs w:val="21"/>
                <w:highlight w:val="none"/>
                <w:lang w:val="en-US" w:eastAsia="zh-CN"/>
              </w:rPr>
              <w:t>重难点分析包括但不限于下列内容:重难点分析；提出重难点解决方案。</w:t>
            </w:r>
          </w:p>
          <w:p w14:paraId="10DC7B4D">
            <w:pPr>
              <w:keepNext w:val="0"/>
              <w:keepLines w:val="0"/>
              <w:suppressLineNumbers w:val="0"/>
              <w:bidi w:val="0"/>
              <w:spacing w:before="0" w:beforeAutospacing="0" w:after="0" w:afterAutospacing="0"/>
              <w:ind w:left="0" w:right="0"/>
              <w:jc w:val="both"/>
              <w:rPr>
                <w:rFonts w:hint="eastAsia" w:ascii="Times New Roman" w:hAnsi="Times New Roman" w:eastAsia="宋体" w:cs="Times New Roman"/>
                <w:color w:val="auto"/>
                <w:szCs w:val="20"/>
              </w:rPr>
            </w:pPr>
            <w:r>
              <w:rPr>
                <w:rFonts w:hint="eastAsia" w:ascii="Times New Roman" w:hAnsi="Times New Roman" w:eastAsia="宋体" w:cs="Times New Roman"/>
                <w:color w:val="auto"/>
                <w:szCs w:val="20"/>
              </w:rPr>
              <w:t>1.阐述内容完整、条理清晰，分析到位，满足采购需求，得</w:t>
            </w:r>
            <w:r>
              <w:rPr>
                <w:rFonts w:hint="eastAsia" w:ascii="Times New Roman" w:hAnsi="Times New Roman" w:eastAsia="宋体" w:cs="Times New Roman"/>
                <w:color w:val="auto"/>
                <w:szCs w:val="20"/>
                <w:lang w:val="en-US" w:eastAsia="zh-CN"/>
              </w:rPr>
              <w:t>14</w:t>
            </w:r>
            <w:r>
              <w:rPr>
                <w:rFonts w:hint="eastAsia" w:ascii="Times New Roman" w:hAnsi="Times New Roman" w:eastAsia="宋体" w:cs="Times New Roman"/>
                <w:color w:val="auto"/>
                <w:szCs w:val="20"/>
              </w:rPr>
              <w:t>分；</w:t>
            </w:r>
          </w:p>
          <w:p w14:paraId="4D0C880B">
            <w:pPr>
              <w:keepNext w:val="0"/>
              <w:keepLines w:val="0"/>
              <w:suppressLineNumbers w:val="0"/>
              <w:bidi w:val="0"/>
              <w:spacing w:before="0" w:beforeAutospacing="0" w:after="0" w:afterAutospacing="0"/>
              <w:ind w:left="0" w:right="0"/>
              <w:jc w:val="both"/>
              <w:rPr>
                <w:rFonts w:hint="eastAsia" w:ascii="Times New Roman" w:hAnsi="Times New Roman" w:eastAsia="宋体" w:cs="Times New Roman"/>
                <w:color w:val="auto"/>
                <w:szCs w:val="20"/>
              </w:rPr>
            </w:pPr>
            <w:r>
              <w:rPr>
                <w:rFonts w:hint="eastAsia" w:ascii="Times New Roman" w:hAnsi="Times New Roman" w:eastAsia="宋体" w:cs="Times New Roman"/>
                <w:color w:val="auto"/>
                <w:szCs w:val="20"/>
              </w:rPr>
              <w:t>2.主要内容未遗漏，基本满足采购需求，得</w:t>
            </w:r>
            <w:r>
              <w:rPr>
                <w:rFonts w:hint="eastAsia" w:ascii="Times New Roman" w:hAnsi="Times New Roman" w:eastAsia="宋体" w:cs="Times New Roman"/>
                <w:color w:val="auto"/>
                <w:szCs w:val="20"/>
                <w:lang w:val="en-US" w:eastAsia="zh-CN"/>
              </w:rPr>
              <w:t>12</w:t>
            </w:r>
            <w:r>
              <w:rPr>
                <w:rFonts w:hint="eastAsia" w:ascii="Times New Roman" w:hAnsi="Times New Roman" w:eastAsia="宋体" w:cs="Times New Roman"/>
                <w:color w:val="auto"/>
                <w:szCs w:val="20"/>
              </w:rPr>
              <w:t>分；</w:t>
            </w:r>
          </w:p>
          <w:p w14:paraId="5C38D391">
            <w:pPr>
              <w:keepNext w:val="0"/>
              <w:keepLines w:val="0"/>
              <w:suppressLineNumbers w:val="0"/>
              <w:bidi w:val="0"/>
              <w:spacing w:before="0" w:beforeAutospacing="0" w:after="0" w:afterAutospacing="0"/>
              <w:ind w:left="0" w:right="0"/>
              <w:jc w:val="both"/>
              <w:rPr>
                <w:rFonts w:hint="eastAsia" w:ascii="Times New Roman" w:hAnsi="Times New Roman" w:eastAsia="宋体" w:cs="Times New Roman"/>
                <w:color w:val="auto"/>
                <w:szCs w:val="20"/>
              </w:rPr>
            </w:pPr>
            <w:r>
              <w:rPr>
                <w:rFonts w:hint="eastAsia" w:ascii="Times New Roman" w:hAnsi="Times New Roman" w:eastAsia="宋体" w:cs="Times New Roman"/>
                <w:color w:val="auto"/>
                <w:szCs w:val="20"/>
              </w:rPr>
              <w:t>3.内容有缺陷，得</w:t>
            </w:r>
            <w:r>
              <w:rPr>
                <w:rFonts w:hint="eastAsia" w:ascii="Times New Roman" w:hAnsi="Times New Roman" w:eastAsia="宋体" w:cs="Times New Roman"/>
                <w:color w:val="auto"/>
                <w:szCs w:val="20"/>
                <w:lang w:val="en-US" w:eastAsia="zh-CN"/>
              </w:rPr>
              <w:t>10</w:t>
            </w:r>
            <w:r>
              <w:rPr>
                <w:rFonts w:hint="eastAsia" w:ascii="Times New Roman" w:hAnsi="Times New Roman" w:eastAsia="宋体" w:cs="Times New Roman"/>
                <w:color w:val="auto"/>
                <w:szCs w:val="20"/>
              </w:rPr>
              <w:t>分。</w:t>
            </w:r>
          </w:p>
          <w:p w14:paraId="77DA2CF6">
            <w:pPr>
              <w:keepNext w:val="0"/>
              <w:keepLines w:val="0"/>
              <w:suppressLineNumbers w:val="0"/>
              <w:bidi w:val="0"/>
              <w:spacing w:before="0" w:beforeAutospacing="0" w:after="0" w:afterAutospacing="0"/>
              <w:ind w:left="0" w:right="0"/>
              <w:jc w:val="both"/>
              <w:rPr>
                <w:rFonts w:hint="eastAsia" w:ascii="宋体" w:hAnsi="宋体" w:eastAsia="宋体" w:cs="宋体"/>
                <w:color w:val="auto"/>
                <w:kern w:val="2"/>
                <w:sz w:val="21"/>
                <w:szCs w:val="21"/>
                <w:highlight w:val="none"/>
                <w:lang w:val="en-US" w:eastAsia="zh-CN" w:bidi="ar-SA"/>
              </w:rPr>
            </w:pPr>
            <w:r>
              <w:rPr>
                <w:rFonts w:hint="eastAsia" w:ascii="Times New Roman" w:hAnsi="Times New Roman" w:eastAsia="宋体" w:cs="Times New Roman"/>
                <w:color w:val="auto"/>
                <w:szCs w:val="20"/>
              </w:rPr>
              <w:t>4.不满足采购需求的，不得分。</w:t>
            </w:r>
          </w:p>
        </w:tc>
        <w:tc>
          <w:tcPr>
            <w:tcW w:w="752" w:type="dxa"/>
            <w:noWrap w:val="0"/>
            <w:vAlign w:val="center"/>
          </w:tcPr>
          <w:p w14:paraId="318BD35C">
            <w:pPr>
              <w:keepNext w:val="0"/>
              <w:keepLines w:val="0"/>
              <w:widowControl/>
              <w:suppressLineNumbers w:val="0"/>
              <w:spacing w:before="0" w:beforeAutospacing="0" w:after="0" w:afterAutospacing="0" w:line="240" w:lineRule="auto"/>
              <w:ind w:left="0" w:leftChars="0" w:right="0" w:rightChars="0" w:firstLine="210" w:firstLineChars="100"/>
              <w:jc w:val="both"/>
              <w:rPr>
                <w:rFonts w:hint="default" w:ascii="宋体" w:hAnsi="宋体" w:eastAsia="宋体" w:cs="宋体"/>
                <w:b w:val="0"/>
                <w:bCs w:val="0"/>
                <w:color w:val="auto"/>
                <w:kern w:val="2"/>
                <w:sz w:val="21"/>
                <w:szCs w:val="21"/>
                <w:lang w:val="en-US" w:eastAsia="zh-CN" w:bidi="ar-SA"/>
              </w:rPr>
            </w:pPr>
            <w:r>
              <w:rPr>
                <w:rFonts w:hint="eastAsia" w:ascii="宋体" w:hAnsi="宋体" w:cs="宋体"/>
                <w:b w:val="0"/>
                <w:bCs w:val="0"/>
                <w:color w:val="auto"/>
                <w:sz w:val="21"/>
                <w:szCs w:val="21"/>
                <w:lang w:val="en-US" w:eastAsia="zh-CN"/>
              </w:rPr>
              <w:t>14</w:t>
            </w:r>
          </w:p>
        </w:tc>
        <w:tc>
          <w:tcPr>
            <w:tcW w:w="876" w:type="dxa"/>
            <w:noWrap w:val="0"/>
            <w:vAlign w:val="center"/>
          </w:tcPr>
          <w:p w14:paraId="2A7FDADC">
            <w:pPr>
              <w:keepNext w:val="0"/>
              <w:keepLines w:val="0"/>
              <w:widowControl/>
              <w:suppressLineNumbers w:val="0"/>
              <w:spacing w:before="0" w:beforeAutospacing="0" w:after="0" w:afterAutospacing="0"/>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主观分</w:t>
            </w:r>
          </w:p>
        </w:tc>
      </w:tr>
      <w:tr w14:paraId="7543E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jc w:val="center"/>
        </w:trPr>
        <w:tc>
          <w:tcPr>
            <w:tcW w:w="749" w:type="dxa"/>
            <w:noWrap w:val="0"/>
            <w:vAlign w:val="center"/>
          </w:tcPr>
          <w:p w14:paraId="1D855C5E">
            <w:pPr>
              <w:keepNext w:val="0"/>
              <w:keepLines w:val="0"/>
              <w:suppressLineNumbers w:val="0"/>
              <w:spacing w:before="0" w:beforeAutospacing="0" w:after="0" w:afterAutospacing="0"/>
              <w:ind w:left="0" w:right="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1316" w:type="dxa"/>
            <w:noWrap w:val="0"/>
            <w:vAlign w:val="center"/>
          </w:tcPr>
          <w:p w14:paraId="7A865862">
            <w:pPr>
              <w:keepNext w:val="0"/>
              <w:keepLines w:val="0"/>
              <w:suppressLineNumbers w:val="0"/>
              <w:spacing w:before="0" w:beforeAutospacing="0" w:after="0" w:afterAutospacing="0"/>
              <w:ind w:left="0" w:right="0"/>
              <w:jc w:val="center"/>
              <w:rPr>
                <w:rFonts w:hint="default" w:ascii="宋体" w:hAnsi="宋体" w:eastAsia="宋体" w:cs="宋体"/>
                <w:color w:val="auto"/>
                <w:sz w:val="21"/>
                <w:szCs w:val="21"/>
              </w:rPr>
            </w:pPr>
            <w:r>
              <w:rPr>
                <w:rFonts w:hint="eastAsia" w:ascii="宋体" w:hAnsi="宋体" w:eastAsia="宋体" w:cs="宋体"/>
                <w:color w:val="auto"/>
                <w:sz w:val="21"/>
                <w:szCs w:val="21"/>
              </w:rPr>
              <w:t>合理化建议</w:t>
            </w:r>
          </w:p>
        </w:tc>
        <w:tc>
          <w:tcPr>
            <w:tcW w:w="5987" w:type="dxa"/>
            <w:noWrap w:val="0"/>
            <w:vAlign w:val="center"/>
          </w:tcPr>
          <w:p w14:paraId="7B1DB370">
            <w:pPr>
              <w:keepNext w:val="0"/>
              <w:keepLines w:val="0"/>
              <w:widowControl/>
              <w:suppressLineNumbers w:val="0"/>
              <w:spacing w:before="0" w:beforeAutospacing="0" w:after="0" w:afterAutospacing="0"/>
              <w:ind w:left="0" w:right="0"/>
              <w:textAlignment w:val="center"/>
              <w:rPr>
                <w:rFonts w:hint="eastAsia" w:ascii="宋体" w:hAnsi="宋体" w:eastAsia="宋体" w:cs="宋体"/>
                <w:color w:val="auto"/>
                <w:sz w:val="21"/>
                <w:szCs w:val="21"/>
              </w:rPr>
            </w:pPr>
            <w:r>
              <w:rPr>
                <w:rFonts w:hint="eastAsia" w:ascii="宋体" w:hAnsi="宋体" w:eastAsia="宋体" w:cs="宋体"/>
                <w:color w:val="auto"/>
                <w:sz w:val="21"/>
                <w:szCs w:val="21"/>
              </w:rPr>
              <w:t>针对本项目结合自身优势提出的合理化建议。</w:t>
            </w:r>
          </w:p>
          <w:p w14:paraId="5691C89B">
            <w:pPr>
              <w:keepNext w:val="0"/>
              <w:keepLines w:val="0"/>
              <w:suppressLineNumbers w:val="0"/>
              <w:bidi w:val="0"/>
              <w:spacing w:before="0" w:beforeAutospacing="0" w:after="0" w:afterAutospacing="0"/>
              <w:ind w:left="0" w:right="0"/>
              <w:jc w:val="both"/>
              <w:rPr>
                <w:rFonts w:hint="eastAsia" w:ascii="Times New Roman" w:hAnsi="Times New Roman" w:eastAsia="宋体" w:cs="Times New Roman"/>
                <w:color w:val="auto"/>
                <w:szCs w:val="20"/>
                <w:lang w:val="en-US" w:eastAsia="zh-CN"/>
              </w:rPr>
            </w:pPr>
            <w:r>
              <w:rPr>
                <w:rFonts w:hint="eastAsia" w:ascii="宋体" w:hAnsi="宋体" w:eastAsia="宋体" w:cs="宋体"/>
                <w:color w:val="auto"/>
                <w:sz w:val="21"/>
                <w:szCs w:val="21"/>
                <w:lang w:val="en-US" w:eastAsia="zh-CN"/>
              </w:rPr>
              <w:t>1.</w:t>
            </w:r>
            <w:r>
              <w:rPr>
                <w:rFonts w:hint="eastAsia"/>
                <w:color w:val="auto"/>
                <w:szCs w:val="20"/>
                <w:highlight w:val="none"/>
              </w:rPr>
              <w:t>阐述内容</w:t>
            </w:r>
            <w:r>
              <w:rPr>
                <w:rFonts w:hint="eastAsia"/>
                <w:color w:val="auto"/>
                <w:szCs w:val="20"/>
                <w:highlight w:val="none"/>
                <w:lang w:val="en-US" w:eastAsia="zh-CN"/>
              </w:rPr>
              <w:t>具有</w:t>
            </w:r>
            <w:r>
              <w:rPr>
                <w:rFonts w:hint="eastAsia" w:ascii="宋体" w:hAnsi="宋体" w:eastAsia="宋体" w:cs="宋体"/>
                <w:color w:val="auto"/>
                <w:sz w:val="21"/>
                <w:szCs w:val="21"/>
              </w:rPr>
              <w:t>合理</w:t>
            </w:r>
            <w:r>
              <w:rPr>
                <w:rFonts w:hint="eastAsia" w:ascii="宋体" w:hAnsi="宋体" w:eastAsia="宋体" w:cs="宋体"/>
                <w:color w:val="auto"/>
                <w:sz w:val="21"/>
                <w:szCs w:val="21"/>
                <w:lang w:val="en-US" w:eastAsia="zh-CN"/>
              </w:rPr>
              <w:t>性</w:t>
            </w:r>
            <w:r>
              <w:rPr>
                <w:rFonts w:hint="eastAsia" w:ascii="宋体" w:hAnsi="宋体" w:eastAsia="宋体" w:cs="宋体"/>
                <w:color w:val="auto"/>
                <w:sz w:val="21"/>
                <w:szCs w:val="21"/>
                <w:lang w:eastAsia="zh-CN"/>
              </w:rPr>
              <w:t>、</w:t>
            </w:r>
            <w:r>
              <w:rPr>
                <w:rFonts w:hint="eastAsia"/>
                <w:color w:val="auto"/>
                <w:szCs w:val="20"/>
                <w:highlight w:val="none"/>
                <w:lang w:val="en-US" w:eastAsia="zh-CN"/>
              </w:rPr>
              <w:t>操作性强</w:t>
            </w:r>
            <w:r>
              <w:rPr>
                <w:rFonts w:hint="eastAsia"/>
                <w:color w:val="auto"/>
                <w:szCs w:val="20"/>
                <w:highlight w:val="none"/>
              </w:rPr>
              <w:t>，</w:t>
            </w:r>
            <w:r>
              <w:rPr>
                <w:rFonts w:hint="eastAsia" w:ascii="宋体" w:hAnsi="宋体" w:eastAsia="宋体" w:cs="宋体"/>
                <w:color w:val="auto"/>
                <w:sz w:val="21"/>
                <w:szCs w:val="21"/>
              </w:rPr>
              <w:t>满足采</w:t>
            </w:r>
            <w:r>
              <w:rPr>
                <w:rFonts w:hint="eastAsia" w:ascii="Times New Roman" w:hAnsi="Times New Roman" w:eastAsia="宋体" w:cs="Times New Roman"/>
                <w:color w:val="auto"/>
                <w:szCs w:val="20"/>
                <w:lang w:val="en-US" w:eastAsia="zh-CN"/>
              </w:rPr>
              <w:t>购需求，得10分；</w:t>
            </w:r>
          </w:p>
          <w:p w14:paraId="6D7044B9">
            <w:pPr>
              <w:keepNext w:val="0"/>
              <w:keepLines w:val="0"/>
              <w:suppressLineNumbers w:val="0"/>
              <w:bidi w:val="0"/>
              <w:spacing w:before="0" w:beforeAutospacing="0" w:after="0" w:afterAutospacing="0"/>
              <w:ind w:left="0" w:right="0"/>
              <w:jc w:val="both"/>
              <w:rPr>
                <w:rFonts w:hint="eastAsia" w:ascii="Times New Roman" w:hAnsi="Times New Roman" w:eastAsia="宋体" w:cs="Times New Roman"/>
                <w:color w:val="auto"/>
                <w:szCs w:val="20"/>
                <w:lang w:val="en-US" w:eastAsia="zh-CN"/>
              </w:rPr>
            </w:pPr>
            <w:r>
              <w:rPr>
                <w:rFonts w:hint="eastAsia" w:ascii="Times New Roman" w:hAnsi="Times New Roman" w:eastAsia="宋体" w:cs="Times New Roman"/>
                <w:color w:val="auto"/>
                <w:szCs w:val="20"/>
                <w:lang w:val="en-US" w:eastAsia="zh-CN"/>
              </w:rPr>
              <w:t>2.主要内容未遗漏，基本满足采购需求，得8分；</w:t>
            </w:r>
          </w:p>
          <w:p w14:paraId="5558AA60">
            <w:pPr>
              <w:keepNext w:val="0"/>
              <w:keepLines w:val="0"/>
              <w:suppressLineNumbers w:val="0"/>
              <w:bidi w:val="0"/>
              <w:spacing w:before="0" w:beforeAutospacing="0" w:after="0" w:afterAutospacing="0"/>
              <w:ind w:left="0" w:right="0"/>
              <w:jc w:val="both"/>
              <w:rPr>
                <w:rFonts w:hint="eastAsia" w:ascii="Times New Roman" w:hAnsi="Times New Roman" w:eastAsia="宋体" w:cs="Times New Roman"/>
                <w:color w:val="auto"/>
                <w:szCs w:val="20"/>
                <w:lang w:val="en-US" w:eastAsia="zh-CN"/>
              </w:rPr>
            </w:pPr>
            <w:r>
              <w:rPr>
                <w:rFonts w:hint="eastAsia" w:ascii="Times New Roman" w:hAnsi="Times New Roman" w:eastAsia="宋体" w:cs="Times New Roman"/>
                <w:color w:val="auto"/>
                <w:szCs w:val="20"/>
                <w:lang w:val="en-US" w:eastAsia="zh-CN"/>
              </w:rPr>
              <w:t>3.内容有缺陷，得6分；</w:t>
            </w:r>
          </w:p>
          <w:p w14:paraId="271B9AE1">
            <w:pPr>
              <w:keepNext w:val="0"/>
              <w:keepLines w:val="0"/>
              <w:suppressLineNumbers w:val="0"/>
              <w:bidi w:val="0"/>
              <w:spacing w:before="0" w:beforeAutospacing="0" w:after="0" w:afterAutospacing="0"/>
              <w:ind w:left="0" w:right="0"/>
              <w:jc w:val="both"/>
              <w:rPr>
                <w:rFonts w:hint="eastAsia" w:ascii="宋体" w:hAnsi="宋体" w:eastAsia="宋体" w:cs="宋体"/>
                <w:color w:val="auto"/>
                <w:sz w:val="21"/>
                <w:szCs w:val="21"/>
              </w:rPr>
            </w:pPr>
            <w:r>
              <w:rPr>
                <w:rFonts w:hint="eastAsia" w:ascii="Times New Roman" w:hAnsi="Times New Roman" w:eastAsia="宋体" w:cs="Times New Roman"/>
                <w:color w:val="auto"/>
                <w:szCs w:val="20"/>
                <w:lang w:val="en-US" w:eastAsia="zh-CN"/>
              </w:rPr>
              <w:t>4.未提供不得分。</w:t>
            </w:r>
          </w:p>
        </w:tc>
        <w:tc>
          <w:tcPr>
            <w:tcW w:w="752" w:type="dxa"/>
            <w:noWrap w:val="0"/>
            <w:vAlign w:val="center"/>
          </w:tcPr>
          <w:p w14:paraId="7C5BE71F">
            <w:pPr>
              <w:keepNext w:val="0"/>
              <w:keepLines w:val="0"/>
              <w:suppressLineNumbers w:val="0"/>
              <w:spacing w:before="0" w:beforeAutospacing="0" w:after="0" w:afterAutospacing="0"/>
              <w:ind w:left="0" w:right="0"/>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10</w:t>
            </w:r>
          </w:p>
        </w:tc>
        <w:tc>
          <w:tcPr>
            <w:tcW w:w="876" w:type="dxa"/>
            <w:noWrap w:val="0"/>
            <w:vAlign w:val="center"/>
          </w:tcPr>
          <w:p w14:paraId="5F6C020C">
            <w:pPr>
              <w:keepNext w:val="0"/>
              <w:keepLines w:val="0"/>
              <w:widowControl/>
              <w:suppressLineNumbers w:val="0"/>
              <w:spacing w:before="0" w:beforeAutospacing="0" w:after="0" w:afterAutospacing="0"/>
              <w:ind w:left="0" w:right="0"/>
              <w:jc w:val="center"/>
              <w:rPr>
                <w:rFonts w:hint="default" w:ascii="宋体" w:hAnsi="宋体" w:eastAsia="宋体" w:cs="宋体"/>
                <w:color w:val="auto"/>
                <w:kern w:val="0"/>
                <w:sz w:val="21"/>
                <w:szCs w:val="21"/>
              </w:rPr>
            </w:pPr>
            <w:r>
              <w:rPr>
                <w:rFonts w:hint="eastAsia" w:ascii="宋体" w:hAnsi="宋体" w:eastAsia="宋体" w:cs="宋体"/>
                <w:color w:val="auto"/>
                <w:kern w:val="0"/>
                <w:sz w:val="21"/>
                <w:szCs w:val="21"/>
              </w:rPr>
              <w:t>主观分</w:t>
            </w:r>
          </w:p>
        </w:tc>
      </w:tr>
    </w:tbl>
    <w:p w14:paraId="57080DF2">
      <w:pPr>
        <w:autoSpaceDE w:val="0"/>
        <w:autoSpaceDN w:val="0"/>
        <w:adjustRightInd w:val="0"/>
        <w:spacing w:line="360" w:lineRule="auto"/>
        <w:jc w:val="center"/>
        <w:outlineLvl w:val="0"/>
        <w:rPr>
          <w:rFonts w:hint="eastAsia" w:ascii="宋体" w:hAnsi="宋体" w:cs="宋体"/>
          <w:b/>
          <w:color w:val="auto"/>
          <w:sz w:val="28"/>
          <w:szCs w:val="28"/>
        </w:rPr>
      </w:pPr>
    </w:p>
    <w:p w14:paraId="4EE3488D">
      <w:pPr>
        <w:autoSpaceDE w:val="0"/>
        <w:autoSpaceDN w:val="0"/>
        <w:adjustRightInd w:val="0"/>
        <w:spacing w:line="360" w:lineRule="auto"/>
        <w:jc w:val="center"/>
        <w:outlineLvl w:val="0"/>
        <w:rPr>
          <w:rFonts w:hint="eastAsia" w:ascii="宋体" w:hAnsi="宋体" w:cs="宋体"/>
          <w:b/>
          <w:color w:val="auto"/>
          <w:sz w:val="28"/>
          <w:szCs w:val="28"/>
        </w:rPr>
      </w:pPr>
    </w:p>
    <w:p w14:paraId="0E07D668">
      <w:pPr>
        <w:autoSpaceDE w:val="0"/>
        <w:autoSpaceDN w:val="0"/>
        <w:adjustRightInd w:val="0"/>
        <w:spacing w:line="360" w:lineRule="auto"/>
        <w:jc w:val="center"/>
        <w:outlineLvl w:val="0"/>
        <w:rPr>
          <w:rFonts w:hint="eastAsia" w:ascii="宋体" w:hAnsi="宋体" w:cs="宋体"/>
          <w:b/>
          <w:color w:val="auto"/>
          <w:sz w:val="28"/>
          <w:szCs w:val="28"/>
        </w:rPr>
      </w:pPr>
    </w:p>
    <w:p w14:paraId="3CB32E6B">
      <w:pPr>
        <w:autoSpaceDE w:val="0"/>
        <w:autoSpaceDN w:val="0"/>
        <w:adjustRightInd w:val="0"/>
        <w:spacing w:line="360" w:lineRule="auto"/>
        <w:jc w:val="center"/>
        <w:outlineLvl w:val="0"/>
        <w:rPr>
          <w:rFonts w:hint="eastAsia" w:ascii="宋体" w:hAnsi="宋体" w:cs="宋体"/>
          <w:b/>
          <w:color w:val="auto"/>
          <w:sz w:val="28"/>
          <w:szCs w:val="28"/>
        </w:rPr>
      </w:pPr>
    </w:p>
    <w:p w14:paraId="0D380DF1">
      <w:pPr>
        <w:autoSpaceDE w:val="0"/>
        <w:autoSpaceDN w:val="0"/>
        <w:adjustRightInd w:val="0"/>
        <w:spacing w:line="360" w:lineRule="auto"/>
        <w:jc w:val="center"/>
        <w:outlineLvl w:val="0"/>
        <w:rPr>
          <w:rFonts w:hint="eastAsia" w:ascii="宋体" w:hAnsi="宋体" w:cs="宋体"/>
          <w:b/>
          <w:color w:val="auto"/>
          <w:sz w:val="28"/>
          <w:szCs w:val="28"/>
        </w:rPr>
      </w:pPr>
    </w:p>
    <w:p w14:paraId="3D66E22C">
      <w:pPr>
        <w:autoSpaceDE w:val="0"/>
        <w:autoSpaceDN w:val="0"/>
        <w:adjustRightInd w:val="0"/>
        <w:spacing w:line="360" w:lineRule="auto"/>
        <w:jc w:val="center"/>
        <w:outlineLvl w:val="0"/>
        <w:rPr>
          <w:rFonts w:hint="eastAsia" w:ascii="宋体" w:hAnsi="宋体" w:cs="宋体"/>
          <w:b/>
          <w:color w:val="auto"/>
          <w:sz w:val="28"/>
          <w:szCs w:val="28"/>
        </w:rPr>
      </w:pPr>
    </w:p>
    <w:p w14:paraId="1D0B7DBC">
      <w:pPr>
        <w:autoSpaceDE w:val="0"/>
        <w:autoSpaceDN w:val="0"/>
        <w:adjustRightInd w:val="0"/>
        <w:spacing w:line="360" w:lineRule="auto"/>
        <w:jc w:val="center"/>
        <w:outlineLvl w:val="0"/>
        <w:rPr>
          <w:rFonts w:hint="eastAsia" w:ascii="宋体" w:hAnsi="宋体" w:cs="宋体"/>
          <w:b/>
          <w:color w:val="auto"/>
          <w:sz w:val="28"/>
          <w:szCs w:val="28"/>
        </w:rPr>
      </w:pPr>
    </w:p>
    <w:p w14:paraId="781CFF09">
      <w:pPr>
        <w:autoSpaceDE w:val="0"/>
        <w:autoSpaceDN w:val="0"/>
        <w:adjustRightInd w:val="0"/>
        <w:spacing w:line="360" w:lineRule="auto"/>
        <w:ind w:firstLine="3092" w:firstLineChars="1100"/>
        <w:jc w:val="both"/>
        <w:outlineLvl w:val="0"/>
        <w:rPr>
          <w:rFonts w:hint="eastAsia" w:ascii="宋体" w:hAnsi="宋体" w:cs="宋体"/>
          <w:b/>
          <w:color w:val="auto"/>
          <w:sz w:val="28"/>
          <w:szCs w:val="28"/>
        </w:rPr>
      </w:pPr>
    </w:p>
    <w:p w14:paraId="56BA7D8E">
      <w:pPr>
        <w:autoSpaceDE w:val="0"/>
        <w:autoSpaceDN w:val="0"/>
        <w:adjustRightInd w:val="0"/>
        <w:spacing w:line="360" w:lineRule="auto"/>
        <w:ind w:firstLine="3092" w:firstLineChars="1100"/>
        <w:jc w:val="both"/>
        <w:outlineLvl w:val="0"/>
        <w:rPr>
          <w:rFonts w:hint="eastAsia" w:ascii="宋体" w:hAnsi="宋体" w:cs="宋体"/>
          <w:b/>
          <w:color w:val="auto"/>
          <w:sz w:val="28"/>
          <w:szCs w:val="28"/>
        </w:rPr>
      </w:pPr>
      <w:r>
        <w:rPr>
          <w:rFonts w:hint="eastAsia" w:ascii="宋体" w:hAnsi="宋体" w:cs="宋体"/>
          <w:b/>
          <w:color w:val="auto"/>
          <w:sz w:val="28"/>
          <w:szCs w:val="28"/>
        </w:rPr>
        <w:t>第</w:t>
      </w:r>
      <w:r>
        <w:rPr>
          <w:rFonts w:hint="eastAsia" w:ascii="宋体" w:hAnsi="宋体" w:cs="宋体"/>
          <w:b/>
          <w:color w:val="auto"/>
          <w:sz w:val="28"/>
          <w:szCs w:val="28"/>
          <w:lang w:eastAsia="zh-CN"/>
        </w:rPr>
        <w:t>五</w:t>
      </w:r>
      <w:r>
        <w:rPr>
          <w:rFonts w:hint="eastAsia" w:ascii="宋体" w:hAnsi="宋体" w:cs="宋体"/>
          <w:b/>
          <w:color w:val="auto"/>
          <w:sz w:val="28"/>
          <w:szCs w:val="28"/>
        </w:rPr>
        <w:t>章  合同主要条款</w:t>
      </w:r>
    </w:p>
    <w:p w14:paraId="6F37CD2E">
      <w:pPr>
        <w:pStyle w:val="106"/>
        <w:rPr>
          <w:rStyle w:val="30"/>
          <w:rFonts w:hint="eastAsia" w:ascii="Calibri" w:hAnsi="Calibri" w:eastAsia="宋体" w:cs="Times New Roman"/>
          <w:color w:val="auto"/>
        </w:rPr>
      </w:pPr>
    </w:p>
    <w:p w14:paraId="6EBFE8D3">
      <w:pPr>
        <w:pStyle w:val="106"/>
        <w:rPr>
          <w:rStyle w:val="30"/>
          <w:rFonts w:hint="eastAsia" w:ascii="Calibri" w:hAnsi="Calibri" w:eastAsia="宋体" w:cs="Times New Roman"/>
          <w:color w:val="auto"/>
        </w:rPr>
      </w:pPr>
    </w:p>
    <w:p w14:paraId="3F53166C">
      <w:pPr>
        <w:pStyle w:val="106"/>
        <w:rPr>
          <w:rStyle w:val="30"/>
          <w:rFonts w:hint="eastAsia" w:ascii="Calibri" w:hAnsi="Calibri" w:eastAsia="宋体" w:cs="Times New Roman"/>
          <w:color w:val="auto"/>
        </w:rPr>
      </w:pPr>
    </w:p>
    <w:p w14:paraId="4F49F2F4">
      <w:pPr>
        <w:pStyle w:val="106"/>
        <w:rPr>
          <w:rStyle w:val="30"/>
          <w:rFonts w:hint="eastAsia" w:ascii="Calibri" w:hAnsi="Calibri" w:eastAsia="宋体" w:cs="Times New Roman"/>
          <w:color w:val="auto"/>
        </w:rPr>
      </w:pPr>
    </w:p>
    <w:p w14:paraId="5FD2BE06">
      <w:pPr>
        <w:pStyle w:val="106"/>
        <w:rPr>
          <w:rStyle w:val="30"/>
          <w:rFonts w:hint="eastAsia" w:ascii="Calibri" w:hAnsi="Calibri" w:eastAsia="宋体" w:cs="Times New Roman"/>
          <w:color w:val="auto"/>
        </w:rPr>
      </w:pPr>
    </w:p>
    <w:p w14:paraId="1DC06A3A">
      <w:pPr>
        <w:pStyle w:val="106"/>
        <w:jc w:val="center"/>
        <w:rPr>
          <w:rStyle w:val="30"/>
          <w:rFonts w:ascii="Calibri" w:hAnsi="Calibri" w:eastAsia="宋体" w:cs="Times New Roman"/>
          <w:color w:val="auto"/>
          <w:sz w:val="32"/>
          <w:szCs w:val="32"/>
        </w:rPr>
      </w:pPr>
    </w:p>
    <w:p w14:paraId="0D1F0178">
      <w:pPr>
        <w:pStyle w:val="106"/>
        <w:jc w:val="center"/>
        <w:rPr>
          <w:rStyle w:val="30"/>
          <w:rFonts w:ascii="Calibri" w:hAnsi="Calibri" w:eastAsia="宋体" w:cs="Times New Roman"/>
          <w:color w:val="auto"/>
          <w:sz w:val="36"/>
          <w:szCs w:val="36"/>
        </w:rPr>
      </w:pPr>
      <w:r>
        <w:rPr>
          <w:rStyle w:val="30"/>
          <w:rFonts w:hint="eastAsia" w:ascii="Calibri" w:hAnsi="Calibri" w:eastAsia="宋体" w:cs="Times New Roman"/>
          <w:color w:val="auto"/>
          <w:sz w:val="36"/>
          <w:szCs w:val="36"/>
          <w:highlight w:val="white"/>
        </w:rPr>
        <w:t>使用建设部、国家工商行政管理局印发的</w:t>
      </w:r>
    </w:p>
    <w:p w14:paraId="0735F8DC">
      <w:pPr>
        <w:pStyle w:val="106"/>
        <w:jc w:val="center"/>
        <w:rPr>
          <w:rStyle w:val="30"/>
          <w:rFonts w:ascii="Calibri" w:hAnsi="Calibri" w:eastAsia="宋体" w:cs="Times New Roman"/>
          <w:color w:val="auto"/>
          <w:sz w:val="36"/>
          <w:szCs w:val="36"/>
        </w:rPr>
      </w:pPr>
      <w:r>
        <w:rPr>
          <w:rStyle w:val="30"/>
          <w:rFonts w:hint="eastAsia" w:ascii="Calibri" w:hAnsi="Calibri" w:eastAsia="宋体" w:cs="Times New Roman"/>
          <w:color w:val="auto"/>
          <w:sz w:val="36"/>
          <w:szCs w:val="36"/>
          <w:highlight w:val="white"/>
        </w:rPr>
        <w:t>《建设工程施工合同（示范文本）》</w:t>
      </w:r>
    </w:p>
    <w:p w14:paraId="15C77CD5">
      <w:pPr>
        <w:pStyle w:val="106"/>
        <w:jc w:val="center"/>
        <w:rPr>
          <w:rStyle w:val="30"/>
          <w:rFonts w:ascii="Calibri" w:hAnsi="Calibri" w:eastAsia="宋体" w:cs="Times New Roman"/>
          <w:color w:val="auto"/>
          <w:sz w:val="36"/>
          <w:szCs w:val="36"/>
        </w:rPr>
      </w:pPr>
      <w:r>
        <w:rPr>
          <w:rStyle w:val="30"/>
          <w:rFonts w:hint="eastAsia" w:ascii="Calibri" w:hAnsi="Calibri" w:eastAsia="宋体" w:cs="Times New Roman"/>
          <w:color w:val="auto"/>
          <w:sz w:val="36"/>
          <w:szCs w:val="36"/>
          <w:highlight w:val="white"/>
        </w:rPr>
        <w:t>（</w:t>
      </w:r>
      <w:r>
        <w:rPr>
          <w:rStyle w:val="30"/>
          <w:rFonts w:ascii="Calibri" w:hAnsi="Calibri" w:eastAsia="宋体" w:cs="Times New Roman"/>
          <w:color w:val="auto"/>
          <w:sz w:val="36"/>
          <w:szCs w:val="36"/>
          <w:highlight w:val="white"/>
        </w:rPr>
        <w:t>GF-2017-0201</w:t>
      </w:r>
      <w:r>
        <w:rPr>
          <w:rStyle w:val="30"/>
          <w:rFonts w:hint="eastAsia" w:ascii="Calibri" w:hAnsi="Calibri" w:eastAsia="宋体" w:cs="Times New Roman"/>
          <w:color w:val="auto"/>
          <w:sz w:val="36"/>
          <w:szCs w:val="36"/>
          <w:highlight w:val="white"/>
        </w:rPr>
        <w:t>）</w:t>
      </w:r>
    </w:p>
    <w:p w14:paraId="0BA03CF5">
      <w:pPr>
        <w:pStyle w:val="106"/>
        <w:rPr>
          <w:rStyle w:val="30"/>
          <w:rFonts w:ascii="Calibri" w:hAnsi="Calibri" w:eastAsia="宋体" w:cs="Times New Roman"/>
          <w:color w:val="auto"/>
        </w:rPr>
      </w:pPr>
    </w:p>
    <w:p w14:paraId="2384EE61">
      <w:pPr>
        <w:pStyle w:val="106"/>
        <w:rPr>
          <w:rStyle w:val="30"/>
          <w:rFonts w:ascii="Calibri" w:hAnsi="Calibri" w:eastAsia="宋体" w:cs="Times New Roman"/>
          <w:color w:val="auto"/>
        </w:rPr>
      </w:pPr>
    </w:p>
    <w:p w14:paraId="23861254">
      <w:pPr>
        <w:pStyle w:val="106"/>
        <w:rPr>
          <w:rStyle w:val="30"/>
          <w:rFonts w:ascii="Calibri" w:hAnsi="Calibri" w:eastAsia="宋体" w:cs="Times New Roman"/>
          <w:color w:val="auto"/>
        </w:rPr>
      </w:pPr>
    </w:p>
    <w:p w14:paraId="20B4651E">
      <w:pPr>
        <w:pStyle w:val="106"/>
        <w:rPr>
          <w:rStyle w:val="30"/>
          <w:rFonts w:ascii="Calibri" w:hAnsi="Calibri" w:eastAsia="宋体" w:cs="Times New Roman"/>
          <w:color w:val="auto"/>
        </w:rPr>
      </w:pPr>
    </w:p>
    <w:p w14:paraId="68FCC9A1">
      <w:pPr>
        <w:pStyle w:val="106"/>
        <w:rPr>
          <w:rStyle w:val="30"/>
          <w:rFonts w:ascii="Calibri" w:hAnsi="Calibri" w:eastAsia="宋体" w:cs="Times New Roman"/>
          <w:color w:val="auto"/>
        </w:rPr>
      </w:pPr>
    </w:p>
    <w:p w14:paraId="21B790BE">
      <w:pPr>
        <w:pStyle w:val="106"/>
        <w:rPr>
          <w:rStyle w:val="30"/>
          <w:rFonts w:ascii="Calibri" w:hAnsi="Calibri" w:eastAsia="宋体" w:cs="Times New Roman"/>
          <w:color w:val="auto"/>
        </w:rPr>
      </w:pPr>
    </w:p>
    <w:p w14:paraId="3CCCE187">
      <w:pPr>
        <w:pStyle w:val="106"/>
        <w:rPr>
          <w:rStyle w:val="30"/>
          <w:rFonts w:ascii="Calibri" w:hAnsi="Calibri" w:eastAsia="宋体" w:cs="Times New Roman"/>
          <w:color w:val="auto"/>
        </w:rPr>
      </w:pPr>
    </w:p>
    <w:p w14:paraId="11123CA9">
      <w:pPr>
        <w:pStyle w:val="106"/>
        <w:rPr>
          <w:rStyle w:val="30"/>
          <w:rFonts w:ascii="Calibri" w:hAnsi="Calibri" w:eastAsia="宋体" w:cs="Times New Roman"/>
          <w:color w:val="auto"/>
        </w:rPr>
      </w:pPr>
    </w:p>
    <w:p w14:paraId="1A12FAB1">
      <w:pPr>
        <w:pStyle w:val="106"/>
        <w:rPr>
          <w:rStyle w:val="30"/>
          <w:rFonts w:ascii="Calibri" w:hAnsi="Calibri" w:eastAsia="宋体" w:cs="Times New Roman"/>
          <w:color w:val="auto"/>
        </w:rPr>
      </w:pPr>
    </w:p>
    <w:p w14:paraId="2E5D5FF6">
      <w:pPr>
        <w:pStyle w:val="106"/>
        <w:rPr>
          <w:rStyle w:val="30"/>
          <w:rFonts w:ascii="Calibri" w:hAnsi="Calibri" w:eastAsia="宋体" w:cs="Times New Roman"/>
          <w:color w:val="auto"/>
        </w:rPr>
      </w:pPr>
    </w:p>
    <w:p w14:paraId="3AEA2376">
      <w:pPr>
        <w:pStyle w:val="106"/>
        <w:rPr>
          <w:rStyle w:val="30"/>
          <w:rFonts w:ascii="Calibri" w:hAnsi="Calibri" w:eastAsia="宋体" w:cs="Times New Roman"/>
          <w:color w:val="auto"/>
        </w:rPr>
      </w:pPr>
    </w:p>
    <w:p w14:paraId="6EE057A2">
      <w:pPr>
        <w:pStyle w:val="106"/>
        <w:rPr>
          <w:rStyle w:val="30"/>
          <w:rFonts w:ascii="Calibri" w:hAnsi="Calibri" w:eastAsia="宋体" w:cs="Times New Roman"/>
          <w:color w:val="auto"/>
        </w:rPr>
      </w:pPr>
    </w:p>
    <w:p w14:paraId="64059E6A">
      <w:pPr>
        <w:pStyle w:val="106"/>
        <w:rPr>
          <w:rStyle w:val="30"/>
          <w:rFonts w:ascii="Calibri" w:hAnsi="Calibri" w:eastAsia="宋体" w:cs="Times New Roman"/>
          <w:color w:val="auto"/>
        </w:rPr>
      </w:pPr>
    </w:p>
    <w:p w14:paraId="6070F020">
      <w:pPr>
        <w:pStyle w:val="106"/>
        <w:rPr>
          <w:rStyle w:val="30"/>
          <w:rFonts w:ascii="Calibri" w:hAnsi="Calibri" w:eastAsia="宋体" w:cs="Times New Roman"/>
          <w:color w:val="auto"/>
        </w:rPr>
      </w:pPr>
    </w:p>
    <w:p w14:paraId="738050FF">
      <w:pPr>
        <w:pStyle w:val="106"/>
        <w:rPr>
          <w:rStyle w:val="30"/>
          <w:rFonts w:ascii="Calibri" w:hAnsi="Calibri" w:eastAsia="宋体" w:cs="Times New Roman"/>
          <w:color w:val="auto"/>
        </w:rPr>
      </w:pPr>
    </w:p>
    <w:p w14:paraId="57D17ECC">
      <w:pPr>
        <w:pStyle w:val="106"/>
        <w:rPr>
          <w:rStyle w:val="30"/>
          <w:rFonts w:ascii="Calibri" w:hAnsi="Calibri" w:eastAsia="宋体" w:cs="Times New Roman"/>
          <w:color w:val="auto"/>
        </w:rPr>
      </w:pPr>
    </w:p>
    <w:p w14:paraId="0154C3D0">
      <w:pPr>
        <w:pStyle w:val="106"/>
        <w:rPr>
          <w:rStyle w:val="30"/>
          <w:rFonts w:ascii="Calibri" w:hAnsi="Calibri" w:eastAsia="宋体" w:cs="Times New Roman"/>
          <w:color w:val="auto"/>
        </w:rPr>
      </w:pPr>
    </w:p>
    <w:p w14:paraId="7270C38D">
      <w:pPr>
        <w:pStyle w:val="106"/>
        <w:rPr>
          <w:rStyle w:val="30"/>
          <w:rFonts w:ascii="Calibri" w:hAnsi="Calibri" w:eastAsia="宋体" w:cs="Times New Roman"/>
          <w:color w:val="auto"/>
        </w:rPr>
      </w:pPr>
    </w:p>
    <w:p w14:paraId="03BED053">
      <w:pPr>
        <w:pStyle w:val="106"/>
        <w:rPr>
          <w:rStyle w:val="30"/>
          <w:rFonts w:ascii="Calibri" w:hAnsi="Calibri" w:eastAsia="宋体" w:cs="Times New Roman"/>
          <w:color w:val="auto"/>
        </w:rPr>
      </w:pPr>
    </w:p>
    <w:p w14:paraId="519D4204">
      <w:pPr>
        <w:pStyle w:val="106"/>
        <w:rPr>
          <w:rStyle w:val="30"/>
          <w:rFonts w:ascii="Calibri" w:hAnsi="Calibri" w:eastAsia="宋体" w:cs="Times New Roman"/>
          <w:color w:val="auto"/>
        </w:rPr>
      </w:pPr>
    </w:p>
    <w:p w14:paraId="2566852D">
      <w:pPr>
        <w:pStyle w:val="106"/>
        <w:rPr>
          <w:rStyle w:val="30"/>
          <w:rFonts w:ascii="Calibri" w:hAnsi="Calibri" w:eastAsia="宋体" w:cs="Times New Roman"/>
          <w:color w:val="auto"/>
        </w:rPr>
      </w:pPr>
    </w:p>
    <w:p w14:paraId="62CC4993">
      <w:pPr>
        <w:pStyle w:val="106"/>
        <w:rPr>
          <w:rStyle w:val="30"/>
          <w:rFonts w:ascii="Calibri" w:hAnsi="Calibri" w:eastAsia="宋体" w:cs="Times New Roman"/>
          <w:color w:val="auto"/>
        </w:rPr>
      </w:pPr>
    </w:p>
    <w:p w14:paraId="4FF54D21">
      <w:pPr>
        <w:pStyle w:val="106"/>
        <w:rPr>
          <w:rStyle w:val="30"/>
          <w:rFonts w:ascii="Calibri" w:hAnsi="Calibri" w:eastAsia="宋体" w:cs="Times New Roman"/>
          <w:color w:val="auto"/>
        </w:rPr>
      </w:pPr>
    </w:p>
    <w:p w14:paraId="70093647">
      <w:pPr>
        <w:pStyle w:val="106"/>
        <w:rPr>
          <w:rStyle w:val="30"/>
          <w:rFonts w:ascii="Calibri" w:hAnsi="Calibri" w:eastAsia="宋体" w:cs="Times New Roman"/>
          <w:color w:val="auto"/>
        </w:rPr>
      </w:pPr>
    </w:p>
    <w:p w14:paraId="60FC86CB">
      <w:pPr>
        <w:pStyle w:val="106"/>
        <w:rPr>
          <w:rStyle w:val="30"/>
          <w:rFonts w:ascii="Calibri" w:hAnsi="Calibri" w:eastAsia="宋体" w:cs="Times New Roman"/>
          <w:color w:val="auto"/>
        </w:rPr>
      </w:pPr>
    </w:p>
    <w:p w14:paraId="1F8B1E88">
      <w:pPr>
        <w:pStyle w:val="106"/>
        <w:rPr>
          <w:rStyle w:val="30"/>
          <w:rFonts w:ascii="Calibri" w:hAnsi="Calibri" w:eastAsia="宋体" w:cs="Times New Roman"/>
          <w:color w:val="auto"/>
        </w:rPr>
      </w:pPr>
    </w:p>
    <w:p w14:paraId="3438772D">
      <w:pPr>
        <w:pStyle w:val="106"/>
        <w:rPr>
          <w:rStyle w:val="30"/>
          <w:rFonts w:ascii="Calibri" w:hAnsi="Calibri" w:eastAsia="宋体" w:cs="Times New Roman"/>
          <w:color w:val="auto"/>
        </w:rPr>
      </w:pPr>
    </w:p>
    <w:p w14:paraId="495695FD">
      <w:pPr>
        <w:pStyle w:val="106"/>
        <w:rPr>
          <w:rStyle w:val="30"/>
          <w:rFonts w:ascii="Calibri" w:hAnsi="Calibri" w:eastAsia="宋体" w:cs="Times New Roman"/>
          <w:color w:val="auto"/>
        </w:rPr>
      </w:pPr>
    </w:p>
    <w:p w14:paraId="4453DCE9">
      <w:pPr>
        <w:pStyle w:val="106"/>
        <w:rPr>
          <w:rStyle w:val="30"/>
          <w:rFonts w:ascii="Calibri" w:hAnsi="Calibri" w:eastAsia="宋体" w:cs="Times New Roman"/>
          <w:color w:val="auto"/>
        </w:rPr>
      </w:pPr>
    </w:p>
    <w:p w14:paraId="554DB110">
      <w:pPr>
        <w:pStyle w:val="107"/>
        <w:numPr>
          <w:ilvl w:val="0"/>
          <w:numId w:val="0"/>
        </w:numPr>
        <w:ind w:left="567" w:hanging="567"/>
        <w:jc w:val="center"/>
        <w:rPr>
          <w:rStyle w:val="30"/>
          <w:rFonts w:ascii="Calibri" w:hAnsi="Calibri" w:eastAsia="宋体" w:cs="Times New Roman"/>
          <w:color w:val="auto"/>
        </w:rPr>
      </w:pPr>
      <w:r>
        <w:rPr>
          <w:rStyle w:val="30"/>
          <w:rFonts w:hint="eastAsia" w:ascii="Calibri" w:hAnsi="Calibri" w:eastAsia="宋体" w:cs="Times New Roman"/>
          <w:color w:val="auto"/>
          <w:highlight w:val="white"/>
        </w:rPr>
        <w:t>通用合同条款</w:t>
      </w:r>
    </w:p>
    <w:p w14:paraId="568C2C03">
      <w:pPr>
        <w:pStyle w:val="108"/>
        <w:numPr>
          <w:ilvl w:val="0"/>
          <w:numId w:val="0"/>
        </w:numPr>
        <w:rPr>
          <w:rStyle w:val="30"/>
          <w:rFonts w:eastAsia="宋体" w:cs="Times New Roman"/>
          <w:color w:val="auto"/>
        </w:rPr>
      </w:pPr>
      <w:r>
        <w:rPr>
          <w:rStyle w:val="30"/>
          <w:rFonts w:eastAsia="宋体" w:cs="Times New Roman"/>
          <w:color w:val="auto"/>
          <w:highlight w:val="white"/>
        </w:rPr>
        <w:t xml:space="preserve">1. </w:t>
      </w:r>
      <w:r>
        <w:rPr>
          <w:rStyle w:val="30"/>
          <w:rFonts w:hint="eastAsia" w:eastAsia="宋体" w:cs="Times New Roman"/>
          <w:color w:val="auto"/>
          <w:highlight w:val="white"/>
        </w:rPr>
        <w:t>一般约定</w:t>
      </w:r>
    </w:p>
    <w:p w14:paraId="5AD88C25">
      <w:pPr>
        <w:pStyle w:val="106"/>
        <w:rPr>
          <w:rStyle w:val="30"/>
          <w:rFonts w:ascii="Calibri" w:hAnsi="Calibri" w:eastAsia="宋体" w:cs="Times New Roman"/>
          <w:color w:val="auto"/>
        </w:rPr>
      </w:pPr>
      <w:r>
        <w:rPr>
          <w:rStyle w:val="30"/>
          <w:rFonts w:ascii="Calibri" w:hAnsi="Calibri" w:eastAsia="宋体" w:cs="Times New Roman"/>
          <w:color w:val="auto"/>
          <w:highlight w:val="white"/>
        </w:rPr>
        <w:t>1.1</w:t>
      </w:r>
      <w:r>
        <w:rPr>
          <w:rStyle w:val="30"/>
          <w:rFonts w:hint="eastAsia" w:ascii="Calibri" w:hAnsi="Calibri" w:eastAsia="宋体" w:cs="Times New Roman"/>
          <w:color w:val="auto"/>
          <w:highlight w:val="white"/>
        </w:rPr>
        <w:t>词语定义与解释</w:t>
      </w:r>
    </w:p>
    <w:p w14:paraId="5F11B18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合同协议书、通用合同条款、专用合同条款中的下列词语具有本款所赋予的含义：</w:t>
      </w:r>
    </w:p>
    <w:p w14:paraId="57CF193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 </w:t>
      </w:r>
      <w:r>
        <w:rPr>
          <w:rStyle w:val="30"/>
          <w:rFonts w:hint="eastAsia" w:ascii="Calibri" w:hAnsi="Calibri" w:eastAsia="宋体" w:cs="Times New Roman"/>
          <w:color w:val="auto"/>
          <w:highlight w:val="white"/>
        </w:rPr>
        <w:t>合同</w:t>
      </w:r>
    </w:p>
    <w:p w14:paraId="180CADB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1.1.1.1 </w:t>
      </w:r>
      <w:r>
        <w:rPr>
          <w:rStyle w:val="30"/>
          <w:rFonts w:hint="eastAsia" w:ascii="Calibri" w:hAnsi="Calibri" w:eastAsia="宋体" w:cs="Times New Roman"/>
          <w:color w:val="auto"/>
          <w:highlight w:val="white"/>
        </w:rPr>
        <w:t>合同：是指根据法律规定和合同当事人约定具有约束力的文件，构成合同的文件包括合同协议书、中标通知书（如果有）、投标函及其附录（如果有）、专用合同条款及其附件、通用合同条款、技术标准和要求、图纸、已标价工程量清单或预算书以及其他合同文件。</w:t>
      </w:r>
    </w:p>
    <w:p w14:paraId="2A62D53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1.1.1.2 </w:t>
      </w:r>
      <w:r>
        <w:rPr>
          <w:rStyle w:val="30"/>
          <w:rFonts w:hint="eastAsia" w:ascii="Calibri" w:hAnsi="Calibri" w:eastAsia="宋体" w:cs="Times New Roman"/>
          <w:color w:val="auto"/>
          <w:highlight w:val="white"/>
        </w:rPr>
        <w:t>合同协议书：是指构成合同的由发包人和承包人共同签署的称为“合同协议书”的书面文件。</w:t>
      </w:r>
    </w:p>
    <w:p w14:paraId="1CAA185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1.1.1.3 </w:t>
      </w:r>
      <w:r>
        <w:rPr>
          <w:rStyle w:val="30"/>
          <w:rFonts w:hint="eastAsia" w:ascii="Calibri" w:hAnsi="Calibri" w:eastAsia="宋体" w:cs="Times New Roman"/>
          <w:color w:val="auto"/>
          <w:highlight w:val="white"/>
        </w:rPr>
        <w:t>中标通知书：是指构成合同的由发包人通知承包人中标的书面文件。</w:t>
      </w:r>
    </w:p>
    <w:p w14:paraId="6EA1827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1.1.1.4 </w:t>
      </w:r>
      <w:r>
        <w:rPr>
          <w:rStyle w:val="30"/>
          <w:rFonts w:hint="eastAsia" w:ascii="Calibri" w:hAnsi="Calibri" w:eastAsia="宋体" w:cs="Times New Roman"/>
          <w:color w:val="auto"/>
          <w:highlight w:val="white"/>
        </w:rPr>
        <w:t>投标函：是指构成合同的由承包人填写并签署的用于投标的称为“投标函”的文件。</w:t>
      </w:r>
    </w:p>
    <w:p w14:paraId="2BF8EDD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1.1.1.5 </w:t>
      </w:r>
      <w:r>
        <w:rPr>
          <w:rStyle w:val="30"/>
          <w:rFonts w:hint="eastAsia" w:ascii="Calibri" w:hAnsi="Calibri" w:eastAsia="宋体" w:cs="Times New Roman"/>
          <w:color w:val="auto"/>
          <w:highlight w:val="white"/>
        </w:rPr>
        <w:t>投标函附录：是指构成合同的附在投标函后的称为“投标函附录”的文件。</w:t>
      </w:r>
    </w:p>
    <w:p w14:paraId="4C40524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1.1.1.6 </w:t>
      </w:r>
      <w:r>
        <w:rPr>
          <w:rStyle w:val="30"/>
          <w:rFonts w:hint="eastAsia" w:ascii="Calibri" w:hAnsi="Calibri" w:eastAsia="宋体" w:cs="Times New Roman"/>
          <w:color w:val="auto"/>
          <w:highlight w:val="white"/>
        </w:rPr>
        <w:t>技术标准和要求：是指构成合同的施工应当遵守的或指导施工的国家、行业或地方的技术标准和要求，以及合同约定的技术标准和要求。</w:t>
      </w:r>
    </w:p>
    <w:p w14:paraId="6D6FEE9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1.1.1.7 </w:t>
      </w:r>
      <w:r>
        <w:rPr>
          <w:rStyle w:val="30"/>
          <w:rFonts w:hint="eastAsia" w:ascii="Calibri" w:hAnsi="Calibri" w:eastAsia="宋体" w:cs="Times New Roman"/>
          <w:color w:val="auto"/>
          <w:highlight w:val="white"/>
        </w:rPr>
        <w:t>图纸：是指构成合同的图纸，包括由发包人按照合同约定提供或经发包人批准的设计文件、施工图、鸟瞰图及模型等，以及在合同履行过程中形成的图纸文件。图纸应当按照法律规定审查合格。</w:t>
      </w:r>
    </w:p>
    <w:p w14:paraId="150C286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1.1.1.8 </w:t>
      </w:r>
      <w:r>
        <w:rPr>
          <w:rStyle w:val="30"/>
          <w:rFonts w:hint="eastAsia" w:ascii="Calibri" w:hAnsi="Calibri" w:eastAsia="宋体" w:cs="Times New Roman"/>
          <w:color w:val="auto"/>
          <w:highlight w:val="white"/>
        </w:rPr>
        <w:t>已标价工程量清单：是指构成合同的由承包人按照规定的格式和要求填写并标明价格的工程量清单，包括说明和表格。</w:t>
      </w:r>
    </w:p>
    <w:p w14:paraId="1E3063F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1.1.1.9 </w:t>
      </w:r>
      <w:r>
        <w:rPr>
          <w:rStyle w:val="30"/>
          <w:rFonts w:hint="eastAsia" w:ascii="Calibri" w:hAnsi="Calibri" w:eastAsia="宋体" w:cs="Times New Roman"/>
          <w:color w:val="auto"/>
          <w:highlight w:val="white"/>
        </w:rPr>
        <w:t>预算书：是指构成合同的由承包人按照发包人规定的格式和要求编制的工程预算文件。</w:t>
      </w:r>
    </w:p>
    <w:p w14:paraId="5B7DA20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1.1.1.10 </w:t>
      </w:r>
      <w:r>
        <w:rPr>
          <w:rStyle w:val="30"/>
          <w:rFonts w:hint="eastAsia" w:ascii="Calibri" w:hAnsi="Calibri" w:eastAsia="宋体" w:cs="Times New Roman"/>
          <w:color w:val="auto"/>
          <w:highlight w:val="white"/>
        </w:rPr>
        <w:t>其他合同文件：是指经合同当事人约定的与工程施工有关的具有合同约束力的文件或书面协议。合同当事人可以在专用合同条款中进行约定。</w:t>
      </w:r>
    </w:p>
    <w:p w14:paraId="09B582C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 </w:t>
      </w:r>
      <w:r>
        <w:rPr>
          <w:rStyle w:val="30"/>
          <w:rFonts w:hint="eastAsia" w:ascii="Calibri" w:hAnsi="Calibri" w:eastAsia="宋体" w:cs="Times New Roman"/>
          <w:color w:val="auto"/>
          <w:highlight w:val="white"/>
        </w:rPr>
        <w:t>合同当事人及其他相关方</w:t>
      </w:r>
    </w:p>
    <w:p w14:paraId="045D984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1.1.2.1 </w:t>
      </w:r>
      <w:r>
        <w:rPr>
          <w:rStyle w:val="30"/>
          <w:rFonts w:hint="eastAsia" w:ascii="Calibri" w:hAnsi="Calibri" w:eastAsia="宋体" w:cs="Times New Roman"/>
          <w:color w:val="auto"/>
          <w:highlight w:val="white"/>
        </w:rPr>
        <w:t>合同当事人：是指发包人和（或）承包人。</w:t>
      </w:r>
    </w:p>
    <w:p w14:paraId="6447DEE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1.1.2.2 </w:t>
      </w:r>
      <w:r>
        <w:rPr>
          <w:rStyle w:val="30"/>
          <w:rFonts w:hint="eastAsia" w:ascii="Calibri" w:hAnsi="Calibri" w:eastAsia="宋体" w:cs="Times New Roman"/>
          <w:color w:val="auto"/>
          <w:highlight w:val="white"/>
        </w:rPr>
        <w:t>发包人：是指与承包人签订合同协议书的当事人及取得该当事人资格的合法继承人。</w:t>
      </w:r>
    </w:p>
    <w:p w14:paraId="3780F7C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1.1.2.3 </w:t>
      </w:r>
      <w:r>
        <w:rPr>
          <w:rStyle w:val="30"/>
          <w:rFonts w:hint="eastAsia" w:ascii="Calibri" w:hAnsi="Calibri" w:eastAsia="宋体" w:cs="Times New Roman"/>
          <w:color w:val="auto"/>
          <w:highlight w:val="white"/>
        </w:rPr>
        <w:t>承包人：是指与发包人签订合同协议书的，具有相应工程施工承包资质的当事人及取得该当事人资格的合法继承人。</w:t>
      </w:r>
    </w:p>
    <w:p w14:paraId="421E80C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1.1.2.4 </w:t>
      </w:r>
      <w:r>
        <w:rPr>
          <w:rStyle w:val="30"/>
          <w:rFonts w:hint="eastAsia" w:ascii="Calibri" w:hAnsi="Calibri" w:eastAsia="宋体" w:cs="Times New Roman"/>
          <w:color w:val="auto"/>
          <w:highlight w:val="white"/>
        </w:rPr>
        <w:t>监理人：是指在专用合同条款中指明的，受发包人委托按照法律规定进行工程监督管理的法人或其他组织。</w:t>
      </w:r>
    </w:p>
    <w:p w14:paraId="7BB7E95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1.1.2.5 </w:t>
      </w:r>
      <w:r>
        <w:rPr>
          <w:rStyle w:val="30"/>
          <w:rFonts w:hint="eastAsia" w:ascii="Calibri" w:hAnsi="Calibri" w:eastAsia="宋体" w:cs="Times New Roman"/>
          <w:color w:val="auto"/>
          <w:highlight w:val="white"/>
        </w:rPr>
        <w:t>设计人：是指在专用合同条款中指明的，受发包人委托负责工程设计并具备相应工程设计资质的法人或其他组织。</w:t>
      </w:r>
    </w:p>
    <w:p w14:paraId="3B8473C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1.1.2.6 </w:t>
      </w:r>
      <w:r>
        <w:rPr>
          <w:rStyle w:val="30"/>
          <w:rFonts w:hint="eastAsia" w:ascii="Calibri" w:hAnsi="Calibri" w:eastAsia="宋体" w:cs="Times New Roman"/>
          <w:color w:val="auto"/>
          <w:highlight w:val="white"/>
        </w:rPr>
        <w:t>分包人：是指按照法律规定和合同约定，分包部分工程或工作，并与承包人签订分包合同的具有相应资质的法人。</w:t>
      </w:r>
    </w:p>
    <w:p w14:paraId="38C83B8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1.1.2.7 </w:t>
      </w:r>
      <w:r>
        <w:rPr>
          <w:rStyle w:val="30"/>
          <w:rFonts w:hint="eastAsia" w:ascii="Calibri" w:hAnsi="Calibri" w:eastAsia="宋体" w:cs="Times New Roman"/>
          <w:color w:val="auto"/>
          <w:highlight w:val="white"/>
        </w:rPr>
        <w:t>发包人代表：是指由发包人任命并派驻施工现场在发包人授权范围内行使发包人权利的人。</w:t>
      </w:r>
    </w:p>
    <w:p w14:paraId="3CB0632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1.1.2.8 </w:t>
      </w:r>
      <w:r>
        <w:rPr>
          <w:rStyle w:val="30"/>
          <w:rFonts w:hint="eastAsia" w:ascii="Calibri" w:hAnsi="Calibri" w:eastAsia="宋体" w:cs="Times New Roman"/>
          <w:color w:val="auto"/>
          <w:highlight w:val="white"/>
        </w:rPr>
        <w:t>项目经理：是指由承包人任命并派驻施工现场，在承包人授权范围内负责合同履行，且按照法律规定具有相应资格的项目负责人。</w:t>
      </w:r>
    </w:p>
    <w:p w14:paraId="353F7CB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1.1.2.9 </w:t>
      </w:r>
      <w:r>
        <w:rPr>
          <w:rStyle w:val="30"/>
          <w:rFonts w:hint="eastAsia" w:ascii="Calibri" w:hAnsi="Calibri" w:eastAsia="宋体" w:cs="Times New Roman"/>
          <w:color w:val="auto"/>
          <w:highlight w:val="white"/>
        </w:rPr>
        <w:t>总监理工程师：是指由监理人任命并派驻施工现场进行工程监理的总负责人。</w:t>
      </w:r>
    </w:p>
    <w:p w14:paraId="7776D2F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 </w:t>
      </w:r>
      <w:r>
        <w:rPr>
          <w:rStyle w:val="30"/>
          <w:rFonts w:hint="eastAsia" w:ascii="Calibri" w:hAnsi="Calibri" w:eastAsia="宋体" w:cs="Times New Roman"/>
          <w:color w:val="auto"/>
          <w:highlight w:val="white"/>
        </w:rPr>
        <w:t>工程和设备</w:t>
      </w:r>
    </w:p>
    <w:p w14:paraId="2828B15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1.1.3.1 </w:t>
      </w:r>
      <w:r>
        <w:rPr>
          <w:rStyle w:val="30"/>
          <w:rFonts w:hint="eastAsia" w:ascii="Calibri" w:hAnsi="Calibri" w:eastAsia="宋体" w:cs="Times New Roman"/>
          <w:color w:val="auto"/>
          <w:highlight w:val="white"/>
        </w:rPr>
        <w:t>工程：是指与合同协议书中工程承包范围对应的永久工程和（或）临时工程。</w:t>
      </w:r>
    </w:p>
    <w:p w14:paraId="5607E00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1.1.3.2 </w:t>
      </w:r>
      <w:r>
        <w:rPr>
          <w:rStyle w:val="30"/>
          <w:rFonts w:hint="eastAsia" w:ascii="Calibri" w:hAnsi="Calibri" w:eastAsia="宋体" w:cs="Times New Roman"/>
          <w:color w:val="auto"/>
          <w:highlight w:val="white"/>
        </w:rPr>
        <w:t>永久工程：是指按合同约定建造并移交给发包人的工程，包括工程设备。</w:t>
      </w:r>
    </w:p>
    <w:p w14:paraId="7706D4C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1.1.3.3 </w:t>
      </w:r>
      <w:r>
        <w:rPr>
          <w:rStyle w:val="30"/>
          <w:rFonts w:hint="eastAsia" w:ascii="Calibri" w:hAnsi="Calibri" w:eastAsia="宋体" w:cs="Times New Roman"/>
          <w:color w:val="auto"/>
          <w:highlight w:val="white"/>
        </w:rPr>
        <w:t>临时工程：是指为完成合同约定的永久工程所修建的各类临时性工程，不包括施工设备。</w:t>
      </w:r>
    </w:p>
    <w:p w14:paraId="5AD92FB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1.1.3.4 </w:t>
      </w:r>
      <w:r>
        <w:rPr>
          <w:rStyle w:val="30"/>
          <w:rFonts w:hint="eastAsia" w:ascii="Calibri" w:hAnsi="Calibri" w:eastAsia="宋体" w:cs="Times New Roman"/>
          <w:color w:val="auto"/>
          <w:highlight w:val="white"/>
        </w:rPr>
        <w:t>单位工程：是指在合同协议书中指明的，具备独立施工条件并能形成独立使用功能的永久工程。</w:t>
      </w:r>
    </w:p>
    <w:p w14:paraId="51B0DA8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1.1.3.5 </w:t>
      </w:r>
      <w:r>
        <w:rPr>
          <w:rStyle w:val="30"/>
          <w:rFonts w:hint="eastAsia" w:ascii="Calibri" w:hAnsi="Calibri" w:eastAsia="宋体" w:cs="Times New Roman"/>
          <w:color w:val="auto"/>
          <w:highlight w:val="white"/>
        </w:rPr>
        <w:t>工程设备：是指构成永久工程的机电设备、金属结构设备、仪器及其他类似的设备和装置。</w:t>
      </w:r>
    </w:p>
    <w:p w14:paraId="255C80C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1.1.3.6 </w:t>
      </w:r>
      <w:r>
        <w:rPr>
          <w:rStyle w:val="30"/>
          <w:rFonts w:hint="eastAsia" w:ascii="Calibri" w:hAnsi="Calibri" w:eastAsia="宋体" w:cs="Times New Roman"/>
          <w:color w:val="auto"/>
          <w:highlight w:val="white"/>
        </w:rPr>
        <w:t>施工设备：是指为完成合同约定的各项工作所需的设备、器具和其他物品，但不包括工程设备、临时工程和材料。</w:t>
      </w:r>
    </w:p>
    <w:p w14:paraId="110B062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1.1.3.7 </w:t>
      </w:r>
      <w:r>
        <w:rPr>
          <w:rStyle w:val="30"/>
          <w:rFonts w:hint="eastAsia" w:ascii="Calibri" w:hAnsi="Calibri" w:eastAsia="宋体" w:cs="Times New Roman"/>
          <w:color w:val="auto"/>
          <w:highlight w:val="white"/>
        </w:rPr>
        <w:t>施工现场：是指用于工程施工的场所，以及在专用合同条款中指明作为施工场所组成部分的其他场所，包括永久占地和临时占地。</w:t>
      </w:r>
    </w:p>
    <w:p w14:paraId="784CDCBF">
      <w:pPr>
        <w:pStyle w:val="106"/>
        <w:rPr>
          <w:rStyle w:val="30"/>
          <w:rFonts w:ascii="Calibri" w:hAnsi="Calibri" w:eastAsia="宋体" w:cs="Times New Roman"/>
          <w:color w:val="auto"/>
        </w:rPr>
      </w:pPr>
      <w:r>
        <w:rPr>
          <w:rStyle w:val="30"/>
          <w:rFonts w:ascii="Calibri" w:hAnsi="Calibri" w:eastAsia="宋体" w:cs="Times New Roman"/>
          <w:color w:val="auto"/>
          <w:highlight w:val="white"/>
        </w:rPr>
        <w:t>1.1.3.8</w:t>
      </w:r>
      <w:r>
        <w:rPr>
          <w:rStyle w:val="30"/>
          <w:rFonts w:hint="eastAsia" w:ascii="Calibri" w:hAnsi="Calibri" w:eastAsia="宋体" w:cs="Times New Roman"/>
          <w:color w:val="auto"/>
          <w:highlight w:val="white"/>
        </w:rPr>
        <w:t>临时设施：是指为完成合同约定的各项工作所服务的临时性生产和生活设施。</w:t>
      </w:r>
    </w:p>
    <w:p w14:paraId="22F14EB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1.1.3.9 </w:t>
      </w:r>
      <w:r>
        <w:rPr>
          <w:rStyle w:val="30"/>
          <w:rFonts w:hint="eastAsia" w:ascii="Calibri" w:hAnsi="Calibri" w:eastAsia="宋体" w:cs="Times New Roman"/>
          <w:color w:val="auto"/>
          <w:highlight w:val="white"/>
        </w:rPr>
        <w:t>永久占地：是指专用合同条款中指明为实施工程需永久占用的土地。</w:t>
      </w:r>
    </w:p>
    <w:p w14:paraId="21F20B9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1.1.3.10 </w:t>
      </w:r>
      <w:r>
        <w:rPr>
          <w:rStyle w:val="30"/>
          <w:rFonts w:hint="eastAsia" w:ascii="Calibri" w:hAnsi="Calibri" w:eastAsia="宋体" w:cs="Times New Roman"/>
          <w:color w:val="auto"/>
          <w:highlight w:val="white"/>
        </w:rPr>
        <w:t>临时占地：是指专用合同条款中指明为实施工程需要临时占用的土地。</w:t>
      </w:r>
    </w:p>
    <w:p w14:paraId="6CAD4D7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 </w:t>
      </w:r>
      <w:r>
        <w:rPr>
          <w:rStyle w:val="30"/>
          <w:rFonts w:hint="eastAsia" w:ascii="Calibri" w:hAnsi="Calibri" w:eastAsia="宋体" w:cs="Times New Roman"/>
          <w:color w:val="auto"/>
          <w:highlight w:val="white"/>
        </w:rPr>
        <w:t>日期和期限</w:t>
      </w:r>
    </w:p>
    <w:p w14:paraId="01415F2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1.1.4.1 </w:t>
      </w:r>
      <w:r>
        <w:rPr>
          <w:rStyle w:val="30"/>
          <w:rFonts w:hint="eastAsia" w:ascii="Calibri" w:hAnsi="Calibri" w:eastAsia="宋体" w:cs="Times New Roman"/>
          <w:color w:val="auto"/>
          <w:highlight w:val="white"/>
        </w:rPr>
        <w:t>开工日期：包括计划开工日期和实际开工日期。计划开工日期是指合同协议书约定的开工日期；实际开工日期是指监理人按照第</w:t>
      </w:r>
      <w:r>
        <w:rPr>
          <w:rStyle w:val="30"/>
          <w:rFonts w:ascii="Calibri" w:hAnsi="Calibri" w:eastAsia="宋体" w:cs="Times New Roman"/>
          <w:color w:val="auto"/>
          <w:highlight w:val="white"/>
        </w:rPr>
        <w:t>7.3.2</w:t>
      </w:r>
      <w:r>
        <w:rPr>
          <w:rStyle w:val="30"/>
          <w:rFonts w:hint="eastAsia" w:ascii="Calibri" w:hAnsi="Calibri" w:eastAsia="宋体" w:cs="Times New Roman"/>
          <w:color w:val="auto"/>
          <w:highlight w:val="white"/>
        </w:rPr>
        <w:t>项〔开工通知〕约定发出的符合法律规定的开工通知中载明的开工日期。</w:t>
      </w:r>
    </w:p>
    <w:p w14:paraId="30702D1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1.1.4.2 </w:t>
      </w:r>
      <w:r>
        <w:rPr>
          <w:rStyle w:val="30"/>
          <w:rFonts w:hint="eastAsia" w:ascii="Calibri" w:hAnsi="Calibri" w:eastAsia="宋体" w:cs="Times New Roman"/>
          <w:color w:val="auto"/>
          <w:highlight w:val="white"/>
        </w:rPr>
        <w:t>竣工日期：包括计划竣工日期和实际竣工日期。计划竣工日期是指合同协议书约定的竣工日期；实际竣工日期按照第</w:t>
      </w:r>
      <w:r>
        <w:rPr>
          <w:rStyle w:val="30"/>
          <w:rFonts w:ascii="Calibri" w:hAnsi="Calibri" w:eastAsia="宋体" w:cs="Times New Roman"/>
          <w:color w:val="auto"/>
          <w:highlight w:val="white"/>
        </w:rPr>
        <w:t>13.2.3</w:t>
      </w:r>
      <w:r>
        <w:rPr>
          <w:rStyle w:val="30"/>
          <w:rFonts w:hint="eastAsia" w:ascii="Calibri" w:hAnsi="Calibri" w:eastAsia="宋体" w:cs="Times New Roman"/>
          <w:color w:val="auto"/>
          <w:highlight w:val="white"/>
        </w:rPr>
        <w:t>项〔竣工日期〕的约定确定。</w:t>
      </w:r>
      <w:r>
        <w:rPr>
          <w:rStyle w:val="30"/>
          <w:rFonts w:ascii="Calibri" w:hAnsi="Calibri" w:eastAsia="宋体" w:cs="Times New Roman"/>
          <w:color w:val="auto"/>
          <w:highlight w:val="white"/>
        </w:rPr>
        <w:t xml:space="preserve"> </w:t>
      </w:r>
    </w:p>
    <w:p w14:paraId="1475332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1.1.4.3 </w:t>
      </w:r>
      <w:r>
        <w:rPr>
          <w:rStyle w:val="30"/>
          <w:rFonts w:hint="eastAsia" w:ascii="Calibri" w:hAnsi="Calibri" w:eastAsia="宋体" w:cs="Times New Roman"/>
          <w:color w:val="auto"/>
          <w:highlight w:val="white"/>
        </w:rPr>
        <w:t>工期：是指在合同协议书约定的承包人完成工程所需的期限，包括按照合同约定所作的期限变更。</w:t>
      </w:r>
    </w:p>
    <w:p w14:paraId="2AEA1D3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1.1.4.4 </w:t>
      </w:r>
      <w:r>
        <w:rPr>
          <w:rStyle w:val="30"/>
          <w:rFonts w:hint="eastAsia" w:ascii="Calibri" w:hAnsi="Calibri" w:eastAsia="宋体" w:cs="Times New Roman"/>
          <w:color w:val="auto"/>
          <w:highlight w:val="white"/>
        </w:rPr>
        <w:t>缺陷责任期：是指承包人按照合同约定承担缺陷修复义务，且发包人预留质量保证金的期限（已缴纳履约保证金的除外），自工程实际竣工日期起计算。</w:t>
      </w:r>
    </w:p>
    <w:p w14:paraId="6517261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1.1.4.5 </w:t>
      </w:r>
      <w:r>
        <w:rPr>
          <w:rStyle w:val="30"/>
          <w:rFonts w:hint="eastAsia" w:ascii="Calibri" w:hAnsi="Calibri" w:eastAsia="宋体" w:cs="Times New Roman"/>
          <w:color w:val="auto"/>
          <w:highlight w:val="white"/>
        </w:rPr>
        <w:t>保修期：是指承包人按照合同约定对工程承担保修责任的期限，从工程竣工验收合格之日起计算。</w:t>
      </w:r>
    </w:p>
    <w:p w14:paraId="0EDFB7E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1.1.4.6 </w:t>
      </w:r>
      <w:r>
        <w:rPr>
          <w:rStyle w:val="30"/>
          <w:rFonts w:hint="eastAsia" w:ascii="Calibri" w:hAnsi="Calibri" w:eastAsia="宋体" w:cs="Times New Roman"/>
          <w:color w:val="auto"/>
          <w:highlight w:val="white"/>
        </w:rPr>
        <w:t>基准日期：招标发包的工程以投标截止日前</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天的日期为基准日期，直接发包的工程以合同签订日前</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天的日期为基准日期。</w:t>
      </w:r>
    </w:p>
    <w:p w14:paraId="3EA0448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1.1.4.7 </w:t>
      </w:r>
      <w:r>
        <w:rPr>
          <w:rStyle w:val="30"/>
          <w:rFonts w:hint="eastAsia" w:ascii="Calibri" w:hAnsi="Calibri" w:eastAsia="宋体" w:cs="Times New Roman"/>
          <w:color w:val="auto"/>
          <w:highlight w:val="white"/>
        </w:rPr>
        <w:t>天：除特别指明外，均指日历天。合同中按天计算时间的，开始当天不计入，从次日开始计算，期限最后一天的截止时间为当天</w:t>
      </w:r>
      <w:r>
        <w:rPr>
          <w:rStyle w:val="30"/>
          <w:rFonts w:ascii="Calibri" w:hAnsi="Calibri" w:eastAsia="宋体" w:cs="Times New Roman"/>
          <w:color w:val="auto"/>
          <w:highlight w:val="white"/>
        </w:rPr>
        <w:t>24:00</w:t>
      </w:r>
      <w:r>
        <w:rPr>
          <w:rStyle w:val="30"/>
          <w:rFonts w:hint="eastAsia" w:ascii="Calibri" w:hAnsi="Calibri" w:eastAsia="宋体" w:cs="Times New Roman"/>
          <w:color w:val="auto"/>
          <w:highlight w:val="white"/>
        </w:rPr>
        <w:t>时。</w:t>
      </w:r>
    </w:p>
    <w:p w14:paraId="55E1B4B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 </w:t>
      </w:r>
      <w:r>
        <w:rPr>
          <w:rStyle w:val="30"/>
          <w:rFonts w:hint="eastAsia" w:ascii="Calibri" w:hAnsi="Calibri" w:eastAsia="宋体" w:cs="Times New Roman"/>
          <w:color w:val="auto"/>
          <w:highlight w:val="white"/>
        </w:rPr>
        <w:t>合同价格和费用</w:t>
      </w:r>
    </w:p>
    <w:p w14:paraId="430A193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1.1.5.1 </w:t>
      </w:r>
      <w:r>
        <w:rPr>
          <w:rStyle w:val="30"/>
          <w:rFonts w:hint="eastAsia" w:ascii="Calibri" w:hAnsi="Calibri" w:eastAsia="宋体" w:cs="Times New Roman"/>
          <w:color w:val="auto"/>
          <w:highlight w:val="white"/>
        </w:rPr>
        <w:t>签约合同价：是指发包人和承包人在合同协议书中确定的总金额，包括安全文明施工费、暂估价及暂列金额等。</w:t>
      </w:r>
    </w:p>
    <w:p w14:paraId="6E38827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1.1.5.2 </w:t>
      </w:r>
      <w:r>
        <w:rPr>
          <w:rStyle w:val="30"/>
          <w:rFonts w:hint="eastAsia" w:ascii="Calibri" w:hAnsi="Calibri" w:eastAsia="宋体" w:cs="Times New Roman"/>
          <w:color w:val="auto"/>
          <w:highlight w:val="white"/>
        </w:rPr>
        <w:t>合同价格：是指发包人用于支付承包人按照合同约定完成承包范围内全部工作的金额，包括合同履行过程中按合同约定发生的价格变化。</w:t>
      </w:r>
    </w:p>
    <w:p w14:paraId="16D1D8B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1.1.5.3 </w:t>
      </w:r>
      <w:r>
        <w:rPr>
          <w:rStyle w:val="30"/>
          <w:rFonts w:hint="eastAsia" w:ascii="Calibri" w:hAnsi="Calibri" w:eastAsia="宋体" w:cs="Times New Roman"/>
          <w:color w:val="auto"/>
          <w:highlight w:val="white"/>
        </w:rPr>
        <w:t>费用：是指为履行合同所发生的或将要发生的所有必需的开支，包括管理费和应分摊的其他费用，但不包括利润。</w:t>
      </w:r>
    </w:p>
    <w:p w14:paraId="17F9DD2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1.1.5.4 </w:t>
      </w:r>
      <w:r>
        <w:rPr>
          <w:rStyle w:val="30"/>
          <w:rFonts w:hint="eastAsia" w:ascii="Calibri" w:hAnsi="Calibri" w:eastAsia="宋体" w:cs="Times New Roman"/>
          <w:color w:val="auto"/>
          <w:highlight w:val="white"/>
        </w:rPr>
        <w:t>暂估价：是指发包人在工程量清单或预算书中提供的用于支付必然发生但暂时不能确定价格的材料、工程设备的单价、专业工程以及服务工作的金额。</w:t>
      </w:r>
    </w:p>
    <w:p w14:paraId="740D049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1.1.5.5 </w:t>
      </w:r>
      <w:r>
        <w:rPr>
          <w:rStyle w:val="30"/>
          <w:rFonts w:hint="eastAsia" w:ascii="Calibri" w:hAnsi="Calibri" w:eastAsia="宋体" w:cs="Times New Roman"/>
          <w:color w:val="auto"/>
          <w:highlight w:val="white"/>
        </w:rPr>
        <w:t>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14:paraId="6819C7F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1.1.5.6 </w:t>
      </w:r>
      <w:r>
        <w:rPr>
          <w:rStyle w:val="30"/>
          <w:rFonts w:hint="eastAsia" w:ascii="Calibri" w:hAnsi="Calibri" w:eastAsia="宋体" w:cs="Times New Roman"/>
          <w:color w:val="auto"/>
          <w:highlight w:val="white"/>
        </w:rPr>
        <w:t>计日工：是指合同履行过程中，承包人完成发包人提出的零星工作或需要采用计日工计价的变更工作时，按合同中约定的单价计价的一种方式。</w:t>
      </w:r>
    </w:p>
    <w:p w14:paraId="4E88854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1.1.5.7 </w:t>
      </w:r>
      <w:r>
        <w:rPr>
          <w:rStyle w:val="30"/>
          <w:rFonts w:hint="eastAsia" w:ascii="Calibri" w:hAnsi="Calibri" w:eastAsia="宋体" w:cs="Times New Roman"/>
          <w:color w:val="auto"/>
          <w:highlight w:val="white"/>
        </w:rPr>
        <w:t>质量保证金：是指按照第</w:t>
      </w:r>
      <w:r>
        <w:rPr>
          <w:rStyle w:val="30"/>
          <w:rFonts w:ascii="Calibri" w:hAnsi="Calibri" w:eastAsia="宋体" w:cs="Times New Roman"/>
          <w:color w:val="auto"/>
          <w:highlight w:val="white"/>
        </w:rPr>
        <w:t>15.3</w:t>
      </w:r>
      <w:r>
        <w:rPr>
          <w:rStyle w:val="30"/>
          <w:rFonts w:hint="eastAsia" w:ascii="Calibri" w:hAnsi="Calibri" w:eastAsia="宋体" w:cs="Times New Roman"/>
          <w:color w:val="auto"/>
          <w:highlight w:val="white"/>
        </w:rPr>
        <w:t>款〔质量保证金〕约定承包人用于保证其在缺陷责任期内履行缺陷修补义务的担保。</w:t>
      </w:r>
    </w:p>
    <w:p w14:paraId="1AE97A2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1.1.5.8 </w:t>
      </w:r>
      <w:r>
        <w:rPr>
          <w:rStyle w:val="30"/>
          <w:rFonts w:hint="eastAsia" w:ascii="Calibri" w:hAnsi="Calibri" w:eastAsia="宋体" w:cs="Times New Roman"/>
          <w:color w:val="auto"/>
          <w:highlight w:val="white"/>
        </w:rPr>
        <w:t>总价项目：是指在现行国家、行业以及地方的计量规则中无工程量计算规则，在已标价工程量清单或预算书中以总价或以费率形式计算的项目。</w:t>
      </w:r>
    </w:p>
    <w:p w14:paraId="71A6211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1.1.6 </w:t>
      </w:r>
      <w:r>
        <w:rPr>
          <w:rStyle w:val="30"/>
          <w:rFonts w:hint="eastAsia" w:ascii="Calibri" w:hAnsi="Calibri" w:eastAsia="宋体" w:cs="Times New Roman"/>
          <w:color w:val="auto"/>
          <w:highlight w:val="white"/>
        </w:rPr>
        <w:t>其他</w:t>
      </w:r>
    </w:p>
    <w:p w14:paraId="087CD6C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1.1.6.1 </w:t>
      </w:r>
      <w:r>
        <w:rPr>
          <w:rStyle w:val="30"/>
          <w:rFonts w:hint="eastAsia" w:ascii="Calibri" w:hAnsi="Calibri" w:eastAsia="宋体" w:cs="Times New Roman"/>
          <w:color w:val="auto"/>
          <w:highlight w:val="white"/>
        </w:rPr>
        <w:t>书面形式：是指合同文件、信函、电报、传真等可以有形地表现所载内容的形式。</w:t>
      </w:r>
    </w:p>
    <w:p w14:paraId="37FC1100">
      <w:pPr>
        <w:pStyle w:val="106"/>
        <w:rPr>
          <w:rStyle w:val="30"/>
          <w:rFonts w:ascii="Calibri" w:hAnsi="Calibri" w:eastAsia="宋体" w:cs="Times New Roman"/>
          <w:color w:val="auto"/>
        </w:rPr>
      </w:pPr>
      <w:r>
        <w:rPr>
          <w:rStyle w:val="30"/>
          <w:rFonts w:ascii="Calibri" w:hAnsi="Calibri" w:eastAsia="宋体" w:cs="Times New Roman"/>
          <w:color w:val="auto"/>
          <w:highlight w:val="white"/>
        </w:rPr>
        <w:t>1.2</w:t>
      </w:r>
      <w:r>
        <w:rPr>
          <w:rStyle w:val="30"/>
          <w:rFonts w:hint="eastAsia" w:ascii="Calibri" w:hAnsi="Calibri" w:eastAsia="宋体" w:cs="Times New Roman"/>
          <w:color w:val="auto"/>
          <w:highlight w:val="white"/>
        </w:rPr>
        <w:t>语言文字</w:t>
      </w:r>
    </w:p>
    <w:p w14:paraId="477A075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合同以中国的汉语简体文字编写、解释和说明。合同当事人在专用合同条款中约定使用两种以上语言时，汉语为优先解释和说明合同的语言。</w:t>
      </w:r>
    </w:p>
    <w:p w14:paraId="5E672884">
      <w:pPr>
        <w:pStyle w:val="106"/>
        <w:rPr>
          <w:rStyle w:val="30"/>
          <w:rFonts w:ascii="Calibri" w:hAnsi="Calibri" w:eastAsia="宋体" w:cs="Times New Roman"/>
          <w:color w:val="auto"/>
        </w:rPr>
      </w:pPr>
      <w:r>
        <w:rPr>
          <w:rStyle w:val="30"/>
          <w:rFonts w:ascii="Calibri" w:hAnsi="Calibri" w:eastAsia="宋体" w:cs="Times New Roman"/>
          <w:color w:val="auto"/>
          <w:highlight w:val="white"/>
        </w:rPr>
        <w:t>1.3</w:t>
      </w:r>
      <w:r>
        <w:rPr>
          <w:rStyle w:val="30"/>
          <w:rFonts w:hint="eastAsia" w:ascii="Calibri" w:hAnsi="Calibri" w:eastAsia="宋体" w:cs="Times New Roman"/>
          <w:color w:val="auto"/>
          <w:highlight w:val="white"/>
        </w:rPr>
        <w:t>法律</w:t>
      </w:r>
    </w:p>
    <w:p w14:paraId="076F257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合同所称法律是指中华人民共和国法律、行政法规、部门规章，以及工程所在地的地方性法规、自治条例、单行条例和地方政府规章等。</w:t>
      </w:r>
    </w:p>
    <w:p w14:paraId="5A87CFA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合同当事人可以在专用合同条款中约定合同适用的其他规范性文件。</w:t>
      </w:r>
    </w:p>
    <w:p w14:paraId="2AC9FA6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 </w:t>
      </w:r>
      <w:r>
        <w:rPr>
          <w:rStyle w:val="30"/>
          <w:rFonts w:hint="eastAsia" w:ascii="Calibri" w:hAnsi="Calibri" w:eastAsia="宋体" w:cs="Times New Roman"/>
          <w:color w:val="auto"/>
          <w:highlight w:val="white"/>
        </w:rPr>
        <w:t>标准和规范</w:t>
      </w:r>
    </w:p>
    <w:p w14:paraId="581D76A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1.4.1 </w:t>
      </w:r>
      <w:r>
        <w:rPr>
          <w:rStyle w:val="30"/>
          <w:rFonts w:hint="eastAsia" w:ascii="Calibri" w:hAnsi="Calibri" w:eastAsia="宋体" w:cs="Times New Roman"/>
          <w:color w:val="auto"/>
          <w:highlight w:val="white"/>
        </w:rPr>
        <w:t>适用于工程的国家标准、行业标准、工程所在地的地方性标准，以及相应的规范、规程等，合同当事人有特别要求的，应在专用合同条款中约定。</w:t>
      </w:r>
    </w:p>
    <w:p w14:paraId="6812A89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1.4.2 </w:t>
      </w:r>
      <w:r>
        <w:rPr>
          <w:rStyle w:val="30"/>
          <w:rFonts w:hint="eastAsia" w:ascii="Calibri" w:hAnsi="Calibri" w:eastAsia="宋体" w:cs="Times New Roman"/>
          <w:color w:val="auto"/>
          <w:highlight w:val="white"/>
        </w:rPr>
        <w:t>发包人要求使用国外标准、规范的，发包人负责提供原文版本和中文译本，并在专用合同条款中约定提供标准规范的名称、份数和时间。</w:t>
      </w:r>
    </w:p>
    <w:p w14:paraId="3AE3D0F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1.4.3 </w:t>
      </w:r>
      <w:r>
        <w:rPr>
          <w:rStyle w:val="30"/>
          <w:rFonts w:hint="eastAsia" w:ascii="Calibri" w:hAnsi="Calibri" w:eastAsia="宋体" w:cs="Times New Roman"/>
          <w:color w:val="auto"/>
          <w:highlight w:val="white"/>
        </w:rPr>
        <w:t>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14:paraId="19DD45A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 </w:t>
      </w:r>
      <w:r>
        <w:rPr>
          <w:rStyle w:val="30"/>
          <w:rFonts w:hint="eastAsia" w:ascii="Calibri" w:hAnsi="Calibri" w:eastAsia="宋体" w:cs="Times New Roman"/>
          <w:color w:val="auto"/>
          <w:highlight w:val="white"/>
        </w:rPr>
        <w:t>合同文件的优先顺序</w:t>
      </w:r>
    </w:p>
    <w:p w14:paraId="72E4B36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组成合同的各项文件应互相解释，互为说明。除专用合同条款另有约定外，解释合同文件的优先顺序如下：</w:t>
      </w:r>
    </w:p>
    <w:p w14:paraId="748AD16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）合同协议书；</w:t>
      </w:r>
    </w:p>
    <w:p w14:paraId="55C8895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）中标通知书（如果有）；</w:t>
      </w:r>
    </w:p>
    <w:p w14:paraId="406E3EE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）投标函及其附录（如果有）；</w:t>
      </w:r>
    </w:p>
    <w:p w14:paraId="489AF15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）专用合同条款及其附件；</w:t>
      </w:r>
    </w:p>
    <w:p w14:paraId="364DE23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）通用合同条款；</w:t>
      </w:r>
    </w:p>
    <w:p w14:paraId="55B5750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）技术标准和要求；</w:t>
      </w:r>
    </w:p>
    <w:p w14:paraId="54A412D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）图纸；</w:t>
      </w:r>
    </w:p>
    <w:p w14:paraId="5B7AE26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8</w:t>
      </w:r>
      <w:r>
        <w:rPr>
          <w:rStyle w:val="30"/>
          <w:rFonts w:hint="eastAsia" w:ascii="Calibri" w:hAnsi="Calibri" w:eastAsia="宋体" w:cs="Times New Roman"/>
          <w:color w:val="auto"/>
          <w:highlight w:val="white"/>
        </w:rPr>
        <w:t>）已标价工程量清单或预算书；</w:t>
      </w:r>
    </w:p>
    <w:p w14:paraId="2582B8D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9</w:t>
      </w:r>
      <w:r>
        <w:rPr>
          <w:rStyle w:val="30"/>
          <w:rFonts w:hint="eastAsia" w:ascii="Calibri" w:hAnsi="Calibri" w:eastAsia="宋体" w:cs="Times New Roman"/>
          <w:color w:val="auto"/>
          <w:highlight w:val="white"/>
        </w:rPr>
        <w:t>）其他合同文件。</w:t>
      </w:r>
    </w:p>
    <w:p w14:paraId="78A845C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上述各项合同文件包括合同当事人就该项合同文件所作出的补充和修改，属于同一类内容的文件，应以最新签署的为准。</w:t>
      </w:r>
    </w:p>
    <w:p w14:paraId="71A475B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在合同订立及履行过程中形成的与合同有关的文件均构成合同文件组成部分，并根据其性质确定优先解释顺序。</w:t>
      </w:r>
    </w:p>
    <w:p w14:paraId="48046F64">
      <w:pPr>
        <w:pStyle w:val="106"/>
        <w:rPr>
          <w:rStyle w:val="30"/>
          <w:rFonts w:ascii="Calibri" w:hAnsi="Calibri" w:eastAsia="宋体" w:cs="Times New Roman"/>
          <w:color w:val="auto"/>
        </w:rPr>
      </w:pPr>
      <w:r>
        <w:rPr>
          <w:rStyle w:val="30"/>
          <w:rFonts w:ascii="Calibri" w:hAnsi="Calibri" w:eastAsia="宋体" w:cs="Times New Roman"/>
          <w:color w:val="auto"/>
          <w:highlight w:val="white"/>
        </w:rPr>
        <w:t>1.6</w:t>
      </w:r>
      <w:r>
        <w:rPr>
          <w:rStyle w:val="30"/>
          <w:rFonts w:hint="eastAsia" w:ascii="Calibri" w:hAnsi="Calibri" w:eastAsia="宋体" w:cs="Times New Roman"/>
          <w:color w:val="auto"/>
          <w:highlight w:val="white"/>
        </w:rPr>
        <w:t>图纸和承包人文件</w:t>
      </w:r>
    </w:p>
    <w:p w14:paraId="2814AD7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1.6.1 </w:t>
      </w:r>
      <w:r>
        <w:rPr>
          <w:rStyle w:val="30"/>
          <w:rFonts w:hint="eastAsia" w:ascii="Calibri" w:hAnsi="Calibri" w:eastAsia="宋体" w:cs="Times New Roman"/>
          <w:color w:val="auto"/>
          <w:highlight w:val="white"/>
        </w:rPr>
        <w:t>图纸的提供和交底</w:t>
      </w:r>
    </w:p>
    <w:p w14:paraId="60DAC61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发包人应按照专用合同条款约定的期限、数量和内容向承包人免费提供图纸，并组织承包人、监理人和设计人进行图纸会审和设计交底。发包人至迟不得晚于第</w:t>
      </w:r>
      <w:r>
        <w:rPr>
          <w:rStyle w:val="30"/>
          <w:rFonts w:ascii="Calibri" w:hAnsi="Calibri" w:eastAsia="宋体" w:cs="Times New Roman"/>
          <w:color w:val="auto"/>
          <w:highlight w:val="white"/>
        </w:rPr>
        <w:t>7.3.2</w:t>
      </w:r>
      <w:r>
        <w:rPr>
          <w:rStyle w:val="30"/>
          <w:rFonts w:hint="eastAsia" w:ascii="Calibri" w:hAnsi="Calibri" w:eastAsia="宋体" w:cs="Times New Roman"/>
          <w:color w:val="auto"/>
          <w:highlight w:val="white"/>
        </w:rPr>
        <w:t>项〔开工通知〕载明的开工日期前</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天向承包人提供图纸。</w:t>
      </w:r>
    </w:p>
    <w:p w14:paraId="4B4A2FC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因发包人未按合同约定提供图纸导致承包人费用增加和（或）工期延误的，按照第</w:t>
      </w:r>
      <w:r>
        <w:rPr>
          <w:rStyle w:val="30"/>
          <w:rFonts w:ascii="Calibri" w:hAnsi="Calibri" w:eastAsia="宋体" w:cs="Times New Roman"/>
          <w:color w:val="auto"/>
          <w:highlight w:val="white"/>
        </w:rPr>
        <w:t>7.5.1</w:t>
      </w:r>
      <w:r>
        <w:rPr>
          <w:rStyle w:val="30"/>
          <w:rFonts w:hint="eastAsia" w:ascii="Calibri" w:hAnsi="Calibri" w:eastAsia="宋体" w:cs="Times New Roman"/>
          <w:color w:val="auto"/>
          <w:highlight w:val="white"/>
        </w:rPr>
        <w:t>项〔因发包人原因导致工期延误〕约定办理。</w:t>
      </w:r>
    </w:p>
    <w:p w14:paraId="2124284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1.6.2 </w:t>
      </w:r>
      <w:r>
        <w:rPr>
          <w:rStyle w:val="30"/>
          <w:rFonts w:hint="eastAsia" w:ascii="Calibri" w:hAnsi="Calibri" w:eastAsia="宋体" w:cs="Times New Roman"/>
          <w:color w:val="auto"/>
          <w:highlight w:val="white"/>
        </w:rPr>
        <w:t>图纸的错误</w:t>
      </w:r>
    </w:p>
    <w:p w14:paraId="1B5C2E1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3D2C00D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1.6.3 </w:t>
      </w:r>
      <w:r>
        <w:rPr>
          <w:rStyle w:val="30"/>
          <w:rFonts w:hint="eastAsia" w:ascii="Calibri" w:hAnsi="Calibri" w:eastAsia="宋体" w:cs="Times New Roman"/>
          <w:color w:val="auto"/>
          <w:highlight w:val="white"/>
        </w:rPr>
        <w:t>图纸的修改和补充</w:t>
      </w:r>
    </w:p>
    <w:p w14:paraId="544F2EE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图纸需要修改和补充的，应经图纸原设计人及审批部门同意，并由监理人在工程或工程相应部位施工前将修改后的图纸或补充图纸提交给承包人，承包人应按修改或补充后的图纸施工。</w:t>
      </w:r>
    </w:p>
    <w:p w14:paraId="2DA5262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1.6.4 </w:t>
      </w:r>
      <w:r>
        <w:rPr>
          <w:rStyle w:val="30"/>
          <w:rFonts w:hint="eastAsia" w:ascii="Calibri" w:hAnsi="Calibri" w:eastAsia="宋体" w:cs="Times New Roman"/>
          <w:color w:val="auto"/>
          <w:highlight w:val="white"/>
        </w:rPr>
        <w:t>承包人文件</w:t>
      </w:r>
    </w:p>
    <w:p w14:paraId="1A31B91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承包人应按照专用合同条款的约定提供应当由其编制的与工程施工有关的文件，并按照专用合同条款约定的期限、数量和形式提交监理人，并由监理人报送发包人。</w:t>
      </w:r>
    </w:p>
    <w:p w14:paraId="53AFA6F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除专用合同条款另有约定外，监理人应在收到承包人文件后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天内审查完毕，监理人对承包人文件有异议的，承包人应予以修改，并重新报送监理人。监理人的审查并不减轻或免除承包人根据合同约定应当承担的责任。</w:t>
      </w:r>
    </w:p>
    <w:p w14:paraId="45383F4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1.6.5 </w:t>
      </w:r>
      <w:r>
        <w:rPr>
          <w:rStyle w:val="30"/>
          <w:rFonts w:hint="eastAsia" w:ascii="Calibri" w:hAnsi="Calibri" w:eastAsia="宋体" w:cs="Times New Roman"/>
          <w:color w:val="auto"/>
          <w:highlight w:val="white"/>
        </w:rPr>
        <w:t>图纸和承包人文件的保管</w:t>
      </w:r>
    </w:p>
    <w:p w14:paraId="4F4EA42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除专用合同条款另有约定外，承包人应在施工现场另外保存一套完整的图纸和承包人文件，供发包人、监理人及有关人员进行工程检查时使用。</w:t>
      </w:r>
    </w:p>
    <w:p w14:paraId="790A487E">
      <w:pPr>
        <w:pStyle w:val="106"/>
        <w:rPr>
          <w:rStyle w:val="30"/>
          <w:rFonts w:ascii="Calibri" w:hAnsi="Calibri" w:eastAsia="宋体" w:cs="Times New Roman"/>
          <w:color w:val="auto"/>
        </w:rPr>
      </w:pPr>
      <w:r>
        <w:rPr>
          <w:rStyle w:val="30"/>
          <w:rFonts w:ascii="Calibri" w:hAnsi="Calibri" w:eastAsia="宋体" w:cs="Times New Roman"/>
          <w:color w:val="auto"/>
          <w:highlight w:val="white"/>
        </w:rPr>
        <w:t>1.7</w:t>
      </w:r>
      <w:r>
        <w:rPr>
          <w:rStyle w:val="30"/>
          <w:rFonts w:hint="eastAsia" w:ascii="Calibri" w:hAnsi="Calibri" w:eastAsia="宋体" w:cs="Times New Roman"/>
          <w:color w:val="auto"/>
          <w:highlight w:val="white"/>
        </w:rPr>
        <w:t>联络</w:t>
      </w:r>
    </w:p>
    <w:p w14:paraId="218D943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1.7.1 </w:t>
      </w:r>
      <w:r>
        <w:rPr>
          <w:rStyle w:val="30"/>
          <w:rFonts w:hint="eastAsia" w:ascii="Calibri" w:hAnsi="Calibri" w:eastAsia="宋体" w:cs="Times New Roman"/>
          <w:color w:val="auto"/>
          <w:highlight w:val="white"/>
        </w:rPr>
        <w:t>与合同有关的通知、批准、证明、证书、指示、指令、要求、请求、同意、意见、确定和决定等，均应采用书面形式，并应在合同约定的期限内送达接收人和送达地点。</w:t>
      </w:r>
    </w:p>
    <w:p w14:paraId="6D15A16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1.7.2 </w:t>
      </w:r>
      <w:r>
        <w:rPr>
          <w:rStyle w:val="30"/>
          <w:rFonts w:hint="eastAsia" w:ascii="Calibri" w:hAnsi="Calibri" w:eastAsia="宋体" w:cs="Times New Roman"/>
          <w:color w:val="auto"/>
          <w:highlight w:val="white"/>
        </w:rPr>
        <w:t>发包人和承包人应在专用合同条款中约定各自的送达接收人和送达地点。任何一方合同当事人指定的接收人或送达地点发生变动的，应提前</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天以书面形式通知对方。</w:t>
      </w:r>
    </w:p>
    <w:p w14:paraId="385317A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1.7.3 </w:t>
      </w:r>
      <w:r>
        <w:rPr>
          <w:rStyle w:val="30"/>
          <w:rFonts w:hint="eastAsia" w:ascii="Calibri" w:hAnsi="Calibri" w:eastAsia="宋体" w:cs="Times New Roman"/>
          <w:color w:val="auto"/>
          <w:highlight w:val="white"/>
        </w:rPr>
        <w:t>发包人和承包人应当及时签收另一方送达至送达地点和指定接收人的来往信函。拒不签收的，由此增加的费用和（或）延误的工期由拒绝接收一方承担。</w:t>
      </w:r>
    </w:p>
    <w:p w14:paraId="255D569B">
      <w:pPr>
        <w:pStyle w:val="106"/>
        <w:rPr>
          <w:rStyle w:val="30"/>
          <w:rFonts w:ascii="Calibri" w:hAnsi="Calibri" w:eastAsia="宋体" w:cs="Times New Roman"/>
          <w:color w:val="auto"/>
        </w:rPr>
      </w:pPr>
      <w:r>
        <w:rPr>
          <w:rStyle w:val="30"/>
          <w:rFonts w:ascii="Calibri" w:hAnsi="Calibri" w:eastAsia="宋体" w:cs="Times New Roman"/>
          <w:color w:val="auto"/>
          <w:highlight w:val="white"/>
        </w:rPr>
        <w:t>1.8</w:t>
      </w:r>
      <w:r>
        <w:rPr>
          <w:rStyle w:val="30"/>
          <w:rFonts w:hint="eastAsia" w:ascii="Calibri" w:hAnsi="Calibri" w:eastAsia="宋体" w:cs="Times New Roman"/>
          <w:color w:val="auto"/>
          <w:highlight w:val="white"/>
        </w:rPr>
        <w:t>严禁贿赂</w:t>
      </w:r>
    </w:p>
    <w:p w14:paraId="687C914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合同当事人不得以贿赂或变相贿赂的方式，谋取非法利益或损害对方权益。因一方合同当事人的贿赂造成对方损失的，应赔偿损失，并承担相应的法律责任。</w:t>
      </w:r>
    </w:p>
    <w:p w14:paraId="24162DB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承包人不得与监理人或发包人聘请的第三方串通损害发包人利益。未经发包人书面同意，承包人不得为监理人提供合同约定以外的通讯设备、交通工具及其他任何形式的利益，不得向监理人支付报酬。</w:t>
      </w:r>
    </w:p>
    <w:p w14:paraId="66AB91B0">
      <w:pPr>
        <w:pStyle w:val="106"/>
        <w:rPr>
          <w:rStyle w:val="30"/>
          <w:rFonts w:ascii="Calibri" w:hAnsi="Calibri" w:eastAsia="宋体" w:cs="Times New Roman"/>
          <w:color w:val="auto"/>
        </w:rPr>
      </w:pPr>
      <w:r>
        <w:rPr>
          <w:rStyle w:val="30"/>
          <w:rFonts w:ascii="Calibri" w:hAnsi="Calibri" w:eastAsia="宋体" w:cs="Times New Roman"/>
          <w:color w:val="auto"/>
          <w:highlight w:val="white"/>
        </w:rPr>
        <w:t>1.9</w:t>
      </w:r>
      <w:r>
        <w:rPr>
          <w:rStyle w:val="30"/>
          <w:rFonts w:hint="eastAsia" w:ascii="Calibri" w:hAnsi="Calibri" w:eastAsia="宋体" w:cs="Times New Roman"/>
          <w:color w:val="auto"/>
          <w:highlight w:val="white"/>
        </w:rPr>
        <w:t>化石、文物</w:t>
      </w:r>
    </w:p>
    <w:p w14:paraId="2302217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440EFCE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发包人、监理人和承包人应按有关政府行政管理部门要求采取妥善的保护措施，由此增加的费用和（或）延误的工期由发包人承担。</w:t>
      </w:r>
    </w:p>
    <w:p w14:paraId="2CA9513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承包人发现文物后不及时报告或隐瞒不报，致使文物丢失或损坏的，应赔偿损失，并承担相应的法律责任。</w:t>
      </w:r>
    </w:p>
    <w:p w14:paraId="1427AAAF">
      <w:pPr>
        <w:pStyle w:val="106"/>
        <w:rPr>
          <w:rStyle w:val="30"/>
          <w:rFonts w:ascii="Calibri" w:hAnsi="Calibri" w:eastAsia="宋体" w:cs="Times New Roman"/>
          <w:color w:val="auto"/>
        </w:rPr>
      </w:pPr>
      <w:r>
        <w:rPr>
          <w:rStyle w:val="30"/>
          <w:rFonts w:ascii="Calibri" w:hAnsi="Calibri" w:eastAsia="宋体" w:cs="Times New Roman"/>
          <w:color w:val="auto"/>
          <w:highlight w:val="white"/>
        </w:rPr>
        <w:t>1.10</w:t>
      </w:r>
      <w:r>
        <w:rPr>
          <w:rStyle w:val="30"/>
          <w:rFonts w:hint="eastAsia" w:ascii="Calibri" w:hAnsi="Calibri" w:eastAsia="宋体" w:cs="Times New Roman"/>
          <w:color w:val="auto"/>
          <w:highlight w:val="white"/>
        </w:rPr>
        <w:t>交通运输</w:t>
      </w:r>
    </w:p>
    <w:p w14:paraId="72006B6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1.10.1 </w:t>
      </w:r>
      <w:r>
        <w:rPr>
          <w:rStyle w:val="30"/>
          <w:rFonts w:hint="eastAsia" w:ascii="Calibri" w:hAnsi="Calibri" w:eastAsia="宋体" w:cs="Times New Roman"/>
          <w:color w:val="auto"/>
          <w:highlight w:val="white"/>
        </w:rPr>
        <w:t>出入现场的权利</w:t>
      </w:r>
    </w:p>
    <w:p w14:paraId="3AFA212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14:paraId="3FEAE89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承包人应在订立合同前查勘施工现场，并根据工程规模及技术参数合理预见工程施工所需的进出施工现场的方式、手段、路径等。因承包人未合理预见所增加的费用和（或）延误的工期由承包人承担。</w:t>
      </w:r>
    </w:p>
    <w:p w14:paraId="741F019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1.10.2 </w:t>
      </w:r>
      <w:r>
        <w:rPr>
          <w:rStyle w:val="30"/>
          <w:rFonts w:hint="eastAsia" w:ascii="Calibri" w:hAnsi="Calibri" w:eastAsia="宋体" w:cs="Times New Roman"/>
          <w:color w:val="auto"/>
          <w:highlight w:val="white"/>
        </w:rPr>
        <w:t>场外交通</w:t>
      </w:r>
    </w:p>
    <w:p w14:paraId="698B062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7BD526D1">
      <w:pPr>
        <w:pStyle w:val="106"/>
        <w:rPr>
          <w:rStyle w:val="30"/>
          <w:rFonts w:ascii="Calibri" w:hAnsi="Calibri" w:eastAsia="宋体" w:cs="Times New Roman"/>
          <w:color w:val="auto"/>
        </w:rPr>
      </w:pPr>
      <w:r>
        <w:rPr>
          <w:rStyle w:val="30"/>
          <w:rFonts w:ascii="Calibri" w:hAnsi="Calibri" w:eastAsia="宋体" w:cs="Times New Roman"/>
          <w:color w:val="auto"/>
          <w:highlight w:val="white"/>
        </w:rPr>
        <w:t>1.10.3</w:t>
      </w:r>
      <w:r>
        <w:rPr>
          <w:rStyle w:val="30"/>
          <w:rFonts w:hint="eastAsia" w:ascii="Calibri" w:hAnsi="Calibri" w:eastAsia="宋体" w:cs="Times New Roman"/>
          <w:color w:val="auto"/>
          <w:highlight w:val="white"/>
        </w:rPr>
        <w:t>场内交通</w:t>
      </w:r>
    </w:p>
    <w:p w14:paraId="75945E4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3E3B2EF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3695F42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场外交通和场内交通的边界由合同当事人在专用合同条款中约定。</w:t>
      </w:r>
    </w:p>
    <w:p w14:paraId="1E03325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1.10.4 </w:t>
      </w:r>
      <w:r>
        <w:rPr>
          <w:rStyle w:val="30"/>
          <w:rFonts w:hint="eastAsia" w:ascii="Calibri" w:hAnsi="Calibri" w:eastAsia="宋体" w:cs="Times New Roman"/>
          <w:color w:val="auto"/>
          <w:highlight w:val="white"/>
        </w:rPr>
        <w:t>超大件和超重件的运输</w:t>
      </w:r>
    </w:p>
    <w:p w14:paraId="2DCF1FB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6D6A43F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1.10.5 </w:t>
      </w:r>
      <w:r>
        <w:rPr>
          <w:rStyle w:val="30"/>
          <w:rFonts w:hint="eastAsia" w:ascii="Calibri" w:hAnsi="Calibri" w:eastAsia="宋体" w:cs="Times New Roman"/>
          <w:color w:val="auto"/>
          <w:highlight w:val="white"/>
        </w:rPr>
        <w:t>道路和桥梁的损坏责任</w:t>
      </w:r>
    </w:p>
    <w:p w14:paraId="7C6A071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因承包人运输造成施工场地内外公共道路和桥梁损坏的，由承包人承担修复损坏的全部费用和可能引起的赔偿。</w:t>
      </w:r>
    </w:p>
    <w:p w14:paraId="2C1E8C2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1.10.6 </w:t>
      </w:r>
      <w:r>
        <w:rPr>
          <w:rStyle w:val="30"/>
          <w:rFonts w:hint="eastAsia" w:ascii="Calibri" w:hAnsi="Calibri" w:eastAsia="宋体" w:cs="Times New Roman"/>
          <w:color w:val="auto"/>
          <w:highlight w:val="white"/>
        </w:rPr>
        <w:t>水路和航空运输</w:t>
      </w:r>
    </w:p>
    <w:p w14:paraId="2A37FA5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本款前述各项的内容适用于水路运输和航空运输，其中“道路”一词的涵义包括河道、航线、船闸、机场、码头、堤防以及水路或航空运输中其他相似结构物；“车辆”一词的涵义包括船舶和飞机等。</w:t>
      </w:r>
    </w:p>
    <w:p w14:paraId="5DCEA454">
      <w:pPr>
        <w:pStyle w:val="106"/>
        <w:rPr>
          <w:rStyle w:val="30"/>
          <w:rFonts w:ascii="Calibri" w:hAnsi="Calibri" w:eastAsia="宋体" w:cs="Times New Roman"/>
          <w:color w:val="auto"/>
        </w:rPr>
      </w:pPr>
      <w:r>
        <w:rPr>
          <w:rStyle w:val="30"/>
          <w:rFonts w:ascii="Calibri" w:hAnsi="Calibri" w:eastAsia="宋体" w:cs="Times New Roman"/>
          <w:color w:val="auto"/>
          <w:highlight w:val="white"/>
        </w:rPr>
        <w:t>1.11</w:t>
      </w:r>
      <w:r>
        <w:rPr>
          <w:rStyle w:val="30"/>
          <w:rFonts w:hint="eastAsia" w:ascii="Calibri" w:hAnsi="Calibri" w:eastAsia="宋体" w:cs="Times New Roman"/>
          <w:color w:val="auto"/>
          <w:highlight w:val="white"/>
        </w:rPr>
        <w:t>知识产权</w:t>
      </w:r>
      <w:r>
        <w:rPr>
          <w:rStyle w:val="30"/>
          <w:rFonts w:ascii="Calibri" w:hAnsi="Calibri" w:eastAsia="宋体" w:cs="Times New Roman"/>
          <w:color w:val="auto"/>
          <w:highlight w:val="white"/>
        </w:rPr>
        <w:t xml:space="preserve"> </w:t>
      </w:r>
    </w:p>
    <w:p w14:paraId="7DD6F06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1.11.1 </w:t>
      </w:r>
      <w:r>
        <w:rPr>
          <w:rStyle w:val="30"/>
          <w:rFonts w:hint="eastAsia" w:ascii="Calibri" w:hAnsi="Calibri" w:eastAsia="宋体" w:cs="Times New Roman"/>
          <w:color w:val="auto"/>
          <w:highlight w:val="white"/>
        </w:rPr>
        <w:t>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09E2C4A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1.11.2 </w:t>
      </w:r>
      <w:r>
        <w:rPr>
          <w:rStyle w:val="30"/>
          <w:rFonts w:hint="eastAsia" w:ascii="Calibri" w:hAnsi="Calibri" w:eastAsia="宋体" w:cs="Times New Roman"/>
          <w:color w:val="auto"/>
          <w:highlight w:val="white"/>
        </w:rPr>
        <w:t>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6CF1951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1.11.3 </w:t>
      </w:r>
      <w:r>
        <w:rPr>
          <w:rStyle w:val="30"/>
          <w:rFonts w:hint="eastAsia" w:ascii="Calibri" w:hAnsi="Calibri" w:eastAsia="宋体" w:cs="Times New Roman"/>
          <w:color w:val="auto"/>
          <w:highlight w:val="white"/>
        </w:rPr>
        <w:t>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37F8589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1.11.4 </w:t>
      </w:r>
      <w:r>
        <w:rPr>
          <w:rStyle w:val="30"/>
          <w:rFonts w:hint="eastAsia" w:ascii="Calibri" w:hAnsi="Calibri" w:eastAsia="宋体" w:cs="Times New Roman"/>
          <w:color w:val="auto"/>
          <w:highlight w:val="white"/>
        </w:rPr>
        <w:t>除专用合同条款另有约定外，承包人在合同签订前和签订时已确定采用的专利、专有技术、技术秘密的使用费已包含在签约合同价中。</w:t>
      </w:r>
    </w:p>
    <w:p w14:paraId="6379B2AA">
      <w:pPr>
        <w:pStyle w:val="106"/>
        <w:rPr>
          <w:rStyle w:val="30"/>
          <w:rFonts w:ascii="Calibri" w:hAnsi="Calibri" w:eastAsia="宋体" w:cs="Times New Roman"/>
          <w:color w:val="auto"/>
        </w:rPr>
      </w:pPr>
      <w:r>
        <w:rPr>
          <w:rStyle w:val="30"/>
          <w:rFonts w:ascii="Calibri" w:hAnsi="Calibri" w:eastAsia="宋体" w:cs="Times New Roman"/>
          <w:color w:val="auto"/>
          <w:highlight w:val="white"/>
        </w:rPr>
        <w:t>1.12</w:t>
      </w:r>
      <w:r>
        <w:rPr>
          <w:rStyle w:val="30"/>
          <w:rFonts w:hint="eastAsia" w:ascii="Calibri" w:hAnsi="Calibri" w:eastAsia="宋体" w:cs="Times New Roman"/>
          <w:color w:val="auto"/>
          <w:highlight w:val="white"/>
        </w:rPr>
        <w:t>保密</w:t>
      </w:r>
    </w:p>
    <w:p w14:paraId="44EE8AA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除法律规定或合同另有约定外，未经发包人同意，承包人不得将发包人提供的图纸、文件以及声明需要保密的资料信息等商业秘密泄露给第三方。</w:t>
      </w:r>
    </w:p>
    <w:p w14:paraId="3450833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除法律规定或合同另有约定外，未经承包人同意，发包人不得将承包人提供的技术秘密及声明需要保密的资料信息等商业秘密泄露给第三方。</w:t>
      </w:r>
    </w:p>
    <w:p w14:paraId="300C7369">
      <w:pPr>
        <w:pStyle w:val="106"/>
        <w:rPr>
          <w:rStyle w:val="30"/>
          <w:rFonts w:ascii="Calibri" w:hAnsi="Calibri" w:eastAsia="宋体" w:cs="Times New Roman"/>
          <w:color w:val="auto"/>
        </w:rPr>
      </w:pPr>
      <w:r>
        <w:rPr>
          <w:rStyle w:val="30"/>
          <w:rFonts w:ascii="Calibri" w:hAnsi="Calibri" w:eastAsia="宋体" w:cs="Times New Roman"/>
          <w:color w:val="auto"/>
          <w:highlight w:val="white"/>
        </w:rPr>
        <w:t>1.13</w:t>
      </w:r>
      <w:r>
        <w:rPr>
          <w:rStyle w:val="30"/>
          <w:rFonts w:hint="eastAsia" w:ascii="Calibri" w:hAnsi="Calibri" w:eastAsia="宋体" w:cs="Times New Roman"/>
          <w:color w:val="auto"/>
          <w:highlight w:val="white"/>
        </w:rPr>
        <w:t>工程量清单错误的修正</w:t>
      </w:r>
    </w:p>
    <w:p w14:paraId="3D98833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除专用合同条款另有约定外，发包人提供的工程量清单，应被认为是准确的和完整的。出现下列情形之一时，发包人应予以修正，并相应调整合同价格：</w:t>
      </w:r>
    </w:p>
    <w:p w14:paraId="4F623DD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）工程量清单存在缺项、漏项的；</w:t>
      </w:r>
    </w:p>
    <w:p w14:paraId="2EA783C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）工程量清单偏差超出专用合同条款约定的工程量偏差范围的；</w:t>
      </w:r>
    </w:p>
    <w:p w14:paraId="527BE10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）未按照国家现行计量规范强制性规定计量的。</w:t>
      </w:r>
    </w:p>
    <w:p w14:paraId="5A082EEF">
      <w:pPr>
        <w:pStyle w:val="108"/>
        <w:numPr>
          <w:ilvl w:val="0"/>
          <w:numId w:val="0"/>
        </w:numPr>
        <w:rPr>
          <w:rStyle w:val="30"/>
          <w:rFonts w:eastAsia="宋体" w:cs="Times New Roman"/>
          <w:color w:val="auto"/>
        </w:rPr>
      </w:pPr>
      <w:r>
        <w:rPr>
          <w:rStyle w:val="30"/>
          <w:rFonts w:eastAsia="宋体" w:cs="Times New Roman"/>
          <w:color w:val="auto"/>
          <w:highlight w:val="white"/>
        </w:rPr>
        <w:t xml:space="preserve">2. </w:t>
      </w:r>
      <w:r>
        <w:rPr>
          <w:rStyle w:val="30"/>
          <w:rFonts w:hint="eastAsia" w:eastAsia="宋体" w:cs="Times New Roman"/>
          <w:color w:val="auto"/>
          <w:highlight w:val="white"/>
        </w:rPr>
        <w:t>发包人</w:t>
      </w:r>
    </w:p>
    <w:p w14:paraId="6BB9BA4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2.1 </w:t>
      </w:r>
      <w:r>
        <w:rPr>
          <w:rStyle w:val="30"/>
          <w:rFonts w:hint="eastAsia" w:ascii="Calibri" w:hAnsi="Calibri" w:eastAsia="宋体" w:cs="Times New Roman"/>
          <w:color w:val="auto"/>
          <w:highlight w:val="white"/>
        </w:rPr>
        <w:t>许可或批准</w:t>
      </w:r>
    </w:p>
    <w:p w14:paraId="7130EF8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1035EB7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因发包人原因未能及时办理完毕前述许可、批准或备案，由发包人承担由此增加的费用和（或）延误的工期，并支付承包人合理的利润。</w:t>
      </w:r>
    </w:p>
    <w:p w14:paraId="7A479AB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2.2 </w:t>
      </w:r>
      <w:r>
        <w:rPr>
          <w:rStyle w:val="30"/>
          <w:rFonts w:hint="eastAsia" w:ascii="Calibri" w:hAnsi="Calibri" w:eastAsia="宋体" w:cs="Times New Roman"/>
          <w:color w:val="auto"/>
          <w:highlight w:val="white"/>
        </w:rPr>
        <w:t>发包人代表</w:t>
      </w:r>
    </w:p>
    <w:p w14:paraId="032530A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天书面通知承包人。</w:t>
      </w:r>
    </w:p>
    <w:p w14:paraId="4676CF1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发包人代表不能按照合同约定履行其职责及义务，并导致合同无法继续正常履行的，承包人可以要求发包人撤换发包人代表。</w:t>
      </w:r>
    </w:p>
    <w:p w14:paraId="5EA8147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不属于法定必须监理的工程，监理人的职权可以由发包人代表或发包人指定的其他人员行使。</w:t>
      </w:r>
    </w:p>
    <w:p w14:paraId="7103765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2.3 </w:t>
      </w:r>
      <w:r>
        <w:rPr>
          <w:rStyle w:val="30"/>
          <w:rFonts w:hint="eastAsia" w:ascii="Calibri" w:hAnsi="Calibri" w:eastAsia="宋体" w:cs="Times New Roman"/>
          <w:color w:val="auto"/>
          <w:highlight w:val="white"/>
        </w:rPr>
        <w:t>发包人人员</w:t>
      </w:r>
    </w:p>
    <w:p w14:paraId="1AD5B32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发包人应要求在施工现场的发包人人员遵守法律及有关安全、质量、环境保护、文明施工等规定，并保障承包人免于承受因发包人人员未遵守上述要求给承包人造成的损失和责任。</w:t>
      </w:r>
    </w:p>
    <w:p w14:paraId="6F09906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发包人人员包括发包人代表及其他由发包人派驻施工现场的人员。</w:t>
      </w:r>
    </w:p>
    <w:p w14:paraId="650F0AA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2.4 </w:t>
      </w:r>
      <w:r>
        <w:rPr>
          <w:rStyle w:val="30"/>
          <w:rFonts w:hint="eastAsia" w:ascii="Calibri" w:hAnsi="Calibri" w:eastAsia="宋体" w:cs="Times New Roman"/>
          <w:color w:val="auto"/>
          <w:highlight w:val="white"/>
        </w:rPr>
        <w:t>施工现场、施工条件和基础资料的提供</w:t>
      </w:r>
      <w:r>
        <w:rPr>
          <w:rStyle w:val="30"/>
          <w:rFonts w:ascii="Calibri" w:hAnsi="Calibri" w:eastAsia="宋体" w:cs="Times New Roman"/>
          <w:color w:val="auto"/>
          <w:highlight w:val="white"/>
        </w:rPr>
        <w:t xml:space="preserve">  </w:t>
      </w:r>
    </w:p>
    <w:p w14:paraId="587B1EB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2.4.1 </w:t>
      </w:r>
      <w:r>
        <w:rPr>
          <w:rStyle w:val="30"/>
          <w:rFonts w:hint="eastAsia" w:ascii="Calibri" w:hAnsi="Calibri" w:eastAsia="宋体" w:cs="Times New Roman"/>
          <w:color w:val="auto"/>
          <w:highlight w:val="white"/>
        </w:rPr>
        <w:t>提供施工现场</w:t>
      </w:r>
    </w:p>
    <w:p w14:paraId="53BCBBC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除专用合同条款另有约定外，发包人应最迟于开工日期</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天前向承包人移交施工现场。</w:t>
      </w:r>
    </w:p>
    <w:p w14:paraId="243A289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2.4.2 </w:t>
      </w:r>
      <w:r>
        <w:rPr>
          <w:rStyle w:val="30"/>
          <w:rFonts w:hint="eastAsia" w:ascii="Calibri" w:hAnsi="Calibri" w:eastAsia="宋体" w:cs="Times New Roman"/>
          <w:color w:val="auto"/>
          <w:highlight w:val="white"/>
        </w:rPr>
        <w:t>提供施工条件</w:t>
      </w:r>
    </w:p>
    <w:p w14:paraId="37BD10C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除专用合同条款另有约定外，发包人应负责提供施工所需要的条件，包括：</w:t>
      </w:r>
    </w:p>
    <w:p w14:paraId="7BF9194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）将施工用水、电力、通讯线路等施工所必需的条件接至施工现场内；</w:t>
      </w:r>
    </w:p>
    <w:p w14:paraId="3DA7B97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）保证向承包人提供正常施工所需要的进入施工现场的交通条件；</w:t>
      </w:r>
    </w:p>
    <w:p w14:paraId="462A7B6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）协调处理施工现场周围地下管线和邻近建筑物、构筑物、古树名木的保护工作，并承担相关费用；</w:t>
      </w:r>
    </w:p>
    <w:p w14:paraId="34A4B1E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）按照专用合同条款约定应提供的其他设施和条件。</w:t>
      </w:r>
    </w:p>
    <w:p w14:paraId="31C2C76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2.4.3 </w:t>
      </w:r>
      <w:r>
        <w:rPr>
          <w:rStyle w:val="30"/>
          <w:rFonts w:hint="eastAsia" w:ascii="Calibri" w:hAnsi="Calibri" w:eastAsia="宋体" w:cs="Times New Roman"/>
          <w:color w:val="auto"/>
          <w:highlight w:val="white"/>
        </w:rPr>
        <w:t>提供基础资料</w:t>
      </w:r>
    </w:p>
    <w:p w14:paraId="4CAF937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192B165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按照法律规定确需在开工后方能提供的基础资料，发包人应尽其努力及时地在相应工程施工前的合理期限内提供，合理期限应以不影响承包人的正常施工为限。</w:t>
      </w:r>
    </w:p>
    <w:p w14:paraId="74D7BB5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2.4.4 </w:t>
      </w:r>
      <w:r>
        <w:rPr>
          <w:rStyle w:val="30"/>
          <w:rFonts w:hint="eastAsia" w:ascii="Calibri" w:hAnsi="Calibri" w:eastAsia="宋体" w:cs="Times New Roman"/>
          <w:color w:val="auto"/>
          <w:highlight w:val="white"/>
        </w:rPr>
        <w:t>逾期提供的责任</w:t>
      </w:r>
    </w:p>
    <w:p w14:paraId="65DAEF2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因发包人原因未能按合同约定及时向承包人提供施工现场、施工条件、基础资料的，由发包人承担由此增加的费用和（或）延误的工期。</w:t>
      </w:r>
    </w:p>
    <w:p w14:paraId="6706823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2.5 </w:t>
      </w:r>
      <w:r>
        <w:rPr>
          <w:rStyle w:val="30"/>
          <w:rFonts w:hint="eastAsia" w:ascii="Calibri" w:hAnsi="Calibri" w:eastAsia="宋体" w:cs="Times New Roman"/>
          <w:color w:val="auto"/>
          <w:highlight w:val="white"/>
        </w:rPr>
        <w:t>资金来源证明及支付担保</w:t>
      </w:r>
    </w:p>
    <w:p w14:paraId="3C5D465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除专用合同条款另有约定外，发包人应在收到承包人要求提供资金来源证明的书面通知后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天内，向承包人提供能够按照合同约定支付合同价款的相应资金来源证明。</w:t>
      </w:r>
    </w:p>
    <w:p w14:paraId="12E91DE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除专用合同条款另有约定外，发包人要求承包人提供履约担保的，发包人应当向承包人提供支付担保。支付担保可以采用银行保函或担保公司担保等形式，具体由合同当事人在专用合同条款中约定。</w:t>
      </w:r>
    </w:p>
    <w:p w14:paraId="319193D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2.6 </w:t>
      </w:r>
      <w:r>
        <w:rPr>
          <w:rStyle w:val="30"/>
          <w:rFonts w:hint="eastAsia" w:ascii="Calibri" w:hAnsi="Calibri" w:eastAsia="宋体" w:cs="Times New Roman"/>
          <w:color w:val="auto"/>
          <w:highlight w:val="white"/>
        </w:rPr>
        <w:t>支付合同价款</w:t>
      </w:r>
    </w:p>
    <w:p w14:paraId="4F73A3F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发包人应按合同约定向承包人及时支付合同价款。</w:t>
      </w:r>
    </w:p>
    <w:p w14:paraId="5B8AE20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2.7 </w:t>
      </w:r>
      <w:r>
        <w:rPr>
          <w:rStyle w:val="30"/>
          <w:rFonts w:hint="eastAsia" w:ascii="Calibri" w:hAnsi="Calibri" w:eastAsia="宋体" w:cs="Times New Roman"/>
          <w:color w:val="auto"/>
          <w:highlight w:val="white"/>
        </w:rPr>
        <w:t>组织竣工验收</w:t>
      </w:r>
    </w:p>
    <w:p w14:paraId="31099E0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发包人应按合同约定及时组织竣工验收。</w:t>
      </w:r>
    </w:p>
    <w:p w14:paraId="0493C6C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2.8 </w:t>
      </w:r>
      <w:r>
        <w:rPr>
          <w:rStyle w:val="30"/>
          <w:rFonts w:hint="eastAsia" w:ascii="Calibri" w:hAnsi="Calibri" w:eastAsia="宋体" w:cs="Times New Roman"/>
          <w:color w:val="auto"/>
          <w:highlight w:val="white"/>
        </w:rPr>
        <w:t>现场统一管理协议</w:t>
      </w:r>
    </w:p>
    <w:p w14:paraId="489A761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发包人应与承包人、由发包人直接发包的专业工程的承包人签订施工现场统一管理协议，明确各方的权利义务。施工现场统一管理协议作为专用合同条款的附件。</w:t>
      </w:r>
    </w:p>
    <w:p w14:paraId="3F9D3F9A">
      <w:pPr>
        <w:pStyle w:val="108"/>
        <w:numPr>
          <w:ilvl w:val="0"/>
          <w:numId w:val="0"/>
        </w:numPr>
        <w:rPr>
          <w:rStyle w:val="30"/>
          <w:rFonts w:eastAsia="宋体" w:cs="Times New Roman"/>
          <w:color w:val="auto"/>
        </w:rPr>
      </w:pPr>
      <w:r>
        <w:rPr>
          <w:rStyle w:val="30"/>
          <w:rFonts w:eastAsia="宋体" w:cs="Times New Roman"/>
          <w:color w:val="auto"/>
          <w:highlight w:val="white"/>
        </w:rPr>
        <w:t xml:space="preserve">3. </w:t>
      </w:r>
      <w:r>
        <w:rPr>
          <w:rStyle w:val="30"/>
          <w:rFonts w:hint="eastAsia" w:eastAsia="宋体" w:cs="Times New Roman"/>
          <w:color w:val="auto"/>
          <w:highlight w:val="white"/>
        </w:rPr>
        <w:t>承包人</w:t>
      </w:r>
    </w:p>
    <w:p w14:paraId="3E7D861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3.1 </w:t>
      </w:r>
      <w:r>
        <w:rPr>
          <w:rStyle w:val="30"/>
          <w:rFonts w:hint="eastAsia" w:ascii="Calibri" w:hAnsi="Calibri" w:eastAsia="宋体" w:cs="Times New Roman"/>
          <w:color w:val="auto"/>
          <w:highlight w:val="white"/>
        </w:rPr>
        <w:t>承包人的一般义务</w:t>
      </w:r>
    </w:p>
    <w:p w14:paraId="2A21689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承包人在履行合同过程中应遵守法律和工程建设标准规范，并履行以下义务：</w:t>
      </w:r>
    </w:p>
    <w:p w14:paraId="371E671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）办理法律规定应由承包人办理的许可和批准，并将办理结果书面报送发包人留存；</w:t>
      </w:r>
    </w:p>
    <w:p w14:paraId="74B3914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）按法律规定和合同约定完成工程，并在保修期内承担保修义务；</w:t>
      </w:r>
    </w:p>
    <w:p w14:paraId="6BD64E1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）按法律规定和合同约定采取施工安全和环境保护措施，办理工伤保险，确保工程及人员、材料、设备和设施的安全；</w:t>
      </w:r>
    </w:p>
    <w:p w14:paraId="059809B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）按合同约定的工作内容和施工进度要求，编制施工组织设计和施工措施计划，并对所有施工作业和施工方法的完备性和安全可靠性负责；</w:t>
      </w:r>
    </w:p>
    <w:p w14:paraId="78DBA19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4B017FB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）按照第</w:t>
      </w:r>
      <w:r>
        <w:rPr>
          <w:rStyle w:val="30"/>
          <w:rFonts w:ascii="Calibri" w:hAnsi="Calibri" w:eastAsia="宋体" w:cs="Times New Roman"/>
          <w:color w:val="auto"/>
          <w:highlight w:val="white"/>
        </w:rPr>
        <w:t>6.3</w:t>
      </w:r>
      <w:r>
        <w:rPr>
          <w:rStyle w:val="30"/>
          <w:rFonts w:hint="eastAsia" w:ascii="Calibri" w:hAnsi="Calibri" w:eastAsia="宋体" w:cs="Times New Roman"/>
          <w:color w:val="auto"/>
          <w:highlight w:val="white"/>
        </w:rPr>
        <w:t>款〔环境保护〕约定负责施工场地及其周边环境与生态的保护工作；</w:t>
      </w:r>
    </w:p>
    <w:p w14:paraId="012C23D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）按第</w:t>
      </w:r>
      <w:r>
        <w:rPr>
          <w:rStyle w:val="30"/>
          <w:rFonts w:ascii="Calibri" w:hAnsi="Calibri" w:eastAsia="宋体" w:cs="Times New Roman"/>
          <w:color w:val="auto"/>
          <w:highlight w:val="white"/>
        </w:rPr>
        <w:t>6.1</w:t>
      </w:r>
      <w:r>
        <w:rPr>
          <w:rStyle w:val="30"/>
          <w:rFonts w:hint="eastAsia" w:ascii="Calibri" w:hAnsi="Calibri" w:eastAsia="宋体" w:cs="Times New Roman"/>
          <w:color w:val="auto"/>
          <w:highlight w:val="white"/>
        </w:rPr>
        <w:t>款〔安全文明施工〕约定采取施工安全措施，确保工程及其人员、材料、设备和设施的安全，防止因工程施工造成的人身伤害和财产损失；</w:t>
      </w:r>
    </w:p>
    <w:p w14:paraId="3FA1BFB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8</w:t>
      </w:r>
      <w:r>
        <w:rPr>
          <w:rStyle w:val="30"/>
          <w:rFonts w:hint="eastAsia" w:ascii="Calibri" w:hAnsi="Calibri" w:eastAsia="宋体" w:cs="Times New Roman"/>
          <w:color w:val="auto"/>
          <w:highlight w:val="white"/>
        </w:rPr>
        <w:t>）将发包人按合同约定支付的各项价款专用于合同工程，且应及时支付其雇用人员工资，并及时向分包人支付合同价款；</w:t>
      </w:r>
    </w:p>
    <w:p w14:paraId="06578D4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9</w:t>
      </w:r>
      <w:r>
        <w:rPr>
          <w:rStyle w:val="30"/>
          <w:rFonts w:hint="eastAsia" w:ascii="Calibri" w:hAnsi="Calibri" w:eastAsia="宋体" w:cs="Times New Roman"/>
          <w:color w:val="auto"/>
          <w:highlight w:val="white"/>
        </w:rPr>
        <w:t>）按照法律规定和合同约定编制竣工资料，完成竣工资料立卷及归档，并按专用合同条款约定的竣工资料的套数、内容、时间等要求移交发包人；</w:t>
      </w:r>
    </w:p>
    <w:p w14:paraId="3B57412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10</w:t>
      </w:r>
      <w:r>
        <w:rPr>
          <w:rStyle w:val="30"/>
          <w:rFonts w:hint="eastAsia" w:ascii="Calibri" w:hAnsi="Calibri" w:eastAsia="宋体" w:cs="Times New Roman"/>
          <w:color w:val="auto"/>
          <w:highlight w:val="white"/>
        </w:rPr>
        <w:t>）应履行的其他义务。</w:t>
      </w:r>
    </w:p>
    <w:p w14:paraId="7F212A2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3.2 </w:t>
      </w:r>
      <w:r>
        <w:rPr>
          <w:rStyle w:val="30"/>
          <w:rFonts w:hint="eastAsia" w:ascii="Calibri" w:hAnsi="Calibri" w:eastAsia="宋体" w:cs="Times New Roman"/>
          <w:color w:val="auto"/>
          <w:highlight w:val="white"/>
        </w:rPr>
        <w:t>项目经理</w:t>
      </w:r>
    </w:p>
    <w:p w14:paraId="3E0CC15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3.2.1 </w:t>
      </w:r>
      <w:r>
        <w:rPr>
          <w:rStyle w:val="30"/>
          <w:rFonts w:hint="eastAsia" w:ascii="Calibri" w:hAnsi="Calibri" w:eastAsia="宋体" w:cs="Times New Roman"/>
          <w:color w:val="auto"/>
          <w:highlight w:val="white"/>
        </w:rPr>
        <w:t>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7BD7B09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3BCE374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承包人违反上述约定的，应按照专用合同条款的约定，承担违约责任。</w:t>
      </w:r>
    </w:p>
    <w:p w14:paraId="2B30BD4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3.2.2 </w:t>
      </w:r>
      <w:r>
        <w:rPr>
          <w:rStyle w:val="30"/>
          <w:rFonts w:hint="eastAsia" w:ascii="Calibri" w:hAnsi="Calibri" w:eastAsia="宋体" w:cs="Times New Roman"/>
          <w:color w:val="auto"/>
          <w:highlight w:val="white"/>
        </w:rPr>
        <w:t>项目经理按合同约定组织工程实施。在紧急情况下为确保施工安全和人员安全，在无法与发包人代表和总监理工程师及时取得联系时，项目经理有权采取必要的措施保证与工程有关的人身、财产和工程的安全，但应在</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小时内向发包人代表和总监理工程师提交书面报告。</w:t>
      </w:r>
    </w:p>
    <w:p w14:paraId="66E0D54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3.2.3 </w:t>
      </w:r>
      <w:r>
        <w:rPr>
          <w:rStyle w:val="30"/>
          <w:rFonts w:hint="eastAsia" w:ascii="Calibri" w:hAnsi="Calibri" w:eastAsia="宋体" w:cs="Times New Roman"/>
          <w:color w:val="auto"/>
          <w:highlight w:val="white"/>
        </w:rPr>
        <w:t>承包人需要更换项目经理的，应提前</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天书面通知发包人和监理人，并征得发包人书面同意。通知中应当载明继任项目经理的注册执业资格、管理经验等资料，继任项目经理继续履行第</w:t>
      </w:r>
      <w:r>
        <w:rPr>
          <w:rStyle w:val="30"/>
          <w:rFonts w:ascii="Calibri" w:hAnsi="Calibri" w:eastAsia="宋体" w:cs="Times New Roman"/>
          <w:color w:val="auto"/>
          <w:highlight w:val="white"/>
        </w:rPr>
        <w:t>3.2.1</w:t>
      </w:r>
      <w:r>
        <w:rPr>
          <w:rStyle w:val="30"/>
          <w:rFonts w:hint="eastAsia" w:ascii="Calibri" w:hAnsi="Calibri" w:eastAsia="宋体" w:cs="Times New Roman"/>
          <w:color w:val="auto"/>
          <w:highlight w:val="white"/>
        </w:rPr>
        <w:t>项约定的职责。未经发包人书面同意，承包人不得擅自更换项目经理。承包人擅自更换项目经理的，应按照专用合同条款的约定承担违约责任。</w:t>
      </w:r>
    </w:p>
    <w:p w14:paraId="7152EE6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3.2.4 </w:t>
      </w:r>
      <w:r>
        <w:rPr>
          <w:rStyle w:val="30"/>
          <w:rFonts w:hint="eastAsia" w:ascii="Calibri" w:hAnsi="Calibri" w:eastAsia="宋体" w:cs="Times New Roman"/>
          <w:color w:val="auto"/>
          <w:highlight w:val="white"/>
        </w:rPr>
        <w:t>发包人有权书面通知承包人更换其认为不称职的项目经理，通知中应当载明要求更换的理由。承包人应在接到更换通知后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天内向发包人提出书面的改进报告。发包人收到改进报告后仍要求更换的，承包人应在接到第二次更换通知的</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天内进行更换，并将新任命的项目经理的注册执业资格、管理经验等资料书面通知发包人。继任项目经理继续履行第</w:t>
      </w:r>
      <w:r>
        <w:rPr>
          <w:rStyle w:val="30"/>
          <w:rFonts w:ascii="Calibri" w:hAnsi="Calibri" w:eastAsia="宋体" w:cs="Times New Roman"/>
          <w:color w:val="auto"/>
          <w:highlight w:val="white"/>
        </w:rPr>
        <w:t>3.2.1</w:t>
      </w:r>
      <w:r>
        <w:rPr>
          <w:rStyle w:val="30"/>
          <w:rFonts w:hint="eastAsia" w:ascii="Calibri" w:hAnsi="Calibri" w:eastAsia="宋体" w:cs="Times New Roman"/>
          <w:color w:val="auto"/>
          <w:highlight w:val="white"/>
        </w:rPr>
        <w:t>项约定的职责。承包人无正当理由拒绝更换项目经理的，应按照专用合同条款的约定承担违约责任。</w:t>
      </w:r>
    </w:p>
    <w:p w14:paraId="4353BA6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3.2.5 </w:t>
      </w:r>
      <w:r>
        <w:rPr>
          <w:rStyle w:val="30"/>
          <w:rFonts w:hint="eastAsia" w:ascii="Calibri" w:hAnsi="Calibri" w:eastAsia="宋体" w:cs="Times New Roman"/>
          <w:color w:val="auto"/>
          <w:highlight w:val="white"/>
        </w:rPr>
        <w:t>项目经理因特殊情况授权其下属人员履行其某项工作职责的，该下属人员应具备履行相应职责的能力，并应提前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天将上述人员的姓名和授权范围书面通知监理人，并征得发包人书面同意。</w:t>
      </w:r>
    </w:p>
    <w:p w14:paraId="7D498F7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3.3 </w:t>
      </w:r>
      <w:r>
        <w:rPr>
          <w:rStyle w:val="30"/>
          <w:rFonts w:hint="eastAsia" w:ascii="Calibri" w:hAnsi="Calibri" w:eastAsia="宋体" w:cs="Times New Roman"/>
          <w:color w:val="auto"/>
          <w:highlight w:val="white"/>
        </w:rPr>
        <w:t>承包人人员</w:t>
      </w:r>
    </w:p>
    <w:p w14:paraId="1E7F006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3.3.1 </w:t>
      </w:r>
      <w:r>
        <w:rPr>
          <w:rStyle w:val="30"/>
          <w:rFonts w:hint="eastAsia" w:ascii="Calibri" w:hAnsi="Calibri" w:eastAsia="宋体" w:cs="Times New Roman"/>
          <w:color w:val="auto"/>
          <w:highlight w:val="white"/>
        </w:rPr>
        <w:t>除专用合同条款另有约定外，承包人应在接到开工通知后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75A7B2E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3.3.2 </w:t>
      </w:r>
      <w:r>
        <w:rPr>
          <w:rStyle w:val="30"/>
          <w:rFonts w:hint="eastAsia" w:ascii="Calibri" w:hAnsi="Calibri" w:eastAsia="宋体" w:cs="Times New Roman"/>
          <w:color w:val="auto"/>
          <w:highlight w:val="white"/>
        </w:rPr>
        <w:t>承包人派驻到施工现场的主要施工管理人员应相对稳定。施工过程中如有变动，承包人应及时向监理人提交施工现场人员变动情况的报告。承包人更换主要施工管理人员时，应提前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天书面通知监理人，并征得发包人书面同意。通知中应当载明继任人员的注册执业资格、管理经验等资料。</w:t>
      </w:r>
    </w:p>
    <w:p w14:paraId="3E026A1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特殊工种作业人员均应持有相应的资格证明，监理人可以随时检查。</w:t>
      </w:r>
    </w:p>
    <w:p w14:paraId="11137B9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3.3.3 </w:t>
      </w:r>
      <w:r>
        <w:rPr>
          <w:rStyle w:val="30"/>
          <w:rFonts w:hint="eastAsia" w:ascii="Calibri" w:hAnsi="Calibri" w:eastAsia="宋体" w:cs="Times New Roman"/>
          <w:color w:val="auto"/>
          <w:highlight w:val="white"/>
        </w:rPr>
        <w:t>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35B6ED4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3.3.4 </w:t>
      </w:r>
      <w:r>
        <w:rPr>
          <w:rStyle w:val="30"/>
          <w:rFonts w:hint="eastAsia" w:ascii="Calibri" w:hAnsi="Calibri" w:eastAsia="宋体" w:cs="Times New Roman"/>
          <w:color w:val="auto"/>
          <w:highlight w:val="white"/>
        </w:rPr>
        <w:t>除专用合同条款另有约定外，承包人的主要施工管理人员离开施工现场每月累计不超过</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天的，应报监理人同意；离开施工现场每月累计超过</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天的，应通知监理人，并征得发包人书面同意。主要施工管理人员离开施工现场前应指定一名有经验的人员临时代行其职责，该人员应具备履行相应职责的资格和能力，且应征得监理人或发包人的同意。</w:t>
      </w:r>
    </w:p>
    <w:p w14:paraId="1718DAB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3.3.5 </w:t>
      </w:r>
      <w:r>
        <w:rPr>
          <w:rStyle w:val="30"/>
          <w:rFonts w:hint="eastAsia" w:ascii="Calibri" w:hAnsi="Calibri" w:eastAsia="宋体" w:cs="Times New Roman"/>
          <w:color w:val="auto"/>
          <w:highlight w:val="white"/>
        </w:rPr>
        <w:t>承包人擅自更换主要施工管理人员，或前述人员未经监理人或发包人同意擅自离开施工现场的，应按照专用合同条款约定承担违约责任。</w:t>
      </w:r>
    </w:p>
    <w:p w14:paraId="036E457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3.4 </w:t>
      </w:r>
      <w:r>
        <w:rPr>
          <w:rStyle w:val="30"/>
          <w:rFonts w:hint="eastAsia" w:ascii="Calibri" w:hAnsi="Calibri" w:eastAsia="宋体" w:cs="Times New Roman"/>
          <w:color w:val="auto"/>
          <w:highlight w:val="white"/>
        </w:rPr>
        <w:t>承包人现场查勘</w:t>
      </w:r>
    </w:p>
    <w:p w14:paraId="31A6E97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承包人应对基于发包人按照第</w:t>
      </w:r>
      <w:r>
        <w:rPr>
          <w:rStyle w:val="30"/>
          <w:rFonts w:ascii="Calibri" w:hAnsi="Calibri" w:eastAsia="宋体" w:cs="Times New Roman"/>
          <w:color w:val="auto"/>
          <w:highlight w:val="white"/>
        </w:rPr>
        <w:t>2.4.3</w:t>
      </w:r>
      <w:r>
        <w:rPr>
          <w:rStyle w:val="30"/>
          <w:rFonts w:hint="eastAsia" w:ascii="Calibri" w:hAnsi="Calibri" w:eastAsia="宋体" w:cs="Times New Roman"/>
          <w:color w:val="auto"/>
          <w:highlight w:val="white"/>
        </w:rPr>
        <w:t>项〔提供基础资料〕提交的基础资料所做出的解释和推断负责，但因基础资料存在错误、遗漏导致承包人解释或推断失实的，由发包人承担责任。</w:t>
      </w:r>
    </w:p>
    <w:p w14:paraId="7C56F22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3970E5B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3.5 </w:t>
      </w:r>
      <w:r>
        <w:rPr>
          <w:rStyle w:val="30"/>
          <w:rFonts w:hint="eastAsia" w:ascii="Calibri" w:hAnsi="Calibri" w:eastAsia="宋体" w:cs="Times New Roman"/>
          <w:color w:val="auto"/>
          <w:highlight w:val="white"/>
        </w:rPr>
        <w:t>分包</w:t>
      </w:r>
    </w:p>
    <w:p w14:paraId="61E00EA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3.5.1 </w:t>
      </w:r>
      <w:r>
        <w:rPr>
          <w:rStyle w:val="30"/>
          <w:rFonts w:hint="eastAsia" w:ascii="Calibri" w:hAnsi="Calibri" w:eastAsia="宋体" w:cs="Times New Roman"/>
          <w:color w:val="auto"/>
          <w:highlight w:val="white"/>
        </w:rPr>
        <w:t>分包的一般约定</w:t>
      </w:r>
    </w:p>
    <w:p w14:paraId="492DDEE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682A17B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承包人不得以劳务分包的名义转包或违法分包工程。</w:t>
      </w:r>
    </w:p>
    <w:p w14:paraId="7218E00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3.5.2 </w:t>
      </w:r>
      <w:r>
        <w:rPr>
          <w:rStyle w:val="30"/>
          <w:rFonts w:hint="eastAsia" w:ascii="Calibri" w:hAnsi="Calibri" w:eastAsia="宋体" w:cs="Times New Roman"/>
          <w:color w:val="auto"/>
          <w:highlight w:val="white"/>
        </w:rPr>
        <w:t>分包的确定</w:t>
      </w:r>
    </w:p>
    <w:p w14:paraId="22CEAE0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承包人应按专用合同条款的约定进行分包，确定分包人。已标价工程量清单或预算书中给定暂估价的专业工程，按照第</w:t>
      </w:r>
      <w:r>
        <w:rPr>
          <w:rStyle w:val="30"/>
          <w:rFonts w:ascii="Calibri" w:hAnsi="Calibri" w:eastAsia="宋体" w:cs="Times New Roman"/>
          <w:color w:val="auto"/>
          <w:highlight w:val="white"/>
        </w:rPr>
        <w:t>10.7</w:t>
      </w:r>
      <w:r>
        <w:rPr>
          <w:rStyle w:val="30"/>
          <w:rFonts w:hint="eastAsia" w:ascii="Calibri" w:hAnsi="Calibri" w:eastAsia="宋体" w:cs="Times New Roman"/>
          <w:color w:val="auto"/>
          <w:highlight w:val="white"/>
        </w:rPr>
        <w:t>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天内向发包人和监理人提交分包合同副本。</w:t>
      </w:r>
    </w:p>
    <w:p w14:paraId="746AD67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3.5.3 </w:t>
      </w:r>
      <w:r>
        <w:rPr>
          <w:rStyle w:val="30"/>
          <w:rFonts w:hint="eastAsia" w:ascii="Calibri" w:hAnsi="Calibri" w:eastAsia="宋体" w:cs="Times New Roman"/>
          <w:color w:val="auto"/>
          <w:highlight w:val="white"/>
        </w:rPr>
        <w:t>分包管理</w:t>
      </w:r>
    </w:p>
    <w:p w14:paraId="69232F8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承包人应向监理人提交分包人的主要施工管理人员表，并对分包人的施工人员进行实名制管理，包括但不限于进出场管理、登记造册以及各种证照的办理。</w:t>
      </w:r>
    </w:p>
    <w:p w14:paraId="000DAA8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3.5.4 </w:t>
      </w:r>
      <w:r>
        <w:rPr>
          <w:rStyle w:val="30"/>
          <w:rFonts w:hint="eastAsia" w:ascii="Calibri" w:hAnsi="Calibri" w:eastAsia="宋体" w:cs="Times New Roman"/>
          <w:color w:val="auto"/>
          <w:highlight w:val="white"/>
        </w:rPr>
        <w:t>分包合同价款</w:t>
      </w:r>
    </w:p>
    <w:p w14:paraId="716A493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）除本项第（</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）目约定的情况或专用合同条款另有约定外，分包合同价款由承包人与分包人结算，未经承包人同意，发包人不得向分包人支付分包工程价款；</w:t>
      </w:r>
    </w:p>
    <w:p w14:paraId="65013E7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）生效法律文书要求发包人向分包人支付分包合同价款的，发包人有权从应付承包人工程款中扣除该部分款项。</w:t>
      </w:r>
    </w:p>
    <w:p w14:paraId="5BBC54A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3.5.5 </w:t>
      </w:r>
      <w:r>
        <w:rPr>
          <w:rStyle w:val="30"/>
          <w:rFonts w:hint="eastAsia" w:ascii="Calibri" w:hAnsi="Calibri" w:eastAsia="宋体" w:cs="Times New Roman"/>
          <w:color w:val="auto"/>
          <w:highlight w:val="white"/>
        </w:rPr>
        <w:t>分包合同权益的转让</w:t>
      </w:r>
    </w:p>
    <w:p w14:paraId="2C466F8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p>
    <w:p w14:paraId="163501F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3.6 </w:t>
      </w:r>
      <w:r>
        <w:rPr>
          <w:rStyle w:val="30"/>
          <w:rFonts w:hint="eastAsia" w:ascii="Calibri" w:hAnsi="Calibri" w:eastAsia="宋体" w:cs="Times New Roman"/>
          <w:color w:val="auto"/>
          <w:highlight w:val="white"/>
        </w:rPr>
        <w:t>工程照管与成品、半成品保护</w:t>
      </w:r>
    </w:p>
    <w:p w14:paraId="38CFDF8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）除专用合同条款另有约定外，自发包人向承包人移交施工现场之日起，承包人应负责照管工程及工程相关的材料、工程设备，直到颁发工程接收证书之日止。</w:t>
      </w:r>
    </w:p>
    <w:p w14:paraId="5D5CAC5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）在承包人负责照管期间，因承包人原因造成工程、材料、工程设备损坏的，由承包人负责修复或更换，并承担由此增加的费用和（或）延误的工期。</w:t>
      </w:r>
    </w:p>
    <w:p w14:paraId="5DA0572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）对合同内分期完成的成品和半成品，在工程接收证书颁发前，由承包人承担保护责任。因承包人原因造成成品或半成品损坏的，由承包人负责修复或更换，并承担由此增加的费用和（或）延误的工期。</w:t>
      </w:r>
    </w:p>
    <w:p w14:paraId="06A155A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3.7 </w:t>
      </w:r>
      <w:r>
        <w:rPr>
          <w:rStyle w:val="30"/>
          <w:rFonts w:hint="eastAsia" w:ascii="Calibri" w:hAnsi="Calibri" w:eastAsia="宋体" w:cs="Times New Roman"/>
          <w:color w:val="auto"/>
          <w:highlight w:val="white"/>
        </w:rPr>
        <w:t>履约担保</w:t>
      </w:r>
    </w:p>
    <w:p w14:paraId="37DDF3A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发包人需要承包人提供履约担保的，由合同当事人在专用合同条款中约定履约担保的方式、金额及期限等。履约担保可以采用银行保函或担保公司担保等形式，具体由合同当事人在专用合同条款中约定。</w:t>
      </w:r>
    </w:p>
    <w:p w14:paraId="5C0EFA6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因承包人原因导致工期延长的，继续提供履约担保所增加的费用由承包人承担；非因承包人原因导致工期延长的，继续提供履约担保所增加的费用由发包人承担。</w:t>
      </w:r>
    </w:p>
    <w:p w14:paraId="661C2A8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3.8 </w:t>
      </w:r>
      <w:r>
        <w:rPr>
          <w:rStyle w:val="30"/>
          <w:rFonts w:hint="eastAsia" w:ascii="Calibri" w:hAnsi="Calibri" w:eastAsia="宋体" w:cs="Times New Roman"/>
          <w:color w:val="auto"/>
          <w:highlight w:val="white"/>
        </w:rPr>
        <w:t>联合体</w:t>
      </w:r>
    </w:p>
    <w:p w14:paraId="4BF20E9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3.8.1 </w:t>
      </w:r>
      <w:r>
        <w:rPr>
          <w:rStyle w:val="30"/>
          <w:rFonts w:hint="eastAsia" w:ascii="Calibri" w:hAnsi="Calibri" w:eastAsia="宋体" w:cs="Times New Roman"/>
          <w:color w:val="auto"/>
          <w:highlight w:val="white"/>
        </w:rPr>
        <w:t>联合体各方应共同与发包人签订合同协议书。联合体各方应为履行合同向发包人承担连带责任。</w:t>
      </w:r>
    </w:p>
    <w:p w14:paraId="22EBC70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3.8.2 </w:t>
      </w:r>
      <w:r>
        <w:rPr>
          <w:rStyle w:val="30"/>
          <w:rFonts w:hint="eastAsia" w:ascii="Calibri" w:hAnsi="Calibri" w:eastAsia="宋体" w:cs="Times New Roman"/>
          <w:color w:val="auto"/>
          <w:highlight w:val="white"/>
        </w:rPr>
        <w:t>联合体协议经发包人确认后作为合同附件。在履行合同过程中，未经发包人同意，不得修改联合体协议。</w:t>
      </w:r>
    </w:p>
    <w:p w14:paraId="1B7D285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3.8.3 </w:t>
      </w:r>
      <w:r>
        <w:rPr>
          <w:rStyle w:val="30"/>
          <w:rFonts w:hint="eastAsia" w:ascii="Calibri" w:hAnsi="Calibri" w:eastAsia="宋体" w:cs="Times New Roman"/>
          <w:color w:val="auto"/>
          <w:highlight w:val="white"/>
        </w:rPr>
        <w:t>联合体牵头人负责与发包人和监理人联系，并接受指示，负责组织联合体各成员全面履行合同。</w:t>
      </w:r>
    </w:p>
    <w:p w14:paraId="3206B7F2">
      <w:pPr>
        <w:pStyle w:val="108"/>
        <w:numPr>
          <w:ilvl w:val="0"/>
          <w:numId w:val="0"/>
        </w:numPr>
        <w:rPr>
          <w:rStyle w:val="30"/>
          <w:rFonts w:eastAsia="宋体" w:cs="Times New Roman"/>
          <w:color w:val="auto"/>
        </w:rPr>
      </w:pPr>
      <w:r>
        <w:rPr>
          <w:rStyle w:val="30"/>
          <w:rFonts w:eastAsia="宋体" w:cs="Times New Roman"/>
          <w:color w:val="auto"/>
          <w:highlight w:val="white"/>
        </w:rPr>
        <w:t xml:space="preserve">4. </w:t>
      </w:r>
      <w:r>
        <w:rPr>
          <w:rStyle w:val="30"/>
          <w:rFonts w:hint="eastAsia" w:eastAsia="宋体" w:cs="Times New Roman"/>
          <w:color w:val="auto"/>
          <w:highlight w:val="white"/>
        </w:rPr>
        <w:t>监理人</w:t>
      </w:r>
    </w:p>
    <w:p w14:paraId="77E46471">
      <w:pPr>
        <w:pStyle w:val="106"/>
        <w:rPr>
          <w:rStyle w:val="30"/>
          <w:rFonts w:ascii="Calibri" w:hAnsi="Calibri" w:eastAsia="宋体" w:cs="Times New Roman"/>
          <w:color w:val="auto"/>
        </w:rPr>
      </w:pPr>
      <w:r>
        <w:rPr>
          <w:rStyle w:val="30"/>
          <w:rFonts w:ascii="Calibri" w:hAnsi="Calibri" w:eastAsia="宋体" w:cs="Times New Roman"/>
          <w:color w:val="auto"/>
          <w:highlight w:val="white"/>
        </w:rPr>
        <w:t>4.1</w:t>
      </w:r>
      <w:r>
        <w:rPr>
          <w:rStyle w:val="30"/>
          <w:rFonts w:hint="eastAsia" w:ascii="Calibri" w:hAnsi="Calibri" w:eastAsia="宋体" w:cs="Times New Roman"/>
          <w:color w:val="auto"/>
          <w:highlight w:val="white"/>
        </w:rPr>
        <w:t>监理人的一般规定</w:t>
      </w:r>
    </w:p>
    <w:p w14:paraId="3D505BA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7F96D49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除专用合同条款另有约定外，监理人在施工现场的办公场所、生活场所由承包人提供，所发生的费用由发包人承担。</w:t>
      </w:r>
    </w:p>
    <w:p w14:paraId="4FDC3748">
      <w:pPr>
        <w:pStyle w:val="106"/>
        <w:rPr>
          <w:rStyle w:val="30"/>
          <w:rFonts w:ascii="Calibri" w:hAnsi="Calibri" w:eastAsia="宋体" w:cs="Times New Roman"/>
          <w:color w:val="auto"/>
        </w:rPr>
      </w:pPr>
      <w:r>
        <w:rPr>
          <w:rStyle w:val="30"/>
          <w:rFonts w:ascii="Calibri" w:hAnsi="Calibri" w:eastAsia="宋体" w:cs="Times New Roman"/>
          <w:color w:val="auto"/>
          <w:highlight w:val="white"/>
        </w:rPr>
        <w:t>4.2</w:t>
      </w:r>
      <w:r>
        <w:rPr>
          <w:rStyle w:val="30"/>
          <w:rFonts w:hint="eastAsia" w:ascii="Calibri" w:hAnsi="Calibri" w:eastAsia="宋体" w:cs="Times New Roman"/>
          <w:color w:val="auto"/>
          <w:highlight w:val="white"/>
        </w:rPr>
        <w:t>监理人员</w:t>
      </w:r>
    </w:p>
    <w:p w14:paraId="5A060EE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天书面通知承包人；更换其他监理人员，监理人应提前</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小时书面通知承包人。</w:t>
      </w:r>
    </w:p>
    <w:p w14:paraId="542C71D8">
      <w:pPr>
        <w:pStyle w:val="106"/>
        <w:rPr>
          <w:rStyle w:val="30"/>
          <w:rFonts w:ascii="Calibri" w:hAnsi="Calibri" w:eastAsia="宋体" w:cs="Times New Roman"/>
          <w:color w:val="auto"/>
        </w:rPr>
      </w:pPr>
      <w:r>
        <w:rPr>
          <w:rStyle w:val="30"/>
          <w:rFonts w:ascii="Calibri" w:hAnsi="Calibri" w:eastAsia="宋体" w:cs="Times New Roman"/>
          <w:color w:val="auto"/>
          <w:highlight w:val="white"/>
        </w:rPr>
        <w:t>4.3</w:t>
      </w:r>
      <w:r>
        <w:rPr>
          <w:rStyle w:val="30"/>
          <w:rFonts w:hint="eastAsia" w:ascii="Calibri" w:hAnsi="Calibri" w:eastAsia="宋体" w:cs="Times New Roman"/>
          <w:color w:val="auto"/>
          <w:highlight w:val="white"/>
        </w:rPr>
        <w:t>监理人的指示</w:t>
      </w:r>
    </w:p>
    <w:p w14:paraId="272C638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小时内补发书面监理指示，补发的书面监理指示应与口头指示一致。</w:t>
      </w:r>
    </w:p>
    <w:p w14:paraId="157DE70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款〔商定或确定〕约定应由总监理工程师作出确定的权力授权或委托给其他监理人员。</w:t>
      </w:r>
    </w:p>
    <w:p w14:paraId="19B8EDB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承包人对监理人发出的指示有疑问的，应向监理人提出书面异议，监理人应在</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小时内对该指示予以确认、更改或撤销，监理人逾期未回复的，承包人有权拒绝执行上述指示。</w:t>
      </w:r>
    </w:p>
    <w:p w14:paraId="005428E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监理人对承包人的任何工作、工程或其采用的材料和工程设备未在约定的或合理期限内提出意见的，视为批准，但不免除或减轻承包人对该工作、工程、材料、工程设备等应承担的责任和义务。</w:t>
      </w:r>
    </w:p>
    <w:p w14:paraId="5ABB838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4.4 </w:t>
      </w:r>
      <w:r>
        <w:rPr>
          <w:rStyle w:val="30"/>
          <w:rFonts w:hint="eastAsia" w:ascii="Calibri" w:hAnsi="Calibri" w:eastAsia="宋体" w:cs="Times New Roman"/>
          <w:color w:val="auto"/>
          <w:highlight w:val="white"/>
        </w:rPr>
        <w:t>商定或确定</w:t>
      </w:r>
    </w:p>
    <w:p w14:paraId="18085E3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合同当事人进行商定或确定时，总监理工程师应当会同合同当事人尽量通过协商达成一致，不能达成一致的，由总监理工程师按照合同约定审慎做出公正的确定。</w:t>
      </w:r>
    </w:p>
    <w:p w14:paraId="419155B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总监理工程师应将确定以书面形式通知发包人和承包人，并附详细依据。合同当事人对总监理工程师的确定没有异议的，按照总监理工程师的确定执行。任何一方合同当事人有异议，按照第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条〔争议解决〕约定处理。争议解决前，合同当事人暂按总监理工程师的确定执行；争议解决后，争议解决的结果与总监理工程师的确定不一致的，按照争议解决的结果执行，由此造成的损失由责任人承担。</w:t>
      </w:r>
    </w:p>
    <w:p w14:paraId="0CDA02C7">
      <w:pPr>
        <w:pStyle w:val="108"/>
        <w:numPr>
          <w:ilvl w:val="0"/>
          <w:numId w:val="0"/>
        </w:numPr>
        <w:rPr>
          <w:rStyle w:val="30"/>
          <w:rFonts w:eastAsia="宋体" w:cs="Times New Roman"/>
          <w:color w:val="auto"/>
        </w:rPr>
      </w:pPr>
      <w:r>
        <w:rPr>
          <w:rStyle w:val="30"/>
          <w:rFonts w:eastAsia="宋体" w:cs="Times New Roman"/>
          <w:color w:val="auto"/>
          <w:highlight w:val="white"/>
        </w:rPr>
        <w:t xml:space="preserve">5. </w:t>
      </w:r>
      <w:r>
        <w:rPr>
          <w:rStyle w:val="30"/>
          <w:rFonts w:hint="eastAsia" w:eastAsia="宋体" w:cs="Times New Roman"/>
          <w:color w:val="auto"/>
          <w:highlight w:val="white"/>
        </w:rPr>
        <w:t>工程质量</w:t>
      </w:r>
    </w:p>
    <w:p w14:paraId="201D8638">
      <w:pPr>
        <w:pStyle w:val="106"/>
        <w:rPr>
          <w:rStyle w:val="30"/>
          <w:rFonts w:ascii="Calibri" w:hAnsi="Calibri" w:eastAsia="宋体" w:cs="Times New Roman"/>
          <w:color w:val="auto"/>
        </w:rPr>
      </w:pPr>
      <w:r>
        <w:rPr>
          <w:rStyle w:val="30"/>
          <w:rFonts w:ascii="Calibri" w:hAnsi="Calibri" w:eastAsia="宋体" w:cs="Times New Roman"/>
          <w:color w:val="auto"/>
          <w:highlight w:val="white"/>
        </w:rPr>
        <w:t>5.1</w:t>
      </w:r>
      <w:r>
        <w:rPr>
          <w:rStyle w:val="30"/>
          <w:rFonts w:hint="eastAsia" w:ascii="Calibri" w:hAnsi="Calibri" w:eastAsia="宋体" w:cs="Times New Roman"/>
          <w:color w:val="auto"/>
          <w:highlight w:val="white"/>
        </w:rPr>
        <w:t>质量要求</w:t>
      </w:r>
    </w:p>
    <w:p w14:paraId="3456298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5.1.1 </w:t>
      </w:r>
      <w:r>
        <w:rPr>
          <w:rStyle w:val="30"/>
          <w:rFonts w:hint="eastAsia" w:ascii="Calibri" w:hAnsi="Calibri" w:eastAsia="宋体" w:cs="Times New Roman"/>
          <w:color w:val="auto"/>
          <w:highlight w:val="white"/>
        </w:rPr>
        <w:t>工程质量标准必须符合现行国家有关工程施工质量验收规范和标准的要求。有关工程质量的特殊标准或要求由合同当事人在专用合同条款中约定。</w:t>
      </w:r>
    </w:p>
    <w:p w14:paraId="0404754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5.1.2 </w:t>
      </w:r>
      <w:r>
        <w:rPr>
          <w:rStyle w:val="30"/>
          <w:rFonts w:hint="eastAsia" w:ascii="Calibri" w:hAnsi="Calibri" w:eastAsia="宋体" w:cs="Times New Roman"/>
          <w:color w:val="auto"/>
          <w:highlight w:val="white"/>
        </w:rPr>
        <w:t>因发包人原因造成工程质量未达到合同约定标准的，由发包人承担由此增加的费用和（或）延误的工期，并支付承包人合理的利润。</w:t>
      </w:r>
    </w:p>
    <w:p w14:paraId="5F1BA94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5.1.3 </w:t>
      </w:r>
      <w:r>
        <w:rPr>
          <w:rStyle w:val="30"/>
          <w:rFonts w:hint="eastAsia" w:ascii="Calibri" w:hAnsi="Calibri" w:eastAsia="宋体" w:cs="Times New Roman"/>
          <w:color w:val="auto"/>
          <w:highlight w:val="white"/>
        </w:rPr>
        <w:t>因承包人原因造成工程质量未达到合同约定标准的，发包人有权要求承包人返工直至工程质量达到合同约定的标准为止，并由承包人承担由此增加的费用和（或）延误的工期。</w:t>
      </w:r>
    </w:p>
    <w:p w14:paraId="4B6EC975">
      <w:pPr>
        <w:pStyle w:val="106"/>
        <w:rPr>
          <w:rStyle w:val="30"/>
          <w:rFonts w:ascii="Calibri" w:hAnsi="Calibri" w:eastAsia="宋体" w:cs="Times New Roman"/>
          <w:color w:val="auto"/>
        </w:rPr>
      </w:pPr>
      <w:r>
        <w:rPr>
          <w:rStyle w:val="30"/>
          <w:rFonts w:ascii="Calibri" w:hAnsi="Calibri" w:eastAsia="宋体" w:cs="Times New Roman"/>
          <w:color w:val="auto"/>
          <w:highlight w:val="white"/>
        </w:rPr>
        <w:t>5.2</w:t>
      </w:r>
      <w:r>
        <w:rPr>
          <w:rStyle w:val="30"/>
          <w:rFonts w:hint="eastAsia" w:ascii="Calibri" w:hAnsi="Calibri" w:eastAsia="宋体" w:cs="Times New Roman"/>
          <w:color w:val="auto"/>
          <w:highlight w:val="white"/>
        </w:rPr>
        <w:t>质量保证措施</w:t>
      </w:r>
    </w:p>
    <w:p w14:paraId="1249063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5.2.1 </w:t>
      </w:r>
      <w:r>
        <w:rPr>
          <w:rStyle w:val="30"/>
          <w:rFonts w:hint="eastAsia" w:ascii="Calibri" w:hAnsi="Calibri" w:eastAsia="宋体" w:cs="Times New Roman"/>
          <w:color w:val="auto"/>
          <w:highlight w:val="white"/>
        </w:rPr>
        <w:t>发包人的质量管理</w:t>
      </w:r>
    </w:p>
    <w:p w14:paraId="3B3B853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发包人应按照法律规定及合同约定完成与工程质量有关的各项工作。</w:t>
      </w:r>
    </w:p>
    <w:p w14:paraId="4516CEB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5.2.2 </w:t>
      </w:r>
      <w:r>
        <w:rPr>
          <w:rStyle w:val="30"/>
          <w:rFonts w:hint="eastAsia" w:ascii="Calibri" w:hAnsi="Calibri" w:eastAsia="宋体" w:cs="Times New Roman"/>
          <w:color w:val="auto"/>
          <w:highlight w:val="white"/>
        </w:rPr>
        <w:t>承包人的质量管理</w:t>
      </w:r>
    </w:p>
    <w:p w14:paraId="7E428F9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承包人按照第</w:t>
      </w:r>
      <w:r>
        <w:rPr>
          <w:rStyle w:val="30"/>
          <w:rFonts w:ascii="Calibri" w:hAnsi="Calibri" w:eastAsia="宋体" w:cs="Times New Roman"/>
          <w:color w:val="auto"/>
          <w:highlight w:val="white"/>
        </w:rPr>
        <w:t>7.1</w:t>
      </w:r>
      <w:r>
        <w:rPr>
          <w:rStyle w:val="30"/>
          <w:rFonts w:hint="eastAsia" w:ascii="Calibri" w:hAnsi="Calibri" w:eastAsia="宋体" w:cs="Times New Roman"/>
          <w:color w:val="auto"/>
          <w:highlight w:val="white"/>
        </w:rPr>
        <w:t>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40E21DD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承包人应对施工人员进行质量教育和技术培训，定期考核施工人员的劳动技能，严格执行施工规范和操作规程。</w:t>
      </w:r>
    </w:p>
    <w:p w14:paraId="1348DF2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36CB704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5.2.3 </w:t>
      </w:r>
      <w:r>
        <w:rPr>
          <w:rStyle w:val="30"/>
          <w:rFonts w:hint="eastAsia" w:ascii="Calibri" w:hAnsi="Calibri" w:eastAsia="宋体" w:cs="Times New Roman"/>
          <w:color w:val="auto"/>
          <w:highlight w:val="white"/>
        </w:rPr>
        <w:t>监理人的质量检查和检验</w:t>
      </w:r>
    </w:p>
    <w:p w14:paraId="076B817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50BFA8E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0E29B51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5.3 </w:t>
      </w:r>
      <w:r>
        <w:rPr>
          <w:rStyle w:val="30"/>
          <w:rFonts w:hint="eastAsia" w:ascii="Calibri" w:hAnsi="Calibri" w:eastAsia="宋体" w:cs="Times New Roman"/>
          <w:color w:val="auto"/>
          <w:highlight w:val="white"/>
        </w:rPr>
        <w:t>隐蔽工程检查</w:t>
      </w:r>
    </w:p>
    <w:p w14:paraId="5F2BE9D1">
      <w:pPr>
        <w:pStyle w:val="106"/>
        <w:rPr>
          <w:rStyle w:val="30"/>
          <w:rFonts w:ascii="Calibri" w:hAnsi="Calibri" w:eastAsia="宋体" w:cs="Times New Roman"/>
          <w:color w:val="auto"/>
        </w:rPr>
      </w:pPr>
      <w:r>
        <w:rPr>
          <w:rStyle w:val="30"/>
          <w:rFonts w:ascii="Calibri" w:hAnsi="Calibri" w:eastAsia="宋体" w:cs="Times New Roman"/>
          <w:color w:val="auto"/>
          <w:highlight w:val="white"/>
        </w:rPr>
        <w:t>5.3.1</w:t>
      </w:r>
      <w:r>
        <w:rPr>
          <w:rStyle w:val="30"/>
          <w:rFonts w:hint="eastAsia" w:ascii="Calibri" w:hAnsi="Calibri" w:eastAsia="宋体" w:cs="Times New Roman"/>
          <w:color w:val="auto"/>
          <w:highlight w:val="white"/>
        </w:rPr>
        <w:t>承包人自检</w:t>
      </w:r>
    </w:p>
    <w:p w14:paraId="5814D0A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承包人应当对工程隐蔽部位进行自检，并经自检确认是否具备覆盖条件。</w:t>
      </w:r>
    </w:p>
    <w:p w14:paraId="77A72E22">
      <w:pPr>
        <w:pStyle w:val="106"/>
        <w:rPr>
          <w:rStyle w:val="30"/>
          <w:rFonts w:ascii="Calibri" w:hAnsi="Calibri" w:eastAsia="宋体" w:cs="Times New Roman"/>
          <w:color w:val="auto"/>
        </w:rPr>
      </w:pPr>
      <w:r>
        <w:rPr>
          <w:rStyle w:val="30"/>
          <w:rFonts w:ascii="Calibri" w:hAnsi="Calibri" w:eastAsia="宋体" w:cs="Times New Roman"/>
          <w:color w:val="auto"/>
          <w:highlight w:val="white"/>
        </w:rPr>
        <w:t>5.3.2</w:t>
      </w:r>
      <w:r>
        <w:rPr>
          <w:rStyle w:val="30"/>
          <w:rFonts w:hint="eastAsia" w:ascii="Calibri" w:hAnsi="Calibri" w:eastAsia="宋体" w:cs="Times New Roman"/>
          <w:color w:val="auto"/>
          <w:highlight w:val="white"/>
        </w:rPr>
        <w:t>检查程序</w:t>
      </w:r>
    </w:p>
    <w:p w14:paraId="7B3C868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除专用合同条款另有约定外，工程隐蔽部位经承包人自检确认具备覆盖条件的，承包人应在共同检查前</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小时书面通知监理人检查，通知中应载明隐蔽检查的内容、时间和地点，并应附有自检记录和必要的检查资料。</w:t>
      </w:r>
    </w:p>
    <w:p w14:paraId="536971A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3CDFA62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除专用合同条款另有约定外，监理人不能按时进行检查的，应在检查前</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小时向承包人提交书面延期要求，但延期不能超过</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w:t>
      </w:r>
      <w:r>
        <w:rPr>
          <w:rStyle w:val="30"/>
          <w:rFonts w:ascii="Calibri" w:hAnsi="Calibri" w:eastAsia="宋体" w:cs="Times New Roman"/>
          <w:color w:val="auto"/>
          <w:highlight w:val="white"/>
        </w:rPr>
        <w:t>5.3.3</w:t>
      </w:r>
      <w:r>
        <w:rPr>
          <w:rStyle w:val="30"/>
          <w:rFonts w:hint="eastAsia" w:ascii="Calibri" w:hAnsi="Calibri" w:eastAsia="宋体" w:cs="Times New Roman"/>
          <w:color w:val="auto"/>
          <w:highlight w:val="white"/>
        </w:rPr>
        <w:t>项〔重新检查〕的约定重新检查。</w:t>
      </w:r>
    </w:p>
    <w:p w14:paraId="6D03F3D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5.3.3 </w:t>
      </w:r>
      <w:r>
        <w:rPr>
          <w:rStyle w:val="30"/>
          <w:rFonts w:hint="eastAsia" w:ascii="Calibri" w:hAnsi="Calibri" w:eastAsia="宋体" w:cs="Times New Roman"/>
          <w:color w:val="auto"/>
          <w:highlight w:val="white"/>
        </w:rPr>
        <w:t>重新检查</w:t>
      </w:r>
    </w:p>
    <w:p w14:paraId="243206E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478EE52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5.3.4 </w:t>
      </w:r>
      <w:r>
        <w:rPr>
          <w:rStyle w:val="30"/>
          <w:rFonts w:hint="eastAsia" w:ascii="Calibri" w:hAnsi="Calibri" w:eastAsia="宋体" w:cs="Times New Roman"/>
          <w:color w:val="auto"/>
          <w:highlight w:val="white"/>
        </w:rPr>
        <w:t>承包人私自覆盖</w:t>
      </w:r>
    </w:p>
    <w:p w14:paraId="2EBA6BE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承包人未通知监理人到场检查，私自将工程隐蔽部位覆盖的，监理人有权指示承包人钻孔探测或揭开检查，无论工程隐蔽部位质量是否合格，由此增加的费用和（或）延误的工期均由承包人承担。</w:t>
      </w:r>
    </w:p>
    <w:p w14:paraId="33359EC0">
      <w:pPr>
        <w:pStyle w:val="106"/>
        <w:rPr>
          <w:rStyle w:val="30"/>
          <w:rFonts w:ascii="Calibri" w:hAnsi="Calibri" w:eastAsia="宋体" w:cs="Times New Roman"/>
          <w:color w:val="auto"/>
        </w:rPr>
      </w:pPr>
      <w:r>
        <w:rPr>
          <w:rStyle w:val="30"/>
          <w:rFonts w:ascii="Calibri" w:hAnsi="Calibri" w:eastAsia="宋体" w:cs="Times New Roman"/>
          <w:color w:val="auto"/>
          <w:highlight w:val="white"/>
        </w:rPr>
        <w:t>5.4</w:t>
      </w:r>
      <w:r>
        <w:rPr>
          <w:rStyle w:val="30"/>
          <w:rFonts w:hint="eastAsia" w:ascii="Calibri" w:hAnsi="Calibri" w:eastAsia="宋体" w:cs="Times New Roman"/>
          <w:color w:val="auto"/>
          <w:highlight w:val="white"/>
        </w:rPr>
        <w:t>不合格工程的处理</w:t>
      </w:r>
    </w:p>
    <w:p w14:paraId="1F2DDDE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5.4.1 </w:t>
      </w:r>
      <w:r>
        <w:rPr>
          <w:rStyle w:val="30"/>
          <w:rFonts w:hint="eastAsia" w:ascii="Calibri" w:hAnsi="Calibri" w:eastAsia="宋体" w:cs="Times New Roman"/>
          <w:color w:val="auto"/>
          <w:highlight w:val="white"/>
        </w:rPr>
        <w:t>因承包人原因造成工程不合格的，发包人有权随时要求承包人采取补救措施，直至达到合同要求的质量标准，由此增加的费用和（或）延误的工期由承包人承担。无法补救的，按照第</w:t>
      </w:r>
      <w:r>
        <w:rPr>
          <w:rStyle w:val="30"/>
          <w:rFonts w:ascii="Calibri" w:hAnsi="Calibri" w:eastAsia="宋体" w:cs="Times New Roman"/>
          <w:color w:val="auto"/>
          <w:highlight w:val="white"/>
        </w:rPr>
        <w:t>13.2.4</w:t>
      </w:r>
      <w:r>
        <w:rPr>
          <w:rStyle w:val="30"/>
          <w:rFonts w:hint="eastAsia" w:ascii="Calibri" w:hAnsi="Calibri" w:eastAsia="宋体" w:cs="Times New Roman"/>
          <w:color w:val="auto"/>
          <w:highlight w:val="white"/>
        </w:rPr>
        <w:t>项〔拒绝接收全部或部分工程〕约定执行。</w:t>
      </w:r>
      <w:r>
        <w:rPr>
          <w:rStyle w:val="30"/>
          <w:rFonts w:ascii="Calibri" w:hAnsi="Calibri" w:eastAsia="宋体" w:cs="Times New Roman"/>
          <w:color w:val="auto"/>
          <w:highlight w:val="white"/>
        </w:rPr>
        <w:t xml:space="preserve"> </w:t>
      </w:r>
    </w:p>
    <w:p w14:paraId="3A81D9A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5.4.2 </w:t>
      </w:r>
      <w:r>
        <w:rPr>
          <w:rStyle w:val="30"/>
          <w:rFonts w:hint="eastAsia" w:ascii="Calibri" w:hAnsi="Calibri" w:eastAsia="宋体" w:cs="Times New Roman"/>
          <w:color w:val="auto"/>
          <w:highlight w:val="white"/>
        </w:rPr>
        <w:t>因发包人原因造成工程不合格的，由此增加的费用和（或）延误的工期由发包人承担，并支付承包人合理的利润。</w:t>
      </w:r>
    </w:p>
    <w:p w14:paraId="1422C96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5.5 </w:t>
      </w:r>
      <w:r>
        <w:rPr>
          <w:rStyle w:val="30"/>
          <w:rFonts w:hint="eastAsia" w:ascii="Calibri" w:hAnsi="Calibri" w:eastAsia="宋体" w:cs="Times New Roman"/>
          <w:color w:val="auto"/>
          <w:highlight w:val="white"/>
        </w:rPr>
        <w:t>质量争议检测</w:t>
      </w:r>
    </w:p>
    <w:p w14:paraId="6073125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合同当事人对工程质量有争议的，由双方协商确定的工程质量检测机构鉴定，由此产生的费用及因此造成的损失，由责任方承担。</w:t>
      </w:r>
    </w:p>
    <w:p w14:paraId="58704A9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合同当事人均有责任的，由双方根据其责任分别承担。合同当事人无法达成一致的，按照第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款〔商定或确定〕执行。</w:t>
      </w:r>
    </w:p>
    <w:p w14:paraId="53312CFB">
      <w:pPr>
        <w:pStyle w:val="108"/>
        <w:numPr>
          <w:ilvl w:val="0"/>
          <w:numId w:val="0"/>
        </w:numPr>
        <w:rPr>
          <w:rStyle w:val="30"/>
          <w:rFonts w:eastAsia="宋体" w:cs="Times New Roman"/>
          <w:color w:val="auto"/>
        </w:rPr>
      </w:pPr>
      <w:r>
        <w:rPr>
          <w:rStyle w:val="30"/>
          <w:rFonts w:eastAsia="宋体" w:cs="Times New Roman"/>
          <w:color w:val="auto"/>
          <w:highlight w:val="white"/>
        </w:rPr>
        <w:t xml:space="preserve">6. </w:t>
      </w:r>
      <w:r>
        <w:rPr>
          <w:rStyle w:val="30"/>
          <w:rFonts w:hint="eastAsia" w:eastAsia="宋体" w:cs="Times New Roman"/>
          <w:color w:val="auto"/>
          <w:highlight w:val="white"/>
        </w:rPr>
        <w:t>安全文明施工与环境保护</w:t>
      </w:r>
    </w:p>
    <w:p w14:paraId="77E35BFC">
      <w:pPr>
        <w:pStyle w:val="106"/>
        <w:rPr>
          <w:rStyle w:val="30"/>
          <w:rFonts w:ascii="Calibri" w:hAnsi="Calibri" w:eastAsia="宋体" w:cs="Times New Roman"/>
          <w:color w:val="auto"/>
        </w:rPr>
      </w:pPr>
      <w:r>
        <w:rPr>
          <w:rStyle w:val="30"/>
          <w:rFonts w:ascii="Calibri" w:hAnsi="Calibri" w:eastAsia="宋体" w:cs="Times New Roman"/>
          <w:color w:val="auto"/>
          <w:highlight w:val="white"/>
        </w:rPr>
        <w:t>6.1</w:t>
      </w:r>
      <w:r>
        <w:rPr>
          <w:rStyle w:val="30"/>
          <w:rFonts w:hint="eastAsia" w:ascii="Calibri" w:hAnsi="Calibri" w:eastAsia="宋体" w:cs="Times New Roman"/>
          <w:color w:val="auto"/>
          <w:highlight w:val="white"/>
        </w:rPr>
        <w:t>安全文明施工</w:t>
      </w:r>
    </w:p>
    <w:p w14:paraId="63734064">
      <w:pPr>
        <w:pStyle w:val="106"/>
        <w:rPr>
          <w:rStyle w:val="30"/>
          <w:rFonts w:ascii="Calibri" w:hAnsi="Calibri" w:eastAsia="宋体" w:cs="Times New Roman"/>
          <w:color w:val="auto"/>
        </w:rPr>
      </w:pPr>
      <w:r>
        <w:rPr>
          <w:rStyle w:val="30"/>
          <w:rFonts w:ascii="Calibri" w:hAnsi="Calibri" w:eastAsia="宋体" w:cs="Times New Roman"/>
          <w:color w:val="auto"/>
          <w:highlight w:val="white"/>
        </w:rPr>
        <w:t>6.1.1</w:t>
      </w:r>
      <w:r>
        <w:rPr>
          <w:rStyle w:val="30"/>
          <w:rFonts w:hint="eastAsia" w:ascii="Calibri" w:hAnsi="Calibri" w:eastAsia="宋体" w:cs="Times New Roman"/>
          <w:color w:val="auto"/>
          <w:highlight w:val="white"/>
        </w:rPr>
        <w:t>安全生产要求</w:t>
      </w:r>
    </w:p>
    <w:p w14:paraId="214E9CB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69695CB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在施工过程中，如遇到突发的地质变动、事先未知的地下施工障碍等影响施工安全的紧急情况，承包人应及时报告监理人和发包人，发包人应当及时下令停工并报政府有关行政管理部门采取应急措施。</w:t>
      </w:r>
    </w:p>
    <w:p w14:paraId="2F791E9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因安全生产需要暂停施工的，按照第</w:t>
      </w:r>
      <w:r>
        <w:rPr>
          <w:rStyle w:val="30"/>
          <w:rFonts w:ascii="Calibri" w:hAnsi="Calibri" w:eastAsia="宋体" w:cs="Times New Roman"/>
          <w:color w:val="auto"/>
          <w:highlight w:val="white"/>
        </w:rPr>
        <w:t>7.8</w:t>
      </w:r>
      <w:r>
        <w:rPr>
          <w:rStyle w:val="30"/>
          <w:rFonts w:hint="eastAsia" w:ascii="Calibri" w:hAnsi="Calibri" w:eastAsia="宋体" w:cs="Times New Roman"/>
          <w:color w:val="auto"/>
          <w:highlight w:val="white"/>
        </w:rPr>
        <w:t>款〔暂停施工〕的约定执行。</w:t>
      </w:r>
    </w:p>
    <w:p w14:paraId="4E46A65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6.1.2 </w:t>
      </w:r>
      <w:r>
        <w:rPr>
          <w:rStyle w:val="30"/>
          <w:rFonts w:hint="eastAsia" w:ascii="Calibri" w:hAnsi="Calibri" w:eastAsia="宋体" w:cs="Times New Roman"/>
          <w:color w:val="auto"/>
          <w:highlight w:val="white"/>
        </w:rPr>
        <w:t>安全生产保证措施</w:t>
      </w:r>
    </w:p>
    <w:p w14:paraId="46EB5A9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当按照有关规定编制安全技术措施或者专项施工方案，建立安全生产责任制度、治安保卫制度及安全生产教育培训制度，并按安全生产法律规定及合同约定履行安全职责，如实编制工程安全生产的有关记录，接受发包人、监理人及政府安全监督部门的检查与监督。</w:t>
      </w:r>
    </w:p>
    <w:p w14:paraId="314375EF">
      <w:pPr>
        <w:pStyle w:val="106"/>
        <w:rPr>
          <w:rStyle w:val="30"/>
          <w:rFonts w:ascii="Calibri" w:hAnsi="Calibri" w:eastAsia="宋体" w:cs="Times New Roman"/>
          <w:color w:val="auto"/>
        </w:rPr>
      </w:pPr>
      <w:r>
        <w:rPr>
          <w:rStyle w:val="30"/>
          <w:rFonts w:ascii="Calibri" w:hAnsi="Calibri" w:eastAsia="宋体" w:cs="Times New Roman"/>
          <w:color w:val="auto"/>
          <w:highlight w:val="white"/>
        </w:rPr>
        <w:t>6.1.3</w:t>
      </w:r>
      <w:r>
        <w:rPr>
          <w:rStyle w:val="30"/>
          <w:rFonts w:hint="eastAsia" w:ascii="Calibri" w:hAnsi="Calibri" w:eastAsia="宋体" w:cs="Times New Roman"/>
          <w:color w:val="auto"/>
          <w:highlight w:val="white"/>
        </w:rPr>
        <w:t>特别安全生产事项</w:t>
      </w:r>
    </w:p>
    <w:p w14:paraId="24E6D44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056A370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承包人在动力设备、输电线路、地下管道、密封防震车间、易燃易爆地段以及临街交通要道附近施工时，施工开始前应向发包人和监理人提出安全防护措施，经发包人认可后实施。</w:t>
      </w:r>
      <w:r>
        <w:rPr>
          <w:rStyle w:val="30"/>
          <w:rFonts w:ascii="Calibri" w:hAnsi="Calibri" w:eastAsia="宋体" w:cs="Times New Roman"/>
          <w:color w:val="auto"/>
          <w:highlight w:val="white"/>
        </w:rPr>
        <w:t xml:space="preserve"> </w:t>
      </w:r>
    </w:p>
    <w:p w14:paraId="7CF9C05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实施爆破作业，在放射、毒害性环境中施工（含储存、运输、使用）及使用毒害性、腐蚀性物品施工时，承包人应在施工前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天以书面通知发包人和监理人，并报送相应的安全防护措施，经发包人认可后实施。</w:t>
      </w:r>
    </w:p>
    <w:p w14:paraId="10475A2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需单独编制危险性较大分部分项专项工程施工方案的，及要求进行专家论证的超过一定规模的危险性较大的分部分项工程，承包人应及时编制和组织论证。</w:t>
      </w:r>
    </w:p>
    <w:p w14:paraId="47B0DA0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6.1.4 </w:t>
      </w:r>
      <w:r>
        <w:rPr>
          <w:rStyle w:val="30"/>
          <w:rFonts w:hint="eastAsia" w:ascii="Calibri" w:hAnsi="Calibri" w:eastAsia="宋体" w:cs="Times New Roman"/>
          <w:color w:val="auto"/>
          <w:highlight w:val="white"/>
        </w:rPr>
        <w:t>治安保卫</w:t>
      </w:r>
    </w:p>
    <w:p w14:paraId="1C121FB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除专用合同条款另有约定外，发包人应与当地公安部门协商，在现场建立治安管理机构或联防组织，统一管理施工场地的治安保卫事项，履行合同工程的治安保卫职责。</w:t>
      </w:r>
    </w:p>
    <w:p w14:paraId="0BAC385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发包人和承包人除应协助现场治安管理机构或联防组织维护施工场地的社会治安外，还应做好包括生活区在内的各自管辖区的治安保卫工作。</w:t>
      </w:r>
    </w:p>
    <w:p w14:paraId="43A2D5F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除专用合同条款另有约定外，发包人和承包人应在工程开工后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0AB2B85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6.1.5 </w:t>
      </w:r>
      <w:r>
        <w:rPr>
          <w:rStyle w:val="30"/>
          <w:rFonts w:hint="eastAsia" w:ascii="Calibri" w:hAnsi="Calibri" w:eastAsia="宋体" w:cs="Times New Roman"/>
          <w:color w:val="auto"/>
          <w:highlight w:val="white"/>
        </w:rPr>
        <w:t>文明施工</w:t>
      </w:r>
    </w:p>
    <w:p w14:paraId="3B5343A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承包人在工程施工期间，应当采取措施保持施工现场平整，物料堆放整齐。工程所在地有关政府行政管理部门有特殊要求的，按照其要求执行。合同当事人对文明施工有其他要求的，可以在专用合同条款中明确。</w:t>
      </w:r>
    </w:p>
    <w:p w14:paraId="56790BE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06BE624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6.1.6 </w:t>
      </w:r>
      <w:r>
        <w:rPr>
          <w:rStyle w:val="30"/>
          <w:rFonts w:hint="eastAsia" w:ascii="Calibri" w:hAnsi="Calibri" w:eastAsia="宋体" w:cs="Times New Roman"/>
          <w:color w:val="auto"/>
          <w:highlight w:val="white"/>
        </w:rPr>
        <w:t>安全文明施工费</w:t>
      </w:r>
    </w:p>
    <w:p w14:paraId="2354B73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安全文明施工费由发包人承担，发包人不得以任何形式扣减该部分费用。因基准日期后合同所适用的法律或政府有关规定发生变化，增加的安全文明施工费由发包人承担。</w:t>
      </w:r>
    </w:p>
    <w:p w14:paraId="529DA45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184576D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除专用合同条款另有约定外，发包人应在开工后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天内预付安全文明施工费总额的</w:t>
      </w:r>
      <w:r>
        <w:rPr>
          <w:rStyle w:val="30"/>
          <w:rFonts w:ascii="Calibri" w:hAnsi="Calibri" w:eastAsia="宋体" w:cs="Times New Roman"/>
          <w:color w:val="auto"/>
          <w:highlight w:val="white"/>
        </w:rPr>
        <w:t>50%</w:t>
      </w:r>
      <w:r>
        <w:rPr>
          <w:rStyle w:val="30"/>
          <w:rFonts w:hint="eastAsia" w:ascii="Calibri" w:hAnsi="Calibri" w:eastAsia="宋体" w:cs="Times New Roman"/>
          <w:color w:val="auto"/>
          <w:highlight w:val="white"/>
        </w:rPr>
        <w:t>，其余部分与进度款同期支付。发包人逾期支付安全文明施工费超过</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天的，承包人有权向发包人发出要求预付的催告通知，发包人收到通知后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天内仍未支付的，承包人有权暂停施工，并按第</w:t>
      </w:r>
      <w:r>
        <w:rPr>
          <w:rStyle w:val="30"/>
          <w:rFonts w:ascii="Calibri" w:hAnsi="Calibri" w:eastAsia="宋体" w:cs="Times New Roman"/>
          <w:color w:val="auto"/>
          <w:highlight w:val="white"/>
        </w:rPr>
        <w:t>16.1.1</w:t>
      </w:r>
      <w:r>
        <w:rPr>
          <w:rStyle w:val="30"/>
          <w:rFonts w:hint="eastAsia" w:ascii="Calibri" w:hAnsi="Calibri" w:eastAsia="宋体" w:cs="Times New Roman"/>
          <w:color w:val="auto"/>
          <w:highlight w:val="white"/>
        </w:rPr>
        <w:t>项〔发包人违约的情形〕执行。</w:t>
      </w:r>
    </w:p>
    <w:p w14:paraId="3371FC6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71F79E5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6.1.7 </w:t>
      </w:r>
      <w:r>
        <w:rPr>
          <w:rStyle w:val="30"/>
          <w:rFonts w:hint="eastAsia" w:ascii="Calibri" w:hAnsi="Calibri" w:eastAsia="宋体" w:cs="Times New Roman"/>
          <w:color w:val="auto"/>
          <w:highlight w:val="white"/>
        </w:rPr>
        <w:t>紧急情况处理</w:t>
      </w:r>
    </w:p>
    <w:p w14:paraId="4C7BF71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6C90A80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6.1.8 </w:t>
      </w:r>
      <w:r>
        <w:rPr>
          <w:rStyle w:val="30"/>
          <w:rFonts w:hint="eastAsia" w:ascii="Calibri" w:hAnsi="Calibri" w:eastAsia="宋体" w:cs="Times New Roman"/>
          <w:color w:val="auto"/>
          <w:highlight w:val="white"/>
        </w:rPr>
        <w:t>事故处理</w:t>
      </w:r>
    </w:p>
    <w:p w14:paraId="05F733D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39A13CD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6.1.9 </w:t>
      </w:r>
      <w:r>
        <w:rPr>
          <w:rStyle w:val="30"/>
          <w:rFonts w:hint="eastAsia" w:ascii="Calibri" w:hAnsi="Calibri" w:eastAsia="宋体" w:cs="Times New Roman"/>
          <w:color w:val="auto"/>
          <w:highlight w:val="white"/>
        </w:rPr>
        <w:t>安全生产责任</w:t>
      </w:r>
    </w:p>
    <w:p w14:paraId="31D76CD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6.1.9.1 </w:t>
      </w:r>
      <w:r>
        <w:rPr>
          <w:rStyle w:val="30"/>
          <w:rFonts w:hint="eastAsia" w:ascii="Calibri" w:hAnsi="Calibri" w:eastAsia="宋体" w:cs="Times New Roman"/>
          <w:color w:val="auto"/>
          <w:highlight w:val="white"/>
        </w:rPr>
        <w:t>发包人的安全责任</w:t>
      </w:r>
    </w:p>
    <w:p w14:paraId="02EECF9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发包人应负责赔偿以下各种情况造成的损失：</w:t>
      </w:r>
    </w:p>
    <w:p w14:paraId="780737C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）工程或工程的任何部分对土地的占用所造成的第三者财产损失；</w:t>
      </w:r>
    </w:p>
    <w:p w14:paraId="67A25DC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）由于发包人原因在施工场地及其毗邻地带造成的第三者人身伤亡和财产损失；</w:t>
      </w:r>
    </w:p>
    <w:p w14:paraId="757A80F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）由于发包人原因对承包人、监理人造成的人员人身伤亡和财产损失；</w:t>
      </w:r>
    </w:p>
    <w:p w14:paraId="16462D8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）由于发包人原因造成的发包人自身人员的人身伤害以及财产损失。</w:t>
      </w:r>
    </w:p>
    <w:p w14:paraId="4B00A39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6.1.9.2 </w:t>
      </w:r>
      <w:r>
        <w:rPr>
          <w:rStyle w:val="30"/>
          <w:rFonts w:hint="eastAsia" w:ascii="Calibri" w:hAnsi="Calibri" w:eastAsia="宋体" w:cs="Times New Roman"/>
          <w:color w:val="auto"/>
          <w:highlight w:val="white"/>
        </w:rPr>
        <w:t>承包人的安全责任</w:t>
      </w:r>
    </w:p>
    <w:p w14:paraId="50C33D2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由于承包人原因在施工场地内及其毗邻地带造成的发包人、监理人以及第三者人员伤亡和财产损失，由承包人负责赔偿。</w:t>
      </w:r>
    </w:p>
    <w:p w14:paraId="33E6EE2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6.2 </w:t>
      </w:r>
      <w:r>
        <w:rPr>
          <w:rStyle w:val="30"/>
          <w:rFonts w:hint="eastAsia" w:ascii="Calibri" w:hAnsi="Calibri" w:eastAsia="宋体" w:cs="Times New Roman"/>
          <w:color w:val="auto"/>
          <w:highlight w:val="white"/>
        </w:rPr>
        <w:t>职业健康</w:t>
      </w:r>
    </w:p>
    <w:p w14:paraId="6940DAF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6.2.1 </w:t>
      </w:r>
      <w:r>
        <w:rPr>
          <w:rStyle w:val="30"/>
          <w:rFonts w:hint="eastAsia" w:ascii="Calibri" w:hAnsi="Calibri" w:eastAsia="宋体" w:cs="Times New Roman"/>
          <w:color w:val="auto"/>
          <w:highlight w:val="white"/>
        </w:rPr>
        <w:t>劳动保护</w:t>
      </w:r>
    </w:p>
    <w:p w14:paraId="2A21B1D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5FE34C4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承包人应按照法律规定保障现场施工人员的劳动安全，并提供劳动保护</w:t>
      </w:r>
      <w:r>
        <w:rPr>
          <w:rStyle w:val="30"/>
          <w:rFonts w:ascii="Calibri" w:hAnsi="Calibri" w:eastAsia="宋体" w:cs="Times New Roman"/>
          <w:color w:val="auto"/>
          <w:highlight w:val="white"/>
        </w:rPr>
        <w:t>,</w:t>
      </w:r>
      <w:r>
        <w:rPr>
          <w:rStyle w:val="30"/>
          <w:rFonts w:hint="eastAsia" w:ascii="Calibri" w:hAnsi="Calibri" w:eastAsia="宋体" w:cs="Times New Roman"/>
          <w:color w:val="auto"/>
          <w:highlight w:val="white"/>
        </w:rPr>
        <w:t>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412C439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承包人应按法律规定安排工作时间，保证其雇佣人员享有休息和休假的权利。因工程施工的特殊需要占用休假日或延长工作时间的，应不超过法律规定的限度，并按法律规定给予补休或付酬。</w:t>
      </w:r>
    </w:p>
    <w:p w14:paraId="6D47391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6.2.2 </w:t>
      </w:r>
      <w:r>
        <w:rPr>
          <w:rStyle w:val="30"/>
          <w:rFonts w:hint="eastAsia" w:ascii="Calibri" w:hAnsi="Calibri" w:eastAsia="宋体" w:cs="Times New Roman"/>
          <w:color w:val="auto"/>
          <w:highlight w:val="white"/>
        </w:rPr>
        <w:t>生活条件</w:t>
      </w:r>
    </w:p>
    <w:p w14:paraId="4678026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承包人应为其履行合同所雇用的人员提供必要的膳宿条件和生活环境；承包人应采取有效措施预防传染病，保证施工人员的健康，并定期对施工现场、施工人员生活基地和工程进行防疫和卫生的专业检查和处理</w:t>
      </w: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在远离城镇的施工场地，还应配备必要的伤病防治和急救的医务人员与医疗设施。</w:t>
      </w:r>
    </w:p>
    <w:p w14:paraId="1E54950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6.3 </w:t>
      </w:r>
      <w:r>
        <w:rPr>
          <w:rStyle w:val="30"/>
          <w:rFonts w:hint="eastAsia" w:ascii="Calibri" w:hAnsi="Calibri" w:eastAsia="宋体" w:cs="Times New Roman"/>
          <w:color w:val="auto"/>
          <w:highlight w:val="white"/>
        </w:rPr>
        <w:t>环境保护</w:t>
      </w:r>
    </w:p>
    <w:p w14:paraId="1D2C05D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6E41624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承包人应当承担因其原因引起的环境污染侵权损害赔偿责任，因上述环境污染引起纠纷而导致暂停施工的，由此增加的费用和（或）延误的工期由承包人承担。</w:t>
      </w:r>
    </w:p>
    <w:p w14:paraId="09BD270E">
      <w:pPr>
        <w:pStyle w:val="108"/>
        <w:numPr>
          <w:ilvl w:val="0"/>
          <w:numId w:val="0"/>
        </w:numPr>
        <w:rPr>
          <w:rStyle w:val="30"/>
          <w:rFonts w:eastAsia="宋体" w:cs="Times New Roman"/>
          <w:color w:val="auto"/>
        </w:rPr>
      </w:pPr>
      <w:r>
        <w:rPr>
          <w:rStyle w:val="30"/>
          <w:rFonts w:eastAsia="宋体" w:cs="Times New Roman"/>
          <w:color w:val="auto"/>
          <w:highlight w:val="white"/>
        </w:rPr>
        <w:t xml:space="preserve">7. </w:t>
      </w:r>
      <w:r>
        <w:rPr>
          <w:rStyle w:val="30"/>
          <w:rFonts w:hint="eastAsia" w:eastAsia="宋体" w:cs="Times New Roman"/>
          <w:color w:val="auto"/>
          <w:highlight w:val="white"/>
        </w:rPr>
        <w:t>工期和进度</w:t>
      </w:r>
    </w:p>
    <w:p w14:paraId="106E7215">
      <w:pPr>
        <w:pStyle w:val="106"/>
        <w:rPr>
          <w:rStyle w:val="30"/>
          <w:rFonts w:ascii="Calibri" w:hAnsi="Calibri" w:eastAsia="宋体" w:cs="Times New Roman"/>
          <w:color w:val="auto"/>
        </w:rPr>
      </w:pPr>
      <w:r>
        <w:rPr>
          <w:rStyle w:val="30"/>
          <w:rFonts w:ascii="Calibri" w:hAnsi="Calibri" w:eastAsia="宋体" w:cs="Times New Roman"/>
          <w:color w:val="auto"/>
          <w:highlight w:val="white"/>
        </w:rPr>
        <w:t>7.1</w:t>
      </w:r>
      <w:r>
        <w:rPr>
          <w:rStyle w:val="30"/>
          <w:rFonts w:hint="eastAsia" w:ascii="Calibri" w:hAnsi="Calibri" w:eastAsia="宋体" w:cs="Times New Roman"/>
          <w:color w:val="auto"/>
          <w:highlight w:val="white"/>
        </w:rPr>
        <w:t>施工组织设计</w:t>
      </w:r>
    </w:p>
    <w:p w14:paraId="49C4982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7.1.1 </w:t>
      </w:r>
      <w:r>
        <w:rPr>
          <w:rStyle w:val="30"/>
          <w:rFonts w:hint="eastAsia" w:ascii="Calibri" w:hAnsi="Calibri" w:eastAsia="宋体" w:cs="Times New Roman"/>
          <w:color w:val="auto"/>
          <w:highlight w:val="white"/>
        </w:rPr>
        <w:t>施工组织设计的内容</w:t>
      </w:r>
    </w:p>
    <w:p w14:paraId="1337D29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施工组织设计应包含以下内容：</w:t>
      </w:r>
    </w:p>
    <w:p w14:paraId="349B467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）施工方案；</w:t>
      </w:r>
      <w:r>
        <w:rPr>
          <w:rStyle w:val="30"/>
          <w:rFonts w:ascii="Calibri" w:hAnsi="Calibri" w:eastAsia="宋体" w:cs="Times New Roman"/>
          <w:color w:val="auto"/>
          <w:highlight w:val="white"/>
        </w:rPr>
        <w:t xml:space="preserve"> </w:t>
      </w:r>
    </w:p>
    <w:p w14:paraId="77F4166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）施工现场平面布置图；</w:t>
      </w:r>
    </w:p>
    <w:p w14:paraId="42C2524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）施工进度计划和保证措施；</w:t>
      </w:r>
      <w:r>
        <w:rPr>
          <w:rStyle w:val="30"/>
          <w:rFonts w:ascii="Calibri" w:hAnsi="Calibri" w:eastAsia="宋体" w:cs="Times New Roman"/>
          <w:color w:val="auto"/>
          <w:highlight w:val="white"/>
        </w:rPr>
        <w:t xml:space="preserve"> </w:t>
      </w:r>
    </w:p>
    <w:p w14:paraId="7658B65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）劳动力及材料供应计划；</w:t>
      </w:r>
    </w:p>
    <w:p w14:paraId="3B79F9D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）施工机械设备的选用；</w:t>
      </w:r>
    </w:p>
    <w:p w14:paraId="34D0CA3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）质量保证体系及措施；</w:t>
      </w:r>
    </w:p>
    <w:p w14:paraId="3366BD9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）安全生产、文明施工措施；</w:t>
      </w:r>
    </w:p>
    <w:p w14:paraId="75E8C1F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8</w:t>
      </w:r>
      <w:r>
        <w:rPr>
          <w:rStyle w:val="30"/>
          <w:rFonts w:hint="eastAsia" w:ascii="Calibri" w:hAnsi="Calibri" w:eastAsia="宋体" w:cs="Times New Roman"/>
          <w:color w:val="auto"/>
          <w:highlight w:val="white"/>
        </w:rPr>
        <w:t>）环境保护、成本控制措施；</w:t>
      </w:r>
    </w:p>
    <w:p w14:paraId="54F70EB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9</w:t>
      </w:r>
      <w:r>
        <w:rPr>
          <w:rStyle w:val="30"/>
          <w:rFonts w:hint="eastAsia" w:ascii="Calibri" w:hAnsi="Calibri" w:eastAsia="宋体" w:cs="Times New Roman"/>
          <w:color w:val="auto"/>
          <w:highlight w:val="white"/>
        </w:rPr>
        <w:t>）合同当事人约定的其他内容。</w:t>
      </w:r>
    </w:p>
    <w:p w14:paraId="300A8B2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7.1.2 </w:t>
      </w:r>
      <w:r>
        <w:rPr>
          <w:rStyle w:val="30"/>
          <w:rFonts w:hint="eastAsia" w:ascii="Calibri" w:hAnsi="Calibri" w:eastAsia="宋体" w:cs="Times New Roman"/>
          <w:color w:val="auto"/>
          <w:highlight w:val="white"/>
        </w:rPr>
        <w:t>施工组织设计的提交和修改</w:t>
      </w:r>
    </w:p>
    <w:p w14:paraId="59542F1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除专用合同条款另有约定外，承包人应在合同签订后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天内，但至迟不得晚于第</w:t>
      </w:r>
      <w:r>
        <w:rPr>
          <w:rStyle w:val="30"/>
          <w:rFonts w:ascii="Calibri" w:hAnsi="Calibri" w:eastAsia="宋体" w:cs="Times New Roman"/>
          <w:color w:val="auto"/>
          <w:highlight w:val="white"/>
        </w:rPr>
        <w:t>7.3.2</w:t>
      </w:r>
      <w:r>
        <w:rPr>
          <w:rStyle w:val="30"/>
          <w:rFonts w:hint="eastAsia" w:ascii="Calibri" w:hAnsi="Calibri" w:eastAsia="宋体" w:cs="Times New Roman"/>
          <w:color w:val="auto"/>
          <w:highlight w:val="white"/>
        </w:rPr>
        <w:t>项〔开工通知〕载明的开工日期前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天，向监理人提交详细的施工组织设计，并由监理人报送发包人。除专用合同条款另有约定外，发包人和监理人应在监理人收到施工组织设计后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天内确认或提出修改意见。对发包人和监理人提出的合理意见和要求，承包人应自费修改完善。根据工程实际情况需要修改施工组织设计的，承包人应向发包人和监理人提交修改后的施工组织设计。</w:t>
      </w:r>
    </w:p>
    <w:p w14:paraId="4B24DE3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施工进度计划的编制和修改按照第</w:t>
      </w:r>
      <w:r>
        <w:rPr>
          <w:rStyle w:val="30"/>
          <w:rFonts w:ascii="Calibri" w:hAnsi="Calibri" w:eastAsia="宋体" w:cs="Times New Roman"/>
          <w:color w:val="auto"/>
          <w:highlight w:val="white"/>
        </w:rPr>
        <w:t>7.2</w:t>
      </w:r>
      <w:r>
        <w:rPr>
          <w:rStyle w:val="30"/>
          <w:rFonts w:hint="eastAsia" w:ascii="Calibri" w:hAnsi="Calibri" w:eastAsia="宋体" w:cs="Times New Roman"/>
          <w:color w:val="auto"/>
          <w:highlight w:val="white"/>
        </w:rPr>
        <w:t>款〔施工进度计划〕执行。</w:t>
      </w:r>
    </w:p>
    <w:p w14:paraId="48F5F3A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7.2 </w:t>
      </w:r>
      <w:r>
        <w:rPr>
          <w:rStyle w:val="30"/>
          <w:rFonts w:hint="eastAsia" w:ascii="Calibri" w:hAnsi="Calibri" w:eastAsia="宋体" w:cs="Times New Roman"/>
          <w:color w:val="auto"/>
          <w:highlight w:val="white"/>
        </w:rPr>
        <w:t>施工进度计划</w:t>
      </w:r>
    </w:p>
    <w:p w14:paraId="2C2C9DE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7.2.1 </w:t>
      </w:r>
      <w:r>
        <w:rPr>
          <w:rStyle w:val="30"/>
          <w:rFonts w:hint="eastAsia" w:ascii="Calibri" w:hAnsi="Calibri" w:eastAsia="宋体" w:cs="Times New Roman"/>
          <w:color w:val="auto"/>
          <w:highlight w:val="white"/>
        </w:rPr>
        <w:t>施工进度计划的编制</w:t>
      </w:r>
    </w:p>
    <w:p w14:paraId="28F92B0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承包人应按照第</w:t>
      </w:r>
      <w:r>
        <w:rPr>
          <w:rStyle w:val="30"/>
          <w:rFonts w:ascii="Calibri" w:hAnsi="Calibri" w:eastAsia="宋体" w:cs="Times New Roman"/>
          <w:color w:val="auto"/>
          <w:highlight w:val="white"/>
        </w:rPr>
        <w:t>7.1</w:t>
      </w:r>
      <w:r>
        <w:rPr>
          <w:rStyle w:val="30"/>
          <w:rFonts w:hint="eastAsia" w:ascii="Calibri" w:hAnsi="Calibri" w:eastAsia="宋体" w:cs="Times New Roman"/>
          <w:color w:val="auto"/>
          <w:highlight w:val="white"/>
        </w:rPr>
        <w:t>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74276A4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7.2.2 </w:t>
      </w:r>
      <w:r>
        <w:rPr>
          <w:rStyle w:val="30"/>
          <w:rFonts w:hint="eastAsia" w:ascii="Calibri" w:hAnsi="Calibri" w:eastAsia="宋体" w:cs="Times New Roman"/>
          <w:color w:val="auto"/>
          <w:highlight w:val="white"/>
        </w:rPr>
        <w:t>施工进度计划的修订</w:t>
      </w:r>
    </w:p>
    <w:p w14:paraId="2D286FF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天内完成审核和批准或提出修改意见。发包人和监理人对承包人提交的施工进度计划的确认，不能减轻或免除承包人根据法律规定和合同约定应承担的任何责任或义务。</w:t>
      </w:r>
    </w:p>
    <w:p w14:paraId="467893E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7.3 </w:t>
      </w:r>
      <w:r>
        <w:rPr>
          <w:rStyle w:val="30"/>
          <w:rFonts w:hint="eastAsia" w:ascii="Calibri" w:hAnsi="Calibri" w:eastAsia="宋体" w:cs="Times New Roman"/>
          <w:color w:val="auto"/>
          <w:highlight w:val="white"/>
        </w:rPr>
        <w:t>开工</w:t>
      </w:r>
    </w:p>
    <w:p w14:paraId="1729976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7.3.1 </w:t>
      </w:r>
      <w:r>
        <w:rPr>
          <w:rStyle w:val="30"/>
          <w:rFonts w:hint="eastAsia" w:ascii="Calibri" w:hAnsi="Calibri" w:eastAsia="宋体" w:cs="Times New Roman"/>
          <w:color w:val="auto"/>
          <w:highlight w:val="white"/>
        </w:rPr>
        <w:t>开工准备</w:t>
      </w:r>
    </w:p>
    <w:p w14:paraId="60791A7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除专用合同条款另有约定外，承包人应按照第</w:t>
      </w:r>
      <w:r>
        <w:rPr>
          <w:rStyle w:val="30"/>
          <w:rFonts w:ascii="Calibri" w:hAnsi="Calibri" w:eastAsia="宋体" w:cs="Times New Roman"/>
          <w:color w:val="auto"/>
          <w:highlight w:val="white"/>
        </w:rPr>
        <w:t>7.1</w:t>
      </w:r>
      <w:r>
        <w:rPr>
          <w:rStyle w:val="30"/>
          <w:rFonts w:hint="eastAsia" w:ascii="Calibri" w:hAnsi="Calibri" w:eastAsia="宋体" w:cs="Times New Roman"/>
          <w:color w:val="auto"/>
          <w:highlight w:val="white"/>
        </w:rPr>
        <w:t>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7C15B14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除专用合同条款另有约定外，合同当事人应按约定完成开工准备工作。</w:t>
      </w:r>
    </w:p>
    <w:p w14:paraId="6E6D9C0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7.3.2 </w:t>
      </w:r>
      <w:r>
        <w:rPr>
          <w:rStyle w:val="30"/>
          <w:rFonts w:hint="eastAsia" w:ascii="Calibri" w:hAnsi="Calibri" w:eastAsia="宋体" w:cs="Times New Roman"/>
          <w:color w:val="auto"/>
          <w:highlight w:val="white"/>
        </w:rPr>
        <w:t>开工通知</w:t>
      </w:r>
    </w:p>
    <w:p w14:paraId="580B3E0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发包人应按照法律规定获得工程施工所需的许可。经发包人同意后，监理人发出的开工通知应符合法律规定。监理人应在计划开工日期</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天前向承包人发出开工通知，工期自开工通知中载明的开工日期起算。</w:t>
      </w:r>
    </w:p>
    <w:p w14:paraId="30F1A8B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除专用合同条款另有约定外，因发包人原因造成监理人未能在计划开工日期之日起</w:t>
      </w:r>
      <w:r>
        <w:rPr>
          <w:rStyle w:val="30"/>
          <w:rFonts w:ascii="Calibri" w:hAnsi="Calibri" w:eastAsia="宋体" w:cs="Times New Roman"/>
          <w:color w:val="auto"/>
          <w:highlight w:val="white"/>
        </w:rPr>
        <w:t>90</w:t>
      </w:r>
      <w:r>
        <w:rPr>
          <w:rStyle w:val="30"/>
          <w:rFonts w:hint="eastAsia" w:ascii="Calibri" w:hAnsi="Calibri" w:eastAsia="宋体" w:cs="Times New Roman"/>
          <w:color w:val="auto"/>
          <w:highlight w:val="white"/>
        </w:rPr>
        <w:t>天内发出开工通知的，承包人有权提出价格调整要求，或者解除合同。发包人应当承担由此增加的费用和（或）延误的工期，并向承包人支付合理利润。</w:t>
      </w:r>
    </w:p>
    <w:p w14:paraId="0DD549D4">
      <w:pPr>
        <w:pStyle w:val="106"/>
        <w:rPr>
          <w:rStyle w:val="30"/>
          <w:rFonts w:ascii="Calibri" w:hAnsi="Calibri" w:eastAsia="宋体" w:cs="Times New Roman"/>
          <w:color w:val="auto"/>
        </w:rPr>
      </w:pPr>
      <w:r>
        <w:rPr>
          <w:rStyle w:val="30"/>
          <w:rFonts w:ascii="Calibri" w:hAnsi="Calibri" w:eastAsia="宋体" w:cs="Times New Roman"/>
          <w:color w:val="auto"/>
          <w:highlight w:val="white"/>
        </w:rPr>
        <w:t>7.4</w:t>
      </w:r>
      <w:r>
        <w:rPr>
          <w:rStyle w:val="30"/>
          <w:rFonts w:hint="eastAsia" w:ascii="Calibri" w:hAnsi="Calibri" w:eastAsia="宋体" w:cs="Times New Roman"/>
          <w:color w:val="auto"/>
          <w:highlight w:val="white"/>
        </w:rPr>
        <w:t>测量放线</w:t>
      </w:r>
    </w:p>
    <w:p w14:paraId="24DCAC2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7.4.1 </w:t>
      </w:r>
      <w:r>
        <w:rPr>
          <w:rStyle w:val="30"/>
          <w:rFonts w:hint="eastAsia" w:ascii="Calibri" w:hAnsi="Calibri" w:eastAsia="宋体" w:cs="Times New Roman"/>
          <w:color w:val="auto"/>
          <w:highlight w:val="white"/>
        </w:rPr>
        <w:t>除专用合同条款另有约定外，发包人应在至迟不得晚于第</w:t>
      </w:r>
      <w:r>
        <w:rPr>
          <w:rStyle w:val="30"/>
          <w:rFonts w:ascii="Calibri" w:hAnsi="Calibri" w:eastAsia="宋体" w:cs="Times New Roman"/>
          <w:color w:val="auto"/>
          <w:highlight w:val="white"/>
        </w:rPr>
        <w:t>7.3.2</w:t>
      </w:r>
      <w:r>
        <w:rPr>
          <w:rStyle w:val="30"/>
          <w:rFonts w:hint="eastAsia" w:ascii="Calibri" w:hAnsi="Calibri" w:eastAsia="宋体" w:cs="Times New Roman"/>
          <w:color w:val="auto"/>
          <w:highlight w:val="white"/>
        </w:rPr>
        <w:t>项〔开工通知〕载明的开工日期前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天通过监理人向承包人提供测量基准点、基准线和水准点及其书面资料。发包人应对其提供的测量基准点、基准线和水准点及其书面资料的真实性、准确性和完整性负责。</w:t>
      </w:r>
    </w:p>
    <w:p w14:paraId="3CF2394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694798D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7.4.2 </w:t>
      </w:r>
      <w:r>
        <w:rPr>
          <w:rStyle w:val="30"/>
          <w:rFonts w:hint="eastAsia" w:ascii="Calibri" w:hAnsi="Calibri" w:eastAsia="宋体" w:cs="Times New Roman"/>
          <w:color w:val="auto"/>
          <w:highlight w:val="white"/>
        </w:rPr>
        <w:t>承包人负责施工过程中的全部施工测量放线工作，并配置具有相应资质的人员、合格的仪器、设备和其他物品。承包人应矫正工程的位置、标高、尺寸或准线中出现的任何差错，并对工程各部分的定位负责。</w:t>
      </w:r>
    </w:p>
    <w:p w14:paraId="4883451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施工过程中对施工现场内水准点等测量标志物的保护工作由承包人负责。</w:t>
      </w:r>
    </w:p>
    <w:p w14:paraId="5152C27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7.5 </w:t>
      </w:r>
      <w:r>
        <w:rPr>
          <w:rStyle w:val="30"/>
          <w:rFonts w:hint="eastAsia" w:ascii="Calibri" w:hAnsi="Calibri" w:eastAsia="宋体" w:cs="Times New Roman"/>
          <w:color w:val="auto"/>
          <w:highlight w:val="white"/>
        </w:rPr>
        <w:t>工期延误</w:t>
      </w:r>
    </w:p>
    <w:p w14:paraId="3DEC1CD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7.5.1 </w:t>
      </w:r>
      <w:r>
        <w:rPr>
          <w:rStyle w:val="30"/>
          <w:rFonts w:hint="eastAsia" w:ascii="Calibri" w:hAnsi="Calibri" w:eastAsia="宋体" w:cs="Times New Roman"/>
          <w:color w:val="auto"/>
          <w:highlight w:val="white"/>
        </w:rPr>
        <w:t>因发包人原因导致工期延误</w:t>
      </w:r>
    </w:p>
    <w:p w14:paraId="3FC4619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在合同履行过程中，因下列情况导致工期延误和（或）费用增加的，由发包人承担由此延误的工期和（或）增加的费用，且发包人应支付承包人合理的利润：</w:t>
      </w:r>
      <w:r>
        <w:rPr>
          <w:rStyle w:val="30"/>
          <w:rFonts w:ascii="Calibri" w:hAnsi="Calibri" w:eastAsia="宋体" w:cs="Times New Roman"/>
          <w:color w:val="auto"/>
          <w:highlight w:val="white"/>
        </w:rPr>
        <w:t xml:space="preserve"> </w:t>
      </w:r>
    </w:p>
    <w:p w14:paraId="0411CB8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）发包人未能按合同约定提供图纸或所提供图纸不符合合同约定的；</w:t>
      </w:r>
    </w:p>
    <w:p w14:paraId="141638A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）发包人未能按合同约定提供施工现场、施工条件、基础资料、许可、批准等开工条件的；</w:t>
      </w:r>
    </w:p>
    <w:p w14:paraId="6ECD746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）发包人提供的测量基准点、基准线和水准点及其书面资料存在错误或疏漏的；</w:t>
      </w:r>
    </w:p>
    <w:p w14:paraId="4F4FEEF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）发包人未能在计划开工日期之日起</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天内同意下达开工通知的；</w:t>
      </w:r>
    </w:p>
    <w:p w14:paraId="2DB77A8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）发包人未能按合同约定日期支付工程预付款、进度款或竣工结算款的；</w:t>
      </w:r>
    </w:p>
    <w:p w14:paraId="34C3329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）监理人未按合同约定发出指示、批准等文件的；</w:t>
      </w:r>
    </w:p>
    <w:p w14:paraId="2603AFA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）专用合同条款中约定的其他情形。</w:t>
      </w:r>
    </w:p>
    <w:p w14:paraId="7283213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因发包人原因未按计划开工日期开工的，发包人应按实际开工日期顺延竣工日期，确保实际工期不低于合同约定的工期总日历天数。因发包人原因导致工期延误需要修订施工进度计划的，按照第</w:t>
      </w:r>
      <w:r>
        <w:rPr>
          <w:rStyle w:val="30"/>
          <w:rFonts w:ascii="Calibri" w:hAnsi="Calibri" w:eastAsia="宋体" w:cs="Times New Roman"/>
          <w:color w:val="auto"/>
          <w:highlight w:val="white"/>
        </w:rPr>
        <w:t>7.2.2</w:t>
      </w:r>
      <w:r>
        <w:rPr>
          <w:rStyle w:val="30"/>
          <w:rFonts w:hint="eastAsia" w:ascii="Calibri" w:hAnsi="Calibri" w:eastAsia="宋体" w:cs="Times New Roman"/>
          <w:color w:val="auto"/>
          <w:highlight w:val="white"/>
        </w:rPr>
        <w:t>项〔施工进度计划的修订〕执行。</w:t>
      </w:r>
    </w:p>
    <w:p w14:paraId="273DC73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7.5.2 </w:t>
      </w:r>
      <w:r>
        <w:rPr>
          <w:rStyle w:val="30"/>
          <w:rFonts w:hint="eastAsia" w:ascii="Calibri" w:hAnsi="Calibri" w:eastAsia="宋体" w:cs="Times New Roman"/>
          <w:color w:val="auto"/>
          <w:highlight w:val="white"/>
        </w:rPr>
        <w:t>因承包人原因导致工期延误</w:t>
      </w:r>
    </w:p>
    <w:p w14:paraId="5B240D1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因承包人原因造成工期延误的，可以在专用合同条款中约定逾期竣工违约金的计算方法和逾期竣工违约金的上限。承包人支付逾期竣工违约金后，不免除承包人继续完成工程及修补缺陷的义务。</w:t>
      </w:r>
    </w:p>
    <w:p w14:paraId="6B1CF43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7.6 </w:t>
      </w:r>
      <w:r>
        <w:rPr>
          <w:rStyle w:val="30"/>
          <w:rFonts w:hint="eastAsia" w:ascii="Calibri" w:hAnsi="Calibri" w:eastAsia="宋体" w:cs="Times New Roman"/>
          <w:color w:val="auto"/>
          <w:highlight w:val="white"/>
        </w:rPr>
        <w:t>不利物质条件</w:t>
      </w:r>
    </w:p>
    <w:p w14:paraId="3C64283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60EDF4B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w:t>
      </w:r>
      <w:r>
        <w:rPr>
          <w:rStyle w:val="30"/>
          <w:rFonts w:ascii="Calibri" w:hAnsi="Calibri" w:eastAsia="宋体" w:cs="Times New Roman"/>
          <w:color w:val="auto"/>
          <w:highlight w:val="white"/>
        </w:rPr>
        <w:t>10</w:t>
      </w:r>
      <w:r>
        <w:rPr>
          <w:rStyle w:val="30"/>
          <w:rFonts w:hint="eastAsia" w:ascii="Calibri" w:hAnsi="Calibri" w:eastAsia="宋体" w:cs="Times New Roman"/>
          <w:color w:val="auto"/>
          <w:highlight w:val="white"/>
        </w:rPr>
        <w:t>条〔变更〕约定执行。承包人因采取合理措施而增加的费用和（或）延误的工期由发包人承担。</w:t>
      </w:r>
    </w:p>
    <w:p w14:paraId="37ED651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7.7 </w:t>
      </w:r>
      <w:r>
        <w:rPr>
          <w:rStyle w:val="30"/>
          <w:rFonts w:hint="eastAsia" w:ascii="Calibri" w:hAnsi="Calibri" w:eastAsia="宋体" w:cs="Times New Roman"/>
          <w:color w:val="auto"/>
          <w:highlight w:val="white"/>
        </w:rPr>
        <w:t>异常恶劣的气候条件</w:t>
      </w:r>
    </w:p>
    <w:p w14:paraId="7AF7B6C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4AD6ECA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承包人应采取克服异常恶劣的气候条件的合理措施继续施工，并及时通知发包人和监理人。监理人经发包人同意后应当及时发出指示，指示构成变更的，按第</w:t>
      </w:r>
      <w:r>
        <w:rPr>
          <w:rStyle w:val="30"/>
          <w:rFonts w:ascii="Calibri" w:hAnsi="Calibri" w:eastAsia="宋体" w:cs="Times New Roman"/>
          <w:color w:val="auto"/>
          <w:highlight w:val="white"/>
        </w:rPr>
        <w:t>10</w:t>
      </w:r>
      <w:r>
        <w:rPr>
          <w:rStyle w:val="30"/>
          <w:rFonts w:hint="eastAsia" w:ascii="Calibri" w:hAnsi="Calibri" w:eastAsia="宋体" w:cs="Times New Roman"/>
          <w:color w:val="auto"/>
          <w:highlight w:val="white"/>
        </w:rPr>
        <w:t>条〔变更〕约定办理。承包人因采取合理措施而增加的费用和（或）延误的工期由发包人承担。</w:t>
      </w:r>
    </w:p>
    <w:p w14:paraId="1517F60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 </w:t>
      </w:r>
      <w:r>
        <w:rPr>
          <w:rStyle w:val="30"/>
          <w:rFonts w:hint="eastAsia" w:ascii="Calibri" w:hAnsi="Calibri" w:eastAsia="宋体" w:cs="Times New Roman"/>
          <w:color w:val="auto"/>
          <w:highlight w:val="white"/>
        </w:rPr>
        <w:t>暂停施工</w:t>
      </w:r>
    </w:p>
    <w:p w14:paraId="60470EAC">
      <w:pPr>
        <w:pStyle w:val="106"/>
        <w:rPr>
          <w:rStyle w:val="30"/>
          <w:rFonts w:ascii="Calibri" w:hAnsi="Calibri" w:eastAsia="宋体" w:cs="Times New Roman"/>
          <w:color w:val="auto"/>
        </w:rPr>
      </w:pPr>
      <w:r>
        <w:rPr>
          <w:rStyle w:val="30"/>
          <w:rFonts w:ascii="Calibri" w:hAnsi="Calibri" w:eastAsia="宋体" w:cs="Times New Roman"/>
          <w:color w:val="auto"/>
          <w:highlight w:val="white"/>
        </w:rPr>
        <w:t>7.8.1</w:t>
      </w:r>
      <w:r>
        <w:rPr>
          <w:rStyle w:val="30"/>
          <w:rFonts w:hint="eastAsia" w:ascii="Calibri" w:hAnsi="Calibri" w:eastAsia="宋体" w:cs="Times New Roman"/>
          <w:color w:val="auto"/>
          <w:highlight w:val="white"/>
        </w:rPr>
        <w:t>发包人原因引起的暂停施工</w:t>
      </w:r>
    </w:p>
    <w:p w14:paraId="737075A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因发包人原因引起暂停施工的，监理人经发包人同意后，应及时下达暂停施工指示。情况紧急且监理人未及时下达暂停施工指示的，按照第</w:t>
      </w:r>
      <w:r>
        <w:rPr>
          <w:rStyle w:val="30"/>
          <w:rFonts w:ascii="Calibri" w:hAnsi="Calibri" w:eastAsia="宋体" w:cs="Times New Roman"/>
          <w:color w:val="auto"/>
          <w:highlight w:val="white"/>
        </w:rPr>
        <w:t>7.8.4</w:t>
      </w:r>
      <w:r>
        <w:rPr>
          <w:rStyle w:val="30"/>
          <w:rFonts w:hint="eastAsia" w:ascii="Calibri" w:hAnsi="Calibri" w:eastAsia="宋体" w:cs="Times New Roman"/>
          <w:color w:val="auto"/>
          <w:highlight w:val="white"/>
        </w:rPr>
        <w:t>项〔紧急情况下的暂停施工〕执行。</w:t>
      </w:r>
    </w:p>
    <w:p w14:paraId="045E8B6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因发包人原因引起的暂停施工，发包人应承担由此增加的费用和（或）延误的工期，并支付承包人合理的利润。</w:t>
      </w:r>
    </w:p>
    <w:p w14:paraId="1C19088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7.8.2 </w:t>
      </w:r>
      <w:r>
        <w:rPr>
          <w:rStyle w:val="30"/>
          <w:rFonts w:hint="eastAsia" w:ascii="Calibri" w:hAnsi="Calibri" w:eastAsia="宋体" w:cs="Times New Roman"/>
          <w:color w:val="auto"/>
          <w:highlight w:val="white"/>
        </w:rPr>
        <w:t>承包人原因引起的暂停施工</w:t>
      </w:r>
    </w:p>
    <w:p w14:paraId="0B58D29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因承包人原因引起的暂停施工，承包人应承担由此增加的费用和（或）延误的工期，且承包人在收到监理人复工指示后</w:t>
      </w:r>
      <w:r>
        <w:rPr>
          <w:rStyle w:val="30"/>
          <w:rFonts w:ascii="Calibri" w:hAnsi="Calibri" w:eastAsia="宋体" w:cs="Times New Roman"/>
          <w:color w:val="auto"/>
          <w:highlight w:val="white"/>
        </w:rPr>
        <w:t>84</w:t>
      </w:r>
      <w:r>
        <w:rPr>
          <w:rStyle w:val="30"/>
          <w:rFonts w:hint="eastAsia" w:ascii="Calibri" w:hAnsi="Calibri" w:eastAsia="宋体" w:cs="Times New Roman"/>
          <w:color w:val="auto"/>
          <w:highlight w:val="white"/>
        </w:rPr>
        <w:t>天内仍未复工的，视为第</w:t>
      </w:r>
      <w:r>
        <w:rPr>
          <w:rStyle w:val="30"/>
          <w:rFonts w:ascii="Calibri" w:hAnsi="Calibri" w:eastAsia="宋体" w:cs="Times New Roman"/>
          <w:color w:val="auto"/>
          <w:highlight w:val="white"/>
        </w:rPr>
        <w:t>16.2.1</w:t>
      </w:r>
      <w:r>
        <w:rPr>
          <w:rStyle w:val="30"/>
          <w:rFonts w:hint="eastAsia" w:ascii="Calibri" w:hAnsi="Calibri" w:eastAsia="宋体" w:cs="Times New Roman"/>
          <w:color w:val="auto"/>
          <w:highlight w:val="white"/>
        </w:rPr>
        <w:t>项〔承包人违约的情形〕第（</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）目约定的承包人无法继续履行合同的情形。</w:t>
      </w:r>
    </w:p>
    <w:p w14:paraId="3FFE93B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7.8.3 </w:t>
      </w:r>
      <w:r>
        <w:rPr>
          <w:rStyle w:val="30"/>
          <w:rFonts w:hint="eastAsia" w:ascii="Calibri" w:hAnsi="Calibri" w:eastAsia="宋体" w:cs="Times New Roman"/>
          <w:color w:val="auto"/>
          <w:highlight w:val="white"/>
        </w:rPr>
        <w:t>指示暂停施工</w:t>
      </w:r>
    </w:p>
    <w:p w14:paraId="10C6B43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监理人认为有必要时，并经发包人批准后，可向承包人作出暂停施工的指示，承包人应按监理人指示暂停施工。</w:t>
      </w:r>
    </w:p>
    <w:p w14:paraId="23875A3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7.8.4 </w:t>
      </w:r>
      <w:r>
        <w:rPr>
          <w:rStyle w:val="30"/>
          <w:rFonts w:hint="eastAsia" w:ascii="Calibri" w:hAnsi="Calibri" w:eastAsia="宋体" w:cs="Times New Roman"/>
          <w:color w:val="auto"/>
          <w:highlight w:val="white"/>
        </w:rPr>
        <w:t>紧急情况下的暂停施工</w:t>
      </w:r>
    </w:p>
    <w:p w14:paraId="4D467B1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因紧急情况需暂停施工，且监理人未及时下达暂停施工指示的，承包人可先暂停施工，并及时通知监理人。监理人应在接到通知后</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小时内发出指示，逾期未发出指示，视为同意承包人暂停施工。监理人不同意承包人暂停施工的，应说明理由，承包人对监理人的答复有异议，按照第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条〔争议解决〕约定处理。</w:t>
      </w:r>
    </w:p>
    <w:p w14:paraId="417BDAD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7.8.5 </w:t>
      </w:r>
      <w:r>
        <w:rPr>
          <w:rStyle w:val="30"/>
          <w:rFonts w:hint="eastAsia" w:ascii="Calibri" w:hAnsi="Calibri" w:eastAsia="宋体" w:cs="Times New Roman"/>
          <w:color w:val="auto"/>
          <w:highlight w:val="white"/>
        </w:rPr>
        <w:t>暂停施工后的复工</w:t>
      </w:r>
    </w:p>
    <w:p w14:paraId="6913960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4E21B0B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承包人无故拖延和拒绝复工的，承包人承担由此增加的费用和（或）延误的工期；因发包人原因无法按时复工的，按照第</w:t>
      </w:r>
      <w:r>
        <w:rPr>
          <w:rStyle w:val="30"/>
          <w:rFonts w:ascii="Calibri" w:hAnsi="Calibri" w:eastAsia="宋体" w:cs="Times New Roman"/>
          <w:color w:val="auto"/>
          <w:highlight w:val="white"/>
        </w:rPr>
        <w:t>7.5.1</w:t>
      </w:r>
      <w:r>
        <w:rPr>
          <w:rStyle w:val="30"/>
          <w:rFonts w:hint="eastAsia" w:ascii="Calibri" w:hAnsi="Calibri" w:eastAsia="宋体" w:cs="Times New Roman"/>
          <w:color w:val="auto"/>
          <w:highlight w:val="white"/>
        </w:rPr>
        <w:t>项〔因发包人原因导致工期延误〕约定办理。</w:t>
      </w:r>
    </w:p>
    <w:p w14:paraId="6019A04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7.8.6 </w:t>
      </w:r>
      <w:r>
        <w:rPr>
          <w:rStyle w:val="30"/>
          <w:rFonts w:hint="eastAsia" w:ascii="Calibri" w:hAnsi="Calibri" w:eastAsia="宋体" w:cs="Times New Roman"/>
          <w:color w:val="auto"/>
          <w:highlight w:val="white"/>
        </w:rPr>
        <w:t>暂停施工持续</w:t>
      </w:r>
      <w:r>
        <w:rPr>
          <w:rStyle w:val="30"/>
          <w:rFonts w:ascii="Calibri" w:hAnsi="Calibri" w:eastAsia="宋体" w:cs="Times New Roman"/>
          <w:color w:val="auto"/>
          <w:highlight w:val="white"/>
        </w:rPr>
        <w:t>56</w:t>
      </w:r>
      <w:r>
        <w:rPr>
          <w:rStyle w:val="30"/>
          <w:rFonts w:hint="eastAsia" w:ascii="Calibri" w:hAnsi="Calibri" w:eastAsia="宋体" w:cs="Times New Roman"/>
          <w:color w:val="auto"/>
          <w:highlight w:val="white"/>
        </w:rPr>
        <w:t>天以上</w:t>
      </w:r>
    </w:p>
    <w:p w14:paraId="0D8DB68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监理人发出暂停施工指示后</w:t>
      </w:r>
      <w:r>
        <w:rPr>
          <w:rStyle w:val="30"/>
          <w:rFonts w:ascii="Calibri" w:hAnsi="Calibri" w:eastAsia="宋体" w:cs="Times New Roman"/>
          <w:color w:val="auto"/>
          <w:highlight w:val="white"/>
        </w:rPr>
        <w:t>56</w:t>
      </w:r>
      <w:r>
        <w:rPr>
          <w:rStyle w:val="30"/>
          <w:rFonts w:hint="eastAsia" w:ascii="Calibri" w:hAnsi="Calibri" w:eastAsia="宋体" w:cs="Times New Roman"/>
          <w:color w:val="auto"/>
          <w:highlight w:val="white"/>
        </w:rPr>
        <w:t>天内未向承包人发出复工通知，除该项停工属于第</w:t>
      </w:r>
      <w:r>
        <w:rPr>
          <w:rStyle w:val="30"/>
          <w:rFonts w:ascii="Calibri" w:hAnsi="Calibri" w:eastAsia="宋体" w:cs="Times New Roman"/>
          <w:color w:val="auto"/>
          <w:highlight w:val="white"/>
        </w:rPr>
        <w:t>7.8.2</w:t>
      </w:r>
      <w:r>
        <w:rPr>
          <w:rStyle w:val="30"/>
          <w:rFonts w:hint="eastAsia" w:ascii="Calibri" w:hAnsi="Calibri" w:eastAsia="宋体" w:cs="Times New Roman"/>
          <w:color w:val="auto"/>
          <w:highlight w:val="white"/>
        </w:rPr>
        <w:t>项〔承包人原因引起的暂停施工〕及第</w:t>
      </w:r>
      <w:r>
        <w:rPr>
          <w:rStyle w:val="30"/>
          <w:rFonts w:ascii="Calibri" w:hAnsi="Calibri" w:eastAsia="宋体" w:cs="Times New Roman"/>
          <w:color w:val="auto"/>
          <w:highlight w:val="white"/>
        </w:rPr>
        <w:t>17</w:t>
      </w:r>
      <w:r>
        <w:rPr>
          <w:rStyle w:val="30"/>
          <w:rFonts w:hint="eastAsia" w:ascii="Calibri" w:hAnsi="Calibri" w:eastAsia="宋体" w:cs="Times New Roman"/>
          <w:color w:val="auto"/>
          <w:highlight w:val="white"/>
        </w:rPr>
        <w:t>条〔不可抗力〕约定的情形外，承包人可向发包人提交书面通知，要求发包人在收到书面通知后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天内准许已暂停施工的部分或全部工程继续施工。发包人逾期不予批准的，则承包人可以通知发包人，将工程受影响的部分视为按第</w:t>
      </w:r>
      <w:r>
        <w:rPr>
          <w:rStyle w:val="30"/>
          <w:rFonts w:ascii="Calibri" w:hAnsi="Calibri" w:eastAsia="宋体" w:cs="Times New Roman"/>
          <w:color w:val="auto"/>
          <w:highlight w:val="white"/>
        </w:rPr>
        <w:t>10.1</w:t>
      </w:r>
      <w:r>
        <w:rPr>
          <w:rStyle w:val="30"/>
          <w:rFonts w:hint="eastAsia" w:ascii="Calibri" w:hAnsi="Calibri" w:eastAsia="宋体" w:cs="Times New Roman"/>
          <w:color w:val="auto"/>
          <w:highlight w:val="white"/>
        </w:rPr>
        <w:t>款〔变更的范围〕第（</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）项的可取消工作。</w:t>
      </w:r>
    </w:p>
    <w:p w14:paraId="73E9164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暂停施工持续</w:t>
      </w:r>
      <w:r>
        <w:rPr>
          <w:rStyle w:val="30"/>
          <w:rFonts w:ascii="Calibri" w:hAnsi="Calibri" w:eastAsia="宋体" w:cs="Times New Roman"/>
          <w:color w:val="auto"/>
          <w:highlight w:val="white"/>
        </w:rPr>
        <w:t>84</w:t>
      </w:r>
      <w:r>
        <w:rPr>
          <w:rStyle w:val="30"/>
          <w:rFonts w:hint="eastAsia" w:ascii="Calibri" w:hAnsi="Calibri" w:eastAsia="宋体" w:cs="Times New Roman"/>
          <w:color w:val="auto"/>
          <w:highlight w:val="white"/>
        </w:rPr>
        <w:t>天以上不复工的，且不属于第</w:t>
      </w:r>
      <w:r>
        <w:rPr>
          <w:rStyle w:val="30"/>
          <w:rFonts w:ascii="Calibri" w:hAnsi="Calibri" w:eastAsia="宋体" w:cs="Times New Roman"/>
          <w:color w:val="auto"/>
          <w:highlight w:val="white"/>
        </w:rPr>
        <w:t>7.8.2</w:t>
      </w:r>
      <w:r>
        <w:rPr>
          <w:rStyle w:val="30"/>
          <w:rFonts w:hint="eastAsia" w:ascii="Calibri" w:hAnsi="Calibri" w:eastAsia="宋体" w:cs="Times New Roman"/>
          <w:color w:val="auto"/>
          <w:highlight w:val="white"/>
        </w:rPr>
        <w:t>项〔承包人原因引起的暂停施工〕及第</w:t>
      </w:r>
      <w:r>
        <w:rPr>
          <w:rStyle w:val="30"/>
          <w:rFonts w:ascii="Calibri" w:hAnsi="Calibri" w:eastAsia="宋体" w:cs="Times New Roman"/>
          <w:color w:val="auto"/>
          <w:highlight w:val="white"/>
        </w:rPr>
        <w:t>17</w:t>
      </w:r>
      <w:r>
        <w:rPr>
          <w:rStyle w:val="30"/>
          <w:rFonts w:hint="eastAsia" w:ascii="Calibri" w:hAnsi="Calibri" w:eastAsia="宋体" w:cs="Times New Roman"/>
          <w:color w:val="auto"/>
          <w:highlight w:val="white"/>
        </w:rPr>
        <w:t>条〔不可抗力〕约定的情形，并影响到整个工程以及合同目的实现的，承包人有权提出价格调整要求，或者解除合同。解除合同的，按照第</w:t>
      </w:r>
      <w:r>
        <w:rPr>
          <w:rStyle w:val="30"/>
          <w:rFonts w:ascii="Calibri" w:hAnsi="Calibri" w:eastAsia="宋体" w:cs="Times New Roman"/>
          <w:color w:val="auto"/>
          <w:highlight w:val="white"/>
        </w:rPr>
        <w:t>16.1.3</w:t>
      </w:r>
      <w:r>
        <w:rPr>
          <w:rStyle w:val="30"/>
          <w:rFonts w:hint="eastAsia" w:ascii="Calibri" w:hAnsi="Calibri" w:eastAsia="宋体" w:cs="Times New Roman"/>
          <w:color w:val="auto"/>
          <w:highlight w:val="white"/>
        </w:rPr>
        <w:t>项〔因发包人违约解除合同〕执行。</w:t>
      </w:r>
    </w:p>
    <w:p w14:paraId="5687990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7.8.7 </w:t>
      </w:r>
      <w:r>
        <w:rPr>
          <w:rStyle w:val="30"/>
          <w:rFonts w:hint="eastAsia" w:ascii="Calibri" w:hAnsi="Calibri" w:eastAsia="宋体" w:cs="Times New Roman"/>
          <w:color w:val="auto"/>
          <w:highlight w:val="white"/>
        </w:rPr>
        <w:t>暂停施工期间的工程照管</w:t>
      </w:r>
    </w:p>
    <w:p w14:paraId="1EE2E66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暂停施工期间，承包人应负责妥善照管工程并提供安全保障，由此增加的费用由责任方承担。</w:t>
      </w:r>
    </w:p>
    <w:p w14:paraId="77FFC84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7.8.8 </w:t>
      </w:r>
      <w:r>
        <w:rPr>
          <w:rStyle w:val="30"/>
          <w:rFonts w:hint="eastAsia" w:ascii="Calibri" w:hAnsi="Calibri" w:eastAsia="宋体" w:cs="Times New Roman"/>
          <w:color w:val="auto"/>
          <w:highlight w:val="white"/>
        </w:rPr>
        <w:t>暂停施工的措施</w:t>
      </w:r>
    </w:p>
    <w:p w14:paraId="276D861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暂停施工期间，发包人和承包人均应采取必要的措施确保工程质量及安全，防止因暂停施工扩大损失。</w:t>
      </w:r>
    </w:p>
    <w:p w14:paraId="4531B267">
      <w:pPr>
        <w:pStyle w:val="106"/>
        <w:rPr>
          <w:rStyle w:val="30"/>
          <w:rFonts w:ascii="Calibri" w:hAnsi="Calibri" w:eastAsia="宋体" w:cs="Times New Roman"/>
          <w:color w:val="auto"/>
        </w:rPr>
      </w:pPr>
      <w:r>
        <w:rPr>
          <w:rStyle w:val="30"/>
          <w:rFonts w:ascii="Calibri" w:hAnsi="Calibri" w:eastAsia="宋体" w:cs="Times New Roman"/>
          <w:color w:val="auto"/>
          <w:highlight w:val="white"/>
        </w:rPr>
        <w:t>7.9</w:t>
      </w:r>
      <w:r>
        <w:rPr>
          <w:rStyle w:val="30"/>
          <w:rFonts w:hint="eastAsia" w:ascii="Calibri" w:hAnsi="Calibri" w:eastAsia="宋体" w:cs="Times New Roman"/>
          <w:color w:val="auto"/>
          <w:highlight w:val="white"/>
        </w:rPr>
        <w:t>提前竣工</w:t>
      </w:r>
    </w:p>
    <w:p w14:paraId="6301C0C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7.9.1 </w:t>
      </w:r>
      <w:r>
        <w:rPr>
          <w:rStyle w:val="30"/>
          <w:rFonts w:hint="eastAsia" w:ascii="Calibri" w:hAnsi="Calibri" w:eastAsia="宋体" w:cs="Times New Roman"/>
          <w:color w:val="auto"/>
          <w:highlight w:val="white"/>
        </w:rPr>
        <w:t>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天内予以答复。任何情况下，发包人不得压缩合理工期。</w:t>
      </w:r>
    </w:p>
    <w:p w14:paraId="554BDD3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7.9.2 </w:t>
      </w:r>
      <w:r>
        <w:rPr>
          <w:rStyle w:val="30"/>
          <w:rFonts w:hint="eastAsia" w:ascii="Calibri" w:hAnsi="Calibri" w:eastAsia="宋体" w:cs="Times New Roman"/>
          <w:color w:val="auto"/>
          <w:highlight w:val="white"/>
        </w:rPr>
        <w:t>发包人要求承包人提前竣工，或承包人提出提前竣工的建议能够给发包人带来效益的，合同当事人可以在专用合同条款中约定提前竣工的奖励。</w:t>
      </w:r>
    </w:p>
    <w:p w14:paraId="78D04B2C">
      <w:pPr>
        <w:pStyle w:val="108"/>
        <w:numPr>
          <w:ilvl w:val="0"/>
          <w:numId w:val="0"/>
        </w:numPr>
        <w:rPr>
          <w:rStyle w:val="30"/>
          <w:rFonts w:eastAsia="宋体" w:cs="Times New Roman"/>
          <w:color w:val="auto"/>
        </w:rPr>
      </w:pPr>
      <w:r>
        <w:rPr>
          <w:rStyle w:val="30"/>
          <w:rFonts w:eastAsia="宋体" w:cs="Times New Roman"/>
          <w:color w:val="auto"/>
          <w:highlight w:val="white"/>
        </w:rPr>
        <w:t xml:space="preserve">8. </w:t>
      </w:r>
      <w:r>
        <w:rPr>
          <w:rStyle w:val="30"/>
          <w:rFonts w:hint="eastAsia" w:eastAsia="宋体" w:cs="Times New Roman"/>
          <w:color w:val="auto"/>
          <w:highlight w:val="white"/>
        </w:rPr>
        <w:t>材料与设备</w:t>
      </w:r>
    </w:p>
    <w:p w14:paraId="4E14FC44">
      <w:pPr>
        <w:pStyle w:val="106"/>
        <w:rPr>
          <w:rStyle w:val="30"/>
          <w:rFonts w:ascii="Calibri" w:hAnsi="Calibri" w:eastAsia="宋体" w:cs="Times New Roman"/>
          <w:color w:val="auto"/>
        </w:rPr>
      </w:pPr>
      <w:r>
        <w:rPr>
          <w:rStyle w:val="30"/>
          <w:rFonts w:ascii="Calibri" w:hAnsi="Calibri" w:eastAsia="宋体" w:cs="Times New Roman"/>
          <w:color w:val="auto"/>
          <w:highlight w:val="white"/>
        </w:rPr>
        <w:t>8.1</w:t>
      </w:r>
      <w:r>
        <w:rPr>
          <w:rStyle w:val="30"/>
          <w:rFonts w:hint="eastAsia" w:ascii="Calibri" w:hAnsi="Calibri" w:eastAsia="宋体" w:cs="Times New Roman"/>
          <w:color w:val="auto"/>
          <w:highlight w:val="white"/>
        </w:rPr>
        <w:t>发包人供应材料与工程设备</w:t>
      </w:r>
    </w:p>
    <w:p w14:paraId="12B6102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发包人自行供应材料、工程设备的，应在签订合同时在专用合同条款的附件《发包人供应材料设备一览表》中明确材料、工程设备的品种、规格、型号、数量、单价、质量等级和送达地点。</w:t>
      </w:r>
    </w:p>
    <w:p w14:paraId="3F0A8E5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承包人应提前</w:t>
      </w:r>
      <w:r>
        <w:rPr>
          <w:rStyle w:val="30"/>
          <w:rFonts w:ascii="Calibri" w:hAnsi="Calibri" w:eastAsia="宋体" w:cs="Times New Roman"/>
          <w:color w:val="auto"/>
          <w:highlight w:val="white"/>
        </w:rPr>
        <w:t>30</w:t>
      </w:r>
      <w:r>
        <w:rPr>
          <w:rStyle w:val="30"/>
          <w:rFonts w:hint="eastAsia" w:ascii="Calibri" w:hAnsi="Calibri" w:eastAsia="宋体" w:cs="Times New Roman"/>
          <w:color w:val="auto"/>
          <w:highlight w:val="white"/>
        </w:rPr>
        <w:t>天通过监理人以书面形式通知发包人供应材料与工程设备进场。承包人按照第</w:t>
      </w:r>
      <w:r>
        <w:rPr>
          <w:rStyle w:val="30"/>
          <w:rFonts w:ascii="Calibri" w:hAnsi="Calibri" w:eastAsia="宋体" w:cs="Times New Roman"/>
          <w:color w:val="auto"/>
          <w:highlight w:val="white"/>
        </w:rPr>
        <w:t>7.2.2</w:t>
      </w:r>
      <w:r>
        <w:rPr>
          <w:rStyle w:val="30"/>
          <w:rFonts w:hint="eastAsia" w:ascii="Calibri" w:hAnsi="Calibri" w:eastAsia="宋体" w:cs="Times New Roman"/>
          <w:color w:val="auto"/>
          <w:highlight w:val="white"/>
        </w:rPr>
        <w:t>项〔施工进度计划的修订〕约定修订施工进度计划时，需同时提交经修订后的发包人供应材料与工程设备的进场计划。</w:t>
      </w:r>
    </w:p>
    <w:p w14:paraId="7D4FFDAB">
      <w:pPr>
        <w:pStyle w:val="106"/>
        <w:rPr>
          <w:rStyle w:val="30"/>
          <w:rFonts w:ascii="Calibri" w:hAnsi="Calibri" w:eastAsia="宋体" w:cs="Times New Roman"/>
          <w:color w:val="auto"/>
        </w:rPr>
      </w:pPr>
      <w:r>
        <w:rPr>
          <w:rStyle w:val="30"/>
          <w:rFonts w:ascii="Calibri" w:hAnsi="Calibri" w:eastAsia="宋体" w:cs="Times New Roman"/>
          <w:color w:val="auto"/>
          <w:highlight w:val="white"/>
        </w:rPr>
        <w:t>8.2</w:t>
      </w:r>
      <w:r>
        <w:rPr>
          <w:rStyle w:val="30"/>
          <w:rFonts w:hint="eastAsia" w:ascii="Calibri" w:hAnsi="Calibri" w:eastAsia="宋体" w:cs="Times New Roman"/>
          <w:color w:val="auto"/>
          <w:highlight w:val="white"/>
        </w:rPr>
        <w:t>承包人采购材料与工程设备</w:t>
      </w:r>
    </w:p>
    <w:p w14:paraId="282ADB1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4245E1B5">
      <w:pPr>
        <w:pStyle w:val="106"/>
        <w:rPr>
          <w:rStyle w:val="30"/>
          <w:rFonts w:ascii="Calibri" w:hAnsi="Calibri" w:eastAsia="宋体" w:cs="Times New Roman"/>
          <w:color w:val="auto"/>
        </w:rPr>
      </w:pPr>
      <w:r>
        <w:rPr>
          <w:rStyle w:val="30"/>
          <w:rFonts w:ascii="Calibri" w:hAnsi="Calibri" w:eastAsia="宋体" w:cs="Times New Roman"/>
          <w:color w:val="auto"/>
          <w:highlight w:val="white"/>
        </w:rPr>
        <w:t>8.3</w:t>
      </w:r>
      <w:r>
        <w:rPr>
          <w:rStyle w:val="30"/>
          <w:rFonts w:hint="eastAsia" w:ascii="Calibri" w:hAnsi="Calibri" w:eastAsia="宋体" w:cs="Times New Roman"/>
          <w:color w:val="auto"/>
          <w:highlight w:val="white"/>
        </w:rPr>
        <w:t>材料与工程设备的接收与拒收</w:t>
      </w:r>
    </w:p>
    <w:p w14:paraId="590FF8D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8.3.1 </w:t>
      </w:r>
      <w:r>
        <w:rPr>
          <w:rStyle w:val="30"/>
          <w:rFonts w:hint="eastAsia" w:ascii="Calibri" w:hAnsi="Calibri" w:eastAsia="宋体" w:cs="Times New Roman"/>
          <w:color w:val="auto"/>
          <w:highlight w:val="white"/>
        </w:rPr>
        <w:t>发包人应按《发包人供应材料设备一览表》约定的内容提供材料和工程设备，并向承包人提供产品合格证明及出厂证明，对其质量负责。发包人应提前</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小时以书面形式通知承包人、监理人材料和工程设备到货时间，承包人负责材料和工程设备的清点、检验和接收。</w:t>
      </w:r>
    </w:p>
    <w:p w14:paraId="199D1AC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发包人提供的材料和工程设备的规格、数量或质量不符合合同约定的，或因发包人原因导致交货日期延误或交货地点变更等情况的，按照第</w:t>
      </w:r>
      <w:r>
        <w:rPr>
          <w:rStyle w:val="30"/>
          <w:rFonts w:ascii="Calibri" w:hAnsi="Calibri" w:eastAsia="宋体" w:cs="Times New Roman"/>
          <w:color w:val="auto"/>
          <w:highlight w:val="white"/>
        </w:rPr>
        <w:t>16.1</w:t>
      </w:r>
      <w:r>
        <w:rPr>
          <w:rStyle w:val="30"/>
          <w:rFonts w:hint="eastAsia" w:ascii="Calibri" w:hAnsi="Calibri" w:eastAsia="宋体" w:cs="Times New Roman"/>
          <w:color w:val="auto"/>
          <w:highlight w:val="white"/>
        </w:rPr>
        <w:t>款〔发包人违约〕约定办理。</w:t>
      </w:r>
    </w:p>
    <w:p w14:paraId="051E46B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8.3.2 </w:t>
      </w:r>
      <w:r>
        <w:rPr>
          <w:rStyle w:val="30"/>
          <w:rFonts w:hint="eastAsia" w:ascii="Calibri" w:hAnsi="Calibri" w:eastAsia="宋体" w:cs="Times New Roman"/>
          <w:color w:val="auto"/>
          <w:highlight w:val="white"/>
        </w:rPr>
        <w:t>承包人采购的材料和工程设备，应保证产品质量合格，承包人应在材料和工程设备到货前</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小时通知监理人检验。承包人进行永久设备、材料的制造和生产的，应符合相关质量标准，并向监理人提交材料的样本以及有关资料，并应在使用该材料或工程设备之前获得监理人同意。</w:t>
      </w:r>
    </w:p>
    <w:p w14:paraId="5B9DAB8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62813AB4">
      <w:pPr>
        <w:pStyle w:val="106"/>
        <w:rPr>
          <w:rStyle w:val="30"/>
          <w:rFonts w:ascii="Calibri" w:hAnsi="Calibri" w:eastAsia="宋体" w:cs="Times New Roman"/>
          <w:color w:val="auto"/>
        </w:rPr>
      </w:pPr>
      <w:r>
        <w:rPr>
          <w:rStyle w:val="30"/>
          <w:rFonts w:ascii="Calibri" w:hAnsi="Calibri" w:eastAsia="宋体" w:cs="Times New Roman"/>
          <w:color w:val="auto"/>
          <w:highlight w:val="white"/>
        </w:rPr>
        <w:t>8.4</w:t>
      </w:r>
      <w:r>
        <w:rPr>
          <w:rStyle w:val="30"/>
          <w:rFonts w:hint="eastAsia" w:ascii="Calibri" w:hAnsi="Calibri" w:eastAsia="宋体" w:cs="Times New Roman"/>
          <w:color w:val="auto"/>
          <w:highlight w:val="white"/>
        </w:rPr>
        <w:t>材料与工程设备的保管与使用</w:t>
      </w:r>
    </w:p>
    <w:p w14:paraId="11C63DD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8.4.1 </w:t>
      </w:r>
      <w:r>
        <w:rPr>
          <w:rStyle w:val="30"/>
          <w:rFonts w:hint="eastAsia" w:ascii="Calibri" w:hAnsi="Calibri" w:eastAsia="宋体" w:cs="Times New Roman"/>
          <w:color w:val="auto"/>
          <w:highlight w:val="white"/>
        </w:rPr>
        <w:t>发包人供应材料与工程设备的保管与使用</w:t>
      </w:r>
    </w:p>
    <w:p w14:paraId="7B52E81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46C7E37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发包人供应的材料和工程设备使用前，由承包人负责检验，检验费用由发包人承担，不合格的不得使用。</w:t>
      </w:r>
    </w:p>
    <w:p w14:paraId="21BCD8C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8.4.2 </w:t>
      </w:r>
      <w:r>
        <w:rPr>
          <w:rStyle w:val="30"/>
          <w:rFonts w:hint="eastAsia" w:ascii="Calibri" w:hAnsi="Calibri" w:eastAsia="宋体" w:cs="Times New Roman"/>
          <w:color w:val="auto"/>
          <w:highlight w:val="white"/>
        </w:rPr>
        <w:t>承包人采购材料与工程设备的保管与使用</w:t>
      </w:r>
    </w:p>
    <w:p w14:paraId="5F1468F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6BAF9DA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发包人或监理人发现承包人使用不符合设计或有关标准要求的材料和工程设备时，有权要求承包人进行修复、拆除或重新采购，由此增加的费用和（或）延误的工期，由承包人承担。</w:t>
      </w:r>
    </w:p>
    <w:p w14:paraId="3A829AF9">
      <w:pPr>
        <w:pStyle w:val="106"/>
        <w:rPr>
          <w:rStyle w:val="30"/>
          <w:rFonts w:ascii="Calibri" w:hAnsi="Calibri" w:eastAsia="宋体" w:cs="Times New Roman"/>
          <w:color w:val="auto"/>
        </w:rPr>
      </w:pPr>
      <w:r>
        <w:rPr>
          <w:rStyle w:val="30"/>
          <w:rFonts w:ascii="Calibri" w:hAnsi="Calibri" w:eastAsia="宋体" w:cs="Times New Roman"/>
          <w:color w:val="auto"/>
          <w:highlight w:val="white"/>
        </w:rPr>
        <w:t>8.5</w:t>
      </w:r>
      <w:r>
        <w:rPr>
          <w:rStyle w:val="30"/>
          <w:rFonts w:hint="eastAsia" w:ascii="Calibri" w:hAnsi="Calibri" w:eastAsia="宋体" w:cs="Times New Roman"/>
          <w:color w:val="auto"/>
          <w:highlight w:val="white"/>
        </w:rPr>
        <w:t>禁止使用不合格的材料和工程设备</w:t>
      </w:r>
    </w:p>
    <w:p w14:paraId="1774BCC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8.5.1 </w:t>
      </w:r>
      <w:r>
        <w:rPr>
          <w:rStyle w:val="30"/>
          <w:rFonts w:hint="eastAsia" w:ascii="Calibri" w:hAnsi="Calibri" w:eastAsia="宋体" w:cs="Times New Roman"/>
          <w:color w:val="auto"/>
          <w:highlight w:val="white"/>
        </w:rPr>
        <w:t>监理人有权拒绝承包人提供的不合格材料或工程设备，并要求承包人立即进行更换。监理人应在更换后再次进行检查和检验，由此增加的费用和（或）延误的工期由承包人承担。</w:t>
      </w:r>
    </w:p>
    <w:p w14:paraId="4282A3D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8.5.2 </w:t>
      </w:r>
      <w:r>
        <w:rPr>
          <w:rStyle w:val="30"/>
          <w:rFonts w:hint="eastAsia" w:ascii="Calibri" w:hAnsi="Calibri" w:eastAsia="宋体" w:cs="Times New Roman"/>
          <w:color w:val="auto"/>
          <w:highlight w:val="white"/>
        </w:rPr>
        <w:t>监理人发现承包人使用了不合格的材料和工程设备，承包人应按照监理人的指示立即改正，并禁止在工程中继续使用不合格的材料和工程设备。</w:t>
      </w:r>
    </w:p>
    <w:p w14:paraId="3C74F5F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8.5.3 </w:t>
      </w:r>
      <w:r>
        <w:rPr>
          <w:rStyle w:val="30"/>
          <w:rFonts w:hint="eastAsia" w:ascii="Calibri" w:hAnsi="Calibri" w:eastAsia="宋体" w:cs="Times New Roman"/>
          <w:color w:val="auto"/>
          <w:highlight w:val="white"/>
        </w:rPr>
        <w:t>发包人提供的材料或工程设备不符合合同要求的，承包人有权拒绝，并可要求发包人更换，由此增加的费用和（或）延误的工期由发包人承担，并支付承包人合理的利润。</w:t>
      </w:r>
    </w:p>
    <w:p w14:paraId="7A5CFBF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8.6 </w:t>
      </w:r>
      <w:r>
        <w:rPr>
          <w:rStyle w:val="30"/>
          <w:rFonts w:hint="eastAsia" w:ascii="Calibri" w:hAnsi="Calibri" w:eastAsia="宋体" w:cs="Times New Roman"/>
          <w:color w:val="auto"/>
          <w:highlight w:val="white"/>
        </w:rPr>
        <w:t>样品</w:t>
      </w:r>
    </w:p>
    <w:p w14:paraId="76D1CBF4">
      <w:pPr>
        <w:pStyle w:val="106"/>
        <w:rPr>
          <w:rStyle w:val="30"/>
          <w:rFonts w:ascii="Calibri" w:hAnsi="Calibri" w:eastAsia="宋体" w:cs="Times New Roman"/>
          <w:color w:val="auto"/>
        </w:rPr>
      </w:pPr>
      <w:r>
        <w:rPr>
          <w:rStyle w:val="30"/>
          <w:rFonts w:ascii="Calibri" w:hAnsi="Calibri" w:eastAsia="宋体" w:cs="Times New Roman"/>
          <w:color w:val="auto"/>
          <w:highlight w:val="white"/>
        </w:rPr>
        <w:t>8.6.1</w:t>
      </w:r>
      <w:r>
        <w:rPr>
          <w:rStyle w:val="30"/>
          <w:rFonts w:ascii="Calibri" w:hAnsi="Calibri" w:eastAsia="宋体" w:cs="Times New Roman"/>
          <w:color w:val="auto"/>
          <w:highlight w:val="white"/>
        </w:rPr>
        <w:tab/>
      </w:r>
      <w:r>
        <w:rPr>
          <w:rStyle w:val="30"/>
          <w:rFonts w:hint="eastAsia" w:ascii="Calibri" w:hAnsi="Calibri" w:eastAsia="宋体" w:cs="Times New Roman"/>
          <w:color w:val="auto"/>
          <w:highlight w:val="white"/>
        </w:rPr>
        <w:t>样品的报送与封存</w:t>
      </w:r>
    </w:p>
    <w:p w14:paraId="65450D3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需要承包人报送样品的材料或工程设备，样品的种类、名称、规格、数量等要求均应在专用合同条款中约定。样品的报送程序如下：</w:t>
      </w:r>
    </w:p>
    <w:p w14:paraId="511518F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）承包人应在计划采购前</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天向监理人报送样品。承包人报送的样品均应来自供应材料的实际生产地，且提供的样品的规格、数量足以表明材料或工程设备的质量、型号、颜色、表面处理、质地、误差和其他要求的特征。</w:t>
      </w:r>
    </w:p>
    <w:p w14:paraId="1BA1C68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）承包人每次报送样品时应随附申报单，申报单应载明报送样品的相关数据和资料，并标明每件样品对应的图纸号，预留监理人批复意见栏。监理人应在收到承包人报送的样品后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天向承包人回复经发包人签认的样品审批意见。</w:t>
      </w:r>
    </w:p>
    <w:p w14:paraId="7DD2B1D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）经发包人和监理人审批确认的样品应按约定的方法封样，封存的样品作为检验工程相关部分的标准之一。承包人在施工过程中不得使用与样品不符的材料或工程设备。</w:t>
      </w:r>
    </w:p>
    <w:p w14:paraId="74BA4CA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242D196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8.6.2 </w:t>
      </w:r>
      <w:r>
        <w:rPr>
          <w:rStyle w:val="30"/>
          <w:rFonts w:hint="eastAsia" w:ascii="Calibri" w:hAnsi="Calibri" w:eastAsia="宋体" w:cs="Times New Roman"/>
          <w:color w:val="auto"/>
          <w:highlight w:val="white"/>
        </w:rPr>
        <w:t>样品的保管</w:t>
      </w:r>
    </w:p>
    <w:p w14:paraId="1BA1389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经批准的样品应由监理人负责封存于现场，承包人应在现场为保存样品提供适当和固定的场所并保持适当和良好的存储环境条件。</w:t>
      </w:r>
    </w:p>
    <w:p w14:paraId="6024C48D">
      <w:pPr>
        <w:pStyle w:val="106"/>
        <w:rPr>
          <w:rStyle w:val="30"/>
          <w:rFonts w:ascii="Calibri" w:hAnsi="Calibri" w:eastAsia="宋体" w:cs="Times New Roman"/>
          <w:color w:val="auto"/>
        </w:rPr>
      </w:pPr>
      <w:r>
        <w:rPr>
          <w:rStyle w:val="30"/>
          <w:rFonts w:ascii="Calibri" w:hAnsi="Calibri" w:eastAsia="宋体" w:cs="Times New Roman"/>
          <w:color w:val="auto"/>
          <w:highlight w:val="white"/>
        </w:rPr>
        <w:t>8.7</w:t>
      </w:r>
      <w:r>
        <w:rPr>
          <w:rStyle w:val="30"/>
          <w:rFonts w:hint="eastAsia" w:ascii="Calibri" w:hAnsi="Calibri" w:eastAsia="宋体" w:cs="Times New Roman"/>
          <w:color w:val="auto"/>
          <w:highlight w:val="white"/>
        </w:rPr>
        <w:t>材料与工程设备的替代</w:t>
      </w:r>
    </w:p>
    <w:p w14:paraId="51A2B30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8.7.1 </w:t>
      </w:r>
      <w:r>
        <w:rPr>
          <w:rStyle w:val="30"/>
          <w:rFonts w:hint="eastAsia" w:ascii="Calibri" w:hAnsi="Calibri" w:eastAsia="宋体" w:cs="Times New Roman"/>
          <w:color w:val="auto"/>
          <w:highlight w:val="white"/>
        </w:rPr>
        <w:t>出现下列情况需要使用替代材料和工程设备的，承包人应按照第</w:t>
      </w:r>
      <w:r>
        <w:rPr>
          <w:rStyle w:val="30"/>
          <w:rFonts w:ascii="Calibri" w:hAnsi="Calibri" w:eastAsia="宋体" w:cs="Times New Roman"/>
          <w:color w:val="auto"/>
          <w:highlight w:val="white"/>
        </w:rPr>
        <w:t>8.7.2</w:t>
      </w:r>
      <w:r>
        <w:rPr>
          <w:rStyle w:val="30"/>
          <w:rFonts w:hint="eastAsia" w:ascii="Calibri" w:hAnsi="Calibri" w:eastAsia="宋体" w:cs="Times New Roman"/>
          <w:color w:val="auto"/>
          <w:highlight w:val="white"/>
        </w:rPr>
        <w:t>项约定的程序执行：</w:t>
      </w:r>
    </w:p>
    <w:p w14:paraId="40F36B8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）基准日期后生效的法律规定禁止使用的；</w:t>
      </w:r>
    </w:p>
    <w:p w14:paraId="6A65766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）发包人要求使用替代品的；</w:t>
      </w:r>
    </w:p>
    <w:p w14:paraId="64FE2E4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）因其他原因必须使用替代品的。</w:t>
      </w:r>
    </w:p>
    <w:p w14:paraId="4EB50CB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8.7.2 </w:t>
      </w:r>
      <w:r>
        <w:rPr>
          <w:rStyle w:val="30"/>
          <w:rFonts w:hint="eastAsia" w:ascii="Calibri" w:hAnsi="Calibri" w:eastAsia="宋体" w:cs="Times New Roman"/>
          <w:color w:val="auto"/>
          <w:highlight w:val="white"/>
        </w:rPr>
        <w:t>承包人应在使用替代材料和工程设备</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天前书面通知监理人，并附下列文件：</w:t>
      </w:r>
    </w:p>
    <w:p w14:paraId="5400E99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）被替代的材料和工程设备的名称、数量、规格、型号、品牌、性能、价格及其他相关资料；</w:t>
      </w:r>
    </w:p>
    <w:p w14:paraId="717EE17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）替代品的名称、数量、规格、型号、品牌、性能、价格及其他相关资料；</w:t>
      </w:r>
    </w:p>
    <w:p w14:paraId="6A4B78F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）替代品与被替代产品之间的差异以及使用替代品可能对工程产生的影响；</w:t>
      </w:r>
    </w:p>
    <w:p w14:paraId="21D2FD0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）替代品与被替代产品的价格差异；</w:t>
      </w:r>
    </w:p>
    <w:p w14:paraId="11BF7FF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）使用替代品的理由和原因说明；</w:t>
      </w:r>
    </w:p>
    <w:p w14:paraId="0735179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）监理人要求的其他文件。</w:t>
      </w:r>
    </w:p>
    <w:p w14:paraId="48B0669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监理人应在收到通知后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天内向承包人发出经发包人签认的书面指示；监理人逾期发出书面指示的，视为发包人和监理人同意使用替代品。</w:t>
      </w:r>
    </w:p>
    <w:p w14:paraId="68BD89B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8.7.3 </w:t>
      </w:r>
      <w:r>
        <w:rPr>
          <w:rStyle w:val="30"/>
          <w:rFonts w:hint="eastAsia" w:ascii="Calibri" w:hAnsi="Calibri" w:eastAsia="宋体" w:cs="Times New Roman"/>
          <w:color w:val="auto"/>
          <w:highlight w:val="white"/>
        </w:rPr>
        <w:t>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款〔商定或确定〕确定价格。</w:t>
      </w:r>
    </w:p>
    <w:p w14:paraId="210F6EDD">
      <w:pPr>
        <w:pStyle w:val="106"/>
        <w:rPr>
          <w:rStyle w:val="30"/>
          <w:rFonts w:ascii="Calibri" w:hAnsi="Calibri" w:eastAsia="宋体" w:cs="Times New Roman"/>
          <w:color w:val="auto"/>
        </w:rPr>
      </w:pPr>
      <w:r>
        <w:rPr>
          <w:rStyle w:val="30"/>
          <w:rFonts w:ascii="Calibri" w:hAnsi="Calibri" w:eastAsia="宋体" w:cs="Times New Roman"/>
          <w:color w:val="auto"/>
          <w:highlight w:val="white"/>
        </w:rPr>
        <w:t>8.8</w:t>
      </w:r>
      <w:r>
        <w:rPr>
          <w:rStyle w:val="30"/>
          <w:rFonts w:hint="eastAsia" w:ascii="Calibri" w:hAnsi="Calibri" w:eastAsia="宋体" w:cs="Times New Roman"/>
          <w:color w:val="auto"/>
          <w:highlight w:val="white"/>
        </w:rPr>
        <w:t>施工设备和临时设施</w:t>
      </w:r>
    </w:p>
    <w:p w14:paraId="2617C21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8.8.1 </w:t>
      </w:r>
      <w:r>
        <w:rPr>
          <w:rStyle w:val="30"/>
          <w:rFonts w:hint="eastAsia" w:ascii="Calibri" w:hAnsi="Calibri" w:eastAsia="宋体" w:cs="Times New Roman"/>
          <w:color w:val="auto"/>
          <w:highlight w:val="white"/>
        </w:rPr>
        <w:t>承包人提供的施工设备和临时设施</w:t>
      </w:r>
    </w:p>
    <w:p w14:paraId="5B9474E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承包人应按合同进度计划的要求，及时配置施工设备和修建临时设施。进入施工场地的承包人设备需经监理人核查后才能投入使用。承包人更换合同约定的承包人设备的，应报监理人批准。</w:t>
      </w:r>
    </w:p>
    <w:p w14:paraId="1BC26C1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除专用合同条款另有约定外，承包人应自行承担修建临时设施的费用，需要临时占地的，应由发包人办理申请手续并承担相应费用。</w:t>
      </w:r>
    </w:p>
    <w:p w14:paraId="4D4E0D9A">
      <w:pPr>
        <w:pStyle w:val="106"/>
        <w:rPr>
          <w:rStyle w:val="30"/>
          <w:rFonts w:ascii="Calibri" w:hAnsi="Calibri" w:eastAsia="宋体" w:cs="Times New Roman"/>
          <w:color w:val="auto"/>
        </w:rPr>
      </w:pPr>
      <w:r>
        <w:rPr>
          <w:rStyle w:val="30"/>
          <w:rFonts w:ascii="Calibri" w:hAnsi="Calibri" w:eastAsia="宋体" w:cs="Times New Roman"/>
          <w:color w:val="auto"/>
          <w:highlight w:val="white"/>
        </w:rPr>
        <w:t>8.8.2</w:t>
      </w:r>
      <w:r>
        <w:rPr>
          <w:rStyle w:val="30"/>
          <w:rFonts w:hint="eastAsia" w:ascii="Calibri" w:hAnsi="Calibri" w:eastAsia="宋体" w:cs="Times New Roman"/>
          <w:color w:val="auto"/>
          <w:highlight w:val="white"/>
        </w:rPr>
        <w:t>发包人提供的施工设备和临时设施</w:t>
      </w:r>
    </w:p>
    <w:p w14:paraId="0E23653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发包人提供的施工设备或临时设施在专用合同条款中约定。</w:t>
      </w:r>
    </w:p>
    <w:p w14:paraId="0DD9DEA4">
      <w:pPr>
        <w:pStyle w:val="106"/>
        <w:rPr>
          <w:rStyle w:val="30"/>
          <w:rFonts w:ascii="Calibri" w:hAnsi="Calibri" w:eastAsia="宋体" w:cs="Times New Roman"/>
          <w:color w:val="auto"/>
        </w:rPr>
      </w:pPr>
      <w:r>
        <w:rPr>
          <w:rStyle w:val="30"/>
          <w:rFonts w:ascii="Calibri" w:hAnsi="Calibri" w:eastAsia="宋体" w:cs="Times New Roman"/>
          <w:color w:val="auto"/>
          <w:highlight w:val="white"/>
        </w:rPr>
        <w:t>8.8.3</w:t>
      </w:r>
      <w:r>
        <w:rPr>
          <w:rStyle w:val="30"/>
          <w:rFonts w:hint="eastAsia" w:ascii="Calibri" w:hAnsi="Calibri" w:eastAsia="宋体" w:cs="Times New Roman"/>
          <w:color w:val="auto"/>
          <w:highlight w:val="white"/>
        </w:rPr>
        <w:t>要求承包人增加或更换施工设备</w:t>
      </w:r>
    </w:p>
    <w:p w14:paraId="1BE5B70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承包人使用的施工设备不能满足合同进度计划和（或）质量要求时，监理人有权要求承包人增加或更换施工设备，承包人应及时增加或更换，由此增加的费用和（或）延误的工期由承包人承担。</w:t>
      </w:r>
    </w:p>
    <w:p w14:paraId="69D8E6F2">
      <w:pPr>
        <w:pStyle w:val="106"/>
        <w:rPr>
          <w:rStyle w:val="30"/>
          <w:rFonts w:ascii="Calibri" w:hAnsi="Calibri" w:eastAsia="宋体" w:cs="Times New Roman"/>
          <w:color w:val="auto"/>
        </w:rPr>
      </w:pPr>
      <w:r>
        <w:rPr>
          <w:rStyle w:val="30"/>
          <w:rFonts w:ascii="Calibri" w:hAnsi="Calibri" w:eastAsia="宋体" w:cs="Times New Roman"/>
          <w:color w:val="auto"/>
          <w:highlight w:val="white"/>
        </w:rPr>
        <w:t>8.9</w:t>
      </w:r>
      <w:r>
        <w:rPr>
          <w:rStyle w:val="30"/>
          <w:rFonts w:hint="eastAsia" w:ascii="Calibri" w:hAnsi="Calibri" w:eastAsia="宋体" w:cs="Times New Roman"/>
          <w:color w:val="auto"/>
          <w:highlight w:val="white"/>
        </w:rPr>
        <w:t>材料与设备专用要求</w:t>
      </w:r>
    </w:p>
    <w:p w14:paraId="0BDE21A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运入施工现场的材料、工程设备、施工设备以及在施工场地建设的临时设施，包括备品备件、安装工具与资料，必须专用于工程。未经发包人批准，承包人不得运出施工现场或挪作他用；经发包人批准，承包人可以根据施工进度计划撤走闲置的施工设备和其他物品。</w:t>
      </w:r>
    </w:p>
    <w:p w14:paraId="695FDA76">
      <w:pPr>
        <w:pStyle w:val="108"/>
        <w:numPr>
          <w:ilvl w:val="0"/>
          <w:numId w:val="0"/>
        </w:numPr>
        <w:rPr>
          <w:rStyle w:val="30"/>
          <w:rFonts w:eastAsia="宋体" w:cs="Times New Roman"/>
          <w:color w:val="auto"/>
        </w:rPr>
      </w:pPr>
      <w:r>
        <w:rPr>
          <w:rStyle w:val="30"/>
          <w:rFonts w:eastAsia="宋体" w:cs="Times New Roman"/>
          <w:color w:val="auto"/>
          <w:highlight w:val="white"/>
        </w:rPr>
        <w:t xml:space="preserve">9. </w:t>
      </w:r>
      <w:r>
        <w:rPr>
          <w:rStyle w:val="30"/>
          <w:rFonts w:hint="eastAsia" w:eastAsia="宋体" w:cs="Times New Roman"/>
          <w:color w:val="auto"/>
          <w:highlight w:val="white"/>
        </w:rPr>
        <w:t>试验与检验</w:t>
      </w:r>
    </w:p>
    <w:p w14:paraId="557080FF">
      <w:pPr>
        <w:pStyle w:val="106"/>
        <w:rPr>
          <w:rStyle w:val="30"/>
          <w:rFonts w:ascii="Calibri" w:hAnsi="Calibri" w:eastAsia="宋体" w:cs="Times New Roman"/>
          <w:color w:val="auto"/>
        </w:rPr>
      </w:pPr>
      <w:r>
        <w:rPr>
          <w:rStyle w:val="30"/>
          <w:rFonts w:ascii="Calibri" w:hAnsi="Calibri" w:eastAsia="宋体" w:cs="Times New Roman"/>
          <w:color w:val="auto"/>
          <w:highlight w:val="white"/>
        </w:rPr>
        <w:t>9.1</w:t>
      </w:r>
      <w:r>
        <w:rPr>
          <w:rStyle w:val="30"/>
          <w:rFonts w:hint="eastAsia" w:ascii="Calibri" w:hAnsi="Calibri" w:eastAsia="宋体" w:cs="Times New Roman"/>
          <w:color w:val="auto"/>
          <w:highlight w:val="white"/>
        </w:rPr>
        <w:t>试验设备与试验人员</w:t>
      </w:r>
    </w:p>
    <w:p w14:paraId="29BC18F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9.1.1 </w:t>
      </w:r>
      <w:r>
        <w:rPr>
          <w:rStyle w:val="30"/>
          <w:rFonts w:hint="eastAsia" w:ascii="Calibri" w:hAnsi="Calibri" w:eastAsia="宋体" w:cs="Times New Roman"/>
          <w:color w:val="auto"/>
          <w:highlight w:val="white"/>
        </w:rPr>
        <w:t>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71A3D19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9.1.2 </w:t>
      </w:r>
      <w:r>
        <w:rPr>
          <w:rStyle w:val="30"/>
          <w:rFonts w:hint="eastAsia" w:ascii="Calibri" w:hAnsi="Calibri" w:eastAsia="宋体" w:cs="Times New Roman"/>
          <w:color w:val="auto"/>
          <w:highlight w:val="white"/>
        </w:rPr>
        <w:t>承包人应按专用合同条款的约定提供试验设备、取样装置、试验场所和试验条件，并向监理人提交相应进场计划表。</w:t>
      </w:r>
    </w:p>
    <w:p w14:paraId="7BDDCA4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承包人配置的试验设备要符合相应试验规程的要求并经过具有资质的检测单位检测，且在正式使用该试验设备前，需要经过监理人与承包人共同校定。</w:t>
      </w:r>
    </w:p>
    <w:p w14:paraId="37F8307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9.1.3 </w:t>
      </w:r>
      <w:r>
        <w:rPr>
          <w:rStyle w:val="30"/>
          <w:rFonts w:hint="eastAsia" w:ascii="Calibri" w:hAnsi="Calibri" w:eastAsia="宋体" w:cs="Times New Roman"/>
          <w:color w:val="auto"/>
          <w:highlight w:val="white"/>
        </w:rPr>
        <w:t>承包人应向监理人提交试验人员的名单及其岗位、资格等证明资料，试验人员必须能够熟练进行相应的检测试验，承包人对试验人员的试验程序和试验结果的正确性负责。</w:t>
      </w:r>
    </w:p>
    <w:p w14:paraId="792EB864">
      <w:pPr>
        <w:pStyle w:val="106"/>
        <w:rPr>
          <w:rStyle w:val="30"/>
          <w:rFonts w:ascii="Calibri" w:hAnsi="Calibri" w:eastAsia="宋体" w:cs="Times New Roman"/>
          <w:color w:val="auto"/>
        </w:rPr>
      </w:pPr>
      <w:r>
        <w:rPr>
          <w:rStyle w:val="30"/>
          <w:rFonts w:ascii="Calibri" w:hAnsi="Calibri" w:eastAsia="宋体" w:cs="Times New Roman"/>
          <w:color w:val="auto"/>
          <w:highlight w:val="white"/>
        </w:rPr>
        <w:t>9.2</w:t>
      </w:r>
      <w:r>
        <w:rPr>
          <w:rStyle w:val="30"/>
          <w:rFonts w:hint="eastAsia" w:ascii="Calibri" w:hAnsi="Calibri" w:eastAsia="宋体" w:cs="Times New Roman"/>
          <w:color w:val="auto"/>
          <w:highlight w:val="white"/>
        </w:rPr>
        <w:t>取样</w:t>
      </w:r>
    </w:p>
    <w:p w14:paraId="6E10270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试验属于自检性质的，承包人可以单独取样。试验属于监理人抽检性质的，可由监理人取样，也可由承包人的试验人员在监理人的监督下取样。</w:t>
      </w:r>
    </w:p>
    <w:p w14:paraId="642BBF35">
      <w:pPr>
        <w:pStyle w:val="106"/>
        <w:rPr>
          <w:rStyle w:val="30"/>
          <w:rFonts w:ascii="Calibri" w:hAnsi="Calibri" w:eastAsia="宋体" w:cs="Times New Roman"/>
          <w:color w:val="auto"/>
        </w:rPr>
      </w:pPr>
      <w:r>
        <w:rPr>
          <w:rStyle w:val="30"/>
          <w:rFonts w:ascii="Calibri" w:hAnsi="Calibri" w:eastAsia="宋体" w:cs="Times New Roman"/>
          <w:color w:val="auto"/>
          <w:highlight w:val="white"/>
        </w:rPr>
        <w:t>9.3</w:t>
      </w:r>
      <w:r>
        <w:rPr>
          <w:rStyle w:val="30"/>
          <w:rFonts w:hint="eastAsia" w:ascii="Calibri" w:hAnsi="Calibri" w:eastAsia="宋体" w:cs="Times New Roman"/>
          <w:color w:val="auto"/>
          <w:highlight w:val="white"/>
        </w:rPr>
        <w:t>材料、工程设备和工程的试验和检验</w:t>
      </w:r>
    </w:p>
    <w:p w14:paraId="16F0664D">
      <w:pPr>
        <w:pStyle w:val="106"/>
        <w:rPr>
          <w:rStyle w:val="30"/>
          <w:rFonts w:ascii="Calibri" w:hAnsi="Calibri" w:eastAsia="宋体" w:cs="Times New Roman"/>
          <w:color w:val="auto"/>
        </w:rPr>
      </w:pPr>
      <w:r>
        <w:rPr>
          <w:rStyle w:val="30"/>
          <w:rFonts w:ascii="Calibri" w:hAnsi="Calibri" w:eastAsia="宋体" w:cs="Times New Roman"/>
          <w:color w:val="auto"/>
          <w:highlight w:val="white"/>
        </w:rPr>
        <w:t>9.3.1</w:t>
      </w:r>
      <w:r>
        <w:rPr>
          <w:rStyle w:val="30"/>
          <w:rFonts w:hint="eastAsia" w:ascii="Calibri" w:hAnsi="Calibri" w:eastAsia="宋体" w:cs="Times New Roman"/>
          <w:color w:val="auto"/>
          <w:highlight w:val="white"/>
        </w:rPr>
        <w:t>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5EC99882">
      <w:pPr>
        <w:pStyle w:val="106"/>
        <w:rPr>
          <w:rStyle w:val="30"/>
          <w:rFonts w:ascii="Calibri" w:hAnsi="Calibri" w:eastAsia="宋体" w:cs="Times New Roman"/>
          <w:color w:val="auto"/>
        </w:rPr>
      </w:pPr>
      <w:r>
        <w:rPr>
          <w:rStyle w:val="30"/>
          <w:rFonts w:ascii="Calibri" w:hAnsi="Calibri" w:eastAsia="宋体" w:cs="Times New Roman"/>
          <w:color w:val="auto"/>
          <w:highlight w:val="white"/>
        </w:rPr>
        <w:t>9.3.2</w:t>
      </w:r>
      <w:r>
        <w:rPr>
          <w:rStyle w:val="30"/>
          <w:rFonts w:hint="eastAsia" w:ascii="Calibri" w:hAnsi="Calibri" w:eastAsia="宋体" w:cs="Times New Roman"/>
          <w:color w:val="auto"/>
          <w:highlight w:val="white"/>
        </w:rPr>
        <w:t>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35B2D626">
      <w:pPr>
        <w:pStyle w:val="106"/>
        <w:rPr>
          <w:rStyle w:val="30"/>
          <w:rFonts w:ascii="Calibri" w:hAnsi="Calibri" w:eastAsia="宋体" w:cs="Times New Roman"/>
          <w:color w:val="auto"/>
        </w:rPr>
      </w:pPr>
      <w:r>
        <w:rPr>
          <w:rStyle w:val="30"/>
          <w:rFonts w:ascii="Calibri" w:hAnsi="Calibri" w:eastAsia="宋体" w:cs="Times New Roman"/>
          <w:color w:val="auto"/>
          <w:highlight w:val="white"/>
        </w:rPr>
        <w:t>9.3.3</w:t>
      </w:r>
      <w:r>
        <w:rPr>
          <w:rStyle w:val="30"/>
          <w:rFonts w:hint="eastAsia" w:ascii="Calibri" w:hAnsi="Calibri" w:eastAsia="宋体" w:cs="Times New Roman"/>
          <w:color w:val="auto"/>
          <w:highlight w:val="white"/>
        </w:rPr>
        <w:t>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1157CE70">
      <w:pPr>
        <w:pStyle w:val="106"/>
        <w:rPr>
          <w:rStyle w:val="30"/>
          <w:rFonts w:ascii="Calibri" w:hAnsi="Calibri" w:eastAsia="宋体" w:cs="Times New Roman"/>
          <w:color w:val="auto"/>
        </w:rPr>
      </w:pPr>
      <w:r>
        <w:rPr>
          <w:rStyle w:val="30"/>
          <w:rFonts w:ascii="Calibri" w:hAnsi="Calibri" w:eastAsia="宋体" w:cs="Times New Roman"/>
          <w:color w:val="auto"/>
          <w:highlight w:val="white"/>
        </w:rPr>
        <w:t>9.4</w:t>
      </w:r>
      <w:r>
        <w:rPr>
          <w:rStyle w:val="30"/>
          <w:rFonts w:hint="eastAsia" w:ascii="Calibri" w:hAnsi="Calibri" w:eastAsia="宋体" w:cs="Times New Roman"/>
          <w:color w:val="auto"/>
          <w:highlight w:val="white"/>
        </w:rPr>
        <w:t>现场工艺试验</w:t>
      </w:r>
    </w:p>
    <w:p w14:paraId="4B87800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承包人应按合同约定或监理人指示进行现场工艺试验。对大型的现场工艺试验，监理人认为必要时，承包人应根据监理人提出的工艺试验要求，编制工艺试验措施计划，报送监理人审查。</w:t>
      </w:r>
    </w:p>
    <w:p w14:paraId="6B1160D9">
      <w:pPr>
        <w:pStyle w:val="108"/>
        <w:numPr>
          <w:ilvl w:val="0"/>
          <w:numId w:val="0"/>
        </w:numPr>
        <w:rPr>
          <w:rStyle w:val="30"/>
          <w:rFonts w:eastAsia="宋体" w:cs="Times New Roman"/>
          <w:color w:val="auto"/>
        </w:rPr>
      </w:pPr>
      <w:r>
        <w:rPr>
          <w:rStyle w:val="30"/>
          <w:rFonts w:eastAsia="宋体" w:cs="Times New Roman"/>
          <w:color w:val="auto"/>
          <w:highlight w:val="white"/>
        </w:rPr>
        <w:t xml:space="preserve">10. </w:t>
      </w:r>
      <w:r>
        <w:rPr>
          <w:rStyle w:val="30"/>
          <w:rFonts w:hint="eastAsia" w:eastAsia="宋体" w:cs="Times New Roman"/>
          <w:color w:val="auto"/>
          <w:highlight w:val="white"/>
        </w:rPr>
        <w:t>变更</w:t>
      </w:r>
    </w:p>
    <w:p w14:paraId="3D63285B">
      <w:pPr>
        <w:pStyle w:val="106"/>
        <w:rPr>
          <w:rStyle w:val="30"/>
          <w:rFonts w:ascii="Calibri" w:hAnsi="Calibri" w:eastAsia="宋体" w:cs="Times New Roman"/>
          <w:color w:val="auto"/>
        </w:rPr>
      </w:pPr>
      <w:r>
        <w:rPr>
          <w:rStyle w:val="30"/>
          <w:rFonts w:ascii="Calibri" w:hAnsi="Calibri" w:eastAsia="宋体" w:cs="Times New Roman"/>
          <w:color w:val="auto"/>
          <w:highlight w:val="white"/>
        </w:rPr>
        <w:t>10.1</w:t>
      </w:r>
      <w:r>
        <w:rPr>
          <w:rStyle w:val="30"/>
          <w:rFonts w:hint="eastAsia" w:ascii="Calibri" w:hAnsi="Calibri" w:eastAsia="宋体" w:cs="Times New Roman"/>
          <w:color w:val="auto"/>
          <w:highlight w:val="white"/>
        </w:rPr>
        <w:t>变更的范围</w:t>
      </w:r>
    </w:p>
    <w:p w14:paraId="34ACD82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除专用合同条款另有约定外，合同履行过程中发生以下情形的，应按照本条约定进行变更：</w:t>
      </w:r>
    </w:p>
    <w:p w14:paraId="39146B0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）增加或减少合同中任何工作，或追加额外的工作；</w:t>
      </w:r>
    </w:p>
    <w:p w14:paraId="3BB526C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）取消合同中任何工作，但转由他人实施的工作除外；</w:t>
      </w:r>
    </w:p>
    <w:p w14:paraId="2F6D82C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）改变合同中任何工作的质量标准或其他特性；</w:t>
      </w:r>
    </w:p>
    <w:p w14:paraId="6F6B038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）改变工程的基线、标高、位置和尺寸；</w:t>
      </w:r>
    </w:p>
    <w:p w14:paraId="5C283A7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）改变工程的时间安排或实施顺序。</w:t>
      </w:r>
    </w:p>
    <w:p w14:paraId="75CD1A25">
      <w:pPr>
        <w:pStyle w:val="106"/>
        <w:rPr>
          <w:rStyle w:val="30"/>
          <w:rFonts w:ascii="Calibri" w:hAnsi="Calibri" w:eastAsia="宋体" w:cs="Times New Roman"/>
          <w:color w:val="auto"/>
        </w:rPr>
      </w:pPr>
      <w:r>
        <w:rPr>
          <w:rStyle w:val="30"/>
          <w:rFonts w:ascii="Calibri" w:hAnsi="Calibri" w:eastAsia="宋体" w:cs="Times New Roman"/>
          <w:color w:val="auto"/>
          <w:highlight w:val="white"/>
        </w:rPr>
        <w:t>10.2</w:t>
      </w:r>
      <w:r>
        <w:rPr>
          <w:rStyle w:val="30"/>
          <w:rFonts w:hint="eastAsia" w:ascii="Calibri" w:hAnsi="Calibri" w:eastAsia="宋体" w:cs="Times New Roman"/>
          <w:color w:val="auto"/>
          <w:highlight w:val="white"/>
        </w:rPr>
        <w:t>变更权</w:t>
      </w:r>
    </w:p>
    <w:p w14:paraId="39B03C9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006891F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涉及设计变更的，应由设计人提供变更后的图纸和说明。如变更超过原设计标准或批准的建设规模时，发包人应及时办理规划、设计变更等审批手续。</w:t>
      </w:r>
    </w:p>
    <w:p w14:paraId="199A8895">
      <w:pPr>
        <w:pStyle w:val="106"/>
        <w:rPr>
          <w:rStyle w:val="30"/>
          <w:rFonts w:ascii="Calibri" w:hAnsi="Calibri" w:eastAsia="宋体" w:cs="Times New Roman"/>
          <w:color w:val="auto"/>
        </w:rPr>
      </w:pPr>
      <w:r>
        <w:rPr>
          <w:rStyle w:val="30"/>
          <w:rFonts w:ascii="Calibri" w:hAnsi="Calibri" w:eastAsia="宋体" w:cs="Times New Roman"/>
          <w:color w:val="auto"/>
          <w:highlight w:val="white"/>
        </w:rPr>
        <w:t>10.3</w:t>
      </w:r>
      <w:r>
        <w:rPr>
          <w:rStyle w:val="30"/>
          <w:rFonts w:hint="eastAsia" w:ascii="Calibri" w:hAnsi="Calibri" w:eastAsia="宋体" w:cs="Times New Roman"/>
          <w:color w:val="auto"/>
          <w:highlight w:val="white"/>
        </w:rPr>
        <w:t>变更程序</w:t>
      </w:r>
    </w:p>
    <w:p w14:paraId="15AB5F3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10.3.1 </w:t>
      </w:r>
      <w:r>
        <w:rPr>
          <w:rStyle w:val="30"/>
          <w:rFonts w:hint="eastAsia" w:ascii="Calibri" w:hAnsi="Calibri" w:eastAsia="宋体" w:cs="Times New Roman"/>
          <w:color w:val="auto"/>
          <w:highlight w:val="white"/>
        </w:rPr>
        <w:t>发包人提出变更</w:t>
      </w:r>
    </w:p>
    <w:p w14:paraId="31A2F5F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发包人提出变更的，应通过监理人向承包人发出变更指示，变更指示应说明计划变更的工程范围和变更的内容。</w:t>
      </w:r>
    </w:p>
    <w:p w14:paraId="1ECAE90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10.3.2 </w:t>
      </w:r>
      <w:r>
        <w:rPr>
          <w:rStyle w:val="30"/>
          <w:rFonts w:hint="eastAsia" w:ascii="Calibri" w:hAnsi="Calibri" w:eastAsia="宋体" w:cs="Times New Roman"/>
          <w:color w:val="auto"/>
          <w:highlight w:val="white"/>
        </w:rPr>
        <w:t>监理人提出变更建议</w:t>
      </w:r>
    </w:p>
    <w:p w14:paraId="792EAFB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23044E6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10.3.3 </w:t>
      </w:r>
      <w:r>
        <w:rPr>
          <w:rStyle w:val="30"/>
          <w:rFonts w:hint="eastAsia" w:ascii="Calibri" w:hAnsi="Calibri" w:eastAsia="宋体" w:cs="Times New Roman"/>
          <w:color w:val="auto"/>
          <w:highlight w:val="white"/>
        </w:rPr>
        <w:t>变更执行</w:t>
      </w:r>
    </w:p>
    <w:p w14:paraId="202CF48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承包人收到监理人下达的变更指示后，认为不能执行，应立即提出不能执行该变更指示的理由。承包人认为可以执行变更的，应当书面说明实施该变更指示对合同价格和工期的影响，且合同当事人应当按照第</w:t>
      </w:r>
      <w:r>
        <w:rPr>
          <w:rStyle w:val="30"/>
          <w:rFonts w:ascii="Calibri" w:hAnsi="Calibri" w:eastAsia="宋体" w:cs="Times New Roman"/>
          <w:color w:val="auto"/>
          <w:highlight w:val="white"/>
        </w:rPr>
        <w:t>10.4</w:t>
      </w:r>
      <w:r>
        <w:rPr>
          <w:rStyle w:val="30"/>
          <w:rFonts w:hint="eastAsia" w:ascii="Calibri" w:hAnsi="Calibri" w:eastAsia="宋体" w:cs="Times New Roman"/>
          <w:color w:val="auto"/>
          <w:highlight w:val="white"/>
        </w:rPr>
        <w:t>款〔变更估价〕约定确定变更估价。</w:t>
      </w:r>
    </w:p>
    <w:p w14:paraId="6F05D546">
      <w:pPr>
        <w:pStyle w:val="106"/>
        <w:rPr>
          <w:rStyle w:val="30"/>
          <w:rFonts w:ascii="Calibri" w:hAnsi="Calibri" w:eastAsia="宋体" w:cs="Times New Roman"/>
          <w:color w:val="auto"/>
        </w:rPr>
      </w:pPr>
      <w:r>
        <w:rPr>
          <w:rStyle w:val="30"/>
          <w:rFonts w:ascii="Calibri" w:hAnsi="Calibri" w:eastAsia="宋体" w:cs="Times New Roman"/>
          <w:color w:val="auto"/>
          <w:highlight w:val="white"/>
        </w:rPr>
        <w:t>10.4</w:t>
      </w:r>
      <w:r>
        <w:rPr>
          <w:rStyle w:val="30"/>
          <w:rFonts w:hint="eastAsia" w:ascii="Calibri" w:hAnsi="Calibri" w:eastAsia="宋体" w:cs="Times New Roman"/>
          <w:color w:val="auto"/>
          <w:highlight w:val="white"/>
        </w:rPr>
        <w:t>变更估价</w:t>
      </w:r>
    </w:p>
    <w:p w14:paraId="2C15CE3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10.4.1 </w:t>
      </w:r>
      <w:r>
        <w:rPr>
          <w:rStyle w:val="30"/>
          <w:rFonts w:hint="eastAsia" w:ascii="Calibri" w:hAnsi="Calibri" w:eastAsia="宋体" w:cs="Times New Roman"/>
          <w:color w:val="auto"/>
          <w:highlight w:val="white"/>
        </w:rPr>
        <w:t>变更估价原则</w:t>
      </w:r>
    </w:p>
    <w:p w14:paraId="241F386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除专用合同条款另有约定外，变更估价按照本款约定处理：</w:t>
      </w:r>
    </w:p>
    <w:p w14:paraId="1B06234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）已标价工程量清单或预算书有相同项目的，按照相同项目单价认定；</w:t>
      </w:r>
    </w:p>
    <w:p w14:paraId="1837551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）已标价工程量清单或预算书中无相同项目，但有类似项目的，参照类似项目的单价认定；</w:t>
      </w:r>
    </w:p>
    <w:p w14:paraId="4A71E33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）变更导致实际完成的变更工程量与已标价工程量清单或预算书中列明的该项目工程量的变化幅度超过</w:t>
      </w:r>
      <w:r>
        <w:rPr>
          <w:rStyle w:val="30"/>
          <w:rFonts w:ascii="Calibri" w:hAnsi="Calibri" w:eastAsia="宋体" w:cs="Times New Roman"/>
          <w:color w:val="auto"/>
          <w:highlight w:val="white"/>
        </w:rPr>
        <w:t>15%</w:t>
      </w:r>
      <w:r>
        <w:rPr>
          <w:rStyle w:val="30"/>
          <w:rFonts w:hint="eastAsia" w:ascii="Calibri" w:hAnsi="Calibri" w:eastAsia="宋体" w:cs="Times New Roman"/>
          <w:color w:val="auto"/>
          <w:highlight w:val="white"/>
        </w:rPr>
        <w:t>的，或已标价工程量清单或预算书中无相同项目及类似项目单价的，按照合理的成本与利润构成的原则，由合同当事人按照第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款〔商定或确定〕确定变更工作的单价。</w:t>
      </w:r>
    </w:p>
    <w:p w14:paraId="1B05F0B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10.4.2 </w:t>
      </w:r>
      <w:r>
        <w:rPr>
          <w:rStyle w:val="30"/>
          <w:rFonts w:hint="eastAsia" w:ascii="Calibri" w:hAnsi="Calibri" w:eastAsia="宋体" w:cs="Times New Roman"/>
          <w:color w:val="auto"/>
          <w:highlight w:val="white"/>
        </w:rPr>
        <w:t>变更估价程序</w:t>
      </w:r>
    </w:p>
    <w:p w14:paraId="4056119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承包人应在收到变更指示后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天内，向监理人提交变更估价申请。监理人应在收到承包人提交的变更估价申请后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天内审查完毕并报送发包人，监理人对变更估价申请有异议，通知承包人修改后重新提交。发包人应在承包人提交变更估价申请后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天内审批完毕。发包人逾期未完成审批或未提出异议的，视为认可承包人提交的变更估价申请。</w:t>
      </w:r>
    </w:p>
    <w:p w14:paraId="1225DFD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因变更引起的价格调整应计入最近一期的进度款中支付。</w:t>
      </w:r>
    </w:p>
    <w:p w14:paraId="5D6217EF">
      <w:pPr>
        <w:pStyle w:val="106"/>
        <w:rPr>
          <w:rStyle w:val="30"/>
          <w:rFonts w:ascii="Calibri" w:hAnsi="Calibri" w:eastAsia="宋体" w:cs="Times New Roman"/>
          <w:color w:val="auto"/>
        </w:rPr>
      </w:pPr>
      <w:r>
        <w:rPr>
          <w:rStyle w:val="30"/>
          <w:rFonts w:ascii="Calibri" w:hAnsi="Calibri" w:eastAsia="宋体" w:cs="Times New Roman"/>
          <w:color w:val="auto"/>
          <w:highlight w:val="white"/>
        </w:rPr>
        <w:t>10.5</w:t>
      </w:r>
      <w:r>
        <w:rPr>
          <w:rStyle w:val="30"/>
          <w:rFonts w:hint="eastAsia" w:ascii="Calibri" w:hAnsi="Calibri" w:eastAsia="宋体" w:cs="Times New Roman"/>
          <w:color w:val="auto"/>
          <w:highlight w:val="white"/>
        </w:rPr>
        <w:t>承包人的合理化建议</w:t>
      </w:r>
    </w:p>
    <w:p w14:paraId="3004EAD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承包人提出合理化建议的，应向监理人提交合理化建议说明，说明建议的内容和理由，以及实施该建议对合同价格和工期的影响。</w:t>
      </w:r>
    </w:p>
    <w:p w14:paraId="20D2E21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除专用合同条款另有约定外，监理人应在收到承包人提交的合理化建议后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天内审查完毕并报送发包人，发现其中存在技术上的缺陷，应通知承包人修改。发包人应在收到监理人报送的合理化建议后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天内审批完毕。合理化建议经发包人批准的，监理人应及时发出变更指示，由此引起的合同价格调整按照第</w:t>
      </w:r>
      <w:r>
        <w:rPr>
          <w:rStyle w:val="30"/>
          <w:rFonts w:ascii="Calibri" w:hAnsi="Calibri" w:eastAsia="宋体" w:cs="Times New Roman"/>
          <w:color w:val="auto"/>
          <w:highlight w:val="white"/>
        </w:rPr>
        <w:t>10.4</w:t>
      </w:r>
      <w:r>
        <w:rPr>
          <w:rStyle w:val="30"/>
          <w:rFonts w:hint="eastAsia" w:ascii="Calibri" w:hAnsi="Calibri" w:eastAsia="宋体" w:cs="Times New Roman"/>
          <w:color w:val="auto"/>
          <w:highlight w:val="white"/>
        </w:rPr>
        <w:t>款〔变更估价〕约定执行。发包人不同意变更的，监理人应书面通知承包人。</w:t>
      </w:r>
    </w:p>
    <w:p w14:paraId="044993B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合理化建议降低了合同价格或者提高了工程经济效益的，发包人可对承包人给予奖励，奖励的方法和金额在专用合同条款中约定。</w:t>
      </w:r>
    </w:p>
    <w:p w14:paraId="4955BDB6">
      <w:pPr>
        <w:pStyle w:val="106"/>
        <w:rPr>
          <w:rStyle w:val="30"/>
          <w:rFonts w:ascii="Calibri" w:hAnsi="Calibri" w:eastAsia="宋体" w:cs="Times New Roman"/>
          <w:color w:val="auto"/>
        </w:rPr>
      </w:pPr>
      <w:r>
        <w:rPr>
          <w:rStyle w:val="30"/>
          <w:rFonts w:ascii="Calibri" w:hAnsi="Calibri" w:eastAsia="宋体" w:cs="Times New Roman"/>
          <w:color w:val="auto"/>
          <w:highlight w:val="white"/>
        </w:rPr>
        <w:t>10.6</w:t>
      </w:r>
      <w:r>
        <w:rPr>
          <w:rStyle w:val="30"/>
          <w:rFonts w:hint="eastAsia" w:ascii="Calibri" w:hAnsi="Calibri" w:eastAsia="宋体" w:cs="Times New Roman"/>
          <w:color w:val="auto"/>
          <w:highlight w:val="white"/>
        </w:rPr>
        <w:t>变更引起的工期调整</w:t>
      </w:r>
      <w:r>
        <w:rPr>
          <w:rStyle w:val="30"/>
          <w:rFonts w:ascii="Calibri" w:hAnsi="Calibri" w:eastAsia="宋体" w:cs="Times New Roman"/>
          <w:color w:val="auto"/>
          <w:highlight w:val="white"/>
        </w:rPr>
        <w:t xml:space="preserve">   </w:t>
      </w:r>
    </w:p>
    <w:p w14:paraId="0C71193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因变更引起工期变化的，合同当事人均可要求调整合同工期，由合同当事人按照第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款〔商定或确定〕并参考工程所在地的工期定额标准确定增减工期天数。</w:t>
      </w:r>
    </w:p>
    <w:p w14:paraId="6B0DCFF3">
      <w:pPr>
        <w:pStyle w:val="106"/>
        <w:rPr>
          <w:rStyle w:val="30"/>
          <w:rFonts w:ascii="Calibri" w:hAnsi="Calibri" w:eastAsia="宋体" w:cs="Times New Roman"/>
          <w:color w:val="auto"/>
        </w:rPr>
      </w:pPr>
      <w:r>
        <w:rPr>
          <w:rStyle w:val="30"/>
          <w:rFonts w:ascii="Calibri" w:hAnsi="Calibri" w:eastAsia="宋体" w:cs="Times New Roman"/>
          <w:color w:val="auto"/>
          <w:highlight w:val="white"/>
        </w:rPr>
        <w:t>10.7</w:t>
      </w:r>
      <w:r>
        <w:rPr>
          <w:rStyle w:val="30"/>
          <w:rFonts w:hint="eastAsia" w:ascii="Calibri" w:hAnsi="Calibri" w:eastAsia="宋体" w:cs="Times New Roman"/>
          <w:color w:val="auto"/>
          <w:highlight w:val="white"/>
        </w:rPr>
        <w:t>暂估价</w:t>
      </w:r>
    </w:p>
    <w:p w14:paraId="75A6E19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暂估价专业分包工程、服务、材料和工程设备的明细由合同当事人在专用合同条款中约定。</w:t>
      </w:r>
    </w:p>
    <w:p w14:paraId="2960C71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10.7.1 </w:t>
      </w:r>
      <w:r>
        <w:rPr>
          <w:rStyle w:val="30"/>
          <w:rFonts w:hint="eastAsia" w:ascii="Calibri" w:hAnsi="Calibri" w:eastAsia="宋体" w:cs="Times New Roman"/>
          <w:color w:val="auto"/>
          <w:highlight w:val="white"/>
        </w:rPr>
        <w:t>依法必须招标的暂估价项目</w:t>
      </w:r>
    </w:p>
    <w:p w14:paraId="17237C6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对于依法必须招标的暂估价项目，采取以下第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种方式确定。合同当事人也可以在专用合同条款中选择其他招标方式。</w:t>
      </w:r>
    </w:p>
    <w:p w14:paraId="3777A11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种方式：对于依法必须招标的暂估价项目，由承包人招标，对该暂估价项目的确认和批准按照以下约定执行：</w:t>
      </w:r>
    </w:p>
    <w:p w14:paraId="7633B5B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）承包人应当根据施工进度计划，在招标工作启动前</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天将招标方案通过监理人报送发包人审查，发包人应当在收到承包人报送的招标方案后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天内批准或提出修改意见。承包人应当按照经过发包人批准的招标方案开展招标工作；</w:t>
      </w:r>
    </w:p>
    <w:p w14:paraId="5728046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）承包人应当根据施工进度计划，提前</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天将招标文件通过监理人报送发包人审批，发包人应当在收到承包人报送的相关文件后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天内完成审批或提出修改意见；发包人有权确定招标控制价并按照法律规定参加评标；</w:t>
      </w:r>
    </w:p>
    <w:p w14:paraId="546EA5C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）承包人与供应商、分包人在签订暂估价合同前，应当提前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天将确定的中标候选供应商或中标候选分包人的资料报送发包人，发包人应在收到资料后</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天内与承包人共同确定中标人；承包人应当在签订合同后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天内，将暂估价合同副本报送发包人留存。</w:t>
      </w:r>
    </w:p>
    <w:p w14:paraId="4B8BE9C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种方式：对于依法必须招标的暂估价项目，由发包人和承包人共同招标确定暂估价供应商或分包人的，承包人应按照施工进度计划，在招标工作启动前</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天通知发包人，并提交暂估价招标方案和工作分工。发包人应在收到后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天内确认。确定中标人后，由发包人、承包人与中标人共同签订暂估价合同。</w:t>
      </w:r>
    </w:p>
    <w:p w14:paraId="3FDA6FEA">
      <w:pPr>
        <w:pStyle w:val="106"/>
        <w:rPr>
          <w:rStyle w:val="30"/>
          <w:rFonts w:ascii="Calibri" w:hAnsi="Calibri" w:eastAsia="宋体" w:cs="Times New Roman"/>
          <w:color w:val="auto"/>
        </w:rPr>
      </w:pPr>
      <w:r>
        <w:rPr>
          <w:rStyle w:val="30"/>
          <w:rFonts w:ascii="Calibri" w:hAnsi="Calibri" w:eastAsia="宋体" w:cs="Times New Roman"/>
          <w:color w:val="auto"/>
          <w:highlight w:val="white"/>
        </w:rPr>
        <w:t>10.7.2</w:t>
      </w:r>
      <w:r>
        <w:rPr>
          <w:rStyle w:val="30"/>
          <w:rFonts w:hint="eastAsia" w:ascii="Calibri" w:hAnsi="Calibri" w:eastAsia="宋体" w:cs="Times New Roman"/>
          <w:color w:val="auto"/>
          <w:highlight w:val="white"/>
        </w:rPr>
        <w:t>不属于依法必须招标的暂估价项目</w:t>
      </w:r>
    </w:p>
    <w:p w14:paraId="012EABD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除专用合同条款另有约定外，对于不属于依法必须招标的暂估价项目，采取以下第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种方式确定：</w:t>
      </w:r>
      <w:r>
        <w:rPr>
          <w:rStyle w:val="30"/>
          <w:rFonts w:ascii="Calibri" w:hAnsi="Calibri" w:eastAsia="宋体" w:cs="Times New Roman"/>
          <w:color w:val="auto"/>
          <w:highlight w:val="white"/>
        </w:rPr>
        <w:t xml:space="preserve"> </w:t>
      </w:r>
    </w:p>
    <w:p w14:paraId="4D17DB2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种方式：对于不属于依法必须招标的暂估价项目，按本项约定确认和批准：</w:t>
      </w:r>
    </w:p>
    <w:p w14:paraId="02C070E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）承包人应根据施工进度计划，在签订暂估价项目的采购合同、分包合同前</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天向监理人提出书面申请。监理人应当在收到申请后</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天内报送发包人，发包人应当在收到申请后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天内给予批准或提出修改意见，发包人逾期未予批准或提出修改意见的，视为该书面申请已获得同意；</w:t>
      </w:r>
    </w:p>
    <w:p w14:paraId="6E795ED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）发包人认为承包人确定的供应商、分包人无法满足工程质量或合同要求的，发包人可以要求承包人重新确定暂估价项目的供应商、分包人</w:t>
      </w:r>
      <w:r>
        <w:rPr>
          <w:rStyle w:val="30"/>
          <w:rFonts w:ascii="Calibri" w:hAnsi="Calibri" w:eastAsia="宋体" w:cs="Times New Roman"/>
          <w:color w:val="auto"/>
          <w:highlight w:val="white"/>
        </w:rPr>
        <w:t>;</w:t>
      </w:r>
    </w:p>
    <w:p w14:paraId="5536C1D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）承包人应当在签订暂估价合同后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天内，将暂估价合同副本报送发包人留存。</w:t>
      </w:r>
    </w:p>
    <w:p w14:paraId="4DB1862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种方式：承包人按照第</w:t>
      </w:r>
      <w:r>
        <w:rPr>
          <w:rStyle w:val="30"/>
          <w:rFonts w:ascii="Calibri" w:hAnsi="Calibri" w:eastAsia="宋体" w:cs="Times New Roman"/>
          <w:color w:val="auto"/>
          <w:highlight w:val="white"/>
        </w:rPr>
        <w:t>10.7.1</w:t>
      </w:r>
      <w:r>
        <w:rPr>
          <w:rStyle w:val="30"/>
          <w:rFonts w:hint="eastAsia" w:ascii="Calibri" w:hAnsi="Calibri" w:eastAsia="宋体" w:cs="Times New Roman"/>
          <w:color w:val="auto"/>
          <w:highlight w:val="white"/>
        </w:rPr>
        <w:t>项〔依法必须招标的暂估价项目〕约定的第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种方式确定暂估价项目。</w:t>
      </w:r>
    </w:p>
    <w:p w14:paraId="50EBF2B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种方式：承包人直接实施的暂估价项目</w:t>
      </w:r>
    </w:p>
    <w:p w14:paraId="7FC0476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承包人具备实施暂估价项目的资格和条件的，经发包人和承包人协商一致后，可由承包人自行实施暂估价项目，合同当事人可以在专用合同条款约定具体事项。</w:t>
      </w:r>
    </w:p>
    <w:p w14:paraId="7703CAF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10.7.3 </w:t>
      </w:r>
      <w:r>
        <w:rPr>
          <w:rStyle w:val="30"/>
          <w:rFonts w:hint="eastAsia" w:ascii="Calibri" w:hAnsi="Calibri" w:eastAsia="宋体" w:cs="Times New Roman"/>
          <w:color w:val="auto"/>
          <w:highlight w:val="white"/>
        </w:rPr>
        <w:t>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6BDF34DB">
      <w:pPr>
        <w:pStyle w:val="106"/>
        <w:rPr>
          <w:rStyle w:val="30"/>
          <w:rFonts w:ascii="Calibri" w:hAnsi="Calibri" w:eastAsia="宋体" w:cs="Times New Roman"/>
          <w:color w:val="auto"/>
        </w:rPr>
      </w:pPr>
      <w:r>
        <w:rPr>
          <w:rStyle w:val="30"/>
          <w:rFonts w:ascii="Calibri" w:hAnsi="Calibri" w:eastAsia="宋体" w:cs="Times New Roman"/>
          <w:color w:val="auto"/>
          <w:highlight w:val="white"/>
        </w:rPr>
        <w:t>10.8</w:t>
      </w:r>
      <w:r>
        <w:rPr>
          <w:rStyle w:val="30"/>
          <w:rFonts w:hint="eastAsia" w:ascii="Calibri" w:hAnsi="Calibri" w:eastAsia="宋体" w:cs="Times New Roman"/>
          <w:color w:val="auto"/>
          <w:highlight w:val="white"/>
        </w:rPr>
        <w:t>暂列金额</w:t>
      </w:r>
    </w:p>
    <w:p w14:paraId="702C71F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暂列金额应按照发包人的要求使用，发包人的要求应通过监理人发出。合同当事人可以在专用合同条款中协商确定有关事项。</w:t>
      </w:r>
    </w:p>
    <w:p w14:paraId="4386A424">
      <w:pPr>
        <w:pStyle w:val="106"/>
        <w:rPr>
          <w:rStyle w:val="30"/>
          <w:rFonts w:ascii="Calibri" w:hAnsi="Calibri" w:eastAsia="宋体" w:cs="Times New Roman"/>
          <w:color w:val="auto"/>
        </w:rPr>
      </w:pPr>
      <w:r>
        <w:rPr>
          <w:rStyle w:val="30"/>
          <w:rFonts w:ascii="Calibri" w:hAnsi="Calibri" w:eastAsia="宋体" w:cs="Times New Roman"/>
          <w:color w:val="auto"/>
          <w:highlight w:val="white"/>
        </w:rPr>
        <w:t>10.9</w:t>
      </w:r>
      <w:r>
        <w:rPr>
          <w:rStyle w:val="30"/>
          <w:rFonts w:hint="eastAsia" w:ascii="Calibri" w:hAnsi="Calibri" w:eastAsia="宋体" w:cs="Times New Roman"/>
          <w:color w:val="auto"/>
          <w:highlight w:val="white"/>
        </w:rPr>
        <w:t>计日工</w:t>
      </w:r>
      <w:r>
        <w:rPr>
          <w:rStyle w:val="30"/>
          <w:rFonts w:ascii="Calibri" w:hAnsi="Calibri" w:eastAsia="宋体" w:cs="Times New Roman"/>
          <w:color w:val="auto"/>
          <w:highlight w:val="white"/>
        </w:rPr>
        <w:t xml:space="preserve"> </w:t>
      </w:r>
    </w:p>
    <w:p w14:paraId="2439CC2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款〔商定或确定〕确定计日工的单价。</w:t>
      </w:r>
    </w:p>
    <w:p w14:paraId="278AB4F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采用计日工计价的任何一项工作，承包人应在该项工作实施过程中，每天提交以下报表和有关凭证报送监理人审查：</w:t>
      </w:r>
    </w:p>
    <w:p w14:paraId="57CCD2D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）工作名称、内容和数量；</w:t>
      </w:r>
    </w:p>
    <w:p w14:paraId="74C6942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）投入该工作的所有人员的姓名、专业、工种、级别和耗用工时；</w:t>
      </w:r>
    </w:p>
    <w:p w14:paraId="7B4092B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）投入该工作的材料类别和数量；</w:t>
      </w:r>
    </w:p>
    <w:p w14:paraId="1D42B6A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）投入该工作的施工设备型号、台数和耗用台时；</w:t>
      </w:r>
    </w:p>
    <w:p w14:paraId="7E7F2F2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）其他有关资料和凭证。</w:t>
      </w:r>
    </w:p>
    <w:p w14:paraId="429EA31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计日工由承包人汇总后，列入最近一期进度付款申请单，由监理人审查并经发包人批准后列入进度付款。</w:t>
      </w:r>
    </w:p>
    <w:p w14:paraId="1A8FC7B5">
      <w:pPr>
        <w:pStyle w:val="108"/>
        <w:numPr>
          <w:ilvl w:val="0"/>
          <w:numId w:val="0"/>
        </w:numPr>
        <w:rPr>
          <w:rStyle w:val="30"/>
          <w:rFonts w:eastAsia="宋体" w:cs="Times New Roman"/>
          <w:color w:val="auto"/>
        </w:rPr>
      </w:pPr>
      <w:r>
        <w:rPr>
          <w:rStyle w:val="30"/>
          <w:rFonts w:eastAsia="宋体" w:cs="Times New Roman"/>
          <w:color w:val="auto"/>
          <w:highlight w:val="white"/>
        </w:rPr>
        <w:t xml:space="preserve">11. </w:t>
      </w:r>
      <w:r>
        <w:rPr>
          <w:rStyle w:val="30"/>
          <w:rFonts w:hint="eastAsia" w:eastAsia="宋体" w:cs="Times New Roman"/>
          <w:color w:val="auto"/>
          <w:highlight w:val="white"/>
        </w:rPr>
        <w:t>价格调整</w:t>
      </w:r>
    </w:p>
    <w:p w14:paraId="2ACCB0E1">
      <w:pPr>
        <w:pStyle w:val="106"/>
        <w:rPr>
          <w:rStyle w:val="30"/>
          <w:rFonts w:ascii="Calibri" w:hAnsi="Calibri" w:eastAsia="宋体" w:cs="Times New Roman"/>
          <w:color w:val="auto"/>
        </w:rPr>
      </w:pPr>
      <w:r>
        <w:rPr>
          <w:rStyle w:val="30"/>
          <w:rFonts w:ascii="Calibri" w:hAnsi="Calibri" w:eastAsia="宋体" w:cs="Times New Roman"/>
          <w:color w:val="auto"/>
          <w:highlight w:val="white"/>
        </w:rPr>
        <w:t>11.1</w:t>
      </w:r>
      <w:r>
        <w:rPr>
          <w:rStyle w:val="30"/>
          <w:rFonts w:hint="eastAsia" w:ascii="Calibri" w:hAnsi="Calibri" w:eastAsia="宋体" w:cs="Times New Roman"/>
          <w:color w:val="auto"/>
          <w:highlight w:val="white"/>
        </w:rPr>
        <w:t>市场价格波动引起的调整</w:t>
      </w:r>
    </w:p>
    <w:p w14:paraId="17D91A4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除专用合同条款另有约定外，市场价格波动超过合同当事人约定的范围，合同价格应当调整。合同当事人可以在专用合同条款中约定选择以下一种方式对合同价格进行调整：</w:t>
      </w:r>
    </w:p>
    <w:p w14:paraId="1D1F81C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种方式：采用价格指数进行价格调整。</w:t>
      </w:r>
    </w:p>
    <w:p w14:paraId="1312C82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）价格调整公式</w:t>
      </w:r>
    </w:p>
    <w:p w14:paraId="5E568BF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因人工、材料和设备等价格波动影响合同价格时，根据专用合同条款中约定的数据，按以下公式计算差额并调整合同价格：</w:t>
      </w:r>
    </w:p>
    <w:p w14:paraId="7CF9B28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p>
    <w:p w14:paraId="06C401A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公式中：Δ</w:t>
      </w:r>
      <w:r>
        <w:rPr>
          <w:rStyle w:val="30"/>
          <w:rFonts w:ascii="Calibri" w:hAnsi="Calibri" w:eastAsia="宋体" w:cs="Times New Roman"/>
          <w:color w:val="auto"/>
          <w:highlight w:val="white"/>
        </w:rPr>
        <w:t>P</w:t>
      </w:r>
      <w:r>
        <w:rPr>
          <w:rStyle w:val="30"/>
          <w:rFonts w:hint="eastAsia" w:ascii="Calibri" w:hAnsi="Calibri" w:eastAsia="宋体" w:cs="Times New Roman"/>
          <w:color w:val="auto"/>
          <w:highlight w:val="white"/>
        </w:rPr>
        <w:t>——需调整的价格差额；</w:t>
      </w:r>
    </w:p>
    <w:p w14:paraId="2D1B078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——约定的付款证书中承包人应得到的已完成工程量的金额。此项金额应不包括价格调整、不计质量保证金的扣留和支付、预付款的支付和扣回。约定的变更及其他金额已按现行价格计价的，也不计在内；</w:t>
      </w:r>
    </w:p>
    <w:p w14:paraId="6BC99FA7">
      <w:pPr>
        <w:pStyle w:val="106"/>
        <w:rPr>
          <w:rStyle w:val="30"/>
          <w:rFonts w:ascii="Calibri" w:hAnsi="Calibri" w:eastAsia="宋体" w:cs="Times New Roman"/>
          <w:color w:val="auto"/>
        </w:rPr>
      </w:pPr>
      <w:r>
        <w:rPr>
          <w:rStyle w:val="30"/>
          <w:rFonts w:ascii="Calibri" w:hAnsi="Calibri" w:eastAsia="宋体" w:cs="Times New Roman"/>
          <w:color w:val="auto"/>
          <w:highlight w:val="white"/>
        </w:rPr>
        <w:t>A</w:t>
      </w:r>
      <w:r>
        <w:rPr>
          <w:rStyle w:val="30"/>
          <w:rFonts w:hint="eastAsia" w:ascii="Calibri" w:hAnsi="Calibri" w:eastAsia="宋体" w:cs="Times New Roman"/>
          <w:color w:val="auto"/>
          <w:highlight w:val="white"/>
        </w:rPr>
        <w:t>——定值权重（即不调部分的权重）；</w:t>
      </w:r>
    </w:p>
    <w:p w14:paraId="7A69974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——各可调因子的变值权重（即可调部分的权重），为各可调因子在签约合同价中所占的比例；</w:t>
      </w:r>
    </w:p>
    <w:p w14:paraId="17A2471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——各可调因子的现行价格指数，指约定的付款证书相关周期最后一天的前</w:t>
      </w:r>
      <w:r>
        <w:rPr>
          <w:rStyle w:val="30"/>
          <w:rFonts w:ascii="Calibri" w:hAnsi="Calibri" w:eastAsia="宋体" w:cs="Times New Roman"/>
          <w:color w:val="auto"/>
          <w:highlight w:val="white"/>
        </w:rPr>
        <w:t>42</w:t>
      </w:r>
      <w:r>
        <w:rPr>
          <w:rStyle w:val="30"/>
          <w:rFonts w:hint="eastAsia" w:ascii="Calibri" w:hAnsi="Calibri" w:eastAsia="宋体" w:cs="Times New Roman"/>
          <w:color w:val="auto"/>
          <w:highlight w:val="white"/>
        </w:rPr>
        <w:t>天的各可调因子的价格指数；</w:t>
      </w:r>
    </w:p>
    <w:p w14:paraId="31964CC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——各可调因子的基本价格指数，指基准日期的各可调因子的价格指数。</w:t>
      </w:r>
    </w:p>
    <w:p w14:paraId="6C4F41E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4E191EA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）暂时确定调整差额</w:t>
      </w:r>
    </w:p>
    <w:p w14:paraId="3F59BD7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在计算调整差额时无现行价格指数的，合同当事人同意暂用前次价格指数计算。实际价格指数有调整的，合同当事人进行相应调整。</w:t>
      </w:r>
    </w:p>
    <w:p w14:paraId="7001F09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）权重的调整</w:t>
      </w:r>
    </w:p>
    <w:p w14:paraId="5036660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因变更导致合同约定的权重不合理时，按照第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款〔商定或确定〕执行。</w:t>
      </w:r>
    </w:p>
    <w:p w14:paraId="2F35499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）因承包人原因工期延误后的价格调整</w:t>
      </w:r>
    </w:p>
    <w:p w14:paraId="5B1F8DF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因承包人原因未按期竣工的，对合同约定的竣工日期后继续施工的工程，在使用价格调整公式时，应采用计划竣工日期与实际竣工日期的两个价格指数中较低的一个作为现行价格指数。</w:t>
      </w:r>
    </w:p>
    <w:p w14:paraId="0C55933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种方式：采用造价信息进行价格调整。</w:t>
      </w:r>
    </w:p>
    <w:p w14:paraId="60022E2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14:paraId="6068B70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309DF72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）材料、工程设备价格变化的价款调整按照发包人提供的基准价格，按以下风险范围规定执行</w:t>
      </w:r>
      <w:r>
        <w:rPr>
          <w:rStyle w:val="30"/>
          <w:rFonts w:ascii="Calibri" w:hAnsi="Calibri" w:eastAsia="宋体" w:cs="Times New Roman"/>
          <w:color w:val="auto"/>
          <w:highlight w:val="white"/>
        </w:rPr>
        <w:t>:</w:t>
      </w:r>
    </w:p>
    <w:p w14:paraId="7993751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①承包人在已标价工程量清单或预算书中载明材料单价低于基准价格的：除专用合同条款另有约定外，合同履行期间材料单价涨幅以基准价格为基础超过</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时，或材料单价跌幅以在已标价工程量清单或预算书中载明材料单价为基础超过</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时，其超过部分据实调整。</w:t>
      </w:r>
    </w:p>
    <w:p w14:paraId="6A70838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②承包人在已标价工程量清单或预算书中载明材料单价高于基准价格的：除专用合同条款另有约定外，合同履行期间材料单价跌幅以基准价格为基础超过</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时，材料单价涨幅以在已标价工程量清单或预算书中载明材料单价为基础超过</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时，其超过部分据实调整。</w:t>
      </w:r>
    </w:p>
    <w:p w14:paraId="4698E0D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③承包人在已标价工程量清单或预算书中载明材料单价等于基准价格的：除专用合同条款另有约定外，合同履行期间材料单价涨跌幅以基准价格为基础超过±</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时，其超过部分据实调整。</w:t>
      </w:r>
    </w:p>
    <w:p w14:paraId="5614218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④承包人应在采购材料前将采购数量和新的材料单价报发包人核对，发包人确认用于工程时，发包人应确认采购材料的数量和单价。发包人在收到承包人报送的确认资料后</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天内不予答复的视为认可，作为调整合同价格的依据。未经发包人事先核对，承包人自行采购材料的，发包人有权不予调整合同价格。发包人同意的，可以调整合同价格。</w:t>
      </w:r>
    </w:p>
    <w:p w14:paraId="48FF96D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前述基准价格是指由发包人在招标文件或专用合同条款中给定的材料、工程设备的价格，该价格原则上应当按照省级或行业建设主管部门或其授权的工程造价管理机构发布的信息价编制。</w:t>
      </w:r>
    </w:p>
    <w:p w14:paraId="434ED06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）施工机械台班单价或施工机械使用费发生变化超过省级或行业建设主管部门或其授权的工程造价管理机构规定的范围时，按规定调整合同价格。</w:t>
      </w:r>
    </w:p>
    <w:p w14:paraId="4B3E837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第</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种方式：专用合同条款约定的其他方式。</w:t>
      </w:r>
    </w:p>
    <w:p w14:paraId="5C1C3D1B">
      <w:pPr>
        <w:pStyle w:val="106"/>
        <w:rPr>
          <w:rStyle w:val="30"/>
          <w:rFonts w:ascii="Calibri" w:hAnsi="Calibri" w:eastAsia="宋体" w:cs="Times New Roman"/>
          <w:color w:val="auto"/>
        </w:rPr>
      </w:pPr>
      <w:r>
        <w:rPr>
          <w:rStyle w:val="30"/>
          <w:rFonts w:ascii="Calibri" w:hAnsi="Calibri" w:eastAsia="宋体" w:cs="Times New Roman"/>
          <w:color w:val="auto"/>
          <w:highlight w:val="white"/>
        </w:rPr>
        <w:t>11.2</w:t>
      </w:r>
      <w:r>
        <w:rPr>
          <w:rStyle w:val="30"/>
          <w:rFonts w:hint="eastAsia" w:ascii="Calibri" w:hAnsi="Calibri" w:eastAsia="宋体" w:cs="Times New Roman"/>
          <w:color w:val="auto"/>
          <w:highlight w:val="white"/>
        </w:rPr>
        <w:t>法律变化引起的调整</w:t>
      </w:r>
    </w:p>
    <w:p w14:paraId="6D7CD71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基准日期后，法律变化导致承包人在合同履行过程中所需要的费用发生除第</w:t>
      </w:r>
      <w:r>
        <w:rPr>
          <w:rStyle w:val="30"/>
          <w:rFonts w:ascii="Calibri" w:hAnsi="Calibri" w:eastAsia="宋体" w:cs="Times New Roman"/>
          <w:color w:val="auto"/>
          <w:highlight w:val="white"/>
        </w:rPr>
        <w:t>11.1</w:t>
      </w:r>
      <w:r>
        <w:rPr>
          <w:rStyle w:val="30"/>
          <w:rFonts w:hint="eastAsia" w:ascii="Calibri" w:hAnsi="Calibri" w:eastAsia="宋体" w:cs="Times New Roman"/>
          <w:color w:val="auto"/>
          <w:highlight w:val="white"/>
        </w:rPr>
        <w:t>款〔市场价格波动引起的调整〕约定以外的增加时，由发包人承担由此增加的费用；减少时，应从合同价格中予以扣减。基准日期后，因法律变化造成工期延误时，工期应予以顺延。</w:t>
      </w:r>
    </w:p>
    <w:p w14:paraId="2C33E1E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因法律变化引起的合同价格和工期调整，合同当事人无法达成一致的，由总监理工程师按第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款〔商定或确定〕的约定处理。</w:t>
      </w:r>
    </w:p>
    <w:p w14:paraId="0ECDA32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因承包人原因造成工期延误，在工期延误期间出现法律变化的，由此增加的费用和（或）延误的工期由承包人承担。</w:t>
      </w:r>
    </w:p>
    <w:p w14:paraId="792989B8">
      <w:pPr>
        <w:pStyle w:val="108"/>
        <w:numPr>
          <w:ilvl w:val="0"/>
          <w:numId w:val="0"/>
        </w:numPr>
        <w:rPr>
          <w:rStyle w:val="30"/>
          <w:rFonts w:eastAsia="宋体" w:cs="Times New Roman"/>
          <w:color w:val="auto"/>
        </w:rPr>
      </w:pPr>
      <w:r>
        <w:rPr>
          <w:rStyle w:val="30"/>
          <w:rFonts w:eastAsia="宋体" w:cs="Times New Roman"/>
          <w:color w:val="auto"/>
          <w:highlight w:val="white"/>
        </w:rPr>
        <w:t xml:space="preserve">12. </w:t>
      </w:r>
      <w:r>
        <w:rPr>
          <w:rStyle w:val="30"/>
          <w:rFonts w:hint="eastAsia" w:eastAsia="宋体" w:cs="Times New Roman"/>
          <w:color w:val="auto"/>
          <w:highlight w:val="white"/>
        </w:rPr>
        <w:t>合同价格、计量与支付</w:t>
      </w:r>
    </w:p>
    <w:p w14:paraId="098B9B8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12.1 </w:t>
      </w:r>
      <w:r>
        <w:rPr>
          <w:rStyle w:val="30"/>
          <w:rFonts w:hint="eastAsia" w:ascii="Calibri" w:hAnsi="Calibri" w:eastAsia="宋体" w:cs="Times New Roman"/>
          <w:color w:val="auto"/>
          <w:highlight w:val="white"/>
        </w:rPr>
        <w:t>合同价格形式</w:t>
      </w:r>
    </w:p>
    <w:p w14:paraId="4442B1F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发包人和承包人应在合同协议书中选择下列一种合同价格形式：</w:t>
      </w:r>
      <w:r>
        <w:rPr>
          <w:rStyle w:val="30"/>
          <w:rFonts w:ascii="Calibri" w:hAnsi="Calibri" w:eastAsia="宋体" w:cs="Times New Roman"/>
          <w:color w:val="auto"/>
          <w:highlight w:val="white"/>
        </w:rPr>
        <w:t xml:space="preserve"> </w:t>
      </w:r>
    </w:p>
    <w:p w14:paraId="20E0EAFE">
      <w:pPr>
        <w:pStyle w:val="106"/>
        <w:rPr>
          <w:rStyle w:val="30"/>
          <w:rFonts w:ascii="Calibri" w:hAnsi="Calibri" w:eastAsia="宋体" w:cs="Times New Roman"/>
          <w:color w:val="auto"/>
        </w:rPr>
      </w:pP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、单价合同</w:t>
      </w:r>
    </w:p>
    <w:p w14:paraId="614E0B5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单价合同是指合同当事人约定以工程量清单及其综合单价进行合同价格计算、调整和确认的建设工程施工合同，在约定的范围内合同单价不作调整。合同当事人应在专用合同条款中约定综合单价包含的风险范围和风险费用的计算方法，并约定风险范围以外的合同价格的调整方法，其中因市场价格波动引起的调整按第</w:t>
      </w:r>
      <w:r>
        <w:rPr>
          <w:rStyle w:val="30"/>
          <w:rFonts w:ascii="Calibri" w:hAnsi="Calibri" w:eastAsia="宋体" w:cs="Times New Roman"/>
          <w:color w:val="auto"/>
          <w:highlight w:val="white"/>
        </w:rPr>
        <w:t>11.1</w:t>
      </w:r>
      <w:r>
        <w:rPr>
          <w:rStyle w:val="30"/>
          <w:rFonts w:hint="eastAsia" w:ascii="Calibri" w:hAnsi="Calibri" w:eastAsia="宋体" w:cs="Times New Roman"/>
          <w:color w:val="auto"/>
          <w:highlight w:val="white"/>
        </w:rPr>
        <w:t>款〔市场价格波动引起的调整〕约定执行。</w:t>
      </w:r>
    </w:p>
    <w:p w14:paraId="7A79B693">
      <w:pPr>
        <w:pStyle w:val="106"/>
        <w:rPr>
          <w:rStyle w:val="30"/>
          <w:rFonts w:ascii="Calibri" w:hAnsi="Calibri" w:eastAsia="宋体" w:cs="Times New Roman"/>
          <w:color w:val="auto"/>
        </w:rPr>
      </w:pP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、总价合同</w:t>
      </w:r>
    </w:p>
    <w:p w14:paraId="1EDDA1F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总价合同是指合同当事人约定以施工图、已标价工程量清单或预算书及有关条件进行合同价格计算、调整和确认的建设工程施工合同，在约定的范围内合同总价不作调整。合同当事人应在专用合同条款中约定总价包含的风险范围和风险费用的计算方法，并约定风险范围以外的合同价格的调整方法，其中因市场价格波动引起的调整按第</w:t>
      </w:r>
      <w:r>
        <w:rPr>
          <w:rStyle w:val="30"/>
          <w:rFonts w:ascii="Calibri" w:hAnsi="Calibri" w:eastAsia="宋体" w:cs="Times New Roman"/>
          <w:color w:val="auto"/>
          <w:highlight w:val="white"/>
        </w:rPr>
        <w:t>11.1</w:t>
      </w:r>
      <w:r>
        <w:rPr>
          <w:rStyle w:val="30"/>
          <w:rFonts w:hint="eastAsia" w:ascii="Calibri" w:hAnsi="Calibri" w:eastAsia="宋体" w:cs="Times New Roman"/>
          <w:color w:val="auto"/>
          <w:highlight w:val="white"/>
        </w:rPr>
        <w:t>款〔市场价格波动引起的调整〕、因法律变化引起的调整按第</w:t>
      </w:r>
      <w:r>
        <w:rPr>
          <w:rStyle w:val="30"/>
          <w:rFonts w:ascii="Calibri" w:hAnsi="Calibri" w:eastAsia="宋体" w:cs="Times New Roman"/>
          <w:color w:val="auto"/>
          <w:highlight w:val="white"/>
        </w:rPr>
        <w:t>11.2</w:t>
      </w:r>
      <w:r>
        <w:rPr>
          <w:rStyle w:val="30"/>
          <w:rFonts w:hint="eastAsia" w:ascii="Calibri" w:hAnsi="Calibri" w:eastAsia="宋体" w:cs="Times New Roman"/>
          <w:color w:val="auto"/>
          <w:highlight w:val="white"/>
        </w:rPr>
        <w:t>款〔法律变化引起的调整〕约定执行。</w:t>
      </w:r>
    </w:p>
    <w:p w14:paraId="7ECDEFB0">
      <w:pPr>
        <w:pStyle w:val="106"/>
        <w:rPr>
          <w:rStyle w:val="30"/>
          <w:rFonts w:ascii="Calibri" w:hAnsi="Calibri" w:eastAsia="宋体" w:cs="Times New Roman"/>
          <w:color w:val="auto"/>
        </w:rPr>
      </w:pP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、其它价格形式</w:t>
      </w:r>
    </w:p>
    <w:p w14:paraId="78AD8BC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合同当事人可在专用合同条款中约定其他合同价格形式。</w:t>
      </w:r>
    </w:p>
    <w:p w14:paraId="6B54FDAF">
      <w:pPr>
        <w:pStyle w:val="106"/>
        <w:rPr>
          <w:rStyle w:val="30"/>
          <w:rFonts w:ascii="Calibri" w:hAnsi="Calibri" w:eastAsia="宋体" w:cs="Times New Roman"/>
          <w:color w:val="auto"/>
        </w:rPr>
      </w:pPr>
      <w:r>
        <w:rPr>
          <w:rStyle w:val="30"/>
          <w:rFonts w:ascii="Calibri" w:hAnsi="Calibri" w:eastAsia="宋体" w:cs="Times New Roman"/>
          <w:color w:val="auto"/>
          <w:highlight w:val="white"/>
        </w:rPr>
        <w:t>12.2</w:t>
      </w:r>
      <w:r>
        <w:rPr>
          <w:rStyle w:val="30"/>
          <w:rFonts w:hint="eastAsia" w:ascii="Calibri" w:hAnsi="Calibri" w:eastAsia="宋体" w:cs="Times New Roman"/>
          <w:color w:val="auto"/>
          <w:highlight w:val="white"/>
        </w:rPr>
        <w:t>预付款</w:t>
      </w:r>
    </w:p>
    <w:p w14:paraId="1B914F53">
      <w:pPr>
        <w:pStyle w:val="106"/>
        <w:rPr>
          <w:rStyle w:val="30"/>
          <w:rFonts w:ascii="Calibri" w:hAnsi="Calibri" w:eastAsia="宋体" w:cs="Times New Roman"/>
          <w:color w:val="auto"/>
        </w:rPr>
      </w:pPr>
      <w:r>
        <w:rPr>
          <w:rStyle w:val="30"/>
          <w:rFonts w:ascii="Calibri" w:hAnsi="Calibri" w:eastAsia="宋体" w:cs="Times New Roman"/>
          <w:color w:val="auto"/>
          <w:highlight w:val="white"/>
        </w:rPr>
        <w:t>12.2.1</w:t>
      </w:r>
      <w:r>
        <w:rPr>
          <w:rStyle w:val="30"/>
          <w:rFonts w:hint="eastAsia" w:ascii="Calibri" w:hAnsi="Calibri" w:eastAsia="宋体" w:cs="Times New Roman"/>
          <w:color w:val="auto"/>
          <w:highlight w:val="white"/>
        </w:rPr>
        <w:t>预付款的支付</w:t>
      </w:r>
    </w:p>
    <w:p w14:paraId="3DFE423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预付款的支付按照专用合同条款约定执行，但至迟应在开工通知载明的开工日期</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天前支付。预付款应当用于材料、工程设备、施工设备的采购及修建临时工程、组织施工队伍进场等。</w:t>
      </w:r>
    </w:p>
    <w:p w14:paraId="6D2C127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除专用合同条款另有约定外，预付款在进度付款中同比例扣回。在颁发工程接收证书前，提前解除合同的，尚未扣完的预付款应与合同价款一并结算。</w:t>
      </w:r>
    </w:p>
    <w:p w14:paraId="0AE5E34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发包人逾期支付预付款超过</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天的，承包人有权向发包人发出要求预付的催告通知，发包人收到通知后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天内仍未支付的，承包人有权暂停施工，并按第</w:t>
      </w:r>
      <w:r>
        <w:rPr>
          <w:rStyle w:val="30"/>
          <w:rFonts w:ascii="Calibri" w:hAnsi="Calibri" w:eastAsia="宋体" w:cs="Times New Roman"/>
          <w:color w:val="auto"/>
          <w:highlight w:val="white"/>
        </w:rPr>
        <w:t>16.1.1</w:t>
      </w:r>
      <w:r>
        <w:rPr>
          <w:rStyle w:val="30"/>
          <w:rFonts w:hint="eastAsia" w:ascii="Calibri" w:hAnsi="Calibri" w:eastAsia="宋体" w:cs="Times New Roman"/>
          <w:color w:val="auto"/>
          <w:highlight w:val="white"/>
        </w:rPr>
        <w:t>项〔发包人违约的情形〕执行。</w:t>
      </w:r>
    </w:p>
    <w:p w14:paraId="6980CD3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12.2.2 </w:t>
      </w:r>
      <w:r>
        <w:rPr>
          <w:rStyle w:val="30"/>
          <w:rFonts w:hint="eastAsia" w:ascii="Calibri" w:hAnsi="Calibri" w:eastAsia="宋体" w:cs="Times New Roman"/>
          <w:color w:val="auto"/>
          <w:highlight w:val="white"/>
        </w:rPr>
        <w:t>预付款担保</w:t>
      </w:r>
    </w:p>
    <w:p w14:paraId="189BACA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发包人要求承包人提供预付款担保的，承包人应在发包人支付预付款</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天前提供预付款担保，专用合同条款另有约定除外。预付款担保可采用银行保函、担保公司担保等形式，具体由合同当事人在专用合同条款中约定。在预付款完全扣回之前，承包人应保证预付款担保持续有效。</w:t>
      </w:r>
    </w:p>
    <w:p w14:paraId="690524E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发包人在工程款中逐期扣回预付款后，预付款担保额度应相应减少，但剩余的预付款担保金额不得低于未被扣回的预付款金额。</w:t>
      </w:r>
    </w:p>
    <w:p w14:paraId="7A36B6DB">
      <w:pPr>
        <w:pStyle w:val="106"/>
        <w:rPr>
          <w:rStyle w:val="30"/>
          <w:rFonts w:ascii="Calibri" w:hAnsi="Calibri" w:eastAsia="宋体" w:cs="Times New Roman"/>
          <w:color w:val="auto"/>
        </w:rPr>
      </w:pPr>
      <w:r>
        <w:rPr>
          <w:rStyle w:val="30"/>
          <w:rFonts w:ascii="Calibri" w:hAnsi="Calibri" w:eastAsia="宋体" w:cs="Times New Roman"/>
          <w:color w:val="auto"/>
          <w:highlight w:val="white"/>
        </w:rPr>
        <w:t>12.3</w:t>
      </w:r>
      <w:r>
        <w:rPr>
          <w:rStyle w:val="30"/>
          <w:rFonts w:hint="eastAsia" w:ascii="Calibri" w:hAnsi="Calibri" w:eastAsia="宋体" w:cs="Times New Roman"/>
          <w:color w:val="auto"/>
          <w:highlight w:val="white"/>
        </w:rPr>
        <w:t>计量</w:t>
      </w:r>
    </w:p>
    <w:p w14:paraId="59F9F12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12.3.1 </w:t>
      </w:r>
      <w:r>
        <w:rPr>
          <w:rStyle w:val="30"/>
          <w:rFonts w:hint="eastAsia" w:ascii="Calibri" w:hAnsi="Calibri" w:eastAsia="宋体" w:cs="Times New Roman"/>
          <w:color w:val="auto"/>
          <w:highlight w:val="white"/>
        </w:rPr>
        <w:t>计量原则</w:t>
      </w:r>
    </w:p>
    <w:p w14:paraId="63698FA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工程量计量按照合同约定的工程量计算规则、图纸及变更指示等进行计量。工程量计算规则应以相关的国家标准、行业标准等为依据，由合同当事人在专用合同条款中约定。</w:t>
      </w:r>
    </w:p>
    <w:p w14:paraId="6AAE41A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12.3.2 </w:t>
      </w:r>
      <w:r>
        <w:rPr>
          <w:rStyle w:val="30"/>
          <w:rFonts w:hint="eastAsia" w:ascii="Calibri" w:hAnsi="Calibri" w:eastAsia="宋体" w:cs="Times New Roman"/>
          <w:color w:val="auto"/>
          <w:highlight w:val="white"/>
        </w:rPr>
        <w:t>计量周期</w:t>
      </w:r>
    </w:p>
    <w:p w14:paraId="4D9A701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除专用合同条款另有约定外，工程量的计量按月进行。</w:t>
      </w:r>
    </w:p>
    <w:p w14:paraId="758A875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12.3.3 </w:t>
      </w:r>
      <w:r>
        <w:rPr>
          <w:rStyle w:val="30"/>
          <w:rFonts w:hint="eastAsia" w:ascii="Calibri" w:hAnsi="Calibri" w:eastAsia="宋体" w:cs="Times New Roman"/>
          <w:color w:val="auto"/>
          <w:highlight w:val="white"/>
        </w:rPr>
        <w:t>单价合同的计量</w:t>
      </w:r>
    </w:p>
    <w:p w14:paraId="13A35B0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除专用合同条款另有约定外，单价合同的计量按照本项约定执行：</w:t>
      </w:r>
    </w:p>
    <w:p w14:paraId="02BA610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）承包人应于每月</w:t>
      </w:r>
      <w:r>
        <w:rPr>
          <w:rStyle w:val="30"/>
          <w:rFonts w:ascii="Calibri" w:hAnsi="Calibri" w:eastAsia="宋体" w:cs="Times New Roman"/>
          <w:color w:val="auto"/>
          <w:highlight w:val="white"/>
        </w:rPr>
        <w:t>25</w:t>
      </w:r>
      <w:r>
        <w:rPr>
          <w:rStyle w:val="30"/>
          <w:rFonts w:hint="eastAsia" w:ascii="Calibri" w:hAnsi="Calibri" w:eastAsia="宋体" w:cs="Times New Roman"/>
          <w:color w:val="auto"/>
          <w:highlight w:val="white"/>
        </w:rPr>
        <w:t>日向监理人报送上月</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日至当月</w:t>
      </w:r>
      <w:r>
        <w:rPr>
          <w:rStyle w:val="30"/>
          <w:rFonts w:ascii="Calibri" w:hAnsi="Calibri" w:eastAsia="宋体" w:cs="Times New Roman"/>
          <w:color w:val="auto"/>
          <w:highlight w:val="white"/>
        </w:rPr>
        <w:t>19</w:t>
      </w:r>
      <w:r>
        <w:rPr>
          <w:rStyle w:val="30"/>
          <w:rFonts w:hint="eastAsia" w:ascii="Calibri" w:hAnsi="Calibri" w:eastAsia="宋体" w:cs="Times New Roman"/>
          <w:color w:val="auto"/>
          <w:highlight w:val="white"/>
        </w:rPr>
        <w:t>日已完成的工程量报告，并附具进度付款申请单、已完成工程量报表和有关资料。</w:t>
      </w:r>
    </w:p>
    <w:p w14:paraId="4DB0876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）监理人应在收到承包人提交的工程量报告后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4D43E1A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）监理人未在收到承包人提交的工程量报表后的</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天内完成审核的，承包人报送的工程量报告中的工程量视为承包人实际完成的工程量，据此计算工程价款。</w:t>
      </w:r>
    </w:p>
    <w:p w14:paraId="5FF8F7D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12.3.4 </w:t>
      </w:r>
      <w:r>
        <w:rPr>
          <w:rStyle w:val="30"/>
          <w:rFonts w:hint="eastAsia" w:ascii="Calibri" w:hAnsi="Calibri" w:eastAsia="宋体" w:cs="Times New Roman"/>
          <w:color w:val="auto"/>
          <w:highlight w:val="white"/>
        </w:rPr>
        <w:t>总价合同的计量</w:t>
      </w:r>
    </w:p>
    <w:p w14:paraId="6C2AC74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除专用合同条款另有约定外，按月计量支付的总价合同，按照本项约定执行：</w:t>
      </w:r>
    </w:p>
    <w:p w14:paraId="4F2DA73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）承包人应于每月</w:t>
      </w:r>
      <w:r>
        <w:rPr>
          <w:rStyle w:val="30"/>
          <w:rFonts w:ascii="Calibri" w:hAnsi="Calibri" w:eastAsia="宋体" w:cs="Times New Roman"/>
          <w:color w:val="auto"/>
          <w:highlight w:val="white"/>
        </w:rPr>
        <w:t>25</w:t>
      </w:r>
      <w:r>
        <w:rPr>
          <w:rStyle w:val="30"/>
          <w:rFonts w:hint="eastAsia" w:ascii="Calibri" w:hAnsi="Calibri" w:eastAsia="宋体" w:cs="Times New Roman"/>
          <w:color w:val="auto"/>
          <w:highlight w:val="white"/>
        </w:rPr>
        <w:t>日向监理人报送上月</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日至当月</w:t>
      </w:r>
      <w:r>
        <w:rPr>
          <w:rStyle w:val="30"/>
          <w:rFonts w:ascii="Calibri" w:hAnsi="Calibri" w:eastAsia="宋体" w:cs="Times New Roman"/>
          <w:color w:val="auto"/>
          <w:highlight w:val="white"/>
        </w:rPr>
        <w:t>19</w:t>
      </w:r>
      <w:r>
        <w:rPr>
          <w:rStyle w:val="30"/>
          <w:rFonts w:hint="eastAsia" w:ascii="Calibri" w:hAnsi="Calibri" w:eastAsia="宋体" w:cs="Times New Roman"/>
          <w:color w:val="auto"/>
          <w:highlight w:val="white"/>
        </w:rPr>
        <w:t>日已完成的工程量报告，并附具进度付款申请单、已完成工程量报表和有关资料。</w:t>
      </w:r>
    </w:p>
    <w:p w14:paraId="050529F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）监理人应在收到承包人提交的工程量报告后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1C84EB0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）监理人未在收到承包人提交的工程量报表后的</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天内完成复核的，承包人提交的工程量报告中的工程量视为承包人实际完成的工程量。</w:t>
      </w:r>
    </w:p>
    <w:p w14:paraId="69F0CA0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12.3.5 </w:t>
      </w:r>
      <w:r>
        <w:rPr>
          <w:rStyle w:val="30"/>
          <w:rFonts w:hint="eastAsia" w:ascii="Calibri" w:hAnsi="Calibri" w:eastAsia="宋体" w:cs="Times New Roman"/>
          <w:color w:val="auto"/>
          <w:highlight w:val="white"/>
        </w:rPr>
        <w:t>总价合同采用支付分解表计量支付的，可以按照第</w:t>
      </w:r>
      <w:r>
        <w:rPr>
          <w:rStyle w:val="30"/>
          <w:rFonts w:ascii="Calibri" w:hAnsi="Calibri" w:eastAsia="宋体" w:cs="Times New Roman"/>
          <w:color w:val="auto"/>
          <w:highlight w:val="white"/>
        </w:rPr>
        <w:t>12.3.4</w:t>
      </w:r>
      <w:r>
        <w:rPr>
          <w:rStyle w:val="30"/>
          <w:rFonts w:hint="eastAsia" w:ascii="Calibri" w:hAnsi="Calibri" w:eastAsia="宋体" w:cs="Times New Roman"/>
          <w:color w:val="auto"/>
          <w:highlight w:val="white"/>
        </w:rPr>
        <w:t>项〔总价合同的计量〕约定进行计量，但合同价款按照支付分解表进行支付。</w:t>
      </w:r>
    </w:p>
    <w:p w14:paraId="0BF4CFB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12.3.6 </w:t>
      </w:r>
      <w:r>
        <w:rPr>
          <w:rStyle w:val="30"/>
          <w:rFonts w:hint="eastAsia" w:ascii="Calibri" w:hAnsi="Calibri" w:eastAsia="宋体" w:cs="Times New Roman"/>
          <w:color w:val="auto"/>
          <w:highlight w:val="white"/>
        </w:rPr>
        <w:t>其他价格形式合同的计量</w:t>
      </w:r>
    </w:p>
    <w:p w14:paraId="3C0EBE6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合同当事人可在专用合同条款中约定其他价格形式合同的计量方式和程序。</w:t>
      </w:r>
    </w:p>
    <w:p w14:paraId="79A99B6C">
      <w:pPr>
        <w:pStyle w:val="106"/>
        <w:rPr>
          <w:rStyle w:val="30"/>
          <w:rFonts w:ascii="Calibri" w:hAnsi="Calibri" w:eastAsia="宋体" w:cs="Times New Roman"/>
          <w:color w:val="auto"/>
        </w:rPr>
      </w:pPr>
      <w:r>
        <w:rPr>
          <w:rStyle w:val="30"/>
          <w:rFonts w:ascii="Calibri" w:hAnsi="Calibri" w:eastAsia="宋体" w:cs="Times New Roman"/>
          <w:color w:val="auto"/>
          <w:highlight w:val="white"/>
        </w:rPr>
        <w:t>12.4</w:t>
      </w:r>
      <w:r>
        <w:rPr>
          <w:rStyle w:val="30"/>
          <w:rFonts w:hint="eastAsia" w:ascii="Calibri" w:hAnsi="Calibri" w:eastAsia="宋体" w:cs="Times New Roman"/>
          <w:color w:val="auto"/>
          <w:highlight w:val="white"/>
        </w:rPr>
        <w:t>工程进度款支付</w:t>
      </w:r>
    </w:p>
    <w:p w14:paraId="0640CBF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12.4.1 </w:t>
      </w:r>
      <w:r>
        <w:rPr>
          <w:rStyle w:val="30"/>
          <w:rFonts w:hint="eastAsia" w:ascii="Calibri" w:hAnsi="Calibri" w:eastAsia="宋体" w:cs="Times New Roman"/>
          <w:color w:val="auto"/>
          <w:highlight w:val="white"/>
        </w:rPr>
        <w:t>付款周期</w:t>
      </w:r>
    </w:p>
    <w:p w14:paraId="72E19A3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除专用合同条款另有约定外，付款周期应按照第</w:t>
      </w:r>
      <w:r>
        <w:rPr>
          <w:rStyle w:val="30"/>
          <w:rFonts w:ascii="Calibri" w:hAnsi="Calibri" w:eastAsia="宋体" w:cs="Times New Roman"/>
          <w:color w:val="auto"/>
          <w:highlight w:val="white"/>
        </w:rPr>
        <w:t>12.3.2</w:t>
      </w:r>
      <w:r>
        <w:rPr>
          <w:rStyle w:val="30"/>
          <w:rFonts w:hint="eastAsia" w:ascii="Calibri" w:hAnsi="Calibri" w:eastAsia="宋体" w:cs="Times New Roman"/>
          <w:color w:val="auto"/>
          <w:highlight w:val="white"/>
        </w:rPr>
        <w:t>项〔计量周期〕的约定与计量周期保持一致。</w:t>
      </w:r>
    </w:p>
    <w:p w14:paraId="02926E7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12.4.2 </w:t>
      </w:r>
      <w:r>
        <w:rPr>
          <w:rStyle w:val="30"/>
          <w:rFonts w:hint="eastAsia" w:ascii="Calibri" w:hAnsi="Calibri" w:eastAsia="宋体" w:cs="Times New Roman"/>
          <w:color w:val="auto"/>
          <w:highlight w:val="white"/>
        </w:rPr>
        <w:t>进度付款申请单的编制</w:t>
      </w:r>
    </w:p>
    <w:p w14:paraId="765A63F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除专用合同条款另有约定外，进度付款申请单应包括下列内容：</w:t>
      </w:r>
    </w:p>
    <w:p w14:paraId="3D4B439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）截至本次付款周期已完成工作对应的金额；</w:t>
      </w:r>
    </w:p>
    <w:p w14:paraId="3176BE4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）根据第</w:t>
      </w:r>
      <w:r>
        <w:rPr>
          <w:rStyle w:val="30"/>
          <w:rFonts w:ascii="Calibri" w:hAnsi="Calibri" w:eastAsia="宋体" w:cs="Times New Roman"/>
          <w:color w:val="auto"/>
          <w:highlight w:val="white"/>
        </w:rPr>
        <w:t>10</w:t>
      </w:r>
      <w:r>
        <w:rPr>
          <w:rStyle w:val="30"/>
          <w:rFonts w:hint="eastAsia" w:ascii="Calibri" w:hAnsi="Calibri" w:eastAsia="宋体" w:cs="Times New Roman"/>
          <w:color w:val="auto"/>
          <w:highlight w:val="white"/>
        </w:rPr>
        <w:t>条〔变更〕应增加和扣减的变更金额；</w:t>
      </w:r>
    </w:p>
    <w:p w14:paraId="2E14021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）根据第</w:t>
      </w:r>
      <w:r>
        <w:rPr>
          <w:rStyle w:val="30"/>
          <w:rFonts w:ascii="Calibri" w:hAnsi="Calibri" w:eastAsia="宋体" w:cs="Times New Roman"/>
          <w:color w:val="auto"/>
          <w:highlight w:val="white"/>
        </w:rPr>
        <w:t>12.2</w:t>
      </w:r>
      <w:r>
        <w:rPr>
          <w:rStyle w:val="30"/>
          <w:rFonts w:hint="eastAsia" w:ascii="Calibri" w:hAnsi="Calibri" w:eastAsia="宋体" w:cs="Times New Roman"/>
          <w:color w:val="auto"/>
          <w:highlight w:val="white"/>
        </w:rPr>
        <w:t>款〔预付款〕约定应支付的预付款和扣减的返还预付款；</w:t>
      </w:r>
    </w:p>
    <w:p w14:paraId="708EB60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）根据第</w:t>
      </w:r>
      <w:r>
        <w:rPr>
          <w:rStyle w:val="30"/>
          <w:rFonts w:ascii="Calibri" w:hAnsi="Calibri" w:eastAsia="宋体" w:cs="Times New Roman"/>
          <w:color w:val="auto"/>
          <w:highlight w:val="white"/>
        </w:rPr>
        <w:t>15.3</w:t>
      </w:r>
      <w:r>
        <w:rPr>
          <w:rStyle w:val="30"/>
          <w:rFonts w:hint="eastAsia" w:ascii="Calibri" w:hAnsi="Calibri" w:eastAsia="宋体" w:cs="Times New Roman"/>
          <w:color w:val="auto"/>
          <w:highlight w:val="white"/>
        </w:rPr>
        <w:t>款〔质量保证金〕约定应扣减的质量保证金；</w:t>
      </w:r>
    </w:p>
    <w:p w14:paraId="68FDAB2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）根据第</w:t>
      </w:r>
      <w:r>
        <w:rPr>
          <w:rStyle w:val="30"/>
          <w:rFonts w:ascii="Calibri" w:hAnsi="Calibri" w:eastAsia="宋体" w:cs="Times New Roman"/>
          <w:color w:val="auto"/>
          <w:highlight w:val="white"/>
        </w:rPr>
        <w:t>19</w:t>
      </w:r>
      <w:r>
        <w:rPr>
          <w:rStyle w:val="30"/>
          <w:rFonts w:hint="eastAsia" w:ascii="Calibri" w:hAnsi="Calibri" w:eastAsia="宋体" w:cs="Times New Roman"/>
          <w:color w:val="auto"/>
          <w:highlight w:val="white"/>
        </w:rPr>
        <w:t>条〔索赔〕应增加和扣减的索赔金额；</w:t>
      </w:r>
    </w:p>
    <w:p w14:paraId="52E4E09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）对已签发的进度款支付证书中出现错误的修正，应在本次进度付款中支付或扣除的金额；</w:t>
      </w:r>
    </w:p>
    <w:p w14:paraId="310F61A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）根据合同约定应增加和扣减的其他金额。</w:t>
      </w:r>
    </w:p>
    <w:p w14:paraId="42AA1CE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12.4.3 </w:t>
      </w:r>
      <w:r>
        <w:rPr>
          <w:rStyle w:val="30"/>
          <w:rFonts w:hint="eastAsia" w:ascii="Calibri" w:hAnsi="Calibri" w:eastAsia="宋体" w:cs="Times New Roman"/>
          <w:color w:val="auto"/>
          <w:highlight w:val="white"/>
        </w:rPr>
        <w:t>进度付款申请单的提交</w:t>
      </w:r>
    </w:p>
    <w:p w14:paraId="34DE6F1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）单价合同进度付款申请单的提交</w:t>
      </w:r>
    </w:p>
    <w:p w14:paraId="6B481FC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单价合同的进度付款申请单，按照第</w:t>
      </w:r>
      <w:r>
        <w:rPr>
          <w:rStyle w:val="30"/>
          <w:rFonts w:ascii="Calibri" w:hAnsi="Calibri" w:eastAsia="宋体" w:cs="Times New Roman"/>
          <w:color w:val="auto"/>
          <w:highlight w:val="white"/>
        </w:rPr>
        <w:t>12.3.3</w:t>
      </w:r>
      <w:r>
        <w:rPr>
          <w:rStyle w:val="30"/>
          <w:rFonts w:hint="eastAsia" w:ascii="Calibri" w:hAnsi="Calibri" w:eastAsia="宋体" w:cs="Times New Roman"/>
          <w:color w:val="auto"/>
          <w:highlight w:val="white"/>
        </w:rPr>
        <w:t>项〔单价合同的计量〕约定的时间按月向监理人提交，并附上已完成工程量报表和有关资料。单价合同中的总价项目按月进行支付分解，并汇总列入当期进度付款申请单。</w:t>
      </w:r>
    </w:p>
    <w:p w14:paraId="4809200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）总价合同进度付款申请单的提交</w:t>
      </w:r>
    </w:p>
    <w:p w14:paraId="578A65F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总价合同按月计量支付的，承包人按照第</w:t>
      </w:r>
      <w:r>
        <w:rPr>
          <w:rStyle w:val="30"/>
          <w:rFonts w:ascii="Calibri" w:hAnsi="Calibri" w:eastAsia="宋体" w:cs="Times New Roman"/>
          <w:color w:val="auto"/>
          <w:highlight w:val="white"/>
        </w:rPr>
        <w:t>12.3.4</w:t>
      </w:r>
      <w:r>
        <w:rPr>
          <w:rStyle w:val="30"/>
          <w:rFonts w:hint="eastAsia" w:ascii="Calibri" w:hAnsi="Calibri" w:eastAsia="宋体" w:cs="Times New Roman"/>
          <w:color w:val="auto"/>
          <w:highlight w:val="white"/>
        </w:rPr>
        <w:t>项〔总价合同的计量〕约定的时间按月向监理人提交进度付款申请单，并附上已完成工程量报表和有关资料。</w:t>
      </w:r>
    </w:p>
    <w:p w14:paraId="197E722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总价合同按支付分解表支付的，承包人应按照第</w:t>
      </w:r>
      <w:r>
        <w:rPr>
          <w:rStyle w:val="30"/>
          <w:rFonts w:ascii="Calibri" w:hAnsi="Calibri" w:eastAsia="宋体" w:cs="Times New Roman"/>
          <w:color w:val="auto"/>
          <w:highlight w:val="white"/>
        </w:rPr>
        <w:t>12.4.6</w:t>
      </w:r>
      <w:r>
        <w:rPr>
          <w:rStyle w:val="30"/>
          <w:rFonts w:hint="eastAsia" w:ascii="Calibri" w:hAnsi="Calibri" w:eastAsia="宋体" w:cs="Times New Roman"/>
          <w:color w:val="auto"/>
          <w:highlight w:val="white"/>
        </w:rPr>
        <w:t>项〔支付分解表〕及第</w:t>
      </w:r>
      <w:r>
        <w:rPr>
          <w:rStyle w:val="30"/>
          <w:rFonts w:ascii="Calibri" w:hAnsi="Calibri" w:eastAsia="宋体" w:cs="Times New Roman"/>
          <w:color w:val="auto"/>
          <w:highlight w:val="white"/>
        </w:rPr>
        <w:t>12.4.2</w:t>
      </w:r>
      <w:r>
        <w:rPr>
          <w:rStyle w:val="30"/>
          <w:rFonts w:hint="eastAsia" w:ascii="Calibri" w:hAnsi="Calibri" w:eastAsia="宋体" w:cs="Times New Roman"/>
          <w:color w:val="auto"/>
          <w:highlight w:val="white"/>
        </w:rPr>
        <w:t>项〔进度付款申请单的编制〕的约定向监理人提交进度付款申请单。</w:t>
      </w:r>
    </w:p>
    <w:p w14:paraId="492482C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）其他价格形式合同的进度付款申请单的提交</w:t>
      </w:r>
    </w:p>
    <w:p w14:paraId="7C4A93F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合同当事人可在专用合同条款中约定其他价格形式合同的进度付款申请单的编制和提交程序。</w:t>
      </w:r>
    </w:p>
    <w:p w14:paraId="4B819E2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12.4.4 </w:t>
      </w:r>
      <w:r>
        <w:rPr>
          <w:rStyle w:val="30"/>
          <w:rFonts w:hint="eastAsia" w:ascii="Calibri" w:hAnsi="Calibri" w:eastAsia="宋体" w:cs="Times New Roman"/>
          <w:color w:val="auto"/>
          <w:highlight w:val="white"/>
        </w:rPr>
        <w:t>进度款审核和支付</w:t>
      </w:r>
    </w:p>
    <w:p w14:paraId="4283498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）除专用合同条款另有约定外，监理人应在收到承包人进度付款申请单以及相关资料后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天内完成审查并报送发包人，发包人应在收到后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天内完成审批并签发进度款支付证书。发包人逾期未完成审批且未提出异议的，视为已签发进度款支付证书。</w:t>
      </w:r>
    </w:p>
    <w:p w14:paraId="2EBD589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发包人和监理人对承包人的进度付款申请单有异议的，有权要求承包人修正和提供补充资料，承包人应提交修正后的进度付款申请单。监理人应在收到承包人修正后的进度付款申请单及相关资料后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天内完成审查并报送发包人，发包人应在收到监理人报送的进度付款申请单及相关资料后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天内，向承包人签发无异议部分的临时进度款支付证书。存在争议的部分，按照第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条〔争议解决〕的约定处理。</w:t>
      </w:r>
    </w:p>
    <w:p w14:paraId="75DC258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）除专用合同条款另有约定外，发包人应在进度款支付证书或临时进度款支付证书签发后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天内完成支付，发包人逾期支付进度款的，应按照中国人民银行发布的同期同类贷款基准利率支付违约金。</w:t>
      </w:r>
    </w:p>
    <w:p w14:paraId="7DE5BC3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）发包人签发进度款支付证书或临时进度款支付证书，不表明发包人已同意、批准或接受了承包人完成的相应部分的工作。</w:t>
      </w:r>
    </w:p>
    <w:p w14:paraId="11BB2A1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12.4.5 </w:t>
      </w:r>
      <w:r>
        <w:rPr>
          <w:rStyle w:val="30"/>
          <w:rFonts w:hint="eastAsia" w:ascii="Calibri" w:hAnsi="Calibri" w:eastAsia="宋体" w:cs="Times New Roman"/>
          <w:color w:val="auto"/>
          <w:highlight w:val="white"/>
        </w:rPr>
        <w:t>进度付款的修正</w:t>
      </w:r>
    </w:p>
    <w:p w14:paraId="5C5FD2C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在对已签发的进度款支付证书进行阶段汇总和复核中发现错误、遗漏或重复的，发包人和承包人均有权提出修正申请。经发包人和承包人同意的修正，应在下期进度付款中支付或扣除。</w:t>
      </w:r>
    </w:p>
    <w:p w14:paraId="5BC5358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12.4.6 </w:t>
      </w:r>
      <w:r>
        <w:rPr>
          <w:rStyle w:val="30"/>
          <w:rFonts w:hint="eastAsia" w:ascii="Calibri" w:hAnsi="Calibri" w:eastAsia="宋体" w:cs="Times New Roman"/>
          <w:color w:val="auto"/>
          <w:highlight w:val="white"/>
        </w:rPr>
        <w:t>支付分解表</w:t>
      </w:r>
    </w:p>
    <w:p w14:paraId="03912BE4">
      <w:pPr>
        <w:pStyle w:val="106"/>
        <w:rPr>
          <w:rStyle w:val="30"/>
          <w:rFonts w:ascii="Calibri" w:hAnsi="Calibri" w:eastAsia="宋体" w:cs="Times New Roman"/>
          <w:color w:val="auto"/>
        </w:rPr>
      </w:pP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、支付分解表的编制要求</w:t>
      </w:r>
    </w:p>
    <w:p w14:paraId="007C39F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）支付分解表中所列的每期付款金额，应为第</w:t>
      </w:r>
      <w:r>
        <w:rPr>
          <w:rStyle w:val="30"/>
          <w:rFonts w:ascii="Calibri" w:hAnsi="Calibri" w:eastAsia="宋体" w:cs="Times New Roman"/>
          <w:color w:val="auto"/>
          <w:highlight w:val="white"/>
        </w:rPr>
        <w:t>12.4.2</w:t>
      </w:r>
      <w:r>
        <w:rPr>
          <w:rStyle w:val="30"/>
          <w:rFonts w:hint="eastAsia" w:ascii="Calibri" w:hAnsi="Calibri" w:eastAsia="宋体" w:cs="Times New Roman"/>
          <w:color w:val="auto"/>
          <w:highlight w:val="white"/>
        </w:rPr>
        <w:t>项〔进度付款申请单的编制〕第（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）目的估算金额；</w:t>
      </w:r>
    </w:p>
    <w:p w14:paraId="641CAFA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）实际进度与施工进度计划不一致的，合同当事人可按照第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款〔商定或确定〕修改支付分解表；</w:t>
      </w:r>
    </w:p>
    <w:p w14:paraId="187751F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）不采用支付分解表的，承包人应向发包人和监理人提交按季度编制的支付估算分解表，用于支付参考。</w:t>
      </w:r>
    </w:p>
    <w:p w14:paraId="6A2E386F">
      <w:pPr>
        <w:pStyle w:val="106"/>
        <w:rPr>
          <w:rStyle w:val="30"/>
          <w:rFonts w:ascii="Calibri" w:hAnsi="Calibri" w:eastAsia="宋体" w:cs="Times New Roman"/>
          <w:color w:val="auto"/>
        </w:rPr>
      </w:pP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、总价合同支付分解表的编制与审批</w:t>
      </w:r>
    </w:p>
    <w:p w14:paraId="05E4995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）除专用合同条款另有约定外，承包人应根据第</w:t>
      </w:r>
      <w:r>
        <w:rPr>
          <w:rStyle w:val="30"/>
          <w:rFonts w:ascii="Calibri" w:hAnsi="Calibri" w:eastAsia="宋体" w:cs="Times New Roman"/>
          <w:color w:val="auto"/>
          <w:highlight w:val="white"/>
        </w:rPr>
        <w:t>7.2</w:t>
      </w:r>
      <w:r>
        <w:rPr>
          <w:rStyle w:val="30"/>
          <w:rFonts w:hint="eastAsia" w:ascii="Calibri" w:hAnsi="Calibri" w:eastAsia="宋体" w:cs="Times New Roman"/>
          <w:color w:val="auto"/>
          <w:highlight w:val="white"/>
        </w:rPr>
        <w:t>款〔施工进度计划〕约定的施工进度计划、签约合同价和工程量等因素对总价合同按月进行分解，编制支付分解表。承包人应当在收到监理人和发包人批准的施工进度计划后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天内，将支付分解表及编制支付分解表的支持性资料报送监理人。</w:t>
      </w:r>
    </w:p>
    <w:p w14:paraId="0342100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）监理人应在收到支付分解表后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天内完成审核并报送发包人。发包人应在收到经监理人审核的支付分解表后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天内完成审批，经发包人批准的支付分解表为有约束力的支付分解表。</w:t>
      </w:r>
    </w:p>
    <w:p w14:paraId="70DF7EE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w:t>
      </w: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）发包人逾期未完成支付分解表审批的，也未及时要求承包人进行修正和提供补充资料的，则承包人提交的支付分解表视为已经获得发包人批准。</w:t>
      </w:r>
    </w:p>
    <w:p w14:paraId="137A3D27">
      <w:pPr>
        <w:pStyle w:val="106"/>
        <w:rPr>
          <w:rStyle w:val="30"/>
          <w:rFonts w:ascii="Calibri" w:hAnsi="Calibri" w:eastAsia="宋体" w:cs="Times New Roman"/>
          <w:color w:val="auto"/>
        </w:rPr>
      </w:pP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、单价合同的总价项目支付分解表的编制与审批</w:t>
      </w:r>
    </w:p>
    <w:p w14:paraId="2F49EDA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5FE17BC4">
      <w:pPr>
        <w:pStyle w:val="106"/>
        <w:rPr>
          <w:rStyle w:val="30"/>
          <w:rFonts w:ascii="Calibri" w:hAnsi="Calibri" w:eastAsia="宋体" w:cs="Times New Roman"/>
          <w:color w:val="auto"/>
        </w:rPr>
      </w:pPr>
      <w:r>
        <w:rPr>
          <w:rStyle w:val="30"/>
          <w:rFonts w:ascii="Calibri" w:hAnsi="Calibri" w:eastAsia="宋体" w:cs="Times New Roman"/>
          <w:color w:val="auto"/>
          <w:highlight w:val="white"/>
        </w:rPr>
        <w:t>12.5</w:t>
      </w:r>
      <w:r>
        <w:rPr>
          <w:rStyle w:val="30"/>
          <w:rFonts w:hint="eastAsia" w:ascii="Calibri" w:hAnsi="Calibri" w:eastAsia="宋体" w:cs="Times New Roman"/>
          <w:color w:val="auto"/>
          <w:highlight w:val="white"/>
        </w:rPr>
        <w:t>支付账户</w:t>
      </w:r>
    </w:p>
    <w:p w14:paraId="0CBDB1D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发包人应将合同价款支付至合同协议书中约定的承包人账户。</w:t>
      </w:r>
    </w:p>
    <w:p w14:paraId="07512CAC">
      <w:pPr>
        <w:pStyle w:val="108"/>
        <w:numPr>
          <w:ilvl w:val="0"/>
          <w:numId w:val="0"/>
        </w:numPr>
        <w:rPr>
          <w:rStyle w:val="30"/>
          <w:rFonts w:eastAsia="宋体" w:cs="Times New Roman"/>
          <w:color w:val="auto"/>
        </w:rPr>
      </w:pPr>
      <w:r>
        <w:rPr>
          <w:rStyle w:val="30"/>
          <w:rFonts w:eastAsia="宋体" w:cs="Times New Roman"/>
          <w:color w:val="auto"/>
          <w:highlight w:val="white"/>
        </w:rPr>
        <w:t xml:space="preserve">13. </w:t>
      </w:r>
      <w:r>
        <w:rPr>
          <w:rStyle w:val="30"/>
          <w:rFonts w:hint="eastAsia" w:eastAsia="宋体" w:cs="Times New Roman"/>
          <w:color w:val="auto"/>
          <w:highlight w:val="white"/>
        </w:rPr>
        <w:t>验收和工程试车</w:t>
      </w:r>
    </w:p>
    <w:p w14:paraId="43AB0F3B">
      <w:pPr>
        <w:pStyle w:val="106"/>
        <w:rPr>
          <w:rStyle w:val="30"/>
          <w:rFonts w:ascii="Calibri" w:hAnsi="Calibri" w:eastAsia="宋体" w:cs="Times New Roman"/>
          <w:color w:val="auto"/>
        </w:rPr>
      </w:pPr>
      <w:r>
        <w:rPr>
          <w:rStyle w:val="30"/>
          <w:rFonts w:ascii="Calibri" w:hAnsi="Calibri" w:eastAsia="宋体" w:cs="Times New Roman"/>
          <w:color w:val="auto"/>
          <w:highlight w:val="white"/>
        </w:rPr>
        <w:t>13.1</w:t>
      </w:r>
      <w:r>
        <w:rPr>
          <w:rStyle w:val="30"/>
          <w:rFonts w:hint="eastAsia" w:ascii="Calibri" w:hAnsi="Calibri" w:eastAsia="宋体" w:cs="Times New Roman"/>
          <w:color w:val="auto"/>
          <w:highlight w:val="white"/>
        </w:rPr>
        <w:t>分部分项工程验收</w:t>
      </w:r>
    </w:p>
    <w:p w14:paraId="5AFD617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13.1.1 </w:t>
      </w:r>
      <w:r>
        <w:rPr>
          <w:rStyle w:val="30"/>
          <w:rFonts w:hint="eastAsia" w:ascii="Calibri" w:hAnsi="Calibri" w:eastAsia="宋体" w:cs="Times New Roman"/>
          <w:color w:val="auto"/>
          <w:highlight w:val="white"/>
        </w:rPr>
        <w:t>分部分项工程质量应符合国家有关工程施工验收规范、标准及合同约定，承包人应按照施工组织设计的要求完成分部分项工程施工。</w:t>
      </w:r>
    </w:p>
    <w:p w14:paraId="5CCE301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13.1.2 </w:t>
      </w:r>
      <w:r>
        <w:rPr>
          <w:rStyle w:val="30"/>
          <w:rFonts w:hint="eastAsia" w:ascii="Calibri" w:hAnsi="Calibri" w:eastAsia="宋体" w:cs="Times New Roman"/>
          <w:color w:val="auto"/>
          <w:highlight w:val="white"/>
        </w:rPr>
        <w:t>除专用合同条款另有约定外，分部分项工程经承包人自检合格并具备验收条件的，承包人应提前</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小时通知监理人进行验收。监理人不能按时进行验收的，应在验收前</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小时向承包人提交书面延期要求，但延期不能超过</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小时。监理人未按时进行验收，也未提出延期要求的，承包人有权自行验收，监理人应认可验收结果。分部分项工程未经验收的，不得进入下一道工序施工。</w:t>
      </w:r>
    </w:p>
    <w:p w14:paraId="4A2670C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分部分项工程的验收资料应当作为竣工资料的组成部分。</w:t>
      </w:r>
    </w:p>
    <w:p w14:paraId="18E39371">
      <w:pPr>
        <w:pStyle w:val="106"/>
        <w:rPr>
          <w:rStyle w:val="30"/>
          <w:rFonts w:ascii="Calibri" w:hAnsi="Calibri" w:eastAsia="宋体" w:cs="Times New Roman"/>
          <w:color w:val="auto"/>
        </w:rPr>
      </w:pPr>
      <w:r>
        <w:rPr>
          <w:rStyle w:val="30"/>
          <w:rFonts w:ascii="Calibri" w:hAnsi="Calibri" w:eastAsia="宋体" w:cs="Times New Roman"/>
          <w:color w:val="auto"/>
          <w:highlight w:val="white"/>
        </w:rPr>
        <w:t>13.2</w:t>
      </w:r>
      <w:r>
        <w:rPr>
          <w:rStyle w:val="30"/>
          <w:rFonts w:hint="eastAsia" w:ascii="Calibri" w:hAnsi="Calibri" w:eastAsia="宋体" w:cs="Times New Roman"/>
          <w:color w:val="auto"/>
          <w:highlight w:val="white"/>
        </w:rPr>
        <w:t>竣工验收</w:t>
      </w:r>
    </w:p>
    <w:p w14:paraId="6DC6B4EB">
      <w:pPr>
        <w:pStyle w:val="106"/>
        <w:rPr>
          <w:rStyle w:val="30"/>
          <w:rFonts w:ascii="Calibri" w:hAnsi="Calibri" w:eastAsia="宋体" w:cs="Times New Roman"/>
          <w:color w:val="auto"/>
        </w:rPr>
      </w:pPr>
      <w:r>
        <w:rPr>
          <w:rStyle w:val="30"/>
          <w:rFonts w:ascii="Calibri" w:hAnsi="Calibri" w:eastAsia="宋体" w:cs="Times New Roman"/>
          <w:color w:val="auto"/>
          <w:highlight w:val="white"/>
        </w:rPr>
        <w:t>13.2.1</w:t>
      </w:r>
      <w:r>
        <w:rPr>
          <w:rStyle w:val="30"/>
          <w:rFonts w:hint="eastAsia" w:ascii="Calibri" w:hAnsi="Calibri" w:eastAsia="宋体" w:cs="Times New Roman"/>
          <w:color w:val="auto"/>
          <w:highlight w:val="white"/>
        </w:rPr>
        <w:t>竣工验收条件</w:t>
      </w:r>
    </w:p>
    <w:p w14:paraId="7624113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工程具备以下条件的，承包人可以申请竣工验收：</w:t>
      </w:r>
    </w:p>
    <w:p w14:paraId="78A2026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）除发包人同意的甩项工作和缺陷修补工作外，合同范围内的全部工程以及有关工作，包括合同要求的试验、试运行以及检验均已完成，并符合合同要求；</w:t>
      </w:r>
    </w:p>
    <w:p w14:paraId="084A55F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）已按合同约定编制了甩项工作和缺陷修补工作清单以及相应的施工计划；</w:t>
      </w:r>
    </w:p>
    <w:p w14:paraId="3FBB147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）已按合同约定的内容和份数备齐竣工资料。</w:t>
      </w:r>
    </w:p>
    <w:p w14:paraId="0DC86639">
      <w:pPr>
        <w:pStyle w:val="106"/>
        <w:rPr>
          <w:rStyle w:val="30"/>
          <w:rFonts w:ascii="Calibri" w:hAnsi="Calibri" w:eastAsia="宋体" w:cs="Times New Roman"/>
          <w:color w:val="auto"/>
        </w:rPr>
      </w:pPr>
      <w:r>
        <w:rPr>
          <w:rStyle w:val="30"/>
          <w:rFonts w:ascii="Calibri" w:hAnsi="Calibri" w:eastAsia="宋体" w:cs="Times New Roman"/>
          <w:color w:val="auto"/>
          <w:highlight w:val="white"/>
        </w:rPr>
        <w:t>13.2.2</w:t>
      </w:r>
      <w:r>
        <w:rPr>
          <w:rStyle w:val="30"/>
          <w:rFonts w:hint="eastAsia" w:ascii="Calibri" w:hAnsi="Calibri" w:eastAsia="宋体" w:cs="Times New Roman"/>
          <w:color w:val="auto"/>
          <w:highlight w:val="white"/>
        </w:rPr>
        <w:t>竣工验收程序</w:t>
      </w:r>
    </w:p>
    <w:p w14:paraId="2D90B8E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除专用合同条款另有约定外，承包人申请竣工验收的，应当按照以下程序进行：</w:t>
      </w:r>
    </w:p>
    <w:p w14:paraId="474B903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）承包人向监理人报送竣工验收申请报告，监理人应在收到竣工验收申请报告后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天内完成审查并报送发包人。监理人审查后认为尚不具备验收条件的，应通知承包人在竣工验收前承包人还需完成的工作内容，承包人应在完成监理人通知的全部工作内容后，再次提交竣工验收申请报告。</w:t>
      </w:r>
    </w:p>
    <w:p w14:paraId="2A0CC94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）监理人审查后认为已具备竣工验收条件的，应将竣工验收申请报告提交发包人，发包人应在收到经监理人审核的竣工验收申请报告后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天内审批完毕并组织监理人、承包人、设计人等相关单位完成竣工验收。</w:t>
      </w:r>
    </w:p>
    <w:p w14:paraId="1540047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）竣工验收合格的，发包人应在验收合格后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天内向承包人签发工程接收证书。发包人无正当理由逾期不颁发工程接收证书的，自验收合格后第</w:t>
      </w:r>
      <w:r>
        <w:rPr>
          <w:rStyle w:val="30"/>
          <w:rFonts w:ascii="Calibri" w:hAnsi="Calibri" w:eastAsia="宋体" w:cs="Times New Roman"/>
          <w:color w:val="auto"/>
          <w:highlight w:val="white"/>
        </w:rPr>
        <w:t>15</w:t>
      </w:r>
      <w:r>
        <w:rPr>
          <w:rStyle w:val="30"/>
          <w:rFonts w:hint="eastAsia" w:ascii="Calibri" w:hAnsi="Calibri" w:eastAsia="宋体" w:cs="Times New Roman"/>
          <w:color w:val="auto"/>
          <w:highlight w:val="white"/>
        </w:rPr>
        <w:t>天起视为已颁发工程接收证书。</w:t>
      </w:r>
    </w:p>
    <w:p w14:paraId="081B690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5096DCB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）工程未经验收或验收不合格，发包人擅自使用的，应在转移占有工程后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天内向承包人颁发工程接收证书；发包人无正当理由逾期不颁发工程接收证书的，自转移占有后第</w:t>
      </w:r>
      <w:r>
        <w:rPr>
          <w:rStyle w:val="30"/>
          <w:rFonts w:ascii="Calibri" w:hAnsi="Calibri" w:eastAsia="宋体" w:cs="Times New Roman"/>
          <w:color w:val="auto"/>
          <w:highlight w:val="white"/>
        </w:rPr>
        <w:t>15</w:t>
      </w:r>
      <w:r>
        <w:rPr>
          <w:rStyle w:val="30"/>
          <w:rFonts w:hint="eastAsia" w:ascii="Calibri" w:hAnsi="Calibri" w:eastAsia="宋体" w:cs="Times New Roman"/>
          <w:color w:val="auto"/>
          <w:highlight w:val="white"/>
        </w:rPr>
        <w:t>天起视为已颁发工程接收证书。</w:t>
      </w:r>
    </w:p>
    <w:p w14:paraId="38F6722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除专用合同条款另有约定外，发包人不按照本项约定组织竣工验收、颁发工程接收证书的，每逾期一天，应以签约合同价为基数，按照中国人民银行发布的同期同类贷款基准利率支付违约金。</w:t>
      </w:r>
    </w:p>
    <w:p w14:paraId="1D6E0242">
      <w:pPr>
        <w:pStyle w:val="106"/>
        <w:rPr>
          <w:rStyle w:val="30"/>
          <w:rFonts w:ascii="Calibri" w:hAnsi="Calibri" w:eastAsia="宋体" w:cs="Times New Roman"/>
          <w:color w:val="auto"/>
        </w:rPr>
      </w:pPr>
      <w:r>
        <w:rPr>
          <w:rStyle w:val="30"/>
          <w:rFonts w:ascii="Calibri" w:hAnsi="Calibri" w:eastAsia="宋体" w:cs="Times New Roman"/>
          <w:color w:val="auto"/>
          <w:highlight w:val="white"/>
        </w:rPr>
        <w:t>13.2.3</w:t>
      </w:r>
      <w:r>
        <w:rPr>
          <w:rStyle w:val="30"/>
          <w:rFonts w:hint="eastAsia" w:ascii="Calibri" w:hAnsi="Calibri" w:eastAsia="宋体" w:cs="Times New Roman"/>
          <w:color w:val="auto"/>
          <w:highlight w:val="white"/>
        </w:rPr>
        <w:t>竣工日期</w:t>
      </w:r>
    </w:p>
    <w:p w14:paraId="73596FB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工程经竣工验收合格的，以承包人提交竣工验收申请报告之日为实际竣工日期，并在工程接收证书中载明；因发包人原因，未在监理人收到承包人提交的竣工验收申请报告</w:t>
      </w:r>
      <w:r>
        <w:rPr>
          <w:rStyle w:val="30"/>
          <w:rFonts w:ascii="Calibri" w:hAnsi="Calibri" w:eastAsia="宋体" w:cs="Times New Roman"/>
          <w:color w:val="auto"/>
          <w:highlight w:val="white"/>
        </w:rPr>
        <w:t>42</w:t>
      </w:r>
      <w:r>
        <w:rPr>
          <w:rStyle w:val="30"/>
          <w:rFonts w:hint="eastAsia" w:ascii="Calibri" w:hAnsi="Calibri" w:eastAsia="宋体" w:cs="Times New Roman"/>
          <w:color w:val="auto"/>
          <w:highlight w:val="white"/>
        </w:rPr>
        <w:t>天内完成竣工验收，或完成竣工验收不予签发工程接收证书的，以提交竣工验收申请报告的日期为实际竣工日期；工程未经竣工验收，发包人擅自使用的，以转移占有工程之日为实际竣工日期。</w:t>
      </w:r>
    </w:p>
    <w:p w14:paraId="72C4877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13.2.4 </w:t>
      </w:r>
      <w:r>
        <w:rPr>
          <w:rStyle w:val="30"/>
          <w:rFonts w:hint="eastAsia" w:ascii="Calibri" w:hAnsi="Calibri" w:eastAsia="宋体" w:cs="Times New Roman"/>
          <w:color w:val="auto"/>
          <w:highlight w:val="white"/>
        </w:rPr>
        <w:t>拒绝接收全部或部分工程</w:t>
      </w:r>
    </w:p>
    <w:p w14:paraId="35BBD87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18E8AAA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13.2.5 </w:t>
      </w:r>
      <w:r>
        <w:rPr>
          <w:rStyle w:val="30"/>
          <w:rFonts w:hint="eastAsia" w:ascii="Calibri" w:hAnsi="Calibri" w:eastAsia="宋体" w:cs="Times New Roman"/>
          <w:color w:val="auto"/>
          <w:highlight w:val="white"/>
        </w:rPr>
        <w:t>移交、接收全部与部分工程</w:t>
      </w:r>
    </w:p>
    <w:p w14:paraId="1C2A6EC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除专用合同条款另有约定外，合同当事人应当在颁发工程接收证书后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天内完成工程的移交。</w:t>
      </w:r>
    </w:p>
    <w:p w14:paraId="0843C81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发包人无正当理由不接收工程的，发包人自应当接收工程之日起，承担工程照管、成品保护、保管等与工程有关的各项费用，合同当事人可以在专用合同条款中另行约定发包人逾期接收工程的违约责任。</w:t>
      </w:r>
    </w:p>
    <w:p w14:paraId="3AF5F69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承包人无正当理由不移交工程的，承包人应承担工程照管、成品保护、保管等与工程有关的各项费用，合同当事人可以在专用合同条款中另行约定承包人无正当理由不移交工程的违约责任。</w:t>
      </w:r>
    </w:p>
    <w:p w14:paraId="0F530A54">
      <w:pPr>
        <w:pStyle w:val="106"/>
        <w:rPr>
          <w:rStyle w:val="30"/>
          <w:rFonts w:ascii="Calibri" w:hAnsi="Calibri" w:eastAsia="宋体" w:cs="Times New Roman"/>
          <w:color w:val="auto"/>
        </w:rPr>
      </w:pPr>
      <w:r>
        <w:rPr>
          <w:rStyle w:val="30"/>
          <w:rFonts w:ascii="Calibri" w:hAnsi="Calibri" w:eastAsia="宋体" w:cs="Times New Roman"/>
          <w:color w:val="auto"/>
          <w:highlight w:val="white"/>
        </w:rPr>
        <w:t>13.3</w:t>
      </w:r>
      <w:r>
        <w:rPr>
          <w:rStyle w:val="30"/>
          <w:rFonts w:hint="eastAsia" w:ascii="Calibri" w:hAnsi="Calibri" w:eastAsia="宋体" w:cs="Times New Roman"/>
          <w:color w:val="auto"/>
          <w:highlight w:val="white"/>
        </w:rPr>
        <w:t>工程试车</w:t>
      </w:r>
    </w:p>
    <w:p w14:paraId="07276D60">
      <w:pPr>
        <w:pStyle w:val="106"/>
        <w:rPr>
          <w:rStyle w:val="30"/>
          <w:rFonts w:ascii="Calibri" w:hAnsi="Calibri" w:eastAsia="宋体" w:cs="Times New Roman"/>
          <w:color w:val="auto"/>
        </w:rPr>
      </w:pPr>
      <w:r>
        <w:rPr>
          <w:rStyle w:val="30"/>
          <w:rFonts w:ascii="Calibri" w:hAnsi="Calibri" w:eastAsia="宋体" w:cs="Times New Roman"/>
          <w:color w:val="auto"/>
          <w:highlight w:val="white"/>
        </w:rPr>
        <w:t>13.3.1</w:t>
      </w:r>
      <w:r>
        <w:rPr>
          <w:rStyle w:val="30"/>
          <w:rFonts w:hint="eastAsia" w:ascii="Calibri" w:hAnsi="Calibri" w:eastAsia="宋体" w:cs="Times New Roman"/>
          <w:color w:val="auto"/>
          <w:highlight w:val="white"/>
        </w:rPr>
        <w:t>试车程序</w:t>
      </w:r>
    </w:p>
    <w:p w14:paraId="77E9DE2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工程需要试车的，除专用合同条款另有约定外，试车内容应与承包人承包范围相一致，试车费用由承包人承担。工程试车应按如下程序进行：</w:t>
      </w:r>
    </w:p>
    <w:p w14:paraId="478AD5A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）具备单机无负荷试车条件，承包人组织试车，并在试车前</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书面通知监理人，通知中应载明试车内容、时间、地点。承包人准备试车记录，发包人根据承包人要求为试车提供必要条件。试车合格的，监理人在试车记录上签字。监理人在试车合格后不在试车记录上签字，自试车结束满</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小时后视为监理人已经认可试车记录，承包人可继续施工或办理竣工验收手续。</w:t>
      </w:r>
    </w:p>
    <w:p w14:paraId="281E08D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监理人不能按时参加试车，应在试车前</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小时以书面形式向承包人提出延期要求，但延期不能超过</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小时，由此导致工期延误的，工期应予以顺延。监理人未能在前述期限内提出延期要求，又不参加试车的，视为认可试车记录。</w:t>
      </w:r>
    </w:p>
    <w:p w14:paraId="1BFE0F3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）具备无负荷联动试车条件，发包人组织试车，并在试车前</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以书面形式通知承包人。通知中应载明试车内容、时间、地点和对承包人的要求，承包人按要求做好准备工作。试车合格，合同当事人在试车记录上签字。承包人无正当理由不参加试车的，视为认可试车记录。</w:t>
      </w:r>
    </w:p>
    <w:p w14:paraId="2A714AD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13.3.2 </w:t>
      </w:r>
      <w:r>
        <w:rPr>
          <w:rStyle w:val="30"/>
          <w:rFonts w:hint="eastAsia" w:ascii="Calibri" w:hAnsi="Calibri" w:eastAsia="宋体" w:cs="Times New Roman"/>
          <w:color w:val="auto"/>
          <w:highlight w:val="white"/>
        </w:rPr>
        <w:t>试车中的责任</w:t>
      </w:r>
    </w:p>
    <w:p w14:paraId="20E6DCD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43BDA5D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0D9592F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13.3.3 </w:t>
      </w:r>
      <w:r>
        <w:rPr>
          <w:rStyle w:val="30"/>
          <w:rFonts w:hint="eastAsia" w:ascii="Calibri" w:hAnsi="Calibri" w:eastAsia="宋体" w:cs="Times New Roman"/>
          <w:color w:val="auto"/>
          <w:highlight w:val="white"/>
        </w:rPr>
        <w:t>投料试车</w:t>
      </w:r>
    </w:p>
    <w:p w14:paraId="6C192FF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如需进行投料试车的，发包人应在工程竣工验收后组织投料试车。发包人要求在工程竣工验收前进行或需要承包人配合时，应征得承包人同意，并在专用合同条款中约定有关事项。</w:t>
      </w:r>
    </w:p>
    <w:p w14:paraId="6462916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4123376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    13.4</w:t>
      </w:r>
      <w:r>
        <w:rPr>
          <w:rStyle w:val="30"/>
          <w:rFonts w:hint="eastAsia" w:ascii="Calibri" w:hAnsi="Calibri" w:eastAsia="宋体" w:cs="Times New Roman"/>
          <w:color w:val="auto"/>
          <w:highlight w:val="white"/>
        </w:rPr>
        <w:t>提前交付单位工程的验收</w:t>
      </w:r>
    </w:p>
    <w:p w14:paraId="535EBE8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13.4.1 </w:t>
      </w:r>
      <w:r>
        <w:rPr>
          <w:rStyle w:val="30"/>
          <w:rFonts w:hint="eastAsia" w:ascii="Calibri" w:hAnsi="Calibri" w:eastAsia="宋体" w:cs="Times New Roman"/>
          <w:color w:val="auto"/>
          <w:highlight w:val="white"/>
        </w:rPr>
        <w:t>发包人需要在工程竣工前使用单位工程的，或承包人提出提前交付已经竣工的单位工程且经发包人同意的，可进行单位工程验收，验收的程序按照第</w:t>
      </w:r>
      <w:r>
        <w:rPr>
          <w:rStyle w:val="30"/>
          <w:rFonts w:ascii="Calibri" w:hAnsi="Calibri" w:eastAsia="宋体" w:cs="Times New Roman"/>
          <w:color w:val="auto"/>
          <w:highlight w:val="white"/>
        </w:rPr>
        <w:t>13.2</w:t>
      </w:r>
      <w:r>
        <w:rPr>
          <w:rStyle w:val="30"/>
          <w:rFonts w:hint="eastAsia" w:ascii="Calibri" w:hAnsi="Calibri" w:eastAsia="宋体" w:cs="Times New Roman"/>
          <w:color w:val="auto"/>
          <w:highlight w:val="white"/>
        </w:rPr>
        <w:t>款〔竣工验收〕的约定进行。</w:t>
      </w:r>
    </w:p>
    <w:p w14:paraId="11D0604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验收合格后，由监理人向承包人出具经发包人签认的单位工程接收证书。已签发单位工程接收证书的单位工程由发包人负责照管。单位工程的验收成果和结论作为整体工程竣工验收申请报告的附件。</w:t>
      </w:r>
    </w:p>
    <w:p w14:paraId="2E27CB3A">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13.4.2 </w:t>
      </w:r>
      <w:r>
        <w:rPr>
          <w:rStyle w:val="30"/>
          <w:rFonts w:hint="eastAsia" w:ascii="Calibri" w:hAnsi="Calibri" w:eastAsia="宋体" w:cs="Times New Roman"/>
          <w:color w:val="auto"/>
          <w:highlight w:val="white"/>
        </w:rPr>
        <w:t>发包人要求在工程竣工前交付单位工程，由此导致承包人费用增加和（或）工期延误的，由发包人承担由此增加的费用和（或）延误的工期，并支付承包人合理的利润。</w:t>
      </w:r>
    </w:p>
    <w:p w14:paraId="0D37179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13.5 </w:t>
      </w:r>
      <w:r>
        <w:rPr>
          <w:rStyle w:val="30"/>
          <w:rFonts w:hint="eastAsia" w:ascii="Calibri" w:hAnsi="Calibri" w:eastAsia="宋体" w:cs="Times New Roman"/>
          <w:color w:val="auto"/>
          <w:highlight w:val="white"/>
        </w:rPr>
        <w:t>施工期运行</w:t>
      </w:r>
    </w:p>
    <w:p w14:paraId="0EA4B42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13.5.1 </w:t>
      </w:r>
      <w:r>
        <w:rPr>
          <w:rStyle w:val="30"/>
          <w:rFonts w:hint="eastAsia" w:ascii="Calibri" w:hAnsi="Calibri" w:eastAsia="宋体" w:cs="Times New Roman"/>
          <w:color w:val="auto"/>
          <w:highlight w:val="white"/>
        </w:rPr>
        <w:t>施工期运行是指合同工程尚未全部竣工，其中某项或某几项单位工程或工程设备安装已竣工，根据专用合同条款约定，需要投入施工期运行的，经发包人按第</w:t>
      </w:r>
      <w:r>
        <w:rPr>
          <w:rStyle w:val="30"/>
          <w:rFonts w:ascii="Calibri" w:hAnsi="Calibri" w:eastAsia="宋体" w:cs="Times New Roman"/>
          <w:color w:val="auto"/>
          <w:highlight w:val="white"/>
        </w:rPr>
        <w:t>13.4</w:t>
      </w:r>
      <w:r>
        <w:rPr>
          <w:rStyle w:val="30"/>
          <w:rFonts w:hint="eastAsia" w:ascii="Calibri" w:hAnsi="Calibri" w:eastAsia="宋体" w:cs="Times New Roman"/>
          <w:color w:val="auto"/>
          <w:highlight w:val="white"/>
        </w:rPr>
        <w:t>款〔提前交付单位工程的验收〕的约定验收合格，证明能确保安全后，才能在施工期投入运行。</w:t>
      </w:r>
    </w:p>
    <w:p w14:paraId="657B027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13.5.2 </w:t>
      </w:r>
      <w:r>
        <w:rPr>
          <w:rStyle w:val="30"/>
          <w:rFonts w:hint="eastAsia" w:ascii="Calibri" w:hAnsi="Calibri" w:eastAsia="宋体" w:cs="Times New Roman"/>
          <w:color w:val="auto"/>
          <w:highlight w:val="white"/>
        </w:rPr>
        <w:t>在施工期运行中发现工程或工程设备损坏或存在缺陷的，由承包人按第</w:t>
      </w:r>
      <w:r>
        <w:rPr>
          <w:rStyle w:val="30"/>
          <w:rFonts w:ascii="Calibri" w:hAnsi="Calibri" w:eastAsia="宋体" w:cs="Times New Roman"/>
          <w:color w:val="auto"/>
          <w:highlight w:val="white"/>
        </w:rPr>
        <w:t>15.2</w:t>
      </w:r>
      <w:r>
        <w:rPr>
          <w:rStyle w:val="30"/>
          <w:rFonts w:hint="eastAsia" w:ascii="Calibri" w:hAnsi="Calibri" w:eastAsia="宋体" w:cs="Times New Roman"/>
          <w:color w:val="auto"/>
          <w:highlight w:val="white"/>
        </w:rPr>
        <w:t>款〔缺陷责任期〕约定进行修复。</w:t>
      </w:r>
    </w:p>
    <w:p w14:paraId="72942B5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13.6 </w:t>
      </w:r>
      <w:r>
        <w:rPr>
          <w:rStyle w:val="30"/>
          <w:rFonts w:hint="eastAsia" w:ascii="Calibri" w:hAnsi="Calibri" w:eastAsia="宋体" w:cs="Times New Roman"/>
          <w:color w:val="auto"/>
          <w:highlight w:val="white"/>
        </w:rPr>
        <w:t>竣工退场</w:t>
      </w:r>
    </w:p>
    <w:p w14:paraId="4728AEA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13.6.1 </w:t>
      </w:r>
      <w:r>
        <w:rPr>
          <w:rStyle w:val="30"/>
          <w:rFonts w:hint="eastAsia" w:ascii="Calibri" w:hAnsi="Calibri" w:eastAsia="宋体" w:cs="Times New Roman"/>
          <w:color w:val="auto"/>
          <w:highlight w:val="white"/>
        </w:rPr>
        <w:t>竣工退场</w:t>
      </w:r>
    </w:p>
    <w:p w14:paraId="6CF1B45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颁发工程接收证书后，承包人应按以下要求对施工现场进行清理：</w:t>
      </w:r>
    </w:p>
    <w:p w14:paraId="1941FCE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）施工现场内残留的垃圾已全部清除出场；</w:t>
      </w:r>
    </w:p>
    <w:p w14:paraId="401AA09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）临时工程已拆除，场地已进行清理、平整或复原；</w:t>
      </w:r>
    </w:p>
    <w:p w14:paraId="403411F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）按合同约定应撤离的人员、承包人施工设备和剩余的材料，包括废弃的施工设备和材料，已按计划撤离施工现场；</w:t>
      </w:r>
    </w:p>
    <w:p w14:paraId="2345D3C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）施工现场周边及其附近道路、河道的施工堆积物，已全部清理；</w:t>
      </w:r>
    </w:p>
    <w:p w14:paraId="5240AD7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）施工现场其他场地清理工作已全部完成。</w:t>
      </w:r>
    </w:p>
    <w:p w14:paraId="70A46AB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2119211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13.6.2 </w:t>
      </w:r>
      <w:r>
        <w:rPr>
          <w:rStyle w:val="30"/>
          <w:rFonts w:hint="eastAsia" w:ascii="Calibri" w:hAnsi="Calibri" w:eastAsia="宋体" w:cs="Times New Roman"/>
          <w:color w:val="auto"/>
          <w:highlight w:val="white"/>
        </w:rPr>
        <w:t>地表还原</w:t>
      </w:r>
    </w:p>
    <w:p w14:paraId="54A48AF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承包人应按发包人要求恢复临时占地及清理场地，承包人未按发包人的要求恢复临时占地，或者场地清理未达到合同约定要求的，发包人有权委托其他人恢复或清理，所发生的费用由承包人承担。</w:t>
      </w:r>
    </w:p>
    <w:p w14:paraId="1E5991E4">
      <w:pPr>
        <w:pStyle w:val="108"/>
        <w:numPr>
          <w:ilvl w:val="0"/>
          <w:numId w:val="0"/>
        </w:numPr>
        <w:rPr>
          <w:rStyle w:val="30"/>
          <w:rFonts w:eastAsia="宋体" w:cs="Times New Roman"/>
          <w:color w:val="auto"/>
        </w:rPr>
      </w:pPr>
      <w:r>
        <w:rPr>
          <w:rStyle w:val="30"/>
          <w:rFonts w:eastAsia="宋体" w:cs="Times New Roman"/>
          <w:color w:val="auto"/>
          <w:highlight w:val="white"/>
        </w:rPr>
        <w:t xml:space="preserve">14. </w:t>
      </w:r>
      <w:r>
        <w:rPr>
          <w:rStyle w:val="30"/>
          <w:rFonts w:hint="eastAsia" w:eastAsia="宋体" w:cs="Times New Roman"/>
          <w:color w:val="auto"/>
          <w:highlight w:val="white"/>
        </w:rPr>
        <w:t>竣工结算</w:t>
      </w:r>
    </w:p>
    <w:p w14:paraId="0939A50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14.1 </w:t>
      </w:r>
      <w:r>
        <w:rPr>
          <w:rStyle w:val="30"/>
          <w:rFonts w:hint="eastAsia" w:ascii="Calibri" w:hAnsi="Calibri" w:eastAsia="宋体" w:cs="Times New Roman"/>
          <w:color w:val="auto"/>
          <w:highlight w:val="white"/>
        </w:rPr>
        <w:t>竣工结算申请</w:t>
      </w:r>
    </w:p>
    <w:p w14:paraId="73CC570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除专用合同条款另有约定外，承包人应在工程竣工验收合格后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天内向发包人和监理人提交竣工结算申请单，并提交完整的结算资料，有关竣工结算申请单的资料清单和份数等要求由合同当事人在专用合同条款中约定。</w:t>
      </w:r>
    </w:p>
    <w:p w14:paraId="0335316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除专用合同条款另有约定外，竣工结算申请单应包括以下内容：</w:t>
      </w:r>
    </w:p>
    <w:p w14:paraId="1740AFF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）竣工结算合同价格；</w:t>
      </w:r>
    </w:p>
    <w:p w14:paraId="693CF51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）发包人已支付承包人的款项；</w:t>
      </w:r>
    </w:p>
    <w:p w14:paraId="221CAB4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）应扣留的质量保证金。已缴纳履约保证金的或提供其他工程质量担保方式的除外；</w:t>
      </w:r>
      <w:r>
        <w:rPr>
          <w:rStyle w:val="30"/>
          <w:rFonts w:ascii="Calibri" w:hAnsi="Calibri" w:eastAsia="宋体" w:cs="Times New Roman"/>
          <w:color w:val="auto"/>
          <w:highlight w:val="white"/>
        </w:rPr>
        <w:t xml:space="preserve"> </w:t>
      </w:r>
    </w:p>
    <w:p w14:paraId="71BC8A0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）发包人应支付承包人的合同价款。</w:t>
      </w:r>
    </w:p>
    <w:p w14:paraId="615F1E0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14.2 </w:t>
      </w:r>
      <w:r>
        <w:rPr>
          <w:rStyle w:val="30"/>
          <w:rFonts w:hint="eastAsia" w:ascii="Calibri" w:hAnsi="Calibri" w:eastAsia="宋体" w:cs="Times New Roman"/>
          <w:color w:val="auto"/>
          <w:highlight w:val="white"/>
        </w:rPr>
        <w:t>竣工结算审核</w:t>
      </w:r>
    </w:p>
    <w:p w14:paraId="5806092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）除专用合同条款另有约定外，监理人应在收到竣工结算申请单后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天内完成核查并报送发包人。发包人应在收到监理人提交的经审核的竣工结算申请单后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天内完成审批，并由监理人向承包人签发经发包人签认的竣工付款证书。监理人或发包人对竣工结算申请单有异议的，有权要求承包人进行修正和提供补充资料，承包人应提交修正后的竣工结算申请单。</w:t>
      </w:r>
    </w:p>
    <w:p w14:paraId="4F7F145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发包人在收到承包人提交竣工结算申请书后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天内未完成审批且未提出异议的，视为发包人认可承包人提交的竣工结算申请单，并自发包人收到承包人提交的竣工结算申请单后第</w:t>
      </w:r>
      <w:r>
        <w:rPr>
          <w:rStyle w:val="30"/>
          <w:rFonts w:ascii="Calibri" w:hAnsi="Calibri" w:eastAsia="宋体" w:cs="Times New Roman"/>
          <w:color w:val="auto"/>
          <w:highlight w:val="white"/>
        </w:rPr>
        <w:t>29</w:t>
      </w:r>
      <w:r>
        <w:rPr>
          <w:rStyle w:val="30"/>
          <w:rFonts w:hint="eastAsia" w:ascii="Calibri" w:hAnsi="Calibri" w:eastAsia="宋体" w:cs="Times New Roman"/>
          <w:color w:val="auto"/>
          <w:highlight w:val="white"/>
        </w:rPr>
        <w:t>天起视为已签发竣工付款证书。</w:t>
      </w:r>
    </w:p>
    <w:p w14:paraId="1A48C80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）除专用合同条款另有约定外，发包人应在签发竣工付款证书后的</w:t>
      </w:r>
      <w:r>
        <w:rPr>
          <w:rStyle w:val="30"/>
          <w:rFonts w:ascii="Calibri" w:hAnsi="Calibri" w:eastAsia="宋体" w:cs="Times New Roman"/>
          <w:color w:val="auto"/>
          <w:highlight w:val="white"/>
        </w:rPr>
        <w:t xml:space="preserve">14 </w:t>
      </w:r>
      <w:r>
        <w:rPr>
          <w:rStyle w:val="30"/>
          <w:rFonts w:hint="eastAsia" w:ascii="Calibri" w:hAnsi="Calibri" w:eastAsia="宋体" w:cs="Times New Roman"/>
          <w:color w:val="auto"/>
          <w:highlight w:val="white"/>
        </w:rPr>
        <w:t>天内，完成对承包人的竣工付款。发包人逾期支付的，按照中国人民银行发布的同期同类贷款基准利率支付违约金；逾期支付超过</w:t>
      </w:r>
      <w:r>
        <w:rPr>
          <w:rStyle w:val="30"/>
          <w:rFonts w:ascii="Calibri" w:hAnsi="Calibri" w:eastAsia="宋体" w:cs="Times New Roman"/>
          <w:color w:val="auto"/>
          <w:highlight w:val="white"/>
        </w:rPr>
        <w:t>56</w:t>
      </w:r>
      <w:r>
        <w:rPr>
          <w:rStyle w:val="30"/>
          <w:rFonts w:hint="eastAsia" w:ascii="Calibri" w:hAnsi="Calibri" w:eastAsia="宋体" w:cs="Times New Roman"/>
          <w:color w:val="auto"/>
          <w:highlight w:val="white"/>
        </w:rPr>
        <w:t>天的，按照中国人民银行发布的同期同类贷款基准利率的两倍支付违约金。</w:t>
      </w:r>
    </w:p>
    <w:p w14:paraId="159E9A5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）承包人对发包人签认的竣工付款证书有异议的，对于有异议部分应在收到发包人签认的竣工付款证书后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天内提出异议，并由合同当事人按照专用合同条款约定的方式和程序进行复核，或按照第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条〔争议解决〕约定处理。对于无异议部分，发包人应签发临时竣工付款证书，并按本款第（</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）项完成付款。承包人逾期未提出异议的，视为认可发包人的审批结果。</w:t>
      </w:r>
    </w:p>
    <w:p w14:paraId="27F44CF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14.3 </w:t>
      </w:r>
      <w:r>
        <w:rPr>
          <w:rStyle w:val="30"/>
          <w:rFonts w:hint="eastAsia" w:ascii="Calibri" w:hAnsi="Calibri" w:eastAsia="宋体" w:cs="Times New Roman"/>
          <w:color w:val="auto"/>
          <w:highlight w:val="white"/>
        </w:rPr>
        <w:t>甩项竣工协议</w:t>
      </w:r>
    </w:p>
    <w:p w14:paraId="324522B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发包人要求甩项竣工的，合同当事人应签订甩项竣工协议。在甩项竣工协议中应明确，合同当事人按照第</w:t>
      </w:r>
      <w:r>
        <w:rPr>
          <w:rStyle w:val="30"/>
          <w:rFonts w:ascii="Calibri" w:hAnsi="Calibri" w:eastAsia="宋体" w:cs="Times New Roman"/>
          <w:color w:val="auto"/>
          <w:highlight w:val="white"/>
        </w:rPr>
        <w:t>14.1</w:t>
      </w:r>
      <w:r>
        <w:rPr>
          <w:rStyle w:val="30"/>
          <w:rFonts w:hint="eastAsia" w:ascii="Calibri" w:hAnsi="Calibri" w:eastAsia="宋体" w:cs="Times New Roman"/>
          <w:color w:val="auto"/>
          <w:highlight w:val="white"/>
        </w:rPr>
        <w:t>款〔竣工结算申请〕及</w:t>
      </w:r>
      <w:r>
        <w:rPr>
          <w:rStyle w:val="30"/>
          <w:rFonts w:ascii="Calibri" w:hAnsi="Calibri" w:eastAsia="宋体" w:cs="Times New Roman"/>
          <w:color w:val="auto"/>
          <w:highlight w:val="white"/>
        </w:rPr>
        <w:t>14.2</w:t>
      </w:r>
      <w:r>
        <w:rPr>
          <w:rStyle w:val="30"/>
          <w:rFonts w:hint="eastAsia" w:ascii="Calibri" w:hAnsi="Calibri" w:eastAsia="宋体" w:cs="Times New Roman"/>
          <w:color w:val="auto"/>
          <w:highlight w:val="white"/>
        </w:rPr>
        <w:t>款〔竣工结算审核〕的约定，对已完合格工程进行结算，并支付相应合同价款。</w:t>
      </w:r>
    </w:p>
    <w:p w14:paraId="752F7AD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14.4 </w:t>
      </w:r>
      <w:r>
        <w:rPr>
          <w:rStyle w:val="30"/>
          <w:rFonts w:hint="eastAsia" w:ascii="Calibri" w:hAnsi="Calibri" w:eastAsia="宋体" w:cs="Times New Roman"/>
          <w:color w:val="auto"/>
          <w:highlight w:val="white"/>
        </w:rPr>
        <w:t>最终结清</w:t>
      </w:r>
    </w:p>
    <w:p w14:paraId="40FA509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14.4.1 </w:t>
      </w:r>
      <w:r>
        <w:rPr>
          <w:rStyle w:val="30"/>
          <w:rFonts w:hint="eastAsia" w:ascii="Calibri" w:hAnsi="Calibri" w:eastAsia="宋体" w:cs="Times New Roman"/>
          <w:color w:val="auto"/>
          <w:highlight w:val="white"/>
        </w:rPr>
        <w:t>最终结清申请单</w:t>
      </w:r>
    </w:p>
    <w:p w14:paraId="279D347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）除专用合同条款另有约定外，承包人应在缺陷责任期终止证书颁发后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天内，按专用合同条款约定的份数向发包人提交最终结清申请单，并提供相关证明材料。</w:t>
      </w:r>
    </w:p>
    <w:p w14:paraId="0BF53B2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除专用合同条款另有约定外，最终结清申请单应列明质量保证金、应扣除的质量保证金、缺陷责任期内发生的增减费用。</w:t>
      </w:r>
    </w:p>
    <w:p w14:paraId="66F56AD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）发包人对最终结清申请单内容有异议的，有权要求承包人进行修正和提供补充资料，承包人应向发包人提交修正后的最终结清申请单。</w:t>
      </w:r>
    </w:p>
    <w:p w14:paraId="63F640F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14.4.2 </w:t>
      </w:r>
      <w:r>
        <w:rPr>
          <w:rStyle w:val="30"/>
          <w:rFonts w:hint="eastAsia" w:ascii="Calibri" w:hAnsi="Calibri" w:eastAsia="宋体" w:cs="Times New Roman"/>
          <w:color w:val="auto"/>
          <w:highlight w:val="white"/>
        </w:rPr>
        <w:t>最终结清证书和支付</w:t>
      </w:r>
    </w:p>
    <w:p w14:paraId="2350467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）除专用合同条款另有约定外，发包人应在收到承包人提交的最终结清申请单后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天内完成审批并向承包人颁发最终结清证书。发包人逾期未完成审批，又未提出修改意见的，视为发包人同意承包人提交的最终结清申请单，且自发包人收到承包人提交的最终结清申请单后</w:t>
      </w:r>
      <w:r>
        <w:rPr>
          <w:rStyle w:val="30"/>
          <w:rFonts w:ascii="Calibri" w:hAnsi="Calibri" w:eastAsia="宋体" w:cs="Times New Roman"/>
          <w:color w:val="auto"/>
          <w:highlight w:val="white"/>
        </w:rPr>
        <w:t>15</w:t>
      </w:r>
      <w:r>
        <w:rPr>
          <w:rStyle w:val="30"/>
          <w:rFonts w:hint="eastAsia" w:ascii="Calibri" w:hAnsi="Calibri" w:eastAsia="宋体" w:cs="Times New Roman"/>
          <w:color w:val="auto"/>
          <w:highlight w:val="white"/>
        </w:rPr>
        <w:t>天起视为已颁发最终结清证书。</w:t>
      </w:r>
    </w:p>
    <w:p w14:paraId="011EAB7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）除专用合同条款另有约定外，发包人应在颁发最终结清证书后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天内完成支付。发包人逾期支付的，按照中国人民银行发布的同期同类贷款基准利率支付违约金；逾期支付超过</w:t>
      </w:r>
      <w:r>
        <w:rPr>
          <w:rStyle w:val="30"/>
          <w:rFonts w:ascii="Calibri" w:hAnsi="Calibri" w:eastAsia="宋体" w:cs="Times New Roman"/>
          <w:color w:val="auto"/>
          <w:highlight w:val="white"/>
        </w:rPr>
        <w:t>56</w:t>
      </w:r>
      <w:r>
        <w:rPr>
          <w:rStyle w:val="30"/>
          <w:rFonts w:hint="eastAsia" w:ascii="Calibri" w:hAnsi="Calibri" w:eastAsia="宋体" w:cs="Times New Roman"/>
          <w:color w:val="auto"/>
          <w:highlight w:val="white"/>
        </w:rPr>
        <w:t>天的，按照中国人民银行发布的同期同类贷款基准利率的两倍支付违约金。</w:t>
      </w:r>
    </w:p>
    <w:p w14:paraId="40D4358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）承包人对发包人颁发的最终结清证书有异议的，按第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条〔争议解决〕的约定办理。</w:t>
      </w:r>
    </w:p>
    <w:p w14:paraId="06AF7185">
      <w:pPr>
        <w:pStyle w:val="108"/>
        <w:numPr>
          <w:ilvl w:val="0"/>
          <w:numId w:val="0"/>
        </w:numPr>
        <w:rPr>
          <w:rStyle w:val="30"/>
          <w:rFonts w:eastAsia="宋体" w:cs="Times New Roman"/>
          <w:color w:val="auto"/>
        </w:rPr>
      </w:pPr>
      <w:r>
        <w:rPr>
          <w:rStyle w:val="30"/>
          <w:rFonts w:eastAsia="宋体" w:cs="Times New Roman"/>
          <w:color w:val="auto"/>
          <w:highlight w:val="white"/>
        </w:rPr>
        <w:t xml:space="preserve">15. </w:t>
      </w:r>
      <w:r>
        <w:rPr>
          <w:rStyle w:val="30"/>
          <w:rFonts w:hint="eastAsia" w:eastAsia="宋体" w:cs="Times New Roman"/>
          <w:color w:val="auto"/>
          <w:highlight w:val="white"/>
        </w:rPr>
        <w:t>缺陷责任与保修</w:t>
      </w:r>
    </w:p>
    <w:p w14:paraId="63B96EE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15.1 </w:t>
      </w:r>
      <w:r>
        <w:rPr>
          <w:rStyle w:val="30"/>
          <w:rFonts w:hint="eastAsia" w:ascii="Calibri" w:hAnsi="Calibri" w:eastAsia="宋体" w:cs="Times New Roman"/>
          <w:color w:val="auto"/>
          <w:highlight w:val="white"/>
        </w:rPr>
        <w:t>工程保修的原则</w:t>
      </w:r>
    </w:p>
    <w:p w14:paraId="5175C7D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在工程移交发包人后，因承包人原因产生的质量缺陷，承包人应承担质量缺陷责任和保修义务。缺陷责任期届满，承包人仍应按合同约定的工程各部位保修年限承担保修义务。</w:t>
      </w:r>
    </w:p>
    <w:p w14:paraId="02666FA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15.2 </w:t>
      </w:r>
      <w:r>
        <w:rPr>
          <w:rStyle w:val="30"/>
          <w:rFonts w:hint="eastAsia" w:ascii="Calibri" w:hAnsi="Calibri" w:eastAsia="宋体" w:cs="Times New Roman"/>
          <w:color w:val="auto"/>
          <w:highlight w:val="white"/>
        </w:rPr>
        <w:t>缺陷责任期</w:t>
      </w:r>
    </w:p>
    <w:p w14:paraId="42B24B8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15.2.1 </w:t>
      </w:r>
      <w:r>
        <w:rPr>
          <w:rStyle w:val="30"/>
          <w:rFonts w:hint="eastAsia" w:ascii="Calibri" w:hAnsi="Calibri" w:eastAsia="宋体" w:cs="Times New Roman"/>
          <w:color w:val="auto"/>
          <w:highlight w:val="white"/>
        </w:rPr>
        <w:t>缺陷责任期从工程通过竣工验收之日起计算，合同当事人应在专用合同条款约定缺陷责任期的具体期限，但该期限最长不超过</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个月。</w:t>
      </w:r>
    </w:p>
    <w:p w14:paraId="21FAF2A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w:t>
      </w:r>
      <w:r>
        <w:rPr>
          <w:rStyle w:val="30"/>
          <w:rFonts w:ascii="Calibri" w:hAnsi="Calibri" w:eastAsia="宋体" w:cs="Times New Roman"/>
          <w:color w:val="auto"/>
          <w:highlight w:val="white"/>
        </w:rPr>
        <w:t>90</w:t>
      </w:r>
      <w:r>
        <w:rPr>
          <w:rStyle w:val="30"/>
          <w:rFonts w:hint="eastAsia" w:ascii="Calibri" w:hAnsi="Calibri" w:eastAsia="宋体" w:cs="Times New Roman"/>
          <w:color w:val="auto"/>
          <w:highlight w:val="white"/>
        </w:rPr>
        <w:t>天后，工程自动进入缺陷责任期；发包人未经竣工验收擅自使用工程的，缺陷责任期自工程转移占有之日起开始计算。</w:t>
      </w:r>
    </w:p>
    <w:p w14:paraId="2D31DEE2">
      <w:pPr>
        <w:pStyle w:val="106"/>
        <w:rPr>
          <w:rStyle w:val="30"/>
          <w:rFonts w:ascii="Calibri" w:hAnsi="Calibri" w:eastAsia="宋体" w:cs="Times New Roman"/>
          <w:color w:val="auto"/>
        </w:rPr>
      </w:pPr>
      <w:r>
        <w:rPr>
          <w:rStyle w:val="30"/>
          <w:rFonts w:ascii="Calibri" w:hAnsi="Calibri" w:eastAsia="宋体" w:cs="Times New Roman"/>
          <w:color w:val="auto"/>
          <w:highlight w:val="white"/>
        </w:rPr>
        <w:t>15.2.2</w:t>
      </w:r>
      <w:r>
        <w:rPr>
          <w:rStyle w:val="30"/>
          <w:rFonts w:hint="eastAsia" w:ascii="Calibri" w:hAnsi="Calibri" w:eastAsia="宋体" w:cs="Times New Roman"/>
          <w:color w:val="auto"/>
          <w:highlight w:val="white"/>
        </w:rPr>
        <w:t>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包人延长缺陷责任期，并应在原缺陷责任期届满前发出延长通知。但缺陷责任期（含延长部分）最长不能超过</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个月。</w:t>
      </w:r>
    </w:p>
    <w:p w14:paraId="01977DE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由他人原因造成的缺陷，发包人负责组织维修，承包人不承担费用，且发包人不得从保证金中扣除费用。</w:t>
      </w:r>
    </w:p>
    <w:p w14:paraId="65EE404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15.2.3 </w:t>
      </w:r>
      <w:r>
        <w:rPr>
          <w:rStyle w:val="30"/>
          <w:rFonts w:hint="eastAsia" w:ascii="Calibri" w:hAnsi="Calibri" w:eastAsia="宋体" w:cs="Times New Roman"/>
          <w:color w:val="auto"/>
          <w:highlight w:val="white"/>
        </w:rPr>
        <w:t>任何一项缺陷或损坏修复后，经检查证明其影响了工程或工程设备的使用性能，承包人应重新进行合同约定的试验和试运行，试验和试运行的全部费用应由责任方承担。</w:t>
      </w:r>
    </w:p>
    <w:p w14:paraId="4326344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15.2.4 </w:t>
      </w:r>
      <w:r>
        <w:rPr>
          <w:rStyle w:val="30"/>
          <w:rFonts w:hint="eastAsia" w:ascii="Calibri" w:hAnsi="Calibri" w:eastAsia="宋体" w:cs="Times New Roman"/>
          <w:color w:val="auto"/>
          <w:highlight w:val="white"/>
        </w:rPr>
        <w:t>除专用合同条款另有约定外，承包人应于缺陷责任期届满后</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天内向发包人发出缺陷责任期届满通知，发包人应在收到缺陷责任期满通知后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天内核实承包人是否履行缺陷修复义务，承包人未能履行缺陷修复义务的，发包人有权扣除相应金额的维修费用。发包人应在收到缺陷责任期届满通知后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天内，向承包人颁发缺陷责任期终止证书。</w:t>
      </w:r>
    </w:p>
    <w:p w14:paraId="27C7C17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15.3 </w:t>
      </w:r>
      <w:r>
        <w:rPr>
          <w:rStyle w:val="30"/>
          <w:rFonts w:hint="eastAsia" w:ascii="Calibri" w:hAnsi="Calibri" w:eastAsia="宋体" w:cs="Times New Roman"/>
          <w:color w:val="auto"/>
          <w:highlight w:val="white"/>
        </w:rPr>
        <w:t>质量保证金</w:t>
      </w:r>
    </w:p>
    <w:p w14:paraId="2872283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经合同当事人协商一致扣留质量保证金的，应在专用合同条款中予以明确。</w:t>
      </w:r>
    </w:p>
    <w:p w14:paraId="3E4A882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在工程项目竣工前，承包人已经提供履约担保的，发包人不得同时预留工程质量保证金。</w:t>
      </w:r>
    </w:p>
    <w:p w14:paraId="7211238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15.3.1 </w:t>
      </w:r>
      <w:r>
        <w:rPr>
          <w:rStyle w:val="30"/>
          <w:rFonts w:hint="eastAsia" w:ascii="Calibri" w:hAnsi="Calibri" w:eastAsia="宋体" w:cs="Times New Roman"/>
          <w:color w:val="auto"/>
          <w:highlight w:val="white"/>
        </w:rPr>
        <w:t>承包人提供质量保证金的方式</w:t>
      </w:r>
    </w:p>
    <w:p w14:paraId="7E62635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承包人提供质量保证金有以下三种方式：</w:t>
      </w:r>
    </w:p>
    <w:p w14:paraId="3C0362C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）质量保证金保函；</w:t>
      </w:r>
      <w:r>
        <w:rPr>
          <w:rStyle w:val="30"/>
          <w:rFonts w:ascii="Calibri" w:hAnsi="Calibri" w:eastAsia="宋体" w:cs="Times New Roman"/>
          <w:color w:val="auto"/>
          <w:highlight w:val="white"/>
        </w:rPr>
        <w:t xml:space="preserve"> </w:t>
      </w:r>
    </w:p>
    <w:p w14:paraId="0B11516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）相应比例的工程款；</w:t>
      </w:r>
    </w:p>
    <w:p w14:paraId="7FE0852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）双方约定的其他方式。</w:t>
      </w:r>
    </w:p>
    <w:p w14:paraId="5054FC6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除专用合同条款另有约定外，质量保证金原则上采用上述第（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w:t>
      </w:r>
    </w:p>
    <w:p w14:paraId="35BF806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15.3.2 </w:t>
      </w:r>
      <w:r>
        <w:rPr>
          <w:rStyle w:val="30"/>
          <w:rFonts w:hint="eastAsia" w:ascii="Calibri" w:hAnsi="Calibri" w:eastAsia="宋体" w:cs="Times New Roman"/>
          <w:color w:val="auto"/>
          <w:highlight w:val="white"/>
        </w:rPr>
        <w:t>质量保证金的扣留</w:t>
      </w:r>
    </w:p>
    <w:p w14:paraId="3F5762C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质量保证金的扣留有以下三种方式：</w:t>
      </w:r>
    </w:p>
    <w:p w14:paraId="1D437E9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）在支付工程进度款时逐次扣留，在此情形下，质量保证金的计算基数不包括预付款的支付、扣回以及价格调整的金额；</w:t>
      </w:r>
    </w:p>
    <w:p w14:paraId="7830C26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）工程竣工结算时一次性扣留质量保证金；</w:t>
      </w:r>
    </w:p>
    <w:p w14:paraId="150D19A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）双方约定的其他扣留方式。</w:t>
      </w:r>
    </w:p>
    <w:p w14:paraId="5C1F317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除专用合同条款另有约定外，质量保证金的扣留原则上采用上述第（</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）种方式。</w:t>
      </w:r>
    </w:p>
    <w:p w14:paraId="0423206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发包人累计扣留的质量保证金不得超过工程价款结算总额的</w:t>
      </w:r>
      <w:r>
        <w:rPr>
          <w:rStyle w:val="30"/>
          <w:rFonts w:ascii="Calibri" w:hAnsi="Calibri" w:eastAsia="宋体" w:cs="Times New Roman"/>
          <w:color w:val="auto"/>
          <w:highlight w:val="white"/>
        </w:rPr>
        <w:t>2.5%</w:t>
      </w:r>
      <w:r>
        <w:rPr>
          <w:rStyle w:val="30"/>
          <w:rFonts w:hint="eastAsia" w:ascii="Calibri" w:hAnsi="Calibri" w:eastAsia="宋体" w:cs="Times New Roman"/>
          <w:color w:val="auto"/>
          <w:highlight w:val="white"/>
        </w:rPr>
        <w:t>。如承包人在发包人签发竣工付款证书后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天内提交质量保证金保函，发包人应同时退还扣留的作为质量保证金的工程价款，保函金额不得超过工程价款结算总额的</w:t>
      </w:r>
      <w:r>
        <w:rPr>
          <w:rStyle w:val="30"/>
          <w:rFonts w:ascii="Calibri" w:hAnsi="Calibri" w:eastAsia="宋体" w:cs="Times New Roman"/>
          <w:color w:val="auto"/>
          <w:highlight w:val="white"/>
        </w:rPr>
        <w:t>2.5%</w:t>
      </w:r>
      <w:r>
        <w:rPr>
          <w:rStyle w:val="30"/>
          <w:rFonts w:hint="eastAsia" w:ascii="Calibri" w:hAnsi="Calibri" w:eastAsia="宋体" w:cs="Times New Roman"/>
          <w:color w:val="auto"/>
          <w:highlight w:val="white"/>
        </w:rPr>
        <w:t>。发包人在退还质量保证金的同时按照中国人民银行发布的同期同类贷款基准利率支付利息。</w:t>
      </w:r>
    </w:p>
    <w:p w14:paraId="5FE6760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15.3.3 </w:t>
      </w:r>
      <w:r>
        <w:rPr>
          <w:rStyle w:val="30"/>
          <w:rFonts w:hint="eastAsia" w:ascii="Calibri" w:hAnsi="Calibri" w:eastAsia="宋体" w:cs="Times New Roman"/>
          <w:color w:val="auto"/>
          <w:highlight w:val="white"/>
        </w:rPr>
        <w:t>质量保证金的退还</w:t>
      </w:r>
    </w:p>
    <w:p w14:paraId="2CA688C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缺陷责任期内，承包人认真履行合同约定的责任，到期后，承包人可向发包人申请返还保证金。</w:t>
      </w:r>
    </w:p>
    <w:p w14:paraId="5D95B3A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发包人在接到承包人返还保证金申请后，应于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天内会同承包人按照合同约定的内容进行核实。如无异议，发包人应当按照约定将保证金返还给承包人。对返还期限没有约定或者约定不明确的，发包人应当在核实后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天内将保证金返还承包人，逾期未返还的，依法承担违约责任。发包人在接到承包人返还保证金申请后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天内不予答复，经催告后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天内仍不予答复，视同认可承包人的返还保证金申请。</w:t>
      </w:r>
    </w:p>
    <w:p w14:paraId="6E978E9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发包人和承包人对保证金预留、返还以及工程维修质量、费用有争议的，按本合同第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条约定的争议和纠纷解决程序处理。</w:t>
      </w:r>
    </w:p>
    <w:p w14:paraId="0A7E003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15.4 </w:t>
      </w:r>
      <w:r>
        <w:rPr>
          <w:rStyle w:val="30"/>
          <w:rFonts w:hint="eastAsia" w:ascii="Calibri" w:hAnsi="Calibri" w:eastAsia="宋体" w:cs="Times New Roman"/>
          <w:color w:val="auto"/>
          <w:highlight w:val="white"/>
        </w:rPr>
        <w:t>保修</w:t>
      </w:r>
    </w:p>
    <w:p w14:paraId="48DDCC7F">
      <w:pPr>
        <w:pStyle w:val="106"/>
        <w:rPr>
          <w:rStyle w:val="30"/>
          <w:rFonts w:ascii="Calibri" w:hAnsi="Calibri" w:eastAsia="宋体" w:cs="Times New Roman"/>
          <w:color w:val="auto"/>
        </w:rPr>
      </w:pPr>
      <w:r>
        <w:rPr>
          <w:rStyle w:val="30"/>
          <w:rFonts w:ascii="Calibri" w:hAnsi="Calibri" w:eastAsia="宋体" w:cs="Times New Roman"/>
          <w:color w:val="auto"/>
          <w:highlight w:val="white"/>
        </w:rPr>
        <w:t>15.4.1</w:t>
      </w:r>
      <w:r>
        <w:rPr>
          <w:rStyle w:val="30"/>
          <w:rFonts w:hint="eastAsia" w:ascii="Calibri" w:hAnsi="Calibri" w:eastAsia="宋体" w:cs="Times New Roman"/>
          <w:color w:val="auto"/>
          <w:highlight w:val="white"/>
        </w:rPr>
        <w:t>保修责任</w:t>
      </w:r>
    </w:p>
    <w:p w14:paraId="7632A32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209F6D9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发包人未经竣工验收擅自使用工程的，保修期自转移占有之日起算。</w:t>
      </w:r>
    </w:p>
    <w:p w14:paraId="61E65E7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15.4.2 </w:t>
      </w:r>
      <w:r>
        <w:rPr>
          <w:rStyle w:val="30"/>
          <w:rFonts w:hint="eastAsia" w:ascii="Calibri" w:hAnsi="Calibri" w:eastAsia="宋体" w:cs="Times New Roman"/>
          <w:color w:val="auto"/>
          <w:highlight w:val="white"/>
        </w:rPr>
        <w:t>修复费用</w:t>
      </w:r>
    </w:p>
    <w:p w14:paraId="06188DF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保修期内，修复的费用按照以下约定处理：</w:t>
      </w:r>
    </w:p>
    <w:p w14:paraId="488B693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）保修期内，因承包人原因造成工程的缺陷、损坏，承包人应负责修复，并承担修复的费用以及因工程的缺陷、损坏造成的人身伤害和财产损失；</w:t>
      </w:r>
    </w:p>
    <w:p w14:paraId="38F1BB1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）保修期内，因发包人使用不当造成工程的缺陷、损坏，可以委托承包人修复，但发包人应承担修复的费用，并支付承包人合理利润；</w:t>
      </w:r>
    </w:p>
    <w:p w14:paraId="7CA18CD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）因其他原因造成工程的缺陷、损坏，可以委托承包人修复，发包人应承担修复的费用，并支付承包人合理的利润，因工程的缺陷、损坏造成的人身伤害和财产损失由责任方承担。</w:t>
      </w:r>
    </w:p>
    <w:p w14:paraId="031099B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15.4.3 </w:t>
      </w:r>
      <w:r>
        <w:rPr>
          <w:rStyle w:val="30"/>
          <w:rFonts w:hint="eastAsia" w:ascii="Calibri" w:hAnsi="Calibri" w:eastAsia="宋体" w:cs="Times New Roman"/>
          <w:color w:val="auto"/>
          <w:highlight w:val="white"/>
        </w:rPr>
        <w:t>修复通知</w:t>
      </w:r>
    </w:p>
    <w:p w14:paraId="3B89068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在保修期内，发包人在使用过程中，发现已接收的工程存在缺陷或损坏的，应书面通知承包人予以修复，但情况紧急必须立即修复缺陷或损坏的，发包人可以口头通知承包人并在口头通知后</w:t>
      </w:r>
      <w:r>
        <w:rPr>
          <w:rStyle w:val="30"/>
          <w:rFonts w:ascii="Calibri" w:hAnsi="Calibri" w:eastAsia="宋体" w:cs="Times New Roman"/>
          <w:color w:val="auto"/>
          <w:highlight w:val="white"/>
        </w:rPr>
        <w:t>48</w:t>
      </w:r>
      <w:r>
        <w:rPr>
          <w:rStyle w:val="30"/>
          <w:rFonts w:hint="eastAsia" w:ascii="Calibri" w:hAnsi="Calibri" w:eastAsia="宋体" w:cs="Times New Roman"/>
          <w:color w:val="auto"/>
          <w:highlight w:val="white"/>
        </w:rPr>
        <w:t>小时内书面确认，承包人应在专用合同条款约定的合理期限内到达工程现场并修复缺陷或损坏。</w:t>
      </w:r>
    </w:p>
    <w:p w14:paraId="230C60D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15.4.4 </w:t>
      </w:r>
      <w:r>
        <w:rPr>
          <w:rStyle w:val="30"/>
          <w:rFonts w:hint="eastAsia" w:ascii="Calibri" w:hAnsi="Calibri" w:eastAsia="宋体" w:cs="Times New Roman"/>
          <w:color w:val="auto"/>
          <w:highlight w:val="white"/>
        </w:rPr>
        <w:t>未能修复</w:t>
      </w:r>
    </w:p>
    <w:p w14:paraId="774B793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30DD95C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15.4.5 </w:t>
      </w:r>
      <w:r>
        <w:rPr>
          <w:rStyle w:val="30"/>
          <w:rFonts w:hint="eastAsia" w:ascii="Calibri" w:hAnsi="Calibri" w:eastAsia="宋体" w:cs="Times New Roman"/>
          <w:color w:val="auto"/>
          <w:highlight w:val="white"/>
        </w:rPr>
        <w:t>承包人出入权</w:t>
      </w:r>
    </w:p>
    <w:p w14:paraId="7EE9D68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在保修期内，为了修复缺陷或损坏，承包人有权出入工程现场，除情况紧急必须立即修复缺陷或损坏外，承包人应提前</w:t>
      </w:r>
      <w:r>
        <w:rPr>
          <w:rStyle w:val="30"/>
          <w:rFonts w:ascii="Calibri" w:hAnsi="Calibri" w:eastAsia="宋体" w:cs="Times New Roman"/>
          <w:color w:val="auto"/>
          <w:highlight w:val="white"/>
        </w:rPr>
        <w:t>24</w:t>
      </w:r>
      <w:r>
        <w:rPr>
          <w:rStyle w:val="30"/>
          <w:rFonts w:hint="eastAsia" w:ascii="Calibri" w:hAnsi="Calibri" w:eastAsia="宋体" w:cs="Times New Roman"/>
          <w:color w:val="auto"/>
          <w:highlight w:val="white"/>
        </w:rPr>
        <w:t>小时通知发包人进场修复的时间。承包人进入工程现场前应获得发包人同意，且不应影响发包人正常的生产经营，并应遵守发包人有关保安和保密等规定。</w:t>
      </w:r>
    </w:p>
    <w:p w14:paraId="7A5D0E3B">
      <w:pPr>
        <w:pStyle w:val="108"/>
        <w:numPr>
          <w:ilvl w:val="0"/>
          <w:numId w:val="0"/>
        </w:numPr>
        <w:rPr>
          <w:rStyle w:val="30"/>
          <w:rFonts w:eastAsia="宋体" w:cs="Times New Roman"/>
          <w:color w:val="auto"/>
        </w:rPr>
      </w:pPr>
      <w:r>
        <w:rPr>
          <w:rStyle w:val="30"/>
          <w:rFonts w:eastAsia="宋体" w:cs="Times New Roman"/>
          <w:color w:val="auto"/>
          <w:highlight w:val="white"/>
        </w:rPr>
        <w:t xml:space="preserve">16. </w:t>
      </w:r>
      <w:r>
        <w:rPr>
          <w:rStyle w:val="30"/>
          <w:rFonts w:hint="eastAsia" w:eastAsia="宋体" w:cs="Times New Roman"/>
          <w:color w:val="auto"/>
          <w:highlight w:val="white"/>
        </w:rPr>
        <w:t>违约</w:t>
      </w:r>
    </w:p>
    <w:p w14:paraId="27E2976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16.1 </w:t>
      </w:r>
      <w:r>
        <w:rPr>
          <w:rStyle w:val="30"/>
          <w:rFonts w:hint="eastAsia" w:ascii="Calibri" w:hAnsi="Calibri" w:eastAsia="宋体" w:cs="Times New Roman"/>
          <w:color w:val="auto"/>
          <w:highlight w:val="white"/>
        </w:rPr>
        <w:t>发包人违约</w:t>
      </w:r>
    </w:p>
    <w:p w14:paraId="556CA14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16.1.1 </w:t>
      </w:r>
      <w:r>
        <w:rPr>
          <w:rStyle w:val="30"/>
          <w:rFonts w:hint="eastAsia" w:ascii="Calibri" w:hAnsi="Calibri" w:eastAsia="宋体" w:cs="Times New Roman"/>
          <w:color w:val="auto"/>
          <w:highlight w:val="white"/>
        </w:rPr>
        <w:t>发包人违约的情形</w:t>
      </w:r>
    </w:p>
    <w:p w14:paraId="1E09D32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在合同履行过程中发生的下列情形，属于发包人违约：</w:t>
      </w:r>
    </w:p>
    <w:p w14:paraId="4224CC49">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）因发包人原因未能在计划开工日期前</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天内下达开工通知的；</w:t>
      </w:r>
    </w:p>
    <w:p w14:paraId="49B210E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）因发包人原因未能按合同约定支付合同价款的；</w:t>
      </w:r>
    </w:p>
    <w:p w14:paraId="55F4911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）发包人违反第</w:t>
      </w:r>
      <w:r>
        <w:rPr>
          <w:rStyle w:val="30"/>
          <w:rFonts w:ascii="Calibri" w:hAnsi="Calibri" w:eastAsia="宋体" w:cs="Times New Roman"/>
          <w:color w:val="auto"/>
          <w:highlight w:val="white"/>
        </w:rPr>
        <w:t>10.1</w:t>
      </w:r>
      <w:r>
        <w:rPr>
          <w:rStyle w:val="30"/>
          <w:rFonts w:hint="eastAsia" w:ascii="Calibri" w:hAnsi="Calibri" w:eastAsia="宋体" w:cs="Times New Roman"/>
          <w:color w:val="auto"/>
          <w:highlight w:val="white"/>
        </w:rPr>
        <w:t>款〔变更的范围〕第（</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）项约定，自行实施被取消的工作或转由他人实施的；</w:t>
      </w:r>
    </w:p>
    <w:p w14:paraId="791BAB7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）发包人提供的材料、工程设备的规格、数量或质量不符合合同约定，或因发包人原因导致交货日期延误或交货地点变更等情况的；</w:t>
      </w:r>
    </w:p>
    <w:p w14:paraId="0B1FECA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）因发包人违反合同约定造成暂停施工的；</w:t>
      </w:r>
    </w:p>
    <w:p w14:paraId="1C37E7F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）发包人无正当理由没有在约定期限内发出复工指示，导致承包人无法复工的；</w:t>
      </w:r>
    </w:p>
    <w:p w14:paraId="2FFDBFA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）发包人明确表示或者以其行为表明不履行合同主要义务的；</w:t>
      </w:r>
    </w:p>
    <w:p w14:paraId="717B540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8</w:t>
      </w:r>
      <w:r>
        <w:rPr>
          <w:rStyle w:val="30"/>
          <w:rFonts w:hint="eastAsia" w:ascii="Calibri" w:hAnsi="Calibri" w:eastAsia="宋体" w:cs="Times New Roman"/>
          <w:color w:val="auto"/>
          <w:highlight w:val="white"/>
        </w:rPr>
        <w:t>）发包人未能按照合同约定履行其他义务的。</w:t>
      </w:r>
    </w:p>
    <w:p w14:paraId="6D0D21E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发包人发生除本项第（</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）目以外的违约情况时，承包人可向发包人发出通知，要求发包人采取有效措施纠正违约行为。发包人收到承包人通知后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天内仍不纠正违约行为的，承包人有权暂停相应部位工程施工，并通知监理人。</w:t>
      </w:r>
    </w:p>
    <w:p w14:paraId="6D90BB83">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16.1.2 </w:t>
      </w:r>
      <w:r>
        <w:rPr>
          <w:rStyle w:val="30"/>
          <w:rFonts w:hint="eastAsia" w:ascii="Calibri" w:hAnsi="Calibri" w:eastAsia="宋体" w:cs="Times New Roman"/>
          <w:color w:val="auto"/>
          <w:highlight w:val="white"/>
        </w:rPr>
        <w:t>发包人违约的责任</w:t>
      </w:r>
    </w:p>
    <w:p w14:paraId="7591A9D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发包人应承担因其违约给承包人增加的费用和（或）延误的工期，并支付承包人合理的利润。此外，合同当事人可在专用合同条款中另行约定发包人违约责任的承担方式和计算方法。</w:t>
      </w:r>
    </w:p>
    <w:p w14:paraId="1B53592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16.1.3 </w:t>
      </w:r>
      <w:r>
        <w:rPr>
          <w:rStyle w:val="30"/>
          <w:rFonts w:hint="eastAsia" w:ascii="Calibri" w:hAnsi="Calibri" w:eastAsia="宋体" w:cs="Times New Roman"/>
          <w:color w:val="auto"/>
          <w:highlight w:val="white"/>
        </w:rPr>
        <w:t>因发包人违约解除合同</w:t>
      </w:r>
    </w:p>
    <w:p w14:paraId="35A3C0C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除专用合同条款另有约定外，承包人按第</w:t>
      </w:r>
      <w:r>
        <w:rPr>
          <w:rStyle w:val="30"/>
          <w:rFonts w:ascii="Calibri" w:hAnsi="Calibri" w:eastAsia="宋体" w:cs="Times New Roman"/>
          <w:color w:val="auto"/>
          <w:highlight w:val="white"/>
        </w:rPr>
        <w:t>16.1.1</w:t>
      </w:r>
      <w:r>
        <w:rPr>
          <w:rStyle w:val="30"/>
          <w:rFonts w:hint="eastAsia" w:ascii="Calibri" w:hAnsi="Calibri" w:eastAsia="宋体" w:cs="Times New Roman"/>
          <w:color w:val="auto"/>
          <w:highlight w:val="white"/>
        </w:rPr>
        <w:t>项〔发包人违约的情形〕约定暂停施工满</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天后，发包人仍不纠正其违约行为并致使合同目的不能实现的，或出现第</w:t>
      </w:r>
      <w:r>
        <w:rPr>
          <w:rStyle w:val="30"/>
          <w:rFonts w:ascii="Calibri" w:hAnsi="Calibri" w:eastAsia="宋体" w:cs="Times New Roman"/>
          <w:color w:val="auto"/>
          <w:highlight w:val="white"/>
        </w:rPr>
        <w:t>16.1.1</w:t>
      </w:r>
      <w:r>
        <w:rPr>
          <w:rStyle w:val="30"/>
          <w:rFonts w:hint="eastAsia" w:ascii="Calibri" w:hAnsi="Calibri" w:eastAsia="宋体" w:cs="Times New Roman"/>
          <w:color w:val="auto"/>
          <w:highlight w:val="white"/>
        </w:rPr>
        <w:t>项〔发包人违约的情形〕第（</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）目约定的违约情况，承包人有权解除合同，发包人应承担由此增加的费用，并支付承包人合理的利润。</w:t>
      </w:r>
    </w:p>
    <w:p w14:paraId="70D91F0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16.1.4 </w:t>
      </w:r>
      <w:r>
        <w:rPr>
          <w:rStyle w:val="30"/>
          <w:rFonts w:hint="eastAsia" w:ascii="Calibri" w:hAnsi="Calibri" w:eastAsia="宋体" w:cs="Times New Roman"/>
          <w:color w:val="auto"/>
          <w:highlight w:val="white"/>
        </w:rPr>
        <w:t>因发包人违约解除合同后的付款</w:t>
      </w:r>
    </w:p>
    <w:p w14:paraId="43B18CF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承包人按照本款约定解除合同的，发包人应在解除合同后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天内支付下列款项，并解除履约担保：</w:t>
      </w:r>
    </w:p>
    <w:p w14:paraId="5493934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）合同解除前所完成工作的价款；</w:t>
      </w:r>
    </w:p>
    <w:p w14:paraId="4EAE9BF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）承包人为工程施工订购并已付款的材料、工程设备和其他物品的价款；</w:t>
      </w:r>
    </w:p>
    <w:p w14:paraId="0EFBAC9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）承包人撤离施工现场以及遣散承包人人员的款项；</w:t>
      </w:r>
    </w:p>
    <w:p w14:paraId="50094C5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）按照合同约定在合同解除前应支付的违约金；</w:t>
      </w:r>
    </w:p>
    <w:p w14:paraId="0AFEC29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）按照合同约定应当支付给承包人的其他款项；</w:t>
      </w:r>
    </w:p>
    <w:p w14:paraId="4141B81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）按照合同约定应退还的质量保证金；</w:t>
      </w:r>
    </w:p>
    <w:p w14:paraId="773ACC6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）因解除合同给承包人造成的损失。</w:t>
      </w:r>
    </w:p>
    <w:p w14:paraId="154A49D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合同当事人未能就解除合同后的结清达成一致的，按照第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条〔争议解决〕的约定处理。</w:t>
      </w:r>
    </w:p>
    <w:p w14:paraId="7F42F4B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承包人应妥善做好已完工程和与工程有关的已购材料、工程设备的保护和移交工作，并将施工设备和人员撤出施工现场，发包人应为承包人撤出提供必要条件。</w:t>
      </w:r>
    </w:p>
    <w:p w14:paraId="0D28E84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16.2 </w:t>
      </w:r>
      <w:r>
        <w:rPr>
          <w:rStyle w:val="30"/>
          <w:rFonts w:hint="eastAsia" w:ascii="Calibri" w:hAnsi="Calibri" w:eastAsia="宋体" w:cs="Times New Roman"/>
          <w:color w:val="auto"/>
          <w:highlight w:val="white"/>
        </w:rPr>
        <w:t>承包人违约</w:t>
      </w:r>
    </w:p>
    <w:p w14:paraId="552B4A74">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16.2.1 </w:t>
      </w:r>
      <w:r>
        <w:rPr>
          <w:rStyle w:val="30"/>
          <w:rFonts w:hint="eastAsia" w:ascii="Calibri" w:hAnsi="Calibri" w:eastAsia="宋体" w:cs="Times New Roman"/>
          <w:color w:val="auto"/>
          <w:highlight w:val="white"/>
        </w:rPr>
        <w:t>承包人违约的情形</w:t>
      </w:r>
    </w:p>
    <w:p w14:paraId="1FF1A3C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在合同履行过程中发生的下列情形，属于承包人违约：</w:t>
      </w:r>
    </w:p>
    <w:p w14:paraId="3EE0935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）承包人违反合同约定进行转包或违法分包的；</w:t>
      </w:r>
    </w:p>
    <w:p w14:paraId="47600FE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）承包人违反合同约定采购和使用不合格的材料和工程设备的；</w:t>
      </w:r>
    </w:p>
    <w:p w14:paraId="5DCD178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）因承包人原因导致工程质量不符合合同要求的；</w:t>
      </w:r>
      <w:r>
        <w:rPr>
          <w:rStyle w:val="30"/>
          <w:rFonts w:ascii="Calibri" w:hAnsi="Calibri" w:eastAsia="宋体" w:cs="Times New Roman"/>
          <w:color w:val="auto"/>
          <w:highlight w:val="white"/>
        </w:rPr>
        <w:t xml:space="preserve"> </w:t>
      </w:r>
    </w:p>
    <w:p w14:paraId="31AC16C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）承包人违反第</w:t>
      </w:r>
      <w:r>
        <w:rPr>
          <w:rStyle w:val="30"/>
          <w:rFonts w:ascii="Calibri" w:hAnsi="Calibri" w:eastAsia="宋体" w:cs="Times New Roman"/>
          <w:color w:val="auto"/>
          <w:highlight w:val="white"/>
        </w:rPr>
        <w:t>8.9</w:t>
      </w:r>
      <w:r>
        <w:rPr>
          <w:rStyle w:val="30"/>
          <w:rFonts w:hint="eastAsia" w:ascii="Calibri" w:hAnsi="Calibri" w:eastAsia="宋体" w:cs="Times New Roman"/>
          <w:color w:val="auto"/>
          <w:highlight w:val="white"/>
        </w:rPr>
        <w:t>款〔材料与设备专用要求〕的约定，未经批准，私自将已按照合同约定进入施工现场的材料或设备撤离施工现场的；</w:t>
      </w:r>
    </w:p>
    <w:p w14:paraId="7AABF8F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）承包人未能按施工进度计划及时完成合同约定的工作，造成工期延误的；</w:t>
      </w:r>
    </w:p>
    <w:p w14:paraId="4977DFD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）承包人在缺陷责任期及保修期内，未能在合理期限对工程缺陷进行修复，或拒绝按发包人要求进行修复的；</w:t>
      </w:r>
    </w:p>
    <w:p w14:paraId="497021A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）承包人明确表示或者以其行为表明不履行合同主要义务的；</w:t>
      </w:r>
    </w:p>
    <w:p w14:paraId="2B1B24E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8</w:t>
      </w:r>
      <w:r>
        <w:rPr>
          <w:rStyle w:val="30"/>
          <w:rFonts w:hint="eastAsia" w:ascii="Calibri" w:hAnsi="Calibri" w:eastAsia="宋体" w:cs="Times New Roman"/>
          <w:color w:val="auto"/>
          <w:highlight w:val="white"/>
        </w:rPr>
        <w:t>）承包人未能按照合同约定履行其他义务的。</w:t>
      </w:r>
    </w:p>
    <w:p w14:paraId="1ACE066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承包人发生除本项第（</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）目约定以外的其他违约情况时，监理人可向承包人发出整改通知，要求其在指定的期限内改正。</w:t>
      </w:r>
    </w:p>
    <w:p w14:paraId="3CA4D6E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16.2.2 </w:t>
      </w:r>
      <w:r>
        <w:rPr>
          <w:rStyle w:val="30"/>
          <w:rFonts w:hint="eastAsia" w:ascii="Calibri" w:hAnsi="Calibri" w:eastAsia="宋体" w:cs="Times New Roman"/>
          <w:color w:val="auto"/>
          <w:highlight w:val="white"/>
        </w:rPr>
        <w:t>承包人违约的责任</w:t>
      </w:r>
    </w:p>
    <w:p w14:paraId="08FEDCF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承包人应承担因其违约行为而增加的费用和（或）延误的工期。此外，合同当事人可在专用合同条款中另行约定承包人违约责任的承担方式和计算方法。</w:t>
      </w:r>
    </w:p>
    <w:p w14:paraId="0F66380B">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16.2.3 </w:t>
      </w:r>
      <w:r>
        <w:rPr>
          <w:rStyle w:val="30"/>
          <w:rFonts w:hint="eastAsia" w:ascii="Calibri" w:hAnsi="Calibri" w:eastAsia="宋体" w:cs="Times New Roman"/>
          <w:color w:val="auto"/>
          <w:highlight w:val="white"/>
        </w:rPr>
        <w:t>因承包人违约解除合同</w:t>
      </w:r>
    </w:p>
    <w:p w14:paraId="1D8FD51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除专用合同条款另有约定外，出现第</w:t>
      </w:r>
      <w:r>
        <w:rPr>
          <w:rStyle w:val="30"/>
          <w:rFonts w:ascii="Calibri" w:hAnsi="Calibri" w:eastAsia="宋体" w:cs="Times New Roman"/>
          <w:color w:val="auto"/>
          <w:highlight w:val="white"/>
        </w:rPr>
        <w:t>16.2.1</w:t>
      </w:r>
      <w:r>
        <w:rPr>
          <w:rStyle w:val="30"/>
          <w:rFonts w:hint="eastAsia" w:ascii="Calibri" w:hAnsi="Calibri" w:eastAsia="宋体" w:cs="Times New Roman"/>
          <w:color w:val="auto"/>
          <w:highlight w:val="white"/>
        </w:rPr>
        <w:t>项〔承包人违约的情形〕第（</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08946276">
      <w:pPr>
        <w:pStyle w:val="106"/>
        <w:rPr>
          <w:rStyle w:val="30"/>
          <w:rFonts w:ascii="Calibri" w:hAnsi="Calibri" w:eastAsia="宋体" w:cs="Times New Roman"/>
          <w:color w:val="auto"/>
        </w:rPr>
      </w:pPr>
      <w:r>
        <w:rPr>
          <w:rStyle w:val="30"/>
          <w:rFonts w:ascii="Calibri" w:hAnsi="Calibri" w:eastAsia="宋体" w:cs="Times New Roman"/>
          <w:color w:val="auto"/>
          <w:highlight w:val="white"/>
        </w:rPr>
        <w:t>16.2.4</w:t>
      </w:r>
      <w:r>
        <w:rPr>
          <w:rStyle w:val="30"/>
          <w:rFonts w:hint="eastAsia" w:ascii="Calibri" w:hAnsi="Calibri" w:eastAsia="宋体" w:cs="Times New Roman"/>
          <w:color w:val="auto"/>
          <w:highlight w:val="white"/>
        </w:rPr>
        <w:t>因承包人违约解除合同后的处理</w:t>
      </w:r>
    </w:p>
    <w:p w14:paraId="60EF01D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因承包人原因导致合同解除的，则合同当事人应在合同解除后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天内完成估价、付款和清算，并按以下约定执行：</w:t>
      </w:r>
    </w:p>
    <w:p w14:paraId="571B91B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）合同解除后，按第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款〔商定或确定〕商定或确定承包人实际完成工作对应的合同价款，以及承包人已提供的材料、工程设备、施工设备和临时工程等的价值；</w:t>
      </w:r>
    </w:p>
    <w:p w14:paraId="5697876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）合同解除后，承包人应支付的违约金；</w:t>
      </w:r>
    </w:p>
    <w:p w14:paraId="470D034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）合同解除后，因解除合同给发包人造成的损失；</w:t>
      </w:r>
    </w:p>
    <w:p w14:paraId="5BF7CE7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）合同解除后，承包人应按照发包人要求和监理人的指示完成现场的清理和撤离；</w:t>
      </w:r>
    </w:p>
    <w:p w14:paraId="2DA1F4C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）发包人和承包人应在合同解除后进行清算，出具最终结清付款证书，结清全部款项。</w:t>
      </w:r>
    </w:p>
    <w:p w14:paraId="364D95D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因承包人违约解除合同的，发包人有权暂停对承包人的付款，查清各项付款和已扣款项。发包人和承包人未能就合同解除后的清算和款项支付达成一致的，按照第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条〔争议解决〕的约定处理。</w:t>
      </w:r>
    </w:p>
    <w:p w14:paraId="4C9F9503">
      <w:pPr>
        <w:pStyle w:val="106"/>
        <w:rPr>
          <w:rStyle w:val="30"/>
          <w:rFonts w:ascii="Calibri" w:hAnsi="Calibri" w:eastAsia="宋体" w:cs="Times New Roman"/>
          <w:color w:val="auto"/>
        </w:rPr>
      </w:pPr>
      <w:r>
        <w:rPr>
          <w:rStyle w:val="30"/>
          <w:rFonts w:ascii="Calibri" w:hAnsi="Calibri" w:eastAsia="宋体" w:cs="Times New Roman"/>
          <w:color w:val="auto"/>
          <w:highlight w:val="white"/>
        </w:rPr>
        <w:t>16.2.5</w:t>
      </w:r>
      <w:r>
        <w:rPr>
          <w:rStyle w:val="30"/>
          <w:rFonts w:hint="eastAsia" w:ascii="Calibri" w:hAnsi="Calibri" w:eastAsia="宋体" w:cs="Times New Roman"/>
          <w:color w:val="auto"/>
          <w:highlight w:val="white"/>
        </w:rPr>
        <w:t>采购合同权益转让</w:t>
      </w:r>
    </w:p>
    <w:p w14:paraId="29B3061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因承包人违约解除合同的，发包人有权要求承包人将其为实施合同而签订的材料和设备的采购合同的权益转让给发包人，承包人应在收到解除合同通知后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天内，协助发包人与采购合同的供应商达成相关的转让协议。</w:t>
      </w:r>
    </w:p>
    <w:p w14:paraId="5DEC1F7E">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16.3 </w:t>
      </w:r>
      <w:r>
        <w:rPr>
          <w:rStyle w:val="30"/>
          <w:rFonts w:hint="eastAsia" w:ascii="Calibri" w:hAnsi="Calibri" w:eastAsia="宋体" w:cs="Times New Roman"/>
          <w:color w:val="auto"/>
          <w:highlight w:val="white"/>
        </w:rPr>
        <w:t>第三人造成的违约</w:t>
      </w:r>
    </w:p>
    <w:p w14:paraId="145D971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在履行合同过程中，一方当事人因第三人的原因造成违约的，应当向对方当事人承担违约责任。一方当事人和第三人之间的纠纷，依照法律规定或者按照约定解决。</w:t>
      </w:r>
    </w:p>
    <w:p w14:paraId="7B517BF9">
      <w:pPr>
        <w:pStyle w:val="108"/>
        <w:numPr>
          <w:ilvl w:val="0"/>
          <w:numId w:val="0"/>
        </w:numPr>
        <w:rPr>
          <w:rStyle w:val="30"/>
          <w:rFonts w:eastAsia="宋体" w:cs="Times New Roman"/>
          <w:color w:val="auto"/>
        </w:rPr>
      </w:pPr>
      <w:r>
        <w:rPr>
          <w:rStyle w:val="30"/>
          <w:rFonts w:eastAsia="宋体" w:cs="Times New Roman"/>
          <w:color w:val="auto"/>
          <w:highlight w:val="white"/>
        </w:rPr>
        <w:t xml:space="preserve">17. </w:t>
      </w:r>
      <w:r>
        <w:rPr>
          <w:rStyle w:val="30"/>
          <w:rFonts w:hint="eastAsia" w:eastAsia="宋体" w:cs="Times New Roman"/>
          <w:color w:val="auto"/>
          <w:highlight w:val="white"/>
        </w:rPr>
        <w:t>不可抗力</w:t>
      </w:r>
      <w:r>
        <w:rPr>
          <w:rStyle w:val="30"/>
          <w:rFonts w:eastAsia="宋体" w:cs="Times New Roman"/>
          <w:color w:val="auto"/>
          <w:highlight w:val="white"/>
        </w:rPr>
        <w:t xml:space="preserve"> </w:t>
      </w:r>
    </w:p>
    <w:p w14:paraId="7FA08C72">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17.1 </w:t>
      </w:r>
      <w:r>
        <w:rPr>
          <w:rStyle w:val="30"/>
          <w:rFonts w:hint="eastAsia" w:ascii="Calibri" w:hAnsi="Calibri" w:eastAsia="宋体" w:cs="Times New Roman"/>
          <w:color w:val="auto"/>
          <w:highlight w:val="white"/>
        </w:rPr>
        <w:t>不可抗力的确认</w:t>
      </w:r>
    </w:p>
    <w:p w14:paraId="7720AE4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不可抗力是指合同当事人在签订合同时不可预见，在合同履行过程中不可避免且不能克服的自然灾害和社会性突发事件，如地震、海啸、瘟疫、骚乱、戒严、暴动、战争和专用合同条款中约定的其他情形。</w:t>
      </w:r>
    </w:p>
    <w:p w14:paraId="0B0B1AB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不可抗力发生后，发包人和承包人应收集证明不可抗力发生及不可抗力造成损失的证据，并及时认真统计所造成的损失。合同当事人对是否属于不可抗力或其损失的意见不一致的，由监理人按第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款〔商定或确定〕的约定处理。发生争议时，按第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条〔争议解决〕的约定处理。</w:t>
      </w:r>
    </w:p>
    <w:p w14:paraId="4018611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17.2 </w:t>
      </w:r>
      <w:r>
        <w:rPr>
          <w:rStyle w:val="30"/>
          <w:rFonts w:hint="eastAsia" w:ascii="Calibri" w:hAnsi="Calibri" w:eastAsia="宋体" w:cs="Times New Roman"/>
          <w:color w:val="auto"/>
          <w:highlight w:val="white"/>
        </w:rPr>
        <w:t>不可抗力的通知</w:t>
      </w:r>
    </w:p>
    <w:p w14:paraId="567F355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合同一方当事人遇到不可抗力事件，使其履行合同义务受到阻碍时，应立即通知合同另一方当事人和监理人，书面说明不可抗力和受阻碍的详细情况，并提供必要的证明。</w:t>
      </w:r>
    </w:p>
    <w:p w14:paraId="3E909AE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不可抗力持续发生的，合同一方当事人应及时向合同另一方当事人和监理人提交中间报告，说明不可抗力和履行合同受阻的情况，并于不可抗力事件结束后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天内提交最终报告及有关资料。</w:t>
      </w:r>
    </w:p>
    <w:p w14:paraId="7C7C843D">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17.3 </w:t>
      </w:r>
      <w:r>
        <w:rPr>
          <w:rStyle w:val="30"/>
          <w:rFonts w:hint="eastAsia" w:ascii="Calibri" w:hAnsi="Calibri" w:eastAsia="宋体" w:cs="Times New Roman"/>
          <w:color w:val="auto"/>
          <w:highlight w:val="white"/>
        </w:rPr>
        <w:t>不可抗力后果的承担</w:t>
      </w:r>
    </w:p>
    <w:p w14:paraId="1724FC0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17.3.1 </w:t>
      </w:r>
      <w:r>
        <w:rPr>
          <w:rStyle w:val="30"/>
          <w:rFonts w:hint="eastAsia" w:ascii="Calibri" w:hAnsi="Calibri" w:eastAsia="宋体" w:cs="Times New Roman"/>
          <w:color w:val="auto"/>
          <w:highlight w:val="white"/>
        </w:rPr>
        <w:t>不可抗力引起的后果及造成的损失由合同当事人按照法律规定及合同约定各自承担。不可抗力发生前已完成的工程应当按照合同约定进行计量支付。</w:t>
      </w:r>
    </w:p>
    <w:p w14:paraId="250CC7D1">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17.3.2 </w:t>
      </w:r>
      <w:r>
        <w:rPr>
          <w:rStyle w:val="30"/>
          <w:rFonts w:hint="eastAsia" w:ascii="Calibri" w:hAnsi="Calibri" w:eastAsia="宋体" w:cs="Times New Roman"/>
          <w:color w:val="auto"/>
          <w:highlight w:val="white"/>
        </w:rPr>
        <w:t>不可抗力导致的人员伤亡、财产损失、费用增加和（或）工期延误等后果，由合同当事人按以下原则承担：</w:t>
      </w:r>
    </w:p>
    <w:p w14:paraId="4F6C6CB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）永久工程、已运至施工现场的材料和工程设备的损坏，以及因工程损坏造成的第三人人员伤亡和财产损失由发包人承担；</w:t>
      </w:r>
    </w:p>
    <w:p w14:paraId="3A6A4AC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）承包人施工设备的损坏由承包人承担；</w:t>
      </w:r>
    </w:p>
    <w:p w14:paraId="7815FB6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）发包人和承包人承担各自人员伤亡和财产的损失；</w:t>
      </w:r>
    </w:p>
    <w:p w14:paraId="625C42C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）因不可抗力影响承包人履行合同约定的义务，已经引起或将引起工期延误的，应当顺延工期，由此导致承包人停工的费用损失由发包人和承包人合理分担，停工期间必须支付的工人工资由发包人承担；</w:t>
      </w:r>
    </w:p>
    <w:p w14:paraId="3D81FB2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）因不可抗力引起或将引起工期延误，发包人要求赶工的，由此增加的赶工费用由发包人承担；</w:t>
      </w:r>
    </w:p>
    <w:p w14:paraId="0EB8B01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）承包人在停工期间按照发包人要求照管、清理和修复工程的费用由发包人承担。</w:t>
      </w:r>
    </w:p>
    <w:p w14:paraId="2825C12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不可抗力发生后，合同当事人均应采取措施尽量避免和减少损失的扩大，任何一方当事人没有采取有效措施导致损失扩大的，应对扩大的损失承担责任。</w:t>
      </w:r>
    </w:p>
    <w:p w14:paraId="6B383F6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因合同一方迟延履行合同义务，在迟延履行期间遭遇不可抗力的，不免除其违约责任。</w:t>
      </w:r>
    </w:p>
    <w:p w14:paraId="752213D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17.4 </w:t>
      </w:r>
      <w:r>
        <w:rPr>
          <w:rStyle w:val="30"/>
          <w:rFonts w:hint="eastAsia" w:ascii="Calibri" w:hAnsi="Calibri" w:eastAsia="宋体" w:cs="Times New Roman"/>
          <w:color w:val="auto"/>
          <w:highlight w:val="white"/>
        </w:rPr>
        <w:t>因不可抗力解除合同</w:t>
      </w:r>
    </w:p>
    <w:p w14:paraId="5A1B47D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因不可抗力导致合同无法履行连续超过</w:t>
      </w:r>
      <w:r>
        <w:rPr>
          <w:rStyle w:val="30"/>
          <w:rFonts w:ascii="Calibri" w:hAnsi="Calibri" w:eastAsia="宋体" w:cs="Times New Roman"/>
          <w:color w:val="auto"/>
          <w:highlight w:val="white"/>
        </w:rPr>
        <w:t>84</w:t>
      </w:r>
      <w:r>
        <w:rPr>
          <w:rStyle w:val="30"/>
          <w:rFonts w:hint="eastAsia" w:ascii="Calibri" w:hAnsi="Calibri" w:eastAsia="宋体" w:cs="Times New Roman"/>
          <w:color w:val="auto"/>
          <w:highlight w:val="white"/>
        </w:rPr>
        <w:t>天或累计超过</w:t>
      </w:r>
      <w:r>
        <w:rPr>
          <w:rStyle w:val="30"/>
          <w:rFonts w:ascii="Calibri" w:hAnsi="Calibri" w:eastAsia="宋体" w:cs="Times New Roman"/>
          <w:color w:val="auto"/>
          <w:highlight w:val="white"/>
        </w:rPr>
        <w:t>140</w:t>
      </w:r>
      <w:r>
        <w:rPr>
          <w:rStyle w:val="30"/>
          <w:rFonts w:hint="eastAsia" w:ascii="Calibri" w:hAnsi="Calibri" w:eastAsia="宋体" w:cs="Times New Roman"/>
          <w:color w:val="auto"/>
          <w:highlight w:val="white"/>
        </w:rPr>
        <w:t>天的，发包人和承包人均有权解除合同。合同解除后，由双方当事人按照第</w:t>
      </w:r>
      <w:r>
        <w:rPr>
          <w:rStyle w:val="30"/>
          <w:rFonts w:ascii="Calibri" w:hAnsi="Calibri" w:eastAsia="宋体" w:cs="Times New Roman"/>
          <w:color w:val="auto"/>
          <w:highlight w:val="white"/>
        </w:rPr>
        <w:t>4.4</w:t>
      </w:r>
      <w:r>
        <w:rPr>
          <w:rStyle w:val="30"/>
          <w:rFonts w:hint="eastAsia" w:ascii="Calibri" w:hAnsi="Calibri" w:eastAsia="宋体" w:cs="Times New Roman"/>
          <w:color w:val="auto"/>
          <w:highlight w:val="white"/>
        </w:rPr>
        <w:t>款〔商定或确定〕商定或确定发包人应支付的款项，该款项包括：</w:t>
      </w:r>
    </w:p>
    <w:p w14:paraId="5E0B7C6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）合同解除前承包人已完成工作的价款；</w:t>
      </w:r>
    </w:p>
    <w:p w14:paraId="40640F0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）承包人为工程订购的并已交付给承包人，或承包人有责任接受交付的材料、工程设备和其他物品的价款；</w:t>
      </w:r>
    </w:p>
    <w:p w14:paraId="4F16B2A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）发包人要求承包人退货或解除订货合同而产生的费用，或因不能退货或解除合同而产生的损失；</w:t>
      </w:r>
    </w:p>
    <w:p w14:paraId="446ED2F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）承包人撤离施工现场以及遣散承包人人员的费用；</w:t>
      </w:r>
    </w:p>
    <w:p w14:paraId="1595CD1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5</w:t>
      </w:r>
      <w:r>
        <w:rPr>
          <w:rStyle w:val="30"/>
          <w:rFonts w:hint="eastAsia" w:ascii="Calibri" w:hAnsi="Calibri" w:eastAsia="宋体" w:cs="Times New Roman"/>
          <w:color w:val="auto"/>
          <w:highlight w:val="white"/>
        </w:rPr>
        <w:t>）按照合同约定在合同解除前应支付给承包人的其他款项；</w:t>
      </w:r>
    </w:p>
    <w:p w14:paraId="64B44CF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6</w:t>
      </w:r>
      <w:r>
        <w:rPr>
          <w:rStyle w:val="30"/>
          <w:rFonts w:hint="eastAsia" w:ascii="Calibri" w:hAnsi="Calibri" w:eastAsia="宋体" w:cs="Times New Roman"/>
          <w:color w:val="auto"/>
          <w:highlight w:val="white"/>
        </w:rPr>
        <w:t>）扣减承包人按照合同约定应向发包人支付的款项；</w:t>
      </w:r>
    </w:p>
    <w:p w14:paraId="5EB60A8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7</w:t>
      </w:r>
      <w:r>
        <w:rPr>
          <w:rStyle w:val="30"/>
          <w:rFonts w:hint="eastAsia" w:ascii="Calibri" w:hAnsi="Calibri" w:eastAsia="宋体" w:cs="Times New Roman"/>
          <w:color w:val="auto"/>
          <w:highlight w:val="white"/>
        </w:rPr>
        <w:t>）双方商定或确定的其他款项。</w:t>
      </w:r>
    </w:p>
    <w:p w14:paraId="77365C8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除专用合同条款另有约定外，合同解除后，发包人应在商定或确定上述款项后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天内完成上述款项的支付。</w:t>
      </w:r>
    </w:p>
    <w:p w14:paraId="42FB8DB9">
      <w:pPr>
        <w:pStyle w:val="108"/>
        <w:numPr>
          <w:ilvl w:val="0"/>
          <w:numId w:val="0"/>
        </w:numPr>
        <w:rPr>
          <w:rStyle w:val="30"/>
          <w:rFonts w:eastAsia="宋体" w:cs="Times New Roman"/>
          <w:color w:val="auto"/>
        </w:rPr>
      </w:pPr>
      <w:r>
        <w:rPr>
          <w:rStyle w:val="30"/>
          <w:rFonts w:eastAsia="宋体" w:cs="Times New Roman"/>
          <w:color w:val="auto"/>
          <w:highlight w:val="white"/>
        </w:rPr>
        <w:t xml:space="preserve">18. </w:t>
      </w:r>
      <w:r>
        <w:rPr>
          <w:rStyle w:val="30"/>
          <w:rFonts w:hint="eastAsia" w:eastAsia="宋体" w:cs="Times New Roman"/>
          <w:color w:val="auto"/>
          <w:highlight w:val="white"/>
        </w:rPr>
        <w:t>保险</w:t>
      </w:r>
    </w:p>
    <w:p w14:paraId="39B8AB8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18.1 </w:t>
      </w:r>
      <w:r>
        <w:rPr>
          <w:rStyle w:val="30"/>
          <w:rFonts w:hint="eastAsia" w:ascii="Calibri" w:hAnsi="Calibri" w:eastAsia="宋体" w:cs="Times New Roman"/>
          <w:color w:val="auto"/>
          <w:highlight w:val="white"/>
        </w:rPr>
        <w:t>工程保险</w:t>
      </w:r>
    </w:p>
    <w:p w14:paraId="45B0017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除专用合同条款另有约定外，发包人应投保建筑工程一切险或安装工程一切险；发包人委托承包人投保的，因投保产生的保险费和其他相关费用由发包人承担。</w:t>
      </w:r>
    </w:p>
    <w:p w14:paraId="3E74BB6F">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18.2 </w:t>
      </w:r>
      <w:r>
        <w:rPr>
          <w:rStyle w:val="30"/>
          <w:rFonts w:hint="eastAsia" w:ascii="Calibri" w:hAnsi="Calibri" w:eastAsia="宋体" w:cs="Times New Roman"/>
          <w:color w:val="auto"/>
          <w:highlight w:val="white"/>
        </w:rPr>
        <w:t>工伤保险</w:t>
      </w:r>
    </w:p>
    <w:p w14:paraId="01DD6015">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18.2.1 </w:t>
      </w:r>
      <w:r>
        <w:rPr>
          <w:rStyle w:val="30"/>
          <w:rFonts w:hint="eastAsia" w:ascii="Calibri" w:hAnsi="Calibri" w:eastAsia="宋体" w:cs="Times New Roman"/>
          <w:color w:val="auto"/>
          <w:highlight w:val="white"/>
        </w:rPr>
        <w:t>发包人应依照法律规定参加工伤保险，并为在施工现场的全部员工办理工伤保险，缴纳工伤保险费，并要求监理人及由发包人为履行合同聘请的第三方依法参加工伤保险。</w:t>
      </w:r>
    </w:p>
    <w:p w14:paraId="0B9B26CC">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18.2.2 </w:t>
      </w:r>
      <w:r>
        <w:rPr>
          <w:rStyle w:val="30"/>
          <w:rFonts w:hint="eastAsia" w:ascii="Calibri" w:hAnsi="Calibri" w:eastAsia="宋体" w:cs="Times New Roman"/>
          <w:color w:val="auto"/>
          <w:highlight w:val="white"/>
        </w:rPr>
        <w:t>承包人应依照法律规定参加工伤保险，并为其履行合同的全部员工办理工伤保险，缴纳工伤保险费，并要求分包人及由承包人为履行合同聘请的第三方依法参加工伤保险。</w:t>
      </w:r>
    </w:p>
    <w:p w14:paraId="6D0857A5">
      <w:pPr>
        <w:pStyle w:val="106"/>
        <w:rPr>
          <w:rStyle w:val="30"/>
          <w:rFonts w:ascii="Calibri" w:hAnsi="Calibri" w:eastAsia="宋体" w:cs="Times New Roman"/>
          <w:color w:val="auto"/>
        </w:rPr>
      </w:pPr>
      <w:r>
        <w:rPr>
          <w:rStyle w:val="30"/>
          <w:rFonts w:ascii="Calibri" w:hAnsi="Calibri" w:eastAsia="宋体" w:cs="Times New Roman"/>
          <w:color w:val="auto"/>
          <w:highlight w:val="white"/>
        </w:rPr>
        <w:t>18.3</w:t>
      </w:r>
      <w:r>
        <w:rPr>
          <w:rStyle w:val="30"/>
          <w:rFonts w:hint="eastAsia" w:ascii="Calibri" w:hAnsi="Calibri" w:eastAsia="宋体" w:cs="Times New Roman"/>
          <w:color w:val="auto"/>
          <w:highlight w:val="white"/>
        </w:rPr>
        <w:t>其他保险</w:t>
      </w:r>
    </w:p>
    <w:p w14:paraId="4174D9A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发包人和承包人可以为其施工现场的全部人员办理意外伤害保险并支付保险费，包括其员工及为履行合同聘请的第三方的人员，具体事项由合同当事人在专用合同条款约定。</w:t>
      </w:r>
    </w:p>
    <w:p w14:paraId="3B64520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除专用合同条款另有约定外，承包人应为其施工设备等办理财产保险。</w:t>
      </w:r>
    </w:p>
    <w:p w14:paraId="24B03050">
      <w:pPr>
        <w:pStyle w:val="106"/>
        <w:rPr>
          <w:rStyle w:val="30"/>
          <w:rFonts w:ascii="Calibri" w:hAnsi="Calibri" w:eastAsia="宋体" w:cs="Times New Roman"/>
          <w:color w:val="auto"/>
        </w:rPr>
      </w:pPr>
      <w:r>
        <w:rPr>
          <w:rStyle w:val="30"/>
          <w:rFonts w:ascii="Calibri" w:hAnsi="Calibri" w:eastAsia="宋体" w:cs="Times New Roman"/>
          <w:color w:val="auto"/>
          <w:highlight w:val="white"/>
        </w:rPr>
        <w:t>18.4</w:t>
      </w:r>
      <w:r>
        <w:rPr>
          <w:rStyle w:val="30"/>
          <w:rFonts w:hint="eastAsia" w:ascii="Calibri" w:hAnsi="Calibri" w:eastAsia="宋体" w:cs="Times New Roman"/>
          <w:color w:val="auto"/>
          <w:highlight w:val="white"/>
        </w:rPr>
        <w:t>持续保险</w:t>
      </w:r>
    </w:p>
    <w:p w14:paraId="6D60C3F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合同当事人应与保险人保持联系，使保险人能够随时了解工程实施中的变动，并确保按保险合同条款要求持续保险。</w:t>
      </w:r>
    </w:p>
    <w:p w14:paraId="78ADD0F9">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18.5 </w:t>
      </w:r>
      <w:r>
        <w:rPr>
          <w:rStyle w:val="30"/>
          <w:rFonts w:hint="eastAsia" w:ascii="Calibri" w:hAnsi="Calibri" w:eastAsia="宋体" w:cs="Times New Roman"/>
          <w:color w:val="auto"/>
          <w:highlight w:val="white"/>
        </w:rPr>
        <w:t>保险凭证</w:t>
      </w:r>
    </w:p>
    <w:p w14:paraId="797DA54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合同当事人应及时向另一方当事人提交其已投保的各项保险的凭证和保险单复印件。</w:t>
      </w:r>
    </w:p>
    <w:p w14:paraId="3B83F3B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18.6 </w:t>
      </w:r>
      <w:r>
        <w:rPr>
          <w:rStyle w:val="30"/>
          <w:rFonts w:hint="eastAsia" w:ascii="Calibri" w:hAnsi="Calibri" w:eastAsia="宋体" w:cs="Times New Roman"/>
          <w:color w:val="auto"/>
          <w:highlight w:val="white"/>
        </w:rPr>
        <w:t>未按约定投保的补救</w:t>
      </w:r>
    </w:p>
    <w:p w14:paraId="0EBF3886">
      <w:pPr>
        <w:pStyle w:val="106"/>
        <w:rPr>
          <w:rStyle w:val="30"/>
          <w:rFonts w:ascii="Calibri" w:hAnsi="Calibri" w:eastAsia="宋体" w:cs="Times New Roman"/>
          <w:color w:val="auto"/>
        </w:rPr>
      </w:pPr>
      <w:r>
        <w:rPr>
          <w:rStyle w:val="30"/>
          <w:rFonts w:ascii="Calibri" w:hAnsi="Calibri" w:eastAsia="宋体" w:cs="Times New Roman"/>
          <w:color w:val="auto"/>
          <w:highlight w:val="white"/>
        </w:rPr>
        <w:t>18.6.1</w:t>
      </w:r>
      <w:r>
        <w:rPr>
          <w:rStyle w:val="30"/>
          <w:rFonts w:hint="eastAsia" w:ascii="Calibri" w:hAnsi="Calibri" w:eastAsia="宋体" w:cs="Times New Roman"/>
          <w:color w:val="auto"/>
          <w:highlight w:val="white"/>
        </w:rPr>
        <w:t>发包人未按合同约定办理保险，或未能使保险持续有效的，则承包人可代为办理，所需费用由发包人承担。发包人未按合同约定办理保险，导致未能得到足额赔偿的，由发包人负责补足。</w:t>
      </w:r>
    </w:p>
    <w:p w14:paraId="0C06B57A">
      <w:pPr>
        <w:pStyle w:val="106"/>
        <w:rPr>
          <w:rStyle w:val="30"/>
          <w:rFonts w:ascii="Calibri" w:hAnsi="Calibri" w:eastAsia="宋体" w:cs="Times New Roman"/>
          <w:color w:val="auto"/>
        </w:rPr>
      </w:pPr>
      <w:r>
        <w:rPr>
          <w:rStyle w:val="30"/>
          <w:rFonts w:ascii="Calibri" w:hAnsi="Calibri" w:eastAsia="宋体" w:cs="Times New Roman"/>
          <w:color w:val="auto"/>
          <w:highlight w:val="white"/>
        </w:rPr>
        <w:t>18.6.2</w:t>
      </w:r>
      <w:r>
        <w:rPr>
          <w:rStyle w:val="30"/>
          <w:rFonts w:hint="eastAsia" w:ascii="Calibri" w:hAnsi="Calibri" w:eastAsia="宋体" w:cs="Times New Roman"/>
          <w:color w:val="auto"/>
          <w:highlight w:val="white"/>
        </w:rPr>
        <w:t>承包人未按合同约定办理保险，或未能使保险持续有效的，则发包人可代为办理，所需费用由承包人承担。承包人未按合同约定办理保险，导致未能得到足额赔偿的，由承包人负责补足。</w:t>
      </w:r>
    </w:p>
    <w:p w14:paraId="46314C86">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18.7 </w:t>
      </w:r>
      <w:r>
        <w:rPr>
          <w:rStyle w:val="30"/>
          <w:rFonts w:hint="eastAsia" w:ascii="Calibri" w:hAnsi="Calibri" w:eastAsia="宋体" w:cs="Times New Roman"/>
          <w:color w:val="auto"/>
          <w:highlight w:val="white"/>
        </w:rPr>
        <w:t>通知义务</w:t>
      </w:r>
    </w:p>
    <w:p w14:paraId="154122F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除专用合同条款另有约定外，发包人变更除工伤保险之外的保险合同时，应事先征得承包人同意，并通知监理人；承包人变更除工伤保险之外的保险合同时，应事先征得发包人同意，并通知监理人。</w:t>
      </w:r>
    </w:p>
    <w:p w14:paraId="2753320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保险事故发生时，投保人应按照保险合同规定的条件和期限及时向保险人报告。发包人和承包人应当在知道保险事故发生后及时通知对方。</w:t>
      </w:r>
    </w:p>
    <w:p w14:paraId="2F3ED661">
      <w:pPr>
        <w:pStyle w:val="108"/>
        <w:numPr>
          <w:ilvl w:val="0"/>
          <w:numId w:val="0"/>
        </w:numPr>
        <w:rPr>
          <w:rStyle w:val="30"/>
          <w:rFonts w:eastAsia="宋体" w:cs="Times New Roman"/>
          <w:color w:val="auto"/>
        </w:rPr>
      </w:pPr>
      <w:r>
        <w:rPr>
          <w:rStyle w:val="30"/>
          <w:rFonts w:eastAsia="宋体" w:cs="Times New Roman"/>
          <w:color w:val="auto"/>
          <w:highlight w:val="white"/>
        </w:rPr>
        <w:t xml:space="preserve">19. </w:t>
      </w:r>
      <w:r>
        <w:rPr>
          <w:rStyle w:val="30"/>
          <w:rFonts w:hint="eastAsia" w:eastAsia="宋体" w:cs="Times New Roman"/>
          <w:color w:val="auto"/>
          <w:highlight w:val="white"/>
        </w:rPr>
        <w:t>索赔</w:t>
      </w:r>
    </w:p>
    <w:p w14:paraId="29A2F197">
      <w:pPr>
        <w:pStyle w:val="106"/>
        <w:rPr>
          <w:rStyle w:val="30"/>
          <w:rFonts w:ascii="Calibri" w:hAnsi="Calibri" w:eastAsia="宋体" w:cs="Times New Roman"/>
          <w:color w:val="auto"/>
        </w:rPr>
      </w:pPr>
      <w:r>
        <w:rPr>
          <w:rStyle w:val="30"/>
          <w:rFonts w:ascii="Calibri" w:hAnsi="Calibri" w:eastAsia="宋体" w:cs="Times New Roman"/>
          <w:color w:val="auto"/>
          <w:highlight w:val="white"/>
        </w:rPr>
        <w:t>19.1</w:t>
      </w:r>
      <w:r>
        <w:rPr>
          <w:rStyle w:val="30"/>
          <w:rFonts w:hint="eastAsia" w:ascii="Calibri" w:hAnsi="Calibri" w:eastAsia="宋体" w:cs="Times New Roman"/>
          <w:color w:val="auto"/>
          <w:highlight w:val="white"/>
        </w:rPr>
        <w:t>承包人的索赔</w:t>
      </w:r>
    </w:p>
    <w:p w14:paraId="0BEB2B5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根据合同约定，承包人认为有权得到追加付款和（或）延长工期的，应按以下程序向发包人提出索赔：</w:t>
      </w:r>
    </w:p>
    <w:p w14:paraId="5BA4797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）承包人应在知道或应当知道索赔事件发生后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天内，向监理人递交索赔意向通知书，并说明发生索赔事件的事由；承包人未在前述</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天内发出索赔意向通知书的，丧失要求追加付款和（或）延长工期的权利；</w:t>
      </w:r>
    </w:p>
    <w:p w14:paraId="7634347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）承包人应在发出索赔意向通知书后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天内，向监理人正式递交索赔报告；索赔报告应详细说明索赔理由以及要求追加的付款金额和（或）延长的工期，并附必要的记录和证明材料；</w:t>
      </w:r>
    </w:p>
    <w:p w14:paraId="72655B6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）索赔事件具有持续影响的，承包人应按合理时间间隔继续递交延续索赔通知，说明持续影响的实际情况和记录，列出累计的追加付款金额和（或）工期延长天数；</w:t>
      </w:r>
    </w:p>
    <w:p w14:paraId="100D2413">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4</w:t>
      </w:r>
      <w:r>
        <w:rPr>
          <w:rStyle w:val="30"/>
          <w:rFonts w:hint="eastAsia" w:ascii="Calibri" w:hAnsi="Calibri" w:eastAsia="宋体" w:cs="Times New Roman"/>
          <w:color w:val="auto"/>
          <w:highlight w:val="white"/>
        </w:rPr>
        <w:t>）在索赔事件影响结束后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天内，承包人应向监理人递交最终索赔报告，说明最终要求索赔的追加付款金额和（或）延长的工期，并附必要的记录和证明材料。</w:t>
      </w:r>
    </w:p>
    <w:p w14:paraId="33159967">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19.2 </w:t>
      </w:r>
      <w:r>
        <w:rPr>
          <w:rStyle w:val="30"/>
          <w:rFonts w:hint="eastAsia" w:ascii="Calibri" w:hAnsi="Calibri" w:eastAsia="宋体" w:cs="Times New Roman"/>
          <w:color w:val="auto"/>
          <w:highlight w:val="white"/>
        </w:rPr>
        <w:t>对承包人索赔的处理</w:t>
      </w:r>
    </w:p>
    <w:p w14:paraId="680A772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对承包人索赔的处理如下：</w:t>
      </w:r>
    </w:p>
    <w:p w14:paraId="6F1E1B0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）监理人应在收到索赔报告后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天内完成审查并报送发包人。监理人对索赔报告存在异议的，有权要求承包人提交全部原始记录副本；</w:t>
      </w:r>
    </w:p>
    <w:p w14:paraId="2568F82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）发包人应在监理人收到索赔报告或有关索赔的进一步证明材料后的</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天内，由监理人向承包人出具经发包人签认的索赔处理结果。发包人逾期答复的，则视为认可承包人的索赔要求；</w:t>
      </w:r>
    </w:p>
    <w:p w14:paraId="3963410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）承包人接受索赔处理结果的，索赔款项在当期进度款中进行支付；承包人不接受索赔处理结果的，按照第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条〔争议解决〕约定处理。</w:t>
      </w:r>
    </w:p>
    <w:p w14:paraId="2E2CB7B9">
      <w:pPr>
        <w:pStyle w:val="106"/>
        <w:rPr>
          <w:rStyle w:val="30"/>
          <w:rFonts w:ascii="Calibri" w:hAnsi="Calibri" w:eastAsia="宋体" w:cs="Times New Roman"/>
          <w:color w:val="auto"/>
        </w:rPr>
      </w:pPr>
      <w:r>
        <w:rPr>
          <w:rStyle w:val="30"/>
          <w:rFonts w:ascii="Calibri" w:hAnsi="Calibri" w:eastAsia="宋体" w:cs="Times New Roman"/>
          <w:color w:val="auto"/>
          <w:highlight w:val="white"/>
        </w:rPr>
        <w:t>19.3</w:t>
      </w:r>
      <w:r>
        <w:rPr>
          <w:rStyle w:val="30"/>
          <w:rFonts w:hint="eastAsia" w:ascii="Calibri" w:hAnsi="Calibri" w:eastAsia="宋体" w:cs="Times New Roman"/>
          <w:color w:val="auto"/>
          <w:highlight w:val="white"/>
        </w:rPr>
        <w:t>发包人的索赔</w:t>
      </w:r>
    </w:p>
    <w:p w14:paraId="1983EDCC">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根据合同约定，发包人认为有权得到赔付金额和（或）延长缺陷责任期的，监理人应向承包人发出通知并附有详细的证明。</w:t>
      </w:r>
    </w:p>
    <w:p w14:paraId="2BD92244">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发包人应在知道或应当知道索赔事件发生后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天内通过监理人向承包人提出索赔意向通知书，发包人未在前述</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天内发出索赔意向通知书的，丧失要求赔付金额和（或）延长缺陷责任期的权利。发包人应在发出索赔意向通知书后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天内，通过监理人向承包人正式递交索赔报告。</w:t>
      </w:r>
    </w:p>
    <w:p w14:paraId="4D6B3160">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19.4 </w:t>
      </w:r>
      <w:r>
        <w:rPr>
          <w:rStyle w:val="30"/>
          <w:rFonts w:hint="eastAsia" w:ascii="Calibri" w:hAnsi="Calibri" w:eastAsia="宋体" w:cs="Times New Roman"/>
          <w:color w:val="auto"/>
          <w:highlight w:val="white"/>
        </w:rPr>
        <w:t>对发包人索赔的处理</w:t>
      </w:r>
    </w:p>
    <w:p w14:paraId="2385D582">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对发包人索赔的处理如下：</w:t>
      </w:r>
    </w:p>
    <w:p w14:paraId="77981CE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）承包人收到发包人提交的索赔报告后，应及时审查索赔报告的内容、查验发包人证明材料；</w:t>
      </w:r>
    </w:p>
    <w:p w14:paraId="6709E12D">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）承包人应在收到索赔报告或有关索赔的进一步证明材料后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天内，将索赔处理结果答复发包人。如果承包人未在上述期限内作出答复的，则视为对发包人索赔要求的认可；</w:t>
      </w:r>
    </w:p>
    <w:p w14:paraId="48953C66">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3</w:t>
      </w:r>
      <w:r>
        <w:rPr>
          <w:rStyle w:val="30"/>
          <w:rFonts w:hint="eastAsia" w:ascii="Calibri" w:hAnsi="Calibri" w:eastAsia="宋体" w:cs="Times New Roman"/>
          <w:color w:val="auto"/>
          <w:highlight w:val="white"/>
        </w:rPr>
        <w:t>）承包人接受索赔处理结果的，发包人可从应支付给承包人的合同价款中扣除赔付的金额或延长缺陷责任期；发包人不接受索赔处理结果的，按第</w:t>
      </w:r>
      <w:r>
        <w:rPr>
          <w:rStyle w:val="30"/>
          <w:rFonts w:ascii="Calibri" w:hAnsi="Calibri" w:eastAsia="宋体" w:cs="Times New Roman"/>
          <w:color w:val="auto"/>
          <w:highlight w:val="white"/>
        </w:rPr>
        <w:t>20</w:t>
      </w:r>
      <w:r>
        <w:rPr>
          <w:rStyle w:val="30"/>
          <w:rFonts w:hint="eastAsia" w:ascii="Calibri" w:hAnsi="Calibri" w:eastAsia="宋体" w:cs="Times New Roman"/>
          <w:color w:val="auto"/>
          <w:highlight w:val="white"/>
        </w:rPr>
        <w:t>条〔争议解决〕约定处理。</w:t>
      </w:r>
    </w:p>
    <w:p w14:paraId="6FF2242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19.5 </w:t>
      </w:r>
      <w:r>
        <w:rPr>
          <w:rStyle w:val="30"/>
          <w:rFonts w:hint="eastAsia" w:ascii="Calibri" w:hAnsi="Calibri" w:eastAsia="宋体" w:cs="Times New Roman"/>
          <w:color w:val="auto"/>
          <w:highlight w:val="white"/>
        </w:rPr>
        <w:t>提出索赔的期限</w:t>
      </w:r>
    </w:p>
    <w:p w14:paraId="2538A92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）承包人按第</w:t>
      </w:r>
      <w:r>
        <w:rPr>
          <w:rStyle w:val="30"/>
          <w:rFonts w:ascii="Calibri" w:hAnsi="Calibri" w:eastAsia="宋体" w:cs="Times New Roman"/>
          <w:color w:val="auto"/>
          <w:highlight w:val="white"/>
        </w:rPr>
        <w:t>14.2</w:t>
      </w:r>
      <w:r>
        <w:rPr>
          <w:rStyle w:val="30"/>
          <w:rFonts w:hint="eastAsia" w:ascii="Calibri" w:hAnsi="Calibri" w:eastAsia="宋体" w:cs="Times New Roman"/>
          <w:color w:val="auto"/>
          <w:highlight w:val="white"/>
        </w:rPr>
        <w:t>款〔竣工结算审核〕约定接收竣工付款证书后，应被视为已无权再提出在工程接收证书颁发前所发生的任何索赔。</w:t>
      </w:r>
    </w:p>
    <w:p w14:paraId="09A4E300">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）承包人按第</w:t>
      </w:r>
      <w:r>
        <w:rPr>
          <w:rStyle w:val="30"/>
          <w:rFonts w:ascii="Calibri" w:hAnsi="Calibri" w:eastAsia="宋体" w:cs="Times New Roman"/>
          <w:color w:val="auto"/>
          <w:highlight w:val="white"/>
        </w:rPr>
        <w:t>14.4</w:t>
      </w:r>
      <w:r>
        <w:rPr>
          <w:rStyle w:val="30"/>
          <w:rFonts w:hint="eastAsia" w:ascii="Calibri" w:hAnsi="Calibri" w:eastAsia="宋体" w:cs="Times New Roman"/>
          <w:color w:val="auto"/>
          <w:highlight w:val="white"/>
        </w:rPr>
        <w:t>款〔最终结清〕提交的最终结清申请单中，只限于提出工程接收证书颁发后发生的索赔。提出索赔的期限自接受最终结清证书时终止。</w:t>
      </w:r>
    </w:p>
    <w:p w14:paraId="4CAF1E54">
      <w:pPr>
        <w:pStyle w:val="108"/>
        <w:numPr>
          <w:ilvl w:val="0"/>
          <w:numId w:val="0"/>
        </w:numPr>
        <w:rPr>
          <w:rStyle w:val="30"/>
          <w:rFonts w:eastAsia="宋体" w:cs="Times New Roman"/>
          <w:color w:val="auto"/>
        </w:rPr>
      </w:pPr>
      <w:r>
        <w:rPr>
          <w:rStyle w:val="30"/>
          <w:rFonts w:eastAsia="宋体" w:cs="Times New Roman"/>
          <w:color w:val="auto"/>
          <w:highlight w:val="white"/>
        </w:rPr>
        <w:t xml:space="preserve">20. </w:t>
      </w:r>
      <w:r>
        <w:rPr>
          <w:rStyle w:val="30"/>
          <w:rFonts w:hint="eastAsia" w:eastAsia="宋体" w:cs="Times New Roman"/>
          <w:color w:val="auto"/>
          <w:highlight w:val="white"/>
        </w:rPr>
        <w:t>争议解决</w:t>
      </w:r>
    </w:p>
    <w:p w14:paraId="50D71643">
      <w:pPr>
        <w:pStyle w:val="106"/>
        <w:rPr>
          <w:rStyle w:val="30"/>
          <w:rFonts w:ascii="Calibri" w:hAnsi="Calibri" w:eastAsia="宋体" w:cs="Times New Roman"/>
          <w:color w:val="auto"/>
        </w:rPr>
      </w:pPr>
      <w:r>
        <w:rPr>
          <w:rStyle w:val="30"/>
          <w:rFonts w:ascii="Calibri" w:hAnsi="Calibri" w:eastAsia="宋体" w:cs="Times New Roman"/>
          <w:color w:val="auto"/>
          <w:highlight w:val="white"/>
        </w:rPr>
        <w:t>20.1</w:t>
      </w:r>
      <w:r>
        <w:rPr>
          <w:rStyle w:val="30"/>
          <w:rFonts w:hint="eastAsia" w:ascii="Calibri" w:hAnsi="Calibri" w:eastAsia="宋体" w:cs="Times New Roman"/>
          <w:color w:val="auto"/>
          <w:highlight w:val="white"/>
        </w:rPr>
        <w:t>和解</w:t>
      </w:r>
    </w:p>
    <w:p w14:paraId="50B22208">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合同当事人可以就争议自行和解，自行和解达成协议的经双方签字并盖章后作为合同补充文件，双方均应遵照执行。</w:t>
      </w:r>
    </w:p>
    <w:p w14:paraId="2F1DB057">
      <w:pPr>
        <w:pStyle w:val="106"/>
        <w:rPr>
          <w:rStyle w:val="30"/>
          <w:rFonts w:ascii="Calibri" w:hAnsi="Calibri" w:eastAsia="宋体" w:cs="Times New Roman"/>
          <w:color w:val="auto"/>
        </w:rPr>
      </w:pPr>
      <w:r>
        <w:rPr>
          <w:rStyle w:val="30"/>
          <w:rFonts w:ascii="Calibri" w:hAnsi="Calibri" w:eastAsia="宋体" w:cs="Times New Roman"/>
          <w:color w:val="auto"/>
          <w:highlight w:val="white"/>
        </w:rPr>
        <w:t>20.2</w:t>
      </w:r>
      <w:r>
        <w:rPr>
          <w:rStyle w:val="30"/>
          <w:rFonts w:hint="eastAsia" w:ascii="Calibri" w:hAnsi="Calibri" w:eastAsia="宋体" w:cs="Times New Roman"/>
          <w:color w:val="auto"/>
          <w:highlight w:val="white"/>
        </w:rPr>
        <w:t>调解</w:t>
      </w:r>
    </w:p>
    <w:p w14:paraId="1762C19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合同当事人可以就争议请求建设行政主管部门、行业协会或其他第三方进行调解，调解达成协议的，经双方签字并盖章后作为合同补充文件，双方均应遵照执行。</w:t>
      </w:r>
    </w:p>
    <w:p w14:paraId="2EF44711">
      <w:pPr>
        <w:pStyle w:val="106"/>
        <w:rPr>
          <w:rStyle w:val="30"/>
          <w:rFonts w:ascii="Calibri" w:hAnsi="Calibri" w:eastAsia="宋体" w:cs="Times New Roman"/>
          <w:color w:val="auto"/>
        </w:rPr>
      </w:pPr>
      <w:r>
        <w:rPr>
          <w:rStyle w:val="30"/>
          <w:rFonts w:ascii="Calibri" w:hAnsi="Calibri" w:eastAsia="宋体" w:cs="Times New Roman"/>
          <w:color w:val="auto"/>
          <w:highlight w:val="white"/>
        </w:rPr>
        <w:t>20.3</w:t>
      </w:r>
      <w:r>
        <w:rPr>
          <w:rStyle w:val="30"/>
          <w:rFonts w:hint="eastAsia" w:ascii="Calibri" w:hAnsi="Calibri" w:eastAsia="宋体" w:cs="Times New Roman"/>
          <w:color w:val="auto"/>
          <w:highlight w:val="white"/>
        </w:rPr>
        <w:t>争议评审</w:t>
      </w:r>
    </w:p>
    <w:p w14:paraId="1E74827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合同当事人在专用合同条款中约定采取争议评审方式解决争议以及评审规则，并按下列约定执行：</w:t>
      </w:r>
      <w:r>
        <w:rPr>
          <w:rStyle w:val="30"/>
          <w:rFonts w:ascii="Calibri" w:hAnsi="Calibri" w:eastAsia="宋体" w:cs="Times New Roman"/>
          <w:color w:val="auto"/>
          <w:highlight w:val="white"/>
        </w:rPr>
        <w:t xml:space="preserve"> </w:t>
      </w:r>
    </w:p>
    <w:p w14:paraId="4021765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20.3.1 </w:t>
      </w:r>
      <w:r>
        <w:rPr>
          <w:rStyle w:val="30"/>
          <w:rFonts w:hint="eastAsia" w:ascii="Calibri" w:hAnsi="Calibri" w:eastAsia="宋体" w:cs="Times New Roman"/>
          <w:color w:val="auto"/>
          <w:highlight w:val="white"/>
        </w:rPr>
        <w:t>争议评审小组的确定</w:t>
      </w:r>
    </w:p>
    <w:p w14:paraId="331813B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合同当事人可以共同选择一名或三名争议评审员，组成争议评审小组。除专用合同条款另有约定外，合同当事人应当自合同签订后</w:t>
      </w:r>
      <w:r>
        <w:rPr>
          <w:rStyle w:val="30"/>
          <w:rFonts w:ascii="Calibri" w:hAnsi="Calibri" w:eastAsia="宋体" w:cs="Times New Roman"/>
          <w:color w:val="auto"/>
          <w:highlight w:val="white"/>
        </w:rPr>
        <w:t>28</w:t>
      </w:r>
      <w:r>
        <w:rPr>
          <w:rStyle w:val="30"/>
          <w:rFonts w:hint="eastAsia" w:ascii="Calibri" w:hAnsi="Calibri" w:eastAsia="宋体" w:cs="Times New Roman"/>
          <w:color w:val="auto"/>
          <w:highlight w:val="white"/>
        </w:rPr>
        <w:t>天内，或者争议发生后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天内，选定争议评审员。</w:t>
      </w:r>
    </w:p>
    <w:p w14:paraId="1F472F7B">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w:t>
      </w:r>
      <w:r>
        <w:rPr>
          <w:rStyle w:val="30"/>
          <w:rFonts w:ascii="Calibri" w:hAnsi="Calibri" w:eastAsia="宋体" w:cs="Times New Roman"/>
          <w:color w:val="auto"/>
          <w:highlight w:val="white"/>
        </w:rPr>
        <w:t xml:space="preserve"> </w:t>
      </w:r>
    </w:p>
    <w:p w14:paraId="5C6A7BAA">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除专用合同条款另有约定外，评审员报酬由发包人和承包人各承担一半。</w:t>
      </w:r>
    </w:p>
    <w:p w14:paraId="6C5BBBE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20.3.2 </w:t>
      </w:r>
      <w:r>
        <w:rPr>
          <w:rStyle w:val="30"/>
          <w:rFonts w:hint="eastAsia" w:ascii="Calibri" w:hAnsi="Calibri" w:eastAsia="宋体" w:cs="Times New Roman"/>
          <w:color w:val="auto"/>
          <w:highlight w:val="white"/>
        </w:rPr>
        <w:t>争议评审小组的决定</w:t>
      </w:r>
    </w:p>
    <w:p w14:paraId="06AEE8A1">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w:t>
      </w:r>
      <w:r>
        <w:rPr>
          <w:rStyle w:val="30"/>
          <w:rFonts w:ascii="Calibri" w:hAnsi="Calibri" w:eastAsia="宋体" w:cs="Times New Roman"/>
          <w:color w:val="auto"/>
          <w:highlight w:val="white"/>
        </w:rPr>
        <w:t>14</w:t>
      </w:r>
      <w:r>
        <w:rPr>
          <w:rStyle w:val="30"/>
          <w:rFonts w:hint="eastAsia" w:ascii="Calibri" w:hAnsi="Calibri" w:eastAsia="宋体" w:cs="Times New Roman"/>
          <w:color w:val="auto"/>
          <w:highlight w:val="white"/>
        </w:rPr>
        <w:t>天内作出书面决定，并说明理由。合同当事人可以在专用合同条款中对本项事项另行约定。</w:t>
      </w:r>
    </w:p>
    <w:p w14:paraId="75820D08">
      <w:pPr>
        <w:pStyle w:val="106"/>
        <w:rPr>
          <w:rStyle w:val="30"/>
          <w:rFonts w:ascii="Calibri" w:hAnsi="Calibri" w:eastAsia="宋体" w:cs="Times New Roman"/>
          <w:color w:val="auto"/>
        </w:rPr>
      </w:pPr>
      <w:r>
        <w:rPr>
          <w:rStyle w:val="30"/>
          <w:rFonts w:ascii="Calibri" w:hAnsi="Calibri" w:eastAsia="宋体" w:cs="Times New Roman"/>
          <w:color w:val="auto"/>
          <w:highlight w:val="white"/>
        </w:rPr>
        <w:t xml:space="preserve">20.3.3 </w:t>
      </w:r>
      <w:r>
        <w:rPr>
          <w:rStyle w:val="30"/>
          <w:rFonts w:hint="eastAsia" w:ascii="Calibri" w:hAnsi="Calibri" w:eastAsia="宋体" w:cs="Times New Roman"/>
          <w:color w:val="auto"/>
          <w:highlight w:val="white"/>
        </w:rPr>
        <w:t>争议评审小组决定的效力</w:t>
      </w:r>
    </w:p>
    <w:p w14:paraId="6BB1704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争议评审小组作出的书面决定经合同当事人签字确认后，对双方具有约束力，双方应遵照执行。</w:t>
      </w:r>
    </w:p>
    <w:p w14:paraId="3B339D2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任何一方当事人不接受争议评审小组决定或不履行争议评审小组决定的，双方可选择采用其他争议解决方式。</w:t>
      </w:r>
    </w:p>
    <w:p w14:paraId="60E5A6B9">
      <w:pPr>
        <w:pStyle w:val="106"/>
        <w:rPr>
          <w:rStyle w:val="30"/>
          <w:rFonts w:ascii="Calibri" w:hAnsi="Calibri" w:eastAsia="宋体" w:cs="Times New Roman"/>
          <w:color w:val="auto"/>
        </w:rPr>
      </w:pPr>
      <w:r>
        <w:rPr>
          <w:rStyle w:val="30"/>
          <w:rFonts w:ascii="Calibri" w:hAnsi="Calibri" w:eastAsia="宋体" w:cs="Times New Roman"/>
          <w:color w:val="auto"/>
          <w:highlight w:val="white"/>
        </w:rPr>
        <w:t>20.4</w:t>
      </w:r>
      <w:r>
        <w:rPr>
          <w:rStyle w:val="30"/>
          <w:rFonts w:hint="eastAsia" w:ascii="Calibri" w:hAnsi="Calibri" w:eastAsia="宋体" w:cs="Times New Roman"/>
          <w:color w:val="auto"/>
          <w:highlight w:val="white"/>
        </w:rPr>
        <w:t>仲裁或诉讼</w:t>
      </w:r>
    </w:p>
    <w:p w14:paraId="1C23FC45">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因合同及合同有关事项产生的争议，合同当事人可以在专用合同条款中约定以下一种方式解决争议：</w:t>
      </w:r>
    </w:p>
    <w:p w14:paraId="4CA68E77">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1</w:t>
      </w:r>
      <w:r>
        <w:rPr>
          <w:rStyle w:val="30"/>
          <w:rFonts w:hint="eastAsia" w:ascii="Calibri" w:hAnsi="Calibri" w:eastAsia="宋体" w:cs="Times New Roman"/>
          <w:color w:val="auto"/>
          <w:highlight w:val="white"/>
        </w:rPr>
        <w:t>）向约定的仲裁委员会申请仲裁；</w:t>
      </w:r>
    </w:p>
    <w:p w14:paraId="5C9B46AE">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w:t>
      </w:r>
      <w:r>
        <w:rPr>
          <w:rStyle w:val="30"/>
          <w:rFonts w:ascii="Calibri" w:hAnsi="Calibri" w:eastAsia="宋体" w:cs="Times New Roman"/>
          <w:color w:val="auto"/>
          <w:highlight w:val="white"/>
        </w:rPr>
        <w:t>2</w:t>
      </w:r>
      <w:r>
        <w:rPr>
          <w:rStyle w:val="30"/>
          <w:rFonts w:hint="eastAsia" w:ascii="Calibri" w:hAnsi="Calibri" w:eastAsia="宋体" w:cs="Times New Roman"/>
          <w:color w:val="auto"/>
          <w:highlight w:val="white"/>
        </w:rPr>
        <w:t>）向有管辖权的人民法院起诉。</w:t>
      </w:r>
    </w:p>
    <w:p w14:paraId="447014F2">
      <w:pPr>
        <w:pStyle w:val="106"/>
        <w:rPr>
          <w:rStyle w:val="30"/>
          <w:rFonts w:ascii="Calibri" w:hAnsi="Calibri" w:eastAsia="宋体" w:cs="Times New Roman"/>
          <w:color w:val="auto"/>
        </w:rPr>
      </w:pPr>
      <w:r>
        <w:rPr>
          <w:rStyle w:val="30"/>
          <w:rFonts w:ascii="Calibri" w:hAnsi="Calibri" w:eastAsia="宋体" w:cs="Times New Roman"/>
          <w:color w:val="auto"/>
          <w:highlight w:val="white"/>
        </w:rPr>
        <w:t>20.5</w:t>
      </w:r>
      <w:r>
        <w:rPr>
          <w:rStyle w:val="30"/>
          <w:rFonts w:hint="eastAsia" w:ascii="Calibri" w:hAnsi="Calibri" w:eastAsia="宋体" w:cs="Times New Roman"/>
          <w:color w:val="auto"/>
          <w:highlight w:val="white"/>
        </w:rPr>
        <w:t>争议解决条款效力</w:t>
      </w:r>
    </w:p>
    <w:p w14:paraId="6E40C83F">
      <w:pPr>
        <w:pStyle w:val="106"/>
        <w:rPr>
          <w:rStyle w:val="30"/>
          <w:rFonts w:ascii="Calibri" w:hAnsi="Calibri" w:eastAsia="宋体" w:cs="Times New Roman"/>
          <w:color w:val="auto"/>
        </w:rPr>
      </w:pPr>
      <w:r>
        <w:rPr>
          <w:rStyle w:val="30"/>
          <w:rFonts w:hint="eastAsia" w:ascii="Calibri" w:hAnsi="Calibri" w:eastAsia="宋体" w:cs="Times New Roman"/>
          <w:color w:val="auto"/>
          <w:highlight w:val="white"/>
        </w:rPr>
        <w:t>合同有关争议解决的条款独立存在，合同的变更、解除、终止、无效或者被撤销均不影响其效力。</w:t>
      </w:r>
    </w:p>
    <w:p w14:paraId="73F868F2">
      <w:pPr>
        <w:pStyle w:val="106"/>
        <w:rPr>
          <w:rStyle w:val="30"/>
          <w:rFonts w:hint="eastAsia" w:ascii="Calibri" w:hAnsi="Calibri" w:eastAsia="宋体" w:cs="Times New Roman"/>
          <w:color w:val="auto"/>
        </w:rPr>
      </w:pPr>
    </w:p>
    <w:p w14:paraId="41E9100F">
      <w:pPr>
        <w:pStyle w:val="106"/>
        <w:rPr>
          <w:rStyle w:val="30"/>
          <w:rFonts w:hint="eastAsia" w:ascii="Calibri" w:hAnsi="Calibri" w:eastAsia="宋体" w:cs="Times New Roman"/>
          <w:color w:val="auto"/>
        </w:rPr>
      </w:pPr>
    </w:p>
    <w:p w14:paraId="2C551149">
      <w:pPr>
        <w:pStyle w:val="106"/>
        <w:rPr>
          <w:rStyle w:val="30"/>
          <w:rFonts w:hint="eastAsia" w:ascii="Calibri" w:hAnsi="Calibri" w:eastAsia="宋体" w:cs="Times New Roman"/>
          <w:color w:val="auto"/>
        </w:rPr>
      </w:pPr>
    </w:p>
    <w:p w14:paraId="46741000">
      <w:pPr>
        <w:pStyle w:val="106"/>
        <w:rPr>
          <w:rStyle w:val="30"/>
          <w:rFonts w:hint="eastAsia" w:ascii="Calibri" w:hAnsi="Calibri" w:eastAsia="宋体" w:cs="Times New Roman"/>
          <w:color w:val="auto"/>
        </w:rPr>
      </w:pPr>
    </w:p>
    <w:p w14:paraId="79A0BC97">
      <w:pPr>
        <w:pStyle w:val="106"/>
        <w:rPr>
          <w:rStyle w:val="30"/>
          <w:rFonts w:hint="eastAsia" w:ascii="Calibri" w:hAnsi="Calibri" w:eastAsia="宋体" w:cs="Times New Roman"/>
          <w:color w:val="auto"/>
        </w:rPr>
      </w:pPr>
    </w:p>
    <w:p w14:paraId="0FF7111E">
      <w:pPr>
        <w:pStyle w:val="106"/>
        <w:rPr>
          <w:rStyle w:val="30"/>
          <w:rFonts w:hint="eastAsia" w:ascii="Calibri" w:hAnsi="Calibri" w:eastAsia="宋体" w:cs="Times New Roman"/>
          <w:color w:val="auto"/>
        </w:rPr>
      </w:pPr>
    </w:p>
    <w:p w14:paraId="6C89C346">
      <w:pPr>
        <w:pStyle w:val="106"/>
        <w:rPr>
          <w:rStyle w:val="30"/>
          <w:rFonts w:hint="eastAsia" w:ascii="Calibri" w:hAnsi="Calibri" w:eastAsia="宋体" w:cs="Times New Roman"/>
          <w:color w:val="auto"/>
        </w:rPr>
      </w:pPr>
    </w:p>
    <w:p w14:paraId="73EA44CE">
      <w:pPr>
        <w:pStyle w:val="106"/>
        <w:rPr>
          <w:rStyle w:val="30"/>
          <w:rFonts w:hint="eastAsia" w:ascii="Calibri" w:hAnsi="Calibri" w:eastAsia="宋体" w:cs="Times New Roman"/>
          <w:color w:val="auto"/>
        </w:rPr>
      </w:pPr>
    </w:p>
    <w:p w14:paraId="4ED2C131">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49BD7EA8">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758F3A12">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607A4FD3">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74014240">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442B9A08">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29BEA0A6">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075A110B">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48C17A3B">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3F5B7C38">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1176D92F">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7F4A3B2C">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32F7A8C8">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7A0CF1EF">
      <w:pPr>
        <w:pStyle w:val="79"/>
        <w:spacing w:before="120" w:after="120" w:line="360" w:lineRule="auto"/>
        <w:ind w:left="567" w:firstLine="480"/>
        <w:jc w:val="center"/>
        <w:outlineLvl w:val="1"/>
        <w:rPr>
          <w:rStyle w:val="30"/>
          <w:rFonts w:hint="eastAsia" w:ascii="宋体" w:hAnsi="宋体" w:cs="Times New Roman"/>
          <w:b/>
          <w:bCs/>
          <w:color w:val="auto"/>
          <w:kern w:val="2"/>
        </w:rPr>
      </w:pPr>
    </w:p>
    <w:p w14:paraId="662E79AD">
      <w:pPr>
        <w:pStyle w:val="79"/>
        <w:spacing w:before="120" w:after="120" w:line="360" w:lineRule="auto"/>
        <w:ind w:left="567" w:firstLine="480"/>
        <w:jc w:val="center"/>
        <w:outlineLvl w:val="1"/>
        <w:rPr>
          <w:rStyle w:val="30"/>
          <w:rFonts w:ascii="Calibri" w:hAnsi="Calibri" w:cs="Times New Roman"/>
          <w:b/>
          <w:bCs/>
          <w:color w:val="auto"/>
          <w:kern w:val="2"/>
        </w:rPr>
      </w:pPr>
      <w:r>
        <w:rPr>
          <w:rStyle w:val="30"/>
          <w:rFonts w:hint="eastAsia" w:ascii="宋体" w:hAnsi="宋体" w:cs="Times New Roman"/>
          <w:b/>
          <w:bCs/>
          <w:color w:val="auto"/>
          <w:kern w:val="2"/>
        </w:rPr>
        <w:t>专用合同条款</w:t>
      </w:r>
    </w:p>
    <w:p w14:paraId="28076CB9">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 </w:t>
      </w:r>
      <w:r>
        <w:rPr>
          <w:rStyle w:val="30"/>
          <w:rFonts w:hint="eastAsia" w:ascii="宋体" w:hAnsi="宋体" w:eastAsia="宋体" w:cs="Times New Roman"/>
          <w:color w:val="auto"/>
          <w:sz w:val="24"/>
          <w:szCs w:val="24"/>
        </w:rPr>
        <w:t>一般约定</w:t>
      </w:r>
    </w:p>
    <w:p w14:paraId="009A6A10">
      <w:pPr>
        <w:pStyle w:val="79"/>
        <w:spacing w:after="120" w:line="320" w:lineRule="exact"/>
        <w:ind w:firstLine="420" w:firstLineChars="200"/>
        <w:rPr>
          <w:rStyle w:val="30"/>
          <w:rFonts w:ascii="Calibri" w:hAnsi="Calibri" w:eastAsia="黑体" w:cs="Times New Roman"/>
          <w:color w:val="auto"/>
          <w:kern w:val="2"/>
          <w:sz w:val="24"/>
          <w:szCs w:val="24"/>
        </w:rPr>
      </w:pPr>
      <w:r>
        <w:rPr>
          <w:rStyle w:val="30"/>
          <w:rFonts w:ascii="Calibri" w:hAnsi="Calibri" w:eastAsia="黑体" w:cs="Times New Roman"/>
          <w:color w:val="auto"/>
          <w:kern w:val="2"/>
        </w:rPr>
        <w:t xml:space="preserve">1.1 </w:t>
      </w:r>
      <w:r>
        <w:rPr>
          <w:rStyle w:val="30"/>
          <w:rFonts w:hint="eastAsia" w:ascii="黑体" w:hAnsi="黑体" w:eastAsia="黑体" w:cs="Times New Roman"/>
          <w:color w:val="auto"/>
          <w:kern w:val="2"/>
        </w:rPr>
        <w:t>词语定义</w:t>
      </w:r>
    </w:p>
    <w:p w14:paraId="3D1CD777">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1.1.1</w:t>
      </w:r>
      <w:r>
        <w:rPr>
          <w:rStyle w:val="30"/>
          <w:rFonts w:hint="eastAsia" w:ascii="仿宋_GB2312" w:hAnsi="Calibri" w:eastAsia="仿宋_GB2312" w:cs="Times New Roman"/>
          <w:color w:val="auto"/>
        </w:rPr>
        <w:t>合同</w:t>
      </w:r>
    </w:p>
    <w:p w14:paraId="1E7CA289">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1.1.1.10</w:t>
      </w:r>
      <w:r>
        <w:rPr>
          <w:rStyle w:val="30"/>
          <w:rFonts w:hint="eastAsia" w:ascii="仿宋_GB2312" w:hAnsi="Calibri" w:eastAsia="仿宋_GB2312" w:cs="Times New Roman"/>
          <w:color w:val="auto"/>
        </w:rPr>
        <w:t>其他合同文件包括：</w:t>
      </w:r>
    </w:p>
    <w:p w14:paraId="606EF092">
      <w:pPr>
        <w:pStyle w:val="79"/>
        <w:spacing w:line="320" w:lineRule="exact"/>
        <w:ind w:firstLine="210" w:firstLineChars="100"/>
        <w:rPr>
          <w:rStyle w:val="30"/>
          <w:rFonts w:hint="eastAsia" w:ascii="Calibri" w:hAnsi="Calibri" w:eastAsia="仿宋_GB2312" w:cs="Times New Roman"/>
          <w:color w:val="auto"/>
        </w:rPr>
      </w:pPr>
      <w:r>
        <w:rPr>
          <w:rStyle w:val="30"/>
          <w:rFonts w:hint="eastAsia" w:ascii="宋体" w:hAnsi="宋体" w:cs="Times New Roman"/>
          <w:color w:val="auto"/>
          <w:kern w:val="2"/>
          <w:u w:val="single"/>
        </w:rPr>
        <w:t>其它</w:t>
      </w:r>
      <w:r>
        <w:rPr>
          <w:rStyle w:val="30"/>
          <w:rFonts w:hint="eastAsia" w:ascii="宋体" w:hAnsi="宋体" w:cs="Times New Roman"/>
          <w:color w:val="auto"/>
          <w:kern w:val="2"/>
          <w:u w:val="single"/>
          <w:lang w:val="en-US" w:eastAsia="zh-CN"/>
        </w:rPr>
        <w:t>响应</w:t>
      </w:r>
      <w:r>
        <w:rPr>
          <w:rStyle w:val="30"/>
          <w:rFonts w:hint="eastAsia" w:ascii="宋体" w:hAnsi="宋体" w:cs="Times New Roman"/>
          <w:color w:val="auto"/>
          <w:kern w:val="2"/>
          <w:u w:val="single"/>
        </w:rPr>
        <w:t>文件、</w:t>
      </w:r>
      <w:r>
        <w:rPr>
          <w:rStyle w:val="30"/>
          <w:rFonts w:hint="eastAsia" w:ascii="宋体" w:hAnsi="宋体" w:cs="Times New Roman"/>
          <w:color w:val="auto"/>
          <w:u w:val="single"/>
        </w:rPr>
        <w:t>其他</w:t>
      </w:r>
      <w:r>
        <w:rPr>
          <w:rStyle w:val="30"/>
          <w:rFonts w:hint="eastAsia" w:ascii="宋体" w:hAnsi="宋体" w:cs="Times New Roman"/>
          <w:color w:val="auto"/>
          <w:kern w:val="2"/>
          <w:u w:val="single"/>
        </w:rPr>
        <w:t>有关工程的洽商、变更等书面协议或文件。</w:t>
      </w:r>
    </w:p>
    <w:p w14:paraId="412DF18B">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1.1.2 </w:t>
      </w:r>
      <w:r>
        <w:rPr>
          <w:rStyle w:val="30"/>
          <w:rFonts w:hint="eastAsia" w:ascii="仿宋_GB2312" w:hAnsi="Calibri" w:eastAsia="仿宋_GB2312" w:cs="Times New Roman"/>
          <w:color w:val="auto"/>
          <w:kern w:val="2"/>
        </w:rPr>
        <w:t>合同当事人及其他相关方</w:t>
      </w:r>
    </w:p>
    <w:p w14:paraId="145656E1">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1.1.2.4</w:t>
      </w:r>
      <w:r>
        <w:rPr>
          <w:rStyle w:val="30"/>
          <w:rFonts w:hint="eastAsia" w:ascii="仿宋_GB2312" w:hAnsi="Calibri" w:eastAsia="仿宋_GB2312" w:cs="Times New Roman"/>
          <w:color w:val="auto"/>
          <w:kern w:val="2"/>
        </w:rPr>
        <w:t>监理人：</w:t>
      </w:r>
    </w:p>
    <w:p w14:paraId="58BEDCBE">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名</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称：</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173AD04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资质类别和等级：</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276556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联系电话：</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61F4BCB">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电子信箱：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1E110BB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通信地址：</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A8FBB25">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1.1.2.5 </w:t>
      </w:r>
      <w:r>
        <w:rPr>
          <w:rStyle w:val="30"/>
          <w:rFonts w:hint="eastAsia" w:ascii="仿宋_GB2312" w:hAnsi="Calibri" w:eastAsia="仿宋_GB2312" w:cs="Times New Roman"/>
          <w:color w:val="auto"/>
          <w:kern w:val="2"/>
        </w:rPr>
        <w:t>设计人：</w:t>
      </w:r>
    </w:p>
    <w:p w14:paraId="07F0D40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名</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称：</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686A9DC">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资质类别和等级：</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F713C56">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联系电话：</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330D18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电子信箱：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BC89C5B">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通信地址：</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964D5C2">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1.1.3 </w:t>
      </w:r>
      <w:r>
        <w:rPr>
          <w:rStyle w:val="30"/>
          <w:rFonts w:hint="eastAsia" w:ascii="仿宋_GB2312" w:hAnsi="Calibri" w:eastAsia="仿宋_GB2312" w:cs="Times New Roman"/>
          <w:color w:val="auto"/>
          <w:kern w:val="2"/>
        </w:rPr>
        <w:t>工程和设备</w:t>
      </w:r>
    </w:p>
    <w:p w14:paraId="05C6F901">
      <w:pPr>
        <w:pStyle w:val="79"/>
        <w:spacing w:line="320" w:lineRule="exact"/>
        <w:ind w:firstLine="420" w:firstLineChars="200"/>
        <w:rPr>
          <w:rStyle w:val="30"/>
          <w:rFonts w:ascii="Calibri" w:hAnsi="Calibri" w:eastAsia="仿宋_GB2312" w:cs="Times New Roman"/>
          <w:color w:val="auto"/>
          <w:kern w:val="2"/>
          <w:u w:val="single"/>
        </w:rPr>
      </w:pPr>
      <w:r>
        <w:rPr>
          <w:rStyle w:val="30"/>
          <w:rFonts w:ascii="Calibri" w:hAnsi="Calibri" w:eastAsia="仿宋_GB2312" w:cs="Times New Roman"/>
          <w:color w:val="auto"/>
          <w:kern w:val="2"/>
        </w:rPr>
        <w:t xml:space="preserve">1.1.3.7 </w:t>
      </w:r>
      <w:r>
        <w:rPr>
          <w:rStyle w:val="30"/>
          <w:rFonts w:hint="eastAsia" w:ascii="仿宋_GB2312" w:hAnsi="Calibri" w:eastAsia="仿宋_GB2312" w:cs="Times New Roman"/>
          <w:color w:val="auto"/>
          <w:kern w:val="2"/>
        </w:rPr>
        <w:t>作为施工现场组成部分的其他场所包括：</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581B2974">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1.1.3.8</w:t>
      </w:r>
      <w:r>
        <w:rPr>
          <w:rStyle w:val="30"/>
          <w:rFonts w:hint="eastAsia" w:ascii="仿宋_GB2312" w:hAnsi="Calibri" w:eastAsia="仿宋_GB2312" w:cs="Times New Roman"/>
          <w:color w:val="auto"/>
        </w:rPr>
        <w:t>永久占地包括：</w:t>
      </w:r>
      <w:r>
        <w:rPr>
          <w:rStyle w:val="30"/>
          <w:rFonts w:ascii="Calibri" w:hAnsi="Calibri" w:eastAsia="仿宋_GB2312" w:cs="Times New Roman"/>
          <w:color w:val="auto"/>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501A55ED">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rPr>
        <w:t xml:space="preserve">1.1.3.9 </w:t>
      </w:r>
      <w:r>
        <w:rPr>
          <w:rStyle w:val="30"/>
          <w:rFonts w:hint="eastAsia" w:ascii="仿宋_GB2312" w:hAnsi="Calibri" w:eastAsia="仿宋_GB2312" w:cs="Times New Roman"/>
          <w:color w:val="auto"/>
        </w:rPr>
        <w:t>临时占地包括：</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35251E4D">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1.3</w:t>
      </w:r>
      <w:r>
        <w:rPr>
          <w:rStyle w:val="30"/>
          <w:rFonts w:hint="eastAsia" w:ascii="黑体" w:hAnsi="黑体" w:eastAsia="黑体" w:cs="Times New Roman"/>
          <w:color w:val="auto"/>
          <w:kern w:val="2"/>
        </w:rPr>
        <w:t>法律</w:t>
      </w:r>
      <w:r>
        <w:rPr>
          <w:rStyle w:val="30"/>
          <w:rFonts w:ascii="Calibri" w:hAnsi="Calibri" w:eastAsia="黑体" w:cs="Times New Roman"/>
          <w:color w:val="auto"/>
          <w:kern w:val="2"/>
        </w:rPr>
        <w:t xml:space="preserve"> </w:t>
      </w:r>
    </w:p>
    <w:p w14:paraId="1DFBD27C">
      <w:pPr>
        <w:pStyle w:val="79"/>
        <w:ind w:firstLine="525" w:firstLineChars="250"/>
        <w:rPr>
          <w:rStyle w:val="30"/>
          <w:rFonts w:ascii="Calibri" w:hAnsi="Calibri" w:eastAsia="仿宋_GB2312" w:cs="Times New Roman"/>
          <w:color w:val="auto"/>
        </w:rPr>
      </w:pPr>
      <w:r>
        <w:rPr>
          <w:rStyle w:val="30"/>
          <w:rFonts w:hint="eastAsia" w:ascii="仿宋_GB2312" w:hAnsi="Calibri" w:eastAsia="仿宋_GB2312" w:cs="Times New Roman"/>
          <w:color w:val="auto"/>
        </w:rPr>
        <w:t>适用于合同的其他规范性文件：</w:t>
      </w:r>
    </w:p>
    <w:p w14:paraId="41AA8A90">
      <w:pPr>
        <w:pStyle w:val="79"/>
        <w:spacing w:line="360" w:lineRule="exact"/>
        <w:ind w:firstLine="506" w:firstLineChars="241"/>
        <w:rPr>
          <w:rStyle w:val="30"/>
          <w:rFonts w:hint="eastAsia" w:ascii="仿宋" w:hAnsi="仿宋" w:eastAsia="仿宋" w:cs="Times New Roman"/>
          <w:b w:val="0"/>
          <w:bCs w:val="0"/>
          <w:color w:val="auto"/>
          <w:u w:val="single"/>
        </w:rPr>
      </w:pPr>
      <w:r>
        <w:rPr>
          <w:rStyle w:val="30"/>
          <w:rFonts w:hint="eastAsia" w:ascii="仿宋" w:hAnsi="仿宋" w:eastAsia="仿宋" w:cs="Times New Roman"/>
          <w:b w:val="0"/>
          <w:bCs w:val="0"/>
          <w:color w:val="auto"/>
          <w:u w:val="single"/>
        </w:rPr>
        <w:t>《建设工程工程量清单计价规范（GB50500-2013）》、《市政工程工程量计算规范》(GB50857-2013)、《园林绿化工程工程量计算规范》(GB50858-2013)、《通用安装工程工程量计算规范》GB50856-2013、《</w:t>
      </w:r>
      <w:r>
        <w:rPr>
          <w:rStyle w:val="30"/>
          <w:rFonts w:hint="eastAsia" w:ascii="仿宋" w:hAnsi="仿宋" w:eastAsia="仿宋" w:cs="Times New Roman"/>
          <w:b w:val="0"/>
          <w:bCs w:val="0"/>
          <w:color w:val="auto"/>
          <w:u w:val="single"/>
          <w:lang w:eastAsia="zh-CN"/>
        </w:rPr>
        <w:t>房屋建筑与装饰工程工程量计算规范</w:t>
      </w:r>
      <w:r>
        <w:rPr>
          <w:rStyle w:val="30"/>
          <w:rFonts w:hint="eastAsia" w:ascii="仿宋" w:hAnsi="仿宋" w:eastAsia="仿宋" w:cs="Times New Roman"/>
          <w:b w:val="0"/>
          <w:bCs w:val="0"/>
          <w:color w:val="auto"/>
          <w:u w:val="single"/>
        </w:rPr>
        <w:t>》</w:t>
      </w:r>
      <w:r>
        <w:rPr>
          <w:rStyle w:val="30"/>
          <w:rFonts w:hint="eastAsia" w:ascii="仿宋" w:hAnsi="仿宋" w:eastAsia="仿宋" w:cs="Times New Roman"/>
          <w:b w:val="0"/>
          <w:bCs w:val="0"/>
          <w:color w:val="auto"/>
          <w:u w:val="single"/>
          <w:lang w:val="en-US" w:eastAsia="zh-CN"/>
        </w:rPr>
        <w:t>GB50854-2013、</w:t>
      </w:r>
      <w:r>
        <w:rPr>
          <w:rStyle w:val="30"/>
          <w:rFonts w:hint="eastAsia" w:ascii="仿宋" w:hAnsi="仿宋" w:eastAsia="仿宋" w:cs="Times New Roman"/>
          <w:b w:val="0"/>
          <w:bCs w:val="0"/>
          <w:color w:val="auto"/>
          <w:u w:val="single"/>
        </w:rPr>
        <w:t>《建设工程工程量清单计算规范（2013）浙江省补充规定》、《建设工程工程量清单计算规范（2013）浙江省补充规定（二）》、《浙江省建设工程计价规则（2018版）》、《浙江省市政工程预算定额（2018版）》、《浙江省园林绿化及仿古建筑工程预算定额（2018版）》、《浙江省房屋建筑与装饰工程预算定额（2018版）》、《浙江省通用安装工程预算定额（2018版）》、《浙江省建设工程施工机械台班费用定额（2018版）》、舟建发﹝2018﹞265号（关于贯彻执行浙江省建设工程计价依据（2018版）的通知）、舟建发[2013]49号（关于贯彻实施建设工程工程量清单计价规范（GB50500-2013）、建建发【2019】92 号（关于增值税调整后我省建设工程计价依据增值税税率及有关计价调整的通知）、浙建站信﹝2018﹞52号（关于发布浙江省房屋建筑人工综合价格指数的通知）等相关文件及规定。</w:t>
      </w:r>
    </w:p>
    <w:p w14:paraId="7B086AC7">
      <w:pPr>
        <w:pStyle w:val="79"/>
        <w:spacing w:after="120" w:line="320" w:lineRule="exact"/>
        <w:ind w:firstLine="420" w:firstLineChars="200"/>
        <w:rPr>
          <w:rStyle w:val="30"/>
          <w:rFonts w:hint="eastAsia" w:ascii="Times New Roman" w:hAnsi="Times New Roman" w:eastAsia="黑体" w:cs="Times New Roman"/>
          <w:color w:val="auto"/>
          <w:kern w:val="2"/>
        </w:rPr>
      </w:pPr>
      <w:r>
        <w:rPr>
          <w:rStyle w:val="30"/>
          <w:rFonts w:ascii="Calibri" w:hAnsi="Calibri" w:eastAsia="黑体" w:cs="Times New Roman"/>
          <w:color w:val="auto"/>
          <w:kern w:val="2"/>
        </w:rPr>
        <w:t xml:space="preserve">1.4 </w:t>
      </w:r>
      <w:r>
        <w:rPr>
          <w:rStyle w:val="30"/>
          <w:rFonts w:hint="eastAsia" w:ascii="黑体" w:hAnsi="黑体" w:eastAsia="黑体" w:cs="Times New Roman"/>
          <w:color w:val="auto"/>
          <w:kern w:val="2"/>
        </w:rPr>
        <w:t>标准和规范</w:t>
      </w:r>
    </w:p>
    <w:p w14:paraId="686780F5">
      <w:pPr>
        <w:pStyle w:val="79"/>
        <w:spacing w:line="320" w:lineRule="exact"/>
        <w:ind w:firstLine="420" w:firstLineChars="200"/>
        <w:rPr>
          <w:rStyle w:val="30"/>
          <w:rFonts w:ascii="仿宋" w:hAnsi="仿宋" w:eastAsia="仿宋" w:cs="Times New Roman"/>
          <w:b/>
          <w:bCs/>
          <w:color w:val="auto"/>
          <w:u w:val="single"/>
        </w:rPr>
      </w:pPr>
      <w:r>
        <w:rPr>
          <w:rStyle w:val="30"/>
          <w:rFonts w:ascii="Calibri" w:hAnsi="Calibri" w:eastAsia="仿宋_GB2312" w:cs="Times New Roman"/>
          <w:color w:val="auto"/>
        </w:rPr>
        <w:t>1.4.1</w:t>
      </w:r>
      <w:r>
        <w:rPr>
          <w:rStyle w:val="30"/>
          <w:rFonts w:hint="eastAsia" w:ascii="仿宋_GB2312" w:hAnsi="Calibri" w:eastAsia="仿宋_GB2312" w:cs="Times New Roman"/>
          <w:color w:val="auto"/>
        </w:rPr>
        <w:t>适用于工程的标准规范包括</w:t>
      </w:r>
      <w:r>
        <w:rPr>
          <w:rStyle w:val="30"/>
          <w:rFonts w:hint="eastAsia" w:ascii="仿宋_GB2312" w:hAnsi="Calibri" w:eastAsia="仿宋_GB2312" w:cs="Times New Roman"/>
          <w:color w:val="auto"/>
          <w:u w:val="single"/>
        </w:rPr>
        <w:t>：</w:t>
      </w:r>
      <w:r>
        <w:rPr>
          <w:rStyle w:val="30"/>
          <w:rFonts w:hint="eastAsia" w:ascii="仿宋" w:hAnsi="仿宋" w:eastAsia="仿宋" w:cs="Times New Roman"/>
          <w:b/>
          <w:bCs/>
          <w:color w:val="auto"/>
          <w:u w:val="single"/>
        </w:rPr>
        <w:t>按现行的国家、省、市施工验收规范、质量评定标准及有关规定,以及合同工期内的标准、规范，</w:t>
      </w:r>
      <w:r>
        <w:rPr>
          <w:rStyle w:val="30"/>
          <w:rFonts w:hint="eastAsia" w:ascii="仿宋" w:hAnsi="仿宋" w:eastAsia="仿宋" w:cs="Times New Roman"/>
          <w:b/>
          <w:bCs/>
          <w:color w:val="auto"/>
          <w:u w:val="single"/>
          <w:lang w:val="en-US" w:eastAsia="zh-CN"/>
        </w:rPr>
        <w:t>磋商</w:t>
      </w:r>
      <w:r>
        <w:rPr>
          <w:rStyle w:val="30"/>
          <w:rFonts w:hint="eastAsia" w:ascii="仿宋" w:hAnsi="仿宋" w:eastAsia="仿宋" w:cs="Times New Roman"/>
          <w:b/>
          <w:bCs/>
          <w:color w:val="auto"/>
          <w:u w:val="single"/>
        </w:rPr>
        <w:t>文件中的技术要求等。</w:t>
      </w:r>
    </w:p>
    <w:p w14:paraId="0BBCD360">
      <w:pPr>
        <w:pStyle w:val="79"/>
        <w:spacing w:line="320" w:lineRule="exact"/>
        <w:ind w:firstLine="420" w:firstLineChars="200"/>
        <w:rPr>
          <w:rStyle w:val="30"/>
          <w:rFonts w:hint="eastAsia" w:ascii="Times New Roman" w:hAnsi="Times New Roman" w:eastAsia="仿宋_GB2312" w:cs="Times New Roman"/>
          <w:color w:val="auto"/>
          <w:u w:val="single"/>
        </w:rPr>
      </w:pPr>
      <w:r>
        <w:rPr>
          <w:rStyle w:val="30"/>
          <w:rFonts w:ascii="Calibri" w:hAnsi="Calibri" w:eastAsia="仿宋_GB2312" w:cs="Times New Roman"/>
          <w:color w:val="auto"/>
        </w:rPr>
        <w:t xml:space="preserve">1.4.2 </w:t>
      </w:r>
      <w:r>
        <w:rPr>
          <w:rStyle w:val="30"/>
          <w:rFonts w:hint="eastAsia" w:ascii="仿宋_GB2312" w:hAnsi="Calibri" w:eastAsia="仿宋_GB2312" w:cs="Times New Roman"/>
          <w:color w:val="auto"/>
        </w:rPr>
        <w:t>发包人提供国外标准、规范的名称：</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39C48725">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发包人提供国外标准、规范的份数：</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2C0CBCB4">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rPr>
        <w:t>发包人提供国外标准、规范的名称：</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3F708A47">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1.4.3</w:t>
      </w:r>
      <w:r>
        <w:rPr>
          <w:rStyle w:val="30"/>
          <w:rFonts w:hint="eastAsia" w:ascii="仿宋_GB2312" w:hAnsi="Calibri" w:eastAsia="仿宋_GB2312" w:cs="Times New Roman"/>
          <w:color w:val="auto"/>
          <w:kern w:val="2"/>
        </w:rPr>
        <w:t>发包人对工程的技术标准和功能要求的特殊要求：</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5243B58">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1.5 </w:t>
      </w:r>
      <w:r>
        <w:rPr>
          <w:rStyle w:val="30"/>
          <w:rFonts w:hint="eastAsia" w:ascii="黑体" w:hAnsi="黑体" w:eastAsia="黑体" w:cs="Times New Roman"/>
          <w:color w:val="auto"/>
          <w:kern w:val="2"/>
        </w:rPr>
        <w:t>合同文件的优先顺序</w:t>
      </w:r>
    </w:p>
    <w:p w14:paraId="1439BAC8">
      <w:pPr>
        <w:pStyle w:val="79"/>
        <w:autoSpaceDE w:val="0"/>
        <w:autoSpaceDN w:val="0"/>
        <w:adjustRightInd w:val="0"/>
        <w:spacing w:line="30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合同文件组成及优先顺序为：</w:t>
      </w:r>
      <w:r>
        <w:rPr>
          <w:rStyle w:val="30"/>
          <w:rFonts w:hint="eastAsia" w:ascii="仿宋_GB2312" w:hAnsi="Calibri" w:eastAsia="仿宋_GB2312" w:cs="Times New Roman"/>
          <w:color w:val="auto"/>
          <w:kern w:val="2"/>
          <w:u w:val="single"/>
        </w:rPr>
        <w:t>（</w:t>
      </w:r>
      <w:r>
        <w:rPr>
          <w:rStyle w:val="30"/>
          <w:rFonts w:ascii="Calibri" w:hAnsi="Calibri" w:eastAsia="仿宋_GB2312" w:cs="Times New Roman"/>
          <w:color w:val="auto"/>
          <w:kern w:val="2"/>
          <w:u w:val="single"/>
        </w:rPr>
        <w:t>1</w:t>
      </w:r>
      <w:r>
        <w:rPr>
          <w:rStyle w:val="30"/>
          <w:rFonts w:hint="eastAsia" w:ascii="仿宋_GB2312" w:hAnsi="Calibri" w:eastAsia="仿宋_GB2312" w:cs="Times New Roman"/>
          <w:color w:val="auto"/>
          <w:kern w:val="2"/>
          <w:u w:val="single"/>
        </w:rPr>
        <w:t>）合同协议书、（</w:t>
      </w:r>
      <w:r>
        <w:rPr>
          <w:rStyle w:val="30"/>
          <w:rFonts w:ascii="Calibri" w:hAnsi="Calibri" w:eastAsia="仿宋_GB2312" w:cs="Times New Roman"/>
          <w:color w:val="auto"/>
          <w:kern w:val="2"/>
          <w:u w:val="single"/>
        </w:rPr>
        <w:t>2</w:t>
      </w:r>
      <w:r>
        <w:rPr>
          <w:rStyle w:val="30"/>
          <w:rFonts w:hint="eastAsia" w:ascii="仿宋_GB2312" w:hAnsi="Calibri" w:eastAsia="仿宋_GB2312" w:cs="Times New Roman"/>
          <w:color w:val="auto"/>
          <w:kern w:val="2"/>
          <w:u w:val="single"/>
        </w:rPr>
        <w:t>）</w:t>
      </w:r>
      <w:r>
        <w:rPr>
          <w:rStyle w:val="30"/>
          <w:rFonts w:hint="eastAsia" w:ascii="仿宋_GB2312" w:eastAsia="仿宋_GB2312" w:cs="Times New Roman"/>
          <w:color w:val="auto"/>
          <w:kern w:val="2"/>
          <w:u w:val="single"/>
          <w:lang w:val="en-US" w:eastAsia="zh-CN"/>
        </w:rPr>
        <w:t>成交</w:t>
      </w:r>
      <w:r>
        <w:rPr>
          <w:rStyle w:val="30"/>
          <w:rFonts w:hint="eastAsia" w:ascii="仿宋_GB2312" w:hAnsi="Calibri" w:eastAsia="仿宋_GB2312" w:cs="Times New Roman"/>
          <w:color w:val="auto"/>
          <w:kern w:val="2"/>
          <w:u w:val="single"/>
        </w:rPr>
        <w:t>通知书、（</w:t>
      </w:r>
      <w:r>
        <w:rPr>
          <w:rStyle w:val="30"/>
          <w:rFonts w:ascii="Calibri" w:hAnsi="Calibri" w:eastAsia="仿宋_GB2312" w:cs="Times New Roman"/>
          <w:color w:val="auto"/>
          <w:kern w:val="2"/>
          <w:u w:val="single"/>
        </w:rPr>
        <w:t>3</w:t>
      </w:r>
      <w:r>
        <w:rPr>
          <w:rStyle w:val="30"/>
          <w:rFonts w:hint="eastAsia" w:ascii="仿宋_GB2312" w:hAnsi="Calibri" w:eastAsia="仿宋_GB2312" w:cs="Times New Roman"/>
          <w:color w:val="auto"/>
          <w:kern w:val="2"/>
          <w:u w:val="single"/>
        </w:rPr>
        <w:t>）</w:t>
      </w:r>
      <w:r>
        <w:rPr>
          <w:rStyle w:val="30"/>
          <w:rFonts w:hint="eastAsia" w:ascii="仿宋_GB2312" w:eastAsia="仿宋_GB2312" w:cs="Times New Roman"/>
          <w:color w:val="auto"/>
          <w:kern w:val="2"/>
          <w:u w:val="single"/>
          <w:lang w:val="en-US" w:eastAsia="zh-CN"/>
        </w:rPr>
        <w:t>响应</w:t>
      </w:r>
      <w:r>
        <w:rPr>
          <w:rStyle w:val="30"/>
          <w:rFonts w:hint="eastAsia" w:ascii="仿宋_GB2312" w:hAnsi="Calibri" w:eastAsia="仿宋_GB2312" w:cs="Times New Roman"/>
          <w:color w:val="auto"/>
          <w:kern w:val="2"/>
          <w:u w:val="single"/>
        </w:rPr>
        <w:t>函及其附录、（</w:t>
      </w:r>
      <w:r>
        <w:rPr>
          <w:rStyle w:val="30"/>
          <w:rFonts w:ascii="Calibri" w:hAnsi="Calibri" w:eastAsia="仿宋_GB2312" w:cs="Times New Roman"/>
          <w:color w:val="auto"/>
          <w:kern w:val="2"/>
          <w:u w:val="single"/>
        </w:rPr>
        <w:t>4</w:t>
      </w:r>
      <w:r>
        <w:rPr>
          <w:rStyle w:val="30"/>
          <w:rFonts w:hint="eastAsia" w:ascii="仿宋_GB2312" w:hAnsi="Calibri" w:eastAsia="仿宋_GB2312" w:cs="Times New Roman"/>
          <w:color w:val="auto"/>
          <w:kern w:val="2"/>
          <w:u w:val="single"/>
        </w:rPr>
        <w:t>）专用合同条款及其附件、（</w:t>
      </w:r>
      <w:r>
        <w:rPr>
          <w:rStyle w:val="30"/>
          <w:rFonts w:ascii="Calibri" w:hAnsi="Calibri" w:eastAsia="仿宋_GB2312" w:cs="Times New Roman"/>
          <w:color w:val="auto"/>
          <w:kern w:val="2"/>
          <w:u w:val="single"/>
        </w:rPr>
        <w:t>5</w:t>
      </w:r>
      <w:r>
        <w:rPr>
          <w:rStyle w:val="30"/>
          <w:rFonts w:hint="eastAsia" w:ascii="仿宋_GB2312" w:hAnsi="Calibri" w:eastAsia="仿宋_GB2312" w:cs="Times New Roman"/>
          <w:color w:val="auto"/>
          <w:kern w:val="2"/>
          <w:u w:val="single"/>
        </w:rPr>
        <w:t>）通用合同条款、（</w:t>
      </w:r>
      <w:r>
        <w:rPr>
          <w:rStyle w:val="30"/>
          <w:rFonts w:ascii="Calibri" w:hAnsi="Calibri" w:eastAsia="仿宋_GB2312" w:cs="Times New Roman"/>
          <w:color w:val="auto"/>
          <w:kern w:val="2"/>
          <w:u w:val="single"/>
        </w:rPr>
        <w:t>6</w:t>
      </w:r>
      <w:r>
        <w:rPr>
          <w:rStyle w:val="30"/>
          <w:rFonts w:hint="eastAsia" w:ascii="仿宋_GB2312" w:hAnsi="Calibri" w:eastAsia="仿宋_GB2312" w:cs="Times New Roman"/>
          <w:color w:val="auto"/>
          <w:kern w:val="2"/>
          <w:u w:val="single"/>
        </w:rPr>
        <w:t>）技术标准和要求、（</w:t>
      </w:r>
      <w:r>
        <w:rPr>
          <w:rStyle w:val="30"/>
          <w:rFonts w:ascii="Calibri" w:hAnsi="Calibri" w:eastAsia="仿宋_GB2312" w:cs="Times New Roman"/>
          <w:color w:val="auto"/>
          <w:kern w:val="2"/>
          <w:u w:val="single"/>
        </w:rPr>
        <w:t>7</w:t>
      </w:r>
      <w:r>
        <w:rPr>
          <w:rStyle w:val="30"/>
          <w:rFonts w:hint="eastAsia" w:ascii="仿宋_GB2312" w:hAnsi="Calibri" w:eastAsia="仿宋_GB2312" w:cs="Times New Roman"/>
          <w:color w:val="auto"/>
          <w:kern w:val="2"/>
          <w:u w:val="single"/>
        </w:rPr>
        <w:t>）图纸、（</w:t>
      </w:r>
      <w:r>
        <w:rPr>
          <w:rStyle w:val="30"/>
          <w:rFonts w:ascii="Calibri" w:hAnsi="Calibri" w:eastAsia="仿宋_GB2312" w:cs="Times New Roman"/>
          <w:color w:val="auto"/>
          <w:kern w:val="2"/>
          <w:u w:val="single"/>
        </w:rPr>
        <w:t>8</w:t>
      </w:r>
      <w:r>
        <w:rPr>
          <w:rStyle w:val="30"/>
          <w:rFonts w:hint="eastAsia" w:ascii="仿宋_GB2312" w:hAnsi="Calibri" w:eastAsia="仿宋_GB2312" w:cs="Times New Roman"/>
          <w:color w:val="auto"/>
          <w:kern w:val="2"/>
          <w:u w:val="single"/>
        </w:rPr>
        <w:t>）已标价的工程量清单（</w:t>
      </w:r>
      <w:r>
        <w:rPr>
          <w:rStyle w:val="30"/>
          <w:rFonts w:hint="eastAsia" w:ascii="Calibri" w:hAnsi="Calibri" w:eastAsia="仿宋_GB2312" w:cs="Times New Roman"/>
          <w:color w:val="auto"/>
          <w:kern w:val="2"/>
          <w:u w:val="single"/>
        </w:rPr>
        <w:t>9</w:t>
      </w:r>
      <w:r>
        <w:rPr>
          <w:rStyle w:val="30"/>
          <w:rFonts w:hint="eastAsia" w:ascii="仿宋_GB2312" w:hAnsi="Calibri" w:eastAsia="仿宋_GB2312" w:cs="Times New Roman"/>
          <w:color w:val="auto"/>
          <w:kern w:val="2"/>
          <w:u w:val="single"/>
        </w:rPr>
        <w:t>）其他合同文件。</w:t>
      </w:r>
    </w:p>
    <w:p w14:paraId="3BE06D71">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1.6 </w:t>
      </w:r>
      <w:r>
        <w:rPr>
          <w:rStyle w:val="30"/>
          <w:rFonts w:hint="eastAsia" w:ascii="黑体" w:hAnsi="黑体" w:eastAsia="黑体" w:cs="Times New Roman"/>
          <w:color w:val="auto"/>
          <w:kern w:val="2"/>
        </w:rPr>
        <w:t>图纸和承包人文件</w:t>
      </w:r>
      <w:r>
        <w:rPr>
          <w:rStyle w:val="30"/>
          <w:rFonts w:ascii="Calibri" w:hAnsi="Calibri" w:eastAsia="黑体" w:cs="Times New Roman"/>
          <w:color w:val="auto"/>
          <w:kern w:val="2"/>
        </w:rPr>
        <w:tab/>
      </w:r>
    </w:p>
    <w:p w14:paraId="18BBC573">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1.6.1 </w:t>
      </w:r>
      <w:r>
        <w:rPr>
          <w:rStyle w:val="30"/>
          <w:rFonts w:hint="eastAsia" w:ascii="仿宋_GB2312" w:hAnsi="Calibri" w:eastAsia="仿宋_GB2312" w:cs="Times New Roman"/>
          <w:color w:val="auto"/>
          <w:kern w:val="2"/>
        </w:rPr>
        <w:t>图纸的提供</w:t>
      </w:r>
    </w:p>
    <w:p w14:paraId="011DC43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发包人向承包人提供图纸的期限：</w:t>
      </w:r>
      <w:r>
        <w:rPr>
          <w:rStyle w:val="30"/>
          <w:rFonts w:hint="eastAsia" w:ascii="仿宋_GB2312" w:hAnsi="Calibri" w:eastAsia="仿宋_GB2312" w:cs="Times New Roman"/>
          <w:color w:val="auto"/>
          <w:kern w:val="2"/>
          <w:u w:val="single"/>
        </w:rPr>
        <w:t>合同签订并收到承包人履约保证金</w:t>
      </w:r>
      <w:r>
        <w:rPr>
          <w:rStyle w:val="30"/>
          <w:rFonts w:ascii="Calibri" w:hAnsi="Calibri" w:eastAsia="仿宋_GB2312" w:cs="Times New Roman"/>
          <w:color w:val="auto"/>
          <w:kern w:val="2"/>
          <w:u w:val="single"/>
        </w:rPr>
        <w:t>10</w:t>
      </w:r>
      <w:r>
        <w:rPr>
          <w:rStyle w:val="30"/>
          <w:rFonts w:hint="eastAsia" w:ascii="仿宋_GB2312" w:hAnsi="Calibri" w:eastAsia="仿宋_GB2312" w:cs="Times New Roman"/>
          <w:color w:val="auto"/>
          <w:kern w:val="2"/>
          <w:u w:val="single"/>
        </w:rPr>
        <w:t>天内；</w:t>
      </w:r>
    </w:p>
    <w:p w14:paraId="0C14204B">
      <w:pPr>
        <w:pStyle w:val="79"/>
        <w:spacing w:line="320" w:lineRule="exact"/>
        <w:ind w:firstLine="420" w:firstLineChars="200"/>
        <w:rPr>
          <w:rStyle w:val="30"/>
          <w:rFonts w:hint="eastAsia" w:ascii="Calibri" w:hAnsi="Calibri" w:eastAsia="仿宋_GB2312" w:cs="Times New Roman"/>
          <w:color w:val="auto"/>
          <w:kern w:val="2"/>
        </w:rPr>
      </w:pPr>
      <w:r>
        <w:rPr>
          <w:rStyle w:val="30"/>
          <w:rFonts w:hint="eastAsia" w:ascii="仿宋_GB2312" w:hAnsi="Calibri" w:eastAsia="仿宋_GB2312" w:cs="Times New Roman"/>
          <w:color w:val="auto"/>
          <w:kern w:val="2"/>
        </w:rPr>
        <w:t>发包人向承包人提供图纸的数量：</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套，承包人需要增加图纸份数，</w:t>
      </w:r>
      <w:r>
        <w:rPr>
          <w:rStyle w:val="30"/>
          <w:rFonts w:ascii="Calibri" w:hAnsi="Calibri" w:cs="Times New Roman"/>
          <w:color w:val="auto"/>
          <w:kern w:val="2"/>
        </w:rPr>
        <w:t xml:space="preserve"> </w:t>
      </w:r>
      <w:r>
        <w:rPr>
          <w:rStyle w:val="30"/>
          <w:rFonts w:ascii="Calibri" w:hAnsi="Calibri" w:cs="Times New Roman"/>
          <w:color w:val="auto"/>
          <w:kern w:val="2"/>
          <w:u w:val="single"/>
        </w:rPr>
        <w:t xml:space="preserve">    </w:t>
      </w:r>
      <w:r>
        <w:rPr>
          <w:rStyle w:val="30"/>
          <w:rFonts w:hint="eastAsia" w:ascii="宋体" w:hAnsi="宋体" w:cs="Times New Roman"/>
          <w:color w:val="auto"/>
          <w:kern w:val="2"/>
          <w:u w:val="single"/>
        </w:rPr>
        <w:t>费用由承包人承担</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3EC3B17D">
      <w:pPr>
        <w:pStyle w:val="79"/>
        <w:spacing w:line="320" w:lineRule="exact"/>
        <w:ind w:firstLine="420" w:firstLine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发包人向承包人提供图纸的内容：</w:t>
      </w:r>
      <w:r>
        <w:rPr>
          <w:rStyle w:val="30"/>
          <w:rFonts w:hint="eastAsia" w:ascii="宋体" w:hAnsi="宋体" w:cs="Times New Roman"/>
          <w:color w:val="auto"/>
          <w:kern w:val="2"/>
          <w:u w:val="single"/>
        </w:rPr>
        <w:t>施工图</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6F2407C0">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1.6.4 </w:t>
      </w:r>
      <w:r>
        <w:rPr>
          <w:rStyle w:val="30"/>
          <w:rFonts w:hint="eastAsia" w:ascii="仿宋_GB2312" w:hAnsi="Calibri" w:eastAsia="仿宋_GB2312" w:cs="Times New Roman"/>
          <w:color w:val="auto"/>
          <w:kern w:val="2"/>
        </w:rPr>
        <w:t>承包人文件</w:t>
      </w:r>
    </w:p>
    <w:p w14:paraId="68E8A465">
      <w:pPr>
        <w:pStyle w:val="79"/>
        <w:spacing w:line="320" w:lineRule="exact"/>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需要由承包人提供的文件包括：</w:t>
      </w:r>
      <w:r>
        <w:rPr>
          <w:rStyle w:val="30"/>
          <w:rFonts w:hint="eastAsia" w:ascii="仿宋_GB2312" w:hAnsi="Calibri" w:eastAsia="仿宋_GB2312" w:cs="Times New Roman"/>
          <w:color w:val="auto"/>
          <w:kern w:val="2"/>
          <w:u w:val="single"/>
        </w:rPr>
        <w:t>施工组织设计、施工技术措施及各项资源需要</w:t>
      </w:r>
      <w:r>
        <w:rPr>
          <w:rStyle w:val="30"/>
          <w:rFonts w:hint="eastAsia" w:ascii="宋体" w:hAnsi="宋体" w:cs="Times New Roman"/>
          <w:color w:val="auto"/>
          <w:kern w:val="2"/>
          <w:u w:val="single"/>
        </w:rPr>
        <w:t>量的计划；</w:t>
      </w:r>
      <w:r>
        <w:rPr>
          <w:rStyle w:val="30"/>
          <w:rFonts w:ascii="Calibri" w:hAnsi="Calibri" w:cs="Times New Roman"/>
          <w:color w:val="auto"/>
          <w:kern w:val="2"/>
          <w:u w:val="single"/>
        </w:rPr>
        <w:t xml:space="preserve">  </w:t>
      </w:r>
    </w:p>
    <w:p w14:paraId="2770136B">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承包人提供的文件的期限为：</w:t>
      </w:r>
      <w:r>
        <w:rPr>
          <w:rStyle w:val="30"/>
          <w:rFonts w:hint="eastAsia" w:ascii="Calibri" w:hAnsi="Calibri" w:eastAsia="仿宋_GB2312" w:cs="Times New Roman"/>
          <w:color w:val="auto"/>
          <w:kern w:val="2"/>
          <w:u w:val="single"/>
        </w:rPr>
        <w:t>接到中标通知书后三天内</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5C464B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承包人提供的文件的数量为：</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5份</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2897325">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承包人提供的文件的形式为：</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纸质</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9D0002D">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发包人审批承包人文件的期限：</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在承包人提供施工组织设计后</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天内审定完毕</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w:t>
      </w:r>
    </w:p>
    <w:p w14:paraId="58BFAB37">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1.6.5 </w:t>
      </w:r>
      <w:r>
        <w:rPr>
          <w:rStyle w:val="30"/>
          <w:rFonts w:hint="eastAsia" w:ascii="仿宋_GB2312" w:hAnsi="Calibri" w:eastAsia="仿宋_GB2312" w:cs="Times New Roman"/>
          <w:color w:val="auto"/>
          <w:kern w:val="2"/>
        </w:rPr>
        <w:t>现场图纸准备</w:t>
      </w:r>
    </w:p>
    <w:p w14:paraId="4ED4CC00">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关于现场图纸准备的约定：</w:t>
      </w:r>
      <w:r>
        <w:rPr>
          <w:rStyle w:val="30"/>
          <w:rFonts w:ascii="Calibri" w:hAnsi="Calibri" w:eastAsia="仿宋_GB2312" w:cs="Times New Roman"/>
          <w:color w:val="auto"/>
          <w:kern w:val="2"/>
          <w:u w:val="single"/>
        </w:rPr>
        <w:t xml:space="preserve">  </w:t>
      </w:r>
      <w:r>
        <w:rPr>
          <w:rStyle w:val="30"/>
          <w:rFonts w:ascii="宋体" w:hAnsi="宋体" w:cs="宋体"/>
          <w:color w:val="auto"/>
          <w:kern w:val="2"/>
          <w:u w:val="single"/>
        </w:rPr>
        <w:sym w:font="宋体" w:char="E5E5"/>
      </w:r>
      <w:r>
        <w:rPr>
          <w:rStyle w:val="30"/>
          <w:rFonts w:hint="eastAsia" w:ascii="仿宋_GB2312" w:hAnsi="Calibri" w:eastAsia="仿宋_GB2312" w:cs="Times New Roman"/>
          <w:color w:val="auto"/>
          <w:kern w:val="2"/>
          <w:u w:val="single"/>
        </w:rPr>
        <w:t>按通用条款执行</w:t>
      </w:r>
      <w:r>
        <w:rPr>
          <w:rStyle w:val="30"/>
          <w:rFonts w:ascii="Calibri" w:hAnsi="Calibri" w:eastAsia="仿宋_GB2312" w:cs="Times New Roman"/>
          <w:color w:val="auto"/>
          <w:kern w:val="2"/>
          <w:u w:val="single"/>
        </w:rPr>
        <w:sym w:font="Calibri" w:char="E5E5"/>
      </w:r>
      <w:r>
        <w:rPr>
          <w:rStyle w:val="30"/>
          <w:rFonts w:hint="eastAsia" w:ascii="Calibri" w:hAnsi="Calibri" w:eastAsia="仿宋_GB2312" w:cs="Times New Roman"/>
          <w:color w:val="auto"/>
          <w:kern w:val="2"/>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w:t>
      </w:r>
    </w:p>
    <w:p w14:paraId="664F2D96">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1.7 </w:t>
      </w:r>
      <w:r>
        <w:rPr>
          <w:rStyle w:val="30"/>
          <w:rFonts w:hint="eastAsia" w:ascii="黑体" w:hAnsi="黑体" w:eastAsia="黑体" w:cs="Times New Roman"/>
          <w:color w:val="auto"/>
          <w:kern w:val="2"/>
        </w:rPr>
        <w:t>联络</w:t>
      </w:r>
    </w:p>
    <w:p w14:paraId="791823CE">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1.7.1</w:t>
      </w:r>
      <w:r>
        <w:rPr>
          <w:rStyle w:val="30"/>
          <w:rFonts w:hint="eastAsia" w:ascii="仿宋_GB2312" w:hAnsi="Calibri" w:eastAsia="仿宋_GB2312" w:cs="Times New Roman"/>
          <w:color w:val="auto"/>
        </w:rPr>
        <w:t>发包人和承包人应当在</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10</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天内将与合同有关的通知、批准、证明、证书、指示、指令、要求、请求、同意、意见、确定和决定等书面函件送达对方当事人。</w:t>
      </w:r>
    </w:p>
    <w:p w14:paraId="10C5B984">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1.7.2 </w:t>
      </w:r>
      <w:r>
        <w:rPr>
          <w:rStyle w:val="30"/>
          <w:rFonts w:hint="eastAsia" w:ascii="仿宋_GB2312" w:hAnsi="Calibri" w:eastAsia="仿宋_GB2312" w:cs="Times New Roman"/>
          <w:color w:val="auto"/>
        </w:rPr>
        <w:t>发包人接收文件的地点：</w:t>
      </w:r>
      <w:r>
        <w:rPr>
          <w:rStyle w:val="30"/>
          <w:rFonts w:ascii="宋体" w:hAnsi="宋体" w:cs="宋体"/>
          <w:color w:val="auto"/>
          <w:kern w:val="2"/>
          <w:u w:val="single"/>
        </w:rPr>
        <w:t xml:space="preserve"> </w:t>
      </w:r>
      <w:r>
        <w:rPr>
          <w:rStyle w:val="30"/>
          <w:rFonts w:hint="eastAsia" w:ascii="宋体" w:hAnsi="宋体" w:cs="宋体"/>
          <w:color w:val="auto"/>
          <w:kern w:val="2"/>
          <w:u w:val="single"/>
        </w:rPr>
        <w:t>施工现场发包人办公室</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0360B60D">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发包人指定的接收人为：</w:t>
      </w:r>
      <w:r>
        <w:rPr>
          <w:rStyle w:val="30"/>
          <w:rFonts w:ascii="宋体" w:hAnsi="宋体" w:cs="Times New Roman"/>
          <w:color w:val="auto"/>
          <w:kern w:val="2"/>
          <w:u w:val="single"/>
        </w:rPr>
        <w:t xml:space="preserve">  </w:t>
      </w:r>
      <w:r>
        <w:rPr>
          <w:rStyle w:val="30"/>
          <w:rFonts w:hint="eastAsia" w:ascii="宋体" w:hAnsi="宋体" w:cs="Times New Roman"/>
          <w:color w:val="auto"/>
          <w:kern w:val="2"/>
          <w:u w:val="single"/>
        </w:rPr>
        <w:t>合同约定发包人代表</w:t>
      </w:r>
      <w:r>
        <w:rPr>
          <w:rStyle w:val="30"/>
          <w:rFonts w:ascii="宋体" w:hAnsi="宋体" w:cs="Times New Roman"/>
          <w:color w:val="auto"/>
          <w:kern w:val="2"/>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0C7E5A48">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承包人接收文件的地点：</w:t>
      </w:r>
      <w:r>
        <w:rPr>
          <w:rStyle w:val="30"/>
          <w:rFonts w:ascii="宋体" w:hAnsi="宋体" w:cs="Times New Roman"/>
          <w:color w:val="auto"/>
          <w:kern w:val="2"/>
          <w:u w:val="single"/>
        </w:rPr>
        <w:t xml:space="preserve"> </w:t>
      </w:r>
      <w:r>
        <w:rPr>
          <w:rStyle w:val="30"/>
          <w:rFonts w:hint="eastAsia" w:ascii="宋体" w:hAnsi="宋体" w:cs="Times New Roman"/>
          <w:color w:val="auto"/>
          <w:kern w:val="2"/>
          <w:u w:val="single"/>
        </w:rPr>
        <w:t>施工现场承包人办公室</w:t>
      </w:r>
      <w:r>
        <w:rPr>
          <w:rStyle w:val="30"/>
          <w:rFonts w:ascii="宋体" w:hAnsi="宋体" w:cs="Times New Roman"/>
          <w:color w:val="auto"/>
          <w:kern w:val="2"/>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2B659092">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承包人指定的接收人为：</w:t>
      </w:r>
      <w:r>
        <w:rPr>
          <w:rStyle w:val="30"/>
          <w:rFonts w:ascii="宋体" w:hAnsi="宋体" w:cs="Times New Roman"/>
          <w:color w:val="auto"/>
          <w:kern w:val="2"/>
          <w:u w:val="single"/>
        </w:rPr>
        <w:t xml:space="preserve">    </w:t>
      </w:r>
      <w:r>
        <w:rPr>
          <w:rStyle w:val="30"/>
          <w:rFonts w:hint="eastAsia" w:ascii="宋体" w:hAnsi="宋体" w:cs="Times New Roman"/>
          <w:color w:val="auto"/>
          <w:kern w:val="2"/>
          <w:u w:val="single"/>
        </w:rPr>
        <w:t>项目经理</w:t>
      </w:r>
      <w:r>
        <w:rPr>
          <w:rStyle w:val="30"/>
          <w:rFonts w:ascii="宋体" w:hAnsi="宋体" w:cs="Times New Roman"/>
          <w:color w:val="auto"/>
          <w:kern w:val="2"/>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3576351D">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监理人接收文件的地点：</w:t>
      </w:r>
      <w:r>
        <w:rPr>
          <w:rStyle w:val="30"/>
          <w:rFonts w:ascii="宋体" w:hAnsi="宋体" w:cs="Times New Roman"/>
          <w:color w:val="auto"/>
          <w:kern w:val="2"/>
          <w:u w:val="single"/>
        </w:rPr>
        <w:t xml:space="preserve"> </w:t>
      </w:r>
      <w:r>
        <w:rPr>
          <w:rStyle w:val="30"/>
          <w:rFonts w:hint="eastAsia" w:ascii="宋体" w:hAnsi="宋体" w:cs="Times New Roman"/>
          <w:color w:val="auto"/>
          <w:kern w:val="2"/>
          <w:u w:val="single"/>
        </w:rPr>
        <w:t>施工现场监理办公室</w:t>
      </w:r>
      <w:r>
        <w:rPr>
          <w:rStyle w:val="30"/>
          <w:rFonts w:ascii="宋体" w:hAnsi="宋体" w:cs="Times New Roman"/>
          <w:color w:val="auto"/>
          <w:kern w:val="2"/>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1508ED4E">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监理人指定的接收人为：</w:t>
      </w:r>
      <w:r>
        <w:rPr>
          <w:rStyle w:val="30"/>
          <w:rFonts w:ascii="宋体" w:hAnsi="宋体" w:cs="Times New Roman"/>
          <w:color w:val="auto"/>
          <w:kern w:val="2"/>
          <w:u w:val="single"/>
        </w:rPr>
        <w:t xml:space="preserve">   </w:t>
      </w:r>
      <w:r>
        <w:rPr>
          <w:rStyle w:val="30"/>
          <w:rFonts w:hint="eastAsia" w:ascii="宋体" w:hAnsi="宋体" w:cs="Times New Roman"/>
          <w:color w:val="auto"/>
          <w:kern w:val="2"/>
          <w:u w:val="single"/>
        </w:rPr>
        <w:t>总监理工程师</w:t>
      </w:r>
      <w:r>
        <w:rPr>
          <w:rStyle w:val="30"/>
          <w:rFonts w:ascii="宋体" w:hAnsi="宋体" w:cs="Times New Roman"/>
          <w:color w:val="auto"/>
          <w:kern w:val="2"/>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777F5B6">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1.10 </w:t>
      </w:r>
      <w:r>
        <w:rPr>
          <w:rStyle w:val="30"/>
          <w:rFonts w:hint="eastAsia" w:ascii="黑体" w:hAnsi="黑体" w:eastAsia="黑体" w:cs="Times New Roman"/>
          <w:color w:val="auto"/>
          <w:kern w:val="2"/>
        </w:rPr>
        <w:t>交通运输</w:t>
      </w:r>
    </w:p>
    <w:p w14:paraId="529B6C0C">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仿宋_GB2312" w:cs="Times New Roman"/>
          <w:color w:val="auto"/>
          <w:kern w:val="2"/>
        </w:rPr>
        <w:t xml:space="preserve">1.10.1 </w:t>
      </w:r>
      <w:r>
        <w:rPr>
          <w:rStyle w:val="30"/>
          <w:rFonts w:hint="eastAsia" w:ascii="仿宋_GB2312" w:hAnsi="Calibri" w:eastAsia="仿宋_GB2312" w:cs="Times New Roman"/>
          <w:color w:val="auto"/>
          <w:kern w:val="2"/>
        </w:rPr>
        <w:t>出入现场的权利</w:t>
      </w:r>
    </w:p>
    <w:p w14:paraId="2D2AACCB">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关于出入现场的权利的约定：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DB13BD6">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1.10.3 </w:t>
      </w:r>
      <w:r>
        <w:rPr>
          <w:rStyle w:val="30"/>
          <w:rFonts w:hint="eastAsia" w:ascii="仿宋_GB2312" w:hAnsi="Calibri" w:eastAsia="仿宋_GB2312" w:cs="Times New Roman"/>
          <w:color w:val="auto"/>
          <w:kern w:val="2"/>
        </w:rPr>
        <w:t>场内交通</w:t>
      </w:r>
    </w:p>
    <w:p w14:paraId="4F36A778">
      <w:pPr>
        <w:pStyle w:val="79"/>
        <w:spacing w:line="320" w:lineRule="exact"/>
        <w:ind w:left="630" w:leftChars="200" w:hanging="210" w:hangingChars="100"/>
        <w:rPr>
          <w:rStyle w:val="30"/>
          <w:rFonts w:ascii="Calibri" w:hAnsi="Calibri" w:eastAsia="仿宋_GB2312" w:cs="Times New Roman"/>
          <w:color w:val="auto"/>
        </w:rPr>
      </w:pPr>
      <w:r>
        <w:rPr>
          <w:rStyle w:val="30"/>
          <w:rFonts w:hint="eastAsia" w:ascii="仿宋_GB2312" w:hAnsi="Calibri" w:eastAsia="仿宋_GB2312" w:cs="Times New Roman"/>
          <w:color w:val="auto"/>
        </w:rPr>
        <w:t>关于场外交通和场内交通的边界的约定：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以现场实际施工条件为准</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597DD41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关于发包人向承包人免费提供满足工程施工需要的场内道路和交通设施的约定：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因承包人原因造成上述道路或交通设施损坏的，承包人负责修复并承担由此增加的费用</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5F35B1CF">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1.10.4</w:t>
      </w:r>
      <w:r>
        <w:rPr>
          <w:rStyle w:val="30"/>
          <w:rFonts w:hint="eastAsia" w:ascii="仿宋_GB2312" w:hAnsi="Calibri" w:eastAsia="仿宋_GB2312" w:cs="Times New Roman"/>
          <w:color w:val="auto"/>
          <w:kern w:val="2"/>
        </w:rPr>
        <w:t>超大件和超重件的运输</w:t>
      </w:r>
    </w:p>
    <w:p w14:paraId="7C91BAC0">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运输超大件或超重件所需的道路和桥梁临时加固改造费用和其他有关费用由</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u w:val="single"/>
        </w:rPr>
        <w:t>承包人</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承担。</w:t>
      </w:r>
    </w:p>
    <w:p w14:paraId="149955D0">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1.11 </w:t>
      </w:r>
      <w:r>
        <w:rPr>
          <w:rStyle w:val="30"/>
          <w:rFonts w:hint="eastAsia" w:ascii="黑体" w:hAnsi="黑体" w:eastAsia="黑体" w:cs="Times New Roman"/>
          <w:color w:val="auto"/>
          <w:kern w:val="2"/>
        </w:rPr>
        <w:t>知识产权</w:t>
      </w:r>
    </w:p>
    <w:p w14:paraId="3B40D7A9">
      <w:pPr>
        <w:pStyle w:val="79"/>
        <w:spacing w:line="320" w:lineRule="exact"/>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1.11.1</w:t>
      </w:r>
      <w:r>
        <w:rPr>
          <w:rStyle w:val="30"/>
          <w:rFonts w:hint="eastAsia" w:ascii="仿宋_GB2312" w:hAnsi="Calibri" w:eastAsia="仿宋_GB2312" w:cs="Times New Roman"/>
          <w:color w:val="auto"/>
          <w:kern w:val="2"/>
        </w:rPr>
        <w:t>关于发包人提供给承包人的图纸、发包人为实施工程自行编制或委托编制的技术规范以及反映发包人关于合同要求或其他类似性质的文件的著作权的归属：</w:t>
      </w:r>
      <w:r>
        <w:rPr>
          <w:rStyle w:val="30"/>
          <w:rFonts w:hint="eastAsia" w:ascii="仿宋_GB2312" w:hAnsi="Calibri" w:eastAsia="仿宋_GB2312" w:cs="Times New Roman"/>
          <w:color w:val="auto"/>
          <w:kern w:val="2"/>
          <w:u w:val="single"/>
        </w:rPr>
        <w:t>发包人</w:t>
      </w:r>
      <w:r>
        <w:rPr>
          <w:rStyle w:val="30"/>
          <w:rFonts w:ascii="Calibri" w:hAnsi="Calibri" w:cs="Times New Roman"/>
          <w:color w:val="auto"/>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4329CC7">
      <w:pPr>
        <w:pStyle w:val="79"/>
        <w:spacing w:line="360" w:lineRule="exact"/>
        <w:ind w:firstLine="420" w:firstLine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关于发包人提供的上述文件的使用限制的要求：</w:t>
      </w:r>
      <w:r>
        <w:rPr>
          <w:rStyle w:val="30"/>
          <w:rFonts w:hint="eastAsia" w:ascii="仿宋_GB2312" w:hAnsi="Calibri" w:eastAsia="仿宋_GB2312" w:cs="Times New Roman"/>
          <w:color w:val="auto"/>
          <w:kern w:val="2"/>
          <w:u w:val="single"/>
        </w:rPr>
        <w:t>未经发包人同意，不得向第三方扩散，不得用于本合同以外的工程</w:t>
      </w:r>
      <w:r>
        <w:rPr>
          <w:rStyle w:val="30"/>
          <w:rFonts w:ascii="Calibri" w:hAnsi="Calibri" w:eastAsia="仿宋_GB2312" w:cs="Times New Roman"/>
          <w:color w:val="auto"/>
          <w:kern w:val="2"/>
          <w:u w:val="single"/>
        </w:rPr>
        <w:t xml:space="preserve">  </w:t>
      </w:r>
      <w:r>
        <w:rPr>
          <w:rStyle w:val="30"/>
          <w:rFonts w:ascii="Calibri" w:hAnsi="Calibri" w:cs="Times New Roman"/>
          <w:color w:val="auto"/>
          <w:u w:val="single"/>
        </w:rPr>
        <w:t xml:space="preserve">   </w:t>
      </w:r>
      <w:r>
        <w:rPr>
          <w:rStyle w:val="30"/>
          <w:rFonts w:hint="eastAsia" w:ascii="宋体" w:hAnsi="宋体" w:cs="Times New Roman"/>
          <w:color w:val="auto"/>
        </w:rPr>
        <w:t>。</w:t>
      </w:r>
    </w:p>
    <w:p w14:paraId="1D2D84DF">
      <w:pPr>
        <w:pStyle w:val="79"/>
        <w:spacing w:line="320" w:lineRule="exact"/>
        <w:ind w:firstLine="420" w:firstLineChars="200"/>
        <w:rPr>
          <w:rStyle w:val="30"/>
          <w:rFonts w:ascii="Calibri" w:hAnsi="Calibri" w:cs="Times New Roman"/>
          <w:color w:val="auto"/>
          <w:u w:val="single"/>
        </w:rPr>
      </w:pPr>
      <w:r>
        <w:rPr>
          <w:rStyle w:val="30"/>
          <w:rFonts w:ascii="Calibri" w:hAnsi="Calibri" w:eastAsia="仿宋_GB2312" w:cs="Times New Roman"/>
          <w:color w:val="auto"/>
          <w:kern w:val="2"/>
        </w:rPr>
        <w:t xml:space="preserve">1.11.2 </w:t>
      </w:r>
      <w:r>
        <w:rPr>
          <w:rStyle w:val="30"/>
          <w:rFonts w:hint="eastAsia" w:ascii="仿宋_GB2312" w:hAnsi="Calibri" w:eastAsia="仿宋_GB2312" w:cs="Times New Roman"/>
          <w:color w:val="auto"/>
          <w:kern w:val="2"/>
        </w:rPr>
        <w:t>关于承包人为实施工程所编制文件的著作权的归属：</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发包人</w:t>
      </w:r>
      <w:r>
        <w:rPr>
          <w:rStyle w:val="30"/>
          <w:rFonts w:ascii="Calibri" w:hAnsi="Calibri" w:cs="Times New Roman"/>
          <w:color w:val="auto"/>
          <w:u w:val="single"/>
        </w:rPr>
        <w:t xml:space="preserve">  </w:t>
      </w:r>
    </w:p>
    <w:p w14:paraId="380806B0">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关于承包人提供的上述文件的使用限制的要求：</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按通用条款规定执行</w:t>
      </w:r>
      <w:r>
        <w:rPr>
          <w:rStyle w:val="30"/>
          <w:rFonts w:ascii="Calibri" w:hAnsi="Calibri" w:eastAsia="仿宋_GB2312" w:cs="Times New Roman"/>
          <w:color w:val="auto"/>
          <w:kern w:val="2"/>
          <w:u w:val="single"/>
        </w:rPr>
        <w:t xml:space="preserve"> </w:t>
      </w:r>
    </w:p>
    <w:p w14:paraId="4907BA17">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kern w:val="2"/>
        </w:rPr>
        <w:t xml:space="preserve">1.11.4 </w:t>
      </w:r>
      <w:r>
        <w:rPr>
          <w:rStyle w:val="30"/>
          <w:rFonts w:hint="eastAsia" w:ascii="仿宋_GB2312" w:hAnsi="Calibri" w:eastAsia="仿宋_GB2312" w:cs="Times New Roman"/>
          <w:color w:val="auto"/>
          <w:kern w:val="2"/>
        </w:rPr>
        <w:t>承包人在施工过程中所采用的专利、专有技术、技术秘密的使用费的承担方式：</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承包人自行承担</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w:t>
      </w:r>
    </w:p>
    <w:p w14:paraId="7D2989CF">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1.13</w:t>
      </w:r>
      <w:r>
        <w:rPr>
          <w:rStyle w:val="30"/>
          <w:rFonts w:hint="eastAsia" w:ascii="黑体" w:hAnsi="黑体" w:eastAsia="黑体" w:cs="Times New Roman"/>
          <w:color w:val="auto"/>
          <w:kern w:val="2"/>
        </w:rPr>
        <w:t>工程量清单错误的修正</w:t>
      </w:r>
    </w:p>
    <w:p w14:paraId="2EE9A6D0">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出现工程量清单错误时，是否调整合同价格：</w:t>
      </w:r>
      <w:r>
        <w:rPr>
          <w:rStyle w:val="30"/>
          <w:rFonts w:hint="eastAsia" w:ascii="仿宋" w:hAnsi="仿宋" w:eastAsia="仿宋" w:cs="Times New Roman"/>
          <w:b/>
          <w:bCs/>
          <w:color w:val="auto"/>
          <w:u w:val="single"/>
        </w:rPr>
        <w:t xml:space="preserve">调整合同价格   </w:t>
      </w:r>
      <w:r>
        <w:rPr>
          <w:rStyle w:val="30"/>
          <w:rFonts w:hint="eastAsia" w:ascii="仿宋_GB2312" w:hAnsi="Calibri" w:eastAsia="仿宋_GB2312" w:cs="Times New Roman"/>
          <w:color w:val="auto"/>
        </w:rPr>
        <w:t>。</w:t>
      </w:r>
    </w:p>
    <w:p w14:paraId="425BF9C6">
      <w:pPr>
        <w:pStyle w:val="79"/>
        <w:spacing w:line="320" w:lineRule="exact"/>
        <w:ind w:firstLine="403"/>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调整合同价格的工程量偏差范围：</w:t>
      </w:r>
    </w:p>
    <w:p w14:paraId="2987E8A9">
      <w:pPr>
        <w:pStyle w:val="79"/>
        <w:spacing w:line="360" w:lineRule="exact"/>
        <w:ind w:firstLine="508" w:firstLineChars="241"/>
        <w:rPr>
          <w:rStyle w:val="30"/>
          <w:rFonts w:ascii="仿宋" w:hAnsi="仿宋" w:eastAsia="仿宋" w:cs="Times New Roman"/>
          <w:b/>
          <w:bCs/>
          <w:color w:val="auto"/>
          <w:u w:val="single"/>
        </w:rPr>
      </w:pPr>
      <w:r>
        <w:rPr>
          <w:rStyle w:val="30"/>
          <w:rFonts w:hint="eastAsia" w:ascii="仿宋" w:hAnsi="仿宋" w:eastAsia="仿宋" w:cs="Times New Roman"/>
          <w:b/>
          <w:bCs/>
          <w:color w:val="auto"/>
          <w:u w:val="single"/>
        </w:rPr>
        <w:t>①发包人提供的工程量清单项目漏缺项、重复列项；工程变更引起新增或减少清单项目；施工图纸与原</w:t>
      </w:r>
      <w:r>
        <w:rPr>
          <w:rStyle w:val="30"/>
          <w:rFonts w:hint="eastAsia" w:ascii="仿宋" w:hAnsi="仿宋" w:eastAsia="仿宋" w:cs="Times New Roman"/>
          <w:b/>
          <w:bCs/>
          <w:color w:val="auto"/>
          <w:u w:val="single"/>
          <w:lang w:val="en-US" w:eastAsia="zh-CN"/>
        </w:rPr>
        <w:t>招标</w:t>
      </w:r>
      <w:r>
        <w:rPr>
          <w:rStyle w:val="30"/>
          <w:rFonts w:hint="eastAsia" w:ascii="仿宋" w:hAnsi="仿宋" w:eastAsia="仿宋" w:cs="Times New Roman"/>
          <w:b/>
          <w:bCs/>
          <w:color w:val="auto"/>
          <w:u w:val="single"/>
        </w:rPr>
        <w:t>工程量清单的描述不符；工程变更后与原</w:t>
      </w:r>
      <w:r>
        <w:rPr>
          <w:rStyle w:val="30"/>
          <w:rFonts w:hint="eastAsia" w:ascii="仿宋" w:hAnsi="仿宋" w:eastAsia="仿宋" w:cs="Times New Roman"/>
          <w:b/>
          <w:bCs/>
          <w:color w:val="auto"/>
          <w:u w:val="single"/>
          <w:lang w:val="en-US" w:eastAsia="zh-CN"/>
        </w:rPr>
        <w:t>招标</w:t>
      </w:r>
      <w:r>
        <w:rPr>
          <w:rStyle w:val="30"/>
          <w:rFonts w:hint="eastAsia" w:ascii="仿宋" w:hAnsi="仿宋" w:eastAsia="仿宋" w:cs="Times New Roman"/>
          <w:b/>
          <w:bCs/>
          <w:color w:val="auto"/>
          <w:u w:val="single"/>
        </w:rPr>
        <w:t>工程量清单的特征描述不符时，工程量清单项目应调整；</w:t>
      </w:r>
    </w:p>
    <w:p w14:paraId="623A9EC1">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②发包人提供的工程量清单项目工程量有偏差；工程变更引起的工程量的增减时，工程量应调整；</w:t>
      </w:r>
    </w:p>
    <w:p w14:paraId="27E7912C">
      <w:pPr>
        <w:pStyle w:val="106"/>
        <w:spacing w:line="360" w:lineRule="exact"/>
        <w:ind w:firstLine="482" w:firstLineChars="200"/>
        <w:rPr>
          <w:rStyle w:val="30"/>
          <w:rFonts w:hint="eastAsia" w:ascii="仿宋" w:hAnsi="仿宋" w:eastAsia="仿宋" w:cs="Times New Roman"/>
          <w:b/>
          <w:bCs/>
          <w:color w:val="auto"/>
          <w:kern w:val="0"/>
          <w:sz w:val="24"/>
          <w:szCs w:val="24"/>
          <w:u w:val="single"/>
        </w:rPr>
      </w:pPr>
      <w:r>
        <w:rPr>
          <w:rStyle w:val="30"/>
          <w:rFonts w:hint="eastAsia" w:ascii="仿宋" w:hAnsi="仿宋" w:eastAsia="仿宋" w:cs="Times New Roman"/>
          <w:b/>
          <w:bCs/>
          <w:color w:val="auto"/>
          <w:kern w:val="0"/>
          <w:sz w:val="24"/>
          <w:szCs w:val="24"/>
          <w:u w:val="single"/>
        </w:rPr>
        <w:t>③合价金额占合同总价2%及以上的分部分项清单项目，其工程量增减超过本项工程量15%及以上时，或合价金额占合同总价不到2%的分部分项清单项目，但其工程量增减超过本项目工程数量25%及以上，增减工程量单价应调整。</w:t>
      </w:r>
    </w:p>
    <w:p w14:paraId="5098F1BF">
      <w:pPr>
        <w:pStyle w:val="109"/>
        <w:rPr>
          <w:rStyle w:val="30"/>
          <w:rFonts w:hint="eastAsia" w:eastAsia="宋体" w:cs="Times New Roman"/>
          <w:color w:val="auto"/>
          <w:sz w:val="24"/>
          <w:szCs w:val="24"/>
        </w:rPr>
      </w:pPr>
      <w:r>
        <w:rPr>
          <w:rStyle w:val="30"/>
          <w:rFonts w:hint="eastAsia" w:eastAsia="宋体" w:cs="Times New Roman"/>
          <w:color w:val="auto"/>
          <w:sz w:val="24"/>
          <w:szCs w:val="24"/>
        </w:rPr>
        <w:t xml:space="preserve">2. </w:t>
      </w:r>
      <w:r>
        <w:rPr>
          <w:rStyle w:val="30"/>
          <w:rFonts w:hint="eastAsia" w:ascii="宋体" w:hAnsi="宋体" w:eastAsia="宋体" w:cs="Times New Roman"/>
          <w:color w:val="auto"/>
          <w:sz w:val="24"/>
          <w:szCs w:val="24"/>
        </w:rPr>
        <w:t>发包人</w:t>
      </w:r>
    </w:p>
    <w:p w14:paraId="03256696">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2.2 </w:t>
      </w:r>
      <w:r>
        <w:rPr>
          <w:rStyle w:val="30"/>
          <w:rFonts w:hint="eastAsia" w:ascii="黑体" w:hAnsi="黑体" w:eastAsia="黑体" w:cs="Times New Roman"/>
          <w:color w:val="auto"/>
          <w:kern w:val="2"/>
        </w:rPr>
        <w:t>发包人代表</w:t>
      </w:r>
    </w:p>
    <w:p w14:paraId="4C5F221A">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发包人代表：</w:t>
      </w:r>
    </w:p>
    <w:p w14:paraId="1318F327">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姓</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名：</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E04FBB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身份证号：</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9AD3ECA">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职</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务：</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29A06F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联系电话：</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315DF6C">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电子信箱：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14C975DA">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通信地址：</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256352F">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发包人对发包人代表的授权范围如下：</w:t>
      </w:r>
    </w:p>
    <w:p w14:paraId="5B895A94">
      <w:pPr>
        <w:pStyle w:val="79"/>
        <w:spacing w:line="320" w:lineRule="exact"/>
        <w:rPr>
          <w:rStyle w:val="30"/>
          <w:rFonts w:hint="eastAsia" w:ascii="宋体" w:hAnsi="宋体" w:eastAsia="宋体" w:cs="Times New Roman"/>
          <w:color w:val="auto"/>
          <w:kern w:val="2"/>
          <w:u w:val="single"/>
        </w:rPr>
      </w:pPr>
      <w:r>
        <w:rPr>
          <w:rStyle w:val="30"/>
          <w:rFonts w:ascii="宋体" w:hAnsi="宋体" w:cs="宋体"/>
          <w:color w:val="auto"/>
          <w:kern w:val="2"/>
          <w:u w:val="single"/>
        </w:rPr>
        <w:t>1</w:t>
      </w:r>
      <w:r>
        <w:rPr>
          <w:rStyle w:val="30"/>
          <w:rFonts w:hint="eastAsia" w:ascii="宋体" w:hAnsi="宋体" w:eastAsia="宋体" w:cs="宋体"/>
          <w:color w:val="auto"/>
          <w:kern w:val="2"/>
          <w:u w:val="single"/>
        </w:rPr>
        <w:t>、督促监理工程师按照监理合同办事；</w:t>
      </w:r>
      <w:r>
        <w:rPr>
          <w:rStyle w:val="30"/>
          <w:rFonts w:ascii="宋体" w:hAnsi="宋体" w:cs="宋体"/>
          <w:color w:val="auto"/>
          <w:kern w:val="2"/>
          <w:u w:val="single"/>
        </w:rPr>
        <w:t>2</w:t>
      </w:r>
      <w:r>
        <w:rPr>
          <w:rStyle w:val="30"/>
          <w:rFonts w:hint="eastAsia" w:ascii="宋体" w:hAnsi="宋体" w:eastAsia="宋体" w:cs="宋体"/>
          <w:color w:val="auto"/>
          <w:kern w:val="2"/>
          <w:u w:val="single"/>
        </w:rPr>
        <w:t>、协调各有关单位工作；</w:t>
      </w:r>
      <w:r>
        <w:rPr>
          <w:rStyle w:val="30"/>
          <w:rFonts w:hint="eastAsia" w:ascii="宋体" w:hAnsi="宋体" w:cs="Times New Roman"/>
          <w:color w:val="auto"/>
          <w:kern w:val="2"/>
          <w:u w:val="single"/>
        </w:rPr>
        <w:t>3、对工程进度、质量、成本及合同执行情况进行监督和检查，负责设计问题的处理，进行设计变更、联系单及工程进度款签证；4、不可抗力事件发生的确认；5、费用、工期延误索赔的确认。</w:t>
      </w:r>
    </w:p>
    <w:p w14:paraId="4FF4F128">
      <w:pPr>
        <w:pStyle w:val="79"/>
        <w:spacing w:after="120" w:line="320" w:lineRule="exact"/>
        <w:ind w:left="420" w:leftChars="200"/>
        <w:rPr>
          <w:rStyle w:val="30"/>
          <w:rFonts w:hint="eastAsia" w:ascii="Times New Roman" w:hAnsi="Times New Roman" w:eastAsia="黑体" w:cs="Times New Roman"/>
          <w:color w:val="auto"/>
          <w:kern w:val="2"/>
        </w:rPr>
      </w:pPr>
      <w:r>
        <w:rPr>
          <w:rStyle w:val="30"/>
          <w:rFonts w:ascii="Calibri" w:hAnsi="Calibri" w:eastAsia="黑体" w:cs="Times New Roman"/>
          <w:color w:val="auto"/>
          <w:kern w:val="2"/>
        </w:rPr>
        <w:t xml:space="preserve">2.4 </w:t>
      </w:r>
      <w:r>
        <w:rPr>
          <w:rStyle w:val="30"/>
          <w:rFonts w:hint="eastAsia" w:ascii="黑体" w:hAnsi="黑体" w:eastAsia="黑体" w:cs="Times New Roman"/>
          <w:color w:val="auto"/>
          <w:kern w:val="2"/>
        </w:rPr>
        <w:t>施工现场、施工条件和基础资料的提供</w:t>
      </w:r>
    </w:p>
    <w:p w14:paraId="716D7F7A">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2.4.1 </w:t>
      </w:r>
      <w:r>
        <w:rPr>
          <w:rStyle w:val="30"/>
          <w:rFonts w:hint="eastAsia" w:ascii="仿宋_GB2312" w:hAnsi="Calibri" w:eastAsia="仿宋_GB2312" w:cs="Times New Roman"/>
          <w:color w:val="auto"/>
          <w:kern w:val="2"/>
        </w:rPr>
        <w:t>提供施工现场</w:t>
      </w:r>
    </w:p>
    <w:p w14:paraId="771ED8F2">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关于发包人移交施工现场的期限要求：</w:t>
      </w:r>
      <w:r>
        <w:rPr>
          <w:rStyle w:val="30"/>
          <w:rFonts w:ascii="Calibri" w:hAnsi="Calibri" w:eastAsia="仿宋_GB2312" w:cs="Times New Roman"/>
          <w:color w:val="auto"/>
          <w:kern w:val="2"/>
          <w:u w:val="single"/>
        </w:rPr>
        <w:t xml:space="preserve"> </w:t>
      </w:r>
      <w:r>
        <w:rPr>
          <w:rStyle w:val="30"/>
          <w:rFonts w:ascii="Calibri" w:hAnsi="Calibri" w:cs="Times New Roman"/>
          <w:color w:val="auto"/>
          <w:kern w:val="2"/>
          <w:u w:val="single"/>
        </w:rPr>
        <w:t xml:space="preserve"> </w:t>
      </w:r>
      <w:r>
        <w:rPr>
          <w:rStyle w:val="30"/>
          <w:rFonts w:hint="eastAsia" w:ascii="宋体" w:hAnsi="宋体" w:eastAsia="宋体" w:cs="Times New Roman"/>
          <w:color w:val="auto"/>
          <w:kern w:val="2"/>
          <w:sz w:val="21"/>
          <w:szCs w:val="21"/>
          <w:u w:val="single"/>
          <w:lang w:val="en-US" w:eastAsia="zh-CN" w:bidi="ar-SA"/>
        </w:rPr>
        <w:t xml:space="preserve">开工前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ADE8875">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2.4.2 </w:t>
      </w:r>
      <w:r>
        <w:rPr>
          <w:rStyle w:val="30"/>
          <w:rFonts w:hint="eastAsia" w:ascii="仿宋_GB2312" w:hAnsi="Calibri" w:eastAsia="仿宋_GB2312" w:cs="Times New Roman"/>
          <w:color w:val="auto"/>
          <w:kern w:val="2"/>
        </w:rPr>
        <w:t>提供施工条件</w:t>
      </w:r>
    </w:p>
    <w:p w14:paraId="7C3C97B4">
      <w:pPr>
        <w:pStyle w:val="110"/>
        <w:spacing w:line="320" w:lineRule="exact"/>
        <w:rPr>
          <w:rStyle w:val="30"/>
          <w:rFonts w:ascii="Calibri" w:hAnsi="Calibri" w:eastAsia="宋体" w:cs="Times New Roman"/>
          <w:color w:val="auto"/>
          <w:sz w:val="21"/>
          <w:szCs w:val="21"/>
          <w:u w:val="single"/>
        </w:rPr>
      </w:pPr>
      <w:r>
        <w:rPr>
          <w:rStyle w:val="30"/>
          <w:rFonts w:hint="eastAsia" w:ascii="仿宋_GB2312" w:hAnsi="Calibri" w:eastAsia="仿宋_GB2312" w:cs="Times New Roman"/>
          <w:color w:val="auto"/>
          <w:sz w:val="21"/>
          <w:szCs w:val="21"/>
        </w:rPr>
        <w:t>关于发包人应负责提供施工所需要的条件，包括：</w:t>
      </w:r>
      <w:r>
        <w:rPr>
          <w:rStyle w:val="30"/>
          <w:rFonts w:hint="eastAsia" w:ascii="宋体" w:hAnsi="宋体" w:eastAsia="宋体" w:cs="Times New Roman"/>
          <w:color w:val="auto"/>
          <w:sz w:val="21"/>
          <w:szCs w:val="21"/>
          <w:u w:val="single"/>
        </w:rPr>
        <w:t>（1）将施工用水、用电等施工所必需的条件接至施工现场内；（2）保证向承包人提供正常施工所需要的进入施工现场的交通条件；（3）保证向承包人提供施工所需要的场地。</w:t>
      </w:r>
    </w:p>
    <w:p w14:paraId="2446C2CE">
      <w:pPr>
        <w:pStyle w:val="79"/>
        <w:spacing w:line="320" w:lineRule="exact"/>
        <w:ind w:firstLine="420" w:firstLineChars="200"/>
        <w:rPr>
          <w:rStyle w:val="30"/>
          <w:rFonts w:ascii="Calibri" w:hAnsi="Calibri" w:eastAsia="仿宋_GB2312" w:cs="Times New Roman"/>
          <w:color w:val="auto"/>
          <w:kern w:val="2"/>
          <w:sz w:val="24"/>
          <w:szCs w:val="24"/>
        </w:rPr>
      </w:pPr>
      <w:r>
        <w:rPr>
          <w:rStyle w:val="30"/>
          <w:rFonts w:ascii="Calibri" w:hAnsi="Calibri" w:eastAsia="仿宋_GB2312" w:cs="Times New Roman"/>
          <w:color w:val="auto"/>
          <w:kern w:val="2"/>
        </w:rPr>
        <w:t xml:space="preserve">2.5 </w:t>
      </w:r>
      <w:r>
        <w:rPr>
          <w:rStyle w:val="30"/>
          <w:rFonts w:hint="eastAsia" w:ascii="仿宋_GB2312" w:hAnsi="Calibri" w:eastAsia="仿宋_GB2312" w:cs="Times New Roman"/>
          <w:color w:val="auto"/>
          <w:kern w:val="2"/>
        </w:rPr>
        <w:t>资金来源证明及支付担保</w:t>
      </w:r>
    </w:p>
    <w:p w14:paraId="52B82046">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发包人提供资金来源证明的期限要求：</w:t>
      </w:r>
      <w:r>
        <w:rPr>
          <w:rStyle w:val="30"/>
          <w:rFonts w:hint="eastAsia" w:ascii="宋体" w:hAnsi="宋体" w:eastAsia="宋体" w:cs="Times New Roman"/>
          <w:color w:val="auto"/>
          <w:kern w:val="2"/>
          <w:u w:val="single"/>
          <w:lang w:val="en-US" w:eastAsia="zh-CN"/>
        </w:rPr>
        <w:t xml:space="preserve">         /         </w:t>
      </w:r>
      <w:r>
        <w:rPr>
          <w:rStyle w:val="30"/>
          <w:rFonts w:hint="eastAsia" w:ascii="仿宋_GB2312" w:hAnsi="Calibri" w:eastAsia="仿宋_GB2312" w:cs="Times New Roman"/>
          <w:color w:val="auto"/>
          <w:kern w:val="2"/>
        </w:rPr>
        <w:t>。</w:t>
      </w:r>
    </w:p>
    <w:p w14:paraId="1156C2BC">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发包人是否提供支付担保：</w:t>
      </w:r>
      <w:r>
        <w:rPr>
          <w:rStyle w:val="30"/>
          <w:rFonts w:hint="eastAsia" w:ascii="仿宋_GB2312" w:eastAsia="仿宋_GB2312" w:cs="Times New Roman"/>
          <w:color w:val="auto"/>
          <w:kern w:val="2"/>
          <w:u w:val="single"/>
          <w:lang w:val="en-US" w:eastAsia="zh-CN"/>
        </w:rPr>
        <w:t xml:space="preserve">            </w:t>
      </w:r>
      <w:r>
        <w:rPr>
          <w:rStyle w:val="30"/>
          <w:rFonts w:hint="eastAsia" w:ascii="宋体" w:hAnsi="宋体" w:eastAsia="宋体" w:cs="Times New Roman"/>
          <w:color w:val="auto"/>
          <w:kern w:val="2"/>
          <w:u w:val="single"/>
          <w:lang w:val="en-US" w:eastAsia="zh-CN"/>
        </w:rPr>
        <w:t xml:space="preserve">/            </w:t>
      </w:r>
      <w:r>
        <w:rPr>
          <w:rStyle w:val="30"/>
          <w:rFonts w:hint="eastAsia" w:ascii="仿宋_GB2312" w:hAnsi="Calibri" w:eastAsia="仿宋_GB2312" w:cs="Times New Roman"/>
          <w:color w:val="auto"/>
          <w:kern w:val="2"/>
        </w:rPr>
        <w:t>。</w:t>
      </w:r>
    </w:p>
    <w:p w14:paraId="48CB55E8">
      <w:pPr>
        <w:pStyle w:val="79"/>
        <w:spacing w:line="320" w:lineRule="exact"/>
        <w:ind w:firstLine="420" w:firstLine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发包人提供支付担保的形式：</w:t>
      </w:r>
      <w:r>
        <w:rPr>
          <w:rStyle w:val="30"/>
          <w:rFonts w:hint="eastAsia" w:ascii="仿宋_GB2312" w:eastAsia="仿宋_GB2312" w:cs="Times New Roman"/>
          <w:color w:val="auto"/>
          <w:kern w:val="2"/>
          <w:u w:val="single"/>
          <w:lang w:val="en-US" w:eastAsia="zh-CN"/>
        </w:rPr>
        <w:t xml:space="preserve">          </w:t>
      </w:r>
      <w:r>
        <w:rPr>
          <w:rStyle w:val="30"/>
          <w:rFonts w:hint="eastAsia" w:ascii="宋体" w:hAnsi="宋体" w:eastAsia="宋体" w:cs="Times New Roman"/>
          <w:color w:val="auto"/>
          <w:kern w:val="2"/>
          <w:u w:val="single"/>
          <w:lang w:val="en-US" w:eastAsia="zh-CN"/>
        </w:rPr>
        <w:t xml:space="preserve">/ </w:t>
      </w:r>
      <w:r>
        <w:rPr>
          <w:rStyle w:val="30"/>
          <w:rFonts w:hint="eastAsia" w:ascii="仿宋_GB2312" w:eastAsia="仿宋_GB2312" w:cs="Times New Roman"/>
          <w:color w:val="auto"/>
          <w:kern w:val="2"/>
          <w:u w:val="single"/>
          <w:lang w:val="en-US" w:eastAsia="zh-CN"/>
        </w:rPr>
        <w:t xml:space="preserve">             </w:t>
      </w:r>
      <w:r>
        <w:rPr>
          <w:rStyle w:val="30"/>
          <w:rFonts w:hint="eastAsia" w:ascii="仿宋_GB2312" w:hAnsi="Calibri" w:eastAsia="仿宋_GB2312" w:cs="Times New Roman"/>
          <w:color w:val="auto"/>
          <w:kern w:val="2"/>
        </w:rPr>
        <w:t>。</w:t>
      </w:r>
    </w:p>
    <w:p w14:paraId="5FC9D7E5">
      <w:pPr>
        <w:pStyle w:val="109"/>
        <w:rPr>
          <w:rStyle w:val="30"/>
          <w:rFonts w:eastAsia="宋体" w:cs="Times New Roman"/>
          <w:color w:val="auto"/>
          <w:sz w:val="24"/>
          <w:szCs w:val="24"/>
        </w:rPr>
      </w:pPr>
      <w:r>
        <w:rPr>
          <w:rStyle w:val="30"/>
          <w:rFonts w:hint="eastAsia" w:eastAsia="宋体" w:cs="Times New Roman"/>
          <w:color w:val="auto"/>
          <w:sz w:val="24"/>
          <w:szCs w:val="24"/>
        </w:rPr>
        <w:t xml:space="preserve">3. </w:t>
      </w:r>
      <w:r>
        <w:rPr>
          <w:rStyle w:val="30"/>
          <w:rFonts w:hint="eastAsia" w:ascii="宋体" w:hAnsi="宋体" w:eastAsia="宋体" w:cs="Times New Roman"/>
          <w:color w:val="auto"/>
          <w:sz w:val="24"/>
          <w:szCs w:val="24"/>
        </w:rPr>
        <w:t>承包人</w:t>
      </w:r>
    </w:p>
    <w:p w14:paraId="6E4078AA">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3.1 </w:t>
      </w:r>
      <w:r>
        <w:rPr>
          <w:rStyle w:val="30"/>
          <w:rFonts w:hint="eastAsia" w:ascii="黑体" w:hAnsi="黑体" w:eastAsia="黑体" w:cs="Times New Roman"/>
          <w:color w:val="auto"/>
          <w:kern w:val="2"/>
        </w:rPr>
        <w:t>承包人的一般义务</w:t>
      </w:r>
    </w:p>
    <w:p w14:paraId="679BEAEC">
      <w:pPr>
        <w:pStyle w:val="79"/>
        <w:spacing w:line="320" w:lineRule="exact"/>
        <w:rPr>
          <w:rStyle w:val="30"/>
          <w:rFonts w:ascii="Calibri" w:hAnsi="Calibri" w:eastAsia="仿宋_GB2312" w:cs="Times New Roman"/>
          <w:color w:val="auto"/>
          <w:kern w:val="2"/>
        </w:rPr>
      </w:pPr>
      <w:r>
        <w:rPr>
          <w:rStyle w:val="30"/>
          <w:rFonts w:ascii="Calibri" w:hAnsi="Calibri" w:eastAsia="仿宋_GB2312" w:cs="Times New Roman"/>
          <w:color w:val="auto"/>
        </w:rPr>
        <w:t xml:space="preserve">   </w:t>
      </w:r>
      <w:r>
        <w:rPr>
          <w:rStyle w:val="30"/>
          <w:rFonts w:hint="eastAsia" w:ascii="仿宋_GB2312" w:hAnsi="Calibri" w:eastAsia="仿宋_GB2312" w:cs="Times New Roman"/>
          <w:color w:val="auto"/>
        </w:rPr>
        <w:t>（</w:t>
      </w:r>
      <w:r>
        <w:rPr>
          <w:rStyle w:val="30"/>
          <w:rFonts w:ascii="Calibri" w:hAnsi="Calibri" w:eastAsia="仿宋_GB2312" w:cs="Times New Roman"/>
          <w:color w:val="auto"/>
        </w:rPr>
        <w:t>9</w:t>
      </w:r>
      <w:r>
        <w:rPr>
          <w:rStyle w:val="30"/>
          <w:rFonts w:hint="eastAsia" w:ascii="仿宋_GB2312" w:hAnsi="Calibri" w:eastAsia="仿宋_GB2312" w:cs="Times New Roman"/>
          <w:color w:val="auto"/>
        </w:rPr>
        <w:t>）</w:t>
      </w:r>
      <w:r>
        <w:rPr>
          <w:rStyle w:val="30"/>
          <w:rFonts w:hint="eastAsia" w:ascii="仿宋_GB2312" w:hAnsi="Calibri" w:eastAsia="仿宋_GB2312" w:cs="Times New Roman"/>
          <w:color w:val="auto"/>
          <w:kern w:val="2"/>
        </w:rPr>
        <w:t>承包人提交的竣工资料的内容：</w:t>
      </w:r>
    </w:p>
    <w:p w14:paraId="48E9CCF4">
      <w:pPr>
        <w:pStyle w:val="79"/>
        <w:spacing w:line="320" w:lineRule="exact"/>
        <w:ind w:firstLine="422" w:firstLineChars="200"/>
        <w:rPr>
          <w:rStyle w:val="30"/>
          <w:rFonts w:ascii="仿宋" w:hAnsi="仿宋" w:eastAsia="仿宋" w:cs="Times New Roman"/>
          <w:b/>
          <w:bCs/>
          <w:color w:val="auto"/>
          <w:u w:val="single"/>
        </w:rPr>
      </w:pPr>
      <w:r>
        <w:rPr>
          <w:rStyle w:val="30"/>
          <w:rFonts w:hint="eastAsia" w:ascii="仿宋" w:hAnsi="仿宋" w:eastAsia="仿宋" w:cs="Times New Roman"/>
          <w:b/>
          <w:bCs/>
          <w:color w:val="auto"/>
          <w:u w:val="single"/>
        </w:rPr>
        <w:t>提供完整准确并且能满足城建档案部门验收备案所需的竣工图（含电子文本）和竣工内业资料。</w:t>
      </w:r>
    </w:p>
    <w:p w14:paraId="34D7CEEC">
      <w:pPr>
        <w:pStyle w:val="79"/>
        <w:spacing w:line="360" w:lineRule="auto"/>
        <w:ind w:firstLine="420" w:firstLineChars="200"/>
        <w:rPr>
          <w:rStyle w:val="30"/>
          <w:rFonts w:hint="eastAsia" w:ascii="Times New Roman" w:hAnsi="Times New Roman" w:eastAsia="仿宋_GB2312" w:cs="Times New Roman"/>
          <w:color w:val="auto"/>
          <w:kern w:val="2"/>
        </w:rPr>
      </w:pPr>
      <w:r>
        <w:rPr>
          <w:rStyle w:val="30"/>
          <w:rFonts w:hint="eastAsia" w:ascii="仿宋_GB2312" w:hAnsi="Calibri" w:eastAsia="仿宋_GB2312" w:cs="Times New Roman"/>
          <w:color w:val="auto"/>
          <w:kern w:val="2"/>
        </w:rPr>
        <w:t>承包人需要提交的竣工资料套数：</w:t>
      </w:r>
      <w:r>
        <w:rPr>
          <w:rStyle w:val="30"/>
          <w:rFonts w:ascii="Calibri" w:hAnsi="Calibri" w:eastAsia="仿宋_GB2312" w:cs="Times New Roman"/>
          <w:color w:val="auto"/>
          <w:kern w:val="2"/>
          <w:u w:val="single"/>
        </w:rPr>
        <w:t xml:space="preserve"> </w:t>
      </w:r>
      <w:r>
        <w:rPr>
          <w:rStyle w:val="30"/>
          <w:rFonts w:hint="eastAsia" w:ascii="宋体" w:hAnsi="宋体" w:cs="Times New Roman"/>
          <w:color w:val="auto"/>
          <w:kern w:val="2"/>
          <w:u w:val="single"/>
        </w:rPr>
        <w:t>竣工图</w:t>
      </w:r>
      <w:r>
        <w:rPr>
          <w:rStyle w:val="30"/>
          <w:rFonts w:hint="eastAsia" w:ascii="Calibri" w:hAnsi="Calibri" w:cs="Times New Roman"/>
          <w:color w:val="auto"/>
          <w:kern w:val="2"/>
          <w:u w:val="single"/>
        </w:rPr>
        <w:t>5</w:t>
      </w:r>
      <w:r>
        <w:rPr>
          <w:rStyle w:val="30"/>
          <w:rFonts w:hint="eastAsia" w:ascii="宋体" w:hAnsi="宋体" w:cs="Times New Roman"/>
          <w:color w:val="auto"/>
          <w:kern w:val="2"/>
          <w:u w:val="single"/>
        </w:rPr>
        <w:t>套（要求计算机出图），其中原件</w:t>
      </w:r>
      <w:r>
        <w:rPr>
          <w:rStyle w:val="30"/>
          <w:rFonts w:hint="eastAsia" w:ascii="Calibri" w:hAnsi="Calibri" w:cs="Times New Roman"/>
          <w:color w:val="auto"/>
          <w:kern w:val="2"/>
          <w:u w:val="single"/>
        </w:rPr>
        <w:t>4</w:t>
      </w:r>
      <w:r>
        <w:rPr>
          <w:rStyle w:val="30"/>
          <w:rFonts w:hint="eastAsia" w:ascii="宋体" w:hAnsi="宋体" w:cs="Times New Roman"/>
          <w:color w:val="auto"/>
          <w:kern w:val="2"/>
          <w:u w:val="single"/>
        </w:rPr>
        <w:t>套、电子文件</w:t>
      </w:r>
      <w:r>
        <w:rPr>
          <w:rStyle w:val="30"/>
          <w:rFonts w:hint="eastAsia" w:ascii="Calibri" w:hAnsi="Calibri" w:cs="Times New Roman"/>
          <w:color w:val="auto"/>
          <w:kern w:val="2"/>
          <w:u w:val="single"/>
        </w:rPr>
        <w:t>1</w:t>
      </w:r>
      <w:r>
        <w:rPr>
          <w:rStyle w:val="30"/>
          <w:rFonts w:hint="eastAsia" w:ascii="宋体" w:hAnsi="宋体" w:cs="Times New Roman"/>
          <w:color w:val="auto"/>
          <w:kern w:val="2"/>
          <w:u w:val="single"/>
        </w:rPr>
        <w:t>套，竣工内业资料</w:t>
      </w:r>
      <w:r>
        <w:rPr>
          <w:rStyle w:val="30"/>
          <w:rFonts w:hint="eastAsia" w:ascii="Calibri" w:hAnsi="Calibri" w:cs="Times New Roman"/>
          <w:color w:val="auto"/>
          <w:kern w:val="2"/>
          <w:u w:val="single"/>
        </w:rPr>
        <w:t>2</w:t>
      </w:r>
      <w:r>
        <w:rPr>
          <w:rStyle w:val="30"/>
          <w:rFonts w:hint="eastAsia" w:ascii="宋体" w:hAnsi="宋体" w:cs="Times New Roman"/>
          <w:color w:val="auto"/>
          <w:kern w:val="2"/>
          <w:u w:val="single"/>
        </w:rPr>
        <w:t>套（按城建挡案馆要求进行组卷）。</w:t>
      </w:r>
    </w:p>
    <w:p w14:paraId="6F8E6F31">
      <w:pPr>
        <w:pStyle w:val="79"/>
        <w:spacing w:line="320" w:lineRule="exact"/>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承包人提交的竣工资料的费用承担：</w:t>
      </w:r>
      <w:r>
        <w:rPr>
          <w:rStyle w:val="30"/>
          <w:rFonts w:ascii="Calibri" w:hAnsi="Calibri" w:eastAsia="仿宋_GB2312" w:cs="Times New Roman"/>
          <w:color w:val="auto"/>
          <w:kern w:val="2"/>
          <w:u w:val="single"/>
        </w:rPr>
        <w:t xml:space="preserve"> </w:t>
      </w:r>
      <w:r>
        <w:rPr>
          <w:rStyle w:val="30"/>
          <w:rFonts w:hint="eastAsia" w:ascii="宋体" w:hAnsi="宋体" w:cs="Times New Roman"/>
          <w:color w:val="auto"/>
          <w:kern w:val="2"/>
          <w:u w:val="single"/>
        </w:rPr>
        <w:t>由承包人承担</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35225295">
      <w:pPr>
        <w:pStyle w:val="79"/>
        <w:spacing w:line="320" w:lineRule="exact"/>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承包人提交的竣工资料移交时间：</w:t>
      </w:r>
      <w:r>
        <w:rPr>
          <w:rStyle w:val="30"/>
          <w:rFonts w:ascii="Calibri" w:hAnsi="Calibri" w:eastAsia="仿宋_GB2312" w:cs="Times New Roman"/>
          <w:color w:val="auto"/>
          <w:kern w:val="2"/>
          <w:u w:val="single"/>
        </w:rPr>
        <w:t xml:space="preserve">  </w:t>
      </w:r>
      <w:r>
        <w:rPr>
          <w:rStyle w:val="30"/>
          <w:rFonts w:hint="eastAsia" w:ascii="宋体" w:hAnsi="宋体" w:cs="Times New Roman"/>
          <w:color w:val="auto"/>
          <w:kern w:val="2"/>
          <w:u w:val="single"/>
        </w:rPr>
        <w:t>在工程竣工验收前</w:t>
      </w:r>
      <w:r>
        <w:rPr>
          <w:rStyle w:val="30"/>
          <w:rFonts w:ascii="Calibri" w:hAnsi="Calibri" w:cs="Times New Roman"/>
          <w:color w:val="auto"/>
          <w:kern w:val="2"/>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781DCFF">
      <w:pPr>
        <w:pStyle w:val="79"/>
        <w:spacing w:line="320" w:lineRule="exact"/>
        <w:ind w:firstLine="420" w:firstLine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承包人提交的竣工资料形式要求：</w:t>
      </w:r>
      <w:r>
        <w:rPr>
          <w:rStyle w:val="30"/>
          <w:rFonts w:ascii="Calibri" w:hAnsi="Calibri" w:eastAsia="仿宋_GB2312" w:cs="Times New Roman"/>
          <w:color w:val="auto"/>
          <w:kern w:val="2"/>
          <w:u w:val="single"/>
        </w:rPr>
        <w:t xml:space="preserve"> </w:t>
      </w:r>
      <w:r>
        <w:rPr>
          <w:rStyle w:val="30"/>
          <w:rFonts w:ascii="Calibri" w:hAnsi="Calibri" w:cs="Times New Roman"/>
          <w:color w:val="auto"/>
          <w:kern w:val="2"/>
          <w:u w:val="single"/>
        </w:rPr>
        <w:t xml:space="preserve"> </w:t>
      </w:r>
      <w:r>
        <w:rPr>
          <w:rStyle w:val="30"/>
          <w:rFonts w:hint="eastAsia" w:ascii="宋体" w:hAnsi="宋体" w:cs="Times New Roman"/>
          <w:color w:val="auto"/>
          <w:kern w:val="2"/>
          <w:u w:val="single"/>
        </w:rPr>
        <w:t>纸质版和电子版</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1FD1626A">
      <w:pPr>
        <w:pStyle w:val="79"/>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(10)</w:t>
      </w:r>
      <w:r>
        <w:rPr>
          <w:rStyle w:val="30"/>
          <w:rFonts w:hint="eastAsia" w:ascii="仿宋_GB2312" w:hAnsi="Calibri" w:eastAsia="仿宋_GB2312" w:cs="Times New Roman"/>
          <w:color w:val="auto"/>
        </w:rPr>
        <w:t>承包人应履行的其他义务：</w:t>
      </w:r>
    </w:p>
    <w:p w14:paraId="4F9094ED">
      <w:pPr>
        <w:pStyle w:val="79"/>
        <w:ind w:firstLine="420" w:firstLineChars="200"/>
        <w:rPr>
          <w:rStyle w:val="30"/>
          <w:rFonts w:ascii="Calibri" w:hAnsi="Calibri" w:eastAsia="仿宋_GB2312" w:cs="Times New Roman"/>
          <w:color w:val="auto"/>
          <w:u w:val="single"/>
        </w:rPr>
      </w:pPr>
      <w:r>
        <w:rPr>
          <w:rStyle w:val="30"/>
          <w:rFonts w:hint="eastAsia" w:ascii="Calibri" w:hAnsi="Calibri" w:eastAsia="仿宋_GB2312" w:cs="Times New Roman"/>
          <w:color w:val="auto"/>
          <w:u w:val="single"/>
        </w:rPr>
        <w:t>①承包人在施工时，必须配合发包人协调好与周边环境关系，施工时因承包人自身原因未处理好周边环境关系而导致工程停工，发包人将不承担由此引起的工程延误及其他工程费用损失。②施工现场的安全保卫工作及施工照明（包括此项工作发生的费用）全部由承包人承担。③配合、协助发包人办理前期相关手续。④承包人应主动配合发包人协调和处理施工范围内的有关关系；施工时发生异常情况应及时报告监理工程师和发包人，以便发包人及时与设计单位和相关部门联系，采取有效措施。⑤承包人应自觉按照并遵守发包人对承包人的项目管理人员的考勤。⑥妥善管理好施工人员及车辆进出施工区域。⑦承包人在施工时，根据交通管理需要，必须服从发包人的安排，确保该地段居民及单位的正常生活、工作。⑧参与工程项目建设的所有农民工必须办理工伤保险参保手续，落实工伤保险待遇；⑨承包人不得转包及擅自变更项目负责人、技术负责人，其他管理人员若有个别变动需经发包人书面同意。</w:t>
      </w:r>
    </w:p>
    <w:p w14:paraId="51721DE0">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承包人应按约定时间和要求，完成以下工作：</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承包人要对施工场地周围原有路面或绿化带等进行保护，如在施工中造成损坏的由承包人自费修复。</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A68C4A6">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3.2 </w:t>
      </w:r>
      <w:r>
        <w:rPr>
          <w:rStyle w:val="30"/>
          <w:rFonts w:hint="eastAsia" w:ascii="黑体" w:hAnsi="黑体" w:eastAsia="黑体" w:cs="Times New Roman"/>
          <w:color w:val="auto"/>
          <w:kern w:val="2"/>
        </w:rPr>
        <w:t>项目经理</w:t>
      </w:r>
    </w:p>
    <w:p w14:paraId="2A4D5177">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rPr>
        <w:t xml:space="preserve">3.2.1 </w:t>
      </w:r>
      <w:r>
        <w:rPr>
          <w:rStyle w:val="30"/>
          <w:rFonts w:hint="eastAsia" w:ascii="仿宋_GB2312" w:hAnsi="Calibri" w:eastAsia="仿宋_GB2312" w:cs="Times New Roman"/>
          <w:color w:val="auto"/>
          <w:kern w:val="2"/>
        </w:rPr>
        <w:t>项目经理：</w:t>
      </w:r>
    </w:p>
    <w:p w14:paraId="2C405EE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姓</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名：</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5CE5236">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身份证号：</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5BDFEB8A">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建造师执业资格等级：</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B90B755">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建造师注册证书号：</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D1F24F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建造师执业印章号：</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FC11386">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安全生产考核合格证书号：</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FD89C52">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联系电话：</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71B363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电子信箱：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1D836FA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通信地址：</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5973C795">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承包人对项目经理的授权范围如下：</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554A3CEA">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关于项目经理每月在施工现场的时间要求：</w:t>
      </w:r>
      <w:r>
        <w:rPr>
          <w:rStyle w:val="30"/>
          <w:rFonts w:ascii="Calibri" w:hAnsi="Calibri" w:eastAsia="仿宋_GB2312" w:cs="Times New Roman"/>
          <w:color w:val="auto"/>
          <w:kern w:val="2"/>
          <w:u w:val="single"/>
        </w:rPr>
        <w:t xml:space="preserve">  </w:t>
      </w:r>
      <w:r>
        <w:rPr>
          <w:rStyle w:val="30"/>
          <w:rFonts w:hint="eastAsia" w:ascii="宋体" w:hAnsi="宋体" w:cs="Times New Roman"/>
          <w:color w:val="auto"/>
          <w:kern w:val="2"/>
          <w:u w:val="single"/>
        </w:rPr>
        <w:t>必须保证每月到位不少于</w:t>
      </w:r>
      <w:r>
        <w:rPr>
          <w:rStyle w:val="30"/>
          <w:rFonts w:ascii="Calibri" w:hAnsi="Calibri" w:cs="Times New Roman"/>
          <w:color w:val="auto"/>
          <w:kern w:val="2"/>
          <w:u w:val="single"/>
        </w:rPr>
        <w:t>22</w:t>
      </w:r>
      <w:r>
        <w:rPr>
          <w:rStyle w:val="30"/>
          <w:rFonts w:hint="eastAsia" w:ascii="宋体" w:hAnsi="宋体" w:cs="Times New Roman"/>
          <w:color w:val="auto"/>
          <w:kern w:val="2"/>
          <w:u w:val="single"/>
        </w:rPr>
        <w:t>天，每天不少于</w:t>
      </w:r>
      <w:r>
        <w:rPr>
          <w:rStyle w:val="30"/>
          <w:rFonts w:ascii="Calibri" w:hAnsi="Calibri" w:cs="Times New Roman"/>
          <w:color w:val="auto"/>
          <w:kern w:val="2"/>
          <w:u w:val="single"/>
        </w:rPr>
        <w:t>4</w:t>
      </w:r>
      <w:r>
        <w:rPr>
          <w:rStyle w:val="30"/>
          <w:rFonts w:hint="eastAsia" w:ascii="宋体" w:hAnsi="宋体" w:cs="Times New Roman"/>
          <w:color w:val="auto"/>
          <w:kern w:val="2"/>
          <w:u w:val="single"/>
        </w:rPr>
        <w:t>小时</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F040373">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承包人未提交劳动合同，以及没有为项目经理缴纳社会保险证明的违约责任：</w:t>
      </w:r>
      <w:r>
        <w:rPr>
          <w:rStyle w:val="30"/>
          <w:rFonts w:hint="eastAsia" w:ascii="宋体" w:hAnsi="宋体" w:eastAsia="宋体" w:cs="宋体"/>
          <w:color w:val="auto"/>
          <w:u w:val="single"/>
        </w:rPr>
        <w:t>承包人负责</w:t>
      </w:r>
      <w:r>
        <w:rPr>
          <w:rStyle w:val="30"/>
          <w:rFonts w:hint="eastAsia" w:ascii="宋体" w:hAnsi="宋体" w:eastAsia="宋体" w:cs="宋体"/>
          <w:color w:val="auto"/>
          <w:u w:val="single"/>
          <w:lang w:val="en-US" w:eastAsia="zh-CN"/>
        </w:rPr>
        <w:t xml:space="preserve"> </w:t>
      </w:r>
      <w:r>
        <w:rPr>
          <w:rStyle w:val="30"/>
          <w:rFonts w:hint="eastAsia" w:ascii="仿宋_GB2312" w:hAnsi="Calibri" w:eastAsia="仿宋_GB2312" w:cs="Times New Roman"/>
          <w:color w:val="auto"/>
          <w:kern w:val="2"/>
        </w:rPr>
        <w:t>。</w:t>
      </w:r>
    </w:p>
    <w:p w14:paraId="36DDF614">
      <w:pPr>
        <w:pStyle w:val="79"/>
        <w:ind w:firstLine="420" w:firstLineChars="200"/>
        <w:rPr>
          <w:rStyle w:val="30"/>
          <w:rFonts w:hint="eastAsia" w:ascii="Calibri" w:hAnsi="Calibri" w:eastAsia="仿宋_GB2312" w:cs="Times New Roman"/>
          <w:color w:val="auto"/>
          <w:kern w:val="2"/>
          <w:u w:val="single"/>
          <w:lang w:eastAsia="zh-CN"/>
        </w:rPr>
      </w:pPr>
      <w:r>
        <w:rPr>
          <w:rStyle w:val="30"/>
          <w:rFonts w:hint="eastAsia" w:ascii="仿宋_GB2312" w:hAnsi="Calibri" w:eastAsia="仿宋_GB2312" w:cs="Times New Roman"/>
          <w:color w:val="auto"/>
        </w:rPr>
        <w:t>项目经理未经批准，擅自离开施工现场的违约责任：</w:t>
      </w:r>
      <w:r>
        <w:rPr>
          <w:rStyle w:val="30"/>
          <w:rFonts w:hint="eastAsia" w:ascii="宋体" w:hAnsi="宋体" w:eastAsia="宋体" w:cs="宋体"/>
          <w:color w:val="auto"/>
          <w:u w:val="single"/>
        </w:rPr>
        <w:t>承包人负责</w:t>
      </w:r>
      <w:r>
        <w:rPr>
          <w:rStyle w:val="30"/>
          <w:rFonts w:ascii="Calibri" w:hAnsi="Calibri" w:eastAsia="仿宋_GB2312" w:cs="Times New Roman"/>
          <w:color w:val="auto"/>
          <w:u w:val="single"/>
        </w:rPr>
        <w:t xml:space="preserve">  </w:t>
      </w:r>
      <w:r>
        <w:rPr>
          <w:rStyle w:val="30"/>
          <w:rFonts w:hint="eastAsia" w:eastAsia="仿宋_GB2312" w:cs="Times New Roman"/>
          <w:color w:val="auto"/>
          <w:u w:val="none"/>
          <w:lang w:eastAsia="zh-CN"/>
        </w:rPr>
        <w:t>。</w:t>
      </w:r>
    </w:p>
    <w:p w14:paraId="7F8EB8EE">
      <w:pPr>
        <w:pStyle w:val="79"/>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3.2.3 </w:t>
      </w:r>
      <w:r>
        <w:rPr>
          <w:rStyle w:val="30"/>
          <w:rFonts w:hint="eastAsia" w:ascii="仿宋_GB2312" w:hAnsi="Calibri" w:eastAsia="仿宋_GB2312" w:cs="Times New Roman"/>
          <w:color w:val="auto"/>
          <w:kern w:val="2"/>
        </w:rPr>
        <w:t>承包人擅自更换项目经理的违约责任：</w:t>
      </w:r>
      <w:r>
        <w:rPr>
          <w:rStyle w:val="30"/>
          <w:rFonts w:hint="eastAsia" w:ascii="宋体" w:hAnsi="宋体" w:eastAsia="宋体" w:cs="宋体"/>
          <w:color w:val="auto"/>
          <w:u w:val="single"/>
        </w:rPr>
        <w:t>项目负责人（项目经理）必须保证到位每个月不少于</w:t>
      </w:r>
      <w:r>
        <w:rPr>
          <w:rStyle w:val="30"/>
          <w:rFonts w:ascii="Calibri" w:hAnsi="Calibri" w:cs="Calibri"/>
          <w:color w:val="auto"/>
          <w:u w:val="single"/>
        </w:rPr>
        <w:t>22</w:t>
      </w:r>
      <w:r>
        <w:rPr>
          <w:rStyle w:val="30"/>
          <w:rFonts w:hint="eastAsia" w:ascii="宋体" w:hAnsi="宋体" w:eastAsia="宋体" w:cs="宋体"/>
          <w:color w:val="auto"/>
          <w:u w:val="single"/>
        </w:rPr>
        <w:t>天，每天不少于</w:t>
      </w:r>
      <w:r>
        <w:rPr>
          <w:rStyle w:val="30"/>
          <w:rFonts w:ascii="Calibri" w:hAnsi="Calibri" w:cs="Calibri"/>
          <w:color w:val="auto"/>
          <w:u w:val="single"/>
        </w:rPr>
        <w:t>4</w:t>
      </w:r>
      <w:r>
        <w:rPr>
          <w:rStyle w:val="30"/>
          <w:rFonts w:hint="eastAsia" w:ascii="宋体" w:hAnsi="宋体" w:eastAsia="宋体" w:cs="宋体"/>
          <w:color w:val="auto"/>
          <w:u w:val="single"/>
        </w:rPr>
        <w:t>小时。达不到上述要求，项目负责人（项目经理）每少一天罚款</w:t>
      </w:r>
      <w:r>
        <w:rPr>
          <w:rStyle w:val="30"/>
          <w:rFonts w:ascii="Calibri" w:hAnsi="Calibri" w:cs="Calibri"/>
          <w:color w:val="auto"/>
          <w:u w:val="single"/>
        </w:rPr>
        <w:t>3000</w:t>
      </w:r>
      <w:r>
        <w:rPr>
          <w:rStyle w:val="30"/>
          <w:rFonts w:hint="eastAsia" w:ascii="宋体" w:hAnsi="宋体" w:eastAsia="宋体" w:cs="宋体"/>
          <w:color w:val="auto"/>
          <w:u w:val="single"/>
        </w:rPr>
        <w:t>元，在进度款中扣除；如累计到位率不到总到位率的</w:t>
      </w:r>
      <w:r>
        <w:rPr>
          <w:rStyle w:val="30"/>
          <w:rFonts w:ascii="Calibri" w:hAnsi="Calibri" w:cs="Calibri"/>
          <w:color w:val="auto"/>
          <w:u w:val="single"/>
        </w:rPr>
        <w:t>70%</w:t>
      </w:r>
      <w:r>
        <w:rPr>
          <w:rStyle w:val="30"/>
          <w:rFonts w:hint="eastAsia" w:ascii="宋体" w:hAnsi="宋体" w:eastAsia="宋体" w:cs="宋体"/>
          <w:color w:val="auto"/>
          <w:u w:val="single"/>
        </w:rPr>
        <w:t>（到位率由发包方派驻工程师共同考核），则承包方将承担中标价的</w:t>
      </w:r>
      <w:r>
        <w:rPr>
          <w:rStyle w:val="30"/>
          <w:rFonts w:ascii="Calibri" w:hAnsi="Calibri" w:cs="Calibri"/>
          <w:color w:val="auto"/>
          <w:u w:val="single"/>
        </w:rPr>
        <w:t>2%</w:t>
      </w:r>
      <w:r>
        <w:rPr>
          <w:rStyle w:val="30"/>
          <w:rFonts w:hint="eastAsia" w:ascii="宋体" w:hAnsi="宋体" w:eastAsia="宋体" w:cs="宋体"/>
          <w:color w:val="auto"/>
          <w:u w:val="single"/>
        </w:rPr>
        <w:t>的违约金，在工程结算时扣罚。</w:t>
      </w:r>
    </w:p>
    <w:p w14:paraId="210805C4">
      <w:pPr>
        <w:pStyle w:val="79"/>
        <w:spacing w:line="320" w:lineRule="exact"/>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3.2.4 </w:t>
      </w:r>
      <w:r>
        <w:rPr>
          <w:rStyle w:val="30"/>
          <w:rFonts w:hint="eastAsia" w:ascii="仿宋_GB2312" w:hAnsi="Calibri" w:eastAsia="仿宋_GB2312" w:cs="Times New Roman"/>
          <w:color w:val="auto"/>
          <w:kern w:val="2"/>
        </w:rPr>
        <w:t>承包人无正当理由拒绝更换项目经理的违约责任：</w:t>
      </w:r>
      <w:r>
        <w:rPr>
          <w:rStyle w:val="30"/>
          <w:rFonts w:ascii="Calibri" w:hAnsi="Calibri" w:eastAsia="仿宋_GB2312" w:cs="Times New Roman"/>
          <w:color w:val="auto"/>
          <w:kern w:val="2"/>
          <w:u w:val="single"/>
        </w:rPr>
        <w:t xml:space="preserve"> </w:t>
      </w:r>
      <w:r>
        <w:rPr>
          <w:rStyle w:val="30"/>
          <w:rFonts w:hint="eastAsia" w:ascii="宋体" w:hAnsi="宋体" w:cs="Times New Roman"/>
          <w:color w:val="auto"/>
          <w:u w:val="single"/>
        </w:rPr>
        <w:t>由此对发包人造成的工期延误和经济损失由承包人承担</w:t>
      </w:r>
      <w:r>
        <w:rPr>
          <w:rStyle w:val="30"/>
          <w:rFonts w:ascii="Calibri" w:hAnsi="Calibri" w:cs="Times New Roman"/>
          <w:color w:val="auto"/>
          <w:u w:val="single"/>
        </w:rPr>
        <w:t xml:space="preserve">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521F598">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3.3 </w:t>
      </w:r>
      <w:r>
        <w:rPr>
          <w:rStyle w:val="30"/>
          <w:rFonts w:hint="eastAsia" w:ascii="黑体" w:hAnsi="黑体" w:eastAsia="黑体" w:cs="Times New Roman"/>
          <w:color w:val="auto"/>
          <w:kern w:val="2"/>
        </w:rPr>
        <w:t>承包人人员</w:t>
      </w:r>
    </w:p>
    <w:p w14:paraId="052FD95B">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3.3.1 </w:t>
      </w:r>
      <w:r>
        <w:rPr>
          <w:rStyle w:val="30"/>
          <w:rFonts w:hint="eastAsia" w:ascii="仿宋_GB2312" w:hAnsi="Calibri" w:eastAsia="仿宋_GB2312" w:cs="Times New Roman"/>
          <w:color w:val="auto"/>
          <w:kern w:val="2"/>
        </w:rPr>
        <w:t>承包人提交项目管理机构及施工现场管理人员安排报告的期限：</w:t>
      </w:r>
      <w:r>
        <w:rPr>
          <w:rStyle w:val="30"/>
          <w:rFonts w:hint="eastAsia" w:ascii="宋体" w:hAnsi="宋体" w:eastAsia="宋体" w:cs="宋体"/>
          <w:color w:val="auto"/>
          <w:u w:val="single"/>
        </w:rPr>
        <w:t>接到开工通知后</w:t>
      </w:r>
      <w:r>
        <w:rPr>
          <w:rStyle w:val="30"/>
          <w:rFonts w:ascii="MingLiU_HKSCS" w:hAnsi="MingLiU_HKSCS" w:cs="MingLiU_HKSCS"/>
          <w:color w:val="auto"/>
          <w:u w:val="single"/>
        </w:rPr>
        <w:t>3</w:t>
      </w:r>
      <w:r>
        <w:rPr>
          <w:rStyle w:val="30"/>
          <w:rFonts w:hint="eastAsia" w:ascii="宋体" w:hAnsi="宋体" w:eastAsia="宋体" w:cs="宋体"/>
          <w:color w:val="auto"/>
          <w:u w:val="single"/>
        </w:rPr>
        <w:t>天内</w:t>
      </w:r>
      <w:r>
        <w:rPr>
          <w:rStyle w:val="30"/>
          <w:rFonts w:hint="eastAsia" w:ascii="仿宋_GB2312" w:hAnsi="Calibri" w:eastAsia="仿宋_GB2312" w:cs="Times New Roman"/>
          <w:color w:val="auto"/>
          <w:kern w:val="2"/>
        </w:rPr>
        <w:t>。</w:t>
      </w:r>
    </w:p>
    <w:p w14:paraId="72E9B332">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3.3.3 </w:t>
      </w:r>
      <w:r>
        <w:rPr>
          <w:rStyle w:val="30"/>
          <w:rFonts w:hint="eastAsia" w:ascii="仿宋_GB2312" w:hAnsi="Calibri" w:eastAsia="仿宋_GB2312" w:cs="Times New Roman"/>
          <w:color w:val="auto"/>
          <w:kern w:val="2"/>
        </w:rPr>
        <w:t>承包人无正当理由拒绝撤换主要施工管理人员的违约责任：</w:t>
      </w:r>
      <w:r>
        <w:rPr>
          <w:rStyle w:val="30"/>
          <w:rFonts w:ascii="Calibri" w:hAnsi="Calibri" w:eastAsia="仿宋_GB2312" w:cs="Times New Roman"/>
          <w:color w:val="auto"/>
          <w:kern w:val="2"/>
          <w:u w:val="single"/>
        </w:rPr>
        <w:t xml:space="preserve"> </w:t>
      </w:r>
      <w:r>
        <w:rPr>
          <w:rStyle w:val="30"/>
          <w:rFonts w:hint="eastAsia" w:ascii="宋体" w:hAnsi="宋体" w:eastAsia="宋体" w:cs="宋体"/>
          <w:color w:val="auto"/>
          <w:u w:val="single"/>
        </w:rPr>
        <w:t xml:space="preserve">所致损失和责任由承包人承担 </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E2556D8">
      <w:pPr>
        <w:pStyle w:val="79"/>
        <w:spacing w:line="320" w:lineRule="exact"/>
        <w:ind w:firstLine="420" w:firstLineChars="200"/>
        <w:rPr>
          <w:rStyle w:val="30"/>
          <w:rFonts w:ascii="Calibri" w:hAnsi="Calibri" w:eastAsia="仿宋_GB2312" w:cs="Times New Roman"/>
          <w:color w:val="auto"/>
          <w:kern w:val="2"/>
          <w:u w:val="single"/>
        </w:rPr>
      </w:pPr>
      <w:r>
        <w:rPr>
          <w:rStyle w:val="30"/>
          <w:rFonts w:ascii="Calibri" w:hAnsi="Calibri" w:eastAsia="仿宋_GB2312" w:cs="Times New Roman"/>
          <w:color w:val="auto"/>
          <w:kern w:val="2"/>
        </w:rPr>
        <w:t xml:space="preserve">3.3.4 </w:t>
      </w:r>
      <w:r>
        <w:rPr>
          <w:rStyle w:val="30"/>
          <w:rFonts w:hint="eastAsia" w:ascii="仿宋_GB2312" w:hAnsi="Calibri" w:eastAsia="仿宋_GB2312" w:cs="Times New Roman"/>
          <w:color w:val="auto"/>
          <w:kern w:val="2"/>
        </w:rPr>
        <w:t>承包人主要施工管理人员离开施工现场的批准要求：</w:t>
      </w:r>
      <w:r>
        <w:rPr>
          <w:rStyle w:val="30"/>
          <w:rFonts w:ascii="Calibri" w:hAnsi="Calibri" w:eastAsia="仿宋_GB2312" w:cs="Times New Roman"/>
          <w:color w:val="auto"/>
          <w:kern w:val="2"/>
          <w:u w:val="single"/>
        </w:rPr>
        <w:t xml:space="preserve"> </w:t>
      </w:r>
      <w:r>
        <w:rPr>
          <w:rStyle w:val="30"/>
          <w:rFonts w:hint="eastAsia" w:ascii="宋体" w:hAnsi="宋体" w:eastAsia="宋体" w:cs="宋体"/>
          <w:color w:val="auto"/>
          <w:u w:val="single"/>
        </w:rPr>
        <w:t>书面报监理人并经发包人书面同意</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F840331">
      <w:pPr>
        <w:pStyle w:val="79"/>
        <w:spacing w:line="320" w:lineRule="exact"/>
        <w:ind w:firstLine="420" w:firstLineChars="200"/>
        <w:rPr>
          <w:rStyle w:val="30"/>
          <w:rFonts w:ascii="Calibri" w:hAnsi="Calibri" w:eastAsia="宋体" w:cs="Times New Roman"/>
          <w:color w:val="auto"/>
          <w:kern w:val="2"/>
          <w:u w:val="single"/>
        </w:rPr>
      </w:pPr>
      <w:r>
        <w:rPr>
          <w:rStyle w:val="30"/>
          <w:rFonts w:ascii="Calibri" w:hAnsi="Calibri" w:eastAsia="仿宋_GB2312" w:cs="Times New Roman"/>
          <w:color w:val="auto"/>
          <w:kern w:val="2"/>
        </w:rPr>
        <w:t>3.3.5</w:t>
      </w:r>
      <w:r>
        <w:rPr>
          <w:rStyle w:val="30"/>
          <w:rFonts w:hint="eastAsia" w:ascii="仿宋_GB2312" w:hAnsi="Calibri" w:eastAsia="仿宋_GB2312" w:cs="Times New Roman"/>
          <w:color w:val="auto"/>
          <w:kern w:val="2"/>
        </w:rPr>
        <w:t>承包人擅自更换主要施工管理人员的违约责任：</w:t>
      </w:r>
      <w:r>
        <w:rPr>
          <w:rStyle w:val="30"/>
          <w:rFonts w:hint="eastAsia" w:ascii="宋体" w:hAnsi="宋体" w:eastAsia="宋体" w:cs="宋体"/>
          <w:color w:val="auto"/>
          <w:u w:val="single"/>
        </w:rPr>
        <w:t>如若擅自变更，则承包方将承担中标价</w:t>
      </w:r>
      <w:r>
        <w:rPr>
          <w:rStyle w:val="30"/>
          <w:rFonts w:ascii="Calibri" w:hAnsi="Calibri" w:cs="Calibri"/>
          <w:color w:val="auto"/>
          <w:u w:val="single"/>
        </w:rPr>
        <w:t>2%</w:t>
      </w:r>
      <w:r>
        <w:rPr>
          <w:rStyle w:val="30"/>
          <w:rFonts w:hint="eastAsia" w:ascii="宋体" w:hAnsi="宋体" w:eastAsia="宋体" w:cs="宋体"/>
          <w:color w:val="auto"/>
          <w:u w:val="single"/>
        </w:rPr>
        <w:t>的违约金</w:t>
      </w:r>
      <w:r>
        <w:rPr>
          <w:rStyle w:val="30"/>
          <w:rFonts w:hint="eastAsia" w:ascii="仿宋_GB2312" w:hAnsi="Calibri" w:eastAsia="仿宋_GB2312" w:cs="Times New Roman"/>
          <w:color w:val="auto"/>
          <w:kern w:val="2"/>
        </w:rPr>
        <w:t>。</w:t>
      </w:r>
    </w:p>
    <w:p w14:paraId="7418FA60">
      <w:pPr>
        <w:pStyle w:val="79"/>
        <w:spacing w:line="320" w:lineRule="exact"/>
        <w:rPr>
          <w:rStyle w:val="30"/>
          <w:rFonts w:ascii="Calibri" w:hAnsi="Calibri" w:cs="Times New Roman"/>
          <w:color w:val="auto"/>
          <w:kern w:val="2"/>
          <w:u w:val="single"/>
        </w:rPr>
      </w:pPr>
      <w:r>
        <w:rPr>
          <w:rStyle w:val="30"/>
          <w:rFonts w:hint="eastAsia" w:ascii="仿宋_GB2312" w:hAnsi="Calibri" w:eastAsia="仿宋_GB2312" w:cs="Times New Roman"/>
          <w:color w:val="auto"/>
          <w:kern w:val="2"/>
        </w:rPr>
        <w:t>承包人主要施工管理人员擅自离开施工现场的违约责任：</w:t>
      </w:r>
      <w:r>
        <w:rPr>
          <w:rStyle w:val="30"/>
          <w:rFonts w:hint="eastAsia" w:ascii="宋体" w:hAnsi="宋体" w:eastAsia="宋体" w:cs="宋体"/>
          <w:color w:val="auto"/>
          <w:u w:val="single"/>
        </w:rPr>
        <w:t>项目主要施工管理人员必须保证到位每个月不少于</w:t>
      </w:r>
      <w:r>
        <w:rPr>
          <w:rStyle w:val="30"/>
          <w:rFonts w:ascii="Calibri" w:hAnsi="Calibri" w:cs="Calibri"/>
          <w:color w:val="auto"/>
          <w:u w:val="single"/>
        </w:rPr>
        <w:t>22</w:t>
      </w:r>
      <w:r>
        <w:rPr>
          <w:rStyle w:val="30"/>
          <w:rFonts w:hint="eastAsia" w:ascii="宋体" w:hAnsi="宋体" w:eastAsia="宋体" w:cs="宋体"/>
          <w:color w:val="auto"/>
          <w:u w:val="single"/>
        </w:rPr>
        <w:t>天，每天不少于</w:t>
      </w:r>
      <w:r>
        <w:rPr>
          <w:rStyle w:val="30"/>
          <w:rFonts w:ascii="Calibri" w:hAnsi="Calibri" w:cs="Calibri"/>
          <w:color w:val="auto"/>
          <w:u w:val="single"/>
        </w:rPr>
        <w:t>7</w:t>
      </w:r>
      <w:r>
        <w:rPr>
          <w:rStyle w:val="30"/>
          <w:rFonts w:hint="eastAsia" w:ascii="宋体" w:hAnsi="宋体" w:eastAsia="宋体" w:cs="宋体"/>
          <w:color w:val="auto"/>
          <w:u w:val="single"/>
        </w:rPr>
        <w:t>小时。达不到上述要求，项目主要管理人员每人每少一天罚款</w:t>
      </w:r>
      <w:r>
        <w:rPr>
          <w:rStyle w:val="30"/>
          <w:rFonts w:ascii="Calibri" w:hAnsi="Calibri" w:cs="Calibri"/>
          <w:color w:val="auto"/>
          <w:u w:val="single"/>
        </w:rPr>
        <w:t>500</w:t>
      </w:r>
      <w:r>
        <w:rPr>
          <w:rStyle w:val="30"/>
          <w:rFonts w:hint="eastAsia" w:ascii="宋体" w:hAnsi="宋体" w:eastAsia="宋体" w:cs="宋体"/>
          <w:color w:val="auto"/>
          <w:u w:val="single"/>
        </w:rPr>
        <w:t>元，并在当月的工程进度款中扣除</w:t>
      </w:r>
      <w:r>
        <w:rPr>
          <w:rStyle w:val="30"/>
          <w:rFonts w:hint="eastAsia" w:ascii="仿宋_GB2312" w:hAnsi="Calibri" w:eastAsia="仿宋_GB2312" w:cs="Times New Roman"/>
          <w:color w:val="auto"/>
          <w:kern w:val="2"/>
        </w:rPr>
        <w:t>。</w:t>
      </w:r>
    </w:p>
    <w:p w14:paraId="0C785609">
      <w:pPr>
        <w:pStyle w:val="79"/>
        <w:spacing w:line="320" w:lineRule="exact"/>
        <w:ind w:firstLine="420" w:firstLineChars="200"/>
        <w:rPr>
          <w:rStyle w:val="30"/>
          <w:rFonts w:ascii="Calibri" w:hAnsi="Calibri" w:cs="Times New Roman"/>
          <w:color w:val="auto"/>
          <w:kern w:val="2"/>
        </w:rPr>
      </w:pPr>
      <w:r>
        <w:rPr>
          <w:rStyle w:val="30"/>
          <w:rFonts w:ascii="Calibri" w:hAnsi="Calibri" w:cs="Times New Roman"/>
          <w:color w:val="auto"/>
          <w:kern w:val="2"/>
        </w:rPr>
        <w:t xml:space="preserve">3.5 </w:t>
      </w:r>
      <w:r>
        <w:rPr>
          <w:rStyle w:val="30"/>
          <w:rFonts w:hint="eastAsia" w:ascii="宋体" w:hAnsi="宋体" w:cs="Times New Roman"/>
          <w:color w:val="auto"/>
          <w:kern w:val="2"/>
        </w:rPr>
        <w:t>分包</w:t>
      </w:r>
    </w:p>
    <w:p w14:paraId="03BEF9C6">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3.5.1 </w:t>
      </w:r>
      <w:r>
        <w:rPr>
          <w:rStyle w:val="30"/>
          <w:rFonts w:hint="eastAsia" w:ascii="仿宋_GB2312" w:hAnsi="Calibri" w:eastAsia="仿宋_GB2312" w:cs="Times New Roman"/>
          <w:color w:val="auto"/>
          <w:kern w:val="2"/>
        </w:rPr>
        <w:t>分包的一般约定</w:t>
      </w:r>
    </w:p>
    <w:p w14:paraId="28722402">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禁止分包的工程包括：</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EFAB6F7">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主体结构、关键性工作的范围：</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DC33305">
      <w:pPr>
        <w:pStyle w:val="79"/>
        <w:spacing w:line="320" w:lineRule="exact"/>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3.5.2</w:t>
      </w:r>
      <w:r>
        <w:rPr>
          <w:rStyle w:val="30"/>
          <w:rFonts w:hint="eastAsia" w:ascii="仿宋_GB2312" w:hAnsi="Calibri" w:eastAsia="仿宋_GB2312" w:cs="Times New Roman"/>
          <w:color w:val="auto"/>
          <w:kern w:val="2"/>
        </w:rPr>
        <w:t>分包的确定</w:t>
      </w:r>
    </w:p>
    <w:p w14:paraId="2BF93F76">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允许分包的专业工程包括：</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0579992">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其他关于分包的约定：</w:t>
      </w:r>
      <w:r>
        <w:rPr>
          <w:rStyle w:val="30"/>
          <w:rFonts w:hint="eastAsia" w:ascii="仿宋" w:hAnsi="仿宋" w:eastAsia="仿宋" w:cs="Times New Roman"/>
          <w:b/>
          <w:bCs/>
          <w:color w:val="auto"/>
          <w:u w:val="single"/>
        </w:rPr>
        <w:t>应合法合规分包。</w:t>
      </w:r>
    </w:p>
    <w:p w14:paraId="7945D476">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3.5.4 </w:t>
      </w:r>
      <w:r>
        <w:rPr>
          <w:rStyle w:val="30"/>
          <w:rFonts w:hint="eastAsia" w:ascii="仿宋_GB2312" w:hAnsi="Calibri" w:eastAsia="仿宋_GB2312" w:cs="Times New Roman"/>
          <w:color w:val="auto"/>
          <w:kern w:val="2"/>
        </w:rPr>
        <w:t>分包合同价款</w:t>
      </w:r>
    </w:p>
    <w:p w14:paraId="42218D3C">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关于分包合同价款支付的约定：</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50CBA21C">
      <w:pPr>
        <w:pStyle w:val="79"/>
        <w:spacing w:after="120" w:line="320" w:lineRule="exact"/>
        <w:ind w:firstLine="420" w:firstLineChars="200"/>
        <w:rPr>
          <w:rStyle w:val="30"/>
          <w:rFonts w:ascii="Calibri" w:hAnsi="Calibri" w:eastAsia="黑体" w:cs="Times New Roman"/>
          <w:color w:val="auto"/>
          <w:kern w:val="2"/>
          <w:u w:val="single"/>
        </w:rPr>
      </w:pPr>
      <w:r>
        <w:rPr>
          <w:rStyle w:val="30"/>
          <w:rFonts w:ascii="Calibri" w:hAnsi="Calibri" w:eastAsia="黑体" w:cs="Times New Roman"/>
          <w:color w:val="auto"/>
          <w:kern w:val="2"/>
        </w:rPr>
        <w:t xml:space="preserve">3.6 </w:t>
      </w:r>
      <w:r>
        <w:rPr>
          <w:rStyle w:val="30"/>
          <w:rFonts w:hint="eastAsia" w:ascii="黑体" w:hAnsi="黑体" w:eastAsia="黑体" w:cs="Times New Roman"/>
          <w:color w:val="auto"/>
          <w:kern w:val="2"/>
        </w:rPr>
        <w:t>工程照管与成品、半成品保护</w:t>
      </w:r>
      <w:r>
        <w:rPr>
          <w:rStyle w:val="30"/>
          <w:rFonts w:ascii="Calibri" w:hAnsi="Calibri" w:eastAsia="黑体" w:cs="Times New Roman"/>
          <w:color w:val="auto"/>
          <w:kern w:val="2"/>
        </w:rPr>
        <w:t xml:space="preserve"> </w:t>
      </w:r>
      <w:r>
        <w:rPr>
          <w:rStyle w:val="30"/>
          <w:rFonts w:hint="eastAsia" w:ascii="黑体" w:hAnsi="黑体" w:eastAsia="黑体" w:cs="Times New Roman"/>
          <w:color w:val="auto"/>
          <w:kern w:val="2"/>
        </w:rPr>
        <w:t>：</w:t>
      </w:r>
      <w:r>
        <w:rPr>
          <w:rStyle w:val="30"/>
          <w:rFonts w:hint="eastAsia" w:ascii="仿宋_GB2312" w:hAnsi="Calibri" w:eastAsia="仿宋_GB2312" w:cs="Times New Roman"/>
          <w:color w:val="auto"/>
          <w:kern w:val="2"/>
          <w:u w:val="single"/>
        </w:rPr>
        <w:t>在工程未交付使用前，已完工程成品保护由承包人负责保护，在保护期间若发生损坏由承包人自费予以修复。除发包人或发包人代表有书面意见指示承包人采取特殊措施保护的工程部位费用属于发包人，其他对未交付的已完工程，承包人应承担一切管理费用。</w:t>
      </w:r>
    </w:p>
    <w:p w14:paraId="149841C0">
      <w:pPr>
        <w:pStyle w:val="110"/>
        <w:spacing w:line="320" w:lineRule="exact"/>
        <w:ind w:firstLine="413" w:firstLineChars="196"/>
        <w:rPr>
          <w:rStyle w:val="30"/>
          <w:rFonts w:hint="eastAsia" w:ascii="仿宋_GB2312" w:hAnsi="Calibri" w:eastAsia="仿宋_GB2312" w:cs="Times New Roman"/>
          <w:color w:val="auto"/>
          <w:kern w:val="2"/>
          <w:sz w:val="21"/>
          <w:szCs w:val="22"/>
          <w:u w:val="single"/>
          <w:lang w:val="en-US" w:eastAsia="zh-CN" w:bidi="ar-SA"/>
        </w:rPr>
      </w:pPr>
      <w:r>
        <w:rPr>
          <w:rStyle w:val="30"/>
          <w:rFonts w:hint="eastAsia" w:ascii="仿宋_GB2312" w:hAnsi="Calibri" w:eastAsia="仿宋_GB2312" w:cs="Times New Roman"/>
          <w:b/>
          <w:bCs/>
          <w:color w:val="auto"/>
          <w:sz w:val="21"/>
          <w:szCs w:val="21"/>
        </w:rPr>
        <w:t>承包人负责照管工程及工程相关的材料、工程设备的起始时间：</w:t>
      </w:r>
      <w:r>
        <w:rPr>
          <w:rStyle w:val="30"/>
          <w:rFonts w:hint="eastAsia" w:ascii="仿宋_GB2312" w:hAnsi="Calibri" w:eastAsia="仿宋_GB2312" w:cs="Times New Roman"/>
          <w:color w:val="auto"/>
          <w:kern w:val="2"/>
          <w:sz w:val="21"/>
          <w:szCs w:val="22"/>
          <w:u w:val="single"/>
          <w:lang w:val="en-US" w:eastAsia="zh-CN" w:bidi="ar-SA"/>
        </w:rPr>
        <w:t>在工程未交付使用前，由承包人负责保护，在保护期间若发生损坏由承包人自费修复。除发包人或发包人代表有书面意见指示承包人采取特殊措施保护的工程部位费用属于发包人外，其他对未交付的已完工程，由承包人承担一切管理费用 。</w:t>
      </w:r>
    </w:p>
    <w:p w14:paraId="480D6376">
      <w:pPr>
        <w:pStyle w:val="79"/>
        <w:spacing w:after="120" w:line="320" w:lineRule="exact"/>
        <w:ind w:firstLine="420" w:firstLineChars="200"/>
        <w:rPr>
          <w:rStyle w:val="30"/>
          <w:rFonts w:ascii="Calibri" w:hAnsi="Calibri" w:eastAsia="黑体" w:cs="Times New Roman"/>
          <w:color w:val="auto"/>
          <w:kern w:val="2"/>
          <w:sz w:val="24"/>
          <w:szCs w:val="24"/>
        </w:rPr>
      </w:pPr>
      <w:r>
        <w:rPr>
          <w:rStyle w:val="30"/>
          <w:rFonts w:ascii="Calibri" w:hAnsi="Calibri" w:eastAsia="黑体" w:cs="Times New Roman"/>
          <w:color w:val="auto"/>
          <w:kern w:val="2"/>
        </w:rPr>
        <w:t xml:space="preserve">3.7 </w:t>
      </w:r>
      <w:r>
        <w:rPr>
          <w:rStyle w:val="30"/>
          <w:rFonts w:hint="eastAsia" w:ascii="黑体" w:hAnsi="黑体" w:eastAsia="黑体" w:cs="Times New Roman"/>
          <w:color w:val="auto"/>
          <w:kern w:val="2"/>
        </w:rPr>
        <w:t>履约担保</w:t>
      </w:r>
    </w:p>
    <w:p w14:paraId="7F4E4747">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承包人是否提供履约担保：</w:t>
      </w:r>
      <w:r>
        <w:rPr>
          <w:rStyle w:val="30"/>
          <w:rFonts w:ascii="Calibri" w:hAnsi="Calibri" w:eastAsia="仿宋_GB2312" w:cs="Times New Roman"/>
          <w:color w:val="auto"/>
          <w:kern w:val="2"/>
          <w:u w:val="single"/>
        </w:rPr>
        <w:t xml:space="preserve"> </w:t>
      </w:r>
      <w:r>
        <w:rPr>
          <w:rStyle w:val="30"/>
          <w:rFonts w:ascii="宋体" w:hAnsi="Calibri" w:cs="宋体"/>
          <w:color w:val="auto"/>
          <w:u w:val="single"/>
        </w:rPr>
        <w:t xml:space="preserve">   </w:t>
      </w:r>
      <w:r>
        <w:rPr>
          <w:rStyle w:val="30"/>
          <w:rFonts w:ascii="Calibri" w:hAnsi="Calibri" w:eastAsia="仿宋_GB2312" w:cs="Times New Roman"/>
          <w:color w:val="auto"/>
          <w:kern w:val="2"/>
          <w:u w:val="single"/>
        </w:rPr>
        <w:t xml:space="preserve">   </w:t>
      </w:r>
      <w:r>
        <w:rPr>
          <w:rStyle w:val="30"/>
          <w:rFonts w:hint="eastAsia" w:eastAsia="仿宋_GB2312" w:cs="Times New Roman"/>
          <w:color w:val="auto"/>
          <w:kern w:val="2"/>
          <w:u w:val="single"/>
          <w:lang w:val="en-US" w:eastAsia="zh-CN"/>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BDBAEE0">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承包人提供履约担保的形式、金额及期限：</w:t>
      </w:r>
      <w:r>
        <w:rPr>
          <w:rStyle w:val="30"/>
          <w:rFonts w:hint="eastAsia" w:ascii="仿宋_GB2312" w:eastAsia="仿宋_GB2312" w:cs="Times New Roman"/>
          <w:color w:val="auto"/>
          <w:kern w:val="2"/>
          <w:u w:val="single"/>
          <w:lang w:val="en-US" w:eastAsia="zh-CN"/>
        </w:rPr>
        <w:t xml:space="preserve">        /         </w:t>
      </w:r>
      <w:r>
        <w:rPr>
          <w:rStyle w:val="30"/>
          <w:rFonts w:hint="eastAsia" w:ascii="宋体" w:hAnsi="宋体" w:cs="Times New Roman"/>
          <w:b w:val="0"/>
          <w:bCs w:val="0"/>
          <w:color w:val="auto"/>
          <w:u w:val="none"/>
        </w:rPr>
        <w:t>。</w:t>
      </w:r>
      <w:r>
        <w:rPr>
          <w:rStyle w:val="30"/>
          <w:rFonts w:ascii="Calibri" w:hAnsi="Calibri" w:eastAsia="仿宋_GB2312" w:cs="Times New Roman"/>
          <w:b w:val="0"/>
          <w:bCs w:val="0"/>
          <w:color w:val="auto"/>
          <w:kern w:val="2"/>
          <w:u w:val="none"/>
        </w:rPr>
        <w:t xml:space="preserve"> </w:t>
      </w:r>
    </w:p>
    <w:p w14:paraId="672D929C">
      <w:pPr>
        <w:pStyle w:val="109"/>
        <w:rPr>
          <w:rStyle w:val="30"/>
          <w:rFonts w:eastAsia="宋体" w:cs="Times New Roman"/>
          <w:color w:val="auto"/>
          <w:sz w:val="24"/>
          <w:szCs w:val="24"/>
        </w:rPr>
      </w:pPr>
      <w:r>
        <w:rPr>
          <w:rStyle w:val="30"/>
          <w:rFonts w:hint="eastAsia" w:eastAsia="宋体" w:cs="Times New Roman"/>
          <w:color w:val="auto"/>
          <w:sz w:val="24"/>
          <w:szCs w:val="24"/>
        </w:rPr>
        <w:t xml:space="preserve">4. </w:t>
      </w:r>
      <w:r>
        <w:rPr>
          <w:rStyle w:val="30"/>
          <w:rFonts w:hint="eastAsia" w:ascii="宋体" w:hAnsi="宋体" w:eastAsia="宋体" w:cs="Times New Roman"/>
          <w:color w:val="auto"/>
          <w:sz w:val="24"/>
          <w:szCs w:val="24"/>
        </w:rPr>
        <w:t>监理人</w:t>
      </w:r>
    </w:p>
    <w:p w14:paraId="7A61FA35">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4.1</w:t>
      </w:r>
      <w:r>
        <w:rPr>
          <w:rStyle w:val="30"/>
          <w:rFonts w:hint="eastAsia" w:ascii="黑体" w:hAnsi="黑体" w:eastAsia="黑体" w:cs="Times New Roman"/>
          <w:color w:val="auto"/>
          <w:kern w:val="2"/>
        </w:rPr>
        <w:t>监理人的一般规定</w:t>
      </w:r>
    </w:p>
    <w:p w14:paraId="63C34C4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关于监理人的监理内容：</w:t>
      </w:r>
      <w:r>
        <w:rPr>
          <w:rStyle w:val="30"/>
          <w:rFonts w:hint="eastAsia" w:ascii="仿宋_GB2312" w:hAnsi="Calibri" w:eastAsia="仿宋_GB2312" w:cs="Times New Roman"/>
          <w:color w:val="auto"/>
          <w:u w:val="single"/>
        </w:rPr>
        <w:t>按照发包人与监理方签订的合同，依照合同和有关法律、法规、负责和主持整个项目的监理工作，在合同规定范围内，对工程项目施工进行全过程监理（包括工程质量、工期进度、安全文明施工管理、工程量与工程款的审核等）</w:t>
      </w:r>
      <w:r>
        <w:rPr>
          <w:rStyle w:val="30"/>
          <w:rFonts w:hint="eastAsia" w:ascii="仿宋_GB2312" w:hAnsi="Calibri" w:eastAsia="仿宋_GB2312" w:cs="Times New Roman"/>
          <w:color w:val="auto"/>
          <w:kern w:val="2"/>
        </w:rPr>
        <w:t>。</w:t>
      </w:r>
    </w:p>
    <w:p w14:paraId="40DC9104">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关于监理人的监理权限：</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u w:val="single"/>
        </w:rPr>
        <w:t>监理人根据发包人授权及法律规定，代表发包人对工程施工相关事项进行检查、查验、审核、验收，并签发相关指示，但监理无权修改合同，且无权减轻或免除合同约定的承包人的任何责任和义务</w:t>
      </w: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 xml:space="preserve"> </w:t>
      </w:r>
    </w:p>
    <w:p w14:paraId="3A9C2CEE">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关于监理人在施工现场的办公场所、生活场所的提供和费用承担的约定：</w:t>
      </w:r>
      <w:r>
        <w:rPr>
          <w:rStyle w:val="30"/>
          <w:rFonts w:hint="eastAsia" w:ascii="宋体" w:hAnsi="宋体" w:cs="Times New Roman"/>
          <w:color w:val="auto"/>
          <w:kern w:val="2"/>
          <w:u w:val="single"/>
        </w:rPr>
        <w:t>由承包人承担</w:t>
      </w:r>
      <w:r>
        <w:rPr>
          <w:rStyle w:val="30"/>
          <w:rFonts w:hint="eastAsia" w:ascii="仿宋_GB2312"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p>
    <w:p w14:paraId="5854BAB6">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4.2 </w:t>
      </w:r>
      <w:r>
        <w:rPr>
          <w:rStyle w:val="30"/>
          <w:rFonts w:hint="eastAsia" w:ascii="黑体" w:hAnsi="黑体" w:eastAsia="黑体" w:cs="Times New Roman"/>
          <w:color w:val="auto"/>
          <w:kern w:val="2"/>
        </w:rPr>
        <w:t>监理人员</w:t>
      </w:r>
    </w:p>
    <w:p w14:paraId="4AFF37AA">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总监理工程师：</w:t>
      </w:r>
    </w:p>
    <w:p w14:paraId="60011F9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姓</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名：</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E52B11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职</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务：</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CCFE7FF">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监理工程师执业资格证书号：</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50FA3CDF">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联系电话：</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910C355">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电子信箱：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7AC2A84">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通信地址：</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70E20F2">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关于监理人的其他约定：</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6CEFA2D">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4.4 </w:t>
      </w:r>
      <w:r>
        <w:rPr>
          <w:rStyle w:val="30"/>
          <w:rFonts w:hint="eastAsia" w:ascii="黑体" w:hAnsi="黑体" w:eastAsia="黑体" w:cs="Times New Roman"/>
          <w:color w:val="auto"/>
          <w:kern w:val="2"/>
        </w:rPr>
        <w:t>商定或确定</w:t>
      </w:r>
    </w:p>
    <w:p w14:paraId="5E20C199">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在发包人和承包人不能通过协商达成一致意见时，发包人授权监理人对以下事项进行确定：</w:t>
      </w:r>
    </w:p>
    <w:p w14:paraId="6AF78BB6">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1</w:t>
      </w:r>
      <w:r>
        <w:rPr>
          <w:rStyle w:val="30"/>
          <w:rFonts w:hint="eastAsia" w:ascii="仿宋_GB2312" w:hAnsi="Calibri" w:eastAsia="仿宋_GB2312" w:cs="Times New Roman"/>
          <w:color w:val="auto"/>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A7C34D3">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2</w:t>
      </w:r>
      <w:r>
        <w:rPr>
          <w:rStyle w:val="30"/>
          <w:rFonts w:hint="eastAsia" w:ascii="仿宋_GB2312" w:hAnsi="Calibri" w:eastAsia="仿宋_GB2312" w:cs="Times New Roman"/>
          <w:color w:val="auto"/>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D78535B">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3</w:t>
      </w:r>
      <w:r>
        <w:rPr>
          <w:rStyle w:val="30"/>
          <w:rFonts w:hint="eastAsia" w:ascii="仿宋_GB2312" w:hAnsi="Calibri" w:eastAsia="仿宋_GB2312" w:cs="Times New Roman"/>
          <w:color w:val="auto"/>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2C04BB4">
      <w:pPr>
        <w:pStyle w:val="109"/>
        <w:rPr>
          <w:rStyle w:val="30"/>
          <w:rFonts w:eastAsia="宋体" w:cs="Times New Roman"/>
          <w:color w:val="auto"/>
          <w:sz w:val="24"/>
          <w:szCs w:val="24"/>
        </w:rPr>
      </w:pPr>
      <w:r>
        <w:rPr>
          <w:rStyle w:val="30"/>
          <w:rFonts w:hint="eastAsia" w:eastAsia="宋体" w:cs="Times New Roman"/>
          <w:color w:val="auto"/>
          <w:sz w:val="24"/>
          <w:szCs w:val="24"/>
        </w:rPr>
        <w:t xml:space="preserve">5. </w:t>
      </w:r>
      <w:r>
        <w:rPr>
          <w:rStyle w:val="30"/>
          <w:rFonts w:hint="eastAsia" w:ascii="宋体" w:hAnsi="宋体" w:eastAsia="宋体" w:cs="Times New Roman"/>
          <w:color w:val="auto"/>
          <w:sz w:val="24"/>
          <w:szCs w:val="24"/>
        </w:rPr>
        <w:t>工程质量</w:t>
      </w:r>
    </w:p>
    <w:p w14:paraId="3BE0B3A0">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5.1 </w:t>
      </w:r>
      <w:r>
        <w:rPr>
          <w:rStyle w:val="30"/>
          <w:rFonts w:hint="eastAsia" w:ascii="黑体" w:hAnsi="黑体" w:eastAsia="黑体" w:cs="Times New Roman"/>
          <w:color w:val="auto"/>
          <w:kern w:val="2"/>
        </w:rPr>
        <w:t>质量要求</w:t>
      </w:r>
    </w:p>
    <w:p w14:paraId="5813067F">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5.1.1 </w:t>
      </w:r>
      <w:r>
        <w:rPr>
          <w:rStyle w:val="30"/>
          <w:rFonts w:hint="eastAsia" w:ascii="仿宋_GB2312" w:hAnsi="Calibri" w:eastAsia="仿宋_GB2312" w:cs="Times New Roman"/>
          <w:color w:val="auto"/>
          <w:kern w:val="2"/>
        </w:rPr>
        <w:t>特殊质量标准和要求：</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工程质量标准必须符合现行国家有关工程施工质量验收规范和标准的要求，质量合格（详见第三章工程建设标准）</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 xml:space="preserve">  </w:t>
      </w:r>
    </w:p>
    <w:p w14:paraId="69D841B7">
      <w:pPr>
        <w:pStyle w:val="79"/>
        <w:widowControl/>
        <w:spacing w:line="300" w:lineRule="exact"/>
        <w:ind w:firstLine="420" w:firstLineChars="200"/>
        <w:rPr>
          <w:rStyle w:val="30"/>
          <w:rFonts w:ascii="Calibri" w:hAnsi="Calibri" w:eastAsia="仿宋_GB2312" w:cs="Times New Roman"/>
          <w:b/>
          <w:bCs/>
          <w:color w:val="auto"/>
          <w:kern w:val="2"/>
          <w:u w:val="single"/>
        </w:rPr>
      </w:pPr>
      <w:r>
        <w:rPr>
          <w:rStyle w:val="30"/>
          <w:rFonts w:hint="eastAsia" w:ascii="仿宋_GB2312" w:hAnsi="Calibri" w:eastAsia="仿宋_GB2312" w:cs="Times New Roman"/>
          <w:color w:val="auto"/>
          <w:kern w:val="2"/>
        </w:rPr>
        <w:t>关于工程奖项的约定：</w:t>
      </w:r>
      <w:r>
        <w:rPr>
          <w:rStyle w:val="30"/>
          <w:rFonts w:hint="eastAsia" w:ascii="仿宋_GB2312" w:hAnsi="Calibri" w:eastAsia="仿宋_GB2312" w:cs="Times New Roman"/>
          <w:b/>
          <w:bCs/>
          <w:color w:val="auto"/>
          <w:kern w:val="2"/>
          <w:u w:val="single"/>
        </w:rPr>
        <w:t>本工程质量目标等级要求为：□优质工程（要求达到□市级□省级□国家级）；</w:t>
      </w:r>
      <w:r>
        <w:rPr>
          <w:rStyle w:val="30"/>
          <w:rFonts w:hint="eastAsia" w:ascii="MS Mincho" w:hAnsi="MS Mincho" w:eastAsia="MS Mincho" w:cs="MS Mincho"/>
          <w:b/>
          <w:bCs/>
          <w:color w:val="auto"/>
          <w:kern w:val="2"/>
          <w:u w:val="single"/>
        </w:rPr>
        <w:t>☑</w:t>
      </w:r>
      <w:r>
        <w:rPr>
          <w:rStyle w:val="30"/>
          <w:rFonts w:hint="eastAsia" w:ascii="仿宋_GB2312" w:hAnsi="Calibri" w:eastAsia="仿宋_GB2312" w:cs="Times New Roman"/>
          <w:b/>
          <w:bCs/>
          <w:color w:val="auto"/>
          <w:kern w:val="2"/>
          <w:u w:val="single"/>
        </w:rPr>
        <w:t>合格。</w:t>
      </w:r>
    </w:p>
    <w:p w14:paraId="6BCCF46F">
      <w:pPr>
        <w:pStyle w:val="79"/>
        <w:widowControl/>
        <w:spacing w:line="300" w:lineRule="exact"/>
        <w:ind w:firstLine="422" w:firstLineChars="200"/>
        <w:rPr>
          <w:rStyle w:val="30"/>
          <w:rFonts w:hint="eastAsia" w:ascii="宋体" w:hAnsi="宋体" w:cs="Times New Roman"/>
          <w:b/>
          <w:bCs/>
          <w:color w:val="auto"/>
          <w:u w:val="single"/>
        </w:rPr>
      </w:pPr>
      <w:r>
        <w:rPr>
          <w:rStyle w:val="30"/>
          <w:rFonts w:hint="eastAsia" w:ascii="仿宋_GB2312" w:hAnsi="Calibri" w:eastAsia="仿宋_GB2312" w:cs="Times New Roman"/>
          <w:b/>
          <w:bCs/>
          <w:color w:val="auto"/>
          <w:kern w:val="2"/>
          <w:u w:val="single"/>
        </w:rPr>
        <w:t>合同约定有工程获奖目标等级要求而实际未获奖的，不计算优质工程增加费；实际获奖等级与合同约定不符或合同无约定而实际获奖的，按实际获奖等级根据《浙江省建设工程计价规则》（</w:t>
      </w:r>
      <w:r>
        <w:rPr>
          <w:rStyle w:val="30"/>
          <w:rFonts w:hint="eastAsia" w:ascii="Calibri" w:hAnsi="Calibri" w:eastAsia="仿宋_GB2312" w:cs="Times New Roman"/>
          <w:b/>
          <w:bCs/>
          <w:color w:val="auto"/>
          <w:kern w:val="2"/>
          <w:u w:val="single"/>
        </w:rPr>
        <w:t>2018</w:t>
      </w:r>
      <w:r>
        <w:rPr>
          <w:rStyle w:val="30"/>
          <w:rFonts w:hint="eastAsia" w:ascii="仿宋_GB2312" w:hAnsi="Calibri" w:eastAsia="仿宋_GB2312" w:cs="Times New Roman"/>
          <w:b/>
          <w:bCs/>
          <w:color w:val="auto"/>
          <w:kern w:val="2"/>
          <w:u w:val="single"/>
        </w:rPr>
        <w:t>版）规定的相应费率标准的</w:t>
      </w:r>
      <w:r>
        <w:rPr>
          <w:rStyle w:val="30"/>
          <w:rFonts w:hint="eastAsia" w:ascii="Calibri" w:hAnsi="Calibri" w:eastAsia="仿宋_GB2312" w:cs="Times New Roman"/>
          <w:b/>
          <w:bCs/>
          <w:color w:val="auto"/>
          <w:kern w:val="2"/>
          <w:u w:val="single"/>
        </w:rPr>
        <w:t xml:space="preserve"> 75%</w:t>
      </w:r>
      <w:r>
        <w:rPr>
          <w:rStyle w:val="30"/>
          <w:rFonts w:hint="eastAsia" w:ascii="仿宋_GB2312" w:hAnsi="Calibri" w:eastAsia="仿宋_GB2312" w:cs="Times New Roman"/>
          <w:b/>
          <w:bCs/>
          <w:color w:val="auto"/>
          <w:kern w:val="2"/>
          <w:u w:val="single"/>
        </w:rPr>
        <w:t>计算优质工程增加费，实际获奖等级高于合同约定等级的，不应低于合同约定等级原有费率标准 ，具体另行约定。</w:t>
      </w:r>
    </w:p>
    <w:p w14:paraId="16A0E685">
      <w:pPr>
        <w:pStyle w:val="79"/>
        <w:spacing w:after="120" w:line="320" w:lineRule="exact"/>
        <w:ind w:firstLine="420" w:firstLineChars="200"/>
        <w:rPr>
          <w:rStyle w:val="30"/>
          <w:rFonts w:hint="eastAsia" w:ascii="Times New Roman" w:hAnsi="Times New Roman" w:eastAsia="黑体" w:cs="Times New Roman"/>
          <w:color w:val="auto"/>
          <w:kern w:val="2"/>
        </w:rPr>
      </w:pPr>
      <w:r>
        <w:rPr>
          <w:rStyle w:val="30"/>
          <w:rFonts w:ascii="Calibri" w:hAnsi="Calibri" w:eastAsia="黑体" w:cs="Times New Roman"/>
          <w:color w:val="auto"/>
          <w:kern w:val="2"/>
        </w:rPr>
        <w:t xml:space="preserve">5.3 </w:t>
      </w:r>
      <w:r>
        <w:rPr>
          <w:rStyle w:val="30"/>
          <w:rFonts w:hint="eastAsia" w:ascii="黑体" w:hAnsi="黑体" w:eastAsia="黑体" w:cs="Times New Roman"/>
          <w:color w:val="auto"/>
          <w:kern w:val="2"/>
        </w:rPr>
        <w:t>隐蔽工程检查</w:t>
      </w:r>
      <w:r>
        <w:rPr>
          <w:rStyle w:val="30"/>
          <w:rFonts w:ascii="Calibri" w:hAnsi="Calibri" w:eastAsia="黑体" w:cs="Times New Roman"/>
          <w:color w:val="auto"/>
          <w:kern w:val="2"/>
        </w:rPr>
        <w:t xml:space="preserve"> </w:t>
      </w:r>
    </w:p>
    <w:p w14:paraId="72A91C8F">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5.3.2</w:t>
      </w:r>
      <w:r>
        <w:rPr>
          <w:rStyle w:val="30"/>
          <w:rFonts w:hint="eastAsia" w:ascii="仿宋_GB2312" w:hAnsi="Calibri" w:eastAsia="仿宋_GB2312" w:cs="Times New Roman"/>
          <w:color w:val="auto"/>
          <w:kern w:val="2"/>
        </w:rPr>
        <w:t>承包人提前通知监理人隐蔽工程检查的期限的约定：</w:t>
      </w:r>
      <w:r>
        <w:rPr>
          <w:rStyle w:val="30"/>
          <w:rFonts w:ascii="Calibri" w:hAnsi="Calibri" w:eastAsia="仿宋_GB2312" w:cs="Times New Roman"/>
          <w:color w:val="auto"/>
          <w:kern w:val="2"/>
          <w:u w:val="single"/>
        </w:rPr>
        <w:t xml:space="preserve">  </w:t>
      </w:r>
      <w:r>
        <w:rPr>
          <w:rStyle w:val="30"/>
          <w:rFonts w:hint="eastAsia" w:ascii="宋体" w:hAnsi="宋体" w:eastAsia="仿宋_GB2312" w:cs="宋体"/>
          <w:color w:val="auto"/>
          <w:u w:val="single"/>
        </w:rPr>
        <w:t>24</w:t>
      </w:r>
      <w:r>
        <w:rPr>
          <w:rStyle w:val="30"/>
          <w:rFonts w:hint="eastAsia" w:ascii="仿宋_GB2312" w:hAnsi="宋体" w:eastAsia="仿宋_GB2312" w:cs="宋体"/>
          <w:color w:val="auto"/>
          <w:u w:val="single"/>
        </w:rPr>
        <w:t>小时</w:t>
      </w:r>
      <w:r>
        <w:rPr>
          <w:rStyle w:val="30"/>
          <w:rFonts w:hint="eastAsia" w:ascii="宋体" w:hAnsi="宋体" w:eastAsia="仿宋_GB2312" w:cs="宋体"/>
          <w:color w:val="auto"/>
          <w:u w:val="single"/>
        </w:rPr>
        <w:t xml:space="preserve">  </w:t>
      </w:r>
      <w:r>
        <w:rPr>
          <w:rStyle w:val="30"/>
          <w:rFonts w:hint="eastAsia" w:ascii="宋体" w:hAnsi="宋体" w:eastAsia="宋体" w:cs="宋体"/>
          <w:color w:val="auto"/>
        </w:rPr>
        <w:t>。</w:t>
      </w:r>
    </w:p>
    <w:p w14:paraId="781718F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监理人不能按时进行检查时，应提前</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24</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小时提交书面延期要求。</w:t>
      </w:r>
    </w:p>
    <w:p w14:paraId="2D1AF2B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关于延期最长不得超过：</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48</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小时。</w:t>
      </w:r>
    </w:p>
    <w:p w14:paraId="30A327B8">
      <w:pPr>
        <w:pStyle w:val="109"/>
        <w:rPr>
          <w:rStyle w:val="30"/>
          <w:rFonts w:eastAsia="宋体" w:cs="Times New Roman"/>
          <w:color w:val="auto"/>
          <w:sz w:val="24"/>
          <w:szCs w:val="24"/>
        </w:rPr>
      </w:pPr>
      <w:r>
        <w:rPr>
          <w:rStyle w:val="30"/>
          <w:rFonts w:hint="eastAsia" w:eastAsia="宋体" w:cs="Times New Roman"/>
          <w:color w:val="auto"/>
          <w:sz w:val="24"/>
          <w:szCs w:val="24"/>
        </w:rPr>
        <w:t xml:space="preserve">6. </w:t>
      </w:r>
      <w:r>
        <w:rPr>
          <w:rStyle w:val="30"/>
          <w:rFonts w:hint="eastAsia" w:ascii="宋体" w:hAnsi="宋体" w:eastAsia="宋体" w:cs="Times New Roman"/>
          <w:color w:val="auto"/>
          <w:sz w:val="24"/>
          <w:szCs w:val="24"/>
        </w:rPr>
        <w:t>安全文明施工与环境保护</w:t>
      </w:r>
    </w:p>
    <w:p w14:paraId="2778F691">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6.1</w:t>
      </w:r>
      <w:r>
        <w:rPr>
          <w:rStyle w:val="30"/>
          <w:rFonts w:hint="eastAsia" w:ascii="黑体" w:hAnsi="黑体" w:eastAsia="黑体" w:cs="Times New Roman"/>
          <w:color w:val="auto"/>
          <w:kern w:val="2"/>
        </w:rPr>
        <w:t>安全文明施工</w:t>
      </w:r>
    </w:p>
    <w:p w14:paraId="40D91494">
      <w:pPr>
        <w:pStyle w:val="79"/>
        <w:spacing w:line="360" w:lineRule="exact"/>
        <w:ind w:firstLine="403" w:firstLineChars="192"/>
        <w:rPr>
          <w:rStyle w:val="30"/>
          <w:rFonts w:ascii="宋体" w:hAnsi="Calibri" w:eastAsia="宋体" w:cs="Times New Roman"/>
          <w:color w:val="auto"/>
          <w:u w:val="single"/>
        </w:rPr>
      </w:pPr>
      <w:r>
        <w:rPr>
          <w:rStyle w:val="30"/>
          <w:rFonts w:ascii="Calibri" w:hAnsi="Calibri" w:eastAsia="仿宋_GB2312" w:cs="Times New Roman"/>
          <w:color w:val="auto"/>
          <w:kern w:val="2"/>
        </w:rPr>
        <w:t xml:space="preserve">6.1.1 </w:t>
      </w:r>
      <w:r>
        <w:rPr>
          <w:rStyle w:val="30"/>
          <w:rFonts w:hint="eastAsia" w:ascii="仿宋_GB2312" w:hAnsi="Calibri" w:eastAsia="仿宋_GB2312" w:cs="Times New Roman"/>
          <w:color w:val="auto"/>
          <w:kern w:val="2"/>
        </w:rPr>
        <w:t>项目安全生产的达标目标及相应事项的约定</w:t>
      </w:r>
      <w:r>
        <w:rPr>
          <w:rStyle w:val="30"/>
          <w:rFonts w:hint="eastAsia" w:ascii="宋体" w:hAnsi="宋体" w:eastAsia="宋体" w:cs="宋体"/>
          <w:color w:val="auto"/>
          <w:u w:val="single"/>
        </w:rPr>
        <w:t>：</w:t>
      </w:r>
    </w:p>
    <w:p w14:paraId="1F701B0B">
      <w:pPr>
        <w:pStyle w:val="79"/>
        <w:spacing w:line="360" w:lineRule="exact"/>
        <w:ind w:firstLine="405" w:firstLineChars="192"/>
        <w:rPr>
          <w:rStyle w:val="30"/>
          <w:rFonts w:hint="eastAsia" w:ascii="Times New Roman" w:hAnsi="Calibri" w:eastAsia="仿宋_GB2312" w:cs="Times New Roman"/>
          <w:strike/>
          <w:color w:val="auto"/>
          <w:kern w:val="2"/>
        </w:rPr>
      </w:pPr>
      <w:r>
        <w:rPr>
          <w:rStyle w:val="30"/>
          <w:rFonts w:ascii="仿宋_GB2312" w:hAnsi="Calibri" w:eastAsia="仿宋_GB2312" w:cs="Times New Roman"/>
          <w:b/>
          <w:bCs/>
          <w:color w:val="auto"/>
          <w:kern w:val="2"/>
          <w:u w:val="single"/>
        </w:rPr>
        <w:t>按《浙江省建筑施工安全标准化管理规定》（浙建建〔</w:t>
      </w:r>
      <w:r>
        <w:rPr>
          <w:rStyle w:val="30"/>
          <w:rFonts w:ascii="Calibri" w:hAnsi="Calibri" w:eastAsia="仿宋_GB2312" w:cs="Times New Roman"/>
          <w:b/>
          <w:bCs/>
          <w:color w:val="auto"/>
          <w:kern w:val="2"/>
          <w:u w:val="single"/>
        </w:rPr>
        <w:t>2012</w:t>
      </w:r>
      <w:r>
        <w:rPr>
          <w:rStyle w:val="30"/>
          <w:rFonts w:ascii="仿宋_GB2312" w:hAnsi="Calibri" w:eastAsia="仿宋_GB2312" w:cs="Times New Roman"/>
          <w:b/>
          <w:bCs/>
          <w:color w:val="auto"/>
          <w:kern w:val="2"/>
          <w:u w:val="single"/>
        </w:rPr>
        <w:t>〕</w:t>
      </w:r>
      <w:r>
        <w:rPr>
          <w:rStyle w:val="30"/>
          <w:rFonts w:ascii="Calibri" w:hAnsi="Calibri" w:eastAsia="仿宋_GB2312" w:cs="Times New Roman"/>
          <w:b/>
          <w:bCs/>
          <w:color w:val="auto"/>
          <w:kern w:val="2"/>
          <w:u w:val="single"/>
        </w:rPr>
        <w:t>54</w:t>
      </w:r>
      <w:r>
        <w:rPr>
          <w:rStyle w:val="30"/>
          <w:rFonts w:ascii="仿宋_GB2312" w:hAnsi="Calibri" w:eastAsia="仿宋_GB2312" w:cs="Times New Roman"/>
          <w:b/>
          <w:bCs/>
          <w:color w:val="auto"/>
          <w:kern w:val="2"/>
          <w:u w:val="single"/>
        </w:rPr>
        <w:t>号）及省、市建筑业、安全监督等相关主管部门发布的有关管理规定执行</w:t>
      </w:r>
      <w:r>
        <w:rPr>
          <w:rStyle w:val="30"/>
          <w:rFonts w:hint="eastAsia" w:ascii="仿宋_GB2312" w:hAnsi="Calibri" w:eastAsia="仿宋_GB2312" w:cs="Times New Roman"/>
          <w:b/>
          <w:bCs/>
          <w:color w:val="auto"/>
          <w:kern w:val="2"/>
          <w:u w:val="single"/>
        </w:rPr>
        <w:t>。</w:t>
      </w:r>
    </w:p>
    <w:p w14:paraId="474C76E8">
      <w:pPr>
        <w:pStyle w:val="79"/>
        <w:spacing w:line="320" w:lineRule="exact"/>
        <w:rPr>
          <w:rStyle w:val="30"/>
          <w:rFonts w:hint="eastAsia" w:ascii="Calibri" w:hAnsi="Calibri" w:eastAsia="仿宋_GB2312" w:cs="Times New Roman"/>
          <w:color w:val="auto"/>
          <w:kern w:val="2"/>
        </w:rPr>
      </w:pPr>
      <w:r>
        <w:rPr>
          <w:rStyle w:val="30"/>
          <w:rFonts w:ascii="Calibri" w:hAnsi="Calibri" w:eastAsia="仿宋_GB2312" w:cs="Times New Roman"/>
          <w:color w:val="auto"/>
          <w:kern w:val="2"/>
        </w:rPr>
        <w:t xml:space="preserve">    6.1.4 </w:t>
      </w:r>
      <w:r>
        <w:rPr>
          <w:rStyle w:val="30"/>
          <w:rFonts w:hint="eastAsia" w:ascii="仿宋_GB2312" w:hAnsi="Calibri" w:eastAsia="仿宋_GB2312" w:cs="Times New Roman"/>
          <w:color w:val="auto"/>
          <w:kern w:val="2"/>
        </w:rPr>
        <w:t>关于治安保卫的特别约定：</w:t>
      </w:r>
      <w:r>
        <w:rPr>
          <w:rStyle w:val="30"/>
          <w:rFonts w:ascii="Calibri" w:hAnsi="Calibri" w:eastAsia="仿宋_GB2312" w:cs="Times New Roman"/>
          <w:color w:val="auto"/>
          <w:kern w:val="2"/>
          <w:u w:val="single"/>
        </w:rPr>
        <w:t xml:space="preserve">  </w:t>
      </w:r>
      <w:r>
        <w:rPr>
          <w:rStyle w:val="30"/>
          <w:rFonts w:hint="eastAsia" w:ascii="宋体" w:hAnsi="宋体" w:cs="Times New Roman"/>
          <w:color w:val="auto"/>
          <w:kern w:val="2"/>
          <w:u w:val="single"/>
        </w:rPr>
        <w:t>施工现场的安全保卫工作（包括此项工作发生的费用）全部由承包人承担</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7C610B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关于编制施工场地治安管理计划的约定：</w:t>
      </w:r>
      <w:r>
        <w:rPr>
          <w:rStyle w:val="30"/>
          <w:rFonts w:ascii="Calibri" w:hAnsi="Calibri" w:eastAsia="仿宋_GB2312" w:cs="Times New Roman"/>
          <w:color w:val="auto"/>
          <w:kern w:val="2"/>
          <w:u w:val="single"/>
        </w:rPr>
        <w:t xml:space="preserve">   </w:t>
      </w:r>
      <w:r>
        <w:rPr>
          <w:rStyle w:val="30"/>
          <w:rFonts w:hint="eastAsia" w:ascii="宋体" w:hAnsi="宋体" w:eastAsia="宋体" w:cs="宋体"/>
          <w:color w:val="auto"/>
          <w:u w:val="single"/>
        </w:rPr>
        <w:t>承包人负责编制。</w:t>
      </w:r>
      <w:r>
        <w:rPr>
          <w:rStyle w:val="30"/>
          <w:rFonts w:ascii="宋体" w:hAnsi="Calibri" w:cs="宋体"/>
          <w:color w:val="auto"/>
          <w:u w:val="single"/>
        </w:rPr>
        <w:t xml:space="preserve">  </w:t>
      </w:r>
      <w:r>
        <w:rPr>
          <w:rStyle w:val="30"/>
          <w:rFonts w:ascii="Calibri" w:hAnsi="Calibri" w:eastAsia="仿宋_GB2312" w:cs="Times New Roman"/>
          <w:color w:val="auto"/>
          <w:kern w:val="2"/>
          <w:u w:val="single"/>
        </w:rPr>
        <w:t xml:space="preserve">     </w:t>
      </w:r>
      <w:r>
        <w:rPr>
          <w:rStyle w:val="30"/>
          <w:rFonts w:ascii="Calibri" w:hAnsi="Calibri" w:eastAsia="仿宋_GB2312" w:cs="Times New Roman"/>
          <w:color w:val="auto"/>
          <w:kern w:val="2"/>
          <w:u w:val="single"/>
        </w:rPr>
        <w:br w:type="textWrapping"/>
      </w:r>
      <w:r>
        <w:rPr>
          <w:rStyle w:val="30"/>
          <w:rFonts w:ascii="Calibri" w:hAnsi="Calibri" w:eastAsia="仿宋_GB2312" w:cs="Times New Roman"/>
          <w:color w:val="auto"/>
          <w:kern w:val="2"/>
        </w:rPr>
        <w:t xml:space="preserve">6.1.5 </w:t>
      </w:r>
      <w:r>
        <w:rPr>
          <w:rStyle w:val="30"/>
          <w:rFonts w:hint="eastAsia" w:ascii="仿宋_GB2312" w:hAnsi="Calibri" w:eastAsia="仿宋_GB2312" w:cs="Times New Roman"/>
          <w:color w:val="auto"/>
          <w:kern w:val="2"/>
        </w:rPr>
        <w:t>文明施工</w:t>
      </w:r>
    </w:p>
    <w:p w14:paraId="2B9773B5">
      <w:pPr>
        <w:pStyle w:val="79"/>
        <w:widowControl/>
        <w:spacing w:line="300" w:lineRule="exact"/>
        <w:ind w:firstLine="420" w:firstLineChars="200"/>
        <w:rPr>
          <w:rStyle w:val="30"/>
          <w:rFonts w:ascii="Calibri" w:hAnsi="Calibri" w:eastAsia="仿宋_GB2312" w:cs="Times New Roman"/>
          <w:b/>
          <w:bCs/>
          <w:color w:val="auto"/>
          <w:kern w:val="2"/>
          <w:u w:val="single"/>
        </w:rPr>
      </w:pPr>
      <w:r>
        <w:rPr>
          <w:rStyle w:val="30"/>
          <w:rFonts w:hint="eastAsia" w:ascii="仿宋_GB2312" w:hAnsi="Calibri" w:eastAsia="仿宋_GB2312" w:cs="Times New Roman"/>
          <w:color w:val="auto"/>
        </w:rPr>
        <w:t>合同当事人对文明施工的要求：按现行国家、省、市有关文明施工管理规定执行。</w:t>
      </w:r>
      <w:r>
        <w:rPr>
          <w:rStyle w:val="30"/>
          <w:rFonts w:hint="eastAsia" w:ascii="仿宋_GB2312" w:hAnsi="Calibri" w:eastAsia="仿宋_GB2312" w:cs="Times New Roman"/>
          <w:b/>
          <w:bCs/>
          <w:color w:val="auto"/>
          <w:kern w:val="2"/>
          <w:u w:val="single"/>
        </w:rPr>
        <w:t>本工程标化工地目标等级要求为：□标化工地（要求达到□县区级或市本级□市级□省级□国家级）</w:t>
      </w:r>
      <w:r>
        <w:rPr>
          <w:rStyle w:val="30"/>
          <w:rFonts w:hint="eastAsia" w:ascii="MS Mincho" w:hAnsi="MS Mincho" w:eastAsia="MS Mincho" w:cs="MS Mincho"/>
          <w:b/>
          <w:bCs/>
          <w:color w:val="auto"/>
          <w:kern w:val="2"/>
          <w:u w:val="single"/>
        </w:rPr>
        <w:t>☑</w:t>
      </w:r>
      <w:r>
        <w:rPr>
          <w:rStyle w:val="30"/>
          <w:rFonts w:hint="eastAsia" w:ascii="仿宋_GB2312" w:hAnsi="Calibri" w:eastAsia="仿宋_GB2312" w:cs="Times New Roman"/>
          <w:b/>
          <w:bCs/>
          <w:color w:val="auto"/>
          <w:kern w:val="2"/>
          <w:u w:val="single"/>
        </w:rPr>
        <w:t>不作要求</w:t>
      </w:r>
    </w:p>
    <w:p w14:paraId="7B66259F">
      <w:pPr>
        <w:pStyle w:val="79"/>
        <w:widowControl/>
        <w:spacing w:line="300" w:lineRule="exact"/>
        <w:ind w:firstLine="420" w:firstLineChars="200"/>
        <w:rPr>
          <w:rStyle w:val="30"/>
          <w:rFonts w:hint="eastAsia" w:ascii="Calibri" w:hAnsi="Calibri" w:eastAsia="宋体" w:cs="Times New Roman"/>
          <w:color w:val="auto"/>
        </w:rPr>
      </w:pPr>
      <w:r>
        <w:rPr>
          <w:rStyle w:val="30"/>
          <w:rFonts w:hint="eastAsia" w:ascii="宋体" w:hAnsi="宋体" w:eastAsia="宋体" w:cs="宋体"/>
          <w:color w:val="auto"/>
          <w:kern w:val="2"/>
        </w:rPr>
        <w:t>承包人必须配合发包人做好本工程的周边居民纠纷处理及协调工作。</w:t>
      </w:r>
      <w:r>
        <w:rPr>
          <w:rStyle w:val="30"/>
          <w:rFonts w:ascii="宋体" w:hAnsi="宋体" w:cs="宋体"/>
          <w:color w:val="auto"/>
          <w:kern w:val="2"/>
        </w:rPr>
        <w:t xml:space="preserve">  </w:t>
      </w:r>
    </w:p>
    <w:p w14:paraId="099DA67F">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6.1.6 </w:t>
      </w:r>
      <w:r>
        <w:rPr>
          <w:rStyle w:val="30"/>
          <w:rFonts w:hint="eastAsia" w:ascii="仿宋_GB2312" w:hAnsi="Calibri" w:eastAsia="仿宋_GB2312" w:cs="Times New Roman"/>
          <w:color w:val="auto"/>
        </w:rPr>
        <w:t>关于安全文明施工基本费支付比例和支付期限的约定：</w:t>
      </w:r>
    </w:p>
    <w:p w14:paraId="3348B413">
      <w:pPr>
        <w:pStyle w:val="79"/>
        <w:spacing w:line="320" w:lineRule="exact"/>
        <w:ind w:firstLine="422" w:firstLineChars="200"/>
        <w:rPr>
          <w:rStyle w:val="30"/>
          <w:rFonts w:hint="eastAsia" w:ascii="Calibri" w:hAnsi="Calibri" w:eastAsia="仿宋_GB2312" w:cs="Times New Roman"/>
          <w:b/>
          <w:bCs/>
          <w:color w:val="auto"/>
          <w:kern w:val="2"/>
          <w:u w:val="single"/>
        </w:rPr>
      </w:pPr>
      <w:r>
        <w:rPr>
          <w:rStyle w:val="30"/>
          <w:rFonts w:hint="eastAsia" w:ascii="仿宋_GB2312" w:hAnsi="Calibri" w:eastAsia="仿宋_GB2312" w:cs="Times New Roman"/>
          <w:b/>
          <w:bCs/>
          <w:color w:val="auto"/>
          <w:kern w:val="2"/>
          <w:u w:val="single"/>
        </w:rPr>
        <w:t>安全文明施工基本费与进度款同期支付；安全文明施工费的使用按通用条款执行。</w:t>
      </w:r>
    </w:p>
    <w:p w14:paraId="21A0F5CB">
      <w:pPr>
        <w:pStyle w:val="79"/>
        <w:spacing w:line="320" w:lineRule="exact"/>
        <w:ind w:firstLine="422" w:firstLineChars="200"/>
        <w:rPr>
          <w:rStyle w:val="30"/>
          <w:rFonts w:hint="eastAsia" w:ascii="Calibri" w:hAnsi="Calibri" w:eastAsia="仿宋_GB2312" w:cs="Times New Roman"/>
          <w:b/>
          <w:bCs/>
          <w:color w:val="auto"/>
          <w:kern w:val="2"/>
          <w:u w:val="single"/>
        </w:rPr>
      </w:pPr>
      <w:r>
        <w:rPr>
          <w:rStyle w:val="30"/>
          <w:rFonts w:hint="eastAsia" w:ascii="仿宋_GB2312" w:hAnsi="Calibri" w:eastAsia="仿宋_GB2312" w:cs="Times New Roman"/>
          <w:b/>
          <w:bCs/>
          <w:color w:val="auto"/>
          <w:kern w:val="2"/>
          <w:u w:val="single"/>
        </w:rPr>
        <w:t>合同约定有创安全文明施工标准化工地要求而实际未创建的，不计算标化工地增加费；实际创建等级与合同约定不符或合同无约定而实际创建的，按实际创建等级根据《浙江省建设工程计价规则》（</w:t>
      </w:r>
      <w:r>
        <w:rPr>
          <w:rStyle w:val="30"/>
          <w:rFonts w:hint="eastAsia" w:ascii="Calibri" w:hAnsi="Calibri" w:eastAsia="仿宋_GB2312" w:cs="Times New Roman"/>
          <w:b/>
          <w:bCs/>
          <w:color w:val="auto"/>
          <w:kern w:val="2"/>
          <w:u w:val="single"/>
        </w:rPr>
        <w:t>2018</w:t>
      </w:r>
      <w:r>
        <w:rPr>
          <w:rStyle w:val="30"/>
          <w:rFonts w:hint="eastAsia" w:ascii="仿宋_GB2312" w:hAnsi="Calibri" w:eastAsia="仿宋_GB2312" w:cs="Times New Roman"/>
          <w:b/>
          <w:bCs/>
          <w:color w:val="auto"/>
          <w:kern w:val="2"/>
          <w:u w:val="single"/>
        </w:rPr>
        <w:t>版）规定的相应费率标准的相应费率标准</w:t>
      </w:r>
      <w:r>
        <w:rPr>
          <w:rStyle w:val="30"/>
          <w:rFonts w:hint="eastAsia" w:ascii="Calibri" w:hAnsi="Calibri" w:eastAsia="仿宋_GB2312" w:cs="Times New Roman"/>
          <w:b/>
          <w:bCs/>
          <w:color w:val="auto"/>
          <w:kern w:val="2"/>
          <w:u w:val="single"/>
        </w:rPr>
        <w:t xml:space="preserve"> </w:t>
      </w:r>
      <w:r>
        <w:rPr>
          <w:rStyle w:val="30"/>
          <w:rFonts w:hint="eastAsia" w:ascii="仿宋_GB2312" w:hAnsi="Calibri" w:eastAsia="仿宋_GB2312" w:cs="Times New Roman"/>
          <w:b/>
          <w:bCs/>
          <w:color w:val="auto"/>
          <w:kern w:val="2"/>
          <w:u w:val="single"/>
        </w:rPr>
        <w:t>的</w:t>
      </w:r>
      <w:r>
        <w:rPr>
          <w:rStyle w:val="30"/>
          <w:rFonts w:hint="eastAsia" w:ascii="Calibri" w:hAnsi="Calibri" w:eastAsia="仿宋_GB2312" w:cs="Times New Roman"/>
          <w:b/>
          <w:bCs/>
          <w:color w:val="auto"/>
          <w:kern w:val="2"/>
          <w:u w:val="single"/>
        </w:rPr>
        <w:t xml:space="preserve"> 75%</w:t>
      </w:r>
      <w:r>
        <w:rPr>
          <w:rStyle w:val="30"/>
          <w:rFonts w:hint="eastAsia" w:ascii="仿宋_GB2312" w:hAnsi="Calibri" w:eastAsia="仿宋_GB2312" w:cs="Times New Roman"/>
          <w:b/>
          <w:bCs/>
          <w:color w:val="auto"/>
          <w:kern w:val="2"/>
          <w:u w:val="single"/>
        </w:rPr>
        <w:t>计算标化工地增加费，实际创建等级高于合同约定等级的，不应低于合同约定等级原有费率标准 ，具体另行约定。</w:t>
      </w:r>
    </w:p>
    <w:p w14:paraId="2BFDADDE">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 </w:t>
      </w:r>
    </w:p>
    <w:p w14:paraId="0A849388">
      <w:pPr>
        <w:pStyle w:val="109"/>
        <w:rPr>
          <w:rStyle w:val="30"/>
          <w:rFonts w:eastAsia="宋体" w:cs="Times New Roman"/>
          <w:color w:val="auto"/>
          <w:sz w:val="24"/>
          <w:szCs w:val="24"/>
        </w:rPr>
      </w:pPr>
      <w:r>
        <w:rPr>
          <w:rStyle w:val="30"/>
          <w:rFonts w:hint="eastAsia" w:eastAsia="宋体" w:cs="Times New Roman"/>
          <w:color w:val="auto"/>
          <w:sz w:val="24"/>
          <w:szCs w:val="24"/>
        </w:rPr>
        <w:t xml:space="preserve">7. </w:t>
      </w:r>
      <w:r>
        <w:rPr>
          <w:rStyle w:val="30"/>
          <w:rFonts w:hint="eastAsia" w:ascii="宋体" w:hAnsi="宋体" w:eastAsia="宋体" w:cs="Times New Roman"/>
          <w:color w:val="auto"/>
          <w:sz w:val="24"/>
          <w:szCs w:val="24"/>
        </w:rPr>
        <w:t>工期和进度</w:t>
      </w:r>
    </w:p>
    <w:p w14:paraId="74AAF57F">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7.1 </w:t>
      </w:r>
      <w:r>
        <w:rPr>
          <w:rStyle w:val="30"/>
          <w:rFonts w:hint="eastAsia" w:ascii="黑体" w:hAnsi="黑体" w:eastAsia="黑体" w:cs="Times New Roman"/>
          <w:color w:val="auto"/>
          <w:kern w:val="2"/>
        </w:rPr>
        <w:t>施工组织设计</w:t>
      </w:r>
    </w:p>
    <w:p w14:paraId="1EAAE3B1">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kern w:val="2"/>
        </w:rPr>
        <w:t xml:space="preserve">7.1.1 </w:t>
      </w:r>
      <w:r>
        <w:rPr>
          <w:rStyle w:val="30"/>
          <w:rFonts w:hint="eastAsia" w:ascii="仿宋_GB2312" w:hAnsi="Calibri" w:eastAsia="仿宋_GB2312" w:cs="Times New Roman"/>
          <w:color w:val="auto"/>
          <w:kern w:val="2"/>
        </w:rPr>
        <w:t>合</w:t>
      </w:r>
      <w:r>
        <w:rPr>
          <w:rStyle w:val="30"/>
          <w:rFonts w:hint="eastAsia" w:ascii="仿宋_GB2312" w:hAnsi="Calibri" w:eastAsia="仿宋_GB2312" w:cs="Times New Roman"/>
          <w:color w:val="auto"/>
        </w:rPr>
        <w:t>同当事人约定的施工组织设计应包括的其他内容：</w:t>
      </w:r>
    </w:p>
    <w:p w14:paraId="7859E3EB">
      <w:pPr>
        <w:pStyle w:val="79"/>
        <w:spacing w:line="320" w:lineRule="exact"/>
        <w:ind w:firstLine="422" w:firstLineChars="200"/>
        <w:rPr>
          <w:rStyle w:val="30"/>
          <w:rFonts w:hint="eastAsia" w:ascii="Calibri" w:hAnsi="Calibri" w:eastAsia="仿宋_GB2312" w:cs="Times New Roman"/>
          <w:b/>
          <w:bCs/>
          <w:color w:val="auto"/>
          <w:kern w:val="2"/>
          <w:u w:val="single"/>
        </w:rPr>
      </w:pPr>
      <w:r>
        <w:rPr>
          <w:rStyle w:val="30"/>
          <w:rFonts w:hint="eastAsia" w:ascii="仿宋_GB2312" w:hAnsi="Calibri" w:eastAsia="仿宋_GB2312" w:cs="Times New Roman"/>
          <w:b/>
          <w:bCs/>
          <w:color w:val="auto"/>
          <w:kern w:val="2"/>
          <w:u w:val="single"/>
        </w:rPr>
        <w:t>对特殊工艺施工、超过一定规模的危险性较大分部分项工程施工（如深基坑支护方案、高支模承重架方案、大型施工机械设备基础等专项施工方案）应按规定办理审批手续，并按当地建设行政主管部门要求组织专家论证。</w:t>
      </w:r>
    </w:p>
    <w:p w14:paraId="29B4049E">
      <w:pPr>
        <w:pStyle w:val="79"/>
        <w:autoSpaceDE w:val="0"/>
        <w:autoSpaceDN w:val="0"/>
        <w:adjustRightInd w:val="0"/>
        <w:spacing w:line="320" w:lineRule="exact"/>
        <w:ind w:firstLine="210" w:firstLineChars="100"/>
        <w:jc w:val="left"/>
        <w:rPr>
          <w:rStyle w:val="30"/>
          <w:rFonts w:hint="eastAsia" w:ascii="Calibri" w:hAnsi="Calibri" w:eastAsia="仿宋_GB2312" w:cs="Times New Roman"/>
          <w:color w:val="auto"/>
        </w:rPr>
      </w:pPr>
      <w:r>
        <w:rPr>
          <w:rStyle w:val="30"/>
          <w:rFonts w:ascii="Calibri" w:hAnsi="Calibri" w:eastAsia="仿宋_GB2312" w:cs="Times New Roman"/>
          <w:color w:val="auto"/>
          <w:kern w:val="2"/>
        </w:rPr>
        <w:t xml:space="preserve">7.1.2 </w:t>
      </w:r>
      <w:r>
        <w:rPr>
          <w:rStyle w:val="30"/>
          <w:rFonts w:hint="eastAsia" w:ascii="仿宋_GB2312" w:hAnsi="Calibri" w:eastAsia="仿宋_GB2312" w:cs="Times New Roman"/>
          <w:color w:val="auto"/>
        </w:rPr>
        <w:t>施工组织设计的提交和修改</w:t>
      </w:r>
    </w:p>
    <w:p w14:paraId="3C19DDF3">
      <w:pPr>
        <w:pStyle w:val="79"/>
        <w:autoSpaceDE w:val="0"/>
        <w:autoSpaceDN w:val="0"/>
        <w:adjustRightInd w:val="0"/>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rPr>
        <w:t>承包人提交详细施工组织设计的期限的约定：</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接到中标通知书后</w:t>
      </w:r>
      <w:r>
        <w:rPr>
          <w:rStyle w:val="30"/>
          <w:rFonts w:hint="eastAsia" w:ascii="Calibri" w:hAnsi="Calibri" w:eastAsia="仿宋_GB2312" w:cs="Times New Roman"/>
          <w:color w:val="auto"/>
          <w:kern w:val="2"/>
          <w:u w:val="single"/>
        </w:rPr>
        <w:t>3</w:t>
      </w:r>
      <w:r>
        <w:rPr>
          <w:rStyle w:val="30"/>
          <w:rFonts w:hint="eastAsia" w:ascii="仿宋_GB2312" w:hAnsi="Calibri" w:eastAsia="仿宋_GB2312" w:cs="Times New Roman"/>
          <w:color w:val="auto"/>
          <w:kern w:val="2"/>
          <w:u w:val="single"/>
        </w:rPr>
        <w:t>天内</w:t>
      </w:r>
      <w:r>
        <w:rPr>
          <w:rStyle w:val="30"/>
          <w:rFonts w:hint="eastAsia" w:ascii="宋体" w:hAnsi="宋体" w:cs="Times New Roman"/>
          <w:color w:val="auto"/>
          <w:kern w:val="2"/>
          <w:u w:val="single"/>
        </w:rPr>
        <w:t>。</w:t>
      </w:r>
      <w:r>
        <w:rPr>
          <w:rStyle w:val="30"/>
          <w:rFonts w:ascii="Calibri" w:hAnsi="Calibri" w:eastAsia="仿宋_GB2312" w:cs="Times New Roman"/>
          <w:color w:val="auto"/>
          <w:kern w:val="2"/>
          <w:u w:val="single"/>
        </w:rPr>
        <w:t xml:space="preserve">                      </w:t>
      </w:r>
    </w:p>
    <w:p w14:paraId="016154B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发包人和监理人在收到详细的施工组织设计后确认或提出修改意见的期限：</w:t>
      </w:r>
      <w:r>
        <w:rPr>
          <w:rStyle w:val="30"/>
          <w:rFonts w:hint="eastAsia" w:ascii="宋体" w:hAnsi="宋体" w:cs="Times New Roman"/>
          <w:color w:val="auto"/>
          <w:kern w:val="2"/>
          <w:u w:val="single"/>
        </w:rPr>
        <w:t>在承包人提供施工组织设计后</w:t>
      </w:r>
      <w:r>
        <w:rPr>
          <w:rStyle w:val="30"/>
          <w:rFonts w:hint="eastAsia" w:ascii="Calibri" w:hAnsi="Calibri" w:cs="Times New Roman"/>
          <w:color w:val="auto"/>
          <w:kern w:val="2"/>
          <w:u w:val="single"/>
        </w:rPr>
        <w:t>7</w:t>
      </w:r>
      <w:r>
        <w:rPr>
          <w:rStyle w:val="30"/>
          <w:rFonts w:hint="eastAsia" w:ascii="宋体" w:hAnsi="宋体" w:cs="Times New Roman"/>
          <w:color w:val="auto"/>
          <w:kern w:val="2"/>
          <w:u w:val="single"/>
        </w:rPr>
        <w:t>天内审定完毕；若发包人对其施工组织设计提出质疑或要求承包人进行修正，承包人应在</w:t>
      </w:r>
      <w:r>
        <w:rPr>
          <w:rStyle w:val="30"/>
          <w:rFonts w:hint="eastAsia" w:ascii="Calibri" w:hAnsi="Calibri" w:cs="Times New Roman"/>
          <w:color w:val="auto"/>
          <w:kern w:val="2"/>
          <w:u w:val="single"/>
        </w:rPr>
        <w:t>3</w:t>
      </w:r>
      <w:r>
        <w:rPr>
          <w:rStyle w:val="30"/>
          <w:rFonts w:hint="eastAsia" w:ascii="宋体" w:hAnsi="宋体" w:cs="Times New Roman"/>
          <w:color w:val="auto"/>
          <w:kern w:val="2"/>
          <w:u w:val="single"/>
        </w:rPr>
        <w:t>天内提供修正的施工组织设计，发包人应在</w:t>
      </w:r>
      <w:r>
        <w:rPr>
          <w:rStyle w:val="30"/>
          <w:rFonts w:hint="eastAsia" w:ascii="Calibri" w:hAnsi="Calibri" w:cs="Times New Roman"/>
          <w:color w:val="auto"/>
          <w:kern w:val="2"/>
          <w:u w:val="single"/>
        </w:rPr>
        <w:t>7</w:t>
      </w:r>
      <w:r>
        <w:rPr>
          <w:rStyle w:val="30"/>
          <w:rFonts w:hint="eastAsia" w:ascii="宋体" w:hAnsi="宋体" w:cs="Times New Roman"/>
          <w:color w:val="auto"/>
          <w:kern w:val="2"/>
          <w:u w:val="single"/>
        </w:rPr>
        <w:t>日内对承包人修正的施工组织设计进行最后审定。</w:t>
      </w:r>
      <w:r>
        <w:rPr>
          <w:rStyle w:val="30"/>
          <w:rFonts w:ascii="Calibri" w:hAnsi="Calibri" w:cs="Times New Roman"/>
          <w:color w:val="auto"/>
          <w:kern w:val="2"/>
          <w:u w:val="single"/>
        </w:rPr>
        <w:t xml:space="preserve"> </w:t>
      </w:r>
    </w:p>
    <w:p w14:paraId="37CF564E">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7.2 </w:t>
      </w:r>
      <w:r>
        <w:rPr>
          <w:rStyle w:val="30"/>
          <w:rFonts w:hint="eastAsia" w:ascii="黑体" w:hAnsi="黑体" w:eastAsia="黑体" w:cs="Times New Roman"/>
          <w:color w:val="auto"/>
          <w:kern w:val="2"/>
        </w:rPr>
        <w:t>施工进度计划</w:t>
      </w:r>
    </w:p>
    <w:p w14:paraId="5B589CC9">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7.2.2 </w:t>
      </w:r>
      <w:r>
        <w:rPr>
          <w:rStyle w:val="30"/>
          <w:rFonts w:hint="eastAsia" w:ascii="仿宋_GB2312" w:hAnsi="Calibri" w:eastAsia="仿宋_GB2312" w:cs="Times New Roman"/>
          <w:color w:val="auto"/>
          <w:kern w:val="2"/>
        </w:rPr>
        <w:t>施工进度计划的修订</w:t>
      </w:r>
    </w:p>
    <w:p w14:paraId="6DD810B3">
      <w:pPr>
        <w:pStyle w:val="79"/>
        <w:spacing w:after="120" w:line="320" w:lineRule="exact"/>
        <w:ind w:firstLine="420" w:firstLineChars="200"/>
        <w:rPr>
          <w:rStyle w:val="30"/>
          <w:rFonts w:ascii="Calibri" w:hAnsi="Calibri" w:eastAsia="黑体" w:cs="Times New Roman"/>
          <w:color w:val="auto"/>
          <w:kern w:val="2"/>
        </w:rPr>
      </w:pPr>
      <w:r>
        <w:rPr>
          <w:rStyle w:val="30"/>
          <w:rFonts w:hint="eastAsia" w:ascii="仿宋_GB2312" w:hAnsi="Calibri" w:eastAsia="仿宋_GB2312" w:cs="Times New Roman"/>
          <w:color w:val="auto"/>
          <w:kern w:val="2"/>
        </w:rPr>
        <w:t>发包人和监理人在收到修订的施工进度计划后确认或提出修改意见的期限：</w:t>
      </w:r>
      <w:r>
        <w:rPr>
          <w:rStyle w:val="30"/>
          <w:rFonts w:ascii="Calibri" w:hAnsi="Calibri" w:cs="Times New Roman"/>
          <w:color w:val="auto"/>
          <w:kern w:val="2"/>
          <w:u w:val="single"/>
        </w:rPr>
        <w:t xml:space="preserve">      </w:t>
      </w:r>
      <w:r>
        <w:rPr>
          <w:rStyle w:val="30"/>
          <w:rFonts w:hint="eastAsia" w:ascii="Calibri" w:hAnsi="Calibri" w:cs="Times New Roman"/>
          <w:color w:val="auto"/>
          <w:kern w:val="2"/>
          <w:u w:val="single"/>
        </w:rPr>
        <w:t>7</w:t>
      </w:r>
      <w:r>
        <w:rPr>
          <w:rStyle w:val="30"/>
          <w:rFonts w:hint="eastAsia" w:ascii="宋体" w:hAnsi="宋体" w:cs="Times New Roman"/>
          <w:color w:val="auto"/>
          <w:kern w:val="2"/>
          <w:u w:val="single"/>
        </w:rPr>
        <w:t>天内</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u w:val="single"/>
        </w:rPr>
        <w:t>。</w:t>
      </w:r>
    </w:p>
    <w:p w14:paraId="09CE6686">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7.3.1 </w:t>
      </w:r>
      <w:r>
        <w:rPr>
          <w:rStyle w:val="30"/>
          <w:rFonts w:hint="eastAsia" w:ascii="仿宋_GB2312" w:hAnsi="Calibri" w:eastAsia="仿宋_GB2312" w:cs="Times New Roman"/>
          <w:color w:val="auto"/>
          <w:kern w:val="2"/>
        </w:rPr>
        <w:t>开工准备</w:t>
      </w:r>
    </w:p>
    <w:p w14:paraId="5DB6C296">
      <w:pPr>
        <w:pStyle w:val="79"/>
        <w:spacing w:line="320" w:lineRule="exact"/>
        <w:ind w:firstLine="645"/>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关于承包人提交</w:t>
      </w:r>
      <w:r>
        <w:rPr>
          <w:rStyle w:val="30"/>
          <w:rFonts w:hint="eastAsia" w:ascii="仿宋_GB2312" w:hAnsi="Calibri" w:eastAsia="仿宋_GB2312" w:cs="Times New Roman"/>
          <w:color w:val="auto"/>
        </w:rPr>
        <w:t>工程开工报审表的期限：</w:t>
      </w:r>
      <w:r>
        <w:rPr>
          <w:rStyle w:val="30"/>
          <w:rFonts w:hint="eastAsia" w:ascii="宋体" w:hAnsi="宋体" w:cs="Times New Roman"/>
          <w:color w:val="auto"/>
          <w:kern w:val="2"/>
          <w:u w:val="single"/>
        </w:rPr>
        <w:t>施工许可证办理完成后</w:t>
      </w:r>
      <w:r>
        <w:rPr>
          <w:rStyle w:val="30"/>
          <w:rFonts w:hint="eastAsia" w:ascii="Calibri" w:hAnsi="Calibri" w:cs="Times New Roman"/>
          <w:color w:val="auto"/>
          <w:kern w:val="2"/>
          <w:u w:val="single"/>
        </w:rPr>
        <w:t>3</w:t>
      </w:r>
      <w:r>
        <w:rPr>
          <w:rStyle w:val="30"/>
          <w:rFonts w:hint="eastAsia" w:ascii="宋体" w:hAnsi="宋体" w:cs="Times New Roman"/>
          <w:color w:val="auto"/>
          <w:kern w:val="2"/>
          <w:u w:val="single"/>
        </w:rPr>
        <w:t>天内</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37A95B38">
      <w:pPr>
        <w:pStyle w:val="79"/>
        <w:spacing w:line="320" w:lineRule="exact"/>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关于发包人应完成的其他开工准备工作及期限：</w:t>
      </w:r>
      <w:r>
        <w:rPr>
          <w:rStyle w:val="30"/>
          <w:rFonts w:hint="eastAsia" w:ascii="宋体" w:hAnsi="宋体" w:cs="Times New Roman"/>
          <w:color w:val="auto"/>
          <w:kern w:val="2"/>
          <w:u w:val="single"/>
        </w:rPr>
        <w:t>开工前</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2168993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关于承包人应完成的其他开工准备工作及期限：</w:t>
      </w:r>
      <w:r>
        <w:rPr>
          <w:rStyle w:val="30"/>
          <w:rFonts w:ascii="Calibri" w:hAnsi="Calibri" w:cs="Times New Roman"/>
          <w:color w:val="auto"/>
          <w:kern w:val="2"/>
          <w:u w:val="single"/>
        </w:rPr>
        <w:t xml:space="preserve"> </w:t>
      </w:r>
      <w:r>
        <w:rPr>
          <w:rStyle w:val="30"/>
          <w:rFonts w:hint="eastAsia" w:ascii="宋体" w:hAnsi="宋体" w:cs="Times New Roman"/>
          <w:color w:val="auto"/>
          <w:kern w:val="2"/>
          <w:u w:val="single"/>
        </w:rPr>
        <w:t>开工前完成临时设施搭建工作</w:t>
      </w:r>
      <w:r>
        <w:rPr>
          <w:rStyle w:val="30"/>
          <w:rFonts w:hint="eastAsia" w:ascii="仿宋_GB2312" w:hAnsi="Calibri" w:eastAsia="仿宋_GB2312" w:cs="Times New Roman"/>
          <w:color w:val="auto"/>
          <w:kern w:val="2"/>
        </w:rPr>
        <w:t>。</w:t>
      </w:r>
    </w:p>
    <w:p w14:paraId="40253F80">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7.3.2</w:t>
      </w:r>
      <w:r>
        <w:rPr>
          <w:rStyle w:val="30"/>
          <w:rFonts w:hint="eastAsia" w:ascii="仿宋_GB2312" w:hAnsi="Calibri" w:eastAsia="仿宋_GB2312" w:cs="Times New Roman"/>
          <w:color w:val="auto"/>
          <w:kern w:val="2"/>
        </w:rPr>
        <w:t>开工通知</w:t>
      </w:r>
    </w:p>
    <w:p w14:paraId="0AF5297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因发包人原因造成监理人未能在计划开工日期之日起</w:t>
      </w:r>
      <w:r>
        <w:rPr>
          <w:rStyle w:val="30"/>
          <w:rFonts w:ascii="Calibri" w:hAnsi="Calibri" w:eastAsia="仿宋_GB2312" w:cs="Times New Roman"/>
          <w:color w:val="auto"/>
          <w:kern w:val="2"/>
          <w:u w:val="single"/>
        </w:rPr>
        <w:t xml:space="preserve"> </w:t>
      </w:r>
      <w:r>
        <w:rPr>
          <w:rStyle w:val="30"/>
          <w:rFonts w:ascii="Calibri" w:hAnsi="Calibri" w:cs="Times New Roman"/>
          <w:color w:val="auto"/>
          <w:kern w:val="2"/>
          <w:u w:val="single"/>
        </w:rPr>
        <w:t xml:space="preserve"> </w:t>
      </w:r>
      <w:r>
        <w:rPr>
          <w:rStyle w:val="30"/>
          <w:rFonts w:hint="eastAsia" w:ascii="Calibri" w:hAnsi="Calibri" w:eastAsia="宋体" w:cs="Times New Roman"/>
          <w:color w:val="auto"/>
          <w:kern w:val="2"/>
          <w:u w:val="single"/>
        </w:rPr>
        <w:t>90</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天内发出开工通知的，承包人有权提出价格调整要求，或者解除合同。</w:t>
      </w:r>
    </w:p>
    <w:p w14:paraId="2F9CCDF0">
      <w:pPr>
        <w:pStyle w:val="79"/>
        <w:spacing w:line="320" w:lineRule="exact"/>
        <w:ind w:firstLine="422" w:firstLineChars="200"/>
        <w:rPr>
          <w:rStyle w:val="30"/>
          <w:rFonts w:hint="eastAsia" w:ascii="Calibri" w:hAnsi="Calibri" w:eastAsia="仿宋_GB2312" w:cs="Times New Roman"/>
          <w:b/>
          <w:bCs/>
          <w:color w:val="auto"/>
          <w:kern w:val="2"/>
        </w:rPr>
      </w:pPr>
      <w:r>
        <w:rPr>
          <w:rStyle w:val="30"/>
          <w:rFonts w:hint="eastAsia" w:ascii="仿宋_GB2312" w:hAnsi="Calibri" w:eastAsia="仿宋_GB2312" w:cs="Times New Roman"/>
          <w:b/>
          <w:bCs/>
          <w:color w:val="auto"/>
          <w:kern w:val="2"/>
        </w:rPr>
        <w:t>发承包双方签订施工合同后，发包人由于征地拆迁、设计变更、规划调整等原因导致延期开工的，遇到人工、材料、机械价格上涨或下跌，经双方协商一致，发承包双方在开工前可按《浙江省建设工程计价规则》（</w:t>
      </w:r>
      <w:r>
        <w:rPr>
          <w:rStyle w:val="30"/>
          <w:rFonts w:hint="eastAsia" w:ascii="Calibri" w:hAnsi="Calibri" w:eastAsia="仿宋_GB2312" w:cs="Times New Roman"/>
          <w:b/>
          <w:bCs/>
          <w:color w:val="auto"/>
          <w:kern w:val="2"/>
        </w:rPr>
        <w:t>2018</w:t>
      </w:r>
      <w:r>
        <w:rPr>
          <w:rStyle w:val="30"/>
          <w:rFonts w:hint="eastAsia" w:ascii="仿宋_GB2312" w:hAnsi="Calibri" w:eastAsia="仿宋_GB2312" w:cs="Times New Roman"/>
          <w:b/>
          <w:bCs/>
          <w:color w:val="auto"/>
          <w:kern w:val="2"/>
        </w:rPr>
        <w:t>版）规定的办法调整合同价格，并签订补充协议。</w:t>
      </w:r>
    </w:p>
    <w:p w14:paraId="2D85E72B">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7.4 </w:t>
      </w:r>
      <w:r>
        <w:rPr>
          <w:rStyle w:val="30"/>
          <w:rFonts w:hint="eastAsia" w:ascii="黑体" w:hAnsi="黑体" w:eastAsia="黑体" w:cs="Times New Roman"/>
          <w:color w:val="auto"/>
          <w:kern w:val="2"/>
        </w:rPr>
        <w:t>测量放线</w:t>
      </w:r>
    </w:p>
    <w:p w14:paraId="72756F66">
      <w:pPr>
        <w:pStyle w:val="79"/>
        <w:spacing w:line="320" w:lineRule="exact"/>
        <w:ind w:left="210" w:leftChars="100" w:firstLine="210" w:firstLineChars="100"/>
        <w:rPr>
          <w:rStyle w:val="30"/>
          <w:rFonts w:ascii="Calibri" w:hAnsi="Calibri" w:eastAsia="宋体" w:cs="Times New Roman"/>
          <w:color w:val="auto"/>
          <w:kern w:val="2"/>
          <w:u w:val="single"/>
        </w:rPr>
      </w:pPr>
      <w:r>
        <w:rPr>
          <w:rStyle w:val="30"/>
          <w:rFonts w:ascii="Calibri" w:hAnsi="Calibri" w:eastAsia="仿宋_GB2312" w:cs="Times New Roman"/>
          <w:color w:val="auto"/>
          <w:kern w:val="2"/>
        </w:rPr>
        <w:t>7.4.1</w:t>
      </w:r>
      <w:r>
        <w:rPr>
          <w:rStyle w:val="30"/>
          <w:rFonts w:hint="eastAsia" w:ascii="仿宋_GB2312" w:hAnsi="Calibri" w:eastAsia="仿宋_GB2312" w:cs="Times New Roman"/>
          <w:color w:val="auto"/>
          <w:kern w:val="2"/>
        </w:rPr>
        <w:t>发包人通过监理人向承包人提供测量基准点、基准线和水准点及其书面资料的期限：</w:t>
      </w:r>
      <w:r>
        <w:rPr>
          <w:rStyle w:val="30"/>
          <w:rFonts w:hint="eastAsia" w:ascii="宋体" w:hAnsi="宋体" w:cs="Times New Roman"/>
          <w:color w:val="auto"/>
          <w:kern w:val="2"/>
          <w:u w:val="single"/>
        </w:rPr>
        <w:t>开工前</w:t>
      </w:r>
      <w:r>
        <w:rPr>
          <w:rStyle w:val="30"/>
          <w:rFonts w:hint="eastAsia" w:ascii="Calibri" w:hAnsi="Calibri" w:cs="Times New Roman"/>
          <w:color w:val="auto"/>
          <w:kern w:val="2"/>
          <w:u w:val="single"/>
        </w:rPr>
        <w:t>3</w:t>
      </w:r>
      <w:r>
        <w:rPr>
          <w:rStyle w:val="30"/>
          <w:rFonts w:hint="eastAsia" w:ascii="宋体" w:hAnsi="宋体" w:cs="Times New Roman"/>
          <w:color w:val="auto"/>
          <w:kern w:val="2"/>
          <w:u w:val="single"/>
        </w:rPr>
        <w:t>日内以书面形式移交。</w:t>
      </w:r>
    </w:p>
    <w:p w14:paraId="2D9A5C2B">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7.5 </w:t>
      </w:r>
      <w:r>
        <w:rPr>
          <w:rStyle w:val="30"/>
          <w:rFonts w:hint="eastAsia" w:ascii="黑体" w:hAnsi="黑体" w:eastAsia="黑体" w:cs="Times New Roman"/>
          <w:color w:val="auto"/>
          <w:kern w:val="2"/>
        </w:rPr>
        <w:t>工期延误</w:t>
      </w:r>
    </w:p>
    <w:p w14:paraId="1BDE8F8A">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7.5.1 </w:t>
      </w:r>
      <w:r>
        <w:rPr>
          <w:rStyle w:val="30"/>
          <w:rFonts w:hint="eastAsia" w:ascii="仿宋_GB2312" w:hAnsi="Calibri" w:eastAsia="仿宋_GB2312" w:cs="Times New Roman"/>
          <w:color w:val="auto"/>
          <w:kern w:val="2"/>
        </w:rPr>
        <w:t>因发包人原因导致工期延误</w:t>
      </w:r>
    </w:p>
    <w:p w14:paraId="104914AD">
      <w:pPr>
        <w:pStyle w:val="79"/>
        <w:spacing w:line="320" w:lineRule="exact"/>
        <w:ind w:firstLine="105" w:firstLineChars="5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7</w:t>
      </w:r>
      <w:r>
        <w:rPr>
          <w:rStyle w:val="30"/>
          <w:rFonts w:hint="eastAsia" w:ascii="仿宋_GB2312" w:hAnsi="Calibri" w:eastAsia="仿宋_GB2312" w:cs="Times New Roman"/>
          <w:color w:val="auto"/>
          <w:kern w:val="2"/>
        </w:rPr>
        <w:t>）因发包人原因导致工期延误的其他情形：</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A36B2BD">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7.5.2 </w:t>
      </w:r>
      <w:r>
        <w:rPr>
          <w:rStyle w:val="30"/>
          <w:rFonts w:hint="eastAsia" w:ascii="仿宋_GB2312" w:hAnsi="Calibri" w:eastAsia="仿宋_GB2312" w:cs="Times New Roman"/>
          <w:color w:val="auto"/>
          <w:kern w:val="2"/>
        </w:rPr>
        <w:t>因承包人原因导致工期延误</w:t>
      </w:r>
    </w:p>
    <w:p w14:paraId="56BBC97A">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因承包人原因造成工期延误，逾期竣工违约金的计算方法为：</w:t>
      </w:r>
      <w:r>
        <w:rPr>
          <w:rStyle w:val="30"/>
          <w:rFonts w:hint="eastAsia" w:ascii="宋体" w:hAnsi="宋体" w:eastAsia="宋体" w:cs="宋体"/>
          <w:color w:val="auto"/>
          <w:kern w:val="2"/>
          <w:u w:val="single"/>
        </w:rPr>
        <w:t>因承包人原因，不能按合同约定的时间竣工，承包人应承担违约责任，逾期竣工的每天向发包人支付合同价万分之七的工期违约金；还必须承担由此给发包人造成的其他经济损失，直至追究法律责任</w:t>
      </w:r>
      <w:r>
        <w:rPr>
          <w:rStyle w:val="30"/>
          <w:rFonts w:hint="eastAsia" w:ascii="宋体" w:hAnsi="宋体" w:cs="Times New Roman"/>
          <w:color w:val="auto"/>
          <w:kern w:val="2"/>
          <w:u w:val="single"/>
        </w:rPr>
        <w:t>。</w:t>
      </w:r>
    </w:p>
    <w:p w14:paraId="6A1516A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因承包人原因造成工期延误，逾期竣工违约金的上限：</w:t>
      </w:r>
      <w:r>
        <w:rPr>
          <w:rStyle w:val="30"/>
          <w:rFonts w:ascii="Calibri" w:hAnsi="Calibri" w:eastAsia="仿宋_GB2312" w:cs="Times New Roman"/>
          <w:color w:val="auto"/>
          <w:kern w:val="2"/>
          <w:u w:val="single"/>
        </w:rPr>
        <w:t xml:space="preserve">  </w:t>
      </w:r>
      <w:r>
        <w:rPr>
          <w:rStyle w:val="30"/>
          <w:rFonts w:hint="eastAsia" w:ascii="宋体" w:hAnsi="宋体" w:cs="Times New Roman"/>
          <w:color w:val="auto"/>
          <w:kern w:val="2"/>
          <w:u w:val="single"/>
        </w:rPr>
        <w:t>签约合同价的</w:t>
      </w:r>
      <w:r>
        <w:rPr>
          <w:rStyle w:val="30"/>
          <w:rFonts w:ascii="Calibri" w:hAnsi="Calibri" w:cs="Times New Roman"/>
          <w:color w:val="auto"/>
          <w:kern w:val="2"/>
          <w:u w:val="single"/>
        </w:rPr>
        <w:t>3%</w:t>
      </w:r>
      <w:r>
        <w:rPr>
          <w:rStyle w:val="30"/>
          <w:rFonts w:hint="eastAsia" w:ascii="宋体" w:hAnsi="宋体" w:cs="Times New Roman"/>
          <w:color w:val="auto"/>
          <w:kern w:val="2"/>
          <w:u w:val="single"/>
        </w:rPr>
        <w:t>。</w:t>
      </w:r>
      <w:r>
        <w:rPr>
          <w:rStyle w:val="30"/>
          <w:rFonts w:ascii="Calibri" w:hAnsi="Calibri" w:eastAsia="仿宋_GB2312" w:cs="Times New Roman"/>
          <w:color w:val="auto"/>
          <w:kern w:val="2"/>
          <w:u w:val="single"/>
        </w:rPr>
        <w:t xml:space="preserve"> </w:t>
      </w:r>
    </w:p>
    <w:p w14:paraId="5E0905BE">
      <w:pPr>
        <w:pStyle w:val="79"/>
        <w:spacing w:after="120" w:line="320" w:lineRule="exact"/>
        <w:ind w:firstLine="420" w:firstLineChars="200"/>
        <w:rPr>
          <w:rStyle w:val="30"/>
          <w:rFonts w:ascii="Calibri" w:hAnsi="Calibri" w:eastAsia="宋体" w:cs="Times New Roman"/>
          <w:color w:val="auto"/>
          <w:kern w:val="2"/>
          <w:u w:val="single"/>
        </w:rPr>
      </w:pPr>
      <w:r>
        <w:rPr>
          <w:rStyle w:val="30"/>
          <w:rFonts w:ascii="Calibri" w:hAnsi="Calibri" w:eastAsia="黑体" w:cs="Times New Roman"/>
          <w:color w:val="auto"/>
          <w:kern w:val="2"/>
        </w:rPr>
        <w:t xml:space="preserve">7.6 </w:t>
      </w:r>
      <w:r>
        <w:rPr>
          <w:rStyle w:val="30"/>
          <w:rFonts w:hint="eastAsia" w:ascii="黑体" w:hAnsi="黑体" w:eastAsia="黑体" w:cs="Times New Roman"/>
          <w:color w:val="auto"/>
          <w:kern w:val="2"/>
        </w:rPr>
        <w:t>不利物质条件</w:t>
      </w:r>
    </w:p>
    <w:p w14:paraId="3219678B">
      <w:pPr>
        <w:pStyle w:val="79"/>
        <w:spacing w:line="320" w:lineRule="exact"/>
        <w:ind w:firstLine="105" w:firstLineChars="5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不利物质条件的其他情形和有关约定：</w:t>
      </w:r>
    </w:p>
    <w:p w14:paraId="12157ED9">
      <w:pPr>
        <w:pStyle w:val="106"/>
        <w:spacing w:line="360" w:lineRule="exact"/>
        <w:ind w:firstLine="480" w:firstLineChars="200"/>
        <w:rPr>
          <w:rStyle w:val="30"/>
          <w:rFonts w:hint="eastAsia" w:ascii="仿宋_GB2312" w:hAnsi="Calibri" w:eastAsia="宋体" w:cs="Times New Roman"/>
          <w:color w:val="auto"/>
          <w:sz w:val="24"/>
          <w:szCs w:val="24"/>
        </w:rPr>
      </w:pPr>
      <w:r>
        <w:rPr>
          <w:rStyle w:val="30"/>
          <w:rFonts w:hint="eastAsia" w:ascii="宋体" w:hAnsi="宋体" w:eastAsia="宋体" w:cs="Times New Roman"/>
          <w:color w:val="auto"/>
          <w:sz w:val="24"/>
          <w:szCs w:val="24"/>
        </w:rPr>
        <w:t>（</w:t>
      </w:r>
      <w:r>
        <w:rPr>
          <w:rStyle w:val="30"/>
          <w:rFonts w:hint="eastAsia" w:ascii="仿宋_GB2312" w:hAnsi="Calibri" w:eastAsia="宋体" w:cs="Times New Roman"/>
          <w:color w:val="auto"/>
          <w:sz w:val="24"/>
          <w:szCs w:val="24"/>
        </w:rPr>
        <w:t>1</w:t>
      </w:r>
      <w:r>
        <w:rPr>
          <w:rStyle w:val="30"/>
          <w:rFonts w:hint="eastAsia" w:ascii="宋体" w:hAnsi="宋体" w:eastAsia="宋体" w:cs="Times New Roman"/>
          <w:color w:val="auto"/>
          <w:sz w:val="24"/>
          <w:szCs w:val="24"/>
        </w:rPr>
        <w:t>）</w:t>
      </w:r>
      <w:r>
        <w:rPr>
          <w:rStyle w:val="30"/>
          <w:rFonts w:hint="eastAsia" w:ascii="宋体" w:hAnsi="宋体" w:eastAsia="宋体" w:cs="Times New Roman"/>
          <w:color w:val="auto"/>
          <w:sz w:val="24"/>
          <w:szCs w:val="24"/>
          <w:u w:val="single"/>
        </w:rPr>
        <w:t xml:space="preserve">  按通用条款执行  ；</w:t>
      </w:r>
    </w:p>
    <w:p w14:paraId="29D6CEDD">
      <w:pPr>
        <w:pStyle w:val="106"/>
        <w:spacing w:line="360" w:lineRule="exact"/>
        <w:ind w:firstLine="480" w:firstLineChars="200"/>
        <w:rPr>
          <w:rStyle w:val="30"/>
          <w:rFonts w:hint="eastAsia" w:ascii="仿宋_GB2312" w:hAnsi="Calibri" w:eastAsia="宋体" w:cs="Times New Roman"/>
          <w:color w:val="auto"/>
          <w:sz w:val="24"/>
          <w:szCs w:val="24"/>
        </w:rPr>
      </w:pPr>
      <w:r>
        <w:rPr>
          <w:rStyle w:val="30"/>
          <w:rFonts w:hint="eastAsia" w:ascii="宋体" w:hAnsi="宋体" w:eastAsia="宋体" w:cs="Times New Roman"/>
          <w:color w:val="auto"/>
          <w:sz w:val="24"/>
          <w:szCs w:val="24"/>
        </w:rPr>
        <w:t>（</w:t>
      </w:r>
      <w:r>
        <w:rPr>
          <w:rStyle w:val="30"/>
          <w:rFonts w:hint="eastAsia" w:ascii="仿宋_GB2312" w:hAnsi="Calibri" w:eastAsia="宋体" w:cs="Times New Roman"/>
          <w:color w:val="auto"/>
          <w:sz w:val="24"/>
          <w:szCs w:val="24"/>
        </w:rPr>
        <w:t>2</w:t>
      </w:r>
      <w:r>
        <w:rPr>
          <w:rStyle w:val="30"/>
          <w:rFonts w:hint="eastAsia" w:ascii="宋体" w:hAnsi="宋体" w:eastAsia="宋体" w:cs="Times New Roman"/>
          <w:color w:val="auto"/>
          <w:sz w:val="24"/>
          <w:szCs w:val="24"/>
        </w:rPr>
        <w:t>）</w:t>
      </w:r>
      <w:r>
        <w:rPr>
          <w:rStyle w:val="30"/>
          <w:rFonts w:hint="eastAsia" w:ascii="宋体" w:hAnsi="宋体" w:eastAsia="宋体" w:cs="Times New Roman"/>
          <w:color w:val="auto"/>
          <w:sz w:val="24"/>
          <w:szCs w:val="24"/>
          <w:u w:val="single"/>
        </w:rPr>
        <w:t xml:space="preserve">                ；</w:t>
      </w:r>
    </w:p>
    <w:p w14:paraId="7145DF25">
      <w:pPr>
        <w:pStyle w:val="106"/>
        <w:spacing w:line="360" w:lineRule="exact"/>
        <w:ind w:firstLine="480" w:firstLineChars="200"/>
        <w:rPr>
          <w:rStyle w:val="30"/>
          <w:rFonts w:hint="eastAsia" w:ascii="仿宋_GB2312" w:hAnsi="Calibri" w:eastAsia="宋体" w:cs="Times New Roman"/>
          <w:color w:val="auto"/>
          <w:sz w:val="24"/>
          <w:szCs w:val="24"/>
        </w:rPr>
      </w:pPr>
      <w:r>
        <w:rPr>
          <w:rStyle w:val="30"/>
          <w:rFonts w:hint="eastAsia" w:ascii="宋体" w:hAnsi="宋体" w:eastAsia="宋体" w:cs="Times New Roman"/>
          <w:color w:val="auto"/>
          <w:sz w:val="24"/>
          <w:szCs w:val="24"/>
        </w:rPr>
        <w:t>（</w:t>
      </w:r>
      <w:r>
        <w:rPr>
          <w:rStyle w:val="30"/>
          <w:rFonts w:hint="eastAsia" w:ascii="仿宋_GB2312" w:hAnsi="Calibri" w:eastAsia="宋体" w:cs="Times New Roman"/>
          <w:color w:val="auto"/>
          <w:sz w:val="24"/>
          <w:szCs w:val="24"/>
        </w:rPr>
        <w:t>3</w:t>
      </w:r>
      <w:r>
        <w:rPr>
          <w:rStyle w:val="30"/>
          <w:rFonts w:hint="eastAsia" w:ascii="宋体" w:hAnsi="宋体" w:eastAsia="宋体" w:cs="Times New Roman"/>
          <w:color w:val="auto"/>
          <w:sz w:val="24"/>
          <w:szCs w:val="24"/>
        </w:rPr>
        <w:t>）</w:t>
      </w:r>
      <w:r>
        <w:rPr>
          <w:rStyle w:val="30"/>
          <w:rFonts w:hint="eastAsia" w:ascii="宋体" w:hAnsi="宋体" w:eastAsia="宋体" w:cs="Times New Roman"/>
          <w:color w:val="auto"/>
          <w:sz w:val="24"/>
          <w:szCs w:val="24"/>
          <w:u w:val="single"/>
        </w:rPr>
        <w:t xml:space="preserve">                ；</w:t>
      </w:r>
    </w:p>
    <w:p w14:paraId="65BD9519">
      <w:pPr>
        <w:pStyle w:val="79"/>
        <w:spacing w:after="120" w:line="320" w:lineRule="exact"/>
        <w:ind w:firstLine="420" w:firstLineChars="200"/>
        <w:rPr>
          <w:rStyle w:val="30"/>
          <w:rFonts w:hint="eastAsia" w:ascii="Times New Roman" w:hAnsi="Calibri" w:eastAsia="黑体" w:cs="Times New Roman"/>
          <w:color w:val="auto"/>
          <w:kern w:val="2"/>
          <w:sz w:val="24"/>
          <w:szCs w:val="24"/>
        </w:rPr>
      </w:pPr>
      <w:r>
        <w:rPr>
          <w:rStyle w:val="30"/>
          <w:rFonts w:ascii="Calibri" w:hAnsi="Calibri" w:eastAsia="黑体" w:cs="Times New Roman"/>
          <w:color w:val="auto"/>
          <w:kern w:val="2"/>
        </w:rPr>
        <w:t>7.7</w:t>
      </w:r>
      <w:r>
        <w:rPr>
          <w:rStyle w:val="30"/>
          <w:rFonts w:hint="eastAsia" w:ascii="黑体" w:hAnsi="黑体" w:eastAsia="黑体" w:cs="Times New Roman"/>
          <w:color w:val="auto"/>
          <w:kern w:val="2"/>
        </w:rPr>
        <w:t>异常恶劣的气候条件</w:t>
      </w:r>
    </w:p>
    <w:p w14:paraId="22AF17D3">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发包人和承包人同意以下情形视为异常恶劣的气候条件：</w:t>
      </w:r>
    </w:p>
    <w:p w14:paraId="263FD340">
      <w:pPr>
        <w:pStyle w:val="106"/>
        <w:spacing w:line="360" w:lineRule="exact"/>
        <w:ind w:firstLine="480" w:firstLineChars="200"/>
        <w:rPr>
          <w:rStyle w:val="30"/>
          <w:rFonts w:ascii="仿宋_GB2312" w:hAnsi="Calibri" w:eastAsia="宋体" w:cs="Times New Roman"/>
          <w:color w:val="auto"/>
          <w:sz w:val="24"/>
          <w:szCs w:val="24"/>
        </w:rPr>
      </w:pPr>
      <w:r>
        <w:rPr>
          <w:rStyle w:val="30"/>
          <w:rFonts w:hint="eastAsia" w:ascii="宋体" w:hAnsi="宋体" w:eastAsia="宋体" w:cs="Times New Roman"/>
          <w:color w:val="auto"/>
          <w:sz w:val="24"/>
          <w:szCs w:val="24"/>
        </w:rPr>
        <w:t>（</w:t>
      </w:r>
      <w:r>
        <w:rPr>
          <w:rStyle w:val="30"/>
          <w:rFonts w:hint="eastAsia" w:ascii="仿宋_GB2312" w:hAnsi="Calibri" w:eastAsia="宋体" w:cs="Times New Roman"/>
          <w:color w:val="auto"/>
          <w:sz w:val="24"/>
          <w:szCs w:val="24"/>
        </w:rPr>
        <w:t>1</w:t>
      </w:r>
      <w:r>
        <w:rPr>
          <w:rStyle w:val="30"/>
          <w:rFonts w:hint="eastAsia" w:ascii="宋体" w:hAnsi="宋体" w:eastAsia="宋体" w:cs="Times New Roman"/>
          <w:color w:val="auto"/>
          <w:sz w:val="24"/>
          <w:szCs w:val="24"/>
        </w:rPr>
        <w:t>）</w:t>
      </w:r>
      <w:r>
        <w:rPr>
          <w:rStyle w:val="30"/>
          <w:rFonts w:hint="eastAsia" w:ascii="宋体" w:hAnsi="宋体" w:eastAsia="宋体" w:cs="Times New Roman"/>
          <w:color w:val="auto"/>
          <w:sz w:val="24"/>
          <w:szCs w:val="24"/>
          <w:u w:val="single"/>
        </w:rPr>
        <w:t xml:space="preserve"> 特大暴雨（雪）  ；</w:t>
      </w:r>
    </w:p>
    <w:p w14:paraId="5DF755C8">
      <w:pPr>
        <w:pStyle w:val="106"/>
        <w:spacing w:line="360" w:lineRule="exact"/>
        <w:ind w:firstLine="480" w:firstLineChars="200"/>
        <w:rPr>
          <w:rStyle w:val="30"/>
          <w:rFonts w:hint="eastAsia" w:ascii="仿宋_GB2312" w:hAnsi="Calibri" w:eastAsia="宋体" w:cs="Times New Roman"/>
          <w:color w:val="auto"/>
          <w:sz w:val="24"/>
          <w:szCs w:val="24"/>
        </w:rPr>
      </w:pPr>
      <w:r>
        <w:rPr>
          <w:rStyle w:val="30"/>
          <w:rFonts w:hint="eastAsia" w:ascii="宋体" w:hAnsi="宋体" w:eastAsia="宋体" w:cs="Times New Roman"/>
          <w:color w:val="auto"/>
          <w:sz w:val="24"/>
          <w:szCs w:val="24"/>
        </w:rPr>
        <w:t>（</w:t>
      </w:r>
      <w:r>
        <w:rPr>
          <w:rStyle w:val="30"/>
          <w:rFonts w:hint="eastAsia" w:ascii="仿宋_GB2312" w:hAnsi="Calibri" w:eastAsia="宋体" w:cs="Times New Roman"/>
          <w:color w:val="auto"/>
          <w:sz w:val="24"/>
          <w:szCs w:val="24"/>
        </w:rPr>
        <w:t>2</w:t>
      </w:r>
      <w:r>
        <w:rPr>
          <w:rStyle w:val="30"/>
          <w:rFonts w:hint="eastAsia" w:ascii="宋体" w:hAnsi="宋体" w:eastAsia="宋体" w:cs="Times New Roman"/>
          <w:color w:val="auto"/>
          <w:sz w:val="24"/>
          <w:szCs w:val="24"/>
        </w:rPr>
        <w:t>）</w:t>
      </w:r>
      <w:r>
        <w:rPr>
          <w:rStyle w:val="30"/>
          <w:rFonts w:hint="eastAsia" w:ascii="宋体" w:hAnsi="宋体" w:eastAsia="宋体" w:cs="Times New Roman"/>
          <w:color w:val="auto"/>
          <w:sz w:val="24"/>
          <w:szCs w:val="24"/>
          <w:u w:val="single"/>
        </w:rPr>
        <w:t xml:space="preserve"> 异常高温干旱    ；</w:t>
      </w:r>
    </w:p>
    <w:p w14:paraId="2DE9474E">
      <w:pPr>
        <w:pStyle w:val="106"/>
        <w:spacing w:line="360" w:lineRule="exact"/>
        <w:ind w:firstLine="480" w:firstLineChars="200"/>
        <w:rPr>
          <w:rStyle w:val="30"/>
          <w:rFonts w:hint="eastAsia" w:ascii="仿宋_GB2312" w:hAnsi="Calibri" w:eastAsia="宋体" w:cs="Times New Roman"/>
          <w:color w:val="auto"/>
          <w:sz w:val="24"/>
          <w:szCs w:val="24"/>
        </w:rPr>
      </w:pPr>
      <w:r>
        <w:rPr>
          <w:rStyle w:val="30"/>
          <w:rFonts w:hint="eastAsia" w:ascii="宋体" w:hAnsi="宋体" w:eastAsia="宋体" w:cs="Times New Roman"/>
          <w:color w:val="auto"/>
          <w:sz w:val="24"/>
          <w:szCs w:val="24"/>
        </w:rPr>
        <w:t>（</w:t>
      </w:r>
      <w:r>
        <w:rPr>
          <w:rStyle w:val="30"/>
          <w:rFonts w:hint="eastAsia" w:ascii="仿宋_GB2312" w:hAnsi="Calibri" w:eastAsia="宋体" w:cs="Times New Roman"/>
          <w:color w:val="auto"/>
          <w:sz w:val="24"/>
          <w:szCs w:val="24"/>
        </w:rPr>
        <w:t>3</w:t>
      </w:r>
      <w:r>
        <w:rPr>
          <w:rStyle w:val="30"/>
          <w:rFonts w:hint="eastAsia" w:ascii="宋体" w:hAnsi="宋体" w:eastAsia="宋体" w:cs="Times New Roman"/>
          <w:color w:val="auto"/>
          <w:sz w:val="24"/>
          <w:szCs w:val="24"/>
        </w:rPr>
        <w:t>）</w:t>
      </w:r>
      <w:r>
        <w:rPr>
          <w:rStyle w:val="30"/>
          <w:rFonts w:hint="eastAsia" w:ascii="宋体" w:hAnsi="宋体" w:eastAsia="宋体" w:cs="Times New Roman"/>
          <w:color w:val="auto"/>
          <w:sz w:val="24"/>
          <w:szCs w:val="24"/>
          <w:u w:val="single"/>
        </w:rPr>
        <w:t xml:space="preserve">                ；</w:t>
      </w:r>
    </w:p>
    <w:p w14:paraId="2CB64691">
      <w:pPr>
        <w:pStyle w:val="79"/>
        <w:spacing w:after="120" w:line="320" w:lineRule="exact"/>
        <w:ind w:firstLine="422" w:firstLineChars="200"/>
        <w:rPr>
          <w:rStyle w:val="30"/>
          <w:rFonts w:hint="eastAsia" w:ascii="Times New Roman" w:hAnsi="Calibri" w:eastAsia="黑体" w:cs="Times New Roman"/>
          <w:b/>
          <w:bCs/>
          <w:color w:val="auto"/>
          <w:kern w:val="2"/>
          <w:sz w:val="24"/>
          <w:szCs w:val="24"/>
        </w:rPr>
      </w:pPr>
      <w:r>
        <w:rPr>
          <w:rStyle w:val="30"/>
          <w:rFonts w:hint="eastAsia" w:ascii="Calibri" w:hAnsi="Calibri" w:eastAsia="黑体" w:cs="Times New Roman"/>
          <w:b/>
          <w:bCs/>
          <w:color w:val="auto"/>
          <w:kern w:val="2"/>
        </w:rPr>
        <w:t xml:space="preserve"> </w:t>
      </w:r>
    </w:p>
    <w:p w14:paraId="7AD134A1">
      <w:pPr>
        <w:pStyle w:val="79"/>
        <w:spacing w:line="320" w:lineRule="exact"/>
        <w:ind w:firstLine="422" w:firstLineChars="200"/>
        <w:rPr>
          <w:rStyle w:val="30"/>
          <w:rFonts w:hint="eastAsia" w:ascii="Calibri" w:hAnsi="Calibri" w:eastAsia="仿宋_GB2312" w:cs="Times New Roman"/>
          <w:b/>
          <w:bCs/>
          <w:color w:val="auto"/>
          <w:kern w:val="2"/>
          <w:u w:val="single"/>
        </w:rPr>
      </w:pPr>
      <w:r>
        <w:rPr>
          <w:rStyle w:val="30"/>
          <w:rFonts w:hint="eastAsia" w:ascii="Calibri" w:hAnsi="Calibri" w:eastAsia="仿宋_GB2312" w:cs="Times New Roman"/>
          <w:b/>
          <w:bCs/>
          <w:color w:val="auto"/>
          <w:kern w:val="2"/>
          <w:u w:val="single"/>
        </w:rPr>
        <w:t>7.8</w:t>
      </w:r>
      <w:r>
        <w:rPr>
          <w:rStyle w:val="30"/>
          <w:rFonts w:hint="eastAsia" w:ascii="仿宋_GB2312" w:hAnsi="Calibri" w:eastAsia="仿宋_GB2312" w:cs="Times New Roman"/>
          <w:b/>
          <w:bCs/>
          <w:color w:val="auto"/>
          <w:kern w:val="2"/>
          <w:u w:val="single"/>
        </w:rPr>
        <w:t>暂停施工</w:t>
      </w:r>
    </w:p>
    <w:p w14:paraId="7442B7B6">
      <w:pPr>
        <w:pStyle w:val="79"/>
        <w:spacing w:line="320" w:lineRule="exact"/>
        <w:ind w:firstLine="422" w:firstLineChars="200"/>
        <w:rPr>
          <w:rStyle w:val="30"/>
          <w:rFonts w:hint="eastAsia" w:ascii="Calibri" w:hAnsi="Calibri" w:eastAsia="仿宋_GB2312" w:cs="Times New Roman"/>
          <w:b/>
          <w:bCs/>
          <w:color w:val="auto"/>
          <w:kern w:val="2"/>
          <w:u w:val="single"/>
        </w:rPr>
      </w:pPr>
      <w:r>
        <w:rPr>
          <w:rStyle w:val="30"/>
          <w:rFonts w:hint="eastAsia" w:ascii="仿宋_GB2312" w:hAnsi="Calibri" w:eastAsia="仿宋_GB2312" w:cs="Times New Roman"/>
          <w:b/>
          <w:bCs/>
          <w:color w:val="auto"/>
          <w:kern w:val="2"/>
          <w:u w:val="single"/>
        </w:rPr>
        <w:t>工程项目开工后，由于中途暂停施工导致实际工期超合同工期，经双方协商一致，发承包双方在复工前应根据双方各自责任，按《浙江省建设工程计价规则》（</w:t>
      </w:r>
      <w:r>
        <w:rPr>
          <w:rStyle w:val="30"/>
          <w:rFonts w:hint="eastAsia" w:ascii="Calibri" w:hAnsi="Calibri" w:eastAsia="仿宋_GB2312" w:cs="Times New Roman"/>
          <w:b/>
          <w:bCs/>
          <w:color w:val="auto"/>
          <w:kern w:val="2"/>
          <w:u w:val="single"/>
        </w:rPr>
        <w:t>2018</w:t>
      </w:r>
      <w:r>
        <w:rPr>
          <w:rStyle w:val="30"/>
          <w:rFonts w:hint="eastAsia" w:ascii="仿宋_GB2312" w:hAnsi="Calibri" w:eastAsia="仿宋_GB2312" w:cs="Times New Roman"/>
          <w:b/>
          <w:bCs/>
          <w:color w:val="auto"/>
          <w:kern w:val="2"/>
          <w:u w:val="single"/>
        </w:rPr>
        <w:t>版）规定的办法调整人工、材料、机械价差，并签订补充协议。</w:t>
      </w:r>
    </w:p>
    <w:p w14:paraId="7FDC13EA">
      <w:pPr>
        <w:pStyle w:val="79"/>
        <w:spacing w:line="320" w:lineRule="exact"/>
        <w:ind w:firstLine="422" w:firstLineChars="200"/>
        <w:rPr>
          <w:rStyle w:val="30"/>
          <w:rFonts w:ascii="Calibri" w:hAnsi="Calibri" w:eastAsia="仿宋_GB2312" w:cs="Times New Roman"/>
          <w:b/>
          <w:bCs/>
          <w:color w:val="auto"/>
          <w:kern w:val="2"/>
          <w:u w:val="single"/>
        </w:rPr>
      </w:pPr>
      <w:r>
        <w:rPr>
          <w:rStyle w:val="30"/>
          <w:rFonts w:hint="eastAsia" w:ascii="Calibri" w:hAnsi="Calibri" w:eastAsia="仿宋_GB2312" w:cs="Times New Roman"/>
          <w:b/>
          <w:bCs/>
          <w:color w:val="auto"/>
          <w:kern w:val="2"/>
          <w:u w:val="single"/>
        </w:rPr>
        <w:t xml:space="preserve"> </w:t>
      </w:r>
    </w:p>
    <w:p w14:paraId="52E2F869">
      <w:pPr>
        <w:pStyle w:val="79"/>
        <w:spacing w:after="120" w:line="320" w:lineRule="exact"/>
        <w:ind w:firstLine="420" w:firstLineChars="200"/>
        <w:rPr>
          <w:rStyle w:val="30"/>
          <w:rFonts w:hint="eastAsia" w:ascii="Calibri" w:hAnsi="Calibri" w:eastAsia="黑体" w:cs="Times New Roman"/>
          <w:color w:val="auto"/>
          <w:kern w:val="2"/>
          <w:u w:val="single"/>
        </w:rPr>
      </w:pPr>
      <w:r>
        <w:rPr>
          <w:rStyle w:val="30"/>
          <w:rFonts w:ascii="Calibri" w:hAnsi="Calibri" w:eastAsia="黑体" w:cs="Times New Roman"/>
          <w:color w:val="auto"/>
          <w:kern w:val="2"/>
        </w:rPr>
        <w:t xml:space="preserve">7.9 </w:t>
      </w:r>
      <w:r>
        <w:rPr>
          <w:rStyle w:val="30"/>
          <w:rFonts w:hint="eastAsia" w:ascii="黑体" w:hAnsi="黑体" w:eastAsia="黑体" w:cs="Times New Roman"/>
          <w:color w:val="auto"/>
          <w:kern w:val="2"/>
        </w:rPr>
        <w:t>提前竣工的奖励</w:t>
      </w:r>
      <w:r>
        <w:rPr>
          <w:rStyle w:val="30"/>
          <w:rFonts w:ascii="Calibri" w:hAnsi="Calibri" w:eastAsia="黑体" w:cs="Times New Roman"/>
          <w:color w:val="auto"/>
          <w:kern w:val="2"/>
          <w:u w:val="single"/>
        </w:rPr>
        <w:t xml:space="preserve">            </w:t>
      </w:r>
      <w:r>
        <w:rPr>
          <w:rStyle w:val="30"/>
          <w:rFonts w:hint="eastAsia" w:ascii="黑体" w:hAnsi="黑体" w:eastAsia="黑体" w:cs="Times New Roman"/>
          <w:color w:val="auto"/>
          <w:kern w:val="2"/>
          <w:u w:val="single"/>
        </w:rPr>
        <w:t>无</w:t>
      </w:r>
      <w:r>
        <w:rPr>
          <w:rStyle w:val="30"/>
          <w:rFonts w:ascii="Calibri" w:hAnsi="Calibri" w:eastAsia="黑体" w:cs="Times New Roman"/>
          <w:color w:val="auto"/>
          <w:kern w:val="2"/>
          <w:u w:val="single"/>
        </w:rPr>
        <w:t xml:space="preserve">              </w:t>
      </w:r>
      <w:r>
        <w:rPr>
          <w:rStyle w:val="30"/>
          <w:rFonts w:hint="eastAsia" w:ascii="仿宋_GB2312" w:hAnsi="Calibri" w:eastAsia="仿宋_GB2312" w:cs="Times New Roman"/>
          <w:color w:val="auto"/>
          <w:kern w:val="2"/>
        </w:rPr>
        <w:t>。</w:t>
      </w:r>
    </w:p>
    <w:p w14:paraId="4B3637FF">
      <w:pPr>
        <w:pStyle w:val="79"/>
        <w:spacing w:line="320" w:lineRule="exact"/>
        <w:ind w:firstLine="420" w:firstLineChars="200"/>
        <w:rPr>
          <w:rStyle w:val="30"/>
          <w:rFonts w:ascii="Calibri" w:hAnsi="Calibri" w:eastAsia="仿宋_GB2312" w:cs="Times New Roman"/>
          <w:color w:val="auto"/>
          <w:kern w:val="2"/>
          <w:u w:val="single"/>
        </w:rPr>
      </w:pPr>
      <w:r>
        <w:rPr>
          <w:rStyle w:val="30"/>
          <w:rFonts w:ascii="Calibri" w:hAnsi="Calibri" w:cs="Times New Roman"/>
          <w:color w:val="auto"/>
          <w:kern w:val="2"/>
        </w:rPr>
        <w:t>7.9.2</w:t>
      </w:r>
      <w:r>
        <w:rPr>
          <w:rStyle w:val="30"/>
          <w:rFonts w:hint="eastAsia" w:ascii="宋体" w:hAnsi="宋体" w:cs="Times New Roman"/>
          <w:color w:val="auto"/>
          <w:kern w:val="2"/>
        </w:rPr>
        <w:t>提前竣工的奖励：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无</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B3EFDAD">
      <w:pPr>
        <w:pStyle w:val="109"/>
        <w:rPr>
          <w:rStyle w:val="30"/>
          <w:rFonts w:eastAsia="宋体" w:cs="Times New Roman"/>
          <w:color w:val="auto"/>
          <w:sz w:val="24"/>
          <w:szCs w:val="24"/>
        </w:rPr>
      </w:pPr>
      <w:r>
        <w:rPr>
          <w:rStyle w:val="30"/>
          <w:rFonts w:hint="eastAsia" w:eastAsia="宋体" w:cs="Times New Roman"/>
          <w:color w:val="auto"/>
          <w:sz w:val="24"/>
          <w:szCs w:val="24"/>
        </w:rPr>
        <w:t xml:space="preserve">8. </w:t>
      </w:r>
      <w:r>
        <w:rPr>
          <w:rStyle w:val="30"/>
          <w:rFonts w:hint="eastAsia" w:ascii="宋体" w:hAnsi="宋体" w:eastAsia="宋体" w:cs="Times New Roman"/>
          <w:color w:val="auto"/>
          <w:sz w:val="24"/>
          <w:szCs w:val="24"/>
        </w:rPr>
        <w:t>材料与设备</w:t>
      </w:r>
    </w:p>
    <w:p w14:paraId="653807BC">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8.4</w:t>
      </w:r>
      <w:r>
        <w:rPr>
          <w:rStyle w:val="30"/>
          <w:rFonts w:hint="eastAsia" w:ascii="黑体" w:hAnsi="黑体" w:eastAsia="黑体" w:cs="Times New Roman"/>
          <w:color w:val="auto"/>
          <w:kern w:val="2"/>
        </w:rPr>
        <w:t>材料与工程设备的保管与使用</w:t>
      </w:r>
    </w:p>
    <w:p w14:paraId="20B12965">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8.4.1</w:t>
      </w:r>
      <w:r>
        <w:rPr>
          <w:rStyle w:val="30"/>
          <w:rFonts w:hint="eastAsia" w:ascii="仿宋_GB2312" w:hAnsi="Calibri" w:eastAsia="仿宋_GB2312" w:cs="Times New Roman"/>
          <w:color w:val="auto"/>
          <w:kern w:val="2"/>
        </w:rPr>
        <w:t>发包人供应的材料设备的保管费用的承担：</w:t>
      </w:r>
      <w:r>
        <w:rPr>
          <w:rStyle w:val="30"/>
          <w:rFonts w:hint="eastAsia" w:ascii="仿宋_GB2312" w:hAnsi="Calibri" w:eastAsia="仿宋_GB2312" w:cs="Times New Roman"/>
          <w:b/>
          <w:bCs/>
          <w:color w:val="auto"/>
          <w:kern w:val="2"/>
          <w:u w:val="single"/>
        </w:rPr>
        <w:t>除服务内容和要求发生变化外，甲供材料设备保管费分别按甲供材料金额、甲供设备金额以</w:t>
      </w:r>
      <w:r>
        <w:rPr>
          <w:rStyle w:val="30"/>
          <w:rFonts w:hint="eastAsia" w:ascii="仿宋_GB2312" w:eastAsia="仿宋_GB2312" w:cs="Times New Roman"/>
          <w:b/>
          <w:bCs/>
          <w:color w:val="auto"/>
          <w:kern w:val="2"/>
          <w:u w:val="single"/>
          <w:lang w:val="en-US" w:eastAsia="zh-CN"/>
        </w:rPr>
        <w:t>磋商</w:t>
      </w:r>
      <w:r>
        <w:rPr>
          <w:rStyle w:val="30"/>
          <w:rFonts w:hint="eastAsia" w:ascii="仿宋_GB2312" w:hAnsi="Calibri" w:eastAsia="仿宋_GB2312" w:cs="Times New Roman"/>
          <w:b/>
          <w:bCs/>
          <w:color w:val="auto"/>
          <w:kern w:val="2"/>
          <w:u w:val="single"/>
        </w:rPr>
        <w:t>报价的相应保管费费率计算。</w:t>
      </w:r>
    </w:p>
    <w:p w14:paraId="77E5750C">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8.4.2 </w:t>
      </w:r>
      <w:r>
        <w:rPr>
          <w:rStyle w:val="30"/>
          <w:rFonts w:hint="eastAsia" w:ascii="仿宋_GB2312" w:hAnsi="Calibri" w:eastAsia="仿宋_GB2312" w:cs="Times New Roman"/>
          <w:color w:val="auto"/>
          <w:kern w:val="2"/>
        </w:rPr>
        <w:t>承包人采购材料与工程设备的保管与使用</w:t>
      </w:r>
      <w:r>
        <w:rPr>
          <w:rStyle w:val="30"/>
          <w:rFonts w:ascii="Calibri" w:hAnsi="Calibri" w:eastAsia="仿宋_GB2312" w:cs="Times New Roman"/>
          <w:color w:val="auto"/>
          <w:kern w:val="2"/>
        </w:rPr>
        <w:t>:</w:t>
      </w:r>
    </w:p>
    <w:p w14:paraId="10696C0E">
      <w:pPr>
        <w:pStyle w:val="110"/>
        <w:spacing w:line="300" w:lineRule="exact"/>
        <w:ind w:left="420" w:leftChars="200"/>
        <w:rPr>
          <w:rStyle w:val="30"/>
          <w:rFonts w:ascii="宋体" w:hAnsi="宋体" w:eastAsia="宋体" w:cs="Times New Roman"/>
          <w:color w:val="auto"/>
          <w:sz w:val="24"/>
          <w:szCs w:val="24"/>
          <w:u w:val="single"/>
        </w:rPr>
      </w:pPr>
      <w:r>
        <w:rPr>
          <w:rStyle w:val="30"/>
          <w:rFonts w:hint="eastAsia" w:ascii="宋体" w:hAnsi="宋体" w:eastAsia="宋体" w:cs="Times New Roman"/>
          <w:color w:val="auto"/>
          <w:sz w:val="24"/>
          <w:szCs w:val="24"/>
          <w:u w:val="single"/>
        </w:rPr>
        <w:t xml:space="preserve">a)本工程所需的材料均由承包人自行采购供应。                                       </w:t>
      </w:r>
    </w:p>
    <w:p w14:paraId="4655138B">
      <w:pPr>
        <w:pStyle w:val="110"/>
        <w:spacing w:line="240" w:lineRule="atLeast"/>
        <w:ind w:left="420" w:leftChars="200"/>
        <w:rPr>
          <w:rStyle w:val="30"/>
          <w:rFonts w:hint="eastAsia" w:ascii="宋体" w:hAnsi="宋体" w:eastAsia="宋体" w:cs="Times New Roman"/>
          <w:color w:val="auto"/>
          <w:sz w:val="24"/>
          <w:szCs w:val="24"/>
          <w:u w:val="single"/>
        </w:rPr>
      </w:pPr>
      <w:r>
        <w:rPr>
          <w:rStyle w:val="30"/>
          <w:rFonts w:hint="eastAsia" w:ascii="宋体" w:hAnsi="宋体" w:eastAsia="宋体" w:cs="Times New Roman"/>
          <w:color w:val="auto"/>
          <w:sz w:val="24"/>
          <w:szCs w:val="24"/>
          <w:u w:val="single"/>
        </w:rPr>
        <w:t xml:space="preserve">b)所有材料必须按时提供质保单和检验报告或合格证，并且符合施工图纸和施工规范要求。 </w:t>
      </w:r>
    </w:p>
    <w:p w14:paraId="6F983636">
      <w:pPr>
        <w:pStyle w:val="110"/>
        <w:spacing w:line="240" w:lineRule="atLeast"/>
        <w:ind w:left="420" w:leftChars="200"/>
        <w:rPr>
          <w:rStyle w:val="30"/>
          <w:rFonts w:hint="eastAsia" w:ascii="Times New Roman" w:hAnsi="Times New Roman" w:eastAsia="仿宋_GB2312" w:cs="Times New Roman"/>
          <w:color w:val="auto"/>
          <w:sz w:val="24"/>
          <w:szCs w:val="24"/>
        </w:rPr>
      </w:pPr>
      <w:r>
        <w:rPr>
          <w:rStyle w:val="30"/>
          <w:rFonts w:hint="eastAsia" w:ascii="宋体" w:hAnsi="宋体" w:eastAsia="宋体" w:cs="Times New Roman"/>
          <w:color w:val="auto"/>
          <w:sz w:val="24"/>
          <w:szCs w:val="24"/>
          <w:u w:val="single"/>
        </w:rPr>
        <w:t>c)施工用水、用电由承包人单独设置水、电计量表，按有关部门规定，由承包人按计量付费。</w:t>
      </w:r>
      <w:r>
        <w:rPr>
          <w:rStyle w:val="30"/>
          <w:rFonts w:ascii="Calibri" w:hAnsi="Calibri" w:eastAsia="仿宋_GB2312" w:cs="Times New Roman"/>
          <w:color w:val="auto"/>
          <w:sz w:val="24"/>
          <w:szCs w:val="24"/>
        </w:rPr>
        <w:t xml:space="preserve">                                    </w:t>
      </w:r>
    </w:p>
    <w:p w14:paraId="247FB2B8">
      <w:pPr>
        <w:pStyle w:val="79"/>
        <w:spacing w:after="120" w:line="320" w:lineRule="exact"/>
        <w:ind w:firstLine="420" w:firstLineChars="200"/>
        <w:rPr>
          <w:rStyle w:val="30"/>
          <w:rFonts w:ascii="Calibri" w:hAnsi="Calibri" w:eastAsia="黑体" w:cs="Times New Roman"/>
          <w:color w:val="auto"/>
          <w:kern w:val="2"/>
          <w:sz w:val="24"/>
          <w:szCs w:val="24"/>
        </w:rPr>
      </w:pPr>
      <w:r>
        <w:rPr>
          <w:rStyle w:val="30"/>
          <w:rFonts w:ascii="Calibri" w:hAnsi="Calibri" w:eastAsia="黑体" w:cs="Times New Roman"/>
          <w:color w:val="auto"/>
          <w:kern w:val="2"/>
        </w:rPr>
        <w:t xml:space="preserve">8.6 </w:t>
      </w:r>
      <w:r>
        <w:rPr>
          <w:rStyle w:val="30"/>
          <w:rFonts w:hint="eastAsia" w:ascii="黑体" w:hAnsi="黑体" w:eastAsia="黑体" w:cs="Times New Roman"/>
          <w:color w:val="auto"/>
          <w:kern w:val="2"/>
        </w:rPr>
        <w:t>样品</w:t>
      </w:r>
    </w:p>
    <w:p w14:paraId="2F511CB0">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8.6.1</w:t>
      </w:r>
      <w:r>
        <w:rPr>
          <w:rStyle w:val="30"/>
          <w:rFonts w:ascii="Calibri" w:hAnsi="Calibri" w:eastAsia="仿宋_GB2312" w:cs="Times New Roman"/>
          <w:color w:val="auto"/>
        </w:rPr>
        <w:tab/>
      </w:r>
      <w:r>
        <w:rPr>
          <w:rStyle w:val="30"/>
          <w:rFonts w:hint="eastAsia" w:ascii="仿宋_GB2312" w:hAnsi="Calibri" w:eastAsia="仿宋_GB2312" w:cs="Times New Roman"/>
          <w:color w:val="auto"/>
        </w:rPr>
        <w:t>样品的报送与封存</w:t>
      </w:r>
    </w:p>
    <w:p w14:paraId="043996B2">
      <w:pPr>
        <w:pStyle w:val="79"/>
        <w:autoSpaceDE w:val="0"/>
        <w:autoSpaceDN w:val="0"/>
        <w:adjustRightInd w:val="0"/>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rPr>
        <w:t>需要承包人报送样品的材料或工程设备，样品的种类、名称、规格、数量要求：</w:t>
      </w:r>
      <w:r>
        <w:rPr>
          <w:rStyle w:val="30"/>
          <w:rFonts w:ascii="Calibri" w:hAnsi="Calibri" w:cs="Times New Roman"/>
          <w:color w:val="auto"/>
          <w:kern w:val="2"/>
          <w:u w:val="single"/>
        </w:rPr>
        <w:t xml:space="preserve"> </w:t>
      </w:r>
      <w:r>
        <w:rPr>
          <w:rStyle w:val="30"/>
          <w:rFonts w:hint="eastAsia" w:ascii="Calibri" w:hAnsi="Calibri" w:cs="Times New Roman"/>
          <w:color w:val="auto"/>
          <w:kern w:val="2"/>
          <w:u w:val="single"/>
        </w:rPr>
        <w:t>①</w:t>
      </w:r>
      <w:r>
        <w:rPr>
          <w:rStyle w:val="30"/>
          <w:rFonts w:hint="eastAsia" w:ascii="宋体" w:hAnsi="宋体" w:eastAsia="宋体" w:cs="宋体"/>
          <w:color w:val="auto"/>
          <w:kern w:val="2"/>
          <w:u w:val="single"/>
        </w:rPr>
        <w:t>所有材料、设备必须有质保单和检验报告或合格证，并且符合施工图纸和施工规范要求。如发包人要求提供样品的，则承包人提供每类样品不少于一份。</w:t>
      </w:r>
      <w:r>
        <w:rPr>
          <w:rStyle w:val="30"/>
          <w:rFonts w:ascii="Calibri" w:hAnsi="Calibri" w:cs="Calibri"/>
          <w:color w:val="auto"/>
          <w:kern w:val="2"/>
          <w:u w:val="single"/>
        </w:rPr>
        <w:t>②</w:t>
      </w:r>
      <w:r>
        <w:rPr>
          <w:rStyle w:val="30"/>
          <w:rFonts w:hint="eastAsia" w:ascii="宋体" w:hAnsi="宋体" w:eastAsia="宋体" w:cs="宋体"/>
          <w:color w:val="auto"/>
          <w:kern w:val="2"/>
          <w:u w:val="single"/>
        </w:rPr>
        <w:t>承包人采购供应的材料、设备，在开箱验收前</w:t>
      </w:r>
      <w:r>
        <w:rPr>
          <w:rStyle w:val="30"/>
          <w:rFonts w:ascii="Calibri" w:hAnsi="Calibri" w:cs="Calibri"/>
          <w:color w:val="auto"/>
          <w:kern w:val="2"/>
          <w:u w:val="single"/>
        </w:rPr>
        <w:t>24</w:t>
      </w:r>
      <w:r>
        <w:rPr>
          <w:rStyle w:val="30"/>
          <w:rFonts w:hint="eastAsia" w:ascii="宋体" w:hAnsi="宋体" w:eastAsia="宋体" w:cs="宋体"/>
          <w:color w:val="auto"/>
          <w:kern w:val="2"/>
          <w:u w:val="single"/>
        </w:rPr>
        <w:t>小时内，向发包人提出开箱检验请求，经发包人验收合格并签署意见后方可使用。</w:t>
      </w:r>
      <w:r>
        <w:rPr>
          <w:rStyle w:val="30"/>
          <w:rFonts w:ascii="Calibri" w:hAnsi="Calibri" w:cs="Calibri"/>
          <w:color w:val="auto"/>
          <w:kern w:val="2"/>
          <w:u w:val="single"/>
        </w:rPr>
        <w:t>③</w:t>
      </w:r>
      <w:r>
        <w:rPr>
          <w:rStyle w:val="30"/>
          <w:rFonts w:hint="eastAsia" w:ascii="宋体" w:hAnsi="宋体" w:eastAsia="宋体" w:cs="宋体"/>
          <w:color w:val="auto"/>
          <w:kern w:val="2"/>
          <w:u w:val="single"/>
        </w:rPr>
        <w:t>承包人在提供样品时必须提供产品合格证书和计量检定证书，不合格的承包人应退货；已使用的承包人应拆除返工，由此产生的一切后果概由承包人承担，因此产生的工期延误不予顺延。</w:t>
      </w:r>
      <w:r>
        <w:rPr>
          <w:rStyle w:val="30"/>
          <w:rFonts w:ascii="Calibri" w:hAnsi="Calibri" w:cs="Calibri"/>
          <w:color w:val="auto"/>
          <w:kern w:val="2"/>
          <w:u w:val="single"/>
        </w:rPr>
        <w:t>④</w:t>
      </w:r>
      <w:r>
        <w:rPr>
          <w:rStyle w:val="30"/>
          <w:rFonts w:hint="eastAsia" w:ascii="宋体" w:hAnsi="宋体" w:eastAsia="宋体" w:cs="宋体"/>
          <w:color w:val="auto"/>
          <w:kern w:val="2"/>
          <w:u w:val="single"/>
        </w:rPr>
        <w:t>在承包人与设备供货商签订的合同中必须明确：在设备生产过程中和出厂试验时，发包人有权随时派员对设备生产厂家进行实地考察及了解有关所供设备的生产及试验情况。</w:t>
      </w:r>
      <w:r>
        <w:rPr>
          <w:rStyle w:val="30"/>
          <w:rFonts w:ascii="Calibri" w:hAnsi="Calibri" w:cs="Times New Roman"/>
          <w:color w:val="auto"/>
          <w:u w:val="single"/>
        </w:rPr>
        <w:t xml:space="preserve"> </w:t>
      </w:r>
      <w:r>
        <w:rPr>
          <w:rStyle w:val="30"/>
          <w:rFonts w:hint="eastAsia" w:ascii="仿宋_GB2312" w:hAnsi="Calibri" w:eastAsia="仿宋_GB2312" w:cs="Times New Roman"/>
          <w:color w:val="auto"/>
          <w:kern w:val="2"/>
        </w:rPr>
        <w:t>。</w:t>
      </w:r>
    </w:p>
    <w:p w14:paraId="6ED9DE42">
      <w:pPr>
        <w:pStyle w:val="79"/>
        <w:spacing w:after="120" w:line="320" w:lineRule="exact"/>
        <w:ind w:firstLine="420" w:firstLineChars="200"/>
        <w:rPr>
          <w:rStyle w:val="30"/>
          <w:rFonts w:hint="eastAsia" w:ascii="Calibri" w:hAnsi="Calibri" w:eastAsia="黑体" w:cs="Times New Roman"/>
          <w:color w:val="auto"/>
          <w:kern w:val="2"/>
        </w:rPr>
      </w:pPr>
      <w:r>
        <w:rPr>
          <w:rStyle w:val="30"/>
          <w:rFonts w:ascii="Calibri" w:hAnsi="Calibri" w:eastAsia="黑体" w:cs="Times New Roman"/>
          <w:color w:val="auto"/>
          <w:kern w:val="2"/>
        </w:rPr>
        <w:t xml:space="preserve">8.8 </w:t>
      </w:r>
      <w:r>
        <w:rPr>
          <w:rStyle w:val="30"/>
          <w:rFonts w:hint="eastAsia" w:ascii="黑体" w:hAnsi="黑体" w:eastAsia="黑体" w:cs="Times New Roman"/>
          <w:color w:val="auto"/>
          <w:kern w:val="2"/>
        </w:rPr>
        <w:t>施工设备和临时设施</w:t>
      </w:r>
    </w:p>
    <w:p w14:paraId="65BA4679">
      <w:pPr>
        <w:pStyle w:val="79"/>
        <w:autoSpaceDE w:val="0"/>
        <w:autoSpaceDN w:val="0"/>
        <w:adjustRightInd w:val="0"/>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8.8.1 </w:t>
      </w:r>
      <w:r>
        <w:rPr>
          <w:rStyle w:val="30"/>
          <w:rFonts w:hint="eastAsia" w:ascii="仿宋_GB2312" w:hAnsi="Calibri" w:eastAsia="仿宋_GB2312" w:cs="Times New Roman"/>
          <w:color w:val="auto"/>
          <w:kern w:val="2"/>
        </w:rPr>
        <w:t>承包人提供的施工设备和临时设施</w:t>
      </w:r>
    </w:p>
    <w:p w14:paraId="3C414334">
      <w:pPr>
        <w:pStyle w:val="79"/>
        <w:spacing w:line="360" w:lineRule="auto"/>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关于提供施工设备费用承担的约定：</w:t>
      </w:r>
      <w:r>
        <w:rPr>
          <w:rStyle w:val="30"/>
          <w:rFonts w:ascii="Calibri" w:hAnsi="Calibri" w:eastAsia="仿宋_GB2312" w:cs="Times New Roman"/>
          <w:color w:val="auto"/>
          <w:kern w:val="2"/>
        </w:rPr>
        <w:t xml:space="preserve"> </w:t>
      </w:r>
      <w:r>
        <w:rPr>
          <w:rStyle w:val="30"/>
          <w:rFonts w:ascii="Calibri" w:hAnsi="Calibri" w:cs="Times New Roman"/>
          <w:color w:val="auto"/>
          <w:u w:val="single"/>
        </w:rPr>
        <w:t xml:space="preserve"> </w:t>
      </w:r>
      <w:r>
        <w:rPr>
          <w:rStyle w:val="30"/>
          <w:rFonts w:hint="eastAsia" w:ascii="宋体" w:hAnsi="宋体" w:eastAsia="宋体" w:cs="宋体"/>
          <w:color w:val="auto"/>
          <w:u w:val="single"/>
        </w:rPr>
        <w:t>根据现场实际需要，由承包人自行解决，发生费用由承包人承担</w:t>
      </w:r>
      <w:r>
        <w:rPr>
          <w:rStyle w:val="30"/>
          <w:rFonts w:ascii="Calibri" w:hAnsi="Calibri" w:cs="Times New Roman"/>
          <w:color w:val="auto"/>
          <w:u w:val="single"/>
        </w:rPr>
        <w:t xml:space="preserve"> </w:t>
      </w: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 xml:space="preserve">                                </w:t>
      </w:r>
    </w:p>
    <w:p w14:paraId="2CBCBEBB">
      <w:pPr>
        <w:pStyle w:val="79"/>
        <w:spacing w:line="360" w:lineRule="auto"/>
        <w:ind w:firstLine="420" w:firstLineChars="200"/>
        <w:rPr>
          <w:rStyle w:val="30"/>
          <w:rFonts w:ascii="Calibri" w:hAnsi="Calibri" w:eastAsia="宋体" w:cs="Times New Roman"/>
          <w:color w:val="auto"/>
          <w:u w:val="single"/>
        </w:rPr>
      </w:pPr>
      <w:r>
        <w:rPr>
          <w:rStyle w:val="30"/>
          <w:rFonts w:hint="eastAsia" w:ascii="仿宋_GB2312" w:hAnsi="Calibri" w:eastAsia="仿宋_GB2312" w:cs="Times New Roman"/>
          <w:color w:val="auto"/>
          <w:kern w:val="2"/>
        </w:rPr>
        <w:t>关于修建临时设施费用承担的约定：</w:t>
      </w:r>
      <w:r>
        <w:rPr>
          <w:rStyle w:val="30"/>
          <w:rFonts w:ascii="Calibri" w:hAnsi="Calibri" w:cs="Times New Roman"/>
          <w:color w:val="auto"/>
          <w:u w:val="single"/>
        </w:rPr>
        <w:t xml:space="preserve"> </w:t>
      </w:r>
      <w:r>
        <w:rPr>
          <w:rStyle w:val="30"/>
          <w:rFonts w:hint="eastAsia" w:ascii="宋体" w:hAnsi="宋体" w:eastAsia="宋体" w:cs="宋体"/>
          <w:color w:val="auto"/>
          <w:u w:val="single"/>
        </w:rPr>
        <w:t>承包人应自行承担修建临时设施的费用，需要临时占地的，应由承包人办理申请手续并承担相应费用。承包人应向发包人提供现场办公用房二间，所需费用由承包人承担。</w:t>
      </w:r>
      <w:r>
        <w:rPr>
          <w:rStyle w:val="30"/>
          <w:rFonts w:ascii="Calibri" w:hAnsi="Calibri" w:cs="Times New Roman"/>
          <w:color w:val="auto"/>
          <w:u w:val="single"/>
        </w:rPr>
        <w:t xml:space="preserve"> </w:t>
      </w:r>
      <w:r>
        <w:rPr>
          <w:rStyle w:val="30"/>
          <w:rFonts w:hint="eastAsia" w:ascii="仿宋_GB2312" w:hAnsi="Calibri" w:eastAsia="仿宋_GB2312" w:cs="Times New Roman"/>
          <w:color w:val="auto"/>
          <w:kern w:val="2"/>
        </w:rPr>
        <w:t>。</w:t>
      </w:r>
    </w:p>
    <w:p w14:paraId="73441A31">
      <w:pPr>
        <w:pStyle w:val="109"/>
        <w:rPr>
          <w:rStyle w:val="30"/>
          <w:rFonts w:eastAsia="宋体" w:cs="Times New Roman"/>
          <w:color w:val="auto"/>
          <w:sz w:val="24"/>
          <w:szCs w:val="24"/>
        </w:rPr>
      </w:pPr>
      <w:r>
        <w:rPr>
          <w:rStyle w:val="30"/>
          <w:rFonts w:hint="eastAsia" w:eastAsia="宋体" w:cs="Times New Roman"/>
          <w:color w:val="auto"/>
          <w:sz w:val="24"/>
          <w:szCs w:val="24"/>
        </w:rPr>
        <w:t xml:space="preserve">9. </w:t>
      </w:r>
      <w:r>
        <w:rPr>
          <w:rStyle w:val="30"/>
          <w:rFonts w:hint="eastAsia" w:ascii="宋体" w:hAnsi="宋体" w:eastAsia="宋体" w:cs="Times New Roman"/>
          <w:color w:val="auto"/>
          <w:sz w:val="24"/>
          <w:szCs w:val="24"/>
        </w:rPr>
        <w:t>试验与检验</w:t>
      </w:r>
    </w:p>
    <w:p w14:paraId="1EDCC39F">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9.1</w:t>
      </w:r>
      <w:r>
        <w:rPr>
          <w:rStyle w:val="30"/>
          <w:rFonts w:hint="eastAsia" w:ascii="黑体" w:hAnsi="黑体" w:eastAsia="黑体" w:cs="Times New Roman"/>
          <w:color w:val="auto"/>
          <w:kern w:val="2"/>
        </w:rPr>
        <w:t>试验设备与试验人员</w:t>
      </w:r>
    </w:p>
    <w:p w14:paraId="621310AB">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9.1.2 </w:t>
      </w:r>
      <w:r>
        <w:rPr>
          <w:rStyle w:val="30"/>
          <w:rFonts w:hint="eastAsia" w:ascii="仿宋_GB2312" w:hAnsi="Calibri" w:eastAsia="仿宋_GB2312" w:cs="Times New Roman"/>
          <w:color w:val="auto"/>
          <w:kern w:val="2"/>
        </w:rPr>
        <w:t>试验设备</w:t>
      </w:r>
    </w:p>
    <w:p w14:paraId="1913F4B5">
      <w:pPr>
        <w:pStyle w:val="79"/>
        <w:spacing w:line="320" w:lineRule="exact"/>
        <w:rPr>
          <w:rStyle w:val="30"/>
          <w:rFonts w:ascii="Calibri" w:hAnsi="Calibri" w:eastAsia="宋体" w:cs="Times New Roman"/>
          <w:color w:val="auto"/>
          <w:u w:val="single"/>
        </w:rPr>
      </w:pPr>
      <w:r>
        <w:rPr>
          <w:rStyle w:val="30"/>
          <w:rFonts w:hint="eastAsia" w:ascii="仿宋_GB2312" w:hAnsi="Calibri" w:eastAsia="仿宋_GB2312" w:cs="Times New Roman"/>
          <w:color w:val="auto"/>
          <w:kern w:val="2"/>
        </w:rPr>
        <w:t>施工现场需要配置的试验场所：</w:t>
      </w:r>
      <w:r>
        <w:rPr>
          <w:rStyle w:val="30"/>
          <w:rFonts w:ascii="Calibri" w:hAnsi="Calibri" w:eastAsia="仿宋_GB2312" w:cs="Times New Roman"/>
          <w:color w:val="auto"/>
          <w:kern w:val="2"/>
          <w:u w:val="single"/>
        </w:rPr>
        <w:t xml:space="preserve">  </w:t>
      </w:r>
      <w:r>
        <w:rPr>
          <w:rStyle w:val="30"/>
          <w:rFonts w:ascii="Calibri" w:hAnsi="Calibri" w:cs="Times New Roman"/>
          <w:color w:val="auto"/>
          <w:u w:val="single"/>
        </w:rPr>
        <w:t xml:space="preserve">                                       </w:t>
      </w:r>
      <w:r>
        <w:rPr>
          <w:rStyle w:val="30"/>
          <w:rFonts w:hint="eastAsia" w:ascii="仿宋_GB2312" w:hAnsi="Calibri" w:eastAsia="仿宋_GB2312" w:cs="Times New Roman"/>
          <w:color w:val="auto"/>
          <w:kern w:val="2"/>
        </w:rPr>
        <w:t>。</w:t>
      </w:r>
    </w:p>
    <w:p w14:paraId="6D1A3E7B">
      <w:pPr>
        <w:pStyle w:val="79"/>
        <w:spacing w:line="320" w:lineRule="exact"/>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施工现场需要配备的试验设备：</w:t>
      </w:r>
      <w:r>
        <w:rPr>
          <w:rStyle w:val="30"/>
          <w:rFonts w:ascii="Calibri" w:hAnsi="Calibri" w:cs="Times New Roman"/>
          <w:color w:val="auto"/>
          <w:u w:val="single"/>
        </w:rPr>
        <w:t xml:space="preserve">                                       </w:t>
      </w:r>
      <w:r>
        <w:rPr>
          <w:rStyle w:val="30"/>
          <w:rFonts w:hint="eastAsia" w:ascii="仿宋_GB2312" w:hAnsi="Calibri" w:eastAsia="仿宋_GB2312" w:cs="Times New Roman"/>
          <w:color w:val="auto"/>
          <w:kern w:val="2"/>
        </w:rPr>
        <w:t>。</w:t>
      </w:r>
    </w:p>
    <w:p w14:paraId="32718945">
      <w:pPr>
        <w:pStyle w:val="79"/>
        <w:spacing w:line="320" w:lineRule="exact"/>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施工现场需要具备的其他试验条件：</w:t>
      </w:r>
      <w:r>
        <w:rPr>
          <w:rStyle w:val="30"/>
          <w:rFonts w:ascii="Calibri" w:hAnsi="Calibri" w:cs="Times New Roman"/>
          <w:color w:val="auto"/>
          <w:u w:val="single"/>
        </w:rPr>
        <w:t xml:space="preserve">                                  </w:t>
      </w:r>
      <w:r>
        <w:rPr>
          <w:rStyle w:val="30"/>
          <w:rFonts w:hint="eastAsia" w:ascii="仿宋_GB2312" w:hAnsi="Calibri" w:eastAsia="仿宋_GB2312" w:cs="Times New Roman"/>
          <w:color w:val="auto"/>
          <w:kern w:val="2"/>
        </w:rPr>
        <w:t>。</w:t>
      </w:r>
    </w:p>
    <w:p w14:paraId="1D78B673">
      <w:pPr>
        <w:pStyle w:val="79"/>
        <w:spacing w:after="120" w:line="320" w:lineRule="exact"/>
        <w:ind w:firstLine="420" w:firstLineChars="200"/>
        <w:rPr>
          <w:rStyle w:val="30"/>
          <w:rFonts w:hint="eastAsia" w:ascii="黑体" w:hAnsi="黑体" w:eastAsia="黑体" w:cs="Times New Roman"/>
          <w:color w:val="auto"/>
          <w:kern w:val="2"/>
        </w:rPr>
      </w:pPr>
      <w:r>
        <w:rPr>
          <w:rStyle w:val="30"/>
          <w:rFonts w:hint="eastAsia" w:ascii="黑体" w:hAnsi="黑体" w:eastAsia="黑体" w:cs="Times New Roman"/>
          <w:color w:val="auto"/>
          <w:kern w:val="2"/>
        </w:rPr>
        <w:t>9.3 材料、工程设备和工程的试验和检验</w:t>
      </w:r>
    </w:p>
    <w:p w14:paraId="637D4D09">
      <w:pPr>
        <w:pStyle w:val="79"/>
        <w:spacing w:line="320" w:lineRule="exact"/>
        <w:rPr>
          <w:rStyle w:val="30"/>
          <w:rFonts w:hint="eastAsia" w:ascii="仿宋_GB2312" w:hAnsi="Calibri" w:eastAsia="仿宋_GB2312" w:cs="Times New Roman"/>
          <w:color w:val="auto"/>
          <w:kern w:val="2"/>
        </w:rPr>
      </w:pPr>
      <w:r>
        <w:rPr>
          <w:rStyle w:val="30"/>
          <w:rFonts w:hint="eastAsia" w:ascii="仿宋_GB2312" w:hAnsi="Calibri" w:eastAsia="仿宋_GB2312" w:cs="Times New Roman"/>
          <w:color w:val="auto"/>
          <w:kern w:val="2"/>
        </w:rPr>
        <w:t>材料、设备和工程的试验和检验的费用：</w:t>
      </w:r>
    </w:p>
    <w:p w14:paraId="0D6FB4BA">
      <w:pPr>
        <w:pStyle w:val="79"/>
        <w:spacing w:line="360" w:lineRule="exact"/>
        <w:ind w:firstLine="508" w:firstLineChars="241"/>
        <w:rPr>
          <w:rStyle w:val="30"/>
          <w:rFonts w:hint="eastAsia" w:ascii="仿宋" w:hAnsi="仿宋" w:eastAsia="仿宋" w:cs="Times New Roman"/>
          <w:b/>
          <w:bCs/>
          <w:color w:val="auto"/>
          <w:sz w:val="24"/>
          <w:szCs w:val="24"/>
          <w:u w:val="single"/>
        </w:rPr>
      </w:pPr>
      <w:r>
        <w:rPr>
          <w:rStyle w:val="30"/>
          <w:rFonts w:hint="eastAsia" w:ascii="仿宋" w:hAnsi="仿宋" w:eastAsia="仿宋" w:cs="Times New Roman"/>
          <w:b/>
          <w:bCs/>
          <w:color w:val="auto"/>
          <w:u w:val="single"/>
        </w:rPr>
        <w:t>（1）按《建设工程质量管理条例》《建设工程质量检测管理办法》《房屋建筑工程和市政基础设施工程实行见证取样和送检的规定》等及省、市地方有关工程质量检测的有关规定实施。对建筑材料、构件和建筑安装物进行一般鉴定、检查所发生的费用，包括建设工程质量见证取样检测费、建筑施工企业配合检测及自设试验室进行试验所耗用的材料和化学药品等费用由承包人承担；专项检测试验费、新结构、新材料、构件破坏性试验及其他特殊要求检测试验等检测试验费由发包人承担。</w:t>
      </w:r>
    </w:p>
    <w:p w14:paraId="5FA8698E">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2）当发包人或监理人指示承包人为核实本工程某一部分或某种材料设备是否有缺陷时，承包人应按要求进行检（试）验。如果该检（试）验表明确有缺陷存在，则检（试）验和试样的费用，发包人供应材料设备的，由发包人承担；承包人采购材料设备的，由承包人承担。如果该检（试）验表明没有缺陷，则由发包人承担检（试）验和试样的费用。</w:t>
      </w:r>
    </w:p>
    <w:p w14:paraId="55797A35">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3）当质量安全管理机构根据相关规范要求开展，要求发包人与承包人开展本工程某一部分质量实体或某项材料设备质量监督抽检，如地基基础工程检测、结构实体检测、空气检测等专项检测需要时，发包人与承包人应配合，按要求进行检（试）验，检测、恢复费用由发包人承担。如检测不合格，则由承包人承担本次及重新检测、恢复费用。</w:t>
      </w:r>
    </w:p>
    <w:p w14:paraId="554C46DC">
      <w:pPr>
        <w:pStyle w:val="79"/>
        <w:spacing w:line="320" w:lineRule="exact"/>
        <w:rPr>
          <w:rStyle w:val="30"/>
          <w:rFonts w:hint="eastAsia" w:ascii="仿宋" w:hAnsi="仿宋" w:eastAsia="仿宋" w:cs="Times New Roman"/>
          <w:color w:val="auto"/>
          <w:kern w:val="2"/>
        </w:rPr>
      </w:pPr>
      <w:r>
        <w:rPr>
          <w:rStyle w:val="30"/>
          <w:rFonts w:hint="eastAsia" w:ascii="仿宋" w:hAnsi="仿宋" w:eastAsia="仿宋" w:cs="Times New Roman"/>
          <w:color w:val="auto"/>
          <w:kern w:val="2"/>
        </w:rPr>
        <w:t xml:space="preserve"> </w:t>
      </w:r>
    </w:p>
    <w:p w14:paraId="52C353B9">
      <w:pPr>
        <w:pStyle w:val="79"/>
        <w:spacing w:after="120" w:line="320" w:lineRule="exact"/>
        <w:ind w:firstLine="420" w:firstLineChars="200"/>
        <w:rPr>
          <w:rStyle w:val="30"/>
          <w:rFonts w:hint="eastAsia" w:ascii="Times New Roman" w:hAnsi="Times New Roman" w:eastAsia="黑体" w:cs="Times New Roman"/>
          <w:color w:val="auto"/>
          <w:kern w:val="2"/>
        </w:rPr>
      </w:pPr>
      <w:r>
        <w:rPr>
          <w:rStyle w:val="30"/>
          <w:rFonts w:ascii="Calibri" w:hAnsi="Calibri" w:eastAsia="黑体" w:cs="Times New Roman"/>
          <w:color w:val="auto"/>
          <w:kern w:val="2"/>
        </w:rPr>
        <w:t xml:space="preserve">9.4 </w:t>
      </w:r>
      <w:r>
        <w:rPr>
          <w:rStyle w:val="30"/>
          <w:rFonts w:hint="eastAsia" w:ascii="黑体" w:hAnsi="黑体" w:eastAsia="黑体" w:cs="Times New Roman"/>
          <w:color w:val="auto"/>
          <w:kern w:val="2"/>
        </w:rPr>
        <w:t>现场工艺试验</w:t>
      </w:r>
      <w:r>
        <w:rPr>
          <w:rStyle w:val="30"/>
          <w:rFonts w:ascii="Calibri" w:hAnsi="Calibri" w:eastAsia="黑体" w:cs="Times New Roman"/>
          <w:color w:val="auto"/>
          <w:kern w:val="2"/>
        </w:rPr>
        <w:t xml:space="preserve"> </w:t>
      </w:r>
    </w:p>
    <w:p w14:paraId="21837138">
      <w:pPr>
        <w:pStyle w:val="79"/>
        <w:spacing w:line="320" w:lineRule="exact"/>
        <w:rPr>
          <w:rStyle w:val="30"/>
          <w:rFonts w:hint="eastAsia" w:ascii="Calibri" w:hAnsi="Calibri" w:eastAsia="仿宋_GB2312" w:cs="Times New Roman"/>
          <w:color w:val="auto"/>
          <w:kern w:val="2"/>
          <w:u w:val="single"/>
        </w:rPr>
      </w:pPr>
      <w:r>
        <w:rPr>
          <w:rStyle w:val="30"/>
          <w:rFonts w:hint="eastAsia" w:ascii="仿宋_GB2312" w:hAnsi="Calibri" w:eastAsia="仿宋_GB2312" w:cs="Times New Roman"/>
          <w:color w:val="auto"/>
          <w:kern w:val="2"/>
        </w:rPr>
        <w:t>现场工艺试验的有关约定：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根据有关部门相关规范要求进行检验，所有检测费用由承包单位承担；所有的施工工序必须执行样板先行制度，样板检查通过后方可全面实施。</w:t>
      </w:r>
    </w:p>
    <w:p w14:paraId="78D697C1">
      <w:pPr>
        <w:pStyle w:val="79"/>
        <w:spacing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10.1</w:t>
      </w:r>
      <w:r>
        <w:rPr>
          <w:rStyle w:val="30"/>
          <w:rFonts w:hint="eastAsia" w:ascii="黑体" w:hAnsi="黑体" w:eastAsia="黑体" w:cs="Times New Roman"/>
          <w:color w:val="auto"/>
          <w:kern w:val="2"/>
        </w:rPr>
        <w:t>变更的范围</w:t>
      </w:r>
    </w:p>
    <w:p w14:paraId="3AD7722B">
      <w:pPr>
        <w:pStyle w:val="79"/>
        <w:spacing w:line="320" w:lineRule="exact"/>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关于变更的范围的约定：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发包人有权根据工程需要调整项目设计，增加或减少部分工程范围，承包人不得以任何理由拒绝施工。</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1F1E921">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10.4 </w:t>
      </w:r>
      <w:r>
        <w:rPr>
          <w:rStyle w:val="30"/>
          <w:rFonts w:hint="eastAsia" w:ascii="黑体" w:hAnsi="黑体" w:eastAsia="黑体" w:cs="Times New Roman"/>
          <w:color w:val="auto"/>
          <w:kern w:val="2"/>
        </w:rPr>
        <w:t>变更估价</w:t>
      </w:r>
      <w:r>
        <w:rPr>
          <w:rStyle w:val="30"/>
          <w:rFonts w:ascii="Calibri" w:hAnsi="Calibri" w:eastAsia="黑体" w:cs="Times New Roman"/>
          <w:color w:val="auto"/>
          <w:kern w:val="2"/>
        </w:rPr>
        <w:t xml:space="preserve"> </w:t>
      </w:r>
    </w:p>
    <w:p w14:paraId="0B91D57B">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10.4.1 </w:t>
      </w:r>
      <w:r>
        <w:rPr>
          <w:rStyle w:val="30"/>
          <w:rFonts w:hint="eastAsia" w:ascii="仿宋_GB2312" w:hAnsi="Calibri" w:eastAsia="仿宋_GB2312" w:cs="Times New Roman"/>
          <w:color w:val="auto"/>
          <w:kern w:val="2"/>
        </w:rPr>
        <w:t>变更估价原则</w:t>
      </w:r>
    </w:p>
    <w:p w14:paraId="41A32FC6">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关于变更估价的约定：</w:t>
      </w:r>
      <w:r>
        <w:rPr>
          <w:rStyle w:val="30"/>
          <w:rFonts w:ascii="Calibri" w:hAnsi="Calibri" w:cs="Times New Roman"/>
          <w:b/>
          <w:bCs/>
          <w:color w:val="auto"/>
        </w:rPr>
        <w:t xml:space="preserve"> </w:t>
      </w:r>
    </w:p>
    <w:p w14:paraId="01A0227A">
      <w:pPr>
        <w:pStyle w:val="79"/>
        <w:spacing w:line="360" w:lineRule="exact"/>
        <w:ind w:firstLine="508" w:firstLineChars="241"/>
        <w:rPr>
          <w:rStyle w:val="30"/>
          <w:rFonts w:ascii="仿宋" w:hAnsi="仿宋" w:eastAsia="仿宋" w:cs="Times New Roman"/>
          <w:b/>
          <w:bCs/>
          <w:color w:val="auto"/>
          <w:u w:val="single"/>
        </w:rPr>
      </w:pPr>
      <w:r>
        <w:rPr>
          <w:rStyle w:val="30"/>
          <w:rFonts w:hint="eastAsia" w:ascii="仿宋" w:hAnsi="仿宋" w:eastAsia="仿宋" w:cs="Times New Roman"/>
          <w:b/>
          <w:bCs/>
          <w:color w:val="auto"/>
          <w:u w:val="single"/>
        </w:rPr>
        <w:t xml:space="preserve">（1）已标价工程量清单中有适用综合单价的，按原综合单价；合价金额占合同总价2%及以上的分部分项清单项目，其工程量增减超过本项工程量15%及以上，或合价金额占合同总价不到2%的分部分项清单项目，但其工程量增减超过本项目工程数量25%及以上时，增减工程量单价按本条第（3）款处理。 </w:t>
      </w:r>
    </w:p>
    <w:p w14:paraId="63F578B0">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（2）已标价工程量清单中没有适用的综合单价，但有类似的工程项目综合单价，可参照类似工程项目综合单价计算确定。</w:t>
      </w:r>
    </w:p>
    <w:p w14:paraId="69B48B9B">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①某种材料（或半成品及成品）等级、标准变化的，清单组合子目不变，仅调整不同的材料市场价格之差；</w:t>
      </w:r>
    </w:p>
    <w:p w14:paraId="69CC3962">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②清单项目组合内容中某一个（或多个）定额子目发生变化，不影响其他特征及工程内容价格的，仅调整发生变化的定额子目价格；</w:t>
      </w:r>
    </w:p>
    <w:p w14:paraId="7D24C79A">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③如该类似工程项目综合单价异常，则不宜参照，按本条第（4）款重新计算综合单价。</w:t>
      </w:r>
    </w:p>
    <w:p w14:paraId="5E2FE7E4">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（3）已标价工程量清单中没有适用的综合单价，可按以下原则处理：</w:t>
      </w:r>
    </w:p>
    <w:p w14:paraId="530D568F">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①依据合同约定编制依据、组价原则和承包人</w:t>
      </w:r>
      <w:r>
        <w:rPr>
          <w:rStyle w:val="30"/>
          <w:rFonts w:hint="eastAsia" w:ascii="仿宋" w:hAnsi="仿宋" w:eastAsia="仿宋" w:cs="Times New Roman"/>
          <w:b/>
          <w:bCs/>
          <w:color w:val="auto"/>
          <w:u w:val="single"/>
          <w:lang w:val="en-US" w:eastAsia="zh-CN"/>
        </w:rPr>
        <w:t>磋商</w:t>
      </w:r>
      <w:r>
        <w:rPr>
          <w:rStyle w:val="30"/>
          <w:rFonts w:hint="eastAsia" w:ascii="仿宋" w:hAnsi="仿宋" w:eastAsia="仿宋" w:cs="Times New Roman"/>
          <w:b/>
          <w:bCs/>
          <w:color w:val="auto"/>
          <w:u w:val="single"/>
        </w:rPr>
        <w:t>报价浮动率，提出适当的单价，经发包人确认后执行。</w:t>
      </w:r>
    </w:p>
    <w:p w14:paraId="165AD2EE">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承包人报价浮动率可按下列公式计算：</w:t>
      </w:r>
    </w:p>
    <w:p w14:paraId="22A48385">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lang w:val="en-US" w:eastAsia="zh-CN"/>
        </w:rPr>
        <w:t>招标</w:t>
      </w:r>
      <w:r>
        <w:rPr>
          <w:rStyle w:val="30"/>
          <w:rFonts w:hint="eastAsia" w:ascii="仿宋" w:hAnsi="仿宋" w:eastAsia="仿宋" w:cs="Times New Roman"/>
          <w:b/>
          <w:bCs/>
          <w:color w:val="auto"/>
          <w:u w:val="single"/>
        </w:rPr>
        <w:t>工程：承包人报价浮动率=（1-</w:t>
      </w:r>
      <w:r>
        <w:rPr>
          <w:rStyle w:val="30"/>
          <w:rFonts w:hint="eastAsia" w:ascii="仿宋" w:hAnsi="仿宋" w:eastAsia="仿宋" w:cs="Times New Roman"/>
          <w:b/>
          <w:bCs/>
          <w:color w:val="auto"/>
          <w:u w:val="single"/>
          <w:lang w:val="en-US" w:eastAsia="zh-CN"/>
        </w:rPr>
        <w:t>成交</w:t>
      </w:r>
      <w:r>
        <w:rPr>
          <w:rStyle w:val="30"/>
          <w:rFonts w:hint="eastAsia" w:ascii="仿宋" w:hAnsi="仿宋" w:eastAsia="仿宋" w:cs="Times New Roman"/>
          <w:b/>
          <w:bCs/>
          <w:color w:val="auto"/>
          <w:u w:val="single"/>
        </w:rPr>
        <w:t>价/</w:t>
      </w:r>
      <w:r>
        <w:rPr>
          <w:rStyle w:val="30"/>
          <w:rFonts w:hint="eastAsia" w:ascii="仿宋" w:hAnsi="仿宋" w:eastAsia="仿宋" w:cs="Times New Roman"/>
          <w:b/>
          <w:bCs/>
          <w:color w:val="auto"/>
          <w:u w:val="single"/>
          <w:lang w:val="en-US" w:eastAsia="zh-CN"/>
        </w:rPr>
        <w:t>招标</w:t>
      </w:r>
      <w:r>
        <w:rPr>
          <w:rStyle w:val="30"/>
          <w:rFonts w:hint="eastAsia" w:ascii="仿宋" w:hAnsi="仿宋" w:eastAsia="仿宋" w:cs="Times New Roman"/>
          <w:b/>
          <w:bCs/>
          <w:color w:val="auto"/>
          <w:u w:val="single"/>
        </w:rPr>
        <w:t>控制价）×100%      ；</w:t>
      </w:r>
    </w:p>
    <w:p w14:paraId="63D2C33C">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lang w:val="en-US" w:eastAsia="zh-CN"/>
        </w:rPr>
        <w:t>成交</w:t>
      </w:r>
      <w:r>
        <w:rPr>
          <w:rStyle w:val="30"/>
          <w:rFonts w:hint="eastAsia" w:ascii="仿宋" w:hAnsi="仿宋" w:eastAsia="仿宋" w:cs="Times New Roman"/>
          <w:b/>
          <w:bCs/>
          <w:color w:val="auto"/>
          <w:u w:val="single"/>
        </w:rPr>
        <w:t>价及</w:t>
      </w:r>
      <w:r>
        <w:rPr>
          <w:rStyle w:val="30"/>
          <w:rFonts w:hint="eastAsia" w:ascii="仿宋" w:hAnsi="仿宋" w:eastAsia="仿宋" w:cs="Times New Roman"/>
          <w:b/>
          <w:bCs/>
          <w:color w:val="auto"/>
          <w:u w:val="single"/>
          <w:lang w:val="en-US" w:eastAsia="zh-CN"/>
        </w:rPr>
        <w:t>招标</w:t>
      </w:r>
      <w:r>
        <w:rPr>
          <w:rStyle w:val="30"/>
          <w:rFonts w:hint="eastAsia" w:ascii="仿宋" w:hAnsi="仿宋" w:eastAsia="仿宋" w:cs="Times New Roman"/>
          <w:b/>
          <w:bCs/>
          <w:color w:val="auto"/>
          <w:u w:val="single"/>
        </w:rPr>
        <w:t>控制价均扣除暂列金额、暂估价。</w:t>
      </w:r>
    </w:p>
    <w:p w14:paraId="232365EE">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③如当前施行的计价依据缺项内容，承包人应通过市场调查等手段提出单价，经发包人确定后执行。</w:t>
      </w:r>
    </w:p>
    <w:p w14:paraId="595BB34F">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（4）</w:t>
      </w:r>
      <w:r>
        <w:rPr>
          <w:rStyle w:val="30"/>
          <w:rFonts w:hint="eastAsia" w:ascii="仿宋" w:hAnsi="仿宋" w:eastAsia="仿宋" w:cs="Times New Roman"/>
          <w:b/>
          <w:bCs/>
          <w:color w:val="auto"/>
          <w:u w:val="single"/>
          <w:lang w:val="en-US" w:eastAsia="zh-CN"/>
        </w:rPr>
        <w:t>响应</w:t>
      </w:r>
      <w:r>
        <w:rPr>
          <w:rStyle w:val="30"/>
          <w:rFonts w:hint="eastAsia" w:ascii="仿宋" w:hAnsi="仿宋" w:eastAsia="仿宋" w:cs="Times New Roman"/>
          <w:b/>
          <w:bCs/>
          <w:color w:val="auto"/>
          <w:u w:val="single"/>
        </w:rPr>
        <w:t>综合单价异常的处理</w:t>
      </w:r>
    </w:p>
    <w:p w14:paraId="2C590A1B">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①</w:t>
      </w:r>
      <w:r>
        <w:rPr>
          <w:rStyle w:val="30"/>
          <w:rFonts w:hint="eastAsia" w:ascii="仿宋" w:hAnsi="仿宋" w:eastAsia="仿宋" w:cs="Times New Roman"/>
          <w:b/>
          <w:bCs/>
          <w:color w:val="auto"/>
          <w:u w:val="single"/>
          <w:lang w:val="en-US" w:eastAsia="zh-CN"/>
        </w:rPr>
        <w:t>响应</w:t>
      </w:r>
      <w:r>
        <w:rPr>
          <w:rStyle w:val="30"/>
          <w:rFonts w:hint="eastAsia" w:ascii="仿宋" w:hAnsi="仿宋" w:eastAsia="仿宋" w:cs="Times New Roman"/>
          <w:b/>
          <w:bCs/>
          <w:color w:val="auto"/>
          <w:u w:val="single"/>
        </w:rPr>
        <w:t>综合单价遇下列情况，应对其异常性进行判定：</w:t>
      </w:r>
    </w:p>
    <w:p w14:paraId="7F7F6E41">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（a）</w:t>
      </w:r>
      <w:r>
        <w:rPr>
          <w:rStyle w:val="30"/>
          <w:rFonts w:hint="eastAsia" w:ascii="仿宋" w:hAnsi="仿宋" w:eastAsia="仿宋" w:cs="Times New Roman"/>
          <w:b/>
          <w:bCs/>
          <w:color w:val="auto"/>
          <w:u w:val="single"/>
          <w:lang w:val="en-US" w:eastAsia="zh-CN"/>
        </w:rPr>
        <w:t>响应</w:t>
      </w:r>
      <w:r>
        <w:rPr>
          <w:rStyle w:val="30"/>
          <w:rFonts w:hint="eastAsia" w:ascii="仿宋" w:hAnsi="仿宋" w:eastAsia="仿宋" w:cs="Times New Roman"/>
          <w:b/>
          <w:bCs/>
          <w:color w:val="auto"/>
          <w:u w:val="single"/>
        </w:rPr>
        <w:t>综合单价与按合同约定的计价依据计算的综合单价偏差±30%以上；</w:t>
      </w:r>
    </w:p>
    <w:p w14:paraId="682CA1E7">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（b）虽然综合单价正常，但组成综合单价的人、材、机消耗量或单价与按合同约定计价依据计算的人、材、机消耗量或单价相比偏差±30%以上；</w:t>
      </w:r>
    </w:p>
    <w:p w14:paraId="06624408">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（c）其他异常情况</w:t>
      </w:r>
    </w:p>
    <w:p w14:paraId="0B08754B">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②综合单价异常且工程量增减超过本项工程量15%以上的，按以下原则处理：</w:t>
      </w:r>
    </w:p>
    <w:p w14:paraId="4A904349">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（a）工程量增加超过本项工程量15%以内的，按原综合单价计算，增加超过15%以外部分工程量，按本条款第（3）条重新确定综合单价，计算合价；</w:t>
      </w:r>
    </w:p>
    <w:p w14:paraId="1F6B736C">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b）工程量减少超过本项工程量15%以内的，按原综合单价在该项目合价中扣除。减少超过15%以外部分工程量，原综合单价异常高的按本条款第（3）条重新确定综合单价，计算合价后，在该项目合价中扣除；原综合单价异常低的，按实际工程量与原综合单价结算。</w:t>
      </w:r>
    </w:p>
    <w:p w14:paraId="65AD0C6B">
      <w:pPr>
        <w:pStyle w:val="79"/>
        <w:spacing w:after="120" w:line="320" w:lineRule="exact"/>
        <w:ind w:firstLine="420" w:firstLineChars="200"/>
        <w:rPr>
          <w:rStyle w:val="30"/>
          <w:rFonts w:hint="eastAsia" w:ascii="Times New Roman" w:hAnsi="Times New Roman" w:eastAsia="黑体" w:cs="Times New Roman"/>
          <w:color w:val="auto"/>
          <w:kern w:val="2"/>
        </w:rPr>
      </w:pPr>
      <w:r>
        <w:rPr>
          <w:rStyle w:val="30"/>
          <w:rFonts w:ascii="Calibri" w:hAnsi="Calibri" w:eastAsia="黑体" w:cs="Times New Roman"/>
          <w:color w:val="auto"/>
          <w:kern w:val="2"/>
        </w:rPr>
        <w:t>10.5</w:t>
      </w:r>
      <w:r>
        <w:rPr>
          <w:rStyle w:val="30"/>
          <w:rFonts w:hint="eastAsia" w:ascii="黑体" w:hAnsi="黑体" w:eastAsia="黑体" w:cs="Times New Roman"/>
          <w:color w:val="auto"/>
          <w:kern w:val="2"/>
        </w:rPr>
        <w:t>承包人的合理化建议</w:t>
      </w:r>
    </w:p>
    <w:p w14:paraId="5DD7EECC">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监理人审查承包人合理化建议的期限：</w:t>
      </w:r>
      <w:r>
        <w:rPr>
          <w:rStyle w:val="30"/>
          <w:rFonts w:hint="eastAsia" w:ascii="宋体" w:hAnsi="宋体" w:cs="Times New Roman"/>
          <w:color w:val="auto"/>
          <w:kern w:val="2"/>
          <w:u w:val="single"/>
        </w:rPr>
        <w:t>按通用条款执行</w:t>
      </w:r>
      <w:r>
        <w:rPr>
          <w:rStyle w:val="30"/>
          <w:rFonts w:hint="eastAsia" w:ascii="仿宋_GB2312" w:hAnsi="Calibri" w:eastAsia="仿宋_GB2312" w:cs="Times New Roman"/>
          <w:color w:val="auto"/>
          <w:kern w:val="2"/>
        </w:rPr>
        <w:t>。</w:t>
      </w:r>
    </w:p>
    <w:p w14:paraId="6782E855">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发包人审批承包人合理化建议的期限：</w:t>
      </w:r>
      <w:r>
        <w:rPr>
          <w:rStyle w:val="30"/>
          <w:rFonts w:hint="eastAsia" w:ascii="宋体" w:hAnsi="宋体" w:cs="Times New Roman"/>
          <w:color w:val="auto"/>
          <w:kern w:val="2"/>
          <w:u w:val="single"/>
        </w:rPr>
        <w:t>按通用条款执行</w:t>
      </w:r>
      <w:r>
        <w:rPr>
          <w:rStyle w:val="30"/>
          <w:rFonts w:hint="eastAsia" w:ascii="仿宋_GB2312" w:hAnsi="Calibri" w:eastAsia="仿宋_GB2312" w:cs="Times New Roman"/>
          <w:color w:val="auto"/>
          <w:kern w:val="2"/>
        </w:rPr>
        <w:t>。</w:t>
      </w:r>
    </w:p>
    <w:p w14:paraId="644433B4">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承包人提出的合理化建议降低了合同价格或者提高了工程经济效益的奖励的方法和金额为：</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105A47AF">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10.7 </w:t>
      </w:r>
      <w:r>
        <w:rPr>
          <w:rStyle w:val="30"/>
          <w:rFonts w:hint="eastAsia" w:ascii="黑体" w:hAnsi="黑体" w:eastAsia="黑体" w:cs="Times New Roman"/>
          <w:color w:val="auto"/>
          <w:kern w:val="2"/>
        </w:rPr>
        <w:t>暂估价</w:t>
      </w:r>
    </w:p>
    <w:p w14:paraId="00BE12FB">
      <w:pPr>
        <w:pStyle w:val="79"/>
        <w:spacing w:line="320" w:lineRule="exact"/>
        <w:ind w:firstLine="422" w:firstLineChars="200"/>
        <w:rPr>
          <w:rStyle w:val="30"/>
          <w:rFonts w:ascii="Calibri" w:hAnsi="Calibri" w:eastAsia="仿宋_GB2312" w:cs="Times New Roman"/>
          <w:b/>
          <w:bCs/>
          <w:color w:val="auto"/>
          <w:sz w:val="21"/>
          <w:szCs w:val="21"/>
        </w:rPr>
      </w:pPr>
      <w:r>
        <w:rPr>
          <w:rStyle w:val="30"/>
          <w:rFonts w:hint="eastAsia" w:ascii="仿宋_GB2312" w:hAnsi="Calibri" w:eastAsia="仿宋_GB2312" w:cs="Times New Roman"/>
          <w:b/>
          <w:bCs/>
          <w:color w:val="auto"/>
          <w:sz w:val="21"/>
          <w:szCs w:val="21"/>
        </w:rPr>
        <w:t>材料（工程设备）暂估价明细详见附件</w:t>
      </w:r>
      <w:r>
        <w:rPr>
          <w:rStyle w:val="30"/>
          <w:rFonts w:ascii="Calibri" w:hAnsi="Calibri" w:eastAsia="仿宋_GB2312" w:cs="Times New Roman"/>
          <w:b/>
          <w:bCs/>
          <w:color w:val="auto"/>
          <w:sz w:val="21"/>
          <w:szCs w:val="21"/>
        </w:rPr>
        <w:t>11</w:t>
      </w:r>
      <w:r>
        <w:rPr>
          <w:rStyle w:val="30"/>
          <w:rFonts w:hint="eastAsia" w:ascii="仿宋_GB2312" w:hAnsi="Calibri" w:eastAsia="仿宋_GB2312" w:cs="Times New Roman"/>
          <w:b/>
          <w:bCs/>
          <w:color w:val="auto"/>
          <w:sz w:val="21"/>
          <w:szCs w:val="21"/>
        </w:rPr>
        <w:t>：《材料（工程设备）</w:t>
      </w:r>
      <w:r>
        <w:rPr>
          <w:rStyle w:val="30"/>
          <w:rFonts w:hint="eastAsia" w:ascii="仿宋_GB2312" w:hAnsi="Calibri" w:eastAsia="仿宋_GB2312" w:cs="Times New Roman"/>
          <w:b/>
          <w:bCs/>
          <w:color w:val="auto"/>
          <w:kern w:val="2"/>
          <w:sz w:val="21"/>
          <w:szCs w:val="21"/>
        </w:rPr>
        <w:t>暂估价表》</w:t>
      </w:r>
      <w:r>
        <w:rPr>
          <w:rStyle w:val="30"/>
          <w:rFonts w:hint="eastAsia" w:ascii="仿宋_GB2312" w:hAnsi="Calibri" w:eastAsia="仿宋_GB2312" w:cs="Times New Roman"/>
          <w:b/>
          <w:bCs/>
          <w:color w:val="auto"/>
          <w:sz w:val="21"/>
          <w:szCs w:val="21"/>
        </w:rPr>
        <w:t>。</w:t>
      </w:r>
    </w:p>
    <w:p w14:paraId="720CE16E">
      <w:pPr>
        <w:pStyle w:val="106"/>
        <w:spacing w:line="460" w:lineRule="exact"/>
        <w:ind w:firstLine="422" w:firstLineChars="200"/>
        <w:rPr>
          <w:rStyle w:val="30"/>
          <w:rFonts w:hint="eastAsia" w:ascii="宋体" w:hAnsi="宋体" w:eastAsia="宋体" w:cs="Times New Roman"/>
          <w:b/>
          <w:bCs/>
          <w:color w:val="auto"/>
          <w:sz w:val="21"/>
          <w:szCs w:val="21"/>
        </w:rPr>
      </w:pPr>
      <w:r>
        <w:rPr>
          <w:rStyle w:val="30"/>
          <w:rFonts w:hint="eastAsia" w:ascii="宋体" w:hAnsi="宋体" w:eastAsia="宋体" w:cs="Times New Roman"/>
          <w:b/>
          <w:bCs/>
          <w:color w:val="auto"/>
          <w:sz w:val="21"/>
          <w:szCs w:val="21"/>
        </w:rPr>
        <w:t>专业工程暂估价详见附件：《专业工程暂估价表》</w:t>
      </w:r>
    </w:p>
    <w:p w14:paraId="1F40805A">
      <w:pPr>
        <w:pStyle w:val="106"/>
        <w:spacing w:line="460" w:lineRule="exact"/>
        <w:ind w:firstLine="422" w:firstLineChars="200"/>
        <w:rPr>
          <w:rStyle w:val="30"/>
          <w:rFonts w:hint="eastAsia" w:ascii="宋体" w:hAnsi="宋体" w:eastAsia="宋体" w:cs="Times New Roman"/>
          <w:b/>
          <w:bCs/>
          <w:color w:val="auto"/>
          <w:sz w:val="21"/>
          <w:szCs w:val="21"/>
        </w:rPr>
      </w:pPr>
      <w:r>
        <w:rPr>
          <w:rStyle w:val="30"/>
          <w:rFonts w:hint="eastAsia" w:ascii="宋体" w:hAnsi="宋体" w:eastAsia="宋体" w:cs="Times New Roman"/>
          <w:b/>
          <w:bCs/>
          <w:color w:val="auto"/>
          <w:sz w:val="21"/>
          <w:szCs w:val="21"/>
        </w:rPr>
        <w:t>专项技术措施暂估价详见附件：《专项技术措施暂估价表》</w:t>
      </w:r>
    </w:p>
    <w:p w14:paraId="03AC0B86">
      <w:pPr>
        <w:pStyle w:val="79"/>
        <w:spacing w:line="320" w:lineRule="exact"/>
        <w:ind w:firstLine="422" w:firstLineChars="200"/>
        <w:rPr>
          <w:rStyle w:val="30"/>
          <w:rFonts w:hint="eastAsia" w:ascii="Times New Roman" w:hAnsi="Times New Roman" w:eastAsia="仿宋_GB2312" w:cs="Times New Roman"/>
          <w:b/>
          <w:bCs/>
          <w:color w:val="auto"/>
          <w:kern w:val="2"/>
          <w:sz w:val="24"/>
          <w:szCs w:val="24"/>
        </w:rPr>
      </w:pPr>
      <w:r>
        <w:rPr>
          <w:rStyle w:val="30"/>
          <w:rFonts w:ascii="Calibri" w:hAnsi="Calibri" w:eastAsia="仿宋_GB2312" w:cs="Times New Roman"/>
          <w:b/>
          <w:bCs/>
          <w:color w:val="auto"/>
          <w:kern w:val="2"/>
        </w:rPr>
        <w:t xml:space="preserve"> </w:t>
      </w:r>
    </w:p>
    <w:p w14:paraId="3B5C22E1">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10.7.1 </w:t>
      </w:r>
      <w:r>
        <w:rPr>
          <w:rStyle w:val="30"/>
          <w:rFonts w:hint="eastAsia" w:ascii="仿宋_GB2312" w:hAnsi="Calibri" w:eastAsia="仿宋_GB2312" w:cs="Times New Roman"/>
          <w:color w:val="auto"/>
          <w:kern w:val="2"/>
        </w:rPr>
        <w:t>依法必须招标的暂估价项目</w:t>
      </w:r>
    </w:p>
    <w:p w14:paraId="181D397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对于依法必须招标的暂估价项目的确认和批准采取第</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2</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种方式确定。</w:t>
      </w:r>
    </w:p>
    <w:p w14:paraId="2ADEC261">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10.7.2 </w:t>
      </w:r>
      <w:r>
        <w:rPr>
          <w:rStyle w:val="30"/>
          <w:rFonts w:hint="eastAsia" w:ascii="仿宋_GB2312" w:hAnsi="Calibri" w:eastAsia="仿宋_GB2312" w:cs="Times New Roman"/>
          <w:color w:val="auto"/>
          <w:kern w:val="2"/>
        </w:rPr>
        <w:t>不属于依法必须招标的暂估价项目</w:t>
      </w:r>
    </w:p>
    <w:p w14:paraId="0B88FCB7">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对于不属于依法必须招标的暂估价项目的确认和批准采取第</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3</w:t>
      </w:r>
      <w:r>
        <w:rPr>
          <w:rStyle w:val="30"/>
          <w:rFonts w:ascii="Calibri" w:hAnsi="Calibri" w:eastAsia="仿宋_GB2312" w:cs="Times New Roman"/>
          <w:color w:val="auto"/>
          <w:kern w:val="2"/>
          <w:u w:val="single"/>
        </w:rPr>
        <w:t xml:space="preserve"> </w:t>
      </w: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种方式确定。</w:t>
      </w:r>
    </w:p>
    <w:p w14:paraId="5B31AACB">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kern w:val="2"/>
        </w:rPr>
        <w:t>第</w:t>
      </w:r>
      <w:r>
        <w:rPr>
          <w:rStyle w:val="30"/>
          <w:rFonts w:ascii="Calibri" w:hAnsi="Calibri" w:eastAsia="仿宋_GB2312" w:cs="Times New Roman"/>
          <w:color w:val="auto"/>
          <w:kern w:val="2"/>
        </w:rPr>
        <w:t>3</w:t>
      </w:r>
      <w:r>
        <w:rPr>
          <w:rStyle w:val="30"/>
          <w:rFonts w:hint="eastAsia" w:ascii="仿宋_GB2312" w:hAnsi="Calibri" w:eastAsia="仿宋_GB2312" w:cs="Times New Roman"/>
          <w:color w:val="auto"/>
          <w:kern w:val="2"/>
        </w:rPr>
        <w:t>种方式：</w:t>
      </w:r>
      <w:r>
        <w:rPr>
          <w:rStyle w:val="30"/>
          <w:rFonts w:hint="eastAsia" w:ascii="仿宋_GB2312" w:hAnsi="Calibri" w:eastAsia="仿宋_GB2312" w:cs="Times New Roman"/>
          <w:color w:val="auto"/>
        </w:rPr>
        <w:t>承包人直接实施的暂估价项目</w:t>
      </w:r>
    </w:p>
    <w:p w14:paraId="1502F35C">
      <w:pPr>
        <w:pStyle w:val="79"/>
        <w:spacing w:line="320" w:lineRule="exact"/>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承包人直接实施的暂估价项目的约定：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3B5FF68D">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10.8 </w:t>
      </w:r>
      <w:r>
        <w:rPr>
          <w:rStyle w:val="30"/>
          <w:rFonts w:hint="eastAsia" w:ascii="黑体" w:hAnsi="黑体" w:eastAsia="黑体" w:cs="Times New Roman"/>
          <w:color w:val="auto"/>
          <w:kern w:val="2"/>
        </w:rPr>
        <w:t>暂列金额</w:t>
      </w:r>
    </w:p>
    <w:p w14:paraId="03158831">
      <w:pPr>
        <w:pStyle w:val="79"/>
        <w:spacing w:line="360" w:lineRule="exact"/>
        <w:ind w:firstLine="506" w:firstLineChars="241"/>
        <w:rPr>
          <w:rStyle w:val="30"/>
          <w:rFonts w:ascii="Calibri" w:hAnsi="Calibri" w:eastAsia="仿宋_GB2312" w:cs="Times New Roman"/>
          <w:color w:val="auto"/>
        </w:rPr>
      </w:pPr>
      <w:r>
        <w:rPr>
          <w:rStyle w:val="30"/>
          <w:rFonts w:hint="eastAsia" w:ascii="仿宋_GB2312" w:hAnsi="Calibri" w:eastAsia="仿宋_GB2312" w:cs="Times New Roman"/>
          <w:color w:val="auto"/>
        </w:rPr>
        <w:t>合同当事人关于暂列金额使用的约定：</w:t>
      </w:r>
    </w:p>
    <w:p w14:paraId="7A5AA414">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暂列金额是指发包人在工程量清单中暂定并包括在合同价款中的一笔款项。用于施工合同签订时尚未确定或者不可预见的所需材料、设备、服务的采购，施工中可能发生的工程变更、合同约定调整因素出现时的工程价款调整及发生的索赔、现场签证确认等的费用和标化工地、优质工程等费用的追加，包括标化工地暂列金额、优质工程暂列金额和其他暂列金额。结算时承包人取得发包人签字认定后按合同规定计算。</w:t>
      </w:r>
    </w:p>
    <w:p w14:paraId="06718EEE">
      <w:pPr>
        <w:pStyle w:val="79"/>
        <w:spacing w:line="360" w:lineRule="exact"/>
        <w:ind w:firstLine="508" w:firstLineChars="241"/>
        <w:rPr>
          <w:rStyle w:val="30"/>
          <w:rFonts w:hint="eastAsia" w:ascii="仿宋" w:hAnsi="仿宋" w:eastAsia="仿宋" w:cs="Times New Roman"/>
          <w:b/>
          <w:bCs/>
          <w:color w:val="auto"/>
          <w:u w:val="single"/>
        </w:rPr>
      </w:pPr>
      <w:r>
        <w:rPr>
          <w:rStyle w:val="30"/>
          <w:rFonts w:hint="eastAsia" w:ascii="仿宋" w:hAnsi="仿宋" w:eastAsia="仿宋" w:cs="Times New Roman"/>
          <w:b/>
          <w:bCs/>
          <w:color w:val="auto"/>
          <w:u w:val="single"/>
        </w:rPr>
        <w:t>标化工地增加费：按合同约定创安全文明施工标准化工地，按要求等级对应的费率暂列计算。</w:t>
      </w:r>
    </w:p>
    <w:p w14:paraId="5048EBAA">
      <w:pPr>
        <w:pStyle w:val="79"/>
        <w:spacing w:line="360" w:lineRule="exact"/>
        <w:ind w:firstLine="508" w:firstLineChars="241"/>
        <w:rPr>
          <w:rStyle w:val="30"/>
          <w:rFonts w:hint="eastAsia" w:ascii="Times New Roman" w:hAnsi="Times New Roman" w:eastAsia="仿宋_GB2312" w:cs="Times New Roman"/>
          <w:color w:val="auto"/>
          <w:u w:val="single"/>
        </w:rPr>
      </w:pPr>
      <w:r>
        <w:rPr>
          <w:rStyle w:val="30"/>
          <w:rFonts w:hint="eastAsia" w:ascii="仿宋" w:hAnsi="仿宋" w:eastAsia="仿宋" w:cs="Times New Roman"/>
          <w:b/>
          <w:bCs/>
          <w:color w:val="auto"/>
          <w:u w:val="single"/>
        </w:rPr>
        <w:t>优质工程增加费：按合同约定创优质工程，按要求等级对应的费率暂列计算。</w:t>
      </w:r>
    </w:p>
    <w:p w14:paraId="19FAB2AC">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11. </w:t>
      </w:r>
      <w:r>
        <w:rPr>
          <w:rStyle w:val="30"/>
          <w:rFonts w:hint="eastAsia" w:ascii="宋体" w:hAnsi="宋体" w:eastAsia="宋体" w:cs="Times New Roman"/>
          <w:color w:val="auto"/>
          <w:sz w:val="24"/>
          <w:szCs w:val="24"/>
        </w:rPr>
        <w:t>价格调整</w:t>
      </w:r>
    </w:p>
    <w:p w14:paraId="547B2ED7">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11.1 </w:t>
      </w:r>
      <w:r>
        <w:rPr>
          <w:rStyle w:val="30"/>
          <w:rFonts w:hint="eastAsia" w:ascii="黑体" w:hAnsi="黑体" w:eastAsia="黑体" w:cs="Times New Roman"/>
          <w:color w:val="auto"/>
          <w:kern w:val="2"/>
        </w:rPr>
        <w:t>市场价格波动引起的调整</w:t>
      </w:r>
    </w:p>
    <w:p w14:paraId="7C635145">
      <w:pPr>
        <w:pStyle w:val="79"/>
        <w:widowControl/>
        <w:spacing w:line="300" w:lineRule="exact"/>
        <w:ind w:firstLine="420" w:firstLineChars="200"/>
        <w:rPr>
          <w:rStyle w:val="30"/>
          <w:rFonts w:ascii="Calibri" w:hAnsi="Calibri" w:eastAsia="宋体" w:cs="Times New Roman"/>
          <w:color w:val="auto"/>
        </w:rPr>
      </w:pPr>
      <w:r>
        <w:rPr>
          <w:rStyle w:val="30"/>
          <w:rFonts w:hint="eastAsia" w:ascii="仿宋_GB2312" w:hAnsi="Calibri" w:eastAsia="仿宋_GB2312" w:cs="Times New Roman"/>
          <w:color w:val="auto"/>
        </w:rPr>
        <w:t>市场价格波动是否调整合同价格的约定：</w:t>
      </w:r>
      <w:r>
        <w:rPr>
          <w:rStyle w:val="30"/>
          <w:rFonts w:hint="eastAsia" w:ascii="宋体" w:hAnsi="宋体" w:cs="Times New Roman"/>
          <w:color w:val="auto"/>
          <w:u w:val="single"/>
        </w:rPr>
        <w:t>市场价格波动超过合同当事人约定的范围，合同价格予以调整</w:t>
      </w:r>
      <w:r>
        <w:rPr>
          <w:rStyle w:val="30"/>
          <w:rFonts w:ascii="Calibri" w:hAnsi="Calibri" w:cs="Times New Roman"/>
          <w:color w:val="auto"/>
          <w:u w:val="single"/>
        </w:rPr>
        <w:t xml:space="preserve"> </w:t>
      </w:r>
      <w:r>
        <w:rPr>
          <w:rStyle w:val="30"/>
          <w:rFonts w:hint="eastAsia" w:ascii="宋体" w:hAnsi="宋体" w:cs="Times New Roman"/>
          <w:color w:val="auto"/>
        </w:rPr>
        <w:t>。</w:t>
      </w:r>
    </w:p>
    <w:p w14:paraId="41AD375A">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因市场价格波动调整合同价格，采用以下第</w:t>
      </w:r>
      <w:r>
        <w:rPr>
          <w:rStyle w:val="30"/>
          <w:rFonts w:ascii="Calibri" w:hAnsi="Calibri" w:eastAsia="仿宋_GB2312" w:cs="Times New Roman"/>
          <w:color w:val="auto"/>
          <w:kern w:val="2"/>
          <w:u w:val="single"/>
        </w:rPr>
        <w:t xml:space="preserve">  3 </w:t>
      </w:r>
      <w:r>
        <w:rPr>
          <w:rStyle w:val="30"/>
          <w:rFonts w:hint="eastAsia" w:ascii="仿宋_GB2312" w:hAnsi="Calibri" w:eastAsia="仿宋_GB2312" w:cs="Times New Roman"/>
          <w:color w:val="auto"/>
          <w:kern w:val="2"/>
        </w:rPr>
        <w:t>种方式对合同价格进行调整：</w:t>
      </w:r>
    </w:p>
    <w:p w14:paraId="2EB5E11F">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第</w:t>
      </w:r>
      <w:r>
        <w:rPr>
          <w:rStyle w:val="30"/>
          <w:rFonts w:ascii="Calibri" w:hAnsi="Calibri" w:eastAsia="仿宋_GB2312" w:cs="Times New Roman"/>
          <w:color w:val="auto"/>
          <w:kern w:val="2"/>
        </w:rPr>
        <w:t>1</w:t>
      </w:r>
      <w:r>
        <w:rPr>
          <w:rStyle w:val="30"/>
          <w:rFonts w:hint="eastAsia" w:ascii="仿宋_GB2312" w:hAnsi="Calibri" w:eastAsia="仿宋_GB2312" w:cs="Times New Roman"/>
          <w:color w:val="auto"/>
          <w:kern w:val="2"/>
        </w:rPr>
        <w:t>种方式：采用价格指数进行价格调整。</w:t>
      </w:r>
    </w:p>
    <w:p w14:paraId="5E40A8C0">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关于各可调因子、定值和变值权重，以及基本价格指数及其来源的约定：</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 xml:space="preserve">  </w:t>
      </w:r>
    </w:p>
    <w:p w14:paraId="0B791B3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第</w:t>
      </w:r>
      <w:r>
        <w:rPr>
          <w:rStyle w:val="30"/>
          <w:rFonts w:ascii="Calibri" w:hAnsi="Calibri" w:eastAsia="仿宋_GB2312" w:cs="Times New Roman"/>
          <w:color w:val="auto"/>
          <w:kern w:val="2"/>
        </w:rPr>
        <w:t>2</w:t>
      </w:r>
      <w:r>
        <w:rPr>
          <w:rStyle w:val="30"/>
          <w:rFonts w:hint="eastAsia" w:ascii="仿宋_GB2312" w:hAnsi="Calibri" w:eastAsia="仿宋_GB2312" w:cs="Times New Roman"/>
          <w:color w:val="auto"/>
          <w:kern w:val="2"/>
        </w:rPr>
        <w:t>种方式：采用造价信息进行价格调整。</w:t>
      </w:r>
    </w:p>
    <w:p w14:paraId="212EC69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2</w:t>
      </w:r>
      <w:r>
        <w:rPr>
          <w:rStyle w:val="30"/>
          <w:rFonts w:hint="eastAsia" w:ascii="仿宋_GB2312" w:hAnsi="Calibri" w:eastAsia="仿宋_GB2312" w:cs="Times New Roman"/>
          <w:color w:val="auto"/>
          <w:kern w:val="2"/>
        </w:rPr>
        <w:t>）关于基准价格的约定：</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C1DE0C2">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专用合同条款</w:t>
      </w:r>
      <w:r>
        <w:rPr>
          <w:rStyle w:val="30"/>
          <w:rFonts w:hint="eastAsia" w:ascii="宋体" w:hAnsi="宋体" w:cs="Times New Roman"/>
          <w:color w:val="auto"/>
          <w:kern w:val="2"/>
        </w:rPr>
        <w:t>①</w:t>
      </w:r>
      <w:r>
        <w:rPr>
          <w:rStyle w:val="30"/>
          <w:rFonts w:hint="eastAsia" w:ascii="仿宋_GB2312" w:hAnsi="Calibri" w:eastAsia="仿宋_GB2312" w:cs="Times New Roman"/>
          <w:color w:val="auto"/>
          <w:kern w:val="2"/>
        </w:rPr>
        <w:t>承包人在已标价工程量清单或预算书中载明的材料单价低于基准价格的：专用合同条款合同履行期间材料单价涨幅以基准价格为基础超过</w:t>
      </w:r>
      <w:r>
        <w:rPr>
          <w:rStyle w:val="30"/>
          <w:rFonts w:ascii="Calibri" w:hAnsi="Calibri" w:eastAsia="仿宋_GB2312" w:cs="Times New Roman"/>
          <w:color w:val="auto"/>
          <w:kern w:val="2"/>
          <w:u w:val="single"/>
        </w:rPr>
        <w:t xml:space="preserve">   </w:t>
      </w:r>
      <w:r>
        <w:rPr>
          <w:rStyle w:val="30"/>
          <w:rFonts w:ascii="Calibri" w:hAnsi="Calibri" w:eastAsia="仿宋_GB2312" w:cs="Times New Roman"/>
          <w:color w:val="auto"/>
          <w:kern w:val="2"/>
        </w:rPr>
        <w:t>%</w:t>
      </w:r>
      <w:r>
        <w:rPr>
          <w:rStyle w:val="30"/>
          <w:rFonts w:hint="eastAsia" w:ascii="仿宋_GB2312" w:hAnsi="Calibri" w:eastAsia="仿宋_GB2312" w:cs="Times New Roman"/>
          <w:color w:val="auto"/>
          <w:kern w:val="2"/>
        </w:rPr>
        <w:t>时，或材料单价跌幅以已标价工程量清单或预算书中载明材料单价为基础超过</w:t>
      </w:r>
      <w:r>
        <w:rPr>
          <w:rStyle w:val="30"/>
          <w:rFonts w:ascii="Calibri" w:hAnsi="Calibri" w:eastAsia="仿宋_GB2312" w:cs="Times New Roman"/>
          <w:color w:val="auto"/>
          <w:kern w:val="2"/>
          <w:u w:val="single"/>
        </w:rPr>
        <w:t xml:space="preserve">   </w:t>
      </w:r>
      <w:r>
        <w:rPr>
          <w:rStyle w:val="30"/>
          <w:rFonts w:ascii="Calibri" w:hAnsi="Calibri" w:eastAsia="仿宋_GB2312" w:cs="Times New Roman"/>
          <w:color w:val="auto"/>
          <w:kern w:val="2"/>
        </w:rPr>
        <w:t>%</w:t>
      </w:r>
      <w:r>
        <w:rPr>
          <w:rStyle w:val="30"/>
          <w:rFonts w:hint="eastAsia" w:ascii="仿宋_GB2312" w:hAnsi="Calibri" w:eastAsia="仿宋_GB2312" w:cs="Times New Roman"/>
          <w:color w:val="auto"/>
          <w:kern w:val="2"/>
        </w:rPr>
        <w:t>时，其超过部分据实调整。</w:t>
      </w:r>
    </w:p>
    <w:p w14:paraId="30298EF8">
      <w:pPr>
        <w:pStyle w:val="79"/>
        <w:spacing w:line="320" w:lineRule="exact"/>
        <w:ind w:firstLine="420" w:firstLineChars="200"/>
        <w:rPr>
          <w:rStyle w:val="30"/>
          <w:rFonts w:ascii="Calibri" w:hAnsi="Calibri" w:eastAsia="仿宋_GB2312" w:cs="Times New Roman"/>
          <w:color w:val="auto"/>
          <w:kern w:val="2"/>
        </w:rPr>
      </w:pPr>
      <w:r>
        <w:rPr>
          <w:rStyle w:val="30"/>
          <w:rFonts w:hint="eastAsia" w:ascii="宋体" w:hAnsi="宋体" w:cs="Times New Roman"/>
          <w:color w:val="auto"/>
          <w:kern w:val="2"/>
        </w:rPr>
        <w:t>②</w:t>
      </w:r>
      <w:r>
        <w:rPr>
          <w:rStyle w:val="30"/>
          <w:rFonts w:hint="eastAsia" w:ascii="仿宋_GB2312" w:hAnsi="Calibri" w:eastAsia="仿宋_GB2312" w:cs="Times New Roman"/>
          <w:color w:val="auto"/>
          <w:kern w:val="2"/>
        </w:rPr>
        <w:t>承包人在已标价工程量清单或预算书中载明的材料单价高于基准价格的：专用合同条款合同履行期间材料单价跌幅以基准价格为基础超过</w:t>
      </w:r>
      <w:r>
        <w:rPr>
          <w:rStyle w:val="30"/>
          <w:rFonts w:ascii="Calibri" w:hAnsi="Calibri" w:eastAsia="仿宋_GB2312" w:cs="Times New Roman"/>
          <w:color w:val="auto"/>
          <w:kern w:val="2"/>
          <w:u w:val="single"/>
        </w:rPr>
        <w:t xml:space="preserve">   </w:t>
      </w:r>
      <w:r>
        <w:rPr>
          <w:rStyle w:val="30"/>
          <w:rFonts w:ascii="Calibri" w:hAnsi="Calibri" w:eastAsia="仿宋_GB2312" w:cs="Times New Roman"/>
          <w:color w:val="auto"/>
          <w:kern w:val="2"/>
        </w:rPr>
        <w:t>%</w:t>
      </w:r>
      <w:r>
        <w:rPr>
          <w:rStyle w:val="30"/>
          <w:rFonts w:hint="eastAsia" w:ascii="仿宋_GB2312" w:hAnsi="Calibri" w:eastAsia="仿宋_GB2312" w:cs="Times New Roman"/>
          <w:color w:val="auto"/>
          <w:kern w:val="2"/>
        </w:rPr>
        <w:t>时，材料单价涨幅以已标价工程量清单或预算书中载明材料单价为基础超过</w:t>
      </w:r>
      <w:r>
        <w:rPr>
          <w:rStyle w:val="30"/>
          <w:rFonts w:ascii="Calibri" w:hAnsi="Calibri" w:eastAsia="仿宋_GB2312" w:cs="Times New Roman"/>
          <w:color w:val="auto"/>
          <w:kern w:val="2"/>
          <w:u w:val="single"/>
        </w:rPr>
        <w:t xml:space="preserve">   </w:t>
      </w:r>
      <w:r>
        <w:rPr>
          <w:rStyle w:val="30"/>
          <w:rFonts w:ascii="Calibri" w:hAnsi="Calibri" w:eastAsia="仿宋_GB2312" w:cs="Times New Roman"/>
          <w:color w:val="auto"/>
          <w:kern w:val="2"/>
        </w:rPr>
        <w:t>%</w:t>
      </w:r>
      <w:r>
        <w:rPr>
          <w:rStyle w:val="30"/>
          <w:rFonts w:hint="eastAsia" w:ascii="仿宋_GB2312" w:hAnsi="Calibri" w:eastAsia="仿宋_GB2312" w:cs="Times New Roman"/>
          <w:color w:val="auto"/>
          <w:kern w:val="2"/>
        </w:rPr>
        <w:t>时，其超过部分据实调整。</w:t>
      </w:r>
    </w:p>
    <w:p w14:paraId="5C2C8867">
      <w:pPr>
        <w:pStyle w:val="79"/>
        <w:spacing w:line="320" w:lineRule="exact"/>
        <w:rPr>
          <w:rStyle w:val="30"/>
          <w:rFonts w:ascii="Calibri" w:hAnsi="Calibri" w:eastAsia="仿宋_GB2312" w:cs="Times New Roman"/>
          <w:color w:val="auto"/>
          <w:kern w:val="2"/>
        </w:rPr>
      </w:pPr>
      <w:r>
        <w:rPr>
          <w:rStyle w:val="30"/>
          <w:rFonts w:ascii="宋体" w:hAnsi="Calibri" w:cs="宋体"/>
          <w:color w:val="auto"/>
          <w:kern w:val="2"/>
        </w:rPr>
        <w:t xml:space="preserve">    </w:t>
      </w:r>
      <w:r>
        <w:rPr>
          <w:rStyle w:val="30"/>
          <w:rFonts w:hint="eastAsia" w:ascii="宋体" w:hAnsi="宋体" w:cs="Times New Roman"/>
          <w:color w:val="auto"/>
          <w:kern w:val="2"/>
        </w:rPr>
        <w:t>③</w:t>
      </w:r>
      <w:r>
        <w:rPr>
          <w:rStyle w:val="30"/>
          <w:rFonts w:hint="eastAsia" w:ascii="仿宋_GB2312" w:hAnsi="Calibri" w:eastAsia="仿宋_GB2312" w:cs="Times New Roman"/>
          <w:color w:val="auto"/>
          <w:kern w:val="2"/>
        </w:rPr>
        <w:t>承包人在已标价工程量清单或预算书中载明的材料单价等于基准单价的：专用合同条款合同履行期间材料单价涨跌幅以基准单价为基础超过</w:t>
      </w:r>
      <w:r>
        <w:rPr>
          <w:rStyle w:val="30"/>
          <w:rFonts w:ascii="Calibri" w:hAnsi="Calibri" w:eastAsia="仿宋_GB2312" w:cs="Times New Roman"/>
          <w:color w:val="auto"/>
          <w:kern w:val="2"/>
        </w:rPr>
        <w:t>±</w:t>
      </w:r>
      <w:r>
        <w:rPr>
          <w:rStyle w:val="30"/>
          <w:rFonts w:ascii="Calibri" w:hAnsi="Calibri" w:eastAsia="仿宋_GB2312" w:cs="Times New Roman"/>
          <w:color w:val="auto"/>
          <w:kern w:val="2"/>
          <w:u w:val="single"/>
        </w:rPr>
        <w:t xml:space="preserve">   </w:t>
      </w:r>
      <w:r>
        <w:rPr>
          <w:rStyle w:val="30"/>
          <w:rFonts w:ascii="Calibri" w:hAnsi="Calibri" w:eastAsia="仿宋_GB2312" w:cs="Times New Roman"/>
          <w:color w:val="auto"/>
          <w:kern w:val="2"/>
        </w:rPr>
        <w:t>%</w:t>
      </w:r>
      <w:r>
        <w:rPr>
          <w:rStyle w:val="30"/>
          <w:rFonts w:hint="eastAsia" w:ascii="仿宋_GB2312" w:hAnsi="Calibri" w:eastAsia="仿宋_GB2312" w:cs="Times New Roman"/>
          <w:color w:val="auto"/>
          <w:kern w:val="2"/>
        </w:rPr>
        <w:t>时，其超过部分据实调整。</w:t>
      </w:r>
    </w:p>
    <w:p w14:paraId="611A7B27">
      <w:pPr>
        <w:pStyle w:val="79"/>
        <w:spacing w:line="360" w:lineRule="exact"/>
        <w:ind w:firstLine="508" w:firstLineChars="241"/>
        <w:rPr>
          <w:rStyle w:val="30"/>
          <w:rFonts w:ascii="仿宋" w:hAnsi="仿宋" w:eastAsia="仿宋" w:cs="宋体"/>
          <w:b/>
          <w:bCs/>
          <w:color w:val="auto"/>
        </w:rPr>
      </w:pPr>
      <w:r>
        <w:rPr>
          <w:rStyle w:val="30"/>
          <w:rFonts w:hint="eastAsia" w:ascii="仿宋" w:hAnsi="仿宋" w:eastAsia="仿宋" w:cs="宋体"/>
          <w:b/>
          <w:bCs/>
          <w:color w:val="auto"/>
        </w:rPr>
        <w:t>第</w:t>
      </w:r>
      <w:r>
        <w:rPr>
          <w:rStyle w:val="30"/>
          <w:rFonts w:hint="eastAsia" w:ascii="仿宋" w:hAnsi="仿宋" w:eastAsia="仿宋" w:cs="Times New Roman"/>
          <w:b/>
          <w:bCs/>
          <w:color w:val="auto"/>
        </w:rPr>
        <w:t>3</w:t>
      </w:r>
      <w:r>
        <w:rPr>
          <w:rStyle w:val="30"/>
          <w:rFonts w:hint="eastAsia" w:ascii="仿宋" w:hAnsi="仿宋" w:eastAsia="仿宋" w:cs="宋体"/>
          <w:b/>
          <w:bCs/>
          <w:color w:val="auto"/>
        </w:rPr>
        <w:t>种方式：抽料补差法，</w:t>
      </w:r>
      <w:r>
        <w:rPr>
          <w:rStyle w:val="30"/>
          <w:rFonts w:hint="eastAsia" w:ascii="仿宋" w:hAnsi="仿宋" w:eastAsia="仿宋" w:cs="Times New Roman"/>
          <w:b/>
          <w:bCs/>
          <w:color w:val="auto"/>
          <w:kern w:val="2"/>
        </w:rPr>
        <w:t>采用以下第</w:t>
      </w:r>
      <w:r>
        <w:rPr>
          <w:rStyle w:val="30"/>
          <w:rFonts w:hint="eastAsia" w:ascii="仿宋" w:hAnsi="仿宋" w:eastAsia="仿宋" w:cs="Times New Roman"/>
          <w:b/>
          <w:bCs/>
          <w:color w:val="auto"/>
          <w:kern w:val="2"/>
          <w:u w:val="single"/>
        </w:rPr>
        <w:t xml:space="preserve">    </w:t>
      </w:r>
      <w:r>
        <w:rPr>
          <w:rStyle w:val="30"/>
          <w:rFonts w:hint="eastAsia" w:ascii="仿宋" w:hAnsi="仿宋" w:eastAsia="仿宋" w:cs="Times New Roman"/>
          <w:b/>
          <w:bCs/>
          <w:color w:val="auto"/>
          <w:kern w:val="2"/>
        </w:rPr>
        <w:t>种结算方式对合同价格进行调整：</w:t>
      </w:r>
    </w:p>
    <w:p w14:paraId="69F3DB40">
      <w:pPr>
        <w:pStyle w:val="79"/>
        <w:spacing w:line="360" w:lineRule="exact"/>
        <w:ind w:firstLine="422" w:firstLineChars="200"/>
        <w:rPr>
          <w:rStyle w:val="30"/>
          <w:rFonts w:hint="eastAsia" w:ascii="仿宋" w:hAnsi="仿宋" w:eastAsia="仿宋" w:cs="宋体"/>
          <w:b/>
          <w:bCs/>
          <w:color w:val="auto"/>
        </w:rPr>
      </w:pPr>
      <w:r>
        <w:rPr>
          <w:rStyle w:val="30"/>
          <w:rFonts w:hint="eastAsia" w:ascii="仿宋" w:hAnsi="仿宋" w:eastAsia="仿宋" w:cs="Times New Roman"/>
          <w:b/>
          <w:bCs/>
          <w:color w:val="auto"/>
          <w:kern w:val="2"/>
        </w:rPr>
        <w:t>（1）按月调差工程，发承包双方可根据合同工期（指当月）的信息价，结合当月完成工程量调整价差</w:t>
      </w:r>
      <w:r>
        <w:rPr>
          <w:rStyle w:val="30"/>
          <w:rFonts w:hint="eastAsia" w:ascii="仿宋" w:hAnsi="仿宋" w:eastAsia="仿宋" w:cs="宋体"/>
          <w:b/>
          <w:bCs/>
          <w:color w:val="auto"/>
        </w:rPr>
        <w:t>。</w:t>
      </w:r>
    </w:p>
    <w:p w14:paraId="1C8811CE">
      <w:pPr>
        <w:pStyle w:val="79"/>
        <w:spacing w:line="360" w:lineRule="exact"/>
        <w:ind w:firstLine="422" w:firstLineChars="200"/>
        <w:rPr>
          <w:rStyle w:val="30"/>
          <w:rFonts w:hint="eastAsia" w:ascii="仿宋" w:hAnsi="仿宋" w:eastAsia="仿宋" w:cs="Times New Roman"/>
          <w:b/>
          <w:bCs/>
          <w:color w:val="auto"/>
          <w:kern w:val="2"/>
        </w:rPr>
      </w:pPr>
      <w:r>
        <w:rPr>
          <w:rStyle w:val="30"/>
          <w:rFonts w:hint="eastAsia" w:ascii="仿宋" w:hAnsi="仿宋" w:eastAsia="仿宋" w:cs="Times New Roman"/>
          <w:b/>
          <w:bCs/>
          <w:color w:val="auto"/>
          <w:kern w:val="2"/>
        </w:rPr>
        <w:t>（2）按形象部位分段调差工程，按照合同约定的工程形象进度划分不同阶段，根据合同工期（指各分段相应工期）月份市场信息价算术平均值，分段计量调整价差。实行分段预结算的，竣工后一次性调整价差（即人工、材料、机械价格调整在分段预结算时暂不作调整）。</w:t>
      </w:r>
    </w:p>
    <w:p w14:paraId="74565E05">
      <w:pPr>
        <w:pStyle w:val="79"/>
        <w:spacing w:line="360" w:lineRule="exact"/>
        <w:ind w:firstLine="422" w:firstLineChars="200"/>
        <w:rPr>
          <w:rStyle w:val="30"/>
          <w:rFonts w:hint="eastAsia" w:ascii="仿宋" w:hAnsi="仿宋" w:eastAsia="仿宋" w:cs="Times New Roman"/>
          <w:b/>
          <w:bCs/>
          <w:color w:val="auto"/>
          <w:kern w:val="2"/>
        </w:rPr>
      </w:pPr>
      <w:r>
        <w:rPr>
          <w:rStyle w:val="30"/>
          <w:rFonts w:hint="eastAsia" w:ascii="仿宋" w:hAnsi="仿宋" w:eastAsia="仿宋" w:cs="Times New Roman"/>
          <w:b/>
          <w:bCs/>
          <w:color w:val="auto"/>
          <w:kern w:val="2"/>
        </w:rPr>
        <w:t>（3）按整体工程调差工程，按照合同工期对应月份的市场信息价算术平均值，一次性计量调整价差。</w:t>
      </w:r>
    </w:p>
    <w:p w14:paraId="60293767">
      <w:pPr>
        <w:pStyle w:val="79"/>
        <w:spacing w:line="360" w:lineRule="exact"/>
        <w:ind w:firstLine="422" w:firstLineChars="200"/>
        <w:rPr>
          <w:rStyle w:val="30"/>
          <w:rFonts w:hint="eastAsia" w:ascii="仿宋" w:hAnsi="仿宋" w:eastAsia="仿宋" w:cs="Times New Roman"/>
          <w:b/>
          <w:bCs/>
          <w:color w:val="auto"/>
          <w:kern w:val="2"/>
        </w:rPr>
      </w:pPr>
      <w:r>
        <w:rPr>
          <w:rStyle w:val="30"/>
          <w:rFonts w:hint="eastAsia" w:ascii="仿宋" w:hAnsi="仿宋" w:eastAsia="仿宋" w:cs="Times New Roman"/>
          <w:b/>
          <w:bCs/>
          <w:color w:val="auto"/>
          <w:kern w:val="2"/>
        </w:rPr>
        <w:t>（4）按整体工程调差工程，按照合同工期对应月份的市场信息价加权平均值（按每月工程进度款所计量的当月完成工程的人材机消耗量为权数），一次性计量调整价差。</w:t>
      </w:r>
    </w:p>
    <w:p w14:paraId="79168B92">
      <w:pPr>
        <w:pStyle w:val="79"/>
        <w:spacing w:line="360" w:lineRule="exact"/>
        <w:ind w:firstLine="210" w:firstLineChars="100"/>
        <w:rPr>
          <w:rStyle w:val="30"/>
          <w:rFonts w:hint="eastAsia" w:ascii="仿宋" w:hAnsi="仿宋" w:eastAsia="仿宋" w:cs="Times New Roman"/>
          <w:b/>
          <w:bCs/>
          <w:color w:val="auto"/>
          <w:kern w:val="2"/>
        </w:rPr>
      </w:pPr>
      <w:r>
        <w:rPr>
          <w:rStyle w:val="30"/>
          <w:rFonts w:hint="eastAsia" w:ascii="宋体" w:hAnsi="宋体" w:cs="Times New Roman"/>
          <w:color w:val="auto"/>
          <w:kern w:val="2"/>
        </w:rPr>
        <w:t>11.1.1、合同工期平均信息价调整</w:t>
      </w:r>
    </w:p>
    <w:p w14:paraId="12C65F98">
      <w:pPr>
        <w:pStyle w:val="79"/>
        <w:spacing w:line="360" w:lineRule="exact"/>
        <w:ind w:firstLine="403"/>
        <w:rPr>
          <w:rStyle w:val="30"/>
          <w:rFonts w:hint="eastAsia" w:ascii="Times New Roman" w:hAnsi="Times New Roman" w:eastAsia="宋体" w:cs="Times New Roman"/>
          <w:color w:val="auto"/>
          <w:kern w:val="2"/>
        </w:rPr>
      </w:pPr>
      <w:r>
        <w:rPr>
          <w:rStyle w:val="30"/>
          <w:rFonts w:hint="eastAsia" w:ascii="宋体" w:hAnsi="宋体" w:cs="Times New Roman"/>
          <w:color w:val="auto"/>
          <w:kern w:val="2"/>
        </w:rPr>
        <w:t>按合同工期平均信息价调整的方法为：</w:t>
      </w:r>
    </w:p>
    <w:p w14:paraId="0334C597">
      <w:pPr>
        <w:pStyle w:val="79"/>
        <w:spacing w:line="360" w:lineRule="exact"/>
        <w:ind w:firstLine="403"/>
        <w:rPr>
          <w:rStyle w:val="30"/>
          <w:rFonts w:ascii="Calibri" w:hAnsi="Calibri" w:cs="Times New Roman"/>
          <w:color w:val="auto"/>
          <w:kern w:val="2"/>
        </w:rPr>
      </w:pPr>
      <w:r>
        <w:rPr>
          <w:rStyle w:val="30"/>
          <w:rFonts w:ascii="Calibri" w:hAnsi="Calibri" w:cs="Times New Roman"/>
          <w:color w:val="auto"/>
        </w:rPr>
        <w:t>1</w:t>
      </w:r>
      <w:r>
        <w:rPr>
          <w:rStyle w:val="30"/>
          <w:rFonts w:hint="eastAsia" w:ascii="宋体" w:hAnsi="宋体" w:cs="Times New Roman"/>
          <w:color w:val="auto"/>
          <w:kern w:val="2"/>
        </w:rPr>
        <w:t>人工调整范围：当合同工期的人工信息价的平均值（指同类人工的单价，下同）与</w:t>
      </w:r>
      <w:r>
        <w:rPr>
          <w:rStyle w:val="30"/>
          <w:rFonts w:hint="eastAsia" w:ascii="宋体" w:hAnsi="宋体" w:cs="Times New Roman"/>
          <w:color w:val="auto"/>
          <w:kern w:val="2"/>
          <w:lang w:val="en-US" w:eastAsia="zh-CN"/>
        </w:rPr>
        <w:t>响应</w:t>
      </w:r>
      <w:r>
        <w:rPr>
          <w:rStyle w:val="30"/>
          <w:rFonts w:hint="eastAsia" w:ascii="宋体" w:hAnsi="宋体" w:cs="Times New Roman"/>
          <w:color w:val="auto"/>
          <w:kern w:val="2"/>
        </w:rPr>
        <w:t>报价编制期对应的信息价之比上涨或下降幅度在</w:t>
      </w:r>
      <w:r>
        <w:rPr>
          <w:rStyle w:val="30"/>
          <w:rFonts w:ascii="Calibri" w:hAnsi="Calibri" w:cs="Times New Roman"/>
          <w:color w:val="auto"/>
          <w:kern w:val="2"/>
        </w:rPr>
        <w:t>5%</w:t>
      </w:r>
      <w:r>
        <w:rPr>
          <w:rStyle w:val="30"/>
          <w:rFonts w:hint="eastAsia" w:ascii="宋体" w:hAnsi="宋体" w:cs="Times New Roman"/>
          <w:color w:val="auto"/>
          <w:kern w:val="2"/>
        </w:rPr>
        <w:t>以上时，调整合同价格。</w:t>
      </w:r>
    </w:p>
    <w:p w14:paraId="2EAA8BCD">
      <w:pPr>
        <w:pStyle w:val="79"/>
        <w:spacing w:line="360" w:lineRule="exact"/>
        <w:ind w:firstLine="403"/>
        <w:rPr>
          <w:rStyle w:val="30"/>
          <w:rFonts w:ascii="Calibri" w:hAnsi="Calibri" w:cs="Times New Roman"/>
          <w:color w:val="auto"/>
          <w:kern w:val="2"/>
        </w:rPr>
      </w:pPr>
      <w:r>
        <w:rPr>
          <w:rStyle w:val="30"/>
          <w:rFonts w:ascii="Calibri" w:hAnsi="Calibri" w:cs="Times New Roman"/>
          <w:color w:val="auto"/>
        </w:rPr>
        <w:t>2</w:t>
      </w:r>
      <w:r>
        <w:rPr>
          <w:rStyle w:val="30"/>
          <w:rFonts w:hint="eastAsia" w:ascii="宋体" w:hAnsi="宋体" w:cs="Times New Roman"/>
          <w:color w:val="auto"/>
          <w:kern w:val="2"/>
        </w:rPr>
        <w:t>施工机械台班价格的调整是指因机上人工及燃料动力费用价格的变化引起机械台班价格的变化，其调整范围为：当合同工期内的单类机械的价格上涨或下降幅度在</w:t>
      </w:r>
      <w:r>
        <w:rPr>
          <w:rStyle w:val="30"/>
          <w:rFonts w:ascii="Calibri" w:hAnsi="Calibri" w:cs="Times New Roman"/>
          <w:color w:val="auto"/>
          <w:kern w:val="2"/>
        </w:rPr>
        <w:t>5%</w:t>
      </w:r>
      <w:r>
        <w:rPr>
          <w:rStyle w:val="30"/>
          <w:rFonts w:hint="eastAsia" w:ascii="宋体" w:hAnsi="宋体" w:cs="Times New Roman"/>
          <w:color w:val="auto"/>
          <w:kern w:val="2"/>
        </w:rPr>
        <w:t>以上时，调整合同价格。</w:t>
      </w:r>
    </w:p>
    <w:p w14:paraId="7ACD173C">
      <w:pPr>
        <w:pStyle w:val="79"/>
        <w:spacing w:line="360" w:lineRule="exact"/>
        <w:ind w:firstLine="403"/>
        <w:rPr>
          <w:rStyle w:val="30"/>
          <w:rFonts w:ascii="Calibri" w:hAnsi="Calibri" w:cs="Times New Roman"/>
          <w:color w:val="auto"/>
          <w:kern w:val="2"/>
        </w:rPr>
      </w:pPr>
      <w:r>
        <w:rPr>
          <w:rStyle w:val="30"/>
          <w:rFonts w:ascii="Calibri" w:hAnsi="Calibri" w:cs="Times New Roman"/>
          <w:color w:val="auto"/>
        </w:rPr>
        <w:t>3</w:t>
      </w:r>
      <w:r>
        <w:rPr>
          <w:rStyle w:val="30"/>
          <w:rFonts w:hint="eastAsia" w:ascii="宋体" w:hAnsi="宋体" w:cs="Times New Roman"/>
          <w:color w:val="auto"/>
          <w:kern w:val="2"/>
        </w:rPr>
        <w:t>材料价格调整范围为：</w:t>
      </w:r>
    </w:p>
    <w:p w14:paraId="0EFE1D55">
      <w:pPr>
        <w:pStyle w:val="79"/>
        <w:spacing w:line="360" w:lineRule="exact"/>
        <w:ind w:firstLine="403"/>
        <w:rPr>
          <w:rStyle w:val="30"/>
          <w:rFonts w:hint="eastAsia" w:ascii="仿宋" w:hAnsi="仿宋" w:eastAsia="仿宋" w:cs="仿宋"/>
          <w:b/>
          <w:bCs/>
          <w:color w:val="auto"/>
          <w:kern w:val="2"/>
        </w:rPr>
      </w:pPr>
      <w:r>
        <w:rPr>
          <w:rStyle w:val="30"/>
          <w:rFonts w:hint="eastAsia" w:ascii="仿宋" w:hAnsi="仿宋" w:eastAsia="仿宋" w:cs="仿宋"/>
          <w:color w:val="auto"/>
          <w:kern w:val="2"/>
        </w:rPr>
        <w:t>（a）</w:t>
      </w:r>
      <w:r>
        <w:rPr>
          <w:rStyle w:val="30"/>
          <w:rFonts w:hint="eastAsia" w:ascii="仿宋" w:hAnsi="仿宋" w:eastAsia="仿宋" w:cs="仿宋"/>
          <w:b/>
          <w:bCs/>
          <w:color w:val="auto"/>
          <w:kern w:val="2"/>
        </w:rPr>
        <w:t>当材料合同工期的信息价平均值与</w:t>
      </w:r>
      <w:r>
        <w:rPr>
          <w:rStyle w:val="30"/>
          <w:rFonts w:hint="eastAsia" w:ascii="仿宋" w:hAnsi="仿宋" w:eastAsia="仿宋" w:cs="仿宋"/>
          <w:b/>
          <w:bCs/>
          <w:color w:val="auto"/>
          <w:kern w:val="2"/>
          <w:lang w:val="en-US" w:eastAsia="zh-CN"/>
        </w:rPr>
        <w:t>响应</w:t>
      </w:r>
      <w:r>
        <w:rPr>
          <w:rStyle w:val="30"/>
          <w:rFonts w:hint="eastAsia" w:ascii="仿宋" w:hAnsi="仿宋" w:eastAsia="仿宋" w:cs="仿宋"/>
          <w:b/>
          <w:bCs/>
          <w:color w:val="auto"/>
          <w:kern w:val="2"/>
        </w:rPr>
        <w:t xml:space="preserve">文件编制期对应的信息价之比上涨或下降幅度在5%以上时，调整合同价格。（一般情况下，该范围为材料合价占单位工程造价比例在1%（含1%）以上至10%（不含10%）以下的材料，应在本合同事先约定。） </w:t>
      </w:r>
    </w:p>
    <w:p w14:paraId="74347021">
      <w:pPr>
        <w:pStyle w:val="79"/>
        <w:spacing w:line="360" w:lineRule="exact"/>
        <w:rPr>
          <w:rStyle w:val="30"/>
          <w:rFonts w:hint="eastAsia" w:ascii="仿宋" w:hAnsi="仿宋" w:eastAsia="仿宋" w:cs="仿宋"/>
          <w:b/>
          <w:bCs/>
          <w:color w:val="auto"/>
          <w:kern w:val="2"/>
        </w:rPr>
      </w:pPr>
      <w:r>
        <w:rPr>
          <w:rStyle w:val="30"/>
          <w:rFonts w:hint="eastAsia" w:ascii="仿宋" w:hAnsi="仿宋" w:eastAsia="仿宋" w:cs="仿宋"/>
          <w:b/>
          <w:bCs/>
          <w:color w:val="auto"/>
          <w:kern w:val="2"/>
        </w:rPr>
        <w:t xml:space="preserve">调整主材范围（除重大设计变更外不再调整）： </w:t>
      </w:r>
      <w:r>
        <w:rPr>
          <w:rStyle w:val="30"/>
          <w:rFonts w:hint="eastAsia" w:ascii="仿宋" w:hAnsi="仿宋" w:eastAsia="仿宋" w:cs="仿宋"/>
          <w:b/>
          <w:bCs/>
          <w:color w:val="auto"/>
          <w:kern w:val="2"/>
          <w:u w:val="single"/>
        </w:rPr>
        <w:t xml:space="preserve">                                             </w:t>
      </w:r>
    </w:p>
    <w:p w14:paraId="324023AE">
      <w:pPr>
        <w:pStyle w:val="79"/>
        <w:spacing w:line="360" w:lineRule="exact"/>
        <w:ind w:firstLine="403"/>
        <w:rPr>
          <w:rStyle w:val="30"/>
          <w:rFonts w:hint="eastAsia" w:ascii="仿宋" w:hAnsi="仿宋" w:eastAsia="仿宋" w:cs="仿宋"/>
          <w:b/>
          <w:bCs/>
          <w:color w:val="auto"/>
          <w:kern w:val="2"/>
        </w:rPr>
      </w:pPr>
      <w:r>
        <w:rPr>
          <w:rStyle w:val="30"/>
          <w:rFonts w:hint="eastAsia" w:ascii="仿宋" w:hAnsi="仿宋" w:eastAsia="仿宋" w:cs="仿宋"/>
          <w:color w:val="auto"/>
          <w:kern w:val="2"/>
        </w:rPr>
        <w:t>（b）</w:t>
      </w:r>
      <w:r>
        <w:rPr>
          <w:rStyle w:val="30"/>
          <w:rFonts w:hint="eastAsia" w:ascii="仿宋" w:hAnsi="仿宋" w:eastAsia="仿宋" w:cs="仿宋"/>
          <w:b/>
          <w:bCs/>
          <w:color w:val="auto"/>
          <w:kern w:val="2"/>
        </w:rPr>
        <w:t>当材料合同工期的信息价平均值与</w:t>
      </w:r>
      <w:r>
        <w:rPr>
          <w:rStyle w:val="30"/>
          <w:rFonts w:hint="eastAsia" w:ascii="仿宋" w:hAnsi="仿宋" w:eastAsia="仿宋" w:cs="仿宋"/>
          <w:b/>
          <w:bCs/>
          <w:color w:val="auto"/>
          <w:kern w:val="2"/>
          <w:lang w:val="en-US" w:eastAsia="zh-CN"/>
        </w:rPr>
        <w:t>响应</w:t>
      </w:r>
      <w:r>
        <w:rPr>
          <w:rStyle w:val="30"/>
          <w:rFonts w:hint="eastAsia" w:ascii="仿宋" w:hAnsi="仿宋" w:eastAsia="仿宋" w:cs="仿宋"/>
          <w:b/>
          <w:bCs/>
          <w:color w:val="auto"/>
          <w:kern w:val="2"/>
        </w:rPr>
        <w:t xml:space="preserve">文件编制期对应的信息价之比上涨或下降幅度在3%以上时，调整合同价格。（一般情况下，该范围为材料合价占单位工程造价比例在10%（含10%）以上的材料，应在本合同事先约定。） </w:t>
      </w:r>
    </w:p>
    <w:p w14:paraId="722E6529">
      <w:pPr>
        <w:pStyle w:val="79"/>
        <w:spacing w:line="360" w:lineRule="exact"/>
        <w:rPr>
          <w:rStyle w:val="30"/>
          <w:rFonts w:hint="eastAsia" w:ascii="仿宋" w:hAnsi="仿宋" w:eastAsia="仿宋" w:cs="仿宋"/>
          <w:color w:val="auto"/>
          <w:kern w:val="2"/>
        </w:rPr>
      </w:pPr>
      <w:r>
        <w:rPr>
          <w:rStyle w:val="30"/>
          <w:rFonts w:hint="eastAsia" w:ascii="仿宋" w:hAnsi="仿宋" w:eastAsia="仿宋" w:cs="仿宋"/>
          <w:b/>
          <w:bCs/>
          <w:color w:val="auto"/>
          <w:kern w:val="2"/>
        </w:rPr>
        <w:t xml:space="preserve">调整主材范围（除重大设计变更外不再调整）： </w:t>
      </w:r>
      <w:r>
        <w:rPr>
          <w:rStyle w:val="30"/>
          <w:rFonts w:hint="eastAsia" w:ascii="仿宋" w:hAnsi="仿宋" w:eastAsia="仿宋" w:cs="仿宋"/>
          <w:b/>
          <w:bCs/>
          <w:color w:val="auto"/>
          <w:kern w:val="2"/>
          <w:u w:val="single"/>
        </w:rPr>
        <w:t xml:space="preserve">                                            </w:t>
      </w:r>
    </w:p>
    <w:p w14:paraId="6E37D0E3">
      <w:pPr>
        <w:pStyle w:val="79"/>
        <w:spacing w:line="360" w:lineRule="exact"/>
        <w:ind w:firstLine="420" w:firstLineChars="200"/>
        <w:rPr>
          <w:rStyle w:val="30"/>
          <w:rFonts w:hint="eastAsia" w:ascii="仿宋" w:hAnsi="仿宋" w:eastAsia="仿宋" w:cs="宋体"/>
          <w:b/>
          <w:bCs/>
          <w:color w:val="auto"/>
          <w:kern w:val="2"/>
        </w:rPr>
      </w:pPr>
      <w:r>
        <w:rPr>
          <w:rStyle w:val="30"/>
          <w:rFonts w:ascii="Calibri" w:hAnsi="Calibri" w:cs="Times New Roman"/>
          <w:color w:val="auto"/>
        </w:rPr>
        <w:t>4</w:t>
      </w:r>
      <w:r>
        <w:rPr>
          <w:rStyle w:val="30"/>
          <w:rFonts w:hint="eastAsia" w:ascii="宋体" w:hAnsi="宋体" w:cs="Times New Roman"/>
          <w:color w:val="auto"/>
          <w:kern w:val="2"/>
        </w:rPr>
        <w:t>人工、材料及施工机械台班价格风险调整范围应以单位工程为计算单位，如房屋建筑工程造价应将建筑、安装等分开计算，安装工程造价应将电器照明、给排水、消防等分开计算。</w:t>
      </w:r>
      <w:r>
        <w:rPr>
          <w:rStyle w:val="30"/>
          <w:rFonts w:hint="eastAsia" w:ascii="仿宋" w:hAnsi="仿宋" w:eastAsia="仿宋" w:cs="宋体"/>
          <w:b/>
          <w:bCs/>
          <w:color w:val="auto"/>
          <w:kern w:val="2"/>
        </w:rPr>
        <w:t>重大设计变更的，变更的主要材料调整办法另行约定。</w:t>
      </w:r>
    </w:p>
    <w:p w14:paraId="6DB33A2C">
      <w:pPr>
        <w:pStyle w:val="79"/>
        <w:spacing w:line="360" w:lineRule="exact"/>
        <w:ind w:firstLine="403"/>
        <w:rPr>
          <w:rStyle w:val="30"/>
          <w:rFonts w:hint="eastAsia" w:ascii="Times New Roman" w:hAnsi="Times New Roman" w:eastAsia="宋体" w:cs="Times New Roman"/>
          <w:color w:val="auto"/>
          <w:kern w:val="2"/>
        </w:rPr>
      </w:pPr>
      <w:r>
        <w:rPr>
          <w:rStyle w:val="30"/>
          <w:rFonts w:ascii="Calibri" w:hAnsi="Calibri" w:cs="Times New Roman"/>
          <w:color w:val="auto"/>
        </w:rPr>
        <w:t>5</w:t>
      </w:r>
      <w:r>
        <w:rPr>
          <w:rStyle w:val="30"/>
          <w:rFonts w:hint="eastAsia" w:ascii="宋体" w:hAnsi="宋体" w:cs="Times New Roman"/>
          <w:color w:val="auto"/>
          <w:kern w:val="2"/>
        </w:rPr>
        <w:t>价格波动引起合同价款的调整方法采用抽料补差调整法。</w:t>
      </w:r>
    </w:p>
    <w:p w14:paraId="1DBA31A3">
      <w:pPr>
        <w:pStyle w:val="79"/>
        <w:spacing w:line="360" w:lineRule="exact"/>
        <w:ind w:firstLine="403"/>
        <w:rPr>
          <w:rStyle w:val="30"/>
          <w:rFonts w:ascii="Calibri" w:hAnsi="Calibri" w:cs="Times New Roman"/>
          <w:color w:val="auto"/>
          <w:kern w:val="2"/>
        </w:rPr>
      </w:pPr>
      <w:r>
        <w:rPr>
          <w:rStyle w:val="30"/>
          <w:rFonts w:hint="eastAsia" w:ascii="宋体" w:hAnsi="宋体" w:cs="Times New Roman"/>
          <w:color w:val="auto"/>
          <w:kern w:val="2"/>
        </w:rPr>
        <w:t>计算式：</w:t>
      </w:r>
      <w:r>
        <w:rPr>
          <w:rStyle w:val="30"/>
          <w:rFonts w:ascii="Calibri" w:hAnsi="Calibri" w:cs="Times New Roman"/>
          <w:color w:val="auto"/>
          <w:kern w:val="2"/>
        </w:rPr>
        <w:t>A=∑[B/C</w:t>
      </w:r>
      <w:r>
        <w:rPr>
          <w:rStyle w:val="30"/>
          <w:rFonts w:hint="eastAsia" w:ascii="宋体" w:hAnsi="宋体" w:cs="Times New Roman"/>
          <w:color w:val="auto"/>
          <w:kern w:val="2"/>
        </w:rPr>
        <w:t>－</w:t>
      </w:r>
      <w:r>
        <w:rPr>
          <w:rStyle w:val="30"/>
          <w:rFonts w:ascii="Calibri" w:hAnsi="Calibri" w:cs="Times New Roman"/>
          <w:color w:val="auto"/>
          <w:kern w:val="2"/>
        </w:rPr>
        <w:t>1</w:t>
      </w:r>
      <w:r>
        <w:rPr>
          <w:rStyle w:val="30"/>
          <w:rFonts w:hint="eastAsia" w:ascii="宋体" w:hAnsi="宋体" w:cs="Times New Roman"/>
          <w:color w:val="auto"/>
          <w:kern w:val="2"/>
        </w:rPr>
        <w:t>．</w:t>
      </w:r>
      <w:r>
        <w:rPr>
          <w:rStyle w:val="30"/>
          <w:rFonts w:ascii="Calibri" w:hAnsi="Calibri" w:cs="Times New Roman"/>
          <w:color w:val="auto"/>
          <w:kern w:val="2"/>
        </w:rPr>
        <w:t>05(</w:t>
      </w:r>
      <w:r>
        <w:rPr>
          <w:rStyle w:val="30"/>
          <w:rFonts w:hint="eastAsia" w:ascii="宋体" w:hAnsi="宋体" w:cs="Times New Roman"/>
          <w:color w:val="auto"/>
          <w:kern w:val="2"/>
        </w:rPr>
        <w:t>或</w:t>
      </w:r>
      <w:r>
        <w:rPr>
          <w:rStyle w:val="30"/>
          <w:rFonts w:ascii="Calibri" w:hAnsi="Calibri" w:cs="Times New Roman"/>
          <w:color w:val="auto"/>
          <w:kern w:val="2"/>
        </w:rPr>
        <w:t xml:space="preserve">1.03)]×C×E          </w:t>
      </w:r>
      <w:r>
        <w:rPr>
          <w:rStyle w:val="30"/>
          <w:rFonts w:hint="eastAsia" w:ascii="宋体" w:hAnsi="宋体" w:cs="Times New Roman"/>
          <w:color w:val="auto"/>
          <w:kern w:val="2"/>
        </w:rPr>
        <w:t>当</w:t>
      </w:r>
      <w:r>
        <w:rPr>
          <w:rStyle w:val="30"/>
          <w:rFonts w:ascii="Calibri" w:hAnsi="Calibri" w:cs="Times New Roman"/>
          <w:color w:val="auto"/>
          <w:kern w:val="2"/>
        </w:rPr>
        <w:t>B&gt;1</w:t>
      </w:r>
      <w:r>
        <w:rPr>
          <w:rStyle w:val="30"/>
          <w:rFonts w:hint="eastAsia" w:ascii="宋体" w:hAnsi="宋体" w:cs="Times New Roman"/>
          <w:color w:val="auto"/>
          <w:kern w:val="2"/>
        </w:rPr>
        <w:t>．</w:t>
      </w:r>
      <w:r>
        <w:rPr>
          <w:rStyle w:val="30"/>
          <w:rFonts w:ascii="Calibri" w:hAnsi="Calibri" w:cs="Times New Roman"/>
          <w:color w:val="auto"/>
          <w:kern w:val="2"/>
        </w:rPr>
        <w:t>05C(</w:t>
      </w:r>
      <w:r>
        <w:rPr>
          <w:rStyle w:val="30"/>
          <w:rFonts w:hint="eastAsia" w:ascii="宋体" w:hAnsi="宋体" w:cs="Times New Roman"/>
          <w:color w:val="auto"/>
          <w:kern w:val="2"/>
        </w:rPr>
        <w:t>或</w:t>
      </w:r>
      <w:r>
        <w:rPr>
          <w:rStyle w:val="30"/>
          <w:rFonts w:ascii="Calibri" w:hAnsi="Calibri" w:cs="Times New Roman"/>
          <w:color w:val="auto"/>
          <w:kern w:val="2"/>
        </w:rPr>
        <w:t>1.03C)</w:t>
      </w:r>
      <w:r>
        <w:rPr>
          <w:rStyle w:val="30"/>
          <w:rFonts w:hint="eastAsia" w:ascii="宋体" w:hAnsi="宋体" w:cs="Times New Roman"/>
          <w:color w:val="auto"/>
          <w:kern w:val="2"/>
        </w:rPr>
        <w:t>时</w:t>
      </w:r>
    </w:p>
    <w:p w14:paraId="3F5C791E">
      <w:pPr>
        <w:pStyle w:val="79"/>
        <w:spacing w:line="360" w:lineRule="exact"/>
        <w:ind w:firstLine="1239" w:firstLineChars="590"/>
        <w:rPr>
          <w:rStyle w:val="30"/>
          <w:rFonts w:ascii="Calibri" w:hAnsi="Calibri" w:cs="Times New Roman"/>
          <w:color w:val="auto"/>
          <w:kern w:val="2"/>
        </w:rPr>
      </w:pPr>
      <w:r>
        <w:rPr>
          <w:rStyle w:val="30"/>
          <w:rFonts w:ascii="Calibri" w:hAnsi="Calibri" w:cs="Times New Roman"/>
          <w:color w:val="auto"/>
          <w:kern w:val="2"/>
        </w:rPr>
        <w:t>A=∑[B/C</w:t>
      </w:r>
      <w:r>
        <w:rPr>
          <w:rStyle w:val="30"/>
          <w:rFonts w:hint="eastAsia" w:ascii="宋体" w:hAnsi="宋体" w:cs="Times New Roman"/>
          <w:color w:val="auto"/>
          <w:kern w:val="2"/>
        </w:rPr>
        <w:t>－</w:t>
      </w:r>
      <w:r>
        <w:rPr>
          <w:rStyle w:val="30"/>
          <w:rFonts w:ascii="Calibri" w:hAnsi="Calibri" w:cs="Times New Roman"/>
          <w:color w:val="auto"/>
          <w:kern w:val="2"/>
        </w:rPr>
        <w:t>0</w:t>
      </w:r>
      <w:r>
        <w:rPr>
          <w:rStyle w:val="30"/>
          <w:rFonts w:hint="eastAsia" w:ascii="宋体" w:hAnsi="宋体" w:cs="Times New Roman"/>
          <w:color w:val="auto"/>
          <w:kern w:val="2"/>
        </w:rPr>
        <w:t>．</w:t>
      </w:r>
      <w:r>
        <w:rPr>
          <w:rStyle w:val="30"/>
          <w:rFonts w:ascii="Calibri" w:hAnsi="Calibri" w:cs="Times New Roman"/>
          <w:color w:val="auto"/>
          <w:kern w:val="2"/>
        </w:rPr>
        <w:t>95(</w:t>
      </w:r>
      <w:r>
        <w:rPr>
          <w:rStyle w:val="30"/>
          <w:rFonts w:hint="eastAsia" w:ascii="宋体" w:hAnsi="宋体" w:cs="Times New Roman"/>
          <w:color w:val="auto"/>
          <w:kern w:val="2"/>
        </w:rPr>
        <w:t>或</w:t>
      </w:r>
      <w:r>
        <w:rPr>
          <w:rStyle w:val="30"/>
          <w:rFonts w:ascii="Calibri" w:hAnsi="Calibri" w:cs="Times New Roman"/>
          <w:color w:val="auto"/>
          <w:kern w:val="2"/>
        </w:rPr>
        <w:t xml:space="preserve">0.97)]×C×E          </w:t>
      </w:r>
      <w:r>
        <w:rPr>
          <w:rStyle w:val="30"/>
          <w:rFonts w:hint="eastAsia" w:ascii="宋体" w:hAnsi="宋体" w:cs="Times New Roman"/>
          <w:color w:val="auto"/>
          <w:kern w:val="2"/>
        </w:rPr>
        <w:t>当</w:t>
      </w:r>
      <w:r>
        <w:rPr>
          <w:rStyle w:val="30"/>
          <w:rFonts w:ascii="Calibri" w:hAnsi="Calibri" w:cs="Times New Roman"/>
          <w:color w:val="auto"/>
          <w:kern w:val="2"/>
        </w:rPr>
        <w:t>B&lt;0</w:t>
      </w:r>
      <w:r>
        <w:rPr>
          <w:rStyle w:val="30"/>
          <w:rFonts w:hint="eastAsia" w:ascii="宋体" w:hAnsi="宋体" w:cs="Times New Roman"/>
          <w:color w:val="auto"/>
          <w:kern w:val="2"/>
        </w:rPr>
        <w:t>．</w:t>
      </w:r>
      <w:r>
        <w:rPr>
          <w:rStyle w:val="30"/>
          <w:rFonts w:ascii="Calibri" w:hAnsi="Calibri" w:cs="Times New Roman"/>
          <w:color w:val="auto"/>
          <w:kern w:val="2"/>
        </w:rPr>
        <w:t>95C(</w:t>
      </w:r>
      <w:r>
        <w:rPr>
          <w:rStyle w:val="30"/>
          <w:rFonts w:hint="eastAsia" w:ascii="宋体" w:hAnsi="宋体" w:cs="Times New Roman"/>
          <w:color w:val="auto"/>
          <w:kern w:val="2"/>
        </w:rPr>
        <w:t>或</w:t>
      </w:r>
      <w:r>
        <w:rPr>
          <w:rStyle w:val="30"/>
          <w:rFonts w:ascii="Calibri" w:hAnsi="Calibri" w:cs="Times New Roman"/>
          <w:color w:val="auto"/>
          <w:kern w:val="2"/>
        </w:rPr>
        <w:t>0.97C)</w:t>
      </w:r>
      <w:r>
        <w:rPr>
          <w:rStyle w:val="30"/>
          <w:rFonts w:hint="eastAsia" w:ascii="宋体" w:hAnsi="宋体" w:cs="Times New Roman"/>
          <w:color w:val="auto"/>
          <w:kern w:val="2"/>
        </w:rPr>
        <w:t>时</w:t>
      </w:r>
    </w:p>
    <w:p w14:paraId="094FE83A">
      <w:pPr>
        <w:pStyle w:val="79"/>
        <w:spacing w:line="360" w:lineRule="exact"/>
        <w:ind w:firstLine="403"/>
        <w:rPr>
          <w:rStyle w:val="30"/>
          <w:rFonts w:ascii="Calibri" w:hAnsi="Calibri" w:cs="Times New Roman"/>
          <w:color w:val="auto"/>
          <w:kern w:val="2"/>
        </w:rPr>
      </w:pPr>
      <w:r>
        <w:rPr>
          <w:rStyle w:val="30"/>
          <w:rFonts w:hint="eastAsia" w:ascii="宋体" w:hAnsi="宋体" w:cs="Times New Roman"/>
          <w:color w:val="auto"/>
          <w:kern w:val="2"/>
        </w:rPr>
        <w:t>其中：</w:t>
      </w:r>
      <w:r>
        <w:rPr>
          <w:rStyle w:val="30"/>
          <w:rFonts w:ascii="Calibri" w:hAnsi="Calibri" w:cs="Times New Roman"/>
          <w:color w:val="auto"/>
          <w:kern w:val="2"/>
        </w:rPr>
        <w:t>A</w:t>
      </w:r>
      <w:r>
        <w:rPr>
          <w:rStyle w:val="30"/>
          <w:rFonts w:hint="eastAsia" w:ascii="宋体" w:hAnsi="宋体" w:cs="Times New Roman"/>
          <w:color w:val="auto"/>
          <w:kern w:val="2"/>
        </w:rPr>
        <w:t>为价格调整部分合计</w:t>
      </w:r>
    </w:p>
    <w:p w14:paraId="3A13E0AA">
      <w:pPr>
        <w:pStyle w:val="79"/>
        <w:spacing w:line="360" w:lineRule="exact"/>
        <w:ind w:firstLine="403"/>
        <w:rPr>
          <w:rStyle w:val="30"/>
          <w:rFonts w:ascii="Calibri" w:hAnsi="Calibri" w:cs="Times New Roman"/>
          <w:color w:val="auto"/>
          <w:kern w:val="2"/>
        </w:rPr>
      </w:pPr>
      <w:r>
        <w:rPr>
          <w:rStyle w:val="30"/>
          <w:rFonts w:ascii="Calibri" w:hAnsi="Calibri" w:cs="Times New Roman"/>
          <w:color w:val="auto"/>
          <w:kern w:val="2"/>
        </w:rPr>
        <w:t xml:space="preserve">      B</w:t>
      </w:r>
      <w:r>
        <w:rPr>
          <w:rStyle w:val="30"/>
          <w:rFonts w:hint="eastAsia" w:ascii="宋体" w:hAnsi="宋体" w:cs="Times New Roman"/>
          <w:color w:val="auto"/>
          <w:kern w:val="2"/>
        </w:rPr>
        <w:t>为合同工期的调价因素的各自的信息价的平均值。</w:t>
      </w:r>
    </w:p>
    <w:p w14:paraId="1EFA68E3">
      <w:pPr>
        <w:pStyle w:val="79"/>
        <w:spacing w:line="360" w:lineRule="exact"/>
        <w:ind w:firstLine="403"/>
        <w:rPr>
          <w:rStyle w:val="30"/>
          <w:rFonts w:ascii="Calibri" w:hAnsi="Calibri" w:cs="Times New Roman"/>
          <w:color w:val="auto"/>
          <w:kern w:val="2"/>
        </w:rPr>
      </w:pPr>
      <w:r>
        <w:rPr>
          <w:rStyle w:val="30"/>
          <w:rFonts w:ascii="Calibri" w:hAnsi="Calibri" w:cs="Times New Roman"/>
          <w:color w:val="auto"/>
          <w:kern w:val="2"/>
        </w:rPr>
        <w:t xml:space="preserve">      C</w:t>
      </w:r>
      <w:r>
        <w:rPr>
          <w:rStyle w:val="30"/>
          <w:rFonts w:hint="eastAsia" w:ascii="宋体" w:hAnsi="宋体" w:cs="Times New Roman"/>
          <w:color w:val="auto"/>
          <w:kern w:val="2"/>
        </w:rPr>
        <w:t>为</w:t>
      </w:r>
      <w:r>
        <w:rPr>
          <w:rStyle w:val="30"/>
          <w:rFonts w:hint="eastAsia" w:ascii="宋体" w:hAnsi="宋体" w:cs="Times New Roman"/>
          <w:color w:val="auto"/>
          <w:kern w:val="2"/>
          <w:lang w:val="en-US" w:eastAsia="zh-CN"/>
        </w:rPr>
        <w:t>响应</w:t>
      </w:r>
      <w:r>
        <w:rPr>
          <w:rStyle w:val="30"/>
          <w:rFonts w:hint="eastAsia" w:ascii="宋体" w:hAnsi="宋体" w:cs="Times New Roman"/>
          <w:color w:val="auto"/>
          <w:kern w:val="2"/>
        </w:rPr>
        <w:t>报价编制期的调价因素各自的信息价。</w:t>
      </w:r>
    </w:p>
    <w:p w14:paraId="6A30C491">
      <w:pPr>
        <w:pStyle w:val="79"/>
        <w:spacing w:line="360" w:lineRule="exact"/>
        <w:ind w:firstLine="403"/>
        <w:rPr>
          <w:rStyle w:val="30"/>
          <w:rFonts w:ascii="Calibri" w:hAnsi="Calibri" w:cs="Times New Roman"/>
          <w:color w:val="auto"/>
          <w:kern w:val="2"/>
        </w:rPr>
      </w:pPr>
      <w:r>
        <w:rPr>
          <w:rStyle w:val="30"/>
          <w:rFonts w:ascii="Calibri" w:hAnsi="Calibri" w:cs="Times New Roman"/>
          <w:color w:val="auto"/>
          <w:kern w:val="2"/>
        </w:rPr>
        <w:t xml:space="preserve">      E</w:t>
      </w:r>
      <w:r>
        <w:rPr>
          <w:rStyle w:val="30"/>
          <w:rFonts w:hint="eastAsia" w:ascii="宋体" w:hAnsi="宋体" w:cs="Times New Roman"/>
          <w:color w:val="auto"/>
          <w:kern w:val="2"/>
        </w:rPr>
        <w:t>各调价因素的消耗量</w:t>
      </w:r>
      <w:r>
        <w:rPr>
          <w:rStyle w:val="30"/>
          <w:rFonts w:ascii="Calibri" w:hAnsi="Calibri" w:cs="Times New Roman"/>
          <w:color w:val="auto"/>
          <w:kern w:val="2"/>
        </w:rPr>
        <w:t xml:space="preserve"> .</w:t>
      </w:r>
    </w:p>
    <w:p w14:paraId="5F9621E3">
      <w:pPr>
        <w:pStyle w:val="79"/>
        <w:spacing w:line="360" w:lineRule="exact"/>
        <w:ind w:firstLine="403"/>
        <w:rPr>
          <w:rStyle w:val="30"/>
          <w:rFonts w:ascii="Calibri" w:hAnsi="Calibri" w:cs="Times New Roman"/>
          <w:color w:val="auto"/>
          <w:kern w:val="2"/>
        </w:rPr>
      </w:pPr>
      <w:r>
        <w:rPr>
          <w:rStyle w:val="30"/>
          <w:rFonts w:ascii="Calibri" w:hAnsi="Calibri" w:cs="Times New Roman"/>
          <w:color w:val="auto"/>
        </w:rPr>
        <w:t>6</w:t>
      </w:r>
      <w:r>
        <w:rPr>
          <w:rStyle w:val="30"/>
          <w:rFonts w:hint="eastAsia" w:ascii="宋体" w:hAnsi="宋体" w:cs="Times New Roman"/>
          <w:color w:val="auto"/>
          <w:kern w:val="2"/>
        </w:rPr>
        <w:t>工期按以下原则确定</w:t>
      </w:r>
    </w:p>
    <w:p w14:paraId="7505A053">
      <w:pPr>
        <w:pStyle w:val="79"/>
        <w:spacing w:line="360" w:lineRule="exact"/>
        <w:ind w:firstLine="1239" w:firstLineChars="590"/>
        <w:rPr>
          <w:rStyle w:val="30"/>
          <w:rFonts w:ascii="Calibri" w:hAnsi="Calibri" w:cs="Times New Roman"/>
          <w:color w:val="auto"/>
          <w:kern w:val="2"/>
        </w:rPr>
      </w:pPr>
      <w:r>
        <w:rPr>
          <w:rStyle w:val="30"/>
          <w:rFonts w:hint="eastAsia" w:ascii="宋体" w:hAnsi="宋体" w:cs="Times New Roman"/>
          <w:color w:val="auto"/>
          <w:kern w:val="2"/>
        </w:rPr>
        <w:t>计算式：</w:t>
      </w:r>
      <w:r>
        <w:rPr>
          <w:rStyle w:val="30"/>
          <w:rFonts w:ascii="Calibri" w:hAnsi="Calibri" w:cs="Times New Roman"/>
          <w:color w:val="auto"/>
          <w:kern w:val="2"/>
        </w:rPr>
        <w:t>S=n+m</w:t>
      </w:r>
    </w:p>
    <w:p w14:paraId="7356EE46">
      <w:pPr>
        <w:pStyle w:val="79"/>
        <w:spacing w:line="360" w:lineRule="exact"/>
        <w:rPr>
          <w:rStyle w:val="30"/>
          <w:rFonts w:ascii="Calibri" w:hAnsi="Calibri" w:cs="Times New Roman"/>
          <w:color w:val="auto"/>
          <w:kern w:val="2"/>
        </w:rPr>
      </w:pPr>
      <w:r>
        <w:rPr>
          <w:rStyle w:val="30"/>
          <w:rFonts w:ascii="Calibri" w:hAnsi="Calibri" w:cs="Times New Roman"/>
          <w:color w:val="auto"/>
          <w:kern w:val="2"/>
        </w:rPr>
        <w:t xml:space="preserve">     </w:t>
      </w:r>
      <w:r>
        <w:rPr>
          <w:rStyle w:val="30"/>
          <w:rFonts w:hint="eastAsia" w:ascii="宋体" w:hAnsi="宋体" w:cs="Times New Roman"/>
          <w:color w:val="auto"/>
          <w:kern w:val="2"/>
        </w:rPr>
        <w:t>其中：</w:t>
      </w:r>
      <w:r>
        <w:rPr>
          <w:rStyle w:val="30"/>
          <w:rFonts w:ascii="Calibri" w:hAnsi="Calibri" w:cs="Times New Roman"/>
          <w:color w:val="auto"/>
          <w:kern w:val="2"/>
        </w:rPr>
        <w:t>S</w:t>
      </w:r>
      <w:r>
        <w:rPr>
          <w:rStyle w:val="30"/>
          <w:rFonts w:hint="eastAsia" w:ascii="宋体" w:hAnsi="宋体" w:cs="Times New Roman"/>
          <w:color w:val="auto"/>
          <w:kern w:val="2"/>
        </w:rPr>
        <w:t>为计算信息价平均工期</w:t>
      </w:r>
    </w:p>
    <w:p w14:paraId="35FD8524">
      <w:pPr>
        <w:pStyle w:val="79"/>
        <w:spacing w:line="360" w:lineRule="exact"/>
        <w:rPr>
          <w:rStyle w:val="30"/>
          <w:rFonts w:ascii="宋体" w:hAnsi="宋体" w:cs="Times New Roman"/>
          <w:b/>
          <w:bCs/>
          <w:color w:val="auto"/>
          <w:kern w:val="2"/>
        </w:rPr>
      </w:pPr>
      <w:r>
        <w:rPr>
          <w:rStyle w:val="30"/>
          <w:rFonts w:ascii="Calibri" w:hAnsi="Calibri" w:cs="Times New Roman"/>
          <w:color w:val="auto"/>
          <w:kern w:val="2"/>
        </w:rPr>
        <w:t xml:space="preserve">          n</w:t>
      </w:r>
      <w:r>
        <w:rPr>
          <w:rStyle w:val="30"/>
          <w:rFonts w:hint="eastAsia" w:ascii="宋体" w:hAnsi="宋体" w:cs="Times New Roman"/>
          <w:color w:val="auto"/>
          <w:kern w:val="2"/>
        </w:rPr>
        <w:t>为合同工期（按日历月计，遇小数点进位取整数；</w:t>
      </w:r>
      <w:r>
        <w:rPr>
          <w:rStyle w:val="30"/>
          <w:rFonts w:hint="eastAsia" w:ascii="宋体" w:hAnsi="宋体" w:cs="Times New Roman"/>
          <w:b/>
          <w:bCs/>
          <w:color w:val="auto"/>
          <w:kern w:val="2"/>
        </w:rPr>
        <w:t>不适用按月调差的方式；按形象部位分段调差工程的合同工期是指按照合同约定的不同阶段的合同工期）。</w:t>
      </w:r>
    </w:p>
    <w:p w14:paraId="46AC6A7A">
      <w:pPr>
        <w:pStyle w:val="79"/>
        <w:spacing w:line="360" w:lineRule="exact"/>
        <w:rPr>
          <w:rStyle w:val="30"/>
          <w:rFonts w:hint="eastAsia" w:ascii="Times New Roman" w:hAnsi="Times New Roman" w:cs="Times New Roman"/>
          <w:color w:val="auto"/>
          <w:kern w:val="2"/>
        </w:rPr>
      </w:pPr>
      <w:r>
        <w:rPr>
          <w:rStyle w:val="30"/>
          <w:rFonts w:ascii="Calibri" w:hAnsi="Calibri" w:cs="Times New Roman"/>
          <w:color w:val="auto"/>
          <w:kern w:val="2"/>
        </w:rPr>
        <w:t xml:space="preserve">          m</w:t>
      </w:r>
      <w:r>
        <w:rPr>
          <w:rStyle w:val="30"/>
          <w:rFonts w:hint="eastAsia" w:ascii="宋体" w:hAnsi="宋体" w:cs="Times New Roman"/>
          <w:color w:val="auto"/>
          <w:kern w:val="2"/>
        </w:rPr>
        <w:t>为计算差价的延误工期增加月份数</w:t>
      </w:r>
    </w:p>
    <w:p w14:paraId="09455B2A">
      <w:pPr>
        <w:pStyle w:val="79"/>
        <w:spacing w:line="360" w:lineRule="exact"/>
        <w:rPr>
          <w:rStyle w:val="30"/>
          <w:rFonts w:ascii="Calibri" w:hAnsi="Calibri" w:cs="Times New Roman"/>
          <w:color w:val="auto"/>
          <w:kern w:val="2"/>
        </w:rPr>
      </w:pPr>
      <w:r>
        <w:rPr>
          <w:rStyle w:val="30"/>
          <w:rFonts w:ascii="Calibri" w:hAnsi="Calibri" w:cs="Times New Roman"/>
          <w:color w:val="auto"/>
          <w:kern w:val="2"/>
        </w:rPr>
        <w:t xml:space="preserve">     </w:t>
      </w:r>
      <w:r>
        <w:rPr>
          <w:rStyle w:val="30"/>
          <w:rFonts w:hint="eastAsia" w:ascii="宋体" w:hAnsi="宋体" w:cs="Times New Roman"/>
          <w:color w:val="auto"/>
          <w:kern w:val="2"/>
        </w:rPr>
        <w:t>计算价差的延误工期增加月份数，按以下原则由承发包双方协商确定：因非承包人原因造成工期延误，延误期间如遇调价因素价格上涨的，差价由发包人承担，增加计算差价的延误工期；反之，如遇价格下降的，差价由承包人受益，不增加计算差价的延误工期。因承包人原因造成工期延误的，延误期间如遇调价因素价格上涨的，差价由承包人承担，不增加计算差价的延误工期；反之，如遇价格下降的，差价由发包人受益，增加计算差价的延误工期。</w:t>
      </w:r>
    </w:p>
    <w:p w14:paraId="2E26D041">
      <w:pPr>
        <w:pStyle w:val="79"/>
        <w:spacing w:line="300" w:lineRule="exact"/>
        <w:ind w:firstLine="420" w:firstLineChars="200"/>
        <w:rPr>
          <w:rStyle w:val="30"/>
          <w:rFonts w:ascii="宋体" w:hAnsi="宋体" w:cs="Times New Roman"/>
          <w:color w:val="auto"/>
          <w:kern w:val="2"/>
        </w:rPr>
      </w:pPr>
      <w:r>
        <w:rPr>
          <w:rStyle w:val="30"/>
          <w:rFonts w:ascii="Calibri" w:hAnsi="Calibri" w:cs="Times New Roman"/>
          <w:color w:val="auto"/>
        </w:rPr>
        <w:t>7</w:t>
      </w:r>
      <w:r>
        <w:rPr>
          <w:rStyle w:val="30"/>
          <w:rFonts w:hint="eastAsia" w:ascii="宋体" w:hAnsi="宋体" w:cs="Times New Roman"/>
          <w:color w:val="auto"/>
          <w:kern w:val="2"/>
        </w:rPr>
        <w:t>价格调整部分只计取税金，不得计取其他任何费用。</w:t>
      </w:r>
    </w:p>
    <w:p w14:paraId="62F28AD8">
      <w:pPr>
        <w:pStyle w:val="79"/>
        <w:spacing w:line="360" w:lineRule="exact"/>
        <w:ind w:firstLine="422" w:firstLineChars="200"/>
        <w:rPr>
          <w:rStyle w:val="30"/>
          <w:rFonts w:hint="eastAsia" w:ascii="仿宋" w:hAnsi="仿宋" w:eastAsia="仿宋" w:cs="宋体"/>
          <w:b/>
          <w:bCs/>
          <w:color w:val="auto"/>
          <w:kern w:val="2"/>
          <w:u w:val="single"/>
        </w:rPr>
      </w:pPr>
      <w:r>
        <w:rPr>
          <w:rStyle w:val="30"/>
          <w:rFonts w:hint="eastAsia" w:ascii="仿宋" w:hAnsi="仿宋" w:eastAsia="仿宋" w:cs="宋体"/>
          <w:b/>
          <w:bCs/>
          <w:color w:val="auto"/>
          <w:kern w:val="2"/>
        </w:rPr>
        <w:t>上述条款中的信息价是指《舟山建设工程造价信息》中的信息价。《舟山建设工程造价信息》未发布信息价的材料采用以下原则处理：</w:t>
      </w:r>
    </w:p>
    <w:p w14:paraId="38BBAD97">
      <w:pPr>
        <w:pStyle w:val="79"/>
        <w:spacing w:line="360" w:lineRule="exact"/>
        <w:ind w:firstLine="422" w:firstLineChars="200"/>
        <w:rPr>
          <w:rStyle w:val="30"/>
          <w:rFonts w:hint="eastAsia" w:ascii="仿宋" w:hAnsi="仿宋" w:eastAsia="仿宋" w:cs="宋体"/>
          <w:b/>
          <w:bCs/>
          <w:color w:val="auto"/>
          <w:kern w:val="2"/>
          <w:u w:val="single"/>
        </w:rPr>
      </w:pPr>
      <w:r>
        <w:rPr>
          <w:rStyle w:val="30"/>
          <w:rFonts w:hint="eastAsia" w:ascii="仿宋" w:hAnsi="仿宋" w:eastAsia="仿宋" w:cs="宋体"/>
          <w:b/>
          <w:bCs/>
          <w:color w:val="auto"/>
          <w:kern w:val="2"/>
          <w:u w:val="single"/>
        </w:rPr>
        <w:t xml:space="preserve">（a）                                                                </w:t>
      </w:r>
    </w:p>
    <w:p w14:paraId="79060360">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u w:val="single"/>
        </w:rPr>
        <w:t xml:space="preserve">（b）                                   </w:t>
      </w:r>
      <w:r>
        <w:rPr>
          <w:rStyle w:val="30"/>
          <w:rFonts w:hint="eastAsia" w:ascii="仿宋" w:hAnsi="仿宋" w:eastAsia="仿宋" w:cs="宋体"/>
          <w:b/>
          <w:bCs/>
          <w:color w:val="auto"/>
          <w:kern w:val="2"/>
        </w:rPr>
        <w:t xml:space="preserve">        </w:t>
      </w:r>
    </w:p>
    <w:p w14:paraId="3A8DB6C5">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11.2 法律变化引起的调整</w:t>
      </w:r>
    </w:p>
    <w:p w14:paraId="6A7FC10A">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法律、法规、规章和政策发生变化，按以下原则调整合同价款：</w:t>
      </w:r>
    </w:p>
    <w:p w14:paraId="3D962382">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11.2.1法律、法规、规章和政策发生变化，导致工程安全文明施工基本费、规费、税金调整的，应按规定调整合同价款；</w:t>
      </w:r>
    </w:p>
    <w:p w14:paraId="28D8DE49">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11.2.2在因承包人原因导致工期延误的，法律、法规、规章和政策等调整在施工合同原定竣工时间之后，合同价款调增的不予调整，调减的则予以调整；</w:t>
      </w:r>
    </w:p>
    <w:p w14:paraId="2170CAD0">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11.2.3因发包人原因造成工程停工而导致工期延误的，法律、法规、规章和政策等调整在施工合同原定竣工时间之后，合同价款调增的予以调整，调减的则由承包人受益，不予以调减。</w:t>
      </w:r>
    </w:p>
    <w:p w14:paraId="7C16E588">
      <w:pPr>
        <w:pStyle w:val="109"/>
        <w:rPr>
          <w:rStyle w:val="30"/>
          <w:rFonts w:hint="eastAsia" w:eastAsia="宋体" w:cs="Times New Roman"/>
          <w:color w:val="auto"/>
          <w:sz w:val="24"/>
          <w:szCs w:val="24"/>
        </w:rPr>
      </w:pPr>
      <w:r>
        <w:rPr>
          <w:rStyle w:val="30"/>
          <w:rFonts w:hint="eastAsia" w:eastAsia="宋体" w:cs="Times New Roman"/>
          <w:color w:val="auto"/>
          <w:sz w:val="24"/>
          <w:szCs w:val="24"/>
        </w:rPr>
        <w:t xml:space="preserve">12. </w:t>
      </w:r>
      <w:r>
        <w:rPr>
          <w:rStyle w:val="30"/>
          <w:rFonts w:hint="eastAsia" w:ascii="宋体" w:hAnsi="宋体" w:eastAsia="宋体" w:cs="Times New Roman"/>
          <w:color w:val="auto"/>
          <w:sz w:val="24"/>
          <w:szCs w:val="24"/>
        </w:rPr>
        <w:t>合同价格、计量与支付</w:t>
      </w:r>
    </w:p>
    <w:p w14:paraId="5817D1E2">
      <w:pPr>
        <w:pStyle w:val="79"/>
        <w:widowControl/>
        <w:spacing w:after="120" w:line="380" w:lineRule="exact"/>
        <w:ind w:firstLine="420" w:firstLineChars="200"/>
        <w:rPr>
          <w:rStyle w:val="30"/>
          <w:rFonts w:hint="eastAsia" w:ascii="Calibri" w:hAnsi="Calibri" w:cs="Times New Roman"/>
          <w:color w:val="auto"/>
          <w:sz w:val="24"/>
          <w:szCs w:val="24"/>
        </w:rPr>
      </w:pPr>
      <w:r>
        <w:rPr>
          <w:rStyle w:val="30"/>
          <w:rFonts w:ascii="Calibri" w:hAnsi="Calibri" w:cs="Times New Roman"/>
          <w:color w:val="auto"/>
        </w:rPr>
        <w:t xml:space="preserve">12.1 </w:t>
      </w:r>
      <w:r>
        <w:rPr>
          <w:rStyle w:val="30"/>
          <w:rFonts w:hint="eastAsia" w:ascii="宋体" w:hAnsi="宋体" w:cs="Times New Roman"/>
          <w:color w:val="auto"/>
        </w:rPr>
        <w:t>合同价格形式</w:t>
      </w:r>
    </w:p>
    <w:p w14:paraId="713B3DF7">
      <w:pPr>
        <w:pStyle w:val="79"/>
        <w:spacing w:line="380" w:lineRule="exact"/>
        <w:ind w:firstLine="403"/>
        <w:rPr>
          <w:rStyle w:val="30"/>
          <w:rFonts w:ascii="Calibri" w:hAnsi="Calibri" w:cs="Times New Roman"/>
          <w:color w:val="auto"/>
          <w:kern w:val="2"/>
          <w:u w:val="single"/>
        </w:rPr>
      </w:pPr>
      <w:r>
        <w:rPr>
          <w:rStyle w:val="30"/>
          <w:rFonts w:ascii="Calibri" w:hAnsi="Calibri" w:cs="Times New Roman"/>
          <w:color w:val="auto"/>
          <w:kern w:val="2"/>
        </w:rPr>
        <w:t>1</w:t>
      </w:r>
      <w:r>
        <w:rPr>
          <w:rStyle w:val="30"/>
          <w:rFonts w:hint="eastAsia" w:ascii="宋体" w:hAnsi="宋体" w:cs="Times New Roman"/>
          <w:color w:val="auto"/>
          <w:kern w:val="2"/>
        </w:rPr>
        <w:t>、单价合同。</w:t>
      </w:r>
    </w:p>
    <w:p w14:paraId="4B8105DE">
      <w:pPr>
        <w:pStyle w:val="110"/>
        <w:spacing w:line="380" w:lineRule="exact"/>
        <w:ind w:firstLine="403"/>
        <w:rPr>
          <w:rStyle w:val="30"/>
          <w:rFonts w:hint="eastAsia" w:ascii="宋体" w:hAnsi="宋体" w:eastAsia="宋体" w:cs="Times New Roman"/>
          <w:color w:val="auto"/>
          <w:sz w:val="21"/>
          <w:szCs w:val="21"/>
          <w:u w:val="single"/>
        </w:rPr>
      </w:pPr>
      <w:r>
        <w:rPr>
          <w:rStyle w:val="30"/>
          <w:rFonts w:hint="eastAsia" w:ascii="宋体" w:hAnsi="宋体" w:eastAsia="宋体" w:cs="Times New Roman"/>
          <w:color w:val="auto"/>
          <w:sz w:val="21"/>
          <w:szCs w:val="21"/>
        </w:rPr>
        <w:t>综合单价包含的风险范围：</w:t>
      </w:r>
      <w:r>
        <w:rPr>
          <w:rStyle w:val="30"/>
          <w:rFonts w:hint="eastAsia" w:ascii="宋体" w:hAnsi="宋体" w:eastAsia="宋体" w:cs="Times New Roman"/>
          <w:color w:val="auto"/>
          <w:sz w:val="21"/>
          <w:szCs w:val="21"/>
          <w:u w:val="single"/>
        </w:rPr>
        <w:t>除下述可调整的风险，综合单价在合同约定的风险范围内不作调整。</w:t>
      </w:r>
    </w:p>
    <w:p w14:paraId="72890E3D">
      <w:pPr>
        <w:pStyle w:val="111"/>
        <w:widowControl/>
        <w:spacing w:line="380" w:lineRule="exact"/>
        <w:ind w:firstLine="403"/>
        <w:rPr>
          <w:rStyle w:val="30"/>
          <w:rFonts w:hint="eastAsia" w:ascii="宋体" w:hAnsi="宋体" w:eastAsia="宋体" w:cs="Times New Roman"/>
          <w:b/>
          <w:bCs/>
          <w:color w:val="auto"/>
          <w:sz w:val="21"/>
          <w:szCs w:val="21"/>
          <w:u w:val="single"/>
        </w:rPr>
      </w:pPr>
      <w:r>
        <w:rPr>
          <w:rFonts w:hint="eastAsia" w:ascii="宋体" w:hAnsi="宋体" w:cs="宋体"/>
          <w:b/>
          <w:bCs/>
          <w:color w:val="auto"/>
          <w:szCs w:val="21"/>
          <w:u w:val="single"/>
        </w:rPr>
        <w:t>工程最终结算造价=工程结算总造价×（1-下浮率）（下浮率=       %，下浮率：承包人</w:t>
      </w:r>
      <w:r>
        <w:rPr>
          <w:rFonts w:hint="eastAsia" w:ascii="宋体" w:hAnsi="宋体" w:cs="宋体"/>
          <w:b/>
          <w:bCs/>
          <w:color w:val="auto"/>
          <w:szCs w:val="21"/>
          <w:u w:val="single"/>
          <w:lang w:val="en-US" w:eastAsia="zh-CN"/>
        </w:rPr>
        <w:t>响应</w:t>
      </w:r>
      <w:r>
        <w:rPr>
          <w:rFonts w:hint="eastAsia" w:ascii="宋体" w:hAnsi="宋体" w:cs="宋体"/>
          <w:b/>
          <w:bCs/>
          <w:color w:val="auto"/>
          <w:szCs w:val="21"/>
          <w:u w:val="single"/>
        </w:rPr>
        <w:t>时确定的下浮率）。</w:t>
      </w:r>
    </w:p>
    <w:p w14:paraId="6C7E18A6">
      <w:pPr>
        <w:pStyle w:val="79"/>
        <w:widowControl/>
        <w:spacing w:line="380" w:lineRule="exact"/>
        <w:ind w:firstLine="420" w:firstLineChars="200"/>
        <w:rPr>
          <w:rStyle w:val="30"/>
          <w:rFonts w:ascii="Calibri" w:hAnsi="Calibri" w:cs="Times New Roman"/>
          <w:color w:val="auto"/>
          <w:sz w:val="24"/>
          <w:szCs w:val="24"/>
        </w:rPr>
      </w:pPr>
      <w:r>
        <w:rPr>
          <w:rStyle w:val="30"/>
          <w:rFonts w:hint="eastAsia" w:ascii="宋体" w:hAnsi="宋体" w:cs="Times New Roman"/>
          <w:color w:val="auto"/>
        </w:rPr>
        <w:t>风险费用的计算方法：</w:t>
      </w:r>
      <w:r>
        <w:rPr>
          <w:rStyle w:val="30"/>
          <w:rFonts w:ascii="Calibri" w:hAnsi="Calibri" w:cs="Times New Roman"/>
          <w:color w:val="auto"/>
          <w:u w:val="single"/>
        </w:rPr>
        <w:t xml:space="preserve"> </w:t>
      </w:r>
      <w:r>
        <w:rPr>
          <w:rStyle w:val="30"/>
          <w:rFonts w:hint="eastAsia" w:ascii="宋体" w:hAnsi="宋体" w:cs="Times New Roman"/>
          <w:color w:val="auto"/>
          <w:kern w:val="2"/>
          <w:u w:val="single"/>
        </w:rPr>
        <w:t>由承包人在</w:t>
      </w:r>
      <w:r>
        <w:rPr>
          <w:rStyle w:val="30"/>
          <w:rFonts w:hint="eastAsia" w:ascii="宋体" w:hAnsi="宋体" w:cs="Times New Roman"/>
          <w:color w:val="auto"/>
          <w:kern w:val="2"/>
          <w:u w:val="single"/>
          <w:lang w:val="en-US" w:eastAsia="zh-CN"/>
        </w:rPr>
        <w:t>响应</w:t>
      </w:r>
      <w:r>
        <w:rPr>
          <w:rStyle w:val="30"/>
          <w:rFonts w:hint="eastAsia" w:ascii="宋体" w:hAnsi="宋体" w:cs="Times New Roman"/>
          <w:color w:val="auto"/>
          <w:kern w:val="2"/>
          <w:u w:val="single"/>
        </w:rPr>
        <w:t>时自行考虑，为包干费用。</w:t>
      </w:r>
    </w:p>
    <w:p w14:paraId="0B16796A">
      <w:pPr>
        <w:pStyle w:val="79"/>
        <w:widowControl/>
        <w:spacing w:line="380" w:lineRule="exact"/>
        <w:ind w:left="105" w:leftChars="50" w:firstLine="315" w:firstLineChars="150"/>
        <w:rPr>
          <w:rStyle w:val="30"/>
          <w:rFonts w:ascii="Calibri" w:hAnsi="Calibri" w:cs="Times New Roman"/>
          <w:color w:val="auto"/>
        </w:rPr>
      </w:pPr>
      <w:r>
        <w:rPr>
          <w:rStyle w:val="30"/>
          <w:rFonts w:hint="eastAsia" w:ascii="宋体" w:hAnsi="宋体" w:cs="Times New Roman"/>
          <w:color w:val="auto"/>
        </w:rPr>
        <w:t>风险范围以外合同价格的调整方法：</w:t>
      </w:r>
    </w:p>
    <w:p w14:paraId="7EE56210">
      <w:pPr>
        <w:pStyle w:val="79"/>
        <w:spacing w:line="360" w:lineRule="exact"/>
        <w:ind w:firstLine="422" w:firstLineChars="200"/>
        <w:rPr>
          <w:rStyle w:val="30"/>
          <w:rFonts w:ascii="仿宋" w:hAnsi="仿宋" w:eastAsia="仿宋" w:cs="宋体"/>
          <w:b/>
          <w:bCs/>
          <w:color w:val="auto"/>
          <w:kern w:val="2"/>
        </w:rPr>
      </w:pPr>
      <w:r>
        <w:rPr>
          <w:rStyle w:val="30"/>
          <w:rFonts w:ascii="Calibri" w:hAnsi="Calibri" w:cs="Times New Roman"/>
          <w:b/>
          <w:bCs/>
          <w:color w:val="auto"/>
          <w:kern w:val="2"/>
        </w:rPr>
        <w:t xml:space="preserve"> </w:t>
      </w:r>
      <w:r>
        <w:rPr>
          <w:rStyle w:val="30"/>
          <w:rFonts w:hint="eastAsia" w:ascii="仿宋" w:hAnsi="仿宋" w:eastAsia="仿宋" w:cs="宋体"/>
          <w:b/>
          <w:bCs/>
          <w:color w:val="auto"/>
          <w:kern w:val="2"/>
        </w:rPr>
        <w:t>（1）、因法律、法规、规章和政策发生变化引起的调整按本合同专用条款第11.2款执行；</w:t>
      </w:r>
      <w:r>
        <w:rPr>
          <w:rStyle w:val="30"/>
          <w:rFonts w:hint="eastAsia" w:ascii="仿宋" w:hAnsi="仿宋" w:eastAsia="仿宋" w:cs="宋体"/>
          <w:b/>
          <w:bCs/>
          <w:color w:val="auto"/>
          <w:kern w:val="2"/>
        </w:rPr>
        <w:br w:type="textWrapping"/>
      </w:r>
      <w:r>
        <w:rPr>
          <w:rStyle w:val="30"/>
          <w:rFonts w:hint="eastAsia" w:ascii="仿宋" w:hAnsi="仿宋" w:eastAsia="仿宋" w:cs="宋体"/>
          <w:b/>
          <w:bCs/>
          <w:color w:val="auto"/>
          <w:kern w:val="2"/>
        </w:rPr>
        <w:t xml:space="preserve">  </w:t>
      </w:r>
      <w:r>
        <w:rPr>
          <w:rStyle w:val="30"/>
          <w:rFonts w:hint="eastAsia" w:ascii="仿宋" w:hAnsi="仿宋" w:eastAsia="仿宋" w:cs="宋体"/>
          <w:b/>
          <w:bCs/>
          <w:color w:val="auto"/>
          <w:kern w:val="2"/>
          <w:lang w:val="en-US" w:eastAsia="zh-CN"/>
        </w:rPr>
        <w:t xml:space="preserve">  </w:t>
      </w:r>
      <w:r>
        <w:rPr>
          <w:rStyle w:val="30"/>
          <w:rFonts w:hint="eastAsia" w:ascii="仿宋" w:hAnsi="仿宋" w:eastAsia="仿宋" w:cs="宋体"/>
          <w:b/>
          <w:bCs/>
          <w:color w:val="auto"/>
          <w:kern w:val="2"/>
        </w:rPr>
        <w:t>（2）、因市场价格波动引起的调整按按本合同专用条款第11.1款约定执行。</w:t>
      </w:r>
    </w:p>
    <w:p w14:paraId="40815954">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（3）、本专用条款第1.13款约定工程量清单项目和工程量调整，按本合同专用条款第10.4.1款调整综合单价。</w:t>
      </w:r>
    </w:p>
    <w:p w14:paraId="3E0C593D">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（4）、措施项目调整。因专用条款第1.13款约定的工程量清单项目及工程数量变化，施工组织设计或施工方案变更，引起措施项目内容、工程数量发生变化，应调整措施项目内容及措施费。</w:t>
      </w:r>
    </w:p>
    <w:p w14:paraId="765F8868">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①采用综合单价计价的措施项目，按本合同专用条款第10.4.1款规定计价；</w:t>
      </w:r>
    </w:p>
    <w:p w14:paraId="71C5142B">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②采用以“项”计价的技术措施项目，工程量清单项目及工程数量变化引起措施变动部分应重新组价；</w:t>
      </w:r>
    </w:p>
    <w:p w14:paraId="6DCF784D">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③施工组织措施项目按合同约定的费率内容调整相关措施费用。</w:t>
      </w:r>
    </w:p>
    <w:p w14:paraId="551BA519">
      <w:pPr>
        <w:pStyle w:val="79"/>
        <w:widowControl/>
        <w:spacing w:line="360" w:lineRule="exact"/>
        <w:ind w:firstLine="420" w:firstLineChars="200"/>
        <w:rPr>
          <w:rStyle w:val="30"/>
          <w:rFonts w:hint="eastAsia" w:ascii="Times New Roman" w:hAnsi="Times New Roman" w:eastAsia="宋体" w:cs="Times New Roman"/>
          <w:color w:val="auto"/>
        </w:rPr>
      </w:pPr>
      <w:r>
        <w:rPr>
          <w:rStyle w:val="30"/>
          <w:rFonts w:ascii="Calibri" w:hAnsi="Calibri" w:cs="Times New Roman"/>
          <w:color w:val="auto"/>
        </w:rPr>
        <w:t>2</w:t>
      </w:r>
      <w:r>
        <w:rPr>
          <w:rStyle w:val="30"/>
          <w:rFonts w:hint="eastAsia" w:ascii="宋体" w:hAnsi="宋体" w:cs="Times New Roman"/>
          <w:color w:val="auto"/>
        </w:rPr>
        <w:t>、总价合同。</w:t>
      </w:r>
    </w:p>
    <w:p w14:paraId="185387DF">
      <w:pPr>
        <w:pStyle w:val="79"/>
        <w:widowControl/>
        <w:spacing w:line="360" w:lineRule="exact"/>
        <w:ind w:firstLine="420" w:firstLineChars="200"/>
        <w:rPr>
          <w:rStyle w:val="30"/>
          <w:rFonts w:ascii="Calibri" w:hAnsi="Calibri" w:cs="Times New Roman"/>
          <w:color w:val="auto"/>
        </w:rPr>
      </w:pPr>
      <w:r>
        <w:rPr>
          <w:rStyle w:val="30"/>
          <w:rFonts w:hint="eastAsia" w:ascii="宋体" w:hAnsi="宋体" w:cs="Times New Roman"/>
          <w:color w:val="auto"/>
        </w:rPr>
        <w:t>总价包含的风险范围：</w:t>
      </w:r>
      <w:r>
        <w:rPr>
          <w:rStyle w:val="30"/>
          <w:rFonts w:ascii="Calibri" w:hAnsi="Calibri" w:cs="Times New Roman"/>
          <w:color w:val="auto"/>
          <w:u w:val="single"/>
        </w:rPr>
        <w:t xml:space="preserve">   </w:t>
      </w:r>
      <w:r>
        <w:rPr>
          <w:rStyle w:val="30"/>
          <w:rFonts w:hint="eastAsia" w:ascii="Calibri" w:hAnsi="Calibri" w:eastAsia="宋体" w:cs="Times New Roman"/>
          <w:color w:val="auto"/>
          <w:u w:val="single"/>
        </w:rPr>
        <w:t>/</w:t>
      </w:r>
      <w:r>
        <w:rPr>
          <w:rStyle w:val="30"/>
          <w:rFonts w:ascii="Calibri" w:hAnsi="Calibri" w:cs="Times New Roman"/>
          <w:color w:val="auto"/>
          <w:u w:val="single"/>
        </w:rPr>
        <w:t xml:space="preserve">                          </w:t>
      </w:r>
      <w:r>
        <w:rPr>
          <w:rStyle w:val="30"/>
          <w:rFonts w:hint="eastAsia" w:ascii="宋体" w:hAnsi="宋体" w:cs="Times New Roman"/>
          <w:color w:val="auto"/>
        </w:rPr>
        <w:t>。</w:t>
      </w:r>
    </w:p>
    <w:p w14:paraId="5FCB02B2">
      <w:pPr>
        <w:pStyle w:val="79"/>
        <w:widowControl/>
        <w:spacing w:line="360" w:lineRule="exact"/>
        <w:ind w:firstLine="420" w:firstLineChars="200"/>
        <w:rPr>
          <w:rStyle w:val="30"/>
          <w:rFonts w:ascii="Calibri" w:hAnsi="Calibri" w:cs="Times New Roman"/>
          <w:color w:val="auto"/>
        </w:rPr>
      </w:pPr>
      <w:r>
        <w:rPr>
          <w:rStyle w:val="30"/>
          <w:rFonts w:hint="eastAsia" w:ascii="宋体" w:hAnsi="宋体" w:cs="Times New Roman"/>
          <w:color w:val="auto"/>
        </w:rPr>
        <w:t>风险费用的计算方法：</w:t>
      </w:r>
      <w:r>
        <w:rPr>
          <w:rStyle w:val="30"/>
          <w:rFonts w:ascii="Calibri" w:hAnsi="Calibri" w:cs="Times New Roman"/>
          <w:color w:val="auto"/>
          <w:u w:val="single"/>
        </w:rPr>
        <w:t xml:space="preserve">   </w:t>
      </w:r>
      <w:r>
        <w:rPr>
          <w:rStyle w:val="30"/>
          <w:rFonts w:hint="eastAsia" w:ascii="Calibri" w:hAnsi="Calibri" w:eastAsia="宋体" w:cs="Times New Roman"/>
          <w:color w:val="auto"/>
          <w:u w:val="single"/>
        </w:rPr>
        <w:t>/</w:t>
      </w:r>
      <w:r>
        <w:rPr>
          <w:rStyle w:val="30"/>
          <w:rFonts w:ascii="Calibri" w:hAnsi="Calibri" w:cs="Times New Roman"/>
          <w:color w:val="auto"/>
          <w:u w:val="single"/>
        </w:rPr>
        <w:t xml:space="preserve">                          </w:t>
      </w:r>
      <w:r>
        <w:rPr>
          <w:rStyle w:val="30"/>
          <w:rFonts w:hint="eastAsia" w:ascii="宋体" w:hAnsi="宋体" w:cs="Times New Roman"/>
          <w:color w:val="auto"/>
        </w:rPr>
        <w:t>。</w:t>
      </w:r>
    </w:p>
    <w:p w14:paraId="0659D8C8">
      <w:pPr>
        <w:pStyle w:val="79"/>
        <w:widowControl/>
        <w:spacing w:line="360" w:lineRule="exact"/>
        <w:ind w:firstLine="420" w:firstLineChars="200"/>
        <w:rPr>
          <w:rStyle w:val="30"/>
          <w:rFonts w:ascii="Calibri" w:hAnsi="Calibri" w:cs="Times New Roman"/>
          <w:color w:val="auto"/>
        </w:rPr>
      </w:pPr>
      <w:r>
        <w:rPr>
          <w:rStyle w:val="30"/>
          <w:rFonts w:hint="eastAsia" w:ascii="宋体" w:hAnsi="宋体" w:cs="Times New Roman"/>
          <w:color w:val="auto"/>
        </w:rPr>
        <w:t>风险范围以外合同价格的调整方法：</w:t>
      </w:r>
      <w:r>
        <w:rPr>
          <w:rStyle w:val="30"/>
          <w:rFonts w:ascii="Calibri" w:hAnsi="Calibri" w:cs="Times New Roman"/>
          <w:color w:val="auto"/>
          <w:u w:val="single"/>
        </w:rPr>
        <w:t xml:space="preserve">    </w:t>
      </w:r>
      <w:r>
        <w:rPr>
          <w:rStyle w:val="30"/>
          <w:rFonts w:hint="eastAsia" w:ascii="Calibri" w:hAnsi="Calibri" w:eastAsia="宋体" w:cs="Times New Roman"/>
          <w:color w:val="auto"/>
          <w:u w:val="single"/>
        </w:rPr>
        <w:t>/</w:t>
      </w:r>
      <w:r>
        <w:rPr>
          <w:rStyle w:val="30"/>
          <w:rFonts w:ascii="Calibri" w:hAnsi="Calibri" w:cs="Times New Roman"/>
          <w:color w:val="auto"/>
          <w:u w:val="single"/>
        </w:rPr>
        <w:t xml:space="preserve">             </w:t>
      </w:r>
      <w:r>
        <w:rPr>
          <w:rStyle w:val="30"/>
          <w:rFonts w:hint="eastAsia" w:ascii="宋体" w:hAnsi="宋体" w:cs="Times New Roman"/>
          <w:color w:val="auto"/>
        </w:rPr>
        <w:t>。</w:t>
      </w:r>
    </w:p>
    <w:p w14:paraId="617AC714">
      <w:pPr>
        <w:pStyle w:val="79"/>
        <w:widowControl/>
        <w:spacing w:line="360" w:lineRule="exact"/>
        <w:rPr>
          <w:rStyle w:val="30"/>
          <w:rFonts w:ascii="Calibri" w:hAnsi="Calibri" w:cs="Times New Roman"/>
          <w:color w:val="auto"/>
        </w:rPr>
      </w:pPr>
      <w:r>
        <w:rPr>
          <w:rStyle w:val="30"/>
          <w:rFonts w:ascii="Calibri" w:hAnsi="Calibri" w:cs="Times New Roman"/>
          <w:color w:val="auto"/>
        </w:rPr>
        <w:t xml:space="preserve">    </w:t>
      </w:r>
      <w:r>
        <w:rPr>
          <w:rStyle w:val="30"/>
          <w:rFonts w:hint="eastAsia" w:ascii="宋体" w:hAnsi="宋体" w:cs="Times New Roman"/>
          <w:color w:val="auto"/>
        </w:rPr>
        <w:t>其他价格方式：</w:t>
      </w:r>
      <w:r>
        <w:rPr>
          <w:rStyle w:val="30"/>
          <w:rFonts w:ascii="Calibri" w:hAnsi="Calibri" w:cs="Times New Roman"/>
          <w:color w:val="auto"/>
          <w:u w:val="single"/>
        </w:rPr>
        <w:t xml:space="preserve">      </w:t>
      </w:r>
      <w:r>
        <w:rPr>
          <w:rStyle w:val="30"/>
          <w:rFonts w:hint="eastAsia" w:ascii="Calibri" w:hAnsi="Calibri" w:eastAsia="宋体" w:cs="Times New Roman"/>
          <w:color w:val="auto"/>
          <w:u w:val="single"/>
        </w:rPr>
        <w:t>/</w:t>
      </w:r>
      <w:r>
        <w:rPr>
          <w:rStyle w:val="30"/>
          <w:rFonts w:ascii="Calibri" w:hAnsi="Calibri" w:cs="Times New Roman"/>
          <w:color w:val="auto"/>
          <w:u w:val="single"/>
        </w:rPr>
        <w:t xml:space="preserve">           </w:t>
      </w:r>
      <w:r>
        <w:rPr>
          <w:rStyle w:val="30"/>
          <w:rFonts w:hint="eastAsia" w:ascii="宋体" w:hAnsi="宋体" w:cs="Times New Roman"/>
          <w:color w:val="auto"/>
        </w:rPr>
        <w:t>。</w:t>
      </w:r>
    </w:p>
    <w:p w14:paraId="63E1BA35">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12.2 </w:t>
      </w:r>
      <w:r>
        <w:rPr>
          <w:rStyle w:val="30"/>
          <w:rFonts w:hint="eastAsia" w:ascii="黑体" w:hAnsi="黑体" w:eastAsia="黑体" w:cs="Times New Roman"/>
          <w:color w:val="auto"/>
          <w:kern w:val="2"/>
        </w:rPr>
        <w:t>预付款</w:t>
      </w:r>
    </w:p>
    <w:p w14:paraId="2BFF4972">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12.2.1 </w:t>
      </w:r>
      <w:r>
        <w:rPr>
          <w:rStyle w:val="30"/>
          <w:rFonts w:hint="eastAsia" w:ascii="仿宋_GB2312" w:hAnsi="Calibri" w:eastAsia="仿宋_GB2312" w:cs="Times New Roman"/>
          <w:color w:val="auto"/>
          <w:kern w:val="2"/>
        </w:rPr>
        <w:t>预付款的支付</w:t>
      </w:r>
    </w:p>
    <w:p w14:paraId="1A704A99">
      <w:pPr>
        <w:pStyle w:val="79"/>
        <w:spacing w:line="320" w:lineRule="exact"/>
        <w:rPr>
          <w:rStyle w:val="30"/>
          <w:rFonts w:ascii="仿宋" w:hAnsi="仿宋" w:eastAsia="仿宋" w:cs="宋体"/>
          <w:b/>
          <w:bCs/>
          <w:color w:val="auto"/>
          <w:kern w:val="2"/>
          <w:u w:val="single"/>
        </w:rPr>
      </w:pPr>
      <w:r>
        <w:rPr>
          <w:rStyle w:val="30"/>
          <w:rFonts w:ascii="Calibri" w:hAnsi="Calibri" w:eastAsia="仿宋_GB2312" w:cs="Times New Roman"/>
          <w:color w:val="auto"/>
          <w:kern w:val="2"/>
        </w:rPr>
        <w:t xml:space="preserve">    </w:t>
      </w:r>
      <w:r>
        <w:rPr>
          <w:rStyle w:val="30"/>
          <w:rFonts w:hint="eastAsia" w:ascii="仿宋_GB2312" w:hAnsi="Calibri" w:eastAsia="仿宋_GB2312" w:cs="Times New Roman"/>
          <w:color w:val="auto"/>
          <w:kern w:val="2"/>
        </w:rPr>
        <w:t>预付款支付比例或金额：</w:t>
      </w:r>
      <w:r>
        <w:rPr>
          <w:rStyle w:val="30"/>
          <w:rFonts w:hint="eastAsia" w:ascii="仿宋_GB2312" w:eastAsia="仿宋_GB2312" w:cs="Times New Roman"/>
          <w:color w:val="auto"/>
          <w:kern w:val="2"/>
          <w:u w:val="single"/>
          <w:lang w:val="en-US" w:eastAsia="zh-CN"/>
        </w:rPr>
        <w:t xml:space="preserve">        /       </w:t>
      </w:r>
      <w:r>
        <w:rPr>
          <w:rStyle w:val="30"/>
          <w:rFonts w:hint="eastAsia" w:ascii="仿宋" w:hAnsi="仿宋" w:eastAsia="仿宋" w:cs="宋体"/>
          <w:b/>
          <w:bCs/>
          <w:color w:val="auto"/>
          <w:kern w:val="2"/>
          <w:u w:val="none"/>
        </w:rPr>
        <w:t>。</w:t>
      </w:r>
    </w:p>
    <w:p w14:paraId="0788E118">
      <w:pPr>
        <w:pStyle w:val="79"/>
        <w:spacing w:line="320" w:lineRule="exact"/>
        <w:ind w:firstLine="420" w:firstLineChars="200"/>
        <w:rPr>
          <w:rStyle w:val="30"/>
          <w:rFonts w:hint="eastAsia" w:ascii="Times New Roman" w:hAnsi="Times New Roman" w:eastAsia="仿宋_GB2312" w:cs="Times New Roman"/>
          <w:color w:val="auto"/>
          <w:kern w:val="2"/>
        </w:rPr>
      </w:pPr>
      <w:r>
        <w:rPr>
          <w:rStyle w:val="30"/>
          <w:rFonts w:hint="eastAsia" w:ascii="仿宋_GB2312" w:hAnsi="Calibri" w:eastAsia="仿宋_GB2312" w:cs="Times New Roman"/>
          <w:color w:val="auto"/>
          <w:kern w:val="2"/>
        </w:rPr>
        <w:t>预付款支付期限：</w:t>
      </w:r>
      <w:r>
        <w:rPr>
          <w:rStyle w:val="30"/>
          <w:rFonts w:ascii="宋体" w:hAnsi="宋体" w:cs="宋体"/>
          <w:color w:val="auto"/>
          <w:u w:val="single"/>
        </w:rPr>
        <w:t xml:space="preserve"> </w:t>
      </w:r>
      <w:r>
        <w:rPr>
          <w:rStyle w:val="30"/>
          <w:rFonts w:hint="eastAsia" w:ascii="宋体" w:hAnsi="宋体" w:eastAsia="宋体" w:cs="宋体"/>
          <w:color w:val="auto"/>
          <w:u w:val="single"/>
          <w:lang w:val="en-US" w:eastAsia="zh-CN"/>
        </w:rPr>
        <w:t xml:space="preserve">       /  </w:t>
      </w:r>
      <w:r>
        <w:rPr>
          <w:rStyle w:val="30"/>
          <w:rFonts w:ascii="Calibri" w:hAnsi="Calibri" w:cs="Calibri"/>
          <w:color w:val="auto"/>
          <w:u w:val="single"/>
        </w:rPr>
        <w:t xml:space="preserve">     </w:t>
      </w:r>
      <w:r>
        <w:rPr>
          <w:rStyle w:val="30"/>
          <w:rFonts w:hint="eastAsia" w:ascii="宋体" w:hAnsi="宋体" w:eastAsia="宋体" w:cs="宋体"/>
          <w:color w:val="auto"/>
        </w:rPr>
        <w:t>。</w:t>
      </w:r>
      <w:r>
        <w:rPr>
          <w:rStyle w:val="30"/>
          <w:rFonts w:ascii="Calibri" w:hAnsi="Calibri" w:eastAsia="仿宋_GB2312" w:cs="Times New Roman"/>
          <w:color w:val="auto"/>
          <w:kern w:val="2"/>
        </w:rPr>
        <w:t xml:space="preserve"> </w:t>
      </w:r>
    </w:p>
    <w:p w14:paraId="66637957">
      <w:pPr>
        <w:pStyle w:val="106"/>
        <w:keepNext w:val="0"/>
        <w:keepLines w:val="0"/>
        <w:widowControl/>
        <w:suppressLineNumbers w:val="0"/>
        <w:jc w:val="left"/>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预付款扣回的方式：</w:t>
      </w:r>
      <w:r>
        <w:rPr>
          <w:rStyle w:val="30"/>
          <w:rFonts w:hint="eastAsia" w:ascii="仿宋_GB2312" w:eastAsia="仿宋_GB2312" w:cs="Times New Roman"/>
          <w:color w:val="auto"/>
          <w:kern w:val="2"/>
          <w:u w:val="single"/>
          <w:lang w:val="en-US" w:eastAsia="zh-CN"/>
        </w:rPr>
        <w:t xml:space="preserve">          /         </w:t>
      </w:r>
      <w:r>
        <w:rPr>
          <w:rStyle w:val="30"/>
          <w:rFonts w:hint="eastAsia" w:ascii="宋体" w:hAnsi="宋体" w:eastAsia="宋体" w:cs="Times New Roman"/>
          <w:color w:val="auto"/>
          <w:kern w:val="2"/>
        </w:rPr>
        <w:t>。</w:t>
      </w:r>
    </w:p>
    <w:p w14:paraId="3E02C98F">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12.2.2 </w:t>
      </w:r>
      <w:r>
        <w:rPr>
          <w:rStyle w:val="30"/>
          <w:rFonts w:hint="eastAsia" w:ascii="仿宋_GB2312" w:hAnsi="Calibri" w:eastAsia="仿宋_GB2312" w:cs="Times New Roman"/>
          <w:color w:val="auto"/>
          <w:kern w:val="2"/>
        </w:rPr>
        <w:t>预付款担保</w:t>
      </w:r>
    </w:p>
    <w:p w14:paraId="0F0E13A5">
      <w:pPr>
        <w:pStyle w:val="79"/>
        <w:spacing w:line="320" w:lineRule="exact"/>
        <w:ind w:firstLine="420" w:firstLine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承包人提交预付款担保的期限：</w:t>
      </w:r>
      <w:r>
        <w:rPr>
          <w:rStyle w:val="30"/>
          <w:rFonts w:ascii="Calibri" w:hAnsi="Calibri" w:cs="Times New Roman"/>
          <w:color w:val="auto"/>
          <w:kern w:val="2"/>
          <w:u w:val="single"/>
        </w:rPr>
        <w:t xml:space="preserve">  </w:t>
      </w:r>
      <w:r>
        <w:rPr>
          <w:rStyle w:val="30"/>
          <w:rFonts w:hint="eastAsia" w:eastAsia="宋体" w:cs="Times New Roman"/>
          <w:color w:val="auto"/>
          <w:kern w:val="2"/>
          <w:u w:val="single"/>
          <w:lang w:val="en-US" w:eastAsia="zh-CN"/>
        </w:rPr>
        <w:t xml:space="preserve">    /         </w:t>
      </w:r>
      <w:r>
        <w:rPr>
          <w:rStyle w:val="30"/>
          <w:rFonts w:ascii="Calibri" w:hAnsi="Calibri" w:cs="Times New Roman"/>
          <w:color w:val="auto"/>
          <w:kern w:val="2"/>
          <w:u w:val="single"/>
        </w:rPr>
        <w:t xml:space="preserve"> </w:t>
      </w:r>
      <w:r>
        <w:rPr>
          <w:rStyle w:val="30"/>
          <w:rFonts w:hint="eastAsia" w:ascii="宋体" w:hAnsi="宋体" w:cs="Times New Roman"/>
          <w:color w:val="auto"/>
          <w:kern w:val="2"/>
        </w:rPr>
        <w:t>。</w:t>
      </w:r>
    </w:p>
    <w:p w14:paraId="411267A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预付款担保的形式为：</w:t>
      </w:r>
      <w:r>
        <w:rPr>
          <w:rStyle w:val="30"/>
          <w:rFonts w:ascii="Calibri" w:hAnsi="Calibri" w:eastAsia="仿宋_GB2312" w:cs="Times New Roman"/>
          <w:color w:val="auto"/>
          <w:kern w:val="2"/>
          <w:u w:val="single"/>
        </w:rPr>
        <w:t xml:space="preserve"> </w:t>
      </w:r>
      <w:r>
        <w:rPr>
          <w:rStyle w:val="30"/>
          <w:rFonts w:hint="eastAsia" w:ascii="宋体" w:hAnsi="宋体" w:eastAsia="宋体" w:cs="Times New Roman"/>
          <w:color w:val="auto"/>
          <w:kern w:val="2"/>
          <w:u w:val="single"/>
          <w:lang w:val="en-US" w:eastAsia="zh-CN"/>
        </w:rPr>
        <w:t xml:space="preserve">       /         </w:t>
      </w:r>
      <w:r>
        <w:rPr>
          <w:rStyle w:val="30"/>
          <w:rFonts w:hint="eastAsia" w:ascii="仿宋_GB2312" w:hAnsi="Calibri" w:eastAsia="仿宋_GB2312" w:cs="Times New Roman"/>
          <w:color w:val="auto"/>
          <w:kern w:val="2"/>
        </w:rPr>
        <w:t>。</w:t>
      </w:r>
    </w:p>
    <w:p w14:paraId="68356FDF">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12.3 </w:t>
      </w:r>
      <w:r>
        <w:rPr>
          <w:rStyle w:val="30"/>
          <w:rFonts w:hint="eastAsia" w:ascii="黑体" w:hAnsi="黑体" w:eastAsia="黑体" w:cs="Times New Roman"/>
          <w:color w:val="auto"/>
          <w:kern w:val="2"/>
        </w:rPr>
        <w:t>计量</w:t>
      </w:r>
    </w:p>
    <w:p w14:paraId="3F1EF9C6">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12.3.1 </w:t>
      </w:r>
      <w:r>
        <w:rPr>
          <w:rStyle w:val="30"/>
          <w:rFonts w:hint="eastAsia" w:ascii="仿宋_GB2312" w:hAnsi="Calibri" w:eastAsia="仿宋_GB2312" w:cs="Times New Roman"/>
          <w:color w:val="auto"/>
          <w:kern w:val="2"/>
        </w:rPr>
        <w:t>计量原则</w:t>
      </w:r>
    </w:p>
    <w:p w14:paraId="7B581F99">
      <w:pPr>
        <w:pStyle w:val="106"/>
        <w:autoSpaceDE w:val="0"/>
        <w:autoSpaceDN w:val="0"/>
        <w:adjustRightInd w:val="0"/>
        <w:spacing w:line="360" w:lineRule="exact"/>
        <w:ind w:firstLine="420" w:firstLineChars="200"/>
        <w:rPr>
          <w:rStyle w:val="30"/>
          <w:rFonts w:ascii="Calibri" w:hAnsi="Calibri" w:eastAsia="宋体" w:cs="Times New Roman"/>
          <w:color w:val="auto"/>
          <w:sz w:val="21"/>
          <w:szCs w:val="21"/>
          <w:u w:val="single"/>
        </w:rPr>
      </w:pPr>
      <w:r>
        <w:rPr>
          <w:rStyle w:val="30"/>
          <w:rFonts w:hint="eastAsia" w:ascii="仿宋_GB2312" w:hAnsi="Calibri" w:eastAsia="仿宋_GB2312" w:cs="Times New Roman"/>
          <w:color w:val="auto"/>
          <w:sz w:val="21"/>
          <w:szCs w:val="21"/>
        </w:rPr>
        <w:t>工程量计算规则：</w:t>
      </w:r>
      <w:r>
        <w:rPr>
          <w:rStyle w:val="30"/>
          <w:rFonts w:hint="eastAsia" w:ascii="仿宋" w:hAnsi="仿宋" w:eastAsia="仿宋" w:cs="宋体"/>
          <w:b/>
          <w:bCs/>
          <w:color w:val="auto"/>
          <w:sz w:val="21"/>
          <w:szCs w:val="21"/>
          <w:u w:val="single"/>
        </w:rPr>
        <w:t>工程量按照实际完成施工图纸范围内和经发包人同意增减的施工内容按实计算，工程量计算规则按照《建设工程工程量清单计价规范（GB50500-2013）》、《市政工程工程量计算规范》(GB50857-2013)、《园林绿化工程工程量计算规范》(GB50858-2013)、《通用安装工程工程量计算规范》GB50856-2013、《</w:t>
      </w:r>
      <w:r>
        <w:rPr>
          <w:rStyle w:val="30"/>
          <w:rFonts w:hint="eastAsia" w:ascii="仿宋" w:hAnsi="仿宋" w:eastAsia="仿宋" w:cs="宋体"/>
          <w:b/>
          <w:bCs/>
          <w:color w:val="auto"/>
          <w:sz w:val="21"/>
          <w:szCs w:val="21"/>
          <w:u w:val="single"/>
          <w:lang w:eastAsia="zh-CN"/>
        </w:rPr>
        <w:t>房屋建筑与装饰工程工程量计算规范</w:t>
      </w:r>
      <w:r>
        <w:rPr>
          <w:rStyle w:val="30"/>
          <w:rFonts w:hint="eastAsia" w:ascii="仿宋" w:hAnsi="仿宋" w:eastAsia="仿宋" w:cs="宋体"/>
          <w:b/>
          <w:bCs/>
          <w:color w:val="auto"/>
          <w:sz w:val="21"/>
          <w:szCs w:val="21"/>
          <w:u w:val="single"/>
        </w:rPr>
        <w:t>》</w:t>
      </w:r>
      <w:r>
        <w:rPr>
          <w:rStyle w:val="30"/>
          <w:rFonts w:hint="eastAsia" w:ascii="仿宋" w:hAnsi="仿宋" w:eastAsia="仿宋" w:cs="宋体"/>
          <w:b/>
          <w:bCs/>
          <w:color w:val="auto"/>
          <w:sz w:val="21"/>
          <w:szCs w:val="21"/>
          <w:u w:val="single"/>
          <w:lang w:val="en-US" w:eastAsia="zh-CN"/>
        </w:rPr>
        <w:t>GB50854-2013、</w:t>
      </w:r>
      <w:r>
        <w:rPr>
          <w:rStyle w:val="30"/>
          <w:rFonts w:hint="eastAsia" w:ascii="仿宋" w:hAnsi="仿宋" w:eastAsia="仿宋" w:cs="宋体"/>
          <w:b/>
          <w:bCs/>
          <w:color w:val="auto"/>
          <w:sz w:val="21"/>
          <w:szCs w:val="21"/>
          <w:u w:val="single"/>
        </w:rPr>
        <w:t>《建设工程工程量清单计算规范（2013）浙江省补充规定》、《建设工程工程量清单计算规范（2013）浙江省补充规定（二）》、《浙江省建设工程计价规则（2018版）》、《浙江省市政工程预算定额（2018版）》、《浙江省园林绿化及仿古建筑工程预算定额（2018版）》、《浙江省房屋建筑与装饰工程预算定额（2018版）》、《浙江省通用安装工程预算定额（2018版）》、《浙江省建设工程施工机械台班费用定额（2018版）》及发包人提供的工程量清单中说明的工程量计算规则计量。</w:t>
      </w:r>
    </w:p>
    <w:p w14:paraId="34EBEB20">
      <w:pPr>
        <w:pStyle w:val="79"/>
        <w:spacing w:line="320" w:lineRule="exact"/>
        <w:ind w:firstLine="420" w:firstLineChars="200"/>
        <w:rPr>
          <w:rStyle w:val="30"/>
          <w:rFonts w:ascii="Calibri" w:hAnsi="Calibri" w:eastAsia="仿宋_GB2312" w:cs="Times New Roman"/>
          <w:color w:val="auto"/>
          <w:kern w:val="2"/>
          <w:sz w:val="24"/>
          <w:szCs w:val="24"/>
        </w:rPr>
      </w:pPr>
      <w:r>
        <w:rPr>
          <w:rStyle w:val="30"/>
          <w:rFonts w:ascii="Calibri" w:hAnsi="Calibri" w:eastAsia="仿宋_GB2312" w:cs="Times New Roman"/>
          <w:color w:val="auto"/>
          <w:kern w:val="2"/>
        </w:rPr>
        <w:t xml:space="preserve">12.3.2 </w:t>
      </w:r>
      <w:r>
        <w:rPr>
          <w:rStyle w:val="30"/>
          <w:rFonts w:hint="eastAsia" w:ascii="仿宋_GB2312" w:hAnsi="Calibri" w:eastAsia="仿宋_GB2312" w:cs="Times New Roman"/>
          <w:color w:val="auto"/>
          <w:kern w:val="2"/>
        </w:rPr>
        <w:t>计量周期</w:t>
      </w:r>
    </w:p>
    <w:p w14:paraId="028C78AC">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关于计量周期的约定：</w:t>
      </w:r>
      <w:r>
        <w:rPr>
          <w:rStyle w:val="30"/>
          <w:rFonts w:ascii="宋体" w:hAnsi="宋体" w:cs="Times New Roman"/>
          <w:color w:val="auto"/>
          <w:kern w:val="2"/>
          <w:u w:val="single"/>
        </w:rPr>
        <w:t xml:space="preserve">   </w:t>
      </w:r>
      <w:r>
        <w:rPr>
          <w:rStyle w:val="30"/>
          <w:rFonts w:hint="eastAsia" w:ascii="宋体" w:hAnsi="宋体" w:eastAsia="宋体" w:cs="宋体"/>
          <w:color w:val="auto"/>
          <w:u w:val="single"/>
        </w:rPr>
        <w:t>按月计量</w:t>
      </w:r>
      <w:r>
        <w:rPr>
          <w:rStyle w:val="30"/>
          <w:rFonts w:hint="eastAsia" w:ascii="宋体" w:hAnsi="宋体" w:cs="Times New Roman"/>
          <w:color w:val="auto"/>
          <w:u w:val="single"/>
        </w:rPr>
        <w:t xml:space="preserve">         </w:t>
      </w:r>
      <w:r>
        <w:rPr>
          <w:rStyle w:val="30"/>
          <w:rFonts w:hint="eastAsia" w:ascii="仿宋_GB2312" w:hAnsi="Calibri" w:eastAsia="仿宋_GB2312" w:cs="Times New Roman"/>
          <w:color w:val="auto"/>
          <w:kern w:val="2"/>
        </w:rPr>
        <w:t>。</w:t>
      </w:r>
    </w:p>
    <w:p w14:paraId="56BC6DE5">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12.3.3 </w:t>
      </w:r>
      <w:r>
        <w:rPr>
          <w:rStyle w:val="30"/>
          <w:rFonts w:hint="eastAsia" w:ascii="仿宋_GB2312" w:hAnsi="Calibri" w:eastAsia="仿宋_GB2312" w:cs="Times New Roman"/>
          <w:color w:val="auto"/>
          <w:kern w:val="2"/>
        </w:rPr>
        <w:t>单价合同的计量</w:t>
      </w:r>
    </w:p>
    <w:p w14:paraId="118C5BC9">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Calibri" w:hAnsi="Calibri" w:eastAsia="仿宋_GB2312" w:cs="Times New Roman"/>
          <w:color w:val="auto"/>
          <w:kern w:val="2"/>
        </w:rPr>
        <w:t>12.3.3.1</w:t>
      </w:r>
      <w:r>
        <w:rPr>
          <w:rStyle w:val="30"/>
          <w:rFonts w:hint="eastAsia" w:ascii="仿宋_GB2312" w:hAnsi="Calibri" w:eastAsia="仿宋_GB2312" w:cs="Times New Roman"/>
          <w:color w:val="auto"/>
          <w:kern w:val="2"/>
        </w:rPr>
        <w:t>、关于单价合同计量的约定：</w:t>
      </w:r>
    </w:p>
    <w:p w14:paraId="6E1B679A">
      <w:pPr>
        <w:pStyle w:val="110"/>
        <w:spacing w:line="320" w:lineRule="exact"/>
        <w:ind w:firstLine="420" w:firstLineChars="200"/>
        <w:rPr>
          <w:rStyle w:val="30"/>
          <w:rFonts w:ascii="宋体" w:hAnsi="宋体" w:eastAsia="宋体" w:cs="Times New Roman"/>
          <w:color w:val="auto"/>
          <w:sz w:val="21"/>
          <w:szCs w:val="21"/>
          <w:u w:val="single"/>
        </w:rPr>
      </w:pPr>
      <w:r>
        <w:rPr>
          <w:rStyle w:val="30"/>
          <w:rFonts w:hint="eastAsia" w:ascii="宋体" w:hAnsi="宋体" w:eastAsia="宋体" w:cs="Times New Roman"/>
          <w:color w:val="auto"/>
          <w:sz w:val="21"/>
          <w:szCs w:val="21"/>
          <w:u w:val="single"/>
        </w:rPr>
        <w:t>承包人应当在每月25日前向发包人提交已完工程量的报告，该报告必须一式4份。发包人接到报告后14天内核实已完工程量，并在核实前1天通知承包人，承包人应提供条件并派人参加核实。承包人收到通知后不参加核实，以发包人核实的工程量作为工程价款支付的依据。发包人不按约定时间通知承包人，致使承包人未参加核实，核实结果无效。发包人收到承包人报告后14天内未核实完工程量，从第15天起，承包人报告的工程量即视为被确认，作为工程价款支付的依据。前述工程量的核实不影响双方在竣工后的终局计量结算。</w:t>
      </w:r>
    </w:p>
    <w:p w14:paraId="48BEAA67">
      <w:pPr>
        <w:pStyle w:val="79"/>
        <w:spacing w:line="320" w:lineRule="exact"/>
        <w:ind w:firstLine="420" w:firstLineChars="200"/>
        <w:rPr>
          <w:rStyle w:val="30"/>
          <w:rFonts w:hint="eastAsia" w:ascii="Times New Roman" w:hAnsi="Times New Roman" w:eastAsia="仿宋_GB2312" w:cs="Times New Roman"/>
          <w:color w:val="auto"/>
          <w:kern w:val="2"/>
          <w:sz w:val="24"/>
          <w:szCs w:val="24"/>
        </w:rPr>
      </w:pPr>
      <w:r>
        <w:rPr>
          <w:rStyle w:val="30"/>
          <w:rFonts w:ascii="Calibri" w:hAnsi="Calibri" w:eastAsia="仿宋_GB2312" w:cs="Times New Roman"/>
          <w:color w:val="auto"/>
          <w:kern w:val="2"/>
        </w:rPr>
        <w:t xml:space="preserve">12.3.4 </w:t>
      </w:r>
      <w:r>
        <w:rPr>
          <w:rStyle w:val="30"/>
          <w:rFonts w:hint="eastAsia" w:ascii="仿宋_GB2312" w:hAnsi="Calibri" w:eastAsia="仿宋_GB2312" w:cs="Times New Roman"/>
          <w:color w:val="auto"/>
          <w:kern w:val="2"/>
        </w:rPr>
        <w:t>总价合同的计量</w:t>
      </w:r>
    </w:p>
    <w:p w14:paraId="4373AAC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关于总价合同计量的约定：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BCFC548">
      <w:pPr>
        <w:pStyle w:val="79"/>
        <w:spacing w:line="320" w:lineRule="exact"/>
        <w:ind w:left="420" w:leftChars="200" w:firstLine="0" w:firstLineChars="0"/>
        <w:rPr>
          <w:rStyle w:val="30"/>
          <w:rFonts w:ascii="Calibri" w:hAnsi="Calibri" w:eastAsia="仿宋_GB2312" w:cs="Times New Roman"/>
          <w:color w:val="auto"/>
          <w:kern w:val="2"/>
        </w:rPr>
      </w:pPr>
      <w:r>
        <w:rPr>
          <w:rStyle w:val="30"/>
          <w:rFonts w:ascii="Calibri" w:hAnsi="Calibri" w:eastAsia="仿宋_GB2312" w:cs="Times New Roman"/>
          <w:color w:val="auto"/>
          <w:kern w:val="2"/>
        </w:rPr>
        <w:t>12.3.5</w:t>
      </w:r>
      <w:r>
        <w:rPr>
          <w:rStyle w:val="30"/>
          <w:rFonts w:hint="eastAsia" w:ascii="仿宋_GB2312" w:hAnsi="Calibri" w:eastAsia="仿宋_GB2312" w:cs="Times New Roman"/>
          <w:color w:val="auto"/>
          <w:kern w:val="2"/>
        </w:rPr>
        <w:t>总价合同采用支付分解表计量支付的，是否适用第</w:t>
      </w:r>
      <w:r>
        <w:rPr>
          <w:rStyle w:val="30"/>
          <w:rFonts w:ascii="Calibri" w:hAnsi="Calibri" w:eastAsia="仿宋_GB2312" w:cs="Times New Roman"/>
          <w:color w:val="auto"/>
        </w:rPr>
        <w:t xml:space="preserve">12.3.4 </w:t>
      </w:r>
      <w:r>
        <w:rPr>
          <w:rStyle w:val="30"/>
          <w:rFonts w:hint="eastAsia" w:ascii="仿宋_GB2312" w:hAnsi="Calibri" w:eastAsia="仿宋_GB2312" w:cs="Times New Roman"/>
          <w:color w:val="auto"/>
          <w:kern w:val="2"/>
        </w:rPr>
        <w:t>项</w:t>
      </w:r>
      <w:r>
        <w:rPr>
          <w:rStyle w:val="30"/>
          <w:rFonts w:hint="eastAsia" w:ascii="仿宋_GB2312" w:hAnsi="Calibri" w:eastAsia="仿宋_GB2312" w:cs="Times New Roman"/>
          <w:color w:val="auto"/>
        </w:rPr>
        <w:t>〔总价合同的计量〕</w:t>
      </w:r>
      <w:r>
        <w:rPr>
          <w:rStyle w:val="30"/>
          <w:rFonts w:hint="eastAsia" w:ascii="仿宋_GB2312" w:hAnsi="Calibri" w:eastAsia="仿宋_GB2312" w:cs="Times New Roman"/>
          <w:color w:val="auto"/>
          <w:kern w:val="2"/>
        </w:rPr>
        <w:t>约定进行计量：</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06AC530">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12.3.6 </w:t>
      </w:r>
      <w:r>
        <w:rPr>
          <w:rStyle w:val="30"/>
          <w:rFonts w:hint="eastAsia" w:ascii="仿宋_GB2312" w:hAnsi="Calibri" w:eastAsia="仿宋_GB2312" w:cs="Times New Roman"/>
          <w:color w:val="auto"/>
          <w:kern w:val="2"/>
        </w:rPr>
        <w:t>其他价格形式合同的计量</w:t>
      </w:r>
    </w:p>
    <w:p w14:paraId="23B856AC">
      <w:pPr>
        <w:pStyle w:val="79"/>
        <w:spacing w:line="32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其他价格形式的计量方式和程序：</w:t>
      </w:r>
      <w:r>
        <w:rPr>
          <w:rStyle w:val="30"/>
          <w:rFonts w:ascii="Calibri" w:hAnsi="Calibri" w:eastAsia="仿宋_GB2312" w:cs="Times New Roman"/>
          <w:color w:val="auto"/>
          <w:kern w:val="2"/>
          <w:u w:val="single"/>
        </w:rPr>
        <w:t xml:space="preserve">  </w:t>
      </w:r>
      <w:r>
        <w:rPr>
          <w:rStyle w:val="30"/>
          <w:rFonts w:hint="eastAsia" w:eastAsia="仿宋_GB2312" w:cs="Times New Roman"/>
          <w:color w:val="auto"/>
          <w:kern w:val="2"/>
          <w:u w:val="single"/>
          <w:lang w:val="en-US" w:eastAsia="zh-CN"/>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3E9816C">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12.4 </w:t>
      </w:r>
      <w:r>
        <w:rPr>
          <w:rStyle w:val="30"/>
          <w:rFonts w:hint="eastAsia" w:ascii="黑体" w:hAnsi="黑体" w:eastAsia="黑体" w:cs="Times New Roman"/>
          <w:color w:val="auto"/>
          <w:kern w:val="2"/>
        </w:rPr>
        <w:t>工程进度款支付</w:t>
      </w:r>
    </w:p>
    <w:p w14:paraId="324BFFE2">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12.4.1 </w:t>
      </w:r>
      <w:r>
        <w:rPr>
          <w:rStyle w:val="30"/>
          <w:rFonts w:hint="eastAsia" w:ascii="仿宋_GB2312" w:hAnsi="Calibri" w:eastAsia="仿宋_GB2312" w:cs="Times New Roman"/>
          <w:color w:val="auto"/>
          <w:kern w:val="2"/>
        </w:rPr>
        <w:t>付款周期</w:t>
      </w:r>
    </w:p>
    <w:p w14:paraId="073DDD97">
      <w:pPr>
        <w:pStyle w:val="79"/>
        <w:spacing w:line="320" w:lineRule="exact"/>
        <w:ind w:firstLine="420" w:firstLine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关于付款周期的约定：</w:t>
      </w:r>
      <w:r>
        <w:rPr>
          <w:rStyle w:val="30"/>
          <w:rFonts w:ascii="Calibri" w:hAnsi="Calibri" w:eastAsia="仿宋_GB2312" w:cs="Times New Roman"/>
          <w:color w:val="auto"/>
          <w:kern w:val="2"/>
          <w:u w:val="single"/>
        </w:rPr>
        <w:t xml:space="preserve">    </w:t>
      </w:r>
      <w:r>
        <w:rPr>
          <w:rStyle w:val="30"/>
          <w:rFonts w:ascii="Calibri" w:hAnsi="Calibri" w:cs="Times New Roman"/>
          <w:color w:val="auto"/>
          <w:kern w:val="2"/>
          <w:u w:val="single"/>
        </w:rPr>
        <w:t xml:space="preserve"> </w:t>
      </w:r>
      <w:r>
        <w:rPr>
          <w:rStyle w:val="30"/>
          <w:rFonts w:hint="eastAsia" w:ascii="宋体" w:hAnsi="宋体" w:eastAsia="宋体" w:cs="宋体"/>
          <w:color w:val="auto"/>
          <w:u w:val="single"/>
        </w:rPr>
        <w:t>按月支付</w:t>
      </w:r>
      <w:r>
        <w:rPr>
          <w:rStyle w:val="30"/>
          <w:rFonts w:hint="eastAsia" w:ascii="宋体" w:hAnsi="宋体" w:cs="Times New Roman"/>
          <w:color w:val="auto"/>
          <w:u w:val="single"/>
        </w:rPr>
        <w:t xml:space="preserve">            </w:t>
      </w:r>
      <w:r>
        <w:rPr>
          <w:rStyle w:val="30"/>
          <w:rFonts w:hint="eastAsia" w:ascii="宋体" w:hAnsi="宋体" w:eastAsia="宋体" w:cs="宋体"/>
          <w:color w:val="auto"/>
        </w:rPr>
        <w:t>。</w:t>
      </w:r>
    </w:p>
    <w:p w14:paraId="245384F2">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12.4.2 </w:t>
      </w:r>
      <w:r>
        <w:rPr>
          <w:rStyle w:val="30"/>
          <w:rFonts w:hint="eastAsia" w:ascii="仿宋_GB2312" w:hAnsi="Calibri" w:eastAsia="仿宋_GB2312" w:cs="Times New Roman"/>
          <w:color w:val="auto"/>
          <w:kern w:val="2"/>
        </w:rPr>
        <w:t>进度付款申请单的编制</w:t>
      </w:r>
    </w:p>
    <w:p w14:paraId="3501712D">
      <w:pPr>
        <w:pStyle w:val="79"/>
        <w:spacing w:line="320" w:lineRule="exact"/>
        <w:ind w:firstLine="420" w:firstLineChars="200"/>
        <w:rPr>
          <w:rStyle w:val="30"/>
          <w:rFonts w:hint="eastAsia" w:ascii="仿宋" w:hAnsi="仿宋" w:eastAsia="仿宋" w:cs="仿宋"/>
          <w:b/>
          <w:bCs/>
          <w:color w:val="auto"/>
          <w:sz w:val="21"/>
          <w:szCs w:val="21"/>
          <w:u w:val="single"/>
        </w:rPr>
      </w:pPr>
      <w:r>
        <w:rPr>
          <w:rStyle w:val="30"/>
          <w:rFonts w:hint="eastAsia" w:ascii="仿宋_GB2312" w:hAnsi="Calibri" w:eastAsia="仿宋_GB2312" w:cs="Times New Roman"/>
          <w:color w:val="auto"/>
          <w:kern w:val="2"/>
        </w:rPr>
        <w:t>关于进度付款申请单编制的约定：</w:t>
      </w:r>
      <w:r>
        <w:rPr>
          <w:rStyle w:val="30"/>
          <w:rFonts w:hint="eastAsia" w:ascii="仿宋" w:hAnsi="仿宋" w:eastAsia="仿宋" w:cs="仿宋"/>
          <w:b/>
          <w:bCs/>
          <w:color w:val="auto"/>
          <w:sz w:val="21"/>
          <w:szCs w:val="21"/>
          <w:u w:val="single"/>
        </w:rPr>
        <w:t>发包人向承包人支付当期按12.1、12.3款计量工程量价款的8</w:t>
      </w:r>
      <w:r>
        <w:rPr>
          <w:rStyle w:val="30"/>
          <w:rFonts w:hint="eastAsia" w:ascii="仿宋" w:hAnsi="仿宋" w:eastAsia="仿宋" w:cs="仿宋"/>
          <w:b/>
          <w:bCs/>
          <w:color w:val="auto"/>
          <w:sz w:val="21"/>
          <w:szCs w:val="21"/>
          <w:u w:val="single"/>
          <w:lang w:val="en-US" w:eastAsia="zh-CN"/>
        </w:rPr>
        <w:t>5</w:t>
      </w:r>
      <w:r>
        <w:rPr>
          <w:rStyle w:val="30"/>
          <w:rFonts w:hint="eastAsia" w:ascii="仿宋" w:hAnsi="仿宋" w:eastAsia="仿宋" w:cs="仿宋"/>
          <w:b/>
          <w:bCs/>
          <w:color w:val="auto"/>
          <w:sz w:val="21"/>
          <w:szCs w:val="21"/>
          <w:u w:val="single"/>
        </w:rPr>
        <w:t>%工程价款。当工程款支付至合同价格的8</w:t>
      </w:r>
      <w:r>
        <w:rPr>
          <w:rStyle w:val="30"/>
          <w:rFonts w:hint="eastAsia" w:ascii="仿宋" w:hAnsi="仿宋" w:eastAsia="仿宋" w:cs="仿宋"/>
          <w:b/>
          <w:bCs/>
          <w:color w:val="auto"/>
          <w:sz w:val="21"/>
          <w:szCs w:val="21"/>
          <w:u w:val="single"/>
          <w:lang w:val="en-US" w:eastAsia="zh-CN"/>
        </w:rPr>
        <w:t>5</w:t>
      </w:r>
      <w:r>
        <w:rPr>
          <w:rStyle w:val="30"/>
          <w:rFonts w:hint="eastAsia" w:ascii="仿宋" w:hAnsi="仿宋" w:eastAsia="仿宋" w:cs="仿宋"/>
          <w:b/>
          <w:bCs/>
          <w:color w:val="auto"/>
          <w:sz w:val="21"/>
          <w:szCs w:val="21"/>
          <w:u w:val="single"/>
        </w:rPr>
        <w:t>%时，发包人暂停支付；待结算审定后28日内</w:t>
      </w:r>
      <w:r>
        <w:rPr>
          <w:rStyle w:val="30"/>
          <w:rFonts w:hint="eastAsia" w:ascii="仿宋" w:hAnsi="仿宋" w:eastAsia="仿宋" w:cs="仿宋"/>
          <w:b/>
          <w:bCs/>
          <w:color w:val="auto"/>
          <w:sz w:val="21"/>
          <w:szCs w:val="21"/>
          <w:u w:val="single"/>
          <w:lang w:val="en-US" w:eastAsia="zh-CN"/>
        </w:rPr>
        <w:t>发包人支付剩余款项</w:t>
      </w:r>
      <w:r>
        <w:rPr>
          <w:rStyle w:val="30"/>
          <w:rFonts w:hint="eastAsia" w:ascii="仿宋" w:hAnsi="仿宋" w:eastAsia="仿宋" w:cs="仿宋"/>
          <w:b/>
          <w:bCs/>
          <w:color w:val="auto"/>
          <w:sz w:val="21"/>
          <w:szCs w:val="21"/>
          <w:u w:val="single"/>
        </w:rPr>
        <w:t>。合同价款外增减部分（含设计变更、签证单等）等按合同通用条款约定。</w:t>
      </w:r>
    </w:p>
    <w:p w14:paraId="7210491A">
      <w:pPr>
        <w:pStyle w:val="79"/>
        <w:ind w:firstLine="422" w:firstLineChars="200"/>
        <w:rPr>
          <w:rStyle w:val="30"/>
          <w:rFonts w:hint="eastAsia" w:ascii="仿宋" w:hAnsi="仿宋" w:eastAsia="仿宋" w:cs="仿宋"/>
          <w:b/>
          <w:bCs/>
          <w:color w:val="auto"/>
          <w:sz w:val="21"/>
          <w:szCs w:val="21"/>
          <w:u w:val="single"/>
        </w:rPr>
      </w:pPr>
      <w:r>
        <w:rPr>
          <w:rStyle w:val="30"/>
          <w:rFonts w:hint="eastAsia" w:ascii="仿宋" w:hAnsi="仿宋" w:eastAsia="仿宋" w:cs="仿宋"/>
          <w:b/>
          <w:bCs/>
          <w:color w:val="auto"/>
          <w:sz w:val="21"/>
          <w:szCs w:val="21"/>
          <w:u w:val="single"/>
        </w:rPr>
        <w:t>实行分段预结算的工程，在各分段预结算书审核确定后，发包人按不高于分段预结算价款的９０%向承包人拨付工程预结算价款。</w:t>
      </w:r>
    </w:p>
    <w:p w14:paraId="6FA95955">
      <w:pPr>
        <w:pStyle w:val="79"/>
        <w:spacing w:line="320" w:lineRule="exact"/>
        <w:ind w:firstLine="420" w:firstLineChars="200"/>
        <w:rPr>
          <w:rStyle w:val="30"/>
          <w:rFonts w:hint="eastAsia" w:ascii="Times New Roman" w:hAnsi="Times New Roman" w:eastAsia="仿宋_GB2312" w:cs="Times New Roman"/>
          <w:color w:val="auto"/>
          <w:kern w:val="2"/>
        </w:rPr>
      </w:pPr>
      <w:r>
        <w:rPr>
          <w:rStyle w:val="30"/>
          <w:rFonts w:ascii="Calibri" w:hAnsi="Calibri" w:eastAsia="仿宋_GB2312" w:cs="Times New Roman"/>
          <w:color w:val="auto"/>
          <w:kern w:val="2"/>
        </w:rPr>
        <w:t xml:space="preserve">12.4.3 </w:t>
      </w:r>
      <w:r>
        <w:rPr>
          <w:rStyle w:val="30"/>
          <w:rFonts w:hint="eastAsia" w:ascii="仿宋_GB2312" w:hAnsi="Calibri" w:eastAsia="仿宋_GB2312" w:cs="Times New Roman"/>
          <w:color w:val="auto"/>
          <w:kern w:val="2"/>
        </w:rPr>
        <w:t>进度付款申请单的提交</w:t>
      </w:r>
    </w:p>
    <w:p w14:paraId="5F50F633">
      <w:pPr>
        <w:pStyle w:val="79"/>
        <w:spacing w:line="320" w:lineRule="exact"/>
        <w:ind w:left="420" w:left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1</w:t>
      </w:r>
      <w:r>
        <w:rPr>
          <w:rStyle w:val="30"/>
          <w:rFonts w:hint="eastAsia" w:ascii="仿宋_GB2312" w:hAnsi="Calibri" w:eastAsia="仿宋_GB2312" w:cs="Times New Roman"/>
          <w:color w:val="auto"/>
          <w:kern w:val="2"/>
        </w:rPr>
        <w:t>）单价合同进度付款申请单提交的约定：</w:t>
      </w:r>
      <w:r>
        <w:rPr>
          <w:rStyle w:val="30"/>
          <w:rFonts w:ascii="Calibri" w:hAnsi="Calibri" w:cs="Times New Roman"/>
          <w:color w:val="auto"/>
          <w:kern w:val="2"/>
          <w:u w:val="single"/>
        </w:rPr>
        <w:t xml:space="preserve">   </w:t>
      </w:r>
      <w:r>
        <w:rPr>
          <w:rStyle w:val="30"/>
          <w:rFonts w:hint="eastAsia" w:ascii="Calibri" w:hAnsi="Calibri" w:eastAsia="宋体" w:cs="Times New Roman"/>
          <w:color w:val="auto"/>
          <w:kern w:val="2"/>
          <w:u w:val="single"/>
        </w:rPr>
        <w:t>/</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526F3924">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2</w:t>
      </w:r>
      <w:r>
        <w:rPr>
          <w:rStyle w:val="30"/>
          <w:rFonts w:hint="eastAsia" w:ascii="仿宋_GB2312" w:hAnsi="Calibri" w:eastAsia="仿宋_GB2312" w:cs="Times New Roman"/>
          <w:color w:val="auto"/>
          <w:kern w:val="2"/>
        </w:rPr>
        <w:t>）总价合同进度付款申请单提交的约定：</w:t>
      </w:r>
      <w:r>
        <w:rPr>
          <w:rStyle w:val="30"/>
          <w:rFonts w:ascii="Calibri" w:hAnsi="Calibri" w:cs="Times New Roman"/>
          <w:color w:val="auto"/>
          <w:kern w:val="2"/>
          <w:u w:val="single"/>
        </w:rPr>
        <w:t xml:space="preserve">   </w:t>
      </w:r>
      <w:r>
        <w:rPr>
          <w:rStyle w:val="30"/>
          <w:rFonts w:hint="eastAsia" w:ascii="Calibri" w:hAnsi="Calibri" w:eastAsia="宋体" w:cs="Times New Roman"/>
          <w:color w:val="auto"/>
          <w:kern w:val="2"/>
          <w:u w:val="single"/>
        </w:rPr>
        <w:t>/</w:t>
      </w:r>
      <w:r>
        <w:rPr>
          <w:rStyle w:val="30"/>
          <w:rFonts w:ascii="Calibri"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4876E7D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3</w:t>
      </w:r>
      <w:r>
        <w:rPr>
          <w:rStyle w:val="30"/>
          <w:rFonts w:hint="eastAsia" w:ascii="仿宋_GB2312" w:hAnsi="Calibri" w:eastAsia="仿宋_GB2312" w:cs="Times New Roman"/>
          <w:color w:val="auto"/>
          <w:kern w:val="2"/>
        </w:rPr>
        <w:t>）其他价格形式合同进度付款申请单提交的约定：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373D65E">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12.4.4 </w:t>
      </w:r>
      <w:r>
        <w:rPr>
          <w:rStyle w:val="30"/>
          <w:rFonts w:hint="eastAsia" w:ascii="仿宋_GB2312" w:hAnsi="Calibri" w:eastAsia="仿宋_GB2312" w:cs="Times New Roman"/>
          <w:color w:val="auto"/>
          <w:kern w:val="2"/>
        </w:rPr>
        <w:t>进度款审核和支付</w:t>
      </w:r>
    </w:p>
    <w:p w14:paraId="0220A8CE">
      <w:pPr>
        <w:pStyle w:val="79"/>
        <w:spacing w:line="320" w:lineRule="exact"/>
        <w:ind w:left="416" w:leftChars="198"/>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1</w:t>
      </w:r>
      <w:r>
        <w:rPr>
          <w:rStyle w:val="30"/>
          <w:rFonts w:hint="eastAsia" w:ascii="仿宋_GB2312" w:hAnsi="Calibri" w:eastAsia="仿宋_GB2312" w:cs="Times New Roman"/>
          <w:color w:val="auto"/>
          <w:kern w:val="2"/>
        </w:rPr>
        <w:t>）监理人审查并报送发包人的期限：</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在收到承包人进度款申请单以及相关资料后7天内完成审查并报送发包人。</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24B5B5C3">
      <w:pPr>
        <w:pStyle w:val="79"/>
        <w:spacing w:line="320" w:lineRule="exact"/>
        <w:ind w:left="416" w:leftChars="198"/>
        <w:rPr>
          <w:rStyle w:val="30"/>
          <w:rFonts w:hint="eastAsia" w:ascii="Calibri" w:hAnsi="Calibri" w:eastAsia="宋体" w:cs="Times New Roman"/>
          <w:color w:val="auto"/>
          <w:kern w:val="2"/>
          <w:u w:val="single"/>
        </w:rPr>
      </w:pPr>
      <w:r>
        <w:rPr>
          <w:rStyle w:val="30"/>
          <w:rFonts w:hint="eastAsia" w:ascii="仿宋_GB2312" w:hAnsi="Calibri" w:eastAsia="仿宋_GB2312" w:cs="Times New Roman"/>
          <w:color w:val="auto"/>
          <w:kern w:val="2"/>
        </w:rPr>
        <w:t>发包人完成审批并签发进度款支付证书的期限：</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发包人在收到监理人报送的相关资料后7天内完成审批并签发进度款支付证书。</w:t>
      </w:r>
    </w:p>
    <w:p w14:paraId="6C3AE2CF">
      <w:pPr>
        <w:pStyle w:val="106"/>
        <w:ind w:firstLine="420" w:firstLineChars="200"/>
        <w:rPr>
          <w:rStyle w:val="30"/>
          <w:rFonts w:hint="eastAsia" w:ascii="仿宋" w:hAnsi="仿宋" w:eastAsia="仿宋" w:cs="仿宋"/>
          <w:color w:val="auto"/>
          <w:sz w:val="21"/>
          <w:szCs w:val="21"/>
          <w:u w:val="single"/>
        </w:rPr>
      </w:pPr>
      <w:r>
        <w:rPr>
          <w:rStyle w:val="30"/>
          <w:rFonts w:hint="eastAsia" w:ascii="仿宋_GB2312" w:hAnsi="Calibri" w:eastAsia="仿宋_GB2312" w:cs="Times New Roman"/>
          <w:color w:val="auto"/>
          <w:kern w:val="2"/>
          <w:sz w:val="21"/>
          <w:szCs w:val="22"/>
          <w:lang w:val="en-US" w:eastAsia="zh-CN" w:bidi="ar-SA"/>
        </w:rPr>
        <w:t>（2）</w:t>
      </w:r>
      <w:r>
        <w:rPr>
          <w:rStyle w:val="30"/>
          <w:rFonts w:hint="eastAsia" w:ascii="仿宋_GB2312" w:hAnsi="Calibri" w:eastAsia="仿宋_GB2312" w:cs="Times New Roman"/>
          <w:color w:val="auto"/>
          <w:sz w:val="24"/>
          <w:szCs w:val="24"/>
        </w:rPr>
        <w:t>发包人支付进度款的期限</w:t>
      </w:r>
      <w:r>
        <w:rPr>
          <w:rStyle w:val="30"/>
          <w:rFonts w:hint="eastAsia" w:ascii="仿宋" w:hAnsi="仿宋" w:eastAsia="仿宋" w:cs="仿宋"/>
          <w:color w:val="auto"/>
          <w:sz w:val="24"/>
          <w:szCs w:val="24"/>
        </w:rPr>
        <w:t>：</w:t>
      </w:r>
      <w:r>
        <w:rPr>
          <w:rStyle w:val="30"/>
          <w:rFonts w:hint="eastAsia" w:ascii="仿宋" w:hAnsi="仿宋" w:eastAsia="仿宋" w:cs="仿宋"/>
          <w:b/>
          <w:bCs/>
          <w:color w:val="auto"/>
          <w:kern w:val="0"/>
          <w:sz w:val="21"/>
          <w:szCs w:val="21"/>
          <w:u w:val="single"/>
        </w:rPr>
        <w:t>在发包人确认计量结果后14天内完成支付。</w:t>
      </w:r>
    </w:p>
    <w:p w14:paraId="399A4E30">
      <w:pPr>
        <w:pStyle w:val="79"/>
        <w:spacing w:line="320" w:lineRule="exact"/>
        <w:ind w:firstLine="420" w:firstLineChars="200"/>
        <w:rPr>
          <w:rStyle w:val="30"/>
          <w:rFonts w:hint="eastAsia" w:ascii="仿宋" w:hAnsi="仿宋" w:eastAsia="仿宋" w:cs="仿宋"/>
          <w:color w:val="auto"/>
          <w:kern w:val="2"/>
          <w:sz w:val="24"/>
          <w:szCs w:val="24"/>
          <w:u w:val="single"/>
        </w:rPr>
      </w:pPr>
      <w:r>
        <w:rPr>
          <w:rStyle w:val="30"/>
          <w:rFonts w:hint="eastAsia" w:ascii="仿宋" w:hAnsi="仿宋" w:eastAsia="仿宋" w:cs="仿宋"/>
          <w:color w:val="auto"/>
          <w:kern w:val="2"/>
        </w:rPr>
        <w:t>（3）发包人逾期支付进度款的违约金的计算方式：</w:t>
      </w:r>
      <w:r>
        <w:rPr>
          <w:rStyle w:val="30"/>
          <w:rFonts w:hint="eastAsia" w:ascii="仿宋" w:hAnsi="仿宋" w:eastAsia="仿宋" w:cs="仿宋"/>
          <w:color w:val="auto"/>
          <w:kern w:val="2"/>
          <w:u w:val="single"/>
        </w:rPr>
        <w:t xml:space="preserve">     按通用条款                   </w:t>
      </w:r>
    </w:p>
    <w:p w14:paraId="48030AD2">
      <w:pPr>
        <w:pStyle w:val="79"/>
        <w:spacing w:line="320" w:lineRule="exact"/>
        <w:ind w:firstLine="422" w:firstLineChars="200"/>
        <w:rPr>
          <w:rStyle w:val="30"/>
          <w:rFonts w:hint="eastAsia" w:ascii="仿宋" w:hAnsi="仿宋" w:eastAsia="仿宋" w:cs="仿宋"/>
          <w:b/>
          <w:bCs/>
          <w:color w:val="auto"/>
        </w:rPr>
      </w:pPr>
      <w:r>
        <w:rPr>
          <w:rStyle w:val="30"/>
          <w:rFonts w:hint="eastAsia" w:ascii="仿宋" w:hAnsi="仿宋" w:eastAsia="仿宋" w:cs="仿宋"/>
          <w:b/>
          <w:bCs/>
          <w:color w:val="auto"/>
        </w:rPr>
        <w:t>（4）发包人每月签发的工程量审核报告、进度款支付证书或临时进度款支付证书，不表明发包人已同意、批准或接受了承包人完成的相应部分工作或已确认计量结果，仅为本期工程款支付依据。</w:t>
      </w:r>
    </w:p>
    <w:p w14:paraId="41384BE7">
      <w:pPr>
        <w:pStyle w:val="79"/>
        <w:spacing w:line="320" w:lineRule="exact"/>
        <w:ind w:firstLine="525" w:firstLineChars="250"/>
        <w:rPr>
          <w:rStyle w:val="30"/>
          <w:rFonts w:hint="eastAsia" w:ascii="Times New Roman" w:hAnsi="Times New Roman" w:eastAsia="仿宋_GB2312" w:cs="Times New Roman"/>
          <w:color w:val="auto"/>
          <w:kern w:val="2"/>
        </w:rPr>
      </w:pPr>
      <w:r>
        <w:rPr>
          <w:rStyle w:val="30"/>
          <w:rFonts w:ascii="Calibri" w:hAnsi="Calibri" w:eastAsia="仿宋_GB2312" w:cs="Times New Roman"/>
          <w:color w:val="auto"/>
          <w:kern w:val="2"/>
        </w:rPr>
        <w:t xml:space="preserve">12.4.6 </w:t>
      </w:r>
      <w:r>
        <w:rPr>
          <w:rStyle w:val="30"/>
          <w:rFonts w:hint="eastAsia" w:ascii="仿宋_GB2312" w:hAnsi="Calibri" w:eastAsia="仿宋_GB2312" w:cs="Times New Roman"/>
          <w:color w:val="auto"/>
          <w:kern w:val="2"/>
        </w:rPr>
        <w:t>支付分解表的编制</w:t>
      </w:r>
    </w:p>
    <w:p w14:paraId="78F003BF">
      <w:pPr>
        <w:pStyle w:val="79"/>
        <w:spacing w:line="320" w:lineRule="exact"/>
        <w:ind w:left="4200" w:leftChars="200" w:hanging="3780" w:hangingChars="1800"/>
        <w:rPr>
          <w:rStyle w:val="30"/>
          <w:rFonts w:ascii="Calibri" w:hAnsi="Calibri" w:eastAsia="仿宋_GB2312" w:cs="Times New Roman"/>
          <w:color w:val="auto"/>
          <w:kern w:val="2"/>
        </w:rPr>
      </w:pPr>
      <w:r>
        <w:rPr>
          <w:rStyle w:val="30"/>
          <w:rFonts w:ascii="Calibri" w:hAnsi="Calibri" w:eastAsia="仿宋_GB2312" w:cs="Times New Roman"/>
          <w:color w:val="auto"/>
          <w:kern w:val="2"/>
        </w:rPr>
        <w:t>2</w:t>
      </w:r>
      <w:r>
        <w:rPr>
          <w:rStyle w:val="30"/>
          <w:rFonts w:hint="eastAsia" w:ascii="仿宋_GB2312" w:hAnsi="Calibri" w:eastAsia="仿宋_GB2312" w:cs="Times New Roman"/>
          <w:color w:val="auto"/>
          <w:kern w:val="2"/>
        </w:rPr>
        <w:t>、总价合同支付分解表的编制与审批：</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021ACBA">
      <w:pPr>
        <w:pStyle w:val="79"/>
        <w:spacing w:line="320" w:lineRule="exact"/>
        <w:ind w:firstLine="420" w:firstLineChars="200"/>
        <w:rPr>
          <w:rStyle w:val="30"/>
          <w:rFonts w:ascii="Calibri" w:hAnsi="Calibri" w:eastAsia="仿宋_GB2312" w:cs="Times New Roman"/>
          <w:color w:val="auto"/>
          <w:kern w:val="2"/>
          <w:u w:val="single"/>
        </w:rPr>
      </w:pPr>
      <w:r>
        <w:rPr>
          <w:rStyle w:val="30"/>
          <w:rFonts w:ascii="Calibri" w:hAnsi="Calibri" w:eastAsia="仿宋_GB2312" w:cs="Times New Roman"/>
          <w:color w:val="auto"/>
          <w:kern w:val="2"/>
        </w:rPr>
        <w:t>3</w:t>
      </w:r>
      <w:r>
        <w:rPr>
          <w:rStyle w:val="30"/>
          <w:rFonts w:hint="eastAsia" w:ascii="仿宋_GB2312" w:hAnsi="Calibri" w:eastAsia="仿宋_GB2312" w:cs="Times New Roman"/>
          <w:color w:val="auto"/>
          <w:kern w:val="2"/>
        </w:rPr>
        <w:t>、单价合同的总价项目支付分解表的编制与审批：</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 xml:space="preserve">      /                           </w:t>
      </w:r>
      <w:r>
        <w:rPr>
          <w:rStyle w:val="30"/>
          <w:rFonts w:ascii="Calibri" w:hAnsi="Calibri" w:eastAsia="仿宋_GB2312" w:cs="Times New Roman"/>
          <w:color w:val="auto"/>
          <w:kern w:val="2"/>
          <w:u w:val="single"/>
        </w:rPr>
        <w:t xml:space="preserve"> </w:t>
      </w:r>
    </w:p>
    <w:p w14:paraId="0CCC1695">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13. </w:t>
      </w:r>
      <w:r>
        <w:rPr>
          <w:rStyle w:val="30"/>
          <w:rFonts w:hint="eastAsia" w:ascii="宋体" w:hAnsi="宋体" w:eastAsia="宋体" w:cs="Times New Roman"/>
          <w:color w:val="auto"/>
          <w:sz w:val="24"/>
          <w:szCs w:val="24"/>
        </w:rPr>
        <w:t>验收和工程试车</w:t>
      </w:r>
    </w:p>
    <w:p w14:paraId="1CC7BD0B">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13.1 </w:t>
      </w:r>
      <w:r>
        <w:rPr>
          <w:rStyle w:val="30"/>
          <w:rFonts w:hint="eastAsia" w:ascii="黑体" w:hAnsi="黑体" w:eastAsia="黑体" w:cs="Times New Roman"/>
          <w:color w:val="auto"/>
          <w:kern w:val="2"/>
        </w:rPr>
        <w:t>分部分项工程验收</w:t>
      </w:r>
    </w:p>
    <w:p w14:paraId="3888846F">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13.1.2</w:t>
      </w:r>
      <w:r>
        <w:rPr>
          <w:rStyle w:val="30"/>
          <w:rFonts w:hint="eastAsia" w:ascii="仿宋_GB2312" w:hAnsi="Calibri" w:eastAsia="仿宋_GB2312" w:cs="Times New Roman"/>
          <w:color w:val="auto"/>
          <w:kern w:val="2"/>
        </w:rPr>
        <w:t>监理人不能按时进行验收时，应提前</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24</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小时提交书面延期要求。</w:t>
      </w:r>
    </w:p>
    <w:p w14:paraId="3BBC52E6">
      <w:pPr>
        <w:pStyle w:val="79"/>
        <w:spacing w:line="320" w:lineRule="exact"/>
        <w:ind w:firstLine="420" w:firstLineChars="200"/>
        <w:rPr>
          <w:rStyle w:val="30"/>
          <w:rFonts w:ascii="Calibri" w:hAnsi="Calibri" w:eastAsia="仿宋_GB2312" w:cs="Times New Roman"/>
          <w:b/>
          <w:bCs/>
          <w:color w:val="auto"/>
          <w:kern w:val="2"/>
        </w:rPr>
      </w:pPr>
      <w:r>
        <w:rPr>
          <w:rStyle w:val="30"/>
          <w:rFonts w:hint="eastAsia" w:ascii="仿宋_GB2312" w:hAnsi="Calibri" w:eastAsia="仿宋_GB2312" w:cs="Times New Roman"/>
          <w:color w:val="auto"/>
          <w:kern w:val="2"/>
        </w:rPr>
        <w:t>关于延期最长不得超过：</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48</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小时。</w:t>
      </w:r>
    </w:p>
    <w:p w14:paraId="6D8AFABD">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13.2 </w:t>
      </w:r>
      <w:r>
        <w:rPr>
          <w:rStyle w:val="30"/>
          <w:rFonts w:hint="eastAsia" w:ascii="黑体" w:hAnsi="黑体" w:eastAsia="黑体" w:cs="Times New Roman"/>
          <w:color w:val="auto"/>
          <w:kern w:val="2"/>
        </w:rPr>
        <w:t>竣工验收</w:t>
      </w:r>
    </w:p>
    <w:p w14:paraId="686FBAD7">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13.2.2</w:t>
      </w:r>
      <w:r>
        <w:rPr>
          <w:rStyle w:val="30"/>
          <w:rFonts w:hint="eastAsia" w:ascii="仿宋_GB2312" w:hAnsi="Calibri" w:eastAsia="仿宋_GB2312" w:cs="Times New Roman"/>
          <w:color w:val="auto"/>
          <w:kern w:val="2"/>
        </w:rPr>
        <w:t>竣工验收程序</w:t>
      </w:r>
    </w:p>
    <w:p w14:paraId="5BF85A83">
      <w:pPr>
        <w:pStyle w:val="79"/>
        <w:spacing w:line="320" w:lineRule="exact"/>
        <w:ind w:firstLine="319" w:firstLineChars="152"/>
        <w:rPr>
          <w:rStyle w:val="30"/>
          <w:rFonts w:ascii="宋体" w:hAnsi="Calibri" w:cs="Times New Roman"/>
          <w:color w:val="auto"/>
          <w:kern w:val="2"/>
          <w:u w:val="single"/>
        </w:rPr>
      </w:pPr>
      <w:r>
        <w:rPr>
          <w:rStyle w:val="30"/>
          <w:rFonts w:hint="eastAsia" w:ascii="仿宋_GB2312" w:hAnsi="Calibri" w:eastAsia="仿宋_GB2312" w:cs="Times New Roman"/>
          <w:color w:val="auto"/>
        </w:rPr>
        <w:t>关于竣工验收程序的约定：</w:t>
      </w:r>
      <w:r>
        <w:rPr>
          <w:rStyle w:val="30"/>
          <w:rFonts w:hint="eastAsia" w:ascii="宋体" w:hAnsi="宋体" w:eastAsia="宋体" w:cs="宋体"/>
          <w:color w:val="auto"/>
          <w:kern w:val="2"/>
          <w:u w:val="single"/>
        </w:rPr>
        <w:t>承包人完成施工合同内容，通过自查合格，用书面形式报监理工程师，监理工程师</w:t>
      </w:r>
      <w:r>
        <w:rPr>
          <w:rStyle w:val="30"/>
          <w:rFonts w:ascii="宋体" w:hAnsi="Calibri" w:cs="Times New Roman"/>
          <w:color w:val="auto"/>
          <w:kern w:val="2"/>
          <w:u w:val="single"/>
        </w:rPr>
        <w:t>14</w:t>
      </w:r>
      <w:r>
        <w:rPr>
          <w:rStyle w:val="30"/>
          <w:rFonts w:hint="eastAsia" w:ascii="宋体" w:hAnsi="宋体" w:eastAsia="宋体" w:cs="宋体"/>
          <w:color w:val="auto"/>
          <w:kern w:val="2"/>
          <w:u w:val="single"/>
        </w:rPr>
        <w:t>天内组织有关人员进行验收，对存在的问题，承包人及时整改完毕后，向发包人提交工程竣工报告，申请工程竣工验收，发包人</w:t>
      </w:r>
      <w:r>
        <w:rPr>
          <w:rStyle w:val="30"/>
          <w:rFonts w:hint="eastAsia" w:ascii="宋体" w:hAnsi="宋体" w:cs="Times New Roman"/>
          <w:color w:val="auto"/>
          <w:kern w:val="2"/>
          <w:u w:val="single"/>
        </w:rPr>
        <w:t>应在</w:t>
      </w:r>
      <w:r>
        <w:rPr>
          <w:rStyle w:val="30"/>
          <w:rFonts w:hint="eastAsia" w:ascii="宋体" w:hAnsi="宋体" w:eastAsia="宋体" w:cs="宋体"/>
          <w:color w:val="auto"/>
          <w:kern w:val="2"/>
          <w:u w:val="single"/>
        </w:rPr>
        <w:t>收到报告后及时组织有关人员进行竣工验收</w:t>
      </w:r>
      <w:r>
        <w:rPr>
          <w:rStyle w:val="30"/>
          <w:rFonts w:ascii="宋体"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16927FD5">
      <w:pPr>
        <w:pStyle w:val="79"/>
        <w:spacing w:line="320" w:lineRule="exact"/>
        <w:ind w:firstLine="420" w:firstLineChars="200"/>
        <w:rPr>
          <w:rStyle w:val="30"/>
          <w:rFonts w:hint="eastAsia" w:ascii="宋体" w:hAnsi="Calibri" w:cs="Times New Roman"/>
          <w:color w:val="auto"/>
          <w:kern w:val="2"/>
          <w:u w:val="single"/>
        </w:rPr>
      </w:pPr>
      <w:r>
        <w:rPr>
          <w:rStyle w:val="30"/>
          <w:rFonts w:hint="eastAsia" w:ascii="仿宋_GB2312" w:hAnsi="Calibri" w:eastAsia="仿宋_GB2312" w:cs="Times New Roman"/>
          <w:color w:val="auto"/>
        </w:rPr>
        <w:t>发包人不按照本项约定组织竣工验收、颁发工程接收证书的违约金的计算方法：</w:t>
      </w:r>
      <w:r>
        <w:rPr>
          <w:rStyle w:val="30"/>
          <w:rFonts w:hint="eastAsia" w:ascii="宋体" w:hAnsi="宋体" w:eastAsia="宋体" w:cs="宋体"/>
          <w:color w:val="auto"/>
          <w:kern w:val="2"/>
          <w:u w:val="single"/>
        </w:rPr>
        <w:t>按通用条款执行</w:t>
      </w:r>
      <w:r>
        <w:rPr>
          <w:rStyle w:val="30"/>
          <w:rFonts w:ascii="宋体" w:hAnsi="Calibri" w:cs="Times New Roman"/>
          <w:color w:val="auto"/>
          <w:kern w:val="2"/>
          <w:u w:val="single"/>
        </w:rPr>
        <w:t xml:space="preserve">   </w:t>
      </w:r>
      <w:r>
        <w:rPr>
          <w:rStyle w:val="30"/>
          <w:rFonts w:hint="eastAsia" w:ascii="仿宋_GB2312" w:hAnsi="Calibri" w:eastAsia="仿宋_GB2312" w:cs="Times New Roman"/>
          <w:color w:val="auto"/>
          <w:kern w:val="2"/>
        </w:rPr>
        <w:t>。</w:t>
      </w:r>
    </w:p>
    <w:p w14:paraId="50FF950A">
      <w:pPr>
        <w:pStyle w:val="79"/>
        <w:spacing w:line="320" w:lineRule="exact"/>
        <w:ind w:firstLine="420" w:firstLineChars="200"/>
        <w:rPr>
          <w:rStyle w:val="30"/>
          <w:rFonts w:hint="eastAsia" w:ascii="Times New Roman" w:hAnsi="Calibri" w:eastAsia="仿宋_GB2312" w:cs="Times New Roman"/>
          <w:color w:val="auto"/>
          <w:kern w:val="2"/>
        </w:rPr>
      </w:pPr>
      <w:r>
        <w:rPr>
          <w:rStyle w:val="30"/>
          <w:rFonts w:ascii="Calibri" w:hAnsi="Calibri" w:eastAsia="仿宋_GB2312" w:cs="Times New Roman"/>
          <w:color w:val="auto"/>
          <w:kern w:val="2"/>
        </w:rPr>
        <w:t>13.2.5</w:t>
      </w:r>
      <w:r>
        <w:rPr>
          <w:rStyle w:val="30"/>
          <w:rFonts w:hint="eastAsia" w:ascii="仿宋_GB2312" w:hAnsi="Calibri" w:eastAsia="仿宋_GB2312" w:cs="Times New Roman"/>
          <w:color w:val="auto"/>
          <w:kern w:val="2"/>
        </w:rPr>
        <w:t>移交、接收全部与部分工程</w:t>
      </w:r>
    </w:p>
    <w:p w14:paraId="0DD28894">
      <w:pPr>
        <w:pStyle w:val="79"/>
        <w:spacing w:line="360" w:lineRule="auto"/>
        <w:ind w:firstLine="420" w:firstLineChars="200"/>
        <w:rPr>
          <w:rStyle w:val="30"/>
          <w:rFonts w:ascii="宋体" w:hAnsi="Calibri" w:cs="Times New Roman"/>
          <w:color w:val="auto"/>
          <w:kern w:val="2"/>
          <w:u w:val="single"/>
        </w:rPr>
      </w:pPr>
      <w:r>
        <w:rPr>
          <w:rStyle w:val="30"/>
          <w:rFonts w:hint="eastAsia" w:ascii="仿宋_GB2312" w:hAnsi="Calibri" w:eastAsia="仿宋_GB2312" w:cs="Times New Roman"/>
          <w:color w:val="auto"/>
        </w:rPr>
        <w:t>承包人向发包人移交工程的期限：</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自颁发工程接收证书后7天内完成工程移交</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8520E64">
      <w:pPr>
        <w:pStyle w:val="79"/>
        <w:spacing w:line="320" w:lineRule="exact"/>
        <w:ind w:firstLine="420" w:firstLineChars="200"/>
        <w:rPr>
          <w:rStyle w:val="30"/>
          <w:rFonts w:hint="eastAsia" w:ascii="Times New Roman" w:hAnsi="Calibri" w:eastAsia="仿宋_GB2312" w:cs="Times New Roman"/>
          <w:color w:val="auto"/>
          <w:kern w:val="2"/>
          <w:u w:val="single"/>
        </w:rPr>
      </w:pPr>
      <w:r>
        <w:rPr>
          <w:rStyle w:val="30"/>
          <w:rFonts w:hint="eastAsia" w:ascii="仿宋_GB2312" w:hAnsi="Calibri" w:eastAsia="仿宋_GB2312" w:cs="Times New Roman"/>
          <w:color w:val="auto"/>
        </w:rPr>
        <w:t>发包人未按本合同约定接收全部或部分工程的，违约金的计算方法为：</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4EC7C6F">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承包人未按时移交工程的，违约金的计算方法为：</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逾期移交，每天按签约合同价的万分之三承担工程逾期移交违约金</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492722F">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13.3 </w:t>
      </w:r>
      <w:r>
        <w:rPr>
          <w:rStyle w:val="30"/>
          <w:rFonts w:hint="eastAsia" w:ascii="黑体" w:hAnsi="黑体" w:eastAsia="黑体" w:cs="Times New Roman"/>
          <w:color w:val="auto"/>
          <w:kern w:val="2"/>
        </w:rPr>
        <w:t>工程试车</w:t>
      </w:r>
    </w:p>
    <w:p w14:paraId="02140140">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13.3.1 </w:t>
      </w:r>
      <w:r>
        <w:rPr>
          <w:rStyle w:val="30"/>
          <w:rFonts w:hint="eastAsia" w:ascii="仿宋_GB2312" w:hAnsi="Calibri" w:eastAsia="仿宋_GB2312" w:cs="Times New Roman"/>
          <w:color w:val="auto"/>
        </w:rPr>
        <w:t>试车程序</w:t>
      </w:r>
    </w:p>
    <w:p w14:paraId="764E2249">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工程试车内容：</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0CC0F8D">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1</w:t>
      </w:r>
      <w:r>
        <w:rPr>
          <w:rStyle w:val="30"/>
          <w:rFonts w:hint="eastAsia" w:ascii="仿宋_GB2312" w:hAnsi="Calibri" w:eastAsia="仿宋_GB2312" w:cs="Times New Roman"/>
          <w:color w:val="auto"/>
        </w:rPr>
        <w:t>）单机无负荷试车费用由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承包人</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承担；</w:t>
      </w:r>
    </w:p>
    <w:p w14:paraId="38A3224D">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2</w:t>
      </w:r>
      <w:r>
        <w:rPr>
          <w:rStyle w:val="30"/>
          <w:rFonts w:hint="eastAsia" w:ascii="仿宋_GB2312" w:hAnsi="Calibri" w:eastAsia="仿宋_GB2312" w:cs="Times New Roman"/>
          <w:color w:val="auto"/>
        </w:rPr>
        <w:t>）无负荷联动试车费用由</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u w:val="single"/>
        </w:rPr>
        <w:t>承包人</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rPr>
        <w:t>承担。</w:t>
      </w:r>
    </w:p>
    <w:p w14:paraId="5383E94A">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13.3.3 </w:t>
      </w:r>
      <w:r>
        <w:rPr>
          <w:rStyle w:val="30"/>
          <w:rFonts w:hint="eastAsia" w:ascii="仿宋_GB2312" w:hAnsi="Calibri" w:eastAsia="仿宋_GB2312" w:cs="Times New Roman"/>
          <w:color w:val="auto"/>
        </w:rPr>
        <w:t>投料试车</w:t>
      </w:r>
    </w:p>
    <w:p w14:paraId="3E033812">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关于投料试车相关事项的约定：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979BB32">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13.6 </w:t>
      </w:r>
      <w:r>
        <w:rPr>
          <w:rStyle w:val="30"/>
          <w:rFonts w:hint="eastAsia" w:ascii="黑体" w:hAnsi="黑体" w:eastAsia="黑体" w:cs="Times New Roman"/>
          <w:color w:val="auto"/>
          <w:kern w:val="2"/>
        </w:rPr>
        <w:t>竣工退场</w:t>
      </w:r>
    </w:p>
    <w:p w14:paraId="39B67A25">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13.6.1 </w:t>
      </w:r>
      <w:r>
        <w:rPr>
          <w:rStyle w:val="30"/>
          <w:rFonts w:hint="eastAsia" w:ascii="仿宋_GB2312" w:hAnsi="Calibri" w:eastAsia="仿宋_GB2312" w:cs="Times New Roman"/>
          <w:color w:val="auto"/>
        </w:rPr>
        <w:t>竣工退场</w:t>
      </w:r>
    </w:p>
    <w:p w14:paraId="6FE8D98F">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承包人完成竣工退场的期限：</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u w:val="single"/>
        </w:rPr>
        <w:t>颁发工程接收证书后</w:t>
      </w:r>
      <w:r>
        <w:rPr>
          <w:rStyle w:val="30"/>
          <w:rFonts w:ascii="Calibri" w:hAnsi="Calibri" w:eastAsia="仿宋_GB2312" w:cs="Times New Roman"/>
          <w:color w:val="auto"/>
          <w:u w:val="single"/>
        </w:rPr>
        <w:t>28</w:t>
      </w:r>
      <w:r>
        <w:rPr>
          <w:rStyle w:val="30"/>
          <w:rFonts w:hint="eastAsia" w:ascii="仿宋_GB2312" w:hAnsi="Calibri" w:eastAsia="仿宋_GB2312" w:cs="Times New Roman"/>
          <w:color w:val="auto"/>
          <w:u w:val="single"/>
        </w:rPr>
        <w:t>天内</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kern w:val="2"/>
        </w:rPr>
        <w:t>。</w:t>
      </w:r>
    </w:p>
    <w:p w14:paraId="315C3380">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14. </w:t>
      </w:r>
      <w:r>
        <w:rPr>
          <w:rStyle w:val="30"/>
          <w:rFonts w:hint="eastAsia" w:ascii="宋体" w:hAnsi="宋体" w:eastAsia="宋体" w:cs="Times New Roman"/>
          <w:color w:val="auto"/>
          <w:sz w:val="24"/>
          <w:szCs w:val="24"/>
        </w:rPr>
        <w:t>竣工结算</w:t>
      </w:r>
    </w:p>
    <w:p w14:paraId="16184E44">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14.1 </w:t>
      </w:r>
      <w:r>
        <w:rPr>
          <w:rStyle w:val="30"/>
          <w:rFonts w:hint="eastAsia" w:ascii="黑体" w:hAnsi="黑体" w:eastAsia="黑体" w:cs="Times New Roman"/>
          <w:color w:val="auto"/>
          <w:kern w:val="2"/>
        </w:rPr>
        <w:t>竣工结算申请</w:t>
      </w:r>
    </w:p>
    <w:p w14:paraId="1CEA9BAE">
      <w:pPr>
        <w:pStyle w:val="79"/>
        <w:spacing w:line="320" w:lineRule="exact"/>
        <w:ind w:firstLine="420" w:firstLineChars="200"/>
        <w:rPr>
          <w:rStyle w:val="30"/>
          <w:rFonts w:ascii="Calibri" w:hAnsi="Calibri" w:eastAsia="宋体" w:cs="Times New Roman"/>
          <w:color w:val="auto"/>
          <w:kern w:val="2"/>
          <w:u w:val="single"/>
        </w:rPr>
      </w:pPr>
      <w:r>
        <w:rPr>
          <w:rStyle w:val="30"/>
          <w:rFonts w:hint="eastAsia" w:ascii="仿宋_GB2312" w:hAnsi="Calibri" w:eastAsia="仿宋_GB2312" w:cs="Times New Roman"/>
          <w:color w:val="auto"/>
          <w:kern w:val="2"/>
        </w:rPr>
        <w:t>承包人提交竣工结算申请单的期限：</w:t>
      </w:r>
      <w:r>
        <w:rPr>
          <w:rStyle w:val="30"/>
          <w:rFonts w:hint="eastAsia" w:ascii="宋体" w:hAnsi="宋体" w:eastAsia="宋体" w:cs="宋体"/>
          <w:color w:val="auto"/>
          <w:u w:val="single"/>
        </w:rPr>
        <w:t>竣工验收合格后</w:t>
      </w:r>
      <w:r>
        <w:rPr>
          <w:rStyle w:val="30"/>
          <w:rFonts w:ascii="宋体" w:hAnsi="Calibri" w:cs="Times New Roman"/>
          <w:color w:val="auto"/>
          <w:u w:val="single"/>
        </w:rPr>
        <w:t>28</w:t>
      </w:r>
      <w:r>
        <w:rPr>
          <w:rStyle w:val="30"/>
          <w:rFonts w:hint="eastAsia" w:ascii="宋体" w:hAnsi="宋体" w:eastAsia="宋体" w:cs="宋体"/>
          <w:color w:val="auto"/>
          <w:u w:val="single"/>
        </w:rPr>
        <w:t>天内</w:t>
      </w:r>
      <w:r>
        <w:rPr>
          <w:rStyle w:val="30"/>
          <w:rFonts w:hint="eastAsia" w:ascii="仿宋_GB2312" w:hAnsi="Calibri" w:eastAsia="仿宋_GB2312" w:cs="Times New Roman"/>
          <w:color w:val="auto"/>
          <w:kern w:val="2"/>
        </w:rPr>
        <w:t>。</w:t>
      </w:r>
    </w:p>
    <w:p w14:paraId="0C387685">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竣工结算申请单应包括的内容：</w:t>
      </w:r>
      <w:r>
        <w:rPr>
          <w:rStyle w:val="30"/>
          <w:rFonts w:ascii="宋体" w:hAnsi="Calibri" w:cs="Times New Roman"/>
          <w:color w:val="auto"/>
          <w:u w:val="single"/>
        </w:rPr>
        <w:t>1</w:t>
      </w:r>
      <w:r>
        <w:rPr>
          <w:rStyle w:val="30"/>
          <w:rFonts w:hint="eastAsia" w:ascii="宋体" w:hAnsi="宋体" w:eastAsia="宋体" w:cs="宋体"/>
          <w:color w:val="auto"/>
          <w:u w:val="single"/>
        </w:rPr>
        <w:t>、</w:t>
      </w:r>
      <w:r>
        <w:rPr>
          <w:rStyle w:val="30"/>
          <w:rFonts w:hint="eastAsia" w:ascii="仿宋_GB2312" w:hAnsi="Calibri" w:eastAsia="仿宋_GB2312" w:cs="Times New Roman"/>
          <w:color w:val="auto"/>
          <w:u w:val="single"/>
        </w:rPr>
        <w:t>竣工结算合同价格；</w:t>
      </w:r>
      <w:r>
        <w:rPr>
          <w:rStyle w:val="30"/>
          <w:rFonts w:ascii="Calibri" w:hAnsi="Calibri" w:eastAsia="仿宋_GB2312" w:cs="Times New Roman"/>
          <w:color w:val="auto"/>
          <w:u w:val="single"/>
        </w:rPr>
        <w:t>2</w:t>
      </w:r>
      <w:r>
        <w:rPr>
          <w:rStyle w:val="30"/>
          <w:rFonts w:hint="eastAsia" w:ascii="仿宋_GB2312" w:hAnsi="Calibri" w:eastAsia="仿宋_GB2312" w:cs="Times New Roman"/>
          <w:color w:val="auto"/>
          <w:u w:val="single"/>
        </w:rPr>
        <w:t>、发包人已支付承包人的款项；</w:t>
      </w:r>
      <w:r>
        <w:rPr>
          <w:rStyle w:val="30"/>
          <w:rFonts w:ascii="Calibri" w:hAnsi="Calibri" w:eastAsia="仿宋_GB2312" w:cs="Calibri"/>
          <w:color w:val="auto"/>
          <w:u w:val="single"/>
        </w:rPr>
        <w:t>3</w:t>
      </w:r>
      <w:r>
        <w:rPr>
          <w:rStyle w:val="30"/>
          <w:rFonts w:hint="eastAsia" w:ascii="仿宋_GB2312" w:hAnsi="Calibri" w:eastAsia="仿宋_GB2312" w:cs="Times New Roman"/>
          <w:color w:val="auto"/>
          <w:u w:val="single"/>
        </w:rPr>
        <w:t>、应扣留的质量保证金；</w:t>
      </w:r>
      <w:r>
        <w:rPr>
          <w:rStyle w:val="30"/>
          <w:rFonts w:ascii="Calibri" w:hAnsi="Calibri" w:eastAsia="仿宋_GB2312" w:cs="Calibri"/>
          <w:color w:val="auto"/>
          <w:u w:val="single"/>
        </w:rPr>
        <w:t>4</w:t>
      </w:r>
      <w:r>
        <w:rPr>
          <w:rStyle w:val="30"/>
          <w:rFonts w:hint="eastAsia" w:ascii="仿宋_GB2312" w:hAnsi="Calibri" w:eastAsia="仿宋_GB2312" w:cs="Times New Roman"/>
          <w:color w:val="auto"/>
          <w:u w:val="single"/>
        </w:rPr>
        <w:t xml:space="preserve">、发包人应支付承包人的合同价款 </w:t>
      </w:r>
      <w:r>
        <w:rPr>
          <w:rStyle w:val="30"/>
          <w:rFonts w:hint="eastAsia" w:ascii="仿宋_GB2312" w:hAnsi="Calibri" w:eastAsia="仿宋_GB2312" w:cs="Times New Roman"/>
          <w:color w:val="auto"/>
          <w:kern w:val="2"/>
        </w:rPr>
        <w:t>。</w:t>
      </w:r>
    </w:p>
    <w:p w14:paraId="1D2EA615">
      <w:pPr>
        <w:pStyle w:val="79"/>
        <w:spacing w:line="320" w:lineRule="exact"/>
        <w:ind w:firstLine="420" w:firstLineChars="200"/>
        <w:rPr>
          <w:rStyle w:val="30"/>
          <w:rFonts w:hint="eastAsia" w:ascii="Calibri" w:hAnsi="Calibri" w:eastAsia="仿宋_GB2312" w:cs="Times New Roman"/>
          <w:color w:val="auto"/>
          <w:kern w:val="2"/>
        </w:rPr>
      </w:pPr>
      <w:r>
        <w:rPr>
          <w:rStyle w:val="30"/>
          <w:rFonts w:hint="eastAsia" w:ascii="仿宋_GB2312" w:hAnsi="Calibri" w:eastAsia="仿宋_GB2312" w:cs="Times New Roman"/>
          <w:color w:val="auto"/>
          <w:u w:val="single"/>
        </w:rPr>
        <w:t>如承包人未能按时递交的，则发包人有权可以按已付的工程款认可为工程结算款，将不再支付给承包人的结算尾款。</w:t>
      </w:r>
    </w:p>
    <w:p w14:paraId="35F2A4EB">
      <w:pPr>
        <w:pStyle w:val="79"/>
        <w:spacing w:line="320" w:lineRule="exact"/>
        <w:ind w:firstLine="420" w:firstLineChars="200"/>
        <w:rPr>
          <w:rStyle w:val="30"/>
          <w:rFonts w:hint="eastAsia" w:ascii="Calibri" w:hAnsi="Calibri" w:eastAsia="仿宋_GB2312" w:cs="Times New Roman"/>
          <w:color w:val="auto"/>
          <w:kern w:val="2"/>
        </w:rPr>
      </w:pPr>
      <w:r>
        <w:rPr>
          <w:rStyle w:val="30"/>
          <w:rFonts w:hint="eastAsia" w:ascii="仿宋_GB2312" w:hAnsi="Calibri" w:eastAsia="仿宋_GB2312" w:cs="Times New Roman"/>
          <w:color w:val="auto"/>
          <w:kern w:val="2"/>
        </w:rPr>
        <w:t>竣工结算按以下第</w:t>
      </w:r>
      <w:r>
        <w:rPr>
          <w:rStyle w:val="30"/>
          <w:rFonts w:hint="eastAsia" w:ascii="仿宋_GB2312"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款方式编制：</w:t>
      </w:r>
    </w:p>
    <w:p w14:paraId="3BF4A091">
      <w:pPr>
        <w:pStyle w:val="79"/>
        <w:spacing w:line="360" w:lineRule="exact"/>
        <w:ind w:firstLine="422" w:firstLineChars="200"/>
        <w:rPr>
          <w:rStyle w:val="30"/>
          <w:rFonts w:hint="eastAsia" w:ascii="仿宋" w:hAnsi="仿宋" w:eastAsia="仿宋" w:cs="宋体"/>
          <w:b/>
          <w:bCs/>
          <w:color w:val="auto"/>
          <w:kern w:val="2"/>
        </w:rPr>
      </w:pPr>
      <w:r>
        <w:rPr>
          <w:rStyle w:val="30"/>
          <w:rFonts w:hint="eastAsia" w:ascii="仿宋" w:hAnsi="仿宋" w:eastAsia="仿宋" w:cs="宋体"/>
          <w:b/>
          <w:bCs/>
          <w:color w:val="auto"/>
          <w:kern w:val="2"/>
        </w:rPr>
        <w:t>（1）按月结算。</w:t>
      </w:r>
    </w:p>
    <w:p w14:paraId="72CDFDF4">
      <w:pPr>
        <w:pStyle w:val="79"/>
        <w:spacing w:line="360" w:lineRule="exact"/>
        <w:ind w:firstLine="422" w:firstLineChars="200"/>
        <w:rPr>
          <w:rStyle w:val="30"/>
          <w:rFonts w:hint="eastAsia" w:ascii="仿宋" w:hAnsi="仿宋" w:eastAsia="仿宋" w:cs="宋体"/>
          <w:b/>
          <w:bCs/>
          <w:color w:val="auto"/>
          <w:kern w:val="2"/>
          <w:u w:val="single"/>
        </w:rPr>
      </w:pPr>
      <w:r>
        <w:rPr>
          <w:rStyle w:val="30"/>
          <w:rFonts w:hint="eastAsia" w:ascii="仿宋" w:hAnsi="仿宋" w:eastAsia="仿宋" w:cs="宋体"/>
          <w:b/>
          <w:bCs/>
          <w:color w:val="auto"/>
          <w:kern w:val="2"/>
        </w:rPr>
        <w:t>（2）按形象部位结算。是指发承包双方按合同约定将工程按形象进度划分为若干个施工段，对经过建设相关主体验收合格的施工段办理分段工程结算，竣工后汇总各分段结算文件作为竣工结算。本工程分为</w:t>
      </w:r>
      <w:r>
        <w:rPr>
          <w:rStyle w:val="30"/>
          <w:rFonts w:hint="eastAsia" w:ascii="仿宋" w:hAnsi="仿宋" w:eastAsia="仿宋" w:cs="宋体"/>
          <w:b/>
          <w:bCs/>
          <w:color w:val="auto"/>
          <w:kern w:val="2"/>
          <w:u w:val="single"/>
        </w:rPr>
        <w:t xml:space="preserve">        </w:t>
      </w:r>
      <w:r>
        <w:rPr>
          <w:rStyle w:val="30"/>
          <w:rFonts w:hint="eastAsia" w:ascii="仿宋" w:hAnsi="仿宋" w:eastAsia="仿宋" w:cs="宋体"/>
          <w:b/>
          <w:bCs/>
          <w:color w:val="auto"/>
          <w:kern w:val="2"/>
        </w:rPr>
        <w:t>个施工段，分别为</w:t>
      </w:r>
      <w:r>
        <w:rPr>
          <w:rStyle w:val="30"/>
          <w:rFonts w:hint="eastAsia" w:ascii="仿宋" w:hAnsi="仿宋" w:eastAsia="仿宋" w:cs="宋体"/>
          <w:b/>
          <w:bCs/>
          <w:color w:val="auto"/>
          <w:kern w:val="2"/>
          <w:u w:val="single"/>
        </w:rPr>
        <w:t xml:space="preserve">                              </w:t>
      </w:r>
    </w:p>
    <w:p w14:paraId="5D9B2CAC">
      <w:pPr>
        <w:pStyle w:val="79"/>
        <w:spacing w:line="360" w:lineRule="exact"/>
        <w:rPr>
          <w:rStyle w:val="30"/>
          <w:rFonts w:hint="eastAsia" w:ascii="仿宋" w:hAnsi="仿宋" w:eastAsia="仿宋" w:cs="宋体"/>
          <w:b/>
          <w:bCs/>
          <w:color w:val="auto"/>
          <w:kern w:val="2"/>
        </w:rPr>
      </w:pPr>
      <w:r>
        <w:rPr>
          <w:rStyle w:val="30"/>
          <w:rFonts w:hint="eastAsia" w:ascii="仿宋" w:hAnsi="仿宋" w:eastAsia="仿宋" w:cs="宋体"/>
          <w:b/>
          <w:bCs/>
          <w:color w:val="auto"/>
          <w:kern w:val="2"/>
          <w:u w:val="single"/>
        </w:rPr>
        <w:t xml:space="preserve">                                                                            </w:t>
      </w:r>
      <w:r>
        <w:rPr>
          <w:rStyle w:val="30"/>
          <w:rFonts w:hint="eastAsia" w:ascii="仿宋" w:hAnsi="仿宋" w:eastAsia="仿宋" w:cs="宋体"/>
          <w:b/>
          <w:bCs/>
          <w:color w:val="auto"/>
          <w:kern w:val="2"/>
        </w:rPr>
        <w:t xml:space="preserve">   </w:t>
      </w:r>
    </w:p>
    <w:p w14:paraId="4753F22B">
      <w:pPr>
        <w:pStyle w:val="79"/>
        <w:spacing w:line="360" w:lineRule="exact"/>
        <w:ind w:firstLine="422" w:firstLineChars="200"/>
        <w:rPr>
          <w:rStyle w:val="30"/>
          <w:rFonts w:hint="eastAsia" w:ascii="仿宋" w:hAnsi="仿宋" w:eastAsia="仿宋" w:cs="宋体"/>
          <w:b/>
          <w:bCs/>
          <w:color w:val="auto"/>
          <w:kern w:val="2"/>
          <w:sz w:val="21"/>
          <w:szCs w:val="21"/>
          <w:u w:val="single"/>
        </w:rPr>
      </w:pPr>
      <w:r>
        <w:rPr>
          <w:rStyle w:val="30"/>
          <w:rFonts w:hint="eastAsia" w:ascii="仿宋" w:hAnsi="仿宋" w:eastAsia="仿宋" w:cs="宋体"/>
          <w:b/>
          <w:bCs/>
          <w:color w:val="auto"/>
          <w:kern w:val="2"/>
        </w:rPr>
        <w:t>（</w:t>
      </w:r>
      <w:r>
        <w:rPr>
          <w:rStyle w:val="30"/>
          <w:rFonts w:hint="eastAsia" w:ascii="仿宋" w:hAnsi="仿宋" w:eastAsia="仿宋" w:cs="宋体"/>
          <w:b/>
          <w:bCs/>
          <w:color w:val="auto"/>
          <w:kern w:val="2"/>
          <w:sz w:val="21"/>
          <w:szCs w:val="21"/>
        </w:rPr>
        <w:t>3）按形象部位分段预结算，整体工程一次性结算的工程。是指发承包双方按合同约定将工程按形象进度划分为若干个施工段，对经过建设相关主体验收合格的施工段进行预先结算，结算成果仅作为支付工程价款的依据，竣工后再一次性清算的结算方式。本工程分为</w:t>
      </w:r>
      <w:r>
        <w:rPr>
          <w:rStyle w:val="30"/>
          <w:rFonts w:hint="eastAsia" w:ascii="仿宋" w:hAnsi="仿宋" w:eastAsia="仿宋" w:cs="宋体"/>
          <w:b/>
          <w:bCs/>
          <w:color w:val="auto"/>
          <w:kern w:val="2"/>
          <w:sz w:val="21"/>
          <w:szCs w:val="21"/>
          <w:u w:val="single"/>
        </w:rPr>
        <w:t xml:space="preserve">        </w:t>
      </w:r>
      <w:r>
        <w:rPr>
          <w:rStyle w:val="30"/>
          <w:rFonts w:hint="eastAsia" w:ascii="仿宋" w:hAnsi="仿宋" w:eastAsia="仿宋" w:cs="宋体"/>
          <w:b/>
          <w:bCs/>
          <w:color w:val="auto"/>
          <w:kern w:val="2"/>
          <w:sz w:val="21"/>
          <w:szCs w:val="21"/>
        </w:rPr>
        <w:t>个施工段，分别为</w:t>
      </w:r>
      <w:r>
        <w:rPr>
          <w:rStyle w:val="30"/>
          <w:rFonts w:hint="eastAsia" w:ascii="仿宋" w:hAnsi="仿宋" w:eastAsia="仿宋" w:cs="宋体"/>
          <w:b/>
          <w:bCs/>
          <w:color w:val="auto"/>
          <w:kern w:val="2"/>
          <w:sz w:val="21"/>
          <w:szCs w:val="21"/>
          <w:u w:val="single"/>
        </w:rPr>
        <w:t xml:space="preserve">                                                    </w:t>
      </w:r>
    </w:p>
    <w:p w14:paraId="4D497EAE">
      <w:pPr>
        <w:pStyle w:val="79"/>
        <w:spacing w:line="360" w:lineRule="exact"/>
        <w:rPr>
          <w:rStyle w:val="30"/>
          <w:rFonts w:hint="eastAsia" w:ascii="仿宋" w:hAnsi="仿宋" w:eastAsia="仿宋" w:cs="宋体"/>
          <w:b/>
          <w:bCs/>
          <w:color w:val="auto"/>
          <w:kern w:val="2"/>
          <w:sz w:val="21"/>
          <w:szCs w:val="21"/>
          <w:u w:val="single"/>
        </w:rPr>
      </w:pPr>
      <w:r>
        <w:rPr>
          <w:rStyle w:val="30"/>
          <w:rFonts w:hint="eastAsia" w:ascii="仿宋" w:hAnsi="仿宋" w:eastAsia="仿宋" w:cs="宋体"/>
          <w:b/>
          <w:bCs/>
          <w:color w:val="auto"/>
          <w:kern w:val="2"/>
          <w:sz w:val="21"/>
          <w:szCs w:val="21"/>
          <w:u w:val="single"/>
        </w:rPr>
        <w:t xml:space="preserve">                                                                                 </w:t>
      </w:r>
    </w:p>
    <w:p w14:paraId="1A2F3116">
      <w:pPr>
        <w:pStyle w:val="79"/>
        <w:spacing w:line="360" w:lineRule="exact"/>
        <w:rPr>
          <w:rStyle w:val="30"/>
          <w:rFonts w:hint="eastAsia" w:ascii="仿宋" w:hAnsi="仿宋" w:eastAsia="仿宋" w:cs="宋体"/>
          <w:b/>
          <w:bCs/>
          <w:color w:val="auto"/>
          <w:kern w:val="2"/>
          <w:sz w:val="21"/>
          <w:szCs w:val="21"/>
        </w:rPr>
      </w:pPr>
      <w:r>
        <w:rPr>
          <w:rStyle w:val="30"/>
          <w:rFonts w:hint="eastAsia" w:ascii="仿宋" w:hAnsi="仿宋" w:eastAsia="仿宋" w:cs="宋体"/>
          <w:b/>
          <w:bCs/>
          <w:color w:val="auto"/>
          <w:kern w:val="2"/>
          <w:sz w:val="21"/>
          <w:szCs w:val="21"/>
        </w:rPr>
        <w:t xml:space="preserve">  （4）按整体工程一次性结算。</w:t>
      </w:r>
    </w:p>
    <w:p w14:paraId="657B6ABB">
      <w:pPr>
        <w:pStyle w:val="79"/>
        <w:spacing w:line="360" w:lineRule="exact"/>
        <w:ind w:firstLine="422" w:firstLineChars="200"/>
        <w:rPr>
          <w:rStyle w:val="30"/>
          <w:rFonts w:hint="eastAsia" w:ascii="仿宋" w:hAnsi="仿宋" w:eastAsia="仿宋" w:cs="宋体"/>
          <w:b/>
          <w:bCs/>
          <w:color w:val="auto"/>
          <w:kern w:val="2"/>
          <w:sz w:val="21"/>
          <w:szCs w:val="21"/>
        </w:rPr>
      </w:pPr>
      <w:r>
        <w:rPr>
          <w:rStyle w:val="30"/>
          <w:rFonts w:hint="eastAsia" w:ascii="仿宋" w:hAnsi="仿宋" w:eastAsia="仿宋" w:cs="宋体"/>
          <w:b/>
          <w:bCs/>
          <w:color w:val="auto"/>
          <w:kern w:val="2"/>
          <w:sz w:val="21"/>
          <w:szCs w:val="21"/>
        </w:rPr>
        <w:t>（工程按形象部位分段的，建议根据工程特点，可将建筑工程分为三个施工段：即地基与基础阶段、主体结构阶段、装饰装修及其他阶段。每个施工段需经建设相关主体验收合格，装饰装修及其他阶段纳入竣工结算，不单独进行预结算。市政工程如有多个分项工程可按分项工程施工段划分阶段。）</w:t>
      </w:r>
    </w:p>
    <w:p w14:paraId="3C07F875">
      <w:pPr>
        <w:pStyle w:val="79"/>
        <w:spacing w:line="320" w:lineRule="exact"/>
        <w:ind w:firstLine="420" w:firstLineChars="200"/>
        <w:rPr>
          <w:rStyle w:val="30"/>
          <w:rFonts w:hint="eastAsia" w:ascii="Times New Roman" w:hAnsi="Times New Roman" w:eastAsia="宋体" w:cs="Times New Roman"/>
          <w:color w:val="auto"/>
          <w:kern w:val="2"/>
          <w:sz w:val="21"/>
          <w:szCs w:val="21"/>
        </w:rPr>
      </w:pPr>
      <w:r>
        <w:rPr>
          <w:rStyle w:val="30"/>
          <w:rFonts w:ascii="Calibri" w:hAnsi="Calibri" w:cs="Times New Roman"/>
          <w:color w:val="auto"/>
          <w:kern w:val="2"/>
          <w:sz w:val="21"/>
          <w:szCs w:val="21"/>
        </w:rPr>
        <w:t xml:space="preserve"> </w:t>
      </w:r>
    </w:p>
    <w:p w14:paraId="523BB5EA">
      <w:pPr>
        <w:pStyle w:val="79"/>
        <w:spacing w:after="120" w:line="320" w:lineRule="exact"/>
        <w:ind w:firstLine="420" w:firstLineChars="200"/>
        <w:rPr>
          <w:rStyle w:val="30"/>
          <w:rFonts w:ascii="Calibri" w:hAnsi="Calibri" w:eastAsia="黑体" w:cs="Times New Roman"/>
          <w:color w:val="auto"/>
          <w:kern w:val="2"/>
          <w:sz w:val="21"/>
          <w:szCs w:val="21"/>
        </w:rPr>
      </w:pPr>
      <w:r>
        <w:rPr>
          <w:rStyle w:val="30"/>
          <w:rFonts w:ascii="Calibri" w:hAnsi="Calibri" w:eastAsia="黑体" w:cs="Times New Roman"/>
          <w:color w:val="auto"/>
          <w:kern w:val="2"/>
          <w:sz w:val="21"/>
          <w:szCs w:val="21"/>
        </w:rPr>
        <w:t xml:space="preserve">14.2 </w:t>
      </w:r>
      <w:r>
        <w:rPr>
          <w:rStyle w:val="30"/>
          <w:rFonts w:hint="eastAsia" w:ascii="黑体" w:hAnsi="黑体" w:eastAsia="黑体" w:cs="Times New Roman"/>
          <w:color w:val="auto"/>
          <w:kern w:val="2"/>
          <w:sz w:val="21"/>
          <w:szCs w:val="21"/>
        </w:rPr>
        <w:t>竣工结算审核</w:t>
      </w:r>
    </w:p>
    <w:p w14:paraId="3C691463">
      <w:pPr>
        <w:pStyle w:val="106"/>
        <w:spacing w:line="360" w:lineRule="exact"/>
        <w:ind w:firstLine="422" w:firstLineChars="200"/>
        <w:rPr>
          <w:rStyle w:val="30"/>
          <w:rFonts w:hint="eastAsia" w:ascii="仿宋" w:hAnsi="仿宋" w:eastAsia="仿宋" w:cs="宋体"/>
          <w:b/>
          <w:bCs/>
          <w:color w:val="auto"/>
          <w:sz w:val="21"/>
          <w:szCs w:val="21"/>
          <w:u w:val="single"/>
        </w:rPr>
      </w:pPr>
      <w:r>
        <w:rPr>
          <w:rStyle w:val="30"/>
          <w:rFonts w:hint="eastAsia" w:ascii="仿宋" w:hAnsi="仿宋" w:eastAsia="仿宋" w:cs="Times New Roman"/>
          <w:b/>
          <w:bCs/>
          <w:color w:val="auto"/>
          <w:sz w:val="21"/>
          <w:szCs w:val="21"/>
        </w:rPr>
        <w:t>（1）发包人结算审核时间：</w:t>
      </w:r>
      <w:r>
        <w:rPr>
          <w:rStyle w:val="30"/>
          <w:rFonts w:hint="eastAsia" w:ascii="仿宋" w:hAnsi="仿宋" w:eastAsia="仿宋" w:cs="Times New Roman"/>
          <w:b/>
          <w:bCs/>
          <w:color w:val="auto"/>
          <w:sz w:val="21"/>
          <w:szCs w:val="21"/>
          <w:u w:val="single"/>
        </w:rPr>
        <w:t>发包人应在收到承包人递交的竣工结算报告及完整齐全的结算资料后，〔    〕个月内审核完毕，并签发竣工结算证书。政府投资项目</w:t>
      </w:r>
      <w:r>
        <w:rPr>
          <w:rStyle w:val="30"/>
          <w:rFonts w:hint="eastAsia" w:ascii="仿宋" w:hAnsi="仿宋" w:eastAsia="仿宋" w:cs="宋体"/>
          <w:b/>
          <w:bCs/>
          <w:color w:val="auto"/>
          <w:sz w:val="21"/>
          <w:szCs w:val="21"/>
          <w:u w:val="single"/>
        </w:rPr>
        <w:t>以财政审价机关出具工程结算报告日期为准。</w:t>
      </w:r>
    </w:p>
    <w:p w14:paraId="67F13409">
      <w:pPr>
        <w:pStyle w:val="106"/>
        <w:spacing w:line="360" w:lineRule="exact"/>
        <w:ind w:firstLine="422" w:firstLineChars="200"/>
        <w:rPr>
          <w:rStyle w:val="30"/>
          <w:rFonts w:hint="eastAsia" w:ascii="仿宋" w:hAnsi="仿宋" w:eastAsia="仿宋" w:cs="宋体"/>
          <w:b/>
          <w:bCs/>
          <w:color w:val="auto"/>
          <w:sz w:val="21"/>
          <w:szCs w:val="21"/>
          <w:highlight w:val="yellow"/>
          <w:u w:val="single"/>
        </w:rPr>
      </w:pPr>
      <w:r>
        <w:rPr>
          <w:rStyle w:val="30"/>
          <w:rFonts w:hint="eastAsia" w:ascii="仿宋" w:hAnsi="仿宋" w:eastAsia="仿宋" w:cs="宋体"/>
          <w:b/>
          <w:bCs/>
          <w:color w:val="auto"/>
          <w:sz w:val="21"/>
          <w:szCs w:val="21"/>
          <w:u w:val="single"/>
        </w:rPr>
        <w:t>发包人或其委托的中介机构在接收承包人提交的工程结算送审资料时应对资料完整性进行初审，接收通过资料完整性初审的资料后，在结算审核过程中，发包人或其委托的中介机构要求承包人进一步补充资料的，因承包人原因提交补充资料对工程结算进度产生实质性影响的，工程结算审核时间予以顺延。</w:t>
      </w:r>
    </w:p>
    <w:p w14:paraId="0F01020B">
      <w:pPr>
        <w:pStyle w:val="106"/>
        <w:spacing w:line="360" w:lineRule="exact"/>
        <w:ind w:firstLine="422" w:firstLineChars="200"/>
        <w:rPr>
          <w:rStyle w:val="30"/>
          <w:rFonts w:hint="eastAsia" w:ascii="仿宋" w:hAnsi="仿宋" w:eastAsia="仿宋" w:cs="Times New Roman"/>
          <w:b/>
          <w:bCs/>
          <w:color w:val="auto"/>
          <w:sz w:val="21"/>
          <w:szCs w:val="21"/>
          <w:u w:val="single"/>
        </w:rPr>
      </w:pPr>
      <w:r>
        <w:rPr>
          <w:rStyle w:val="30"/>
          <w:rFonts w:hint="eastAsia" w:ascii="仿宋" w:hAnsi="仿宋" w:eastAsia="仿宋" w:cs="Times New Roman"/>
          <w:b/>
          <w:bCs/>
          <w:color w:val="auto"/>
          <w:sz w:val="21"/>
          <w:szCs w:val="21"/>
          <w:u w:val="single"/>
        </w:rPr>
        <w:t>由发包人原因逾期审核责任：向承包人支付违约金，违约金为工程结算后应付工程款的利息，利率按中国人民银行发布的同期同类贷款基准利率，利息计算时间为应付工程款日至支付工程款日止。</w:t>
      </w:r>
    </w:p>
    <w:p w14:paraId="19B25980">
      <w:pPr>
        <w:pStyle w:val="106"/>
        <w:spacing w:line="360" w:lineRule="exact"/>
        <w:ind w:firstLine="422" w:firstLineChars="200"/>
        <w:rPr>
          <w:rStyle w:val="30"/>
          <w:rFonts w:hint="eastAsia" w:ascii="仿宋" w:hAnsi="仿宋" w:eastAsia="仿宋" w:cs="Times New Roman"/>
          <w:b/>
          <w:bCs/>
          <w:color w:val="auto"/>
          <w:sz w:val="21"/>
          <w:szCs w:val="21"/>
          <w:u w:val="single"/>
        </w:rPr>
      </w:pPr>
      <w:r>
        <w:rPr>
          <w:rStyle w:val="30"/>
          <w:rFonts w:hint="eastAsia" w:ascii="仿宋" w:hAnsi="仿宋" w:eastAsia="仿宋" w:cs="Times New Roman"/>
          <w:b/>
          <w:bCs/>
          <w:color w:val="auto"/>
          <w:sz w:val="21"/>
          <w:szCs w:val="21"/>
          <w:u w:val="single"/>
        </w:rPr>
        <w:t>（2）发包人在签发竣工结算证书后14天内，扣留工程质量保证金后完成对承包人的竣工付款。逾期支付按中国人民银行发布的同期同类贷款基准利率支付违约金；逾期超过56天，按中国人民银行发布的同期同类贷款基准利率的两倍支付违约金。</w:t>
      </w:r>
    </w:p>
    <w:p w14:paraId="2210C0D6">
      <w:pPr>
        <w:pStyle w:val="106"/>
        <w:spacing w:line="360" w:lineRule="exact"/>
        <w:ind w:firstLine="422" w:firstLineChars="200"/>
        <w:rPr>
          <w:rStyle w:val="30"/>
          <w:rFonts w:hint="eastAsia" w:ascii="仿宋" w:hAnsi="仿宋" w:eastAsia="仿宋" w:cs="Times New Roman"/>
          <w:b/>
          <w:bCs/>
          <w:color w:val="auto"/>
          <w:sz w:val="21"/>
          <w:szCs w:val="21"/>
          <w:u w:val="single"/>
        </w:rPr>
      </w:pPr>
      <w:r>
        <w:rPr>
          <w:rStyle w:val="30"/>
          <w:rFonts w:hint="eastAsia" w:ascii="仿宋" w:hAnsi="仿宋" w:eastAsia="仿宋" w:cs="Times New Roman"/>
          <w:b/>
          <w:bCs/>
          <w:color w:val="auto"/>
          <w:sz w:val="21"/>
          <w:szCs w:val="21"/>
          <w:u w:val="single"/>
        </w:rPr>
        <w:t>（3）工程结算核对完成后，发承包双方须签字确认。如承包人对核对后的工程结算书部分内容有异议的，对无异议部分应予认可，发包人可先支付承包人无异议部分结算款。对异议部分签署不同意见，异议部分重新进行复核或按照第20条〔争议解决约定〕处理，发包人应予以支持配合。</w:t>
      </w:r>
    </w:p>
    <w:p w14:paraId="3D6E4341">
      <w:pPr>
        <w:pStyle w:val="106"/>
        <w:spacing w:line="360" w:lineRule="exact"/>
        <w:ind w:firstLine="422" w:firstLineChars="200"/>
        <w:rPr>
          <w:rStyle w:val="30"/>
          <w:rFonts w:hint="eastAsia" w:ascii="仿宋" w:hAnsi="仿宋" w:eastAsia="仿宋" w:cs="Times New Roman"/>
          <w:b/>
          <w:bCs/>
          <w:color w:val="auto"/>
          <w:sz w:val="21"/>
          <w:szCs w:val="21"/>
          <w:u w:val="single"/>
        </w:rPr>
      </w:pPr>
      <w:r>
        <w:rPr>
          <w:rStyle w:val="30"/>
          <w:rFonts w:hint="eastAsia" w:ascii="仿宋" w:hAnsi="仿宋" w:eastAsia="仿宋" w:cs="Times New Roman"/>
          <w:b/>
          <w:bCs/>
          <w:color w:val="auto"/>
          <w:sz w:val="21"/>
          <w:szCs w:val="21"/>
          <w:u w:val="single"/>
        </w:rPr>
        <w:t>（4）工程结算核对完成，发承包双方签字确认后，发包人不得要求承包人与另一个或多个工程造价咨询人重复核对竣工结算。竣工结算审定文件一经双方确认即生效，除法律、法规另有规定外，任何一方不得随意更改。</w:t>
      </w:r>
    </w:p>
    <w:p w14:paraId="7A23F350">
      <w:pPr>
        <w:pStyle w:val="79"/>
        <w:spacing w:after="120" w:line="320" w:lineRule="exact"/>
        <w:ind w:firstLine="403"/>
        <w:rPr>
          <w:rStyle w:val="30"/>
          <w:rFonts w:hint="eastAsia" w:ascii="Times New Roman" w:hAnsi="Times New Roman" w:eastAsia="仿宋_GB2312" w:cs="Times New Roman"/>
          <w:color w:val="auto"/>
          <w:kern w:val="2"/>
          <w:sz w:val="21"/>
          <w:szCs w:val="21"/>
        </w:rPr>
      </w:pPr>
      <w:r>
        <w:rPr>
          <w:rStyle w:val="30"/>
          <w:rFonts w:ascii="Calibri" w:hAnsi="Calibri" w:eastAsia="仿宋_GB2312" w:cs="Times New Roman"/>
          <w:color w:val="auto"/>
          <w:kern w:val="2"/>
          <w:sz w:val="21"/>
          <w:szCs w:val="21"/>
        </w:rPr>
        <w:t xml:space="preserve"> </w:t>
      </w:r>
    </w:p>
    <w:p w14:paraId="030BEB05">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14.4 </w:t>
      </w:r>
      <w:r>
        <w:rPr>
          <w:rStyle w:val="30"/>
          <w:rFonts w:hint="eastAsia" w:ascii="黑体" w:hAnsi="黑体" w:eastAsia="黑体" w:cs="Times New Roman"/>
          <w:color w:val="auto"/>
          <w:kern w:val="2"/>
        </w:rPr>
        <w:t>最终结清</w:t>
      </w:r>
    </w:p>
    <w:p w14:paraId="406F2C91">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14.4.1 </w:t>
      </w:r>
      <w:r>
        <w:rPr>
          <w:rStyle w:val="30"/>
          <w:rFonts w:hint="eastAsia" w:ascii="仿宋_GB2312" w:hAnsi="Calibri" w:eastAsia="仿宋_GB2312" w:cs="Times New Roman"/>
          <w:color w:val="auto"/>
        </w:rPr>
        <w:t>最终结清申请单</w:t>
      </w:r>
    </w:p>
    <w:p w14:paraId="671BADF4">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承包人提交最终结清申请单的份数：</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一式五份</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0551181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rPr>
        <w:t>承包人提交最终结算申请单的期限：</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结算审定后一个月内</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 xml:space="preserve"> </w:t>
      </w:r>
    </w:p>
    <w:p w14:paraId="22F44AD7">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14.4.2 </w:t>
      </w:r>
      <w:r>
        <w:rPr>
          <w:rStyle w:val="30"/>
          <w:rFonts w:hint="eastAsia" w:ascii="仿宋_GB2312" w:hAnsi="Calibri" w:eastAsia="仿宋_GB2312" w:cs="Times New Roman"/>
          <w:color w:val="auto"/>
          <w:kern w:val="2"/>
        </w:rPr>
        <w:t>最终结清证书和支付</w:t>
      </w:r>
    </w:p>
    <w:p w14:paraId="41243319">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1</w:t>
      </w:r>
      <w:r>
        <w:rPr>
          <w:rStyle w:val="30"/>
          <w:rFonts w:hint="eastAsia" w:ascii="仿宋_GB2312" w:hAnsi="Calibri" w:eastAsia="仿宋_GB2312" w:cs="Times New Roman"/>
          <w:color w:val="auto"/>
          <w:kern w:val="2"/>
        </w:rPr>
        <w:t>）发包人完成最终结清申请单的审批并颁发最终结清证书的期限：</w:t>
      </w:r>
      <w:r>
        <w:rPr>
          <w:rStyle w:val="30"/>
          <w:rFonts w:hint="eastAsia" w:ascii="宋体" w:hAnsi="宋体" w:cs="Times New Roman"/>
          <w:color w:val="auto"/>
          <w:kern w:val="2"/>
          <w:u w:val="single"/>
        </w:rPr>
        <w:t>发包人应在收到承包人提交的最终结清申请单后   天内完成审批并向承包人颁发最终结清证书。发包人逾期未完成审批，又未提出修改意见的，视为发包人同意承包人提交的最终结清申请单，且自发包人收到承包人提交的最终结清申请单后   天起视为已颁发最终结清证书。</w:t>
      </w:r>
    </w:p>
    <w:p w14:paraId="4864663D">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2</w:t>
      </w:r>
      <w:r>
        <w:rPr>
          <w:rStyle w:val="30"/>
          <w:rFonts w:hint="eastAsia" w:ascii="仿宋_GB2312" w:hAnsi="Calibri" w:eastAsia="仿宋_GB2312" w:cs="Times New Roman"/>
          <w:color w:val="auto"/>
          <w:kern w:val="2"/>
        </w:rPr>
        <w:t>）发包人完成支付的期限：</w:t>
      </w:r>
      <w:r>
        <w:rPr>
          <w:rStyle w:val="30"/>
          <w:rFonts w:hint="eastAsia" w:ascii="宋体" w:hAnsi="宋体" w:cs="Times New Roman"/>
          <w:color w:val="auto"/>
          <w:kern w:val="2"/>
          <w:u w:val="single"/>
        </w:rPr>
        <w:t>发包人应在颁发最终结清证书后  天内完成支付。发包人逾期支付的，按照中国人民银行发布的同期同类贷款基准利率支付违约金；逾期支付超过   天的，按照中国人民银行发布的同期同类贷款基准利率的两倍支付违约金</w:t>
      </w:r>
      <w:r>
        <w:rPr>
          <w:rStyle w:val="30"/>
          <w:rFonts w:hint="eastAsia" w:ascii="仿宋_GB2312" w:hAnsi="Calibri" w:eastAsia="仿宋_GB2312" w:cs="Times New Roman"/>
          <w:color w:val="auto"/>
          <w:kern w:val="2"/>
        </w:rPr>
        <w:t>。</w:t>
      </w:r>
    </w:p>
    <w:p w14:paraId="7784CFEF">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15. </w:t>
      </w:r>
      <w:r>
        <w:rPr>
          <w:rStyle w:val="30"/>
          <w:rFonts w:hint="eastAsia" w:ascii="宋体" w:hAnsi="宋体" w:eastAsia="宋体" w:cs="Times New Roman"/>
          <w:color w:val="auto"/>
          <w:sz w:val="24"/>
          <w:szCs w:val="24"/>
        </w:rPr>
        <w:t>缺陷责任期与保修</w:t>
      </w:r>
    </w:p>
    <w:p w14:paraId="3F047470">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15.2</w:t>
      </w:r>
      <w:r>
        <w:rPr>
          <w:rStyle w:val="30"/>
          <w:rFonts w:hint="eastAsia" w:ascii="黑体" w:hAnsi="黑体" w:eastAsia="黑体" w:cs="Times New Roman"/>
          <w:color w:val="auto"/>
          <w:kern w:val="2"/>
        </w:rPr>
        <w:t>缺陷责任期</w:t>
      </w:r>
    </w:p>
    <w:p w14:paraId="6C151854">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缺陷责任期的具体期限：</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lang w:val="en-US" w:eastAsia="zh-CN"/>
        </w:rPr>
        <w:t>12</w:t>
      </w:r>
      <w:r>
        <w:rPr>
          <w:rStyle w:val="30"/>
          <w:rFonts w:hint="eastAsia" w:ascii="仿宋_GB2312" w:hAnsi="Calibri" w:eastAsia="仿宋_GB2312" w:cs="Times New Roman"/>
          <w:color w:val="auto"/>
          <w:kern w:val="2"/>
          <w:u w:val="single"/>
        </w:rPr>
        <w:t>个月</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BEA8D59">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15.3 </w:t>
      </w:r>
      <w:r>
        <w:rPr>
          <w:rStyle w:val="30"/>
          <w:rFonts w:hint="eastAsia" w:ascii="黑体" w:hAnsi="黑体" w:eastAsia="黑体" w:cs="Times New Roman"/>
          <w:color w:val="auto"/>
          <w:kern w:val="2"/>
        </w:rPr>
        <w:t>质量保证金</w:t>
      </w:r>
    </w:p>
    <w:p w14:paraId="0E5D2685">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关于是否扣留质量保证金的约定：</w:t>
      </w:r>
      <w:r>
        <w:rPr>
          <w:rStyle w:val="30"/>
          <w:rFonts w:ascii="Calibri" w:hAnsi="Calibri" w:eastAsia="仿宋_GB2312" w:cs="Times New Roman"/>
          <w:color w:val="auto"/>
          <w:kern w:val="2"/>
        </w:rPr>
        <w:t xml:space="preserve"> </w:t>
      </w:r>
      <w:r>
        <w:rPr>
          <w:rStyle w:val="30"/>
          <w:rFonts w:ascii="Calibri" w:hAnsi="Calibri" w:eastAsia="仿宋_GB2312" w:cs="Times New Roman"/>
          <w:color w:val="auto"/>
          <w:kern w:val="2"/>
          <w:u w:val="single"/>
        </w:rPr>
        <w:t xml:space="preserve">  </w:t>
      </w:r>
      <w:r>
        <w:rPr>
          <w:rStyle w:val="30"/>
          <w:rFonts w:hint="eastAsia" w:ascii="仿宋_GB2312" w:eastAsia="仿宋_GB2312" w:cs="Times New Roman"/>
          <w:color w:val="auto"/>
          <w:kern w:val="2"/>
          <w:u w:val="single"/>
          <w:lang w:val="en-US" w:eastAsia="zh-CN"/>
        </w:rPr>
        <w:t>否</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。在工程项目竣工前，承包人按专用合同条款第</w:t>
      </w:r>
      <w:r>
        <w:rPr>
          <w:rStyle w:val="30"/>
          <w:rFonts w:hint="eastAsia" w:ascii="Calibri" w:hAnsi="Calibri" w:eastAsia="仿宋_GB2312" w:cs="Times New Roman"/>
          <w:color w:val="auto"/>
          <w:kern w:val="2"/>
        </w:rPr>
        <w:t>3.7</w:t>
      </w:r>
      <w:r>
        <w:rPr>
          <w:rStyle w:val="30"/>
          <w:rFonts w:hint="eastAsia" w:ascii="仿宋_GB2312" w:hAnsi="Calibri" w:eastAsia="仿宋_GB2312" w:cs="Times New Roman"/>
          <w:color w:val="auto"/>
          <w:kern w:val="2"/>
        </w:rPr>
        <w:t>条提供履约担保的，发包人不得同时预留工程质量保证金。</w:t>
      </w:r>
    </w:p>
    <w:p w14:paraId="3102C550">
      <w:pPr>
        <w:pStyle w:val="79"/>
        <w:spacing w:line="320" w:lineRule="exact"/>
        <w:ind w:firstLine="420" w:firstLineChars="200"/>
        <w:rPr>
          <w:rStyle w:val="30"/>
          <w:rFonts w:ascii="Calibri" w:hAnsi="Calibri" w:eastAsia="仿宋_GB2312" w:cs="Times New Roman"/>
          <w:color w:val="auto"/>
          <w:kern w:val="2"/>
          <w:u w:val="single"/>
        </w:rPr>
      </w:pPr>
      <w:r>
        <w:rPr>
          <w:rStyle w:val="30"/>
          <w:rFonts w:ascii="Calibri" w:hAnsi="Calibri" w:eastAsia="仿宋_GB2312" w:cs="Times New Roman"/>
          <w:color w:val="auto"/>
          <w:kern w:val="2"/>
        </w:rPr>
        <w:t xml:space="preserve">15.3.1 </w:t>
      </w:r>
      <w:r>
        <w:rPr>
          <w:rStyle w:val="30"/>
          <w:rFonts w:hint="eastAsia" w:ascii="仿宋_GB2312" w:hAnsi="Calibri" w:eastAsia="仿宋_GB2312" w:cs="Times New Roman"/>
          <w:color w:val="auto"/>
          <w:kern w:val="2"/>
        </w:rPr>
        <w:t>承包人提供质量保证金的方式</w:t>
      </w:r>
    </w:p>
    <w:p w14:paraId="56C35123">
      <w:pPr>
        <w:pStyle w:val="79"/>
        <w:spacing w:line="320" w:lineRule="exact"/>
        <w:ind w:firstLine="422" w:firstLineChars="200"/>
        <w:rPr>
          <w:rStyle w:val="30"/>
          <w:rFonts w:hint="default" w:ascii="Calibri" w:hAnsi="Calibri" w:eastAsia="仿宋_GB2312" w:cs="Times New Roman"/>
          <w:b/>
          <w:bCs/>
          <w:color w:val="auto"/>
          <w:kern w:val="2"/>
          <w:u w:val="single"/>
          <w:lang w:val="en-US"/>
        </w:rPr>
      </w:pPr>
      <w:r>
        <w:rPr>
          <w:rStyle w:val="30"/>
          <w:rFonts w:hint="eastAsia" w:ascii="仿宋_GB2312" w:eastAsia="仿宋_GB2312" w:cs="Times New Roman"/>
          <w:b/>
          <w:bCs/>
          <w:color w:val="auto"/>
          <w:kern w:val="2"/>
          <w:u w:val="single"/>
          <w:lang w:val="en-US" w:eastAsia="zh-CN"/>
        </w:rPr>
        <w:t xml:space="preserve">       /            </w:t>
      </w:r>
    </w:p>
    <w:p w14:paraId="54086701">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质量保证金采用以下第</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 xml:space="preserve"> </w:t>
      </w:r>
      <w:r>
        <w:rPr>
          <w:rStyle w:val="30"/>
          <w:rFonts w:hint="eastAsia" w:eastAsia="仿宋_GB2312" w:cs="Times New Roman"/>
          <w:color w:val="auto"/>
          <w:kern w:val="2"/>
          <w:u w:val="single"/>
          <w:lang w:val="en-US" w:eastAsia="zh-CN"/>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种方式：</w:t>
      </w:r>
    </w:p>
    <w:p w14:paraId="21CF97D4">
      <w:pPr>
        <w:pStyle w:val="79"/>
        <w:autoSpaceDE w:val="0"/>
        <w:autoSpaceDN w:val="0"/>
        <w:adjustRightInd w:val="0"/>
        <w:spacing w:line="320" w:lineRule="exact"/>
        <w:ind w:firstLine="420" w:firstLineChars="200"/>
        <w:rPr>
          <w:rStyle w:val="30"/>
          <w:rFonts w:hint="eastAsia"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1</w:t>
      </w:r>
      <w:r>
        <w:rPr>
          <w:rStyle w:val="30"/>
          <w:rFonts w:hint="eastAsia" w:ascii="仿宋_GB2312" w:hAnsi="Calibri" w:eastAsia="仿宋_GB2312" w:cs="Times New Roman"/>
          <w:color w:val="auto"/>
        </w:rPr>
        <w:t>）质量保</w:t>
      </w:r>
      <w:r>
        <w:rPr>
          <w:rStyle w:val="30"/>
          <w:rFonts w:hint="eastAsia" w:ascii="黑体" w:hAnsi="黑体" w:eastAsia="黑体" w:cs="Times New Roman"/>
          <w:color w:val="auto"/>
          <w:kern w:val="2"/>
        </w:rPr>
        <w:t>证</w:t>
      </w:r>
      <w:r>
        <w:rPr>
          <w:rStyle w:val="30"/>
          <w:rFonts w:hint="eastAsia" w:ascii="仿宋_GB2312" w:hAnsi="Calibri" w:eastAsia="仿宋_GB2312" w:cs="Times New Roman"/>
          <w:color w:val="auto"/>
        </w:rPr>
        <w:t>金保函，保</w:t>
      </w:r>
      <w:r>
        <w:rPr>
          <w:rStyle w:val="30"/>
          <w:rFonts w:hint="eastAsia" w:ascii="黑体" w:hAnsi="黑体" w:eastAsia="黑体" w:cs="Times New Roman"/>
          <w:color w:val="auto"/>
          <w:kern w:val="2"/>
        </w:rPr>
        <w:t>证</w:t>
      </w:r>
      <w:r>
        <w:rPr>
          <w:rStyle w:val="30"/>
          <w:rFonts w:hint="eastAsia" w:ascii="仿宋_GB2312" w:hAnsi="Calibri" w:eastAsia="仿宋_GB2312" w:cs="Times New Roman"/>
          <w:color w:val="auto"/>
        </w:rPr>
        <w:t>金额为：</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r>
        <w:rPr>
          <w:rStyle w:val="30"/>
          <w:rFonts w:ascii="Calibri" w:hAnsi="Calibri" w:eastAsia="仿宋_GB2312" w:cs="Times New Roman"/>
          <w:color w:val="auto"/>
        </w:rPr>
        <w:t xml:space="preserve"> </w:t>
      </w:r>
    </w:p>
    <w:p w14:paraId="10999803">
      <w:pPr>
        <w:pStyle w:val="79"/>
        <w:autoSpaceDE w:val="0"/>
        <w:autoSpaceDN w:val="0"/>
        <w:adjustRightInd w:val="0"/>
        <w:spacing w:line="320" w:lineRule="exact"/>
        <w:ind w:firstLine="422" w:firstLineChars="200"/>
        <w:rPr>
          <w:rStyle w:val="30"/>
          <w:rFonts w:ascii="Calibri" w:hAnsi="Calibri" w:eastAsia="仿宋_GB2312" w:cs="Times New Roman"/>
          <w:b/>
          <w:bCs/>
          <w:color w:val="auto"/>
        </w:rPr>
      </w:pPr>
      <w:r>
        <w:rPr>
          <w:rStyle w:val="30"/>
          <w:rFonts w:hint="eastAsia" w:ascii="仿宋_GB2312" w:hAnsi="Calibri" w:eastAsia="仿宋_GB2312" w:cs="Times New Roman"/>
          <w:b/>
          <w:bCs/>
          <w:color w:val="auto"/>
        </w:rPr>
        <w:t>（</w:t>
      </w:r>
      <w:r>
        <w:rPr>
          <w:rStyle w:val="30"/>
          <w:rFonts w:ascii="Calibri" w:hAnsi="Calibri" w:eastAsia="仿宋_GB2312" w:cs="Times New Roman"/>
          <w:b/>
          <w:bCs/>
          <w:color w:val="auto"/>
        </w:rPr>
        <w:t>2</w:t>
      </w:r>
      <w:r>
        <w:rPr>
          <w:rStyle w:val="30"/>
          <w:rFonts w:hint="eastAsia" w:ascii="仿宋_GB2312" w:hAnsi="Calibri" w:eastAsia="仿宋_GB2312" w:cs="Times New Roman"/>
          <w:b/>
          <w:bCs/>
          <w:color w:val="auto"/>
        </w:rPr>
        <w:t>）建设工程综合保险；</w:t>
      </w:r>
    </w:p>
    <w:p w14:paraId="2724D753">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3</w:t>
      </w:r>
      <w:r>
        <w:rPr>
          <w:rStyle w:val="30"/>
          <w:rFonts w:hint="eastAsia" w:ascii="仿宋_GB2312" w:hAnsi="Calibri" w:eastAsia="仿宋_GB2312" w:cs="Times New Roman"/>
          <w:color w:val="auto"/>
        </w:rPr>
        <w:t>）其他方式</w:t>
      </w:r>
      <w:r>
        <w:rPr>
          <w:rStyle w:val="30"/>
          <w:rFonts w:ascii="Calibri" w:hAnsi="Calibri" w:eastAsia="仿宋_GB2312" w:cs="Times New Roman"/>
          <w:color w:val="auto"/>
        </w:rPr>
        <w:t>:</w:t>
      </w:r>
      <w:r>
        <w:rPr>
          <w:rStyle w:val="30"/>
          <w:rFonts w:ascii="Calibri" w:hAnsi="Calibri" w:eastAsia="仿宋_GB2312" w:cs="Times New Roman"/>
          <w:color w:val="auto"/>
          <w:u w:val="single"/>
        </w:rPr>
        <w:t xml:space="preserve">    </w:t>
      </w:r>
      <w:r>
        <w:rPr>
          <w:rStyle w:val="30"/>
          <w:rFonts w:hint="eastAsia" w:eastAsia="仿宋_GB2312" w:cs="Times New Roman"/>
          <w:color w:val="auto"/>
          <w:u w:val="single"/>
          <w:lang w:val="en-US" w:eastAsia="zh-CN"/>
        </w:rPr>
        <w:t>/</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20640CD6">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15.3.2 </w:t>
      </w:r>
      <w:r>
        <w:rPr>
          <w:rStyle w:val="30"/>
          <w:rFonts w:hint="eastAsia" w:ascii="仿宋_GB2312" w:hAnsi="Calibri" w:eastAsia="仿宋_GB2312" w:cs="Times New Roman"/>
          <w:color w:val="auto"/>
          <w:kern w:val="2"/>
        </w:rPr>
        <w:t>质量保</w:t>
      </w:r>
      <w:r>
        <w:rPr>
          <w:rStyle w:val="30"/>
          <w:rFonts w:hint="eastAsia" w:ascii="黑体" w:hAnsi="黑体" w:eastAsia="黑体" w:cs="Times New Roman"/>
          <w:color w:val="auto"/>
          <w:kern w:val="2"/>
        </w:rPr>
        <w:t>证</w:t>
      </w:r>
      <w:r>
        <w:rPr>
          <w:rStyle w:val="30"/>
          <w:rFonts w:hint="eastAsia" w:ascii="仿宋_GB2312" w:hAnsi="Calibri" w:eastAsia="仿宋_GB2312" w:cs="Times New Roman"/>
          <w:color w:val="auto"/>
          <w:kern w:val="2"/>
        </w:rPr>
        <w:t>金的扣留</w:t>
      </w:r>
      <w:r>
        <w:rPr>
          <w:rStyle w:val="30"/>
          <w:rFonts w:ascii="Calibri" w:hAnsi="Calibri" w:eastAsia="仿宋_GB2312" w:cs="Times New Roman"/>
          <w:color w:val="auto"/>
          <w:kern w:val="2"/>
        </w:rPr>
        <w:t xml:space="preserve"> </w:t>
      </w:r>
    </w:p>
    <w:p w14:paraId="199E5AFA">
      <w:pPr>
        <w:pStyle w:val="79"/>
        <w:spacing w:line="32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质量保</w:t>
      </w:r>
      <w:r>
        <w:rPr>
          <w:rStyle w:val="30"/>
          <w:rFonts w:hint="eastAsia" w:ascii="黑体" w:hAnsi="黑体" w:eastAsia="黑体" w:cs="Times New Roman"/>
          <w:color w:val="auto"/>
          <w:kern w:val="2"/>
        </w:rPr>
        <w:t>证</w:t>
      </w:r>
      <w:r>
        <w:rPr>
          <w:rStyle w:val="30"/>
          <w:rFonts w:hint="eastAsia" w:ascii="仿宋_GB2312" w:hAnsi="Calibri" w:eastAsia="仿宋_GB2312" w:cs="Times New Roman"/>
          <w:color w:val="auto"/>
          <w:kern w:val="2"/>
        </w:rPr>
        <w:t>金的扣留采取以下第</w:t>
      </w:r>
      <w:r>
        <w:rPr>
          <w:rStyle w:val="30"/>
          <w:rFonts w:ascii="Calibri" w:hAnsi="Calibri" w:eastAsia="仿宋_GB2312" w:cs="Times New Roman"/>
          <w:color w:val="auto"/>
          <w:kern w:val="2"/>
          <w:u w:val="single"/>
        </w:rPr>
        <w:t xml:space="preserve">  </w:t>
      </w:r>
      <w:r>
        <w:rPr>
          <w:rStyle w:val="30"/>
          <w:rFonts w:hint="eastAsia" w:eastAsia="仿宋_GB2312" w:cs="Times New Roman"/>
          <w:color w:val="auto"/>
          <w:kern w:val="2"/>
          <w:u w:val="single"/>
          <w:lang w:val="en-US" w:eastAsia="zh-CN"/>
        </w:rPr>
        <w:t>/</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种方式：</w:t>
      </w:r>
    </w:p>
    <w:p w14:paraId="536EF7BC">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1</w:t>
      </w:r>
      <w:r>
        <w:rPr>
          <w:rStyle w:val="30"/>
          <w:rFonts w:hint="eastAsia" w:ascii="仿宋_GB2312" w:hAnsi="Calibri" w:eastAsia="仿宋_GB2312" w:cs="Times New Roman"/>
          <w:color w:val="auto"/>
        </w:rPr>
        <w:t>）在支付工程进度款时逐次扣留，在此情形下，质量保证金的计算基数不包括预付款的支付、扣回以及价格调整的金额；</w:t>
      </w:r>
    </w:p>
    <w:p w14:paraId="61661E90">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2</w:t>
      </w:r>
      <w:r>
        <w:rPr>
          <w:rStyle w:val="30"/>
          <w:rFonts w:hint="eastAsia" w:ascii="仿宋_GB2312" w:hAnsi="Calibri" w:eastAsia="仿宋_GB2312" w:cs="Times New Roman"/>
          <w:color w:val="auto"/>
        </w:rPr>
        <w:t>）工程竣工结算时一次性扣留质量保证金；</w:t>
      </w:r>
    </w:p>
    <w:p w14:paraId="526CAC12">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3</w:t>
      </w:r>
      <w:r>
        <w:rPr>
          <w:rStyle w:val="30"/>
          <w:rFonts w:hint="eastAsia" w:ascii="仿宋_GB2312" w:hAnsi="Calibri" w:eastAsia="仿宋_GB2312" w:cs="Times New Roman"/>
          <w:color w:val="auto"/>
        </w:rPr>
        <w:t>）其他扣留方式</w:t>
      </w:r>
      <w:r>
        <w:rPr>
          <w:rStyle w:val="30"/>
          <w:rFonts w:ascii="Calibri" w:hAnsi="Calibri" w:eastAsia="仿宋_GB2312" w:cs="Times New Roman"/>
          <w:color w:val="auto"/>
        </w:rPr>
        <w:t>:</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5E6E0854">
      <w:pPr>
        <w:pStyle w:val="79"/>
        <w:spacing w:after="120" w:line="320" w:lineRule="exact"/>
        <w:ind w:left="420" w:leftChars="200" w:firstLine="403"/>
        <w:rPr>
          <w:rStyle w:val="30"/>
          <w:rFonts w:ascii="宋体" w:hAnsi="Calibri" w:cs="Times New Roman"/>
          <w:color w:val="auto"/>
          <w:kern w:val="2"/>
          <w:u w:val="single"/>
        </w:rPr>
      </w:pPr>
      <w:r>
        <w:rPr>
          <w:rStyle w:val="30"/>
          <w:rFonts w:hint="eastAsia" w:ascii="仿宋_GB2312" w:hAnsi="Calibri" w:eastAsia="仿宋_GB2312" w:cs="Times New Roman"/>
          <w:color w:val="auto"/>
          <w:kern w:val="2"/>
        </w:rPr>
        <w:t>关于质量保证金的补充约定：</w:t>
      </w:r>
      <w:r>
        <w:rPr>
          <w:rStyle w:val="30"/>
          <w:rFonts w:ascii="宋体" w:hAnsi="Calibri" w:cs="Times New Roman"/>
          <w:color w:val="auto"/>
          <w:kern w:val="2"/>
          <w:u w:val="single"/>
        </w:rPr>
        <w:t xml:space="preserve"> </w:t>
      </w:r>
      <w:r>
        <w:rPr>
          <w:rStyle w:val="30"/>
          <w:rFonts w:hint="eastAsia" w:ascii="宋体" w:eastAsia="宋体" w:cs="Times New Roman"/>
          <w:color w:val="auto"/>
          <w:kern w:val="2"/>
          <w:u w:val="single"/>
          <w:lang w:val="en-US" w:eastAsia="zh-CN"/>
        </w:rPr>
        <w:t xml:space="preserve">          /        </w:t>
      </w:r>
      <w:r>
        <w:rPr>
          <w:rStyle w:val="30"/>
          <w:rFonts w:ascii="宋体" w:hAnsi="Calibri" w:cs="Times New Roman"/>
          <w:color w:val="auto"/>
          <w:kern w:val="2"/>
          <w:u w:val="single"/>
        </w:rPr>
        <w:t xml:space="preserve"> </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074024C4">
      <w:pPr>
        <w:pStyle w:val="79"/>
        <w:spacing w:after="120" w:line="320" w:lineRule="exact"/>
        <w:ind w:firstLine="420" w:firstLineChars="200"/>
        <w:rPr>
          <w:rStyle w:val="30"/>
          <w:rFonts w:hint="eastAsia" w:ascii="Times New Roman" w:hAnsi="Calibri" w:eastAsia="黑体" w:cs="Times New Roman"/>
          <w:color w:val="auto"/>
          <w:kern w:val="2"/>
        </w:rPr>
      </w:pPr>
      <w:r>
        <w:rPr>
          <w:rStyle w:val="30"/>
          <w:rFonts w:ascii="Calibri" w:hAnsi="Calibri" w:eastAsia="黑体" w:cs="Times New Roman"/>
          <w:color w:val="auto"/>
          <w:kern w:val="2"/>
        </w:rPr>
        <w:t>15.4</w:t>
      </w:r>
      <w:r>
        <w:rPr>
          <w:rStyle w:val="30"/>
          <w:rFonts w:hint="eastAsia" w:ascii="黑体" w:hAnsi="黑体" w:eastAsia="黑体" w:cs="Times New Roman"/>
          <w:color w:val="auto"/>
          <w:kern w:val="2"/>
        </w:rPr>
        <w:t>保修</w:t>
      </w:r>
    </w:p>
    <w:p w14:paraId="0D5926B4">
      <w:pPr>
        <w:pStyle w:val="79"/>
        <w:spacing w:line="320" w:lineRule="exact"/>
        <w:ind w:firstLine="409" w:firstLineChars="195"/>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15.4.1 </w:t>
      </w:r>
      <w:r>
        <w:rPr>
          <w:rStyle w:val="30"/>
          <w:rFonts w:hint="eastAsia" w:ascii="仿宋_GB2312" w:hAnsi="Calibri" w:eastAsia="仿宋_GB2312" w:cs="Times New Roman"/>
          <w:color w:val="auto"/>
          <w:kern w:val="2"/>
        </w:rPr>
        <w:t>保修责任</w:t>
      </w:r>
    </w:p>
    <w:p w14:paraId="1ABBC704">
      <w:pPr>
        <w:pStyle w:val="79"/>
        <w:spacing w:line="320" w:lineRule="exact"/>
        <w:ind w:firstLine="420" w:firstLineChars="200"/>
        <w:rPr>
          <w:rStyle w:val="30"/>
          <w:rFonts w:ascii="Calibri" w:hAnsi="Calibri" w:eastAsia="仿宋_GB2312" w:cs="Times New Roman"/>
          <w:color w:val="auto"/>
          <w:u w:val="single"/>
        </w:rPr>
      </w:pPr>
      <w:r>
        <w:rPr>
          <w:rStyle w:val="30"/>
          <w:rFonts w:hint="eastAsia" w:ascii="仿宋_GB2312" w:hAnsi="Calibri" w:eastAsia="仿宋_GB2312" w:cs="Times New Roman"/>
          <w:color w:val="auto"/>
        </w:rPr>
        <w:t>工程保修期为：</w:t>
      </w:r>
      <w:r>
        <w:rPr>
          <w:rStyle w:val="30"/>
          <w:rFonts w:hint="eastAsia" w:ascii="宋体" w:hAnsi="宋体" w:eastAsia="宋体" w:cs="宋体"/>
          <w:color w:val="auto"/>
          <w:spacing w:val="-4"/>
          <w:u w:val="single"/>
        </w:rPr>
        <w:t>本工程保修期限按国家规定，</w:t>
      </w:r>
      <w:r>
        <w:rPr>
          <w:rStyle w:val="30"/>
          <w:rFonts w:hint="eastAsia" w:ascii="宋体" w:hAnsi="宋体" w:eastAsia="宋体" w:cs="宋体"/>
          <w:color w:val="auto"/>
          <w:u w:val="single"/>
        </w:rPr>
        <w:t>保修期限为本工程竣工验收通过之日起计算</w:t>
      </w:r>
      <w:r>
        <w:rPr>
          <w:rStyle w:val="30"/>
          <w:rFonts w:hint="eastAsia" w:ascii="仿宋_GB2312" w:hAnsi="Calibri" w:eastAsia="仿宋_GB2312" w:cs="Times New Roman"/>
          <w:color w:val="auto"/>
        </w:rPr>
        <w:t>。</w:t>
      </w:r>
    </w:p>
    <w:p w14:paraId="21037D7E">
      <w:pPr>
        <w:pStyle w:val="79"/>
        <w:spacing w:line="320" w:lineRule="exact"/>
        <w:ind w:firstLine="409" w:firstLineChars="195"/>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15.4.3 </w:t>
      </w:r>
      <w:r>
        <w:rPr>
          <w:rStyle w:val="30"/>
          <w:rFonts w:hint="eastAsia" w:ascii="仿宋_GB2312" w:hAnsi="Calibri" w:eastAsia="仿宋_GB2312" w:cs="Times New Roman"/>
          <w:color w:val="auto"/>
          <w:kern w:val="2"/>
        </w:rPr>
        <w:t>修复通知</w:t>
      </w:r>
    </w:p>
    <w:p w14:paraId="7F749107">
      <w:pPr>
        <w:pStyle w:val="79"/>
        <w:spacing w:line="320" w:lineRule="exact"/>
        <w:ind w:firstLine="409" w:firstLineChars="195"/>
        <w:rPr>
          <w:rStyle w:val="30"/>
          <w:rFonts w:ascii="Calibri" w:hAnsi="Calibri" w:eastAsia="仿宋_GB2312" w:cs="Times New Roman"/>
          <w:color w:val="auto"/>
          <w:u w:val="single"/>
        </w:rPr>
      </w:pPr>
      <w:r>
        <w:rPr>
          <w:rStyle w:val="30"/>
          <w:rFonts w:hint="eastAsia" w:ascii="仿宋_GB2312" w:hAnsi="Calibri" w:eastAsia="仿宋_GB2312" w:cs="Times New Roman"/>
          <w:color w:val="auto"/>
        </w:rPr>
        <w:t>承包人收到保修通知并到达工程现场的合理时间：</w:t>
      </w:r>
      <w:r>
        <w:rPr>
          <w:rStyle w:val="30"/>
          <w:rFonts w:hint="eastAsia" w:ascii="仿宋_GB2312" w:hAnsi="Calibri" w:eastAsia="仿宋_GB2312" w:cs="Times New Roman"/>
          <w:color w:val="auto"/>
          <w:u w:val="single"/>
        </w:rPr>
        <w:t>收到保修通知后</w:t>
      </w:r>
      <w:r>
        <w:rPr>
          <w:rStyle w:val="30"/>
          <w:rFonts w:ascii="Calibri" w:hAnsi="Calibri" w:eastAsia="仿宋_GB2312" w:cs="Times New Roman"/>
          <w:color w:val="auto"/>
          <w:u w:val="single"/>
        </w:rPr>
        <w:t>48</w:t>
      </w:r>
      <w:r>
        <w:rPr>
          <w:rStyle w:val="30"/>
          <w:rFonts w:hint="eastAsia" w:ascii="仿宋_GB2312" w:hAnsi="Calibri" w:eastAsia="仿宋_GB2312" w:cs="Times New Roman"/>
          <w:color w:val="auto"/>
          <w:u w:val="single"/>
        </w:rPr>
        <w:t>小时内</w:t>
      </w:r>
      <w:r>
        <w:rPr>
          <w:rStyle w:val="30"/>
          <w:rFonts w:hint="eastAsia" w:ascii="仿宋_GB2312" w:hAnsi="Calibri" w:eastAsia="仿宋_GB2312" w:cs="Times New Roman"/>
          <w:color w:val="auto"/>
        </w:rPr>
        <w:t>。</w:t>
      </w:r>
    </w:p>
    <w:p w14:paraId="7FFC7156">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16. </w:t>
      </w:r>
      <w:r>
        <w:rPr>
          <w:rStyle w:val="30"/>
          <w:rFonts w:hint="eastAsia" w:ascii="宋体" w:hAnsi="宋体" w:eastAsia="宋体" w:cs="Times New Roman"/>
          <w:color w:val="auto"/>
          <w:sz w:val="24"/>
          <w:szCs w:val="24"/>
        </w:rPr>
        <w:t>违约</w:t>
      </w:r>
    </w:p>
    <w:p w14:paraId="1BF28896">
      <w:pPr>
        <w:pStyle w:val="79"/>
        <w:spacing w:after="120" w:line="32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16.1 </w:t>
      </w:r>
      <w:r>
        <w:rPr>
          <w:rStyle w:val="30"/>
          <w:rFonts w:hint="eastAsia" w:ascii="黑体" w:hAnsi="黑体" w:eastAsia="黑体" w:cs="Times New Roman"/>
          <w:color w:val="auto"/>
          <w:kern w:val="2"/>
        </w:rPr>
        <w:t>发包人违约</w:t>
      </w:r>
    </w:p>
    <w:p w14:paraId="62F931C8">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16.1.1</w:t>
      </w:r>
      <w:r>
        <w:rPr>
          <w:rStyle w:val="30"/>
          <w:rFonts w:hint="eastAsia" w:ascii="仿宋_GB2312" w:hAnsi="Calibri" w:eastAsia="仿宋_GB2312" w:cs="Times New Roman"/>
          <w:color w:val="auto"/>
          <w:kern w:val="2"/>
        </w:rPr>
        <w:t>发包人违约的情形</w:t>
      </w:r>
    </w:p>
    <w:p w14:paraId="37EC03B5">
      <w:pPr>
        <w:pStyle w:val="79"/>
        <w:spacing w:line="320" w:lineRule="exact"/>
        <w:ind w:firstLine="420" w:firstLineChars="200"/>
        <w:rPr>
          <w:rStyle w:val="30"/>
          <w:rFonts w:ascii="Calibri" w:hAnsi="Calibri" w:eastAsia="仿宋_GB2312" w:cs="Times New Roman"/>
          <w:color w:val="auto"/>
          <w:u w:val="single"/>
        </w:rPr>
      </w:pPr>
      <w:r>
        <w:rPr>
          <w:rStyle w:val="30"/>
          <w:rFonts w:hint="eastAsia" w:ascii="仿宋_GB2312" w:hAnsi="Calibri" w:eastAsia="仿宋_GB2312" w:cs="Times New Roman"/>
          <w:color w:val="auto"/>
        </w:rPr>
        <w:t>发包人违约的其他情形：</w:t>
      </w:r>
      <w:r>
        <w:rPr>
          <w:rStyle w:val="30"/>
          <w:rFonts w:ascii="Calibri" w:hAnsi="Calibri" w:eastAsia="仿宋_GB2312" w:cs="Times New Roman"/>
          <w:color w:val="auto"/>
          <w:u w:val="single"/>
        </w:rPr>
        <w:t xml:space="preserve">  </w:t>
      </w:r>
      <w:r>
        <w:rPr>
          <w:rStyle w:val="30"/>
          <w:rFonts w:hint="eastAsia" w:ascii="Calibri" w:hAnsi="Calibri" w:eastAsia="仿宋_GB2312" w:cs="Times New Roman"/>
          <w:color w:val="auto"/>
          <w:u w:val="single"/>
        </w:rPr>
        <w:t>按通用合同条款执行</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619D1505">
      <w:pPr>
        <w:pStyle w:val="79"/>
        <w:spacing w:line="320" w:lineRule="exact"/>
        <w:ind w:left="1050" w:hanging="1050" w:hangingChars="500"/>
        <w:rPr>
          <w:rStyle w:val="30"/>
          <w:rFonts w:ascii="Calibri" w:hAnsi="Calibri" w:eastAsia="仿宋_GB2312" w:cs="Times New Roman"/>
          <w:color w:val="auto"/>
        </w:rPr>
      </w:pPr>
      <w:r>
        <w:rPr>
          <w:rStyle w:val="30"/>
          <w:rFonts w:ascii="Calibri" w:hAnsi="Calibri" w:eastAsia="仿宋_GB2312" w:cs="Times New Roman"/>
          <w:color w:val="auto"/>
        </w:rPr>
        <w:t xml:space="preserve">    16.1.2 </w:t>
      </w:r>
      <w:r>
        <w:rPr>
          <w:rStyle w:val="30"/>
          <w:rFonts w:hint="eastAsia" w:ascii="仿宋_GB2312" w:hAnsi="Calibri" w:eastAsia="仿宋_GB2312" w:cs="Times New Roman"/>
          <w:color w:val="auto"/>
        </w:rPr>
        <w:t>发包人违约的责任</w:t>
      </w:r>
      <w:r>
        <w:rPr>
          <w:rStyle w:val="30"/>
          <w:rFonts w:ascii="Calibri" w:hAnsi="Calibri" w:eastAsia="仿宋_GB2312" w:cs="Times New Roman"/>
          <w:color w:val="auto"/>
        </w:rPr>
        <w:t xml:space="preserve">  </w:t>
      </w:r>
    </w:p>
    <w:p w14:paraId="3FCE2F56">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发包人违约责任的承担方式和计算方法：</w:t>
      </w:r>
    </w:p>
    <w:p w14:paraId="76A6A46B">
      <w:pPr>
        <w:pStyle w:val="79"/>
        <w:spacing w:line="320" w:lineRule="exact"/>
        <w:ind w:firstLine="420" w:firstLineChars="200"/>
        <w:rPr>
          <w:rStyle w:val="30"/>
          <w:rFonts w:ascii="Calibri" w:hAnsi="Calibri" w:eastAsia="仿宋_GB2312" w:cs="Times New Roman"/>
          <w:color w:val="auto"/>
          <w:u w:val="single"/>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1</w:t>
      </w:r>
      <w:r>
        <w:rPr>
          <w:rStyle w:val="30"/>
          <w:rFonts w:hint="eastAsia" w:ascii="仿宋_GB2312" w:hAnsi="Calibri" w:eastAsia="仿宋_GB2312" w:cs="Times New Roman"/>
          <w:color w:val="auto"/>
        </w:rPr>
        <w:t>）因发包人原因未能在计划开工日期前</w:t>
      </w:r>
      <w:r>
        <w:rPr>
          <w:rStyle w:val="30"/>
          <w:rFonts w:ascii="Calibri" w:hAnsi="Calibri" w:eastAsia="仿宋_GB2312" w:cs="Times New Roman"/>
          <w:color w:val="auto"/>
        </w:rPr>
        <w:t>7</w:t>
      </w:r>
      <w:r>
        <w:rPr>
          <w:rStyle w:val="30"/>
          <w:rFonts w:hint="eastAsia" w:ascii="仿宋_GB2312" w:hAnsi="Calibri" w:eastAsia="仿宋_GB2312" w:cs="Times New Roman"/>
          <w:color w:val="auto"/>
        </w:rPr>
        <w:t>天内下达开工通知的违约责任：</w:t>
      </w:r>
      <w:r>
        <w:rPr>
          <w:rStyle w:val="30"/>
          <w:rFonts w:hint="eastAsia" w:ascii="宋体" w:hAnsi="宋体" w:eastAsia="宋体" w:cs="宋体"/>
          <w:color w:val="auto"/>
          <w:u w:val="single"/>
        </w:rPr>
        <w:t>按通用条款执行</w:t>
      </w:r>
      <w:r>
        <w:rPr>
          <w:rStyle w:val="30"/>
          <w:rFonts w:hint="eastAsia" w:ascii="仿宋_GB2312" w:hAnsi="Calibri" w:eastAsia="仿宋_GB2312" w:cs="Times New Roman"/>
          <w:color w:val="auto"/>
        </w:rPr>
        <w:t>。</w:t>
      </w:r>
    </w:p>
    <w:p w14:paraId="185B1691">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2</w:t>
      </w:r>
      <w:r>
        <w:rPr>
          <w:rStyle w:val="30"/>
          <w:rFonts w:hint="eastAsia" w:ascii="仿宋_GB2312" w:hAnsi="Calibri" w:eastAsia="仿宋_GB2312" w:cs="Times New Roman"/>
          <w:color w:val="auto"/>
        </w:rPr>
        <w:t>）因发包人原因未能按合同约定支付合同价款的违约责任：</w:t>
      </w:r>
      <w:r>
        <w:rPr>
          <w:rStyle w:val="30"/>
          <w:rFonts w:hint="eastAsia" w:ascii="仿宋_GB2312" w:hAnsi="Calibri" w:eastAsia="仿宋_GB2312" w:cs="Times New Roman"/>
          <w:color w:val="auto"/>
          <w:u w:val="single"/>
        </w:rPr>
        <w:t>应按照中国人民银行发布的同期同类贷款基准利率支付违约金</w:t>
      </w:r>
      <w:r>
        <w:rPr>
          <w:rStyle w:val="30"/>
          <w:rFonts w:hint="eastAsia" w:ascii="仿宋_GB2312" w:hAnsi="Calibri" w:eastAsia="仿宋_GB2312" w:cs="Times New Roman"/>
          <w:color w:val="auto"/>
        </w:rPr>
        <w:t>。</w:t>
      </w:r>
    </w:p>
    <w:p w14:paraId="1F61AEFF">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3</w:t>
      </w:r>
      <w:r>
        <w:rPr>
          <w:rStyle w:val="30"/>
          <w:rFonts w:hint="eastAsia" w:ascii="仿宋_GB2312" w:hAnsi="Calibri" w:eastAsia="仿宋_GB2312" w:cs="Times New Roman"/>
          <w:color w:val="auto"/>
        </w:rPr>
        <w:t>）发包人违反第</w:t>
      </w:r>
      <w:r>
        <w:rPr>
          <w:rStyle w:val="30"/>
          <w:rFonts w:ascii="Calibri" w:hAnsi="Calibri" w:eastAsia="仿宋_GB2312" w:cs="Times New Roman"/>
          <w:color w:val="auto"/>
        </w:rPr>
        <w:t>10.1</w:t>
      </w:r>
      <w:r>
        <w:rPr>
          <w:rStyle w:val="30"/>
          <w:rFonts w:hint="eastAsia" w:ascii="仿宋_GB2312" w:hAnsi="Calibri" w:eastAsia="仿宋_GB2312" w:cs="Times New Roman"/>
          <w:color w:val="auto"/>
        </w:rPr>
        <w:t>款〔变更的范围〕第（</w:t>
      </w:r>
      <w:r>
        <w:rPr>
          <w:rStyle w:val="30"/>
          <w:rFonts w:ascii="Calibri" w:hAnsi="Calibri" w:eastAsia="仿宋_GB2312" w:cs="Times New Roman"/>
          <w:color w:val="auto"/>
        </w:rPr>
        <w:t>2</w:t>
      </w:r>
      <w:r>
        <w:rPr>
          <w:rStyle w:val="30"/>
          <w:rFonts w:hint="eastAsia" w:ascii="仿宋_GB2312" w:hAnsi="Calibri" w:eastAsia="仿宋_GB2312" w:cs="Times New Roman"/>
          <w:color w:val="auto"/>
        </w:rPr>
        <w:t>）项约定，自行实施被取消的工作或转由他人实施的违约责任：</w:t>
      </w:r>
      <w:r>
        <w:rPr>
          <w:rStyle w:val="30"/>
          <w:rFonts w:hint="eastAsia" w:ascii="宋体" w:hAnsi="宋体" w:eastAsia="宋体" w:cs="宋体"/>
          <w:color w:val="auto"/>
          <w:u w:val="single"/>
        </w:rPr>
        <w:t>按通用条款执行</w:t>
      </w:r>
      <w:r>
        <w:rPr>
          <w:rStyle w:val="30"/>
          <w:rFonts w:hint="eastAsia" w:ascii="仿宋_GB2312" w:hAnsi="Calibri" w:eastAsia="仿宋_GB2312" w:cs="Times New Roman"/>
          <w:color w:val="auto"/>
        </w:rPr>
        <w:t>。</w:t>
      </w:r>
    </w:p>
    <w:p w14:paraId="25128C1F">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4</w:t>
      </w:r>
      <w:r>
        <w:rPr>
          <w:rStyle w:val="30"/>
          <w:rFonts w:hint="eastAsia" w:ascii="仿宋_GB2312" w:hAnsi="Calibri" w:eastAsia="仿宋_GB2312" w:cs="Times New Roman"/>
          <w:color w:val="auto"/>
        </w:rPr>
        <w:t>）发包人提供的材料、工程设备的规格、数量或质量不符合合同约定，或因发包人原因导致交货日期延误或交货地点变更等情况的违约责任：</w:t>
      </w:r>
      <w:r>
        <w:rPr>
          <w:rStyle w:val="30"/>
          <w:rFonts w:hint="eastAsia" w:ascii="宋体" w:hAnsi="宋体" w:eastAsia="宋体" w:cs="宋体"/>
          <w:color w:val="auto"/>
          <w:u w:val="single"/>
        </w:rPr>
        <w:t>承担相应费用，工期顺延</w:t>
      </w:r>
      <w:r>
        <w:rPr>
          <w:rStyle w:val="30"/>
          <w:rFonts w:hint="eastAsia" w:ascii="仿宋_GB2312" w:hAnsi="Calibri" w:eastAsia="仿宋_GB2312" w:cs="Times New Roman"/>
          <w:color w:val="auto"/>
        </w:rPr>
        <w:t>。</w:t>
      </w:r>
    </w:p>
    <w:p w14:paraId="257AD33C">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5</w:t>
      </w:r>
      <w:r>
        <w:rPr>
          <w:rStyle w:val="30"/>
          <w:rFonts w:hint="eastAsia" w:ascii="仿宋_GB2312" w:hAnsi="Calibri" w:eastAsia="仿宋_GB2312" w:cs="Times New Roman"/>
          <w:color w:val="auto"/>
        </w:rPr>
        <w:t>）因发包人违反合同约定造成暂停施工的违约责任：</w:t>
      </w:r>
      <w:r>
        <w:rPr>
          <w:rStyle w:val="30"/>
          <w:rFonts w:hint="eastAsia" w:ascii="宋体" w:hAnsi="宋体" w:eastAsia="宋体" w:cs="宋体"/>
          <w:color w:val="auto"/>
          <w:u w:val="single"/>
        </w:rPr>
        <w:t>承担相应费用，工期顺延，补偿给承包人合理利润</w:t>
      </w:r>
      <w:r>
        <w:rPr>
          <w:rStyle w:val="30"/>
          <w:rFonts w:hint="eastAsia" w:ascii="仿宋_GB2312" w:hAnsi="Calibri" w:eastAsia="仿宋_GB2312" w:cs="Times New Roman"/>
          <w:color w:val="auto"/>
        </w:rPr>
        <w:t>。</w:t>
      </w:r>
    </w:p>
    <w:p w14:paraId="5ABFD09B">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6</w:t>
      </w:r>
      <w:r>
        <w:rPr>
          <w:rStyle w:val="30"/>
          <w:rFonts w:hint="eastAsia" w:ascii="仿宋_GB2312" w:hAnsi="Calibri" w:eastAsia="仿宋_GB2312" w:cs="Times New Roman"/>
          <w:color w:val="auto"/>
        </w:rPr>
        <w:t>）发包人无正当理由没有在约定期限内发出复工指示，导致承包人无法复工的违约责任：</w:t>
      </w:r>
      <w:r>
        <w:rPr>
          <w:rStyle w:val="30"/>
          <w:rFonts w:hint="eastAsia" w:ascii="宋体" w:hAnsi="宋体" w:eastAsia="宋体" w:cs="宋体"/>
          <w:color w:val="auto"/>
          <w:u w:val="single"/>
        </w:rPr>
        <w:t>承担费用和工期损失</w:t>
      </w:r>
      <w:r>
        <w:rPr>
          <w:rStyle w:val="30"/>
          <w:rFonts w:hint="eastAsia" w:ascii="仿宋_GB2312" w:hAnsi="Calibri" w:eastAsia="仿宋_GB2312" w:cs="Times New Roman"/>
          <w:color w:val="auto"/>
        </w:rPr>
        <w:t>。</w:t>
      </w:r>
    </w:p>
    <w:p w14:paraId="2C8E5610">
      <w:pPr>
        <w:pStyle w:val="79"/>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w:t>
      </w:r>
      <w:r>
        <w:rPr>
          <w:rStyle w:val="30"/>
          <w:rFonts w:ascii="Calibri" w:hAnsi="Calibri" w:eastAsia="仿宋_GB2312" w:cs="Times New Roman"/>
          <w:color w:val="auto"/>
        </w:rPr>
        <w:t>7</w:t>
      </w:r>
      <w:r>
        <w:rPr>
          <w:rStyle w:val="30"/>
          <w:rFonts w:hint="eastAsia" w:ascii="仿宋_GB2312" w:hAnsi="Calibri" w:eastAsia="仿宋_GB2312" w:cs="Times New Roman"/>
          <w:color w:val="auto"/>
        </w:rPr>
        <w:t>）其他：</w:t>
      </w:r>
      <w:r>
        <w:rPr>
          <w:rStyle w:val="30"/>
          <w:rFonts w:ascii="Calibri" w:hAnsi="Calibri" w:eastAsia="仿宋_GB2312" w:cs="Times New Roman"/>
          <w:color w:val="auto"/>
          <w:u w:val="single"/>
        </w:rPr>
        <w:t xml:space="preserve">     </w:t>
      </w:r>
      <w:r>
        <w:rPr>
          <w:rStyle w:val="30"/>
          <w:rFonts w:hint="eastAsia" w:ascii="Calibri" w:hAnsi="Calibri" w:eastAsia="仿宋_GB2312" w:cs="Times New Roman"/>
          <w:color w:val="auto"/>
          <w:u w:val="single"/>
        </w:rPr>
        <w:t>/</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25EEFFE5">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16.1.3 </w:t>
      </w:r>
      <w:r>
        <w:rPr>
          <w:rStyle w:val="30"/>
          <w:rFonts w:hint="eastAsia" w:ascii="仿宋_GB2312" w:hAnsi="Calibri" w:eastAsia="仿宋_GB2312" w:cs="Times New Roman"/>
          <w:color w:val="auto"/>
          <w:kern w:val="2"/>
        </w:rPr>
        <w:t>因发包人违约解除合同</w:t>
      </w:r>
    </w:p>
    <w:p w14:paraId="047B8D39">
      <w:pPr>
        <w:pStyle w:val="79"/>
        <w:autoSpaceDE w:val="0"/>
        <w:autoSpaceDN w:val="0"/>
        <w:adjustRightInd w:val="0"/>
        <w:spacing w:line="32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承包人按</w:t>
      </w:r>
      <w:r>
        <w:rPr>
          <w:rStyle w:val="30"/>
          <w:rFonts w:ascii="Calibri" w:hAnsi="Calibri" w:eastAsia="仿宋_GB2312" w:cs="Times New Roman"/>
          <w:color w:val="auto"/>
        </w:rPr>
        <w:t>16.1.1</w:t>
      </w:r>
      <w:r>
        <w:rPr>
          <w:rStyle w:val="30"/>
          <w:rFonts w:hint="eastAsia" w:ascii="仿宋_GB2312" w:hAnsi="Calibri" w:eastAsia="仿宋_GB2312" w:cs="Times New Roman"/>
          <w:color w:val="auto"/>
        </w:rPr>
        <w:t>项〔发包人违约的情形〕约定暂停施工满</w:t>
      </w:r>
      <w:r>
        <w:rPr>
          <w:rStyle w:val="30"/>
          <w:rFonts w:ascii="Calibri" w:hAnsi="Calibri" w:cs="Times New Roman"/>
          <w:color w:val="auto"/>
          <w:kern w:val="2"/>
          <w:u w:val="single"/>
        </w:rPr>
        <w:t>90</w:t>
      </w:r>
      <w:r>
        <w:rPr>
          <w:rStyle w:val="30"/>
          <w:rFonts w:hint="eastAsia" w:ascii="仿宋_GB2312" w:hAnsi="Calibri" w:eastAsia="仿宋_GB2312" w:cs="Times New Roman"/>
          <w:color w:val="auto"/>
        </w:rPr>
        <w:t>天后发包人仍不纠正其违约行为并致使合同目的不能实现的，承包人有权解除合同。</w:t>
      </w:r>
    </w:p>
    <w:p w14:paraId="2D95F891">
      <w:pPr>
        <w:pStyle w:val="79"/>
        <w:spacing w:after="120" w:line="32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16.2 </w:t>
      </w:r>
      <w:r>
        <w:rPr>
          <w:rStyle w:val="30"/>
          <w:rFonts w:hint="eastAsia" w:ascii="黑体" w:hAnsi="黑体" w:eastAsia="黑体" w:cs="Times New Roman"/>
          <w:color w:val="auto"/>
          <w:kern w:val="2"/>
        </w:rPr>
        <w:t>承包人违约</w:t>
      </w:r>
    </w:p>
    <w:p w14:paraId="4010C0A0">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16.2.1 </w:t>
      </w:r>
      <w:r>
        <w:rPr>
          <w:rStyle w:val="30"/>
          <w:rFonts w:hint="eastAsia" w:ascii="仿宋_GB2312" w:hAnsi="Calibri" w:eastAsia="仿宋_GB2312" w:cs="Times New Roman"/>
          <w:color w:val="auto"/>
        </w:rPr>
        <w:t>承包人违约的情形</w:t>
      </w:r>
    </w:p>
    <w:p w14:paraId="72FE4405">
      <w:pPr>
        <w:pStyle w:val="79"/>
        <w:spacing w:line="320" w:lineRule="exact"/>
        <w:ind w:firstLine="420" w:firstLineChars="200"/>
        <w:rPr>
          <w:rStyle w:val="30"/>
          <w:rFonts w:ascii="Calibri" w:hAnsi="Calibri" w:eastAsia="仿宋_GB2312" w:cs="Times New Roman"/>
          <w:color w:val="auto"/>
          <w:u w:val="single"/>
        </w:rPr>
      </w:pPr>
      <w:r>
        <w:rPr>
          <w:rStyle w:val="30"/>
          <w:rFonts w:hint="eastAsia" w:ascii="仿宋_GB2312" w:hAnsi="Calibri" w:eastAsia="仿宋_GB2312" w:cs="Times New Roman"/>
          <w:color w:val="auto"/>
        </w:rPr>
        <w:t>承包人违约的其他情形：</w:t>
      </w:r>
      <w:r>
        <w:rPr>
          <w:rStyle w:val="30"/>
          <w:rFonts w:ascii="Calibri" w:hAnsi="Calibri" w:eastAsia="仿宋_GB2312" w:cs="Times New Roman"/>
          <w:color w:val="auto"/>
          <w:u w:val="single"/>
        </w:rPr>
        <w:t xml:space="preserve">  </w:t>
      </w:r>
      <w:r>
        <w:rPr>
          <w:rStyle w:val="30"/>
          <w:rFonts w:hint="eastAsia" w:ascii="Calibri" w:hAnsi="Calibri" w:eastAsia="仿宋_GB2312" w:cs="Times New Roman"/>
          <w:color w:val="auto"/>
          <w:u w:val="single"/>
        </w:rPr>
        <w:t>按通用合同条款执行</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312B0ACC">
      <w:pPr>
        <w:pStyle w:val="79"/>
        <w:spacing w:line="32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16.2.2</w:t>
      </w:r>
      <w:r>
        <w:rPr>
          <w:rStyle w:val="30"/>
          <w:rFonts w:hint="eastAsia" w:ascii="仿宋_GB2312" w:hAnsi="Calibri" w:eastAsia="仿宋_GB2312" w:cs="Times New Roman"/>
          <w:color w:val="auto"/>
        </w:rPr>
        <w:t>承包人违约的责任</w:t>
      </w:r>
    </w:p>
    <w:p w14:paraId="0BA53FCC">
      <w:pPr>
        <w:pStyle w:val="79"/>
        <w:ind w:firstLine="403" w:firstLineChars="192"/>
        <w:rPr>
          <w:rStyle w:val="30"/>
          <w:rFonts w:ascii="Calibri" w:hAnsi="Calibri" w:eastAsia="仿宋_GB2312" w:cs="Times New Roman"/>
          <w:color w:val="auto"/>
          <w:u w:val="single"/>
        </w:rPr>
      </w:pPr>
      <w:r>
        <w:rPr>
          <w:rStyle w:val="30"/>
          <w:rFonts w:hint="eastAsia" w:ascii="仿宋_GB2312" w:hAnsi="Calibri" w:eastAsia="仿宋_GB2312" w:cs="Times New Roman"/>
          <w:color w:val="auto"/>
        </w:rPr>
        <w:t>承包人违约责任的承担方式和计算方法：</w:t>
      </w:r>
    </w:p>
    <w:p w14:paraId="6751B6C1">
      <w:pPr>
        <w:pStyle w:val="79"/>
        <w:ind w:firstLine="403" w:firstLineChars="192"/>
        <w:rPr>
          <w:rStyle w:val="30"/>
          <w:rFonts w:ascii="Calibri" w:hAnsi="Calibri" w:eastAsia="宋体" w:cs="Times New Roman"/>
          <w:color w:val="auto"/>
          <w:kern w:val="2"/>
        </w:rPr>
      </w:pPr>
      <w:r>
        <w:rPr>
          <w:rStyle w:val="30"/>
          <w:rFonts w:hint="eastAsia" w:ascii="宋体" w:hAnsi="宋体" w:cs="Times New Roman"/>
          <w:color w:val="auto"/>
          <w:kern w:val="2"/>
        </w:rPr>
        <w:t>（</w:t>
      </w:r>
      <w:r>
        <w:rPr>
          <w:rStyle w:val="30"/>
          <w:rFonts w:ascii="Calibri" w:hAnsi="Calibri" w:cs="Times New Roman"/>
          <w:color w:val="auto"/>
          <w:kern w:val="2"/>
        </w:rPr>
        <w:t>1</w:t>
      </w:r>
      <w:r>
        <w:rPr>
          <w:rStyle w:val="30"/>
          <w:rFonts w:hint="eastAsia" w:ascii="宋体" w:hAnsi="宋体" w:cs="Times New Roman"/>
          <w:color w:val="auto"/>
          <w:kern w:val="2"/>
        </w:rPr>
        <w:t>）</w:t>
      </w:r>
      <w:r>
        <w:rPr>
          <w:rStyle w:val="30"/>
          <w:rFonts w:hint="eastAsia" w:ascii="宋体" w:hAnsi="宋体" w:cs="Times New Roman"/>
          <w:color w:val="auto"/>
          <w:kern w:val="2"/>
          <w:u w:val="single"/>
        </w:rPr>
        <w:t>承包人应向发包人和监理单位提供月进度计划，若承包人月施工工期无故延误达5天及以上，发包人将签发整改通知书，责令承包人限期抢回，并暂扣承包人30</w:t>
      </w:r>
      <w:r>
        <w:rPr>
          <w:rStyle w:val="30"/>
          <w:rFonts w:ascii="Calibri" w:hAnsi="Calibri" w:cs="Times New Roman"/>
          <w:color w:val="auto"/>
          <w:kern w:val="2"/>
          <w:u w:val="single"/>
        </w:rPr>
        <w:t>%</w:t>
      </w:r>
      <w:r>
        <w:rPr>
          <w:rStyle w:val="30"/>
          <w:rFonts w:hint="eastAsia" w:ascii="宋体" w:hAnsi="宋体" w:cs="Times New Roman"/>
          <w:color w:val="auto"/>
          <w:kern w:val="2"/>
          <w:u w:val="single"/>
        </w:rPr>
        <w:t>的月应付工程进度款，待工期抢回后，再还暂扣款。</w:t>
      </w:r>
    </w:p>
    <w:p w14:paraId="66DB5C34">
      <w:pPr>
        <w:pStyle w:val="79"/>
        <w:widowControl/>
        <w:ind w:firstLine="420" w:firstLineChars="200"/>
        <w:rPr>
          <w:rStyle w:val="30"/>
          <w:rFonts w:ascii="Calibri" w:hAnsi="Calibri" w:cs="Times New Roman"/>
          <w:color w:val="auto"/>
          <w:kern w:val="2"/>
          <w:u w:val="single"/>
        </w:rPr>
      </w:pPr>
      <w:r>
        <w:rPr>
          <w:rStyle w:val="30"/>
          <w:rFonts w:hint="eastAsia" w:ascii="宋体" w:hAnsi="宋体" w:cs="Times New Roman"/>
          <w:color w:val="auto"/>
          <w:kern w:val="2"/>
        </w:rPr>
        <w:t>（</w:t>
      </w:r>
      <w:r>
        <w:rPr>
          <w:rStyle w:val="30"/>
          <w:rFonts w:ascii="Calibri" w:hAnsi="Calibri" w:cs="Times New Roman"/>
          <w:color w:val="auto"/>
          <w:kern w:val="2"/>
        </w:rPr>
        <w:t>2</w:t>
      </w:r>
      <w:r>
        <w:rPr>
          <w:rStyle w:val="30"/>
          <w:rFonts w:hint="eastAsia" w:ascii="宋体" w:hAnsi="宋体" w:cs="Times New Roman"/>
          <w:color w:val="auto"/>
          <w:kern w:val="2"/>
        </w:rPr>
        <w:t>）</w:t>
      </w:r>
      <w:r>
        <w:rPr>
          <w:rStyle w:val="30"/>
          <w:rFonts w:hint="eastAsia" w:ascii="宋体" w:hAnsi="宋体" w:cs="Times New Roman"/>
          <w:color w:val="auto"/>
          <w:kern w:val="2"/>
          <w:u w:val="single"/>
        </w:rPr>
        <w:t>施工现场文明施工管理未达到相关文件标准要求，发包人有权要求承包人按照工程款的一定比例承担违约责任。</w:t>
      </w:r>
      <w:r>
        <w:rPr>
          <w:rStyle w:val="30"/>
          <w:rFonts w:ascii="Calibri" w:hAnsi="Calibri" w:cs="Times New Roman"/>
          <w:color w:val="auto"/>
        </w:rPr>
        <w:t xml:space="preserve">   </w:t>
      </w:r>
    </w:p>
    <w:p w14:paraId="2174D7C0">
      <w:pPr>
        <w:pStyle w:val="79"/>
        <w:spacing w:line="32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16.2.3 </w:t>
      </w:r>
      <w:r>
        <w:rPr>
          <w:rStyle w:val="30"/>
          <w:rFonts w:hint="eastAsia" w:ascii="仿宋_GB2312" w:hAnsi="Calibri" w:eastAsia="仿宋_GB2312" w:cs="Times New Roman"/>
          <w:color w:val="auto"/>
          <w:kern w:val="2"/>
        </w:rPr>
        <w:t>因承包人违约解除合同</w:t>
      </w:r>
    </w:p>
    <w:p w14:paraId="4639E8FF">
      <w:pPr>
        <w:pStyle w:val="79"/>
        <w:widowControl/>
        <w:spacing w:before="120" w:after="120" w:line="300" w:lineRule="exact"/>
        <w:ind w:firstLine="420" w:firstLineChars="200"/>
        <w:rPr>
          <w:rStyle w:val="30"/>
          <w:rFonts w:ascii="Calibri" w:hAnsi="Calibri" w:eastAsia="宋体" w:cs="Times New Roman"/>
          <w:color w:val="auto"/>
        </w:rPr>
      </w:pPr>
      <w:r>
        <w:rPr>
          <w:rStyle w:val="30"/>
          <w:rFonts w:hint="eastAsia" w:ascii="仿宋_GB2312" w:hAnsi="Calibri" w:eastAsia="仿宋_GB2312" w:cs="Times New Roman"/>
          <w:color w:val="auto"/>
        </w:rPr>
        <w:t>关于承包人违约解除合同的特别约定：</w:t>
      </w:r>
      <w:r>
        <w:rPr>
          <w:rStyle w:val="30"/>
          <w:rFonts w:ascii="Calibri" w:hAnsi="Calibri" w:eastAsia="仿宋_GB2312" w:cs="Times New Roman"/>
          <w:color w:val="auto"/>
          <w:u w:val="single"/>
        </w:rPr>
        <w:t xml:space="preserve"> </w:t>
      </w:r>
      <w:r>
        <w:rPr>
          <w:rStyle w:val="30"/>
          <w:rFonts w:ascii="Calibri" w:hAnsi="Calibri" w:cs="Times New Roman"/>
          <w:color w:val="auto"/>
          <w:u w:val="single"/>
        </w:rPr>
        <w:t xml:space="preserve"> </w:t>
      </w:r>
      <w:r>
        <w:rPr>
          <w:rStyle w:val="30"/>
          <w:rFonts w:hint="eastAsia" w:ascii="宋体" w:hAnsi="宋体" w:cs="Times New Roman"/>
          <w:color w:val="auto"/>
          <w:u w:val="single"/>
        </w:rPr>
        <w:t>除通用合同条款规定外，承包人还应承担由此给发包人造成的所有经济损失</w:t>
      </w:r>
      <w:r>
        <w:rPr>
          <w:rStyle w:val="30"/>
          <w:rFonts w:hint="eastAsia" w:ascii="宋体" w:hAnsi="宋体" w:cs="Times New Roman"/>
          <w:color w:val="auto"/>
        </w:rPr>
        <w:t>。</w:t>
      </w:r>
    </w:p>
    <w:p w14:paraId="0A7A7312">
      <w:pPr>
        <w:pStyle w:val="79"/>
        <w:spacing w:before="120" w:after="120" w:line="300" w:lineRule="exact"/>
        <w:ind w:firstLine="420" w:firstLineChars="200"/>
        <w:rPr>
          <w:rStyle w:val="30"/>
          <w:rFonts w:ascii="Calibri" w:hAnsi="Calibri" w:eastAsia="仿宋_GB2312" w:cs="Times New Roman"/>
          <w:color w:val="auto"/>
        </w:rPr>
      </w:pPr>
      <w:r>
        <w:rPr>
          <w:rStyle w:val="30"/>
          <w:rFonts w:hint="eastAsia" w:ascii="仿宋_GB2312" w:hAnsi="Calibri" w:eastAsia="仿宋_GB2312" w:cs="Times New Roman"/>
          <w:color w:val="auto"/>
        </w:rPr>
        <w:t>发包人继续使用承包人在施工现场的材料、设备、临时工程、承包人文件和由承包人或以其名义编制的其他文件的费用承担方式：</w:t>
      </w:r>
      <w:r>
        <w:rPr>
          <w:rStyle w:val="30"/>
          <w:rFonts w:ascii="Calibri" w:hAnsi="Calibri" w:eastAsia="仿宋_GB2312" w:cs="Times New Roman"/>
          <w:color w:val="auto"/>
          <w:u w:val="single"/>
        </w:rPr>
        <w:t xml:space="preserve"> </w:t>
      </w:r>
      <w:r>
        <w:rPr>
          <w:rStyle w:val="30"/>
          <w:rFonts w:ascii="宋体" w:hAnsi="宋体" w:cs="Times New Roman"/>
          <w:b/>
          <w:bCs/>
          <w:color w:val="auto"/>
          <w:u w:val="single"/>
        </w:rPr>
        <w:t xml:space="preserve">  </w:t>
      </w:r>
      <w:r>
        <w:rPr>
          <w:rStyle w:val="30"/>
          <w:rFonts w:hint="eastAsia" w:ascii="宋体" w:hAnsi="宋体" w:eastAsia="宋体" w:cs="宋体"/>
          <w:b/>
          <w:bCs/>
          <w:color w:val="auto"/>
          <w:u w:val="single"/>
        </w:rPr>
        <w:t>按实支付材料费、设备租用费。</w:t>
      </w:r>
    </w:p>
    <w:p w14:paraId="599E9415">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17. </w:t>
      </w:r>
      <w:r>
        <w:rPr>
          <w:rStyle w:val="30"/>
          <w:rFonts w:hint="eastAsia" w:ascii="宋体" w:hAnsi="宋体" w:eastAsia="宋体" w:cs="Times New Roman"/>
          <w:color w:val="auto"/>
          <w:sz w:val="24"/>
          <w:szCs w:val="24"/>
        </w:rPr>
        <w:t xml:space="preserve">不可抗力 </w:t>
      </w:r>
    </w:p>
    <w:p w14:paraId="5D012C42">
      <w:pPr>
        <w:pStyle w:val="79"/>
        <w:spacing w:after="120" w:line="30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17.1 </w:t>
      </w:r>
      <w:r>
        <w:rPr>
          <w:rStyle w:val="30"/>
          <w:rFonts w:hint="eastAsia" w:ascii="黑体" w:hAnsi="黑体" w:eastAsia="黑体" w:cs="Times New Roman"/>
          <w:color w:val="auto"/>
          <w:kern w:val="2"/>
        </w:rPr>
        <w:t>不可抗力的确认</w:t>
      </w:r>
    </w:p>
    <w:p w14:paraId="3D0D8899">
      <w:pPr>
        <w:pStyle w:val="79"/>
        <w:spacing w:line="300" w:lineRule="exact"/>
        <w:ind w:firstLine="420" w:firstLineChars="200"/>
        <w:rPr>
          <w:rStyle w:val="30"/>
          <w:rFonts w:ascii="Calibri" w:hAnsi="Calibri" w:eastAsia="仿宋_GB2312" w:cs="Times New Roman"/>
          <w:color w:val="auto"/>
          <w:u w:val="single"/>
        </w:rPr>
      </w:pPr>
      <w:r>
        <w:rPr>
          <w:rStyle w:val="30"/>
          <w:rFonts w:hint="eastAsia" w:ascii="仿宋_GB2312" w:hAnsi="Calibri" w:eastAsia="仿宋_GB2312" w:cs="Times New Roman"/>
          <w:color w:val="auto"/>
          <w:kern w:val="2"/>
        </w:rPr>
        <w:t>除通用合同条款约定的不可抗力事件之外，视为不可抗力的其他情形：</w:t>
      </w:r>
      <w:r>
        <w:rPr>
          <w:rStyle w:val="30"/>
          <w:rFonts w:ascii="Calibri" w:hAnsi="Calibri" w:eastAsia="仿宋_GB2312" w:cs="Times New Roman"/>
          <w:color w:val="auto"/>
          <w:kern w:val="2"/>
        </w:rPr>
        <w:t xml:space="preserve"> </w:t>
      </w:r>
      <w:r>
        <w:rPr>
          <w:rStyle w:val="30"/>
          <w:rFonts w:ascii="Calibri" w:hAnsi="Calibri" w:eastAsia="仿宋_GB2312" w:cs="Times New Roman"/>
          <w:color w:val="auto"/>
          <w:u w:val="single"/>
        </w:rPr>
        <w:t xml:space="preserve">                     </w:t>
      </w:r>
    </w:p>
    <w:p w14:paraId="45078240">
      <w:pPr>
        <w:pStyle w:val="79"/>
        <w:spacing w:line="300" w:lineRule="exact"/>
        <w:rPr>
          <w:rStyle w:val="30"/>
          <w:rFonts w:ascii="Calibri" w:hAnsi="Calibri" w:eastAsia="仿宋_GB2312" w:cs="Times New Roman"/>
          <w:color w:val="auto"/>
          <w:u w:val="single"/>
        </w:rPr>
      </w:pP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3EEA9603">
      <w:pPr>
        <w:pStyle w:val="79"/>
        <w:spacing w:after="120" w:line="30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17.4 </w:t>
      </w:r>
      <w:r>
        <w:rPr>
          <w:rStyle w:val="30"/>
          <w:rFonts w:hint="eastAsia" w:ascii="黑体" w:hAnsi="黑体" w:eastAsia="黑体" w:cs="Times New Roman"/>
          <w:color w:val="auto"/>
          <w:kern w:val="2"/>
        </w:rPr>
        <w:t>因不可抗力解除合同</w:t>
      </w:r>
    </w:p>
    <w:p w14:paraId="2E341CC2">
      <w:pPr>
        <w:pStyle w:val="79"/>
        <w:spacing w:line="30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合同解除后，发包人应在商定或确定发包人应支付款项后</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28</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天内完成款项的支付。</w:t>
      </w:r>
    </w:p>
    <w:p w14:paraId="572E195D">
      <w:pPr>
        <w:pStyle w:val="109"/>
        <w:rPr>
          <w:rStyle w:val="30"/>
          <w:rFonts w:eastAsia="宋体" w:cs="Times New Roman"/>
          <w:color w:val="auto"/>
          <w:sz w:val="24"/>
          <w:szCs w:val="24"/>
        </w:rPr>
      </w:pPr>
      <w:r>
        <w:rPr>
          <w:rStyle w:val="30"/>
          <w:rFonts w:hint="eastAsia" w:eastAsia="宋体" w:cs="Times New Roman"/>
          <w:color w:val="auto"/>
          <w:sz w:val="24"/>
          <w:szCs w:val="24"/>
        </w:rPr>
        <w:t xml:space="preserve">18. </w:t>
      </w:r>
      <w:r>
        <w:rPr>
          <w:rStyle w:val="30"/>
          <w:rFonts w:hint="eastAsia" w:ascii="宋体" w:hAnsi="宋体" w:eastAsia="宋体" w:cs="Times New Roman"/>
          <w:color w:val="auto"/>
          <w:sz w:val="24"/>
          <w:szCs w:val="24"/>
        </w:rPr>
        <w:t>保险</w:t>
      </w:r>
    </w:p>
    <w:p w14:paraId="27A2E336">
      <w:pPr>
        <w:pStyle w:val="79"/>
        <w:spacing w:after="120" w:line="300" w:lineRule="exact"/>
        <w:ind w:firstLine="420" w:firstLineChars="200"/>
        <w:rPr>
          <w:rStyle w:val="30"/>
          <w:rFonts w:hint="eastAsia" w:ascii="Calibri" w:hAnsi="Calibri" w:eastAsia="黑体" w:cs="Times New Roman"/>
          <w:color w:val="auto"/>
          <w:kern w:val="2"/>
          <w:sz w:val="24"/>
          <w:szCs w:val="24"/>
        </w:rPr>
      </w:pPr>
      <w:r>
        <w:rPr>
          <w:rStyle w:val="30"/>
          <w:rFonts w:ascii="Calibri" w:hAnsi="Calibri" w:eastAsia="黑体" w:cs="Times New Roman"/>
          <w:color w:val="auto"/>
          <w:kern w:val="2"/>
        </w:rPr>
        <w:t xml:space="preserve">18.1 </w:t>
      </w:r>
      <w:r>
        <w:rPr>
          <w:rStyle w:val="30"/>
          <w:rFonts w:hint="eastAsia" w:ascii="黑体" w:hAnsi="黑体" w:eastAsia="黑体" w:cs="Times New Roman"/>
          <w:color w:val="auto"/>
          <w:kern w:val="2"/>
        </w:rPr>
        <w:t>工程保险</w:t>
      </w:r>
    </w:p>
    <w:p w14:paraId="6D71ED18">
      <w:pPr>
        <w:pStyle w:val="79"/>
        <w:spacing w:line="30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关于工程保险的特别约定：</w:t>
      </w:r>
      <w:r>
        <w:rPr>
          <w:rStyle w:val="30"/>
          <w:rFonts w:ascii="Calibri" w:hAnsi="Calibri" w:eastAsia="仿宋_GB2312" w:cs="Times New Roman"/>
          <w:color w:val="auto"/>
          <w:u w:val="single"/>
        </w:rPr>
        <w:t xml:space="preserve"> </w:t>
      </w:r>
      <w:r>
        <w:rPr>
          <w:rStyle w:val="30"/>
          <w:rFonts w:hint="eastAsia" w:ascii="宋体" w:hAnsi="宋体" w:eastAsia="宋体" w:cs="宋体"/>
          <w:color w:val="auto"/>
          <w:u w:val="single"/>
        </w:rPr>
        <w:t>按通用条款执行</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1C811208">
      <w:pPr>
        <w:pStyle w:val="79"/>
        <w:spacing w:after="120" w:line="30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18.3 </w:t>
      </w:r>
      <w:r>
        <w:rPr>
          <w:rStyle w:val="30"/>
          <w:rFonts w:hint="eastAsia" w:ascii="黑体" w:hAnsi="黑体" w:eastAsia="黑体" w:cs="Times New Roman"/>
          <w:color w:val="auto"/>
          <w:kern w:val="2"/>
        </w:rPr>
        <w:t>其他保险</w:t>
      </w:r>
    </w:p>
    <w:p w14:paraId="282CDDE4">
      <w:pPr>
        <w:pStyle w:val="79"/>
        <w:spacing w:line="300" w:lineRule="exact"/>
        <w:ind w:firstLine="420" w:firstLineChars="200"/>
        <w:rPr>
          <w:rStyle w:val="30"/>
          <w:rFonts w:ascii="宋体" w:hAnsi="Calibri" w:cs="Times New Roman"/>
          <w:color w:val="auto"/>
          <w:kern w:val="2"/>
          <w:u w:val="single"/>
        </w:rPr>
      </w:pPr>
      <w:r>
        <w:rPr>
          <w:rStyle w:val="30"/>
          <w:rFonts w:hint="eastAsia" w:ascii="仿宋_GB2312" w:hAnsi="Calibri" w:eastAsia="仿宋_GB2312" w:cs="Times New Roman"/>
          <w:color w:val="auto"/>
          <w:kern w:val="2"/>
        </w:rPr>
        <w:t>关于其他保险的约定：</w:t>
      </w:r>
      <w:r>
        <w:rPr>
          <w:rStyle w:val="30"/>
          <w:rFonts w:hint="eastAsia" w:ascii="宋体" w:hAnsi="宋体" w:eastAsia="宋体" w:cs="宋体"/>
          <w:color w:val="auto"/>
          <w:u w:val="single"/>
        </w:rPr>
        <w:t>按现行省市有关投保规定各自办理投保手续，并承担相应费用</w:t>
      </w:r>
      <w:r>
        <w:rPr>
          <w:rStyle w:val="30"/>
          <w:rFonts w:hint="eastAsia" w:ascii="仿宋_GB2312" w:hAnsi="Calibri" w:eastAsia="仿宋_GB2312" w:cs="Times New Roman"/>
          <w:color w:val="auto"/>
        </w:rPr>
        <w:t>。</w:t>
      </w:r>
    </w:p>
    <w:p w14:paraId="5A825252">
      <w:pPr>
        <w:pStyle w:val="79"/>
        <w:spacing w:line="300" w:lineRule="exact"/>
        <w:ind w:firstLine="420" w:firstLineChars="200"/>
        <w:rPr>
          <w:rStyle w:val="30"/>
          <w:rFonts w:hint="eastAsia" w:ascii="Times New Roman" w:hAnsi="Calibri" w:eastAsia="仿宋_GB2312" w:cs="Times New Roman"/>
          <w:color w:val="auto"/>
          <w:kern w:val="2"/>
          <w:u w:val="single"/>
        </w:rPr>
      </w:pPr>
      <w:r>
        <w:rPr>
          <w:rStyle w:val="30"/>
          <w:rFonts w:hint="eastAsia" w:ascii="仿宋_GB2312" w:hAnsi="Calibri" w:eastAsia="仿宋_GB2312" w:cs="Times New Roman"/>
          <w:color w:val="auto"/>
          <w:kern w:val="2"/>
        </w:rPr>
        <w:t>承包人是否应为其施工设备等办理财产保险：</w:t>
      </w:r>
      <w:r>
        <w:rPr>
          <w:rStyle w:val="30"/>
          <w:rFonts w:hint="eastAsia" w:ascii="宋体" w:hAnsi="宋体" w:eastAsia="宋体" w:cs="宋体"/>
          <w:color w:val="auto"/>
          <w:u w:val="single"/>
        </w:rPr>
        <w:t>由承包人自行办理并承担相应费用</w:t>
      </w:r>
      <w:r>
        <w:rPr>
          <w:rStyle w:val="30"/>
          <w:rFonts w:hint="eastAsia" w:ascii="仿宋_GB2312" w:hAnsi="Calibri" w:eastAsia="仿宋_GB2312" w:cs="Times New Roman"/>
          <w:color w:val="auto"/>
        </w:rPr>
        <w:t>。</w:t>
      </w:r>
    </w:p>
    <w:p w14:paraId="1390E6D1">
      <w:pPr>
        <w:pStyle w:val="79"/>
        <w:spacing w:after="120" w:line="30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18.7 </w:t>
      </w:r>
      <w:r>
        <w:rPr>
          <w:rStyle w:val="30"/>
          <w:rFonts w:hint="eastAsia" w:ascii="黑体" w:hAnsi="黑体" w:eastAsia="黑体" w:cs="Times New Roman"/>
          <w:color w:val="auto"/>
          <w:kern w:val="2"/>
        </w:rPr>
        <w:t>通知义务</w:t>
      </w:r>
      <w:r>
        <w:rPr>
          <w:rStyle w:val="30"/>
          <w:rFonts w:ascii="Calibri" w:hAnsi="Calibri" w:eastAsia="黑体" w:cs="Times New Roman"/>
          <w:color w:val="auto"/>
          <w:kern w:val="2"/>
        </w:rPr>
        <w:t xml:space="preserve"> </w:t>
      </w:r>
    </w:p>
    <w:p w14:paraId="37F0CF73">
      <w:pPr>
        <w:pStyle w:val="79"/>
        <w:spacing w:line="30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rPr>
        <w:t>关于变更保险合同时的通知义务的约定：</w:t>
      </w:r>
      <w:r>
        <w:rPr>
          <w:rStyle w:val="30"/>
          <w:rFonts w:hint="eastAsia" w:ascii="宋体" w:hAnsi="宋体" w:eastAsia="宋体" w:cs="宋体"/>
          <w:color w:val="auto"/>
          <w:u w:val="single"/>
        </w:rPr>
        <w:t>按通用条款执行</w:t>
      </w:r>
      <w:r>
        <w:rPr>
          <w:rStyle w:val="30"/>
          <w:rFonts w:hint="eastAsia" w:ascii="仿宋_GB2312" w:hAnsi="Calibri" w:eastAsia="仿宋_GB2312" w:cs="Times New Roman"/>
          <w:color w:val="auto"/>
        </w:rPr>
        <w:t>。</w:t>
      </w:r>
    </w:p>
    <w:p w14:paraId="58D81064">
      <w:pPr>
        <w:pStyle w:val="109"/>
        <w:rPr>
          <w:rStyle w:val="30"/>
          <w:rFonts w:eastAsia="宋体" w:cs="Times New Roman"/>
          <w:color w:val="auto"/>
          <w:sz w:val="24"/>
          <w:szCs w:val="24"/>
        </w:rPr>
      </w:pPr>
      <w:r>
        <w:rPr>
          <w:rStyle w:val="30"/>
          <w:rFonts w:hint="eastAsia" w:eastAsia="宋体" w:cs="Times New Roman"/>
          <w:color w:val="auto"/>
          <w:sz w:val="24"/>
          <w:szCs w:val="24"/>
        </w:rPr>
        <w:t xml:space="preserve">20. </w:t>
      </w:r>
      <w:r>
        <w:rPr>
          <w:rStyle w:val="30"/>
          <w:rFonts w:hint="eastAsia" w:ascii="宋体" w:hAnsi="宋体" w:eastAsia="宋体" w:cs="Times New Roman"/>
          <w:color w:val="auto"/>
          <w:sz w:val="24"/>
          <w:szCs w:val="24"/>
        </w:rPr>
        <w:t>争议解决</w:t>
      </w:r>
    </w:p>
    <w:p w14:paraId="29565942">
      <w:pPr>
        <w:pStyle w:val="79"/>
        <w:spacing w:after="120" w:line="300" w:lineRule="exact"/>
        <w:ind w:firstLine="420" w:firstLineChars="200"/>
        <w:rPr>
          <w:rStyle w:val="30"/>
          <w:rFonts w:hint="eastAsia" w:ascii="Calibri" w:hAnsi="Calibri" w:eastAsia="黑体" w:cs="Times New Roman"/>
          <w:color w:val="auto"/>
          <w:kern w:val="2"/>
          <w:sz w:val="24"/>
          <w:szCs w:val="24"/>
        </w:rPr>
      </w:pPr>
      <w:r>
        <w:rPr>
          <w:rStyle w:val="30"/>
          <w:rFonts w:hint="eastAsia" w:ascii="Calibri" w:hAnsi="Calibri" w:eastAsia="黑体" w:cs="Times New Roman"/>
          <w:color w:val="auto"/>
          <w:kern w:val="2"/>
        </w:rPr>
        <w:t>20.2</w:t>
      </w:r>
      <w:r>
        <w:rPr>
          <w:rStyle w:val="30"/>
          <w:rFonts w:hint="eastAsia" w:ascii="黑体" w:hAnsi="黑体" w:eastAsia="黑体" w:cs="Times New Roman"/>
          <w:color w:val="auto"/>
          <w:kern w:val="2"/>
        </w:rPr>
        <w:t>调解</w:t>
      </w:r>
    </w:p>
    <w:p w14:paraId="793E5308">
      <w:pPr>
        <w:pStyle w:val="79"/>
        <w:spacing w:after="120" w:line="300" w:lineRule="exact"/>
        <w:ind w:firstLine="420" w:firstLineChars="200"/>
        <w:rPr>
          <w:rStyle w:val="30"/>
          <w:rFonts w:hint="eastAsia" w:ascii="Calibri" w:hAnsi="Calibri" w:eastAsia="黑体" w:cs="Times New Roman"/>
          <w:b w:val="0"/>
          <w:bCs w:val="0"/>
          <w:color w:val="auto"/>
          <w:kern w:val="2"/>
        </w:rPr>
      </w:pPr>
      <w:r>
        <w:rPr>
          <w:rStyle w:val="30"/>
          <w:rFonts w:hint="eastAsia" w:ascii="黑体" w:hAnsi="黑体" w:eastAsia="黑体" w:cs="Times New Roman"/>
          <w:b w:val="0"/>
          <w:bCs w:val="0"/>
          <w:color w:val="auto"/>
          <w:kern w:val="2"/>
        </w:rPr>
        <w:t>因合同及合同有关事项发生的争议，经过双方协商，可根据《浙江省建设工程计价规则》（</w:t>
      </w:r>
      <w:r>
        <w:rPr>
          <w:rStyle w:val="30"/>
          <w:rFonts w:hint="eastAsia" w:ascii="Calibri" w:hAnsi="Calibri" w:eastAsia="黑体" w:cs="Times New Roman"/>
          <w:b w:val="0"/>
          <w:bCs w:val="0"/>
          <w:color w:val="auto"/>
          <w:kern w:val="2"/>
        </w:rPr>
        <w:t>2018</w:t>
      </w:r>
      <w:r>
        <w:rPr>
          <w:rStyle w:val="30"/>
          <w:rFonts w:hint="eastAsia" w:ascii="黑体" w:hAnsi="黑体" w:eastAsia="黑体" w:cs="Times New Roman"/>
          <w:b w:val="0"/>
          <w:bCs w:val="0"/>
          <w:color w:val="auto"/>
          <w:kern w:val="2"/>
        </w:rPr>
        <w:t>版）工程计价纠纷处理规定，实行自愿原则，按下列</w:t>
      </w:r>
      <w:r>
        <w:rPr>
          <w:rStyle w:val="30"/>
          <w:rFonts w:hint="eastAsia" w:ascii="黑体" w:hAnsi="黑体" w:eastAsia="黑体" w:cs="Times New Roman"/>
          <w:b w:val="0"/>
          <w:bCs w:val="0"/>
          <w:color w:val="auto"/>
          <w:kern w:val="2"/>
          <w:u w:val="single"/>
        </w:rPr>
        <w:t>第  种</w:t>
      </w:r>
      <w:r>
        <w:rPr>
          <w:rStyle w:val="30"/>
          <w:rFonts w:hint="eastAsia" w:ascii="黑体" w:hAnsi="黑体" w:eastAsia="黑体" w:cs="Times New Roman"/>
          <w:b w:val="0"/>
          <w:bCs w:val="0"/>
          <w:color w:val="auto"/>
          <w:kern w:val="2"/>
        </w:rPr>
        <w:t>方式调解解决：</w:t>
      </w:r>
    </w:p>
    <w:p w14:paraId="09EA6778">
      <w:pPr>
        <w:pStyle w:val="79"/>
        <w:spacing w:after="120" w:line="300" w:lineRule="exact"/>
        <w:ind w:firstLine="420" w:firstLineChars="200"/>
        <w:rPr>
          <w:rStyle w:val="30"/>
          <w:rFonts w:hint="eastAsia" w:ascii="Calibri" w:hAnsi="Calibri" w:eastAsia="黑体" w:cs="Times New Roman"/>
          <w:b w:val="0"/>
          <w:bCs w:val="0"/>
          <w:color w:val="auto"/>
          <w:kern w:val="2"/>
        </w:rPr>
      </w:pPr>
      <w:r>
        <w:rPr>
          <w:rStyle w:val="30"/>
          <w:rFonts w:hint="eastAsia" w:ascii="Calibri" w:hAnsi="Calibri" w:eastAsia="黑体" w:cs="Times New Roman"/>
          <w:b w:val="0"/>
          <w:bCs w:val="0"/>
          <w:color w:val="auto"/>
          <w:kern w:val="2"/>
        </w:rPr>
        <w:t>1</w:t>
      </w:r>
      <w:r>
        <w:rPr>
          <w:rStyle w:val="30"/>
          <w:rFonts w:hint="eastAsia" w:ascii="黑体" w:hAnsi="黑体" w:eastAsia="黑体" w:cs="Times New Roman"/>
          <w:b w:val="0"/>
          <w:bCs w:val="0"/>
          <w:color w:val="auto"/>
          <w:kern w:val="2"/>
        </w:rPr>
        <w:t>、第三方调解；</w:t>
      </w:r>
    </w:p>
    <w:p w14:paraId="43232477">
      <w:pPr>
        <w:pStyle w:val="79"/>
        <w:spacing w:after="120" w:line="300" w:lineRule="exact"/>
        <w:ind w:firstLine="420" w:firstLineChars="200"/>
        <w:rPr>
          <w:rStyle w:val="30"/>
          <w:rFonts w:hint="eastAsia" w:ascii="Calibri" w:hAnsi="Calibri" w:eastAsia="黑体" w:cs="Times New Roman"/>
          <w:b w:val="0"/>
          <w:bCs w:val="0"/>
          <w:color w:val="auto"/>
          <w:kern w:val="2"/>
        </w:rPr>
      </w:pPr>
      <w:r>
        <w:rPr>
          <w:rStyle w:val="30"/>
          <w:rFonts w:hint="eastAsia" w:ascii="黑体" w:hAnsi="黑体" w:eastAsia="黑体" w:cs="Times New Roman"/>
          <w:b w:val="0"/>
          <w:bCs w:val="0"/>
          <w:color w:val="auto"/>
          <w:kern w:val="2"/>
        </w:rPr>
        <w:t>2、专家评审；</w:t>
      </w:r>
    </w:p>
    <w:p w14:paraId="31E50C55">
      <w:pPr>
        <w:pStyle w:val="79"/>
        <w:spacing w:after="120" w:line="300" w:lineRule="exact"/>
        <w:ind w:firstLine="420" w:firstLineChars="200"/>
        <w:rPr>
          <w:rStyle w:val="30"/>
          <w:rFonts w:hint="eastAsia" w:ascii="Calibri" w:hAnsi="Calibri" w:eastAsia="黑体" w:cs="Times New Roman"/>
          <w:b w:val="0"/>
          <w:bCs w:val="0"/>
          <w:color w:val="auto"/>
          <w:kern w:val="2"/>
        </w:rPr>
      </w:pPr>
      <w:r>
        <w:rPr>
          <w:rStyle w:val="30"/>
          <w:rFonts w:hint="eastAsia" w:ascii="Calibri" w:hAnsi="Calibri" w:eastAsia="黑体" w:cs="Times New Roman"/>
          <w:b w:val="0"/>
          <w:bCs w:val="0"/>
          <w:color w:val="auto"/>
          <w:kern w:val="2"/>
        </w:rPr>
        <w:t>3</w:t>
      </w:r>
      <w:r>
        <w:rPr>
          <w:rStyle w:val="30"/>
          <w:rFonts w:hint="eastAsia" w:ascii="黑体" w:hAnsi="黑体" w:eastAsia="黑体" w:cs="Times New Roman"/>
          <w:b w:val="0"/>
          <w:bCs w:val="0"/>
          <w:color w:val="auto"/>
          <w:kern w:val="2"/>
        </w:rPr>
        <w:t>、行政调解。</w:t>
      </w:r>
    </w:p>
    <w:p w14:paraId="28D27884">
      <w:pPr>
        <w:pStyle w:val="79"/>
        <w:spacing w:after="120" w:line="30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 xml:space="preserve">20.3 </w:t>
      </w:r>
      <w:r>
        <w:rPr>
          <w:rStyle w:val="30"/>
          <w:rFonts w:hint="eastAsia" w:ascii="黑体" w:hAnsi="黑体" w:eastAsia="黑体" w:cs="Times New Roman"/>
          <w:color w:val="auto"/>
          <w:kern w:val="2"/>
        </w:rPr>
        <w:t>争议评审</w:t>
      </w:r>
    </w:p>
    <w:p w14:paraId="1BB9158C">
      <w:pPr>
        <w:pStyle w:val="79"/>
        <w:spacing w:after="120" w:line="300" w:lineRule="exact"/>
        <w:ind w:firstLine="420" w:firstLineChars="200"/>
        <w:rPr>
          <w:rStyle w:val="30"/>
          <w:rFonts w:hint="eastAsia" w:ascii="Calibri" w:hAnsi="Calibri" w:eastAsia="黑体" w:cs="Times New Roman"/>
          <w:color w:val="auto"/>
          <w:kern w:val="2"/>
        </w:rPr>
      </w:pPr>
      <w:r>
        <w:rPr>
          <w:rStyle w:val="30"/>
          <w:rFonts w:hint="eastAsia" w:ascii="黑体" w:hAnsi="黑体" w:eastAsia="黑体" w:cs="Times New Roman"/>
          <w:color w:val="auto"/>
          <w:kern w:val="2"/>
        </w:rPr>
        <w:t>合同当事人约定按以下方式申请工程计价纠纷处理的，应根据《浙江省建设工程计价规则》（</w:t>
      </w:r>
      <w:r>
        <w:rPr>
          <w:rStyle w:val="30"/>
          <w:rFonts w:hint="eastAsia" w:ascii="Calibri" w:hAnsi="Calibri" w:eastAsia="黑体" w:cs="Times New Roman"/>
          <w:color w:val="auto"/>
          <w:kern w:val="2"/>
        </w:rPr>
        <w:t>2018</w:t>
      </w:r>
      <w:r>
        <w:rPr>
          <w:rStyle w:val="30"/>
          <w:rFonts w:hint="eastAsia" w:ascii="黑体" w:hAnsi="黑体" w:eastAsia="黑体" w:cs="Times New Roman"/>
          <w:color w:val="auto"/>
          <w:kern w:val="2"/>
        </w:rPr>
        <w:t>版）工程计价纠纷处理规定，实行自愿原则：</w:t>
      </w:r>
    </w:p>
    <w:p w14:paraId="4B765CF4">
      <w:pPr>
        <w:pStyle w:val="79"/>
        <w:spacing w:line="300" w:lineRule="exact"/>
        <w:ind w:left="149" w:leftChars="71" w:firstLine="315" w:firstLineChars="150"/>
        <w:rPr>
          <w:rStyle w:val="30"/>
          <w:rFonts w:hint="eastAsia" w:ascii="Calibri" w:hAnsi="Calibri" w:eastAsia="仿宋_GB2312" w:cs="Times New Roman"/>
          <w:color w:val="auto"/>
          <w:kern w:val="2"/>
          <w:u w:val="single"/>
        </w:rPr>
      </w:pPr>
      <w:r>
        <w:rPr>
          <w:rStyle w:val="30"/>
          <w:rFonts w:hint="eastAsia" w:ascii="仿宋_GB2312" w:hAnsi="Calibri" w:eastAsia="仿宋_GB2312" w:cs="Times New Roman"/>
          <w:color w:val="auto"/>
          <w:kern w:val="2"/>
        </w:rPr>
        <w:t>合同当事人是否同意将工程争议提交争议评审小组决定：</w:t>
      </w:r>
      <w:r>
        <w:rPr>
          <w:rStyle w:val="30"/>
          <w:rFonts w:ascii="Calibri" w:hAnsi="Calibri" w:eastAsia="仿宋_GB2312" w:cs="Times New Roman"/>
          <w:color w:val="auto"/>
          <w:u w:val="single"/>
        </w:rPr>
        <w:t xml:space="preserve">  </w:t>
      </w:r>
      <w:r>
        <w:rPr>
          <w:rStyle w:val="30"/>
          <w:rFonts w:hint="eastAsia" w:ascii="Calibri" w:hAnsi="Calibri" w:eastAsia="仿宋_GB2312" w:cs="Times New Roman"/>
          <w:color w:val="auto"/>
          <w:u w:val="single"/>
        </w:rPr>
        <w:t>按通用合同条款执行</w:t>
      </w:r>
      <w:r>
        <w:rPr>
          <w:rStyle w:val="30"/>
          <w:rFonts w:ascii="Calibri" w:hAnsi="Calibri" w:eastAsia="仿宋_GB2312" w:cs="Times New Roman"/>
          <w:color w:val="auto"/>
          <w:u w:val="single"/>
        </w:rPr>
        <w:t xml:space="preserve">  </w:t>
      </w:r>
      <w:r>
        <w:rPr>
          <w:rStyle w:val="30"/>
          <w:rFonts w:hint="eastAsia" w:ascii="仿宋_GB2312" w:hAnsi="Calibri" w:eastAsia="仿宋_GB2312" w:cs="Times New Roman"/>
          <w:color w:val="auto"/>
        </w:rPr>
        <w:t>。</w:t>
      </w:r>
    </w:p>
    <w:p w14:paraId="6DD09191">
      <w:pPr>
        <w:pStyle w:val="79"/>
        <w:spacing w:line="300" w:lineRule="exact"/>
        <w:ind w:firstLine="420" w:firstLineChars="200"/>
        <w:rPr>
          <w:rStyle w:val="30"/>
          <w:rFonts w:ascii="Calibri" w:hAnsi="Calibri" w:eastAsia="仿宋_GB2312" w:cs="Times New Roman"/>
          <w:color w:val="auto"/>
          <w:kern w:val="2"/>
        </w:rPr>
      </w:pPr>
      <w:r>
        <w:rPr>
          <w:rStyle w:val="30"/>
          <w:rFonts w:ascii="Calibri" w:hAnsi="Calibri" w:eastAsia="仿宋_GB2312" w:cs="Times New Roman"/>
          <w:color w:val="auto"/>
          <w:kern w:val="2"/>
        </w:rPr>
        <w:t xml:space="preserve">20.3.1 </w:t>
      </w:r>
      <w:r>
        <w:rPr>
          <w:rStyle w:val="30"/>
          <w:rFonts w:hint="eastAsia" w:ascii="仿宋_GB2312" w:hAnsi="Calibri" w:eastAsia="仿宋_GB2312" w:cs="Times New Roman"/>
          <w:color w:val="auto"/>
          <w:kern w:val="2"/>
        </w:rPr>
        <w:t>争议评审小组的确定</w:t>
      </w:r>
    </w:p>
    <w:p w14:paraId="012A01F0">
      <w:pPr>
        <w:pStyle w:val="79"/>
        <w:spacing w:line="300" w:lineRule="exact"/>
        <w:ind w:firstLine="420" w:firstLineChars="200"/>
        <w:rPr>
          <w:rStyle w:val="30"/>
          <w:rFonts w:ascii="Calibri" w:hAnsi="Calibri" w:eastAsia="仿宋_GB2312" w:cs="Times New Roman"/>
          <w:color w:val="auto"/>
          <w:kern w:val="2"/>
          <w:u w:val="single"/>
        </w:rPr>
      </w:pPr>
      <w:r>
        <w:rPr>
          <w:rStyle w:val="30"/>
          <w:rFonts w:hint="eastAsia" w:ascii="仿宋_GB2312" w:hAnsi="Calibri" w:eastAsia="仿宋_GB2312" w:cs="Times New Roman"/>
          <w:color w:val="auto"/>
          <w:kern w:val="2"/>
        </w:rPr>
        <w:t>争议评审小组成员的确定：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按通用合同条款执行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400E2369">
      <w:pPr>
        <w:pStyle w:val="79"/>
        <w:spacing w:line="30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选定争议评审员的期限：</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按通用合同条款执行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C7AEDC8">
      <w:pPr>
        <w:pStyle w:val="79"/>
        <w:spacing w:line="30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争议评审小组成员的报酬承担方式：</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按通用合同条款执行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0033E60">
      <w:pPr>
        <w:pStyle w:val="79"/>
        <w:spacing w:line="30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其他事项的约定：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按通用合同条款执行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7FEBABEE">
      <w:pPr>
        <w:pStyle w:val="79"/>
        <w:autoSpaceDE w:val="0"/>
        <w:autoSpaceDN w:val="0"/>
        <w:adjustRightInd w:val="0"/>
        <w:spacing w:line="300" w:lineRule="exact"/>
        <w:ind w:firstLine="420" w:firstLineChars="200"/>
        <w:rPr>
          <w:rStyle w:val="30"/>
          <w:rFonts w:ascii="Calibri" w:hAnsi="Calibri" w:eastAsia="仿宋_GB2312" w:cs="Times New Roman"/>
          <w:color w:val="auto"/>
        </w:rPr>
      </w:pPr>
      <w:r>
        <w:rPr>
          <w:rStyle w:val="30"/>
          <w:rFonts w:ascii="Calibri" w:hAnsi="Calibri" w:eastAsia="仿宋_GB2312" w:cs="Times New Roman"/>
          <w:color w:val="auto"/>
        </w:rPr>
        <w:t xml:space="preserve">20.3.2 </w:t>
      </w:r>
      <w:r>
        <w:rPr>
          <w:rStyle w:val="30"/>
          <w:rFonts w:hint="eastAsia" w:ascii="仿宋_GB2312" w:hAnsi="Calibri" w:eastAsia="仿宋_GB2312" w:cs="Times New Roman"/>
          <w:color w:val="auto"/>
        </w:rPr>
        <w:t>争议评审小组的决定</w:t>
      </w:r>
    </w:p>
    <w:p w14:paraId="1C47542B">
      <w:pPr>
        <w:pStyle w:val="79"/>
        <w:spacing w:line="30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合同当事人关于本项的约定：</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按通用合同条款执行</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w:t>
      </w:r>
    </w:p>
    <w:p w14:paraId="650C5ECB">
      <w:pPr>
        <w:pStyle w:val="79"/>
        <w:spacing w:after="120" w:line="300" w:lineRule="exact"/>
        <w:ind w:firstLine="420" w:firstLineChars="200"/>
        <w:rPr>
          <w:rStyle w:val="30"/>
          <w:rFonts w:ascii="Calibri" w:hAnsi="Calibri" w:eastAsia="黑体" w:cs="Times New Roman"/>
          <w:color w:val="auto"/>
          <w:kern w:val="2"/>
        </w:rPr>
      </w:pPr>
      <w:r>
        <w:rPr>
          <w:rStyle w:val="30"/>
          <w:rFonts w:ascii="Calibri" w:hAnsi="Calibri" w:eastAsia="黑体" w:cs="Times New Roman"/>
          <w:color w:val="auto"/>
          <w:kern w:val="2"/>
        </w:rPr>
        <w:t>20.4</w:t>
      </w:r>
      <w:r>
        <w:rPr>
          <w:rStyle w:val="30"/>
          <w:rFonts w:hint="eastAsia" w:ascii="黑体" w:hAnsi="黑体" w:eastAsia="黑体" w:cs="Times New Roman"/>
          <w:color w:val="auto"/>
          <w:kern w:val="2"/>
        </w:rPr>
        <w:t>仲裁或诉讼</w:t>
      </w:r>
    </w:p>
    <w:p w14:paraId="5AB3AC7B">
      <w:pPr>
        <w:pStyle w:val="79"/>
        <w:spacing w:after="120" w:line="300" w:lineRule="exact"/>
        <w:ind w:firstLine="420" w:firstLineChars="200"/>
        <w:rPr>
          <w:rStyle w:val="30"/>
          <w:rFonts w:ascii="Calibri" w:hAnsi="Calibri" w:eastAsia="黑体" w:cs="Times New Roman"/>
          <w:color w:val="auto"/>
          <w:kern w:val="2"/>
        </w:rPr>
      </w:pPr>
      <w:r>
        <w:rPr>
          <w:rStyle w:val="30"/>
          <w:rFonts w:hint="eastAsia" w:ascii="仿宋_GB2312" w:hAnsi="Calibri" w:eastAsia="仿宋_GB2312" w:cs="Times New Roman"/>
          <w:color w:val="auto"/>
          <w:kern w:val="2"/>
        </w:rPr>
        <w:t>因合同及合同有关事项发生的争议，按下列第</w:t>
      </w:r>
      <w:r>
        <w:rPr>
          <w:rStyle w:val="30"/>
          <w:rFonts w:ascii="Calibri" w:hAnsi="Calibri" w:eastAsia="仿宋_GB2312" w:cs="Times New Roman"/>
          <w:color w:val="auto"/>
          <w:kern w:val="2"/>
          <w:u w:val="single"/>
        </w:rPr>
        <w:t xml:space="preserve"> </w:t>
      </w:r>
      <w:r>
        <w:rPr>
          <w:rStyle w:val="30"/>
          <w:rFonts w:hint="eastAsia" w:ascii="Calibri" w:hAnsi="Calibri" w:eastAsia="仿宋_GB2312" w:cs="Times New Roman"/>
          <w:color w:val="auto"/>
          <w:kern w:val="2"/>
          <w:u w:val="single"/>
        </w:rPr>
        <w:t>2</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种方式解决：</w:t>
      </w:r>
    </w:p>
    <w:p w14:paraId="122FA4D0">
      <w:pPr>
        <w:pStyle w:val="79"/>
        <w:spacing w:line="300" w:lineRule="exact"/>
        <w:ind w:firstLine="420" w:firstLineChars="200"/>
        <w:rPr>
          <w:rStyle w:val="30"/>
          <w:rFonts w:ascii="Calibri" w:hAnsi="Calibri" w:eastAsia="仿宋_GB2312" w:cs="Times New Roman"/>
          <w:color w:val="auto"/>
          <w:kern w:val="2"/>
        </w:rPr>
      </w:pPr>
      <w:r>
        <w:rPr>
          <w:rStyle w:val="30"/>
          <w:rFonts w:hint="eastAsia" w:ascii="仿宋_GB2312" w:hAnsi="Calibri" w:eastAsia="仿宋_GB2312" w:cs="Times New Roman"/>
          <w:color w:val="auto"/>
          <w:kern w:val="2"/>
        </w:rPr>
        <w:t>（</w:t>
      </w:r>
      <w:r>
        <w:rPr>
          <w:rStyle w:val="30"/>
          <w:rFonts w:ascii="Calibri" w:hAnsi="Calibri" w:eastAsia="仿宋_GB2312" w:cs="Times New Roman"/>
          <w:color w:val="auto"/>
          <w:kern w:val="2"/>
        </w:rPr>
        <w:t>1</w:t>
      </w:r>
      <w:r>
        <w:rPr>
          <w:rStyle w:val="30"/>
          <w:rFonts w:hint="eastAsia" w:ascii="仿宋_GB2312" w:hAnsi="Calibri" w:eastAsia="仿宋_GB2312" w:cs="Times New Roman"/>
          <w:color w:val="auto"/>
          <w:kern w:val="2"/>
        </w:rPr>
        <w:t>）向</w:t>
      </w:r>
      <w:r>
        <w:rPr>
          <w:rStyle w:val="30"/>
          <w:rFonts w:ascii="Calibri" w:hAnsi="Calibri" w:eastAsia="仿宋_GB2312" w:cs="Times New Roman"/>
          <w:color w:val="auto"/>
          <w:kern w:val="2"/>
          <w:u w:val="single"/>
        </w:rPr>
        <w:t xml:space="preserve">                     </w:t>
      </w:r>
      <w:r>
        <w:rPr>
          <w:rStyle w:val="30"/>
          <w:rFonts w:hint="eastAsia" w:ascii="仿宋_GB2312" w:hAnsi="Calibri" w:eastAsia="仿宋_GB2312" w:cs="Times New Roman"/>
          <w:color w:val="auto"/>
          <w:kern w:val="2"/>
        </w:rPr>
        <w:t>仲裁委员会申请仲裁；</w:t>
      </w:r>
    </w:p>
    <w:p w14:paraId="20E77936">
      <w:pPr>
        <w:pStyle w:val="106"/>
        <w:ind w:firstLine="420" w:firstLineChars="200"/>
        <w:rPr>
          <w:rStyle w:val="30"/>
          <w:rFonts w:ascii="Calibri" w:hAnsi="Calibri" w:eastAsia="宋体" w:cs="Times New Roman"/>
          <w:color w:val="auto"/>
        </w:rPr>
      </w:pPr>
      <w:r>
        <w:rPr>
          <w:rStyle w:val="30"/>
          <w:rFonts w:hint="eastAsia" w:ascii="Calibri" w:hAnsi="Calibri" w:eastAsia="仿宋_GB2312" w:cs="Times New Roman"/>
          <w:color w:val="auto"/>
          <w:kern w:val="2"/>
          <w:sz w:val="21"/>
          <w:szCs w:val="22"/>
          <w:lang w:val="en-US" w:eastAsia="zh-CN" w:bidi="ar-SA"/>
        </w:rPr>
        <w:t>（</w:t>
      </w:r>
      <w:r>
        <w:rPr>
          <w:rStyle w:val="30"/>
          <w:rFonts w:ascii="Calibri" w:hAnsi="Calibri" w:eastAsia="仿宋_GB2312" w:cs="Times New Roman"/>
          <w:color w:val="auto"/>
          <w:kern w:val="2"/>
          <w:sz w:val="21"/>
          <w:szCs w:val="22"/>
          <w:lang w:val="en-US" w:eastAsia="zh-CN" w:bidi="ar-SA"/>
        </w:rPr>
        <w:t>2</w:t>
      </w:r>
      <w:r>
        <w:rPr>
          <w:rStyle w:val="30"/>
          <w:rFonts w:hint="eastAsia" w:ascii="Calibri" w:hAnsi="Calibri" w:eastAsia="仿宋_GB2312" w:cs="Times New Roman"/>
          <w:color w:val="auto"/>
          <w:kern w:val="2"/>
          <w:sz w:val="21"/>
          <w:szCs w:val="22"/>
          <w:lang w:val="en-US" w:eastAsia="zh-CN" w:bidi="ar-SA"/>
        </w:rPr>
        <w:t>）</w:t>
      </w:r>
      <w:r>
        <w:rPr>
          <w:rStyle w:val="30"/>
          <w:rFonts w:hint="eastAsia" w:ascii="仿宋_GB2312" w:hAnsi="Calibri" w:eastAsia="仿宋_GB2312" w:cs="Times New Roman"/>
          <w:color w:val="auto"/>
          <w:sz w:val="24"/>
          <w:szCs w:val="24"/>
        </w:rPr>
        <w:t>向</w:t>
      </w:r>
      <w:r>
        <w:rPr>
          <w:rStyle w:val="30"/>
          <w:rFonts w:ascii="Calibri" w:hAnsi="Calibri" w:eastAsia="仿宋_GB2312" w:cs="Times New Roman"/>
          <w:color w:val="auto"/>
          <w:sz w:val="24"/>
          <w:szCs w:val="24"/>
          <w:u w:val="single"/>
        </w:rPr>
        <w:t xml:space="preserve">     </w:t>
      </w:r>
      <w:r>
        <w:rPr>
          <w:rStyle w:val="30"/>
          <w:rFonts w:hint="eastAsia" w:ascii="Calibri" w:hAnsi="Calibri" w:eastAsia="仿宋_GB2312" w:cs="Times New Roman"/>
          <w:color w:val="auto"/>
          <w:kern w:val="2"/>
          <w:sz w:val="21"/>
          <w:szCs w:val="22"/>
          <w:u w:val="single"/>
          <w:lang w:val="en-US" w:eastAsia="zh-CN" w:bidi="ar-SA"/>
        </w:rPr>
        <w:t>合同履行地</w:t>
      </w:r>
      <w:r>
        <w:rPr>
          <w:rStyle w:val="30"/>
          <w:rFonts w:ascii="Calibri" w:hAnsi="Calibri" w:eastAsia="仿宋_GB2312" w:cs="Times New Roman"/>
          <w:color w:val="auto"/>
          <w:kern w:val="2"/>
          <w:sz w:val="21"/>
          <w:szCs w:val="22"/>
          <w:u w:val="single"/>
          <w:lang w:val="en-US" w:eastAsia="zh-CN" w:bidi="ar-SA"/>
        </w:rPr>
        <w:t xml:space="preserve"> </w:t>
      </w:r>
      <w:r>
        <w:rPr>
          <w:rStyle w:val="30"/>
          <w:rFonts w:ascii="Calibri" w:hAnsi="Calibri" w:eastAsia="仿宋_GB2312" w:cs="Times New Roman"/>
          <w:color w:val="auto"/>
          <w:sz w:val="24"/>
          <w:szCs w:val="24"/>
          <w:u w:val="single"/>
        </w:rPr>
        <w:t xml:space="preserve">      </w:t>
      </w:r>
      <w:r>
        <w:rPr>
          <w:rStyle w:val="30"/>
          <w:rFonts w:hint="eastAsia" w:ascii="仿宋_GB2312" w:hAnsi="Calibri" w:eastAsia="仿宋_GB2312" w:cs="Times New Roman"/>
          <w:color w:val="auto"/>
          <w:sz w:val="24"/>
          <w:szCs w:val="24"/>
        </w:rPr>
        <w:t>人民法院起诉</w:t>
      </w:r>
      <w:r>
        <w:rPr>
          <w:rStyle w:val="30"/>
          <w:rFonts w:hint="eastAsia" w:ascii="宋体" w:hAnsi="宋体" w:eastAsia="宋体" w:cs="Times New Roman"/>
          <w:b/>
          <w:color w:val="auto"/>
        </w:rPr>
        <w:t>。</w:t>
      </w:r>
    </w:p>
    <w:p w14:paraId="7C41B506">
      <w:pPr>
        <w:snapToGrid w:val="0"/>
        <w:spacing w:line="360" w:lineRule="auto"/>
        <w:jc w:val="center"/>
        <w:outlineLvl w:val="0"/>
        <w:rPr>
          <w:rFonts w:hint="eastAsia" w:ascii="宋体" w:hAnsi="宋体" w:cs="宋体"/>
          <w:b/>
          <w:color w:val="auto"/>
          <w:sz w:val="28"/>
          <w:szCs w:val="28"/>
          <w:highlight w:val="none"/>
        </w:rPr>
      </w:pPr>
      <w:r>
        <w:rPr>
          <w:rFonts w:hint="eastAsia" w:ascii="宋体" w:hAnsi="宋体" w:cs="宋体"/>
          <w:b/>
          <w:color w:val="auto"/>
          <w:sz w:val="28"/>
          <w:szCs w:val="28"/>
        </w:rPr>
        <w:br w:type="page"/>
      </w:r>
    </w:p>
    <w:p w14:paraId="3A5F624F">
      <w:pPr>
        <w:snapToGrid w:val="0"/>
        <w:spacing w:line="360" w:lineRule="auto"/>
        <w:jc w:val="center"/>
        <w:outlineLvl w:val="0"/>
        <w:rPr>
          <w:rFonts w:ascii="宋体" w:hAnsi="宋体" w:cs="宋体"/>
          <w:b/>
          <w:color w:val="auto"/>
          <w:sz w:val="28"/>
          <w:szCs w:val="28"/>
          <w:highlight w:val="none"/>
        </w:rPr>
      </w:pPr>
      <w:r>
        <w:rPr>
          <w:rFonts w:hint="eastAsia" w:ascii="宋体" w:hAnsi="宋体" w:cs="宋体"/>
          <w:b/>
          <w:color w:val="auto"/>
          <w:sz w:val="28"/>
          <w:szCs w:val="28"/>
          <w:highlight w:val="none"/>
        </w:rPr>
        <w:t xml:space="preserve">第六章  </w:t>
      </w:r>
      <w:r>
        <w:rPr>
          <w:rFonts w:hint="eastAsia" w:ascii="宋体" w:hAnsi="宋体" w:cs="宋体"/>
          <w:b/>
          <w:color w:val="auto"/>
          <w:sz w:val="28"/>
          <w:szCs w:val="28"/>
          <w:highlight w:val="none"/>
          <w:lang w:eastAsia="zh-CN"/>
        </w:rPr>
        <w:t>响应</w:t>
      </w:r>
      <w:r>
        <w:rPr>
          <w:rFonts w:hint="eastAsia" w:ascii="宋体" w:hAnsi="宋体" w:cs="宋体"/>
          <w:b/>
          <w:color w:val="auto"/>
          <w:sz w:val="28"/>
          <w:szCs w:val="28"/>
          <w:highlight w:val="none"/>
        </w:rPr>
        <w:t>文件组成</w:t>
      </w:r>
    </w:p>
    <w:p w14:paraId="15FBE4B7">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响应文件由磋商报价文件、资格证明文件、商务文件、技术文件组成。响应文件中涉及的有关内容均须提供合法有效的证明材料复印件。（复印件未加盖公章作无效处理，特别注明的除外，有▲标识的条款为必须提交的资料）</w:t>
      </w:r>
    </w:p>
    <w:p w14:paraId="4A788E8B">
      <w:pPr>
        <w:snapToGri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▲1、磋商报价文件部分</w:t>
      </w:r>
    </w:p>
    <w:p w14:paraId="600CE1F8">
      <w:pPr>
        <w:snapToGrid w:val="0"/>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开标一览表；（格式一）</w:t>
      </w:r>
    </w:p>
    <w:p w14:paraId="513CE1C6">
      <w:pPr>
        <w:snapToGri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▲2、资格证明文件部分</w:t>
      </w:r>
    </w:p>
    <w:p w14:paraId="1D248AAE">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outlineLvl w:val="9"/>
        <w:rPr>
          <w:rFonts w:hint="eastAsia" w:ascii="宋体" w:hAnsi="宋体" w:cs="宋体"/>
          <w:b/>
          <w:color w:val="auto"/>
          <w:sz w:val="21"/>
          <w:szCs w:val="21"/>
        </w:rPr>
      </w:pPr>
      <w:r>
        <w:rPr>
          <w:rFonts w:hint="eastAsia" w:ascii="宋体" w:hAnsi="宋体" w:cs="宋体"/>
          <w:b/>
          <w:color w:val="auto"/>
          <w:szCs w:val="21"/>
          <w:highlight w:val="none"/>
          <w:lang w:val="en-US" w:eastAsia="zh-CN"/>
        </w:rPr>
        <w:t>2</w:t>
      </w:r>
      <w:r>
        <w:rPr>
          <w:rFonts w:hint="eastAsia" w:ascii="宋体" w:hAnsi="宋体" w:eastAsia="宋体" w:cs="宋体"/>
          <w:b/>
          <w:color w:val="auto"/>
          <w:szCs w:val="21"/>
          <w:highlight w:val="none"/>
          <w:lang w:val="en-US" w:eastAsia="zh-CN"/>
        </w:rPr>
        <w:t>.</w:t>
      </w:r>
      <w:r>
        <w:rPr>
          <w:rFonts w:hint="eastAsia" w:ascii="宋体" w:hAnsi="宋体" w:cs="宋体"/>
          <w:b/>
          <w:color w:val="auto"/>
          <w:szCs w:val="21"/>
          <w:highlight w:val="none"/>
          <w:lang w:val="en-US" w:eastAsia="zh-CN"/>
        </w:rPr>
        <w:t>1</w:t>
      </w:r>
      <w:r>
        <w:rPr>
          <w:rFonts w:hint="eastAsia" w:ascii="宋体" w:hAnsi="宋体" w:cs="宋体"/>
          <w:b/>
          <w:color w:val="auto"/>
          <w:szCs w:val="21"/>
          <w:highlight w:val="none"/>
        </w:rPr>
        <w:t>享受</w:t>
      </w:r>
      <w:r>
        <w:rPr>
          <w:rFonts w:hint="eastAsia" w:ascii="宋体" w:hAnsi="宋体" w:cs="宋体"/>
          <w:b/>
          <w:color w:val="auto"/>
          <w:szCs w:val="21"/>
          <w:highlight w:val="none"/>
          <w:lang w:val="en-US" w:eastAsia="zh-CN"/>
        </w:rPr>
        <w:t>中小企业预留份额</w:t>
      </w:r>
      <w:r>
        <w:rPr>
          <w:rFonts w:hint="eastAsia" w:ascii="宋体" w:hAnsi="宋体" w:cs="宋体"/>
          <w:b/>
          <w:color w:val="auto"/>
          <w:szCs w:val="21"/>
          <w:highlight w:val="none"/>
        </w:rPr>
        <w:t>政策相关证明文件</w:t>
      </w:r>
      <w:r>
        <w:rPr>
          <w:rFonts w:hint="eastAsia" w:ascii="宋体" w:hAnsi="宋体" w:cs="宋体"/>
          <w:b/>
          <w:color w:val="auto"/>
          <w:sz w:val="21"/>
          <w:szCs w:val="21"/>
        </w:rPr>
        <w:t>（符合以下三个子项中的任意一项要求即可）</w:t>
      </w:r>
    </w:p>
    <w:p w14:paraId="3C0D92E5">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w:t>
      </w:r>
      <w:r>
        <w:rPr>
          <w:rFonts w:hint="eastAsia" w:ascii="宋体" w:hAnsi="宋体" w:eastAsia="宋体" w:cs="宋体"/>
          <w:b w:val="0"/>
          <w:bCs/>
          <w:color w:val="auto"/>
          <w:szCs w:val="21"/>
          <w:highlight w:val="none"/>
          <w:lang w:val="en-US" w:eastAsia="zh-CN"/>
        </w:rPr>
        <w:t>.</w:t>
      </w:r>
      <w:r>
        <w:rPr>
          <w:rFonts w:hint="eastAsia" w:ascii="宋体" w:hAnsi="宋体" w:cs="宋体"/>
          <w:b w:val="0"/>
          <w:bCs/>
          <w:color w:val="auto"/>
          <w:szCs w:val="21"/>
          <w:highlight w:val="none"/>
          <w:lang w:val="en-US" w:eastAsia="zh-CN"/>
        </w:rPr>
        <w:t>1</w:t>
      </w:r>
      <w:r>
        <w:rPr>
          <w:rFonts w:hint="eastAsia" w:ascii="宋体" w:hAnsi="宋体" w:eastAsia="宋体" w:cs="宋体"/>
          <w:b w:val="0"/>
          <w:bCs/>
          <w:color w:val="auto"/>
          <w:szCs w:val="21"/>
          <w:highlight w:val="none"/>
          <w:lang w:val="en-US" w:eastAsia="zh-CN"/>
        </w:rPr>
        <w:t>.1中小企业：《中小企业声明函》（格式</w:t>
      </w:r>
      <w:r>
        <w:rPr>
          <w:rFonts w:hint="eastAsia" w:ascii="宋体" w:hAnsi="宋体" w:cs="宋体"/>
          <w:b w:val="0"/>
          <w:bCs/>
          <w:color w:val="auto"/>
          <w:szCs w:val="21"/>
          <w:highlight w:val="none"/>
          <w:lang w:val="en-US" w:eastAsia="zh-CN"/>
        </w:rPr>
        <w:t>二</w:t>
      </w:r>
      <w:r>
        <w:rPr>
          <w:rFonts w:hint="eastAsia" w:ascii="宋体" w:hAnsi="宋体" w:eastAsia="宋体" w:cs="宋体"/>
          <w:b w:val="0"/>
          <w:bCs/>
          <w:color w:val="auto"/>
          <w:szCs w:val="21"/>
          <w:highlight w:val="none"/>
          <w:lang w:val="en-US" w:eastAsia="zh-CN"/>
        </w:rPr>
        <w:t>）</w:t>
      </w:r>
    </w:p>
    <w:p w14:paraId="3280EFFE">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w:t>
      </w:r>
      <w:r>
        <w:rPr>
          <w:rFonts w:hint="eastAsia" w:ascii="宋体" w:hAnsi="宋体" w:eastAsia="宋体" w:cs="宋体"/>
          <w:b w:val="0"/>
          <w:bCs/>
          <w:color w:val="auto"/>
          <w:szCs w:val="21"/>
          <w:highlight w:val="none"/>
          <w:lang w:val="en-US" w:eastAsia="zh-CN"/>
        </w:rPr>
        <w:t>.</w:t>
      </w:r>
      <w:r>
        <w:rPr>
          <w:rFonts w:hint="eastAsia" w:ascii="宋体" w:hAnsi="宋体" w:cs="宋体"/>
          <w:b w:val="0"/>
          <w:bCs/>
          <w:color w:val="auto"/>
          <w:szCs w:val="21"/>
          <w:highlight w:val="none"/>
          <w:lang w:val="en-US" w:eastAsia="zh-CN"/>
        </w:rPr>
        <w:t>1</w:t>
      </w:r>
      <w:r>
        <w:rPr>
          <w:rFonts w:hint="eastAsia" w:ascii="宋体" w:hAnsi="宋体" w:eastAsia="宋体" w:cs="宋体"/>
          <w:b w:val="0"/>
          <w:bCs/>
          <w:color w:val="auto"/>
          <w:szCs w:val="21"/>
          <w:highlight w:val="none"/>
          <w:lang w:val="en-US" w:eastAsia="zh-CN"/>
        </w:rPr>
        <w:t>.</w:t>
      </w:r>
      <w:r>
        <w:rPr>
          <w:rFonts w:hint="eastAsia" w:ascii="宋体" w:hAnsi="宋体" w:cs="宋体"/>
          <w:b w:val="0"/>
          <w:bCs/>
          <w:color w:val="auto"/>
          <w:szCs w:val="21"/>
          <w:highlight w:val="none"/>
          <w:lang w:val="en-US" w:eastAsia="zh-CN"/>
        </w:rPr>
        <w:t>2</w:t>
      </w:r>
      <w:r>
        <w:rPr>
          <w:rFonts w:hint="eastAsia" w:ascii="宋体" w:hAnsi="宋体" w:eastAsia="宋体" w:cs="宋体"/>
          <w:b w:val="0"/>
          <w:bCs/>
          <w:color w:val="auto"/>
          <w:szCs w:val="21"/>
          <w:highlight w:val="none"/>
          <w:lang w:val="en-US" w:eastAsia="zh-CN"/>
        </w:rPr>
        <w:t>监狱企业：由省级以上监狱管理局、戒毒管理局（含新疆生产建设兵团）出具的属于监狱企业的证明文件</w:t>
      </w:r>
    </w:p>
    <w:p w14:paraId="1F58927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2</w:t>
      </w:r>
      <w:r>
        <w:rPr>
          <w:rFonts w:hint="eastAsia" w:ascii="宋体" w:hAnsi="宋体" w:eastAsia="宋体" w:cs="宋体"/>
          <w:b w:val="0"/>
          <w:bCs/>
          <w:color w:val="auto"/>
          <w:szCs w:val="21"/>
          <w:highlight w:val="none"/>
          <w:lang w:val="en-US" w:eastAsia="zh-CN"/>
        </w:rPr>
        <w:t>.</w:t>
      </w:r>
      <w:r>
        <w:rPr>
          <w:rFonts w:hint="eastAsia" w:ascii="宋体" w:hAnsi="宋体" w:cs="宋体"/>
          <w:b w:val="0"/>
          <w:bCs/>
          <w:color w:val="auto"/>
          <w:szCs w:val="21"/>
          <w:highlight w:val="none"/>
          <w:lang w:val="en-US" w:eastAsia="zh-CN"/>
        </w:rPr>
        <w:t>1</w:t>
      </w:r>
      <w:r>
        <w:rPr>
          <w:rFonts w:hint="eastAsia" w:ascii="宋体" w:hAnsi="宋体" w:eastAsia="宋体" w:cs="宋体"/>
          <w:b w:val="0"/>
          <w:bCs/>
          <w:color w:val="auto"/>
          <w:szCs w:val="21"/>
          <w:highlight w:val="none"/>
          <w:lang w:val="en-US" w:eastAsia="zh-CN"/>
        </w:rPr>
        <w:t>.</w:t>
      </w:r>
      <w:r>
        <w:rPr>
          <w:rFonts w:hint="eastAsia" w:ascii="宋体" w:hAnsi="宋体" w:cs="宋体"/>
          <w:b w:val="0"/>
          <w:bCs/>
          <w:color w:val="auto"/>
          <w:szCs w:val="21"/>
          <w:highlight w:val="none"/>
          <w:lang w:val="en-US" w:eastAsia="zh-CN"/>
        </w:rPr>
        <w:t>3</w:t>
      </w:r>
      <w:r>
        <w:rPr>
          <w:rFonts w:hint="eastAsia" w:ascii="宋体" w:hAnsi="宋体" w:eastAsia="宋体" w:cs="宋体"/>
          <w:b w:val="0"/>
          <w:bCs/>
          <w:color w:val="auto"/>
          <w:szCs w:val="21"/>
          <w:highlight w:val="none"/>
          <w:lang w:val="en-US" w:eastAsia="zh-CN"/>
        </w:rPr>
        <w:t>残疾人福利性单位：《残疾人福利性单位声明函》（格式</w:t>
      </w:r>
      <w:r>
        <w:rPr>
          <w:rFonts w:hint="eastAsia" w:ascii="宋体" w:hAnsi="宋体" w:cs="宋体"/>
          <w:b w:val="0"/>
          <w:bCs/>
          <w:color w:val="auto"/>
          <w:szCs w:val="21"/>
          <w:highlight w:val="none"/>
          <w:lang w:val="en-US" w:eastAsia="zh-CN"/>
        </w:rPr>
        <w:t>三</w:t>
      </w:r>
      <w:r>
        <w:rPr>
          <w:rFonts w:hint="eastAsia" w:ascii="宋体" w:hAnsi="宋体" w:eastAsia="宋体" w:cs="宋体"/>
          <w:b w:val="0"/>
          <w:bCs/>
          <w:color w:val="auto"/>
          <w:szCs w:val="21"/>
          <w:highlight w:val="none"/>
          <w:lang w:val="en-US" w:eastAsia="zh-CN"/>
        </w:rPr>
        <w:t>）</w:t>
      </w:r>
    </w:p>
    <w:p w14:paraId="7D69F7A6">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outlineLvl w:val="9"/>
        <w:rPr>
          <w:rFonts w:hint="eastAsia" w:ascii="宋体" w:hAnsi="宋体" w:cs="宋体"/>
          <w:b/>
          <w:color w:val="auto"/>
          <w:sz w:val="21"/>
          <w:szCs w:val="21"/>
          <w:highlight w:val="none"/>
          <w:lang w:val="en-US" w:eastAsia="zh-CN"/>
        </w:rPr>
      </w:pPr>
      <w:r>
        <w:rPr>
          <w:rFonts w:hint="eastAsia" w:ascii="宋体" w:hAnsi="宋体" w:cs="宋体"/>
          <w:b/>
          <w:color w:val="auto"/>
          <w:sz w:val="21"/>
          <w:szCs w:val="21"/>
        </w:rPr>
        <w:t>2.</w:t>
      </w:r>
      <w:r>
        <w:rPr>
          <w:rFonts w:hint="eastAsia" w:ascii="宋体" w:hAnsi="宋体" w:cs="宋体"/>
          <w:b/>
          <w:color w:val="auto"/>
          <w:sz w:val="21"/>
          <w:szCs w:val="21"/>
          <w:lang w:val="en-US" w:eastAsia="zh-CN"/>
        </w:rPr>
        <w:t>2响应</w:t>
      </w:r>
      <w:r>
        <w:rPr>
          <w:rFonts w:hint="eastAsia" w:ascii="宋体" w:hAnsi="宋体" w:cs="宋体"/>
          <w:b/>
          <w:color w:val="auto"/>
          <w:sz w:val="21"/>
          <w:szCs w:val="21"/>
        </w:rPr>
        <w:t>人</w:t>
      </w:r>
      <w:r>
        <w:rPr>
          <w:rFonts w:hint="eastAsia" w:ascii="宋体" w:hAnsi="宋体" w:cs="宋体"/>
          <w:b/>
          <w:color w:val="auto"/>
          <w:sz w:val="21"/>
          <w:szCs w:val="21"/>
          <w:highlight w:val="none"/>
          <w:lang w:val="en-US" w:eastAsia="zh-CN"/>
        </w:rPr>
        <w:t>具有独立承担民事责任的能力证明资料</w:t>
      </w: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lang w:val="en-US" w:eastAsia="zh-CN"/>
        </w:rPr>
        <w:t>响应人须在响应文件中出具符合以下情况的证明材料复印件（五选一）</w:t>
      </w:r>
    </w:p>
    <w:p w14:paraId="0FD26667">
      <w:pPr>
        <w:snapToGrid w:val="0"/>
        <w:spacing w:line="360" w:lineRule="auto"/>
        <w:ind w:firstLine="415" w:firstLineChars="198"/>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a)如供应商是企业（包括合伙企业），提供在工商部门注册的有效“企业法人营业执照”或“营业执照”；</w:t>
      </w:r>
    </w:p>
    <w:p w14:paraId="50AC8E73">
      <w:pPr>
        <w:snapToGrid w:val="0"/>
        <w:spacing w:line="360" w:lineRule="auto"/>
        <w:ind w:firstLine="415" w:firstLineChars="198"/>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b)如供应商是事业单位，提供有效的“事业单位法人证书”；</w:t>
      </w:r>
    </w:p>
    <w:p w14:paraId="53C31F2C">
      <w:pPr>
        <w:snapToGrid w:val="0"/>
        <w:spacing w:line="360" w:lineRule="auto"/>
        <w:ind w:firstLine="415" w:firstLineChars="198"/>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c)如供应商是非企业专业服务机构的，提供执业许可证等证明文件等证明文件；</w:t>
      </w:r>
    </w:p>
    <w:p w14:paraId="1166B89D">
      <w:pPr>
        <w:snapToGrid w:val="0"/>
        <w:spacing w:line="360" w:lineRule="auto"/>
        <w:ind w:firstLine="415" w:firstLineChars="198"/>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d)如供应商是个体工商户，提供有效的“个体工商户营业执照”；</w:t>
      </w:r>
    </w:p>
    <w:p w14:paraId="0CEEE3E0">
      <w:pPr>
        <w:snapToGrid w:val="0"/>
        <w:spacing w:line="360" w:lineRule="auto"/>
        <w:ind w:firstLine="415" w:firstLineChars="198"/>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e)如供应商是自然人，提供有效的自然人身份证明（居民身份证正反面或公安机关出具的临时居民身份证正反面或港澳台胞证或证照）。</w:t>
      </w:r>
    </w:p>
    <w:p w14:paraId="298A297C">
      <w:pPr>
        <w:snapToGrid w:val="0"/>
        <w:spacing w:line="360" w:lineRule="auto"/>
        <w:ind w:firstLine="417" w:firstLineChars="198"/>
        <w:rPr>
          <w:rFonts w:hint="eastAsia" w:ascii="宋体" w:hAnsi="宋体" w:cs="宋体"/>
          <w:b/>
          <w:bCs/>
          <w:color w:val="auto"/>
          <w:szCs w:val="21"/>
          <w:lang w:eastAsia="zh-CN"/>
        </w:rPr>
      </w:pPr>
      <w:r>
        <w:rPr>
          <w:rFonts w:hint="eastAsia" w:ascii="宋体" w:hAnsi="宋体" w:cs="宋体"/>
          <w:b/>
          <w:color w:val="auto"/>
          <w:szCs w:val="21"/>
        </w:rPr>
        <w:t>2.3资格承诺函；（格式</w:t>
      </w:r>
      <w:r>
        <w:rPr>
          <w:rFonts w:hint="eastAsia" w:ascii="宋体" w:hAnsi="宋体" w:cs="宋体"/>
          <w:b/>
          <w:color w:val="auto"/>
          <w:szCs w:val="21"/>
          <w:lang w:val="en-US" w:eastAsia="zh-CN"/>
        </w:rPr>
        <w:t>四</w:t>
      </w:r>
      <w:r>
        <w:rPr>
          <w:rFonts w:hint="eastAsia" w:ascii="宋体" w:hAnsi="宋体" w:cs="宋体"/>
          <w:b/>
          <w:color w:val="auto"/>
          <w:szCs w:val="21"/>
        </w:rPr>
        <w:t>）</w:t>
      </w:r>
    </w:p>
    <w:p w14:paraId="59FFB5FD">
      <w:pPr>
        <w:snapToGrid w:val="0"/>
        <w:spacing w:line="360" w:lineRule="auto"/>
        <w:ind w:firstLine="417" w:firstLineChars="198"/>
        <w:rPr>
          <w:rFonts w:hint="eastAsia" w:ascii="宋体" w:hAnsi="宋体" w:cs="宋体"/>
          <w:b/>
          <w:color w:val="auto"/>
          <w:szCs w:val="21"/>
        </w:rPr>
      </w:pPr>
      <w:r>
        <w:rPr>
          <w:rFonts w:hint="eastAsia" w:ascii="宋体" w:hAnsi="宋体" w:cs="宋体"/>
          <w:b/>
          <w:color w:val="auto"/>
          <w:szCs w:val="21"/>
        </w:rPr>
        <w:t>2.4</w:t>
      </w:r>
      <w:r>
        <w:rPr>
          <w:rFonts w:hint="eastAsia" w:ascii="宋体" w:hAnsi="宋体" w:cs="宋体"/>
          <w:b/>
          <w:color w:val="auto"/>
          <w:szCs w:val="21"/>
          <w:lang w:val="zh-CN"/>
        </w:rPr>
        <w:t>未被</w:t>
      </w:r>
      <w:r>
        <w:rPr>
          <w:rFonts w:hint="eastAsia" w:ascii="宋体" w:hAnsi="宋体" w:cs="宋体"/>
          <w:b/>
          <w:color w:val="auto"/>
          <w:szCs w:val="21"/>
        </w:rPr>
        <w:t>“</w:t>
      </w:r>
      <w:r>
        <w:rPr>
          <w:rFonts w:hint="eastAsia" w:ascii="宋体" w:hAnsi="宋体" w:cs="宋体"/>
          <w:b/>
          <w:color w:val="auto"/>
          <w:szCs w:val="21"/>
          <w:lang w:val="zh-CN"/>
        </w:rPr>
        <w:t>信用中国</w:t>
      </w:r>
      <w:r>
        <w:rPr>
          <w:rFonts w:hint="eastAsia" w:ascii="宋体" w:hAnsi="宋体" w:cs="宋体"/>
          <w:b/>
          <w:color w:val="auto"/>
          <w:szCs w:val="21"/>
        </w:rPr>
        <w:t>”（www.creditchina.gov.cn）</w:t>
      </w:r>
      <w:r>
        <w:rPr>
          <w:rFonts w:hint="eastAsia" w:ascii="宋体" w:hAnsi="宋体" w:cs="宋体"/>
          <w:b/>
          <w:color w:val="auto"/>
          <w:szCs w:val="21"/>
          <w:lang w:val="zh-CN"/>
        </w:rPr>
        <w:t>、中国政府采购网</w:t>
      </w:r>
      <w:r>
        <w:rPr>
          <w:rFonts w:hint="eastAsia" w:ascii="宋体" w:hAnsi="宋体" w:cs="宋体"/>
          <w:b/>
          <w:color w:val="auto"/>
          <w:szCs w:val="21"/>
        </w:rPr>
        <w:t>（www.ccgp.gov.cn）</w:t>
      </w:r>
      <w:r>
        <w:rPr>
          <w:rFonts w:hint="eastAsia" w:ascii="宋体" w:hAnsi="宋体" w:cs="宋体"/>
          <w:b/>
          <w:color w:val="auto"/>
          <w:szCs w:val="21"/>
          <w:lang w:val="zh-CN"/>
        </w:rPr>
        <w:t>、列入失信被执行人、重大税收违法案件当事人名单、政府采购严重违法失信行为记录名单</w:t>
      </w:r>
      <w:r>
        <w:rPr>
          <w:rFonts w:hint="eastAsia" w:ascii="宋体" w:hAnsi="宋体" w:cs="宋体"/>
          <w:b/>
          <w:color w:val="auto"/>
          <w:szCs w:val="21"/>
        </w:rPr>
        <w:t>；</w:t>
      </w:r>
    </w:p>
    <w:p w14:paraId="67C7EEC9">
      <w:pPr>
        <w:snapToGrid w:val="0"/>
        <w:spacing w:line="360" w:lineRule="auto"/>
        <w:ind w:firstLine="417" w:firstLineChars="198"/>
        <w:rPr>
          <w:rFonts w:hint="eastAsia" w:ascii="宋体" w:hAnsi="宋体" w:cs="宋体"/>
          <w:b/>
          <w:color w:val="auto"/>
          <w:szCs w:val="21"/>
        </w:rPr>
      </w:pPr>
      <w:r>
        <w:rPr>
          <w:rFonts w:hint="eastAsia" w:ascii="宋体" w:hAnsi="宋体" w:cs="宋体"/>
          <w:b/>
          <w:color w:val="auto"/>
          <w:szCs w:val="21"/>
        </w:rPr>
        <w:t>2.</w:t>
      </w:r>
      <w:r>
        <w:rPr>
          <w:rFonts w:hint="eastAsia" w:ascii="宋体" w:hAnsi="宋体" w:cs="宋体"/>
          <w:b/>
          <w:color w:val="auto"/>
          <w:szCs w:val="21"/>
          <w:lang w:val="en-US" w:eastAsia="zh-CN"/>
        </w:rPr>
        <w:t>5响应</w:t>
      </w:r>
      <w:r>
        <w:rPr>
          <w:rFonts w:hint="eastAsia" w:ascii="宋体" w:hAnsi="宋体" w:cs="宋体"/>
          <w:b/>
          <w:color w:val="auto"/>
          <w:szCs w:val="21"/>
        </w:rPr>
        <w:t>人法定代表人身份证复印件；</w:t>
      </w:r>
    </w:p>
    <w:p w14:paraId="2C5E370A">
      <w:pPr>
        <w:snapToGrid w:val="0"/>
        <w:spacing w:line="360" w:lineRule="auto"/>
        <w:ind w:firstLine="417" w:firstLineChars="198"/>
        <w:rPr>
          <w:rFonts w:hint="eastAsia" w:ascii="宋体" w:hAnsi="宋体" w:cs="宋体"/>
          <w:b/>
          <w:color w:val="auto"/>
          <w:szCs w:val="21"/>
        </w:rPr>
      </w:pPr>
      <w:r>
        <w:rPr>
          <w:rFonts w:hint="eastAsia" w:ascii="宋体" w:hAnsi="宋体" w:cs="宋体"/>
          <w:b/>
          <w:color w:val="auto"/>
          <w:szCs w:val="21"/>
        </w:rPr>
        <w:t>2.</w:t>
      </w:r>
      <w:r>
        <w:rPr>
          <w:rFonts w:hint="eastAsia" w:ascii="宋体" w:hAnsi="宋体" w:cs="宋体"/>
          <w:b/>
          <w:color w:val="auto"/>
          <w:szCs w:val="21"/>
          <w:lang w:val="en-US" w:eastAsia="zh-CN"/>
        </w:rPr>
        <w:t>6响应</w:t>
      </w:r>
      <w:r>
        <w:rPr>
          <w:rFonts w:hint="eastAsia" w:ascii="宋体" w:hAnsi="宋体" w:cs="宋体"/>
          <w:b/>
          <w:color w:val="auto"/>
          <w:szCs w:val="21"/>
        </w:rPr>
        <w:t>函；（格式</w:t>
      </w:r>
      <w:r>
        <w:rPr>
          <w:rFonts w:hint="eastAsia" w:ascii="宋体" w:hAnsi="宋体" w:cs="宋体"/>
          <w:b/>
          <w:color w:val="auto"/>
          <w:szCs w:val="21"/>
          <w:lang w:val="en-US" w:eastAsia="zh-CN"/>
        </w:rPr>
        <w:t>五</w:t>
      </w:r>
      <w:r>
        <w:rPr>
          <w:rFonts w:hint="eastAsia" w:ascii="宋体" w:hAnsi="宋体" w:cs="宋体"/>
          <w:b/>
          <w:color w:val="auto"/>
          <w:szCs w:val="21"/>
        </w:rPr>
        <w:t>）</w:t>
      </w:r>
    </w:p>
    <w:p w14:paraId="566D2CAD">
      <w:pPr>
        <w:snapToGrid w:val="0"/>
        <w:spacing w:line="360" w:lineRule="auto"/>
        <w:ind w:firstLine="417" w:firstLineChars="198"/>
        <w:rPr>
          <w:rFonts w:hint="eastAsia" w:ascii="宋体" w:hAnsi="宋体" w:cs="宋体"/>
          <w:b/>
          <w:color w:val="auto"/>
          <w:szCs w:val="21"/>
        </w:rPr>
      </w:pPr>
      <w:r>
        <w:rPr>
          <w:rFonts w:hint="eastAsia" w:ascii="宋体" w:hAnsi="宋体" w:cs="宋体"/>
          <w:b/>
          <w:color w:val="auto"/>
          <w:szCs w:val="21"/>
        </w:rPr>
        <w:t>2.</w:t>
      </w:r>
      <w:r>
        <w:rPr>
          <w:rFonts w:hint="eastAsia" w:ascii="宋体" w:hAnsi="宋体" w:cs="宋体"/>
          <w:b/>
          <w:color w:val="auto"/>
          <w:szCs w:val="21"/>
          <w:lang w:val="en-US" w:eastAsia="zh-CN"/>
        </w:rPr>
        <w:t>7</w:t>
      </w:r>
      <w:r>
        <w:rPr>
          <w:rFonts w:hint="eastAsia" w:ascii="宋体" w:hAnsi="宋体" w:cs="宋体"/>
          <w:b/>
          <w:color w:val="auto"/>
          <w:szCs w:val="21"/>
        </w:rPr>
        <w:t>法定代表人授权函，非法定代表人参加</w:t>
      </w:r>
      <w:r>
        <w:rPr>
          <w:rFonts w:hint="eastAsia" w:ascii="宋体" w:hAnsi="宋体" w:cs="宋体"/>
          <w:b/>
          <w:color w:val="auto"/>
          <w:szCs w:val="21"/>
          <w:lang w:val="en-US" w:eastAsia="zh-CN"/>
        </w:rPr>
        <w:t>磋商</w:t>
      </w:r>
      <w:r>
        <w:rPr>
          <w:rFonts w:hint="eastAsia" w:ascii="宋体" w:hAnsi="宋体" w:cs="宋体"/>
          <w:b/>
          <w:color w:val="auto"/>
          <w:szCs w:val="21"/>
        </w:rPr>
        <w:t>时提供；（格式</w:t>
      </w:r>
      <w:r>
        <w:rPr>
          <w:rFonts w:hint="eastAsia" w:ascii="宋体" w:hAnsi="宋体" w:cs="宋体"/>
          <w:b/>
          <w:color w:val="auto"/>
          <w:szCs w:val="21"/>
          <w:lang w:val="en-US" w:eastAsia="zh-CN"/>
        </w:rPr>
        <w:t>六</w:t>
      </w:r>
      <w:r>
        <w:rPr>
          <w:rFonts w:hint="eastAsia" w:ascii="宋体" w:hAnsi="宋体" w:cs="宋体"/>
          <w:b/>
          <w:color w:val="auto"/>
          <w:szCs w:val="21"/>
        </w:rPr>
        <w:t>）</w:t>
      </w:r>
    </w:p>
    <w:p w14:paraId="721072D6">
      <w:pPr>
        <w:snapToGrid w:val="0"/>
        <w:spacing w:line="360" w:lineRule="auto"/>
        <w:ind w:firstLine="417" w:firstLineChars="198"/>
        <w:rPr>
          <w:rFonts w:hint="eastAsia" w:ascii="宋体" w:hAnsi="宋体" w:eastAsia="宋体" w:cs="宋体"/>
          <w:b/>
          <w:color w:val="auto"/>
          <w:szCs w:val="21"/>
          <w:lang w:eastAsia="zh-CN"/>
        </w:rPr>
      </w:pPr>
      <w:r>
        <w:rPr>
          <w:rFonts w:hint="eastAsia" w:ascii="宋体" w:hAnsi="宋体" w:cs="宋体"/>
          <w:b/>
          <w:color w:val="auto"/>
          <w:szCs w:val="21"/>
        </w:rPr>
        <w:t>2.</w:t>
      </w:r>
      <w:r>
        <w:rPr>
          <w:rFonts w:hint="eastAsia" w:ascii="宋体" w:hAnsi="宋体" w:cs="宋体"/>
          <w:b/>
          <w:color w:val="auto"/>
          <w:szCs w:val="21"/>
          <w:lang w:val="en-US" w:eastAsia="zh-CN"/>
        </w:rPr>
        <w:t>8响应</w:t>
      </w:r>
      <w:r>
        <w:rPr>
          <w:rFonts w:hint="eastAsia" w:ascii="宋体" w:hAnsi="宋体" w:cs="宋体"/>
          <w:b/>
          <w:color w:val="auto"/>
          <w:szCs w:val="21"/>
        </w:rPr>
        <w:t>人代表身份证复印件，非法定代表人参加</w:t>
      </w:r>
      <w:r>
        <w:rPr>
          <w:rFonts w:hint="eastAsia" w:ascii="宋体" w:hAnsi="宋体" w:cs="宋体"/>
          <w:b/>
          <w:color w:val="auto"/>
          <w:szCs w:val="21"/>
          <w:lang w:val="en-US" w:eastAsia="zh-CN"/>
        </w:rPr>
        <w:t>磋商</w:t>
      </w:r>
      <w:r>
        <w:rPr>
          <w:rFonts w:hint="eastAsia" w:ascii="宋体" w:hAnsi="宋体" w:cs="宋体"/>
          <w:b/>
          <w:color w:val="auto"/>
          <w:szCs w:val="21"/>
        </w:rPr>
        <w:t>时提供</w:t>
      </w:r>
      <w:r>
        <w:rPr>
          <w:rFonts w:hint="eastAsia" w:ascii="宋体" w:hAnsi="宋体" w:cs="宋体"/>
          <w:b/>
          <w:color w:val="auto"/>
          <w:szCs w:val="21"/>
          <w:lang w:eastAsia="zh-CN"/>
        </w:rPr>
        <w:t>；</w:t>
      </w:r>
    </w:p>
    <w:p w14:paraId="19646E52">
      <w:pPr>
        <w:snapToGrid w:val="0"/>
        <w:spacing w:line="360" w:lineRule="auto"/>
        <w:ind w:firstLine="417" w:firstLineChars="198"/>
        <w:rPr>
          <w:rFonts w:hint="eastAsia" w:ascii="宋体" w:hAnsi="宋体" w:eastAsia="宋体" w:cs="宋体"/>
          <w:b/>
          <w:color w:val="auto"/>
          <w:szCs w:val="21"/>
          <w:lang w:eastAsia="zh-CN"/>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9</w:t>
      </w:r>
      <w:r>
        <w:rPr>
          <w:rFonts w:hint="eastAsia" w:ascii="宋体" w:hAnsi="宋体" w:eastAsia="宋体" w:cs="宋体"/>
          <w:b/>
          <w:color w:val="auto"/>
          <w:szCs w:val="21"/>
        </w:rPr>
        <w:t>具有市政公用工程施工总承包叁级及以上资质的独立法人企业</w:t>
      </w:r>
      <w:r>
        <w:rPr>
          <w:rFonts w:hint="eastAsia" w:ascii="宋体" w:hAnsi="宋体" w:eastAsia="宋体" w:cs="宋体"/>
          <w:b/>
          <w:color w:val="auto"/>
          <w:szCs w:val="21"/>
          <w:lang w:val="en-US" w:eastAsia="zh-CN"/>
        </w:rPr>
        <w:t>[</w:t>
      </w:r>
      <w:r>
        <w:rPr>
          <w:rFonts w:hint="eastAsia" w:ascii="宋体" w:hAnsi="宋体" w:eastAsia="宋体" w:cs="宋体"/>
          <w:b/>
          <w:color w:val="auto"/>
          <w:szCs w:val="21"/>
        </w:rPr>
        <w:t>对应资质应在“浙江省建筑市场监管公共服务系统”上资质动态核查结果处于“合格”状态，提供</w:t>
      </w:r>
      <w:r>
        <w:rPr>
          <w:rFonts w:hint="eastAsia" w:ascii="宋体" w:hAnsi="宋体" w:eastAsia="宋体" w:cs="宋体"/>
          <w:b/>
          <w:color w:val="auto"/>
          <w:szCs w:val="21"/>
          <w:lang w:val="en-US" w:eastAsia="zh-CN"/>
        </w:rPr>
        <w:t>响应</w:t>
      </w:r>
      <w:r>
        <w:rPr>
          <w:rFonts w:hint="eastAsia" w:ascii="宋体" w:hAnsi="宋体" w:eastAsia="宋体" w:cs="宋体"/>
          <w:b/>
          <w:color w:val="auto"/>
          <w:szCs w:val="21"/>
        </w:rPr>
        <w:t>人核查发布日期为2024年</w:t>
      </w:r>
      <w:r>
        <w:rPr>
          <w:rFonts w:hint="eastAsia" w:ascii="宋体" w:hAnsi="宋体" w:eastAsia="宋体" w:cs="宋体"/>
          <w:b/>
          <w:color w:val="auto"/>
          <w:szCs w:val="21"/>
          <w:lang w:val="en-US" w:eastAsia="zh-CN"/>
        </w:rPr>
        <w:t>12</w:t>
      </w:r>
      <w:r>
        <w:rPr>
          <w:rFonts w:hint="eastAsia" w:ascii="宋体" w:hAnsi="宋体" w:eastAsia="宋体" w:cs="宋体"/>
          <w:b/>
          <w:color w:val="auto"/>
          <w:szCs w:val="21"/>
        </w:rPr>
        <w:t>月</w:t>
      </w:r>
      <w:r>
        <w:rPr>
          <w:rFonts w:hint="eastAsia" w:ascii="宋体" w:hAnsi="宋体" w:cs="宋体"/>
          <w:b/>
          <w:color w:val="auto"/>
          <w:szCs w:val="21"/>
          <w:lang w:val="en-US" w:eastAsia="zh-CN"/>
        </w:rPr>
        <w:t>16</w:t>
      </w:r>
      <w:r>
        <w:rPr>
          <w:rFonts w:hint="eastAsia" w:ascii="宋体" w:hAnsi="宋体" w:eastAsia="宋体" w:cs="宋体"/>
          <w:b/>
          <w:color w:val="auto"/>
          <w:szCs w:val="21"/>
        </w:rPr>
        <w:t>日（周一）在“浙江省建筑市场监管公共服务系统”上，参与</w:t>
      </w:r>
      <w:r>
        <w:rPr>
          <w:rFonts w:hint="eastAsia" w:ascii="宋体" w:hAnsi="宋体" w:eastAsia="宋体" w:cs="宋体"/>
          <w:b/>
          <w:color w:val="auto"/>
          <w:szCs w:val="21"/>
          <w:lang w:val="en-US" w:eastAsia="zh-CN"/>
        </w:rPr>
        <w:t>响应</w:t>
      </w:r>
      <w:r>
        <w:rPr>
          <w:rFonts w:hint="eastAsia" w:ascii="宋体" w:hAnsi="宋体" w:eastAsia="宋体" w:cs="宋体"/>
          <w:b/>
          <w:color w:val="auto"/>
          <w:szCs w:val="21"/>
        </w:rPr>
        <w:t>资质的“资质动态核查证明”。2024年</w:t>
      </w:r>
      <w:r>
        <w:rPr>
          <w:rFonts w:hint="eastAsia" w:ascii="宋体" w:hAnsi="宋体" w:eastAsia="宋体" w:cs="宋体"/>
          <w:b/>
          <w:color w:val="auto"/>
          <w:szCs w:val="21"/>
          <w:lang w:val="en-US" w:eastAsia="zh-CN"/>
        </w:rPr>
        <w:t>12</w:t>
      </w:r>
      <w:r>
        <w:rPr>
          <w:rFonts w:hint="eastAsia" w:ascii="宋体" w:hAnsi="宋体" w:eastAsia="宋体" w:cs="宋体"/>
          <w:b/>
          <w:color w:val="auto"/>
          <w:szCs w:val="21"/>
        </w:rPr>
        <w:t>月</w:t>
      </w:r>
      <w:r>
        <w:rPr>
          <w:rFonts w:hint="eastAsia" w:ascii="宋体" w:hAnsi="宋体" w:cs="宋体"/>
          <w:b/>
          <w:color w:val="auto"/>
          <w:szCs w:val="21"/>
          <w:lang w:val="en-US" w:eastAsia="zh-CN"/>
        </w:rPr>
        <w:t>16</w:t>
      </w:r>
      <w:r>
        <w:rPr>
          <w:rFonts w:hint="eastAsia" w:ascii="宋体" w:hAnsi="宋体" w:eastAsia="宋体" w:cs="宋体"/>
          <w:b/>
          <w:color w:val="auto"/>
          <w:szCs w:val="21"/>
        </w:rPr>
        <w:t>日（周一）是指“浙江省建筑业企业资质动态核查证明”中的核查发布日期</w:t>
      </w:r>
      <w:r>
        <w:rPr>
          <w:rFonts w:hint="eastAsia" w:ascii="宋体" w:hAnsi="宋体" w:eastAsia="宋体" w:cs="宋体"/>
          <w:b/>
          <w:color w:val="auto"/>
          <w:szCs w:val="21"/>
          <w:lang w:val="en-US" w:eastAsia="zh-CN"/>
        </w:rPr>
        <w:t>]</w:t>
      </w:r>
      <w:r>
        <w:rPr>
          <w:rFonts w:hint="eastAsia" w:ascii="宋体" w:hAnsi="宋体" w:eastAsia="宋体" w:cs="宋体"/>
          <w:b/>
          <w:color w:val="auto"/>
          <w:szCs w:val="21"/>
          <w:lang w:eastAsia="zh-CN"/>
        </w:rPr>
        <w:t>；</w:t>
      </w:r>
    </w:p>
    <w:p w14:paraId="31B28407">
      <w:pPr>
        <w:snapToGrid w:val="0"/>
        <w:spacing w:line="360" w:lineRule="auto"/>
        <w:ind w:firstLine="417" w:firstLineChars="198"/>
        <w:rPr>
          <w:rFonts w:hint="eastAsia" w:ascii="宋体" w:hAnsi="宋体" w:eastAsia="宋体" w:cs="宋体"/>
          <w:b/>
          <w:color w:val="auto"/>
          <w:szCs w:val="21"/>
          <w:lang w:val="en-US" w:eastAsia="zh-CN"/>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10</w:t>
      </w:r>
      <w:r>
        <w:rPr>
          <w:rFonts w:hint="eastAsia" w:ascii="宋体" w:hAnsi="宋体" w:eastAsia="宋体" w:cs="宋体"/>
          <w:b/>
          <w:color w:val="auto"/>
          <w:szCs w:val="21"/>
        </w:rPr>
        <w:t>具有有效的安全生产许可证</w:t>
      </w:r>
      <w:r>
        <w:rPr>
          <w:rFonts w:hint="eastAsia" w:ascii="宋体" w:hAnsi="宋体" w:eastAsia="宋体" w:cs="宋体"/>
          <w:b/>
          <w:color w:val="auto"/>
          <w:szCs w:val="21"/>
          <w:lang w:eastAsia="zh-CN"/>
        </w:rPr>
        <w:t>；</w:t>
      </w:r>
    </w:p>
    <w:p w14:paraId="3A7BEBA1">
      <w:pPr>
        <w:snapToGrid w:val="0"/>
        <w:spacing w:line="360" w:lineRule="auto"/>
        <w:ind w:firstLine="417" w:firstLineChars="198"/>
        <w:rPr>
          <w:rFonts w:hint="eastAsia" w:ascii="宋体" w:hAnsi="宋体" w:eastAsia="宋体" w:cs="宋体"/>
          <w:b/>
          <w:color w:val="auto"/>
          <w:szCs w:val="21"/>
          <w:lang w:eastAsia="zh-CN"/>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11项目负责人</w:t>
      </w:r>
      <w:r>
        <w:rPr>
          <w:rFonts w:hint="eastAsia" w:ascii="宋体" w:hAnsi="宋体" w:eastAsia="宋体" w:cs="宋体"/>
          <w:b/>
          <w:color w:val="auto"/>
          <w:szCs w:val="21"/>
          <w:lang w:eastAsia="zh-CN"/>
        </w:rPr>
        <w:t>具有市政公用工程二级及以上注册建造师</w:t>
      </w:r>
      <w:r>
        <w:rPr>
          <w:rFonts w:hint="eastAsia" w:ascii="宋体" w:hAnsi="宋体" w:eastAsia="宋体" w:cs="宋体"/>
          <w:b/>
          <w:color w:val="auto"/>
          <w:szCs w:val="21"/>
          <w:lang w:val="en-US" w:eastAsia="zh-CN"/>
        </w:rPr>
        <w:t>(</w:t>
      </w:r>
      <w:r>
        <w:rPr>
          <w:rFonts w:hint="eastAsia" w:ascii="宋体" w:hAnsi="宋体" w:eastAsia="宋体" w:cs="宋体"/>
          <w:b/>
          <w:color w:val="auto"/>
          <w:szCs w:val="21"/>
          <w:lang w:eastAsia="zh-CN"/>
        </w:rPr>
        <w:t>一级建造师采用电子证书的，其复制件应符合建设部建办市【2021】40号文件规定；二级建造师采用电子证书的，其复制件应符合二级建造师采用的电子证书，其复制件应在个人签名处手写本人签名，未手写签名的，该电子证书无效</w:t>
      </w:r>
      <w:r>
        <w:rPr>
          <w:rFonts w:hint="eastAsia" w:ascii="宋体" w:hAnsi="宋体" w:eastAsia="宋体" w:cs="宋体"/>
          <w:b/>
          <w:color w:val="auto"/>
          <w:szCs w:val="21"/>
          <w:lang w:val="en-US" w:eastAsia="zh-CN"/>
        </w:rPr>
        <w:t>)；</w:t>
      </w:r>
    </w:p>
    <w:p w14:paraId="5E5520B0">
      <w:pPr>
        <w:snapToGrid w:val="0"/>
        <w:spacing w:line="360" w:lineRule="auto"/>
        <w:ind w:firstLine="417" w:firstLineChars="198"/>
        <w:rPr>
          <w:rFonts w:hint="eastAsia" w:ascii="宋体" w:hAnsi="宋体" w:eastAsia="宋体" w:cs="宋体"/>
          <w:b/>
          <w:color w:val="auto"/>
          <w:szCs w:val="21"/>
          <w:lang w:val="en-US" w:eastAsia="zh-CN"/>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12项目负责人和安全员必须配备齐全（其中安全员配备符合建质【2008】91 号文件规定），项目负责人须有 B 类安全考核证书，项目安全员须有 C 类安全考核证书，且均应有本企业有效的社保证明（近 3 个月内任意一月）。如因故无法提供社保证明，须提供能证明是本企业在职人员的相关证明材料；</w:t>
      </w:r>
    </w:p>
    <w:p w14:paraId="78E188B6">
      <w:pPr>
        <w:snapToGrid w:val="0"/>
        <w:spacing w:line="360" w:lineRule="auto"/>
        <w:ind w:firstLine="417" w:firstLineChars="198"/>
        <w:rPr>
          <w:rFonts w:hint="eastAsia" w:ascii="宋体" w:hAnsi="宋体" w:eastAsia="宋体" w:cs="宋体"/>
          <w:b/>
          <w:color w:val="auto"/>
          <w:szCs w:val="21"/>
          <w:lang w:val="zh-CN"/>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13如浙江</w:t>
      </w:r>
      <w:r>
        <w:rPr>
          <w:rFonts w:hint="eastAsia" w:ascii="宋体" w:hAnsi="宋体" w:eastAsia="宋体" w:cs="宋体"/>
          <w:b/>
          <w:color w:val="auto"/>
          <w:szCs w:val="21"/>
        </w:rPr>
        <w:t>省外企业</w:t>
      </w:r>
      <w:r>
        <w:rPr>
          <w:rFonts w:hint="eastAsia" w:ascii="宋体" w:hAnsi="宋体" w:eastAsia="宋体" w:cs="宋体"/>
          <w:b/>
          <w:color w:val="auto"/>
          <w:szCs w:val="21"/>
          <w:lang w:val="en-US" w:eastAsia="zh-CN"/>
        </w:rPr>
        <w:t>响应</w:t>
      </w:r>
      <w:r>
        <w:rPr>
          <w:rFonts w:hint="eastAsia" w:ascii="宋体" w:hAnsi="宋体" w:eastAsia="宋体" w:cs="宋体"/>
          <w:b/>
          <w:color w:val="auto"/>
          <w:szCs w:val="21"/>
          <w:lang w:eastAsia="zh-CN"/>
        </w:rPr>
        <w:t>的，</w:t>
      </w:r>
      <w:r>
        <w:rPr>
          <w:rFonts w:hint="eastAsia" w:ascii="宋体" w:hAnsi="宋体" w:eastAsia="宋体" w:cs="宋体"/>
          <w:b/>
          <w:color w:val="auto"/>
          <w:szCs w:val="21"/>
          <w:lang w:val="en-US" w:eastAsia="zh-CN"/>
        </w:rPr>
        <w:t>须提供</w:t>
      </w:r>
      <w:r>
        <w:rPr>
          <w:rFonts w:hint="eastAsia" w:ascii="宋体" w:hAnsi="宋体" w:eastAsia="宋体" w:cs="宋体"/>
          <w:b/>
          <w:color w:val="auto"/>
          <w:szCs w:val="21"/>
        </w:rPr>
        <w:t>在“浙江省建筑市场监管公共服务系统”备案信息截图复制件</w:t>
      </w:r>
      <w:r>
        <w:rPr>
          <w:rFonts w:hint="eastAsia" w:ascii="宋体" w:hAnsi="宋体" w:eastAsia="宋体" w:cs="宋体"/>
          <w:b/>
          <w:color w:val="auto"/>
          <w:szCs w:val="21"/>
          <w:lang w:eastAsia="zh-CN"/>
        </w:rPr>
        <w:t>。</w:t>
      </w:r>
    </w:p>
    <w:p w14:paraId="4C8CC420">
      <w:pPr>
        <w:snapToGrid w:val="0"/>
        <w:spacing w:line="360" w:lineRule="auto"/>
        <w:rPr>
          <w:rFonts w:hint="eastAsia" w:ascii="宋体" w:hAnsi="宋体" w:cs="宋体"/>
          <w:b/>
          <w:color w:val="auto"/>
          <w:szCs w:val="21"/>
        </w:rPr>
      </w:pPr>
      <w:r>
        <w:rPr>
          <w:rFonts w:hint="eastAsia" w:ascii="宋体" w:hAnsi="宋体" w:cs="宋体"/>
          <w:b/>
          <w:color w:val="auto"/>
          <w:szCs w:val="21"/>
        </w:rPr>
        <w:t>3、商务技术文件部分</w:t>
      </w:r>
    </w:p>
    <w:p w14:paraId="08FAF3FE">
      <w:pPr>
        <w:snapToGrid w:val="0"/>
        <w:spacing w:line="360" w:lineRule="auto"/>
        <w:ind w:firstLine="415" w:firstLineChars="198"/>
        <w:rPr>
          <w:rFonts w:ascii="宋体" w:hAnsi="宋体" w:cs="宋体"/>
          <w:color w:val="auto"/>
          <w:szCs w:val="21"/>
        </w:rPr>
      </w:pPr>
      <w:r>
        <w:rPr>
          <w:rFonts w:hint="eastAsia" w:ascii="宋体" w:hAnsi="宋体" w:cs="宋体"/>
          <w:color w:val="auto"/>
          <w:szCs w:val="21"/>
        </w:rPr>
        <w:t>3.1评分标准页码索引；</w:t>
      </w:r>
    </w:p>
    <w:p w14:paraId="09638919">
      <w:pPr>
        <w:snapToGrid w:val="0"/>
        <w:spacing w:line="360" w:lineRule="auto"/>
        <w:ind w:firstLine="415" w:firstLineChars="198"/>
        <w:rPr>
          <w:rFonts w:hint="eastAsia" w:ascii="宋体" w:hAnsi="宋体" w:cs="宋体"/>
          <w:b/>
          <w:color w:val="auto"/>
          <w:szCs w:val="21"/>
        </w:rPr>
      </w:pPr>
      <w:r>
        <w:rPr>
          <w:rFonts w:hint="eastAsia" w:ascii="宋体" w:hAnsi="宋体" w:cs="宋体"/>
          <w:color w:val="auto"/>
          <w:szCs w:val="21"/>
        </w:rPr>
        <w:t>3.2按评分标准依序提供相关材料、方案；</w:t>
      </w:r>
      <w:r>
        <w:rPr>
          <w:rFonts w:hint="eastAsia" w:ascii="宋体" w:hAnsi="宋体" w:cs="宋体"/>
          <w:b/>
          <w:color w:val="auto"/>
          <w:szCs w:val="21"/>
        </w:rPr>
        <w:t>（格式</w:t>
      </w:r>
      <w:r>
        <w:rPr>
          <w:rFonts w:hint="eastAsia" w:ascii="宋体" w:hAnsi="宋体" w:cs="宋体"/>
          <w:b/>
          <w:color w:val="auto"/>
          <w:szCs w:val="21"/>
          <w:lang w:val="en-US" w:eastAsia="zh-CN"/>
        </w:rPr>
        <w:t>七</w:t>
      </w:r>
      <w:r>
        <w:rPr>
          <w:rFonts w:hint="eastAsia" w:ascii="宋体" w:hAnsi="宋体" w:cs="宋体"/>
          <w:b/>
          <w:color w:val="auto"/>
          <w:szCs w:val="21"/>
        </w:rPr>
        <w:t>-</w:t>
      </w:r>
      <w:r>
        <w:rPr>
          <w:rFonts w:hint="eastAsia" w:ascii="宋体" w:hAnsi="宋体" w:cs="宋体"/>
          <w:b/>
          <w:color w:val="auto"/>
          <w:szCs w:val="21"/>
          <w:lang w:val="en-US" w:eastAsia="zh-CN"/>
        </w:rPr>
        <w:t>八</w:t>
      </w:r>
      <w:r>
        <w:rPr>
          <w:rFonts w:hint="eastAsia" w:ascii="宋体" w:hAnsi="宋体" w:cs="宋体"/>
          <w:b/>
          <w:color w:val="auto"/>
          <w:szCs w:val="21"/>
        </w:rPr>
        <w:t>）</w:t>
      </w:r>
    </w:p>
    <w:p w14:paraId="74536C68">
      <w:pPr>
        <w:snapToGrid w:val="0"/>
        <w:spacing w:line="360" w:lineRule="auto"/>
        <w:ind w:firstLine="415" w:firstLineChars="198"/>
        <w:rPr>
          <w:rFonts w:hint="eastAsia" w:ascii="宋体" w:hAnsi="宋体" w:cs="宋体"/>
          <w:color w:val="auto"/>
          <w:szCs w:val="21"/>
        </w:rPr>
      </w:pPr>
      <w:r>
        <w:rPr>
          <w:rFonts w:hint="eastAsia" w:ascii="宋体" w:hAnsi="宋体" w:cs="宋体"/>
          <w:color w:val="auto"/>
          <w:szCs w:val="21"/>
        </w:rPr>
        <w:t>3.3本</w:t>
      </w:r>
      <w:r>
        <w:rPr>
          <w:rFonts w:hint="eastAsia" w:ascii="宋体" w:hAnsi="宋体" w:cs="宋体"/>
          <w:color w:val="auto"/>
          <w:szCs w:val="21"/>
          <w:lang w:val="en-US" w:eastAsia="zh-CN"/>
        </w:rPr>
        <w:t>磋商</w:t>
      </w:r>
      <w:r>
        <w:rPr>
          <w:rFonts w:hint="eastAsia" w:ascii="宋体" w:hAnsi="宋体" w:cs="宋体"/>
          <w:color w:val="auto"/>
          <w:szCs w:val="21"/>
        </w:rPr>
        <w:t>文件要求提供的和</w:t>
      </w:r>
      <w:r>
        <w:rPr>
          <w:rFonts w:hint="eastAsia" w:ascii="宋体" w:hAnsi="宋体" w:cs="宋体"/>
          <w:color w:val="auto"/>
          <w:szCs w:val="21"/>
          <w:lang w:val="en-US" w:eastAsia="zh-CN"/>
        </w:rPr>
        <w:t>响应</w:t>
      </w:r>
      <w:r>
        <w:rPr>
          <w:rFonts w:hint="eastAsia" w:ascii="宋体" w:hAnsi="宋体" w:cs="宋体"/>
          <w:color w:val="auto"/>
          <w:szCs w:val="21"/>
        </w:rPr>
        <w:t>人认为需要提供的其它说明和资料/文件。</w:t>
      </w:r>
    </w:p>
    <w:p w14:paraId="398FBC5A">
      <w:pPr>
        <w:snapToGrid w:val="0"/>
        <w:spacing w:before="120" w:after="120" w:line="360" w:lineRule="auto"/>
        <w:jc w:val="center"/>
        <w:outlineLvl w:val="0"/>
        <w:rPr>
          <w:rFonts w:hint="eastAsia" w:ascii="宋体" w:hAnsi="宋体" w:cs="宋体"/>
          <w:b/>
          <w:color w:val="auto"/>
          <w:sz w:val="28"/>
          <w:szCs w:val="28"/>
        </w:rPr>
      </w:pPr>
      <w:r>
        <w:rPr>
          <w:rFonts w:hint="eastAsia" w:ascii="宋体" w:hAnsi="宋体" w:cs="宋体"/>
          <w:b/>
          <w:color w:val="auto"/>
          <w:sz w:val="28"/>
          <w:szCs w:val="28"/>
        </w:rPr>
        <w:br w:type="page"/>
      </w:r>
      <w:r>
        <w:rPr>
          <w:rFonts w:hint="eastAsia" w:ascii="宋体" w:hAnsi="宋体" w:cs="宋体"/>
          <w:b/>
          <w:color w:val="auto"/>
          <w:sz w:val="28"/>
          <w:szCs w:val="28"/>
          <w:lang w:val="en-US" w:eastAsia="zh-CN"/>
        </w:rPr>
        <w:t>响应</w:t>
      </w:r>
      <w:r>
        <w:rPr>
          <w:rFonts w:hint="eastAsia" w:ascii="宋体" w:hAnsi="宋体" w:cs="宋体"/>
          <w:b/>
          <w:color w:val="auto"/>
          <w:sz w:val="28"/>
          <w:szCs w:val="28"/>
        </w:rPr>
        <w:t>文件格式</w:t>
      </w:r>
    </w:p>
    <w:p w14:paraId="535E8F9C">
      <w:pPr>
        <w:snapToGrid w:val="0"/>
        <w:spacing w:before="50" w:after="50"/>
        <w:rPr>
          <w:rFonts w:hint="eastAsia" w:ascii="宋体" w:hAnsi="宋体" w:cs="宋体"/>
          <w:b/>
          <w:color w:val="auto"/>
          <w:spacing w:val="20"/>
          <w:szCs w:val="21"/>
        </w:rPr>
      </w:pPr>
      <w:r>
        <w:rPr>
          <w:rFonts w:hint="eastAsia" w:ascii="宋体" w:hAnsi="宋体" w:cs="宋体"/>
          <w:b/>
          <w:color w:val="auto"/>
          <w:spacing w:val="20"/>
          <w:szCs w:val="21"/>
        </w:rPr>
        <w:t>格式一、开标一览表</w:t>
      </w:r>
    </w:p>
    <w:p w14:paraId="736C66B5">
      <w:pPr>
        <w:snapToGrid w:val="0"/>
        <w:spacing w:before="50" w:after="50"/>
        <w:rPr>
          <w:rFonts w:hint="eastAsia" w:ascii="宋体" w:hAnsi="宋体" w:cs="宋体"/>
          <w:b/>
          <w:color w:val="auto"/>
          <w:spacing w:val="20"/>
          <w:szCs w:val="21"/>
        </w:rPr>
      </w:pP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51"/>
        <w:gridCol w:w="7961"/>
      </w:tblGrid>
      <w:tr w14:paraId="6A9DB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7F71CF75">
            <w:pPr>
              <w:keepNext w:val="0"/>
              <w:keepLines w:val="0"/>
              <w:suppressLineNumbers w:val="0"/>
              <w:spacing w:before="240" w:beforeAutospacing="0" w:after="240" w:afterAutospacing="0"/>
              <w:ind w:left="0" w:right="0"/>
              <w:jc w:val="center"/>
              <w:rPr>
                <w:rFonts w:hint="eastAsia" w:ascii="宋体" w:hAnsi="宋体" w:cs="宋体"/>
                <w:color w:val="auto"/>
                <w:szCs w:val="21"/>
              </w:rPr>
            </w:pPr>
            <w:r>
              <w:rPr>
                <w:rFonts w:hint="eastAsia" w:ascii="宋体" w:hAnsi="宋体" w:cs="宋体"/>
                <w:color w:val="auto"/>
                <w:szCs w:val="21"/>
              </w:rPr>
              <w:t>项目名称</w:t>
            </w:r>
          </w:p>
        </w:tc>
        <w:tc>
          <w:tcPr>
            <w:tcW w:w="7961" w:type="dxa"/>
            <w:noWrap w:val="0"/>
            <w:vAlign w:val="center"/>
          </w:tcPr>
          <w:p w14:paraId="6D03EF8A">
            <w:pPr>
              <w:keepNext w:val="0"/>
              <w:keepLines w:val="0"/>
              <w:suppressLineNumbers w:val="0"/>
              <w:spacing w:before="240" w:beforeAutospacing="0" w:after="240" w:afterAutospacing="0"/>
              <w:ind w:left="0" w:right="0"/>
              <w:jc w:val="center"/>
              <w:rPr>
                <w:rFonts w:hint="eastAsia" w:ascii="宋体" w:hAnsi="宋体" w:eastAsia="宋体" w:cs="宋体"/>
                <w:b/>
                <w:color w:val="auto"/>
                <w:szCs w:val="21"/>
                <w:lang w:eastAsia="zh-CN"/>
              </w:rPr>
            </w:pPr>
            <w:r>
              <w:rPr>
                <w:rFonts w:hint="eastAsia" w:ascii="宋体" w:hAnsi="宋体" w:cs="宋体"/>
                <w:color w:val="auto"/>
                <w:szCs w:val="21"/>
                <w:lang w:eastAsia="zh-CN"/>
              </w:rPr>
              <w:t>2025年度岱山县高亭城区市政公用设施维修工程</w:t>
            </w:r>
            <w:r>
              <w:rPr>
                <w:rFonts w:hint="eastAsia" w:asciiTheme="minorEastAsia" w:hAnsiTheme="minorEastAsia" w:eastAsiaTheme="minorEastAsia" w:cstheme="minorEastAsia"/>
                <w:i w:val="0"/>
                <w:iCs w:val="0"/>
                <w:caps w:val="0"/>
                <w:color w:val="auto"/>
                <w:spacing w:val="0"/>
                <w:sz w:val="21"/>
                <w:szCs w:val="21"/>
                <w:lang w:eastAsia="zh-CN"/>
              </w:rPr>
              <w:t>（</w:t>
            </w:r>
            <w:r>
              <w:rPr>
                <w:rFonts w:hint="eastAsia" w:asciiTheme="minorEastAsia" w:hAnsiTheme="minorEastAsia" w:eastAsiaTheme="minorEastAsia" w:cstheme="minorEastAsia"/>
                <w:i w:val="0"/>
                <w:iCs w:val="0"/>
                <w:caps w:val="0"/>
                <w:color w:val="auto"/>
                <w:spacing w:val="0"/>
                <w:sz w:val="21"/>
                <w:szCs w:val="21"/>
                <w:lang w:val="en-US" w:eastAsia="zh-CN"/>
              </w:rPr>
              <w:t>重新招标</w:t>
            </w:r>
            <w:r>
              <w:rPr>
                <w:rFonts w:hint="eastAsia" w:asciiTheme="minorEastAsia" w:hAnsiTheme="minorEastAsia" w:eastAsiaTheme="minorEastAsia" w:cstheme="minorEastAsia"/>
                <w:i w:val="0"/>
                <w:iCs w:val="0"/>
                <w:caps w:val="0"/>
                <w:color w:val="auto"/>
                <w:spacing w:val="0"/>
                <w:sz w:val="21"/>
                <w:szCs w:val="21"/>
                <w:lang w:eastAsia="zh-CN"/>
              </w:rPr>
              <w:t>）</w:t>
            </w:r>
          </w:p>
        </w:tc>
      </w:tr>
      <w:tr w14:paraId="5240E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noWrap w:val="0"/>
            <w:vAlign w:val="center"/>
          </w:tcPr>
          <w:p w14:paraId="093EDA15">
            <w:pPr>
              <w:keepNext w:val="0"/>
              <w:keepLines w:val="0"/>
              <w:suppressLineNumbers w:val="0"/>
              <w:spacing w:before="240" w:beforeAutospacing="0" w:after="240" w:afterAutospacing="0"/>
              <w:ind w:left="0" w:right="0"/>
              <w:jc w:val="center"/>
              <w:rPr>
                <w:rFonts w:hint="eastAsia" w:ascii="宋体" w:hAnsi="宋体" w:cs="宋体"/>
                <w:color w:val="auto"/>
                <w:szCs w:val="21"/>
              </w:rPr>
            </w:pPr>
            <w:r>
              <w:rPr>
                <w:rFonts w:hint="eastAsia" w:ascii="宋体" w:hAnsi="宋体" w:cs="宋体"/>
                <w:color w:val="auto"/>
                <w:szCs w:val="21"/>
                <w:lang w:val="en-US" w:eastAsia="zh-CN"/>
              </w:rPr>
              <w:t>响应下浮率</w:t>
            </w:r>
          </w:p>
        </w:tc>
        <w:tc>
          <w:tcPr>
            <w:tcW w:w="7961" w:type="dxa"/>
            <w:noWrap w:val="0"/>
            <w:vAlign w:val="center"/>
          </w:tcPr>
          <w:p w14:paraId="0EC08831">
            <w:pPr>
              <w:keepNext w:val="0"/>
              <w:keepLines w:val="0"/>
              <w:suppressLineNumbers w:val="0"/>
              <w:spacing w:before="240" w:beforeAutospacing="0" w:after="240" w:afterAutospacing="0"/>
              <w:ind w:left="0" w:right="0"/>
              <w:jc w:val="center"/>
              <w:rPr>
                <w:rFonts w:hint="eastAsia" w:ascii="宋体" w:hAnsi="宋体" w:cs="宋体"/>
                <w:color w:val="auto"/>
                <w:szCs w:val="21"/>
              </w:rPr>
            </w:pPr>
            <w:r>
              <w:rPr>
                <w:rFonts w:hint="eastAsia" w:ascii="宋体" w:hAnsi="宋体" w:cs="宋体"/>
                <w:color w:val="auto"/>
                <w:szCs w:val="21"/>
                <w:u w:val="single"/>
                <w:lang w:val="en-US" w:eastAsia="zh-CN"/>
              </w:rPr>
              <w:t xml:space="preserve">       </w:t>
            </w:r>
            <w:r>
              <w:rPr>
                <w:rFonts w:hint="eastAsia" w:ascii="宋体" w:hAnsi="宋体" w:cs="宋体"/>
                <w:color w:val="auto"/>
                <w:szCs w:val="21"/>
                <w:lang w:val="en-US" w:eastAsia="zh-CN"/>
              </w:rPr>
              <w:t>%</w:t>
            </w:r>
          </w:p>
        </w:tc>
      </w:tr>
    </w:tbl>
    <w:p w14:paraId="1984EE26">
      <w:pPr>
        <w:spacing w:line="360" w:lineRule="exact"/>
        <w:rPr>
          <w:rFonts w:hint="eastAsia" w:ascii="宋体" w:hAnsi="宋体"/>
          <w:bCs/>
          <w:color w:val="auto"/>
          <w:szCs w:val="21"/>
        </w:rPr>
      </w:pPr>
      <w:r>
        <w:rPr>
          <w:rFonts w:hint="eastAsia" w:ascii="宋体" w:hAnsi="宋体"/>
          <w:bCs/>
          <w:color w:val="auto"/>
          <w:szCs w:val="21"/>
        </w:rPr>
        <w:t>注：</w:t>
      </w:r>
    </w:p>
    <w:p w14:paraId="7A9268B9">
      <w:pPr>
        <w:spacing w:line="360" w:lineRule="exact"/>
        <w:rPr>
          <w:rFonts w:hint="eastAsia" w:ascii="宋体" w:hAnsi="宋体" w:eastAsia="宋体" w:cs="Times New Roman"/>
          <w:bCs/>
          <w:color w:val="auto"/>
          <w:sz w:val="21"/>
          <w:szCs w:val="21"/>
        </w:rPr>
      </w:pPr>
      <w:r>
        <w:rPr>
          <w:rFonts w:hint="eastAsia" w:ascii="宋体" w:hAnsi="宋体" w:eastAsia="宋体" w:cs="Times New Roman"/>
          <w:bCs/>
          <w:color w:val="auto"/>
          <w:sz w:val="21"/>
          <w:szCs w:val="21"/>
          <w:lang w:val="en-US" w:eastAsia="zh-CN"/>
        </w:rPr>
        <w:t>1</w:t>
      </w:r>
      <w:r>
        <w:rPr>
          <w:rFonts w:hint="eastAsia" w:ascii="宋体" w:hAnsi="宋体" w:eastAsia="宋体" w:cs="Times New Roman"/>
          <w:bCs/>
          <w:color w:val="auto"/>
          <w:sz w:val="21"/>
          <w:szCs w:val="21"/>
        </w:rPr>
        <w:t>.</w:t>
      </w:r>
      <w:r>
        <w:rPr>
          <w:rFonts w:hint="eastAsia" w:ascii="宋体" w:hAnsi="宋体" w:eastAsia="宋体" w:cs="Times New Roman"/>
          <w:bCs/>
          <w:color w:val="auto"/>
          <w:sz w:val="21"/>
          <w:szCs w:val="21"/>
          <w:lang w:val="zh-TW" w:eastAsia="zh-TW"/>
        </w:rPr>
        <w:t>报价包括</w:t>
      </w:r>
      <w:r>
        <w:rPr>
          <w:rFonts w:hint="eastAsia" w:ascii="宋体" w:hAnsi="宋体" w:eastAsia="宋体" w:cs="Times New Roman"/>
          <w:bCs/>
          <w:color w:val="auto"/>
          <w:sz w:val="21"/>
          <w:szCs w:val="21"/>
          <w:lang w:val="zh-CN" w:eastAsia="zh-TW"/>
        </w:rPr>
        <w:t>本项目所产生的</w:t>
      </w:r>
      <w:r>
        <w:rPr>
          <w:rFonts w:hint="eastAsia" w:ascii="宋体" w:hAnsi="宋体" w:eastAsia="宋体" w:cs="Times New Roman"/>
          <w:bCs/>
          <w:color w:val="auto"/>
          <w:sz w:val="21"/>
          <w:szCs w:val="21"/>
          <w:lang w:val="en-US" w:eastAsia="zh-CN"/>
        </w:rPr>
        <w:t>人工费</w:t>
      </w:r>
      <w:r>
        <w:rPr>
          <w:rFonts w:hint="eastAsia" w:ascii="宋体" w:hAnsi="宋体" w:eastAsia="宋体" w:cs="Times New Roman"/>
          <w:bCs/>
          <w:color w:val="auto"/>
          <w:sz w:val="21"/>
          <w:szCs w:val="21"/>
          <w:lang w:val="zh-CN" w:eastAsia="zh-CN"/>
        </w:rPr>
        <w:t>、</w:t>
      </w:r>
      <w:r>
        <w:rPr>
          <w:rFonts w:hint="eastAsia" w:ascii="宋体" w:hAnsi="宋体" w:eastAsia="宋体" w:cs="Times New Roman"/>
          <w:bCs/>
          <w:color w:val="auto"/>
          <w:sz w:val="21"/>
          <w:szCs w:val="21"/>
          <w:lang w:val="en-US" w:eastAsia="zh-CN"/>
        </w:rPr>
        <w:t>材料</w:t>
      </w:r>
      <w:r>
        <w:rPr>
          <w:rFonts w:hint="eastAsia" w:ascii="宋体" w:hAnsi="宋体" w:eastAsia="宋体" w:cs="Times New Roman"/>
          <w:bCs/>
          <w:color w:val="auto"/>
          <w:sz w:val="21"/>
          <w:szCs w:val="21"/>
          <w:lang w:val="zh-CN" w:eastAsia="zh-TW"/>
        </w:rPr>
        <w:t>费、</w:t>
      </w:r>
      <w:r>
        <w:rPr>
          <w:rFonts w:hint="eastAsia" w:ascii="宋体"/>
          <w:color w:val="auto"/>
          <w:szCs w:val="21"/>
        </w:rPr>
        <w:t>施工机械使用费</w:t>
      </w:r>
      <w:r>
        <w:rPr>
          <w:rFonts w:hint="eastAsia" w:ascii="宋体" w:hAnsi="宋体" w:eastAsia="宋体" w:cs="Times New Roman"/>
          <w:bCs/>
          <w:color w:val="auto"/>
          <w:sz w:val="21"/>
          <w:szCs w:val="21"/>
          <w:lang w:val="zh-CN" w:eastAsia="zh-TW"/>
        </w:rPr>
        <w:t>、企业管理费、利润、税金等相关的一切费用，</w:t>
      </w:r>
      <w:r>
        <w:rPr>
          <w:rFonts w:hint="eastAsia" w:ascii="宋体" w:hAnsi="宋体" w:eastAsia="宋体" w:cs="Times New Roman"/>
          <w:bCs/>
          <w:color w:val="auto"/>
          <w:sz w:val="21"/>
          <w:szCs w:val="21"/>
          <w:lang w:val="zh-TW" w:eastAsia="zh-TW"/>
        </w:rPr>
        <w:t>采购人不再另行支付费用。</w:t>
      </w:r>
      <w:r>
        <w:rPr>
          <w:rFonts w:hint="eastAsia" w:ascii="宋体" w:hAnsi="宋体" w:eastAsia="宋体" w:cs="Times New Roman"/>
          <w:bCs/>
          <w:color w:val="auto"/>
          <w:sz w:val="21"/>
          <w:szCs w:val="21"/>
          <w:lang w:val="zh-CN" w:eastAsia="zh-TW"/>
        </w:rPr>
        <w:t>供应商在报价时应自行考虑并承担风险费用。</w:t>
      </w:r>
    </w:p>
    <w:p w14:paraId="4DA3E070">
      <w:pPr>
        <w:spacing w:line="360" w:lineRule="exact"/>
        <w:rPr>
          <w:rFonts w:hint="eastAsia" w:ascii="宋体" w:hAnsi="宋体" w:eastAsia="宋体" w:cs="宋体"/>
          <w:color w:val="auto"/>
          <w:sz w:val="21"/>
          <w:szCs w:val="21"/>
        </w:rPr>
      </w:pPr>
      <w:r>
        <w:rPr>
          <w:rFonts w:hint="eastAsia" w:ascii="宋体" w:hAnsi="宋体" w:cs="宋体"/>
          <w:color w:val="auto"/>
          <w:sz w:val="21"/>
          <w:szCs w:val="21"/>
          <w:lang w:val="en-US" w:eastAsia="zh-CN"/>
        </w:rPr>
        <w:t>2</w:t>
      </w:r>
      <w:r>
        <w:rPr>
          <w:rFonts w:hint="eastAsia" w:ascii="宋体" w:hAnsi="宋体" w:eastAsia="宋体" w:cs="宋体"/>
          <w:color w:val="auto"/>
          <w:sz w:val="21"/>
          <w:szCs w:val="21"/>
        </w:rPr>
        <w:t>.</w:t>
      </w:r>
      <w:r>
        <w:rPr>
          <w:rFonts w:hint="eastAsia" w:ascii="宋体" w:hAnsi="宋体" w:eastAsia="宋体" w:cs="宋体"/>
          <w:color w:val="auto"/>
          <w:sz w:val="21"/>
          <w:szCs w:val="21"/>
          <w:u w:val="single"/>
        </w:rPr>
        <w:t>不提供此表格将被视为没有实质性响应</w:t>
      </w:r>
      <w:r>
        <w:rPr>
          <w:rFonts w:hint="eastAsia" w:ascii="宋体" w:hAnsi="宋体" w:eastAsia="宋体" w:cs="宋体"/>
          <w:color w:val="auto"/>
          <w:sz w:val="21"/>
          <w:szCs w:val="21"/>
          <w:u w:val="single"/>
          <w:lang w:eastAsia="zh-CN"/>
        </w:rPr>
        <w:t>磋商</w:t>
      </w:r>
      <w:r>
        <w:rPr>
          <w:rFonts w:hint="eastAsia" w:ascii="宋体" w:hAnsi="宋体" w:eastAsia="宋体" w:cs="宋体"/>
          <w:color w:val="auto"/>
          <w:sz w:val="21"/>
          <w:szCs w:val="21"/>
          <w:u w:val="single"/>
        </w:rPr>
        <w:t>文件，其</w:t>
      </w:r>
      <w:r>
        <w:rPr>
          <w:rFonts w:hint="eastAsia" w:ascii="宋体" w:hAnsi="宋体" w:eastAsia="宋体" w:cs="宋体"/>
          <w:color w:val="auto"/>
          <w:sz w:val="21"/>
          <w:szCs w:val="21"/>
          <w:u w:val="single"/>
          <w:lang w:eastAsia="zh-CN"/>
        </w:rPr>
        <w:t>响应</w:t>
      </w:r>
      <w:r>
        <w:rPr>
          <w:rFonts w:hint="eastAsia" w:ascii="宋体" w:hAnsi="宋体" w:eastAsia="宋体" w:cs="宋体"/>
          <w:color w:val="auto"/>
          <w:sz w:val="21"/>
          <w:szCs w:val="21"/>
          <w:u w:val="single"/>
        </w:rPr>
        <w:t>文件将被拒绝</w:t>
      </w:r>
      <w:r>
        <w:rPr>
          <w:rFonts w:hint="eastAsia" w:ascii="宋体" w:hAnsi="宋体" w:eastAsia="宋体" w:cs="宋体"/>
          <w:color w:val="auto"/>
          <w:sz w:val="21"/>
          <w:szCs w:val="21"/>
        </w:rPr>
        <w:t>▲。</w:t>
      </w:r>
    </w:p>
    <w:p w14:paraId="52FABDBE">
      <w:pPr>
        <w:spacing w:line="360" w:lineRule="auto"/>
        <w:ind w:firstLine="371" w:firstLineChars="177"/>
        <w:rPr>
          <w:rFonts w:hint="eastAsia" w:ascii="宋体" w:hAnsi="宋体" w:eastAsia="宋体" w:cs="宋体"/>
          <w:color w:val="auto"/>
          <w:sz w:val="21"/>
          <w:szCs w:val="21"/>
        </w:rPr>
      </w:pPr>
    </w:p>
    <w:p w14:paraId="7B87F88F">
      <w:pPr>
        <w:spacing w:line="360" w:lineRule="auto"/>
        <w:ind w:firstLine="371" w:firstLineChars="177"/>
        <w:rPr>
          <w:rFonts w:hint="eastAsia" w:ascii="宋体" w:hAnsi="宋体" w:cs="宋体"/>
          <w:color w:val="auto"/>
          <w:szCs w:val="21"/>
        </w:rPr>
      </w:pPr>
      <w:r>
        <w:rPr>
          <w:rFonts w:hint="eastAsia" w:ascii="宋体" w:hAnsi="宋体" w:cs="宋体"/>
          <w:color w:val="auto"/>
          <w:szCs w:val="21"/>
          <w:lang w:eastAsia="zh-CN"/>
        </w:rPr>
        <w:t>响应</w:t>
      </w:r>
      <w:r>
        <w:rPr>
          <w:rFonts w:hint="eastAsia" w:ascii="宋体" w:hAnsi="宋体" w:cs="宋体"/>
          <w:color w:val="auto"/>
          <w:szCs w:val="21"/>
        </w:rPr>
        <w:t>人名称：</w:t>
      </w:r>
      <w:r>
        <w:rPr>
          <w:rFonts w:hint="eastAsia" w:ascii="宋体" w:hAnsi="宋体" w:cs="宋体"/>
          <w:color w:val="auto"/>
          <w:szCs w:val="21"/>
          <w:u w:val="single"/>
        </w:rPr>
        <w:t xml:space="preserve">                </w:t>
      </w:r>
      <w:r>
        <w:rPr>
          <w:rFonts w:hint="eastAsia" w:ascii="宋体" w:hAnsi="宋体" w:cs="宋体"/>
          <w:color w:val="auto"/>
          <w:szCs w:val="21"/>
        </w:rPr>
        <w:t xml:space="preserve">（加盖公章）  </w:t>
      </w:r>
    </w:p>
    <w:p w14:paraId="0A562484">
      <w:pPr>
        <w:spacing w:line="360" w:lineRule="auto"/>
        <w:ind w:firstLine="371" w:firstLineChars="177"/>
        <w:rPr>
          <w:rFonts w:hint="eastAsia" w:ascii="宋体" w:hAnsi="宋体" w:cs="宋体"/>
          <w:color w:val="auto"/>
          <w:szCs w:val="21"/>
        </w:rPr>
      </w:pPr>
      <w:r>
        <w:rPr>
          <w:rFonts w:hint="eastAsia" w:ascii="宋体" w:hAnsi="宋体" w:cs="宋体"/>
          <w:color w:val="auto"/>
          <w:szCs w:val="21"/>
          <w:lang w:eastAsia="zh-CN"/>
        </w:rPr>
        <w:t>响应</w:t>
      </w:r>
      <w:r>
        <w:rPr>
          <w:rFonts w:hint="eastAsia" w:ascii="宋体" w:hAnsi="宋体" w:cs="宋体"/>
          <w:color w:val="auto"/>
          <w:szCs w:val="21"/>
        </w:rPr>
        <w:t>人代表：</w:t>
      </w:r>
      <w:r>
        <w:rPr>
          <w:rFonts w:hint="eastAsia" w:ascii="宋体" w:hAnsi="宋体" w:cs="宋体"/>
          <w:color w:val="auto"/>
          <w:szCs w:val="21"/>
          <w:u w:val="single"/>
        </w:rPr>
        <w:t xml:space="preserve">                </w:t>
      </w:r>
      <w:r>
        <w:rPr>
          <w:rFonts w:hint="eastAsia" w:ascii="宋体" w:hAnsi="宋体" w:cs="宋体"/>
          <w:color w:val="auto"/>
          <w:szCs w:val="21"/>
        </w:rPr>
        <w:t>（签字或盖章）</w:t>
      </w:r>
    </w:p>
    <w:p w14:paraId="03D96E84">
      <w:pPr>
        <w:spacing w:line="360" w:lineRule="auto"/>
        <w:ind w:firstLine="371" w:firstLineChars="177"/>
        <w:rPr>
          <w:rFonts w:hint="eastAsia" w:ascii="宋体" w:hAnsi="宋体" w:cs="宋体"/>
          <w:color w:val="auto"/>
          <w:szCs w:val="21"/>
        </w:rPr>
      </w:pPr>
      <w:r>
        <w:rPr>
          <w:rFonts w:hint="eastAsia" w:ascii="宋体" w:hAnsi="宋体" w:cs="宋体"/>
          <w:color w:val="auto"/>
          <w:szCs w:val="21"/>
        </w:rPr>
        <w:t>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3CBB58FC">
      <w:pPr>
        <w:snapToGrid w:val="0"/>
        <w:spacing w:before="50" w:after="50"/>
        <w:rPr>
          <w:rFonts w:hint="eastAsia" w:ascii="宋体" w:hAnsi="宋体" w:cs="宋体"/>
          <w:b/>
          <w:color w:val="auto"/>
          <w:spacing w:val="20"/>
          <w:szCs w:val="21"/>
        </w:rPr>
      </w:pPr>
    </w:p>
    <w:p w14:paraId="16E21118">
      <w:pPr>
        <w:spacing w:line="360" w:lineRule="auto"/>
        <w:outlineLvl w:val="2"/>
        <w:rPr>
          <w:rFonts w:hint="eastAsia" w:ascii="宋体" w:hAnsi="宋体" w:eastAsia="宋体" w:cs="宋体"/>
          <w:b/>
          <w:color w:val="auto"/>
          <w:sz w:val="21"/>
          <w:szCs w:val="21"/>
          <w:highlight w:val="none"/>
        </w:rPr>
      </w:pPr>
    </w:p>
    <w:p w14:paraId="02601048">
      <w:pPr>
        <w:spacing w:line="360" w:lineRule="auto"/>
        <w:outlineLvl w:val="2"/>
        <w:rPr>
          <w:rFonts w:hint="eastAsia" w:ascii="宋体" w:hAnsi="宋体" w:eastAsia="宋体" w:cs="宋体"/>
          <w:b/>
          <w:color w:val="auto"/>
          <w:sz w:val="21"/>
          <w:szCs w:val="21"/>
          <w:highlight w:val="none"/>
        </w:rPr>
      </w:pPr>
    </w:p>
    <w:p w14:paraId="353D83F2">
      <w:pPr>
        <w:spacing w:line="360" w:lineRule="auto"/>
        <w:outlineLvl w:val="2"/>
        <w:rPr>
          <w:rFonts w:hint="eastAsia" w:ascii="宋体" w:hAnsi="宋体" w:eastAsia="宋体" w:cs="宋体"/>
          <w:b/>
          <w:color w:val="auto"/>
          <w:sz w:val="21"/>
          <w:szCs w:val="21"/>
          <w:highlight w:val="none"/>
        </w:rPr>
      </w:pPr>
    </w:p>
    <w:p w14:paraId="6236F572">
      <w:pPr>
        <w:spacing w:line="360" w:lineRule="auto"/>
        <w:outlineLvl w:val="2"/>
        <w:rPr>
          <w:rFonts w:hint="eastAsia" w:ascii="宋体" w:hAnsi="宋体" w:eastAsia="宋体" w:cs="宋体"/>
          <w:b/>
          <w:color w:val="auto"/>
          <w:sz w:val="21"/>
          <w:szCs w:val="21"/>
          <w:highlight w:val="none"/>
        </w:rPr>
      </w:pPr>
    </w:p>
    <w:p w14:paraId="1F8B23FC">
      <w:pPr>
        <w:spacing w:line="360" w:lineRule="auto"/>
        <w:outlineLvl w:val="2"/>
        <w:rPr>
          <w:rFonts w:hint="eastAsia" w:ascii="宋体" w:hAnsi="宋体" w:eastAsia="宋体" w:cs="宋体"/>
          <w:b/>
          <w:color w:val="auto"/>
          <w:sz w:val="21"/>
          <w:szCs w:val="21"/>
          <w:highlight w:val="none"/>
        </w:rPr>
      </w:pPr>
    </w:p>
    <w:p w14:paraId="1E87AC1E">
      <w:pPr>
        <w:spacing w:line="360" w:lineRule="auto"/>
        <w:outlineLvl w:val="2"/>
        <w:rPr>
          <w:rFonts w:hint="eastAsia" w:ascii="宋体" w:hAnsi="宋体" w:eastAsia="宋体" w:cs="宋体"/>
          <w:b/>
          <w:color w:val="auto"/>
          <w:sz w:val="21"/>
          <w:szCs w:val="21"/>
          <w:highlight w:val="none"/>
        </w:rPr>
      </w:pPr>
    </w:p>
    <w:p w14:paraId="0BF9BA17">
      <w:pPr>
        <w:spacing w:line="360" w:lineRule="auto"/>
        <w:outlineLvl w:val="2"/>
        <w:rPr>
          <w:rFonts w:hint="eastAsia" w:ascii="宋体" w:hAnsi="宋体" w:eastAsia="宋体" w:cs="宋体"/>
          <w:b/>
          <w:color w:val="auto"/>
          <w:sz w:val="21"/>
          <w:szCs w:val="21"/>
          <w:highlight w:val="none"/>
        </w:rPr>
      </w:pPr>
    </w:p>
    <w:p w14:paraId="56CE907D">
      <w:pPr>
        <w:spacing w:line="360" w:lineRule="auto"/>
        <w:outlineLvl w:val="2"/>
        <w:rPr>
          <w:rFonts w:hint="eastAsia" w:ascii="宋体" w:hAnsi="宋体" w:eastAsia="宋体" w:cs="宋体"/>
          <w:b/>
          <w:color w:val="auto"/>
          <w:sz w:val="21"/>
          <w:szCs w:val="21"/>
          <w:highlight w:val="none"/>
        </w:rPr>
      </w:pPr>
    </w:p>
    <w:p w14:paraId="11417B9E">
      <w:pPr>
        <w:spacing w:line="360" w:lineRule="auto"/>
        <w:outlineLvl w:val="2"/>
        <w:rPr>
          <w:rFonts w:hint="eastAsia" w:ascii="宋体" w:hAnsi="宋体" w:eastAsia="宋体" w:cs="宋体"/>
          <w:b/>
          <w:color w:val="auto"/>
          <w:sz w:val="21"/>
          <w:szCs w:val="21"/>
          <w:highlight w:val="none"/>
        </w:rPr>
      </w:pPr>
    </w:p>
    <w:p w14:paraId="6ED7CE98">
      <w:pPr>
        <w:spacing w:line="360" w:lineRule="auto"/>
        <w:outlineLvl w:val="2"/>
        <w:rPr>
          <w:rFonts w:hint="eastAsia" w:ascii="宋体" w:hAnsi="宋体" w:eastAsia="宋体" w:cs="宋体"/>
          <w:b/>
          <w:color w:val="auto"/>
          <w:sz w:val="21"/>
          <w:szCs w:val="21"/>
          <w:highlight w:val="none"/>
        </w:rPr>
      </w:pPr>
    </w:p>
    <w:p w14:paraId="6C9C46D1">
      <w:pPr>
        <w:spacing w:line="360" w:lineRule="auto"/>
        <w:outlineLvl w:val="2"/>
        <w:rPr>
          <w:rFonts w:hint="eastAsia" w:ascii="宋体" w:hAnsi="宋体" w:eastAsia="宋体" w:cs="宋体"/>
          <w:b/>
          <w:color w:val="auto"/>
          <w:sz w:val="21"/>
          <w:szCs w:val="21"/>
          <w:highlight w:val="none"/>
        </w:rPr>
      </w:pPr>
    </w:p>
    <w:p w14:paraId="4CF45F5C">
      <w:pPr>
        <w:spacing w:line="360" w:lineRule="auto"/>
        <w:outlineLvl w:val="2"/>
        <w:rPr>
          <w:rFonts w:hint="eastAsia" w:ascii="宋体" w:hAnsi="宋体" w:eastAsia="宋体" w:cs="宋体"/>
          <w:b/>
          <w:color w:val="auto"/>
          <w:sz w:val="21"/>
          <w:szCs w:val="21"/>
          <w:highlight w:val="none"/>
        </w:rPr>
      </w:pPr>
    </w:p>
    <w:p w14:paraId="5ED3D696">
      <w:pPr>
        <w:pStyle w:val="2"/>
        <w:rPr>
          <w:rFonts w:hint="eastAsia"/>
          <w:color w:val="auto"/>
        </w:rPr>
      </w:pPr>
    </w:p>
    <w:p w14:paraId="16467A8E">
      <w:pPr>
        <w:spacing w:line="360" w:lineRule="auto"/>
        <w:outlineLvl w:val="2"/>
        <w:rPr>
          <w:rFonts w:hint="eastAsia" w:ascii="宋体" w:hAnsi="宋体" w:eastAsia="宋体" w:cs="宋体"/>
          <w:b/>
          <w:color w:val="auto"/>
          <w:sz w:val="21"/>
          <w:szCs w:val="21"/>
          <w:highlight w:val="none"/>
        </w:rPr>
      </w:pPr>
    </w:p>
    <w:p w14:paraId="62AF41AC">
      <w:pPr>
        <w:spacing w:line="360" w:lineRule="auto"/>
        <w:outlineLvl w:val="2"/>
        <w:rPr>
          <w:rFonts w:hint="eastAsia" w:ascii="宋体" w:hAnsi="宋体" w:eastAsia="宋体" w:cs="宋体"/>
          <w:b/>
          <w:color w:val="auto"/>
          <w:sz w:val="21"/>
          <w:szCs w:val="21"/>
          <w:highlight w:val="none"/>
        </w:rPr>
      </w:pPr>
    </w:p>
    <w:p w14:paraId="48693192">
      <w:pPr>
        <w:snapToGrid w:val="0"/>
        <w:spacing w:before="50" w:after="156" w:afterLines="50"/>
        <w:jc w:val="left"/>
        <w:rPr>
          <w:rFonts w:hint="eastAsia" w:ascii="宋体" w:hAnsi="宋体" w:cs="宋体"/>
          <w:b/>
          <w:color w:val="auto"/>
          <w:szCs w:val="21"/>
        </w:rPr>
      </w:pPr>
      <w:r>
        <w:rPr>
          <w:rFonts w:hint="eastAsia" w:ascii="宋体" w:hAnsi="宋体" w:cs="宋体"/>
          <w:b/>
          <w:color w:val="auto"/>
          <w:szCs w:val="21"/>
        </w:rPr>
        <w:t>格式</w:t>
      </w:r>
      <w:r>
        <w:rPr>
          <w:rFonts w:hint="eastAsia" w:ascii="宋体" w:hAnsi="宋体" w:cs="宋体"/>
          <w:b/>
          <w:color w:val="auto"/>
          <w:szCs w:val="21"/>
          <w:lang w:val="en-US" w:eastAsia="zh-CN"/>
        </w:rPr>
        <w:t>二</w:t>
      </w:r>
      <w:r>
        <w:rPr>
          <w:rFonts w:hint="eastAsia" w:ascii="宋体" w:hAnsi="宋体" w:cs="宋体"/>
          <w:b/>
          <w:color w:val="auto"/>
          <w:szCs w:val="21"/>
        </w:rPr>
        <w:t>、中小企业声明函</w:t>
      </w:r>
    </w:p>
    <w:p w14:paraId="09E428A0">
      <w:pPr>
        <w:snapToGrid w:val="0"/>
        <w:spacing w:before="156" w:beforeLines="50" w:after="50" w:line="400" w:lineRule="exact"/>
        <w:jc w:val="center"/>
        <w:rPr>
          <w:rFonts w:hint="eastAsia"/>
          <w:b/>
          <w:color w:val="auto"/>
          <w:sz w:val="28"/>
          <w:szCs w:val="28"/>
        </w:rPr>
      </w:pPr>
      <w:r>
        <w:rPr>
          <w:b/>
          <w:color w:val="auto"/>
          <w:sz w:val="28"/>
          <w:szCs w:val="28"/>
        </w:rPr>
        <w:t>中小企业声明函</w:t>
      </w:r>
    </w:p>
    <w:p w14:paraId="2E0D1AC1">
      <w:pPr>
        <w:widowControl/>
        <w:spacing w:line="360" w:lineRule="auto"/>
        <w:ind w:firstLine="420" w:firstLineChars="200"/>
        <w:rPr>
          <w:rFonts w:hint="eastAsia" w:ascii="Times New Roman" w:hAnsi="Times New Roman" w:eastAsia="宋体" w:cs="Times New Roman"/>
          <w:color w:val="auto"/>
          <w:kern w:val="0"/>
          <w:szCs w:val="21"/>
          <w:lang w:val="en-US" w:eastAsia="zh-CN" w:bidi="ar"/>
        </w:rPr>
      </w:pPr>
      <w:r>
        <w:rPr>
          <w:rFonts w:hint="eastAsia" w:ascii="Times New Roman" w:hAnsi="Times New Roman" w:eastAsia="宋体" w:cs="Times New Roman"/>
          <w:color w:val="auto"/>
          <w:kern w:val="0"/>
          <w:szCs w:val="21"/>
          <w:lang w:eastAsia="zh-CN" w:bidi="ar"/>
        </w:rPr>
        <w:t>本公司</w:t>
      </w:r>
      <w:r>
        <w:rPr>
          <w:rFonts w:hint="eastAsia" w:ascii="Times New Roman" w:hAnsi="Times New Roman" w:eastAsia="宋体" w:cs="Times New Roman"/>
          <w:color w:val="auto"/>
          <w:kern w:val="0"/>
          <w:szCs w:val="21"/>
          <w:lang w:val="en-US" w:eastAsia="zh-CN" w:bidi="ar"/>
        </w:rPr>
        <w:t>（联合体）</w:t>
      </w:r>
      <w:r>
        <w:rPr>
          <w:rFonts w:hint="eastAsia" w:ascii="Times New Roman" w:hAnsi="Times New Roman" w:eastAsia="宋体" w:cs="Times New Roman"/>
          <w:color w:val="auto"/>
          <w:kern w:val="0"/>
          <w:szCs w:val="21"/>
          <w:lang w:eastAsia="zh-CN" w:bidi="ar"/>
        </w:rPr>
        <w:t>郑重声明，根据《政府采购促进中小企业发展管理办法》（财库﹝2020﹞46 号）的规定，本公司</w:t>
      </w:r>
      <w:r>
        <w:rPr>
          <w:rFonts w:hint="eastAsia" w:ascii="Times New Roman" w:hAnsi="Times New Roman" w:eastAsia="宋体" w:cs="Times New Roman"/>
          <w:color w:val="auto"/>
          <w:kern w:val="0"/>
          <w:szCs w:val="21"/>
          <w:lang w:val="en-US" w:eastAsia="zh-CN" w:bidi="ar"/>
        </w:rPr>
        <w:t>（联合体）</w:t>
      </w:r>
      <w:r>
        <w:rPr>
          <w:rFonts w:hint="eastAsia" w:ascii="Times New Roman" w:hAnsi="Times New Roman" w:eastAsia="宋体" w:cs="Times New Roman"/>
          <w:color w:val="auto"/>
          <w:kern w:val="0"/>
          <w:szCs w:val="21"/>
          <w:lang w:eastAsia="zh-CN" w:bidi="ar"/>
        </w:rPr>
        <w:t>参加</w:t>
      </w:r>
      <w:r>
        <w:rPr>
          <w:rFonts w:hint="eastAsia" w:ascii="Times New Roman" w:hAnsi="Times New Roman" w:eastAsia="宋体" w:cs="Times New Roman"/>
          <w:color w:val="auto"/>
          <w:kern w:val="0"/>
          <w:szCs w:val="21"/>
          <w:u w:val="single"/>
          <w:lang w:eastAsia="zh-CN" w:bidi="ar"/>
        </w:rPr>
        <w:t>（单位名称）</w:t>
      </w:r>
      <w:r>
        <w:rPr>
          <w:rFonts w:hint="eastAsia" w:ascii="Times New Roman" w:hAnsi="Times New Roman" w:eastAsia="宋体" w:cs="Times New Roman"/>
          <w:color w:val="auto"/>
          <w:kern w:val="0"/>
          <w:szCs w:val="21"/>
          <w:lang w:eastAsia="zh-CN" w:bidi="ar"/>
        </w:rPr>
        <w:t>的</w:t>
      </w:r>
      <w:r>
        <w:rPr>
          <w:rFonts w:hint="eastAsia" w:ascii="Times New Roman" w:hAnsi="Times New Roman" w:eastAsia="宋体" w:cs="Times New Roman"/>
          <w:color w:val="auto"/>
          <w:kern w:val="0"/>
          <w:szCs w:val="21"/>
          <w:u w:val="single"/>
          <w:lang w:eastAsia="zh-CN" w:bidi="ar"/>
        </w:rPr>
        <w:t>（项目名称）</w:t>
      </w:r>
      <w:r>
        <w:rPr>
          <w:rFonts w:hint="eastAsia" w:ascii="Times New Roman" w:hAnsi="Times New Roman" w:eastAsia="宋体" w:cs="Times New Roman"/>
          <w:color w:val="auto"/>
          <w:kern w:val="0"/>
          <w:szCs w:val="21"/>
          <w:lang w:eastAsia="zh-CN" w:bidi="ar"/>
        </w:rPr>
        <w:t>采购活动，</w:t>
      </w:r>
      <w:r>
        <w:rPr>
          <w:rFonts w:hint="eastAsia" w:ascii="Times New Roman" w:hAnsi="Times New Roman" w:eastAsia="宋体" w:cs="Times New Roman"/>
          <w:color w:val="auto"/>
          <w:kern w:val="0"/>
          <w:szCs w:val="21"/>
          <w:lang w:val="en-US" w:eastAsia="zh-CN" w:bidi="ar"/>
        </w:rPr>
        <w:t>服务全部由符合政策要求的中小企业承接。</w:t>
      </w:r>
      <w:r>
        <w:rPr>
          <w:rFonts w:hint="eastAsia" w:ascii="Times New Roman" w:hAnsi="Times New Roman" w:eastAsia="宋体" w:cs="Times New Roman"/>
          <w:color w:val="auto"/>
          <w:kern w:val="0"/>
          <w:szCs w:val="21"/>
          <w:lang w:eastAsia="zh-CN" w:bidi="ar"/>
        </w:rPr>
        <w:t>相关企业（</w:t>
      </w:r>
      <w:r>
        <w:rPr>
          <w:rFonts w:hint="eastAsia" w:ascii="Times New Roman" w:hAnsi="Times New Roman" w:eastAsia="宋体" w:cs="Times New Roman"/>
          <w:color w:val="auto"/>
          <w:kern w:val="0"/>
          <w:szCs w:val="21"/>
          <w:lang w:val="en-US" w:eastAsia="zh-CN" w:bidi="ar"/>
        </w:rPr>
        <w:t>含联合体中的中小企业、签订分包意向协议的中小企业）的具体情况如下：</w:t>
      </w:r>
    </w:p>
    <w:p w14:paraId="64B6CBA5">
      <w:pPr>
        <w:widowControl/>
        <w:spacing w:line="360" w:lineRule="auto"/>
        <w:ind w:firstLine="420" w:firstLineChars="200"/>
        <w:rPr>
          <w:color w:val="auto"/>
          <w:szCs w:val="21"/>
        </w:rPr>
      </w:pPr>
      <w:r>
        <w:rPr>
          <w:rFonts w:ascii="Times New Roman" w:hAnsi="Times New Roman" w:eastAsia="宋体" w:cs="Times New Roman"/>
          <w:color w:val="auto"/>
          <w:kern w:val="0"/>
          <w:szCs w:val="21"/>
          <w:lang w:bidi="ar"/>
        </w:rPr>
        <w:t>1.</w:t>
      </w:r>
      <w:r>
        <w:rPr>
          <w:rFonts w:ascii="Times New Roman" w:hAnsi="Times New Roman" w:eastAsia="宋体" w:cs="Times New Roman"/>
          <w:color w:val="auto"/>
          <w:kern w:val="0"/>
          <w:szCs w:val="21"/>
          <w:u w:val="single"/>
          <w:lang w:bidi="ar"/>
        </w:rPr>
        <w:t>（标的名称）</w:t>
      </w:r>
      <w:r>
        <w:rPr>
          <w:rFonts w:ascii="Times New Roman" w:hAnsi="Times New Roman" w:eastAsia="宋体" w:cs="Times New Roman"/>
          <w:color w:val="auto"/>
          <w:kern w:val="0"/>
          <w:szCs w:val="21"/>
          <w:lang w:bidi="ar"/>
        </w:rPr>
        <w:t>，属于</w:t>
      </w:r>
      <w:r>
        <w:rPr>
          <w:rFonts w:ascii="Times New Roman" w:hAnsi="Times New Roman" w:eastAsia="宋体" w:cs="Times New Roman"/>
          <w:color w:val="auto"/>
          <w:kern w:val="0"/>
          <w:szCs w:val="21"/>
          <w:u w:val="single"/>
          <w:lang w:bidi="ar"/>
        </w:rPr>
        <w:t>（采购文件中明确的所属行业）</w:t>
      </w:r>
      <w:r>
        <w:rPr>
          <w:rFonts w:ascii="Times New Roman" w:hAnsi="Times New Roman" w:eastAsia="宋体" w:cs="Times New Roman"/>
          <w:color w:val="auto"/>
          <w:kern w:val="0"/>
          <w:szCs w:val="21"/>
          <w:lang w:bidi="ar"/>
        </w:rPr>
        <w:t>行业；</w:t>
      </w:r>
      <w:r>
        <w:rPr>
          <w:rFonts w:hint="eastAsia" w:ascii="Times New Roman" w:hAnsi="Times New Roman" w:eastAsia="宋体" w:cs="Times New Roman"/>
          <w:color w:val="auto"/>
          <w:kern w:val="0"/>
          <w:szCs w:val="21"/>
          <w:lang w:eastAsia="zh-CN" w:bidi="ar"/>
        </w:rPr>
        <w:t>承接企业</w:t>
      </w:r>
      <w:r>
        <w:rPr>
          <w:rFonts w:ascii="Times New Roman" w:hAnsi="Times New Roman" w:eastAsia="宋体" w:cs="Times New Roman"/>
          <w:color w:val="auto"/>
          <w:kern w:val="0"/>
          <w:szCs w:val="21"/>
          <w:lang w:bidi="ar"/>
        </w:rPr>
        <w:t>为</w:t>
      </w:r>
      <w:r>
        <w:rPr>
          <w:rFonts w:ascii="Times New Roman" w:hAnsi="Times New Roman" w:eastAsia="宋体" w:cs="Times New Roman"/>
          <w:color w:val="auto"/>
          <w:kern w:val="0"/>
          <w:szCs w:val="21"/>
          <w:u w:val="single"/>
          <w:lang w:bidi="ar"/>
        </w:rPr>
        <w:t>（企业名称）</w:t>
      </w:r>
      <w:r>
        <w:rPr>
          <w:rFonts w:ascii="Times New Roman" w:hAnsi="Times New Roman" w:eastAsia="宋体" w:cs="Times New Roman"/>
          <w:color w:val="auto"/>
          <w:kern w:val="0"/>
          <w:szCs w:val="21"/>
          <w:lang w:bidi="ar"/>
        </w:rPr>
        <w:t>，从业人员</w:t>
      </w:r>
      <w:r>
        <w:rPr>
          <w:rFonts w:ascii="Times New Roman" w:hAnsi="Times New Roman" w:eastAsia="宋体" w:cs="Times New Roman"/>
          <w:color w:val="auto"/>
          <w:kern w:val="0"/>
          <w:szCs w:val="21"/>
          <w:u w:val="single"/>
          <w:lang w:bidi="ar"/>
        </w:rPr>
        <w:t xml:space="preserve">    </w:t>
      </w:r>
      <w:r>
        <w:rPr>
          <w:rFonts w:ascii="Times New Roman" w:hAnsi="Times New Roman" w:eastAsia="宋体" w:cs="Times New Roman"/>
          <w:color w:val="auto"/>
          <w:kern w:val="0"/>
          <w:szCs w:val="21"/>
          <w:lang w:bidi="ar"/>
        </w:rPr>
        <w:t>人，</w:t>
      </w:r>
      <w:r>
        <w:rPr>
          <w:color w:val="auto"/>
          <w:kern w:val="0"/>
          <w:szCs w:val="21"/>
          <w:lang w:bidi="ar"/>
        </w:rPr>
        <w:t>营业收入为</w:t>
      </w:r>
      <w:r>
        <w:rPr>
          <w:color w:val="auto"/>
          <w:kern w:val="0"/>
          <w:szCs w:val="21"/>
          <w:u w:val="single"/>
          <w:lang w:bidi="ar"/>
        </w:rPr>
        <w:t xml:space="preserve">    </w:t>
      </w:r>
      <w:r>
        <w:rPr>
          <w:color w:val="auto"/>
          <w:kern w:val="0"/>
          <w:szCs w:val="21"/>
          <w:lang w:bidi="ar"/>
        </w:rPr>
        <w:t>万元，资产总额为</w:t>
      </w:r>
      <w:r>
        <w:rPr>
          <w:color w:val="auto"/>
          <w:kern w:val="0"/>
          <w:szCs w:val="21"/>
          <w:u w:val="single"/>
          <w:lang w:bidi="ar"/>
        </w:rPr>
        <w:t xml:space="preserve">    </w:t>
      </w:r>
      <w:r>
        <w:rPr>
          <w:color w:val="auto"/>
          <w:kern w:val="0"/>
          <w:szCs w:val="21"/>
          <w:lang w:bidi="ar"/>
        </w:rPr>
        <w:t>万元，属于</w:t>
      </w:r>
      <w:r>
        <w:rPr>
          <w:color w:val="auto"/>
          <w:kern w:val="0"/>
          <w:szCs w:val="21"/>
          <w:u w:val="single"/>
          <w:lang w:bidi="ar"/>
        </w:rPr>
        <w:t>（中型企业、小型企业、微型企业）</w:t>
      </w:r>
      <w:r>
        <w:rPr>
          <w:color w:val="auto"/>
          <w:kern w:val="0"/>
          <w:szCs w:val="21"/>
          <w:lang w:bidi="ar"/>
        </w:rPr>
        <w:t>；</w:t>
      </w:r>
    </w:p>
    <w:p w14:paraId="7E9A3383">
      <w:pPr>
        <w:widowControl/>
        <w:spacing w:line="360" w:lineRule="auto"/>
        <w:ind w:firstLine="420" w:firstLineChars="200"/>
        <w:rPr>
          <w:color w:val="auto"/>
          <w:szCs w:val="21"/>
        </w:rPr>
      </w:pPr>
      <w:r>
        <w:rPr>
          <w:color w:val="auto"/>
          <w:kern w:val="0"/>
          <w:szCs w:val="21"/>
          <w:lang w:bidi="ar"/>
        </w:rPr>
        <w:t>2.</w:t>
      </w:r>
      <w:r>
        <w:rPr>
          <w:color w:val="auto"/>
          <w:kern w:val="0"/>
          <w:szCs w:val="21"/>
          <w:u w:val="single"/>
          <w:lang w:bidi="ar"/>
        </w:rPr>
        <w:t>（标的名称）</w:t>
      </w:r>
      <w:r>
        <w:rPr>
          <w:color w:val="auto"/>
          <w:kern w:val="0"/>
          <w:szCs w:val="21"/>
          <w:lang w:bidi="ar"/>
        </w:rPr>
        <w:t>，属于</w:t>
      </w:r>
      <w:r>
        <w:rPr>
          <w:color w:val="auto"/>
          <w:kern w:val="0"/>
          <w:szCs w:val="21"/>
          <w:u w:val="single"/>
          <w:lang w:bidi="ar"/>
        </w:rPr>
        <w:t>（采购文件中明确的所属行业）</w:t>
      </w:r>
      <w:r>
        <w:rPr>
          <w:color w:val="auto"/>
          <w:kern w:val="0"/>
          <w:szCs w:val="21"/>
          <w:lang w:bidi="ar"/>
        </w:rPr>
        <w:t>行业；</w:t>
      </w:r>
      <w:r>
        <w:rPr>
          <w:rFonts w:hint="eastAsia"/>
          <w:color w:val="auto"/>
          <w:kern w:val="0"/>
          <w:szCs w:val="21"/>
          <w:lang w:eastAsia="zh-CN" w:bidi="ar"/>
        </w:rPr>
        <w:t>承接企业</w:t>
      </w:r>
      <w:r>
        <w:rPr>
          <w:color w:val="auto"/>
          <w:kern w:val="0"/>
          <w:szCs w:val="21"/>
          <w:lang w:bidi="ar"/>
        </w:rPr>
        <w:t>为</w:t>
      </w:r>
      <w:r>
        <w:rPr>
          <w:color w:val="auto"/>
          <w:kern w:val="0"/>
          <w:szCs w:val="21"/>
          <w:u w:val="single"/>
          <w:lang w:bidi="ar"/>
        </w:rPr>
        <w:t>（企业名称）</w:t>
      </w:r>
      <w:r>
        <w:rPr>
          <w:color w:val="auto"/>
          <w:kern w:val="0"/>
          <w:szCs w:val="21"/>
          <w:lang w:bidi="ar"/>
        </w:rPr>
        <w:t>，从业人员</w:t>
      </w:r>
      <w:r>
        <w:rPr>
          <w:color w:val="auto"/>
          <w:kern w:val="0"/>
          <w:szCs w:val="21"/>
          <w:u w:val="single"/>
          <w:lang w:bidi="ar"/>
        </w:rPr>
        <w:t xml:space="preserve">    </w:t>
      </w:r>
      <w:r>
        <w:rPr>
          <w:color w:val="auto"/>
          <w:kern w:val="0"/>
          <w:szCs w:val="21"/>
          <w:lang w:bidi="ar"/>
        </w:rPr>
        <w:t>人，营业收入为</w:t>
      </w:r>
      <w:r>
        <w:rPr>
          <w:color w:val="auto"/>
          <w:kern w:val="0"/>
          <w:szCs w:val="21"/>
          <w:u w:val="single"/>
          <w:lang w:bidi="ar"/>
        </w:rPr>
        <w:t xml:space="preserve">    </w:t>
      </w:r>
      <w:r>
        <w:rPr>
          <w:color w:val="auto"/>
          <w:kern w:val="0"/>
          <w:szCs w:val="21"/>
          <w:lang w:bidi="ar"/>
        </w:rPr>
        <w:t>万元，资产总额为</w:t>
      </w:r>
      <w:r>
        <w:rPr>
          <w:color w:val="auto"/>
          <w:kern w:val="0"/>
          <w:szCs w:val="21"/>
          <w:u w:val="single"/>
          <w:lang w:bidi="ar"/>
        </w:rPr>
        <w:t xml:space="preserve">    </w:t>
      </w:r>
      <w:r>
        <w:rPr>
          <w:color w:val="auto"/>
          <w:kern w:val="0"/>
          <w:szCs w:val="21"/>
          <w:lang w:bidi="ar"/>
        </w:rPr>
        <w:t>万元，属于</w:t>
      </w:r>
      <w:r>
        <w:rPr>
          <w:color w:val="auto"/>
          <w:kern w:val="0"/>
          <w:szCs w:val="21"/>
          <w:u w:val="single"/>
          <w:lang w:bidi="ar"/>
        </w:rPr>
        <w:t>（中型企业、小型企业、微型企业）</w:t>
      </w:r>
      <w:r>
        <w:rPr>
          <w:color w:val="auto"/>
          <w:kern w:val="0"/>
          <w:szCs w:val="21"/>
          <w:lang w:bidi="ar"/>
        </w:rPr>
        <w:t>；</w:t>
      </w:r>
    </w:p>
    <w:p w14:paraId="55BF3122">
      <w:pPr>
        <w:widowControl/>
        <w:spacing w:line="360" w:lineRule="auto"/>
        <w:ind w:firstLine="420" w:firstLineChars="200"/>
        <w:rPr>
          <w:rFonts w:hint="eastAsia"/>
          <w:color w:val="auto"/>
          <w:kern w:val="0"/>
          <w:szCs w:val="21"/>
          <w:lang w:bidi="ar"/>
        </w:rPr>
      </w:pPr>
      <w:r>
        <w:rPr>
          <w:rFonts w:hint="eastAsia"/>
          <w:color w:val="auto"/>
          <w:kern w:val="0"/>
          <w:szCs w:val="21"/>
          <w:lang w:bidi="ar"/>
        </w:rPr>
        <w:t>……</w:t>
      </w:r>
    </w:p>
    <w:p w14:paraId="132703A1">
      <w:pPr>
        <w:widowControl/>
        <w:spacing w:line="360" w:lineRule="auto"/>
        <w:ind w:firstLine="420" w:firstLineChars="200"/>
        <w:rPr>
          <w:color w:val="auto"/>
          <w:szCs w:val="21"/>
        </w:rPr>
      </w:pPr>
      <w:r>
        <w:rPr>
          <w:color w:val="auto"/>
          <w:kern w:val="0"/>
          <w:szCs w:val="21"/>
          <w:lang w:bidi="ar"/>
        </w:rPr>
        <w:t>以上企业，不属于大企业的分支机构，不存在控股股东为大企业的情形，也不存在与大企业的负责人为同一人的情形。</w:t>
      </w:r>
    </w:p>
    <w:p w14:paraId="4D132C19">
      <w:pPr>
        <w:widowControl/>
        <w:spacing w:line="360" w:lineRule="auto"/>
        <w:ind w:firstLine="420" w:firstLineChars="200"/>
        <w:rPr>
          <w:color w:val="auto"/>
          <w:kern w:val="0"/>
          <w:szCs w:val="21"/>
          <w:lang w:bidi="ar"/>
        </w:rPr>
      </w:pPr>
      <w:r>
        <w:rPr>
          <w:color w:val="auto"/>
          <w:kern w:val="0"/>
          <w:szCs w:val="21"/>
          <w:lang w:bidi="ar"/>
        </w:rPr>
        <w:t>本企业对上述声明内容的真实性负责。如有虚假，将依法承担相应责任。</w:t>
      </w:r>
    </w:p>
    <w:p w14:paraId="0890544B">
      <w:pPr>
        <w:pStyle w:val="27"/>
        <w:rPr>
          <w:color w:val="auto"/>
        </w:rPr>
      </w:pPr>
    </w:p>
    <w:p w14:paraId="1DF61993">
      <w:pPr>
        <w:spacing w:line="360" w:lineRule="auto"/>
        <w:ind w:firstLine="4147" w:firstLineChars="1975"/>
        <w:rPr>
          <w:color w:val="auto"/>
          <w:szCs w:val="21"/>
        </w:rPr>
      </w:pPr>
      <w:r>
        <w:rPr>
          <w:rFonts w:hint="eastAsia"/>
          <w:color w:val="auto"/>
          <w:szCs w:val="21"/>
          <w:lang w:val="en-US" w:eastAsia="zh-CN"/>
        </w:rPr>
        <w:t>响应</w:t>
      </w:r>
      <w:r>
        <w:rPr>
          <w:color w:val="auto"/>
          <w:szCs w:val="21"/>
        </w:rPr>
        <w:t xml:space="preserve">人名称：                （加盖公章）  </w:t>
      </w:r>
    </w:p>
    <w:p w14:paraId="4C3ED004">
      <w:pPr>
        <w:pStyle w:val="27"/>
        <w:ind w:firstLine="3780" w:firstLineChars="1800"/>
        <w:rPr>
          <w:color w:val="auto"/>
        </w:rPr>
      </w:pPr>
      <w:r>
        <w:rPr>
          <w:rFonts w:hint="eastAsia"/>
          <w:color w:val="auto"/>
          <w:szCs w:val="21"/>
        </w:rPr>
        <w:t>日期</w:t>
      </w:r>
      <w:r>
        <w:rPr>
          <w:color w:val="auto"/>
          <w:szCs w:val="21"/>
        </w:rPr>
        <w:t>：</w:t>
      </w:r>
      <w:r>
        <w:rPr>
          <w:rFonts w:hint="eastAsia" w:ascii="宋体" w:hAnsi="宋体" w:cs="宋体"/>
          <w:color w:val="auto"/>
          <w:spacing w:val="-4"/>
          <w:szCs w:val="21"/>
        </w:rPr>
        <w:t xml:space="preserve">       年      月      日</w:t>
      </w:r>
    </w:p>
    <w:p w14:paraId="128BCF8F">
      <w:pPr>
        <w:spacing w:line="360" w:lineRule="auto"/>
        <w:rPr>
          <w:rFonts w:hint="eastAsia" w:ascii="宋体" w:hAnsi="宋体" w:cs="宋体"/>
          <w:b/>
          <w:color w:val="auto"/>
          <w:spacing w:val="20"/>
          <w:szCs w:val="21"/>
        </w:rPr>
      </w:pPr>
      <w:r>
        <w:rPr>
          <w:rFonts w:hint="eastAsia" w:ascii="宋体" w:hAnsi="宋体" w:cs="宋体"/>
          <w:b/>
          <w:color w:val="auto"/>
          <w:spacing w:val="20"/>
          <w:szCs w:val="21"/>
        </w:rPr>
        <w:t>注：1.从业人员、营业收入、资产总额填报上一年度数据，无上一年度数据的新成立企业可不填报。</w:t>
      </w:r>
    </w:p>
    <w:p w14:paraId="493979F3">
      <w:pPr>
        <w:snapToGrid w:val="0"/>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2.中标、成交供应商享受《政府采购促进中小企业发展管理办法》（财库[2020]46号）规定的中小企业扶持政策的，《中小企业声明函》随中标、成交结果公开。</w:t>
      </w:r>
    </w:p>
    <w:p w14:paraId="064AF4DB">
      <w:pPr>
        <w:snapToGrid w:val="0"/>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387F68CA">
      <w:pPr>
        <w:snapToGrid w:val="0"/>
        <w:spacing w:line="360" w:lineRule="auto"/>
        <w:ind w:firstLine="422" w:firstLineChars="200"/>
        <w:rPr>
          <w:rFonts w:hint="eastAsia" w:ascii="宋体" w:hAnsi="宋体" w:eastAsia="宋体" w:cs="宋体"/>
          <w:b/>
          <w:color w:val="auto"/>
          <w:szCs w:val="21"/>
        </w:rPr>
      </w:pPr>
      <w:r>
        <w:rPr>
          <w:rFonts w:hint="eastAsia" w:ascii="宋体" w:hAnsi="宋体" w:cs="宋体"/>
          <w:b/>
          <w:color w:val="auto"/>
          <w:szCs w:val="21"/>
        </w:rPr>
        <w:t>4.本项目采购标的对应的中小企业划分标准所属行业</w:t>
      </w:r>
      <w:r>
        <w:rPr>
          <w:rFonts w:hint="eastAsia" w:ascii="宋体" w:hAnsi="宋体" w:eastAsia="宋体" w:cs="宋体"/>
          <w:b/>
          <w:color w:val="auto"/>
          <w:szCs w:val="21"/>
        </w:rPr>
        <w:t>：</w:t>
      </w:r>
      <w:r>
        <w:rPr>
          <w:rFonts w:hint="eastAsia" w:ascii="宋体" w:hAnsi="宋体" w:eastAsia="宋体" w:cs="宋体"/>
          <w:b/>
          <w:color w:val="auto"/>
          <w:szCs w:val="21"/>
          <w:lang w:eastAsia="zh-CN"/>
        </w:rPr>
        <w:t>建筑业</w:t>
      </w:r>
      <w:r>
        <w:rPr>
          <w:rFonts w:hint="eastAsia" w:ascii="宋体" w:hAnsi="宋体" w:eastAsia="宋体" w:cs="宋体"/>
          <w:b/>
          <w:color w:val="auto"/>
          <w:szCs w:val="21"/>
        </w:rPr>
        <w:t>。</w:t>
      </w:r>
    </w:p>
    <w:p w14:paraId="33DD804A">
      <w:pPr>
        <w:snapToGrid w:val="0"/>
        <w:spacing w:before="50" w:after="156" w:afterLines="50"/>
        <w:jc w:val="left"/>
        <w:rPr>
          <w:rFonts w:hint="eastAsia" w:ascii="宋体" w:hAnsi="宋体" w:cs="宋体"/>
          <w:b/>
          <w:color w:val="auto"/>
          <w:szCs w:val="21"/>
        </w:rPr>
      </w:pPr>
    </w:p>
    <w:p w14:paraId="235CEF4B">
      <w:pPr>
        <w:snapToGrid w:val="0"/>
        <w:spacing w:before="50" w:after="156" w:afterLines="50"/>
        <w:jc w:val="left"/>
        <w:rPr>
          <w:rFonts w:hint="eastAsia" w:ascii="宋体" w:hAnsi="宋体" w:cs="宋体"/>
          <w:b/>
          <w:color w:val="auto"/>
          <w:szCs w:val="21"/>
        </w:rPr>
      </w:pPr>
    </w:p>
    <w:p w14:paraId="0B9FC498">
      <w:pPr>
        <w:snapToGrid w:val="0"/>
        <w:spacing w:before="50" w:after="156" w:afterLines="50"/>
        <w:jc w:val="left"/>
        <w:rPr>
          <w:rFonts w:hint="eastAsia" w:ascii="宋体" w:hAnsi="宋体" w:cs="宋体"/>
          <w:b/>
          <w:color w:val="auto"/>
          <w:szCs w:val="21"/>
        </w:rPr>
      </w:pPr>
    </w:p>
    <w:p w14:paraId="135016ED">
      <w:pPr>
        <w:snapToGrid w:val="0"/>
        <w:spacing w:before="50" w:after="156" w:afterLines="50"/>
        <w:jc w:val="left"/>
        <w:rPr>
          <w:rFonts w:hint="eastAsia" w:ascii="宋体" w:hAnsi="宋体" w:cs="宋体"/>
          <w:b/>
          <w:color w:val="auto"/>
          <w:szCs w:val="21"/>
        </w:rPr>
      </w:pPr>
    </w:p>
    <w:p w14:paraId="0458E622">
      <w:pPr>
        <w:snapToGrid w:val="0"/>
        <w:spacing w:before="50" w:after="156" w:afterLines="50"/>
        <w:jc w:val="left"/>
        <w:rPr>
          <w:rFonts w:hint="eastAsia" w:ascii="宋体" w:hAnsi="宋体" w:cs="宋体"/>
          <w:b/>
          <w:color w:val="auto"/>
          <w:szCs w:val="21"/>
        </w:rPr>
      </w:pPr>
    </w:p>
    <w:p w14:paraId="3A391510">
      <w:pPr>
        <w:snapToGrid w:val="0"/>
        <w:spacing w:before="50" w:after="156" w:afterLines="50"/>
        <w:jc w:val="left"/>
        <w:rPr>
          <w:rFonts w:hint="eastAsia" w:ascii="宋体" w:hAnsi="宋体" w:cs="宋体"/>
          <w:b/>
          <w:color w:val="auto"/>
          <w:szCs w:val="21"/>
        </w:rPr>
      </w:pPr>
    </w:p>
    <w:p w14:paraId="4BBA68B6">
      <w:pPr>
        <w:snapToGrid w:val="0"/>
        <w:spacing w:before="50" w:after="156" w:afterLines="50"/>
        <w:jc w:val="left"/>
        <w:rPr>
          <w:rFonts w:hint="eastAsia" w:ascii="宋体" w:hAnsi="宋体" w:cs="宋体"/>
          <w:b/>
          <w:color w:val="auto"/>
          <w:szCs w:val="21"/>
        </w:rPr>
      </w:pPr>
    </w:p>
    <w:p w14:paraId="37759DA8">
      <w:pPr>
        <w:snapToGrid w:val="0"/>
        <w:spacing w:before="50" w:after="156" w:afterLines="50"/>
        <w:jc w:val="left"/>
        <w:rPr>
          <w:rFonts w:hint="eastAsia" w:ascii="宋体" w:hAnsi="宋体" w:cs="宋体"/>
          <w:b/>
          <w:color w:val="auto"/>
          <w:sz w:val="18"/>
          <w:szCs w:val="18"/>
        </w:rPr>
      </w:pPr>
      <w:r>
        <w:rPr>
          <w:rFonts w:hint="eastAsia" w:ascii="宋体" w:hAnsi="宋体" w:cs="宋体"/>
          <w:b/>
          <w:color w:val="auto"/>
          <w:szCs w:val="21"/>
        </w:rPr>
        <w:br w:type="page"/>
      </w:r>
      <w:r>
        <w:rPr>
          <w:rFonts w:hint="eastAsia" w:ascii="宋体" w:hAnsi="宋体" w:cs="宋体"/>
          <w:b/>
          <w:color w:val="auto"/>
          <w:szCs w:val="21"/>
        </w:rPr>
        <w:t>格式</w:t>
      </w:r>
      <w:r>
        <w:rPr>
          <w:rFonts w:hint="eastAsia" w:ascii="宋体" w:hAnsi="宋体" w:cs="宋体"/>
          <w:b/>
          <w:color w:val="auto"/>
          <w:szCs w:val="21"/>
          <w:lang w:val="en-US" w:eastAsia="zh-CN"/>
        </w:rPr>
        <w:t>三</w:t>
      </w:r>
      <w:r>
        <w:rPr>
          <w:rFonts w:hint="eastAsia" w:ascii="宋体" w:hAnsi="宋体" w:cs="宋体"/>
          <w:b/>
          <w:color w:val="auto"/>
          <w:szCs w:val="21"/>
        </w:rPr>
        <w:t>、</w:t>
      </w:r>
      <w:bookmarkStart w:id="10" w:name="OLE_LINK13"/>
      <w:bookmarkStart w:id="11" w:name="OLE_LINK14"/>
      <w:r>
        <w:rPr>
          <w:rFonts w:hint="eastAsia" w:ascii="宋体" w:hAnsi="宋体" w:cs="宋体"/>
          <w:b/>
          <w:bCs/>
          <w:color w:val="auto"/>
          <w:szCs w:val="21"/>
        </w:rPr>
        <w:t>残疾人福</w:t>
      </w:r>
      <w:r>
        <w:rPr>
          <w:rFonts w:hint="eastAsia" w:ascii="宋体" w:hAnsi="宋体" w:cs="宋体"/>
          <w:b/>
          <w:bCs/>
          <w:color w:val="auto"/>
          <w:sz w:val="18"/>
          <w:szCs w:val="18"/>
        </w:rPr>
        <w:t>利性单位声明函</w:t>
      </w:r>
    </w:p>
    <w:bookmarkEnd w:id="10"/>
    <w:bookmarkEnd w:id="11"/>
    <w:p w14:paraId="7314E103">
      <w:pPr>
        <w:snapToGrid w:val="0"/>
        <w:spacing w:before="156" w:beforeLines="50" w:after="50" w:line="400" w:lineRule="exact"/>
        <w:jc w:val="center"/>
        <w:rPr>
          <w:b/>
          <w:color w:val="auto"/>
          <w:sz w:val="28"/>
          <w:szCs w:val="28"/>
        </w:rPr>
      </w:pPr>
    </w:p>
    <w:p w14:paraId="1D38EC6B">
      <w:pPr>
        <w:snapToGrid w:val="0"/>
        <w:spacing w:before="156" w:beforeLines="50" w:after="50" w:line="400" w:lineRule="exact"/>
        <w:jc w:val="center"/>
        <w:rPr>
          <w:b/>
          <w:color w:val="auto"/>
          <w:sz w:val="28"/>
          <w:szCs w:val="28"/>
        </w:rPr>
      </w:pPr>
      <w:r>
        <w:rPr>
          <w:b/>
          <w:color w:val="auto"/>
          <w:sz w:val="28"/>
          <w:szCs w:val="28"/>
        </w:rPr>
        <w:t>残疾人福利性单位声明函</w:t>
      </w:r>
    </w:p>
    <w:p w14:paraId="15075EA4">
      <w:pPr>
        <w:widowControl/>
        <w:spacing w:before="312" w:beforeLines="100" w:line="500" w:lineRule="exact"/>
        <w:ind w:firstLine="420" w:firstLineChars="200"/>
        <w:rPr>
          <w:color w:val="auto"/>
          <w:szCs w:val="21"/>
        </w:rPr>
      </w:pPr>
      <w:r>
        <w:rPr>
          <w:color w:val="auto"/>
          <w:szCs w:val="21"/>
        </w:rPr>
        <w:t>本单位郑重声明，根据《财政部 民政部 中国残疾人联合会关于促进残疾人就业政府采购政策的通知》（财库〔2017〕141号）的规定，本单位为符合条件的残疾人福利性单位，且本单位参加______单位的______项目采购活动</w:t>
      </w:r>
      <w:r>
        <w:rPr>
          <w:rFonts w:hint="eastAsia"/>
          <w:color w:val="auto"/>
          <w:szCs w:val="21"/>
          <w:lang w:eastAsia="zh-CN"/>
        </w:rPr>
        <w:t>由</w:t>
      </w:r>
      <w:r>
        <w:rPr>
          <w:color w:val="auto"/>
          <w:szCs w:val="21"/>
        </w:rPr>
        <w:t>本单位</w:t>
      </w:r>
      <w:r>
        <w:rPr>
          <w:rFonts w:hint="eastAsia"/>
          <w:color w:val="auto"/>
          <w:szCs w:val="21"/>
          <w:lang w:eastAsia="zh-CN"/>
        </w:rPr>
        <w:t>提供服务</w:t>
      </w:r>
      <w:r>
        <w:rPr>
          <w:color w:val="auto"/>
          <w:szCs w:val="21"/>
        </w:rPr>
        <w:t>。</w:t>
      </w:r>
    </w:p>
    <w:p w14:paraId="11D4BFFC">
      <w:pPr>
        <w:widowControl/>
        <w:spacing w:line="500" w:lineRule="exact"/>
        <w:ind w:firstLine="420" w:firstLineChars="200"/>
        <w:rPr>
          <w:color w:val="auto"/>
          <w:szCs w:val="21"/>
        </w:rPr>
      </w:pPr>
      <w:r>
        <w:rPr>
          <w:color w:val="auto"/>
          <w:szCs w:val="21"/>
        </w:rPr>
        <w:t>本单位对上述声明的真实性负责。如有虚假，将依法承担相应责任。</w:t>
      </w:r>
    </w:p>
    <w:p w14:paraId="3954931D">
      <w:pPr>
        <w:widowControl/>
        <w:spacing w:line="500" w:lineRule="exact"/>
        <w:rPr>
          <w:color w:val="auto"/>
          <w:spacing w:val="6"/>
          <w:kern w:val="0"/>
          <w:szCs w:val="21"/>
        </w:rPr>
      </w:pPr>
    </w:p>
    <w:p w14:paraId="09ADB2F3">
      <w:pPr>
        <w:widowControl/>
        <w:spacing w:line="500" w:lineRule="exact"/>
        <w:ind w:right="1560" w:firstLine="600"/>
        <w:jc w:val="center"/>
        <w:rPr>
          <w:color w:val="auto"/>
          <w:szCs w:val="21"/>
        </w:rPr>
      </w:pPr>
      <w:r>
        <w:rPr>
          <w:color w:val="auto"/>
          <w:spacing w:val="6"/>
          <w:kern w:val="0"/>
          <w:szCs w:val="21"/>
        </w:rPr>
        <w:t xml:space="preserve">               </w:t>
      </w:r>
      <w:r>
        <w:rPr>
          <w:color w:val="auto"/>
          <w:szCs w:val="21"/>
        </w:rPr>
        <w:t>单位名称（盖章）：</w:t>
      </w:r>
    </w:p>
    <w:p w14:paraId="06F20557">
      <w:pPr>
        <w:widowControl/>
        <w:spacing w:line="500" w:lineRule="exact"/>
        <w:ind w:right="1560" w:firstLine="600"/>
        <w:jc w:val="center"/>
        <w:rPr>
          <w:color w:val="auto"/>
          <w:szCs w:val="21"/>
        </w:rPr>
      </w:pPr>
      <w:r>
        <w:rPr>
          <w:color w:val="auto"/>
          <w:szCs w:val="21"/>
        </w:rPr>
        <w:t xml:space="preserve">       日  期：</w:t>
      </w:r>
    </w:p>
    <w:p w14:paraId="6CC77463">
      <w:pPr>
        <w:spacing w:before="312" w:beforeLines="100" w:line="440" w:lineRule="atLeast"/>
        <w:ind w:firstLine="444" w:firstLineChars="200"/>
        <w:rPr>
          <w:rFonts w:hint="eastAsia" w:ascii="宋体" w:hAnsi="宋体" w:cs="宋体"/>
          <w:color w:val="auto"/>
          <w:spacing w:val="6"/>
          <w:szCs w:val="21"/>
        </w:rPr>
      </w:pPr>
    </w:p>
    <w:p w14:paraId="2C9C7384">
      <w:pPr>
        <w:spacing w:before="312" w:beforeLines="100" w:line="440" w:lineRule="atLeast"/>
        <w:ind w:firstLine="444" w:firstLineChars="200"/>
        <w:rPr>
          <w:rFonts w:hint="eastAsia" w:ascii="宋体" w:hAnsi="宋体" w:cs="宋体"/>
          <w:color w:val="auto"/>
          <w:spacing w:val="6"/>
          <w:szCs w:val="21"/>
        </w:rPr>
      </w:pPr>
    </w:p>
    <w:p w14:paraId="16F92C16">
      <w:pPr>
        <w:spacing w:line="360" w:lineRule="auto"/>
        <w:rPr>
          <w:rFonts w:hint="eastAsia" w:ascii="宋体" w:hAnsi="宋体" w:cs="宋体"/>
          <w:b/>
          <w:color w:val="auto"/>
          <w:spacing w:val="20"/>
          <w:szCs w:val="21"/>
        </w:rPr>
      </w:pPr>
      <w:r>
        <w:rPr>
          <w:rFonts w:hint="eastAsia" w:ascii="宋体" w:hAnsi="宋体" w:cs="宋体"/>
          <w:b/>
          <w:color w:val="auto"/>
          <w:spacing w:val="20"/>
          <w:szCs w:val="21"/>
        </w:rPr>
        <w:t>注：</w:t>
      </w:r>
    </w:p>
    <w:p w14:paraId="74A4B474">
      <w:pPr>
        <w:snapToGrid w:val="0"/>
        <w:spacing w:line="360" w:lineRule="auto"/>
        <w:ind w:firstLine="422" w:firstLineChars="200"/>
        <w:jc w:val="left"/>
        <w:rPr>
          <w:rFonts w:hint="eastAsia" w:ascii="宋体" w:hAnsi="宋体" w:cs="宋体"/>
          <w:b/>
          <w:color w:val="auto"/>
          <w:szCs w:val="21"/>
        </w:rPr>
      </w:pPr>
      <w:r>
        <w:rPr>
          <w:rFonts w:hint="eastAsia" w:ascii="宋体" w:hAnsi="宋体" w:cs="宋体"/>
          <w:b/>
          <w:color w:val="auto"/>
          <w:szCs w:val="21"/>
        </w:rPr>
        <w:t>1.中标、成交供应商为残疾人福利性单位的，《残疾人福利性单位声明函》随中标、成交结果同时公告，接受社会监督。</w:t>
      </w:r>
    </w:p>
    <w:p w14:paraId="02CE855C">
      <w:pPr>
        <w:snapToGrid w:val="0"/>
        <w:spacing w:line="360" w:lineRule="auto"/>
        <w:ind w:firstLine="422" w:firstLineChars="200"/>
        <w:jc w:val="left"/>
        <w:rPr>
          <w:rFonts w:hint="eastAsia" w:ascii="宋体" w:hAnsi="宋体" w:cs="宋体"/>
          <w:b/>
          <w:color w:val="auto"/>
          <w:szCs w:val="21"/>
        </w:rPr>
      </w:pPr>
      <w:r>
        <w:rPr>
          <w:rFonts w:hint="eastAsia" w:ascii="宋体" w:hAnsi="宋体" w:cs="宋体"/>
          <w:b/>
          <w:color w:val="auto"/>
          <w:szCs w:val="21"/>
        </w:rPr>
        <w:t>2.供应商提供的《残疾人福利性单位声明函》与事实不符的，依照《政府采购法》第七十七条第一款的规定追究法律责任。</w:t>
      </w:r>
    </w:p>
    <w:p w14:paraId="1AE5B963">
      <w:pPr>
        <w:pStyle w:val="4"/>
        <w:numPr>
          <w:ilvl w:val="0"/>
          <w:numId w:val="0"/>
        </w:numPr>
        <w:rPr>
          <w:rFonts w:hint="eastAsia" w:ascii="宋体" w:hAnsi="宋体" w:cs="宋体"/>
          <w:color w:val="auto"/>
          <w:szCs w:val="21"/>
          <w:u w:val="none"/>
        </w:rPr>
      </w:pPr>
      <w:r>
        <w:rPr>
          <w:rFonts w:hint="eastAsia" w:ascii="宋体" w:hAnsi="宋体" w:cs="宋体"/>
          <w:b w:val="0"/>
          <w:color w:val="auto"/>
          <w:spacing w:val="20"/>
          <w:szCs w:val="21"/>
        </w:rPr>
        <w:br w:type="page"/>
      </w:r>
      <w:r>
        <w:rPr>
          <w:rFonts w:hint="eastAsia" w:ascii="宋体" w:hAnsi="宋体" w:cs="宋体"/>
          <w:color w:val="auto"/>
          <w:szCs w:val="21"/>
          <w:u w:val="none"/>
        </w:rPr>
        <w:t>格式</w:t>
      </w:r>
      <w:r>
        <w:rPr>
          <w:rFonts w:hint="eastAsia" w:hAnsi="宋体" w:cs="宋体"/>
          <w:color w:val="auto"/>
          <w:szCs w:val="21"/>
          <w:u w:val="none"/>
          <w:lang w:val="en-US" w:eastAsia="zh-CN"/>
        </w:rPr>
        <w:t>四</w:t>
      </w:r>
      <w:r>
        <w:rPr>
          <w:rFonts w:hint="eastAsia" w:ascii="宋体" w:hAnsi="宋体" w:cs="宋体"/>
          <w:color w:val="auto"/>
          <w:szCs w:val="21"/>
          <w:u w:val="none"/>
        </w:rPr>
        <w:t>、 资格承诺函</w:t>
      </w:r>
    </w:p>
    <w:p w14:paraId="645D649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b/>
          <w:bCs/>
          <w:color w:val="auto"/>
          <w:sz w:val="28"/>
          <w:szCs w:val="28"/>
        </w:rPr>
      </w:pPr>
      <w:r>
        <w:rPr>
          <w:rFonts w:hint="eastAsia"/>
          <w:b/>
          <w:bCs/>
          <w:color w:val="auto"/>
          <w:sz w:val="28"/>
          <w:szCs w:val="28"/>
        </w:rPr>
        <w:t>资格承诺函</w:t>
      </w:r>
    </w:p>
    <w:p w14:paraId="222CA7F0">
      <w:pPr>
        <w:spacing w:line="360" w:lineRule="auto"/>
        <w:jc w:val="left"/>
        <w:rPr>
          <w:rFonts w:hint="eastAsia" w:ascii="宋体" w:hAnsi="宋体" w:eastAsia="宋体" w:cs="宋体"/>
          <w:color w:val="auto"/>
          <w:szCs w:val="21"/>
          <w:lang w:eastAsia="zh-CN"/>
        </w:rPr>
      </w:pPr>
      <w:r>
        <w:rPr>
          <w:rFonts w:hint="eastAsia" w:ascii="宋体" w:hAnsi="宋体" w:cs="宋体"/>
          <w:color w:val="auto"/>
          <w:spacing w:val="-4"/>
          <w:szCs w:val="21"/>
        </w:rPr>
        <w:t>致：</w:t>
      </w:r>
      <w:r>
        <w:rPr>
          <w:rFonts w:hint="eastAsia" w:ascii="宋体" w:hAnsi="宋体" w:cs="宋体"/>
          <w:color w:val="auto"/>
          <w:szCs w:val="21"/>
          <w:lang w:eastAsia="zh-CN"/>
        </w:rPr>
        <w:t>岱山县市政和园林绿化管理处</w:t>
      </w:r>
    </w:p>
    <w:p w14:paraId="00C311F3">
      <w:pPr>
        <w:spacing w:line="360" w:lineRule="auto"/>
        <w:ind w:firstLine="420" w:firstLineChars="200"/>
        <w:jc w:val="left"/>
        <w:rPr>
          <w:rFonts w:hint="eastAsia" w:ascii="宋体" w:hAnsi="宋体" w:cs="宋体"/>
          <w:color w:val="auto"/>
          <w:spacing w:val="-4"/>
          <w:szCs w:val="21"/>
        </w:rPr>
      </w:pPr>
      <w:r>
        <w:rPr>
          <w:rFonts w:hint="eastAsia" w:ascii="宋体" w:hAnsi="宋体" w:cs="宋体"/>
          <w:color w:val="auto"/>
          <w:szCs w:val="21"/>
        </w:rPr>
        <w:t>舟山市博琛建设工程管理有限公司</w:t>
      </w:r>
    </w:p>
    <w:p w14:paraId="5445B0BA">
      <w:pPr>
        <w:ind w:firstLine="420" w:firstLineChars="200"/>
        <w:rPr>
          <w:color w:val="auto"/>
        </w:rPr>
      </w:pPr>
      <w:r>
        <w:rPr>
          <w:rFonts w:hint="eastAsia"/>
          <w:color w:val="auto"/>
        </w:rPr>
        <w:t>我方参加</w:t>
      </w:r>
      <w:r>
        <w:rPr>
          <w:rFonts w:hint="eastAsia"/>
          <w:color w:val="auto"/>
          <w:u w:val="single"/>
        </w:rPr>
        <w:t xml:space="preserve">           </w:t>
      </w:r>
      <w:r>
        <w:rPr>
          <w:color w:val="auto"/>
          <w:u w:val="single"/>
        </w:rPr>
        <w:t xml:space="preserve"> </w:t>
      </w:r>
      <w:r>
        <w:rPr>
          <w:rFonts w:hint="eastAsia"/>
          <w:color w:val="auto"/>
        </w:rPr>
        <w:t>（项目编号：</w:t>
      </w:r>
      <w:r>
        <w:rPr>
          <w:rFonts w:hint="eastAsia"/>
          <w:color w:val="auto"/>
          <w:u w:val="single"/>
          <w:lang w:val="en-US" w:eastAsia="zh-CN"/>
        </w:rPr>
        <w:t xml:space="preserve"> </w:t>
      </w:r>
      <w:bookmarkStart w:id="14" w:name="_GoBack"/>
      <w:bookmarkEnd w:id="14"/>
      <w:r>
        <w:rPr>
          <w:rFonts w:hint="eastAsia"/>
          <w:color w:val="auto"/>
          <w:u w:val="single"/>
          <w:lang w:eastAsia="zh-CN"/>
        </w:rPr>
        <w:t>ZSBC-2024-172-01</w:t>
      </w:r>
      <w:r>
        <w:rPr>
          <w:rFonts w:hint="eastAsia"/>
          <w:color w:val="auto"/>
          <w:u w:val="single"/>
          <w:lang w:val="en-US" w:eastAsia="zh-CN"/>
        </w:rPr>
        <w:t xml:space="preserve">  </w:t>
      </w:r>
      <w:r>
        <w:rPr>
          <w:rFonts w:hint="eastAsia"/>
          <w:color w:val="auto"/>
        </w:rPr>
        <w:t>）的政府采购活动，依据</w:t>
      </w:r>
      <w:r>
        <w:rPr>
          <w:rFonts w:hint="eastAsia"/>
          <w:color w:val="auto"/>
          <w:lang w:val="en-US" w:eastAsia="zh-CN"/>
        </w:rPr>
        <w:t>磋商</w:t>
      </w:r>
      <w:r>
        <w:rPr>
          <w:rFonts w:hint="eastAsia"/>
          <w:color w:val="auto"/>
        </w:rPr>
        <w:t>文件相关规定，郑重承诺如下：</w:t>
      </w:r>
    </w:p>
    <w:p w14:paraId="58FDE531">
      <w:pPr>
        <w:ind w:firstLine="420" w:firstLineChars="200"/>
        <w:rPr>
          <w:color w:val="auto"/>
        </w:rPr>
      </w:pPr>
      <w:r>
        <w:rPr>
          <w:rFonts w:hint="eastAsia"/>
          <w:color w:val="auto"/>
        </w:rPr>
        <w:t>（1）我方具有独立承担民事责任的能力；</w:t>
      </w:r>
    </w:p>
    <w:p w14:paraId="1B99271B">
      <w:pPr>
        <w:ind w:firstLine="420" w:firstLineChars="200"/>
        <w:rPr>
          <w:color w:val="auto"/>
        </w:rPr>
      </w:pPr>
      <w:r>
        <w:rPr>
          <w:rFonts w:hint="eastAsia"/>
          <w:color w:val="auto"/>
        </w:rPr>
        <w:t>（2）我方具有良好的商业信誉和健全的财务会计制度；</w:t>
      </w:r>
    </w:p>
    <w:p w14:paraId="2A366FD3">
      <w:pPr>
        <w:ind w:firstLine="420" w:firstLineChars="200"/>
        <w:rPr>
          <w:color w:val="auto"/>
        </w:rPr>
      </w:pPr>
      <w:r>
        <w:rPr>
          <w:rFonts w:hint="eastAsia"/>
          <w:color w:val="auto"/>
        </w:rPr>
        <w:t>（3）我方具有履行本项目合同所必需的设备和专业技术能力；</w:t>
      </w:r>
    </w:p>
    <w:p w14:paraId="0B2ED495">
      <w:pPr>
        <w:ind w:firstLine="420" w:firstLineChars="200"/>
        <w:rPr>
          <w:color w:val="auto"/>
        </w:rPr>
      </w:pPr>
      <w:r>
        <w:rPr>
          <w:rFonts w:hint="eastAsia"/>
          <w:color w:val="auto"/>
        </w:rPr>
        <w:t>（4）我方有依法缴纳税收和社会保障资金的良好记录；</w:t>
      </w:r>
    </w:p>
    <w:p w14:paraId="7B39CEFD">
      <w:pPr>
        <w:ind w:firstLine="420" w:firstLineChars="200"/>
        <w:rPr>
          <w:color w:val="auto"/>
        </w:rPr>
      </w:pPr>
      <w:r>
        <w:rPr>
          <w:rFonts w:hint="eastAsia"/>
          <w:color w:val="auto"/>
        </w:rPr>
        <w:t>（5）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w:t>
      </w:r>
    </w:p>
    <w:p w14:paraId="36AFF0BE">
      <w:pPr>
        <w:ind w:firstLine="420" w:firstLineChars="200"/>
        <w:rPr>
          <w:rFonts w:hint="eastAsia" w:ascii="Times New Roman" w:hAnsi="Times New Roman" w:eastAsia="宋体" w:cs="Times New Roman"/>
          <w:color w:val="auto"/>
        </w:rPr>
      </w:pPr>
      <w:r>
        <w:rPr>
          <w:rFonts w:hint="eastAsia" w:ascii="Times New Roman" w:hAnsi="Times New Roman" w:eastAsia="宋体" w:cs="Times New Roman"/>
          <w:color w:val="auto"/>
        </w:rPr>
        <w:t>（6）我方符合法律、行政法规规定的其他条件；</w:t>
      </w:r>
    </w:p>
    <w:p w14:paraId="158A3B8A">
      <w:pPr>
        <w:ind w:firstLine="420" w:firstLineChars="20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（7）我方在</w:t>
      </w:r>
      <w:r>
        <w:rPr>
          <w:rFonts w:hint="eastAsia" w:cs="Times New Roman"/>
          <w:color w:val="auto"/>
          <w:lang w:val="en-US" w:eastAsia="zh-CN"/>
        </w:rPr>
        <w:t>响应</w:t>
      </w:r>
      <w:r>
        <w:rPr>
          <w:rFonts w:hint="eastAsia" w:ascii="Times New Roman" w:hAnsi="Times New Roman" w:eastAsia="宋体" w:cs="Times New Roman"/>
          <w:color w:val="auto"/>
        </w:rPr>
        <w:t>文件递交前，未被“信用中国”（www.creditchina.gov.cn）、“中国政府采购网”（www.ccgp.gov.cn）列入失信被执行人名单、重大税收违法案件当事人名单、政府采购严重违法失信行为记录名单（我方的信用信息记录以采购人或采购代理机构统一查询的结果为准）</w:t>
      </w:r>
      <w:r>
        <w:rPr>
          <w:rFonts w:hint="eastAsia" w:ascii="Times New Roman" w:hAnsi="Times New Roman" w:eastAsia="宋体" w:cs="Times New Roman"/>
          <w:color w:val="auto"/>
          <w:lang w:eastAsia="zh-CN"/>
        </w:rPr>
        <w:t>；</w:t>
      </w:r>
    </w:p>
    <w:p w14:paraId="60252C35">
      <w:pPr>
        <w:ind w:firstLine="420" w:firstLineChars="200"/>
        <w:rPr>
          <w:rFonts w:hint="eastAsia" w:ascii="宋体" w:hAnsi="宋体" w:eastAsia="宋体" w:cs="Times New Roman"/>
          <w:color w:val="auto"/>
          <w:szCs w:val="21"/>
          <w:lang w:eastAsia="zh-CN"/>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8</w:t>
      </w:r>
      <w:r>
        <w:rPr>
          <w:rFonts w:hint="eastAsia" w:ascii="Times New Roman" w:hAnsi="Times New Roman" w:eastAsia="宋体" w:cs="Times New Roman"/>
          <w:color w:val="auto"/>
        </w:rPr>
        <w:t>）承诺</w:t>
      </w:r>
      <w:r>
        <w:rPr>
          <w:rFonts w:hint="eastAsia" w:ascii="宋体" w:hAnsi="宋体" w:eastAsia="宋体" w:cs="Times New Roman"/>
          <w:color w:val="auto"/>
          <w:szCs w:val="21"/>
        </w:rPr>
        <w:t>企业主要负责人 A 证</w:t>
      </w:r>
      <w:r>
        <w:rPr>
          <w:rFonts w:hint="eastAsia" w:ascii="宋体" w:hAnsi="宋体" w:eastAsia="宋体" w:cs="Times New Roman"/>
          <w:color w:val="auto"/>
          <w:szCs w:val="21"/>
          <w:lang w:eastAsia="zh-CN"/>
        </w:rPr>
        <w:t>真实有效；企业主要负责人（包括企业法定代表人、企业分管安全的副总经理）具有 A 类安全考核证书；</w:t>
      </w:r>
      <w:r>
        <w:rPr>
          <w:rFonts w:hint="eastAsia" w:ascii="宋体" w:hAnsi="宋体" w:eastAsia="宋体" w:cs="Times New Roman"/>
          <w:color w:val="auto"/>
          <w:szCs w:val="21"/>
          <w:lang w:val="en-US" w:eastAsia="zh-CN"/>
        </w:rPr>
        <w:t>企业分管安全生产的副总经理有任职文件。</w:t>
      </w:r>
    </w:p>
    <w:p w14:paraId="6C34FDA8">
      <w:pPr>
        <w:ind w:firstLine="420" w:firstLineChars="200"/>
        <w:rPr>
          <w:rFonts w:hint="eastAsia" w:ascii="Times New Roman" w:hAnsi="Times New Roman" w:eastAsia="宋体" w:cs="Times New Roman"/>
          <w:color w:val="auto"/>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9</w:t>
      </w:r>
      <w:r>
        <w:rPr>
          <w:rFonts w:hint="eastAsia" w:ascii="Times New Roman" w:hAnsi="Times New Roman" w:eastAsia="宋体" w:cs="Times New Roman"/>
          <w:color w:val="auto"/>
        </w:rPr>
        <w:t>）承诺</w:t>
      </w:r>
      <w:r>
        <w:rPr>
          <w:rFonts w:hint="eastAsia" w:cs="Times New Roman"/>
          <w:color w:val="auto"/>
          <w:lang w:val="en-US" w:eastAsia="zh-CN"/>
        </w:rPr>
        <w:t>响应</w:t>
      </w:r>
      <w:r>
        <w:rPr>
          <w:rFonts w:hint="eastAsia" w:ascii="Times New Roman" w:hAnsi="Times New Roman" w:eastAsia="宋体" w:cs="Times New Roman"/>
          <w:color w:val="auto"/>
        </w:rPr>
        <w:t>文件无虚假、伪造的内容。若</w:t>
      </w:r>
      <w:r>
        <w:rPr>
          <w:rFonts w:hint="eastAsia" w:cs="Times New Roman"/>
          <w:color w:val="auto"/>
          <w:lang w:val="en-US" w:eastAsia="zh-CN"/>
        </w:rPr>
        <w:t>响应</w:t>
      </w:r>
      <w:r>
        <w:rPr>
          <w:rFonts w:hint="eastAsia" w:ascii="Times New Roman" w:hAnsi="Times New Roman" w:eastAsia="宋体" w:cs="Times New Roman"/>
          <w:color w:val="auto"/>
        </w:rPr>
        <w:t>文件中存在虚假、伪造的内容，同意作无效</w:t>
      </w:r>
      <w:r>
        <w:rPr>
          <w:rFonts w:hint="eastAsia" w:cs="Times New Roman"/>
          <w:color w:val="auto"/>
          <w:lang w:val="en-US" w:eastAsia="zh-CN"/>
        </w:rPr>
        <w:t>响应</w:t>
      </w:r>
      <w:r>
        <w:rPr>
          <w:rFonts w:hint="eastAsia" w:ascii="Times New Roman" w:hAnsi="Times New Roman" w:eastAsia="宋体" w:cs="Times New Roman"/>
          <w:color w:val="auto"/>
        </w:rPr>
        <w:t>处理。</w:t>
      </w:r>
    </w:p>
    <w:p w14:paraId="468C5E56">
      <w:pPr>
        <w:ind w:firstLine="420" w:firstLineChars="20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10</w:t>
      </w:r>
      <w:r>
        <w:rPr>
          <w:rFonts w:hint="eastAsia" w:ascii="Times New Roman" w:hAnsi="Times New Roman" w:eastAsia="宋体" w:cs="Times New Roman"/>
          <w:color w:val="auto"/>
        </w:rPr>
        <w:t>）承诺我单位法定代表人、拟派项目负责人、授权代表等主要责任人诚信</w:t>
      </w:r>
      <w:r>
        <w:rPr>
          <w:rFonts w:hint="eastAsia" w:cs="Times New Roman"/>
          <w:color w:val="auto"/>
          <w:lang w:val="en-US" w:eastAsia="zh-CN"/>
        </w:rPr>
        <w:t>响应</w:t>
      </w:r>
      <w:r>
        <w:rPr>
          <w:rFonts w:hint="eastAsia" w:ascii="Times New Roman" w:hAnsi="Times New Roman" w:eastAsia="宋体" w:cs="Times New Roman"/>
          <w:color w:val="auto"/>
          <w:lang w:eastAsia="zh-CN"/>
        </w:rPr>
        <w:t>；</w:t>
      </w:r>
    </w:p>
    <w:p w14:paraId="78F9F146">
      <w:pPr>
        <w:ind w:firstLine="420" w:firstLineChars="20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11</w:t>
      </w:r>
      <w:r>
        <w:rPr>
          <w:rFonts w:hint="eastAsia" w:ascii="Times New Roman" w:hAnsi="Times New Roman" w:eastAsia="宋体" w:cs="Times New Roman"/>
          <w:color w:val="auto"/>
        </w:rPr>
        <w:t>）承诺无串通</w:t>
      </w:r>
      <w:r>
        <w:rPr>
          <w:rFonts w:hint="eastAsia" w:cs="Times New Roman"/>
          <w:color w:val="auto"/>
          <w:lang w:val="en-US" w:eastAsia="zh-CN"/>
        </w:rPr>
        <w:t>响应</w:t>
      </w:r>
      <w:r>
        <w:rPr>
          <w:rFonts w:hint="eastAsia" w:ascii="Times New Roman" w:hAnsi="Times New Roman" w:eastAsia="宋体" w:cs="Times New Roman"/>
          <w:color w:val="auto"/>
        </w:rPr>
        <w:t>行为，若与其他</w:t>
      </w:r>
      <w:r>
        <w:rPr>
          <w:rFonts w:hint="eastAsia" w:cs="Times New Roman"/>
          <w:color w:val="auto"/>
          <w:lang w:val="en-US" w:eastAsia="zh-CN"/>
        </w:rPr>
        <w:t>响应</w:t>
      </w:r>
      <w:r>
        <w:rPr>
          <w:rFonts w:hint="eastAsia" w:ascii="Times New Roman" w:hAnsi="Times New Roman" w:eastAsia="宋体" w:cs="Times New Roman"/>
          <w:color w:val="auto"/>
        </w:rPr>
        <w:t>人存在</w:t>
      </w:r>
      <w:r>
        <w:rPr>
          <w:rFonts w:hint="eastAsia" w:cs="Times New Roman"/>
          <w:color w:val="auto"/>
          <w:lang w:val="en-US" w:eastAsia="zh-CN"/>
        </w:rPr>
        <w:t>响应</w:t>
      </w:r>
      <w:r>
        <w:rPr>
          <w:rFonts w:hint="eastAsia" w:ascii="Times New Roman" w:hAnsi="Times New Roman" w:eastAsia="宋体" w:cs="Times New Roman"/>
          <w:color w:val="auto"/>
        </w:rPr>
        <w:t>文件异常一致、内容多处雷同、电子检测码（或制作码、创建码）一致的情况，同意作无效</w:t>
      </w:r>
      <w:r>
        <w:rPr>
          <w:rFonts w:hint="eastAsia" w:cs="Times New Roman"/>
          <w:color w:val="auto"/>
          <w:lang w:val="en-US" w:eastAsia="zh-CN"/>
        </w:rPr>
        <w:t>响应</w:t>
      </w:r>
      <w:r>
        <w:rPr>
          <w:rFonts w:hint="eastAsia" w:ascii="Times New Roman" w:hAnsi="Times New Roman" w:eastAsia="宋体" w:cs="Times New Roman"/>
          <w:color w:val="auto"/>
        </w:rPr>
        <w:t>处理，并接受有关行政监督部门的调查和处罚</w:t>
      </w:r>
      <w:r>
        <w:rPr>
          <w:rFonts w:hint="eastAsia" w:ascii="Times New Roman" w:hAnsi="Times New Roman" w:eastAsia="宋体" w:cs="Times New Roman"/>
          <w:color w:val="auto"/>
          <w:lang w:eastAsia="zh-CN"/>
        </w:rPr>
        <w:t>；</w:t>
      </w:r>
    </w:p>
    <w:p w14:paraId="29A5E0EC">
      <w:pPr>
        <w:ind w:firstLine="420" w:firstLineChars="20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12</w:t>
      </w:r>
      <w:r>
        <w:rPr>
          <w:rFonts w:hint="eastAsia" w:ascii="Times New Roman" w:hAnsi="Times New Roman" w:eastAsia="宋体" w:cs="Times New Roman"/>
          <w:color w:val="auto"/>
        </w:rPr>
        <w:t>）承诺无恶意报价行为，若被认定存在严重哄抬标价或影响合同履行的异常低价竞标行为，同意作无效</w:t>
      </w:r>
      <w:r>
        <w:rPr>
          <w:rFonts w:hint="eastAsia" w:cs="Times New Roman"/>
          <w:color w:val="auto"/>
          <w:lang w:val="en-US" w:eastAsia="zh-CN"/>
        </w:rPr>
        <w:t>响应</w:t>
      </w:r>
      <w:r>
        <w:rPr>
          <w:rFonts w:hint="eastAsia" w:ascii="Times New Roman" w:hAnsi="Times New Roman" w:eastAsia="宋体" w:cs="Times New Roman"/>
          <w:color w:val="auto"/>
        </w:rPr>
        <w:t>处理，并接受有关监督部门的调查和处罚</w:t>
      </w:r>
      <w:r>
        <w:rPr>
          <w:rFonts w:hint="eastAsia" w:ascii="Times New Roman" w:hAnsi="Times New Roman" w:eastAsia="宋体" w:cs="Times New Roman"/>
          <w:color w:val="auto"/>
          <w:lang w:eastAsia="zh-CN"/>
        </w:rPr>
        <w:t>；</w:t>
      </w:r>
    </w:p>
    <w:p w14:paraId="6A939F22">
      <w:pPr>
        <w:ind w:firstLine="422" w:firstLineChars="200"/>
        <w:rPr>
          <w:rFonts w:hint="eastAsia" w:ascii="Times New Roman" w:hAnsi="Times New Roman" w:eastAsia="宋体" w:cs="Times New Roman"/>
          <w:color w:val="auto"/>
          <w:lang w:eastAsia="zh-CN"/>
        </w:rPr>
      </w:pPr>
      <w:r>
        <w:rPr>
          <w:rFonts w:hint="eastAsia" w:ascii="Times New Roman" w:hAnsi="Times New Roman" w:eastAsia="宋体" w:cs="Times New Roman"/>
          <w:b/>
          <w:bCs/>
          <w:color w:val="auto"/>
        </w:rPr>
        <w:t>（</w:t>
      </w:r>
      <w:r>
        <w:rPr>
          <w:rFonts w:hint="eastAsia" w:ascii="Times New Roman" w:hAnsi="Times New Roman" w:eastAsia="宋体" w:cs="Times New Roman"/>
          <w:b/>
          <w:bCs/>
          <w:color w:val="auto"/>
          <w:lang w:val="en-US" w:eastAsia="zh-CN"/>
        </w:rPr>
        <w:t>13</w:t>
      </w:r>
      <w:r>
        <w:rPr>
          <w:rFonts w:hint="eastAsia" w:ascii="Times New Roman" w:hAnsi="Times New Roman" w:eastAsia="宋体" w:cs="Times New Roman"/>
          <w:b/>
          <w:bCs/>
          <w:color w:val="auto"/>
        </w:rPr>
        <w:t>）承诺本项目拟派项目负责人在</w:t>
      </w:r>
      <w:r>
        <w:rPr>
          <w:rFonts w:hint="eastAsia" w:cs="Times New Roman"/>
          <w:b/>
          <w:bCs/>
          <w:color w:val="auto"/>
          <w:lang w:val="en-US" w:eastAsia="zh-CN"/>
        </w:rPr>
        <w:t>响应</w:t>
      </w:r>
      <w:r>
        <w:rPr>
          <w:rFonts w:hint="eastAsia" w:ascii="Times New Roman" w:hAnsi="Times New Roman" w:eastAsia="宋体" w:cs="Times New Roman"/>
          <w:b/>
          <w:bCs/>
          <w:color w:val="auto"/>
        </w:rPr>
        <w:t>截止日无在其他任何在建合同工程上担任项目负责人（包括工程总承包项目中的施工负责人）的情形</w:t>
      </w:r>
      <w:r>
        <w:rPr>
          <w:rFonts w:hint="eastAsia" w:ascii="Times New Roman" w:hAnsi="Times New Roman" w:eastAsia="宋体" w:cs="Times New Roman"/>
          <w:b/>
          <w:bCs/>
          <w:color w:val="auto"/>
          <w:lang w:eastAsia="zh-CN"/>
        </w:rPr>
        <w:t>；</w:t>
      </w:r>
    </w:p>
    <w:p w14:paraId="7B845DDA">
      <w:pPr>
        <w:ind w:firstLine="420" w:firstLineChars="20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14</w:t>
      </w:r>
      <w:r>
        <w:rPr>
          <w:rFonts w:hint="eastAsia" w:ascii="Times New Roman" w:hAnsi="Times New Roman" w:eastAsia="宋体" w:cs="Times New Roman"/>
          <w:color w:val="auto"/>
        </w:rPr>
        <w:t>）承诺本</w:t>
      </w:r>
      <w:r>
        <w:rPr>
          <w:rFonts w:hint="eastAsia" w:cs="Times New Roman"/>
          <w:color w:val="auto"/>
          <w:lang w:val="en-US" w:eastAsia="zh-CN"/>
        </w:rPr>
        <w:t>磋商</w:t>
      </w:r>
      <w:r>
        <w:rPr>
          <w:rFonts w:hint="eastAsia" w:ascii="Times New Roman" w:hAnsi="Times New Roman" w:eastAsia="宋体" w:cs="Times New Roman"/>
          <w:color w:val="auto"/>
        </w:rPr>
        <w:t>文件要求的人员和我单位没有被人民法院列入限制失信被执行人名单和至</w:t>
      </w:r>
      <w:r>
        <w:rPr>
          <w:rFonts w:hint="eastAsia" w:cs="Times New Roman"/>
          <w:color w:val="auto"/>
          <w:lang w:val="en-US" w:eastAsia="zh-CN"/>
        </w:rPr>
        <w:t>响应</w:t>
      </w:r>
      <w:r>
        <w:rPr>
          <w:rFonts w:hint="eastAsia" w:ascii="Times New Roman" w:hAnsi="Times New Roman" w:eastAsia="宋体" w:cs="Times New Roman"/>
          <w:color w:val="auto"/>
        </w:rPr>
        <w:t>截止时间三年内没有行贿犯罪记录</w:t>
      </w:r>
      <w:r>
        <w:rPr>
          <w:rFonts w:hint="eastAsia" w:ascii="Times New Roman" w:hAnsi="Times New Roman" w:eastAsia="宋体" w:cs="Times New Roman"/>
          <w:color w:val="auto"/>
          <w:lang w:eastAsia="zh-CN"/>
        </w:rPr>
        <w:t>；</w:t>
      </w:r>
    </w:p>
    <w:p w14:paraId="4111B7F0">
      <w:pPr>
        <w:ind w:firstLine="420" w:firstLineChars="20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15</w:t>
      </w:r>
      <w:r>
        <w:rPr>
          <w:rFonts w:hint="eastAsia" w:ascii="Times New Roman" w:hAnsi="Times New Roman" w:eastAsia="宋体" w:cs="Times New Roman"/>
          <w:color w:val="auto"/>
        </w:rPr>
        <w:t>）承诺未被有关行政主管部门列入严重失信黑名单(严重违法失信企业名单、联合惩戒名单)或限制参加</w:t>
      </w:r>
      <w:r>
        <w:rPr>
          <w:rFonts w:hint="eastAsia" w:cs="Times New Roman"/>
          <w:color w:val="auto"/>
          <w:lang w:val="en-US" w:eastAsia="zh-CN"/>
        </w:rPr>
        <w:t>响应</w:t>
      </w:r>
      <w:r>
        <w:rPr>
          <w:rFonts w:hint="eastAsia" w:ascii="Times New Roman" w:hAnsi="Times New Roman" w:eastAsia="宋体" w:cs="Times New Roman"/>
          <w:color w:val="auto"/>
          <w:lang w:eastAsia="zh-CN"/>
        </w:rPr>
        <w:t>；</w:t>
      </w:r>
    </w:p>
    <w:p w14:paraId="4AB1A287">
      <w:pPr>
        <w:ind w:firstLine="422" w:firstLineChars="200"/>
        <w:rPr>
          <w:b/>
          <w:bCs/>
          <w:color w:val="auto"/>
        </w:rPr>
      </w:pPr>
      <w:r>
        <w:rPr>
          <w:rFonts w:hint="eastAsia"/>
          <w:b/>
          <w:bCs/>
          <w:color w:val="auto"/>
        </w:rPr>
        <w:t>以上承诺如有虚假或隐瞒，采购人可取消我方任何资格（</w:t>
      </w:r>
      <w:r>
        <w:rPr>
          <w:rFonts w:hint="eastAsia"/>
          <w:b/>
          <w:bCs/>
          <w:color w:val="auto"/>
          <w:lang w:val="en-US" w:eastAsia="zh-CN"/>
        </w:rPr>
        <w:t>响应</w:t>
      </w:r>
      <w:r>
        <w:rPr>
          <w:rFonts w:hint="eastAsia"/>
          <w:b/>
          <w:bCs/>
          <w:color w:val="auto"/>
        </w:rPr>
        <w:t>/</w:t>
      </w:r>
      <w:r>
        <w:rPr>
          <w:rFonts w:hint="eastAsia"/>
          <w:b/>
          <w:bCs/>
          <w:color w:val="auto"/>
          <w:lang w:val="en-US" w:eastAsia="zh-CN"/>
        </w:rPr>
        <w:t>成交</w:t>
      </w:r>
      <w:r>
        <w:rPr>
          <w:rFonts w:hint="eastAsia"/>
          <w:b/>
          <w:bCs/>
          <w:color w:val="auto"/>
        </w:rPr>
        <w:t>/签订合同），我方对此无任何异议，并愿意承担一切后果和责任。</w:t>
      </w:r>
    </w:p>
    <w:p w14:paraId="50E4AC7E">
      <w:pPr>
        <w:ind w:firstLine="420" w:firstLineChars="200"/>
        <w:rPr>
          <w:color w:val="auto"/>
        </w:rPr>
      </w:pPr>
      <w:r>
        <w:rPr>
          <w:rFonts w:hint="eastAsia"/>
          <w:color w:val="auto"/>
        </w:rPr>
        <w:t>特此承诺！</w:t>
      </w:r>
    </w:p>
    <w:p w14:paraId="1441AB98">
      <w:pPr>
        <w:ind w:firstLine="420" w:firstLineChars="200"/>
        <w:jc w:val="left"/>
        <w:rPr>
          <w:rFonts w:hint="eastAsia"/>
          <w:color w:val="auto"/>
        </w:rPr>
      </w:pPr>
    </w:p>
    <w:p w14:paraId="2AE92835">
      <w:pPr>
        <w:ind w:firstLine="420" w:firstLineChars="200"/>
        <w:jc w:val="left"/>
        <w:rPr>
          <w:color w:val="auto"/>
        </w:rPr>
      </w:pPr>
      <w:r>
        <w:rPr>
          <w:rFonts w:hint="eastAsia"/>
          <w:color w:val="auto"/>
          <w:lang w:val="en-US" w:eastAsia="zh-CN"/>
        </w:rPr>
        <w:t>响应</w:t>
      </w:r>
      <w:r>
        <w:rPr>
          <w:rFonts w:hint="eastAsia"/>
          <w:color w:val="auto"/>
        </w:rPr>
        <w:t>人名称（盖章）：</w:t>
      </w:r>
      <w:r>
        <w:rPr>
          <w:color w:val="auto"/>
          <w:u w:val="single"/>
        </w:rPr>
        <w:t xml:space="preserve">                </w:t>
      </w:r>
    </w:p>
    <w:p w14:paraId="0E5392CF">
      <w:pPr>
        <w:ind w:firstLine="420" w:firstLineChars="200"/>
        <w:jc w:val="left"/>
        <w:rPr>
          <w:rFonts w:hint="eastAsia" w:ascii="宋体" w:hAnsi="宋体" w:eastAsia="宋体" w:cs="Times New Roman"/>
          <w:color w:val="auto"/>
          <w:szCs w:val="21"/>
          <w:lang w:eastAsia="zh-CN"/>
        </w:rPr>
      </w:pPr>
      <w:r>
        <w:rPr>
          <w:rFonts w:hint="eastAsia"/>
          <w:color w:val="auto"/>
        </w:rPr>
        <w:t>日期：</w:t>
      </w:r>
      <w:r>
        <w:rPr>
          <w:color w:val="auto"/>
          <w:u w:val="single"/>
        </w:rPr>
        <w:t xml:space="preserve">         </w:t>
      </w:r>
      <w:r>
        <w:rPr>
          <w:rFonts w:hint="eastAsia"/>
          <w:color w:val="auto"/>
        </w:rPr>
        <w:t>年</w:t>
      </w:r>
      <w:r>
        <w:rPr>
          <w:color w:val="auto"/>
          <w:u w:val="single"/>
        </w:rPr>
        <w:t xml:space="preserve">     </w:t>
      </w:r>
      <w:r>
        <w:rPr>
          <w:rFonts w:hint="eastAsia"/>
          <w:color w:val="auto"/>
        </w:rPr>
        <w:t>月</w:t>
      </w:r>
      <w:r>
        <w:rPr>
          <w:color w:val="auto"/>
          <w:u w:val="single"/>
        </w:rPr>
        <w:t xml:space="preserve">     </w:t>
      </w:r>
      <w:r>
        <w:rPr>
          <w:rFonts w:hint="eastAsia"/>
          <w:color w:val="auto"/>
        </w:rPr>
        <w:t>日</w:t>
      </w:r>
    </w:p>
    <w:p w14:paraId="00F413AA">
      <w:pPr>
        <w:spacing w:line="360" w:lineRule="auto"/>
        <w:rPr>
          <w:rFonts w:hint="eastAsia" w:ascii="宋体" w:hAnsi="宋体" w:cs="宋体"/>
          <w:b/>
          <w:color w:val="auto"/>
          <w:spacing w:val="20"/>
          <w:szCs w:val="21"/>
        </w:rPr>
      </w:pPr>
    </w:p>
    <w:p w14:paraId="2952A97D">
      <w:pPr>
        <w:spacing w:line="360" w:lineRule="auto"/>
        <w:outlineLvl w:val="2"/>
        <w:rPr>
          <w:rFonts w:hint="eastAsia" w:ascii="宋体" w:hAnsi="宋体" w:eastAsia="宋体" w:cs="宋体"/>
          <w:b/>
          <w:color w:val="auto"/>
          <w:spacing w:val="20"/>
          <w:sz w:val="21"/>
          <w:szCs w:val="21"/>
          <w:highlight w:val="none"/>
        </w:rPr>
      </w:pPr>
    </w:p>
    <w:p w14:paraId="665200ED">
      <w:pPr>
        <w:spacing w:line="360" w:lineRule="auto"/>
        <w:outlineLvl w:val="2"/>
        <w:rPr>
          <w:rFonts w:hint="eastAsia" w:ascii="宋体" w:hAnsi="宋体" w:eastAsia="宋体" w:cs="宋体"/>
          <w:color w:val="auto"/>
          <w:sz w:val="21"/>
          <w:szCs w:val="21"/>
          <w:highlight w:val="none"/>
        </w:rPr>
      </w:pPr>
      <w:r>
        <w:rPr>
          <w:rFonts w:hint="eastAsia" w:ascii="宋体" w:hAnsi="宋体" w:eastAsia="宋体" w:cs="宋体"/>
          <w:b/>
          <w:color w:val="auto"/>
          <w:spacing w:val="20"/>
          <w:sz w:val="21"/>
          <w:szCs w:val="21"/>
          <w:highlight w:val="none"/>
        </w:rPr>
        <w:t>格式</w:t>
      </w:r>
      <w:r>
        <w:rPr>
          <w:rFonts w:hint="eastAsia" w:ascii="宋体" w:hAnsi="宋体" w:cs="宋体"/>
          <w:b/>
          <w:color w:val="auto"/>
          <w:spacing w:val="20"/>
          <w:sz w:val="21"/>
          <w:szCs w:val="21"/>
          <w:highlight w:val="none"/>
          <w:lang w:val="en-US" w:eastAsia="zh-CN"/>
        </w:rPr>
        <w:t>五</w:t>
      </w:r>
      <w:r>
        <w:rPr>
          <w:rFonts w:hint="eastAsia" w:ascii="宋体" w:hAnsi="宋体" w:eastAsia="宋体" w:cs="宋体"/>
          <w:b/>
          <w:color w:val="auto"/>
          <w:spacing w:val="20"/>
          <w:sz w:val="21"/>
          <w:szCs w:val="21"/>
          <w:highlight w:val="none"/>
        </w:rPr>
        <w:t>、</w:t>
      </w:r>
      <w:r>
        <w:rPr>
          <w:rFonts w:hint="eastAsia" w:ascii="宋体" w:hAnsi="宋体" w:cs="宋体"/>
          <w:b/>
          <w:color w:val="auto"/>
          <w:spacing w:val="20"/>
          <w:sz w:val="21"/>
          <w:szCs w:val="21"/>
          <w:highlight w:val="none"/>
          <w:lang w:val="en-US" w:eastAsia="zh-CN"/>
        </w:rPr>
        <w:t>响应</w:t>
      </w:r>
      <w:r>
        <w:rPr>
          <w:rFonts w:hint="eastAsia" w:ascii="宋体" w:hAnsi="宋体" w:eastAsia="宋体" w:cs="宋体"/>
          <w:b/>
          <w:color w:val="auto"/>
          <w:spacing w:val="20"/>
          <w:sz w:val="21"/>
          <w:szCs w:val="21"/>
          <w:highlight w:val="none"/>
        </w:rPr>
        <w:t>函</w:t>
      </w:r>
    </w:p>
    <w:p w14:paraId="38CC08C2">
      <w:pPr>
        <w:spacing w:line="36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 w:val="21"/>
          <w:szCs w:val="21"/>
          <w:highlight w:val="none"/>
        </w:rPr>
        <w:t>致：</w:t>
      </w:r>
      <w:r>
        <w:rPr>
          <w:rFonts w:hint="eastAsia" w:ascii="宋体" w:hAnsi="宋体" w:cs="宋体"/>
          <w:color w:val="auto"/>
          <w:spacing w:val="-4"/>
          <w:sz w:val="21"/>
          <w:szCs w:val="21"/>
          <w:highlight w:val="none"/>
          <w:lang w:eastAsia="zh-CN"/>
        </w:rPr>
        <w:t>岱山县市政和园林绿化管理处</w:t>
      </w:r>
    </w:p>
    <w:p w14:paraId="07099399">
      <w:pPr>
        <w:spacing w:line="360" w:lineRule="auto"/>
        <w:ind w:firstLine="420" w:firstLineChars="200"/>
        <w:jc w:val="left"/>
        <w:rPr>
          <w:rFonts w:hint="eastAsia" w:ascii="宋体" w:hAnsi="宋体" w:eastAsia="宋体" w:cs="宋体"/>
          <w:color w:val="auto"/>
          <w:spacing w:val="-4"/>
          <w:sz w:val="21"/>
          <w:szCs w:val="21"/>
          <w:highlight w:val="none"/>
          <w:lang w:eastAsia="zh-CN"/>
        </w:rPr>
      </w:pPr>
      <w:r>
        <w:rPr>
          <w:rFonts w:hint="eastAsia" w:ascii="宋体" w:hAnsi="宋体" w:cs="宋体"/>
          <w:color w:val="auto"/>
          <w:sz w:val="21"/>
          <w:szCs w:val="21"/>
          <w:highlight w:val="none"/>
          <w:lang w:eastAsia="zh-CN"/>
        </w:rPr>
        <w:t>舟山市博琛建设工程管理有限公司</w:t>
      </w:r>
    </w:p>
    <w:p w14:paraId="0BCC118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w:t>
      </w:r>
      <w:r>
        <w:rPr>
          <w:rFonts w:hint="eastAsia" w:ascii="宋体" w:hAnsi="宋体" w:eastAsia="宋体" w:cs="宋体"/>
          <w:b/>
          <w:color w:val="auto"/>
          <w:sz w:val="21"/>
          <w:szCs w:val="21"/>
          <w:highlight w:val="none"/>
          <w:u w:val="single"/>
        </w:rPr>
        <w:t>（</w:t>
      </w:r>
      <w:r>
        <w:rPr>
          <w:rFonts w:hint="eastAsia" w:ascii="宋体" w:hAnsi="宋体" w:cs="宋体"/>
          <w:b/>
          <w:color w:val="auto"/>
          <w:sz w:val="21"/>
          <w:szCs w:val="21"/>
          <w:highlight w:val="none"/>
          <w:u w:val="single"/>
          <w:lang w:val="en-US" w:eastAsia="zh-CN"/>
        </w:rPr>
        <w:t>响应</w:t>
      </w:r>
      <w:r>
        <w:rPr>
          <w:rFonts w:hint="eastAsia" w:ascii="宋体" w:hAnsi="宋体" w:eastAsia="宋体" w:cs="宋体"/>
          <w:b/>
          <w:color w:val="auto"/>
          <w:sz w:val="21"/>
          <w:szCs w:val="21"/>
          <w:highlight w:val="none"/>
          <w:u w:val="single"/>
        </w:rPr>
        <w:t>人名称）</w:t>
      </w:r>
      <w:r>
        <w:rPr>
          <w:rFonts w:hint="eastAsia" w:ascii="宋体" w:hAnsi="宋体" w:eastAsia="宋体" w:cs="宋体"/>
          <w:color w:val="auto"/>
          <w:sz w:val="21"/>
          <w:szCs w:val="21"/>
          <w:highlight w:val="none"/>
        </w:rPr>
        <w:t>已详细审查了</w:t>
      </w:r>
      <w:r>
        <w:rPr>
          <w:rFonts w:hint="eastAsia" w:ascii="宋体" w:hAnsi="宋体" w:eastAsia="宋体" w:cs="宋体"/>
          <w:b/>
          <w:color w:val="auto"/>
          <w:sz w:val="21"/>
          <w:szCs w:val="21"/>
          <w:highlight w:val="none"/>
          <w:u w:val="single"/>
        </w:rPr>
        <w:t xml:space="preserve">（项目编号）（项目名称）    </w:t>
      </w:r>
      <w:r>
        <w:rPr>
          <w:rFonts w:hint="eastAsia" w:ascii="宋体" w:hAnsi="宋体" w:eastAsia="宋体" w:cs="宋体"/>
          <w:color w:val="auto"/>
          <w:sz w:val="21"/>
          <w:szCs w:val="21"/>
          <w:highlight w:val="none"/>
        </w:rPr>
        <w:t>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文件及其相关补充文件</w:t>
      </w:r>
      <w:r>
        <w:rPr>
          <w:rFonts w:hint="eastAsia" w:ascii="宋体" w:hAnsi="宋体" w:eastAsia="宋体" w:cs="宋体"/>
          <w:b/>
          <w:color w:val="auto"/>
          <w:sz w:val="21"/>
          <w:szCs w:val="21"/>
          <w:highlight w:val="none"/>
        </w:rPr>
        <w:t>（若有）</w:t>
      </w:r>
      <w:r>
        <w:rPr>
          <w:rFonts w:hint="eastAsia" w:ascii="宋体" w:hAnsi="宋体" w:eastAsia="宋体" w:cs="宋体"/>
          <w:color w:val="auto"/>
          <w:sz w:val="21"/>
          <w:szCs w:val="21"/>
          <w:highlight w:val="none"/>
        </w:rPr>
        <w:t>，并正式授权我公司的</w:t>
      </w:r>
      <w:r>
        <w:rPr>
          <w:rFonts w:hint="eastAsia" w:ascii="宋体" w:hAnsi="宋体" w:eastAsia="宋体" w:cs="宋体"/>
          <w:b/>
          <w:color w:val="auto"/>
          <w:sz w:val="21"/>
          <w:szCs w:val="21"/>
          <w:highlight w:val="none"/>
          <w:u w:val="single"/>
        </w:rPr>
        <w:t>（被授权人姓名）</w:t>
      </w:r>
      <w:r>
        <w:rPr>
          <w:rFonts w:hint="eastAsia" w:ascii="宋体" w:hAnsi="宋体" w:eastAsia="宋体" w:cs="宋体"/>
          <w:color w:val="auto"/>
          <w:sz w:val="21"/>
          <w:szCs w:val="21"/>
          <w:highlight w:val="none"/>
        </w:rPr>
        <w:t>以本公司名义，全权代表我方自愿参加上述采购项目的</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，现就有关事项向采购代理机构郑重承诺如下：</w:t>
      </w:r>
    </w:p>
    <w:p w14:paraId="7D5E98BC">
      <w:pPr>
        <w:spacing w:line="360" w:lineRule="auto"/>
        <w:ind w:right="-91"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1、我方已详细审查了</w:t>
      </w:r>
      <w:r>
        <w:rPr>
          <w:rFonts w:hint="eastAsia" w:ascii="宋体" w:hAnsi="宋体" w:eastAsia="宋体" w:cs="宋体"/>
          <w:color w:val="auto"/>
          <w:sz w:val="21"/>
          <w:szCs w:val="21"/>
          <w:highlight w:val="none"/>
          <w:lang w:val="en-US" w:eastAsia="zh-CN"/>
        </w:rPr>
        <w:t>磋商文件</w:t>
      </w:r>
      <w:r>
        <w:rPr>
          <w:rFonts w:hint="eastAsia" w:ascii="宋体" w:hAnsi="宋体" w:eastAsia="宋体" w:cs="宋体"/>
          <w:color w:val="auto"/>
          <w:sz w:val="21"/>
          <w:szCs w:val="21"/>
          <w:highlight w:val="none"/>
        </w:rPr>
        <w:t>的全部内容及其相关补充文件</w:t>
      </w:r>
      <w:r>
        <w:rPr>
          <w:rFonts w:hint="eastAsia" w:ascii="宋体" w:hAnsi="宋体" w:eastAsia="宋体" w:cs="宋体"/>
          <w:b/>
          <w:color w:val="auto"/>
          <w:sz w:val="21"/>
          <w:szCs w:val="21"/>
          <w:highlight w:val="none"/>
        </w:rPr>
        <w:t>（若有）</w:t>
      </w:r>
      <w:r>
        <w:rPr>
          <w:rFonts w:hint="eastAsia" w:ascii="宋体" w:hAnsi="宋体" w:eastAsia="宋体" w:cs="宋体"/>
          <w:color w:val="auto"/>
          <w:sz w:val="21"/>
          <w:szCs w:val="21"/>
          <w:highlight w:val="none"/>
        </w:rPr>
        <w:t>，并完全清晰理解全部内容及相关的补充文件</w:t>
      </w:r>
      <w:r>
        <w:rPr>
          <w:rFonts w:hint="eastAsia" w:ascii="宋体" w:hAnsi="宋体" w:eastAsia="宋体" w:cs="宋体"/>
          <w:b/>
          <w:color w:val="auto"/>
          <w:sz w:val="21"/>
          <w:szCs w:val="21"/>
          <w:highlight w:val="none"/>
        </w:rPr>
        <w:t>（若有）</w:t>
      </w:r>
      <w:r>
        <w:rPr>
          <w:rFonts w:hint="eastAsia" w:ascii="宋体" w:hAnsi="宋体" w:eastAsia="宋体" w:cs="宋体"/>
          <w:color w:val="auto"/>
          <w:sz w:val="21"/>
          <w:szCs w:val="21"/>
          <w:highlight w:val="none"/>
        </w:rPr>
        <w:t>，不存在任何误解之处，同意放弃提出异议和质疑的权利。</w:t>
      </w:r>
    </w:p>
    <w:p w14:paraId="62C0C327">
      <w:pPr>
        <w:spacing w:line="360" w:lineRule="auto"/>
        <w:ind w:right="-89" w:firstLine="404" w:firstLineChars="200"/>
        <w:jc w:val="left"/>
        <w:rPr>
          <w:rFonts w:hint="eastAsia" w:ascii="宋体" w:hAnsi="宋体" w:eastAsia="宋体" w:cs="宋体"/>
          <w:color w:val="auto"/>
          <w:spacing w:val="-4"/>
          <w:sz w:val="21"/>
          <w:szCs w:val="21"/>
          <w:highlight w:val="none"/>
        </w:rPr>
      </w:pPr>
      <w:r>
        <w:rPr>
          <w:rFonts w:hint="eastAsia" w:ascii="宋体" w:hAnsi="宋体" w:eastAsia="宋体" w:cs="宋体"/>
          <w:color w:val="auto"/>
          <w:spacing w:val="-4"/>
          <w:sz w:val="21"/>
          <w:szCs w:val="21"/>
          <w:highlight w:val="none"/>
        </w:rPr>
        <w:t>2、在项目实施过程中，我方完全响应</w:t>
      </w:r>
      <w:r>
        <w:rPr>
          <w:rFonts w:hint="eastAsia" w:ascii="宋体" w:hAnsi="宋体" w:eastAsia="宋体" w:cs="宋体"/>
          <w:color w:val="auto"/>
          <w:spacing w:val="-4"/>
          <w:sz w:val="21"/>
          <w:szCs w:val="21"/>
          <w:highlight w:val="none"/>
          <w:lang w:val="en-US" w:eastAsia="zh-CN"/>
        </w:rPr>
        <w:t>磋商文件</w:t>
      </w:r>
      <w:r>
        <w:rPr>
          <w:rFonts w:hint="eastAsia" w:ascii="宋体" w:hAnsi="宋体" w:eastAsia="宋体" w:cs="宋体"/>
          <w:color w:val="auto"/>
          <w:spacing w:val="-4"/>
          <w:sz w:val="21"/>
          <w:szCs w:val="21"/>
          <w:highlight w:val="none"/>
        </w:rPr>
        <w:t>的所有条款，履行合同义务。执行标准绝不低于</w:t>
      </w:r>
      <w:r>
        <w:rPr>
          <w:rFonts w:hint="eastAsia" w:ascii="宋体" w:hAnsi="宋体" w:eastAsia="宋体" w:cs="宋体"/>
          <w:color w:val="auto"/>
          <w:spacing w:val="-4"/>
          <w:sz w:val="21"/>
          <w:szCs w:val="21"/>
          <w:highlight w:val="none"/>
          <w:lang w:eastAsia="zh-CN"/>
        </w:rPr>
        <w:t>磋商文件</w:t>
      </w:r>
      <w:r>
        <w:rPr>
          <w:rFonts w:hint="eastAsia" w:ascii="宋体" w:hAnsi="宋体" w:eastAsia="宋体" w:cs="宋体"/>
          <w:color w:val="auto"/>
          <w:spacing w:val="-4"/>
          <w:sz w:val="21"/>
          <w:szCs w:val="21"/>
          <w:highlight w:val="none"/>
        </w:rPr>
        <w:t>的标准要求。</w:t>
      </w:r>
    </w:p>
    <w:p w14:paraId="09A7665C">
      <w:pPr>
        <w:spacing w:line="360" w:lineRule="auto"/>
        <w:ind w:right="-89" w:firstLine="404" w:firstLineChars="200"/>
        <w:jc w:val="left"/>
        <w:rPr>
          <w:rFonts w:hint="eastAsia" w:ascii="宋体" w:hAnsi="宋体" w:eastAsia="宋体" w:cs="宋体"/>
          <w:color w:val="auto"/>
          <w:spacing w:val="-4"/>
          <w:sz w:val="21"/>
          <w:szCs w:val="21"/>
          <w:highlight w:val="none"/>
        </w:rPr>
      </w:pPr>
      <w:r>
        <w:rPr>
          <w:rFonts w:hint="eastAsia" w:ascii="宋体" w:hAnsi="宋体" w:eastAsia="宋体" w:cs="宋体"/>
          <w:color w:val="auto"/>
          <w:spacing w:val="-4"/>
          <w:sz w:val="21"/>
          <w:szCs w:val="21"/>
          <w:highlight w:val="none"/>
        </w:rPr>
        <w:t>3、我方遵守《中华人民共和国政府采购法》及相关法律法规的规定。同意</w:t>
      </w:r>
      <w:r>
        <w:rPr>
          <w:rFonts w:hint="eastAsia" w:ascii="宋体" w:hAnsi="宋体" w:eastAsia="宋体" w:cs="宋体"/>
          <w:color w:val="auto"/>
          <w:spacing w:val="-4"/>
          <w:sz w:val="21"/>
          <w:szCs w:val="21"/>
          <w:highlight w:val="none"/>
          <w:lang w:eastAsia="zh-CN"/>
        </w:rPr>
        <w:t>磋商文件</w:t>
      </w:r>
      <w:r>
        <w:rPr>
          <w:rFonts w:hint="eastAsia" w:ascii="宋体" w:hAnsi="宋体" w:eastAsia="宋体" w:cs="宋体"/>
          <w:color w:val="auto"/>
          <w:spacing w:val="-4"/>
          <w:sz w:val="21"/>
          <w:szCs w:val="21"/>
          <w:highlight w:val="none"/>
        </w:rPr>
        <w:t>中所提到的无效标条款，并服从有关开标现场的会议纪律。否则，同意被废除</w:t>
      </w:r>
      <w:r>
        <w:rPr>
          <w:rFonts w:hint="eastAsia" w:ascii="宋体" w:hAnsi="宋体" w:cs="宋体"/>
          <w:color w:val="auto"/>
          <w:spacing w:val="-4"/>
          <w:sz w:val="21"/>
          <w:szCs w:val="21"/>
          <w:highlight w:val="none"/>
          <w:lang w:val="en-US" w:eastAsia="zh-CN"/>
        </w:rPr>
        <w:t>响应</w:t>
      </w:r>
      <w:r>
        <w:rPr>
          <w:rFonts w:hint="eastAsia" w:ascii="宋体" w:hAnsi="宋体" w:eastAsia="宋体" w:cs="宋体"/>
          <w:color w:val="auto"/>
          <w:spacing w:val="-4"/>
          <w:sz w:val="21"/>
          <w:szCs w:val="21"/>
          <w:highlight w:val="none"/>
        </w:rPr>
        <w:t>资格。</w:t>
      </w:r>
    </w:p>
    <w:p w14:paraId="239C7948">
      <w:pPr>
        <w:spacing w:line="360" w:lineRule="auto"/>
        <w:ind w:firstLine="404" w:firstLineChars="200"/>
        <w:rPr>
          <w:rFonts w:hint="eastAsia" w:ascii="宋体" w:hAnsi="宋体" w:cs="宋体"/>
          <w:color w:val="auto"/>
          <w:spacing w:val="-4"/>
          <w:szCs w:val="21"/>
        </w:rPr>
      </w:pPr>
      <w:r>
        <w:rPr>
          <w:rFonts w:ascii="宋体" w:hAnsi="宋体" w:cs="宋体"/>
          <w:color w:val="auto"/>
          <w:spacing w:val="-4"/>
          <w:szCs w:val="21"/>
        </w:rPr>
        <w:t>4</w:t>
      </w:r>
      <w:r>
        <w:rPr>
          <w:rFonts w:hint="eastAsia" w:ascii="宋体" w:hAnsi="宋体" w:cs="宋体"/>
          <w:color w:val="auto"/>
          <w:spacing w:val="-4"/>
          <w:szCs w:val="21"/>
        </w:rPr>
        <w:t>、我方承诺所提供的一切</w:t>
      </w:r>
      <w:r>
        <w:rPr>
          <w:rFonts w:hint="eastAsia" w:ascii="宋体" w:hAnsi="宋体" w:cs="宋体"/>
          <w:color w:val="auto"/>
          <w:spacing w:val="-4"/>
          <w:szCs w:val="21"/>
          <w:lang w:val="en-US" w:eastAsia="zh-CN"/>
        </w:rPr>
        <w:t>响应</w:t>
      </w:r>
      <w:r>
        <w:rPr>
          <w:rFonts w:hint="eastAsia" w:ascii="宋体" w:hAnsi="宋体" w:cs="宋体"/>
          <w:color w:val="auto"/>
          <w:spacing w:val="-4"/>
          <w:szCs w:val="21"/>
        </w:rPr>
        <w:t>文件经已认真严格审核，内容均为全面真实、准确有效且毫无保留，绝无任何遗漏、虚假、伪造和夸大的成份，若出现违背诚实信用和无如实告知之处，同意被废除</w:t>
      </w:r>
      <w:r>
        <w:rPr>
          <w:rFonts w:hint="eastAsia" w:ascii="宋体" w:hAnsi="宋体" w:cs="宋体"/>
          <w:color w:val="auto"/>
          <w:spacing w:val="-4"/>
          <w:szCs w:val="21"/>
          <w:lang w:val="en-US" w:eastAsia="zh-CN"/>
        </w:rPr>
        <w:t>响应</w:t>
      </w:r>
      <w:r>
        <w:rPr>
          <w:rFonts w:hint="eastAsia" w:ascii="宋体" w:hAnsi="宋体" w:cs="宋体"/>
          <w:color w:val="auto"/>
          <w:spacing w:val="-4"/>
          <w:szCs w:val="21"/>
        </w:rPr>
        <w:t>资格和相关的处罚。</w:t>
      </w:r>
    </w:p>
    <w:p w14:paraId="1C0E6426">
      <w:pPr>
        <w:spacing w:line="360" w:lineRule="auto"/>
        <w:ind w:firstLine="404" w:firstLineChars="200"/>
        <w:rPr>
          <w:rFonts w:hint="eastAsia" w:ascii="宋体" w:hAnsi="宋体" w:cs="宋体"/>
          <w:color w:val="auto"/>
          <w:spacing w:val="-4"/>
          <w:szCs w:val="21"/>
        </w:rPr>
      </w:pPr>
      <w:r>
        <w:rPr>
          <w:rFonts w:ascii="宋体" w:hAnsi="宋体" w:cs="宋体"/>
          <w:color w:val="auto"/>
          <w:spacing w:val="-4"/>
          <w:szCs w:val="21"/>
        </w:rPr>
        <w:t>5</w:t>
      </w:r>
      <w:r>
        <w:rPr>
          <w:rFonts w:hint="eastAsia" w:ascii="宋体" w:hAnsi="宋体" w:cs="宋体"/>
          <w:color w:val="auto"/>
          <w:spacing w:val="-4"/>
          <w:szCs w:val="21"/>
        </w:rPr>
        <w:t>、我方所提供的</w:t>
      </w:r>
      <w:r>
        <w:rPr>
          <w:rFonts w:hint="eastAsia" w:ascii="宋体" w:hAnsi="宋体" w:cs="宋体"/>
          <w:color w:val="auto"/>
          <w:spacing w:val="-4"/>
          <w:szCs w:val="21"/>
          <w:lang w:val="en-US" w:eastAsia="zh-CN"/>
        </w:rPr>
        <w:t>磋商</w:t>
      </w:r>
      <w:r>
        <w:rPr>
          <w:rFonts w:hint="eastAsia" w:ascii="宋体" w:hAnsi="宋体" w:cs="宋体"/>
          <w:color w:val="auto"/>
          <w:spacing w:val="-4"/>
          <w:szCs w:val="21"/>
        </w:rPr>
        <w:t>报价具有充分的合理性和准确性，保证不存在低于成本的恶意报价行为，同时清楚理解到报价最低并非意味着必定获得合同授予资格。</w:t>
      </w:r>
    </w:p>
    <w:p w14:paraId="02AE32DD">
      <w:pPr>
        <w:spacing w:line="360" w:lineRule="auto"/>
        <w:ind w:firstLine="404" w:firstLineChars="200"/>
        <w:rPr>
          <w:rFonts w:hint="eastAsia" w:ascii="宋体" w:hAnsi="宋体" w:cs="宋体"/>
          <w:color w:val="auto"/>
          <w:spacing w:val="-4"/>
          <w:szCs w:val="21"/>
        </w:rPr>
      </w:pPr>
      <w:r>
        <w:rPr>
          <w:rFonts w:ascii="宋体" w:hAnsi="宋体" w:cs="宋体"/>
          <w:color w:val="auto"/>
          <w:spacing w:val="-4"/>
          <w:szCs w:val="21"/>
        </w:rPr>
        <w:t>6</w:t>
      </w:r>
      <w:r>
        <w:rPr>
          <w:rFonts w:hint="eastAsia" w:ascii="宋体" w:hAnsi="宋体" w:cs="宋体"/>
          <w:color w:val="auto"/>
          <w:spacing w:val="-4"/>
          <w:szCs w:val="21"/>
        </w:rPr>
        <w:t>、</w:t>
      </w:r>
      <w:r>
        <w:rPr>
          <w:rFonts w:hint="eastAsia" w:ascii="宋体" w:hAnsi="宋体" w:cs="宋体"/>
          <w:color w:val="auto"/>
          <w:spacing w:val="-4"/>
          <w:szCs w:val="21"/>
          <w:lang w:val="en-US" w:eastAsia="zh-CN"/>
        </w:rPr>
        <w:t>响应</w:t>
      </w:r>
      <w:r>
        <w:rPr>
          <w:rFonts w:hint="eastAsia" w:ascii="宋体" w:hAnsi="宋体" w:cs="宋体"/>
          <w:color w:val="auto"/>
          <w:spacing w:val="-4"/>
          <w:szCs w:val="21"/>
        </w:rPr>
        <w:t>有效期为自开标之日起</w:t>
      </w:r>
      <w:r>
        <w:rPr>
          <w:rFonts w:hint="eastAsia" w:ascii="宋体" w:hAnsi="宋体" w:cs="宋体"/>
          <w:color w:val="auto"/>
          <w:spacing w:val="-4"/>
          <w:szCs w:val="21"/>
          <w:u w:val="single"/>
        </w:rPr>
        <w:t>90</w:t>
      </w:r>
      <w:r>
        <w:rPr>
          <w:rFonts w:hint="eastAsia" w:ascii="宋体" w:hAnsi="宋体" w:cs="宋体"/>
          <w:color w:val="auto"/>
          <w:spacing w:val="-4"/>
          <w:szCs w:val="21"/>
        </w:rPr>
        <w:t>天内，如在</w:t>
      </w:r>
      <w:r>
        <w:rPr>
          <w:rFonts w:hint="eastAsia" w:ascii="宋体" w:hAnsi="宋体" w:cs="宋体"/>
          <w:color w:val="auto"/>
          <w:spacing w:val="-4"/>
          <w:szCs w:val="21"/>
          <w:lang w:val="en-US" w:eastAsia="zh-CN"/>
        </w:rPr>
        <w:t>响应</w:t>
      </w:r>
      <w:r>
        <w:rPr>
          <w:rFonts w:hint="eastAsia" w:ascii="宋体" w:hAnsi="宋体" w:cs="宋体"/>
          <w:color w:val="auto"/>
          <w:spacing w:val="-4"/>
          <w:szCs w:val="21"/>
        </w:rPr>
        <w:t>有效期内撤回</w:t>
      </w:r>
      <w:r>
        <w:rPr>
          <w:rFonts w:hint="eastAsia" w:ascii="宋体" w:hAnsi="宋体" w:cs="宋体"/>
          <w:color w:val="auto"/>
          <w:spacing w:val="-4"/>
          <w:szCs w:val="21"/>
          <w:lang w:val="en-US" w:eastAsia="zh-CN"/>
        </w:rPr>
        <w:t>响应</w:t>
      </w:r>
      <w:r>
        <w:rPr>
          <w:rFonts w:hint="eastAsia" w:ascii="宋体" w:hAnsi="宋体" w:cs="宋体"/>
          <w:color w:val="auto"/>
          <w:spacing w:val="-4"/>
          <w:szCs w:val="21"/>
        </w:rPr>
        <w:t>，我方同意被废除</w:t>
      </w:r>
      <w:r>
        <w:rPr>
          <w:rFonts w:hint="eastAsia" w:ascii="宋体" w:hAnsi="宋体" w:cs="宋体"/>
          <w:color w:val="auto"/>
          <w:spacing w:val="-4"/>
          <w:szCs w:val="21"/>
          <w:lang w:val="en-US" w:eastAsia="zh-CN"/>
        </w:rPr>
        <w:t>响应</w:t>
      </w:r>
      <w:r>
        <w:rPr>
          <w:rFonts w:hint="eastAsia" w:ascii="宋体" w:hAnsi="宋体" w:cs="宋体"/>
          <w:color w:val="auto"/>
          <w:spacing w:val="-4"/>
          <w:szCs w:val="21"/>
        </w:rPr>
        <w:t>资格。</w:t>
      </w:r>
    </w:p>
    <w:p w14:paraId="666C85A3">
      <w:pPr>
        <w:spacing w:line="360" w:lineRule="auto"/>
        <w:ind w:firstLine="404" w:firstLineChars="200"/>
        <w:rPr>
          <w:rFonts w:hint="eastAsia" w:ascii="宋体" w:hAnsi="宋体" w:cs="宋体"/>
          <w:color w:val="auto"/>
          <w:spacing w:val="-4"/>
          <w:szCs w:val="21"/>
        </w:rPr>
      </w:pPr>
      <w:r>
        <w:rPr>
          <w:rFonts w:ascii="宋体" w:hAnsi="宋体" w:cs="宋体"/>
          <w:color w:val="auto"/>
          <w:spacing w:val="-4"/>
          <w:szCs w:val="21"/>
        </w:rPr>
        <w:t>7</w:t>
      </w:r>
      <w:r>
        <w:rPr>
          <w:rFonts w:hint="eastAsia" w:ascii="宋体" w:hAnsi="宋体" w:cs="宋体"/>
          <w:color w:val="auto"/>
          <w:spacing w:val="-4"/>
          <w:szCs w:val="21"/>
        </w:rPr>
        <w:t>、我方承诺参加本次政府采购活动前3年内在经营活动中没有重大违法记录。</w:t>
      </w:r>
    </w:p>
    <w:p w14:paraId="45E82E34">
      <w:pPr>
        <w:spacing w:line="360" w:lineRule="auto"/>
        <w:ind w:firstLine="404" w:firstLineChars="200"/>
        <w:rPr>
          <w:rFonts w:ascii="宋体" w:hAnsi="宋体" w:cs="宋体"/>
          <w:color w:val="auto"/>
          <w:spacing w:val="-4"/>
          <w:szCs w:val="21"/>
        </w:rPr>
      </w:pPr>
      <w:r>
        <w:rPr>
          <w:rFonts w:ascii="宋体" w:hAnsi="宋体" w:cs="宋体"/>
          <w:color w:val="auto"/>
          <w:spacing w:val="-4"/>
          <w:szCs w:val="21"/>
        </w:rPr>
        <w:t>8</w:t>
      </w:r>
      <w:r>
        <w:rPr>
          <w:rFonts w:hint="eastAsia" w:ascii="宋体" w:hAnsi="宋体" w:cs="宋体"/>
          <w:color w:val="auto"/>
          <w:spacing w:val="-4"/>
          <w:szCs w:val="21"/>
        </w:rPr>
        <w:t>、我方承诺具备履行合同所必需的设备和专业技术能力。</w:t>
      </w:r>
    </w:p>
    <w:p w14:paraId="54FFE160">
      <w:pPr>
        <w:pStyle w:val="20"/>
        <w:ind w:left="0" w:leftChars="0" w:firstLine="0" w:firstLineChars="0"/>
        <w:rPr>
          <w:rFonts w:hint="default" w:eastAsia="宋体"/>
          <w:color w:val="auto"/>
          <w:lang w:val="en-US" w:eastAsia="zh-CN"/>
        </w:rPr>
      </w:pPr>
    </w:p>
    <w:p w14:paraId="75392EDE">
      <w:pPr>
        <w:spacing w:line="480" w:lineRule="auto"/>
        <w:ind w:firstLine="404" w:firstLineChars="200"/>
        <w:jc w:val="left"/>
        <w:rPr>
          <w:rFonts w:hint="eastAsia" w:ascii="宋体" w:hAnsi="宋体" w:eastAsia="宋体" w:cs="宋体"/>
          <w:color w:val="auto"/>
          <w:spacing w:val="-4"/>
          <w:sz w:val="21"/>
          <w:szCs w:val="21"/>
          <w:highlight w:val="none"/>
        </w:rPr>
      </w:pPr>
      <w:r>
        <w:rPr>
          <w:rFonts w:hint="eastAsia" w:ascii="宋体" w:hAnsi="宋体" w:eastAsia="宋体" w:cs="宋体"/>
          <w:color w:val="auto"/>
          <w:spacing w:val="-4"/>
          <w:sz w:val="21"/>
          <w:szCs w:val="21"/>
          <w:highlight w:val="none"/>
        </w:rPr>
        <w:t>响应人名称：</w:t>
      </w:r>
      <w:r>
        <w:rPr>
          <w:rFonts w:hint="eastAsia" w:ascii="宋体" w:hAnsi="宋体" w:eastAsia="宋体" w:cs="宋体"/>
          <w:color w:val="auto"/>
          <w:spacing w:val="20"/>
          <w:sz w:val="21"/>
          <w:szCs w:val="21"/>
          <w:highlight w:val="none"/>
          <w:u w:val="single"/>
        </w:rPr>
        <w:t xml:space="preserve">                  </w:t>
      </w:r>
      <w:r>
        <w:rPr>
          <w:rFonts w:hint="eastAsia" w:ascii="宋体" w:hAnsi="宋体" w:eastAsia="宋体" w:cs="宋体"/>
          <w:color w:val="auto"/>
          <w:spacing w:val="-4"/>
          <w:sz w:val="21"/>
          <w:szCs w:val="21"/>
          <w:highlight w:val="none"/>
        </w:rPr>
        <w:t xml:space="preserve">（加盖公章） </w:t>
      </w:r>
    </w:p>
    <w:p w14:paraId="1E773FEA">
      <w:pPr>
        <w:spacing w:line="480" w:lineRule="auto"/>
        <w:ind w:firstLine="404" w:firstLineChars="200"/>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法定代表人</w:t>
      </w:r>
      <w:r>
        <w:rPr>
          <w:rFonts w:hint="eastAsia" w:ascii="宋体" w:hAnsi="宋体" w:eastAsia="宋体" w:cs="宋体"/>
          <w:color w:val="auto"/>
          <w:sz w:val="21"/>
          <w:szCs w:val="21"/>
          <w:highlight w:val="none"/>
        </w:rPr>
        <w:t>：</w:t>
      </w:r>
      <w:r>
        <w:rPr>
          <w:rFonts w:hint="eastAsia" w:ascii="宋体" w:hAnsi="宋体" w:eastAsia="宋体" w:cs="宋体"/>
          <w:b/>
          <w:color w:val="auto"/>
          <w:spacing w:val="20"/>
          <w:sz w:val="21"/>
          <w:szCs w:val="21"/>
          <w:highlight w:val="none"/>
          <w:u w:val="single"/>
        </w:rPr>
        <w:t xml:space="preserve">                  </w:t>
      </w:r>
      <w:r>
        <w:rPr>
          <w:rFonts w:hint="eastAsia" w:ascii="宋体" w:hAnsi="宋体" w:eastAsia="宋体" w:cs="宋体"/>
          <w:color w:val="auto"/>
          <w:sz w:val="21"/>
          <w:szCs w:val="21"/>
          <w:highlight w:val="none"/>
        </w:rPr>
        <w:t>（签字或盖章）</w:t>
      </w:r>
    </w:p>
    <w:p w14:paraId="5BD8D2B4">
      <w:pPr>
        <w:spacing w:line="480" w:lineRule="auto"/>
        <w:ind w:firstLine="404" w:firstLineChars="200"/>
        <w:jc w:val="left"/>
        <w:rPr>
          <w:rFonts w:hint="eastAsia" w:ascii="宋体" w:hAnsi="宋体" w:eastAsia="宋体" w:cs="宋体"/>
          <w:color w:val="auto"/>
          <w:spacing w:val="-4"/>
          <w:sz w:val="21"/>
          <w:szCs w:val="21"/>
          <w:highlight w:val="none"/>
        </w:rPr>
      </w:pPr>
      <w:r>
        <w:rPr>
          <w:rFonts w:hint="eastAsia" w:ascii="宋体" w:hAnsi="宋体" w:eastAsia="宋体" w:cs="宋体"/>
          <w:color w:val="auto"/>
          <w:spacing w:val="-4"/>
          <w:sz w:val="21"/>
          <w:szCs w:val="21"/>
          <w:highlight w:val="none"/>
        </w:rPr>
        <w:t>响应人代表：</w:t>
      </w:r>
      <w:r>
        <w:rPr>
          <w:rFonts w:hint="eastAsia" w:ascii="宋体" w:hAnsi="宋体" w:eastAsia="宋体" w:cs="宋体"/>
          <w:color w:val="auto"/>
          <w:spacing w:val="20"/>
          <w:sz w:val="21"/>
          <w:szCs w:val="21"/>
          <w:highlight w:val="none"/>
          <w:u w:val="single"/>
        </w:rPr>
        <w:t xml:space="preserve">                  </w:t>
      </w:r>
      <w:r>
        <w:rPr>
          <w:rFonts w:hint="eastAsia" w:ascii="宋体" w:hAnsi="宋体" w:eastAsia="宋体" w:cs="宋体"/>
          <w:color w:val="auto"/>
          <w:spacing w:val="-4"/>
          <w:sz w:val="21"/>
          <w:szCs w:val="21"/>
          <w:highlight w:val="none"/>
        </w:rPr>
        <w:t xml:space="preserve">（签字） </w:t>
      </w:r>
    </w:p>
    <w:p w14:paraId="03056159">
      <w:pPr>
        <w:spacing w:line="480" w:lineRule="auto"/>
        <w:ind w:firstLine="404" w:firstLineChars="200"/>
        <w:rPr>
          <w:rFonts w:hint="eastAsia" w:ascii="宋体" w:hAnsi="宋体" w:eastAsia="宋体" w:cs="宋体"/>
          <w:color w:val="auto"/>
          <w:spacing w:val="20"/>
          <w:sz w:val="21"/>
          <w:szCs w:val="21"/>
          <w:highlight w:val="none"/>
          <w:u w:val="single"/>
        </w:rPr>
      </w:pPr>
      <w:r>
        <w:rPr>
          <w:rFonts w:hint="eastAsia" w:ascii="宋体" w:hAnsi="宋体" w:eastAsia="宋体" w:cs="宋体"/>
          <w:color w:val="auto"/>
          <w:spacing w:val="-4"/>
          <w:sz w:val="21"/>
          <w:szCs w:val="21"/>
          <w:highlight w:val="none"/>
        </w:rPr>
        <w:t>响应人地址：</w:t>
      </w:r>
      <w:r>
        <w:rPr>
          <w:rFonts w:hint="eastAsia" w:ascii="宋体" w:hAnsi="宋体" w:eastAsia="宋体" w:cs="宋体"/>
          <w:color w:val="auto"/>
          <w:spacing w:val="20"/>
          <w:sz w:val="21"/>
          <w:szCs w:val="21"/>
          <w:highlight w:val="none"/>
          <w:u w:val="single"/>
        </w:rPr>
        <w:t xml:space="preserve">                  </w:t>
      </w:r>
    </w:p>
    <w:p w14:paraId="316C0283">
      <w:pPr>
        <w:spacing w:line="480" w:lineRule="auto"/>
        <w:ind w:firstLine="404" w:firstLineChars="200"/>
        <w:rPr>
          <w:rFonts w:hint="eastAsia" w:ascii="宋体" w:hAnsi="宋体" w:eastAsia="宋体" w:cs="宋体"/>
          <w:b/>
          <w:color w:val="auto"/>
          <w:spacing w:val="20"/>
          <w:sz w:val="21"/>
          <w:szCs w:val="21"/>
          <w:highlight w:val="none"/>
        </w:rPr>
      </w:pPr>
      <w:r>
        <w:rPr>
          <w:rFonts w:hint="eastAsia" w:ascii="宋体" w:hAnsi="宋体" w:eastAsia="宋体" w:cs="宋体"/>
          <w:color w:val="auto"/>
          <w:spacing w:val="-4"/>
          <w:sz w:val="21"/>
          <w:szCs w:val="21"/>
          <w:highlight w:val="none"/>
        </w:rPr>
        <w:t>日期：</w:t>
      </w:r>
      <w:r>
        <w:rPr>
          <w:rFonts w:hint="eastAsia" w:ascii="宋体" w:hAnsi="宋体" w:eastAsia="宋体" w:cs="宋体"/>
          <w:color w:val="auto"/>
          <w:spacing w:val="-4"/>
          <w:sz w:val="21"/>
          <w:szCs w:val="21"/>
          <w:highlight w:val="none"/>
          <w:u w:val="single"/>
        </w:rPr>
        <w:t xml:space="preserve">     </w:t>
      </w:r>
      <w:r>
        <w:rPr>
          <w:rFonts w:hint="eastAsia" w:ascii="宋体" w:hAnsi="宋体" w:eastAsia="宋体" w:cs="宋体"/>
          <w:color w:val="auto"/>
          <w:spacing w:val="-4"/>
          <w:sz w:val="21"/>
          <w:szCs w:val="21"/>
          <w:highlight w:val="none"/>
        </w:rPr>
        <w:t>年</w:t>
      </w:r>
      <w:r>
        <w:rPr>
          <w:rFonts w:hint="eastAsia" w:ascii="宋体" w:hAnsi="宋体" w:eastAsia="宋体" w:cs="宋体"/>
          <w:color w:val="auto"/>
          <w:spacing w:val="-4"/>
          <w:sz w:val="21"/>
          <w:szCs w:val="21"/>
          <w:highlight w:val="none"/>
          <w:u w:val="single"/>
        </w:rPr>
        <w:t xml:space="preserve">    </w:t>
      </w:r>
      <w:r>
        <w:rPr>
          <w:rFonts w:hint="eastAsia" w:ascii="宋体" w:hAnsi="宋体" w:eastAsia="宋体" w:cs="宋体"/>
          <w:color w:val="auto"/>
          <w:spacing w:val="-4"/>
          <w:sz w:val="21"/>
          <w:szCs w:val="21"/>
          <w:highlight w:val="none"/>
        </w:rPr>
        <w:t>月</w:t>
      </w:r>
      <w:r>
        <w:rPr>
          <w:rFonts w:hint="eastAsia" w:ascii="宋体" w:hAnsi="宋体" w:eastAsia="宋体" w:cs="宋体"/>
          <w:color w:val="auto"/>
          <w:spacing w:val="-4"/>
          <w:sz w:val="21"/>
          <w:szCs w:val="21"/>
          <w:highlight w:val="none"/>
          <w:u w:val="single"/>
        </w:rPr>
        <w:t xml:space="preserve">   </w:t>
      </w:r>
      <w:r>
        <w:rPr>
          <w:rFonts w:hint="eastAsia" w:ascii="宋体" w:hAnsi="宋体" w:eastAsia="宋体" w:cs="宋体"/>
          <w:color w:val="auto"/>
          <w:spacing w:val="-4"/>
          <w:sz w:val="21"/>
          <w:szCs w:val="21"/>
          <w:highlight w:val="none"/>
        </w:rPr>
        <w:t xml:space="preserve">日 </w:t>
      </w:r>
    </w:p>
    <w:p w14:paraId="0D3CE226">
      <w:pPr>
        <w:outlineLvl w:val="2"/>
        <w:rPr>
          <w:rFonts w:hint="eastAsia" w:ascii="宋体" w:hAnsi="宋体" w:cs="宋体"/>
          <w:b/>
          <w:color w:val="auto"/>
          <w:spacing w:val="20"/>
          <w:sz w:val="21"/>
          <w:szCs w:val="21"/>
          <w:highlight w:val="none"/>
        </w:rPr>
      </w:pPr>
    </w:p>
    <w:p w14:paraId="40DE6758">
      <w:pPr>
        <w:outlineLvl w:val="2"/>
        <w:rPr>
          <w:rFonts w:hint="eastAsia" w:ascii="宋体" w:hAnsi="宋体" w:cs="宋体"/>
          <w:b/>
          <w:color w:val="auto"/>
          <w:spacing w:val="20"/>
          <w:sz w:val="21"/>
          <w:szCs w:val="21"/>
          <w:highlight w:val="none"/>
        </w:rPr>
      </w:pPr>
    </w:p>
    <w:p w14:paraId="2C572B2B">
      <w:pPr>
        <w:outlineLvl w:val="2"/>
        <w:rPr>
          <w:rFonts w:hint="eastAsia" w:ascii="宋体" w:hAnsi="宋体" w:cs="宋体"/>
          <w:b/>
          <w:color w:val="auto"/>
          <w:spacing w:val="20"/>
          <w:sz w:val="21"/>
          <w:szCs w:val="21"/>
          <w:highlight w:val="none"/>
        </w:rPr>
      </w:pPr>
    </w:p>
    <w:p w14:paraId="7DE72E31">
      <w:pPr>
        <w:outlineLvl w:val="2"/>
        <w:rPr>
          <w:rFonts w:hint="eastAsia" w:ascii="宋体" w:hAnsi="宋体" w:cs="宋体"/>
          <w:b/>
          <w:color w:val="auto"/>
          <w:spacing w:val="20"/>
          <w:sz w:val="21"/>
          <w:szCs w:val="21"/>
          <w:highlight w:val="none"/>
        </w:rPr>
      </w:pPr>
    </w:p>
    <w:p w14:paraId="0E11C7C3">
      <w:pPr>
        <w:outlineLvl w:val="2"/>
        <w:rPr>
          <w:rFonts w:hint="eastAsia" w:ascii="宋体" w:hAnsi="宋体" w:cs="宋体"/>
          <w:b/>
          <w:color w:val="auto"/>
          <w:spacing w:val="20"/>
          <w:sz w:val="21"/>
          <w:szCs w:val="21"/>
          <w:highlight w:val="none"/>
        </w:rPr>
      </w:pPr>
    </w:p>
    <w:p w14:paraId="06CC78F3">
      <w:pPr>
        <w:outlineLvl w:val="2"/>
        <w:rPr>
          <w:rFonts w:ascii="宋体" w:hAnsi="宋体" w:cs="宋体"/>
          <w:b/>
          <w:color w:val="auto"/>
          <w:sz w:val="21"/>
          <w:szCs w:val="21"/>
          <w:highlight w:val="none"/>
        </w:rPr>
      </w:pPr>
      <w:r>
        <w:rPr>
          <w:rFonts w:hint="eastAsia" w:ascii="宋体" w:hAnsi="宋体" w:cs="宋体"/>
          <w:b/>
          <w:color w:val="auto"/>
          <w:spacing w:val="20"/>
          <w:sz w:val="21"/>
          <w:szCs w:val="21"/>
          <w:highlight w:val="none"/>
        </w:rPr>
        <w:t>格式</w:t>
      </w:r>
      <w:r>
        <w:rPr>
          <w:rFonts w:hint="eastAsia" w:ascii="宋体" w:hAnsi="宋体" w:cs="宋体"/>
          <w:b/>
          <w:color w:val="auto"/>
          <w:spacing w:val="20"/>
          <w:sz w:val="21"/>
          <w:szCs w:val="21"/>
          <w:highlight w:val="none"/>
          <w:lang w:val="en-US" w:eastAsia="zh-CN"/>
        </w:rPr>
        <w:t>六</w:t>
      </w:r>
      <w:r>
        <w:rPr>
          <w:rFonts w:hint="eastAsia" w:ascii="宋体" w:hAnsi="宋体" w:cs="宋体"/>
          <w:b/>
          <w:color w:val="auto"/>
          <w:spacing w:val="20"/>
          <w:sz w:val="21"/>
          <w:szCs w:val="21"/>
          <w:highlight w:val="none"/>
        </w:rPr>
        <w:t>、法定代表人授权函</w:t>
      </w:r>
    </w:p>
    <w:p w14:paraId="30FFA521">
      <w:pPr>
        <w:spacing w:line="360" w:lineRule="auto"/>
        <w:jc w:val="left"/>
        <w:rPr>
          <w:rFonts w:hint="eastAsia" w:ascii="宋体" w:hAnsi="宋体" w:eastAsia="宋体" w:cs="宋体"/>
          <w:color w:val="auto"/>
          <w:spacing w:val="-4"/>
          <w:sz w:val="21"/>
          <w:szCs w:val="21"/>
          <w:highlight w:val="none"/>
          <w:lang w:val="en-US" w:eastAsia="zh-CN"/>
        </w:rPr>
      </w:pPr>
      <w:r>
        <w:rPr>
          <w:rFonts w:hint="eastAsia" w:ascii="宋体" w:hAnsi="宋体" w:cs="宋体"/>
          <w:color w:val="auto"/>
          <w:spacing w:val="-4"/>
          <w:sz w:val="21"/>
          <w:szCs w:val="21"/>
          <w:highlight w:val="none"/>
        </w:rPr>
        <w:t>致：</w:t>
      </w:r>
      <w:r>
        <w:rPr>
          <w:rFonts w:hint="eastAsia" w:ascii="宋体" w:hAnsi="宋体" w:cs="宋体"/>
          <w:color w:val="auto"/>
          <w:spacing w:val="-4"/>
          <w:sz w:val="21"/>
          <w:szCs w:val="21"/>
          <w:highlight w:val="none"/>
          <w:lang w:eastAsia="zh-CN"/>
        </w:rPr>
        <w:t>岱山县市政和园林绿化管理处</w:t>
      </w:r>
    </w:p>
    <w:p w14:paraId="0DAF2477">
      <w:pPr>
        <w:spacing w:line="360" w:lineRule="auto"/>
        <w:ind w:firstLine="420" w:firstLineChars="200"/>
        <w:jc w:val="left"/>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舟山市博琛建设工程管理有限公司</w:t>
      </w:r>
    </w:p>
    <w:p w14:paraId="7717B47A">
      <w:pPr>
        <w:spacing w:line="360" w:lineRule="auto"/>
        <w:ind w:firstLine="404" w:firstLineChars="200"/>
        <w:jc w:val="left"/>
        <w:rPr>
          <w:rFonts w:ascii="宋体" w:hAnsi="宋体" w:cs="宋体"/>
          <w:color w:val="auto"/>
          <w:spacing w:val="-4"/>
          <w:sz w:val="21"/>
          <w:szCs w:val="21"/>
          <w:highlight w:val="none"/>
        </w:rPr>
      </w:pPr>
      <w:r>
        <w:rPr>
          <w:rFonts w:hint="eastAsia" w:ascii="宋体" w:hAnsi="宋体" w:cs="宋体"/>
          <w:color w:val="auto"/>
          <w:spacing w:val="-4"/>
          <w:sz w:val="21"/>
          <w:szCs w:val="21"/>
          <w:highlight w:val="none"/>
        </w:rPr>
        <w:t>我</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（姓名）系</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w:t>
      </w:r>
      <w:r>
        <w:rPr>
          <w:rFonts w:hint="eastAsia" w:ascii="宋体" w:hAnsi="宋体" w:cs="宋体"/>
          <w:color w:val="auto"/>
          <w:spacing w:val="-4"/>
          <w:sz w:val="21"/>
          <w:szCs w:val="21"/>
          <w:highlight w:val="none"/>
          <w:lang w:val="en-US" w:eastAsia="zh-CN"/>
        </w:rPr>
        <w:t>响应</w:t>
      </w:r>
      <w:r>
        <w:rPr>
          <w:rFonts w:hint="eastAsia" w:ascii="宋体" w:hAnsi="宋体" w:cs="宋体"/>
          <w:color w:val="auto"/>
          <w:spacing w:val="-4"/>
          <w:sz w:val="21"/>
          <w:szCs w:val="21"/>
          <w:highlight w:val="none"/>
        </w:rPr>
        <w:t>人名称）的法定代表人，现授权委托本单位在职职工</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（姓名）(身份证号码：</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)以我方的名义参加</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（项目名称）（项目编号）的</w:t>
      </w:r>
      <w:r>
        <w:rPr>
          <w:rFonts w:hint="eastAsia" w:ascii="宋体" w:hAnsi="宋体" w:cs="宋体"/>
          <w:color w:val="auto"/>
          <w:spacing w:val="-4"/>
          <w:sz w:val="21"/>
          <w:szCs w:val="21"/>
          <w:highlight w:val="none"/>
          <w:lang w:val="en-US" w:eastAsia="zh-CN"/>
        </w:rPr>
        <w:t>采购</w:t>
      </w:r>
      <w:r>
        <w:rPr>
          <w:rFonts w:hint="eastAsia" w:ascii="宋体" w:hAnsi="宋体" w:cs="宋体"/>
          <w:color w:val="auto"/>
          <w:spacing w:val="-4"/>
          <w:sz w:val="21"/>
          <w:szCs w:val="21"/>
          <w:highlight w:val="none"/>
        </w:rPr>
        <w:t>活动，并代表我方全权办理针对上述项目的</w:t>
      </w:r>
      <w:r>
        <w:rPr>
          <w:rFonts w:hint="eastAsia" w:ascii="宋体" w:hAnsi="宋体" w:cs="宋体"/>
          <w:color w:val="auto"/>
          <w:spacing w:val="-4"/>
          <w:sz w:val="21"/>
          <w:szCs w:val="21"/>
          <w:highlight w:val="none"/>
          <w:lang w:val="en-US" w:eastAsia="zh-CN"/>
        </w:rPr>
        <w:t>响应</w:t>
      </w:r>
      <w:r>
        <w:rPr>
          <w:rFonts w:hint="eastAsia" w:ascii="宋体" w:hAnsi="宋体" w:cs="宋体"/>
          <w:color w:val="auto"/>
          <w:spacing w:val="-4"/>
          <w:sz w:val="21"/>
          <w:szCs w:val="21"/>
          <w:highlight w:val="none"/>
        </w:rPr>
        <w:t>、开标、评标、签约等具体事务和签署相关文件。</w:t>
      </w:r>
    </w:p>
    <w:p w14:paraId="313782FF">
      <w:pPr>
        <w:spacing w:line="360" w:lineRule="auto"/>
        <w:ind w:right="-89" w:firstLine="404" w:firstLineChars="200"/>
        <w:jc w:val="left"/>
        <w:rPr>
          <w:rFonts w:ascii="宋体" w:hAnsi="宋体" w:cs="宋体"/>
          <w:color w:val="auto"/>
          <w:spacing w:val="-4"/>
          <w:sz w:val="21"/>
          <w:szCs w:val="21"/>
          <w:highlight w:val="none"/>
        </w:rPr>
      </w:pPr>
      <w:r>
        <w:rPr>
          <w:rFonts w:hint="eastAsia" w:ascii="宋体" w:hAnsi="宋体" w:cs="宋体"/>
          <w:color w:val="auto"/>
          <w:spacing w:val="-4"/>
          <w:sz w:val="21"/>
          <w:szCs w:val="21"/>
          <w:highlight w:val="none"/>
        </w:rPr>
        <w:t>我方对被授权人的签名负全部责任。</w:t>
      </w:r>
    </w:p>
    <w:p w14:paraId="67CF6068">
      <w:pPr>
        <w:spacing w:line="360" w:lineRule="auto"/>
        <w:ind w:right="-89" w:firstLine="404" w:firstLineChars="200"/>
        <w:jc w:val="left"/>
        <w:rPr>
          <w:rFonts w:ascii="宋体" w:hAnsi="宋体" w:cs="宋体"/>
          <w:color w:val="auto"/>
          <w:spacing w:val="-4"/>
          <w:sz w:val="21"/>
          <w:szCs w:val="21"/>
          <w:highlight w:val="none"/>
        </w:rPr>
      </w:pPr>
      <w:r>
        <w:rPr>
          <w:rFonts w:hint="eastAsia" w:ascii="宋体" w:hAnsi="宋体" w:cs="宋体"/>
          <w:color w:val="auto"/>
          <w:spacing w:val="-4"/>
          <w:sz w:val="21"/>
          <w:szCs w:val="21"/>
          <w:highlight w:val="none"/>
        </w:rPr>
        <w:t>在撤销授权的书面通知以前，本授权函一直有效。被授权人在授权函有效期内签署的所有文件不因授权的撤销而失效。</w:t>
      </w:r>
    </w:p>
    <w:p w14:paraId="3B2F4EFB">
      <w:pPr>
        <w:spacing w:line="360" w:lineRule="auto"/>
        <w:ind w:right="-89" w:firstLine="404" w:firstLineChars="200"/>
        <w:jc w:val="left"/>
        <w:rPr>
          <w:rFonts w:ascii="宋体" w:hAnsi="宋体" w:cs="宋体"/>
          <w:color w:val="auto"/>
          <w:spacing w:val="-4"/>
          <w:sz w:val="21"/>
          <w:szCs w:val="21"/>
          <w:highlight w:val="none"/>
        </w:rPr>
      </w:pPr>
      <w:r>
        <w:rPr>
          <w:rFonts w:hint="eastAsia" w:ascii="宋体" w:hAnsi="宋体" w:cs="宋体"/>
          <w:color w:val="auto"/>
          <w:spacing w:val="-4"/>
          <w:sz w:val="21"/>
          <w:szCs w:val="21"/>
          <w:highlight w:val="none"/>
        </w:rPr>
        <w:t>被授权人无转委托权，特此委托。</w:t>
      </w:r>
    </w:p>
    <w:p w14:paraId="2442EA2A">
      <w:pPr>
        <w:spacing w:line="360" w:lineRule="auto"/>
        <w:ind w:right="-89" w:firstLine="404" w:firstLineChars="200"/>
        <w:jc w:val="left"/>
        <w:rPr>
          <w:rFonts w:ascii="宋体" w:hAnsi="宋体" w:cs="宋体"/>
          <w:color w:val="auto"/>
          <w:spacing w:val="-4"/>
          <w:sz w:val="21"/>
          <w:szCs w:val="21"/>
          <w:highlight w:val="none"/>
        </w:rPr>
      </w:pPr>
      <w:r>
        <w:rPr>
          <w:rFonts w:hint="eastAsia" w:ascii="宋体" w:hAnsi="宋体" w:cs="宋体"/>
          <w:color w:val="auto"/>
          <w:spacing w:val="-4"/>
          <w:sz w:val="21"/>
          <w:szCs w:val="21"/>
          <w:highlight w:val="none"/>
        </w:rPr>
        <w:t xml:space="preserve">被授权人（签字）：                           法定代表人（签字或盖章）：          </w:t>
      </w:r>
    </w:p>
    <w:p w14:paraId="77EECC57">
      <w:pPr>
        <w:spacing w:line="360" w:lineRule="auto"/>
        <w:ind w:right="-89" w:firstLine="404" w:firstLineChars="200"/>
        <w:jc w:val="left"/>
        <w:rPr>
          <w:rFonts w:ascii="宋体" w:hAnsi="宋体" w:cs="宋体"/>
          <w:color w:val="auto"/>
          <w:spacing w:val="-4"/>
          <w:sz w:val="21"/>
          <w:szCs w:val="21"/>
          <w:highlight w:val="none"/>
        </w:rPr>
      </w:pPr>
      <w:r>
        <w:rPr>
          <w:rFonts w:hint="eastAsia" w:ascii="宋体" w:hAnsi="宋体" w:cs="宋体"/>
          <w:color w:val="auto"/>
          <w:spacing w:val="-4"/>
          <w:sz w:val="21"/>
          <w:szCs w:val="21"/>
          <w:highlight w:val="none"/>
        </w:rPr>
        <w:t xml:space="preserve">被授权人联系电话：                          </w:t>
      </w:r>
      <w:r>
        <w:rPr>
          <w:rFonts w:ascii="宋体" w:hAnsi="宋体" w:cs="宋体"/>
          <w:color w:val="auto"/>
          <w:spacing w:val="-4"/>
          <w:sz w:val="21"/>
          <w:szCs w:val="21"/>
          <w:highlight w:val="none"/>
        </w:rPr>
        <w:t xml:space="preserve"> </w:t>
      </w:r>
      <w:r>
        <w:rPr>
          <w:rFonts w:hint="eastAsia" w:ascii="宋体" w:hAnsi="宋体" w:cs="宋体"/>
          <w:color w:val="auto"/>
          <w:spacing w:val="-4"/>
          <w:sz w:val="21"/>
          <w:szCs w:val="21"/>
          <w:highlight w:val="none"/>
        </w:rPr>
        <w:t>法定代表人联系电话：</w:t>
      </w:r>
    </w:p>
    <w:p w14:paraId="1FC3C83E">
      <w:pPr>
        <w:spacing w:line="360" w:lineRule="auto"/>
        <w:ind w:right="-89" w:firstLine="4444" w:firstLineChars="2200"/>
        <w:jc w:val="left"/>
        <w:rPr>
          <w:rFonts w:ascii="宋体" w:hAnsi="宋体" w:cs="宋体"/>
          <w:color w:val="auto"/>
          <w:spacing w:val="-4"/>
          <w:sz w:val="21"/>
          <w:szCs w:val="21"/>
          <w:highlight w:val="none"/>
        </w:rPr>
      </w:pPr>
    </w:p>
    <w:p w14:paraId="38ABE16A">
      <w:pPr>
        <w:spacing w:line="360" w:lineRule="auto"/>
        <w:ind w:right="-89" w:firstLine="4444" w:firstLineChars="2200"/>
        <w:jc w:val="left"/>
        <w:rPr>
          <w:rFonts w:ascii="宋体" w:hAnsi="宋体" w:cs="宋体"/>
          <w:color w:val="auto"/>
          <w:spacing w:val="-4"/>
          <w:sz w:val="21"/>
          <w:szCs w:val="21"/>
          <w:highlight w:val="none"/>
        </w:rPr>
      </w:pPr>
    </w:p>
    <w:p w14:paraId="3B4EF978">
      <w:pPr>
        <w:spacing w:line="360" w:lineRule="auto"/>
        <w:ind w:right="-89" w:firstLine="4444" w:firstLineChars="2200"/>
        <w:jc w:val="left"/>
        <w:rPr>
          <w:rFonts w:hint="eastAsia" w:ascii="宋体" w:hAnsi="宋体" w:eastAsia="宋体" w:cs="宋体"/>
          <w:color w:val="auto"/>
          <w:spacing w:val="-4"/>
          <w:sz w:val="21"/>
          <w:szCs w:val="21"/>
          <w:highlight w:val="none"/>
        </w:rPr>
      </w:pPr>
      <w:r>
        <w:rPr>
          <w:rFonts w:hint="eastAsia" w:ascii="宋体" w:hAnsi="宋体" w:cs="宋体"/>
          <w:color w:val="auto"/>
          <w:spacing w:val="-4"/>
          <w:sz w:val="21"/>
          <w:szCs w:val="21"/>
          <w:highlight w:val="none"/>
        </w:rPr>
        <w:t xml:space="preserve">                      响</w:t>
      </w:r>
      <w:r>
        <w:rPr>
          <w:rFonts w:hint="eastAsia" w:ascii="宋体" w:hAnsi="宋体" w:eastAsia="宋体" w:cs="宋体"/>
          <w:color w:val="auto"/>
          <w:spacing w:val="-4"/>
          <w:sz w:val="21"/>
          <w:szCs w:val="21"/>
          <w:highlight w:val="none"/>
        </w:rPr>
        <w:t>应人（加盖公章）：</w:t>
      </w:r>
    </w:p>
    <w:p w14:paraId="6167A17A">
      <w:pPr>
        <w:spacing w:line="360" w:lineRule="auto"/>
        <w:rPr>
          <w:rFonts w:ascii="宋体" w:hAnsi="宋体" w:cs="宋体"/>
          <w:color w:val="auto"/>
          <w:spacing w:val="-4"/>
          <w:sz w:val="21"/>
          <w:szCs w:val="21"/>
          <w:highlight w:val="none"/>
        </w:rPr>
      </w:pPr>
      <w:r>
        <w:rPr>
          <w:rFonts w:hint="eastAsia" w:ascii="宋体" w:hAnsi="宋体" w:cs="宋体"/>
          <w:color w:val="auto"/>
          <w:spacing w:val="-4"/>
          <w:sz w:val="21"/>
          <w:szCs w:val="21"/>
          <w:highlight w:val="none"/>
        </w:rPr>
        <w:t xml:space="preserve">                                                                   </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 xml:space="preserve"> 年</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月</w:t>
      </w:r>
      <w:r>
        <w:rPr>
          <w:rFonts w:hint="eastAsia" w:ascii="宋体" w:hAnsi="宋体" w:cs="宋体"/>
          <w:color w:val="auto"/>
          <w:spacing w:val="-4"/>
          <w:sz w:val="21"/>
          <w:szCs w:val="21"/>
          <w:highlight w:val="none"/>
          <w:u w:val="single"/>
        </w:rPr>
        <w:t xml:space="preserve">    </w:t>
      </w:r>
      <w:r>
        <w:rPr>
          <w:rFonts w:hint="eastAsia" w:ascii="宋体" w:hAnsi="宋体" w:cs="宋体"/>
          <w:color w:val="auto"/>
          <w:spacing w:val="-4"/>
          <w:sz w:val="21"/>
          <w:szCs w:val="21"/>
          <w:highlight w:val="none"/>
        </w:rPr>
        <w:t>日</w:t>
      </w:r>
    </w:p>
    <w:p w14:paraId="0774CD65">
      <w:pPr>
        <w:spacing w:line="360" w:lineRule="auto"/>
        <w:rPr>
          <w:rFonts w:ascii="宋体" w:hAnsi="宋体" w:cs="宋体"/>
          <w:color w:val="auto"/>
          <w:spacing w:val="-4"/>
          <w:sz w:val="21"/>
          <w:szCs w:val="21"/>
          <w:highlight w:val="none"/>
        </w:rPr>
      </w:pPr>
    </w:p>
    <w:p w14:paraId="3154847D">
      <w:pPr>
        <w:adjustRightInd w:val="0"/>
        <w:spacing w:line="360" w:lineRule="auto"/>
        <w:textAlignment w:val="baseline"/>
        <w:rPr>
          <w:rFonts w:ascii="宋体" w:hAnsi="宋体" w:cs="宋体"/>
          <w:b/>
          <w:color w:val="auto"/>
          <w:spacing w:val="20"/>
          <w:szCs w:val="21"/>
          <w:highlight w:val="none"/>
        </w:rPr>
      </w:pPr>
    </w:p>
    <w:p w14:paraId="137AAA23">
      <w:pPr>
        <w:adjustRightInd w:val="0"/>
        <w:spacing w:line="360" w:lineRule="auto"/>
        <w:textAlignment w:val="baseline"/>
        <w:rPr>
          <w:rFonts w:ascii="宋体" w:hAnsi="宋体" w:cs="宋体"/>
          <w:b/>
          <w:color w:val="auto"/>
          <w:spacing w:val="20"/>
          <w:kern w:val="0"/>
          <w:szCs w:val="21"/>
          <w:highlight w:val="none"/>
        </w:rPr>
      </w:pPr>
    </w:p>
    <w:p w14:paraId="7A734612">
      <w:pPr>
        <w:snapToGrid w:val="0"/>
        <w:spacing w:line="360" w:lineRule="auto"/>
        <w:ind w:firstLine="415" w:firstLineChars="198"/>
        <w:rPr>
          <w:rFonts w:ascii="宋体" w:hAnsi="宋体" w:cs="宋体"/>
          <w:color w:val="auto"/>
          <w:szCs w:val="21"/>
          <w:highlight w:val="none"/>
        </w:rPr>
      </w:pPr>
    </w:p>
    <w:p w14:paraId="717CDDF8">
      <w:pPr>
        <w:adjustRightInd w:val="0"/>
        <w:spacing w:line="360" w:lineRule="auto"/>
        <w:textAlignment w:val="baseline"/>
        <w:rPr>
          <w:rFonts w:ascii="宋体" w:hAnsi="宋体" w:cs="宋体"/>
          <w:b/>
          <w:color w:val="auto"/>
          <w:spacing w:val="20"/>
          <w:kern w:val="0"/>
          <w:szCs w:val="21"/>
          <w:highlight w:val="none"/>
        </w:rPr>
      </w:pPr>
    </w:p>
    <w:p w14:paraId="5609DA2D">
      <w:pPr>
        <w:adjustRightInd w:val="0"/>
        <w:spacing w:line="360" w:lineRule="auto"/>
        <w:textAlignment w:val="baseline"/>
        <w:rPr>
          <w:rFonts w:ascii="宋体" w:hAnsi="宋体" w:cs="宋体"/>
          <w:b/>
          <w:color w:val="auto"/>
          <w:spacing w:val="20"/>
          <w:kern w:val="0"/>
          <w:szCs w:val="21"/>
          <w:highlight w:val="none"/>
        </w:rPr>
      </w:pPr>
    </w:p>
    <w:p w14:paraId="2F7DF4C7">
      <w:pPr>
        <w:adjustRightInd w:val="0"/>
        <w:spacing w:line="360" w:lineRule="auto"/>
        <w:textAlignment w:val="baseline"/>
        <w:rPr>
          <w:rFonts w:ascii="宋体" w:hAnsi="宋体" w:cs="宋体"/>
          <w:b/>
          <w:color w:val="auto"/>
          <w:spacing w:val="20"/>
          <w:kern w:val="0"/>
          <w:szCs w:val="21"/>
          <w:highlight w:val="none"/>
        </w:rPr>
      </w:pPr>
    </w:p>
    <w:p w14:paraId="07F5BBA1">
      <w:pPr>
        <w:outlineLvl w:val="9"/>
        <w:rPr>
          <w:rFonts w:hint="eastAsia" w:ascii="宋体" w:hAnsi="宋体" w:cs="宋体"/>
          <w:b/>
          <w:color w:val="auto"/>
          <w:sz w:val="21"/>
          <w:szCs w:val="21"/>
          <w:highlight w:val="none"/>
        </w:rPr>
      </w:pPr>
      <w:r>
        <w:rPr>
          <w:rFonts w:hint="eastAsia" w:ascii="宋体" w:hAnsi="宋体" w:cs="宋体"/>
          <w:b/>
          <w:color w:val="auto"/>
          <w:sz w:val="21"/>
          <w:szCs w:val="21"/>
          <w:highlight w:val="none"/>
        </w:rPr>
        <w:br w:type="page"/>
      </w:r>
    </w:p>
    <w:p w14:paraId="436E1B3C">
      <w:pPr>
        <w:snapToGrid w:val="0"/>
        <w:spacing w:before="50" w:after="156" w:afterLines="50"/>
        <w:jc w:val="left"/>
        <w:rPr>
          <w:rFonts w:hint="eastAsia" w:ascii="宋体" w:hAnsi="宋体" w:cs="宋体"/>
          <w:b/>
          <w:bCs/>
          <w:color w:val="auto"/>
          <w:szCs w:val="21"/>
        </w:rPr>
      </w:pPr>
      <w:r>
        <w:rPr>
          <w:rFonts w:hint="eastAsia" w:ascii="宋体" w:hAnsi="宋体" w:cs="宋体"/>
          <w:b/>
          <w:color w:val="auto"/>
          <w:szCs w:val="21"/>
        </w:rPr>
        <w:t>格式</w:t>
      </w:r>
      <w:r>
        <w:rPr>
          <w:rFonts w:hint="eastAsia" w:ascii="宋体" w:hAnsi="宋体" w:cs="宋体"/>
          <w:b/>
          <w:color w:val="auto"/>
          <w:szCs w:val="21"/>
          <w:lang w:val="en-US" w:eastAsia="zh-CN"/>
        </w:rPr>
        <w:t>七</w:t>
      </w:r>
      <w:r>
        <w:rPr>
          <w:rFonts w:hint="eastAsia" w:ascii="宋体" w:hAnsi="宋体" w:cs="宋体"/>
          <w:b/>
          <w:color w:val="auto"/>
          <w:szCs w:val="21"/>
        </w:rPr>
        <w:t>、</w:t>
      </w:r>
      <w:r>
        <w:rPr>
          <w:rFonts w:hint="eastAsia" w:ascii="宋体" w:hAnsi="宋体" w:cs="宋体"/>
          <w:b/>
          <w:color w:val="auto"/>
          <w:szCs w:val="21"/>
          <w:lang w:val="en-US" w:eastAsia="zh-CN"/>
        </w:rPr>
        <w:t>同类</w:t>
      </w:r>
      <w:r>
        <w:rPr>
          <w:rFonts w:hint="eastAsia" w:ascii="宋体" w:hAnsi="宋体" w:cs="宋体"/>
          <w:b/>
          <w:color w:val="auto"/>
          <w:szCs w:val="21"/>
          <w:lang w:eastAsia="zh-CN"/>
        </w:rPr>
        <w:t>项目</w:t>
      </w:r>
      <w:r>
        <w:rPr>
          <w:rFonts w:hint="eastAsia" w:ascii="宋体" w:hAnsi="宋体" w:cs="宋体"/>
          <w:b/>
          <w:color w:val="auto"/>
          <w:szCs w:val="21"/>
        </w:rPr>
        <w:t>业绩</w:t>
      </w:r>
    </w:p>
    <w:p w14:paraId="68E08690">
      <w:pPr>
        <w:snapToGrid w:val="0"/>
        <w:spacing w:before="50" w:after="156" w:afterLines="50"/>
        <w:jc w:val="left"/>
        <w:rPr>
          <w:rFonts w:hint="eastAsia" w:ascii="宋体" w:hAnsi="宋体" w:cs="宋体"/>
          <w:b/>
          <w:color w:val="auto"/>
          <w:szCs w:val="21"/>
        </w:rPr>
      </w:pP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1559"/>
        <w:gridCol w:w="2304"/>
        <w:gridCol w:w="1200"/>
        <w:gridCol w:w="1200"/>
        <w:gridCol w:w="1559"/>
      </w:tblGrid>
      <w:tr w14:paraId="4A432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noWrap w:val="0"/>
            <w:vAlign w:val="center"/>
          </w:tcPr>
          <w:p w14:paraId="1D8E3800">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rPr>
            </w:pPr>
            <w:r>
              <w:rPr>
                <w:rFonts w:hint="eastAsia" w:ascii="宋体" w:hAnsi="宋体" w:cs="宋体"/>
                <w:b/>
                <w:color w:val="auto"/>
                <w:szCs w:val="21"/>
              </w:rPr>
              <w:t>序号</w:t>
            </w:r>
          </w:p>
        </w:tc>
        <w:tc>
          <w:tcPr>
            <w:tcW w:w="1559" w:type="dxa"/>
            <w:noWrap w:val="0"/>
            <w:vAlign w:val="center"/>
          </w:tcPr>
          <w:p w14:paraId="63EF31BB">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rPr>
            </w:pPr>
            <w:r>
              <w:rPr>
                <w:rFonts w:hint="eastAsia" w:ascii="宋体" w:hAnsi="宋体" w:cs="宋体"/>
                <w:b/>
                <w:color w:val="auto"/>
                <w:szCs w:val="21"/>
              </w:rPr>
              <w:t>业主名称</w:t>
            </w:r>
          </w:p>
        </w:tc>
        <w:tc>
          <w:tcPr>
            <w:tcW w:w="2304" w:type="dxa"/>
            <w:noWrap w:val="0"/>
            <w:vAlign w:val="center"/>
          </w:tcPr>
          <w:p w14:paraId="17DFC5CB">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rPr>
            </w:pPr>
            <w:r>
              <w:rPr>
                <w:rFonts w:hint="eastAsia" w:ascii="宋体" w:hAnsi="宋体" w:cs="宋体"/>
                <w:b/>
                <w:color w:val="auto"/>
                <w:szCs w:val="21"/>
              </w:rPr>
              <w:t>项目内容</w:t>
            </w:r>
          </w:p>
        </w:tc>
        <w:tc>
          <w:tcPr>
            <w:tcW w:w="1200" w:type="dxa"/>
            <w:noWrap w:val="0"/>
            <w:vAlign w:val="center"/>
          </w:tcPr>
          <w:p w14:paraId="7861D0EF">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rPr>
            </w:pPr>
            <w:r>
              <w:rPr>
                <w:rFonts w:hint="eastAsia" w:ascii="宋体" w:hAnsi="宋体" w:cs="宋体"/>
                <w:b/>
                <w:color w:val="auto"/>
                <w:szCs w:val="21"/>
              </w:rPr>
              <w:t>签订日期</w:t>
            </w:r>
          </w:p>
        </w:tc>
        <w:tc>
          <w:tcPr>
            <w:tcW w:w="1200" w:type="dxa"/>
            <w:noWrap w:val="0"/>
            <w:vAlign w:val="center"/>
          </w:tcPr>
          <w:p w14:paraId="0EA9C1E2">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rPr>
            </w:pPr>
            <w:r>
              <w:rPr>
                <w:rFonts w:hint="eastAsia" w:ascii="宋体" w:hAnsi="宋体" w:cs="宋体"/>
                <w:b/>
                <w:color w:val="auto"/>
                <w:szCs w:val="21"/>
              </w:rPr>
              <w:t>合同金额</w:t>
            </w:r>
          </w:p>
        </w:tc>
        <w:tc>
          <w:tcPr>
            <w:tcW w:w="1559" w:type="dxa"/>
            <w:noWrap w:val="0"/>
            <w:vAlign w:val="center"/>
          </w:tcPr>
          <w:p w14:paraId="66029FE4">
            <w:pPr>
              <w:keepNext w:val="0"/>
              <w:keepLines w:val="0"/>
              <w:suppressLineNumbers w:val="0"/>
              <w:spacing w:before="0" w:beforeAutospacing="0" w:after="0" w:afterAutospacing="0" w:line="360" w:lineRule="auto"/>
              <w:ind w:left="0" w:right="0"/>
              <w:jc w:val="center"/>
              <w:rPr>
                <w:rFonts w:hint="eastAsia" w:ascii="宋体" w:hAnsi="宋体" w:cs="宋体"/>
                <w:b/>
                <w:color w:val="auto"/>
                <w:szCs w:val="21"/>
              </w:rPr>
            </w:pPr>
            <w:r>
              <w:rPr>
                <w:rFonts w:hint="eastAsia" w:ascii="宋体" w:hAnsi="宋体" w:cs="宋体"/>
                <w:b/>
                <w:color w:val="auto"/>
                <w:szCs w:val="21"/>
              </w:rPr>
              <w:t>业主联系人及联系方式</w:t>
            </w:r>
          </w:p>
        </w:tc>
      </w:tr>
      <w:tr w14:paraId="076DA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noWrap w:val="0"/>
            <w:vAlign w:val="top"/>
          </w:tcPr>
          <w:p w14:paraId="36E05186">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1964ADFC">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2304" w:type="dxa"/>
            <w:noWrap w:val="0"/>
            <w:vAlign w:val="top"/>
          </w:tcPr>
          <w:p w14:paraId="7F5448EF">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72586CB2">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51AA3823">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435F203F">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r>
      <w:tr w14:paraId="74D50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noWrap w:val="0"/>
            <w:vAlign w:val="top"/>
          </w:tcPr>
          <w:p w14:paraId="7F7E9037">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340BC06E">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2304" w:type="dxa"/>
            <w:noWrap w:val="0"/>
            <w:vAlign w:val="top"/>
          </w:tcPr>
          <w:p w14:paraId="104184B7">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45601BE6">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6A8D1DCA">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64B5FBC7">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r>
      <w:tr w14:paraId="627FC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noWrap w:val="0"/>
            <w:vAlign w:val="top"/>
          </w:tcPr>
          <w:p w14:paraId="6B7E8184">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701CB354">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2304" w:type="dxa"/>
            <w:noWrap w:val="0"/>
            <w:vAlign w:val="top"/>
          </w:tcPr>
          <w:p w14:paraId="6F5F5D70">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4E5636FA">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6D34612E">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38A4672C">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r>
      <w:tr w14:paraId="6669F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noWrap w:val="0"/>
            <w:vAlign w:val="top"/>
          </w:tcPr>
          <w:p w14:paraId="18E2FA6B">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391BC6EC">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2304" w:type="dxa"/>
            <w:noWrap w:val="0"/>
            <w:vAlign w:val="top"/>
          </w:tcPr>
          <w:p w14:paraId="02D31E2A">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0D163587">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654B0DC4">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3B9556B2">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r>
      <w:tr w14:paraId="0FA56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noWrap w:val="0"/>
            <w:vAlign w:val="top"/>
          </w:tcPr>
          <w:p w14:paraId="6ED6A109">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617DCC0F">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2304" w:type="dxa"/>
            <w:noWrap w:val="0"/>
            <w:vAlign w:val="top"/>
          </w:tcPr>
          <w:p w14:paraId="43998F58">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73E238AE">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36C26E30">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2D730BB0">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r>
      <w:tr w14:paraId="4C4A5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noWrap w:val="0"/>
            <w:vAlign w:val="top"/>
          </w:tcPr>
          <w:p w14:paraId="2FC092C7">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43F43776">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2304" w:type="dxa"/>
            <w:noWrap w:val="0"/>
            <w:vAlign w:val="top"/>
          </w:tcPr>
          <w:p w14:paraId="3211EB95">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02D74D17">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200" w:type="dxa"/>
            <w:noWrap w:val="0"/>
            <w:vAlign w:val="top"/>
          </w:tcPr>
          <w:p w14:paraId="3E78D74F">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c>
          <w:tcPr>
            <w:tcW w:w="1559" w:type="dxa"/>
            <w:noWrap w:val="0"/>
            <w:vAlign w:val="top"/>
          </w:tcPr>
          <w:p w14:paraId="2B7A95F6">
            <w:pPr>
              <w:keepNext w:val="0"/>
              <w:keepLines w:val="0"/>
              <w:suppressLineNumbers w:val="0"/>
              <w:spacing w:before="0" w:beforeAutospacing="0" w:after="0" w:afterAutospacing="0" w:line="360" w:lineRule="auto"/>
              <w:ind w:left="0" w:right="0"/>
              <w:rPr>
                <w:rFonts w:hint="eastAsia" w:ascii="宋体" w:hAnsi="宋体" w:cs="宋体"/>
                <w:b/>
                <w:color w:val="auto"/>
                <w:szCs w:val="21"/>
              </w:rPr>
            </w:pPr>
          </w:p>
        </w:tc>
      </w:tr>
    </w:tbl>
    <w:p w14:paraId="52A94478">
      <w:pPr>
        <w:spacing w:line="480" w:lineRule="auto"/>
        <w:rPr>
          <w:rFonts w:hint="eastAsia" w:ascii="宋体" w:hAnsi="宋体" w:eastAsia="宋体" w:cs="宋体"/>
          <w:color w:val="auto"/>
          <w:szCs w:val="21"/>
        </w:rPr>
      </w:pPr>
      <w:r>
        <w:rPr>
          <w:rFonts w:hint="eastAsia" w:ascii="宋体" w:hAnsi="宋体" w:eastAsia="宋体" w:cs="宋体"/>
          <w:color w:val="auto"/>
          <w:szCs w:val="21"/>
        </w:rPr>
        <w:t>注：</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rPr>
        <w:t>1.附上每个业绩相关证明材料。</w:t>
      </w:r>
    </w:p>
    <w:p w14:paraId="0515E3E3">
      <w:pPr>
        <w:spacing w:line="360" w:lineRule="auto"/>
        <w:rPr>
          <w:rFonts w:hint="eastAsia" w:ascii="宋体" w:hAnsi="宋体" w:cs="宋体"/>
          <w:color w:val="auto"/>
          <w:szCs w:val="21"/>
        </w:rPr>
      </w:pPr>
    </w:p>
    <w:p w14:paraId="3FBA944D">
      <w:pPr>
        <w:spacing w:line="480" w:lineRule="auto"/>
        <w:rPr>
          <w:rFonts w:hint="eastAsia" w:ascii="宋体" w:hAnsi="宋体" w:cs="宋体"/>
          <w:color w:val="auto"/>
          <w:szCs w:val="21"/>
          <w:u w:val="single"/>
        </w:rPr>
      </w:pPr>
      <w:r>
        <w:rPr>
          <w:rFonts w:hint="eastAsia" w:ascii="宋体" w:hAnsi="宋体" w:cs="宋体"/>
          <w:color w:val="auto"/>
          <w:szCs w:val="21"/>
          <w:lang w:val="en-US" w:eastAsia="zh-CN"/>
        </w:rPr>
        <w:t>响应</w:t>
      </w:r>
      <w:r>
        <w:rPr>
          <w:rFonts w:hint="eastAsia" w:ascii="宋体" w:hAnsi="宋体" w:cs="宋体"/>
          <w:color w:val="auto"/>
          <w:szCs w:val="21"/>
        </w:rPr>
        <w:t>人名称：</w:t>
      </w:r>
      <w:r>
        <w:rPr>
          <w:rFonts w:hint="eastAsia" w:ascii="宋体" w:hAnsi="宋体" w:cs="宋体"/>
          <w:b/>
          <w:color w:val="auto"/>
          <w:spacing w:val="20"/>
          <w:szCs w:val="21"/>
          <w:u w:val="single"/>
        </w:rPr>
        <w:t xml:space="preserve">                </w:t>
      </w:r>
      <w:r>
        <w:rPr>
          <w:rFonts w:hint="eastAsia" w:ascii="宋体" w:hAnsi="宋体" w:cs="宋体"/>
          <w:color w:val="auto"/>
          <w:szCs w:val="21"/>
        </w:rPr>
        <w:t xml:space="preserve">（加盖公章）  </w:t>
      </w:r>
    </w:p>
    <w:p w14:paraId="6D7A47DA">
      <w:pPr>
        <w:spacing w:line="480" w:lineRule="auto"/>
        <w:rPr>
          <w:rFonts w:hint="eastAsia" w:ascii="宋体" w:hAnsi="宋体" w:cs="宋体"/>
          <w:color w:val="auto"/>
          <w:szCs w:val="21"/>
        </w:rPr>
      </w:pPr>
      <w:r>
        <w:rPr>
          <w:rFonts w:hint="eastAsia" w:ascii="宋体" w:hAnsi="宋体" w:cs="宋体"/>
          <w:color w:val="auto"/>
          <w:szCs w:val="21"/>
          <w:lang w:val="en-US" w:eastAsia="zh-CN"/>
        </w:rPr>
        <w:t>响应</w:t>
      </w:r>
      <w:r>
        <w:rPr>
          <w:rFonts w:hint="eastAsia" w:ascii="宋体" w:hAnsi="宋体" w:cs="宋体"/>
          <w:color w:val="auto"/>
          <w:szCs w:val="21"/>
        </w:rPr>
        <w:t>人代表：</w:t>
      </w:r>
      <w:r>
        <w:rPr>
          <w:rFonts w:hint="eastAsia" w:ascii="宋体" w:hAnsi="宋体" w:cs="宋体"/>
          <w:b/>
          <w:color w:val="auto"/>
          <w:spacing w:val="20"/>
          <w:szCs w:val="21"/>
          <w:u w:val="single"/>
        </w:rPr>
        <w:t xml:space="preserve">                </w:t>
      </w:r>
      <w:r>
        <w:rPr>
          <w:rFonts w:hint="eastAsia" w:ascii="宋体" w:hAnsi="宋体" w:cs="宋体"/>
          <w:color w:val="auto"/>
          <w:szCs w:val="21"/>
        </w:rPr>
        <w:t>（</w:t>
      </w:r>
      <w:r>
        <w:rPr>
          <w:rFonts w:hint="eastAsia" w:ascii="宋体" w:hAnsi="宋体" w:cs="宋体"/>
          <w:color w:val="auto"/>
          <w:spacing w:val="-4"/>
          <w:szCs w:val="21"/>
        </w:rPr>
        <w:t>签字或盖章</w:t>
      </w:r>
      <w:r>
        <w:rPr>
          <w:rFonts w:hint="eastAsia" w:ascii="宋体" w:hAnsi="宋体" w:cs="宋体"/>
          <w:color w:val="auto"/>
          <w:szCs w:val="21"/>
        </w:rPr>
        <w:t>）</w:t>
      </w:r>
    </w:p>
    <w:p w14:paraId="2B1D2179">
      <w:pPr>
        <w:adjustRightInd w:val="0"/>
        <w:spacing w:line="480" w:lineRule="auto"/>
        <w:textAlignment w:val="baseline"/>
        <w:rPr>
          <w:rFonts w:hint="eastAsia" w:ascii="宋体" w:hAnsi="宋体" w:cs="宋体"/>
          <w:b/>
          <w:color w:val="auto"/>
          <w:spacing w:val="20"/>
          <w:kern w:val="0"/>
          <w:szCs w:val="21"/>
        </w:rPr>
      </w:pPr>
      <w:r>
        <w:rPr>
          <w:rFonts w:hint="eastAsia" w:ascii="宋体" w:hAnsi="宋体" w:cs="宋体"/>
          <w:color w:val="auto"/>
          <w:spacing w:val="20"/>
          <w:szCs w:val="21"/>
        </w:rPr>
        <w:t>日期：</w:t>
      </w:r>
      <w:r>
        <w:rPr>
          <w:rFonts w:hint="eastAsia" w:ascii="宋体" w:hAnsi="宋体" w:cs="宋体"/>
          <w:b/>
          <w:color w:val="auto"/>
          <w:spacing w:val="20"/>
          <w:szCs w:val="21"/>
          <w:u w:val="single"/>
        </w:rPr>
        <w:t xml:space="preserve">    </w:t>
      </w:r>
      <w:r>
        <w:rPr>
          <w:rFonts w:hint="eastAsia" w:ascii="宋体" w:hAnsi="宋体" w:cs="宋体"/>
          <w:color w:val="auto"/>
          <w:spacing w:val="20"/>
          <w:szCs w:val="21"/>
        </w:rPr>
        <w:t>年</w:t>
      </w:r>
      <w:r>
        <w:rPr>
          <w:rFonts w:hint="eastAsia" w:ascii="宋体" w:hAnsi="宋体" w:cs="宋体"/>
          <w:b/>
          <w:color w:val="auto"/>
          <w:spacing w:val="20"/>
          <w:szCs w:val="21"/>
          <w:u w:val="single"/>
        </w:rPr>
        <w:t xml:space="preserve">    </w:t>
      </w:r>
      <w:r>
        <w:rPr>
          <w:rFonts w:hint="eastAsia" w:ascii="宋体" w:hAnsi="宋体" w:cs="宋体"/>
          <w:color w:val="auto"/>
          <w:spacing w:val="20"/>
          <w:szCs w:val="21"/>
        </w:rPr>
        <w:t>月</w:t>
      </w:r>
      <w:r>
        <w:rPr>
          <w:rFonts w:hint="eastAsia" w:ascii="宋体" w:hAnsi="宋体" w:cs="宋体"/>
          <w:b/>
          <w:color w:val="auto"/>
          <w:spacing w:val="20"/>
          <w:szCs w:val="21"/>
          <w:u w:val="single"/>
        </w:rPr>
        <w:t xml:space="preserve">    </w:t>
      </w:r>
      <w:r>
        <w:rPr>
          <w:rFonts w:hint="eastAsia" w:ascii="宋体" w:hAnsi="宋体" w:cs="宋体"/>
          <w:color w:val="auto"/>
          <w:spacing w:val="20"/>
          <w:szCs w:val="21"/>
        </w:rPr>
        <w:t>日</w:t>
      </w:r>
    </w:p>
    <w:p w14:paraId="50EC3619">
      <w:pPr>
        <w:snapToGrid w:val="0"/>
        <w:spacing w:line="360" w:lineRule="auto"/>
        <w:jc w:val="both"/>
        <w:rPr>
          <w:rFonts w:hint="eastAsia" w:ascii="宋体" w:hAnsi="宋体" w:eastAsia="宋体" w:cs="宋体"/>
          <w:b/>
          <w:color w:val="auto"/>
          <w:szCs w:val="21"/>
          <w:lang w:val="en-US" w:eastAsia="zh-CN"/>
        </w:rPr>
      </w:pPr>
      <w:r>
        <w:rPr>
          <w:rFonts w:hint="eastAsia" w:ascii="宋体" w:hAnsi="宋体" w:cs="宋体"/>
          <w:b/>
          <w:color w:val="auto"/>
          <w:szCs w:val="21"/>
        </w:rPr>
        <w:br w:type="page"/>
      </w:r>
      <w:r>
        <w:rPr>
          <w:rFonts w:hint="eastAsia" w:ascii="宋体" w:hAnsi="宋体" w:cs="宋体"/>
          <w:b/>
          <w:color w:val="auto"/>
          <w:szCs w:val="21"/>
        </w:rPr>
        <w:t>格式</w:t>
      </w:r>
      <w:r>
        <w:rPr>
          <w:rFonts w:hint="eastAsia" w:ascii="宋体" w:hAnsi="宋体" w:cs="宋体"/>
          <w:b/>
          <w:color w:val="auto"/>
          <w:szCs w:val="21"/>
          <w:lang w:val="en-US" w:eastAsia="zh-CN"/>
        </w:rPr>
        <w:t>八</w:t>
      </w:r>
      <w:r>
        <w:rPr>
          <w:rFonts w:hint="eastAsia" w:ascii="宋体" w:hAnsi="宋体" w:cs="宋体"/>
          <w:b/>
          <w:color w:val="auto"/>
          <w:szCs w:val="21"/>
        </w:rPr>
        <w:t>、</w:t>
      </w:r>
      <w:r>
        <w:rPr>
          <w:rFonts w:hint="eastAsia" w:ascii="宋体" w:hAnsi="宋体" w:eastAsia="宋体" w:cs="宋体"/>
          <w:b/>
          <w:color w:val="auto"/>
          <w:szCs w:val="21"/>
          <w:lang w:val="en-US" w:eastAsia="zh-CN"/>
        </w:rPr>
        <w:t>项目人员配置表</w:t>
      </w:r>
    </w:p>
    <w:p w14:paraId="6F58921B">
      <w:pPr>
        <w:snapToGrid w:val="0"/>
        <w:spacing w:before="50" w:after="156" w:afterLines="50"/>
        <w:rPr>
          <w:rFonts w:hint="eastAsia" w:ascii="宋体" w:hAnsi="宋体" w:cs="宋体"/>
          <w:b/>
          <w:color w:val="auto"/>
          <w:szCs w:val="21"/>
        </w:rPr>
      </w:pPr>
    </w:p>
    <w:p w14:paraId="3D72B984">
      <w:pPr>
        <w:pStyle w:val="38"/>
        <w:rPr>
          <w:rFonts w:hint="eastAsia" w:hAnsi="宋体" w:cs="宋体"/>
          <w:b/>
          <w:color w:val="auto"/>
          <w:szCs w:val="21"/>
        </w:rPr>
      </w:pPr>
    </w:p>
    <w:p w14:paraId="02638C27">
      <w:pPr>
        <w:snapToGrid w:val="0"/>
        <w:spacing w:line="360" w:lineRule="auto"/>
        <w:jc w:val="center"/>
        <w:rPr>
          <w:rFonts w:ascii="宋体" w:hAnsi="宋体" w:eastAsia="宋体" w:cs="Times New Roman"/>
          <w:b/>
          <w:color w:val="auto"/>
          <w:sz w:val="32"/>
          <w:szCs w:val="32"/>
        </w:rPr>
      </w:pPr>
      <w:bookmarkStart w:id="12" w:name="_Toc23671_WPSOffice_Level1"/>
      <w:bookmarkStart w:id="13" w:name="_Toc20569_WPSOffice_Level1"/>
      <w:r>
        <w:rPr>
          <w:rFonts w:hint="eastAsia" w:ascii="宋体" w:hAnsi="宋体" w:eastAsia="宋体" w:cs="Times New Roman"/>
          <w:b/>
          <w:color w:val="auto"/>
          <w:sz w:val="32"/>
          <w:szCs w:val="32"/>
          <w:lang w:val="en-US" w:eastAsia="zh-CN"/>
        </w:rPr>
        <w:t>项目人员配置</w:t>
      </w:r>
      <w:r>
        <w:rPr>
          <w:rFonts w:hint="eastAsia" w:ascii="宋体" w:hAnsi="宋体" w:eastAsia="宋体" w:cs="Times New Roman"/>
          <w:b/>
          <w:color w:val="auto"/>
          <w:sz w:val="32"/>
          <w:szCs w:val="32"/>
        </w:rPr>
        <w:t>表</w:t>
      </w:r>
      <w:bookmarkEnd w:id="12"/>
      <w:bookmarkEnd w:id="13"/>
    </w:p>
    <w:tbl>
      <w:tblPr>
        <w:tblStyle w:val="28"/>
        <w:tblpPr w:leftFromText="181" w:rightFromText="181"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0"/>
        <w:gridCol w:w="1275"/>
        <w:gridCol w:w="720"/>
        <w:gridCol w:w="975"/>
        <w:gridCol w:w="1305"/>
        <w:gridCol w:w="1725"/>
        <w:gridCol w:w="2161"/>
      </w:tblGrid>
      <w:tr w14:paraId="5FBC6E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0D92F44D">
            <w:pPr>
              <w:keepNext w:val="0"/>
              <w:keepLines w:val="0"/>
              <w:suppressLineNumbers w:val="0"/>
              <w:snapToGrid w:val="0"/>
              <w:spacing w:before="0" w:beforeLines="50" w:beforeAutospacing="0" w:after="50" w:afterAutospacing="0" w:line="360" w:lineRule="auto"/>
              <w:ind w:left="0" w:right="0"/>
              <w:jc w:val="center"/>
              <w:rPr>
                <w:rFonts w:hint="default" w:ascii="宋体" w:hAnsi="宋体"/>
                <w:b/>
                <w:color w:val="auto"/>
                <w:szCs w:val="21"/>
              </w:rPr>
            </w:pPr>
            <w:r>
              <w:rPr>
                <w:rFonts w:hint="eastAsia" w:ascii="宋体" w:hAnsi="宋体"/>
                <w:b/>
                <w:color w:val="auto"/>
                <w:szCs w:val="21"/>
              </w:rPr>
              <w:t>序号</w:t>
            </w: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0DA7A411">
            <w:pPr>
              <w:keepNext w:val="0"/>
              <w:keepLines w:val="0"/>
              <w:suppressLineNumbers w:val="0"/>
              <w:snapToGrid w:val="0"/>
              <w:spacing w:before="0" w:beforeLines="50" w:beforeAutospacing="0" w:after="50" w:afterAutospacing="0" w:line="360" w:lineRule="auto"/>
              <w:ind w:left="0" w:right="0"/>
              <w:jc w:val="center"/>
              <w:rPr>
                <w:rFonts w:hint="default" w:ascii="宋体" w:hAnsi="宋体"/>
                <w:b/>
                <w:color w:val="auto"/>
                <w:szCs w:val="21"/>
              </w:rPr>
            </w:pPr>
            <w:r>
              <w:rPr>
                <w:rFonts w:hint="eastAsia" w:ascii="宋体" w:hAnsi="宋体"/>
                <w:b/>
                <w:color w:val="auto"/>
                <w:szCs w:val="21"/>
              </w:rPr>
              <w:t>姓名</w:t>
            </w: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3D2E8C24">
            <w:pPr>
              <w:keepNext w:val="0"/>
              <w:keepLines w:val="0"/>
              <w:suppressLineNumbers w:val="0"/>
              <w:snapToGrid w:val="0"/>
              <w:spacing w:before="0" w:beforeLines="50" w:beforeAutospacing="0" w:after="50" w:afterAutospacing="0" w:line="360" w:lineRule="auto"/>
              <w:ind w:left="0" w:right="0"/>
              <w:jc w:val="center"/>
              <w:rPr>
                <w:rFonts w:hint="default" w:ascii="宋体" w:hAnsi="宋体"/>
                <w:b/>
                <w:color w:val="auto"/>
                <w:szCs w:val="21"/>
              </w:rPr>
            </w:pPr>
            <w:r>
              <w:rPr>
                <w:rFonts w:hint="eastAsia" w:ascii="宋体" w:hAnsi="宋体"/>
                <w:b/>
                <w:color w:val="auto"/>
                <w:szCs w:val="21"/>
              </w:rPr>
              <w:t>性别</w:t>
            </w: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7B3C3E69">
            <w:pPr>
              <w:keepNext w:val="0"/>
              <w:keepLines w:val="0"/>
              <w:suppressLineNumbers w:val="0"/>
              <w:snapToGrid w:val="0"/>
              <w:spacing w:before="0" w:beforeLines="50" w:beforeAutospacing="0" w:after="50" w:afterAutospacing="0" w:line="360" w:lineRule="auto"/>
              <w:ind w:left="0" w:right="0"/>
              <w:jc w:val="center"/>
              <w:rPr>
                <w:rFonts w:hint="default" w:ascii="宋体" w:hAnsi="宋体"/>
                <w:b/>
                <w:color w:val="auto"/>
                <w:szCs w:val="21"/>
              </w:rPr>
            </w:pPr>
            <w:r>
              <w:rPr>
                <w:rFonts w:hint="eastAsia" w:ascii="宋体" w:hAnsi="宋体"/>
                <w:b/>
                <w:color w:val="auto"/>
                <w:szCs w:val="21"/>
              </w:rPr>
              <w:t>年龄</w:t>
            </w: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44B609F4">
            <w:pPr>
              <w:keepNext w:val="0"/>
              <w:keepLines w:val="0"/>
              <w:suppressLineNumbers w:val="0"/>
              <w:snapToGrid w:val="0"/>
              <w:spacing w:before="0" w:beforeLines="50" w:beforeAutospacing="0" w:after="50" w:afterAutospacing="0" w:line="360" w:lineRule="auto"/>
              <w:ind w:left="0" w:right="0"/>
              <w:jc w:val="center"/>
              <w:rPr>
                <w:rFonts w:hint="default" w:ascii="宋体" w:hAnsi="宋体"/>
                <w:b/>
                <w:color w:val="auto"/>
                <w:szCs w:val="21"/>
              </w:rPr>
            </w:pPr>
            <w:r>
              <w:rPr>
                <w:rFonts w:hint="eastAsia" w:ascii="宋体" w:hAnsi="宋体"/>
                <w:b/>
                <w:color w:val="auto"/>
                <w:szCs w:val="21"/>
              </w:rPr>
              <w:t>职务</w:t>
            </w: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762A613F">
            <w:pPr>
              <w:keepNext w:val="0"/>
              <w:keepLines w:val="0"/>
              <w:suppressLineNumbers w:val="0"/>
              <w:snapToGrid w:val="0"/>
              <w:spacing w:before="0" w:beforeLines="50" w:beforeAutospacing="0" w:after="50" w:afterAutospacing="0" w:line="360" w:lineRule="auto"/>
              <w:ind w:left="0" w:right="0"/>
              <w:jc w:val="center"/>
              <w:rPr>
                <w:rFonts w:hint="default" w:ascii="宋体" w:hAnsi="宋体"/>
                <w:b/>
                <w:color w:val="auto"/>
                <w:szCs w:val="21"/>
              </w:rPr>
            </w:pPr>
            <w:r>
              <w:rPr>
                <w:rFonts w:hint="eastAsia" w:ascii="宋体" w:hAnsi="宋体"/>
                <w:b/>
                <w:color w:val="auto"/>
                <w:szCs w:val="21"/>
              </w:rPr>
              <w:t>职称</w:t>
            </w: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center"/>
          </w:tcPr>
          <w:p w14:paraId="5B71E01E">
            <w:pPr>
              <w:keepNext w:val="0"/>
              <w:keepLines w:val="0"/>
              <w:suppressLineNumbers w:val="0"/>
              <w:snapToGrid w:val="0"/>
              <w:spacing w:before="0" w:beforeLines="50" w:beforeAutospacing="0" w:after="50" w:afterAutospacing="0" w:line="360" w:lineRule="auto"/>
              <w:ind w:left="0" w:right="0"/>
              <w:jc w:val="center"/>
              <w:rPr>
                <w:rFonts w:hint="default" w:ascii="宋体" w:hAnsi="宋体"/>
                <w:b/>
                <w:bCs/>
                <w:color w:val="auto"/>
                <w:szCs w:val="21"/>
              </w:rPr>
            </w:pPr>
            <w:r>
              <w:rPr>
                <w:rFonts w:hint="eastAsia" w:ascii="宋体" w:hAnsi="宋体"/>
                <w:b/>
                <w:bCs/>
                <w:color w:val="auto"/>
                <w:szCs w:val="21"/>
              </w:rPr>
              <w:t>本项目拟担任的职务</w:t>
            </w:r>
          </w:p>
        </w:tc>
      </w:tr>
      <w:tr w14:paraId="7CF9D7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BA37735">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54042AA">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AD16773">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9962510">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FD2A7BC">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3DC0FF17">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DC1FE7F">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r>
      <w:tr w14:paraId="5474AC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31B6A4B">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6641718">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8B7D0C7">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5B4D2EA">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C9BA6FE">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78084C2">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EE2A3D7">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r>
      <w:tr w14:paraId="2FBDB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5A92E90">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418C8EAE">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6FBC8B9">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3B795A8F">
            <w:pPr>
              <w:pStyle w:val="14"/>
              <w:keepNext w:val="0"/>
              <w:keepLines w:val="0"/>
              <w:suppressLineNumbers w:val="0"/>
              <w:snapToGrid w:val="0"/>
              <w:spacing w:before="0" w:beforeLines="50" w:beforeAutospacing="0" w:after="50" w:afterAutospacing="0" w:line="360" w:lineRule="auto"/>
              <w:ind w:left="5250" w:right="0"/>
              <w:rPr>
                <w:rFonts w:hint="default" w:ascii="宋体" w:hAnsi="宋体" w:eastAsia="宋体"/>
                <w:b/>
                <w:color w:val="auto"/>
                <w:kern w:val="44"/>
                <w:sz w:val="21"/>
                <w:szCs w:val="21"/>
              </w:rPr>
            </w:pP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31883DA7">
            <w:pPr>
              <w:pStyle w:val="14"/>
              <w:keepNext w:val="0"/>
              <w:keepLines w:val="0"/>
              <w:suppressLineNumbers w:val="0"/>
              <w:snapToGrid w:val="0"/>
              <w:spacing w:before="0" w:beforeLines="50" w:beforeAutospacing="0" w:after="50" w:afterAutospacing="0" w:line="360" w:lineRule="auto"/>
              <w:ind w:left="5250" w:right="0"/>
              <w:rPr>
                <w:rFonts w:hint="default" w:ascii="宋体" w:hAnsi="宋体" w:eastAsia="宋体"/>
                <w:b/>
                <w:color w:val="auto"/>
                <w:kern w:val="44"/>
                <w:sz w:val="21"/>
                <w:szCs w:val="21"/>
              </w:rPr>
            </w:pP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050BB8A">
            <w:pPr>
              <w:pStyle w:val="14"/>
              <w:keepNext w:val="0"/>
              <w:keepLines w:val="0"/>
              <w:suppressLineNumbers w:val="0"/>
              <w:spacing w:before="0" w:beforeAutospacing="0" w:after="0" w:afterAutospacing="0" w:line="360" w:lineRule="auto"/>
              <w:ind w:left="5250" w:right="0"/>
              <w:rPr>
                <w:rFonts w:hint="default" w:ascii="宋体" w:hAnsi="宋体"/>
                <w:color w:val="auto"/>
                <w:sz w:val="21"/>
                <w:szCs w:val="21"/>
              </w:rPr>
            </w:pP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3BEB7064">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r>
      <w:tr w14:paraId="6D8AC2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5FDC159">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4C3E9033">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4774010E">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4EFF9C0">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7E91F0C">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F558B2A">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22B536C">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r>
      <w:tr w14:paraId="719AE7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34AFDC10">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82758AD">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1DD67D5">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686D72A">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13E0978">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510F566">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3FC0DD26">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r>
      <w:tr w14:paraId="536880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CE2B58E">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DBB93CC">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1F3D61E">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93DE398">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1E12A8D">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564F935">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251CC72">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r>
      <w:tr w14:paraId="308B88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0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5E75491A">
            <w:pPr>
              <w:keepNext w:val="0"/>
              <w:keepLines w:val="0"/>
              <w:suppressLineNumbers w:val="0"/>
              <w:snapToGrid w:val="0"/>
              <w:spacing w:before="0" w:beforeLines="50" w:beforeAutospacing="0" w:after="50" w:afterAutospacing="0" w:line="360" w:lineRule="auto"/>
              <w:ind w:left="0" w:right="0"/>
              <w:rPr>
                <w:rFonts w:hint="default" w:ascii="宋体" w:hAnsi="宋体"/>
                <w:color w:val="auto"/>
                <w:szCs w:val="21"/>
              </w:rPr>
            </w:pPr>
          </w:p>
        </w:tc>
        <w:tc>
          <w:tcPr>
            <w:tcW w:w="12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7F1C8B57">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720"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3FC5469C">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97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280564FF">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30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12C6A87F">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1725"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0E9CFC6C">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c>
          <w:tcPr>
            <w:tcW w:w="2161" w:type="dxa"/>
            <w:tcBorders>
              <w:top w:val="single" w:color="auto" w:sz="4" w:space="0"/>
              <w:left w:val="single" w:color="auto" w:sz="4" w:space="0"/>
              <w:bottom w:val="single" w:color="auto" w:sz="4" w:space="0"/>
              <w:right w:val="single" w:color="auto" w:sz="4" w:space="0"/>
            </w:tcBorders>
            <w:noWrap w:val="0"/>
            <w:tcMar>
              <w:top w:w="57" w:type="dxa"/>
              <w:left w:w="108" w:type="dxa"/>
              <w:bottom w:w="0" w:type="dxa"/>
              <w:right w:w="108" w:type="dxa"/>
            </w:tcMar>
            <w:vAlign w:val="top"/>
          </w:tcPr>
          <w:p w14:paraId="6B03B0DA">
            <w:pPr>
              <w:keepNext w:val="0"/>
              <w:keepLines w:val="0"/>
              <w:suppressLineNumbers w:val="0"/>
              <w:snapToGrid w:val="0"/>
              <w:spacing w:before="0" w:beforeLines="50" w:beforeAutospacing="0" w:after="50" w:afterAutospacing="0" w:line="360" w:lineRule="auto"/>
              <w:ind w:left="0" w:right="0"/>
              <w:rPr>
                <w:rFonts w:hint="default" w:ascii="宋体" w:hAnsi="宋体"/>
                <w:b/>
                <w:color w:val="auto"/>
                <w:kern w:val="44"/>
                <w:szCs w:val="21"/>
              </w:rPr>
            </w:pPr>
          </w:p>
        </w:tc>
      </w:tr>
    </w:tbl>
    <w:p w14:paraId="13A8284B">
      <w:pPr>
        <w:spacing w:line="360" w:lineRule="auto"/>
        <w:rPr>
          <w:rFonts w:ascii="宋体" w:hAnsi="宋体"/>
          <w:b/>
          <w:color w:val="auto"/>
          <w:szCs w:val="21"/>
        </w:rPr>
      </w:pPr>
      <w:r>
        <w:rPr>
          <w:rFonts w:hint="eastAsia" w:ascii="宋体" w:hAnsi="宋体"/>
          <w:b/>
          <w:color w:val="auto"/>
          <w:szCs w:val="21"/>
        </w:rPr>
        <w:t>要求：</w:t>
      </w:r>
    </w:p>
    <w:p w14:paraId="4CC0BC94">
      <w:pPr>
        <w:spacing w:line="360" w:lineRule="auto"/>
        <w:ind w:left="437"/>
        <w:rPr>
          <w:rFonts w:ascii="宋体" w:hAnsi="宋体"/>
          <w:color w:val="auto"/>
          <w:szCs w:val="21"/>
        </w:rPr>
      </w:pPr>
      <w:r>
        <w:rPr>
          <w:rFonts w:hint="eastAsia" w:ascii="宋体" w:hAnsi="宋体"/>
          <w:bCs/>
          <w:color w:val="auto"/>
          <w:szCs w:val="21"/>
        </w:rPr>
        <w:t>1.在填</w:t>
      </w:r>
      <w:r>
        <w:rPr>
          <w:rFonts w:hint="eastAsia" w:ascii="宋体" w:hAnsi="宋体"/>
          <w:color w:val="auto"/>
          <w:szCs w:val="21"/>
        </w:rPr>
        <w:t>写时，如本表格不适合投标单位的实际情况，可根据本表格式自行划表填写。</w:t>
      </w:r>
    </w:p>
    <w:p w14:paraId="7BA5C886">
      <w:pPr>
        <w:pStyle w:val="101"/>
        <w:spacing w:line="360" w:lineRule="auto"/>
        <w:ind w:left="424" w:leftChars="202"/>
        <w:rPr>
          <w:rFonts w:ascii="宋体" w:hAnsi="宋体"/>
          <w:color w:val="auto"/>
          <w:szCs w:val="21"/>
        </w:rPr>
      </w:pPr>
      <w:r>
        <w:rPr>
          <w:rFonts w:hint="eastAsia" w:ascii="宋体" w:hAnsi="宋体"/>
          <w:color w:val="auto"/>
          <w:szCs w:val="21"/>
        </w:rPr>
        <w:t>2.附人员相关证书复印件。</w:t>
      </w:r>
    </w:p>
    <w:p w14:paraId="5433B3F4">
      <w:pPr>
        <w:snapToGrid w:val="0"/>
        <w:spacing w:before="50" w:after="156" w:afterLines="50"/>
        <w:jc w:val="left"/>
        <w:rPr>
          <w:rFonts w:hint="eastAsia" w:ascii="宋体" w:hAnsi="宋体" w:cs="宋体"/>
          <w:color w:val="auto"/>
          <w:szCs w:val="21"/>
        </w:rPr>
      </w:pPr>
    </w:p>
    <w:p w14:paraId="6C3C12F1">
      <w:pPr>
        <w:spacing w:line="360" w:lineRule="auto"/>
        <w:ind w:left="424" w:leftChars="202"/>
        <w:rPr>
          <w:rFonts w:hint="eastAsia" w:ascii="宋体" w:hAnsi="宋体" w:cs="宋体"/>
          <w:color w:val="auto"/>
          <w:szCs w:val="21"/>
          <w:u w:val="single"/>
        </w:rPr>
      </w:pPr>
      <w:r>
        <w:rPr>
          <w:rFonts w:hint="eastAsia" w:ascii="宋体" w:hAnsi="宋体" w:cs="宋体"/>
          <w:color w:val="auto"/>
          <w:szCs w:val="21"/>
          <w:lang w:val="en-US" w:eastAsia="zh-CN"/>
        </w:rPr>
        <w:t>响应</w:t>
      </w:r>
      <w:r>
        <w:rPr>
          <w:rFonts w:hint="eastAsia" w:ascii="宋体" w:hAnsi="宋体" w:cs="宋体"/>
          <w:color w:val="auto"/>
          <w:szCs w:val="21"/>
        </w:rPr>
        <w:t>人名称：</w:t>
      </w:r>
      <w:r>
        <w:rPr>
          <w:rFonts w:hint="eastAsia" w:ascii="宋体" w:hAnsi="宋体" w:cs="宋体"/>
          <w:b/>
          <w:color w:val="auto"/>
          <w:spacing w:val="20"/>
          <w:szCs w:val="21"/>
          <w:u w:val="single"/>
        </w:rPr>
        <w:t xml:space="preserve">                </w:t>
      </w:r>
      <w:r>
        <w:rPr>
          <w:rFonts w:hint="eastAsia" w:ascii="宋体" w:hAnsi="宋体" w:cs="宋体"/>
          <w:color w:val="auto"/>
          <w:szCs w:val="21"/>
        </w:rPr>
        <w:t xml:space="preserve">（加盖公章）  </w:t>
      </w:r>
    </w:p>
    <w:p w14:paraId="3CD6B815">
      <w:pPr>
        <w:spacing w:line="360" w:lineRule="auto"/>
        <w:ind w:left="424" w:leftChars="202"/>
        <w:rPr>
          <w:rFonts w:hint="eastAsia" w:ascii="宋体" w:hAnsi="宋体" w:cs="宋体"/>
          <w:color w:val="auto"/>
          <w:szCs w:val="21"/>
        </w:rPr>
      </w:pPr>
      <w:r>
        <w:rPr>
          <w:rFonts w:hint="eastAsia" w:ascii="宋体" w:hAnsi="宋体" w:cs="宋体"/>
          <w:color w:val="auto"/>
          <w:szCs w:val="21"/>
          <w:lang w:val="en-US" w:eastAsia="zh-CN"/>
        </w:rPr>
        <w:t>响应</w:t>
      </w:r>
      <w:r>
        <w:rPr>
          <w:rFonts w:hint="eastAsia" w:ascii="宋体" w:hAnsi="宋体" w:cs="宋体"/>
          <w:color w:val="auto"/>
          <w:szCs w:val="21"/>
        </w:rPr>
        <w:t>人代表：</w:t>
      </w:r>
      <w:r>
        <w:rPr>
          <w:rFonts w:hint="eastAsia" w:ascii="宋体" w:hAnsi="宋体" w:cs="宋体"/>
          <w:b/>
          <w:color w:val="auto"/>
          <w:spacing w:val="20"/>
          <w:szCs w:val="21"/>
          <w:u w:val="single"/>
        </w:rPr>
        <w:t xml:space="preserve">           </w:t>
      </w:r>
      <w:r>
        <w:rPr>
          <w:rFonts w:hint="eastAsia" w:ascii="宋体" w:hAnsi="宋体" w:cs="宋体"/>
          <w:color w:val="auto"/>
          <w:szCs w:val="21"/>
        </w:rPr>
        <w:t>（</w:t>
      </w:r>
      <w:r>
        <w:rPr>
          <w:rFonts w:hint="eastAsia" w:ascii="宋体" w:hAnsi="宋体" w:cs="宋体"/>
          <w:color w:val="auto"/>
          <w:spacing w:val="-4"/>
          <w:szCs w:val="21"/>
        </w:rPr>
        <w:t>签字或盖章</w:t>
      </w:r>
      <w:r>
        <w:rPr>
          <w:rFonts w:hint="eastAsia" w:ascii="宋体" w:hAnsi="宋体" w:cs="宋体"/>
          <w:color w:val="auto"/>
          <w:szCs w:val="21"/>
        </w:rPr>
        <w:t>）</w:t>
      </w:r>
    </w:p>
    <w:p w14:paraId="77F51F9D">
      <w:pPr>
        <w:spacing w:line="360" w:lineRule="auto"/>
        <w:ind w:left="424" w:leftChars="202"/>
        <w:rPr>
          <w:rFonts w:hint="eastAsia" w:ascii="宋体" w:hAnsi="宋体" w:cs="宋体"/>
          <w:color w:val="auto"/>
          <w:spacing w:val="20"/>
          <w:szCs w:val="21"/>
        </w:rPr>
      </w:pPr>
      <w:r>
        <w:rPr>
          <w:rFonts w:hint="eastAsia" w:ascii="宋体" w:hAnsi="宋体" w:cs="宋体"/>
          <w:color w:val="auto"/>
          <w:spacing w:val="20"/>
          <w:szCs w:val="21"/>
        </w:rPr>
        <w:t>日期：</w:t>
      </w:r>
      <w:r>
        <w:rPr>
          <w:rFonts w:hint="eastAsia" w:ascii="宋体" w:hAnsi="宋体" w:cs="宋体"/>
          <w:color w:val="auto"/>
          <w:spacing w:val="20"/>
          <w:szCs w:val="21"/>
          <w:u w:val="single"/>
        </w:rPr>
        <w:t xml:space="preserve">    </w:t>
      </w:r>
      <w:r>
        <w:rPr>
          <w:rFonts w:hint="eastAsia" w:ascii="宋体" w:hAnsi="宋体" w:cs="宋体"/>
          <w:color w:val="auto"/>
          <w:spacing w:val="20"/>
          <w:szCs w:val="21"/>
        </w:rPr>
        <w:t>年</w:t>
      </w:r>
      <w:r>
        <w:rPr>
          <w:rFonts w:hint="eastAsia" w:ascii="宋体" w:hAnsi="宋体" w:cs="宋体"/>
          <w:color w:val="auto"/>
          <w:spacing w:val="20"/>
          <w:szCs w:val="21"/>
          <w:u w:val="single"/>
        </w:rPr>
        <w:t xml:space="preserve">   </w:t>
      </w:r>
      <w:r>
        <w:rPr>
          <w:rFonts w:hint="eastAsia" w:ascii="宋体" w:hAnsi="宋体" w:cs="宋体"/>
          <w:color w:val="auto"/>
          <w:spacing w:val="20"/>
          <w:szCs w:val="21"/>
        </w:rPr>
        <w:t>月</w:t>
      </w:r>
      <w:r>
        <w:rPr>
          <w:rFonts w:hint="eastAsia" w:ascii="宋体" w:hAnsi="宋体" w:cs="宋体"/>
          <w:color w:val="auto"/>
          <w:spacing w:val="20"/>
          <w:szCs w:val="21"/>
          <w:u w:val="single"/>
        </w:rPr>
        <w:t xml:space="preserve">   </w:t>
      </w:r>
      <w:r>
        <w:rPr>
          <w:rFonts w:hint="eastAsia" w:ascii="宋体" w:hAnsi="宋体" w:cs="宋体"/>
          <w:color w:val="auto"/>
          <w:spacing w:val="20"/>
          <w:szCs w:val="21"/>
        </w:rPr>
        <w:t>日</w:t>
      </w:r>
    </w:p>
    <w:p w14:paraId="776653E1">
      <w:pPr>
        <w:spacing w:line="360" w:lineRule="auto"/>
        <w:rPr>
          <w:rFonts w:hint="eastAsia" w:ascii="宋体" w:hAnsi="宋体" w:cs="宋体"/>
          <w:b/>
          <w:color w:val="auto"/>
          <w:szCs w:val="21"/>
        </w:rPr>
      </w:pPr>
    </w:p>
    <w:p w14:paraId="4798D82E">
      <w:pPr>
        <w:spacing w:line="360" w:lineRule="auto"/>
        <w:rPr>
          <w:rFonts w:hint="eastAsia" w:ascii="宋体" w:hAnsi="宋体" w:cs="宋体"/>
          <w:b/>
          <w:color w:val="auto"/>
          <w:szCs w:val="21"/>
        </w:rPr>
      </w:pPr>
    </w:p>
    <w:p w14:paraId="3E306821">
      <w:pPr>
        <w:spacing w:line="360" w:lineRule="auto"/>
        <w:rPr>
          <w:rFonts w:hint="eastAsia" w:ascii="宋体" w:hAnsi="宋体" w:cs="宋体"/>
          <w:b/>
          <w:color w:val="auto"/>
          <w:szCs w:val="21"/>
        </w:rPr>
      </w:pPr>
    </w:p>
    <w:p w14:paraId="6D293EAF">
      <w:pPr>
        <w:spacing w:line="360" w:lineRule="auto"/>
        <w:rPr>
          <w:rFonts w:hint="eastAsia" w:ascii="宋体" w:hAnsi="宋体" w:cs="宋体"/>
          <w:b/>
          <w:color w:val="auto"/>
          <w:szCs w:val="21"/>
        </w:rPr>
      </w:pPr>
    </w:p>
    <w:p w14:paraId="53FCCBDA">
      <w:pPr>
        <w:spacing w:line="360" w:lineRule="auto"/>
        <w:rPr>
          <w:rFonts w:hint="eastAsia" w:ascii="宋体" w:hAnsi="宋体" w:cs="宋体"/>
          <w:b/>
          <w:color w:val="auto"/>
          <w:szCs w:val="21"/>
        </w:rPr>
      </w:pPr>
    </w:p>
    <w:p w14:paraId="2D286C81">
      <w:pPr>
        <w:pStyle w:val="38"/>
        <w:rPr>
          <w:rFonts w:hint="eastAsia"/>
          <w:color w:val="auto"/>
        </w:rPr>
      </w:pPr>
    </w:p>
    <w:p w14:paraId="4230CE24">
      <w:pPr>
        <w:spacing w:line="360" w:lineRule="auto"/>
        <w:rPr>
          <w:rFonts w:hint="eastAsia" w:ascii="宋体" w:hAnsi="宋体" w:cs="宋体"/>
          <w:b/>
          <w:color w:val="auto"/>
          <w:szCs w:val="21"/>
        </w:rPr>
      </w:pPr>
    </w:p>
    <w:p w14:paraId="54422D16">
      <w:pPr>
        <w:spacing w:line="360" w:lineRule="auto"/>
        <w:rPr>
          <w:rFonts w:hint="eastAsia" w:ascii="宋体" w:hAnsi="宋体" w:cs="宋体"/>
          <w:b/>
          <w:color w:val="auto"/>
          <w:szCs w:val="21"/>
        </w:rPr>
      </w:pPr>
    </w:p>
    <w:p w14:paraId="65B3C299">
      <w:pPr>
        <w:snapToGrid w:val="0"/>
        <w:spacing w:before="50" w:after="156" w:afterLines="50"/>
        <w:jc w:val="left"/>
        <w:rPr>
          <w:rFonts w:hint="eastAsia" w:ascii="宋体" w:cs="宋体"/>
          <w:b/>
          <w:bCs/>
          <w:color w:val="auto"/>
          <w:szCs w:val="21"/>
        </w:rPr>
      </w:pPr>
      <w:r>
        <w:rPr>
          <w:rFonts w:hint="eastAsia" w:ascii="宋体" w:cs="宋体"/>
          <w:b/>
          <w:bCs/>
          <w:color w:val="auto"/>
          <w:szCs w:val="21"/>
        </w:rPr>
        <w:t>格式</w:t>
      </w:r>
      <w:r>
        <w:rPr>
          <w:rFonts w:hint="eastAsia" w:ascii="宋体" w:cs="宋体"/>
          <w:b/>
          <w:bCs/>
          <w:color w:val="auto"/>
          <w:szCs w:val="21"/>
          <w:lang w:val="en-US" w:eastAsia="zh-CN"/>
        </w:rPr>
        <w:t>九</w:t>
      </w:r>
      <w:r>
        <w:rPr>
          <w:rFonts w:hint="eastAsia" w:ascii="宋体" w:cs="宋体"/>
          <w:b/>
          <w:bCs/>
          <w:color w:val="auto"/>
          <w:szCs w:val="21"/>
        </w:rPr>
        <w:t>、质疑函（范本）</w:t>
      </w:r>
    </w:p>
    <w:p w14:paraId="12676466">
      <w:pPr>
        <w:spacing w:line="360" w:lineRule="auto"/>
        <w:jc w:val="center"/>
        <w:rPr>
          <w:rFonts w:ascii="宋体" w:hAnsi="宋体"/>
          <w:color w:val="auto"/>
          <w:szCs w:val="21"/>
        </w:rPr>
      </w:pPr>
      <w:r>
        <w:rPr>
          <w:rFonts w:hint="eastAsia" w:ascii="宋体" w:hAnsi="宋体"/>
          <w:color w:val="auto"/>
          <w:szCs w:val="21"/>
        </w:rPr>
        <w:t>质疑函（范本）</w:t>
      </w:r>
    </w:p>
    <w:p w14:paraId="3C6906C9">
      <w:pPr>
        <w:widowControl/>
        <w:spacing w:before="100" w:beforeAutospacing="1" w:after="100" w:afterAutospacing="1" w:line="276"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质疑供应商：</w:t>
      </w:r>
      <w:r>
        <w:rPr>
          <w:rFonts w:hint="eastAsia" w:ascii="宋体" w:hAnsi="宋体" w:cs="Calibri"/>
          <w:color w:val="auto"/>
          <w:kern w:val="0"/>
          <w:szCs w:val="21"/>
          <w:u w:val="single"/>
          <w:shd w:val="clear" w:color="auto" w:fill="FFFFFF"/>
          <w:lang w:bidi="ar"/>
        </w:rPr>
        <w:t xml:space="preserve">                                                                           </w:t>
      </w:r>
    </w:p>
    <w:p w14:paraId="115E2CEA">
      <w:pPr>
        <w:widowControl/>
        <w:spacing w:before="100" w:beforeAutospacing="1" w:after="100" w:afterAutospacing="1" w:line="276"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地址：</w:t>
      </w:r>
      <w:r>
        <w:rPr>
          <w:rFonts w:hint="eastAsia" w:ascii="宋体" w:hAnsi="宋体" w:cs="Calibri"/>
          <w:color w:val="auto"/>
          <w:kern w:val="0"/>
          <w:szCs w:val="21"/>
          <w:u w:val="single"/>
          <w:shd w:val="clear" w:color="auto" w:fill="FFFFFF"/>
          <w:lang w:bidi="ar"/>
        </w:rPr>
        <w:t xml:space="preserve">                                                             </w:t>
      </w:r>
      <w:r>
        <w:rPr>
          <w:rFonts w:hint="eastAsia" w:ascii="宋体" w:hAnsi="宋体" w:cs="仿宋"/>
          <w:color w:val="auto"/>
          <w:kern w:val="0"/>
          <w:szCs w:val="21"/>
          <w:shd w:val="clear" w:color="auto" w:fill="FFFFFF"/>
          <w:lang w:bidi="ar"/>
        </w:rPr>
        <w:t>邮编：</w:t>
      </w:r>
      <w:r>
        <w:rPr>
          <w:rFonts w:hint="eastAsia" w:ascii="宋体" w:hAnsi="宋体" w:cs="Calibri"/>
          <w:color w:val="auto"/>
          <w:kern w:val="0"/>
          <w:szCs w:val="21"/>
          <w:u w:val="single"/>
          <w:shd w:val="clear" w:color="auto" w:fill="FFFFFF"/>
          <w:lang w:bidi="ar"/>
        </w:rPr>
        <w:t xml:space="preserve">             </w:t>
      </w:r>
    </w:p>
    <w:p w14:paraId="6A013EFF">
      <w:pPr>
        <w:widowControl/>
        <w:spacing w:before="100" w:beforeAutospacing="1" w:after="100" w:afterAutospacing="1" w:line="276" w:lineRule="auto"/>
        <w:jc w:val="left"/>
        <w:rPr>
          <w:rFonts w:hint="eastAsia" w:ascii="宋体" w:hAnsi="宋体" w:cs="Calibri"/>
          <w:color w:val="auto"/>
          <w:kern w:val="0"/>
          <w:szCs w:val="21"/>
          <w:u w:val="single"/>
          <w:shd w:val="clear" w:color="auto" w:fill="FFFFFF"/>
          <w:lang w:bidi="ar"/>
        </w:rPr>
      </w:pPr>
      <w:r>
        <w:rPr>
          <w:rFonts w:hint="eastAsia" w:ascii="宋体" w:hAnsi="宋体" w:cs="仿宋"/>
          <w:color w:val="auto"/>
          <w:kern w:val="0"/>
          <w:szCs w:val="21"/>
          <w:shd w:val="clear" w:color="auto" w:fill="FFFFFF"/>
          <w:lang w:bidi="ar"/>
        </w:rPr>
        <w:t>联系人：</w:t>
      </w:r>
      <w:r>
        <w:rPr>
          <w:rFonts w:hint="eastAsia" w:ascii="宋体" w:hAnsi="宋体" w:cs="Calibri"/>
          <w:color w:val="auto"/>
          <w:kern w:val="0"/>
          <w:szCs w:val="21"/>
          <w:u w:val="single"/>
          <w:shd w:val="clear" w:color="auto" w:fill="FFFFFF"/>
          <w:lang w:bidi="ar"/>
        </w:rPr>
        <w:t xml:space="preserve">                                                                              </w:t>
      </w:r>
    </w:p>
    <w:p w14:paraId="1BE1DE19">
      <w:pPr>
        <w:widowControl/>
        <w:spacing w:before="100" w:beforeAutospacing="1" w:after="100" w:afterAutospacing="1" w:line="276"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联系电话：</w:t>
      </w:r>
      <w:r>
        <w:rPr>
          <w:rFonts w:hint="eastAsia" w:ascii="宋体" w:hAnsi="宋体" w:cs="Calibri"/>
          <w:color w:val="auto"/>
          <w:kern w:val="0"/>
          <w:szCs w:val="21"/>
          <w:u w:val="single"/>
          <w:shd w:val="clear" w:color="auto" w:fill="FFFFFF"/>
          <w:lang w:bidi="ar"/>
        </w:rPr>
        <w:t xml:space="preserve">                                                                            </w:t>
      </w:r>
    </w:p>
    <w:p w14:paraId="5136832B">
      <w:pPr>
        <w:widowControl/>
        <w:spacing w:before="100" w:beforeAutospacing="1" w:after="100" w:afterAutospacing="1" w:line="276" w:lineRule="auto"/>
        <w:jc w:val="left"/>
        <w:rPr>
          <w:rFonts w:hint="eastAsia" w:ascii="宋体" w:hAnsi="宋体" w:cs="Calibri"/>
          <w:color w:val="auto"/>
          <w:kern w:val="0"/>
          <w:szCs w:val="21"/>
          <w:u w:val="single"/>
          <w:shd w:val="clear" w:color="auto" w:fill="FFFFFF"/>
          <w:lang w:bidi="ar"/>
        </w:rPr>
      </w:pPr>
      <w:r>
        <w:rPr>
          <w:rFonts w:hint="eastAsia" w:ascii="宋体" w:hAnsi="宋体" w:cs="仿宋"/>
          <w:color w:val="auto"/>
          <w:kern w:val="0"/>
          <w:szCs w:val="21"/>
          <w:shd w:val="clear" w:color="auto" w:fill="FFFFFF"/>
          <w:lang w:bidi="ar"/>
        </w:rPr>
        <w:t>授权代表：</w:t>
      </w:r>
      <w:r>
        <w:rPr>
          <w:rFonts w:hint="eastAsia" w:ascii="宋体" w:hAnsi="宋体" w:cs="Calibri"/>
          <w:color w:val="auto"/>
          <w:kern w:val="0"/>
          <w:szCs w:val="21"/>
          <w:u w:val="single"/>
          <w:shd w:val="clear" w:color="auto" w:fill="FFFFFF"/>
          <w:lang w:bidi="ar"/>
        </w:rPr>
        <w:t xml:space="preserve">                                                                            </w:t>
      </w:r>
    </w:p>
    <w:p w14:paraId="24CD439B">
      <w:pPr>
        <w:widowControl/>
        <w:spacing w:before="100" w:beforeAutospacing="1" w:after="100" w:afterAutospacing="1" w:line="276"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联系电话：</w:t>
      </w:r>
      <w:r>
        <w:rPr>
          <w:rFonts w:hint="eastAsia" w:ascii="宋体" w:hAnsi="宋体" w:cs="Calibri"/>
          <w:color w:val="auto"/>
          <w:kern w:val="0"/>
          <w:szCs w:val="21"/>
          <w:u w:val="single"/>
          <w:shd w:val="clear" w:color="auto" w:fill="FFFFFF"/>
          <w:lang w:bidi="ar"/>
        </w:rPr>
        <w:t xml:space="preserve">                                                                            </w:t>
      </w:r>
    </w:p>
    <w:p w14:paraId="01B2BB31">
      <w:pPr>
        <w:widowControl/>
        <w:spacing w:before="100" w:beforeAutospacing="1" w:after="100" w:afterAutospacing="1" w:line="276"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地址：</w:t>
      </w:r>
      <w:r>
        <w:rPr>
          <w:rFonts w:hint="eastAsia" w:ascii="宋体" w:hAnsi="宋体" w:cs="Calibri"/>
          <w:color w:val="auto"/>
          <w:kern w:val="0"/>
          <w:szCs w:val="21"/>
          <w:u w:val="single"/>
          <w:shd w:val="clear" w:color="auto" w:fill="FFFFFF"/>
          <w:lang w:bidi="ar"/>
        </w:rPr>
        <w:t xml:space="preserve">                                                             </w:t>
      </w:r>
      <w:r>
        <w:rPr>
          <w:rFonts w:hint="eastAsia" w:ascii="宋体" w:hAnsi="宋体" w:cs="仿宋"/>
          <w:color w:val="auto"/>
          <w:kern w:val="0"/>
          <w:szCs w:val="21"/>
          <w:shd w:val="clear" w:color="auto" w:fill="FFFFFF"/>
          <w:lang w:bidi="ar"/>
        </w:rPr>
        <w:t>邮编：</w:t>
      </w:r>
      <w:r>
        <w:rPr>
          <w:rFonts w:hint="eastAsia" w:ascii="宋体" w:hAnsi="宋体" w:cs="Calibri"/>
          <w:color w:val="auto"/>
          <w:kern w:val="0"/>
          <w:szCs w:val="21"/>
          <w:u w:val="single"/>
          <w:shd w:val="clear" w:color="auto" w:fill="FFFFFF"/>
          <w:lang w:bidi="ar"/>
        </w:rPr>
        <w:t xml:space="preserve">             </w:t>
      </w:r>
    </w:p>
    <w:p w14:paraId="7E137E13">
      <w:pPr>
        <w:widowControl/>
        <w:spacing w:before="100" w:beforeAutospacing="1" w:after="100" w:afterAutospacing="1" w:line="360" w:lineRule="auto"/>
        <w:jc w:val="left"/>
        <w:rPr>
          <w:rFonts w:hint="eastAsia" w:ascii="宋体" w:hAnsi="宋体" w:cs="黑体"/>
          <w:color w:val="auto"/>
          <w:kern w:val="0"/>
          <w:szCs w:val="21"/>
          <w:shd w:val="clear" w:color="auto" w:fill="FFFFFF"/>
          <w:lang w:bidi="ar"/>
        </w:rPr>
      </w:pPr>
    </w:p>
    <w:p w14:paraId="4B9EB5B8">
      <w:pPr>
        <w:widowControl/>
        <w:spacing w:before="100" w:beforeAutospacing="1" w:after="100" w:afterAutospacing="1" w:line="360" w:lineRule="auto"/>
        <w:jc w:val="left"/>
        <w:rPr>
          <w:rFonts w:hint="eastAsia" w:ascii="宋体" w:hAnsi="宋体" w:cs="宋体"/>
          <w:color w:val="auto"/>
          <w:szCs w:val="21"/>
        </w:rPr>
      </w:pPr>
      <w:r>
        <w:rPr>
          <w:rFonts w:ascii="宋体" w:hAnsi="宋体" w:cs="黑体"/>
          <w:color w:val="auto"/>
          <w:kern w:val="0"/>
          <w:szCs w:val="21"/>
          <w:shd w:val="clear" w:color="auto" w:fill="FFFFFF"/>
          <w:lang w:bidi="ar"/>
        </w:rPr>
        <w:t>二、质疑项目基本情况</w:t>
      </w:r>
    </w:p>
    <w:p w14:paraId="13805C3D">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质疑项目的名称：</w:t>
      </w:r>
      <w:r>
        <w:rPr>
          <w:rFonts w:hint="eastAsia" w:ascii="宋体" w:hAnsi="宋体" w:cs="Calibri"/>
          <w:color w:val="auto"/>
          <w:kern w:val="0"/>
          <w:szCs w:val="21"/>
          <w:u w:val="single"/>
          <w:shd w:val="clear" w:color="auto" w:fill="FFFFFF"/>
          <w:lang w:bidi="ar"/>
        </w:rPr>
        <w:t xml:space="preserve">                                                                            </w:t>
      </w:r>
    </w:p>
    <w:p w14:paraId="686CD820">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质疑项目的编号：</w:t>
      </w:r>
      <w:r>
        <w:rPr>
          <w:rFonts w:hint="eastAsia" w:ascii="宋体" w:hAnsi="宋体" w:cs="Calibri"/>
          <w:color w:val="auto"/>
          <w:kern w:val="0"/>
          <w:szCs w:val="21"/>
          <w:u w:val="single"/>
          <w:shd w:val="clear" w:color="auto" w:fill="FFFFFF"/>
          <w:lang w:bidi="ar"/>
        </w:rPr>
        <w:t xml:space="preserve">                                                                            </w:t>
      </w:r>
    </w:p>
    <w:p w14:paraId="23727B91">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采购人名称：</w:t>
      </w:r>
      <w:r>
        <w:rPr>
          <w:rFonts w:hint="eastAsia" w:ascii="宋体" w:hAnsi="宋体" w:cs="Calibri"/>
          <w:color w:val="auto"/>
          <w:kern w:val="0"/>
          <w:szCs w:val="21"/>
          <w:u w:val="single"/>
          <w:shd w:val="clear" w:color="auto" w:fill="FFFFFF"/>
          <w:lang w:bidi="ar"/>
        </w:rPr>
        <w:t xml:space="preserve">                                                                                </w:t>
      </w:r>
    </w:p>
    <w:p w14:paraId="3ACB9684">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采购文件获取日期：</w:t>
      </w:r>
      <w:r>
        <w:rPr>
          <w:rFonts w:hint="eastAsia" w:ascii="宋体" w:hAnsi="宋体" w:cs="Calibri"/>
          <w:color w:val="auto"/>
          <w:kern w:val="0"/>
          <w:szCs w:val="21"/>
          <w:u w:val="single"/>
          <w:shd w:val="clear" w:color="auto" w:fill="FFFFFF"/>
          <w:lang w:bidi="ar"/>
        </w:rPr>
        <w:t xml:space="preserve">                                                                          </w:t>
      </w:r>
    </w:p>
    <w:p w14:paraId="6C9BCC0E">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黑体"/>
          <w:color w:val="auto"/>
          <w:kern w:val="0"/>
          <w:szCs w:val="21"/>
          <w:shd w:val="clear" w:color="auto" w:fill="FFFFFF"/>
          <w:lang w:bidi="ar"/>
        </w:rPr>
        <w:t>三、质疑事项具体内容</w:t>
      </w:r>
    </w:p>
    <w:p w14:paraId="27653F43">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质疑事项1：</w:t>
      </w:r>
      <w:r>
        <w:rPr>
          <w:rFonts w:hint="eastAsia" w:ascii="宋体" w:hAnsi="宋体" w:cs="Calibri"/>
          <w:color w:val="auto"/>
          <w:kern w:val="0"/>
          <w:szCs w:val="21"/>
          <w:u w:val="single"/>
          <w:shd w:val="clear" w:color="auto" w:fill="FFFFFF"/>
          <w:lang w:bidi="ar"/>
        </w:rPr>
        <w:t xml:space="preserve">                                                                            </w:t>
      </w:r>
    </w:p>
    <w:p w14:paraId="19AA88A0">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事实依据：</w:t>
      </w:r>
      <w:r>
        <w:rPr>
          <w:rFonts w:hint="eastAsia" w:ascii="宋体" w:hAnsi="宋体" w:cs="Calibri"/>
          <w:color w:val="auto"/>
          <w:kern w:val="0"/>
          <w:szCs w:val="21"/>
          <w:u w:val="single"/>
          <w:shd w:val="clear" w:color="auto" w:fill="FFFFFF"/>
          <w:lang w:bidi="ar"/>
        </w:rPr>
        <w:t xml:space="preserve">                                                                            </w:t>
      </w:r>
    </w:p>
    <w:p w14:paraId="758F982C">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法律依据：</w:t>
      </w:r>
      <w:r>
        <w:rPr>
          <w:rFonts w:hint="eastAsia" w:ascii="宋体" w:hAnsi="宋体" w:cs="Calibri"/>
          <w:color w:val="auto"/>
          <w:kern w:val="0"/>
          <w:szCs w:val="21"/>
          <w:u w:val="single"/>
          <w:shd w:val="clear" w:color="auto" w:fill="FFFFFF"/>
          <w:lang w:bidi="ar"/>
        </w:rPr>
        <w:t xml:space="preserve">                                                                            </w:t>
      </w:r>
    </w:p>
    <w:p w14:paraId="334A0913">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质疑事项2</w:t>
      </w:r>
    </w:p>
    <w:p w14:paraId="48F12FF5">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仿宋"/>
          <w:color w:val="auto"/>
          <w:kern w:val="0"/>
          <w:szCs w:val="21"/>
          <w:shd w:val="clear" w:color="auto" w:fill="FFFFFF"/>
          <w:lang w:bidi="ar"/>
        </w:rPr>
        <w:t>……</w:t>
      </w:r>
    </w:p>
    <w:p w14:paraId="60B50ECF">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黑体"/>
          <w:color w:val="auto"/>
          <w:kern w:val="0"/>
          <w:szCs w:val="21"/>
          <w:shd w:val="clear" w:color="auto" w:fill="FFFFFF"/>
          <w:lang w:bidi="ar"/>
        </w:rPr>
        <w:t>四、与质疑事项相关的质疑请求</w:t>
      </w:r>
    </w:p>
    <w:p w14:paraId="02885DDD">
      <w:pPr>
        <w:widowControl/>
        <w:spacing w:before="100" w:beforeAutospacing="1" w:after="100" w:afterAutospacing="1" w:line="360" w:lineRule="auto"/>
        <w:jc w:val="left"/>
        <w:rPr>
          <w:rFonts w:hint="eastAsia" w:ascii="宋体" w:hAnsi="宋体" w:cs="Calibri"/>
          <w:color w:val="auto"/>
          <w:kern w:val="0"/>
          <w:szCs w:val="21"/>
          <w:u w:val="single"/>
          <w:shd w:val="clear" w:color="auto" w:fill="FFFFFF"/>
          <w:lang w:bidi="ar"/>
        </w:rPr>
      </w:pPr>
      <w:r>
        <w:rPr>
          <w:rFonts w:hint="eastAsia" w:ascii="宋体" w:hAnsi="宋体" w:cs="仿宋"/>
          <w:color w:val="auto"/>
          <w:kern w:val="0"/>
          <w:szCs w:val="21"/>
          <w:shd w:val="clear" w:color="auto" w:fill="FFFFFF"/>
          <w:lang w:bidi="ar"/>
        </w:rPr>
        <w:t>请求：</w:t>
      </w:r>
      <w:r>
        <w:rPr>
          <w:rFonts w:hint="eastAsia" w:ascii="宋体" w:hAnsi="宋体" w:cs="Calibri"/>
          <w:color w:val="auto"/>
          <w:kern w:val="0"/>
          <w:szCs w:val="21"/>
          <w:u w:val="single"/>
          <w:shd w:val="clear" w:color="auto" w:fill="FFFFFF"/>
          <w:lang w:bidi="ar"/>
        </w:rPr>
        <w:t xml:space="preserve">                                                                            </w:t>
      </w:r>
    </w:p>
    <w:p w14:paraId="698D1333">
      <w:pPr>
        <w:widowControl/>
        <w:spacing w:before="100" w:beforeAutospacing="1" w:after="100" w:afterAutospacing="1" w:line="360" w:lineRule="auto"/>
        <w:jc w:val="left"/>
        <w:rPr>
          <w:rFonts w:hint="eastAsia" w:ascii="宋体" w:hAnsi="宋体" w:cs="宋体"/>
          <w:color w:val="auto"/>
          <w:szCs w:val="21"/>
        </w:rPr>
      </w:pPr>
    </w:p>
    <w:p w14:paraId="2259B9B9">
      <w:pPr>
        <w:widowControl/>
        <w:spacing w:before="100" w:beforeAutospacing="1" w:after="100" w:afterAutospacing="1" w:line="360" w:lineRule="auto"/>
        <w:jc w:val="left"/>
        <w:rPr>
          <w:rFonts w:ascii="宋体" w:hAnsi="宋体" w:cs="仿宋_GB2312"/>
          <w:color w:val="auto"/>
          <w:kern w:val="0"/>
          <w:szCs w:val="21"/>
          <w:shd w:val="clear" w:color="auto" w:fill="FFFFFF"/>
          <w:lang w:bidi="ar"/>
        </w:rPr>
      </w:pPr>
      <w:r>
        <w:rPr>
          <w:rFonts w:ascii="宋体" w:hAnsi="宋体" w:cs="仿宋_GB2312"/>
          <w:color w:val="auto"/>
          <w:kern w:val="0"/>
          <w:szCs w:val="21"/>
          <w:shd w:val="clear" w:color="auto" w:fill="FFFFFF"/>
          <w:lang w:bidi="ar"/>
        </w:rPr>
        <w:t>签字(签章)：</w:t>
      </w:r>
    </w:p>
    <w:p w14:paraId="5B340190">
      <w:pPr>
        <w:widowControl/>
        <w:spacing w:before="100" w:beforeAutospacing="1" w:after="100" w:afterAutospacing="1" w:line="360" w:lineRule="auto"/>
        <w:jc w:val="left"/>
        <w:rPr>
          <w:rFonts w:hint="eastAsia" w:ascii="宋体" w:hAnsi="宋体" w:cs="宋体"/>
          <w:color w:val="auto"/>
          <w:szCs w:val="21"/>
        </w:rPr>
      </w:pPr>
      <w:r>
        <w:rPr>
          <w:rFonts w:ascii="宋体" w:hAnsi="宋体" w:cs="仿宋_GB2312"/>
          <w:color w:val="auto"/>
          <w:kern w:val="0"/>
          <w:szCs w:val="21"/>
          <w:shd w:val="clear" w:color="auto" w:fill="FFFFFF"/>
          <w:lang w:bidi="ar"/>
        </w:rPr>
        <w:t>公章：</w:t>
      </w:r>
    </w:p>
    <w:p w14:paraId="2E4EAFB5">
      <w:pPr>
        <w:widowControl/>
        <w:spacing w:before="100" w:beforeAutospacing="1" w:after="100" w:afterAutospacing="1" w:line="360" w:lineRule="auto"/>
        <w:jc w:val="left"/>
        <w:rPr>
          <w:rFonts w:hint="eastAsia" w:ascii="宋体" w:hAnsi="宋体" w:cs="Calibri"/>
          <w:color w:val="auto"/>
          <w:kern w:val="0"/>
          <w:szCs w:val="21"/>
          <w:shd w:val="clear" w:color="auto" w:fill="FFFFFF"/>
          <w:lang w:bidi="ar"/>
        </w:rPr>
      </w:pPr>
      <w:r>
        <w:rPr>
          <w:rFonts w:ascii="宋体" w:hAnsi="宋体" w:cs="仿宋_GB2312"/>
          <w:color w:val="auto"/>
          <w:kern w:val="0"/>
          <w:szCs w:val="21"/>
          <w:shd w:val="clear" w:color="auto" w:fill="FFFFFF"/>
          <w:lang w:bidi="ar"/>
        </w:rPr>
        <w:t>日期：</w:t>
      </w:r>
    </w:p>
    <w:p w14:paraId="33E809AB">
      <w:pPr>
        <w:widowControl/>
        <w:spacing w:before="100" w:beforeAutospacing="1" w:after="100" w:afterAutospacing="1" w:line="360" w:lineRule="auto"/>
        <w:jc w:val="left"/>
        <w:rPr>
          <w:rFonts w:hint="eastAsia" w:ascii="宋体" w:hAnsi="宋体" w:cs="宋体"/>
          <w:color w:val="auto"/>
          <w:szCs w:val="21"/>
        </w:rPr>
      </w:pPr>
    </w:p>
    <w:p w14:paraId="4E62EE4C">
      <w:pPr>
        <w:widowControl/>
        <w:spacing w:before="100" w:beforeAutospacing="1" w:after="100" w:afterAutospacing="1" w:line="360" w:lineRule="auto"/>
        <w:jc w:val="left"/>
        <w:rPr>
          <w:rFonts w:hint="eastAsia" w:ascii="宋体" w:hAnsi="宋体" w:cs="宋体"/>
          <w:color w:val="auto"/>
          <w:szCs w:val="21"/>
        </w:rPr>
      </w:pPr>
      <w:r>
        <w:rPr>
          <w:rFonts w:hint="eastAsia" w:ascii="宋体" w:hAnsi="宋体" w:cs="黑体"/>
          <w:b/>
          <w:color w:val="auto"/>
          <w:kern w:val="0"/>
          <w:szCs w:val="21"/>
          <w:shd w:val="clear" w:color="auto" w:fill="FFFFFF"/>
          <w:lang w:bidi="ar"/>
        </w:rPr>
        <w:t>质疑函制作说明：</w:t>
      </w:r>
    </w:p>
    <w:p w14:paraId="5DE4DF83">
      <w:pPr>
        <w:widowControl/>
        <w:spacing w:before="100" w:beforeAutospacing="1" w:after="100" w:afterAutospacing="1" w:line="360" w:lineRule="auto"/>
        <w:ind w:firstLine="640"/>
        <w:jc w:val="left"/>
        <w:rPr>
          <w:rFonts w:hint="eastAsia" w:ascii="宋体" w:hAnsi="宋体" w:cs="宋体"/>
          <w:color w:val="auto"/>
          <w:szCs w:val="21"/>
        </w:rPr>
      </w:pPr>
      <w:r>
        <w:rPr>
          <w:rFonts w:ascii="宋体" w:hAnsi="宋体" w:cs="仿宋_GB2312"/>
          <w:color w:val="auto"/>
          <w:kern w:val="0"/>
          <w:szCs w:val="21"/>
          <w:shd w:val="clear" w:color="auto" w:fill="FFFFFF"/>
          <w:lang w:bidi="ar"/>
        </w:rPr>
        <w:t>1.供应商提出质疑时，应提交质疑函和必要的证明材料。</w:t>
      </w:r>
    </w:p>
    <w:p w14:paraId="0B1606B4">
      <w:pPr>
        <w:widowControl/>
        <w:spacing w:before="100" w:beforeAutospacing="1" w:after="100" w:afterAutospacing="1" w:line="360" w:lineRule="auto"/>
        <w:ind w:firstLine="640"/>
        <w:jc w:val="left"/>
        <w:rPr>
          <w:rFonts w:hint="eastAsia" w:ascii="宋体" w:hAnsi="宋体" w:cs="宋体"/>
          <w:color w:val="auto"/>
          <w:szCs w:val="21"/>
        </w:rPr>
      </w:pPr>
      <w:r>
        <w:rPr>
          <w:rFonts w:ascii="宋体" w:hAnsi="宋体" w:cs="仿宋_GB2312"/>
          <w:color w:val="auto"/>
          <w:kern w:val="0"/>
          <w:szCs w:val="21"/>
          <w:shd w:val="clear" w:color="auto" w:fill="FFFFFF"/>
          <w:lang w:bidi="ar"/>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9DCE65E">
      <w:pPr>
        <w:widowControl/>
        <w:spacing w:before="100" w:beforeAutospacing="1" w:after="100" w:afterAutospacing="1" w:line="360" w:lineRule="auto"/>
        <w:ind w:firstLine="640"/>
        <w:jc w:val="left"/>
        <w:rPr>
          <w:rFonts w:hint="eastAsia" w:ascii="宋体" w:hAnsi="宋体" w:cs="宋体"/>
          <w:color w:val="auto"/>
          <w:szCs w:val="21"/>
        </w:rPr>
      </w:pPr>
      <w:r>
        <w:rPr>
          <w:rFonts w:ascii="宋体" w:hAnsi="宋体" w:cs="仿宋_GB2312"/>
          <w:color w:val="auto"/>
          <w:kern w:val="0"/>
          <w:szCs w:val="21"/>
          <w:shd w:val="clear" w:color="auto" w:fill="FFFFFF"/>
          <w:lang w:bidi="ar"/>
        </w:rPr>
        <w:t>3.质疑供应商若对项目的某一</w:t>
      </w:r>
      <w:r>
        <w:rPr>
          <w:rFonts w:hint="eastAsia" w:ascii="宋体" w:hAnsi="宋体" w:cs="仿宋_GB2312"/>
          <w:color w:val="auto"/>
          <w:kern w:val="0"/>
          <w:szCs w:val="21"/>
          <w:shd w:val="clear" w:color="auto" w:fill="FFFFFF"/>
          <w:lang w:bidi="ar"/>
        </w:rPr>
        <w:t>标项</w:t>
      </w:r>
      <w:r>
        <w:rPr>
          <w:rFonts w:ascii="宋体" w:hAnsi="宋体" w:cs="仿宋_GB2312"/>
          <w:color w:val="auto"/>
          <w:kern w:val="0"/>
          <w:szCs w:val="21"/>
          <w:shd w:val="clear" w:color="auto" w:fill="FFFFFF"/>
          <w:lang w:bidi="ar"/>
        </w:rPr>
        <w:t>进行质疑，质疑函中应列明具体</w:t>
      </w:r>
      <w:r>
        <w:rPr>
          <w:rFonts w:hint="eastAsia" w:ascii="宋体" w:hAnsi="宋体" w:cs="仿宋_GB2312"/>
          <w:color w:val="auto"/>
          <w:kern w:val="0"/>
          <w:szCs w:val="21"/>
          <w:shd w:val="clear" w:color="auto" w:fill="FFFFFF"/>
          <w:lang w:bidi="ar"/>
        </w:rPr>
        <w:t>标项</w:t>
      </w:r>
      <w:r>
        <w:rPr>
          <w:rFonts w:ascii="宋体" w:hAnsi="宋体" w:cs="仿宋_GB2312"/>
          <w:color w:val="auto"/>
          <w:kern w:val="0"/>
          <w:szCs w:val="21"/>
          <w:shd w:val="clear" w:color="auto" w:fill="FFFFFF"/>
          <w:lang w:bidi="ar"/>
        </w:rPr>
        <w:t>。</w:t>
      </w:r>
    </w:p>
    <w:p w14:paraId="134572EA">
      <w:pPr>
        <w:widowControl/>
        <w:spacing w:before="100" w:beforeAutospacing="1" w:after="100" w:afterAutospacing="1" w:line="360" w:lineRule="auto"/>
        <w:ind w:firstLine="640"/>
        <w:jc w:val="left"/>
        <w:rPr>
          <w:rFonts w:hint="eastAsia" w:ascii="宋体" w:hAnsi="宋体" w:cs="宋体"/>
          <w:color w:val="auto"/>
          <w:szCs w:val="21"/>
        </w:rPr>
      </w:pPr>
      <w:r>
        <w:rPr>
          <w:rFonts w:ascii="宋体" w:hAnsi="宋体" w:cs="仿宋_GB2312"/>
          <w:color w:val="auto"/>
          <w:kern w:val="0"/>
          <w:szCs w:val="21"/>
          <w:shd w:val="clear" w:color="auto" w:fill="FFFFFF"/>
          <w:lang w:bidi="ar"/>
        </w:rPr>
        <w:t>4.质疑函的质疑事项应具体、明确，并有必要的事实依据和法律依据。</w:t>
      </w:r>
    </w:p>
    <w:p w14:paraId="0C47FB68">
      <w:pPr>
        <w:widowControl/>
        <w:spacing w:before="100" w:beforeAutospacing="1" w:after="100" w:afterAutospacing="1" w:line="360" w:lineRule="auto"/>
        <w:ind w:firstLine="640"/>
        <w:jc w:val="left"/>
        <w:rPr>
          <w:rFonts w:hint="eastAsia" w:ascii="宋体" w:hAnsi="宋体" w:cs="宋体"/>
          <w:color w:val="auto"/>
          <w:szCs w:val="21"/>
        </w:rPr>
      </w:pPr>
      <w:r>
        <w:rPr>
          <w:rFonts w:ascii="宋体" w:hAnsi="宋体" w:cs="仿宋_GB2312"/>
          <w:color w:val="auto"/>
          <w:kern w:val="0"/>
          <w:szCs w:val="21"/>
          <w:shd w:val="clear" w:color="auto" w:fill="FFFFFF"/>
          <w:lang w:bidi="ar"/>
        </w:rPr>
        <w:t>5.质疑函的质疑请求应与质疑事项相关。</w:t>
      </w:r>
    </w:p>
    <w:p w14:paraId="333BA928">
      <w:pPr>
        <w:widowControl/>
        <w:spacing w:before="100" w:beforeAutospacing="1" w:after="100" w:afterAutospacing="1" w:line="360" w:lineRule="auto"/>
        <w:ind w:firstLine="640"/>
        <w:jc w:val="left"/>
        <w:rPr>
          <w:rFonts w:ascii="宋体" w:hAnsi="宋体" w:cs="仿宋_GB2312"/>
          <w:color w:val="auto"/>
          <w:kern w:val="0"/>
          <w:szCs w:val="21"/>
          <w:shd w:val="clear" w:color="auto" w:fill="FFFFFF"/>
          <w:lang w:bidi="ar"/>
        </w:rPr>
      </w:pPr>
      <w:r>
        <w:rPr>
          <w:rFonts w:ascii="宋体" w:hAnsi="宋体" w:cs="仿宋_GB2312"/>
          <w:color w:val="auto"/>
          <w:kern w:val="0"/>
          <w:szCs w:val="21"/>
          <w:shd w:val="clear" w:color="auto" w:fill="FFFFFF"/>
          <w:lang w:bidi="ar"/>
        </w:rPr>
        <w:t>6.质疑供应商为自然人的，质疑函应由本人签字；质疑供应商为法人或者其他组织的，质疑函应由法定代表人、主要负责人，或者其授权代表签字或者盖章，并加盖公章。</w:t>
      </w:r>
    </w:p>
    <w:p w14:paraId="280FA2E2">
      <w:pPr>
        <w:snapToGrid w:val="0"/>
        <w:spacing w:before="50" w:after="156" w:afterLines="50"/>
        <w:jc w:val="left"/>
        <w:rPr>
          <w:rFonts w:hAnsi="宋体" w:cs="宋体"/>
          <w:color w:val="auto"/>
          <w:szCs w:val="21"/>
        </w:rPr>
      </w:pPr>
    </w:p>
    <w:p w14:paraId="25F6E5D3">
      <w:pPr>
        <w:pStyle w:val="13"/>
        <w:snapToGrid w:val="0"/>
        <w:spacing w:line="360" w:lineRule="auto"/>
        <w:rPr>
          <w:rFonts w:hAnsi="宋体" w:eastAsia="宋体" w:cs="宋体"/>
          <w:color w:val="auto"/>
          <w:sz w:val="21"/>
          <w:szCs w:val="21"/>
          <w:highlight w:val="none"/>
        </w:rPr>
      </w:pPr>
    </w:p>
    <w:sectPr>
      <w:footerReference r:id="rId5" w:type="default"/>
      <w:pgSz w:w="11906" w:h="16838"/>
      <w:pgMar w:top="1531" w:right="1179" w:bottom="737" w:left="1179" w:header="851" w:footer="584"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2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Mincho">
    <w:altName w:val="MS UI Gothic"/>
    <w:panose1 w:val="02020609040205080304"/>
    <w:charset w:val="80"/>
    <w:family w:val="modern"/>
    <w:pitch w:val="default"/>
    <w:sig w:usb0="00000000" w:usb1="00000000" w:usb2="00000012" w:usb3="00000000" w:csb0="4002009F" w:csb1="DFD70000"/>
  </w:font>
  <w:font w:name="MS UI 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4D6E3">
    <w:pPr>
      <w:pStyle w:val="17"/>
      <w:jc w:val="center"/>
      <w:rPr>
        <w:kern w:val="0"/>
        <w:szCs w:val="21"/>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36C264">
                          <w:pPr>
                            <w:pStyle w:val="17"/>
                          </w:pPr>
                          <w:r>
                            <w:t xml:space="preserve">第 </w:t>
                          </w:r>
                          <w:r>
                            <w:fldChar w:fldCharType="begin"/>
                          </w:r>
                          <w:r>
                            <w:instrText xml:space="preserve"> PAGE  \* MERGEFORMAT </w:instrText>
                          </w:r>
                          <w:r>
                            <w:fldChar w:fldCharType="separate"/>
                          </w:r>
                          <w:r>
                            <w:t>2</w:t>
                          </w:r>
                          <w:r>
                            <w:fldChar w:fldCharType="end"/>
                          </w:r>
                          <w:r>
                            <w:t xml:space="preserve"> 页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836C264">
                    <w:pPr>
                      <w:pStyle w:val="17"/>
                    </w:pPr>
                    <w:r>
                      <w:t xml:space="preserve">第 </w:t>
                    </w:r>
                    <w:r>
                      <w:fldChar w:fldCharType="begin"/>
                    </w:r>
                    <w:r>
                      <w:instrText xml:space="preserve"> PAGE  \* MERGEFORMAT </w:instrText>
                    </w:r>
                    <w:r>
                      <w:fldChar w:fldCharType="separate"/>
                    </w:r>
                    <w:r>
                      <w:t>2</w:t>
                    </w:r>
                    <w:r>
                      <w:fldChar w:fldCharType="end"/>
                    </w:r>
                    <w:r>
                      <w:t xml:space="preserve"> 页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36487">
    <w:pPr>
      <w:pStyle w:val="18"/>
      <w:jc w:val="both"/>
      <w:rPr>
        <w:rFonts w:hint="eastAsia" w:ascii="宋体" w:eastAsia="宋体"/>
        <w:lang w:eastAsia="zh-CN"/>
      </w:rPr>
    </w:pPr>
    <w:r>
      <w:rPr>
        <w:rFonts w:hint="eastAsia" w:ascii="宋体"/>
      </w:rPr>
      <w:t xml:space="preserve">                        </w:t>
    </w:r>
    <w:r>
      <w:rPr>
        <w:rFonts w:hint="eastAsia" w:ascii="宋体"/>
        <w:lang w:val="en-US" w:eastAsia="zh-CN"/>
      </w:rPr>
      <w:t xml:space="preserve">    2025年度岱山县高亭城区市政公用设施维修工程（重新招标）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AB919">
    <w:pPr>
      <w:pStyle w:val="18"/>
      <w:pBdr>
        <w:bottom w:val="none" w:color="auto" w:sz="0" w:space="1"/>
      </w:pBdr>
      <w:jc w:val="both"/>
    </w:pPr>
    <w:r>
      <w:rPr>
        <w:rFonts w:hint="eastAsia" w:ascii="宋体"/>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34DE15"/>
    <w:multiLevelType w:val="singleLevel"/>
    <w:tmpl w:val="0C34DE15"/>
    <w:lvl w:ilvl="0" w:tentative="0">
      <w:start w:val="1"/>
      <w:numFmt w:val="decimal"/>
      <w:lvlText w:val="%1."/>
      <w:lvlJc w:val="left"/>
      <w:pPr>
        <w:tabs>
          <w:tab w:val="left" w:pos="312"/>
        </w:tabs>
      </w:pPr>
    </w:lvl>
  </w:abstractNum>
  <w:abstractNum w:abstractNumId="1">
    <w:nsid w:val="225A8346"/>
    <w:multiLevelType w:val="singleLevel"/>
    <w:tmpl w:val="225A8346"/>
    <w:lvl w:ilvl="0" w:tentative="0">
      <w:start w:val="1"/>
      <w:numFmt w:val="decimal"/>
      <w:lvlText w:val="%1."/>
      <w:lvlJc w:val="left"/>
      <w:pPr>
        <w:tabs>
          <w:tab w:val="left" w:pos="312"/>
        </w:tabs>
      </w:pPr>
    </w:lvl>
  </w:abstractNum>
  <w:abstractNum w:abstractNumId="2">
    <w:nsid w:val="4DD4552D"/>
    <w:multiLevelType w:val="singleLevel"/>
    <w:tmpl w:val="4DD4552D"/>
    <w:lvl w:ilvl="0" w:tentative="0">
      <w:start w:val="1"/>
      <w:numFmt w:val="decimal"/>
      <w:lvlText w:val="%1."/>
      <w:lvlJc w:val="left"/>
      <w:pPr>
        <w:tabs>
          <w:tab w:val="left" w:pos="312"/>
        </w:tabs>
      </w:pPr>
    </w:lvl>
  </w:abstractNum>
  <w:abstractNum w:abstractNumId="3">
    <w:nsid w:val="6CB11213"/>
    <w:multiLevelType w:val="multilevel"/>
    <w:tmpl w:val="6CB11213"/>
    <w:lvl w:ilvl="0" w:tentative="0">
      <w:start w:val="1"/>
      <w:numFmt w:val="chineseCountingThousand"/>
      <w:suff w:val="nothing"/>
      <w:lvlText w:val="%1、"/>
      <w:lvlJc w:val="left"/>
      <w:pPr>
        <w:ind w:left="425" w:hanging="425"/>
      </w:pPr>
      <w:rPr>
        <w:rFonts w:hint="eastAsia"/>
      </w:rPr>
    </w:lvl>
    <w:lvl w:ilvl="1" w:tentative="0">
      <w:start w:val="1"/>
      <w:numFmt w:val="decimal"/>
      <w:pStyle w:val="107"/>
      <w:isLgl/>
      <w:suff w:val="nothing"/>
      <w:lvlText w:val="%1.%2、"/>
      <w:lvlJc w:val="left"/>
      <w:pPr>
        <w:ind w:left="567" w:hanging="567"/>
      </w:pPr>
      <w:rPr>
        <w:rFonts w:hint="default" w:ascii="Arial" w:hAnsi="Arial" w:cs="Arial"/>
      </w:rPr>
    </w:lvl>
    <w:lvl w:ilvl="2" w:tentative="0">
      <w:start w:val="1"/>
      <w:numFmt w:val="decimal"/>
      <w:pStyle w:val="108"/>
      <w:isLgl/>
      <w:suff w:val="nothing"/>
      <w:lvlText w:val="%1.%2.%3、"/>
      <w:lvlJc w:val="left"/>
      <w:pPr>
        <w:ind w:left="1069" w:hanging="1069"/>
      </w:pPr>
      <w:rPr>
        <w:rFonts w:hint="default" w:ascii="Arial" w:hAnsi="Arial" w:cs="Arial"/>
      </w:rPr>
    </w:lvl>
    <w:lvl w:ilvl="3" w:tentative="0">
      <w:start w:val="1"/>
      <w:numFmt w:val="decimal"/>
      <w:isLgl/>
      <w:suff w:val="nothing"/>
      <w:lvlText w:val="%1.%2.%3.%4、"/>
      <w:lvlJc w:val="left"/>
      <w:pPr>
        <w:ind w:left="851" w:hanging="851"/>
      </w:pPr>
      <w:rPr>
        <w:rFonts w:hint="default" w:ascii="Arial" w:hAnsi="Arial" w:cs="Arial"/>
        <w:sz w:val="24"/>
        <w:szCs w:val="24"/>
      </w:rPr>
    </w:lvl>
    <w:lvl w:ilvl="4" w:tentative="0">
      <w:start w:val="1"/>
      <w:numFmt w:val="decimal"/>
      <w:isLgl/>
      <w:suff w:val="nothing"/>
      <w:lvlText w:val="%1.%2.%3.%4.%5、"/>
      <w:lvlJc w:val="left"/>
      <w:pPr>
        <w:ind w:left="992" w:hanging="992"/>
      </w:pPr>
      <w:rPr>
        <w:rFonts w:hint="eastAsia"/>
      </w:rPr>
    </w:lvl>
    <w:lvl w:ilvl="5" w:tentative="0">
      <w:start w:val="1"/>
      <w:numFmt w:val="decimal"/>
      <w:isLgl/>
      <w:suff w:val="nothing"/>
      <w:lvlText w:val="%1.%2.%3.%4.%5.%6、"/>
      <w:lvlJc w:val="left"/>
      <w:pPr>
        <w:ind w:left="1134" w:hanging="1134"/>
      </w:pPr>
      <w:rPr>
        <w:rFonts w:hint="eastAsia"/>
      </w:rPr>
    </w:lvl>
    <w:lvl w:ilvl="6" w:tentative="0">
      <w:start w:val="1"/>
      <w:numFmt w:val="decimal"/>
      <w:isLgl/>
      <w:lvlText w:val="%1.%2.%3.%4.%5.%6.%7"/>
      <w:lvlJc w:val="left"/>
      <w:pPr>
        <w:tabs>
          <w:tab w:val="left" w:pos="1800"/>
        </w:tabs>
        <w:ind w:left="1276" w:hanging="1276"/>
      </w:pPr>
      <w:rPr>
        <w:rFonts w:hint="eastAsia"/>
      </w:rPr>
    </w:lvl>
    <w:lvl w:ilvl="7" w:tentative="0">
      <w:start w:val="1"/>
      <w:numFmt w:val="decimal"/>
      <w:isLgl/>
      <w:lvlText w:val="%1.%2.%3.%4.%5.%6.%7.%8"/>
      <w:lvlJc w:val="left"/>
      <w:pPr>
        <w:tabs>
          <w:tab w:val="left" w:pos="1800"/>
        </w:tabs>
        <w:ind w:left="1418" w:hanging="1418"/>
      </w:pPr>
      <w:rPr>
        <w:rFonts w:hint="eastAsia"/>
      </w:rPr>
    </w:lvl>
    <w:lvl w:ilvl="8" w:tentative="0">
      <w:start w:val="1"/>
      <w:numFmt w:val="decimal"/>
      <w:isLgl/>
      <w:lvlText w:val="%1.%2.%3.%4.%5.%6.%7.%8.%9"/>
      <w:lvlJc w:val="left"/>
      <w:pPr>
        <w:tabs>
          <w:tab w:val="left" w:pos="2160"/>
        </w:tabs>
        <w:ind w:left="1559" w:hanging="1559"/>
      </w:pPr>
      <w:rPr>
        <w:rFonts w:hint="eastAsia"/>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60"/>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2MWE0Y2RiM2Q1YjRhMWZlNzNlMzE3ZGJiNTlmNDEifQ=="/>
  </w:docVars>
  <w:rsids>
    <w:rsidRoot w:val="00172A27"/>
    <w:rsid w:val="000008AE"/>
    <w:rsid w:val="00000DA0"/>
    <w:rsid w:val="0000107B"/>
    <w:rsid w:val="00001255"/>
    <w:rsid w:val="00001351"/>
    <w:rsid w:val="00001616"/>
    <w:rsid w:val="00002240"/>
    <w:rsid w:val="0000249F"/>
    <w:rsid w:val="000036AE"/>
    <w:rsid w:val="000053DD"/>
    <w:rsid w:val="000067D2"/>
    <w:rsid w:val="00006CD5"/>
    <w:rsid w:val="00010275"/>
    <w:rsid w:val="00011F5B"/>
    <w:rsid w:val="00012FC0"/>
    <w:rsid w:val="000131FB"/>
    <w:rsid w:val="00013F7B"/>
    <w:rsid w:val="000148CF"/>
    <w:rsid w:val="000150F2"/>
    <w:rsid w:val="00015267"/>
    <w:rsid w:val="00015B00"/>
    <w:rsid w:val="000161B6"/>
    <w:rsid w:val="00020487"/>
    <w:rsid w:val="00021229"/>
    <w:rsid w:val="00021CDE"/>
    <w:rsid w:val="00021CF2"/>
    <w:rsid w:val="000225BC"/>
    <w:rsid w:val="00022EFA"/>
    <w:rsid w:val="00023C49"/>
    <w:rsid w:val="00023E4C"/>
    <w:rsid w:val="0002452C"/>
    <w:rsid w:val="000260AD"/>
    <w:rsid w:val="000265C2"/>
    <w:rsid w:val="00026CC2"/>
    <w:rsid w:val="000273C7"/>
    <w:rsid w:val="00027CC8"/>
    <w:rsid w:val="00027CEC"/>
    <w:rsid w:val="00027D38"/>
    <w:rsid w:val="000303E1"/>
    <w:rsid w:val="00030AD8"/>
    <w:rsid w:val="000317CA"/>
    <w:rsid w:val="0003181C"/>
    <w:rsid w:val="00032134"/>
    <w:rsid w:val="000325CE"/>
    <w:rsid w:val="0003329B"/>
    <w:rsid w:val="00033641"/>
    <w:rsid w:val="00034D19"/>
    <w:rsid w:val="0003660B"/>
    <w:rsid w:val="000369D2"/>
    <w:rsid w:val="00037EE2"/>
    <w:rsid w:val="000407B3"/>
    <w:rsid w:val="0004111B"/>
    <w:rsid w:val="000415B1"/>
    <w:rsid w:val="00041BE4"/>
    <w:rsid w:val="0004279E"/>
    <w:rsid w:val="0004335D"/>
    <w:rsid w:val="00043AC8"/>
    <w:rsid w:val="00044AE2"/>
    <w:rsid w:val="00044B3F"/>
    <w:rsid w:val="00045883"/>
    <w:rsid w:val="00046374"/>
    <w:rsid w:val="00047114"/>
    <w:rsid w:val="0005095B"/>
    <w:rsid w:val="00050DEE"/>
    <w:rsid w:val="000516E3"/>
    <w:rsid w:val="00051B80"/>
    <w:rsid w:val="00052F70"/>
    <w:rsid w:val="00053F58"/>
    <w:rsid w:val="0005415C"/>
    <w:rsid w:val="00055835"/>
    <w:rsid w:val="00055B9A"/>
    <w:rsid w:val="00055C01"/>
    <w:rsid w:val="00055DD9"/>
    <w:rsid w:val="000566FC"/>
    <w:rsid w:val="00057A16"/>
    <w:rsid w:val="000601BC"/>
    <w:rsid w:val="0006107F"/>
    <w:rsid w:val="00061AE1"/>
    <w:rsid w:val="00061B2C"/>
    <w:rsid w:val="00063583"/>
    <w:rsid w:val="00064447"/>
    <w:rsid w:val="00064E63"/>
    <w:rsid w:val="00065112"/>
    <w:rsid w:val="00065300"/>
    <w:rsid w:val="0006586E"/>
    <w:rsid w:val="00065C18"/>
    <w:rsid w:val="00066224"/>
    <w:rsid w:val="000668F7"/>
    <w:rsid w:val="00067BAD"/>
    <w:rsid w:val="00070E4F"/>
    <w:rsid w:val="00070F6C"/>
    <w:rsid w:val="0007335F"/>
    <w:rsid w:val="000735C6"/>
    <w:rsid w:val="00074E0B"/>
    <w:rsid w:val="00074E62"/>
    <w:rsid w:val="00074FAC"/>
    <w:rsid w:val="00075588"/>
    <w:rsid w:val="0007669B"/>
    <w:rsid w:val="00076754"/>
    <w:rsid w:val="00077441"/>
    <w:rsid w:val="000779FD"/>
    <w:rsid w:val="0008040C"/>
    <w:rsid w:val="00080D08"/>
    <w:rsid w:val="00081A6F"/>
    <w:rsid w:val="00081C6F"/>
    <w:rsid w:val="00083162"/>
    <w:rsid w:val="000839AD"/>
    <w:rsid w:val="00083C5C"/>
    <w:rsid w:val="00085105"/>
    <w:rsid w:val="00086507"/>
    <w:rsid w:val="00086933"/>
    <w:rsid w:val="00086EEC"/>
    <w:rsid w:val="00087E11"/>
    <w:rsid w:val="00090784"/>
    <w:rsid w:val="000911CB"/>
    <w:rsid w:val="00091498"/>
    <w:rsid w:val="00091A59"/>
    <w:rsid w:val="00091E8E"/>
    <w:rsid w:val="0009261A"/>
    <w:rsid w:val="00094603"/>
    <w:rsid w:val="00094871"/>
    <w:rsid w:val="00096762"/>
    <w:rsid w:val="00096E45"/>
    <w:rsid w:val="00096F0A"/>
    <w:rsid w:val="00097D22"/>
    <w:rsid w:val="00097F86"/>
    <w:rsid w:val="000A0344"/>
    <w:rsid w:val="000A0956"/>
    <w:rsid w:val="000A0A54"/>
    <w:rsid w:val="000A0D2D"/>
    <w:rsid w:val="000A147D"/>
    <w:rsid w:val="000A258D"/>
    <w:rsid w:val="000A2631"/>
    <w:rsid w:val="000A40BB"/>
    <w:rsid w:val="000A4221"/>
    <w:rsid w:val="000A4912"/>
    <w:rsid w:val="000A4A6F"/>
    <w:rsid w:val="000A4C96"/>
    <w:rsid w:val="000A566A"/>
    <w:rsid w:val="000A59AD"/>
    <w:rsid w:val="000A5FA5"/>
    <w:rsid w:val="000A693E"/>
    <w:rsid w:val="000B0ECA"/>
    <w:rsid w:val="000B1196"/>
    <w:rsid w:val="000B123C"/>
    <w:rsid w:val="000B1E98"/>
    <w:rsid w:val="000B28DB"/>
    <w:rsid w:val="000B2A5F"/>
    <w:rsid w:val="000B2EA7"/>
    <w:rsid w:val="000B46A2"/>
    <w:rsid w:val="000B4979"/>
    <w:rsid w:val="000B4C39"/>
    <w:rsid w:val="000B7447"/>
    <w:rsid w:val="000B7738"/>
    <w:rsid w:val="000C021F"/>
    <w:rsid w:val="000C0E70"/>
    <w:rsid w:val="000C16D6"/>
    <w:rsid w:val="000C1DC6"/>
    <w:rsid w:val="000C4808"/>
    <w:rsid w:val="000C48DE"/>
    <w:rsid w:val="000C4B01"/>
    <w:rsid w:val="000C5A51"/>
    <w:rsid w:val="000C783F"/>
    <w:rsid w:val="000C7CF8"/>
    <w:rsid w:val="000D130E"/>
    <w:rsid w:val="000D1459"/>
    <w:rsid w:val="000D1936"/>
    <w:rsid w:val="000D1AA4"/>
    <w:rsid w:val="000D1DF0"/>
    <w:rsid w:val="000D291A"/>
    <w:rsid w:val="000D2B33"/>
    <w:rsid w:val="000D32EC"/>
    <w:rsid w:val="000D33F2"/>
    <w:rsid w:val="000D3438"/>
    <w:rsid w:val="000D3A03"/>
    <w:rsid w:val="000D4477"/>
    <w:rsid w:val="000D5E43"/>
    <w:rsid w:val="000D750F"/>
    <w:rsid w:val="000D79EB"/>
    <w:rsid w:val="000D7AF8"/>
    <w:rsid w:val="000D7E24"/>
    <w:rsid w:val="000E028B"/>
    <w:rsid w:val="000E02F2"/>
    <w:rsid w:val="000E1E85"/>
    <w:rsid w:val="000E2837"/>
    <w:rsid w:val="000E2BC0"/>
    <w:rsid w:val="000E3EEF"/>
    <w:rsid w:val="000E416C"/>
    <w:rsid w:val="000E56DE"/>
    <w:rsid w:val="000E706B"/>
    <w:rsid w:val="000F02E6"/>
    <w:rsid w:val="000F0550"/>
    <w:rsid w:val="000F1074"/>
    <w:rsid w:val="000F13AF"/>
    <w:rsid w:val="000F2A94"/>
    <w:rsid w:val="000F2E5E"/>
    <w:rsid w:val="000F421C"/>
    <w:rsid w:val="000F4472"/>
    <w:rsid w:val="000F4C37"/>
    <w:rsid w:val="000F4F94"/>
    <w:rsid w:val="000F55ED"/>
    <w:rsid w:val="000F5680"/>
    <w:rsid w:val="000F5897"/>
    <w:rsid w:val="000F6027"/>
    <w:rsid w:val="000F6E50"/>
    <w:rsid w:val="001007C1"/>
    <w:rsid w:val="00101001"/>
    <w:rsid w:val="00101417"/>
    <w:rsid w:val="00102CD6"/>
    <w:rsid w:val="00103EDC"/>
    <w:rsid w:val="00103FBC"/>
    <w:rsid w:val="00105C54"/>
    <w:rsid w:val="001062C4"/>
    <w:rsid w:val="0010669E"/>
    <w:rsid w:val="00107048"/>
    <w:rsid w:val="0010765D"/>
    <w:rsid w:val="00107E23"/>
    <w:rsid w:val="00110878"/>
    <w:rsid w:val="00111204"/>
    <w:rsid w:val="001113A5"/>
    <w:rsid w:val="00111D5D"/>
    <w:rsid w:val="00112791"/>
    <w:rsid w:val="0011355D"/>
    <w:rsid w:val="0011384C"/>
    <w:rsid w:val="0011396E"/>
    <w:rsid w:val="00113E4C"/>
    <w:rsid w:val="00113FC6"/>
    <w:rsid w:val="0011495F"/>
    <w:rsid w:val="00115E32"/>
    <w:rsid w:val="0011602B"/>
    <w:rsid w:val="00116541"/>
    <w:rsid w:val="001172A3"/>
    <w:rsid w:val="00120EEE"/>
    <w:rsid w:val="00120F3A"/>
    <w:rsid w:val="00121115"/>
    <w:rsid w:val="001223F9"/>
    <w:rsid w:val="00122D30"/>
    <w:rsid w:val="00122D3E"/>
    <w:rsid w:val="00123169"/>
    <w:rsid w:val="001232C5"/>
    <w:rsid w:val="00124AFE"/>
    <w:rsid w:val="00124EF7"/>
    <w:rsid w:val="001258CD"/>
    <w:rsid w:val="00125A10"/>
    <w:rsid w:val="00126051"/>
    <w:rsid w:val="0012621D"/>
    <w:rsid w:val="00126F03"/>
    <w:rsid w:val="0012782B"/>
    <w:rsid w:val="00131683"/>
    <w:rsid w:val="00131B3F"/>
    <w:rsid w:val="00132E4D"/>
    <w:rsid w:val="00133D3A"/>
    <w:rsid w:val="00133F40"/>
    <w:rsid w:val="00135C96"/>
    <w:rsid w:val="00136020"/>
    <w:rsid w:val="001363C1"/>
    <w:rsid w:val="001375A8"/>
    <w:rsid w:val="00141886"/>
    <w:rsid w:val="00143FF7"/>
    <w:rsid w:val="00145C0D"/>
    <w:rsid w:val="001464CC"/>
    <w:rsid w:val="00146A29"/>
    <w:rsid w:val="00146B1C"/>
    <w:rsid w:val="00150017"/>
    <w:rsid w:val="001504B3"/>
    <w:rsid w:val="0015086E"/>
    <w:rsid w:val="00150F5B"/>
    <w:rsid w:val="00150FD2"/>
    <w:rsid w:val="001517FA"/>
    <w:rsid w:val="001526CD"/>
    <w:rsid w:val="0015311C"/>
    <w:rsid w:val="001538AB"/>
    <w:rsid w:val="00153ACA"/>
    <w:rsid w:val="001543EB"/>
    <w:rsid w:val="0015506F"/>
    <w:rsid w:val="00155A65"/>
    <w:rsid w:val="00155F0F"/>
    <w:rsid w:val="0015624B"/>
    <w:rsid w:val="00156900"/>
    <w:rsid w:val="00156A6A"/>
    <w:rsid w:val="00156AD8"/>
    <w:rsid w:val="00156B04"/>
    <w:rsid w:val="00157751"/>
    <w:rsid w:val="00157978"/>
    <w:rsid w:val="0016017E"/>
    <w:rsid w:val="00160802"/>
    <w:rsid w:val="00163495"/>
    <w:rsid w:val="00163779"/>
    <w:rsid w:val="0016455C"/>
    <w:rsid w:val="00165846"/>
    <w:rsid w:val="00165BBD"/>
    <w:rsid w:val="00165C2B"/>
    <w:rsid w:val="00166238"/>
    <w:rsid w:val="001670C9"/>
    <w:rsid w:val="00167C19"/>
    <w:rsid w:val="00170FBD"/>
    <w:rsid w:val="00170FE9"/>
    <w:rsid w:val="001716ED"/>
    <w:rsid w:val="0017193F"/>
    <w:rsid w:val="00171E07"/>
    <w:rsid w:val="00171E68"/>
    <w:rsid w:val="00172A27"/>
    <w:rsid w:val="00172AB0"/>
    <w:rsid w:val="00172EC3"/>
    <w:rsid w:val="00173114"/>
    <w:rsid w:val="00174BF0"/>
    <w:rsid w:val="00174CD8"/>
    <w:rsid w:val="001756D5"/>
    <w:rsid w:val="00175E3B"/>
    <w:rsid w:val="001766C9"/>
    <w:rsid w:val="001777BF"/>
    <w:rsid w:val="0018014D"/>
    <w:rsid w:val="00180445"/>
    <w:rsid w:val="001811B0"/>
    <w:rsid w:val="00181604"/>
    <w:rsid w:val="0018175C"/>
    <w:rsid w:val="001822EE"/>
    <w:rsid w:val="001839A5"/>
    <w:rsid w:val="00183DFE"/>
    <w:rsid w:val="0018435A"/>
    <w:rsid w:val="00186E86"/>
    <w:rsid w:val="00191A11"/>
    <w:rsid w:val="00191BAF"/>
    <w:rsid w:val="00193AF0"/>
    <w:rsid w:val="00193D77"/>
    <w:rsid w:val="00196D89"/>
    <w:rsid w:val="00196E1C"/>
    <w:rsid w:val="00197723"/>
    <w:rsid w:val="001A06DA"/>
    <w:rsid w:val="001A0C59"/>
    <w:rsid w:val="001A0CC2"/>
    <w:rsid w:val="001A0D8E"/>
    <w:rsid w:val="001A11C6"/>
    <w:rsid w:val="001A12B0"/>
    <w:rsid w:val="001A174D"/>
    <w:rsid w:val="001A1A69"/>
    <w:rsid w:val="001A26B9"/>
    <w:rsid w:val="001A2735"/>
    <w:rsid w:val="001A302D"/>
    <w:rsid w:val="001A4ED4"/>
    <w:rsid w:val="001A5A17"/>
    <w:rsid w:val="001A6013"/>
    <w:rsid w:val="001A60CD"/>
    <w:rsid w:val="001A6EE2"/>
    <w:rsid w:val="001A7817"/>
    <w:rsid w:val="001B0139"/>
    <w:rsid w:val="001B0528"/>
    <w:rsid w:val="001B1FF0"/>
    <w:rsid w:val="001B3018"/>
    <w:rsid w:val="001B37FC"/>
    <w:rsid w:val="001B3C2A"/>
    <w:rsid w:val="001B3E80"/>
    <w:rsid w:val="001B4EE8"/>
    <w:rsid w:val="001B5DD2"/>
    <w:rsid w:val="001B6AB2"/>
    <w:rsid w:val="001B700B"/>
    <w:rsid w:val="001C0AE0"/>
    <w:rsid w:val="001C10E7"/>
    <w:rsid w:val="001C1A4D"/>
    <w:rsid w:val="001C2753"/>
    <w:rsid w:val="001C2C2A"/>
    <w:rsid w:val="001C2C3B"/>
    <w:rsid w:val="001C3489"/>
    <w:rsid w:val="001C3751"/>
    <w:rsid w:val="001C39CD"/>
    <w:rsid w:val="001C4002"/>
    <w:rsid w:val="001C44E0"/>
    <w:rsid w:val="001C45A6"/>
    <w:rsid w:val="001C46EA"/>
    <w:rsid w:val="001C57FE"/>
    <w:rsid w:val="001C62BD"/>
    <w:rsid w:val="001C6CAA"/>
    <w:rsid w:val="001C7CDF"/>
    <w:rsid w:val="001D063F"/>
    <w:rsid w:val="001D158D"/>
    <w:rsid w:val="001D1953"/>
    <w:rsid w:val="001D1C72"/>
    <w:rsid w:val="001D308A"/>
    <w:rsid w:val="001D34F9"/>
    <w:rsid w:val="001D35AA"/>
    <w:rsid w:val="001D39A1"/>
    <w:rsid w:val="001D4145"/>
    <w:rsid w:val="001D5538"/>
    <w:rsid w:val="001D6CC5"/>
    <w:rsid w:val="001D75C1"/>
    <w:rsid w:val="001D7BAA"/>
    <w:rsid w:val="001D7BB5"/>
    <w:rsid w:val="001E1A83"/>
    <w:rsid w:val="001E1E4B"/>
    <w:rsid w:val="001E27F2"/>
    <w:rsid w:val="001E2A03"/>
    <w:rsid w:val="001E4836"/>
    <w:rsid w:val="001E489E"/>
    <w:rsid w:val="001E4DD3"/>
    <w:rsid w:val="001E6C80"/>
    <w:rsid w:val="001E6F65"/>
    <w:rsid w:val="001E72E4"/>
    <w:rsid w:val="001E77DC"/>
    <w:rsid w:val="001F1468"/>
    <w:rsid w:val="001F1D2C"/>
    <w:rsid w:val="001F2C36"/>
    <w:rsid w:val="001F2E29"/>
    <w:rsid w:val="001F32E1"/>
    <w:rsid w:val="001F5049"/>
    <w:rsid w:val="001F57E8"/>
    <w:rsid w:val="001F73E3"/>
    <w:rsid w:val="00200B8A"/>
    <w:rsid w:val="00202BAD"/>
    <w:rsid w:val="002033B0"/>
    <w:rsid w:val="00203813"/>
    <w:rsid w:val="00203CBD"/>
    <w:rsid w:val="00204173"/>
    <w:rsid w:val="00204255"/>
    <w:rsid w:val="00204E0B"/>
    <w:rsid w:val="0020572E"/>
    <w:rsid w:val="002074C7"/>
    <w:rsid w:val="002076B2"/>
    <w:rsid w:val="002077D4"/>
    <w:rsid w:val="00210917"/>
    <w:rsid w:val="002109CC"/>
    <w:rsid w:val="00210A2F"/>
    <w:rsid w:val="00210C93"/>
    <w:rsid w:val="00210FF5"/>
    <w:rsid w:val="00211F2E"/>
    <w:rsid w:val="002121FB"/>
    <w:rsid w:val="002131E2"/>
    <w:rsid w:val="002132F3"/>
    <w:rsid w:val="00213854"/>
    <w:rsid w:val="0021389D"/>
    <w:rsid w:val="00215118"/>
    <w:rsid w:val="00215256"/>
    <w:rsid w:val="002153EE"/>
    <w:rsid w:val="00215753"/>
    <w:rsid w:val="00216140"/>
    <w:rsid w:val="00217077"/>
    <w:rsid w:val="00217D2C"/>
    <w:rsid w:val="00220417"/>
    <w:rsid w:val="002214F8"/>
    <w:rsid w:val="00221800"/>
    <w:rsid w:val="002219DE"/>
    <w:rsid w:val="00221E2B"/>
    <w:rsid w:val="00222143"/>
    <w:rsid w:val="00222549"/>
    <w:rsid w:val="0022331B"/>
    <w:rsid w:val="002234D2"/>
    <w:rsid w:val="00223D20"/>
    <w:rsid w:val="002245E7"/>
    <w:rsid w:val="00225ED0"/>
    <w:rsid w:val="00232FE0"/>
    <w:rsid w:val="0023434B"/>
    <w:rsid w:val="0023487B"/>
    <w:rsid w:val="00234B90"/>
    <w:rsid w:val="00234DDF"/>
    <w:rsid w:val="00235302"/>
    <w:rsid w:val="0023545C"/>
    <w:rsid w:val="00235928"/>
    <w:rsid w:val="002362B4"/>
    <w:rsid w:val="0023667C"/>
    <w:rsid w:val="002367A2"/>
    <w:rsid w:val="00236B19"/>
    <w:rsid w:val="00237206"/>
    <w:rsid w:val="00237FF3"/>
    <w:rsid w:val="0024050C"/>
    <w:rsid w:val="002416B2"/>
    <w:rsid w:val="00241D30"/>
    <w:rsid w:val="00242A57"/>
    <w:rsid w:val="002458CA"/>
    <w:rsid w:val="00245F3C"/>
    <w:rsid w:val="00246E62"/>
    <w:rsid w:val="0024774E"/>
    <w:rsid w:val="002478C0"/>
    <w:rsid w:val="00247A3F"/>
    <w:rsid w:val="00247CD9"/>
    <w:rsid w:val="00250461"/>
    <w:rsid w:val="002509F6"/>
    <w:rsid w:val="00252F64"/>
    <w:rsid w:val="002549ED"/>
    <w:rsid w:val="00254A27"/>
    <w:rsid w:val="00254C17"/>
    <w:rsid w:val="00255555"/>
    <w:rsid w:val="00255BF9"/>
    <w:rsid w:val="00256489"/>
    <w:rsid w:val="0025677D"/>
    <w:rsid w:val="00256852"/>
    <w:rsid w:val="00257583"/>
    <w:rsid w:val="00257B9B"/>
    <w:rsid w:val="00257C06"/>
    <w:rsid w:val="002600B8"/>
    <w:rsid w:val="00260567"/>
    <w:rsid w:val="002613F0"/>
    <w:rsid w:val="0026184C"/>
    <w:rsid w:val="00262C3E"/>
    <w:rsid w:val="00263D21"/>
    <w:rsid w:val="00265BF6"/>
    <w:rsid w:val="00267758"/>
    <w:rsid w:val="00267846"/>
    <w:rsid w:val="00267917"/>
    <w:rsid w:val="00270ABA"/>
    <w:rsid w:val="00270AC8"/>
    <w:rsid w:val="00270BEF"/>
    <w:rsid w:val="00271361"/>
    <w:rsid w:val="00272DBA"/>
    <w:rsid w:val="00273D91"/>
    <w:rsid w:val="00275801"/>
    <w:rsid w:val="00276E78"/>
    <w:rsid w:val="00277869"/>
    <w:rsid w:val="00277FAD"/>
    <w:rsid w:val="00280E3D"/>
    <w:rsid w:val="00281426"/>
    <w:rsid w:val="00282A91"/>
    <w:rsid w:val="00282EDB"/>
    <w:rsid w:val="002839B4"/>
    <w:rsid w:val="00284A1F"/>
    <w:rsid w:val="00284B14"/>
    <w:rsid w:val="002855A8"/>
    <w:rsid w:val="002858CB"/>
    <w:rsid w:val="00285F68"/>
    <w:rsid w:val="002865E2"/>
    <w:rsid w:val="00287327"/>
    <w:rsid w:val="00287CC0"/>
    <w:rsid w:val="00287D61"/>
    <w:rsid w:val="00287F07"/>
    <w:rsid w:val="0029021B"/>
    <w:rsid w:val="00290724"/>
    <w:rsid w:val="00290767"/>
    <w:rsid w:val="00291273"/>
    <w:rsid w:val="0029289B"/>
    <w:rsid w:val="00292953"/>
    <w:rsid w:val="00292C88"/>
    <w:rsid w:val="002935DA"/>
    <w:rsid w:val="00294734"/>
    <w:rsid w:val="00294C4F"/>
    <w:rsid w:val="0029596A"/>
    <w:rsid w:val="00297B9B"/>
    <w:rsid w:val="002A0A4D"/>
    <w:rsid w:val="002A143F"/>
    <w:rsid w:val="002A23F6"/>
    <w:rsid w:val="002A27AE"/>
    <w:rsid w:val="002A33CA"/>
    <w:rsid w:val="002A407B"/>
    <w:rsid w:val="002A40F4"/>
    <w:rsid w:val="002A4F61"/>
    <w:rsid w:val="002A5107"/>
    <w:rsid w:val="002A51D8"/>
    <w:rsid w:val="002A51F8"/>
    <w:rsid w:val="002A5465"/>
    <w:rsid w:val="002A56B4"/>
    <w:rsid w:val="002A6BF4"/>
    <w:rsid w:val="002A7308"/>
    <w:rsid w:val="002A787A"/>
    <w:rsid w:val="002B0084"/>
    <w:rsid w:val="002B0A91"/>
    <w:rsid w:val="002B0EFE"/>
    <w:rsid w:val="002B1551"/>
    <w:rsid w:val="002B1AA7"/>
    <w:rsid w:val="002B2125"/>
    <w:rsid w:val="002B2987"/>
    <w:rsid w:val="002B44A7"/>
    <w:rsid w:val="002B4F2E"/>
    <w:rsid w:val="002B5515"/>
    <w:rsid w:val="002B6782"/>
    <w:rsid w:val="002B6A7C"/>
    <w:rsid w:val="002B6AA8"/>
    <w:rsid w:val="002C01E9"/>
    <w:rsid w:val="002C49B8"/>
    <w:rsid w:val="002C4CBD"/>
    <w:rsid w:val="002C4F37"/>
    <w:rsid w:val="002C595B"/>
    <w:rsid w:val="002C68F3"/>
    <w:rsid w:val="002D0FFF"/>
    <w:rsid w:val="002D19BE"/>
    <w:rsid w:val="002D1CFB"/>
    <w:rsid w:val="002D255E"/>
    <w:rsid w:val="002D2A23"/>
    <w:rsid w:val="002D2B25"/>
    <w:rsid w:val="002D2E0E"/>
    <w:rsid w:val="002D307A"/>
    <w:rsid w:val="002D371F"/>
    <w:rsid w:val="002D3AA3"/>
    <w:rsid w:val="002D54A2"/>
    <w:rsid w:val="002D68BE"/>
    <w:rsid w:val="002D759B"/>
    <w:rsid w:val="002D7D28"/>
    <w:rsid w:val="002E12A6"/>
    <w:rsid w:val="002E207D"/>
    <w:rsid w:val="002E2385"/>
    <w:rsid w:val="002E3A85"/>
    <w:rsid w:val="002E459C"/>
    <w:rsid w:val="002E4F10"/>
    <w:rsid w:val="002E5AE6"/>
    <w:rsid w:val="002E5B85"/>
    <w:rsid w:val="002F0DC9"/>
    <w:rsid w:val="002F142C"/>
    <w:rsid w:val="002F167A"/>
    <w:rsid w:val="002F1C69"/>
    <w:rsid w:val="002F1DA5"/>
    <w:rsid w:val="002F1FD6"/>
    <w:rsid w:val="002F21B8"/>
    <w:rsid w:val="002F2219"/>
    <w:rsid w:val="002F27E5"/>
    <w:rsid w:val="002F2931"/>
    <w:rsid w:val="002F39BA"/>
    <w:rsid w:val="002F425E"/>
    <w:rsid w:val="002F5531"/>
    <w:rsid w:val="002F55C4"/>
    <w:rsid w:val="002F5DBB"/>
    <w:rsid w:val="002F6266"/>
    <w:rsid w:val="002F6F34"/>
    <w:rsid w:val="002F7004"/>
    <w:rsid w:val="002F7C47"/>
    <w:rsid w:val="003004C0"/>
    <w:rsid w:val="003016A8"/>
    <w:rsid w:val="0030369D"/>
    <w:rsid w:val="00303D1E"/>
    <w:rsid w:val="003052B5"/>
    <w:rsid w:val="0030654F"/>
    <w:rsid w:val="00307176"/>
    <w:rsid w:val="00307C2B"/>
    <w:rsid w:val="0031128C"/>
    <w:rsid w:val="00311354"/>
    <w:rsid w:val="0031207F"/>
    <w:rsid w:val="00312A64"/>
    <w:rsid w:val="00312B07"/>
    <w:rsid w:val="00312C5E"/>
    <w:rsid w:val="00314869"/>
    <w:rsid w:val="00315039"/>
    <w:rsid w:val="003151F1"/>
    <w:rsid w:val="003156AE"/>
    <w:rsid w:val="00315782"/>
    <w:rsid w:val="00316D79"/>
    <w:rsid w:val="00317701"/>
    <w:rsid w:val="00317DFB"/>
    <w:rsid w:val="0032014A"/>
    <w:rsid w:val="00320BB5"/>
    <w:rsid w:val="00320E91"/>
    <w:rsid w:val="00321187"/>
    <w:rsid w:val="00322AC0"/>
    <w:rsid w:val="00322EB5"/>
    <w:rsid w:val="0032419F"/>
    <w:rsid w:val="00324515"/>
    <w:rsid w:val="00325465"/>
    <w:rsid w:val="00325DA0"/>
    <w:rsid w:val="00326083"/>
    <w:rsid w:val="0032642C"/>
    <w:rsid w:val="00327877"/>
    <w:rsid w:val="003304FC"/>
    <w:rsid w:val="0033072C"/>
    <w:rsid w:val="00332221"/>
    <w:rsid w:val="003327BC"/>
    <w:rsid w:val="00332FD6"/>
    <w:rsid w:val="00333CC4"/>
    <w:rsid w:val="00333FCA"/>
    <w:rsid w:val="0033425E"/>
    <w:rsid w:val="00334543"/>
    <w:rsid w:val="00335037"/>
    <w:rsid w:val="003361AE"/>
    <w:rsid w:val="00336C5A"/>
    <w:rsid w:val="00337523"/>
    <w:rsid w:val="00337B9F"/>
    <w:rsid w:val="003401CF"/>
    <w:rsid w:val="003401F3"/>
    <w:rsid w:val="00340FEB"/>
    <w:rsid w:val="0034131D"/>
    <w:rsid w:val="00341441"/>
    <w:rsid w:val="00341A4A"/>
    <w:rsid w:val="00341AF8"/>
    <w:rsid w:val="00342E67"/>
    <w:rsid w:val="003432E0"/>
    <w:rsid w:val="003445A6"/>
    <w:rsid w:val="00345011"/>
    <w:rsid w:val="00345641"/>
    <w:rsid w:val="00345DF5"/>
    <w:rsid w:val="00345FC9"/>
    <w:rsid w:val="003478E0"/>
    <w:rsid w:val="003516BA"/>
    <w:rsid w:val="00351820"/>
    <w:rsid w:val="00351D4D"/>
    <w:rsid w:val="003529BE"/>
    <w:rsid w:val="00353221"/>
    <w:rsid w:val="003538C4"/>
    <w:rsid w:val="003538CF"/>
    <w:rsid w:val="0035394B"/>
    <w:rsid w:val="00353C85"/>
    <w:rsid w:val="0035411A"/>
    <w:rsid w:val="0035478C"/>
    <w:rsid w:val="00354A83"/>
    <w:rsid w:val="00354C6E"/>
    <w:rsid w:val="003553E5"/>
    <w:rsid w:val="003564AB"/>
    <w:rsid w:val="00356676"/>
    <w:rsid w:val="00356AD4"/>
    <w:rsid w:val="003577A2"/>
    <w:rsid w:val="00357928"/>
    <w:rsid w:val="00360699"/>
    <w:rsid w:val="00360913"/>
    <w:rsid w:val="00360D67"/>
    <w:rsid w:val="0036126C"/>
    <w:rsid w:val="00361720"/>
    <w:rsid w:val="00361CAE"/>
    <w:rsid w:val="003637A5"/>
    <w:rsid w:val="003638A9"/>
    <w:rsid w:val="003648B6"/>
    <w:rsid w:val="00366A21"/>
    <w:rsid w:val="00366ED4"/>
    <w:rsid w:val="00367079"/>
    <w:rsid w:val="00370695"/>
    <w:rsid w:val="003711A1"/>
    <w:rsid w:val="00371AC2"/>
    <w:rsid w:val="00371E7B"/>
    <w:rsid w:val="00372D2E"/>
    <w:rsid w:val="00373488"/>
    <w:rsid w:val="00373B32"/>
    <w:rsid w:val="00373B73"/>
    <w:rsid w:val="003740C9"/>
    <w:rsid w:val="00375269"/>
    <w:rsid w:val="00375369"/>
    <w:rsid w:val="00375E48"/>
    <w:rsid w:val="00376C94"/>
    <w:rsid w:val="00377A80"/>
    <w:rsid w:val="00377AD2"/>
    <w:rsid w:val="00377D7E"/>
    <w:rsid w:val="0038009B"/>
    <w:rsid w:val="00380A86"/>
    <w:rsid w:val="00382058"/>
    <w:rsid w:val="003827E3"/>
    <w:rsid w:val="00382AA2"/>
    <w:rsid w:val="00383172"/>
    <w:rsid w:val="003847DC"/>
    <w:rsid w:val="00390A14"/>
    <w:rsid w:val="003916DE"/>
    <w:rsid w:val="00391B33"/>
    <w:rsid w:val="0039215F"/>
    <w:rsid w:val="00392486"/>
    <w:rsid w:val="0039593F"/>
    <w:rsid w:val="003A018D"/>
    <w:rsid w:val="003A060E"/>
    <w:rsid w:val="003A07D1"/>
    <w:rsid w:val="003A15E4"/>
    <w:rsid w:val="003A19DF"/>
    <w:rsid w:val="003A1A79"/>
    <w:rsid w:val="003A26FB"/>
    <w:rsid w:val="003A2C91"/>
    <w:rsid w:val="003A3B63"/>
    <w:rsid w:val="003A3CDF"/>
    <w:rsid w:val="003A50D4"/>
    <w:rsid w:val="003A5854"/>
    <w:rsid w:val="003A5FCF"/>
    <w:rsid w:val="003B06D3"/>
    <w:rsid w:val="003B1E64"/>
    <w:rsid w:val="003B2DD8"/>
    <w:rsid w:val="003B483E"/>
    <w:rsid w:val="003B4C85"/>
    <w:rsid w:val="003B5149"/>
    <w:rsid w:val="003B736A"/>
    <w:rsid w:val="003C04C3"/>
    <w:rsid w:val="003C16A3"/>
    <w:rsid w:val="003C1722"/>
    <w:rsid w:val="003C31BC"/>
    <w:rsid w:val="003C3482"/>
    <w:rsid w:val="003C50C9"/>
    <w:rsid w:val="003C5F35"/>
    <w:rsid w:val="003C5FCB"/>
    <w:rsid w:val="003C7AD3"/>
    <w:rsid w:val="003C7FF6"/>
    <w:rsid w:val="003D0389"/>
    <w:rsid w:val="003D073E"/>
    <w:rsid w:val="003D0B4C"/>
    <w:rsid w:val="003D1763"/>
    <w:rsid w:val="003D1CA3"/>
    <w:rsid w:val="003D2180"/>
    <w:rsid w:val="003D236F"/>
    <w:rsid w:val="003D421B"/>
    <w:rsid w:val="003D53D1"/>
    <w:rsid w:val="003D5C1F"/>
    <w:rsid w:val="003D61C1"/>
    <w:rsid w:val="003D6EA3"/>
    <w:rsid w:val="003E00F6"/>
    <w:rsid w:val="003E020A"/>
    <w:rsid w:val="003E09D5"/>
    <w:rsid w:val="003E2D93"/>
    <w:rsid w:val="003E3B68"/>
    <w:rsid w:val="003E461C"/>
    <w:rsid w:val="003E646C"/>
    <w:rsid w:val="003E78A4"/>
    <w:rsid w:val="003E7D84"/>
    <w:rsid w:val="003E7FAF"/>
    <w:rsid w:val="003F06A1"/>
    <w:rsid w:val="003F0CA2"/>
    <w:rsid w:val="003F0D00"/>
    <w:rsid w:val="003F0D5D"/>
    <w:rsid w:val="003F1C31"/>
    <w:rsid w:val="003F247F"/>
    <w:rsid w:val="003F287E"/>
    <w:rsid w:val="003F3ACD"/>
    <w:rsid w:val="003F498F"/>
    <w:rsid w:val="003F533D"/>
    <w:rsid w:val="003F54CB"/>
    <w:rsid w:val="003F6578"/>
    <w:rsid w:val="003F65BC"/>
    <w:rsid w:val="003F771B"/>
    <w:rsid w:val="004000E0"/>
    <w:rsid w:val="004006B3"/>
    <w:rsid w:val="00400784"/>
    <w:rsid w:val="00400CA4"/>
    <w:rsid w:val="00400FD2"/>
    <w:rsid w:val="00401676"/>
    <w:rsid w:val="004022E5"/>
    <w:rsid w:val="00402AEA"/>
    <w:rsid w:val="00404FFE"/>
    <w:rsid w:val="00405FF7"/>
    <w:rsid w:val="00406167"/>
    <w:rsid w:val="00406758"/>
    <w:rsid w:val="004074BA"/>
    <w:rsid w:val="00407D4B"/>
    <w:rsid w:val="004107B7"/>
    <w:rsid w:val="00410AF7"/>
    <w:rsid w:val="004114B0"/>
    <w:rsid w:val="004122A8"/>
    <w:rsid w:val="00413CD3"/>
    <w:rsid w:val="00413DDA"/>
    <w:rsid w:val="00414E41"/>
    <w:rsid w:val="004156DD"/>
    <w:rsid w:val="004156FF"/>
    <w:rsid w:val="00415A34"/>
    <w:rsid w:val="00415B66"/>
    <w:rsid w:val="004169C1"/>
    <w:rsid w:val="00416DAC"/>
    <w:rsid w:val="00417314"/>
    <w:rsid w:val="00417C69"/>
    <w:rsid w:val="00420792"/>
    <w:rsid w:val="0042094D"/>
    <w:rsid w:val="00421108"/>
    <w:rsid w:val="004228CF"/>
    <w:rsid w:val="004233F5"/>
    <w:rsid w:val="00423638"/>
    <w:rsid w:val="00423920"/>
    <w:rsid w:val="0042395D"/>
    <w:rsid w:val="00423E04"/>
    <w:rsid w:val="004244A9"/>
    <w:rsid w:val="0042490A"/>
    <w:rsid w:val="004253BD"/>
    <w:rsid w:val="00425977"/>
    <w:rsid w:val="004260C1"/>
    <w:rsid w:val="004268E4"/>
    <w:rsid w:val="0043100F"/>
    <w:rsid w:val="004317E9"/>
    <w:rsid w:val="00431C92"/>
    <w:rsid w:val="00432F83"/>
    <w:rsid w:val="00433C5E"/>
    <w:rsid w:val="00433CC9"/>
    <w:rsid w:val="00434814"/>
    <w:rsid w:val="00434E86"/>
    <w:rsid w:val="00435A7C"/>
    <w:rsid w:val="00435DFB"/>
    <w:rsid w:val="00435FB9"/>
    <w:rsid w:val="00436B91"/>
    <w:rsid w:val="00441796"/>
    <w:rsid w:val="00443054"/>
    <w:rsid w:val="00444670"/>
    <w:rsid w:val="00444714"/>
    <w:rsid w:val="00444922"/>
    <w:rsid w:val="00444D36"/>
    <w:rsid w:val="004455F2"/>
    <w:rsid w:val="00446AAA"/>
    <w:rsid w:val="0045089C"/>
    <w:rsid w:val="004513AF"/>
    <w:rsid w:val="0045200D"/>
    <w:rsid w:val="00452A57"/>
    <w:rsid w:val="004537CC"/>
    <w:rsid w:val="004542B6"/>
    <w:rsid w:val="00454D8F"/>
    <w:rsid w:val="0045532A"/>
    <w:rsid w:val="004559F0"/>
    <w:rsid w:val="00457476"/>
    <w:rsid w:val="004576C3"/>
    <w:rsid w:val="00457A68"/>
    <w:rsid w:val="00457DA6"/>
    <w:rsid w:val="00461CF9"/>
    <w:rsid w:val="00463360"/>
    <w:rsid w:val="00463831"/>
    <w:rsid w:val="00463CD7"/>
    <w:rsid w:val="00464A12"/>
    <w:rsid w:val="00465688"/>
    <w:rsid w:val="00466FA9"/>
    <w:rsid w:val="004678CE"/>
    <w:rsid w:val="00471A96"/>
    <w:rsid w:val="00471B20"/>
    <w:rsid w:val="00472B4F"/>
    <w:rsid w:val="00473D97"/>
    <w:rsid w:val="00473DBD"/>
    <w:rsid w:val="00474317"/>
    <w:rsid w:val="004748C5"/>
    <w:rsid w:val="00474C0A"/>
    <w:rsid w:val="0047541A"/>
    <w:rsid w:val="0047549D"/>
    <w:rsid w:val="004757A0"/>
    <w:rsid w:val="00476392"/>
    <w:rsid w:val="004771A9"/>
    <w:rsid w:val="0047779B"/>
    <w:rsid w:val="00477D77"/>
    <w:rsid w:val="0048017D"/>
    <w:rsid w:val="00480CE0"/>
    <w:rsid w:val="00480F5D"/>
    <w:rsid w:val="00481577"/>
    <w:rsid w:val="00483E22"/>
    <w:rsid w:val="00484835"/>
    <w:rsid w:val="00484931"/>
    <w:rsid w:val="00484DA3"/>
    <w:rsid w:val="0048502E"/>
    <w:rsid w:val="0048664D"/>
    <w:rsid w:val="00487B00"/>
    <w:rsid w:val="00487EE5"/>
    <w:rsid w:val="004903FD"/>
    <w:rsid w:val="00490645"/>
    <w:rsid w:val="0049084B"/>
    <w:rsid w:val="0049203C"/>
    <w:rsid w:val="0049250A"/>
    <w:rsid w:val="00492C8F"/>
    <w:rsid w:val="00493F47"/>
    <w:rsid w:val="004951C5"/>
    <w:rsid w:val="004960D5"/>
    <w:rsid w:val="004963AD"/>
    <w:rsid w:val="00496949"/>
    <w:rsid w:val="0049717B"/>
    <w:rsid w:val="0049728C"/>
    <w:rsid w:val="00497437"/>
    <w:rsid w:val="00497C57"/>
    <w:rsid w:val="004A0CB9"/>
    <w:rsid w:val="004A334D"/>
    <w:rsid w:val="004A33D3"/>
    <w:rsid w:val="004A3805"/>
    <w:rsid w:val="004A38F6"/>
    <w:rsid w:val="004A46D4"/>
    <w:rsid w:val="004A5077"/>
    <w:rsid w:val="004A5EA1"/>
    <w:rsid w:val="004A5EB2"/>
    <w:rsid w:val="004A6038"/>
    <w:rsid w:val="004A6150"/>
    <w:rsid w:val="004A74E8"/>
    <w:rsid w:val="004A7B81"/>
    <w:rsid w:val="004B0BEA"/>
    <w:rsid w:val="004B0EAA"/>
    <w:rsid w:val="004B1029"/>
    <w:rsid w:val="004B21C0"/>
    <w:rsid w:val="004B2F0E"/>
    <w:rsid w:val="004B3151"/>
    <w:rsid w:val="004B3E6A"/>
    <w:rsid w:val="004B4C30"/>
    <w:rsid w:val="004B5716"/>
    <w:rsid w:val="004B587A"/>
    <w:rsid w:val="004B5F87"/>
    <w:rsid w:val="004B6317"/>
    <w:rsid w:val="004B6F83"/>
    <w:rsid w:val="004B7F74"/>
    <w:rsid w:val="004C0306"/>
    <w:rsid w:val="004C0428"/>
    <w:rsid w:val="004C0640"/>
    <w:rsid w:val="004C0919"/>
    <w:rsid w:val="004C09D9"/>
    <w:rsid w:val="004C0F2F"/>
    <w:rsid w:val="004C1522"/>
    <w:rsid w:val="004C2111"/>
    <w:rsid w:val="004C27D8"/>
    <w:rsid w:val="004C4283"/>
    <w:rsid w:val="004C45CB"/>
    <w:rsid w:val="004C49BA"/>
    <w:rsid w:val="004C517F"/>
    <w:rsid w:val="004C51B9"/>
    <w:rsid w:val="004C5250"/>
    <w:rsid w:val="004C526E"/>
    <w:rsid w:val="004C5293"/>
    <w:rsid w:val="004C5FF1"/>
    <w:rsid w:val="004C6BC5"/>
    <w:rsid w:val="004C73FD"/>
    <w:rsid w:val="004D10FC"/>
    <w:rsid w:val="004D2CED"/>
    <w:rsid w:val="004D2D38"/>
    <w:rsid w:val="004D35E5"/>
    <w:rsid w:val="004D3EAC"/>
    <w:rsid w:val="004D4263"/>
    <w:rsid w:val="004D47EA"/>
    <w:rsid w:val="004D4CE9"/>
    <w:rsid w:val="004D6673"/>
    <w:rsid w:val="004D781C"/>
    <w:rsid w:val="004E0B5F"/>
    <w:rsid w:val="004E15D5"/>
    <w:rsid w:val="004E1768"/>
    <w:rsid w:val="004E295D"/>
    <w:rsid w:val="004E2B00"/>
    <w:rsid w:val="004E306B"/>
    <w:rsid w:val="004E33C3"/>
    <w:rsid w:val="004E4054"/>
    <w:rsid w:val="004E5240"/>
    <w:rsid w:val="004E6FCF"/>
    <w:rsid w:val="004E7336"/>
    <w:rsid w:val="004F0711"/>
    <w:rsid w:val="004F094C"/>
    <w:rsid w:val="004F0FBF"/>
    <w:rsid w:val="004F2C39"/>
    <w:rsid w:val="004F34A8"/>
    <w:rsid w:val="004F361E"/>
    <w:rsid w:val="004F38E6"/>
    <w:rsid w:val="004F3B51"/>
    <w:rsid w:val="004F3C21"/>
    <w:rsid w:val="004F4E0B"/>
    <w:rsid w:val="004F50B7"/>
    <w:rsid w:val="004F51DE"/>
    <w:rsid w:val="004F5522"/>
    <w:rsid w:val="004F567B"/>
    <w:rsid w:val="004F59CA"/>
    <w:rsid w:val="004F61A2"/>
    <w:rsid w:val="004F6217"/>
    <w:rsid w:val="004F6E63"/>
    <w:rsid w:val="004F6F73"/>
    <w:rsid w:val="004F76F7"/>
    <w:rsid w:val="00500405"/>
    <w:rsid w:val="005006C9"/>
    <w:rsid w:val="005014E8"/>
    <w:rsid w:val="005025E7"/>
    <w:rsid w:val="00502832"/>
    <w:rsid w:val="00502B6A"/>
    <w:rsid w:val="0050338F"/>
    <w:rsid w:val="005047D6"/>
    <w:rsid w:val="005050E1"/>
    <w:rsid w:val="00505997"/>
    <w:rsid w:val="00505CBF"/>
    <w:rsid w:val="005060D0"/>
    <w:rsid w:val="005064BC"/>
    <w:rsid w:val="00506725"/>
    <w:rsid w:val="00507386"/>
    <w:rsid w:val="005073EF"/>
    <w:rsid w:val="00510049"/>
    <w:rsid w:val="00510645"/>
    <w:rsid w:val="0051183C"/>
    <w:rsid w:val="00511A97"/>
    <w:rsid w:val="00512B55"/>
    <w:rsid w:val="00513DE8"/>
    <w:rsid w:val="00513FBD"/>
    <w:rsid w:val="00515A0E"/>
    <w:rsid w:val="00516030"/>
    <w:rsid w:val="005200FB"/>
    <w:rsid w:val="00520459"/>
    <w:rsid w:val="005207F6"/>
    <w:rsid w:val="00520FB2"/>
    <w:rsid w:val="00521563"/>
    <w:rsid w:val="00521BED"/>
    <w:rsid w:val="00521F94"/>
    <w:rsid w:val="00523D80"/>
    <w:rsid w:val="00524565"/>
    <w:rsid w:val="005246FB"/>
    <w:rsid w:val="005249E3"/>
    <w:rsid w:val="00525A86"/>
    <w:rsid w:val="0052613D"/>
    <w:rsid w:val="005262E2"/>
    <w:rsid w:val="005264F8"/>
    <w:rsid w:val="00526ADE"/>
    <w:rsid w:val="0052710A"/>
    <w:rsid w:val="00530EC7"/>
    <w:rsid w:val="00531BEE"/>
    <w:rsid w:val="00531E06"/>
    <w:rsid w:val="0053240B"/>
    <w:rsid w:val="00532A36"/>
    <w:rsid w:val="00532F8A"/>
    <w:rsid w:val="00533622"/>
    <w:rsid w:val="00533899"/>
    <w:rsid w:val="0053434A"/>
    <w:rsid w:val="00535762"/>
    <w:rsid w:val="00535DEF"/>
    <w:rsid w:val="00537069"/>
    <w:rsid w:val="00540025"/>
    <w:rsid w:val="0054015D"/>
    <w:rsid w:val="005412EE"/>
    <w:rsid w:val="00541D23"/>
    <w:rsid w:val="00543D14"/>
    <w:rsid w:val="005444CA"/>
    <w:rsid w:val="00544F85"/>
    <w:rsid w:val="00545293"/>
    <w:rsid w:val="00545565"/>
    <w:rsid w:val="00546038"/>
    <w:rsid w:val="00546343"/>
    <w:rsid w:val="0054687B"/>
    <w:rsid w:val="005477FA"/>
    <w:rsid w:val="00547A44"/>
    <w:rsid w:val="00547C05"/>
    <w:rsid w:val="00550B3C"/>
    <w:rsid w:val="005518FA"/>
    <w:rsid w:val="00551952"/>
    <w:rsid w:val="00551B51"/>
    <w:rsid w:val="0055214C"/>
    <w:rsid w:val="00552A19"/>
    <w:rsid w:val="0055366E"/>
    <w:rsid w:val="00553D3E"/>
    <w:rsid w:val="00553D47"/>
    <w:rsid w:val="0055443C"/>
    <w:rsid w:val="00554990"/>
    <w:rsid w:val="00554AB3"/>
    <w:rsid w:val="00556D8C"/>
    <w:rsid w:val="00556DDB"/>
    <w:rsid w:val="00556E0A"/>
    <w:rsid w:val="0055787B"/>
    <w:rsid w:val="00560B97"/>
    <w:rsid w:val="00560EE4"/>
    <w:rsid w:val="0056126A"/>
    <w:rsid w:val="00562046"/>
    <w:rsid w:val="005639C3"/>
    <w:rsid w:val="005645DA"/>
    <w:rsid w:val="00564D75"/>
    <w:rsid w:val="00565B91"/>
    <w:rsid w:val="00565E66"/>
    <w:rsid w:val="00565FB1"/>
    <w:rsid w:val="00566479"/>
    <w:rsid w:val="00566E53"/>
    <w:rsid w:val="005674FB"/>
    <w:rsid w:val="005710E6"/>
    <w:rsid w:val="00571D7C"/>
    <w:rsid w:val="00571FD2"/>
    <w:rsid w:val="0057477A"/>
    <w:rsid w:val="00575360"/>
    <w:rsid w:val="005754AC"/>
    <w:rsid w:val="00576111"/>
    <w:rsid w:val="005800DE"/>
    <w:rsid w:val="005809E3"/>
    <w:rsid w:val="005810FE"/>
    <w:rsid w:val="00581C05"/>
    <w:rsid w:val="005826A4"/>
    <w:rsid w:val="00582A41"/>
    <w:rsid w:val="00582B6E"/>
    <w:rsid w:val="00584270"/>
    <w:rsid w:val="005847BC"/>
    <w:rsid w:val="00584C94"/>
    <w:rsid w:val="00584D21"/>
    <w:rsid w:val="005851D0"/>
    <w:rsid w:val="00585A86"/>
    <w:rsid w:val="005860E4"/>
    <w:rsid w:val="00587B89"/>
    <w:rsid w:val="00587EC3"/>
    <w:rsid w:val="00591F70"/>
    <w:rsid w:val="00592210"/>
    <w:rsid w:val="00592724"/>
    <w:rsid w:val="0059380A"/>
    <w:rsid w:val="00593B36"/>
    <w:rsid w:val="00594524"/>
    <w:rsid w:val="005947D2"/>
    <w:rsid w:val="005965AA"/>
    <w:rsid w:val="00596F5B"/>
    <w:rsid w:val="005976A6"/>
    <w:rsid w:val="005977CE"/>
    <w:rsid w:val="005979F2"/>
    <w:rsid w:val="005A00BC"/>
    <w:rsid w:val="005A053C"/>
    <w:rsid w:val="005A08E2"/>
    <w:rsid w:val="005A10AD"/>
    <w:rsid w:val="005A17C1"/>
    <w:rsid w:val="005A42B3"/>
    <w:rsid w:val="005A453B"/>
    <w:rsid w:val="005A485D"/>
    <w:rsid w:val="005A569C"/>
    <w:rsid w:val="005A7B38"/>
    <w:rsid w:val="005B0E97"/>
    <w:rsid w:val="005B1512"/>
    <w:rsid w:val="005B2691"/>
    <w:rsid w:val="005B30FB"/>
    <w:rsid w:val="005B3245"/>
    <w:rsid w:val="005B328A"/>
    <w:rsid w:val="005B6345"/>
    <w:rsid w:val="005B6DD2"/>
    <w:rsid w:val="005B6F56"/>
    <w:rsid w:val="005B6F5A"/>
    <w:rsid w:val="005B709A"/>
    <w:rsid w:val="005B7331"/>
    <w:rsid w:val="005B79EF"/>
    <w:rsid w:val="005B7B2A"/>
    <w:rsid w:val="005C01C6"/>
    <w:rsid w:val="005C0B7A"/>
    <w:rsid w:val="005C0FAB"/>
    <w:rsid w:val="005C2B1C"/>
    <w:rsid w:val="005C3632"/>
    <w:rsid w:val="005C4125"/>
    <w:rsid w:val="005C4587"/>
    <w:rsid w:val="005C6EDC"/>
    <w:rsid w:val="005D1B3A"/>
    <w:rsid w:val="005D1E11"/>
    <w:rsid w:val="005D1E58"/>
    <w:rsid w:val="005D1FBF"/>
    <w:rsid w:val="005D28DF"/>
    <w:rsid w:val="005D454A"/>
    <w:rsid w:val="005D4821"/>
    <w:rsid w:val="005D4CA4"/>
    <w:rsid w:val="005D5B24"/>
    <w:rsid w:val="005D672F"/>
    <w:rsid w:val="005D750A"/>
    <w:rsid w:val="005D7AC9"/>
    <w:rsid w:val="005E033A"/>
    <w:rsid w:val="005E0941"/>
    <w:rsid w:val="005E09C7"/>
    <w:rsid w:val="005E1A5B"/>
    <w:rsid w:val="005E231B"/>
    <w:rsid w:val="005E2725"/>
    <w:rsid w:val="005E307C"/>
    <w:rsid w:val="005E36C4"/>
    <w:rsid w:val="005E647A"/>
    <w:rsid w:val="005E654B"/>
    <w:rsid w:val="005E6A86"/>
    <w:rsid w:val="005E6B00"/>
    <w:rsid w:val="005E708C"/>
    <w:rsid w:val="005E712E"/>
    <w:rsid w:val="005E79F5"/>
    <w:rsid w:val="005E7D01"/>
    <w:rsid w:val="005F11AA"/>
    <w:rsid w:val="005F1919"/>
    <w:rsid w:val="005F1D5C"/>
    <w:rsid w:val="005F232F"/>
    <w:rsid w:val="005F321F"/>
    <w:rsid w:val="005F4EBD"/>
    <w:rsid w:val="005F530B"/>
    <w:rsid w:val="005F590F"/>
    <w:rsid w:val="005F623C"/>
    <w:rsid w:val="005F6525"/>
    <w:rsid w:val="005F7BC5"/>
    <w:rsid w:val="006003D7"/>
    <w:rsid w:val="00600BB5"/>
    <w:rsid w:val="006014DB"/>
    <w:rsid w:val="006042FA"/>
    <w:rsid w:val="0060635D"/>
    <w:rsid w:val="00607924"/>
    <w:rsid w:val="006108EE"/>
    <w:rsid w:val="00611C7D"/>
    <w:rsid w:val="006121E6"/>
    <w:rsid w:val="006140F3"/>
    <w:rsid w:val="00614CD6"/>
    <w:rsid w:val="00615A26"/>
    <w:rsid w:val="00615A2E"/>
    <w:rsid w:val="00620EE4"/>
    <w:rsid w:val="00623A9C"/>
    <w:rsid w:val="0062428C"/>
    <w:rsid w:val="0062429B"/>
    <w:rsid w:val="00624805"/>
    <w:rsid w:val="00625A02"/>
    <w:rsid w:val="00625AE7"/>
    <w:rsid w:val="00630415"/>
    <w:rsid w:val="006325C7"/>
    <w:rsid w:val="00633139"/>
    <w:rsid w:val="0063358D"/>
    <w:rsid w:val="006345CE"/>
    <w:rsid w:val="006353B1"/>
    <w:rsid w:val="006354F8"/>
    <w:rsid w:val="00637C2D"/>
    <w:rsid w:val="00640B08"/>
    <w:rsid w:val="00641F45"/>
    <w:rsid w:val="00642CC9"/>
    <w:rsid w:val="00644079"/>
    <w:rsid w:val="00644124"/>
    <w:rsid w:val="0064422E"/>
    <w:rsid w:val="00644768"/>
    <w:rsid w:val="00645127"/>
    <w:rsid w:val="00645926"/>
    <w:rsid w:val="0064648C"/>
    <w:rsid w:val="00646B58"/>
    <w:rsid w:val="00646BEB"/>
    <w:rsid w:val="00646CCB"/>
    <w:rsid w:val="00646E28"/>
    <w:rsid w:val="0065199F"/>
    <w:rsid w:val="006521B2"/>
    <w:rsid w:val="006532B4"/>
    <w:rsid w:val="0065351F"/>
    <w:rsid w:val="00653DAD"/>
    <w:rsid w:val="00656339"/>
    <w:rsid w:val="0065675E"/>
    <w:rsid w:val="00657030"/>
    <w:rsid w:val="006608F1"/>
    <w:rsid w:val="00660B06"/>
    <w:rsid w:val="00660C1B"/>
    <w:rsid w:val="00660E5B"/>
    <w:rsid w:val="0066192D"/>
    <w:rsid w:val="00662993"/>
    <w:rsid w:val="00662C01"/>
    <w:rsid w:val="00663874"/>
    <w:rsid w:val="00663B24"/>
    <w:rsid w:val="00664167"/>
    <w:rsid w:val="00664EE2"/>
    <w:rsid w:val="00664EE4"/>
    <w:rsid w:val="00665365"/>
    <w:rsid w:val="00665C01"/>
    <w:rsid w:val="00665D6C"/>
    <w:rsid w:val="0066697F"/>
    <w:rsid w:val="006675A7"/>
    <w:rsid w:val="00667C59"/>
    <w:rsid w:val="0067002C"/>
    <w:rsid w:val="00670AEB"/>
    <w:rsid w:val="00670BB2"/>
    <w:rsid w:val="00670D99"/>
    <w:rsid w:val="00671837"/>
    <w:rsid w:val="00672D7C"/>
    <w:rsid w:val="00673AF8"/>
    <w:rsid w:val="00673B28"/>
    <w:rsid w:val="006741D7"/>
    <w:rsid w:val="00674F70"/>
    <w:rsid w:val="00675836"/>
    <w:rsid w:val="00675F43"/>
    <w:rsid w:val="00677315"/>
    <w:rsid w:val="00677720"/>
    <w:rsid w:val="00680304"/>
    <w:rsid w:val="00680AF4"/>
    <w:rsid w:val="006811EF"/>
    <w:rsid w:val="0068124D"/>
    <w:rsid w:val="00681E06"/>
    <w:rsid w:val="00681F3E"/>
    <w:rsid w:val="00682612"/>
    <w:rsid w:val="0068332B"/>
    <w:rsid w:val="00683A3A"/>
    <w:rsid w:val="00683DF4"/>
    <w:rsid w:val="00683F6B"/>
    <w:rsid w:val="006841B2"/>
    <w:rsid w:val="006851B1"/>
    <w:rsid w:val="0068575A"/>
    <w:rsid w:val="00685792"/>
    <w:rsid w:val="00685C63"/>
    <w:rsid w:val="006863DE"/>
    <w:rsid w:val="00686729"/>
    <w:rsid w:val="00687549"/>
    <w:rsid w:val="006879C6"/>
    <w:rsid w:val="00687C33"/>
    <w:rsid w:val="00693567"/>
    <w:rsid w:val="006936A2"/>
    <w:rsid w:val="00693826"/>
    <w:rsid w:val="00694C49"/>
    <w:rsid w:val="00694F01"/>
    <w:rsid w:val="006954FE"/>
    <w:rsid w:val="006955B0"/>
    <w:rsid w:val="006960E4"/>
    <w:rsid w:val="00696202"/>
    <w:rsid w:val="00696451"/>
    <w:rsid w:val="0069745E"/>
    <w:rsid w:val="006974A5"/>
    <w:rsid w:val="00697815"/>
    <w:rsid w:val="00697E55"/>
    <w:rsid w:val="00697F65"/>
    <w:rsid w:val="006A01AD"/>
    <w:rsid w:val="006A1957"/>
    <w:rsid w:val="006A29F4"/>
    <w:rsid w:val="006A2CB0"/>
    <w:rsid w:val="006A35D9"/>
    <w:rsid w:val="006A38D8"/>
    <w:rsid w:val="006A409E"/>
    <w:rsid w:val="006A42E4"/>
    <w:rsid w:val="006A48A0"/>
    <w:rsid w:val="006A49AE"/>
    <w:rsid w:val="006A4C36"/>
    <w:rsid w:val="006A4E0B"/>
    <w:rsid w:val="006A5922"/>
    <w:rsid w:val="006A5BDE"/>
    <w:rsid w:val="006A72DB"/>
    <w:rsid w:val="006B02B6"/>
    <w:rsid w:val="006B0C53"/>
    <w:rsid w:val="006B0CAA"/>
    <w:rsid w:val="006B12C4"/>
    <w:rsid w:val="006B140F"/>
    <w:rsid w:val="006B22E3"/>
    <w:rsid w:val="006B25FF"/>
    <w:rsid w:val="006B2655"/>
    <w:rsid w:val="006B2E16"/>
    <w:rsid w:val="006B33B9"/>
    <w:rsid w:val="006B3A47"/>
    <w:rsid w:val="006B47E3"/>
    <w:rsid w:val="006B488E"/>
    <w:rsid w:val="006B4A48"/>
    <w:rsid w:val="006B4BB5"/>
    <w:rsid w:val="006B5229"/>
    <w:rsid w:val="006B531B"/>
    <w:rsid w:val="006B670E"/>
    <w:rsid w:val="006B703C"/>
    <w:rsid w:val="006B7D34"/>
    <w:rsid w:val="006B7F0A"/>
    <w:rsid w:val="006C120F"/>
    <w:rsid w:val="006C1937"/>
    <w:rsid w:val="006C27E7"/>
    <w:rsid w:val="006C4B00"/>
    <w:rsid w:val="006C553A"/>
    <w:rsid w:val="006C5A9C"/>
    <w:rsid w:val="006C5FB5"/>
    <w:rsid w:val="006C62C2"/>
    <w:rsid w:val="006C66F7"/>
    <w:rsid w:val="006D0EA1"/>
    <w:rsid w:val="006D1D39"/>
    <w:rsid w:val="006D247B"/>
    <w:rsid w:val="006D2641"/>
    <w:rsid w:val="006D3A34"/>
    <w:rsid w:val="006D47E5"/>
    <w:rsid w:val="006D5035"/>
    <w:rsid w:val="006D5977"/>
    <w:rsid w:val="006D5CC1"/>
    <w:rsid w:val="006D64BD"/>
    <w:rsid w:val="006D670E"/>
    <w:rsid w:val="006D749F"/>
    <w:rsid w:val="006D7971"/>
    <w:rsid w:val="006D7E3B"/>
    <w:rsid w:val="006E075F"/>
    <w:rsid w:val="006E0F7E"/>
    <w:rsid w:val="006E10A3"/>
    <w:rsid w:val="006E20FB"/>
    <w:rsid w:val="006E23CE"/>
    <w:rsid w:val="006E2C5D"/>
    <w:rsid w:val="006E2F60"/>
    <w:rsid w:val="006E30F9"/>
    <w:rsid w:val="006E37D9"/>
    <w:rsid w:val="006E3A3C"/>
    <w:rsid w:val="006E3AB7"/>
    <w:rsid w:val="006E573E"/>
    <w:rsid w:val="006E7A2C"/>
    <w:rsid w:val="006F0DC7"/>
    <w:rsid w:val="006F2037"/>
    <w:rsid w:val="006F3688"/>
    <w:rsid w:val="006F6F59"/>
    <w:rsid w:val="006F7B4D"/>
    <w:rsid w:val="00700CFE"/>
    <w:rsid w:val="0070166C"/>
    <w:rsid w:val="0070179E"/>
    <w:rsid w:val="0070369F"/>
    <w:rsid w:val="0070413A"/>
    <w:rsid w:val="00704DDE"/>
    <w:rsid w:val="00704F07"/>
    <w:rsid w:val="007057DA"/>
    <w:rsid w:val="007064A9"/>
    <w:rsid w:val="00706BF8"/>
    <w:rsid w:val="00706F65"/>
    <w:rsid w:val="00713786"/>
    <w:rsid w:val="00714375"/>
    <w:rsid w:val="007150E0"/>
    <w:rsid w:val="0071570C"/>
    <w:rsid w:val="00716231"/>
    <w:rsid w:val="00716581"/>
    <w:rsid w:val="0071668F"/>
    <w:rsid w:val="00720741"/>
    <w:rsid w:val="00721CDE"/>
    <w:rsid w:val="0072397A"/>
    <w:rsid w:val="00723F5C"/>
    <w:rsid w:val="007248A2"/>
    <w:rsid w:val="00725BD0"/>
    <w:rsid w:val="007260FC"/>
    <w:rsid w:val="00726990"/>
    <w:rsid w:val="00726C7F"/>
    <w:rsid w:val="00727E80"/>
    <w:rsid w:val="007300B0"/>
    <w:rsid w:val="00730C03"/>
    <w:rsid w:val="007318FD"/>
    <w:rsid w:val="00731FF9"/>
    <w:rsid w:val="00732C61"/>
    <w:rsid w:val="0073344D"/>
    <w:rsid w:val="00735043"/>
    <w:rsid w:val="0073551E"/>
    <w:rsid w:val="00735886"/>
    <w:rsid w:val="007369F5"/>
    <w:rsid w:val="00736BF7"/>
    <w:rsid w:val="0073763A"/>
    <w:rsid w:val="0073783F"/>
    <w:rsid w:val="0074005B"/>
    <w:rsid w:val="00741379"/>
    <w:rsid w:val="00741518"/>
    <w:rsid w:val="0074192F"/>
    <w:rsid w:val="00741C93"/>
    <w:rsid w:val="00741EFF"/>
    <w:rsid w:val="007432EA"/>
    <w:rsid w:val="00743517"/>
    <w:rsid w:val="00744442"/>
    <w:rsid w:val="00745253"/>
    <w:rsid w:val="00745AA1"/>
    <w:rsid w:val="00745BB9"/>
    <w:rsid w:val="0074643A"/>
    <w:rsid w:val="00747049"/>
    <w:rsid w:val="00747412"/>
    <w:rsid w:val="007476D2"/>
    <w:rsid w:val="00747972"/>
    <w:rsid w:val="00747D83"/>
    <w:rsid w:val="007509EF"/>
    <w:rsid w:val="00750D6E"/>
    <w:rsid w:val="00751ADB"/>
    <w:rsid w:val="007530BF"/>
    <w:rsid w:val="00754F83"/>
    <w:rsid w:val="007555E4"/>
    <w:rsid w:val="00756074"/>
    <w:rsid w:val="00756F56"/>
    <w:rsid w:val="00757C04"/>
    <w:rsid w:val="00757CCB"/>
    <w:rsid w:val="007612AA"/>
    <w:rsid w:val="0076179F"/>
    <w:rsid w:val="00761866"/>
    <w:rsid w:val="007619FB"/>
    <w:rsid w:val="00761BE9"/>
    <w:rsid w:val="007626BD"/>
    <w:rsid w:val="00765666"/>
    <w:rsid w:val="007657DA"/>
    <w:rsid w:val="00766053"/>
    <w:rsid w:val="00766FA8"/>
    <w:rsid w:val="007703FE"/>
    <w:rsid w:val="00770B14"/>
    <w:rsid w:val="00771928"/>
    <w:rsid w:val="00771B62"/>
    <w:rsid w:val="00773AFA"/>
    <w:rsid w:val="0077449D"/>
    <w:rsid w:val="00774A2E"/>
    <w:rsid w:val="0078270A"/>
    <w:rsid w:val="00782FD6"/>
    <w:rsid w:val="00783AA6"/>
    <w:rsid w:val="00783BE7"/>
    <w:rsid w:val="00783EC5"/>
    <w:rsid w:val="007856F9"/>
    <w:rsid w:val="0078571B"/>
    <w:rsid w:val="00785D24"/>
    <w:rsid w:val="007865C4"/>
    <w:rsid w:val="00787650"/>
    <w:rsid w:val="00787B67"/>
    <w:rsid w:val="00790169"/>
    <w:rsid w:val="007913AE"/>
    <w:rsid w:val="0079236F"/>
    <w:rsid w:val="0079247D"/>
    <w:rsid w:val="007928E4"/>
    <w:rsid w:val="00793A0F"/>
    <w:rsid w:val="00796E2A"/>
    <w:rsid w:val="007A05E0"/>
    <w:rsid w:val="007A0C45"/>
    <w:rsid w:val="007A1061"/>
    <w:rsid w:val="007A2386"/>
    <w:rsid w:val="007A3F71"/>
    <w:rsid w:val="007A4712"/>
    <w:rsid w:val="007A703C"/>
    <w:rsid w:val="007A70ED"/>
    <w:rsid w:val="007B015F"/>
    <w:rsid w:val="007B0ECE"/>
    <w:rsid w:val="007B1EC1"/>
    <w:rsid w:val="007B3A08"/>
    <w:rsid w:val="007B4552"/>
    <w:rsid w:val="007B57F7"/>
    <w:rsid w:val="007B5E79"/>
    <w:rsid w:val="007B63C0"/>
    <w:rsid w:val="007B6CE6"/>
    <w:rsid w:val="007B7A72"/>
    <w:rsid w:val="007B7EA9"/>
    <w:rsid w:val="007B7F48"/>
    <w:rsid w:val="007C0C22"/>
    <w:rsid w:val="007C224F"/>
    <w:rsid w:val="007C2EFE"/>
    <w:rsid w:val="007C31F6"/>
    <w:rsid w:val="007C3D21"/>
    <w:rsid w:val="007C4906"/>
    <w:rsid w:val="007C4AA7"/>
    <w:rsid w:val="007C4CD5"/>
    <w:rsid w:val="007C505A"/>
    <w:rsid w:val="007C5632"/>
    <w:rsid w:val="007C5AA4"/>
    <w:rsid w:val="007C5D27"/>
    <w:rsid w:val="007C6900"/>
    <w:rsid w:val="007C786E"/>
    <w:rsid w:val="007C7F40"/>
    <w:rsid w:val="007D03F9"/>
    <w:rsid w:val="007D0D37"/>
    <w:rsid w:val="007D0DF3"/>
    <w:rsid w:val="007D24BF"/>
    <w:rsid w:val="007D273A"/>
    <w:rsid w:val="007D278B"/>
    <w:rsid w:val="007D2B30"/>
    <w:rsid w:val="007D45B8"/>
    <w:rsid w:val="007D4860"/>
    <w:rsid w:val="007D4885"/>
    <w:rsid w:val="007D4E72"/>
    <w:rsid w:val="007D6970"/>
    <w:rsid w:val="007E0C4D"/>
    <w:rsid w:val="007E0FF4"/>
    <w:rsid w:val="007E1A2D"/>
    <w:rsid w:val="007E3DE8"/>
    <w:rsid w:val="007E4194"/>
    <w:rsid w:val="007E45E0"/>
    <w:rsid w:val="007E49AE"/>
    <w:rsid w:val="007E4D96"/>
    <w:rsid w:val="007E4DFA"/>
    <w:rsid w:val="007E4EAF"/>
    <w:rsid w:val="007E5712"/>
    <w:rsid w:val="007E5AA3"/>
    <w:rsid w:val="007E6098"/>
    <w:rsid w:val="007E7615"/>
    <w:rsid w:val="007F0441"/>
    <w:rsid w:val="007F2FD1"/>
    <w:rsid w:val="007F45BE"/>
    <w:rsid w:val="007F4620"/>
    <w:rsid w:val="007F4B0E"/>
    <w:rsid w:val="007F4C67"/>
    <w:rsid w:val="007F52DF"/>
    <w:rsid w:val="007F5C8E"/>
    <w:rsid w:val="007F67F8"/>
    <w:rsid w:val="00800658"/>
    <w:rsid w:val="00801357"/>
    <w:rsid w:val="00801EB4"/>
    <w:rsid w:val="00802D21"/>
    <w:rsid w:val="00804137"/>
    <w:rsid w:val="00804285"/>
    <w:rsid w:val="00804C56"/>
    <w:rsid w:val="0080506B"/>
    <w:rsid w:val="00805370"/>
    <w:rsid w:val="008067E0"/>
    <w:rsid w:val="00806EE5"/>
    <w:rsid w:val="008103B5"/>
    <w:rsid w:val="00813BC7"/>
    <w:rsid w:val="0081594D"/>
    <w:rsid w:val="00815B55"/>
    <w:rsid w:val="00815C56"/>
    <w:rsid w:val="00816250"/>
    <w:rsid w:val="00816AE5"/>
    <w:rsid w:val="00817711"/>
    <w:rsid w:val="00820522"/>
    <w:rsid w:val="00821544"/>
    <w:rsid w:val="008215CB"/>
    <w:rsid w:val="00821660"/>
    <w:rsid w:val="008218A6"/>
    <w:rsid w:val="0082272D"/>
    <w:rsid w:val="008227E3"/>
    <w:rsid w:val="008236B6"/>
    <w:rsid w:val="00823B78"/>
    <w:rsid w:val="00823D73"/>
    <w:rsid w:val="008240C2"/>
    <w:rsid w:val="00824428"/>
    <w:rsid w:val="00824ABE"/>
    <w:rsid w:val="008255BA"/>
    <w:rsid w:val="00825F0C"/>
    <w:rsid w:val="00826E27"/>
    <w:rsid w:val="00826EFD"/>
    <w:rsid w:val="008270C2"/>
    <w:rsid w:val="00827615"/>
    <w:rsid w:val="00827776"/>
    <w:rsid w:val="00830492"/>
    <w:rsid w:val="00830AED"/>
    <w:rsid w:val="008329E9"/>
    <w:rsid w:val="00832C00"/>
    <w:rsid w:val="008338DD"/>
    <w:rsid w:val="00834DE7"/>
    <w:rsid w:val="0083522C"/>
    <w:rsid w:val="008355D8"/>
    <w:rsid w:val="00835AC1"/>
    <w:rsid w:val="00836B07"/>
    <w:rsid w:val="0084018A"/>
    <w:rsid w:val="00841383"/>
    <w:rsid w:val="008416EC"/>
    <w:rsid w:val="008425EF"/>
    <w:rsid w:val="008427F7"/>
    <w:rsid w:val="008429B9"/>
    <w:rsid w:val="00842A3D"/>
    <w:rsid w:val="00843761"/>
    <w:rsid w:val="008446B6"/>
    <w:rsid w:val="0084540C"/>
    <w:rsid w:val="00847521"/>
    <w:rsid w:val="0084775A"/>
    <w:rsid w:val="00850323"/>
    <w:rsid w:val="00850874"/>
    <w:rsid w:val="00850CE9"/>
    <w:rsid w:val="00851001"/>
    <w:rsid w:val="008537D4"/>
    <w:rsid w:val="00855618"/>
    <w:rsid w:val="0085593E"/>
    <w:rsid w:val="00855AAA"/>
    <w:rsid w:val="00856168"/>
    <w:rsid w:val="00857114"/>
    <w:rsid w:val="0086039B"/>
    <w:rsid w:val="008608B6"/>
    <w:rsid w:val="00860F3C"/>
    <w:rsid w:val="00861146"/>
    <w:rsid w:val="00861399"/>
    <w:rsid w:val="00862ECE"/>
    <w:rsid w:val="0086354A"/>
    <w:rsid w:val="00864057"/>
    <w:rsid w:val="00864BF5"/>
    <w:rsid w:val="00867175"/>
    <w:rsid w:val="00867DAD"/>
    <w:rsid w:val="008702A6"/>
    <w:rsid w:val="008711F2"/>
    <w:rsid w:val="00872768"/>
    <w:rsid w:val="00872D74"/>
    <w:rsid w:val="0087300E"/>
    <w:rsid w:val="00873027"/>
    <w:rsid w:val="0087317C"/>
    <w:rsid w:val="00873B6A"/>
    <w:rsid w:val="00874155"/>
    <w:rsid w:val="0087498C"/>
    <w:rsid w:val="008749EA"/>
    <w:rsid w:val="008754C8"/>
    <w:rsid w:val="00875E33"/>
    <w:rsid w:val="00876282"/>
    <w:rsid w:val="0087684C"/>
    <w:rsid w:val="008778F3"/>
    <w:rsid w:val="008802FC"/>
    <w:rsid w:val="008808D8"/>
    <w:rsid w:val="00880C48"/>
    <w:rsid w:val="00880F2D"/>
    <w:rsid w:val="008812F3"/>
    <w:rsid w:val="00881A77"/>
    <w:rsid w:val="00881DDE"/>
    <w:rsid w:val="00882945"/>
    <w:rsid w:val="00883B74"/>
    <w:rsid w:val="00883D71"/>
    <w:rsid w:val="00886573"/>
    <w:rsid w:val="00886FCD"/>
    <w:rsid w:val="008872DC"/>
    <w:rsid w:val="0088764A"/>
    <w:rsid w:val="008878D1"/>
    <w:rsid w:val="00887C5F"/>
    <w:rsid w:val="00891E82"/>
    <w:rsid w:val="008922D8"/>
    <w:rsid w:val="008925E0"/>
    <w:rsid w:val="00892BA5"/>
    <w:rsid w:val="008938A4"/>
    <w:rsid w:val="00893E42"/>
    <w:rsid w:val="00895C2D"/>
    <w:rsid w:val="0089605C"/>
    <w:rsid w:val="00897372"/>
    <w:rsid w:val="008A2C93"/>
    <w:rsid w:val="008A4E00"/>
    <w:rsid w:val="008A56BD"/>
    <w:rsid w:val="008A5FA4"/>
    <w:rsid w:val="008A6619"/>
    <w:rsid w:val="008A69C9"/>
    <w:rsid w:val="008A6ADE"/>
    <w:rsid w:val="008A6D39"/>
    <w:rsid w:val="008A7591"/>
    <w:rsid w:val="008B0B9E"/>
    <w:rsid w:val="008B1293"/>
    <w:rsid w:val="008B1B8A"/>
    <w:rsid w:val="008B29AD"/>
    <w:rsid w:val="008B310A"/>
    <w:rsid w:val="008B4011"/>
    <w:rsid w:val="008B4106"/>
    <w:rsid w:val="008B422E"/>
    <w:rsid w:val="008B4941"/>
    <w:rsid w:val="008B49AF"/>
    <w:rsid w:val="008B4BB7"/>
    <w:rsid w:val="008B7172"/>
    <w:rsid w:val="008B75C7"/>
    <w:rsid w:val="008B78D9"/>
    <w:rsid w:val="008C013E"/>
    <w:rsid w:val="008C01FD"/>
    <w:rsid w:val="008C02ED"/>
    <w:rsid w:val="008C0E05"/>
    <w:rsid w:val="008C0EC4"/>
    <w:rsid w:val="008C10BE"/>
    <w:rsid w:val="008C2868"/>
    <w:rsid w:val="008C2A1D"/>
    <w:rsid w:val="008C2F90"/>
    <w:rsid w:val="008C2FE9"/>
    <w:rsid w:val="008C3394"/>
    <w:rsid w:val="008C3658"/>
    <w:rsid w:val="008C3EC4"/>
    <w:rsid w:val="008C49EC"/>
    <w:rsid w:val="008C4B84"/>
    <w:rsid w:val="008C6A51"/>
    <w:rsid w:val="008C6E51"/>
    <w:rsid w:val="008D138D"/>
    <w:rsid w:val="008D1B58"/>
    <w:rsid w:val="008D1F0A"/>
    <w:rsid w:val="008D29EF"/>
    <w:rsid w:val="008D2F73"/>
    <w:rsid w:val="008D3DA9"/>
    <w:rsid w:val="008D3E9A"/>
    <w:rsid w:val="008D45FC"/>
    <w:rsid w:val="008D5CBA"/>
    <w:rsid w:val="008D744B"/>
    <w:rsid w:val="008E0D26"/>
    <w:rsid w:val="008E1472"/>
    <w:rsid w:val="008E1D82"/>
    <w:rsid w:val="008E2181"/>
    <w:rsid w:val="008E21AE"/>
    <w:rsid w:val="008E2EDB"/>
    <w:rsid w:val="008E311D"/>
    <w:rsid w:val="008E35EB"/>
    <w:rsid w:val="008E42AE"/>
    <w:rsid w:val="008E46A6"/>
    <w:rsid w:val="008E474D"/>
    <w:rsid w:val="008E4D7B"/>
    <w:rsid w:val="008E510F"/>
    <w:rsid w:val="008E56A7"/>
    <w:rsid w:val="008E5973"/>
    <w:rsid w:val="008E5A90"/>
    <w:rsid w:val="008E681A"/>
    <w:rsid w:val="008E732C"/>
    <w:rsid w:val="008E777D"/>
    <w:rsid w:val="008F0C20"/>
    <w:rsid w:val="008F170E"/>
    <w:rsid w:val="008F1DB7"/>
    <w:rsid w:val="008F263F"/>
    <w:rsid w:val="008F5B67"/>
    <w:rsid w:val="008F6E60"/>
    <w:rsid w:val="008F7329"/>
    <w:rsid w:val="008F76CC"/>
    <w:rsid w:val="008F782E"/>
    <w:rsid w:val="00903446"/>
    <w:rsid w:val="00903B1C"/>
    <w:rsid w:val="009077E7"/>
    <w:rsid w:val="009100C1"/>
    <w:rsid w:val="0091029F"/>
    <w:rsid w:val="00910948"/>
    <w:rsid w:val="00910AA5"/>
    <w:rsid w:val="00910B90"/>
    <w:rsid w:val="00911456"/>
    <w:rsid w:val="00911AE9"/>
    <w:rsid w:val="009133FC"/>
    <w:rsid w:val="009143D9"/>
    <w:rsid w:val="009147B3"/>
    <w:rsid w:val="009169F4"/>
    <w:rsid w:val="009171C5"/>
    <w:rsid w:val="00917FB9"/>
    <w:rsid w:val="00920B87"/>
    <w:rsid w:val="00920FD2"/>
    <w:rsid w:val="0092154F"/>
    <w:rsid w:val="009223B2"/>
    <w:rsid w:val="00922C9F"/>
    <w:rsid w:val="00923126"/>
    <w:rsid w:val="00923261"/>
    <w:rsid w:val="00923A7F"/>
    <w:rsid w:val="00924410"/>
    <w:rsid w:val="00924546"/>
    <w:rsid w:val="00925052"/>
    <w:rsid w:val="00926263"/>
    <w:rsid w:val="009262E9"/>
    <w:rsid w:val="009267D8"/>
    <w:rsid w:val="0092695C"/>
    <w:rsid w:val="00926BDC"/>
    <w:rsid w:val="00926D50"/>
    <w:rsid w:val="00930227"/>
    <w:rsid w:val="00931041"/>
    <w:rsid w:val="0093112A"/>
    <w:rsid w:val="009316BF"/>
    <w:rsid w:val="00931ACB"/>
    <w:rsid w:val="009323B9"/>
    <w:rsid w:val="00932D57"/>
    <w:rsid w:val="00932F88"/>
    <w:rsid w:val="0093349F"/>
    <w:rsid w:val="009334CB"/>
    <w:rsid w:val="009358FD"/>
    <w:rsid w:val="0093685C"/>
    <w:rsid w:val="00936CD4"/>
    <w:rsid w:val="0093747B"/>
    <w:rsid w:val="00937ADD"/>
    <w:rsid w:val="00937B20"/>
    <w:rsid w:val="0094020D"/>
    <w:rsid w:val="009408AC"/>
    <w:rsid w:val="009409DE"/>
    <w:rsid w:val="0094232B"/>
    <w:rsid w:val="00942EEB"/>
    <w:rsid w:val="00943993"/>
    <w:rsid w:val="00943DBD"/>
    <w:rsid w:val="009440F9"/>
    <w:rsid w:val="00944DBA"/>
    <w:rsid w:val="0094564A"/>
    <w:rsid w:val="00945728"/>
    <w:rsid w:val="00945F5F"/>
    <w:rsid w:val="009466A0"/>
    <w:rsid w:val="00946806"/>
    <w:rsid w:val="0094685F"/>
    <w:rsid w:val="00946C22"/>
    <w:rsid w:val="00950AF3"/>
    <w:rsid w:val="009515F5"/>
    <w:rsid w:val="00952669"/>
    <w:rsid w:val="00952AC3"/>
    <w:rsid w:val="009532DF"/>
    <w:rsid w:val="00953431"/>
    <w:rsid w:val="0095348C"/>
    <w:rsid w:val="009534F1"/>
    <w:rsid w:val="00954629"/>
    <w:rsid w:val="0095511A"/>
    <w:rsid w:val="00955BC3"/>
    <w:rsid w:val="0095616F"/>
    <w:rsid w:val="00956CE2"/>
    <w:rsid w:val="009571A3"/>
    <w:rsid w:val="009614B1"/>
    <w:rsid w:val="00961F83"/>
    <w:rsid w:val="0096340A"/>
    <w:rsid w:val="00963E79"/>
    <w:rsid w:val="00965ABF"/>
    <w:rsid w:val="00965E11"/>
    <w:rsid w:val="0097064A"/>
    <w:rsid w:val="00970C52"/>
    <w:rsid w:val="00970C88"/>
    <w:rsid w:val="00972F12"/>
    <w:rsid w:val="0097469A"/>
    <w:rsid w:val="00975A7B"/>
    <w:rsid w:val="00976F29"/>
    <w:rsid w:val="0097761F"/>
    <w:rsid w:val="00980380"/>
    <w:rsid w:val="00980FC1"/>
    <w:rsid w:val="00982031"/>
    <w:rsid w:val="00983408"/>
    <w:rsid w:val="00983CC6"/>
    <w:rsid w:val="00984903"/>
    <w:rsid w:val="00984BDD"/>
    <w:rsid w:val="00984CDA"/>
    <w:rsid w:val="00984F9C"/>
    <w:rsid w:val="009862CF"/>
    <w:rsid w:val="00986C7D"/>
    <w:rsid w:val="00986E75"/>
    <w:rsid w:val="00987995"/>
    <w:rsid w:val="00990909"/>
    <w:rsid w:val="00990DAE"/>
    <w:rsid w:val="00991978"/>
    <w:rsid w:val="0099252A"/>
    <w:rsid w:val="00993824"/>
    <w:rsid w:val="00994C63"/>
    <w:rsid w:val="00995BA0"/>
    <w:rsid w:val="009965F7"/>
    <w:rsid w:val="0099662F"/>
    <w:rsid w:val="009A04D3"/>
    <w:rsid w:val="009A07BE"/>
    <w:rsid w:val="009A23D0"/>
    <w:rsid w:val="009A55A8"/>
    <w:rsid w:val="009A59C2"/>
    <w:rsid w:val="009A59DD"/>
    <w:rsid w:val="009A6C67"/>
    <w:rsid w:val="009A766B"/>
    <w:rsid w:val="009A77C5"/>
    <w:rsid w:val="009A799A"/>
    <w:rsid w:val="009B03FC"/>
    <w:rsid w:val="009B065A"/>
    <w:rsid w:val="009B0D5F"/>
    <w:rsid w:val="009B10C7"/>
    <w:rsid w:val="009B1CF6"/>
    <w:rsid w:val="009B2260"/>
    <w:rsid w:val="009B2491"/>
    <w:rsid w:val="009B3573"/>
    <w:rsid w:val="009B3B52"/>
    <w:rsid w:val="009B48DA"/>
    <w:rsid w:val="009B505B"/>
    <w:rsid w:val="009B6659"/>
    <w:rsid w:val="009B7888"/>
    <w:rsid w:val="009B79E4"/>
    <w:rsid w:val="009C0B67"/>
    <w:rsid w:val="009C0DCA"/>
    <w:rsid w:val="009C16E3"/>
    <w:rsid w:val="009C1C9C"/>
    <w:rsid w:val="009C2838"/>
    <w:rsid w:val="009C2877"/>
    <w:rsid w:val="009C3C63"/>
    <w:rsid w:val="009C47F4"/>
    <w:rsid w:val="009C48B3"/>
    <w:rsid w:val="009C4911"/>
    <w:rsid w:val="009C5600"/>
    <w:rsid w:val="009C5796"/>
    <w:rsid w:val="009C6442"/>
    <w:rsid w:val="009C65D5"/>
    <w:rsid w:val="009C6B72"/>
    <w:rsid w:val="009C7188"/>
    <w:rsid w:val="009C7865"/>
    <w:rsid w:val="009D00D8"/>
    <w:rsid w:val="009D1334"/>
    <w:rsid w:val="009D1C72"/>
    <w:rsid w:val="009D1D9C"/>
    <w:rsid w:val="009D21A2"/>
    <w:rsid w:val="009D24D4"/>
    <w:rsid w:val="009D2521"/>
    <w:rsid w:val="009D27B2"/>
    <w:rsid w:val="009D2D08"/>
    <w:rsid w:val="009D2ED5"/>
    <w:rsid w:val="009D4F3F"/>
    <w:rsid w:val="009D5DDE"/>
    <w:rsid w:val="009D61A5"/>
    <w:rsid w:val="009D66DE"/>
    <w:rsid w:val="009D71C7"/>
    <w:rsid w:val="009D79B4"/>
    <w:rsid w:val="009D7E26"/>
    <w:rsid w:val="009D7E68"/>
    <w:rsid w:val="009E042D"/>
    <w:rsid w:val="009E06AB"/>
    <w:rsid w:val="009E1DEB"/>
    <w:rsid w:val="009E2896"/>
    <w:rsid w:val="009E3160"/>
    <w:rsid w:val="009E5536"/>
    <w:rsid w:val="009E56BA"/>
    <w:rsid w:val="009E5B96"/>
    <w:rsid w:val="009E63AF"/>
    <w:rsid w:val="009E7008"/>
    <w:rsid w:val="009E74C2"/>
    <w:rsid w:val="009E769C"/>
    <w:rsid w:val="009F0E77"/>
    <w:rsid w:val="009F0E8A"/>
    <w:rsid w:val="009F1367"/>
    <w:rsid w:val="009F1410"/>
    <w:rsid w:val="009F1B26"/>
    <w:rsid w:val="009F1DC9"/>
    <w:rsid w:val="009F2F2A"/>
    <w:rsid w:val="009F3BE9"/>
    <w:rsid w:val="009F58A7"/>
    <w:rsid w:val="009F61D7"/>
    <w:rsid w:val="009F6358"/>
    <w:rsid w:val="009F75CE"/>
    <w:rsid w:val="009F790B"/>
    <w:rsid w:val="009F7DA3"/>
    <w:rsid w:val="00A0095D"/>
    <w:rsid w:val="00A00976"/>
    <w:rsid w:val="00A00B1B"/>
    <w:rsid w:val="00A01847"/>
    <w:rsid w:val="00A020DC"/>
    <w:rsid w:val="00A02FF4"/>
    <w:rsid w:val="00A033E6"/>
    <w:rsid w:val="00A0406E"/>
    <w:rsid w:val="00A04C6C"/>
    <w:rsid w:val="00A05436"/>
    <w:rsid w:val="00A06924"/>
    <w:rsid w:val="00A07136"/>
    <w:rsid w:val="00A07C15"/>
    <w:rsid w:val="00A104A5"/>
    <w:rsid w:val="00A112FF"/>
    <w:rsid w:val="00A12893"/>
    <w:rsid w:val="00A13881"/>
    <w:rsid w:val="00A13E52"/>
    <w:rsid w:val="00A144F2"/>
    <w:rsid w:val="00A14D04"/>
    <w:rsid w:val="00A15766"/>
    <w:rsid w:val="00A16E61"/>
    <w:rsid w:val="00A17B22"/>
    <w:rsid w:val="00A2064B"/>
    <w:rsid w:val="00A20B06"/>
    <w:rsid w:val="00A211B8"/>
    <w:rsid w:val="00A21E94"/>
    <w:rsid w:val="00A2325F"/>
    <w:rsid w:val="00A235A2"/>
    <w:rsid w:val="00A23749"/>
    <w:rsid w:val="00A24359"/>
    <w:rsid w:val="00A24594"/>
    <w:rsid w:val="00A25CCE"/>
    <w:rsid w:val="00A27AE0"/>
    <w:rsid w:val="00A30ED6"/>
    <w:rsid w:val="00A311E1"/>
    <w:rsid w:val="00A31DCE"/>
    <w:rsid w:val="00A33DEB"/>
    <w:rsid w:val="00A3401E"/>
    <w:rsid w:val="00A3445F"/>
    <w:rsid w:val="00A3507E"/>
    <w:rsid w:val="00A35471"/>
    <w:rsid w:val="00A35C4F"/>
    <w:rsid w:val="00A36880"/>
    <w:rsid w:val="00A36C44"/>
    <w:rsid w:val="00A377E9"/>
    <w:rsid w:val="00A40223"/>
    <w:rsid w:val="00A40A4A"/>
    <w:rsid w:val="00A40E64"/>
    <w:rsid w:val="00A415C2"/>
    <w:rsid w:val="00A42685"/>
    <w:rsid w:val="00A42B99"/>
    <w:rsid w:val="00A4304F"/>
    <w:rsid w:val="00A439DD"/>
    <w:rsid w:val="00A43AC6"/>
    <w:rsid w:val="00A43B1E"/>
    <w:rsid w:val="00A447F7"/>
    <w:rsid w:val="00A44D01"/>
    <w:rsid w:val="00A44F96"/>
    <w:rsid w:val="00A45F9C"/>
    <w:rsid w:val="00A46B1A"/>
    <w:rsid w:val="00A46E38"/>
    <w:rsid w:val="00A50737"/>
    <w:rsid w:val="00A5104D"/>
    <w:rsid w:val="00A51B26"/>
    <w:rsid w:val="00A51CC4"/>
    <w:rsid w:val="00A51F48"/>
    <w:rsid w:val="00A5281F"/>
    <w:rsid w:val="00A52935"/>
    <w:rsid w:val="00A53466"/>
    <w:rsid w:val="00A536F5"/>
    <w:rsid w:val="00A53D38"/>
    <w:rsid w:val="00A544D8"/>
    <w:rsid w:val="00A54787"/>
    <w:rsid w:val="00A54BE6"/>
    <w:rsid w:val="00A55239"/>
    <w:rsid w:val="00A56355"/>
    <w:rsid w:val="00A565C8"/>
    <w:rsid w:val="00A57351"/>
    <w:rsid w:val="00A609DC"/>
    <w:rsid w:val="00A60CC6"/>
    <w:rsid w:val="00A61388"/>
    <w:rsid w:val="00A61AA8"/>
    <w:rsid w:val="00A61CE3"/>
    <w:rsid w:val="00A630D2"/>
    <w:rsid w:val="00A6445E"/>
    <w:rsid w:val="00A644BD"/>
    <w:rsid w:val="00A64FAE"/>
    <w:rsid w:val="00A65287"/>
    <w:rsid w:val="00A65746"/>
    <w:rsid w:val="00A65755"/>
    <w:rsid w:val="00A673AB"/>
    <w:rsid w:val="00A67AEE"/>
    <w:rsid w:val="00A70085"/>
    <w:rsid w:val="00A70B72"/>
    <w:rsid w:val="00A73508"/>
    <w:rsid w:val="00A74965"/>
    <w:rsid w:val="00A7712E"/>
    <w:rsid w:val="00A7741B"/>
    <w:rsid w:val="00A77C3D"/>
    <w:rsid w:val="00A80A0E"/>
    <w:rsid w:val="00A81DE9"/>
    <w:rsid w:val="00A81FF7"/>
    <w:rsid w:val="00A822EC"/>
    <w:rsid w:val="00A835F5"/>
    <w:rsid w:val="00A836A9"/>
    <w:rsid w:val="00A8507C"/>
    <w:rsid w:val="00A852C4"/>
    <w:rsid w:val="00A85519"/>
    <w:rsid w:val="00A867E6"/>
    <w:rsid w:val="00A87811"/>
    <w:rsid w:val="00A8791C"/>
    <w:rsid w:val="00A87EF0"/>
    <w:rsid w:val="00A91CF7"/>
    <w:rsid w:val="00A92250"/>
    <w:rsid w:val="00A94429"/>
    <w:rsid w:val="00A948BF"/>
    <w:rsid w:val="00A9556B"/>
    <w:rsid w:val="00A95637"/>
    <w:rsid w:val="00A95B87"/>
    <w:rsid w:val="00A95F7B"/>
    <w:rsid w:val="00A967D3"/>
    <w:rsid w:val="00A9709B"/>
    <w:rsid w:val="00A97AEC"/>
    <w:rsid w:val="00AA01F7"/>
    <w:rsid w:val="00AA165D"/>
    <w:rsid w:val="00AA1E21"/>
    <w:rsid w:val="00AA1FF5"/>
    <w:rsid w:val="00AA2D9D"/>
    <w:rsid w:val="00AA39B0"/>
    <w:rsid w:val="00AA3DD7"/>
    <w:rsid w:val="00AA75D4"/>
    <w:rsid w:val="00AA75DC"/>
    <w:rsid w:val="00AA79A1"/>
    <w:rsid w:val="00AA7E4C"/>
    <w:rsid w:val="00AB0310"/>
    <w:rsid w:val="00AB1856"/>
    <w:rsid w:val="00AB2572"/>
    <w:rsid w:val="00AB3785"/>
    <w:rsid w:val="00AB3C22"/>
    <w:rsid w:val="00AB4721"/>
    <w:rsid w:val="00AB4D1E"/>
    <w:rsid w:val="00AB5FF8"/>
    <w:rsid w:val="00AB6091"/>
    <w:rsid w:val="00AB7618"/>
    <w:rsid w:val="00AB7DA0"/>
    <w:rsid w:val="00AC03B1"/>
    <w:rsid w:val="00AC03BE"/>
    <w:rsid w:val="00AC0A86"/>
    <w:rsid w:val="00AC0C5D"/>
    <w:rsid w:val="00AC27D8"/>
    <w:rsid w:val="00AC3A6A"/>
    <w:rsid w:val="00AC3B94"/>
    <w:rsid w:val="00AC44F8"/>
    <w:rsid w:val="00AC4B70"/>
    <w:rsid w:val="00AC598D"/>
    <w:rsid w:val="00AC5A1C"/>
    <w:rsid w:val="00AC5A68"/>
    <w:rsid w:val="00AC6F82"/>
    <w:rsid w:val="00AC739B"/>
    <w:rsid w:val="00AC7E75"/>
    <w:rsid w:val="00AC7FC5"/>
    <w:rsid w:val="00AD0AE8"/>
    <w:rsid w:val="00AD1251"/>
    <w:rsid w:val="00AD2C66"/>
    <w:rsid w:val="00AD3BA1"/>
    <w:rsid w:val="00AD4D9F"/>
    <w:rsid w:val="00AD4FF5"/>
    <w:rsid w:val="00AD566F"/>
    <w:rsid w:val="00AD617C"/>
    <w:rsid w:val="00AD682C"/>
    <w:rsid w:val="00AD6DD7"/>
    <w:rsid w:val="00AD6F97"/>
    <w:rsid w:val="00AD7BC4"/>
    <w:rsid w:val="00AD7DDF"/>
    <w:rsid w:val="00AE07DA"/>
    <w:rsid w:val="00AE10AC"/>
    <w:rsid w:val="00AE1597"/>
    <w:rsid w:val="00AE1A74"/>
    <w:rsid w:val="00AE2077"/>
    <w:rsid w:val="00AE303D"/>
    <w:rsid w:val="00AE415B"/>
    <w:rsid w:val="00AE49C9"/>
    <w:rsid w:val="00AE4ACB"/>
    <w:rsid w:val="00AE5755"/>
    <w:rsid w:val="00AE5B84"/>
    <w:rsid w:val="00AE7EC6"/>
    <w:rsid w:val="00AF0E9D"/>
    <w:rsid w:val="00AF1F5D"/>
    <w:rsid w:val="00AF2034"/>
    <w:rsid w:val="00AF2BD4"/>
    <w:rsid w:val="00AF2D1E"/>
    <w:rsid w:val="00AF3ADA"/>
    <w:rsid w:val="00AF3C92"/>
    <w:rsid w:val="00AF4979"/>
    <w:rsid w:val="00AF4AEF"/>
    <w:rsid w:val="00AF51FC"/>
    <w:rsid w:val="00AF599A"/>
    <w:rsid w:val="00AF5C74"/>
    <w:rsid w:val="00AF5F82"/>
    <w:rsid w:val="00AF6CB0"/>
    <w:rsid w:val="00AF6F2E"/>
    <w:rsid w:val="00AF72C6"/>
    <w:rsid w:val="00B01423"/>
    <w:rsid w:val="00B02412"/>
    <w:rsid w:val="00B02819"/>
    <w:rsid w:val="00B04704"/>
    <w:rsid w:val="00B053FF"/>
    <w:rsid w:val="00B05C17"/>
    <w:rsid w:val="00B061AF"/>
    <w:rsid w:val="00B07342"/>
    <w:rsid w:val="00B07ABF"/>
    <w:rsid w:val="00B10719"/>
    <w:rsid w:val="00B108A4"/>
    <w:rsid w:val="00B11046"/>
    <w:rsid w:val="00B11217"/>
    <w:rsid w:val="00B1139B"/>
    <w:rsid w:val="00B11B9A"/>
    <w:rsid w:val="00B11EE4"/>
    <w:rsid w:val="00B13DD8"/>
    <w:rsid w:val="00B14687"/>
    <w:rsid w:val="00B146B3"/>
    <w:rsid w:val="00B15452"/>
    <w:rsid w:val="00B1623A"/>
    <w:rsid w:val="00B170C9"/>
    <w:rsid w:val="00B17A39"/>
    <w:rsid w:val="00B21476"/>
    <w:rsid w:val="00B21935"/>
    <w:rsid w:val="00B21E3A"/>
    <w:rsid w:val="00B21F7F"/>
    <w:rsid w:val="00B23FEC"/>
    <w:rsid w:val="00B2470C"/>
    <w:rsid w:val="00B256BE"/>
    <w:rsid w:val="00B25EB9"/>
    <w:rsid w:val="00B275AD"/>
    <w:rsid w:val="00B3078E"/>
    <w:rsid w:val="00B3110C"/>
    <w:rsid w:val="00B31509"/>
    <w:rsid w:val="00B31A60"/>
    <w:rsid w:val="00B31BB3"/>
    <w:rsid w:val="00B325F4"/>
    <w:rsid w:val="00B3321A"/>
    <w:rsid w:val="00B33916"/>
    <w:rsid w:val="00B33C9D"/>
    <w:rsid w:val="00B344F9"/>
    <w:rsid w:val="00B35095"/>
    <w:rsid w:val="00B3605A"/>
    <w:rsid w:val="00B36A9C"/>
    <w:rsid w:val="00B36FEA"/>
    <w:rsid w:val="00B37743"/>
    <w:rsid w:val="00B3775A"/>
    <w:rsid w:val="00B3776A"/>
    <w:rsid w:val="00B402CD"/>
    <w:rsid w:val="00B406BE"/>
    <w:rsid w:val="00B41924"/>
    <w:rsid w:val="00B41C8E"/>
    <w:rsid w:val="00B42F98"/>
    <w:rsid w:val="00B43372"/>
    <w:rsid w:val="00B43E2B"/>
    <w:rsid w:val="00B44736"/>
    <w:rsid w:val="00B4592C"/>
    <w:rsid w:val="00B4698C"/>
    <w:rsid w:val="00B476FB"/>
    <w:rsid w:val="00B5238D"/>
    <w:rsid w:val="00B52D24"/>
    <w:rsid w:val="00B53753"/>
    <w:rsid w:val="00B53BCA"/>
    <w:rsid w:val="00B54AE0"/>
    <w:rsid w:val="00B54C2F"/>
    <w:rsid w:val="00B56112"/>
    <w:rsid w:val="00B566D5"/>
    <w:rsid w:val="00B56FFC"/>
    <w:rsid w:val="00B60ACA"/>
    <w:rsid w:val="00B61F8E"/>
    <w:rsid w:val="00B620AF"/>
    <w:rsid w:val="00B6246D"/>
    <w:rsid w:val="00B624D6"/>
    <w:rsid w:val="00B62813"/>
    <w:rsid w:val="00B62D29"/>
    <w:rsid w:val="00B6413E"/>
    <w:rsid w:val="00B642D8"/>
    <w:rsid w:val="00B647A9"/>
    <w:rsid w:val="00B65C18"/>
    <w:rsid w:val="00B66520"/>
    <w:rsid w:val="00B669AD"/>
    <w:rsid w:val="00B6797B"/>
    <w:rsid w:val="00B70AE3"/>
    <w:rsid w:val="00B71780"/>
    <w:rsid w:val="00B7272F"/>
    <w:rsid w:val="00B72EDB"/>
    <w:rsid w:val="00B7339A"/>
    <w:rsid w:val="00B739EC"/>
    <w:rsid w:val="00B73C6D"/>
    <w:rsid w:val="00B74C1D"/>
    <w:rsid w:val="00B7564E"/>
    <w:rsid w:val="00B75BF2"/>
    <w:rsid w:val="00B765B3"/>
    <w:rsid w:val="00B76B79"/>
    <w:rsid w:val="00B76BDB"/>
    <w:rsid w:val="00B777C2"/>
    <w:rsid w:val="00B77EBA"/>
    <w:rsid w:val="00B77F92"/>
    <w:rsid w:val="00B82084"/>
    <w:rsid w:val="00B8307A"/>
    <w:rsid w:val="00B83807"/>
    <w:rsid w:val="00B848F8"/>
    <w:rsid w:val="00B84A39"/>
    <w:rsid w:val="00B8529F"/>
    <w:rsid w:val="00B85639"/>
    <w:rsid w:val="00B85C69"/>
    <w:rsid w:val="00B86607"/>
    <w:rsid w:val="00B8681B"/>
    <w:rsid w:val="00B90614"/>
    <w:rsid w:val="00B9075C"/>
    <w:rsid w:val="00B90F81"/>
    <w:rsid w:val="00B921D7"/>
    <w:rsid w:val="00B922AE"/>
    <w:rsid w:val="00B926AF"/>
    <w:rsid w:val="00B92C76"/>
    <w:rsid w:val="00B95099"/>
    <w:rsid w:val="00B9582E"/>
    <w:rsid w:val="00B96949"/>
    <w:rsid w:val="00B97053"/>
    <w:rsid w:val="00B9730E"/>
    <w:rsid w:val="00B97F42"/>
    <w:rsid w:val="00BA0519"/>
    <w:rsid w:val="00BA0C39"/>
    <w:rsid w:val="00BA1CB2"/>
    <w:rsid w:val="00BA1CB9"/>
    <w:rsid w:val="00BA395A"/>
    <w:rsid w:val="00BA40B7"/>
    <w:rsid w:val="00BA4397"/>
    <w:rsid w:val="00BA47B3"/>
    <w:rsid w:val="00BA538C"/>
    <w:rsid w:val="00BA581E"/>
    <w:rsid w:val="00BA5860"/>
    <w:rsid w:val="00BA6E9D"/>
    <w:rsid w:val="00BA721D"/>
    <w:rsid w:val="00BA7B0E"/>
    <w:rsid w:val="00BB00D2"/>
    <w:rsid w:val="00BB01D5"/>
    <w:rsid w:val="00BB020F"/>
    <w:rsid w:val="00BB06AF"/>
    <w:rsid w:val="00BB1793"/>
    <w:rsid w:val="00BB253B"/>
    <w:rsid w:val="00BB3C74"/>
    <w:rsid w:val="00BB46AD"/>
    <w:rsid w:val="00BB572D"/>
    <w:rsid w:val="00BB7003"/>
    <w:rsid w:val="00BB734A"/>
    <w:rsid w:val="00BB7974"/>
    <w:rsid w:val="00BC03CA"/>
    <w:rsid w:val="00BC0A06"/>
    <w:rsid w:val="00BC0D6E"/>
    <w:rsid w:val="00BC1CA0"/>
    <w:rsid w:val="00BC2486"/>
    <w:rsid w:val="00BC273A"/>
    <w:rsid w:val="00BC28A4"/>
    <w:rsid w:val="00BC2A74"/>
    <w:rsid w:val="00BC3D28"/>
    <w:rsid w:val="00BC4638"/>
    <w:rsid w:val="00BC49D8"/>
    <w:rsid w:val="00BC49EA"/>
    <w:rsid w:val="00BC5355"/>
    <w:rsid w:val="00BC6C48"/>
    <w:rsid w:val="00BC6F10"/>
    <w:rsid w:val="00BC7189"/>
    <w:rsid w:val="00BC74D7"/>
    <w:rsid w:val="00BD016F"/>
    <w:rsid w:val="00BD0C9F"/>
    <w:rsid w:val="00BD1165"/>
    <w:rsid w:val="00BD1461"/>
    <w:rsid w:val="00BD1DD9"/>
    <w:rsid w:val="00BD2B19"/>
    <w:rsid w:val="00BD2C07"/>
    <w:rsid w:val="00BD2D14"/>
    <w:rsid w:val="00BD3A45"/>
    <w:rsid w:val="00BD49E8"/>
    <w:rsid w:val="00BD5064"/>
    <w:rsid w:val="00BD5385"/>
    <w:rsid w:val="00BD6D2C"/>
    <w:rsid w:val="00BD726A"/>
    <w:rsid w:val="00BE079A"/>
    <w:rsid w:val="00BE08D9"/>
    <w:rsid w:val="00BE0BA2"/>
    <w:rsid w:val="00BE1888"/>
    <w:rsid w:val="00BE19B0"/>
    <w:rsid w:val="00BE2085"/>
    <w:rsid w:val="00BE27CC"/>
    <w:rsid w:val="00BE2D84"/>
    <w:rsid w:val="00BE2F95"/>
    <w:rsid w:val="00BE4AAB"/>
    <w:rsid w:val="00BE4F39"/>
    <w:rsid w:val="00BE692F"/>
    <w:rsid w:val="00BF0216"/>
    <w:rsid w:val="00BF0845"/>
    <w:rsid w:val="00BF08D2"/>
    <w:rsid w:val="00BF24B7"/>
    <w:rsid w:val="00BF270E"/>
    <w:rsid w:val="00BF340F"/>
    <w:rsid w:val="00BF37A7"/>
    <w:rsid w:val="00BF3B3A"/>
    <w:rsid w:val="00BF41D3"/>
    <w:rsid w:val="00BF4863"/>
    <w:rsid w:val="00BF7065"/>
    <w:rsid w:val="00BF78BE"/>
    <w:rsid w:val="00C003A2"/>
    <w:rsid w:val="00C00C4F"/>
    <w:rsid w:val="00C00C87"/>
    <w:rsid w:val="00C015A6"/>
    <w:rsid w:val="00C016D8"/>
    <w:rsid w:val="00C01DB2"/>
    <w:rsid w:val="00C02974"/>
    <w:rsid w:val="00C03225"/>
    <w:rsid w:val="00C05375"/>
    <w:rsid w:val="00C062C5"/>
    <w:rsid w:val="00C07260"/>
    <w:rsid w:val="00C07985"/>
    <w:rsid w:val="00C1011C"/>
    <w:rsid w:val="00C101D7"/>
    <w:rsid w:val="00C10D85"/>
    <w:rsid w:val="00C12974"/>
    <w:rsid w:val="00C12BD7"/>
    <w:rsid w:val="00C13D3A"/>
    <w:rsid w:val="00C1508A"/>
    <w:rsid w:val="00C1539D"/>
    <w:rsid w:val="00C158F5"/>
    <w:rsid w:val="00C1604C"/>
    <w:rsid w:val="00C16674"/>
    <w:rsid w:val="00C16891"/>
    <w:rsid w:val="00C170A7"/>
    <w:rsid w:val="00C179A2"/>
    <w:rsid w:val="00C20A57"/>
    <w:rsid w:val="00C21113"/>
    <w:rsid w:val="00C21987"/>
    <w:rsid w:val="00C2198E"/>
    <w:rsid w:val="00C21FD9"/>
    <w:rsid w:val="00C22557"/>
    <w:rsid w:val="00C22DAD"/>
    <w:rsid w:val="00C230ED"/>
    <w:rsid w:val="00C23766"/>
    <w:rsid w:val="00C24F95"/>
    <w:rsid w:val="00C25079"/>
    <w:rsid w:val="00C255D1"/>
    <w:rsid w:val="00C25C1D"/>
    <w:rsid w:val="00C2606D"/>
    <w:rsid w:val="00C319AF"/>
    <w:rsid w:val="00C3232D"/>
    <w:rsid w:val="00C3257C"/>
    <w:rsid w:val="00C330FF"/>
    <w:rsid w:val="00C3378F"/>
    <w:rsid w:val="00C3381F"/>
    <w:rsid w:val="00C34CFD"/>
    <w:rsid w:val="00C35391"/>
    <w:rsid w:val="00C35F5F"/>
    <w:rsid w:val="00C37E01"/>
    <w:rsid w:val="00C400B5"/>
    <w:rsid w:val="00C40158"/>
    <w:rsid w:val="00C407E0"/>
    <w:rsid w:val="00C40B78"/>
    <w:rsid w:val="00C412CC"/>
    <w:rsid w:val="00C43115"/>
    <w:rsid w:val="00C431BE"/>
    <w:rsid w:val="00C435FA"/>
    <w:rsid w:val="00C44600"/>
    <w:rsid w:val="00C453AD"/>
    <w:rsid w:val="00C4602D"/>
    <w:rsid w:val="00C4621D"/>
    <w:rsid w:val="00C471D3"/>
    <w:rsid w:val="00C47527"/>
    <w:rsid w:val="00C5077A"/>
    <w:rsid w:val="00C50A6A"/>
    <w:rsid w:val="00C50DB7"/>
    <w:rsid w:val="00C51460"/>
    <w:rsid w:val="00C51AA5"/>
    <w:rsid w:val="00C524AC"/>
    <w:rsid w:val="00C5351F"/>
    <w:rsid w:val="00C53E40"/>
    <w:rsid w:val="00C5465D"/>
    <w:rsid w:val="00C557EE"/>
    <w:rsid w:val="00C55CA5"/>
    <w:rsid w:val="00C5685B"/>
    <w:rsid w:val="00C570A2"/>
    <w:rsid w:val="00C60664"/>
    <w:rsid w:val="00C60B61"/>
    <w:rsid w:val="00C61574"/>
    <w:rsid w:val="00C645E2"/>
    <w:rsid w:val="00C65232"/>
    <w:rsid w:val="00C6674B"/>
    <w:rsid w:val="00C67D1F"/>
    <w:rsid w:val="00C67E5D"/>
    <w:rsid w:val="00C702C1"/>
    <w:rsid w:val="00C703AD"/>
    <w:rsid w:val="00C70B20"/>
    <w:rsid w:val="00C70C3A"/>
    <w:rsid w:val="00C70E1C"/>
    <w:rsid w:val="00C722A1"/>
    <w:rsid w:val="00C74E37"/>
    <w:rsid w:val="00C80AEE"/>
    <w:rsid w:val="00C811FC"/>
    <w:rsid w:val="00C8233D"/>
    <w:rsid w:val="00C82440"/>
    <w:rsid w:val="00C82535"/>
    <w:rsid w:val="00C831D5"/>
    <w:rsid w:val="00C83411"/>
    <w:rsid w:val="00C836C7"/>
    <w:rsid w:val="00C83B76"/>
    <w:rsid w:val="00C84CDC"/>
    <w:rsid w:val="00C8560A"/>
    <w:rsid w:val="00C86A40"/>
    <w:rsid w:val="00C87407"/>
    <w:rsid w:val="00C8745F"/>
    <w:rsid w:val="00C875F8"/>
    <w:rsid w:val="00C8767B"/>
    <w:rsid w:val="00C87DA2"/>
    <w:rsid w:val="00C87F28"/>
    <w:rsid w:val="00C903DA"/>
    <w:rsid w:val="00C903FF"/>
    <w:rsid w:val="00C90714"/>
    <w:rsid w:val="00C915AF"/>
    <w:rsid w:val="00C91B3D"/>
    <w:rsid w:val="00C92CA1"/>
    <w:rsid w:val="00C92D64"/>
    <w:rsid w:val="00C93592"/>
    <w:rsid w:val="00C93CD2"/>
    <w:rsid w:val="00C94291"/>
    <w:rsid w:val="00C94306"/>
    <w:rsid w:val="00C948A7"/>
    <w:rsid w:val="00C958C3"/>
    <w:rsid w:val="00C9724B"/>
    <w:rsid w:val="00C97F4B"/>
    <w:rsid w:val="00CA065D"/>
    <w:rsid w:val="00CA1923"/>
    <w:rsid w:val="00CA34EE"/>
    <w:rsid w:val="00CA3D48"/>
    <w:rsid w:val="00CA40E2"/>
    <w:rsid w:val="00CA522B"/>
    <w:rsid w:val="00CA5C73"/>
    <w:rsid w:val="00CA5D02"/>
    <w:rsid w:val="00CA5EC8"/>
    <w:rsid w:val="00CA61F4"/>
    <w:rsid w:val="00CA745E"/>
    <w:rsid w:val="00CB001A"/>
    <w:rsid w:val="00CB00B8"/>
    <w:rsid w:val="00CB168A"/>
    <w:rsid w:val="00CB1717"/>
    <w:rsid w:val="00CB1924"/>
    <w:rsid w:val="00CB1E5F"/>
    <w:rsid w:val="00CB1F2D"/>
    <w:rsid w:val="00CB2DD0"/>
    <w:rsid w:val="00CB4755"/>
    <w:rsid w:val="00CB480B"/>
    <w:rsid w:val="00CB6057"/>
    <w:rsid w:val="00CB68FB"/>
    <w:rsid w:val="00CB6FC3"/>
    <w:rsid w:val="00CB74EF"/>
    <w:rsid w:val="00CB7772"/>
    <w:rsid w:val="00CB7FC7"/>
    <w:rsid w:val="00CC24F6"/>
    <w:rsid w:val="00CC3590"/>
    <w:rsid w:val="00CC3B30"/>
    <w:rsid w:val="00CC5D7C"/>
    <w:rsid w:val="00CC7BD3"/>
    <w:rsid w:val="00CD0D5A"/>
    <w:rsid w:val="00CD197F"/>
    <w:rsid w:val="00CD2980"/>
    <w:rsid w:val="00CD2DCB"/>
    <w:rsid w:val="00CD2FB3"/>
    <w:rsid w:val="00CD379D"/>
    <w:rsid w:val="00CD3AF1"/>
    <w:rsid w:val="00CD3E4D"/>
    <w:rsid w:val="00CD55CC"/>
    <w:rsid w:val="00CD573B"/>
    <w:rsid w:val="00CD5BAD"/>
    <w:rsid w:val="00CD601C"/>
    <w:rsid w:val="00CD625A"/>
    <w:rsid w:val="00CD65AB"/>
    <w:rsid w:val="00CD6B64"/>
    <w:rsid w:val="00CD6C75"/>
    <w:rsid w:val="00CD721B"/>
    <w:rsid w:val="00CD7DAB"/>
    <w:rsid w:val="00CE00F6"/>
    <w:rsid w:val="00CE05E7"/>
    <w:rsid w:val="00CE09F6"/>
    <w:rsid w:val="00CE12E9"/>
    <w:rsid w:val="00CE14AC"/>
    <w:rsid w:val="00CE1C09"/>
    <w:rsid w:val="00CE2153"/>
    <w:rsid w:val="00CE39C1"/>
    <w:rsid w:val="00CE4239"/>
    <w:rsid w:val="00CE53E8"/>
    <w:rsid w:val="00CE56EB"/>
    <w:rsid w:val="00CE6352"/>
    <w:rsid w:val="00CE73FB"/>
    <w:rsid w:val="00CE797F"/>
    <w:rsid w:val="00CF05F7"/>
    <w:rsid w:val="00CF0633"/>
    <w:rsid w:val="00CF1865"/>
    <w:rsid w:val="00CF2991"/>
    <w:rsid w:val="00CF38DD"/>
    <w:rsid w:val="00CF42F7"/>
    <w:rsid w:val="00CF5902"/>
    <w:rsid w:val="00CF687B"/>
    <w:rsid w:val="00CF74D4"/>
    <w:rsid w:val="00CF7A8E"/>
    <w:rsid w:val="00D00A46"/>
    <w:rsid w:val="00D012A4"/>
    <w:rsid w:val="00D0299D"/>
    <w:rsid w:val="00D02A0C"/>
    <w:rsid w:val="00D02B25"/>
    <w:rsid w:val="00D03721"/>
    <w:rsid w:val="00D042F0"/>
    <w:rsid w:val="00D0508F"/>
    <w:rsid w:val="00D057A7"/>
    <w:rsid w:val="00D061DB"/>
    <w:rsid w:val="00D06B5C"/>
    <w:rsid w:val="00D0748E"/>
    <w:rsid w:val="00D07887"/>
    <w:rsid w:val="00D07BCE"/>
    <w:rsid w:val="00D10939"/>
    <w:rsid w:val="00D10FCD"/>
    <w:rsid w:val="00D11349"/>
    <w:rsid w:val="00D12A55"/>
    <w:rsid w:val="00D13EF9"/>
    <w:rsid w:val="00D14B83"/>
    <w:rsid w:val="00D1515B"/>
    <w:rsid w:val="00D15241"/>
    <w:rsid w:val="00D15C25"/>
    <w:rsid w:val="00D17D9F"/>
    <w:rsid w:val="00D17DA4"/>
    <w:rsid w:val="00D224DB"/>
    <w:rsid w:val="00D25381"/>
    <w:rsid w:val="00D255D5"/>
    <w:rsid w:val="00D259ED"/>
    <w:rsid w:val="00D2635B"/>
    <w:rsid w:val="00D27035"/>
    <w:rsid w:val="00D27B65"/>
    <w:rsid w:val="00D301AC"/>
    <w:rsid w:val="00D30442"/>
    <w:rsid w:val="00D3057F"/>
    <w:rsid w:val="00D31B03"/>
    <w:rsid w:val="00D31D63"/>
    <w:rsid w:val="00D325E7"/>
    <w:rsid w:val="00D33081"/>
    <w:rsid w:val="00D339DE"/>
    <w:rsid w:val="00D33CC9"/>
    <w:rsid w:val="00D34424"/>
    <w:rsid w:val="00D34801"/>
    <w:rsid w:val="00D3618F"/>
    <w:rsid w:val="00D37E51"/>
    <w:rsid w:val="00D43629"/>
    <w:rsid w:val="00D437C2"/>
    <w:rsid w:val="00D44664"/>
    <w:rsid w:val="00D458B9"/>
    <w:rsid w:val="00D46FFD"/>
    <w:rsid w:val="00D47089"/>
    <w:rsid w:val="00D47AA5"/>
    <w:rsid w:val="00D503E7"/>
    <w:rsid w:val="00D50F43"/>
    <w:rsid w:val="00D520F2"/>
    <w:rsid w:val="00D52F51"/>
    <w:rsid w:val="00D53320"/>
    <w:rsid w:val="00D54177"/>
    <w:rsid w:val="00D54216"/>
    <w:rsid w:val="00D556D8"/>
    <w:rsid w:val="00D56D74"/>
    <w:rsid w:val="00D60A41"/>
    <w:rsid w:val="00D61205"/>
    <w:rsid w:val="00D61CB8"/>
    <w:rsid w:val="00D6271F"/>
    <w:rsid w:val="00D634F9"/>
    <w:rsid w:val="00D6395F"/>
    <w:rsid w:val="00D640A7"/>
    <w:rsid w:val="00D642F1"/>
    <w:rsid w:val="00D65276"/>
    <w:rsid w:val="00D65D01"/>
    <w:rsid w:val="00D65D48"/>
    <w:rsid w:val="00D65E3C"/>
    <w:rsid w:val="00D65E53"/>
    <w:rsid w:val="00D66050"/>
    <w:rsid w:val="00D6750A"/>
    <w:rsid w:val="00D67F1A"/>
    <w:rsid w:val="00D67FE9"/>
    <w:rsid w:val="00D7098C"/>
    <w:rsid w:val="00D710F1"/>
    <w:rsid w:val="00D71B07"/>
    <w:rsid w:val="00D72629"/>
    <w:rsid w:val="00D732C5"/>
    <w:rsid w:val="00D7385D"/>
    <w:rsid w:val="00D752A6"/>
    <w:rsid w:val="00D756E7"/>
    <w:rsid w:val="00D759D1"/>
    <w:rsid w:val="00D76453"/>
    <w:rsid w:val="00D76723"/>
    <w:rsid w:val="00D76EAA"/>
    <w:rsid w:val="00D7720D"/>
    <w:rsid w:val="00D77743"/>
    <w:rsid w:val="00D77933"/>
    <w:rsid w:val="00D809A8"/>
    <w:rsid w:val="00D80ACF"/>
    <w:rsid w:val="00D80F74"/>
    <w:rsid w:val="00D81544"/>
    <w:rsid w:val="00D818B2"/>
    <w:rsid w:val="00D8272A"/>
    <w:rsid w:val="00D8290B"/>
    <w:rsid w:val="00D82CF1"/>
    <w:rsid w:val="00D82E97"/>
    <w:rsid w:val="00D8348B"/>
    <w:rsid w:val="00D8385F"/>
    <w:rsid w:val="00D850ED"/>
    <w:rsid w:val="00D85A1D"/>
    <w:rsid w:val="00D865A8"/>
    <w:rsid w:val="00D86AFE"/>
    <w:rsid w:val="00D86C5C"/>
    <w:rsid w:val="00D8761B"/>
    <w:rsid w:val="00D8771E"/>
    <w:rsid w:val="00D8777D"/>
    <w:rsid w:val="00D90103"/>
    <w:rsid w:val="00D906F8"/>
    <w:rsid w:val="00D914C7"/>
    <w:rsid w:val="00D93172"/>
    <w:rsid w:val="00D93318"/>
    <w:rsid w:val="00D9595D"/>
    <w:rsid w:val="00D95CE1"/>
    <w:rsid w:val="00D9673D"/>
    <w:rsid w:val="00D96B4F"/>
    <w:rsid w:val="00D97451"/>
    <w:rsid w:val="00DA02E4"/>
    <w:rsid w:val="00DA11A4"/>
    <w:rsid w:val="00DA16F7"/>
    <w:rsid w:val="00DA17EC"/>
    <w:rsid w:val="00DA1F4D"/>
    <w:rsid w:val="00DA26A6"/>
    <w:rsid w:val="00DA2BF0"/>
    <w:rsid w:val="00DA31DC"/>
    <w:rsid w:val="00DA3C22"/>
    <w:rsid w:val="00DA5849"/>
    <w:rsid w:val="00DA5D0A"/>
    <w:rsid w:val="00DA6052"/>
    <w:rsid w:val="00DA6AF4"/>
    <w:rsid w:val="00DA6B0C"/>
    <w:rsid w:val="00DA7F27"/>
    <w:rsid w:val="00DB078E"/>
    <w:rsid w:val="00DB2172"/>
    <w:rsid w:val="00DB25FA"/>
    <w:rsid w:val="00DB2F07"/>
    <w:rsid w:val="00DB3059"/>
    <w:rsid w:val="00DB3280"/>
    <w:rsid w:val="00DB42D4"/>
    <w:rsid w:val="00DB44B2"/>
    <w:rsid w:val="00DB5571"/>
    <w:rsid w:val="00DB55CF"/>
    <w:rsid w:val="00DB6704"/>
    <w:rsid w:val="00DB6C9F"/>
    <w:rsid w:val="00DB6D9B"/>
    <w:rsid w:val="00DB6F89"/>
    <w:rsid w:val="00DC08D5"/>
    <w:rsid w:val="00DC1B53"/>
    <w:rsid w:val="00DC3471"/>
    <w:rsid w:val="00DC525E"/>
    <w:rsid w:val="00DC5B42"/>
    <w:rsid w:val="00DC680D"/>
    <w:rsid w:val="00DC68C7"/>
    <w:rsid w:val="00DC77EB"/>
    <w:rsid w:val="00DC7C57"/>
    <w:rsid w:val="00DD05AD"/>
    <w:rsid w:val="00DD11B3"/>
    <w:rsid w:val="00DD1401"/>
    <w:rsid w:val="00DD14E3"/>
    <w:rsid w:val="00DD1F4A"/>
    <w:rsid w:val="00DD1F9F"/>
    <w:rsid w:val="00DD2891"/>
    <w:rsid w:val="00DD3316"/>
    <w:rsid w:val="00DD3B19"/>
    <w:rsid w:val="00DD5EB4"/>
    <w:rsid w:val="00DD6E30"/>
    <w:rsid w:val="00DD751F"/>
    <w:rsid w:val="00DE06BA"/>
    <w:rsid w:val="00DE0750"/>
    <w:rsid w:val="00DE1A22"/>
    <w:rsid w:val="00DE1C5C"/>
    <w:rsid w:val="00DE2939"/>
    <w:rsid w:val="00DE4615"/>
    <w:rsid w:val="00DE4CB3"/>
    <w:rsid w:val="00DE53E5"/>
    <w:rsid w:val="00DE5AC3"/>
    <w:rsid w:val="00DE6B87"/>
    <w:rsid w:val="00DE75A7"/>
    <w:rsid w:val="00DF0B5A"/>
    <w:rsid w:val="00DF139F"/>
    <w:rsid w:val="00DF1BAD"/>
    <w:rsid w:val="00DF362B"/>
    <w:rsid w:val="00DF397B"/>
    <w:rsid w:val="00DF3DBD"/>
    <w:rsid w:val="00DF504D"/>
    <w:rsid w:val="00DF63C0"/>
    <w:rsid w:val="00DF64BF"/>
    <w:rsid w:val="00DF7583"/>
    <w:rsid w:val="00DF7656"/>
    <w:rsid w:val="00E000DE"/>
    <w:rsid w:val="00E00332"/>
    <w:rsid w:val="00E00997"/>
    <w:rsid w:val="00E00A92"/>
    <w:rsid w:val="00E00FAB"/>
    <w:rsid w:val="00E032EF"/>
    <w:rsid w:val="00E03506"/>
    <w:rsid w:val="00E0403D"/>
    <w:rsid w:val="00E04986"/>
    <w:rsid w:val="00E04A9D"/>
    <w:rsid w:val="00E04BFC"/>
    <w:rsid w:val="00E05502"/>
    <w:rsid w:val="00E0596A"/>
    <w:rsid w:val="00E0667E"/>
    <w:rsid w:val="00E077AF"/>
    <w:rsid w:val="00E07BAD"/>
    <w:rsid w:val="00E10309"/>
    <w:rsid w:val="00E106CB"/>
    <w:rsid w:val="00E120EF"/>
    <w:rsid w:val="00E12274"/>
    <w:rsid w:val="00E137A5"/>
    <w:rsid w:val="00E13E96"/>
    <w:rsid w:val="00E1414F"/>
    <w:rsid w:val="00E1471B"/>
    <w:rsid w:val="00E14D56"/>
    <w:rsid w:val="00E15861"/>
    <w:rsid w:val="00E162F3"/>
    <w:rsid w:val="00E167CF"/>
    <w:rsid w:val="00E16DAC"/>
    <w:rsid w:val="00E20C11"/>
    <w:rsid w:val="00E2184A"/>
    <w:rsid w:val="00E2213B"/>
    <w:rsid w:val="00E249B8"/>
    <w:rsid w:val="00E24DAA"/>
    <w:rsid w:val="00E251BC"/>
    <w:rsid w:val="00E251D6"/>
    <w:rsid w:val="00E25454"/>
    <w:rsid w:val="00E25AA0"/>
    <w:rsid w:val="00E26A84"/>
    <w:rsid w:val="00E27C21"/>
    <w:rsid w:val="00E27D25"/>
    <w:rsid w:val="00E3018E"/>
    <w:rsid w:val="00E30884"/>
    <w:rsid w:val="00E31751"/>
    <w:rsid w:val="00E31B16"/>
    <w:rsid w:val="00E31E49"/>
    <w:rsid w:val="00E31FAE"/>
    <w:rsid w:val="00E32E1C"/>
    <w:rsid w:val="00E36165"/>
    <w:rsid w:val="00E36423"/>
    <w:rsid w:val="00E41920"/>
    <w:rsid w:val="00E42CE3"/>
    <w:rsid w:val="00E42F7F"/>
    <w:rsid w:val="00E438D6"/>
    <w:rsid w:val="00E43E5A"/>
    <w:rsid w:val="00E44F8E"/>
    <w:rsid w:val="00E46463"/>
    <w:rsid w:val="00E473C0"/>
    <w:rsid w:val="00E47804"/>
    <w:rsid w:val="00E47DE4"/>
    <w:rsid w:val="00E513DD"/>
    <w:rsid w:val="00E51C1E"/>
    <w:rsid w:val="00E51DCB"/>
    <w:rsid w:val="00E52D69"/>
    <w:rsid w:val="00E547CC"/>
    <w:rsid w:val="00E55277"/>
    <w:rsid w:val="00E5770B"/>
    <w:rsid w:val="00E5779A"/>
    <w:rsid w:val="00E60295"/>
    <w:rsid w:val="00E60650"/>
    <w:rsid w:val="00E6117C"/>
    <w:rsid w:val="00E61685"/>
    <w:rsid w:val="00E620CE"/>
    <w:rsid w:val="00E629F8"/>
    <w:rsid w:val="00E63105"/>
    <w:rsid w:val="00E6314E"/>
    <w:rsid w:val="00E633EC"/>
    <w:rsid w:val="00E63D6E"/>
    <w:rsid w:val="00E63DFE"/>
    <w:rsid w:val="00E645CA"/>
    <w:rsid w:val="00E64B4D"/>
    <w:rsid w:val="00E653FF"/>
    <w:rsid w:val="00E65971"/>
    <w:rsid w:val="00E66B0A"/>
    <w:rsid w:val="00E67314"/>
    <w:rsid w:val="00E70152"/>
    <w:rsid w:val="00E706BE"/>
    <w:rsid w:val="00E7266A"/>
    <w:rsid w:val="00E72B52"/>
    <w:rsid w:val="00E72D2D"/>
    <w:rsid w:val="00E73168"/>
    <w:rsid w:val="00E736C3"/>
    <w:rsid w:val="00E74641"/>
    <w:rsid w:val="00E74B22"/>
    <w:rsid w:val="00E74F37"/>
    <w:rsid w:val="00E775B5"/>
    <w:rsid w:val="00E77958"/>
    <w:rsid w:val="00E810C0"/>
    <w:rsid w:val="00E8178E"/>
    <w:rsid w:val="00E81E2A"/>
    <w:rsid w:val="00E83545"/>
    <w:rsid w:val="00E83BAA"/>
    <w:rsid w:val="00E84012"/>
    <w:rsid w:val="00E8535A"/>
    <w:rsid w:val="00E8547B"/>
    <w:rsid w:val="00E86593"/>
    <w:rsid w:val="00E86CC5"/>
    <w:rsid w:val="00E86E17"/>
    <w:rsid w:val="00E8702A"/>
    <w:rsid w:val="00E87305"/>
    <w:rsid w:val="00E87AB9"/>
    <w:rsid w:val="00E87F66"/>
    <w:rsid w:val="00E9114D"/>
    <w:rsid w:val="00E9127F"/>
    <w:rsid w:val="00E9168F"/>
    <w:rsid w:val="00E923DC"/>
    <w:rsid w:val="00E92AAC"/>
    <w:rsid w:val="00E92C43"/>
    <w:rsid w:val="00E93129"/>
    <w:rsid w:val="00E94166"/>
    <w:rsid w:val="00E9554D"/>
    <w:rsid w:val="00E9598A"/>
    <w:rsid w:val="00E975AF"/>
    <w:rsid w:val="00E9793A"/>
    <w:rsid w:val="00EA137D"/>
    <w:rsid w:val="00EA276D"/>
    <w:rsid w:val="00EA340D"/>
    <w:rsid w:val="00EA3EF7"/>
    <w:rsid w:val="00EA4426"/>
    <w:rsid w:val="00EA5999"/>
    <w:rsid w:val="00EA62B3"/>
    <w:rsid w:val="00EA63B3"/>
    <w:rsid w:val="00EA65F2"/>
    <w:rsid w:val="00EA6795"/>
    <w:rsid w:val="00EA6A80"/>
    <w:rsid w:val="00EA6EE3"/>
    <w:rsid w:val="00EA7666"/>
    <w:rsid w:val="00EA7C92"/>
    <w:rsid w:val="00EA7FC1"/>
    <w:rsid w:val="00EB0BD3"/>
    <w:rsid w:val="00EB0E92"/>
    <w:rsid w:val="00EB0F3C"/>
    <w:rsid w:val="00EB1A00"/>
    <w:rsid w:val="00EB1E2D"/>
    <w:rsid w:val="00EB1EFB"/>
    <w:rsid w:val="00EB2FDB"/>
    <w:rsid w:val="00EB4CA2"/>
    <w:rsid w:val="00EB5E63"/>
    <w:rsid w:val="00EB6BF8"/>
    <w:rsid w:val="00EB72BD"/>
    <w:rsid w:val="00EC1767"/>
    <w:rsid w:val="00EC302F"/>
    <w:rsid w:val="00EC4597"/>
    <w:rsid w:val="00EC4D86"/>
    <w:rsid w:val="00EC533A"/>
    <w:rsid w:val="00EC5369"/>
    <w:rsid w:val="00EC711C"/>
    <w:rsid w:val="00EC76E1"/>
    <w:rsid w:val="00ED183A"/>
    <w:rsid w:val="00ED2FF4"/>
    <w:rsid w:val="00ED37FE"/>
    <w:rsid w:val="00ED452A"/>
    <w:rsid w:val="00ED45D8"/>
    <w:rsid w:val="00ED46BE"/>
    <w:rsid w:val="00ED489D"/>
    <w:rsid w:val="00ED4B23"/>
    <w:rsid w:val="00ED55E0"/>
    <w:rsid w:val="00ED64C2"/>
    <w:rsid w:val="00ED7388"/>
    <w:rsid w:val="00ED7D95"/>
    <w:rsid w:val="00EE08EA"/>
    <w:rsid w:val="00EE2EB8"/>
    <w:rsid w:val="00EE3118"/>
    <w:rsid w:val="00EE410F"/>
    <w:rsid w:val="00EE4944"/>
    <w:rsid w:val="00EE5643"/>
    <w:rsid w:val="00EE5DAF"/>
    <w:rsid w:val="00EE60C0"/>
    <w:rsid w:val="00EE6A96"/>
    <w:rsid w:val="00EE7D0D"/>
    <w:rsid w:val="00EF0040"/>
    <w:rsid w:val="00EF0CE7"/>
    <w:rsid w:val="00EF18C0"/>
    <w:rsid w:val="00EF23BB"/>
    <w:rsid w:val="00EF3B2F"/>
    <w:rsid w:val="00EF48E9"/>
    <w:rsid w:val="00EF4CDF"/>
    <w:rsid w:val="00EF58A2"/>
    <w:rsid w:val="00EF6A1C"/>
    <w:rsid w:val="00EF7589"/>
    <w:rsid w:val="00EF75AD"/>
    <w:rsid w:val="00EF79A7"/>
    <w:rsid w:val="00EF7EEF"/>
    <w:rsid w:val="00F00524"/>
    <w:rsid w:val="00F00643"/>
    <w:rsid w:val="00F007D0"/>
    <w:rsid w:val="00F00EDE"/>
    <w:rsid w:val="00F01400"/>
    <w:rsid w:val="00F0189E"/>
    <w:rsid w:val="00F02C6E"/>
    <w:rsid w:val="00F04B43"/>
    <w:rsid w:val="00F04E7D"/>
    <w:rsid w:val="00F05C46"/>
    <w:rsid w:val="00F05C5E"/>
    <w:rsid w:val="00F062A8"/>
    <w:rsid w:val="00F06479"/>
    <w:rsid w:val="00F07D23"/>
    <w:rsid w:val="00F07E9A"/>
    <w:rsid w:val="00F10544"/>
    <w:rsid w:val="00F10B94"/>
    <w:rsid w:val="00F1121E"/>
    <w:rsid w:val="00F116C2"/>
    <w:rsid w:val="00F1194E"/>
    <w:rsid w:val="00F11F9B"/>
    <w:rsid w:val="00F12832"/>
    <w:rsid w:val="00F12861"/>
    <w:rsid w:val="00F12C74"/>
    <w:rsid w:val="00F13F1B"/>
    <w:rsid w:val="00F14021"/>
    <w:rsid w:val="00F14394"/>
    <w:rsid w:val="00F151A7"/>
    <w:rsid w:val="00F15CA1"/>
    <w:rsid w:val="00F16B71"/>
    <w:rsid w:val="00F175C6"/>
    <w:rsid w:val="00F21212"/>
    <w:rsid w:val="00F2145D"/>
    <w:rsid w:val="00F21666"/>
    <w:rsid w:val="00F23179"/>
    <w:rsid w:val="00F25647"/>
    <w:rsid w:val="00F25802"/>
    <w:rsid w:val="00F2718A"/>
    <w:rsid w:val="00F276DD"/>
    <w:rsid w:val="00F300E5"/>
    <w:rsid w:val="00F302E9"/>
    <w:rsid w:val="00F30E37"/>
    <w:rsid w:val="00F31DD6"/>
    <w:rsid w:val="00F32D9D"/>
    <w:rsid w:val="00F332D8"/>
    <w:rsid w:val="00F336A0"/>
    <w:rsid w:val="00F363C3"/>
    <w:rsid w:val="00F36D66"/>
    <w:rsid w:val="00F405B4"/>
    <w:rsid w:val="00F405D9"/>
    <w:rsid w:val="00F40B0B"/>
    <w:rsid w:val="00F40B79"/>
    <w:rsid w:val="00F40D47"/>
    <w:rsid w:val="00F40FC0"/>
    <w:rsid w:val="00F42045"/>
    <w:rsid w:val="00F42F5A"/>
    <w:rsid w:val="00F4316A"/>
    <w:rsid w:val="00F43FB4"/>
    <w:rsid w:val="00F44571"/>
    <w:rsid w:val="00F44DEA"/>
    <w:rsid w:val="00F45146"/>
    <w:rsid w:val="00F4641D"/>
    <w:rsid w:val="00F470B6"/>
    <w:rsid w:val="00F47655"/>
    <w:rsid w:val="00F47670"/>
    <w:rsid w:val="00F47B8A"/>
    <w:rsid w:val="00F47CAA"/>
    <w:rsid w:val="00F50163"/>
    <w:rsid w:val="00F507A9"/>
    <w:rsid w:val="00F51634"/>
    <w:rsid w:val="00F52257"/>
    <w:rsid w:val="00F534E9"/>
    <w:rsid w:val="00F538D8"/>
    <w:rsid w:val="00F53F45"/>
    <w:rsid w:val="00F54310"/>
    <w:rsid w:val="00F60849"/>
    <w:rsid w:val="00F6151C"/>
    <w:rsid w:val="00F6197D"/>
    <w:rsid w:val="00F629BD"/>
    <w:rsid w:val="00F63227"/>
    <w:rsid w:val="00F6356E"/>
    <w:rsid w:val="00F63807"/>
    <w:rsid w:val="00F63FD8"/>
    <w:rsid w:val="00F649F2"/>
    <w:rsid w:val="00F65319"/>
    <w:rsid w:val="00F6564F"/>
    <w:rsid w:val="00F65AAF"/>
    <w:rsid w:val="00F65D71"/>
    <w:rsid w:val="00F6636E"/>
    <w:rsid w:val="00F66F02"/>
    <w:rsid w:val="00F70CAE"/>
    <w:rsid w:val="00F71247"/>
    <w:rsid w:val="00F72D89"/>
    <w:rsid w:val="00F74D7E"/>
    <w:rsid w:val="00F74EF3"/>
    <w:rsid w:val="00F7620D"/>
    <w:rsid w:val="00F7687B"/>
    <w:rsid w:val="00F776C2"/>
    <w:rsid w:val="00F77A9B"/>
    <w:rsid w:val="00F80122"/>
    <w:rsid w:val="00F81CB4"/>
    <w:rsid w:val="00F82907"/>
    <w:rsid w:val="00F82C76"/>
    <w:rsid w:val="00F83BB4"/>
    <w:rsid w:val="00F85571"/>
    <w:rsid w:val="00F85A26"/>
    <w:rsid w:val="00F87057"/>
    <w:rsid w:val="00F8727D"/>
    <w:rsid w:val="00F87FAC"/>
    <w:rsid w:val="00F906CC"/>
    <w:rsid w:val="00F90EE3"/>
    <w:rsid w:val="00F92259"/>
    <w:rsid w:val="00F9231B"/>
    <w:rsid w:val="00F92326"/>
    <w:rsid w:val="00F93E3F"/>
    <w:rsid w:val="00F9582D"/>
    <w:rsid w:val="00F95BC8"/>
    <w:rsid w:val="00F97511"/>
    <w:rsid w:val="00F9768E"/>
    <w:rsid w:val="00FA2B7C"/>
    <w:rsid w:val="00FA314C"/>
    <w:rsid w:val="00FA39CF"/>
    <w:rsid w:val="00FA5388"/>
    <w:rsid w:val="00FA6420"/>
    <w:rsid w:val="00FA71B2"/>
    <w:rsid w:val="00FA71FF"/>
    <w:rsid w:val="00FA75D1"/>
    <w:rsid w:val="00FA78C8"/>
    <w:rsid w:val="00FA7FD2"/>
    <w:rsid w:val="00FB02F2"/>
    <w:rsid w:val="00FB2169"/>
    <w:rsid w:val="00FB4183"/>
    <w:rsid w:val="00FB5BBE"/>
    <w:rsid w:val="00FB6BEC"/>
    <w:rsid w:val="00FB7876"/>
    <w:rsid w:val="00FB7E3D"/>
    <w:rsid w:val="00FC00B1"/>
    <w:rsid w:val="00FC05A3"/>
    <w:rsid w:val="00FC0E29"/>
    <w:rsid w:val="00FC0E42"/>
    <w:rsid w:val="00FC1180"/>
    <w:rsid w:val="00FC119D"/>
    <w:rsid w:val="00FC2C49"/>
    <w:rsid w:val="00FC354D"/>
    <w:rsid w:val="00FC3A62"/>
    <w:rsid w:val="00FC3B40"/>
    <w:rsid w:val="00FC3F05"/>
    <w:rsid w:val="00FC47A6"/>
    <w:rsid w:val="00FC53E9"/>
    <w:rsid w:val="00FC6E46"/>
    <w:rsid w:val="00FC704D"/>
    <w:rsid w:val="00FC71F0"/>
    <w:rsid w:val="00FC723D"/>
    <w:rsid w:val="00FC7C50"/>
    <w:rsid w:val="00FD0230"/>
    <w:rsid w:val="00FD0265"/>
    <w:rsid w:val="00FD0B8C"/>
    <w:rsid w:val="00FD177F"/>
    <w:rsid w:val="00FD1976"/>
    <w:rsid w:val="00FD1E19"/>
    <w:rsid w:val="00FD237C"/>
    <w:rsid w:val="00FD251D"/>
    <w:rsid w:val="00FD3056"/>
    <w:rsid w:val="00FD3D91"/>
    <w:rsid w:val="00FD4A18"/>
    <w:rsid w:val="00FD6C6B"/>
    <w:rsid w:val="00FD7C34"/>
    <w:rsid w:val="00FD7E2A"/>
    <w:rsid w:val="00FE00B7"/>
    <w:rsid w:val="00FE0287"/>
    <w:rsid w:val="00FE076D"/>
    <w:rsid w:val="00FE1134"/>
    <w:rsid w:val="00FE1ADB"/>
    <w:rsid w:val="00FE2A63"/>
    <w:rsid w:val="00FE2BF2"/>
    <w:rsid w:val="00FE3892"/>
    <w:rsid w:val="00FE39FC"/>
    <w:rsid w:val="00FE3AB2"/>
    <w:rsid w:val="00FE3E05"/>
    <w:rsid w:val="00FE4176"/>
    <w:rsid w:val="00FE4474"/>
    <w:rsid w:val="00FE5721"/>
    <w:rsid w:val="00FE6D8B"/>
    <w:rsid w:val="00FE72EE"/>
    <w:rsid w:val="00FE76C8"/>
    <w:rsid w:val="00FE77CC"/>
    <w:rsid w:val="00FF1DFD"/>
    <w:rsid w:val="00FF2ABA"/>
    <w:rsid w:val="00FF3967"/>
    <w:rsid w:val="00FF3EE4"/>
    <w:rsid w:val="00FF4058"/>
    <w:rsid w:val="00FF4534"/>
    <w:rsid w:val="00FF4886"/>
    <w:rsid w:val="00FF4F4C"/>
    <w:rsid w:val="00FF53A9"/>
    <w:rsid w:val="00FF53EE"/>
    <w:rsid w:val="00FF6BCA"/>
    <w:rsid w:val="010057A7"/>
    <w:rsid w:val="010F2882"/>
    <w:rsid w:val="01247755"/>
    <w:rsid w:val="01303F65"/>
    <w:rsid w:val="013A09C4"/>
    <w:rsid w:val="014852B3"/>
    <w:rsid w:val="014C5266"/>
    <w:rsid w:val="01683BB5"/>
    <w:rsid w:val="0176597C"/>
    <w:rsid w:val="018351D3"/>
    <w:rsid w:val="018710A3"/>
    <w:rsid w:val="01A53EA2"/>
    <w:rsid w:val="01A7086A"/>
    <w:rsid w:val="01A93A5A"/>
    <w:rsid w:val="01AD7D01"/>
    <w:rsid w:val="01B009AB"/>
    <w:rsid w:val="01B82220"/>
    <w:rsid w:val="01B97F54"/>
    <w:rsid w:val="01C601C2"/>
    <w:rsid w:val="01E462AD"/>
    <w:rsid w:val="01E92F08"/>
    <w:rsid w:val="020016FD"/>
    <w:rsid w:val="0201252C"/>
    <w:rsid w:val="02060918"/>
    <w:rsid w:val="021576DD"/>
    <w:rsid w:val="02293759"/>
    <w:rsid w:val="02624329"/>
    <w:rsid w:val="026C4FD1"/>
    <w:rsid w:val="027C3DBD"/>
    <w:rsid w:val="02A818C0"/>
    <w:rsid w:val="02BE185D"/>
    <w:rsid w:val="02C32F68"/>
    <w:rsid w:val="02F21EEB"/>
    <w:rsid w:val="02FA132F"/>
    <w:rsid w:val="02FC4B9B"/>
    <w:rsid w:val="03103494"/>
    <w:rsid w:val="032166EF"/>
    <w:rsid w:val="033F7C3E"/>
    <w:rsid w:val="03470120"/>
    <w:rsid w:val="034D4DD8"/>
    <w:rsid w:val="035D7D75"/>
    <w:rsid w:val="035E5F74"/>
    <w:rsid w:val="0365592C"/>
    <w:rsid w:val="036B7E52"/>
    <w:rsid w:val="0372035D"/>
    <w:rsid w:val="03831553"/>
    <w:rsid w:val="03924D33"/>
    <w:rsid w:val="03960557"/>
    <w:rsid w:val="03ED1BFC"/>
    <w:rsid w:val="03ED2838"/>
    <w:rsid w:val="041A1188"/>
    <w:rsid w:val="04230BEE"/>
    <w:rsid w:val="04302795"/>
    <w:rsid w:val="043729FA"/>
    <w:rsid w:val="04591A2E"/>
    <w:rsid w:val="0461422D"/>
    <w:rsid w:val="046E7456"/>
    <w:rsid w:val="04826CFA"/>
    <w:rsid w:val="04976926"/>
    <w:rsid w:val="04A05494"/>
    <w:rsid w:val="04A722F0"/>
    <w:rsid w:val="04A9499D"/>
    <w:rsid w:val="04B45435"/>
    <w:rsid w:val="04D55D13"/>
    <w:rsid w:val="04DC666C"/>
    <w:rsid w:val="04EC78FC"/>
    <w:rsid w:val="04FF46D6"/>
    <w:rsid w:val="05301C5F"/>
    <w:rsid w:val="05447943"/>
    <w:rsid w:val="054D67F1"/>
    <w:rsid w:val="057A69BF"/>
    <w:rsid w:val="057B0E62"/>
    <w:rsid w:val="0580785F"/>
    <w:rsid w:val="058A1C57"/>
    <w:rsid w:val="05964489"/>
    <w:rsid w:val="0597082A"/>
    <w:rsid w:val="05CB0E27"/>
    <w:rsid w:val="05CC0218"/>
    <w:rsid w:val="05D05124"/>
    <w:rsid w:val="05F33C03"/>
    <w:rsid w:val="0608114D"/>
    <w:rsid w:val="063C7A07"/>
    <w:rsid w:val="06494301"/>
    <w:rsid w:val="065036EF"/>
    <w:rsid w:val="066811D3"/>
    <w:rsid w:val="066F5174"/>
    <w:rsid w:val="06706E5D"/>
    <w:rsid w:val="06737F68"/>
    <w:rsid w:val="06792D62"/>
    <w:rsid w:val="069A3EBB"/>
    <w:rsid w:val="069B6845"/>
    <w:rsid w:val="06A238AF"/>
    <w:rsid w:val="06A25465"/>
    <w:rsid w:val="06AD4DCE"/>
    <w:rsid w:val="06CC4A19"/>
    <w:rsid w:val="06D84107"/>
    <w:rsid w:val="06DA6645"/>
    <w:rsid w:val="06E930F9"/>
    <w:rsid w:val="070E1192"/>
    <w:rsid w:val="070F0EB1"/>
    <w:rsid w:val="07265ECA"/>
    <w:rsid w:val="0730481F"/>
    <w:rsid w:val="073F6540"/>
    <w:rsid w:val="074B784A"/>
    <w:rsid w:val="074F4521"/>
    <w:rsid w:val="07505787"/>
    <w:rsid w:val="076707A0"/>
    <w:rsid w:val="07707E48"/>
    <w:rsid w:val="07726BE5"/>
    <w:rsid w:val="07761B42"/>
    <w:rsid w:val="0780311D"/>
    <w:rsid w:val="07862D11"/>
    <w:rsid w:val="07981A91"/>
    <w:rsid w:val="079B4158"/>
    <w:rsid w:val="07A27EEC"/>
    <w:rsid w:val="07AC389C"/>
    <w:rsid w:val="07BA375B"/>
    <w:rsid w:val="07C338E5"/>
    <w:rsid w:val="07CB2146"/>
    <w:rsid w:val="07CE525D"/>
    <w:rsid w:val="07CF512D"/>
    <w:rsid w:val="07D04F64"/>
    <w:rsid w:val="07E17544"/>
    <w:rsid w:val="07FE5059"/>
    <w:rsid w:val="080001B0"/>
    <w:rsid w:val="0806636F"/>
    <w:rsid w:val="080E5F49"/>
    <w:rsid w:val="0810264A"/>
    <w:rsid w:val="081661AF"/>
    <w:rsid w:val="083666D9"/>
    <w:rsid w:val="085315B2"/>
    <w:rsid w:val="08664345"/>
    <w:rsid w:val="08686A7E"/>
    <w:rsid w:val="08697816"/>
    <w:rsid w:val="08723626"/>
    <w:rsid w:val="089C5B28"/>
    <w:rsid w:val="08CE3215"/>
    <w:rsid w:val="08DE4389"/>
    <w:rsid w:val="08FE4DC1"/>
    <w:rsid w:val="09012917"/>
    <w:rsid w:val="090C2147"/>
    <w:rsid w:val="0927512D"/>
    <w:rsid w:val="09573866"/>
    <w:rsid w:val="0960347E"/>
    <w:rsid w:val="09652590"/>
    <w:rsid w:val="097653E7"/>
    <w:rsid w:val="097C0DEA"/>
    <w:rsid w:val="097E16AA"/>
    <w:rsid w:val="098415CA"/>
    <w:rsid w:val="098766D8"/>
    <w:rsid w:val="09911702"/>
    <w:rsid w:val="09917881"/>
    <w:rsid w:val="099536FE"/>
    <w:rsid w:val="09F92B47"/>
    <w:rsid w:val="0A0E2098"/>
    <w:rsid w:val="0A36068A"/>
    <w:rsid w:val="0A3927A2"/>
    <w:rsid w:val="0A6D4E8D"/>
    <w:rsid w:val="0AAB0902"/>
    <w:rsid w:val="0AB079D6"/>
    <w:rsid w:val="0AB80DB3"/>
    <w:rsid w:val="0AE4227C"/>
    <w:rsid w:val="0AE77A0C"/>
    <w:rsid w:val="0AE81B19"/>
    <w:rsid w:val="0AFB755B"/>
    <w:rsid w:val="0AFF2C5A"/>
    <w:rsid w:val="0B046039"/>
    <w:rsid w:val="0B260413"/>
    <w:rsid w:val="0B61769D"/>
    <w:rsid w:val="0B6A78FF"/>
    <w:rsid w:val="0B821434"/>
    <w:rsid w:val="0B8415DD"/>
    <w:rsid w:val="0BA67E6C"/>
    <w:rsid w:val="0BAD401F"/>
    <w:rsid w:val="0BB55567"/>
    <w:rsid w:val="0BC33EB3"/>
    <w:rsid w:val="0BC40744"/>
    <w:rsid w:val="0BDC1CE9"/>
    <w:rsid w:val="0BDC46A3"/>
    <w:rsid w:val="0BE81B6C"/>
    <w:rsid w:val="0C0B6D68"/>
    <w:rsid w:val="0C0C3F82"/>
    <w:rsid w:val="0C0F43C2"/>
    <w:rsid w:val="0C197785"/>
    <w:rsid w:val="0C1A3D59"/>
    <w:rsid w:val="0C257B40"/>
    <w:rsid w:val="0C2C064B"/>
    <w:rsid w:val="0C3E34A5"/>
    <w:rsid w:val="0C546315"/>
    <w:rsid w:val="0C610DA4"/>
    <w:rsid w:val="0C6874EB"/>
    <w:rsid w:val="0C812DED"/>
    <w:rsid w:val="0C950BA6"/>
    <w:rsid w:val="0CAF695A"/>
    <w:rsid w:val="0CB12611"/>
    <w:rsid w:val="0CEF2175"/>
    <w:rsid w:val="0D124D83"/>
    <w:rsid w:val="0D16252B"/>
    <w:rsid w:val="0D1F336B"/>
    <w:rsid w:val="0D203DB4"/>
    <w:rsid w:val="0D2E24AB"/>
    <w:rsid w:val="0D396BF9"/>
    <w:rsid w:val="0D422A1C"/>
    <w:rsid w:val="0D434BB0"/>
    <w:rsid w:val="0D4E642E"/>
    <w:rsid w:val="0D5D17E3"/>
    <w:rsid w:val="0D5E1D12"/>
    <w:rsid w:val="0D8C68E2"/>
    <w:rsid w:val="0D9943EA"/>
    <w:rsid w:val="0DB51F5E"/>
    <w:rsid w:val="0DB545D2"/>
    <w:rsid w:val="0DC7118E"/>
    <w:rsid w:val="0DE01F75"/>
    <w:rsid w:val="0DE5659B"/>
    <w:rsid w:val="0DE56FE8"/>
    <w:rsid w:val="0DED34C2"/>
    <w:rsid w:val="0DF47AE0"/>
    <w:rsid w:val="0E0E3F78"/>
    <w:rsid w:val="0E1E3AB1"/>
    <w:rsid w:val="0E245078"/>
    <w:rsid w:val="0E331822"/>
    <w:rsid w:val="0E5B7068"/>
    <w:rsid w:val="0E671431"/>
    <w:rsid w:val="0E710B71"/>
    <w:rsid w:val="0E8611C8"/>
    <w:rsid w:val="0E8F5C4C"/>
    <w:rsid w:val="0E96765D"/>
    <w:rsid w:val="0EB653B4"/>
    <w:rsid w:val="0EB72DE1"/>
    <w:rsid w:val="0ED42113"/>
    <w:rsid w:val="0ED6340D"/>
    <w:rsid w:val="0EED3F04"/>
    <w:rsid w:val="0EF04DE5"/>
    <w:rsid w:val="0EFF43BA"/>
    <w:rsid w:val="0F0174F1"/>
    <w:rsid w:val="0F061FFE"/>
    <w:rsid w:val="0F092CD6"/>
    <w:rsid w:val="0F143963"/>
    <w:rsid w:val="0F4425B0"/>
    <w:rsid w:val="0F57471B"/>
    <w:rsid w:val="0F5B6AB1"/>
    <w:rsid w:val="0F777651"/>
    <w:rsid w:val="0F7A203F"/>
    <w:rsid w:val="0F8F6F10"/>
    <w:rsid w:val="0F963D6C"/>
    <w:rsid w:val="0FA37114"/>
    <w:rsid w:val="0FD47C62"/>
    <w:rsid w:val="100C34AE"/>
    <w:rsid w:val="100D5F57"/>
    <w:rsid w:val="10286655"/>
    <w:rsid w:val="102B1565"/>
    <w:rsid w:val="103E6637"/>
    <w:rsid w:val="10454916"/>
    <w:rsid w:val="105C6197"/>
    <w:rsid w:val="10672A16"/>
    <w:rsid w:val="10790FE5"/>
    <w:rsid w:val="107E71D4"/>
    <w:rsid w:val="107F13A6"/>
    <w:rsid w:val="10A76C07"/>
    <w:rsid w:val="10AF6730"/>
    <w:rsid w:val="10B4070D"/>
    <w:rsid w:val="10C20616"/>
    <w:rsid w:val="10E832B4"/>
    <w:rsid w:val="10EA3953"/>
    <w:rsid w:val="10EA3C90"/>
    <w:rsid w:val="10EF0884"/>
    <w:rsid w:val="10FE28C6"/>
    <w:rsid w:val="111369C6"/>
    <w:rsid w:val="111934E7"/>
    <w:rsid w:val="111C6430"/>
    <w:rsid w:val="112172C2"/>
    <w:rsid w:val="114D7618"/>
    <w:rsid w:val="11527F92"/>
    <w:rsid w:val="116F6BC1"/>
    <w:rsid w:val="11766346"/>
    <w:rsid w:val="117A335E"/>
    <w:rsid w:val="1186449F"/>
    <w:rsid w:val="11983D3E"/>
    <w:rsid w:val="119F2CCD"/>
    <w:rsid w:val="119F34BD"/>
    <w:rsid w:val="11AE39F8"/>
    <w:rsid w:val="11C53F61"/>
    <w:rsid w:val="11F823DD"/>
    <w:rsid w:val="11F8380E"/>
    <w:rsid w:val="11F93D82"/>
    <w:rsid w:val="1205483D"/>
    <w:rsid w:val="12056CBD"/>
    <w:rsid w:val="1207758E"/>
    <w:rsid w:val="1208619C"/>
    <w:rsid w:val="120E0D54"/>
    <w:rsid w:val="120E372E"/>
    <w:rsid w:val="121767DB"/>
    <w:rsid w:val="122E26AC"/>
    <w:rsid w:val="12383E59"/>
    <w:rsid w:val="12445E42"/>
    <w:rsid w:val="12465C21"/>
    <w:rsid w:val="12550B18"/>
    <w:rsid w:val="12663BE0"/>
    <w:rsid w:val="12735753"/>
    <w:rsid w:val="12CA084D"/>
    <w:rsid w:val="12DE6746"/>
    <w:rsid w:val="12FC58B1"/>
    <w:rsid w:val="130E11A0"/>
    <w:rsid w:val="131A603D"/>
    <w:rsid w:val="131F21C7"/>
    <w:rsid w:val="133D6799"/>
    <w:rsid w:val="136007E7"/>
    <w:rsid w:val="136E327B"/>
    <w:rsid w:val="1387472C"/>
    <w:rsid w:val="138E393C"/>
    <w:rsid w:val="13914F8E"/>
    <w:rsid w:val="13A07738"/>
    <w:rsid w:val="13AB36C5"/>
    <w:rsid w:val="13B43589"/>
    <w:rsid w:val="13BB0808"/>
    <w:rsid w:val="13BC175F"/>
    <w:rsid w:val="13CB5FFB"/>
    <w:rsid w:val="14060571"/>
    <w:rsid w:val="1426082A"/>
    <w:rsid w:val="14561D62"/>
    <w:rsid w:val="145A5FD6"/>
    <w:rsid w:val="147014A9"/>
    <w:rsid w:val="14950344"/>
    <w:rsid w:val="14956609"/>
    <w:rsid w:val="14B856A7"/>
    <w:rsid w:val="14DE0C0F"/>
    <w:rsid w:val="14DE573A"/>
    <w:rsid w:val="14DF3546"/>
    <w:rsid w:val="14E31122"/>
    <w:rsid w:val="14EE1A04"/>
    <w:rsid w:val="14F134BB"/>
    <w:rsid w:val="14FB4FED"/>
    <w:rsid w:val="151246ED"/>
    <w:rsid w:val="152C2AC9"/>
    <w:rsid w:val="15367333"/>
    <w:rsid w:val="153C255C"/>
    <w:rsid w:val="154304FD"/>
    <w:rsid w:val="154923E9"/>
    <w:rsid w:val="156952E9"/>
    <w:rsid w:val="157D32D4"/>
    <w:rsid w:val="157E7AEC"/>
    <w:rsid w:val="15924B9F"/>
    <w:rsid w:val="15957D8F"/>
    <w:rsid w:val="159F18AB"/>
    <w:rsid w:val="15BD5E7C"/>
    <w:rsid w:val="15C745A0"/>
    <w:rsid w:val="15CC7E09"/>
    <w:rsid w:val="15DA10CC"/>
    <w:rsid w:val="15EA37AE"/>
    <w:rsid w:val="1606775E"/>
    <w:rsid w:val="160A610E"/>
    <w:rsid w:val="164044C0"/>
    <w:rsid w:val="16462E87"/>
    <w:rsid w:val="16464C3B"/>
    <w:rsid w:val="16610551"/>
    <w:rsid w:val="16786253"/>
    <w:rsid w:val="167D7355"/>
    <w:rsid w:val="169F561C"/>
    <w:rsid w:val="16A132F1"/>
    <w:rsid w:val="16A44BF7"/>
    <w:rsid w:val="16A90C06"/>
    <w:rsid w:val="16BC04A0"/>
    <w:rsid w:val="16C8192A"/>
    <w:rsid w:val="171A332F"/>
    <w:rsid w:val="17251EAC"/>
    <w:rsid w:val="172F5A62"/>
    <w:rsid w:val="1743523F"/>
    <w:rsid w:val="174602F3"/>
    <w:rsid w:val="174B3433"/>
    <w:rsid w:val="175201A4"/>
    <w:rsid w:val="17581F6D"/>
    <w:rsid w:val="17591B70"/>
    <w:rsid w:val="1763479D"/>
    <w:rsid w:val="177A1481"/>
    <w:rsid w:val="177B2B64"/>
    <w:rsid w:val="17844E8E"/>
    <w:rsid w:val="17946704"/>
    <w:rsid w:val="179914B3"/>
    <w:rsid w:val="17A116AE"/>
    <w:rsid w:val="17B31280"/>
    <w:rsid w:val="17B33E4D"/>
    <w:rsid w:val="17B40B54"/>
    <w:rsid w:val="17D252F9"/>
    <w:rsid w:val="17EF5266"/>
    <w:rsid w:val="18071B33"/>
    <w:rsid w:val="180E5A00"/>
    <w:rsid w:val="1813342D"/>
    <w:rsid w:val="181B2BBC"/>
    <w:rsid w:val="181B53C4"/>
    <w:rsid w:val="183C091C"/>
    <w:rsid w:val="183F3519"/>
    <w:rsid w:val="1841459E"/>
    <w:rsid w:val="184A01D4"/>
    <w:rsid w:val="186F7BC5"/>
    <w:rsid w:val="187D225E"/>
    <w:rsid w:val="188C47E4"/>
    <w:rsid w:val="189039E8"/>
    <w:rsid w:val="18B157FE"/>
    <w:rsid w:val="18CA367B"/>
    <w:rsid w:val="18D32F39"/>
    <w:rsid w:val="18EB4A89"/>
    <w:rsid w:val="18ED10F1"/>
    <w:rsid w:val="18FD15C0"/>
    <w:rsid w:val="19104A6E"/>
    <w:rsid w:val="192E4467"/>
    <w:rsid w:val="194818B4"/>
    <w:rsid w:val="195C2DAE"/>
    <w:rsid w:val="19670B39"/>
    <w:rsid w:val="196846B9"/>
    <w:rsid w:val="1979599D"/>
    <w:rsid w:val="198D78AF"/>
    <w:rsid w:val="19A65C35"/>
    <w:rsid w:val="19A86CE9"/>
    <w:rsid w:val="19C72EE6"/>
    <w:rsid w:val="19D55685"/>
    <w:rsid w:val="19D63097"/>
    <w:rsid w:val="19DF45AE"/>
    <w:rsid w:val="19FD504D"/>
    <w:rsid w:val="1A08732E"/>
    <w:rsid w:val="1A0D2A4A"/>
    <w:rsid w:val="1A2F6045"/>
    <w:rsid w:val="1A400204"/>
    <w:rsid w:val="1A4C2D0F"/>
    <w:rsid w:val="1A685EB8"/>
    <w:rsid w:val="1A817DEA"/>
    <w:rsid w:val="1A977783"/>
    <w:rsid w:val="1A994D33"/>
    <w:rsid w:val="1AAC1FB7"/>
    <w:rsid w:val="1ABE7DC8"/>
    <w:rsid w:val="1AC57478"/>
    <w:rsid w:val="1AC9700C"/>
    <w:rsid w:val="1ACC4407"/>
    <w:rsid w:val="1AD35B55"/>
    <w:rsid w:val="1B571741"/>
    <w:rsid w:val="1B6F33E5"/>
    <w:rsid w:val="1B7F2276"/>
    <w:rsid w:val="1B8652E4"/>
    <w:rsid w:val="1B871004"/>
    <w:rsid w:val="1B963FA6"/>
    <w:rsid w:val="1B9B5BFE"/>
    <w:rsid w:val="1BA94E24"/>
    <w:rsid w:val="1BB362E2"/>
    <w:rsid w:val="1BBA15EF"/>
    <w:rsid w:val="1BC162E8"/>
    <w:rsid w:val="1BD83779"/>
    <w:rsid w:val="1BE91714"/>
    <w:rsid w:val="1BEB4746"/>
    <w:rsid w:val="1C000FBC"/>
    <w:rsid w:val="1C010D1D"/>
    <w:rsid w:val="1C154BFE"/>
    <w:rsid w:val="1C207F73"/>
    <w:rsid w:val="1C282F6F"/>
    <w:rsid w:val="1C3B4A23"/>
    <w:rsid w:val="1C57773B"/>
    <w:rsid w:val="1C762B3D"/>
    <w:rsid w:val="1C837BC5"/>
    <w:rsid w:val="1C8D776B"/>
    <w:rsid w:val="1CA0383F"/>
    <w:rsid w:val="1CB87339"/>
    <w:rsid w:val="1CCC1EBA"/>
    <w:rsid w:val="1CDA105D"/>
    <w:rsid w:val="1CFB7BD4"/>
    <w:rsid w:val="1D1D4E2E"/>
    <w:rsid w:val="1D1F2F14"/>
    <w:rsid w:val="1D3F35B6"/>
    <w:rsid w:val="1D470019"/>
    <w:rsid w:val="1D494CCF"/>
    <w:rsid w:val="1D50131F"/>
    <w:rsid w:val="1D52669D"/>
    <w:rsid w:val="1D5E4918"/>
    <w:rsid w:val="1D740B6A"/>
    <w:rsid w:val="1D8645B5"/>
    <w:rsid w:val="1D8675F0"/>
    <w:rsid w:val="1DB753E9"/>
    <w:rsid w:val="1DBA2E2E"/>
    <w:rsid w:val="1DBB1C42"/>
    <w:rsid w:val="1DE103FA"/>
    <w:rsid w:val="1DE72F8B"/>
    <w:rsid w:val="1DF41671"/>
    <w:rsid w:val="1E1362B5"/>
    <w:rsid w:val="1E1D71A4"/>
    <w:rsid w:val="1E1E5C6E"/>
    <w:rsid w:val="1E2E6377"/>
    <w:rsid w:val="1E3104EB"/>
    <w:rsid w:val="1E3B7B3E"/>
    <w:rsid w:val="1E6D128D"/>
    <w:rsid w:val="1E722C69"/>
    <w:rsid w:val="1EB072B1"/>
    <w:rsid w:val="1EB50BBD"/>
    <w:rsid w:val="1EC06BEC"/>
    <w:rsid w:val="1EF43A77"/>
    <w:rsid w:val="1F5B5733"/>
    <w:rsid w:val="1F5F2F92"/>
    <w:rsid w:val="1F677541"/>
    <w:rsid w:val="1F6F5384"/>
    <w:rsid w:val="1FA31C4E"/>
    <w:rsid w:val="1FAA1EEE"/>
    <w:rsid w:val="1FB20C2C"/>
    <w:rsid w:val="1FBB33C8"/>
    <w:rsid w:val="1FC55FF4"/>
    <w:rsid w:val="1FCD35E0"/>
    <w:rsid w:val="1FD02EE8"/>
    <w:rsid w:val="1FD2597E"/>
    <w:rsid w:val="1FD71810"/>
    <w:rsid w:val="1FE67B91"/>
    <w:rsid w:val="1FF20FA0"/>
    <w:rsid w:val="1FFF6B0A"/>
    <w:rsid w:val="2004034F"/>
    <w:rsid w:val="20084C24"/>
    <w:rsid w:val="200A0C39"/>
    <w:rsid w:val="200B13E8"/>
    <w:rsid w:val="201E1EB2"/>
    <w:rsid w:val="203F0AAD"/>
    <w:rsid w:val="204149C1"/>
    <w:rsid w:val="2044159C"/>
    <w:rsid w:val="20492558"/>
    <w:rsid w:val="205A55A3"/>
    <w:rsid w:val="205E38F0"/>
    <w:rsid w:val="206521F7"/>
    <w:rsid w:val="207215AC"/>
    <w:rsid w:val="2075089D"/>
    <w:rsid w:val="20AA0500"/>
    <w:rsid w:val="20AD3BEB"/>
    <w:rsid w:val="20DC6D55"/>
    <w:rsid w:val="210920EF"/>
    <w:rsid w:val="21392153"/>
    <w:rsid w:val="213D3995"/>
    <w:rsid w:val="213E63DA"/>
    <w:rsid w:val="214572A0"/>
    <w:rsid w:val="21514B5B"/>
    <w:rsid w:val="216A4356"/>
    <w:rsid w:val="217F7026"/>
    <w:rsid w:val="218A2C69"/>
    <w:rsid w:val="21992531"/>
    <w:rsid w:val="21A4757C"/>
    <w:rsid w:val="21AB746C"/>
    <w:rsid w:val="21BA7AFB"/>
    <w:rsid w:val="21BD7A67"/>
    <w:rsid w:val="21C66054"/>
    <w:rsid w:val="21D132BC"/>
    <w:rsid w:val="21D92705"/>
    <w:rsid w:val="21E85FCA"/>
    <w:rsid w:val="21EF7359"/>
    <w:rsid w:val="21F0010E"/>
    <w:rsid w:val="22327245"/>
    <w:rsid w:val="223B02CB"/>
    <w:rsid w:val="223F0C2A"/>
    <w:rsid w:val="224B500F"/>
    <w:rsid w:val="2253337B"/>
    <w:rsid w:val="22753104"/>
    <w:rsid w:val="22781D0B"/>
    <w:rsid w:val="22A50CDA"/>
    <w:rsid w:val="22C54964"/>
    <w:rsid w:val="22D75201"/>
    <w:rsid w:val="22EB1154"/>
    <w:rsid w:val="22F310EC"/>
    <w:rsid w:val="22F6254F"/>
    <w:rsid w:val="230B3186"/>
    <w:rsid w:val="232A7F55"/>
    <w:rsid w:val="232E17C5"/>
    <w:rsid w:val="232E2103"/>
    <w:rsid w:val="2363312E"/>
    <w:rsid w:val="236E7FC9"/>
    <w:rsid w:val="23704814"/>
    <w:rsid w:val="237F3F46"/>
    <w:rsid w:val="23A058CD"/>
    <w:rsid w:val="23A07B25"/>
    <w:rsid w:val="23A835D3"/>
    <w:rsid w:val="23BF2684"/>
    <w:rsid w:val="23C11335"/>
    <w:rsid w:val="23DF4103"/>
    <w:rsid w:val="24055FBC"/>
    <w:rsid w:val="241271DB"/>
    <w:rsid w:val="242F013F"/>
    <w:rsid w:val="242F7EE0"/>
    <w:rsid w:val="24381601"/>
    <w:rsid w:val="24507E57"/>
    <w:rsid w:val="24944FF6"/>
    <w:rsid w:val="2498033F"/>
    <w:rsid w:val="249C22E1"/>
    <w:rsid w:val="24BD38CC"/>
    <w:rsid w:val="24F11672"/>
    <w:rsid w:val="25021151"/>
    <w:rsid w:val="251331E9"/>
    <w:rsid w:val="251475B4"/>
    <w:rsid w:val="251E464F"/>
    <w:rsid w:val="25345D39"/>
    <w:rsid w:val="253908EB"/>
    <w:rsid w:val="25493364"/>
    <w:rsid w:val="254F7A0F"/>
    <w:rsid w:val="255C378E"/>
    <w:rsid w:val="25675458"/>
    <w:rsid w:val="258A22CD"/>
    <w:rsid w:val="258C2F14"/>
    <w:rsid w:val="259C58FE"/>
    <w:rsid w:val="25A04A7C"/>
    <w:rsid w:val="25B152B5"/>
    <w:rsid w:val="25B862D0"/>
    <w:rsid w:val="25C001F1"/>
    <w:rsid w:val="25CB3A81"/>
    <w:rsid w:val="25F9257C"/>
    <w:rsid w:val="25FC2044"/>
    <w:rsid w:val="260717AC"/>
    <w:rsid w:val="262C5C6D"/>
    <w:rsid w:val="26300FEB"/>
    <w:rsid w:val="265D48E5"/>
    <w:rsid w:val="266F480A"/>
    <w:rsid w:val="267D1FC5"/>
    <w:rsid w:val="26805560"/>
    <w:rsid w:val="268414F9"/>
    <w:rsid w:val="26A71D59"/>
    <w:rsid w:val="26B741BD"/>
    <w:rsid w:val="26B93247"/>
    <w:rsid w:val="26C14A80"/>
    <w:rsid w:val="26CA79B1"/>
    <w:rsid w:val="26DC6C93"/>
    <w:rsid w:val="26E36DA9"/>
    <w:rsid w:val="270D444F"/>
    <w:rsid w:val="271916C3"/>
    <w:rsid w:val="2737475D"/>
    <w:rsid w:val="273A24AE"/>
    <w:rsid w:val="27456DDA"/>
    <w:rsid w:val="274704F7"/>
    <w:rsid w:val="27506187"/>
    <w:rsid w:val="27512C81"/>
    <w:rsid w:val="27591CFC"/>
    <w:rsid w:val="276F63C2"/>
    <w:rsid w:val="276F6648"/>
    <w:rsid w:val="27703BAC"/>
    <w:rsid w:val="27816204"/>
    <w:rsid w:val="278909E9"/>
    <w:rsid w:val="278D77E9"/>
    <w:rsid w:val="27900E5F"/>
    <w:rsid w:val="279F2ADE"/>
    <w:rsid w:val="27A72656"/>
    <w:rsid w:val="27B039C8"/>
    <w:rsid w:val="27C351B9"/>
    <w:rsid w:val="27C844E7"/>
    <w:rsid w:val="27CB356E"/>
    <w:rsid w:val="27D33EEE"/>
    <w:rsid w:val="27DB14E9"/>
    <w:rsid w:val="27E61A3A"/>
    <w:rsid w:val="27E63708"/>
    <w:rsid w:val="27E852AA"/>
    <w:rsid w:val="27F95DF6"/>
    <w:rsid w:val="27FC68FC"/>
    <w:rsid w:val="28015AEC"/>
    <w:rsid w:val="280B7F29"/>
    <w:rsid w:val="281F6326"/>
    <w:rsid w:val="28242737"/>
    <w:rsid w:val="28501150"/>
    <w:rsid w:val="28637B86"/>
    <w:rsid w:val="28642840"/>
    <w:rsid w:val="286B37C0"/>
    <w:rsid w:val="286F6445"/>
    <w:rsid w:val="2880029E"/>
    <w:rsid w:val="28872154"/>
    <w:rsid w:val="289243A6"/>
    <w:rsid w:val="28943227"/>
    <w:rsid w:val="28AD4E25"/>
    <w:rsid w:val="28B214EF"/>
    <w:rsid w:val="28F8088B"/>
    <w:rsid w:val="290D4165"/>
    <w:rsid w:val="291E414A"/>
    <w:rsid w:val="292661E0"/>
    <w:rsid w:val="29326F94"/>
    <w:rsid w:val="293A5C24"/>
    <w:rsid w:val="29496672"/>
    <w:rsid w:val="295223C1"/>
    <w:rsid w:val="2959155B"/>
    <w:rsid w:val="29704239"/>
    <w:rsid w:val="299710B2"/>
    <w:rsid w:val="29C03002"/>
    <w:rsid w:val="29C341ED"/>
    <w:rsid w:val="29D17C06"/>
    <w:rsid w:val="29D3340F"/>
    <w:rsid w:val="29E13C7C"/>
    <w:rsid w:val="29E26806"/>
    <w:rsid w:val="29F4710C"/>
    <w:rsid w:val="29FF0B07"/>
    <w:rsid w:val="2A0E00CA"/>
    <w:rsid w:val="2A264443"/>
    <w:rsid w:val="2A2D064F"/>
    <w:rsid w:val="2A497078"/>
    <w:rsid w:val="2A4B3C6C"/>
    <w:rsid w:val="2A4C5B4D"/>
    <w:rsid w:val="2A615D77"/>
    <w:rsid w:val="2A630D17"/>
    <w:rsid w:val="2A703001"/>
    <w:rsid w:val="2A791B21"/>
    <w:rsid w:val="2A87357D"/>
    <w:rsid w:val="2AA5169E"/>
    <w:rsid w:val="2AC61E1A"/>
    <w:rsid w:val="2AE57AC4"/>
    <w:rsid w:val="2AEC5785"/>
    <w:rsid w:val="2AED38FF"/>
    <w:rsid w:val="2AF13218"/>
    <w:rsid w:val="2AFD3174"/>
    <w:rsid w:val="2B367DA6"/>
    <w:rsid w:val="2B5934AE"/>
    <w:rsid w:val="2B626BBA"/>
    <w:rsid w:val="2B69017C"/>
    <w:rsid w:val="2B7A5423"/>
    <w:rsid w:val="2B7F51D7"/>
    <w:rsid w:val="2B8123CB"/>
    <w:rsid w:val="2B853CF9"/>
    <w:rsid w:val="2B914B5D"/>
    <w:rsid w:val="2BA9469B"/>
    <w:rsid w:val="2BE529C4"/>
    <w:rsid w:val="2BF544D2"/>
    <w:rsid w:val="2C063C1D"/>
    <w:rsid w:val="2C267E1B"/>
    <w:rsid w:val="2C3D1CE0"/>
    <w:rsid w:val="2C9E0649"/>
    <w:rsid w:val="2CBC5FB0"/>
    <w:rsid w:val="2CBF274A"/>
    <w:rsid w:val="2CD17CCF"/>
    <w:rsid w:val="2CF81347"/>
    <w:rsid w:val="2D1C517B"/>
    <w:rsid w:val="2D2824B2"/>
    <w:rsid w:val="2D355A17"/>
    <w:rsid w:val="2D6138B7"/>
    <w:rsid w:val="2D666BF9"/>
    <w:rsid w:val="2D833B32"/>
    <w:rsid w:val="2D896548"/>
    <w:rsid w:val="2D8B5FDC"/>
    <w:rsid w:val="2D8F19F0"/>
    <w:rsid w:val="2D917EAF"/>
    <w:rsid w:val="2DB0030F"/>
    <w:rsid w:val="2DC21DC5"/>
    <w:rsid w:val="2DC45B3D"/>
    <w:rsid w:val="2DCA0BF2"/>
    <w:rsid w:val="2DCB3C37"/>
    <w:rsid w:val="2DD02FC8"/>
    <w:rsid w:val="2DE14B3C"/>
    <w:rsid w:val="2DE55A1E"/>
    <w:rsid w:val="2DFF2CE2"/>
    <w:rsid w:val="2E002321"/>
    <w:rsid w:val="2E0C1292"/>
    <w:rsid w:val="2E1C647D"/>
    <w:rsid w:val="2E2F1CD6"/>
    <w:rsid w:val="2E3C37AA"/>
    <w:rsid w:val="2E3F37FA"/>
    <w:rsid w:val="2E414B35"/>
    <w:rsid w:val="2E4B4DBA"/>
    <w:rsid w:val="2E580F8F"/>
    <w:rsid w:val="2E7E7C88"/>
    <w:rsid w:val="2E8639C6"/>
    <w:rsid w:val="2EB425C5"/>
    <w:rsid w:val="2EB81807"/>
    <w:rsid w:val="2EC47A74"/>
    <w:rsid w:val="2ED718A0"/>
    <w:rsid w:val="2ED9015F"/>
    <w:rsid w:val="2EDB7001"/>
    <w:rsid w:val="2EE83A09"/>
    <w:rsid w:val="2EF10A6E"/>
    <w:rsid w:val="2F05640D"/>
    <w:rsid w:val="2F06700C"/>
    <w:rsid w:val="2F1F25B7"/>
    <w:rsid w:val="2F331B4A"/>
    <w:rsid w:val="2F5E5535"/>
    <w:rsid w:val="2F7F38EF"/>
    <w:rsid w:val="2F841DC0"/>
    <w:rsid w:val="2F961789"/>
    <w:rsid w:val="2F992A53"/>
    <w:rsid w:val="2FAB044B"/>
    <w:rsid w:val="2FDD7AA8"/>
    <w:rsid w:val="2FDF05E9"/>
    <w:rsid w:val="301221C0"/>
    <w:rsid w:val="302A451F"/>
    <w:rsid w:val="302E0A39"/>
    <w:rsid w:val="30407780"/>
    <w:rsid w:val="305A62E5"/>
    <w:rsid w:val="305A76AB"/>
    <w:rsid w:val="307373A7"/>
    <w:rsid w:val="307920D8"/>
    <w:rsid w:val="30841252"/>
    <w:rsid w:val="30A21A3A"/>
    <w:rsid w:val="30AE5D9B"/>
    <w:rsid w:val="30B96527"/>
    <w:rsid w:val="30BD5A46"/>
    <w:rsid w:val="30C670C4"/>
    <w:rsid w:val="30CA166B"/>
    <w:rsid w:val="30D7404B"/>
    <w:rsid w:val="30E87423"/>
    <w:rsid w:val="30ED1101"/>
    <w:rsid w:val="30F64606"/>
    <w:rsid w:val="30F72E6E"/>
    <w:rsid w:val="30F857B9"/>
    <w:rsid w:val="31170894"/>
    <w:rsid w:val="313A36E5"/>
    <w:rsid w:val="31445C71"/>
    <w:rsid w:val="314D1E5E"/>
    <w:rsid w:val="314F5689"/>
    <w:rsid w:val="314F6742"/>
    <w:rsid w:val="31554AE7"/>
    <w:rsid w:val="31570D79"/>
    <w:rsid w:val="315C42DF"/>
    <w:rsid w:val="315C7F7F"/>
    <w:rsid w:val="316513E5"/>
    <w:rsid w:val="31785A4E"/>
    <w:rsid w:val="31CF2D29"/>
    <w:rsid w:val="31E82675"/>
    <w:rsid w:val="31F05FAD"/>
    <w:rsid w:val="31FE41EC"/>
    <w:rsid w:val="320A31B2"/>
    <w:rsid w:val="321B1AA4"/>
    <w:rsid w:val="321E6DA8"/>
    <w:rsid w:val="32280685"/>
    <w:rsid w:val="324E222E"/>
    <w:rsid w:val="32580C12"/>
    <w:rsid w:val="325869D8"/>
    <w:rsid w:val="326D7BCF"/>
    <w:rsid w:val="32792D2B"/>
    <w:rsid w:val="327A6BD0"/>
    <w:rsid w:val="32832ED6"/>
    <w:rsid w:val="32AC1117"/>
    <w:rsid w:val="32C258EB"/>
    <w:rsid w:val="32C31B6B"/>
    <w:rsid w:val="32CA7F95"/>
    <w:rsid w:val="32D1723E"/>
    <w:rsid w:val="32D3237F"/>
    <w:rsid w:val="32D45531"/>
    <w:rsid w:val="32D96982"/>
    <w:rsid w:val="33050AAD"/>
    <w:rsid w:val="33116608"/>
    <w:rsid w:val="33182487"/>
    <w:rsid w:val="332C3F79"/>
    <w:rsid w:val="33392236"/>
    <w:rsid w:val="334530F3"/>
    <w:rsid w:val="33572449"/>
    <w:rsid w:val="33680D19"/>
    <w:rsid w:val="336815C3"/>
    <w:rsid w:val="336E02D4"/>
    <w:rsid w:val="337D1A76"/>
    <w:rsid w:val="33861D25"/>
    <w:rsid w:val="33900270"/>
    <w:rsid w:val="33BE2810"/>
    <w:rsid w:val="33C32064"/>
    <w:rsid w:val="33C96CCF"/>
    <w:rsid w:val="33D1513C"/>
    <w:rsid w:val="33DA46B1"/>
    <w:rsid w:val="33E97899"/>
    <w:rsid w:val="33EF1DDB"/>
    <w:rsid w:val="33F30E32"/>
    <w:rsid w:val="33F85143"/>
    <w:rsid w:val="340505DC"/>
    <w:rsid w:val="34050C5E"/>
    <w:rsid w:val="342041F4"/>
    <w:rsid w:val="34270AC1"/>
    <w:rsid w:val="342927FC"/>
    <w:rsid w:val="343F154C"/>
    <w:rsid w:val="344469FD"/>
    <w:rsid w:val="34515C51"/>
    <w:rsid w:val="345356CC"/>
    <w:rsid w:val="34562F70"/>
    <w:rsid w:val="34793D6B"/>
    <w:rsid w:val="347E3539"/>
    <w:rsid w:val="34830369"/>
    <w:rsid w:val="34C603ED"/>
    <w:rsid w:val="350D407B"/>
    <w:rsid w:val="351C0A51"/>
    <w:rsid w:val="352128A9"/>
    <w:rsid w:val="352548D7"/>
    <w:rsid w:val="3528106A"/>
    <w:rsid w:val="354503F4"/>
    <w:rsid w:val="35453CE8"/>
    <w:rsid w:val="35465780"/>
    <w:rsid w:val="35841377"/>
    <w:rsid w:val="358931C8"/>
    <w:rsid w:val="358F1EC3"/>
    <w:rsid w:val="359A09ED"/>
    <w:rsid w:val="35AA1BCA"/>
    <w:rsid w:val="35B33563"/>
    <w:rsid w:val="35BC4AB2"/>
    <w:rsid w:val="35E936E6"/>
    <w:rsid w:val="35EB0A3D"/>
    <w:rsid w:val="35FA1982"/>
    <w:rsid w:val="35FE2F69"/>
    <w:rsid w:val="35FF12E2"/>
    <w:rsid w:val="36056B5B"/>
    <w:rsid w:val="360C3486"/>
    <w:rsid w:val="36201A4D"/>
    <w:rsid w:val="362F1FC2"/>
    <w:rsid w:val="36441F53"/>
    <w:rsid w:val="364C0351"/>
    <w:rsid w:val="365B4B65"/>
    <w:rsid w:val="36694098"/>
    <w:rsid w:val="367E53BD"/>
    <w:rsid w:val="36816371"/>
    <w:rsid w:val="368559A2"/>
    <w:rsid w:val="36995CF0"/>
    <w:rsid w:val="36B15DF4"/>
    <w:rsid w:val="36C070E9"/>
    <w:rsid w:val="36D121F1"/>
    <w:rsid w:val="36EB413B"/>
    <w:rsid w:val="36EC1C61"/>
    <w:rsid w:val="371C0FF6"/>
    <w:rsid w:val="37203126"/>
    <w:rsid w:val="37237201"/>
    <w:rsid w:val="37383C9E"/>
    <w:rsid w:val="37393FF5"/>
    <w:rsid w:val="375A58F9"/>
    <w:rsid w:val="376D0505"/>
    <w:rsid w:val="376D4567"/>
    <w:rsid w:val="37717A3A"/>
    <w:rsid w:val="378E4453"/>
    <w:rsid w:val="37965470"/>
    <w:rsid w:val="37A058ED"/>
    <w:rsid w:val="37A12A2D"/>
    <w:rsid w:val="37B07E7F"/>
    <w:rsid w:val="37B1241A"/>
    <w:rsid w:val="37D56240"/>
    <w:rsid w:val="37DE5A4E"/>
    <w:rsid w:val="37E17558"/>
    <w:rsid w:val="37F609F5"/>
    <w:rsid w:val="38142EE2"/>
    <w:rsid w:val="382D35E2"/>
    <w:rsid w:val="383E613C"/>
    <w:rsid w:val="387F6F98"/>
    <w:rsid w:val="38890DD2"/>
    <w:rsid w:val="38A914AA"/>
    <w:rsid w:val="38AB115E"/>
    <w:rsid w:val="38AC2771"/>
    <w:rsid w:val="38CF1737"/>
    <w:rsid w:val="38EB788B"/>
    <w:rsid w:val="38EE54CC"/>
    <w:rsid w:val="391477F6"/>
    <w:rsid w:val="39202BE9"/>
    <w:rsid w:val="3937628D"/>
    <w:rsid w:val="3945589A"/>
    <w:rsid w:val="397054D7"/>
    <w:rsid w:val="397131B7"/>
    <w:rsid w:val="397B172D"/>
    <w:rsid w:val="397F6BAE"/>
    <w:rsid w:val="39C616EE"/>
    <w:rsid w:val="39D178FD"/>
    <w:rsid w:val="39D20836"/>
    <w:rsid w:val="39E55C79"/>
    <w:rsid w:val="39F529BD"/>
    <w:rsid w:val="39FA4695"/>
    <w:rsid w:val="39FC3CDD"/>
    <w:rsid w:val="3A005897"/>
    <w:rsid w:val="3A0E4A66"/>
    <w:rsid w:val="3A0F5041"/>
    <w:rsid w:val="3A4458BD"/>
    <w:rsid w:val="3A49697E"/>
    <w:rsid w:val="3A57248F"/>
    <w:rsid w:val="3A5930B4"/>
    <w:rsid w:val="3A5B41B1"/>
    <w:rsid w:val="3A6F731F"/>
    <w:rsid w:val="3A8551B2"/>
    <w:rsid w:val="3AAA1FCB"/>
    <w:rsid w:val="3AAE4831"/>
    <w:rsid w:val="3AC22C8F"/>
    <w:rsid w:val="3ADB34D6"/>
    <w:rsid w:val="3AE82205"/>
    <w:rsid w:val="3B003F2D"/>
    <w:rsid w:val="3B401F9F"/>
    <w:rsid w:val="3B596F6F"/>
    <w:rsid w:val="3B5A3279"/>
    <w:rsid w:val="3B697D24"/>
    <w:rsid w:val="3B703203"/>
    <w:rsid w:val="3B754CFB"/>
    <w:rsid w:val="3B8770EE"/>
    <w:rsid w:val="3B91770A"/>
    <w:rsid w:val="3B951E85"/>
    <w:rsid w:val="3B967E52"/>
    <w:rsid w:val="3B9823CE"/>
    <w:rsid w:val="3B985F13"/>
    <w:rsid w:val="3BB56FEB"/>
    <w:rsid w:val="3BD76595"/>
    <w:rsid w:val="3BE025E8"/>
    <w:rsid w:val="3BEE0229"/>
    <w:rsid w:val="3C1017BA"/>
    <w:rsid w:val="3C1C1508"/>
    <w:rsid w:val="3C266A0E"/>
    <w:rsid w:val="3C3519B4"/>
    <w:rsid w:val="3C404ADE"/>
    <w:rsid w:val="3C4D6189"/>
    <w:rsid w:val="3C7A1ABD"/>
    <w:rsid w:val="3C812464"/>
    <w:rsid w:val="3C85139E"/>
    <w:rsid w:val="3C8E7AB6"/>
    <w:rsid w:val="3CB30A45"/>
    <w:rsid w:val="3CC33464"/>
    <w:rsid w:val="3CC51781"/>
    <w:rsid w:val="3CC84549"/>
    <w:rsid w:val="3D080961"/>
    <w:rsid w:val="3D0C0513"/>
    <w:rsid w:val="3D2321D5"/>
    <w:rsid w:val="3D3E055F"/>
    <w:rsid w:val="3D4628FC"/>
    <w:rsid w:val="3D5D5E14"/>
    <w:rsid w:val="3D631D18"/>
    <w:rsid w:val="3D6D15E6"/>
    <w:rsid w:val="3D830197"/>
    <w:rsid w:val="3D865F4C"/>
    <w:rsid w:val="3D9B0FF3"/>
    <w:rsid w:val="3D9E12A1"/>
    <w:rsid w:val="3DAE3142"/>
    <w:rsid w:val="3DB836BF"/>
    <w:rsid w:val="3DBA1054"/>
    <w:rsid w:val="3DBF01AF"/>
    <w:rsid w:val="3DBF54D1"/>
    <w:rsid w:val="3DC079A3"/>
    <w:rsid w:val="3DC701EB"/>
    <w:rsid w:val="3DD0070F"/>
    <w:rsid w:val="3DD0314B"/>
    <w:rsid w:val="3DD24540"/>
    <w:rsid w:val="3DD31094"/>
    <w:rsid w:val="3DD31B91"/>
    <w:rsid w:val="3DE11624"/>
    <w:rsid w:val="3DFA21F0"/>
    <w:rsid w:val="3DFF6D97"/>
    <w:rsid w:val="3E0A6273"/>
    <w:rsid w:val="3E1C107E"/>
    <w:rsid w:val="3E4A01B8"/>
    <w:rsid w:val="3E4C2268"/>
    <w:rsid w:val="3E536402"/>
    <w:rsid w:val="3E55633E"/>
    <w:rsid w:val="3E5C591E"/>
    <w:rsid w:val="3E5D2E08"/>
    <w:rsid w:val="3E65120B"/>
    <w:rsid w:val="3E6825AB"/>
    <w:rsid w:val="3E990BCE"/>
    <w:rsid w:val="3EA03E60"/>
    <w:rsid w:val="3EA74100"/>
    <w:rsid w:val="3EC4153C"/>
    <w:rsid w:val="3ED31236"/>
    <w:rsid w:val="3ED71CC0"/>
    <w:rsid w:val="3ED723E2"/>
    <w:rsid w:val="3EE36D79"/>
    <w:rsid w:val="3EE43339"/>
    <w:rsid w:val="3EF53C17"/>
    <w:rsid w:val="3F0C16B6"/>
    <w:rsid w:val="3F2244FB"/>
    <w:rsid w:val="3F2376C5"/>
    <w:rsid w:val="3F373E09"/>
    <w:rsid w:val="3F396430"/>
    <w:rsid w:val="3F3D51AB"/>
    <w:rsid w:val="3F3D5750"/>
    <w:rsid w:val="3F46049A"/>
    <w:rsid w:val="3F483449"/>
    <w:rsid w:val="3F4C559B"/>
    <w:rsid w:val="3F80503B"/>
    <w:rsid w:val="3F8276E6"/>
    <w:rsid w:val="3F8C483D"/>
    <w:rsid w:val="3F905A15"/>
    <w:rsid w:val="3F956F3B"/>
    <w:rsid w:val="3F9738B9"/>
    <w:rsid w:val="3F9A4950"/>
    <w:rsid w:val="3FA91189"/>
    <w:rsid w:val="3FB54320"/>
    <w:rsid w:val="3FD40286"/>
    <w:rsid w:val="3FD85B95"/>
    <w:rsid w:val="3FE1730C"/>
    <w:rsid w:val="3FE71217"/>
    <w:rsid w:val="40006203"/>
    <w:rsid w:val="40191C41"/>
    <w:rsid w:val="401A0A3D"/>
    <w:rsid w:val="4025470B"/>
    <w:rsid w:val="402E0D38"/>
    <w:rsid w:val="40355480"/>
    <w:rsid w:val="40372380"/>
    <w:rsid w:val="404439DB"/>
    <w:rsid w:val="40454E93"/>
    <w:rsid w:val="40457334"/>
    <w:rsid w:val="404A1C06"/>
    <w:rsid w:val="405E6311"/>
    <w:rsid w:val="406B6BFC"/>
    <w:rsid w:val="407E58A4"/>
    <w:rsid w:val="40805696"/>
    <w:rsid w:val="40945BD7"/>
    <w:rsid w:val="40C07E55"/>
    <w:rsid w:val="410406EE"/>
    <w:rsid w:val="411A2CA9"/>
    <w:rsid w:val="411C1CDD"/>
    <w:rsid w:val="412E769D"/>
    <w:rsid w:val="4159217C"/>
    <w:rsid w:val="415A2939"/>
    <w:rsid w:val="416B0A4A"/>
    <w:rsid w:val="41703F20"/>
    <w:rsid w:val="418A1B92"/>
    <w:rsid w:val="418A2F70"/>
    <w:rsid w:val="41963683"/>
    <w:rsid w:val="41AA597E"/>
    <w:rsid w:val="41BD7303"/>
    <w:rsid w:val="41D704F3"/>
    <w:rsid w:val="420E585D"/>
    <w:rsid w:val="4214206C"/>
    <w:rsid w:val="421D3B80"/>
    <w:rsid w:val="421E197A"/>
    <w:rsid w:val="421F4397"/>
    <w:rsid w:val="42355A13"/>
    <w:rsid w:val="42553004"/>
    <w:rsid w:val="425560C8"/>
    <w:rsid w:val="42640A6C"/>
    <w:rsid w:val="428B1BDB"/>
    <w:rsid w:val="428E0BC9"/>
    <w:rsid w:val="429121FE"/>
    <w:rsid w:val="429644F7"/>
    <w:rsid w:val="42DA0918"/>
    <w:rsid w:val="42DF6B1E"/>
    <w:rsid w:val="42E6012C"/>
    <w:rsid w:val="42E63401"/>
    <w:rsid w:val="42F33C51"/>
    <w:rsid w:val="430C340A"/>
    <w:rsid w:val="4324415B"/>
    <w:rsid w:val="432B2BDD"/>
    <w:rsid w:val="433B24A0"/>
    <w:rsid w:val="43442D25"/>
    <w:rsid w:val="434737C5"/>
    <w:rsid w:val="434C6777"/>
    <w:rsid w:val="43803E5D"/>
    <w:rsid w:val="438172BC"/>
    <w:rsid w:val="438D7205"/>
    <w:rsid w:val="439E73F8"/>
    <w:rsid w:val="43A31501"/>
    <w:rsid w:val="43A51A0F"/>
    <w:rsid w:val="43A63ED9"/>
    <w:rsid w:val="43CA4ED5"/>
    <w:rsid w:val="43D3039E"/>
    <w:rsid w:val="43F1380D"/>
    <w:rsid w:val="43F50C88"/>
    <w:rsid w:val="440A1978"/>
    <w:rsid w:val="440F5CB7"/>
    <w:rsid w:val="4410164C"/>
    <w:rsid w:val="4421190E"/>
    <w:rsid w:val="44387A96"/>
    <w:rsid w:val="443F6059"/>
    <w:rsid w:val="4440389E"/>
    <w:rsid w:val="44404FD8"/>
    <w:rsid w:val="444430DC"/>
    <w:rsid w:val="44467B33"/>
    <w:rsid w:val="44471594"/>
    <w:rsid w:val="44507687"/>
    <w:rsid w:val="446108C6"/>
    <w:rsid w:val="44983E14"/>
    <w:rsid w:val="449E6B70"/>
    <w:rsid w:val="44B070C7"/>
    <w:rsid w:val="44D101C0"/>
    <w:rsid w:val="44D37D84"/>
    <w:rsid w:val="44E7070D"/>
    <w:rsid w:val="44E96140"/>
    <w:rsid w:val="44EF407A"/>
    <w:rsid w:val="450258A4"/>
    <w:rsid w:val="45036AF3"/>
    <w:rsid w:val="45151EC2"/>
    <w:rsid w:val="452D6EC8"/>
    <w:rsid w:val="452E7CA8"/>
    <w:rsid w:val="455D6C0E"/>
    <w:rsid w:val="456237E3"/>
    <w:rsid w:val="45646473"/>
    <w:rsid w:val="45674650"/>
    <w:rsid w:val="458A7781"/>
    <w:rsid w:val="458D460F"/>
    <w:rsid w:val="45995EE5"/>
    <w:rsid w:val="45996092"/>
    <w:rsid w:val="45A20D7F"/>
    <w:rsid w:val="45A96BB7"/>
    <w:rsid w:val="45B70AB6"/>
    <w:rsid w:val="45BE1896"/>
    <w:rsid w:val="45C21258"/>
    <w:rsid w:val="45C374F7"/>
    <w:rsid w:val="45CF5588"/>
    <w:rsid w:val="45E535E5"/>
    <w:rsid w:val="45FD2A9F"/>
    <w:rsid w:val="46185997"/>
    <w:rsid w:val="463A59B6"/>
    <w:rsid w:val="46480C46"/>
    <w:rsid w:val="464E5B22"/>
    <w:rsid w:val="465719BA"/>
    <w:rsid w:val="466A2D2D"/>
    <w:rsid w:val="467D17E2"/>
    <w:rsid w:val="468A4F4F"/>
    <w:rsid w:val="46956E71"/>
    <w:rsid w:val="46C53057"/>
    <w:rsid w:val="46D766B5"/>
    <w:rsid w:val="46DB548E"/>
    <w:rsid w:val="46DD6135"/>
    <w:rsid w:val="470D6DF4"/>
    <w:rsid w:val="471609FC"/>
    <w:rsid w:val="472B40E0"/>
    <w:rsid w:val="473F2635"/>
    <w:rsid w:val="47470193"/>
    <w:rsid w:val="474E6020"/>
    <w:rsid w:val="4753398A"/>
    <w:rsid w:val="47537F64"/>
    <w:rsid w:val="47637D1D"/>
    <w:rsid w:val="476676F8"/>
    <w:rsid w:val="477E64CE"/>
    <w:rsid w:val="478A2625"/>
    <w:rsid w:val="478D0FC4"/>
    <w:rsid w:val="47995509"/>
    <w:rsid w:val="47BA075C"/>
    <w:rsid w:val="47BE498F"/>
    <w:rsid w:val="47D8719A"/>
    <w:rsid w:val="47DA3EE6"/>
    <w:rsid w:val="47E80D20"/>
    <w:rsid w:val="47F66132"/>
    <w:rsid w:val="47FE205C"/>
    <w:rsid w:val="48064ED6"/>
    <w:rsid w:val="48170CBE"/>
    <w:rsid w:val="48286180"/>
    <w:rsid w:val="4843730A"/>
    <w:rsid w:val="484E10BE"/>
    <w:rsid w:val="484F71BD"/>
    <w:rsid w:val="485717BA"/>
    <w:rsid w:val="485F529B"/>
    <w:rsid w:val="48662799"/>
    <w:rsid w:val="48691363"/>
    <w:rsid w:val="48897354"/>
    <w:rsid w:val="48917477"/>
    <w:rsid w:val="48945E7F"/>
    <w:rsid w:val="489770C9"/>
    <w:rsid w:val="48B23078"/>
    <w:rsid w:val="48CB623B"/>
    <w:rsid w:val="48D27C15"/>
    <w:rsid w:val="48FA645F"/>
    <w:rsid w:val="49072873"/>
    <w:rsid w:val="490D0375"/>
    <w:rsid w:val="490F4371"/>
    <w:rsid w:val="49247038"/>
    <w:rsid w:val="4953099D"/>
    <w:rsid w:val="495D5A00"/>
    <w:rsid w:val="49656C49"/>
    <w:rsid w:val="49813E8A"/>
    <w:rsid w:val="49862820"/>
    <w:rsid w:val="4989236D"/>
    <w:rsid w:val="49BC4AC1"/>
    <w:rsid w:val="49D6259B"/>
    <w:rsid w:val="49D62DD0"/>
    <w:rsid w:val="49DF7B2A"/>
    <w:rsid w:val="49ED3805"/>
    <w:rsid w:val="49F033BE"/>
    <w:rsid w:val="49F444EB"/>
    <w:rsid w:val="49F64E79"/>
    <w:rsid w:val="4A285F26"/>
    <w:rsid w:val="4A2E01D1"/>
    <w:rsid w:val="4A300C6A"/>
    <w:rsid w:val="4A3029FF"/>
    <w:rsid w:val="4A317426"/>
    <w:rsid w:val="4A495F64"/>
    <w:rsid w:val="4A5F5DCB"/>
    <w:rsid w:val="4A6361B0"/>
    <w:rsid w:val="4A6D5817"/>
    <w:rsid w:val="4A6D5A21"/>
    <w:rsid w:val="4A764CF9"/>
    <w:rsid w:val="4A780E6E"/>
    <w:rsid w:val="4A7A4F85"/>
    <w:rsid w:val="4A7D61F3"/>
    <w:rsid w:val="4A9B63A3"/>
    <w:rsid w:val="4A9C4AA6"/>
    <w:rsid w:val="4AC13BA7"/>
    <w:rsid w:val="4AD0298E"/>
    <w:rsid w:val="4AD43CC2"/>
    <w:rsid w:val="4AEC4114"/>
    <w:rsid w:val="4B03568E"/>
    <w:rsid w:val="4B073250"/>
    <w:rsid w:val="4B157281"/>
    <w:rsid w:val="4B1B4D9A"/>
    <w:rsid w:val="4B244692"/>
    <w:rsid w:val="4B3D2633"/>
    <w:rsid w:val="4B43338C"/>
    <w:rsid w:val="4B596AA2"/>
    <w:rsid w:val="4B6865B5"/>
    <w:rsid w:val="4B8455EB"/>
    <w:rsid w:val="4B845D24"/>
    <w:rsid w:val="4BA05124"/>
    <w:rsid w:val="4BAF5721"/>
    <w:rsid w:val="4BB932E2"/>
    <w:rsid w:val="4BBA1147"/>
    <w:rsid w:val="4BE331DB"/>
    <w:rsid w:val="4C037012"/>
    <w:rsid w:val="4C12586E"/>
    <w:rsid w:val="4C252796"/>
    <w:rsid w:val="4C2C12C3"/>
    <w:rsid w:val="4C3008D0"/>
    <w:rsid w:val="4C3679C6"/>
    <w:rsid w:val="4C390B55"/>
    <w:rsid w:val="4C427440"/>
    <w:rsid w:val="4C5C5F9D"/>
    <w:rsid w:val="4C720AD0"/>
    <w:rsid w:val="4C75532B"/>
    <w:rsid w:val="4C7A5603"/>
    <w:rsid w:val="4C8111CA"/>
    <w:rsid w:val="4C8220ED"/>
    <w:rsid w:val="4C8F5111"/>
    <w:rsid w:val="4C961F41"/>
    <w:rsid w:val="4CA334F9"/>
    <w:rsid w:val="4CAB4709"/>
    <w:rsid w:val="4CB5597E"/>
    <w:rsid w:val="4CC153CA"/>
    <w:rsid w:val="4CCA2622"/>
    <w:rsid w:val="4CCF5635"/>
    <w:rsid w:val="4CD27DDB"/>
    <w:rsid w:val="4CD951A0"/>
    <w:rsid w:val="4CE05184"/>
    <w:rsid w:val="4CE524B9"/>
    <w:rsid w:val="4CE61651"/>
    <w:rsid w:val="4CF2752F"/>
    <w:rsid w:val="4D271487"/>
    <w:rsid w:val="4D2A7EDF"/>
    <w:rsid w:val="4D2B58BF"/>
    <w:rsid w:val="4D2E3A04"/>
    <w:rsid w:val="4D4030BE"/>
    <w:rsid w:val="4D805964"/>
    <w:rsid w:val="4D8515C9"/>
    <w:rsid w:val="4D890E9D"/>
    <w:rsid w:val="4D8F7DD5"/>
    <w:rsid w:val="4D901638"/>
    <w:rsid w:val="4D916E14"/>
    <w:rsid w:val="4D9F6363"/>
    <w:rsid w:val="4DC22632"/>
    <w:rsid w:val="4DD80CDF"/>
    <w:rsid w:val="4DDF6B8F"/>
    <w:rsid w:val="4DF236E4"/>
    <w:rsid w:val="4DF75681"/>
    <w:rsid w:val="4DFA0703"/>
    <w:rsid w:val="4E67354A"/>
    <w:rsid w:val="4E73266B"/>
    <w:rsid w:val="4E7929BA"/>
    <w:rsid w:val="4E7B6778"/>
    <w:rsid w:val="4E991BE4"/>
    <w:rsid w:val="4EA847B3"/>
    <w:rsid w:val="4ED15497"/>
    <w:rsid w:val="4ED4741A"/>
    <w:rsid w:val="4EEE643C"/>
    <w:rsid w:val="4EEF4A17"/>
    <w:rsid w:val="4EF46594"/>
    <w:rsid w:val="4EFD28C2"/>
    <w:rsid w:val="4F165675"/>
    <w:rsid w:val="4F3A6603"/>
    <w:rsid w:val="4F3B2DCB"/>
    <w:rsid w:val="4F3C0C95"/>
    <w:rsid w:val="4F3D2C02"/>
    <w:rsid w:val="4F3F2E1E"/>
    <w:rsid w:val="4F5D6E3D"/>
    <w:rsid w:val="4F7D3F49"/>
    <w:rsid w:val="4F8B50E7"/>
    <w:rsid w:val="4F934F18"/>
    <w:rsid w:val="4FA47125"/>
    <w:rsid w:val="4FB45182"/>
    <w:rsid w:val="4FB71A5D"/>
    <w:rsid w:val="4FB72C7A"/>
    <w:rsid w:val="4FC4795B"/>
    <w:rsid w:val="4FD25C82"/>
    <w:rsid w:val="4FD6135A"/>
    <w:rsid w:val="4FE00F0B"/>
    <w:rsid w:val="4FF379A4"/>
    <w:rsid w:val="4FFF16B7"/>
    <w:rsid w:val="500217A5"/>
    <w:rsid w:val="500F14D6"/>
    <w:rsid w:val="50220E8F"/>
    <w:rsid w:val="50500572"/>
    <w:rsid w:val="505C064C"/>
    <w:rsid w:val="50693ADF"/>
    <w:rsid w:val="506D5405"/>
    <w:rsid w:val="509176A9"/>
    <w:rsid w:val="50950C9A"/>
    <w:rsid w:val="509B1AE1"/>
    <w:rsid w:val="50AC4899"/>
    <w:rsid w:val="50E920BD"/>
    <w:rsid w:val="50EE3B03"/>
    <w:rsid w:val="50F82A75"/>
    <w:rsid w:val="51053257"/>
    <w:rsid w:val="51431E42"/>
    <w:rsid w:val="5146092A"/>
    <w:rsid w:val="514A7858"/>
    <w:rsid w:val="515D32DE"/>
    <w:rsid w:val="51634A9A"/>
    <w:rsid w:val="517073FB"/>
    <w:rsid w:val="517600F9"/>
    <w:rsid w:val="517A0EF1"/>
    <w:rsid w:val="517F39A6"/>
    <w:rsid w:val="51826FF2"/>
    <w:rsid w:val="51840FBC"/>
    <w:rsid w:val="51852DBA"/>
    <w:rsid w:val="518E3D0C"/>
    <w:rsid w:val="51906CB3"/>
    <w:rsid w:val="519D3E2C"/>
    <w:rsid w:val="51A947E6"/>
    <w:rsid w:val="51D9122E"/>
    <w:rsid w:val="51FB5766"/>
    <w:rsid w:val="52003972"/>
    <w:rsid w:val="52011459"/>
    <w:rsid w:val="5201513B"/>
    <w:rsid w:val="520274EA"/>
    <w:rsid w:val="52047653"/>
    <w:rsid w:val="52384E06"/>
    <w:rsid w:val="52387C4A"/>
    <w:rsid w:val="52535BCC"/>
    <w:rsid w:val="52623D08"/>
    <w:rsid w:val="52644CB0"/>
    <w:rsid w:val="52757A71"/>
    <w:rsid w:val="527C7722"/>
    <w:rsid w:val="52863AC7"/>
    <w:rsid w:val="528D3114"/>
    <w:rsid w:val="52BF212E"/>
    <w:rsid w:val="52E22421"/>
    <w:rsid w:val="52EC5B41"/>
    <w:rsid w:val="52F6155C"/>
    <w:rsid w:val="52F9655C"/>
    <w:rsid w:val="531460EC"/>
    <w:rsid w:val="5315385C"/>
    <w:rsid w:val="531600F1"/>
    <w:rsid w:val="5319467E"/>
    <w:rsid w:val="533162A1"/>
    <w:rsid w:val="5342491C"/>
    <w:rsid w:val="538E7ED0"/>
    <w:rsid w:val="539A0361"/>
    <w:rsid w:val="53A06ACE"/>
    <w:rsid w:val="53A2229D"/>
    <w:rsid w:val="53A85BF6"/>
    <w:rsid w:val="53B86A58"/>
    <w:rsid w:val="53C02053"/>
    <w:rsid w:val="53C072FC"/>
    <w:rsid w:val="53C56D73"/>
    <w:rsid w:val="53CC7CB4"/>
    <w:rsid w:val="53D233D8"/>
    <w:rsid w:val="53D66F18"/>
    <w:rsid w:val="53DD44AD"/>
    <w:rsid w:val="53E002AC"/>
    <w:rsid w:val="53E120F2"/>
    <w:rsid w:val="53FF5EFB"/>
    <w:rsid w:val="54196B64"/>
    <w:rsid w:val="541F6D7A"/>
    <w:rsid w:val="54217E20"/>
    <w:rsid w:val="542875FB"/>
    <w:rsid w:val="54297BF9"/>
    <w:rsid w:val="543547EF"/>
    <w:rsid w:val="544822BD"/>
    <w:rsid w:val="548968E9"/>
    <w:rsid w:val="54912D3B"/>
    <w:rsid w:val="54AF5270"/>
    <w:rsid w:val="54B1543D"/>
    <w:rsid w:val="54C27769"/>
    <w:rsid w:val="54C4350C"/>
    <w:rsid w:val="54E80B69"/>
    <w:rsid w:val="55036E2A"/>
    <w:rsid w:val="55157F87"/>
    <w:rsid w:val="5519173E"/>
    <w:rsid w:val="551D6E0E"/>
    <w:rsid w:val="55246B06"/>
    <w:rsid w:val="5534121F"/>
    <w:rsid w:val="55390B69"/>
    <w:rsid w:val="553B71F6"/>
    <w:rsid w:val="553F1E51"/>
    <w:rsid w:val="55450A62"/>
    <w:rsid w:val="55711857"/>
    <w:rsid w:val="5579725C"/>
    <w:rsid w:val="557C65CC"/>
    <w:rsid w:val="55890B98"/>
    <w:rsid w:val="559F30F0"/>
    <w:rsid w:val="55A84BFE"/>
    <w:rsid w:val="55B45F63"/>
    <w:rsid w:val="55B90C0A"/>
    <w:rsid w:val="55D63591"/>
    <w:rsid w:val="55ED6C72"/>
    <w:rsid w:val="55FD7369"/>
    <w:rsid w:val="560A087F"/>
    <w:rsid w:val="56122C31"/>
    <w:rsid w:val="5618442B"/>
    <w:rsid w:val="561974BB"/>
    <w:rsid w:val="561B7A15"/>
    <w:rsid w:val="56222B52"/>
    <w:rsid w:val="56281E78"/>
    <w:rsid w:val="562A4387"/>
    <w:rsid w:val="56334986"/>
    <w:rsid w:val="56394FFE"/>
    <w:rsid w:val="56430FC0"/>
    <w:rsid w:val="564E2FEA"/>
    <w:rsid w:val="56504234"/>
    <w:rsid w:val="56520376"/>
    <w:rsid w:val="56533581"/>
    <w:rsid w:val="56556A86"/>
    <w:rsid w:val="565A2E32"/>
    <w:rsid w:val="56867584"/>
    <w:rsid w:val="568858B4"/>
    <w:rsid w:val="56AE6CD3"/>
    <w:rsid w:val="56BC1CD2"/>
    <w:rsid w:val="56CE0807"/>
    <w:rsid w:val="56CF1ADE"/>
    <w:rsid w:val="56FA2C95"/>
    <w:rsid w:val="57075BF9"/>
    <w:rsid w:val="57082B77"/>
    <w:rsid w:val="570A1F63"/>
    <w:rsid w:val="570E2351"/>
    <w:rsid w:val="57172D90"/>
    <w:rsid w:val="57260DE0"/>
    <w:rsid w:val="57313A9F"/>
    <w:rsid w:val="57386662"/>
    <w:rsid w:val="574F03D9"/>
    <w:rsid w:val="57500B92"/>
    <w:rsid w:val="576F699C"/>
    <w:rsid w:val="57850AAF"/>
    <w:rsid w:val="57900DA2"/>
    <w:rsid w:val="57923690"/>
    <w:rsid w:val="57A21B1B"/>
    <w:rsid w:val="57AD6121"/>
    <w:rsid w:val="57BC62D0"/>
    <w:rsid w:val="57C6377C"/>
    <w:rsid w:val="57DB7459"/>
    <w:rsid w:val="58185E8D"/>
    <w:rsid w:val="582020A9"/>
    <w:rsid w:val="58271974"/>
    <w:rsid w:val="58290DC5"/>
    <w:rsid w:val="583170EE"/>
    <w:rsid w:val="58366D88"/>
    <w:rsid w:val="584279F0"/>
    <w:rsid w:val="58527FC8"/>
    <w:rsid w:val="58647470"/>
    <w:rsid w:val="58723020"/>
    <w:rsid w:val="587303D7"/>
    <w:rsid w:val="58806C98"/>
    <w:rsid w:val="58961943"/>
    <w:rsid w:val="58B45DE2"/>
    <w:rsid w:val="58C5790E"/>
    <w:rsid w:val="58C67691"/>
    <w:rsid w:val="58C779E0"/>
    <w:rsid w:val="58CB0566"/>
    <w:rsid w:val="58D411FE"/>
    <w:rsid w:val="58E20B05"/>
    <w:rsid w:val="58E40C92"/>
    <w:rsid w:val="58E6430A"/>
    <w:rsid w:val="590162FC"/>
    <w:rsid w:val="590B0BE2"/>
    <w:rsid w:val="590E217B"/>
    <w:rsid w:val="59121580"/>
    <w:rsid w:val="591A2837"/>
    <w:rsid w:val="593E4EAE"/>
    <w:rsid w:val="5968062F"/>
    <w:rsid w:val="59695CB6"/>
    <w:rsid w:val="598C3104"/>
    <w:rsid w:val="59A41CA5"/>
    <w:rsid w:val="59A801F0"/>
    <w:rsid w:val="59B2180F"/>
    <w:rsid w:val="59B24FB1"/>
    <w:rsid w:val="59C030BE"/>
    <w:rsid w:val="59CC6F66"/>
    <w:rsid w:val="59E22D24"/>
    <w:rsid w:val="59F82FAA"/>
    <w:rsid w:val="59FA6DBB"/>
    <w:rsid w:val="5A18706C"/>
    <w:rsid w:val="5A2956B2"/>
    <w:rsid w:val="5A2E7499"/>
    <w:rsid w:val="5A2F034B"/>
    <w:rsid w:val="5A334CA4"/>
    <w:rsid w:val="5A376642"/>
    <w:rsid w:val="5A38583A"/>
    <w:rsid w:val="5A3E0892"/>
    <w:rsid w:val="5A494B51"/>
    <w:rsid w:val="5A4C460E"/>
    <w:rsid w:val="5A4D497B"/>
    <w:rsid w:val="5A6776CD"/>
    <w:rsid w:val="5A7C4F26"/>
    <w:rsid w:val="5A873628"/>
    <w:rsid w:val="5A874A8D"/>
    <w:rsid w:val="5A8B33BB"/>
    <w:rsid w:val="5A97386D"/>
    <w:rsid w:val="5A9A2F72"/>
    <w:rsid w:val="5AB250D9"/>
    <w:rsid w:val="5AB44254"/>
    <w:rsid w:val="5AB47148"/>
    <w:rsid w:val="5AB95DB4"/>
    <w:rsid w:val="5ABB4FF8"/>
    <w:rsid w:val="5AF12B77"/>
    <w:rsid w:val="5B12588A"/>
    <w:rsid w:val="5B2A3919"/>
    <w:rsid w:val="5B351435"/>
    <w:rsid w:val="5B5C5EAD"/>
    <w:rsid w:val="5B691FD4"/>
    <w:rsid w:val="5B926846"/>
    <w:rsid w:val="5BA57414"/>
    <w:rsid w:val="5BB8544A"/>
    <w:rsid w:val="5C066ED1"/>
    <w:rsid w:val="5C1C73FB"/>
    <w:rsid w:val="5C2A2C70"/>
    <w:rsid w:val="5C4952DC"/>
    <w:rsid w:val="5C51394C"/>
    <w:rsid w:val="5C5227CF"/>
    <w:rsid w:val="5C72662A"/>
    <w:rsid w:val="5C960E86"/>
    <w:rsid w:val="5C9A5AE0"/>
    <w:rsid w:val="5CC15D47"/>
    <w:rsid w:val="5CCE3449"/>
    <w:rsid w:val="5CD26CD7"/>
    <w:rsid w:val="5CDE7166"/>
    <w:rsid w:val="5CE23177"/>
    <w:rsid w:val="5CE86B44"/>
    <w:rsid w:val="5CEE15FE"/>
    <w:rsid w:val="5CFD25D5"/>
    <w:rsid w:val="5D033BE7"/>
    <w:rsid w:val="5D2B4537"/>
    <w:rsid w:val="5D325D70"/>
    <w:rsid w:val="5D3C2E5D"/>
    <w:rsid w:val="5D5C0BDE"/>
    <w:rsid w:val="5D604509"/>
    <w:rsid w:val="5D703211"/>
    <w:rsid w:val="5D972077"/>
    <w:rsid w:val="5D9A660C"/>
    <w:rsid w:val="5D9C143B"/>
    <w:rsid w:val="5D9E1D99"/>
    <w:rsid w:val="5D9E51B4"/>
    <w:rsid w:val="5DAD470E"/>
    <w:rsid w:val="5DC85EB7"/>
    <w:rsid w:val="5DD33B7E"/>
    <w:rsid w:val="5DD60DF1"/>
    <w:rsid w:val="5DE03167"/>
    <w:rsid w:val="5DFC0FC1"/>
    <w:rsid w:val="5E0F1C0D"/>
    <w:rsid w:val="5E135FCC"/>
    <w:rsid w:val="5E280F21"/>
    <w:rsid w:val="5E47579C"/>
    <w:rsid w:val="5E50105F"/>
    <w:rsid w:val="5E8D672F"/>
    <w:rsid w:val="5E9138DC"/>
    <w:rsid w:val="5EB56C59"/>
    <w:rsid w:val="5EC461DB"/>
    <w:rsid w:val="5EC64E6D"/>
    <w:rsid w:val="5EE44A5F"/>
    <w:rsid w:val="5EEB1665"/>
    <w:rsid w:val="5F0279C4"/>
    <w:rsid w:val="5F0A4389"/>
    <w:rsid w:val="5F2A0360"/>
    <w:rsid w:val="5F3D3A6B"/>
    <w:rsid w:val="5F5E1D1B"/>
    <w:rsid w:val="5F635AAB"/>
    <w:rsid w:val="5F702B80"/>
    <w:rsid w:val="5F973A30"/>
    <w:rsid w:val="5FB223E4"/>
    <w:rsid w:val="5FB34363"/>
    <w:rsid w:val="5FC446C9"/>
    <w:rsid w:val="5FC61843"/>
    <w:rsid w:val="5FCB0E07"/>
    <w:rsid w:val="5FD62FEA"/>
    <w:rsid w:val="5FDD424F"/>
    <w:rsid w:val="5FDF6B44"/>
    <w:rsid w:val="5FF13B6D"/>
    <w:rsid w:val="5FF31011"/>
    <w:rsid w:val="5FF66356"/>
    <w:rsid w:val="5FF9505A"/>
    <w:rsid w:val="5FFE0263"/>
    <w:rsid w:val="600B28A8"/>
    <w:rsid w:val="600F2399"/>
    <w:rsid w:val="600F52EB"/>
    <w:rsid w:val="60152B0C"/>
    <w:rsid w:val="60161739"/>
    <w:rsid w:val="603424E2"/>
    <w:rsid w:val="60477D84"/>
    <w:rsid w:val="605A10EF"/>
    <w:rsid w:val="608655C1"/>
    <w:rsid w:val="609465DD"/>
    <w:rsid w:val="60A10BD7"/>
    <w:rsid w:val="60B915E0"/>
    <w:rsid w:val="61071A00"/>
    <w:rsid w:val="611F1BFA"/>
    <w:rsid w:val="6127216E"/>
    <w:rsid w:val="612826A2"/>
    <w:rsid w:val="61302D6A"/>
    <w:rsid w:val="614B240F"/>
    <w:rsid w:val="61767A26"/>
    <w:rsid w:val="617732D0"/>
    <w:rsid w:val="61A07A90"/>
    <w:rsid w:val="61A41EF3"/>
    <w:rsid w:val="61CF1393"/>
    <w:rsid w:val="61E80983"/>
    <w:rsid w:val="61EF14EF"/>
    <w:rsid w:val="61FD1B5E"/>
    <w:rsid w:val="62132500"/>
    <w:rsid w:val="621A1EA2"/>
    <w:rsid w:val="62567799"/>
    <w:rsid w:val="625A2D1C"/>
    <w:rsid w:val="62684EC1"/>
    <w:rsid w:val="627574D8"/>
    <w:rsid w:val="62812FAA"/>
    <w:rsid w:val="62894684"/>
    <w:rsid w:val="62903706"/>
    <w:rsid w:val="629358D4"/>
    <w:rsid w:val="62AC1B8A"/>
    <w:rsid w:val="62BC587D"/>
    <w:rsid w:val="62C03E1E"/>
    <w:rsid w:val="62C13140"/>
    <w:rsid w:val="62C570C0"/>
    <w:rsid w:val="62D17FA8"/>
    <w:rsid w:val="62DD2EA7"/>
    <w:rsid w:val="62EB02B5"/>
    <w:rsid w:val="62EB04C8"/>
    <w:rsid w:val="62F77154"/>
    <w:rsid w:val="630F0EC2"/>
    <w:rsid w:val="6318550E"/>
    <w:rsid w:val="63353BCF"/>
    <w:rsid w:val="634F383A"/>
    <w:rsid w:val="63500CFE"/>
    <w:rsid w:val="637D1ECB"/>
    <w:rsid w:val="63BA052F"/>
    <w:rsid w:val="63BE0AD3"/>
    <w:rsid w:val="63CA108D"/>
    <w:rsid w:val="63CB0B4A"/>
    <w:rsid w:val="63E71DE9"/>
    <w:rsid w:val="63F221BC"/>
    <w:rsid w:val="63F6567C"/>
    <w:rsid w:val="64032C6B"/>
    <w:rsid w:val="64087A7B"/>
    <w:rsid w:val="640B57D3"/>
    <w:rsid w:val="641A5836"/>
    <w:rsid w:val="6429154F"/>
    <w:rsid w:val="642F3009"/>
    <w:rsid w:val="6432180C"/>
    <w:rsid w:val="64421735"/>
    <w:rsid w:val="644558EC"/>
    <w:rsid w:val="64585427"/>
    <w:rsid w:val="645B2788"/>
    <w:rsid w:val="646F5CE5"/>
    <w:rsid w:val="6477726A"/>
    <w:rsid w:val="648A0240"/>
    <w:rsid w:val="648D6455"/>
    <w:rsid w:val="64B72E0C"/>
    <w:rsid w:val="64B86B2D"/>
    <w:rsid w:val="64C23E7D"/>
    <w:rsid w:val="64CB244A"/>
    <w:rsid w:val="64E31C9A"/>
    <w:rsid w:val="64EA4C89"/>
    <w:rsid w:val="64F32289"/>
    <w:rsid w:val="64F4303F"/>
    <w:rsid w:val="64FE0A7A"/>
    <w:rsid w:val="65030030"/>
    <w:rsid w:val="65036497"/>
    <w:rsid w:val="650B74EE"/>
    <w:rsid w:val="65150451"/>
    <w:rsid w:val="651C6FE9"/>
    <w:rsid w:val="651D3FC4"/>
    <w:rsid w:val="65284EA6"/>
    <w:rsid w:val="652D26C7"/>
    <w:rsid w:val="655059E1"/>
    <w:rsid w:val="65571136"/>
    <w:rsid w:val="65585F78"/>
    <w:rsid w:val="65604F99"/>
    <w:rsid w:val="65682F42"/>
    <w:rsid w:val="6584208A"/>
    <w:rsid w:val="65895139"/>
    <w:rsid w:val="65947981"/>
    <w:rsid w:val="659A1FB5"/>
    <w:rsid w:val="659A4539"/>
    <w:rsid w:val="65A652CF"/>
    <w:rsid w:val="65B7603D"/>
    <w:rsid w:val="65C32871"/>
    <w:rsid w:val="65C328EA"/>
    <w:rsid w:val="65C92FEA"/>
    <w:rsid w:val="65D51FB2"/>
    <w:rsid w:val="65D93351"/>
    <w:rsid w:val="65DA4CF7"/>
    <w:rsid w:val="65DF0CA7"/>
    <w:rsid w:val="65E24BB0"/>
    <w:rsid w:val="65F71905"/>
    <w:rsid w:val="66005740"/>
    <w:rsid w:val="66014227"/>
    <w:rsid w:val="660C7630"/>
    <w:rsid w:val="660E3E13"/>
    <w:rsid w:val="661C5600"/>
    <w:rsid w:val="66206B4D"/>
    <w:rsid w:val="66405DB3"/>
    <w:rsid w:val="66530A5C"/>
    <w:rsid w:val="665836A7"/>
    <w:rsid w:val="667E108E"/>
    <w:rsid w:val="667F356D"/>
    <w:rsid w:val="66B34699"/>
    <w:rsid w:val="66C34609"/>
    <w:rsid w:val="670B6EA6"/>
    <w:rsid w:val="67187ECE"/>
    <w:rsid w:val="6727739D"/>
    <w:rsid w:val="67320624"/>
    <w:rsid w:val="673A09AE"/>
    <w:rsid w:val="673E76D0"/>
    <w:rsid w:val="67504513"/>
    <w:rsid w:val="6760172C"/>
    <w:rsid w:val="67724BEA"/>
    <w:rsid w:val="677C68AC"/>
    <w:rsid w:val="678C7EC6"/>
    <w:rsid w:val="67A16DDF"/>
    <w:rsid w:val="67A94E81"/>
    <w:rsid w:val="67AD71F1"/>
    <w:rsid w:val="67B558B7"/>
    <w:rsid w:val="67B96881"/>
    <w:rsid w:val="67D16185"/>
    <w:rsid w:val="67ED5C91"/>
    <w:rsid w:val="680A12F6"/>
    <w:rsid w:val="680B1697"/>
    <w:rsid w:val="681542C4"/>
    <w:rsid w:val="682928D9"/>
    <w:rsid w:val="68297D70"/>
    <w:rsid w:val="683318FD"/>
    <w:rsid w:val="68354966"/>
    <w:rsid w:val="6845768F"/>
    <w:rsid w:val="68694A1F"/>
    <w:rsid w:val="686F7E78"/>
    <w:rsid w:val="68727727"/>
    <w:rsid w:val="68786E71"/>
    <w:rsid w:val="688B4389"/>
    <w:rsid w:val="68A0671B"/>
    <w:rsid w:val="68B93CC3"/>
    <w:rsid w:val="68B960C7"/>
    <w:rsid w:val="68D57089"/>
    <w:rsid w:val="68E11F64"/>
    <w:rsid w:val="68EF0D46"/>
    <w:rsid w:val="68FE23F7"/>
    <w:rsid w:val="692C1C8F"/>
    <w:rsid w:val="69320D51"/>
    <w:rsid w:val="693370F8"/>
    <w:rsid w:val="69377AF7"/>
    <w:rsid w:val="69384D87"/>
    <w:rsid w:val="69452AD1"/>
    <w:rsid w:val="694B590C"/>
    <w:rsid w:val="694F16CF"/>
    <w:rsid w:val="696848C8"/>
    <w:rsid w:val="696B2CBA"/>
    <w:rsid w:val="696F7F2A"/>
    <w:rsid w:val="69817BF8"/>
    <w:rsid w:val="698B577F"/>
    <w:rsid w:val="69972F92"/>
    <w:rsid w:val="69981827"/>
    <w:rsid w:val="69A60607"/>
    <w:rsid w:val="69B87748"/>
    <w:rsid w:val="6A426C8D"/>
    <w:rsid w:val="6A44524F"/>
    <w:rsid w:val="6A68006A"/>
    <w:rsid w:val="6A6A371E"/>
    <w:rsid w:val="6A6E1944"/>
    <w:rsid w:val="6A8F1412"/>
    <w:rsid w:val="6A903551"/>
    <w:rsid w:val="6A944812"/>
    <w:rsid w:val="6A9F203B"/>
    <w:rsid w:val="6ADE3F6B"/>
    <w:rsid w:val="6AF32E2F"/>
    <w:rsid w:val="6AF80215"/>
    <w:rsid w:val="6AFF3CC9"/>
    <w:rsid w:val="6B0B793A"/>
    <w:rsid w:val="6B132234"/>
    <w:rsid w:val="6B403D4E"/>
    <w:rsid w:val="6B4610E1"/>
    <w:rsid w:val="6B594E10"/>
    <w:rsid w:val="6B713F07"/>
    <w:rsid w:val="6B7B079E"/>
    <w:rsid w:val="6B7E1823"/>
    <w:rsid w:val="6BA12017"/>
    <w:rsid w:val="6BA24C08"/>
    <w:rsid w:val="6BA55399"/>
    <w:rsid w:val="6BBC293F"/>
    <w:rsid w:val="6BC97482"/>
    <w:rsid w:val="6BD91AAD"/>
    <w:rsid w:val="6BDA2FAE"/>
    <w:rsid w:val="6BDE7AE6"/>
    <w:rsid w:val="6BEF1E2F"/>
    <w:rsid w:val="6BFC50BC"/>
    <w:rsid w:val="6C11344C"/>
    <w:rsid w:val="6C134FBF"/>
    <w:rsid w:val="6C380E3A"/>
    <w:rsid w:val="6C4F06C1"/>
    <w:rsid w:val="6C576F2D"/>
    <w:rsid w:val="6C680298"/>
    <w:rsid w:val="6C6D5838"/>
    <w:rsid w:val="6C7B0CBE"/>
    <w:rsid w:val="6C8A5926"/>
    <w:rsid w:val="6C952553"/>
    <w:rsid w:val="6C9F051B"/>
    <w:rsid w:val="6CB86BEF"/>
    <w:rsid w:val="6CC22FFA"/>
    <w:rsid w:val="6CC74771"/>
    <w:rsid w:val="6CCC2A28"/>
    <w:rsid w:val="6CF879DA"/>
    <w:rsid w:val="6CFD0614"/>
    <w:rsid w:val="6CFE2E1D"/>
    <w:rsid w:val="6D036C13"/>
    <w:rsid w:val="6D1622F5"/>
    <w:rsid w:val="6D1C60F5"/>
    <w:rsid w:val="6D207157"/>
    <w:rsid w:val="6D2B705B"/>
    <w:rsid w:val="6D3E5422"/>
    <w:rsid w:val="6D55344D"/>
    <w:rsid w:val="6D5F6682"/>
    <w:rsid w:val="6D7B66EA"/>
    <w:rsid w:val="6D7C5122"/>
    <w:rsid w:val="6DB51690"/>
    <w:rsid w:val="6DB876AF"/>
    <w:rsid w:val="6DCA1943"/>
    <w:rsid w:val="6DCB4E90"/>
    <w:rsid w:val="6DD416E4"/>
    <w:rsid w:val="6DDE5E7F"/>
    <w:rsid w:val="6DE555D6"/>
    <w:rsid w:val="6DED0138"/>
    <w:rsid w:val="6DF74044"/>
    <w:rsid w:val="6E005A16"/>
    <w:rsid w:val="6E090523"/>
    <w:rsid w:val="6E16168F"/>
    <w:rsid w:val="6E205FD6"/>
    <w:rsid w:val="6E283A73"/>
    <w:rsid w:val="6E2F26AE"/>
    <w:rsid w:val="6E471F93"/>
    <w:rsid w:val="6E5E7234"/>
    <w:rsid w:val="6E667928"/>
    <w:rsid w:val="6E6F2871"/>
    <w:rsid w:val="6E7921E8"/>
    <w:rsid w:val="6E863EA4"/>
    <w:rsid w:val="6E871171"/>
    <w:rsid w:val="6E8941F3"/>
    <w:rsid w:val="6E8E1B2B"/>
    <w:rsid w:val="6E9F5E9B"/>
    <w:rsid w:val="6EA939B8"/>
    <w:rsid w:val="6EAA17BE"/>
    <w:rsid w:val="6EB8323D"/>
    <w:rsid w:val="6EE63F17"/>
    <w:rsid w:val="6EEB3AF6"/>
    <w:rsid w:val="6EEE4ED9"/>
    <w:rsid w:val="6F222A98"/>
    <w:rsid w:val="6F523436"/>
    <w:rsid w:val="6F7166F6"/>
    <w:rsid w:val="6F933322"/>
    <w:rsid w:val="6F940239"/>
    <w:rsid w:val="6FA27D4C"/>
    <w:rsid w:val="6FA83C70"/>
    <w:rsid w:val="6FB241F8"/>
    <w:rsid w:val="6FCC5990"/>
    <w:rsid w:val="6FD14EA5"/>
    <w:rsid w:val="6FD31471"/>
    <w:rsid w:val="6FDC4FC3"/>
    <w:rsid w:val="6FFB7662"/>
    <w:rsid w:val="70094ED2"/>
    <w:rsid w:val="70570FF5"/>
    <w:rsid w:val="705A7660"/>
    <w:rsid w:val="7060463A"/>
    <w:rsid w:val="708417D4"/>
    <w:rsid w:val="70894A34"/>
    <w:rsid w:val="709C1327"/>
    <w:rsid w:val="70AF0B0E"/>
    <w:rsid w:val="70CA782D"/>
    <w:rsid w:val="70EE23B6"/>
    <w:rsid w:val="71007D30"/>
    <w:rsid w:val="710A3193"/>
    <w:rsid w:val="711102D2"/>
    <w:rsid w:val="711F61B4"/>
    <w:rsid w:val="713C6FC6"/>
    <w:rsid w:val="71444497"/>
    <w:rsid w:val="71535404"/>
    <w:rsid w:val="715541A6"/>
    <w:rsid w:val="71687B5B"/>
    <w:rsid w:val="717B05A6"/>
    <w:rsid w:val="71840E5C"/>
    <w:rsid w:val="7184489C"/>
    <w:rsid w:val="71902AE4"/>
    <w:rsid w:val="71925312"/>
    <w:rsid w:val="71A73234"/>
    <w:rsid w:val="71B06E02"/>
    <w:rsid w:val="71BF0765"/>
    <w:rsid w:val="71D71F74"/>
    <w:rsid w:val="71D912D4"/>
    <w:rsid w:val="71DB4038"/>
    <w:rsid w:val="71F20DEA"/>
    <w:rsid w:val="72080E01"/>
    <w:rsid w:val="7229032E"/>
    <w:rsid w:val="723430FA"/>
    <w:rsid w:val="72357A4A"/>
    <w:rsid w:val="725513DB"/>
    <w:rsid w:val="727E6F0A"/>
    <w:rsid w:val="72953F04"/>
    <w:rsid w:val="72B27CB2"/>
    <w:rsid w:val="72BD5C84"/>
    <w:rsid w:val="72CA1C8E"/>
    <w:rsid w:val="72F62DED"/>
    <w:rsid w:val="730078FC"/>
    <w:rsid w:val="730A3E35"/>
    <w:rsid w:val="731832FE"/>
    <w:rsid w:val="731B32C3"/>
    <w:rsid w:val="733A5DD6"/>
    <w:rsid w:val="733B309E"/>
    <w:rsid w:val="734934E2"/>
    <w:rsid w:val="734946AB"/>
    <w:rsid w:val="73576CED"/>
    <w:rsid w:val="73892A07"/>
    <w:rsid w:val="738C335A"/>
    <w:rsid w:val="73CA5314"/>
    <w:rsid w:val="73D24CA1"/>
    <w:rsid w:val="73DF7FDA"/>
    <w:rsid w:val="740B7090"/>
    <w:rsid w:val="742C2582"/>
    <w:rsid w:val="74343D24"/>
    <w:rsid w:val="74363DA9"/>
    <w:rsid w:val="74820981"/>
    <w:rsid w:val="74835319"/>
    <w:rsid w:val="74886D07"/>
    <w:rsid w:val="74A01E17"/>
    <w:rsid w:val="74A72014"/>
    <w:rsid w:val="74C652C4"/>
    <w:rsid w:val="74C70189"/>
    <w:rsid w:val="74C84547"/>
    <w:rsid w:val="74CE2B0B"/>
    <w:rsid w:val="74F35FA9"/>
    <w:rsid w:val="751A3921"/>
    <w:rsid w:val="751F6AD9"/>
    <w:rsid w:val="75265D63"/>
    <w:rsid w:val="75341056"/>
    <w:rsid w:val="75506001"/>
    <w:rsid w:val="755A2348"/>
    <w:rsid w:val="755B0F56"/>
    <w:rsid w:val="755D5A0A"/>
    <w:rsid w:val="75694E17"/>
    <w:rsid w:val="756D3B06"/>
    <w:rsid w:val="75724C91"/>
    <w:rsid w:val="75752FAA"/>
    <w:rsid w:val="7587423B"/>
    <w:rsid w:val="758A609D"/>
    <w:rsid w:val="759C3C2D"/>
    <w:rsid w:val="759E1D8F"/>
    <w:rsid w:val="75A35A28"/>
    <w:rsid w:val="75B81F99"/>
    <w:rsid w:val="75C55FD3"/>
    <w:rsid w:val="75DE1737"/>
    <w:rsid w:val="75FA20BE"/>
    <w:rsid w:val="75FF7F78"/>
    <w:rsid w:val="76003BE2"/>
    <w:rsid w:val="7618178E"/>
    <w:rsid w:val="761B584F"/>
    <w:rsid w:val="76343CA5"/>
    <w:rsid w:val="763D4F16"/>
    <w:rsid w:val="764A3CD3"/>
    <w:rsid w:val="76635A18"/>
    <w:rsid w:val="766E31EC"/>
    <w:rsid w:val="76752F45"/>
    <w:rsid w:val="768704C9"/>
    <w:rsid w:val="768946F7"/>
    <w:rsid w:val="769C0E3E"/>
    <w:rsid w:val="76AF60AC"/>
    <w:rsid w:val="76B145E2"/>
    <w:rsid w:val="76B75978"/>
    <w:rsid w:val="76BC4508"/>
    <w:rsid w:val="76F26DE2"/>
    <w:rsid w:val="770B4DD1"/>
    <w:rsid w:val="77193CE7"/>
    <w:rsid w:val="773076F2"/>
    <w:rsid w:val="7733706B"/>
    <w:rsid w:val="773A0EE5"/>
    <w:rsid w:val="77653B81"/>
    <w:rsid w:val="7769030A"/>
    <w:rsid w:val="77877C60"/>
    <w:rsid w:val="77BA0EA6"/>
    <w:rsid w:val="77C2448A"/>
    <w:rsid w:val="77C556C0"/>
    <w:rsid w:val="77C822DD"/>
    <w:rsid w:val="781836F9"/>
    <w:rsid w:val="782563B0"/>
    <w:rsid w:val="78374B57"/>
    <w:rsid w:val="784126A6"/>
    <w:rsid w:val="784A3CD3"/>
    <w:rsid w:val="78615480"/>
    <w:rsid w:val="78812164"/>
    <w:rsid w:val="78877B81"/>
    <w:rsid w:val="788C2661"/>
    <w:rsid w:val="78A703AF"/>
    <w:rsid w:val="78AC1E9F"/>
    <w:rsid w:val="78B76EA7"/>
    <w:rsid w:val="78F018A1"/>
    <w:rsid w:val="78FC3F71"/>
    <w:rsid w:val="79063F3E"/>
    <w:rsid w:val="790A172B"/>
    <w:rsid w:val="792E189B"/>
    <w:rsid w:val="79493484"/>
    <w:rsid w:val="795D308D"/>
    <w:rsid w:val="796706F8"/>
    <w:rsid w:val="79673400"/>
    <w:rsid w:val="79676DE2"/>
    <w:rsid w:val="796850A8"/>
    <w:rsid w:val="7977219F"/>
    <w:rsid w:val="79AC79FB"/>
    <w:rsid w:val="79AD1192"/>
    <w:rsid w:val="79DA518F"/>
    <w:rsid w:val="79DB1DF5"/>
    <w:rsid w:val="79FE700A"/>
    <w:rsid w:val="7A02599B"/>
    <w:rsid w:val="7A1547FF"/>
    <w:rsid w:val="7A26724A"/>
    <w:rsid w:val="7A481EBA"/>
    <w:rsid w:val="7A5507C4"/>
    <w:rsid w:val="7A643CD7"/>
    <w:rsid w:val="7A652B57"/>
    <w:rsid w:val="7A8B1C79"/>
    <w:rsid w:val="7A9F1116"/>
    <w:rsid w:val="7AB42307"/>
    <w:rsid w:val="7ACD16AF"/>
    <w:rsid w:val="7ACD1F36"/>
    <w:rsid w:val="7AD62AFA"/>
    <w:rsid w:val="7AFA5C24"/>
    <w:rsid w:val="7B097BDE"/>
    <w:rsid w:val="7B123EC9"/>
    <w:rsid w:val="7B2037E2"/>
    <w:rsid w:val="7B376C34"/>
    <w:rsid w:val="7B3A0A78"/>
    <w:rsid w:val="7B484A08"/>
    <w:rsid w:val="7B675BAF"/>
    <w:rsid w:val="7B6C2665"/>
    <w:rsid w:val="7B935302"/>
    <w:rsid w:val="7BA65D51"/>
    <w:rsid w:val="7BBF53C8"/>
    <w:rsid w:val="7BC37918"/>
    <w:rsid w:val="7BC44B32"/>
    <w:rsid w:val="7BC90C1C"/>
    <w:rsid w:val="7BD16478"/>
    <w:rsid w:val="7BDD0E17"/>
    <w:rsid w:val="7BDE611C"/>
    <w:rsid w:val="7BE85E4B"/>
    <w:rsid w:val="7C021D23"/>
    <w:rsid w:val="7C0750B2"/>
    <w:rsid w:val="7C0C4CCC"/>
    <w:rsid w:val="7C15390B"/>
    <w:rsid w:val="7C1B3232"/>
    <w:rsid w:val="7C4F2764"/>
    <w:rsid w:val="7C602641"/>
    <w:rsid w:val="7C80182D"/>
    <w:rsid w:val="7C8415C1"/>
    <w:rsid w:val="7CB138FF"/>
    <w:rsid w:val="7CB336CB"/>
    <w:rsid w:val="7CCF0A8E"/>
    <w:rsid w:val="7CD347C3"/>
    <w:rsid w:val="7CDC699E"/>
    <w:rsid w:val="7CDE6F23"/>
    <w:rsid w:val="7D1563E6"/>
    <w:rsid w:val="7D3E0B18"/>
    <w:rsid w:val="7D3E70D3"/>
    <w:rsid w:val="7D4F6073"/>
    <w:rsid w:val="7D5C3EB4"/>
    <w:rsid w:val="7D5F0804"/>
    <w:rsid w:val="7D663E6F"/>
    <w:rsid w:val="7D692C90"/>
    <w:rsid w:val="7D71615B"/>
    <w:rsid w:val="7D912F29"/>
    <w:rsid w:val="7DA54F3A"/>
    <w:rsid w:val="7DB14677"/>
    <w:rsid w:val="7DBD0F25"/>
    <w:rsid w:val="7DC5730E"/>
    <w:rsid w:val="7DCA57F6"/>
    <w:rsid w:val="7DD64891"/>
    <w:rsid w:val="7DD73BA6"/>
    <w:rsid w:val="7DD74E45"/>
    <w:rsid w:val="7DF32B8B"/>
    <w:rsid w:val="7DFC1D56"/>
    <w:rsid w:val="7E1C6248"/>
    <w:rsid w:val="7E2B5B66"/>
    <w:rsid w:val="7E3D6F9A"/>
    <w:rsid w:val="7E4D14B0"/>
    <w:rsid w:val="7E5514BB"/>
    <w:rsid w:val="7E5E1B1E"/>
    <w:rsid w:val="7E704832"/>
    <w:rsid w:val="7E761F9C"/>
    <w:rsid w:val="7E800C15"/>
    <w:rsid w:val="7E853073"/>
    <w:rsid w:val="7E892F73"/>
    <w:rsid w:val="7E8F2119"/>
    <w:rsid w:val="7E953617"/>
    <w:rsid w:val="7EAD3051"/>
    <w:rsid w:val="7ED634A8"/>
    <w:rsid w:val="7EE439ED"/>
    <w:rsid w:val="7EF1686D"/>
    <w:rsid w:val="7EFC1C0D"/>
    <w:rsid w:val="7F0A4EC1"/>
    <w:rsid w:val="7F154298"/>
    <w:rsid w:val="7F171A2C"/>
    <w:rsid w:val="7F2A7F3B"/>
    <w:rsid w:val="7F3E07EB"/>
    <w:rsid w:val="7F593177"/>
    <w:rsid w:val="7F96147F"/>
    <w:rsid w:val="7F9711EC"/>
    <w:rsid w:val="7F9727C2"/>
    <w:rsid w:val="7F9814CA"/>
    <w:rsid w:val="7FB004FC"/>
    <w:rsid w:val="7FB53AF5"/>
    <w:rsid w:val="7FE173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44"/>
    <w:qFormat/>
    <w:uiPriority w:val="0"/>
    <w:pPr>
      <w:keepNext/>
      <w:keepLines/>
      <w:spacing w:before="340" w:after="330" w:line="578" w:lineRule="auto"/>
      <w:outlineLvl w:val="0"/>
    </w:pPr>
    <w:rPr>
      <w:b/>
      <w:bCs/>
      <w:kern w:val="44"/>
      <w:sz w:val="44"/>
      <w:szCs w:val="44"/>
    </w:rPr>
  </w:style>
  <w:style w:type="paragraph" w:styleId="2">
    <w:name w:val="heading 2"/>
    <w:basedOn w:val="1"/>
    <w:next w:val="1"/>
    <w:link w:val="45"/>
    <w:qFormat/>
    <w:uiPriority w:val="0"/>
    <w:pPr>
      <w:keepNext/>
      <w:keepLines/>
      <w:spacing w:before="260" w:after="260" w:line="412" w:lineRule="auto"/>
      <w:outlineLvl w:val="1"/>
    </w:pPr>
    <w:rPr>
      <w:rFonts w:ascii="Arial" w:hAnsi="Arial" w:eastAsia="??"/>
      <w:b/>
      <w:sz w:val="32"/>
      <w:szCs w:val="28"/>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hAnsi="Tahoma"/>
      <w:b/>
      <w:kern w:val="0"/>
      <w:sz w:val="24"/>
      <w:u w:val="single"/>
    </w:rPr>
  </w:style>
  <w:style w:type="character" w:default="1" w:styleId="30">
    <w:name w:val="Default Paragraph Font"/>
    <w:semiHidden/>
    <w:unhideWhenUsed/>
    <w:qFormat/>
    <w:uiPriority w:val="1"/>
  </w:style>
  <w:style w:type="table" w:default="1" w:styleId="28">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List Number"/>
    <w:basedOn w:val="1"/>
    <w:qFormat/>
    <w:uiPriority w:val="0"/>
    <w:pPr>
      <w:widowControl/>
      <w:tabs>
        <w:tab w:val="left" w:pos="360"/>
        <w:tab w:val="left" w:pos="454"/>
        <w:tab w:val="left" w:pos="720"/>
      </w:tabs>
      <w:spacing w:after="156" w:afterLines="50"/>
      <w:ind w:left="454" w:hanging="284"/>
      <w:jc w:val="left"/>
    </w:pPr>
    <w:rPr>
      <w:kern w:val="0"/>
      <w:sz w:val="24"/>
    </w:rPr>
  </w:style>
  <w:style w:type="paragraph" w:styleId="6">
    <w:name w:val="Normal Indent"/>
    <w:basedOn w:val="1"/>
    <w:next w:val="7"/>
    <w:qFormat/>
    <w:uiPriority w:val="0"/>
    <w:pPr>
      <w:spacing w:line="300" w:lineRule="auto"/>
      <w:ind w:firstLine="420"/>
    </w:pPr>
  </w:style>
  <w:style w:type="paragraph" w:styleId="7">
    <w:name w:val="Body Text Indent"/>
    <w:basedOn w:val="1"/>
    <w:next w:val="6"/>
    <w:link w:val="42"/>
    <w:qFormat/>
    <w:uiPriority w:val="0"/>
    <w:pPr>
      <w:spacing w:after="120"/>
      <w:ind w:left="420" w:leftChars="200"/>
    </w:pPr>
  </w:style>
  <w:style w:type="paragraph" w:styleId="8">
    <w:name w:val="toa heading"/>
    <w:basedOn w:val="1"/>
    <w:next w:val="1"/>
    <w:semiHidden/>
    <w:qFormat/>
    <w:uiPriority w:val="0"/>
    <w:pPr>
      <w:spacing w:before="120"/>
    </w:pPr>
    <w:rPr>
      <w:rFonts w:ascii="Arial" w:hAnsi="Arial" w:cs="Arial"/>
      <w:sz w:val="24"/>
    </w:rPr>
  </w:style>
  <w:style w:type="paragraph" w:styleId="9">
    <w:name w:val="annotation text"/>
    <w:basedOn w:val="1"/>
    <w:link w:val="46"/>
    <w:qFormat/>
    <w:uiPriority w:val="0"/>
    <w:pPr>
      <w:jc w:val="left"/>
    </w:pPr>
    <w:rPr>
      <w:szCs w:val="24"/>
    </w:rPr>
  </w:style>
  <w:style w:type="paragraph" w:styleId="10">
    <w:name w:val="Body Text"/>
    <w:basedOn w:val="1"/>
    <w:next w:val="11"/>
    <w:link w:val="47"/>
    <w:qFormat/>
    <w:uiPriority w:val="0"/>
    <w:pPr>
      <w:spacing w:after="120"/>
    </w:pPr>
    <w:rPr>
      <w:rFonts w:eastAsia="??"/>
      <w:sz w:val="28"/>
      <w:szCs w:val="28"/>
    </w:rPr>
  </w:style>
  <w:style w:type="paragraph" w:styleId="11">
    <w:name w:val="Body Text First Indent"/>
    <w:basedOn w:val="10"/>
    <w:next w:val="1"/>
    <w:qFormat/>
    <w:uiPriority w:val="0"/>
    <w:pPr>
      <w:ind w:firstLine="420" w:firstLineChars="100"/>
    </w:pPr>
    <w:rPr>
      <w:szCs w:val="24"/>
    </w:rPr>
  </w:style>
  <w:style w:type="paragraph" w:styleId="12">
    <w:name w:val="Block Text"/>
    <w:basedOn w:val="1"/>
    <w:qFormat/>
    <w:uiPriority w:val="0"/>
    <w:pPr>
      <w:adjustRightInd w:val="0"/>
      <w:spacing w:line="300" w:lineRule="auto"/>
      <w:ind w:left="958" w:right="-120" w:rightChars="-120"/>
      <w:jc w:val="left"/>
    </w:pPr>
    <w:rPr>
      <w:rFonts w:ascii="宋体" w:hAnsi="宋体"/>
      <w:sz w:val="28"/>
    </w:rPr>
  </w:style>
  <w:style w:type="paragraph" w:styleId="13">
    <w:name w:val="Plain Text"/>
    <w:basedOn w:val="1"/>
    <w:link w:val="48"/>
    <w:qFormat/>
    <w:uiPriority w:val="0"/>
    <w:rPr>
      <w:rFonts w:ascii="宋体" w:hAnsi="Courier New" w:eastAsia="仿宋_GB2312"/>
      <w:sz w:val="30"/>
    </w:rPr>
  </w:style>
  <w:style w:type="paragraph" w:styleId="14">
    <w:name w:val="Date"/>
    <w:basedOn w:val="1"/>
    <w:next w:val="1"/>
    <w:qFormat/>
    <w:uiPriority w:val="0"/>
    <w:pPr>
      <w:ind w:left="2500" w:leftChars="2500"/>
    </w:pPr>
    <w:rPr>
      <w:rFonts w:ascii="Calibri" w:hAnsi="Calibri" w:eastAsia="楷体_GB2312" w:cs="Times New Roman"/>
      <w:sz w:val="32"/>
      <w:szCs w:val="22"/>
    </w:rPr>
  </w:style>
  <w:style w:type="paragraph" w:styleId="15">
    <w:name w:val="Body Text Indent 2"/>
    <w:basedOn w:val="1"/>
    <w:link w:val="49"/>
    <w:qFormat/>
    <w:uiPriority w:val="0"/>
    <w:pPr>
      <w:spacing w:line="500" w:lineRule="exact"/>
      <w:ind w:left="105" w:firstLine="465" w:firstLineChars="166"/>
    </w:pPr>
    <w:rPr>
      <w:sz w:val="28"/>
    </w:rPr>
  </w:style>
  <w:style w:type="paragraph" w:styleId="16">
    <w:name w:val="Balloon Text"/>
    <w:basedOn w:val="1"/>
    <w:link w:val="50"/>
    <w:qFormat/>
    <w:uiPriority w:val="0"/>
    <w:rPr>
      <w:sz w:val="18"/>
      <w:szCs w:val="18"/>
    </w:rPr>
  </w:style>
  <w:style w:type="paragraph" w:styleId="17">
    <w:name w:val="footer"/>
    <w:basedOn w:val="1"/>
    <w:link w:val="51"/>
    <w:qFormat/>
    <w:uiPriority w:val="0"/>
    <w:pPr>
      <w:tabs>
        <w:tab w:val="center" w:pos="4153"/>
        <w:tab w:val="right" w:pos="8306"/>
      </w:tabs>
      <w:snapToGrid w:val="0"/>
      <w:jc w:val="left"/>
    </w:pPr>
    <w:rPr>
      <w:sz w:val="18"/>
      <w:szCs w:val="18"/>
    </w:rPr>
  </w:style>
  <w:style w:type="paragraph" w:styleId="18">
    <w:name w:val="header"/>
    <w:basedOn w:val="1"/>
    <w:link w:val="52"/>
    <w:qFormat/>
    <w:uiPriority w:val="0"/>
    <w:pPr>
      <w:pBdr>
        <w:bottom w:val="single" w:color="auto" w:sz="6" w:space="1"/>
      </w:pBdr>
      <w:tabs>
        <w:tab w:val="center" w:pos="4153"/>
        <w:tab w:val="right" w:pos="8306"/>
      </w:tabs>
      <w:snapToGrid w:val="0"/>
      <w:jc w:val="center"/>
    </w:pPr>
    <w:rPr>
      <w:sz w:val="18"/>
      <w:szCs w:val="18"/>
    </w:rPr>
  </w:style>
  <w:style w:type="paragraph" w:styleId="19">
    <w:name w:val="List"/>
    <w:basedOn w:val="1"/>
    <w:qFormat/>
    <w:uiPriority w:val="0"/>
    <w:pPr>
      <w:ind w:left="200" w:hanging="200" w:hangingChars="200"/>
    </w:pPr>
  </w:style>
  <w:style w:type="paragraph" w:styleId="20">
    <w:name w:val="toc 6"/>
    <w:basedOn w:val="1"/>
    <w:next w:val="1"/>
    <w:qFormat/>
    <w:uiPriority w:val="0"/>
    <w:pPr>
      <w:ind w:left="1000" w:leftChars="1000"/>
    </w:pPr>
  </w:style>
  <w:style w:type="paragraph" w:styleId="21">
    <w:name w:val="Body Text Indent 3"/>
    <w:basedOn w:val="1"/>
    <w:link w:val="53"/>
    <w:qFormat/>
    <w:uiPriority w:val="0"/>
    <w:pPr>
      <w:spacing w:after="120"/>
      <w:ind w:left="420" w:leftChars="200"/>
    </w:pPr>
    <w:rPr>
      <w:sz w:val="16"/>
      <w:szCs w:val="16"/>
    </w:rPr>
  </w:style>
  <w:style w:type="paragraph" w:styleId="22">
    <w:name w:val="table of figures"/>
    <w:basedOn w:val="1"/>
    <w:next w:val="1"/>
    <w:unhideWhenUsed/>
    <w:qFormat/>
    <w:uiPriority w:val="99"/>
    <w:pPr>
      <w:ind w:left="200" w:leftChars="200" w:hanging="200" w:hangingChars="200"/>
    </w:pPr>
    <w:rPr>
      <w:rFonts w:ascii="Calibri" w:hAnsi="Calibri" w:eastAsia="宋体" w:cs="Times New Roman"/>
      <w:szCs w:val="24"/>
    </w:rPr>
  </w:style>
  <w:style w:type="paragraph" w:styleId="23">
    <w:name w:val="toc 2"/>
    <w:basedOn w:val="1"/>
    <w:next w:val="1"/>
    <w:qFormat/>
    <w:uiPriority w:val="0"/>
    <w:pPr>
      <w:tabs>
        <w:tab w:val="right" w:leader="middleDot" w:pos="8948"/>
      </w:tabs>
      <w:spacing w:before="60" w:after="60"/>
      <w:ind w:left="210"/>
    </w:pPr>
    <w:rPr>
      <w:smallCaps/>
    </w:rPr>
  </w:style>
  <w:style w:type="paragraph" w:styleId="24">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25">
    <w:name w:val="Title"/>
    <w:basedOn w:val="1"/>
    <w:link w:val="54"/>
    <w:qFormat/>
    <w:uiPriority w:val="0"/>
    <w:pPr>
      <w:jc w:val="center"/>
    </w:pPr>
    <w:rPr>
      <w:rFonts w:ascii="Calibri" w:hAnsi="Calibri"/>
      <w:sz w:val="30"/>
      <w:szCs w:val="30"/>
    </w:rPr>
  </w:style>
  <w:style w:type="paragraph" w:styleId="26">
    <w:name w:val="annotation subject"/>
    <w:basedOn w:val="9"/>
    <w:next w:val="9"/>
    <w:link w:val="55"/>
    <w:qFormat/>
    <w:uiPriority w:val="0"/>
    <w:rPr>
      <w:b/>
      <w:bCs/>
    </w:rPr>
  </w:style>
  <w:style w:type="paragraph" w:styleId="27">
    <w:name w:val="Body Text First Indent 2"/>
    <w:basedOn w:val="7"/>
    <w:next w:val="1"/>
    <w:link w:val="43"/>
    <w:qFormat/>
    <w:uiPriority w:val="0"/>
    <w:pPr>
      <w:ind w:firstLine="420" w:firstLineChars="200"/>
    </w:p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0"/>
    <w:rPr>
      <w:rFonts w:ascii="Times New Roman" w:hAnsi="Times New Roman" w:eastAsia="宋体" w:cs="Times New Roman"/>
      <w:b/>
      <w:bCs/>
    </w:rPr>
  </w:style>
  <w:style w:type="character" w:styleId="32">
    <w:name w:val="page number"/>
    <w:qFormat/>
    <w:uiPriority w:val="0"/>
    <w:rPr>
      <w:rFonts w:ascii="Times New Roman" w:hAnsi="Times New Roman" w:eastAsia="宋体" w:cs="Times New Roman"/>
    </w:rPr>
  </w:style>
  <w:style w:type="character" w:styleId="33">
    <w:name w:val="Hyperlink"/>
    <w:qFormat/>
    <w:uiPriority w:val="0"/>
    <w:rPr>
      <w:rFonts w:ascii="Times New Roman" w:hAnsi="Times New Roman" w:eastAsia="宋体" w:cs="Times New Roman"/>
      <w:color w:val="0000FF"/>
      <w:u w:val="single"/>
    </w:rPr>
  </w:style>
  <w:style w:type="character" w:styleId="34">
    <w:name w:val="annotation reference"/>
    <w:qFormat/>
    <w:uiPriority w:val="0"/>
    <w:rPr>
      <w:rFonts w:ascii="Times New Roman" w:hAnsi="Times New Roman" w:eastAsia="宋体" w:cs="Times New Roman"/>
      <w:sz w:val="21"/>
      <w:szCs w:val="21"/>
    </w:rPr>
  </w:style>
  <w:style w:type="character" w:styleId="35">
    <w:name w:val="HTML Sample"/>
    <w:qFormat/>
    <w:uiPriority w:val="0"/>
    <w:rPr>
      <w:rFonts w:ascii="Courier New" w:hAnsi="Courier New" w:eastAsia="宋体" w:cs="Times New Roman"/>
    </w:rPr>
  </w:style>
  <w:style w:type="paragraph" w:customStyle="1" w:styleId="36">
    <w:name w:val="表格文字"/>
    <w:basedOn w:val="13"/>
    <w:next w:val="10"/>
    <w:qFormat/>
    <w:uiPriority w:val="0"/>
    <w:pPr>
      <w:adjustRightInd w:val="0"/>
      <w:spacing w:line="420" w:lineRule="atLeast"/>
      <w:textAlignment w:val="baseline"/>
    </w:pPr>
    <w:rPr>
      <w:rFonts w:ascii="Calibri" w:hAnsi="Calibri" w:eastAsia="宋体"/>
      <w:sz w:val="28"/>
    </w:rPr>
  </w:style>
  <w:style w:type="paragraph" w:customStyle="1" w:styleId="37">
    <w:name w:val="自动更正"/>
    <w:qFormat/>
    <w:uiPriority w:val="99"/>
    <w:pPr>
      <w:widowControl w:val="0"/>
    </w:pPr>
    <w:rPr>
      <w:rFonts w:ascii="宋体" w:hAnsi="宋体" w:eastAsia="宋体" w:cs="Times New Roman"/>
      <w:kern w:val="2"/>
      <w:sz w:val="24"/>
      <w:szCs w:val="24"/>
      <w:lang w:val="en-US" w:eastAsia="zh-CN" w:bidi="ar-SA"/>
    </w:rPr>
  </w:style>
  <w:style w:type="paragraph" w:customStyle="1" w:styleId="38">
    <w:name w:val="正文1"/>
    <w:basedOn w:val="1"/>
    <w:qFormat/>
    <w:uiPriority w:val="0"/>
    <w:pPr>
      <w:adjustRightInd w:val="0"/>
      <w:spacing w:line="318" w:lineRule="atLeast"/>
      <w:ind w:left="369" w:firstLine="369"/>
      <w:textAlignment w:val="baseline"/>
    </w:pPr>
    <w:rPr>
      <w:rFonts w:ascii="宋体"/>
    </w:rPr>
  </w:style>
  <w:style w:type="paragraph" w:customStyle="1" w:styleId="39">
    <w:name w:val="样式 正文文本缩进 + 首行缩进:  2 字符 行距: 1.5 倍行距"/>
    <w:basedOn w:val="7"/>
    <w:qFormat/>
    <w:uiPriority w:val="0"/>
    <w:pPr>
      <w:spacing w:before="156" w:line="360" w:lineRule="auto"/>
      <w:ind w:left="0" w:leftChars="0" w:firstLine="482"/>
    </w:pPr>
    <w:rPr>
      <w:rFonts w:eastAsia="仿宋" w:cs="宋体"/>
      <w:b/>
      <w:sz w:val="20"/>
      <w:szCs w:val="20"/>
    </w:rPr>
  </w:style>
  <w:style w:type="paragraph" w:customStyle="1" w:styleId="40">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2">
    <w:name w:val="正文文本缩进 字符"/>
    <w:link w:val="7"/>
    <w:qFormat/>
    <w:uiPriority w:val="0"/>
    <w:rPr>
      <w:rFonts w:ascii="Times New Roman" w:hAnsi="Times New Roman" w:eastAsia="宋体" w:cs="Times New Roman"/>
      <w:kern w:val="2"/>
      <w:sz w:val="21"/>
    </w:rPr>
  </w:style>
  <w:style w:type="character" w:customStyle="1" w:styleId="43">
    <w:name w:val="正文文本首行缩进 2 字符"/>
    <w:link w:val="27"/>
    <w:qFormat/>
    <w:uiPriority w:val="0"/>
    <w:rPr>
      <w:rFonts w:ascii="Times New Roman" w:hAnsi="Times New Roman" w:eastAsia="宋体" w:cs="Times New Roman"/>
    </w:rPr>
  </w:style>
  <w:style w:type="character" w:customStyle="1" w:styleId="44">
    <w:name w:val="标题 1 字符"/>
    <w:link w:val="3"/>
    <w:qFormat/>
    <w:uiPriority w:val="0"/>
    <w:rPr>
      <w:rFonts w:ascii="Times New Roman" w:hAnsi="Times New Roman" w:eastAsia="宋体" w:cs="Times New Roman"/>
      <w:b/>
      <w:bCs/>
      <w:kern w:val="44"/>
      <w:sz w:val="44"/>
      <w:szCs w:val="44"/>
    </w:rPr>
  </w:style>
  <w:style w:type="character" w:customStyle="1" w:styleId="45">
    <w:name w:val="标题 2 字符"/>
    <w:link w:val="2"/>
    <w:qFormat/>
    <w:uiPriority w:val="0"/>
    <w:rPr>
      <w:rFonts w:ascii="Arial" w:hAnsi="Arial" w:eastAsia="??" w:cs="Times New Roman"/>
      <w:b/>
      <w:kern w:val="2"/>
      <w:sz w:val="32"/>
      <w:szCs w:val="28"/>
      <w:lang w:val="en-US" w:eastAsia="zh-CN" w:bidi="ar-SA"/>
    </w:rPr>
  </w:style>
  <w:style w:type="character" w:customStyle="1" w:styleId="46">
    <w:name w:val="批注文字 字符"/>
    <w:link w:val="9"/>
    <w:qFormat/>
    <w:uiPriority w:val="0"/>
    <w:rPr>
      <w:rFonts w:ascii="Times New Roman" w:hAnsi="Times New Roman" w:eastAsia="宋体" w:cs="Times New Roman"/>
      <w:kern w:val="2"/>
      <w:sz w:val="21"/>
      <w:szCs w:val="24"/>
    </w:rPr>
  </w:style>
  <w:style w:type="character" w:customStyle="1" w:styleId="47">
    <w:name w:val="正文文本 字符"/>
    <w:link w:val="10"/>
    <w:qFormat/>
    <w:uiPriority w:val="0"/>
    <w:rPr>
      <w:rFonts w:ascii="Times New Roman" w:hAnsi="Times New Roman" w:eastAsia="??" w:cs="Times New Roman"/>
      <w:kern w:val="2"/>
      <w:sz w:val="28"/>
      <w:szCs w:val="28"/>
      <w:lang w:val="en-US" w:eastAsia="zh-CN" w:bidi="ar-SA"/>
    </w:rPr>
  </w:style>
  <w:style w:type="character" w:customStyle="1" w:styleId="48">
    <w:name w:val="纯文本 字符"/>
    <w:link w:val="13"/>
    <w:qFormat/>
    <w:uiPriority w:val="0"/>
    <w:rPr>
      <w:rFonts w:ascii="宋体" w:hAnsi="Courier New" w:eastAsia="仿宋_GB2312" w:cs="Times New Roman"/>
      <w:kern w:val="2"/>
      <w:sz w:val="30"/>
      <w:lang w:val="en-US" w:eastAsia="zh-CN" w:bidi="ar-SA"/>
    </w:rPr>
  </w:style>
  <w:style w:type="character" w:customStyle="1" w:styleId="49">
    <w:name w:val="正文文本缩进 2 字符"/>
    <w:link w:val="15"/>
    <w:qFormat/>
    <w:uiPriority w:val="0"/>
    <w:rPr>
      <w:rFonts w:ascii="Times New Roman" w:hAnsi="Times New Roman" w:eastAsia="宋体" w:cs="Times New Roman"/>
      <w:kern w:val="2"/>
      <w:sz w:val="28"/>
    </w:rPr>
  </w:style>
  <w:style w:type="character" w:customStyle="1" w:styleId="50">
    <w:name w:val="批注框文本 字符"/>
    <w:link w:val="16"/>
    <w:qFormat/>
    <w:uiPriority w:val="0"/>
    <w:rPr>
      <w:rFonts w:ascii="Times New Roman" w:hAnsi="Times New Roman" w:eastAsia="宋体" w:cs="Times New Roman"/>
      <w:kern w:val="2"/>
      <w:sz w:val="18"/>
      <w:szCs w:val="18"/>
    </w:rPr>
  </w:style>
  <w:style w:type="character" w:customStyle="1" w:styleId="51">
    <w:name w:val="页脚 字符"/>
    <w:link w:val="17"/>
    <w:qFormat/>
    <w:uiPriority w:val="0"/>
    <w:rPr>
      <w:rFonts w:ascii="Times New Roman" w:hAnsi="Times New Roman" w:eastAsia="宋体" w:cs="Times New Roman"/>
      <w:kern w:val="2"/>
      <w:sz w:val="18"/>
      <w:szCs w:val="18"/>
    </w:rPr>
  </w:style>
  <w:style w:type="character" w:customStyle="1" w:styleId="52">
    <w:name w:val="页眉 字符"/>
    <w:link w:val="18"/>
    <w:qFormat/>
    <w:uiPriority w:val="0"/>
    <w:rPr>
      <w:rFonts w:ascii="Times New Roman" w:hAnsi="Times New Roman" w:eastAsia="宋体" w:cs="Times New Roman"/>
      <w:kern w:val="2"/>
      <w:sz w:val="18"/>
      <w:szCs w:val="18"/>
    </w:rPr>
  </w:style>
  <w:style w:type="character" w:customStyle="1" w:styleId="53">
    <w:name w:val="正文文本缩进 3 字符"/>
    <w:link w:val="21"/>
    <w:qFormat/>
    <w:uiPriority w:val="0"/>
    <w:rPr>
      <w:rFonts w:ascii="Times New Roman" w:hAnsi="Times New Roman" w:eastAsia="宋体" w:cs="Times New Roman"/>
      <w:kern w:val="2"/>
      <w:sz w:val="16"/>
      <w:szCs w:val="16"/>
    </w:rPr>
  </w:style>
  <w:style w:type="character" w:customStyle="1" w:styleId="54">
    <w:name w:val="标题 字符"/>
    <w:link w:val="25"/>
    <w:qFormat/>
    <w:uiPriority w:val="0"/>
    <w:rPr>
      <w:rFonts w:ascii="Calibri" w:hAnsi="Calibri" w:eastAsia="宋体" w:cs="Times New Roman"/>
      <w:kern w:val="2"/>
      <w:sz w:val="30"/>
      <w:szCs w:val="30"/>
    </w:rPr>
  </w:style>
  <w:style w:type="character" w:customStyle="1" w:styleId="55">
    <w:name w:val="批注主题 字符"/>
    <w:link w:val="26"/>
    <w:qFormat/>
    <w:uiPriority w:val="0"/>
    <w:rPr>
      <w:rFonts w:ascii="Times New Roman" w:hAnsi="Times New Roman" w:eastAsia="宋体" w:cs="Times New Roman"/>
      <w:b/>
      <w:bCs/>
      <w:kern w:val="2"/>
      <w:sz w:val="21"/>
      <w:szCs w:val="24"/>
    </w:rPr>
  </w:style>
  <w:style w:type="paragraph" w:customStyle="1" w:styleId="56">
    <w:name w:val="_Style 3"/>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57">
    <w:name w:val="正文首行缩进 21"/>
    <w:basedOn w:val="58"/>
    <w:qFormat/>
    <w:uiPriority w:val="0"/>
    <w:pPr>
      <w:ind w:firstLine="420"/>
    </w:pPr>
    <w:rPr>
      <w:rFonts w:ascii="Times New Roman" w:eastAsia="宋体"/>
    </w:rPr>
  </w:style>
  <w:style w:type="paragraph" w:customStyle="1" w:styleId="58">
    <w:name w:val="正文文本缩进1"/>
    <w:basedOn w:val="1"/>
    <w:qFormat/>
    <w:uiPriority w:val="0"/>
    <w:pPr>
      <w:ind w:firstLine="200"/>
    </w:pPr>
    <w:rPr>
      <w:rFonts w:ascii="仿宋_GB2312" w:eastAsia="仿宋_GB2312"/>
      <w:sz w:val="32"/>
    </w:rPr>
  </w:style>
  <w:style w:type="paragraph" w:customStyle="1" w:styleId="59">
    <w:name w:val="Default Text"/>
    <w:basedOn w:val="1"/>
    <w:qFormat/>
    <w:uiPriority w:val="0"/>
    <w:pPr>
      <w:widowControl/>
      <w:overflowPunct w:val="0"/>
      <w:autoSpaceDE w:val="0"/>
      <w:autoSpaceDN w:val="0"/>
      <w:adjustRightInd w:val="0"/>
      <w:jc w:val="left"/>
      <w:textAlignment w:val="baseline"/>
    </w:pPr>
    <w:rPr>
      <w:kern w:val="0"/>
      <w:sz w:val="24"/>
    </w:rPr>
  </w:style>
  <w:style w:type="paragraph" w:customStyle="1" w:styleId="60">
    <w:name w:val="无间隔1"/>
    <w:qFormat/>
    <w:uiPriority w:val="0"/>
    <w:pPr>
      <w:widowControl w:val="0"/>
      <w:jc w:val="both"/>
    </w:pPr>
    <w:rPr>
      <w:rFonts w:ascii="Times New Roman" w:hAnsi="Times New Roman" w:eastAsia="Times New Roman" w:cs="Calibri"/>
      <w:kern w:val="2"/>
      <w:sz w:val="21"/>
      <w:szCs w:val="22"/>
      <w:lang w:val="en-US" w:eastAsia="zh-CN" w:bidi="ar-SA"/>
    </w:rPr>
  </w:style>
  <w:style w:type="character" w:customStyle="1" w:styleId="61">
    <w:name w:val="apple-style-span"/>
    <w:qFormat/>
    <w:uiPriority w:val="0"/>
    <w:rPr>
      <w:rFonts w:ascii="Tahoma" w:hAnsi="Tahoma" w:eastAsia="宋体" w:cs="Times New Roman"/>
      <w:sz w:val="24"/>
      <w:szCs w:val="20"/>
    </w:rPr>
  </w:style>
  <w:style w:type="character" w:customStyle="1" w:styleId="62">
    <w:name w:val="font51"/>
    <w:qFormat/>
    <w:uiPriority w:val="0"/>
    <w:rPr>
      <w:rFonts w:hint="eastAsia" w:ascii="宋体" w:hAnsi="宋体" w:eastAsia="宋体" w:cs="宋体"/>
      <w:color w:val="000000"/>
      <w:sz w:val="22"/>
      <w:szCs w:val="22"/>
      <w:u w:val="none"/>
    </w:rPr>
  </w:style>
  <w:style w:type="character" w:customStyle="1" w:styleId="63">
    <w:name w:val="NormalCharacter"/>
    <w:qFormat/>
    <w:uiPriority w:val="0"/>
    <w:rPr>
      <w:rFonts w:ascii="Calibri" w:hAnsi="Calibri" w:eastAsia="宋体" w:cs="Times New Roman"/>
    </w:rPr>
  </w:style>
  <w:style w:type="character" w:customStyle="1" w:styleId="64">
    <w:name w:val="font01"/>
    <w:qFormat/>
    <w:uiPriority w:val="0"/>
    <w:rPr>
      <w:rFonts w:hint="eastAsia" w:ascii="宋体" w:hAnsi="宋体" w:eastAsia="宋体" w:cs="宋体"/>
      <w:b/>
      <w:color w:val="000000"/>
      <w:sz w:val="40"/>
      <w:szCs w:val="40"/>
      <w:u w:val="none"/>
    </w:rPr>
  </w:style>
  <w:style w:type="character" w:customStyle="1" w:styleId="65">
    <w:name w:val="font91"/>
    <w:qFormat/>
    <w:uiPriority w:val="0"/>
    <w:rPr>
      <w:rFonts w:hint="eastAsia" w:ascii="宋体" w:hAnsi="宋体" w:eastAsia="宋体" w:cs="宋体"/>
      <w:color w:val="000000"/>
      <w:sz w:val="20"/>
      <w:szCs w:val="20"/>
      <w:u w:val="none"/>
    </w:rPr>
  </w:style>
  <w:style w:type="character" w:customStyle="1" w:styleId="66">
    <w:name w:val="font11"/>
    <w:qFormat/>
    <w:uiPriority w:val="0"/>
    <w:rPr>
      <w:rFonts w:hint="eastAsia" w:ascii="宋体" w:hAnsi="宋体" w:eastAsia="宋体" w:cs="宋体"/>
      <w:b/>
      <w:color w:val="000000"/>
      <w:sz w:val="22"/>
      <w:szCs w:val="22"/>
      <w:u w:val="none"/>
    </w:rPr>
  </w:style>
  <w:style w:type="character" w:customStyle="1" w:styleId="67">
    <w:name w:val="font112"/>
    <w:qFormat/>
    <w:uiPriority w:val="0"/>
    <w:rPr>
      <w:rFonts w:hint="eastAsia" w:ascii="宋体" w:hAnsi="宋体" w:eastAsia="宋体" w:cs="宋体"/>
      <w:color w:val="000000"/>
      <w:sz w:val="22"/>
      <w:szCs w:val="22"/>
      <w:u w:val="none"/>
    </w:rPr>
  </w:style>
  <w:style w:type="character" w:customStyle="1" w:styleId="68">
    <w:name w:val="font61"/>
    <w:qFormat/>
    <w:uiPriority w:val="0"/>
    <w:rPr>
      <w:rFonts w:hint="default" w:ascii="Times New Roman" w:hAnsi="Times New Roman" w:eastAsia="宋体" w:cs="Times New Roman"/>
      <w:color w:val="000000"/>
      <w:sz w:val="20"/>
      <w:szCs w:val="20"/>
      <w:u w:val="none"/>
    </w:rPr>
  </w:style>
  <w:style w:type="character" w:customStyle="1" w:styleId="69">
    <w:name w:val="font81"/>
    <w:qFormat/>
    <w:uiPriority w:val="0"/>
    <w:rPr>
      <w:rFonts w:hint="eastAsia" w:ascii="宋体" w:hAnsi="宋体" w:eastAsia="宋体" w:cs="宋体"/>
      <w:color w:val="000000"/>
      <w:sz w:val="20"/>
      <w:szCs w:val="20"/>
      <w:u w:val="none"/>
    </w:rPr>
  </w:style>
  <w:style w:type="character" w:customStyle="1" w:styleId="70">
    <w:name w:val="Char Char7"/>
    <w:qFormat/>
    <w:uiPriority w:val="0"/>
    <w:rPr>
      <w:rFonts w:ascii="??" w:hAnsi="??" w:eastAsia="??" w:cs="宋体"/>
      <w:kern w:val="2"/>
      <w:sz w:val="24"/>
      <w:szCs w:val="28"/>
    </w:rPr>
  </w:style>
  <w:style w:type="character" w:customStyle="1" w:styleId="71">
    <w:name w:val="font71"/>
    <w:qFormat/>
    <w:uiPriority w:val="0"/>
    <w:rPr>
      <w:rFonts w:ascii="Arial" w:hAnsi="Arial" w:eastAsia="宋体" w:cs="Arial"/>
      <w:color w:val="000000"/>
      <w:sz w:val="20"/>
      <w:szCs w:val="20"/>
      <w:u w:val="none"/>
    </w:rPr>
  </w:style>
  <w:style w:type="paragraph" w:customStyle="1" w:styleId="72">
    <w:name w:val="中等深浅列表 2 - 强调文字颜色 41"/>
    <w:basedOn w:val="1"/>
    <w:qFormat/>
    <w:uiPriority w:val="0"/>
    <w:pPr>
      <w:ind w:firstLine="420" w:firstLineChars="200"/>
    </w:pPr>
    <w:rPr>
      <w:rFonts w:ascii="Calibri" w:hAnsi="Calibri"/>
      <w:szCs w:val="22"/>
    </w:rPr>
  </w:style>
  <w:style w:type="paragraph" w:customStyle="1" w:styleId="73">
    <w:name w:val="正文样式"/>
    <w:basedOn w:val="1"/>
    <w:qFormat/>
    <w:uiPriority w:val="0"/>
    <w:pPr>
      <w:spacing w:before="156" w:beforeLines="50" w:line="312" w:lineRule="auto"/>
      <w:ind w:firstLine="200" w:firstLineChars="200"/>
    </w:pPr>
    <w:rPr>
      <w:rFonts w:ascii="Calibri" w:hAnsi="Calibri"/>
      <w:sz w:val="24"/>
      <w:szCs w:val="24"/>
    </w:rPr>
  </w:style>
  <w:style w:type="paragraph" w:customStyle="1" w:styleId="74">
    <w:name w:val="p16"/>
    <w:basedOn w:val="1"/>
    <w:qFormat/>
    <w:uiPriority w:val="0"/>
    <w:pPr>
      <w:widowControl/>
    </w:pPr>
    <w:rPr>
      <w:rFonts w:ascii="宋体" w:hAnsi="宋体" w:cs="宋体"/>
      <w:kern w:val="0"/>
      <w:sz w:val="30"/>
      <w:szCs w:val="30"/>
    </w:rPr>
  </w:style>
  <w:style w:type="paragraph" w:styleId="75">
    <w:name w:val="List Paragraph"/>
    <w:basedOn w:val="1"/>
    <w:qFormat/>
    <w:uiPriority w:val="0"/>
    <w:pPr>
      <w:autoSpaceDE w:val="0"/>
      <w:autoSpaceDN w:val="0"/>
      <w:adjustRightInd w:val="0"/>
      <w:ind w:firstLine="200" w:firstLineChars="200"/>
      <w:jc w:val="left"/>
    </w:pPr>
    <w:rPr>
      <w:rFonts w:eastAsia="??"/>
      <w:kern w:val="0"/>
      <w:sz w:val="24"/>
      <w:szCs w:val="24"/>
    </w:rPr>
  </w:style>
  <w:style w:type="paragraph" w:customStyle="1" w:styleId="76">
    <w:name w:val="_Style 8"/>
    <w:basedOn w:val="1"/>
    <w:next w:val="75"/>
    <w:qFormat/>
    <w:uiPriority w:val="0"/>
    <w:pPr>
      <w:ind w:firstLine="420" w:firstLineChars="200"/>
    </w:pPr>
    <w:rPr>
      <w:rFonts w:ascii="Calibri" w:hAnsi="Calibri"/>
      <w:szCs w:val="22"/>
    </w:rPr>
  </w:style>
  <w:style w:type="paragraph" w:customStyle="1" w:styleId="77">
    <w:name w:val="书籍标题1"/>
    <w:basedOn w:val="1"/>
    <w:next w:val="1"/>
    <w:qFormat/>
    <w:uiPriority w:val="0"/>
    <w:pPr>
      <w:pageBreakBefore/>
      <w:widowControl/>
      <w:tabs>
        <w:tab w:val="left" w:pos="360"/>
      </w:tabs>
      <w:spacing w:before="624" w:beforeLines="200" w:after="624" w:afterLines="200"/>
      <w:ind w:hanging="360"/>
      <w:jc w:val="center"/>
      <w:outlineLvl w:val="0"/>
    </w:pPr>
    <w:rPr>
      <w:rFonts w:eastAsia="黑体"/>
      <w:b/>
      <w:bCs/>
      <w:spacing w:val="20"/>
      <w:kern w:val="44"/>
      <w:sz w:val="44"/>
    </w:rPr>
  </w:style>
  <w:style w:type="paragraph" w:customStyle="1" w:styleId="78">
    <w:name w:val="newnew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9">
    <w:name w:val="正文2"/>
    <w:qFormat/>
    <w:uiPriority w:val="0"/>
    <w:pPr>
      <w:jc w:val="both"/>
    </w:pPr>
    <w:rPr>
      <w:rFonts w:ascii="Calibri" w:hAnsi="Calibri" w:eastAsia="宋体" w:cs="宋体"/>
      <w:kern w:val="2"/>
      <w:sz w:val="21"/>
      <w:szCs w:val="21"/>
      <w:lang w:val="en-US" w:eastAsia="zh-CN" w:bidi="ar-SA"/>
    </w:rPr>
  </w:style>
  <w:style w:type="paragraph" w:customStyle="1" w:styleId="80">
    <w:name w:val="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1">
    <w:name w:val="列出段落1"/>
    <w:basedOn w:val="1"/>
    <w:qFormat/>
    <w:uiPriority w:val="0"/>
    <w:pPr>
      <w:ind w:firstLine="420" w:firstLineChars="200"/>
    </w:pPr>
    <w:rPr>
      <w:rFonts w:ascii="Calibri" w:hAnsi="Calibri"/>
      <w:szCs w:val="22"/>
    </w:rPr>
  </w:style>
  <w:style w:type="paragraph" w:customStyle="1" w:styleId="82">
    <w:name w:val="4"/>
    <w:basedOn w:val="1"/>
    <w:qFormat/>
    <w:uiPriority w:val="0"/>
    <w:pPr>
      <w:widowControl/>
      <w:spacing w:before="100" w:beforeAutospacing="1" w:after="100" w:afterAutospacing="1"/>
      <w:jc w:val="left"/>
    </w:pPr>
    <w:rPr>
      <w:rFonts w:ascii="宋体" w:hAnsi="宋体" w:cs="宋体"/>
      <w:kern w:val="0"/>
      <w:sz w:val="24"/>
    </w:rPr>
  </w:style>
  <w:style w:type="paragraph" w:customStyle="1" w:styleId="83">
    <w:name w:val="Body text|1"/>
    <w:basedOn w:val="1"/>
    <w:qFormat/>
    <w:uiPriority w:val="0"/>
    <w:pPr>
      <w:spacing w:line="413" w:lineRule="auto"/>
    </w:pPr>
    <w:rPr>
      <w:rFonts w:ascii="宋体" w:hAnsi="宋体" w:cs="宋体"/>
      <w:sz w:val="20"/>
      <w:lang w:val="zh-CN" w:bidi="zh-CN"/>
    </w:rPr>
  </w:style>
  <w:style w:type="paragraph" w:customStyle="1" w:styleId="84">
    <w:name w:val="xl35"/>
    <w:basedOn w:val="1"/>
    <w:qFormat/>
    <w:uiPriority w:val="0"/>
    <w:pPr>
      <w:widowControl/>
      <w:spacing w:before="100" w:beforeAutospacing="1" w:after="100" w:afterAutospacing="1"/>
      <w:jc w:val="right"/>
      <w:textAlignment w:val="center"/>
    </w:pPr>
    <w:rPr>
      <w:rFonts w:ascii="宋体" w:hAnsi="宋体"/>
      <w:kern w:val="0"/>
      <w:sz w:val="18"/>
    </w:rPr>
  </w:style>
  <w:style w:type="paragraph" w:customStyle="1" w:styleId="85">
    <w:name w:val="List Paragraph1"/>
    <w:basedOn w:val="1"/>
    <w:qFormat/>
    <w:uiPriority w:val="0"/>
    <w:pPr>
      <w:ind w:firstLine="420" w:firstLineChars="200"/>
    </w:pPr>
  </w:style>
  <w:style w:type="paragraph" w:customStyle="1" w:styleId="86">
    <w:name w:val="reader-word-layer reader-word-s1-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7">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88">
    <w:name w:val="Char"/>
    <w:basedOn w:val="1"/>
    <w:qFormat/>
    <w:uiPriority w:val="0"/>
    <w:rPr>
      <w:szCs w:val="24"/>
    </w:rPr>
  </w:style>
  <w:style w:type="paragraph" w:customStyle="1" w:styleId="89">
    <w:name w:val="xl30"/>
    <w:basedOn w:val="1"/>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90">
    <w:name w:val="[Normal]"/>
    <w:qFormat/>
    <w:uiPriority w:val="0"/>
    <w:rPr>
      <w:rFonts w:ascii="宋体" w:hAnsi="宋体" w:eastAsia="宋体" w:cs="Times New Roman"/>
      <w:sz w:val="24"/>
      <w:szCs w:val="22"/>
      <w:lang w:val="zh-CN" w:eastAsia="zh-CN" w:bidi="ar-SA"/>
    </w:rPr>
  </w:style>
  <w:style w:type="paragraph" w:customStyle="1" w:styleId="91">
    <w:name w:val="p0"/>
    <w:basedOn w:val="1"/>
    <w:qFormat/>
    <w:uiPriority w:val="0"/>
    <w:pPr>
      <w:widowControl/>
    </w:pPr>
    <w:rPr>
      <w:kern w:val="0"/>
      <w:szCs w:val="21"/>
    </w:rPr>
  </w:style>
  <w:style w:type="table" w:customStyle="1" w:styleId="92">
    <w:name w:val="网格型1"/>
    <w:basedOn w:val="28"/>
    <w:qFormat/>
    <w:uiPriority w:val="0"/>
    <w:rPr>
      <w:rFonts w:ascii="Calibri" w:hAnsi="Calibri" w:cs="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
    <w:name w:val="Table Paragraph"/>
    <w:basedOn w:val="1"/>
    <w:qFormat/>
    <w:uiPriority w:val="0"/>
    <w:rPr>
      <w:rFonts w:ascii="宋体" w:hAnsi="宋体" w:cs="宋体"/>
      <w:lang w:val="zh-CN" w:bidi="zh-CN"/>
    </w:rPr>
  </w:style>
  <w:style w:type="paragraph" w:customStyle="1" w:styleId="94">
    <w:name w:val="正文（首行缩进2字符）"/>
    <w:basedOn w:val="1"/>
    <w:qFormat/>
    <w:uiPriority w:val="0"/>
    <w:pPr>
      <w:spacing w:line="360" w:lineRule="auto"/>
      <w:ind w:firstLine="420" w:firstLineChars="200"/>
    </w:pPr>
    <w:rPr>
      <w:szCs w:val="21"/>
    </w:rPr>
  </w:style>
  <w:style w:type="paragraph" w:customStyle="1" w:styleId="95">
    <w:name w:val="文档正文"/>
    <w:basedOn w:val="1"/>
    <w:qFormat/>
    <w:uiPriority w:val="0"/>
    <w:rPr>
      <w:rFonts w:ascii="宋体" w:hAnsi="宋体" w:cs="Arial"/>
      <w:bCs/>
      <w:szCs w:val="21"/>
    </w:rPr>
  </w:style>
  <w:style w:type="paragraph" w:customStyle="1" w:styleId="96">
    <w:name w:val="form"/>
    <w:basedOn w:val="1"/>
    <w:qFormat/>
    <w:uiPriority w:val="0"/>
    <w:pPr>
      <w:wordWrap w:val="0"/>
      <w:spacing w:line="240" w:lineRule="auto"/>
      <w:jc w:val="center"/>
    </w:pPr>
    <w:rPr>
      <w:rFonts w:ascii="宋体" w:hAnsi="Calibri" w:cs="宋体"/>
    </w:rPr>
  </w:style>
  <w:style w:type="paragraph" w:customStyle="1" w:styleId="97">
    <w:name w:val="仿宋小四"/>
    <w:basedOn w:val="6"/>
    <w:qFormat/>
    <w:uiPriority w:val="0"/>
    <w:pPr>
      <w:spacing w:line="360" w:lineRule="auto"/>
      <w:ind w:firstLine="480"/>
    </w:pPr>
    <w:rPr>
      <w:rFonts w:ascii="仿宋_GB2312" w:hAnsi="仿宋_GB2312" w:eastAsia="仿宋_GB2312"/>
      <w:sz w:val="24"/>
    </w:rPr>
  </w:style>
  <w:style w:type="character" w:customStyle="1" w:styleId="98">
    <w:name w:val="font21"/>
    <w:basedOn w:val="30"/>
    <w:qFormat/>
    <w:uiPriority w:val="0"/>
    <w:rPr>
      <w:rFonts w:hint="eastAsia" w:ascii="宋体" w:hAnsi="宋体" w:eastAsia="宋体" w:cs="宋体"/>
      <w:color w:val="000000"/>
      <w:sz w:val="24"/>
      <w:szCs w:val="24"/>
      <w:u w:val="none"/>
    </w:rPr>
  </w:style>
  <w:style w:type="paragraph" w:customStyle="1" w:styleId="99">
    <w:name w:val="*正文"/>
    <w:basedOn w:val="1"/>
    <w:qFormat/>
    <w:uiPriority w:val="0"/>
  </w:style>
  <w:style w:type="paragraph" w:customStyle="1" w:styleId="100">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
    <w:name w:val="列表段落11"/>
    <w:basedOn w:val="1"/>
    <w:qFormat/>
    <w:uiPriority w:val="34"/>
    <w:pPr>
      <w:ind w:firstLine="420" w:firstLineChars="200"/>
    </w:pPr>
    <w:rPr>
      <w:rFonts w:ascii="Calibri" w:hAnsi="Calibri" w:eastAsia="宋体" w:cs="Times New Roman"/>
      <w:szCs w:val="22"/>
    </w:rPr>
  </w:style>
  <w:style w:type="paragraph" w:customStyle="1" w:styleId="103">
    <w:name w:val="普通(网站)_0"/>
    <w:basedOn w:val="104"/>
    <w:qFormat/>
    <w:uiPriority w:val="0"/>
    <w:pPr>
      <w:widowControl/>
      <w:spacing w:before="100" w:beforeAutospacing="1" w:after="100" w:afterAutospacing="1"/>
      <w:jc w:val="left"/>
    </w:pPr>
    <w:rPr>
      <w:rFonts w:ascii="宋体" w:hAnsi="宋体"/>
      <w:kern w:val="0"/>
      <w:sz w:val="24"/>
      <w:szCs w:val="22"/>
    </w:rPr>
  </w:style>
  <w:style w:type="paragraph" w:customStyle="1" w:styleId="104">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正文，首行缩进:"/>
    <w:basedOn w:val="1"/>
    <w:qFormat/>
    <w:uiPriority w:val="99"/>
    <w:pPr>
      <w:tabs>
        <w:tab w:val="left" w:pos="3376"/>
      </w:tabs>
      <w:spacing w:line="460" w:lineRule="exact"/>
      <w:ind w:firstLine="480" w:firstLineChars="200"/>
    </w:pPr>
    <w:rPr>
      <w:rFonts w:ascii="宋体" w:hAnsi="宋体" w:cs="宋体"/>
      <w:szCs w:val="20"/>
    </w:rPr>
  </w:style>
  <w:style w:type="paragraph" w:customStyle="1" w:styleId="106">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7">
    <w:name w:val="标题 2_0"/>
    <w:basedOn w:val="106"/>
    <w:next w:val="106"/>
    <w:qFormat/>
    <w:uiPriority w:val="0"/>
    <w:pPr>
      <w:keepNext/>
      <w:keepLines/>
      <w:numPr>
        <w:ilvl w:val="1"/>
        <w:numId w:val="1"/>
      </w:numPr>
      <w:spacing w:before="120" w:after="120" w:line="360" w:lineRule="auto"/>
      <w:outlineLvl w:val="1"/>
    </w:pPr>
    <w:rPr>
      <w:rFonts w:ascii="Calibri" w:hAnsi="Calibri"/>
      <w:b/>
      <w:bCs/>
      <w:sz w:val="30"/>
      <w:szCs w:val="32"/>
    </w:rPr>
  </w:style>
  <w:style w:type="paragraph" w:customStyle="1" w:styleId="108">
    <w:name w:val="标题 3_0"/>
    <w:basedOn w:val="106"/>
    <w:next w:val="106"/>
    <w:qFormat/>
    <w:uiPriority w:val="0"/>
    <w:pPr>
      <w:keepNext/>
      <w:keepLines/>
      <w:numPr>
        <w:ilvl w:val="2"/>
        <w:numId w:val="1"/>
      </w:numPr>
      <w:spacing w:before="120" w:after="120" w:line="360" w:lineRule="auto"/>
      <w:outlineLvl w:val="2"/>
    </w:pPr>
    <w:rPr>
      <w:rFonts w:ascii="Times New Roman" w:hAnsi="Times New Roman"/>
      <w:b/>
      <w:bCs/>
      <w:sz w:val="28"/>
      <w:szCs w:val="18"/>
    </w:rPr>
  </w:style>
  <w:style w:type="paragraph" w:customStyle="1" w:styleId="109">
    <w:name w:val="标题 3_0_0"/>
    <w:basedOn w:val="104"/>
    <w:next w:val="104"/>
    <w:qFormat/>
    <w:uiPriority w:val="0"/>
    <w:pPr>
      <w:keepNext/>
      <w:keepLines/>
      <w:spacing w:before="120" w:after="120" w:line="360" w:lineRule="auto"/>
      <w:ind w:left="1069" w:hanging="1069"/>
      <w:outlineLvl w:val="2"/>
    </w:pPr>
    <w:rPr>
      <w:rFonts w:ascii="Calibri" w:hAnsi="Calibri"/>
      <w:b/>
      <w:bCs/>
      <w:kern w:val="0"/>
      <w:sz w:val="28"/>
      <w:szCs w:val="28"/>
    </w:rPr>
  </w:style>
  <w:style w:type="paragraph" w:customStyle="1" w:styleId="110">
    <w:name w:val="正文_0_0"/>
    <w:qFormat/>
    <w:uiPriority w:val="39"/>
    <w:pPr>
      <w:widowControl w:val="0"/>
      <w:jc w:val="both"/>
    </w:pPr>
    <w:rPr>
      <w:rFonts w:ascii="Calibri" w:hAnsi="Calibri" w:eastAsia="宋体" w:cs="Times New Roman"/>
      <w:kern w:val="2"/>
      <w:sz w:val="21"/>
      <w:szCs w:val="22"/>
      <w:lang w:val="en-US" w:eastAsia="zh-CN" w:bidi="ar-SA"/>
    </w:rPr>
  </w:style>
  <w:style w:type="paragraph" w:customStyle="1" w:styleId="111">
    <w:name w:val="正文_0_1"/>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92</Pages>
  <Words>10962</Words>
  <Characters>12184</Characters>
  <Lines>1</Lines>
  <Paragraphs>1</Paragraphs>
  <TotalTime>0</TotalTime>
  <ScaleCrop>false</ScaleCrop>
  <LinksUpToDate>false</LinksUpToDate>
  <CharactersWithSpaces>12319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2020-04-22T06:04:00Z</dcterms:created>
  <dc:creator>Administrator</dc:creator>
  <cp:lastModifiedBy>向日葵</cp:lastModifiedBy>
  <cp:lastPrinted>2024-08-15T08:01:00Z</cp:lastPrinted>
  <dcterms:modified xsi:type="dcterms:W3CDTF">2024-12-12T02:46:13Z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4C1E26A20E1149C59AE854CD71AC4F26_13</vt:lpwstr>
  </property>
  <property fmtid="{D5CDD505-2E9C-101B-9397-08002B2CF9AE}" pid="4" name="commondata">
    <vt:lpwstr>eyJoZGlkIjoiMTY3NmVmZDMzNjIyYzhhNDE2N2E5MmI0Mzg3OGM1YTYifQ==</vt:lpwstr>
  </property>
</Properties>
</file>