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E78BAF">
      <w:pPr>
        <w:spacing w:line="360" w:lineRule="auto"/>
        <w:jc w:val="center"/>
        <w:rPr>
          <w:rFonts w:hint="eastAsia" w:ascii="仿宋" w:hAnsi="仿宋" w:eastAsia="仿宋" w:cs="仿宋"/>
          <w:b/>
          <w:color w:val="auto"/>
          <w:sz w:val="24"/>
        </w:rPr>
      </w:pPr>
    </w:p>
    <w:p w14:paraId="67ED061B">
      <w:pPr>
        <w:spacing w:line="360" w:lineRule="auto"/>
        <w:jc w:val="center"/>
        <w:rPr>
          <w:rFonts w:hint="eastAsia" w:ascii="仿宋" w:hAnsi="仿宋" w:eastAsia="仿宋" w:cs="仿宋"/>
          <w:b/>
          <w:color w:val="auto"/>
          <w:sz w:val="24"/>
        </w:rPr>
      </w:pPr>
    </w:p>
    <w:p w14:paraId="3D2A4046">
      <w:pPr>
        <w:spacing w:line="360" w:lineRule="auto"/>
        <w:jc w:val="center"/>
        <w:rPr>
          <w:rFonts w:hint="eastAsia" w:ascii="仿宋" w:hAnsi="仿宋" w:eastAsia="仿宋" w:cs="仿宋"/>
          <w:b/>
          <w:color w:val="auto"/>
          <w:sz w:val="44"/>
          <w:szCs w:val="44"/>
        </w:rPr>
      </w:pPr>
    </w:p>
    <w:p w14:paraId="43402326">
      <w:pPr>
        <w:spacing w:line="360" w:lineRule="auto"/>
        <w:jc w:val="center"/>
        <w:rPr>
          <w:rFonts w:hint="eastAsia" w:ascii="仿宋" w:hAnsi="仿宋" w:eastAsia="仿宋" w:cs="仿宋"/>
          <w:b/>
          <w:color w:val="auto"/>
          <w:sz w:val="52"/>
          <w:szCs w:val="52"/>
        </w:rPr>
      </w:pPr>
    </w:p>
    <w:p w14:paraId="64164552">
      <w:pPr>
        <w:spacing w:line="360" w:lineRule="auto"/>
        <w:jc w:val="center"/>
        <w:rPr>
          <w:rFonts w:hint="eastAsia" w:ascii="仿宋" w:hAnsi="仿宋" w:eastAsia="仿宋" w:cs="仿宋"/>
          <w:b/>
          <w:color w:val="auto"/>
          <w:sz w:val="52"/>
          <w:szCs w:val="52"/>
          <w:lang w:eastAsia="zh-CN"/>
        </w:rPr>
      </w:pPr>
      <w:r>
        <w:rPr>
          <w:rFonts w:hint="eastAsia" w:ascii="仿宋" w:hAnsi="仿宋" w:eastAsia="仿宋" w:cs="仿宋"/>
          <w:b/>
          <w:color w:val="auto"/>
          <w:spacing w:val="20"/>
          <w:sz w:val="52"/>
          <w:szCs w:val="52"/>
          <w:highlight w:val="none"/>
        </w:rPr>
        <w:t>东港商务中心</w:t>
      </w:r>
      <w:r>
        <w:rPr>
          <w:rFonts w:hint="eastAsia" w:ascii="仿宋" w:hAnsi="仿宋" w:eastAsia="仿宋" w:cs="仿宋"/>
          <w:b/>
          <w:color w:val="auto"/>
          <w:sz w:val="52"/>
          <w:szCs w:val="52"/>
          <w:lang w:eastAsia="zh-CN"/>
        </w:rPr>
        <w:t>办公大楼</w:t>
      </w:r>
    </w:p>
    <w:p w14:paraId="6CBAA830">
      <w:pPr>
        <w:spacing w:line="360" w:lineRule="auto"/>
        <w:jc w:val="center"/>
        <w:rPr>
          <w:rFonts w:hint="eastAsia" w:ascii="仿宋" w:hAnsi="仿宋" w:eastAsia="仿宋" w:cs="仿宋"/>
          <w:b/>
          <w:color w:val="auto"/>
          <w:sz w:val="52"/>
          <w:szCs w:val="52"/>
          <w:lang w:eastAsia="zh-CN"/>
        </w:rPr>
      </w:pPr>
      <w:r>
        <w:rPr>
          <w:rFonts w:hint="eastAsia" w:ascii="仿宋" w:hAnsi="仿宋" w:eastAsia="仿宋" w:cs="仿宋"/>
          <w:b/>
          <w:color w:val="auto"/>
          <w:sz w:val="52"/>
          <w:szCs w:val="52"/>
          <w:lang w:eastAsia="zh-CN"/>
        </w:rPr>
        <w:t>物业管理服务</w:t>
      </w:r>
    </w:p>
    <w:p w14:paraId="457C0F56">
      <w:pPr>
        <w:spacing w:line="360" w:lineRule="auto"/>
        <w:jc w:val="center"/>
        <w:rPr>
          <w:rFonts w:hint="eastAsia" w:ascii="仿宋" w:hAnsi="仿宋" w:eastAsia="仿宋" w:cs="仿宋"/>
          <w:b/>
          <w:color w:val="auto"/>
          <w:sz w:val="72"/>
          <w:szCs w:val="72"/>
        </w:rPr>
      </w:pPr>
    </w:p>
    <w:p w14:paraId="41228396">
      <w:pPr>
        <w:spacing w:line="360" w:lineRule="auto"/>
        <w:jc w:val="center"/>
        <w:rPr>
          <w:rFonts w:hint="eastAsia" w:ascii="仿宋" w:hAnsi="仿宋" w:eastAsia="仿宋" w:cs="仿宋"/>
          <w:b/>
          <w:color w:val="auto"/>
          <w:sz w:val="72"/>
          <w:szCs w:val="72"/>
        </w:rPr>
      </w:pPr>
      <w:r>
        <w:rPr>
          <w:rFonts w:hint="eastAsia" w:ascii="仿宋" w:hAnsi="仿宋" w:eastAsia="仿宋" w:cs="仿宋"/>
          <w:b/>
          <w:color w:val="auto"/>
          <w:sz w:val="72"/>
          <w:szCs w:val="72"/>
        </w:rPr>
        <w:t>公开招标文件</w:t>
      </w:r>
    </w:p>
    <w:p w14:paraId="1FA5639D">
      <w:pPr>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(电子招投标)</w:t>
      </w:r>
    </w:p>
    <w:p w14:paraId="68829BAD">
      <w:pPr>
        <w:spacing w:line="360" w:lineRule="auto"/>
        <w:jc w:val="center"/>
        <w:rPr>
          <w:rFonts w:hint="eastAsia" w:ascii="仿宋" w:hAnsi="仿宋" w:eastAsia="仿宋" w:cs="仿宋"/>
          <w:b/>
          <w:color w:val="auto"/>
          <w:sz w:val="24"/>
        </w:rPr>
      </w:pPr>
    </w:p>
    <w:p w14:paraId="046D9087">
      <w:pPr>
        <w:snapToGrid w:val="0"/>
        <w:spacing w:line="360" w:lineRule="auto"/>
        <w:jc w:val="center"/>
        <w:rPr>
          <w:rFonts w:hint="default" w:ascii="仿宋" w:hAnsi="仿宋" w:eastAsia="仿宋" w:cs="仿宋"/>
          <w:color w:val="auto"/>
          <w:sz w:val="24"/>
          <w:lang w:val="en-US" w:eastAsia="zh-CN"/>
        </w:rPr>
      </w:pPr>
      <w:r>
        <w:rPr>
          <w:rFonts w:hint="eastAsia" w:ascii="仿宋" w:hAnsi="仿宋" w:eastAsia="仿宋" w:cs="仿宋"/>
          <w:color w:val="auto"/>
          <w:sz w:val="30"/>
          <w:szCs w:val="30"/>
        </w:rPr>
        <w:t xml:space="preserve">编号: </w:t>
      </w:r>
      <w:r>
        <w:rPr>
          <w:rFonts w:hint="eastAsia" w:ascii="仿宋" w:hAnsi="仿宋" w:eastAsia="仿宋" w:cs="仿宋"/>
          <w:color w:val="auto"/>
          <w:sz w:val="30"/>
          <w:szCs w:val="30"/>
          <w:lang w:val="en-US" w:eastAsia="zh-CN"/>
        </w:rPr>
        <w:t>ZD20250009</w:t>
      </w:r>
    </w:p>
    <w:p w14:paraId="306FF9FE">
      <w:pPr>
        <w:snapToGrid w:val="0"/>
        <w:spacing w:line="360" w:lineRule="auto"/>
        <w:jc w:val="center"/>
        <w:rPr>
          <w:rFonts w:hint="eastAsia" w:ascii="仿宋" w:hAnsi="仿宋" w:eastAsia="仿宋" w:cs="仿宋"/>
          <w:color w:val="auto"/>
          <w:sz w:val="32"/>
          <w:szCs w:val="32"/>
        </w:rPr>
      </w:pPr>
    </w:p>
    <w:p w14:paraId="1A5F0AEC">
      <w:pPr>
        <w:snapToGrid w:val="0"/>
        <w:spacing w:line="360" w:lineRule="auto"/>
        <w:jc w:val="center"/>
        <w:rPr>
          <w:rFonts w:hint="eastAsia" w:ascii="仿宋" w:hAnsi="仿宋" w:eastAsia="仿宋" w:cs="仿宋"/>
          <w:color w:val="auto"/>
          <w:sz w:val="32"/>
          <w:szCs w:val="32"/>
        </w:rPr>
      </w:pPr>
    </w:p>
    <w:p w14:paraId="2CCAA50C">
      <w:pPr>
        <w:rPr>
          <w:rFonts w:hint="eastAsia" w:ascii="仿宋" w:hAnsi="仿宋" w:eastAsia="仿宋" w:cs="仿宋"/>
          <w:color w:val="auto"/>
          <w:sz w:val="32"/>
          <w:szCs w:val="32"/>
        </w:rPr>
      </w:pPr>
    </w:p>
    <w:p w14:paraId="6EE3FCA1">
      <w:pPr>
        <w:spacing w:line="360" w:lineRule="auto"/>
        <w:jc w:val="center"/>
        <w:rPr>
          <w:rFonts w:hint="eastAsia" w:ascii="仿宋" w:hAnsi="仿宋" w:eastAsia="仿宋" w:cs="仿宋"/>
          <w:bCs/>
          <w:color w:val="auto"/>
          <w:sz w:val="32"/>
          <w:szCs w:val="32"/>
        </w:rPr>
      </w:pPr>
    </w:p>
    <w:p w14:paraId="45C51F69">
      <w:pPr>
        <w:spacing w:line="360" w:lineRule="auto"/>
        <w:jc w:val="center"/>
        <w:rPr>
          <w:rFonts w:hint="eastAsia" w:ascii="仿宋" w:hAnsi="仿宋" w:eastAsia="仿宋" w:cs="仿宋"/>
          <w:bCs/>
          <w:color w:val="auto"/>
          <w:sz w:val="32"/>
          <w:szCs w:val="32"/>
        </w:rPr>
      </w:pPr>
      <w:r>
        <w:rPr>
          <w:rFonts w:hint="eastAsia" w:ascii="仿宋" w:hAnsi="仿宋" w:eastAsia="仿宋" w:cs="仿宋"/>
          <w:color w:val="auto"/>
          <w:sz w:val="32"/>
          <w:highlight w:val="none"/>
        </w:rPr>
        <w:t>普陀区</w:t>
      </w:r>
      <w:r>
        <w:rPr>
          <w:rFonts w:hint="eastAsia" w:ascii="仿宋" w:hAnsi="仿宋" w:eastAsia="仿宋" w:cs="仿宋"/>
          <w:color w:val="auto"/>
          <w:sz w:val="32"/>
          <w:highlight w:val="none"/>
          <w:lang w:eastAsia="zh-CN"/>
        </w:rPr>
        <w:t>机关事务管理中心</w:t>
      </w:r>
    </w:p>
    <w:p w14:paraId="65E21AF2">
      <w:pPr>
        <w:spacing w:line="360" w:lineRule="auto"/>
        <w:jc w:val="center"/>
        <w:rPr>
          <w:rFonts w:hint="eastAsia" w:ascii="仿宋" w:hAnsi="仿宋" w:eastAsia="仿宋" w:cs="仿宋"/>
          <w:bCs/>
          <w:color w:val="auto"/>
          <w:sz w:val="32"/>
          <w:szCs w:val="32"/>
        </w:rPr>
      </w:pPr>
      <w:r>
        <w:rPr>
          <w:rFonts w:hint="eastAsia" w:ascii="仿宋" w:hAnsi="仿宋" w:eastAsia="仿宋" w:cs="仿宋"/>
          <w:bCs/>
          <w:color w:val="auto"/>
          <w:sz w:val="32"/>
          <w:szCs w:val="32"/>
        </w:rPr>
        <w:t>舟山市公共资源交易中心普陀区分中心</w:t>
      </w:r>
    </w:p>
    <w:p w14:paraId="72797301">
      <w:pPr>
        <w:snapToGrid w:val="0"/>
        <w:spacing w:line="360" w:lineRule="auto"/>
        <w:jc w:val="center"/>
        <w:rPr>
          <w:rFonts w:hint="eastAsia" w:ascii="仿宋" w:hAnsi="仿宋" w:eastAsia="仿宋" w:cs="仿宋"/>
          <w:color w:val="auto"/>
          <w:sz w:val="30"/>
          <w:szCs w:val="30"/>
        </w:rPr>
        <w:sectPr>
          <w:headerReference r:id="rId3" w:type="first"/>
          <w:footerReference r:id="rId6" w:type="first"/>
          <w:footerReference r:id="rId4" w:type="default"/>
          <w:footerReference r:id="rId5" w:type="even"/>
          <w:pgSz w:w="11906" w:h="16838"/>
          <w:pgMar w:top="777" w:right="1418" w:bottom="471" w:left="1418" w:header="851" w:footer="992" w:gutter="0"/>
          <w:pgNumType w:fmt="decimal" w:start="1"/>
          <w:cols w:space="720" w:num="1"/>
          <w:docGrid w:linePitch="312" w:charSpace="0"/>
        </w:sectPr>
      </w:pPr>
      <w:r>
        <w:rPr>
          <w:rFonts w:hint="eastAsia" w:ascii="仿宋" w:hAnsi="仿宋" w:eastAsia="仿宋" w:cs="仿宋"/>
          <w:color w:val="auto"/>
          <w:sz w:val="30"/>
          <w:szCs w:val="30"/>
        </w:rPr>
        <w:t>二〇二</w:t>
      </w:r>
      <w:r>
        <w:rPr>
          <w:rFonts w:hint="eastAsia" w:ascii="仿宋" w:hAnsi="仿宋" w:eastAsia="仿宋" w:cs="仿宋"/>
          <w:color w:val="auto"/>
          <w:sz w:val="30"/>
          <w:szCs w:val="30"/>
          <w:lang w:val="en-US" w:eastAsia="zh-CN"/>
        </w:rPr>
        <w:t>五</w:t>
      </w:r>
      <w:r>
        <w:rPr>
          <w:rFonts w:hint="eastAsia" w:ascii="仿宋" w:hAnsi="仿宋" w:eastAsia="仿宋" w:cs="仿宋"/>
          <w:color w:val="auto"/>
          <w:sz w:val="30"/>
          <w:szCs w:val="30"/>
        </w:rPr>
        <w:t>年</w:t>
      </w:r>
      <w:r>
        <w:rPr>
          <w:rFonts w:hint="eastAsia" w:ascii="仿宋" w:hAnsi="仿宋" w:eastAsia="仿宋" w:cs="仿宋"/>
          <w:color w:val="auto"/>
          <w:sz w:val="30"/>
          <w:szCs w:val="30"/>
          <w:lang w:val="en-US" w:eastAsia="zh-CN"/>
        </w:rPr>
        <w:t>四</w:t>
      </w:r>
      <w:r>
        <w:rPr>
          <w:rFonts w:hint="eastAsia" w:ascii="仿宋" w:hAnsi="仿宋" w:eastAsia="仿宋" w:cs="仿宋"/>
          <w:color w:val="auto"/>
          <w:sz w:val="30"/>
          <w:szCs w:val="30"/>
        </w:rPr>
        <w:t>月</w:t>
      </w:r>
      <w:bookmarkStart w:id="0" w:name="_Hlt67893495"/>
      <w:bookmarkEnd w:id="0"/>
    </w:p>
    <w:p w14:paraId="44F4EAAD">
      <w:pPr>
        <w:snapToGrid w:val="0"/>
        <w:spacing w:line="360" w:lineRule="auto"/>
        <w:jc w:val="center"/>
        <w:rPr>
          <w:rFonts w:hint="eastAsia" w:ascii="仿宋" w:hAnsi="仿宋" w:eastAsia="仿宋" w:cs="仿宋"/>
          <w:color w:val="auto"/>
          <w:sz w:val="30"/>
          <w:szCs w:val="30"/>
        </w:rPr>
      </w:pPr>
      <w:r>
        <w:rPr>
          <w:rFonts w:hint="eastAsia" w:ascii="仿宋" w:hAnsi="仿宋" w:eastAsia="仿宋" w:cs="仿宋"/>
          <w:b/>
          <w:color w:val="auto"/>
          <w:sz w:val="48"/>
          <w:szCs w:val="48"/>
        </w:rPr>
        <w:t>目 录</w:t>
      </w:r>
    </w:p>
    <w:p w14:paraId="090C74D9">
      <w:pPr>
        <w:spacing w:line="360" w:lineRule="auto"/>
        <w:rPr>
          <w:rFonts w:hint="eastAsia" w:ascii="仿宋" w:hAnsi="仿宋" w:eastAsia="仿宋" w:cs="仿宋"/>
          <w:color w:val="auto"/>
          <w:sz w:val="32"/>
          <w:szCs w:val="32"/>
        </w:rPr>
      </w:pPr>
    </w:p>
    <w:p w14:paraId="78C30787">
      <w:pPr>
        <w:spacing w:line="360" w:lineRule="auto"/>
        <w:rPr>
          <w:rFonts w:hint="eastAsia" w:ascii="仿宋" w:hAnsi="仿宋" w:eastAsia="仿宋" w:cs="仿宋"/>
          <w:color w:val="auto"/>
          <w:sz w:val="32"/>
          <w:szCs w:val="32"/>
        </w:rPr>
      </w:pPr>
    </w:p>
    <w:p w14:paraId="148C31B3">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第一部分     招标公告</w:t>
      </w:r>
    </w:p>
    <w:p w14:paraId="6813C0D6">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第二部分     投标人须知</w:t>
      </w:r>
    </w:p>
    <w:p w14:paraId="191B2D38">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第三部分     采购需求</w:t>
      </w:r>
    </w:p>
    <w:p w14:paraId="28474E5D">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第四部分     评标办法</w:t>
      </w:r>
    </w:p>
    <w:p w14:paraId="1E54B5E3">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第五部分     拟签订的合同文本</w:t>
      </w:r>
    </w:p>
    <w:p w14:paraId="405E0806">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第六部分     应提交的有关格式范例</w:t>
      </w:r>
    </w:p>
    <w:p w14:paraId="0004624D">
      <w:pPr>
        <w:spacing w:line="360" w:lineRule="auto"/>
        <w:ind w:firstLine="549" w:firstLineChars="229"/>
        <w:rPr>
          <w:rFonts w:hint="eastAsia" w:ascii="仿宋" w:hAnsi="仿宋" w:eastAsia="仿宋" w:cs="仿宋"/>
          <w:color w:val="auto"/>
          <w:sz w:val="24"/>
        </w:rPr>
      </w:pPr>
      <w:bookmarkStart w:id="1" w:name="_Hlt91233176"/>
      <w:bookmarkEnd w:id="1"/>
      <w:bookmarkStart w:id="2" w:name="_Toc91899869"/>
    </w:p>
    <w:p w14:paraId="18334E53">
      <w:pPr>
        <w:spacing w:line="360" w:lineRule="auto"/>
        <w:ind w:firstLine="549" w:firstLineChars="229"/>
        <w:rPr>
          <w:rFonts w:hint="eastAsia" w:ascii="仿宋" w:hAnsi="仿宋" w:eastAsia="仿宋" w:cs="仿宋"/>
          <w:color w:val="auto"/>
          <w:sz w:val="24"/>
        </w:rPr>
      </w:pPr>
    </w:p>
    <w:p w14:paraId="5562E50B">
      <w:pPr>
        <w:spacing w:line="360" w:lineRule="auto"/>
        <w:ind w:firstLine="549" w:firstLineChars="229"/>
        <w:rPr>
          <w:rFonts w:hint="eastAsia" w:ascii="仿宋" w:hAnsi="仿宋" w:eastAsia="仿宋" w:cs="仿宋"/>
          <w:color w:val="auto"/>
          <w:sz w:val="24"/>
        </w:rPr>
      </w:pPr>
    </w:p>
    <w:p w14:paraId="34A0C307">
      <w:pPr>
        <w:spacing w:line="360" w:lineRule="auto"/>
        <w:ind w:firstLine="549" w:firstLineChars="229"/>
        <w:rPr>
          <w:rFonts w:hint="eastAsia" w:ascii="仿宋" w:hAnsi="仿宋" w:eastAsia="仿宋" w:cs="仿宋"/>
          <w:color w:val="auto"/>
          <w:sz w:val="24"/>
        </w:rPr>
      </w:pPr>
    </w:p>
    <w:p w14:paraId="1B10F0C1">
      <w:pPr>
        <w:spacing w:line="360" w:lineRule="auto"/>
        <w:ind w:firstLine="549" w:firstLineChars="229"/>
        <w:rPr>
          <w:rFonts w:hint="eastAsia" w:ascii="仿宋" w:hAnsi="仿宋" w:eastAsia="仿宋" w:cs="仿宋"/>
          <w:color w:val="auto"/>
          <w:sz w:val="24"/>
        </w:rPr>
      </w:pPr>
    </w:p>
    <w:p w14:paraId="1A1F8D0C">
      <w:pPr>
        <w:spacing w:line="360" w:lineRule="auto"/>
        <w:ind w:firstLine="549" w:firstLineChars="229"/>
        <w:rPr>
          <w:rFonts w:hint="eastAsia" w:ascii="仿宋" w:hAnsi="仿宋" w:eastAsia="仿宋" w:cs="仿宋"/>
          <w:color w:val="auto"/>
          <w:sz w:val="24"/>
        </w:rPr>
      </w:pPr>
    </w:p>
    <w:p w14:paraId="60F30C60">
      <w:pPr>
        <w:spacing w:line="360" w:lineRule="auto"/>
        <w:ind w:firstLine="549" w:firstLineChars="229"/>
        <w:rPr>
          <w:rFonts w:hint="eastAsia" w:ascii="仿宋" w:hAnsi="仿宋" w:eastAsia="仿宋" w:cs="仿宋"/>
          <w:color w:val="auto"/>
          <w:sz w:val="24"/>
        </w:rPr>
      </w:pPr>
    </w:p>
    <w:p w14:paraId="2531F714">
      <w:pPr>
        <w:spacing w:line="360" w:lineRule="auto"/>
        <w:ind w:firstLine="549" w:firstLineChars="229"/>
        <w:rPr>
          <w:rFonts w:hint="eastAsia" w:ascii="仿宋" w:hAnsi="仿宋" w:eastAsia="仿宋" w:cs="仿宋"/>
          <w:color w:val="auto"/>
          <w:sz w:val="24"/>
        </w:rPr>
      </w:pPr>
    </w:p>
    <w:p w14:paraId="23B1880A">
      <w:pPr>
        <w:spacing w:line="360" w:lineRule="auto"/>
        <w:ind w:firstLine="549" w:firstLineChars="229"/>
        <w:rPr>
          <w:rFonts w:hint="eastAsia" w:ascii="仿宋" w:hAnsi="仿宋" w:eastAsia="仿宋" w:cs="仿宋"/>
          <w:color w:val="auto"/>
          <w:sz w:val="24"/>
        </w:rPr>
      </w:pPr>
    </w:p>
    <w:p w14:paraId="427314C5">
      <w:pPr>
        <w:spacing w:line="360" w:lineRule="auto"/>
        <w:ind w:firstLine="549" w:firstLineChars="229"/>
        <w:rPr>
          <w:rFonts w:hint="eastAsia" w:ascii="仿宋" w:hAnsi="仿宋" w:eastAsia="仿宋" w:cs="仿宋"/>
          <w:color w:val="auto"/>
          <w:sz w:val="24"/>
        </w:rPr>
      </w:pPr>
    </w:p>
    <w:p w14:paraId="52F78D87">
      <w:pPr>
        <w:spacing w:line="360" w:lineRule="auto"/>
        <w:ind w:firstLine="549" w:firstLineChars="229"/>
        <w:rPr>
          <w:rFonts w:hint="eastAsia" w:ascii="仿宋" w:hAnsi="仿宋" w:eastAsia="仿宋" w:cs="仿宋"/>
          <w:color w:val="auto"/>
          <w:sz w:val="24"/>
        </w:rPr>
      </w:pPr>
    </w:p>
    <w:p w14:paraId="0B525BC0">
      <w:pPr>
        <w:spacing w:line="360" w:lineRule="auto"/>
        <w:ind w:firstLine="549" w:firstLineChars="229"/>
        <w:rPr>
          <w:rFonts w:hint="eastAsia" w:ascii="仿宋" w:hAnsi="仿宋" w:eastAsia="仿宋" w:cs="仿宋"/>
          <w:color w:val="auto"/>
          <w:sz w:val="24"/>
        </w:rPr>
      </w:pPr>
    </w:p>
    <w:p w14:paraId="49E777EA">
      <w:pPr>
        <w:spacing w:line="360" w:lineRule="auto"/>
        <w:ind w:firstLine="549" w:firstLineChars="229"/>
        <w:rPr>
          <w:rFonts w:hint="eastAsia" w:ascii="仿宋" w:hAnsi="仿宋" w:eastAsia="仿宋" w:cs="仿宋"/>
          <w:color w:val="auto"/>
          <w:sz w:val="24"/>
        </w:rPr>
      </w:pPr>
    </w:p>
    <w:p w14:paraId="7E52FE5A">
      <w:pPr>
        <w:spacing w:line="360" w:lineRule="auto"/>
        <w:rPr>
          <w:rFonts w:hint="eastAsia" w:ascii="仿宋" w:hAnsi="仿宋" w:eastAsia="仿宋" w:cs="仿宋"/>
          <w:color w:val="auto"/>
          <w:sz w:val="24"/>
        </w:rPr>
      </w:pPr>
    </w:p>
    <w:p w14:paraId="15F22F2A">
      <w:pPr>
        <w:spacing w:line="360" w:lineRule="auto"/>
        <w:jc w:val="center"/>
        <w:outlineLvl w:val="0"/>
        <w:rPr>
          <w:rFonts w:hint="eastAsia" w:ascii="仿宋" w:hAnsi="仿宋" w:eastAsia="仿宋" w:cs="仿宋"/>
          <w:b/>
          <w:color w:val="auto"/>
          <w:sz w:val="36"/>
          <w:szCs w:val="20"/>
        </w:rPr>
      </w:pPr>
      <w:bookmarkStart w:id="3" w:name="第一部分"/>
      <w:r>
        <w:rPr>
          <w:rFonts w:hint="eastAsia" w:ascii="仿宋" w:hAnsi="仿宋" w:eastAsia="仿宋" w:cs="仿宋"/>
          <w:b/>
          <w:color w:val="auto"/>
          <w:sz w:val="36"/>
          <w:szCs w:val="36"/>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仿宋" w:hAnsi="仿宋" w:eastAsia="仿宋" w:cs="仿宋"/>
          <w:b/>
          <w:color w:val="auto"/>
          <w:sz w:val="36"/>
          <w:szCs w:val="20"/>
        </w:rPr>
        <w:t>第一部分  招标公告</w:t>
      </w:r>
    </w:p>
    <w:p w14:paraId="59084513">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color w:val="auto"/>
          <w:sz w:val="24"/>
        </w:rPr>
      </w:pPr>
      <w:r>
        <w:rPr>
          <w:rFonts w:hint="eastAsia" w:ascii="仿宋" w:hAnsi="仿宋" w:eastAsia="仿宋" w:cs="仿宋"/>
          <w:color w:val="auto"/>
          <w:sz w:val="24"/>
        </w:rPr>
        <w:t>项目概况：</w:t>
      </w:r>
    </w:p>
    <w:p w14:paraId="2F09E57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东港商务中心</w:t>
      </w:r>
      <w:r>
        <w:rPr>
          <w:rFonts w:hint="eastAsia" w:ascii="仿宋" w:hAnsi="仿宋" w:eastAsia="仿宋" w:cs="仿宋"/>
          <w:color w:val="auto"/>
          <w:sz w:val="24"/>
          <w:lang w:eastAsia="zh-CN"/>
        </w:rPr>
        <w:t>办公大楼物业管理服务</w:t>
      </w:r>
      <w:r>
        <w:rPr>
          <w:rFonts w:hint="eastAsia" w:ascii="仿宋" w:hAnsi="仿宋" w:eastAsia="仿宋" w:cs="仿宋"/>
          <w:color w:val="auto"/>
          <w:sz w:val="24"/>
        </w:rPr>
        <w:t>招标项目的潜在投标人应在政采云平台（https://www.zcygov.cn/）获取（下载）招标文件，并于202</w:t>
      </w:r>
      <w:r>
        <w:rPr>
          <w:rFonts w:hint="eastAsia" w:ascii="仿宋" w:hAnsi="仿宋" w:eastAsia="仿宋" w:cs="仿宋"/>
          <w:color w:val="auto"/>
          <w:sz w:val="24"/>
          <w:lang w:val="en-US" w:eastAsia="zh-CN"/>
        </w:rPr>
        <w:t>5</w:t>
      </w:r>
      <w:r>
        <w:rPr>
          <w:rFonts w:hint="eastAsia" w:ascii="仿宋" w:hAnsi="仿宋" w:eastAsia="仿宋" w:cs="仿宋"/>
          <w:color w:val="auto"/>
          <w:sz w:val="24"/>
        </w:rPr>
        <w:t>年</w:t>
      </w:r>
      <w:r>
        <w:rPr>
          <w:rFonts w:hint="eastAsia" w:ascii="仿宋" w:hAnsi="仿宋" w:eastAsia="仿宋" w:cs="仿宋"/>
          <w:color w:val="auto"/>
          <w:sz w:val="24"/>
          <w:lang w:val="en-US" w:eastAsia="zh-CN"/>
        </w:rPr>
        <w:t>5</w:t>
      </w:r>
      <w:r>
        <w:rPr>
          <w:rFonts w:hint="eastAsia" w:ascii="仿宋" w:hAnsi="仿宋" w:eastAsia="仿宋" w:cs="仿宋"/>
          <w:color w:val="auto"/>
          <w:sz w:val="24"/>
        </w:rPr>
        <w:t>月</w:t>
      </w:r>
      <w:r>
        <w:rPr>
          <w:rFonts w:hint="eastAsia" w:ascii="仿宋" w:hAnsi="仿宋" w:eastAsia="仿宋" w:cs="仿宋"/>
          <w:color w:val="auto"/>
          <w:sz w:val="24"/>
          <w:lang w:val="en-US" w:eastAsia="zh-CN"/>
        </w:rPr>
        <w:t>13日</w:t>
      </w:r>
      <w:r>
        <w:rPr>
          <w:rFonts w:hint="eastAsia" w:ascii="仿宋" w:hAnsi="仿宋" w:eastAsia="仿宋" w:cs="仿宋"/>
          <w:color w:val="auto"/>
          <w:sz w:val="24"/>
        </w:rPr>
        <w:t>09点00分00秒</w:t>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268573F4">
      <w:pPr>
        <w:spacing w:line="360" w:lineRule="auto"/>
        <w:rPr>
          <w:rFonts w:hint="eastAsia" w:ascii="仿宋" w:hAnsi="仿宋" w:eastAsia="仿宋" w:cs="仿宋"/>
          <w:color w:val="auto"/>
          <w:sz w:val="24"/>
        </w:rPr>
      </w:pPr>
    </w:p>
    <w:p w14:paraId="2A9E02DC">
      <w:pPr>
        <w:spacing w:line="360" w:lineRule="auto"/>
        <w:rPr>
          <w:rFonts w:hint="eastAsia" w:ascii="仿宋" w:hAnsi="仿宋" w:eastAsia="仿宋" w:cs="仿宋"/>
          <w:color w:val="auto"/>
          <w:sz w:val="24"/>
        </w:rPr>
      </w:pPr>
      <w:r>
        <w:rPr>
          <w:rFonts w:hint="eastAsia" w:ascii="仿宋" w:hAnsi="仿宋" w:eastAsia="仿宋" w:cs="仿宋"/>
          <w:b/>
          <w:color w:val="auto"/>
          <w:sz w:val="24"/>
        </w:rPr>
        <w:t xml:space="preserve">一、项目基本情况     </w:t>
      </w:r>
    </w:p>
    <w:p w14:paraId="58393A8A">
      <w:pPr>
        <w:pStyle w:val="10"/>
        <w:spacing w:line="360" w:lineRule="auto"/>
        <w:rPr>
          <w:rFonts w:hint="default" w:ascii="仿宋" w:hAnsi="仿宋" w:eastAsia="仿宋" w:cs="仿宋"/>
          <w:color w:val="auto"/>
          <w:sz w:val="24"/>
          <w:szCs w:val="24"/>
          <w:lang w:val="en-US" w:eastAsia="zh-CN"/>
        </w:rPr>
      </w:pPr>
      <w:r>
        <w:rPr>
          <w:rFonts w:hint="eastAsia" w:ascii="仿宋" w:hAnsi="仿宋" w:eastAsia="仿宋" w:cs="仿宋"/>
          <w:b/>
          <w:color w:val="auto"/>
          <w:sz w:val="24"/>
          <w:szCs w:val="24"/>
        </w:rPr>
        <w:t>项目编号：</w:t>
      </w:r>
      <w:r>
        <w:rPr>
          <w:rFonts w:hint="eastAsia" w:ascii="仿宋" w:hAnsi="仿宋" w:eastAsia="仿宋" w:cs="仿宋"/>
          <w:b/>
          <w:color w:val="auto"/>
          <w:sz w:val="24"/>
          <w:szCs w:val="24"/>
          <w:lang w:val="en-US" w:eastAsia="zh-CN"/>
        </w:rPr>
        <w:t>ZD20250009</w:t>
      </w:r>
    </w:p>
    <w:p w14:paraId="4D8B9901">
      <w:pPr>
        <w:pStyle w:val="10"/>
        <w:spacing w:line="360" w:lineRule="auto"/>
        <w:rPr>
          <w:rFonts w:hint="eastAsia" w:ascii="仿宋" w:hAnsi="仿宋" w:eastAsia="仿宋" w:cs="仿宋"/>
          <w:color w:val="auto"/>
          <w:sz w:val="24"/>
          <w:szCs w:val="24"/>
          <w:lang w:eastAsia="zh-CN"/>
        </w:rPr>
      </w:pPr>
      <w:r>
        <w:rPr>
          <w:rFonts w:hint="eastAsia" w:ascii="仿宋" w:hAnsi="仿宋" w:eastAsia="仿宋" w:cs="仿宋"/>
          <w:b/>
          <w:color w:val="auto"/>
          <w:sz w:val="24"/>
          <w:szCs w:val="24"/>
        </w:rPr>
        <w:t>项目名称：东港商务中心</w:t>
      </w:r>
      <w:r>
        <w:rPr>
          <w:rFonts w:hint="eastAsia" w:ascii="仿宋" w:hAnsi="仿宋" w:eastAsia="仿宋" w:cs="仿宋"/>
          <w:b/>
          <w:color w:val="auto"/>
          <w:sz w:val="24"/>
          <w:szCs w:val="24"/>
          <w:lang w:eastAsia="zh-CN"/>
        </w:rPr>
        <w:t>办公大楼物业管理服务</w:t>
      </w:r>
    </w:p>
    <w:p w14:paraId="235C5309">
      <w:pPr>
        <w:spacing w:line="360" w:lineRule="auto"/>
        <w:rPr>
          <w:rFonts w:hint="default" w:ascii="仿宋" w:hAnsi="仿宋" w:eastAsia="仿宋" w:cs="仿宋"/>
          <w:b/>
          <w:color w:val="auto"/>
          <w:sz w:val="24"/>
          <w:lang w:val="en-US"/>
        </w:rPr>
      </w:pPr>
      <w:r>
        <w:rPr>
          <w:rFonts w:hint="eastAsia" w:ascii="仿宋" w:hAnsi="仿宋" w:eastAsia="仿宋" w:cs="仿宋"/>
          <w:b/>
          <w:color w:val="auto"/>
          <w:sz w:val="24"/>
        </w:rPr>
        <w:t>预算金额（元）：</w:t>
      </w:r>
      <w:r>
        <w:rPr>
          <w:rFonts w:hint="eastAsia" w:ascii="仿宋" w:hAnsi="仿宋" w:eastAsia="仿宋" w:cs="仿宋"/>
          <w:color w:val="auto"/>
          <w:sz w:val="24"/>
          <w:lang w:val="en-US" w:eastAsia="zh-CN"/>
        </w:rPr>
        <w:t>26700000</w:t>
      </w:r>
    </w:p>
    <w:p w14:paraId="68FC6F88">
      <w:pPr>
        <w:spacing w:line="360" w:lineRule="auto"/>
        <w:rPr>
          <w:rFonts w:hint="default" w:ascii="仿宋" w:hAnsi="仿宋" w:eastAsia="仿宋" w:cs="仿宋"/>
          <w:b/>
          <w:color w:val="auto"/>
          <w:sz w:val="24"/>
          <w:lang w:val="en-US"/>
        </w:rPr>
      </w:pPr>
      <w:r>
        <w:rPr>
          <w:rFonts w:hint="eastAsia" w:ascii="仿宋" w:hAnsi="仿宋" w:eastAsia="仿宋" w:cs="仿宋"/>
          <w:b/>
          <w:color w:val="auto"/>
          <w:sz w:val="24"/>
        </w:rPr>
        <w:t>最高限价（元）：</w:t>
      </w:r>
      <w:r>
        <w:rPr>
          <w:rFonts w:hint="eastAsia" w:ascii="仿宋" w:hAnsi="仿宋" w:eastAsia="仿宋" w:cs="仿宋"/>
          <w:color w:val="auto"/>
          <w:sz w:val="24"/>
          <w:lang w:val="en-US" w:eastAsia="zh-CN"/>
        </w:rPr>
        <w:t>26700000</w:t>
      </w:r>
    </w:p>
    <w:p w14:paraId="6E68B97F">
      <w:pPr>
        <w:widowControl/>
        <w:spacing w:line="360" w:lineRule="auto"/>
        <w:jc w:val="left"/>
        <w:rPr>
          <w:rFonts w:hint="eastAsia" w:ascii="仿宋" w:hAnsi="仿宋" w:eastAsia="仿宋" w:cs="仿宋"/>
          <w:color w:val="auto"/>
          <w:sz w:val="24"/>
        </w:rPr>
      </w:pPr>
      <w:r>
        <w:rPr>
          <w:rFonts w:hint="eastAsia" w:ascii="仿宋" w:hAnsi="仿宋" w:eastAsia="仿宋" w:cs="仿宋"/>
          <w:b/>
          <w:color w:val="auto"/>
          <w:sz w:val="24"/>
        </w:rPr>
        <w:t>采购需求：</w:t>
      </w:r>
      <w:r>
        <w:rPr>
          <w:rFonts w:hint="eastAsia" w:ascii="仿宋" w:hAnsi="仿宋" w:eastAsia="仿宋" w:cs="仿宋"/>
          <w:color w:val="auto"/>
          <w:sz w:val="24"/>
        </w:rPr>
        <w:t>详见招标文件第三部分采购需求</w:t>
      </w:r>
    </w:p>
    <w:p w14:paraId="0D5BC5F1">
      <w:pPr>
        <w:spacing w:line="360" w:lineRule="auto"/>
        <w:rPr>
          <w:rFonts w:hint="eastAsia" w:ascii="仿宋" w:hAnsi="仿宋" w:eastAsia="仿宋" w:cs="仿宋"/>
          <w:color w:val="auto"/>
          <w:sz w:val="24"/>
          <w:lang w:eastAsia="zh-CN"/>
        </w:rPr>
      </w:pPr>
      <w:r>
        <w:rPr>
          <w:rFonts w:hint="eastAsia" w:ascii="仿宋" w:hAnsi="仿宋" w:eastAsia="仿宋" w:cs="仿宋"/>
          <w:b/>
          <w:snapToGrid w:val="0"/>
          <w:color w:val="auto"/>
          <w:kern w:val="28"/>
          <w:sz w:val="24"/>
        </w:rPr>
        <w:t>合同履约期限：</w:t>
      </w:r>
      <w:r>
        <w:rPr>
          <w:rFonts w:hint="eastAsia" w:ascii="仿宋" w:hAnsi="仿宋" w:eastAsia="仿宋" w:cs="仿宋"/>
          <w:color w:val="auto"/>
          <w:sz w:val="24"/>
          <w:lang w:eastAsia="zh-CN"/>
        </w:rPr>
        <w:t>三年。首次合同签订为一年（预算</w:t>
      </w:r>
      <w:r>
        <w:rPr>
          <w:rFonts w:hint="eastAsia" w:ascii="仿宋" w:hAnsi="仿宋" w:eastAsia="仿宋" w:cs="仿宋"/>
          <w:color w:val="auto"/>
          <w:sz w:val="24"/>
          <w:lang w:val="en-US" w:eastAsia="zh-CN"/>
        </w:rPr>
        <w:t>890万/年</w:t>
      </w:r>
      <w:r>
        <w:rPr>
          <w:rFonts w:hint="eastAsia" w:ascii="仿宋" w:hAnsi="仿宋" w:eastAsia="仿宋" w:cs="仿宋"/>
          <w:color w:val="auto"/>
          <w:sz w:val="24"/>
          <w:lang w:eastAsia="zh-CN"/>
        </w:rPr>
        <w:t>），合同到期后，满意度达到要求水平，经甲乙双方协商及有关部门同意可以续签，续签须保证原合同内容不变，</w:t>
      </w:r>
      <w:r>
        <w:rPr>
          <w:rFonts w:hint="eastAsia" w:ascii="仿宋" w:hAnsi="仿宋" w:eastAsia="仿宋" w:cs="仿宋"/>
          <w:color w:val="auto"/>
          <w:sz w:val="24"/>
          <w:lang w:val="en-US" w:eastAsia="zh-CN"/>
        </w:rPr>
        <w:t>续签</w:t>
      </w:r>
      <w:r>
        <w:rPr>
          <w:rFonts w:hint="eastAsia" w:ascii="仿宋" w:hAnsi="仿宋" w:eastAsia="仿宋" w:cs="仿宋"/>
          <w:color w:val="auto"/>
          <w:sz w:val="24"/>
          <w:lang w:eastAsia="zh-CN"/>
        </w:rPr>
        <w:t>时间为二年。具体按招标文件要求执行。</w:t>
      </w:r>
    </w:p>
    <w:p w14:paraId="656C5A28">
      <w:pPr>
        <w:widowControl/>
        <w:spacing w:line="360" w:lineRule="auto"/>
        <w:jc w:val="left"/>
        <w:rPr>
          <w:rFonts w:hint="eastAsia" w:ascii="仿宋" w:hAnsi="仿宋" w:eastAsia="仿宋" w:cs="仿宋"/>
          <w:color w:val="auto"/>
          <w:sz w:val="24"/>
        </w:rPr>
      </w:pPr>
      <w:r>
        <w:rPr>
          <w:rFonts w:hint="eastAsia" w:ascii="仿宋" w:hAnsi="仿宋" w:eastAsia="仿宋" w:cs="仿宋"/>
          <w:b/>
          <w:color w:val="auto"/>
          <w:sz w:val="24"/>
        </w:rPr>
        <w:t>本项目接受联合体投标：</w:t>
      </w:r>
      <w:sdt>
        <w:sdtPr>
          <w:rPr>
            <w:rFonts w:hint="eastAsia" w:ascii="仿宋" w:hAnsi="仿宋" w:eastAsia="仿宋" w:cs="仿宋"/>
            <w:color w:val="auto"/>
            <w:kern w:val="0"/>
            <w:sz w:val="24"/>
          </w:rPr>
          <w:id w:val="1031526783"/>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2" w:char="0052"/>
          </w:r>
        </w:sdtContent>
      </w:sdt>
      <w:r>
        <w:rPr>
          <w:rFonts w:hint="eastAsia" w:ascii="仿宋" w:hAnsi="仿宋" w:eastAsia="仿宋" w:cs="仿宋"/>
          <w:b/>
          <w:color w:val="auto"/>
          <w:sz w:val="24"/>
        </w:rPr>
        <w:t>是，</w:t>
      </w:r>
      <w:sdt>
        <w:sdtPr>
          <w:rPr>
            <w:rFonts w:hint="eastAsia" w:ascii="仿宋" w:hAnsi="仿宋" w:eastAsia="仿宋" w:cs="仿宋"/>
            <w:color w:val="auto"/>
            <w:kern w:val="0"/>
            <w:sz w:val="24"/>
          </w:rPr>
          <w:id w:val="197262488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lang w:eastAsia="zh-CN"/>
            </w:rPr>
            <w:t>□</w:t>
          </w:r>
        </w:sdtContent>
      </w:sdt>
      <w:sdt>
        <w:sdtPr>
          <w:rPr>
            <w:rFonts w:hint="eastAsia" w:ascii="仿宋" w:hAnsi="仿宋" w:eastAsia="仿宋" w:cs="仿宋"/>
            <w:color w:val="auto"/>
            <w:kern w:val="0"/>
            <w:sz w:val="24"/>
          </w:rPr>
          <w:id w:val="1495689818"/>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1386227328"/>
              <w:showingPlcHdr/>
            </w:sdtPr>
            <w:sdtEndPr>
              <w:rPr>
                <w:rFonts w:hint="eastAsia" w:ascii="仿宋" w:hAnsi="仿宋" w:eastAsia="仿宋" w:cs="仿宋"/>
                <w:color w:val="auto"/>
                <w:kern w:val="0"/>
                <w:sz w:val="24"/>
              </w:rPr>
            </w:sdtEndPr>
            <w:sdtContent/>
          </w:sdt>
        </w:sdtContent>
      </w:sdt>
      <w:r>
        <w:rPr>
          <w:rFonts w:hint="eastAsia" w:ascii="仿宋" w:hAnsi="仿宋" w:eastAsia="仿宋" w:cs="仿宋"/>
          <w:b/>
          <w:color w:val="auto"/>
          <w:sz w:val="24"/>
        </w:rPr>
        <w:t>否</w:t>
      </w:r>
      <w:r>
        <w:rPr>
          <w:rFonts w:hint="eastAsia" w:ascii="仿宋" w:hAnsi="仿宋" w:eastAsia="仿宋" w:cs="仿宋"/>
          <w:color w:val="auto"/>
          <w:kern w:val="0"/>
          <w:sz w:val="24"/>
        </w:rPr>
        <w:t>。</w:t>
      </w:r>
    </w:p>
    <w:p w14:paraId="395CBF85">
      <w:pPr>
        <w:spacing w:line="360" w:lineRule="auto"/>
        <w:rPr>
          <w:rFonts w:hint="eastAsia" w:ascii="仿宋" w:hAnsi="仿宋" w:eastAsia="仿宋" w:cs="仿宋"/>
          <w:b/>
          <w:color w:val="auto"/>
          <w:sz w:val="24"/>
        </w:rPr>
      </w:pPr>
      <w:r>
        <w:rPr>
          <w:rFonts w:hint="eastAsia" w:ascii="仿宋" w:hAnsi="仿宋" w:eastAsia="仿宋" w:cs="仿宋"/>
          <w:b/>
          <w:color w:val="auto"/>
          <w:sz w:val="24"/>
        </w:rPr>
        <w:t>二、申请人的资格要求</w:t>
      </w:r>
    </w:p>
    <w:p w14:paraId="0D4D6003">
      <w:pPr>
        <w:spacing w:line="360" w:lineRule="auto"/>
        <w:ind w:firstLine="480"/>
        <w:rPr>
          <w:rFonts w:hint="eastAsia" w:ascii="仿宋" w:hAnsi="仿宋" w:eastAsia="仿宋" w:cs="仿宋"/>
          <w:color w:val="auto"/>
          <w:sz w:val="24"/>
        </w:rPr>
      </w:pPr>
      <w:r>
        <w:rPr>
          <w:rFonts w:hint="eastAsia" w:ascii="仿宋" w:hAnsi="仿宋" w:eastAsia="仿宋" w:cs="仿宋"/>
          <w:snapToGrid w:val="0"/>
          <w:color w:val="auto"/>
          <w:kern w:val="28"/>
          <w:sz w:val="24"/>
          <w:szCs w:val="20"/>
        </w:rPr>
        <w:t>1.</w:t>
      </w:r>
      <w:r>
        <w:rPr>
          <w:rFonts w:hint="eastAsia" w:ascii="仿宋" w:hAnsi="仿宋" w:eastAsia="仿宋" w:cs="仿宋"/>
          <w:color w:val="auto"/>
        </w:rPr>
        <w:t xml:space="preserve"> </w:t>
      </w:r>
      <w:r>
        <w:rPr>
          <w:rFonts w:hint="eastAsia" w:ascii="仿宋" w:hAnsi="仿宋" w:eastAsia="仿宋" w:cs="仿宋"/>
          <w:color w:val="auto"/>
          <w:sz w:val="24"/>
        </w:rPr>
        <w:t>满足《中华人民共和国政府采购法》第二十二条规定；未被“信用中国”（www.creditchina.gov.cn)、中国政府采购网（www.ccgp.gov.cn）列入失信被执行人、重大税收违法失信主体、政府采购严重违法失信行为记录名单；</w:t>
      </w:r>
    </w:p>
    <w:p w14:paraId="2338B8BA">
      <w:pPr>
        <w:spacing w:line="360" w:lineRule="auto"/>
        <w:ind w:firstLine="480" w:firstLineChars="200"/>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2.以联合体形式投标的，提供联合协议(本项目不接受联合体投标或者投标人不以联合体形式投标的，则不需要提供) ；</w:t>
      </w:r>
    </w:p>
    <w:p w14:paraId="6E021B8A">
      <w:pPr>
        <w:spacing w:line="360" w:lineRule="auto"/>
        <w:ind w:firstLine="480" w:firstLineChars="200"/>
        <w:rPr>
          <w:rFonts w:hint="eastAsia" w:ascii="仿宋" w:hAnsi="仿宋" w:eastAsia="仿宋" w:cs="仿宋"/>
          <w:color w:val="auto"/>
          <w:sz w:val="24"/>
        </w:rPr>
      </w:pPr>
      <w:r>
        <w:rPr>
          <w:rFonts w:hint="eastAsia" w:ascii="仿宋" w:hAnsi="仿宋" w:eastAsia="仿宋" w:cs="仿宋"/>
          <w:snapToGrid w:val="0"/>
          <w:color w:val="auto"/>
          <w:kern w:val="28"/>
          <w:sz w:val="24"/>
          <w:szCs w:val="20"/>
        </w:rPr>
        <w:t>3.</w:t>
      </w:r>
      <w:r>
        <w:rPr>
          <w:rFonts w:hint="eastAsia" w:ascii="仿宋" w:hAnsi="仿宋" w:eastAsia="仿宋" w:cs="仿宋"/>
          <w:color w:val="auto"/>
          <w:sz w:val="24"/>
        </w:rPr>
        <w:t>落实政府采购政策需满足的资格要求：</w:t>
      </w:r>
    </w:p>
    <w:p w14:paraId="6297B128">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147452613"/>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lang w:eastAsia="zh-CN"/>
            </w:rPr>
            <w:t>☑</w:t>
          </w:r>
        </w:sdtContent>
      </w:sdt>
      <w:sdt>
        <w:sdtPr>
          <w:rPr>
            <w:rFonts w:hint="eastAsia" w:ascii="仿宋" w:hAnsi="仿宋" w:eastAsia="仿宋" w:cs="仿宋"/>
            <w:color w:val="auto"/>
            <w:kern w:val="0"/>
            <w:sz w:val="24"/>
          </w:rPr>
          <w:id w:val="147461036"/>
          <w:showingPlcHdr/>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lang w:eastAsia="zh-CN"/>
            </w:rPr>
            <w:t xml:space="preserve">     </w:t>
          </w:r>
        </w:sdtContent>
      </w:sdt>
      <w:sdt>
        <w:sdtPr>
          <w:rPr>
            <w:rFonts w:hint="eastAsia" w:ascii="仿宋" w:hAnsi="仿宋" w:eastAsia="仿宋" w:cs="仿宋"/>
            <w:color w:val="auto"/>
            <w:sz w:val="24"/>
            <w:szCs w:val="21"/>
          </w:rPr>
          <w:id w:val="1928616923"/>
        </w:sdtPr>
        <w:sdtEndPr>
          <w:rPr>
            <w:rFonts w:hint="eastAsia" w:ascii="仿宋" w:hAnsi="仿宋" w:eastAsia="仿宋" w:cs="仿宋"/>
            <w:color w:val="auto"/>
            <w:sz w:val="24"/>
            <w:szCs w:val="21"/>
          </w:rPr>
        </w:sdtEndPr>
        <w:sdtContent>
          <w:sdt>
            <w:sdtPr>
              <w:rPr>
                <w:rFonts w:hint="eastAsia" w:ascii="仿宋" w:hAnsi="仿宋" w:eastAsia="仿宋" w:cs="仿宋"/>
                <w:color w:val="auto"/>
                <w:sz w:val="24"/>
                <w:szCs w:val="21"/>
              </w:rPr>
              <w:id w:val="4552814"/>
            </w:sdtPr>
            <w:sdtEndPr>
              <w:rPr>
                <w:rFonts w:hint="eastAsia" w:ascii="仿宋" w:hAnsi="仿宋" w:eastAsia="仿宋" w:cs="仿宋"/>
                <w:color w:val="auto"/>
                <w:sz w:val="24"/>
                <w:szCs w:val="21"/>
              </w:rPr>
            </w:sdtEndPr>
            <w:sdtContent/>
          </w:sdt>
        </w:sdtContent>
      </w:sdt>
      <w:r>
        <w:rPr>
          <w:rFonts w:hint="eastAsia" w:ascii="仿宋" w:hAnsi="仿宋" w:eastAsia="仿宋" w:cs="仿宋"/>
          <w:color w:val="auto"/>
          <w:sz w:val="24"/>
        </w:rPr>
        <w:t>无</w:t>
      </w:r>
    </w:p>
    <w:p w14:paraId="4F2BDAF8">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21502072"/>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4584651"/>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lang w:eastAsia="zh-CN"/>
                </w:rPr>
                <w:t>□</w:t>
              </w:r>
            </w:sdtContent>
          </w:sdt>
          <w:sdt>
            <w:sdtPr>
              <w:rPr>
                <w:rFonts w:hint="eastAsia" w:ascii="仿宋" w:hAnsi="仿宋" w:eastAsia="仿宋" w:cs="仿宋"/>
                <w:color w:val="auto"/>
                <w:kern w:val="0"/>
                <w:sz w:val="24"/>
              </w:rPr>
              <w:id w:val="4584652"/>
              <w:showingPlcHdr/>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lang w:eastAsia="zh-CN"/>
                </w:rPr>
                <w:t xml:space="preserve">     </w:t>
              </w:r>
            </w:sdtContent>
          </w:sdt>
        </w:sdtContent>
      </w:sdt>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0E8DD59B">
      <w:pPr>
        <w:spacing w:line="360" w:lineRule="auto"/>
        <w:ind w:firstLine="897" w:firstLineChars="374"/>
        <w:rPr>
          <w:rFonts w:hint="eastAsia" w:ascii="仿宋" w:hAnsi="仿宋" w:eastAsia="仿宋" w:cs="仿宋"/>
          <w:color w:val="auto"/>
          <w:sz w:val="24"/>
        </w:rPr>
      </w:pPr>
      <w:sdt>
        <w:sdtPr>
          <w:rPr>
            <w:rFonts w:hint="eastAsia" w:ascii="仿宋" w:hAnsi="仿宋" w:eastAsia="仿宋" w:cs="仿宋"/>
            <w:color w:val="auto"/>
            <w:kern w:val="0"/>
            <w:sz w:val="24"/>
          </w:rPr>
          <w:id w:val="21502073"/>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4584653"/>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lang w:eastAsia="zh-CN"/>
                </w:rPr>
                <w:t>□</w:t>
              </w:r>
            </w:sdtContent>
          </w:sdt>
          <w:sdt>
            <w:sdtPr>
              <w:rPr>
                <w:rFonts w:hint="eastAsia" w:ascii="仿宋" w:hAnsi="仿宋" w:eastAsia="仿宋" w:cs="仿宋"/>
                <w:color w:val="auto"/>
                <w:kern w:val="0"/>
                <w:sz w:val="24"/>
              </w:rPr>
              <w:id w:val="4584654"/>
              <w:showingPlcHdr/>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lang w:eastAsia="zh-CN"/>
                </w:rPr>
                <w:t xml:space="preserve">     </w:t>
              </w:r>
            </w:sdtContent>
          </w:sdt>
        </w:sdtContent>
      </w:sdt>
      <w:r>
        <w:rPr>
          <w:rFonts w:hint="eastAsia" w:ascii="仿宋" w:hAnsi="仿宋" w:eastAsia="仿宋" w:cs="仿宋"/>
          <w:color w:val="auto"/>
          <w:sz w:val="24"/>
        </w:rPr>
        <w:t>服务全部由符合政策要求的中小企业承接，提供中小企业声明函；</w:t>
      </w:r>
    </w:p>
    <w:p w14:paraId="5BE60EBD">
      <w:pPr>
        <w:spacing w:line="360" w:lineRule="auto"/>
        <w:ind w:firstLine="897" w:firstLineChars="374"/>
        <w:rPr>
          <w:rFonts w:hint="eastAsia" w:ascii="仿宋" w:hAnsi="仿宋" w:eastAsia="仿宋" w:cs="仿宋"/>
          <w:color w:val="auto"/>
          <w:sz w:val="24"/>
        </w:rPr>
      </w:pPr>
      <w:sdt>
        <w:sdtPr>
          <w:rPr>
            <w:rFonts w:hint="eastAsia" w:ascii="仿宋" w:hAnsi="仿宋" w:eastAsia="仿宋" w:cs="仿宋"/>
            <w:color w:val="auto"/>
            <w:kern w:val="0"/>
            <w:sz w:val="24"/>
          </w:rPr>
          <w:id w:val="21502074"/>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服务全部由符合政策要求的小微企业承接，提供中小企业声明函；</w:t>
      </w:r>
    </w:p>
    <w:p w14:paraId="7AED29F0">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2150207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%;如果供应商本身提供所有标的均由中小企业制造、承建或承接，视同符合了资格条件，无需再与其他中小企业组成联合体参加政府采购活动，无需提供联合协议；</w:t>
      </w:r>
    </w:p>
    <w:p w14:paraId="57506941">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3463064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要求合同分包，提供分包意向协议和中小企业声明函，分包意向协议中，中小微企业合同份额为合同总金额的</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%，如果供应商本身提供所有标的均由中小微企业制造、承建或承接，视同符合了资格条件，无需再向中小微企业分包，无需提供分包意向协议；</w:t>
      </w:r>
    </w:p>
    <w:p w14:paraId="0F561DF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4.本项目的特定资格要求：无；</w:t>
      </w:r>
    </w:p>
    <w:p w14:paraId="5DFE2427">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9858328">
      <w:pPr>
        <w:snapToGrid w:val="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 xml:space="preserve">三、获取招标文件 </w:t>
      </w:r>
    </w:p>
    <w:p w14:paraId="45DBCFD8">
      <w:pPr>
        <w:spacing w:line="360" w:lineRule="auto"/>
        <w:ind w:firstLine="361" w:firstLineChars="150"/>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8"/>
          <w:szCs w:val="28"/>
        </w:rPr>
        <w:t>/</w:t>
      </w:r>
      <w:r>
        <w:rPr>
          <w:rFonts w:hint="eastAsia" w:ascii="仿宋" w:hAnsi="仿宋" w:eastAsia="仿宋" w:cs="仿宋"/>
          <w:color w:val="auto"/>
          <w:sz w:val="24"/>
        </w:rPr>
        <w:t>至202</w:t>
      </w:r>
      <w:r>
        <w:rPr>
          <w:rFonts w:hint="eastAsia" w:ascii="仿宋" w:hAnsi="仿宋" w:eastAsia="仿宋" w:cs="仿宋"/>
          <w:color w:val="auto"/>
          <w:sz w:val="24"/>
          <w:lang w:val="en-US" w:eastAsia="zh-CN"/>
        </w:rPr>
        <w:t>5</w:t>
      </w:r>
      <w:r>
        <w:rPr>
          <w:rFonts w:hint="eastAsia" w:ascii="仿宋" w:hAnsi="仿宋" w:eastAsia="仿宋" w:cs="仿宋"/>
          <w:color w:val="auto"/>
          <w:sz w:val="24"/>
        </w:rPr>
        <w:t>年</w:t>
      </w:r>
      <w:r>
        <w:rPr>
          <w:rFonts w:hint="eastAsia" w:ascii="仿宋" w:hAnsi="仿宋" w:eastAsia="仿宋" w:cs="仿宋"/>
          <w:color w:val="auto"/>
          <w:sz w:val="24"/>
          <w:lang w:val="en-US" w:eastAsia="zh-CN"/>
        </w:rPr>
        <w:t>5</w:t>
      </w:r>
      <w:r>
        <w:rPr>
          <w:rFonts w:hint="eastAsia" w:ascii="仿宋" w:hAnsi="仿宋" w:eastAsia="仿宋" w:cs="仿宋"/>
          <w:color w:val="auto"/>
          <w:sz w:val="24"/>
        </w:rPr>
        <w:t>月</w:t>
      </w:r>
      <w:r>
        <w:rPr>
          <w:rFonts w:hint="eastAsia" w:ascii="仿宋" w:hAnsi="仿宋" w:eastAsia="仿宋" w:cs="仿宋"/>
          <w:color w:val="auto"/>
          <w:sz w:val="24"/>
          <w:lang w:val="en-US" w:eastAsia="zh-CN"/>
        </w:rPr>
        <w:t>13日</w:t>
      </w:r>
      <w:r>
        <w:rPr>
          <w:rFonts w:hint="eastAsia" w:ascii="仿宋" w:hAnsi="仿宋" w:eastAsia="仿宋" w:cs="仿宋"/>
          <w:color w:val="auto"/>
          <w:sz w:val="24"/>
        </w:rPr>
        <w:t xml:space="preserve"> ，每天上午00:00至12:00 ，下午12:00至23:59（北京时间，线上获取法定节假日均可，线下获取文件法定节假日除外的工作时间）</w:t>
      </w:r>
    </w:p>
    <w:p w14:paraId="2F2BAAB9">
      <w:pPr>
        <w:spacing w:line="360" w:lineRule="auto"/>
        <w:ind w:firstLine="361" w:firstLineChars="150"/>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政采云平台（https://www.zcygov.cn/）</w:t>
      </w:r>
    </w:p>
    <w:p w14:paraId="10391173">
      <w:pPr>
        <w:spacing w:line="360" w:lineRule="auto"/>
        <w:ind w:firstLine="354" w:firstLineChars="147"/>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197777D9">
      <w:pPr>
        <w:spacing w:line="360" w:lineRule="auto"/>
        <w:ind w:firstLine="354" w:firstLineChars="147"/>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0</w:t>
      </w:r>
    </w:p>
    <w:p w14:paraId="5509D5A3">
      <w:pPr>
        <w:snapToGrid w:val="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14:paraId="2B6E7E29">
      <w:pPr>
        <w:pStyle w:val="5"/>
        <w:spacing w:line="360" w:lineRule="auto"/>
        <w:ind w:firstLine="436" w:firstLineChars="181"/>
        <w:rPr>
          <w:rFonts w:hint="eastAsia" w:ascii="仿宋" w:hAnsi="仿宋" w:eastAsia="仿宋" w:cs="仿宋"/>
          <w:b/>
          <w:color w:val="auto"/>
          <w:sz w:val="24"/>
          <w:szCs w:val="24"/>
        </w:rPr>
      </w:pPr>
      <w:r>
        <w:rPr>
          <w:rFonts w:hint="eastAsia" w:ascii="仿宋" w:hAnsi="仿宋" w:eastAsia="仿宋" w:cs="仿宋"/>
          <w:b/>
          <w:color w:val="auto"/>
          <w:sz w:val="24"/>
          <w:szCs w:val="24"/>
        </w:rPr>
        <w:t>提交投标文件截止时间：</w:t>
      </w:r>
      <w:r>
        <w:rPr>
          <w:rFonts w:hint="eastAsia" w:ascii="仿宋" w:hAnsi="仿宋" w:eastAsia="仿宋" w:cs="仿宋"/>
          <w:color w:val="auto"/>
          <w:sz w:val="24"/>
        </w:rPr>
        <w:t>202</w:t>
      </w:r>
      <w:r>
        <w:rPr>
          <w:rFonts w:hint="eastAsia" w:ascii="仿宋" w:hAnsi="仿宋" w:eastAsia="仿宋" w:cs="仿宋"/>
          <w:color w:val="auto"/>
          <w:sz w:val="24"/>
          <w:lang w:val="en-US" w:eastAsia="zh-CN"/>
        </w:rPr>
        <w:t>5</w:t>
      </w:r>
      <w:r>
        <w:rPr>
          <w:rFonts w:hint="eastAsia" w:ascii="仿宋" w:hAnsi="仿宋" w:eastAsia="仿宋" w:cs="仿宋"/>
          <w:color w:val="auto"/>
          <w:sz w:val="24"/>
        </w:rPr>
        <w:t>年</w:t>
      </w:r>
      <w:r>
        <w:rPr>
          <w:rFonts w:hint="eastAsia" w:ascii="仿宋" w:hAnsi="仿宋" w:eastAsia="仿宋" w:cs="仿宋"/>
          <w:color w:val="auto"/>
          <w:sz w:val="24"/>
          <w:lang w:val="en-US" w:eastAsia="zh-CN"/>
        </w:rPr>
        <w:t>5</w:t>
      </w:r>
      <w:r>
        <w:rPr>
          <w:rFonts w:hint="eastAsia" w:ascii="仿宋" w:hAnsi="仿宋" w:eastAsia="仿宋" w:cs="仿宋"/>
          <w:color w:val="auto"/>
          <w:sz w:val="24"/>
        </w:rPr>
        <w:t>月</w:t>
      </w:r>
      <w:r>
        <w:rPr>
          <w:rFonts w:hint="eastAsia" w:ascii="仿宋" w:hAnsi="仿宋" w:eastAsia="仿宋" w:cs="仿宋"/>
          <w:color w:val="auto"/>
          <w:sz w:val="24"/>
          <w:lang w:val="en-US" w:eastAsia="zh-CN"/>
        </w:rPr>
        <w:t>13日</w:t>
      </w:r>
      <w:r>
        <w:rPr>
          <w:rFonts w:hint="eastAsia" w:ascii="仿宋" w:hAnsi="仿宋" w:eastAsia="仿宋" w:cs="仿宋"/>
          <w:color w:val="auto"/>
          <w:sz w:val="24"/>
          <w:szCs w:val="24"/>
        </w:rPr>
        <w:t xml:space="preserve"> 09:00:00（北京时间）</w:t>
      </w:r>
    </w:p>
    <w:p w14:paraId="07928D20">
      <w:pPr>
        <w:pStyle w:val="5"/>
        <w:spacing w:line="360" w:lineRule="auto"/>
        <w:ind w:firstLine="436" w:firstLineChars="181"/>
        <w:rPr>
          <w:rFonts w:hint="eastAsia" w:ascii="仿宋" w:hAnsi="仿宋" w:eastAsia="仿宋" w:cs="仿宋"/>
          <w:color w:val="auto"/>
          <w:sz w:val="24"/>
          <w:szCs w:val="24"/>
        </w:rPr>
      </w:pPr>
      <w:r>
        <w:rPr>
          <w:rFonts w:hint="eastAsia" w:ascii="仿宋" w:hAnsi="仿宋" w:eastAsia="仿宋" w:cs="仿宋"/>
          <w:b/>
          <w:color w:val="auto"/>
          <w:sz w:val="24"/>
          <w:szCs w:val="24"/>
        </w:rPr>
        <w:t>投标地点（网址）：</w:t>
      </w:r>
      <w:r>
        <w:rPr>
          <w:rFonts w:hint="eastAsia" w:ascii="仿宋" w:hAnsi="仿宋" w:eastAsia="仿宋" w:cs="仿宋"/>
          <w:color w:val="auto"/>
          <w:sz w:val="24"/>
          <w:szCs w:val="24"/>
        </w:rPr>
        <w:t>政采云平台（https://www.zcygov.cn/）</w:t>
      </w:r>
    </w:p>
    <w:p w14:paraId="030E35BA">
      <w:pPr>
        <w:pStyle w:val="5"/>
        <w:spacing w:line="360" w:lineRule="auto"/>
        <w:ind w:firstLine="436" w:firstLineChars="181"/>
        <w:rPr>
          <w:rFonts w:hint="eastAsia" w:ascii="仿宋" w:hAnsi="仿宋" w:eastAsia="仿宋" w:cs="仿宋"/>
          <w:b/>
          <w:color w:val="auto"/>
          <w:sz w:val="24"/>
          <w:szCs w:val="24"/>
        </w:rPr>
      </w:pPr>
      <w:r>
        <w:rPr>
          <w:rFonts w:hint="eastAsia" w:ascii="仿宋" w:hAnsi="仿宋" w:eastAsia="仿宋" w:cs="仿宋"/>
          <w:b/>
          <w:color w:val="auto"/>
          <w:sz w:val="24"/>
          <w:szCs w:val="24"/>
        </w:rPr>
        <w:t>开标时间：</w:t>
      </w:r>
      <w:r>
        <w:rPr>
          <w:rFonts w:hint="eastAsia" w:ascii="仿宋" w:hAnsi="仿宋" w:eastAsia="仿宋" w:cs="仿宋"/>
          <w:color w:val="auto"/>
          <w:sz w:val="24"/>
        </w:rPr>
        <w:t>202</w:t>
      </w:r>
      <w:r>
        <w:rPr>
          <w:rFonts w:hint="eastAsia" w:ascii="仿宋" w:hAnsi="仿宋" w:eastAsia="仿宋" w:cs="仿宋"/>
          <w:color w:val="auto"/>
          <w:sz w:val="24"/>
          <w:lang w:val="en-US" w:eastAsia="zh-CN"/>
        </w:rPr>
        <w:t>5</w:t>
      </w:r>
      <w:r>
        <w:rPr>
          <w:rFonts w:hint="eastAsia" w:ascii="仿宋" w:hAnsi="仿宋" w:eastAsia="仿宋" w:cs="仿宋"/>
          <w:color w:val="auto"/>
          <w:sz w:val="24"/>
        </w:rPr>
        <w:t>年</w:t>
      </w:r>
      <w:r>
        <w:rPr>
          <w:rFonts w:hint="eastAsia" w:ascii="仿宋" w:hAnsi="仿宋" w:eastAsia="仿宋" w:cs="仿宋"/>
          <w:color w:val="auto"/>
          <w:sz w:val="24"/>
          <w:lang w:val="en-US" w:eastAsia="zh-CN"/>
        </w:rPr>
        <w:t>5</w:t>
      </w:r>
      <w:r>
        <w:rPr>
          <w:rFonts w:hint="eastAsia" w:ascii="仿宋" w:hAnsi="仿宋" w:eastAsia="仿宋" w:cs="仿宋"/>
          <w:color w:val="auto"/>
          <w:sz w:val="24"/>
        </w:rPr>
        <w:t>月</w:t>
      </w:r>
      <w:r>
        <w:rPr>
          <w:rFonts w:hint="eastAsia" w:ascii="仿宋" w:hAnsi="仿宋" w:eastAsia="仿宋" w:cs="仿宋"/>
          <w:color w:val="auto"/>
          <w:sz w:val="24"/>
          <w:lang w:val="en-US" w:eastAsia="zh-CN"/>
        </w:rPr>
        <w:t>13日</w:t>
      </w:r>
      <w:r>
        <w:rPr>
          <w:rFonts w:hint="eastAsia" w:ascii="仿宋" w:hAnsi="仿宋" w:eastAsia="仿宋" w:cs="仿宋"/>
          <w:color w:val="auto"/>
          <w:sz w:val="24"/>
          <w:szCs w:val="24"/>
        </w:rPr>
        <w:t xml:space="preserve"> 09:00:00（北京时间）</w:t>
      </w:r>
    </w:p>
    <w:p w14:paraId="4AE9832B">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5BF9C157">
      <w:pPr>
        <w:snapToGrid w:val="0"/>
        <w:spacing w:line="360" w:lineRule="auto"/>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五、公告期限</w:t>
      </w:r>
    </w:p>
    <w:p w14:paraId="3ED11D6F">
      <w:pPr>
        <w:pStyle w:val="5"/>
        <w:spacing w:line="360" w:lineRule="auto"/>
        <w:ind w:firstLine="434" w:firstLineChars="181"/>
        <w:rPr>
          <w:rFonts w:hint="eastAsia" w:ascii="仿宋" w:hAnsi="仿宋" w:eastAsia="仿宋" w:cs="仿宋"/>
          <w:color w:val="auto"/>
          <w:sz w:val="24"/>
          <w:szCs w:val="24"/>
        </w:rPr>
      </w:pPr>
      <w:r>
        <w:rPr>
          <w:rFonts w:hint="eastAsia" w:ascii="仿宋" w:hAnsi="仿宋" w:eastAsia="仿宋" w:cs="仿宋"/>
          <w:color w:val="auto"/>
          <w:sz w:val="24"/>
          <w:szCs w:val="24"/>
        </w:rPr>
        <w:t>自本公告发布之日起5个工作日。</w:t>
      </w:r>
    </w:p>
    <w:p w14:paraId="6BD8C66B">
      <w:pPr>
        <w:snapToGrid w:val="0"/>
        <w:spacing w:line="360" w:lineRule="auto"/>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六、其他补充事宜</w:t>
      </w:r>
    </w:p>
    <w:p w14:paraId="7D38486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C50F63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0EF1CF6F">
      <w:pPr>
        <w:snapToGrid w:val="0"/>
        <w:spacing w:line="360" w:lineRule="auto"/>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七、对本次采购提出询问、质疑、投诉，请按以下方式联系</w:t>
      </w:r>
    </w:p>
    <w:p w14:paraId="7E6FFD30">
      <w:pPr>
        <w:snapToGrid w:val="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1.采购人信息</w:t>
      </w:r>
    </w:p>
    <w:p w14:paraId="4D13A546">
      <w:pPr>
        <w:spacing w:line="360" w:lineRule="auto"/>
        <w:ind w:firstLine="465"/>
        <w:rPr>
          <w:rFonts w:hint="eastAsia" w:ascii="仿宋" w:hAnsi="仿宋" w:eastAsia="仿宋" w:cs="仿宋"/>
          <w:snapToGrid w:val="0"/>
          <w:color w:val="auto"/>
          <w:sz w:val="24"/>
        </w:rPr>
      </w:pPr>
      <w:r>
        <w:rPr>
          <w:rFonts w:hint="eastAsia" w:ascii="仿宋" w:hAnsi="仿宋" w:eastAsia="仿宋" w:cs="仿宋"/>
          <w:snapToGrid w:val="0"/>
          <w:color w:val="auto"/>
          <w:sz w:val="24"/>
        </w:rPr>
        <w:t>名    称：</w:t>
      </w:r>
      <w:r>
        <w:rPr>
          <w:rFonts w:hint="eastAsia" w:ascii="仿宋" w:hAnsi="仿宋" w:eastAsia="仿宋" w:cs="仿宋"/>
          <w:color w:val="auto"/>
          <w:sz w:val="24"/>
          <w:highlight w:val="none"/>
        </w:rPr>
        <w:t>舟山市普陀区</w:t>
      </w:r>
      <w:r>
        <w:rPr>
          <w:rFonts w:hint="eastAsia" w:ascii="仿宋" w:hAnsi="仿宋" w:eastAsia="仿宋" w:cs="仿宋"/>
          <w:color w:val="auto"/>
          <w:sz w:val="24"/>
          <w:highlight w:val="none"/>
          <w:lang w:eastAsia="zh-CN"/>
        </w:rPr>
        <w:t>机关事务管理中心</w:t>
      </w:r>
    </w:p>
    <w:p w14:paraId="7EE07971">
      <w:pPr>
        <w:spacing w:line="360" w:lineRule="auto"/>
        <w:ind w:firstLine="465"/>
        <w:rPr>
          <w:rFonts w:hint="eastAsia"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rPr>
        <w:t>地    址：</w:t>
      </w:r>
      <w:r>
        <w:rPr>
          <w:rFonts w:hint="eastAsia" w:ascii="仿宋" w:hAnsi="仿宋" w:eastAsia="仿宋" w:cs="仿宋"/>
          <w:snapToGrid w:val="0"/>
          <w:color w:val="auto"/>
          <w:sz w:val="24"/>
          <w:lang w:val="en-US" w:eastAsia="zh-CN"/>
        </w:rPr>
        <w:t xml:space="preserve"> </w:t>
      </w:r>
    </w:p>
    <w:p w14:paraId="1959C016">
      <w:pPr>
        <w:spacing w:line="360" w:lineRule="auto"/>
        <w:ind w:firstLine="480"/>
        <w:rPr>
          <w:rFonts w:hint="eastAsia" w:ascii="仿宋" w:hAnsi="仿宋" w:eastAsia="仿宋" w:cs="仿宋"/>
          <w:snapToGrid w:val="0"/>
          <w:color w:val="auto"/>
          <w:sz w:val="24"/>
        </w:rPr>
      </w:pPr>
      <w:r>
        <w:rPr>
          <w:rFonts w:hint="eastAsia" w:ascii="仿宋" w:hAnsi="仿宋" w:eastAsia="仿宋" w:cs="仿宋"/>
          <w:snapToGrid w:val="0"/>
          <w:color w:val="auto"/>
          <w:sz w:val="24"/>
        </w:rPr>
        <w:t>传    真：/</w:t>
      </w:r>
    </w:p>
    <w:p w14:paraId="56DE7060">
      <w:pPr>
        <w:spacing w:line="360" w:lineRule="auto"/>
        <w:ind w:firstLine="465"/>
        <w:rPr>
          <w:rFonts w:hint="eastAsia" w:ascii="仿宋" w:hAnsi="仿宋" w:eastAsia="仿宋" w:cs="仿宋"/>
          <w:snapToGrid w:val="0"/>
          <w:color w:val="auto"/>
          <w:sz w:val="24"/>
          <w:lang w:val="en-US" w:eastAsia="zh-CN"/>
        </w:rPr>
      </w:pPr>
      <w:r>
        <w:rPr>
          <w:rFonts w:hint="eastAsia" w:ascii="仿宋" w:hAnsi="仿宋" w:eastAsia="仿宋" w:cs="仿宋"/>
          <w:snapToGrid w:val="0"/>
          <w:color w:val="auto"/>
          <w:sz w:val="24"/>
          <w:szCs w:val="24"/>
        </w:rPr>
        <w:t>项目联系人（询问）：</w:t>
      </w:r>
      <w:r>
        <w:rPr>
          <w:rFonts w:hint="eastAsia" w:ascii="仿宋" w:hAnsi="仿宋" w:eastAsia="仿宋" w:cs="仿宋"/>
          <w:snapToGrid w:val="0"/>
          <w:color w:val="auto"/>
          <w:sz w:val="24"/>
          <w:lang w:val="en-US" w:eastAsia="zh-CN"/>
        </w:rPr>
        <w:t xml:space="preserve"> 刘女士</w:t>
      </w:r>
    </w:p>
    <w:p w14:paraId="096CF700">
      <w:pPr>
        <w:spacing w:line="360" w:lineRule="auto"/>
        <w:ind w:firstLine="465"/>
        <w:rPr>
          <w:rFonts w:hint="default"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rPr>
        <w:t>项目联系方式（询问）：</w:t>
      </w:r>
      <w:r>
        <w:rPr>
          <w:rFonts w:hint="eastAsia" w:ascii="仿宋" w:hAnsi="仿宋" w:eastAsia="仿宋" w:cs="仿宋"/>
          <w:snapToGrid w:val="0"/>
          <w:color w:val="auto"/>
          <w:sz w:val="24"/>
          <w:szCs w:val="24"/>
          <w:lang w:val="en-US" w:eastAsia="zh-CN"/>
        </w:rPr>
        <w:t>0580-3052660</w:t>
      </w:r>
    </w:p>
    <w:p w14:paraId="4B7EBFB5">
      <w:pPr>
        <w:spacing w:line="360" w:lineRule="auto"/>
        <w:ind w:firstLine="465"/>
        <w:rPr>
          <w:rFonts w:hint="eastAsia"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rPr>
        <w:t>质疑联系人：</w:t>
      </w:r>
      <w:r>
        <w:rPr>
          <w:rFonts w:hint="eastAsia" w:ascii="仿宋" w:hAnsi="仿宋" w:eastAsia="仿宋" w:cs="仿宋"/>
          <w:snapToGrid w:val="0"/>
          <w:color w:val="auto"/>
          <w:sz w:val="24"/>
          <w:szCs w:val="24"/>
          <w:lang w:val="en-US" w:eastAsia="zh-CN"/>
        </w:rPr>
        <w:t xml:space="preserve"> 袁女士</w:t>
      </w:r>
    </w:p>
    <w:p w14:paraId="6ED6E1C0">
      <w:pPr>
        <w:spacing w:line="360" w:lineRule="auto"/>
        <w:ind w:firstLine="465"/>
        <w:rPr>
          <w:rFonts w:hint="eastAsia" w:ascii="仿宋" w:hAnsi="仿宋" w:eastAsia="仿宋" w:cs="仿宋"/>
          <w:snapToGrid w:val="0"/>
          <w:color w:val="auto"/>
          <w:sz w:val="24"/>
          <w:szCs w:val="24"/>
          <w:lang w:eastAsia="zh-CN"/>
        </w:rPr>
      </w:pPr>
      <w:r>
        <w:rPr>
          <w:rFonts w:hint="eastAsia" w:ascii="仿宋" w:hAnsi="仿宋" w:eastAsia="仿宋" w:cs="仿宋"/>
          <w:snapToGrid w:val="0"/>
          <w:color w:val="auto"/>
          <w:sz w:val="24"/>
          <w:szCs w:val="24"/>
        </w:rPr>
        <w:t>质疑联系方式：0580-3069751</w:t>
      </w:r>
      <w:bookmarkStart w:id="420" w:name="_GoBack"/>
      <w:bookmarkEnd w:id="420"/>
    </w:p>
    <w:p w14:paraId="21CB041E">
      <w:pPr>
        <w:spacing w:line="360" w:lineRule="auto"/>
        <w:ind w:firstLine="480"/>
        <w:rPr>
          <w:rFonts w:hint="eastAsia" w:ascii="仿宋" w:hAnsi="仿宋" w:eastAsia="仿宋" w:cs="仿宋"/>
          <w:b/>
          <w:color w:val="auto"/>
          <w:sz w:val="24"/>
        </w:rPr>
      </w:pPr>
      <w:r>
        <w:rPr>
          <w:rFonts w:hint="eastAsia" w:ascii="仿宋" w:hAnsi="仿宋" w:eastAsia="仿宋" w:cs="仿宋"/>
          <w:b/>
          <w:color w:val="auto"/>
          <w:sz w:val="24"/>
        </w:rPr>
        <w:t>2.采购代理机构信息</w:t>
      </w:r>
    </w:p>
    <w:p w14:paraId="27973079">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名    称：舟山市公共资源交易中心普陀区分中心。</w:t>
      </w:r>
    </w:p>
    <w:p w14:paraId="3DF62EBC">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地    址：舟山市普陀区东港街道昌正街169号东港商务中心6号楼406室</w:t>
      </w:r>
    </w:p>
    <w:p w14:paraId="1D750EDF">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传    真：/</w:t>
      </w:r>
    </w:p>
    <w:p w14:paraId="64D930FD">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项目联系人（询问）：毛女士</w:t>
      </w:r>
    </w:p>
    <w:p w14:paraId="44810FB6">
      <w:pPr>
        <w:spacing w:line="360" w:lineRule="auto"/>
        <w:ind w:firstLine="465"/>
        <w:rPr>
          <w:rFonts w:hint="eastAsia" w:ascii="仿宋" w:hAnsi="仿宋" w:eastAsia="仿宋" w:cs="仿宋"/>
          <w:bCs/>
          <w:snapToGrid w:val="0"/>
          <w:color w:val="auto"/>
          <w:kern w:val="28"/>
          <w:sz w:val="24"/>
        </w:rPr>
      </w:pPr>
      <w:r>
        <w:rPr>
          <w:rFonts w:hint="eastAsia" w:ascii="仿宋" w:hAnsi="仿宋" w:eastAsia="仿宋" w:cs="仿宋"/>
          <w:color w:val="auto"/>
          <w:sz w:val="24"/>
        </w:rPr>
        <w:t>项目联系方式（询问）：0580-3019213</w:t>
      </w:r>
    </w:p>
    <w:p w14:paraId="6FC47033">
      <w:pPr>
        <w:spacing w:line="360" w:lineRule="auto"/>
        <w:rPr>
          <w:rFonts w:hint="default" w:ascii="仿宋" w:hAnsi="仿宋" w:eastAsia="仿宋" w:cs="仿宋"/>
          <w:color w:val="auto"/>
          <w:sz w:val="24"/>
          <w:lang w:val="en-US" w:eastAsia="zh-CN"/>
        </w:rPr>
      </w:pPr>
      <w:r>
        <w:rPr>
          <w:rFonts w:hint="eastAsia" w:ascii="仿宋" w:hAnsi="仿宋" w:eastAsia="仿宋" w:cs="仿宋"/>
          <w:color w:val="auto"/>
          <w:sz w:val="24"/>
        </w:rPr>
        <w:t xml:space="preserve">    质疑联系人：</w:t>
      </w:r>
      <w:r>
        <w:rPr>
          <w:rFonts w:hint="eastAsia" w:ascii="仿宋" w:hAnsi="仿宋" w:eastAsia="仿宋" w:cs="仿宋"/>
          <w:color w:val="auto"/>
          <w:sz w:val="24"/>
          <w:lang w:val="en-US" w:eastAsia="zh-CN"/>
        </w:rPr>
        <w:t>康先生</w:t>
      </w:r>
    </w:p>
    <w:p w14:paraId="12D25BC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质疑联系方式：0580-</w:t>
      </w:r>
      <w:r>
        <w:rPr>
          <w:rFonts w:hint="eastAsia" w:ascii="仿宋" w:hAnsi="仿宋" w:eastAsia="仿宋" w:cs="仿宋"/>
          <w:color w:val="auto"/>
          <w:sz w:val="24"/>
          <w:lang w:val="en-US" w:eastAsia="zh-CN"/>
        </w:rPr>
        <w:t>3823025</w:t>
      </w:r>
    </w:p>
    <w:p w14:paraId="2490BA3C">
      <w:pPr>
        <w:snapToGrid w:val="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3.同级政府采购监督管理部门</w:t>
      </w:r>
    </w:p>
    <w:p w14:paraId="2FBA377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名  称：舟山市普陀区财政局</w:t>
      </w:r>
    </w:p>
    <w:p w14:paraId="327C7E04">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地  址：舟山市普陀区东港街道昌正街169号东港商务中心3号楼东314室</w:t>
      </w:r>
    </w:p>
    <w:p w14:paraId="44FA46D7">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 xml:space="preserve">  联系人 ：徐女士</w:t>
      </w:r>
    </w:p>
    <w:p w14:paraId="0DCE5CF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监督投诉电话：0580-3062899</w:t>
      </w:r>
    </w:p>
    <w:p w14:paraId="32094E25">
      <w:pPr>
        <w:spacing w:line="360" w:lineRule="auto"/>
        <w:ind w:firstLine="480" w:firstLineChars="200"/>
        <w:rPr>
          <w:rFonts w:hint="eastAsia" w:ascii="仿宋" w:hAnsi="仿宋" w:eastAsia="仿宋" w:cs="仿宋"/>
          <w:color w:val="auto"/>
          <w:sz w:val="24"/>
        </w:rPr>
      </w:pPr>
    </w:p>
    <w:p w14:paraId="38D98E5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名  称：舟山市普陀区审批服务与招投标管理办公室招投标督查科</w:t>
      </w:r>
    </w:p>
    <w:p w14:paraId="6B791283">
      <w:pPr>
        <w:wordWrap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地  址：舟山市普陀区东港街道昌正街169号东港商务中心6号楼311室</w:t>
      </w:r>
    </w:p>
    <w:p w14:paraId="3BF88326">
      <w:pPr>
        <w:wordWrap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监督投诉电话：0580-3820791 </w:t>
      </w:r>
    </w:p>
    <w:p w14:paraId="4524DB18">
      <w:pPr>
        <w:wordWrap w:val="0"/>
        <w:spacing w:line="360" w:lineRule="auto"/>
        <w:ind w:firstLine="480" w:firstLineChars="200"/>
        <w:rPr>
          <w:rFonts w:hint="eastAsia" w:ascii="仿宋" w:hAnsi="仿宋" w:eastAsia="仿宋" w:cs="仿宋"/>
          <w:color w:val="auto"/>
          <w:sz w:val="24"/>
        </w:rPr>
      </w:pPr>
    </w:p>
    <w:p w14:paraId="08DBBA2D">
      <w:pPr>
        <w:wordWrap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若对项目采购电子交易系统操作有疑问，可登录政采云（https://www.zcygov.cn/），点击右侧咨询小采，获取采小蜜智能服务管家帮助，或拨打政采云服务热线400-881-7190获取热线服务帮助。</w:t>
      </w:r>
    </w:p>
    <w:p w14:paraId="517C6D5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4CD76CE2">
      <w:pPr>
        <w:spacing w:line="360" w:lineRule="auto"/>
        <w:ind w:firstLine="480" w:firstLineChars="200"/>
        <w:rPr>
          <w:rFonts w:hint="eastAsia" w:ascii="仿宋" w:hAnsi="仿宋" w:eastAsia="仿宋" w:cs="仿宋"/>
          <w:color w:val="auto"/>
          <w:sz w:val="24"/>
        </w:rPr>
      </w:pPr>
    </w:p>
    <w:p w14:paraId="0FA7DC30">
      <w:pPr>
        <w:pStyle w:val="10"/>
        <w:spacing w:line="360" w:lineRule="auto"/>
        <w:ind w:firstLine="420"/>
        <w:jc w:val="center"/>
        <w:rPr>
          <w:rFonts w:hint="eastAsia" w:ascii="仿宋" w:hAnsi="仿宋" w:eastAsia="仿宋" w:cs="仿宋"/>
          <w:b/>
          <w:color w:val="auto"/>
          <w:sz w:val="36"/>
          <w:szCs w:val="20"/>
        </w:rPr>
      </w:pPr>
      <w:r>
        <w:rPr>
          <w:rFonts w:hint="eastAsia" w:ascii="仿宋" w:hAnsi="仿宋" w:eastAsia="仿宋" w:cs="仿宋"/>
          <w:color w:val="auto"/>
          <w:sz w:val="24"/>
          <w:szCs w:val="24"/>
        </w:rPr>
        <w:br w:type="page"/>
      </w:r>
      <w:r>
        <w:rPr>
          <w:rFonts w:hint="eastAsia" w:ascii="仿宋" w:hAnsi="仿宋" w:eastAsia="仿宋" w:cs="仿宋"/>
          <w:b/>
          <w:color w:val="auto"/>
          <w:sz w:val="36"/>
          <w:szCs w:val="20"/>
        </w:rPr>
        <w:t>第二部分</w:t>
      </w:r>
      <w:bookmarkEnd w:id="8"/>
      <w:r>
        <w:rPr>
          <w:rFonts w:hint="eastAsia" w:ascii="仿宋" w:hAnsi="仿宋" w:eastAsia="仿宋" w:cs="仿宋"/>
          <w:b/>
          <w:color w:val="auto"/>
          <w:sz w:val="36"/>
          <w:szCs w:val="20"/>
        </w:rPr>
        <w:t xml:space="preserve">  投标人须知</w:t>
      </w:r>
      <w:bookmarkEnd w:id="9"/>
    </w:p>
    <w:p w14:paraId="241CC457">
      <w:pPr>
        <w:snapToGrid w:val="0"/>
        <w:spacing w:line="360" w:lineRule="auto"/>
        <w:jc w:val="center"/>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18"/>
        <w:tblW w:w="95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71"/>
        <w:gridCol w:w="1968"/>
        <w:gridCol w:w="6950"/>
      </w:tblGrid>
      <w:tr w14:paraId="520F00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71" w:type="dxa"/>
            <w:tcBorders>
              <w:top w:val="single" w:color="auto" w:sz="4" w:space="0"/>
              <w:left w:val="single" w:color="auto" w:sz="4" w:space="0"/>
              <w:bottom w:val="single" w:color="auto" w:sz="4" w:space="0"/>
              <w:right w:val="single" w:color="auto" w:sz="4" w:space="0"/>
            </w:tcBorders>
          </w:tcPr>
          <w:p w14:paraId="32080697">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1968" w:type="dxa"/>
            <w:tcBorders>
              <w:top w:val="single" w:color="000000" w:sz="8" w:space="0"/>
              <w:left w:val="single" w:color="auto" w:sz="4" w:space="0"/>
              <w:bottom w:val="single" w:color="000000" w:sz="8" w:space="0"/>
              <w:right w:val="single" w:color="000000" w:sz="8" w:space="0"/>
            </w:tcBorders>
            <w:vAlign w:val="center"/>
          </w:tcPr>
          <w:p w14:paraId="02711626">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事项</w:t>
            </w:r>
          </w:p>
        </w:tc>
        <w:tc>
          <w:tcPr>
            <w:tcW w:w="6950" w:type="dxa"/>
            <w:tcBorders>
              <w:top w:val="single" w:color="000000" w:sz="8" w:space="0"/>
              <w:left w:val="single" w:color="000000" w:sz="2" w:space="0"/>
              <w:bottom w:val="single" w:color="000000" w:sz="8" w:space="0"/>
              <w:right w:val="single" w:color="000000" w:sz="8" w:space="0"/>
            </w:tcBorders>
            <w:vAlign w:val="center"/>
          </w:tcPr>
          <w:p w14:paraId="24D31D5F">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本项目的特别规定</w:t>
            </w:r>
          </w:p>
        </w:tc>
      </w:tr>
      <w:tr w14:paraId="2ACB8B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7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6C5A392D">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1</w:t>
            </w:r>
          </w:p>
        </w:tc>
        <w:tc>
          <w:tcPr>
            <w:tcW w:w="1968" w:type="dxa"/>
            <w:tcBorders>
              <w:top w:val="single" w:color="000000" w:sz="8" w:space="0"/>
              <w:left w:val="single" w:color="auto" w:sz="4" w:space="0"/>
              <w:bottom w:val="single" w:color="000000" w:sz="8" w:space="0"/>
              <w:right w:val="single" w:color="000000" w:sz="8" w:space="0"/>
            </w:tcBorders>
            <w:vAlign w:val="center"/>
          </w:tcPr>
          <w:p w14:paraId="5B9CD509">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报价要求</w:t>
            </w:r>
          </w:p>
        </w:tc>
        <w:tc>
          <w:tcPr>
            <w:tcW w:w="6950" w:type="dxa"/>
            <w:tcBorders>
              <w:top w:val="single" w:color="000000" w:sz="8" w:space="0"/>
              <w:left w:val="single" w:color="000000" w:sz="2" w:space="0"/>
              <w:bottom w:val="single" w:color="000000" w:sz="8" w:space="0"/>
              <w:right w:val="single" w:color="000000" w:sz="8" w:space="0"/>
            </w:tcBorders>
            <w:vAlign w:val="center"/>
          </w:tcPr>
          <w:p w14:paraId="49107C1D">
            <w:pPr>
              <w:snapToGrid w:val="0"/>
              <w:spacing w:line="360" w:lineRule="auto"/>
              <w:jc w:val="left"/>
              <w:rPr>
                <w:rFonts w:hint="eastAsia" w:ascii="仿宋" w:hAnsi="仿宋" w:eastAsia="仿宋" w:cs="仿宋"/>
                <w:b/>
                <w:color w:val="auto"/>
                <w:sz w:val="24"/>
              </w:rPr>
            </w:pPr>
            <w:r>
              <w:rPr>
                <w:rFonts w:hint="eastAsia" w:ascii="仿宋" w:hAnsi="仿宋" w:eastAsia="仿宋" w:cs="仿宋"/>
                <w:color w:val="auto"/>
                <w:sz w:val="24"/>
              </w:rPr>
              <w:t>有关本项目实施所需的所有费用（含税费）均计入报价。开标一览表（报价表）是报价的唯一载体。投标文件中价格全部采用人民币报价。招标文件未列明，而投标人认为必需的费用也需列入报价。</w:t>
            </w:r>
            <w:r>
              <w:rPr>
                <w:rFonts w:hint="eastAsia" w:ascii="仿宋" w:hAnsi="仿宋" w:eastAsia="仿宋" w:cs="仿宋"/>
                <w:b/>
                <w:color w:val="auto"/>
                <w:sz w:val="24"/>
              </w:rPr>
              <w:t>提醒：验收时检测费用由采购人承担，不包含在投标总价中。</w:t>
            </w:r>
          </w:p>
          <w:p w14:paraId="5FFEE8A0">
            <w:pPr>
              <w:snapToGrid w:val="0"/>
              <w:spacing w:line="360" w:lineRule="auto"/>
              <w:jc w:val="left"/>
              <w:rPr>
                <w:rFonts w:hint="eastAsia" w:ascii="仿宋" w:hAnsi="仿宋" w:eastAsia="仿宋" w:cs="仿宋"/>
                <w:b/>
                <w:color w:val="auto"/>
                <w:sz w:val="24"/>
              </w:rPr>
            </w:pPr>
            <w:r>
              <w:rPr>
                <w:rFonts w:hint="eastAsia" w:ascii="仿宋" w:hAnsi="仿宋" w:eastAsia="仿宋" w:cs="仿宋"/>
                <w:b/>
                <w:color w:val="auto"/>
                <w:sz w:val="24"/>
              </w:rPr>
              <w:t>投标报价出现下列情形的，投标无效：</w:t>
            </w:r>
          </w:p>
          <w:p w14:paraId="721EFC2B">
            <w:pPr>
              <w:snapToGrid w:val="0"/>
              <w:spacing w:line="360" w:lineRule="auto"/>
              <w:jc w:val="left"/>
              <w:rPr>
                <w:rFonts w:hint="eastAsia" w:ascii="仿宋" w:hAnsi="仿宋" w:eastAsia="仿宋" w:cs="仿宋"/>
                <w:color w:val="auto"/>
                <w:sz w:val="24"/>
              </w:rPr>
            </w:pPr>
            <w:r>
              <w:rPr>
                <w:rFonts w:hint="eastAsia" w:ascii="仿宋" w:hAnsi="仿宋" w:eastAsia="仿宋" w:cs="仿宋"/>
                <w:color w:val="auto"/>
                <w:sz w:val="24"/>
              </w:rPr>
              <w:t>1、投标文件出现不是唯一的、有选择性投标报价的；</w:t>
            </w:r>
          </w:p>
          <w:p w14:paraId="1F6FDFB6">
            <w:pPr>
              <w:snapToGrid w:val="0"/>
              <w:spacing w:line="360" w:lineRule="auto"/>
              <w:jc w:val="left"/>
              <w:rPr>
                <w:rFonts w:hint="eastAsia" w:ascii="仿宋" w:hAnsi="仿宋" w:eastAsia="仿宋" w:cs="仿宋"/>
                <w:color w:val="auto"/>
                <w:sz w:val="24"/>
              </w:rPr>
            </w:pPr>
            <w:r>
              <w:rPr>
                <w:rFonts w:hint="eastAsia" w:ascii="仿宋" w:hAnsi="仿宋" w:eastAsia="仿宋" w:cs="仿宋"/>
                <w:color w:val="auto"/>
                <w:sz w:val="24"/>
              </w:rPr>
              <w:t>2、投标报价超过招标文件中规定的预算金额或者最高限价的;</w:t>
            </w:r>
          </w:p>
          <w:p w14:paraId="60130911">
            <w:pPr>
              <w:snapToGrid w:val="0"/>
              <w:spacing w:line="360" w:lineRule="auto"/>
              <w:jc w:val="left"/>
              <w:rPr>
                <w:rFonts w:hint="eastAsia" w:ascii="仿宋" w:hAnsi="仿宋" w:eastAsia="仿宋" w:cs="仿宋"/>
                <w:color w:val="auto"/>
                <w:sz w:val="24"/>
              </w:rPr>
            </w:pPr>
            <w:r>
              <w:rPr>
                <w:rFonts w:hint="eastAsia" w:ascii="仿宋" w:hAnsi="仿宋" w:eastAsia="仿宋" w:cs="仿宋"/>
                <w:color w:val="auto"/>
                <w:sz w:val="24"/>
              </w:rPr>
              <w:t>3、报价明显低于其他通过符合性审查投标人的报价，有可能影响产品质量或者不能诚信履约的，未能按要求提供书面说明或者提交相关证明材料证明其报价合理性的;</w:t>
            </w:r>
          </w:p>
          <w:p w14:paraId="33F1362B">
            <w:pPr>
              <w:spacing w:line="360" w:lineRule="auto"/>
              <w:rPr>
                <w:rFonts w:hint="eastAsia" w:ascii="仿宋" w:hAnsi="仿宋" w:eastAsia="仿宋" w:cs="仿宋"/>
                <w:color w:val="auto"/>
                <w:sz w:val="24"/>
              </w:rPr>
            </w:pPr>
            <w:r>
              <w:rPr>
                <w:rFonts w:hint="eastAsia" w:ascii="仿宋" w:hAnsi="仿宋" w:eastAsia="仿宋" w:cs="仿宋"/>
                <w:color w:val="auto"/>
                <w:sz w:val="24"/>
              </w:rPr>
              <w:t>4、投标人对根据修正原则修正后的报价不确认的。</w:t>
            </w:r>
          </w:p>
        </w:tc>
      </w:tr>
      <w:tr w14:paraId="47916F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2"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77E74021">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2</w:t>
            </w:r>
          </w:p>
        </w:tc>
        <w:tc>
          <w:tcPr>
            <w:tcW w:w="1968" w:type="dxa"/>
            <w:tcBorders>
              <w:top w:val="single" w:color="000000" w:sz="8" w:space="0"/>
              <w:left w:val="single" w:color="auto" w:sz="4" w:space="0"/>
              <w:bottom w:val="single" w:color="000000" w:sz="8" w:space="0"/>
              <w:right w:val="single" w:color="000000" w:sz="8" w:space="0"/>
            </w:tcBorders>
            <w:vAlign w:val="center"/>
          </w:tcPr>
          <w:p w14:paraId="26A8EEC2">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分包</w:t>
            </w:r>
          </w:p>
        </w:tc>
        <w:tc>
          <w:tcPr>
            <w:tcW w:w="6950" w:type="dxa"/>
            <w:tcBorders>
              <w:top w:val="single" w:color="000000" w:sz="8" w:space="0"/>
              <w:left w:val="single" w:color="000000" w:sz="2" w:space="0"/>
              <w:bottom w:val="single" w:color="000000" w:sz="8" w:space="0"/>
              <w:right w:val="single" w:color="000000" w:sz="8" w:space="0"/>
            </w:tcBorders>
            <w:vAlign w:val="center"/>
          </w:tcPr>
          <w:p w14:paraId="4C292DBC">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szCs w:val="21"/>
                </w:rPr>
                <w:id w:val="21502076"/>
              </w:sdtPr>
              <w:sdtEndPr>
                <w:rPr>
                  <w:rFonts w:hint="eastAsia" w:ascii="仿宋" w:hAnsi="仿宋" w:eastAsia="仿宋" w:cs="仿宋"/>
                  <w:color w:val="auto"/>
                  <w:kern w:val="0"/>
                  <w:sz w:val="24"/>
                  <w:szCs w:val="21"/>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 xml:space="preserve"> A</w:t>
            </w:r>
            <w:r>
              <w:rPr>
                <w:rFonts w:hint="eastAsia" w:ascii="仿宋" w:hAnsi="仿宋" w:eastAsia="仿宋" w:cs="仿宋"/>
                <w:color w:val="auto"/>
                <w:sz w:val="24"/>
              </w:rPr>
              <w:t>同意将非主体、非关键性的工作分包；</w:t>
            </w:r>
          </w:p>
          <w:p w14:paraId="31D0CDAA">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21502077"/>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w:t>
            </w:r>
          </w:p>
        </w:tc>
      </w:tr>
      <w:tr w14:paraId="196AD8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7" w:hRule="atLeast"/>
          <w:tblHeader/>
          <w:jc w:val="center"/>
        </w:trPr>
        <w:tc>
          <w:tcPr>
            <w:tcW w:w="671" w:type="dxa"/>
            <w:vMerge w:val="restart"/>
            <w:tcBorders>
              <w:top w:val="single" w:color="auto" w:sz="4" w:space="0"/>
              <w:left w:val="single" w:color="auto" w:sz="4" w:space="0"/>
              <w:right w:val="single" w:color="auto" w:sz="4" w:space="0"/>
            </w:tcBorders>
            <w:vAlign w:val="center"/>
          </w:tcPr>
          <w:p w14:paraId="70C3EF4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3</w:t>
            </w:r>
          </w:p>
        </w:tc>
        <w:tc>
          <w:tcPr>
            <w:tcW w:w="1968" w:type="dxa"/>
            <w:vMerge w:val="restart"/>
            <w:tcBorders>
              <w:top w:val="single" w:color="000000" w:sz="8" w:space="0"/>
              <w:left w:val="single" w:color="auto" w:sz="4" w:space="0"/>
              <w:right w:val="single" w:color="000000" w:sz="8" w:space="0"/>
            </w:tcBorders>
            <w:vAlign w:val="center"/>
          </w:tcPr>
          <w:p w14:paraId="1DF84FB5">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投标人应当提供的资格、资信证明文件</w:t>
            </w:r>
          </w:p>
        </w:tc>
        <w:tc>
          <w:tcPr>
            <w:tcW w:w="6950" w:type="dxa"/>
            <w:tcBorders>
              <w:top w:val="single" w:color="000000" w:sz="8" w:space="0"/>
              <w:left w:val="single" w:color="000000" w:sz="2" w:space="0"/>
              <w:bottom w:val="single" w:color="000000" w:sz="8" w:space="0"/>
              <w:right w:val="single" w:color="000000" w:sz="8" w:space="0"/>
            </w:tcBorders>
            <w:vAlign w:val="center"/>
          </w:tcPr>
          <w:p w14:paraId="03710E00">
            <w:pPr>
              <w:spacing w:line="360" w:lineRule="auto"/>
              <w:rPr>
                <w:rFonts w:hint="eastAsia" w:ascii="仿宋" w:hAnsi="仿宋" w:eastAsia="仿宋" w:cs="仿宋"/>
                <w:color w:val="auto"/>
                <w:sz w:val="24"/>
              </w:rPr>
            </w:pPr>
            <w:r>
              <w:rPr>
                <w:rFonts w:hint="eastAsia" w:ascii="仿宋" w:hAnsi="仿宋" w:eastAsia="仿宋" w:cs="仿宋"/>
                <w:color w:val="auto"/>
                <w:sz w:val="24"/>
              </w:rPr>
              <w:t>（1）资格证明文件：见招标文件第二部分11.1。</w:t>
            </w:r>
          </w:p>
          <w:p w14:paraId="5B31F284">
            <w:pPr>
              <w:spacing w:line="360" w:lineRule="auto"/>
              <w:rPr>
                <w:rFonts w:hint="eastAsia" w:ascii="仿宋" w:hAnsi="仿宋" w:eastAsia="仿宋" w:cs="仿宋"/>
                <w:color w:val="auto"/>
                <w:kern w:val="0"/>
                <w:sz w:val="24"/>
              </w:rPr>
            </w:pPr>
            <w:r>
              <w:rPr>
                <w:rFonts w:hint="eastAsia" w:ascii="仿宋" w:hAnsi="仿宋" w:eastAsia="仿宋" w:cs="仿宋"/>
                <w:b/>
                <w:color w:val="auto"/>
                <w:sz w:val="24"/>
              </w:rPr>
              <w:t>投标人未提供有效的资格证明文件的，视为投标人不具备招标文件中规定的资格要求，投标无效。</w:t>
            </w:r>
          </w:p>
        </w:tc>
      </w:tr>
      <w:tr w14:paraId="2C5814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7" w:hRule="atLeast"/>
          <w:tblHeader/>
          <w:jc w:val="center"/>
        </w:trPr>
        <w:tc>
          <w:tcPr>
            <w:tcW w:w="671" w:type="dxa"/>
            <w:vMerge w:val="continue"/>
            <w:tcBorders>
              <w:left w:val="single" w:color="auto" w:sz="4" w:space="0"/>
              <w:bottom w:val="single" w:color="auto" w:sz="4" w:space="0"/>
              <w:right w:val="single" w:color="auto" w:sz="4" w:space="0"/>
            </w:tcBorders>
            <w:vAlign w:val="center"/>
          </w:tcPr>
          <w:p w14:paraId="2D78FAC6">
            <w:pPr>
              <w:snapToGrid w:val="0"/>
              <w:spacing w:line="360" w:lineRule="auto"/>
              <w:jc w:val="center"/>
              <w:rPr>
                <w:rFonts w:hint="eastAsia" w:ascii="仿宋" w:hAnsi="仿宋" w:eastAsia="仿宋" w:cs="仿宋"/>
                <w:color w:val="auto"/>
                <w:sz w:val="24"/>
              </w:rPr>
            </w:pPr>
          </w:p>
        </w:tc>
        <w:tc>
          <w:tcPr>
            <w:tcW w:w="1968" w:type="dxa"/>
            <w:vMerge w:val="continue"/>
            <w:tcBorders>
              <w:left w:val="single" w:color="auto" w:sz="4" w:space="0"/>
              <w:bottom w:val="single" w:color="000000" w:sz="8" w:space="0"/>
              <w:right w:val="single" w:color="000000" w:sz="8" w:space="0"/>
            </w:tcBorders>
            <w:vAlign w:val="center"/>
          </w:tcPr>
          <w:p w14:paraId="1223BBCF">
            <w:pPr>
              <w:snapToGrid w:val="0"/>
              <w:spacing w:line="360" w:lineRule="auto"/>
              <w:jc w:val="center"/>
              <w:rPr>
                <w:rFonts w:hint="eastAsia" w:ascii="仿宋" w:hAnsi="仿宋" w:eastAsia="仿宋" w:cs="仿宋"/>
                <w:b/>
                <w:color w:val="auto"/>
                <w:sz w:val="24"/>
              </w:rPr>
            </w:pPr>
          </w:p>
        </w:tc>
        <w:tc>
          <w:tcPr>
            <w:tcW w:w="6950" w:type="dxa"/>
            <w:tcBorders>
              <w:top w:val="single" w:color="000000" w:sz="8" w:space="0"/>
              <w:left w:val="single" w:color="000000" w:sz="2" w:space="0"/>
              <w:bottom w:val="single" w:color="000000" w:sz="8" w:space="0"/>
              <w:right w:val="single" w:color="000000" w:sz="8" w:space="0"/>
            </w:tcBorders>
            <w:vAlign w:val="center"/>
          </w:tcPr>
          <w:p w14:paraId="2F6A846D">
            <w:pPr>
              <w:spacing w:line="360" w:lineRule="auto"/>
              <w:rPr>
                <w:rFonts w:hint="eastAsia" w:ascii="仿宋" w:hAnsi="仿宋" w:eastAsia="仿宋" w:cs="仿宋"/>
                <w:color w:val="auto"/>
                <w:sz w:val="24"/>
              </w:rPr>
            </w:pPr>
            <w:r>
              <w:rPr>
                <w:rFonts w:hint="eastAsia" w:ascii="仿宋" w:hAnsi="仿宋" w:eastAsia="仿宋" w:cs="仿宋"/>
                <w:color w:val="auto"/>
                <w:sz w:val="24"/>
              </w:rPr>
              <w:t>（2）资信证明文件：根据招标文件第四部分具体评标标准提供。</w:t>
            </w:r>
          </w:p>
        </w:tc>
      </w:tr>
      <w:tr w14:paraId="0C0609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527FDBDF">
            <w:pPr>
              <w:snapToGrid w:val="0"/>
              <w:spacing w:line="360" w:lineRule="auto"/>
              <w:jc w:val="center"/>
              <w:rPr>
                <w:rFonts w:hint="eastAsia" w:ascii="仿宋" w:hAnsi="仿宋" w:eastAsia="仿宋" w:cs="仿宋"/>
                <w:b/>
                <w:color w:val="auto"/>
                <w:sz w:val="24"/>
                <w:highlight w:val="yellow"/>
              </w:rPr>
            </w:pPr>
            <w:r>
              <w:rPr>
                <w:rFonts w:hint="eastAsia" w:ascii="仿宋" w:hAnsi="仿宋" w:eastAsia="仿宋" w:cs="仿宋"/>
                <w:b/>
                <w:color w:val="auto"/>
                <w:sz w:val="24"/>
              </w:rPr>
              <w:t>4</w:t>
            </w:r>
          </w:p>
        </w:tc>
        <w:tc>
          <w:tcPr>
            <w:tcW w:w="1968" w:type="dxa"/>
            <w:tcBorders>
              <w:top w:val="single" w:color="000000" w:sz="8" w:space="0"/>
              <w:left w:val="single" w:color="auto" w:sz="4" w:space="0"/>
              <w:bottom w:val="single" w:color="000000" w:sz="8" w:space="0"/>
              <w:right w:val="single" w:color="000000" w:sz="8" w:space="0"/>
            </w:tcBorders>
            <w:vAlign w:val="center"/>
          </w:tcPr>
          <w:p w14:paraId="2CC11EF1">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tc>
        <w:tc>
          <w:tcPr>
            <w:tcW w:w="6950" w:type="dxa"/>
            <w:tcBorders>
              <w:top w:val="single" w:color="000000" w:sz="8" w:space="0"/>
              <w:left w:val="single" w:color="000000" w:sz="2" w:space="0"/>
              <w:bottom w:val="single" w:color="000000" w:sz="8" w:space="0"/>
              <w:right w:val="single" w:color="000000" w:sz="8" w:space="0"/>
            </w:tcBorders>
            <w:vAlign w:val="center"/>
          </w:tcPr>
          <w:p w14:paraId="4C61297B">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szCs w:val="21"/>
                </w:rPr>
                <w:id w:val="21502078"/>
              </w:sdtPr>
              <w:sdtEndPr>
                <w:rPr>
                  <w:rFonts w:hint="eastAsia" w:ascii="仿宋" w:hAnsi="仿宋" w:eastAsia="仿宋" w:cs="仿宋"/>
                  <w:color w:val="auto"/>
                  <w:kern w:val="0"/>
                  <w:sz w:val="24"/>
                  <w:szCs w:val="21"/>
                </w:rPr>
              </w:sdtEndPr>
              <w:sdtContent>
                <w:sdt>
                  <w:sdtPr>
                    <w:rPr>
                      <w:rFonts w:hint="eastAsia" w:ascii="仿宋" w:hAnsi="仿宋" w:eastAsia="仿宋" w:cs="仿宋"/>
                      <w:color w:val="auto"/>
                      <w:kern w:val="0"/>
                      <w:sz w:val="24"/>
                      <w:szCs w:val="21"/>
                    </w:rPr>
                    <w:id w:val="4552815"/>
                  </w:sdtPr>
                  <w:sdtEndPr>
                    <w:rPr>
                      <w:rFonts w:hint="eastAsia" w:ascii="仿宋" w:hAnsi="仿宋" w:eastAsia="仿宋" w:cs="仿宋"/>
                      <w:color w:val="auto"/>
                      <w:kern w:val="0"/>
                      <w:sz w:val="24"/>
                      <w:szCs w:val="21"/>
                    </w:rPr>
                  </w:sdtEndPr>
                  <w:sdtContent>
                    <w:sdt>
                      <w:sdtPr>
                        <w:rPr>
                          <w:rFonts w:hint="eastAsia" w:ascii="仿宋" w:hAnsi="仿宋" w:eastAsia="仿宋" w:cs="仿宋"/>
                          <w:color w:val="auto"/>
                          <w:kern w:val="0"/>
                          <w:sz w:val="24"/>
                        </w:rPr>
                        <w:id w:val="4584660"/>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sdtContent>
                </w:sdt>
              </w:sdtContent>
            </w:sdt>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7F9D41E8">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21502079"/>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B</w:t>
            </w:r>
            <w:r>
              <w:rPr>
                <w:rFonts w:hint="eastAsia" w:ascii="仿宋" w:hAnsi="仿宋" w:eastAsia="仿宋" w:cs="仿宋"/>
                <w:color w:val="auto"/>
                <w:sz w:val="24"/>
                <w:szCs w:val="24"/>
              </w:rPr>
              <w:t>组织，时间：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，联系人：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，联系方式：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tc>
      </w:tr>
      <w:tr w14:paraId="3E3D5D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94" w:hRule="atLeast"/>
          <w:tblHeader/>
          <w:jc w:val="center"/>
        </w:trPr>
        <w:tc>
          <w:tcPr>
            <w:tcW w:w="671" w:type="dxa"/>
            <w:tcBorders>
              <w:top w:val="single" w:color="auto" w:sz="4" w:space="0"/>
              <w:left w:val="single" w:color="auto" w:sz="4" w:space="0"/>
              <w:right w:val="single" w:color="auto" w:sz="4" w:space="0"/>
            </w:tcBorders>
            <w:vAlign w:val="center"/>
          </w:tcPr>
          <w:p w14:paraId="4BD0403F">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5</w:t>
            </w:r>
          </w:p>
        </w:tc>
        <w:tc>
          <w:tcPr>
            <w:tcW w:w="1968" w:type="dxa"/>
            <w:tcBorders>
              <w:top w:val="single" w:color="000000" w:sz="8" w:space="0"/>
              <w:left w:val="single" w:color="auto" w:sz="4" w:space="0"/>
              <w:right w:val="single" w:color="000000" w:sz="8" w:space="0"/>
            </w:tcBorders>
            <w:vAlign w:val="center"/>
          </w:tcPr>
          <w:p w14:paraId="65A41348">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样品提供</w:t>
            </w:r>
          </w:p>
        </w:tc>
        <w:tc>
          <w:tcPr>
            <w:tcW w:w="6950" w:type="dxa"/>
            <w:tcBorders>
              <w:top w:val="single" w:color="000000" w:sz="8" w:space="0"/>
              <w:left w:val="single" w:color="000000" w:sz="2" w:space="0"/>
              <w:right w:val="single" w:color="000000" w:sz="8" w:space="0"/>
            </w:tcBorders>
            <w:vAlign w:val="center"/>
          </w:tcPr>
          <w:p w14:paraId="2FDD3EEF">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szCs w:val="21"/>
                </w:rPr>
                <w:id w:val="21502080"/>
              </w:sdtPr>
              <w:sdtEndPr>
                <w:rPr>
                  <w:rFonts w:hint="eastAsia" w:ascii="仿宋" w:hAnsi="仿宋" w:eastAsia="仿宋" w:cs="仿宋"/>
                  <w:color w:val="auto"/>
                  <w:kern w:val="0"/>
                  <w:sz w:val="24"/>
                  <w:szCs w:val="21"/>
                </w:rPr>
              </w:sdtEndPr>
              <w:sdtContent>
                <w:sdt>
                  <w:sdtPr>
                    <w:rPr>
                      <w:rFonts w:hint="eastAsia" w:ascii="仿宋" w:hAnsi="仿宋" w:eastAsia="仿宋" w:cs="仿宋"/>
                      <w:color w:val="auto"/>
                      <w:kern w:val="0"/>
                      <w:sz w:val="24"/>
                      <w:szCs w:val="21"/>
                    </w:rPr>
                    <w:id w:val="4552816"/>
                  </w:sdtPr>
                  <w:sdtEndPr>
                    <w:rPr>
                      <w:rFonts w:hint="eastAsia" w:ascii="仿宋" w:hAnsi="仿宋" w:eastAsia="仿宋" w:cs="仿宋"/>
                      <w:color w:val="auto"/>
                      <w:kern w:val="0"/>
                      <w:sz w:val="24"/>
                      <w:szCs w:val="21"/>
                    </w:rPr>
                  </w:sdtEndPr>
                  <w:sdtContent>
                    <w:sdt>
                      <w:sdtPr>
                        <w:rPr>
                          <w:rFonts w:hint="eastAsia" w:ascii="仿宋" w:hAnsi="仿宋" w:eastAsia="仿宋" w:cs="仿宋"/>
                          <w:color w:val="auto"/>
                          <w:kern w:val="0"/>
                          <w:sz w:val="24"/>
                        </w:rPr>
                        <w:id w:val="4584661"/>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sdtContent>
                </w:sdt>
              </w:sdtContent>
            </w:sdt>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7D0F1A6B">
            <w:pPr>
              <w:spacing w:line="360" w:lineRule="auto"/>
              <w:rPr>
                <w:rFonts w:hint="eastAsia" w:ascii="仿宋" w:hAnsi="仿宋" w:eastAsia="仿宋" w:cs="仿宋"/>
                <w:color w:val="auto"/>
                <w:kern w:val="0"/>
                <w:sz w:val="24"/>
              </w:rPr>
            </w:pPr>
            <w:sdt>
              <w:sdtPr>
                <w:rPr>
                  <w:rFonts w:hint="eastAsia" w:ascii="仿宋" w:hAnsi="仿宋" w:eastAsia="仿宋" w:cs="仿宋"/>
                  <w:color w:val="auto"/>
                  <w:kern w:val="0"/>
                  <w:sz w:val="24"/>
                </w:rPr>
                <w:id w:val="24617070"/>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sdt>
              <w:sdtPr>
                <w:rPr>
                  <w:rFonts w:hint="eastAsia" w:ascii="仿宋" w:hAnsi="仿宋" w:eastAsia="仿宋" w:cs="仿宋"/>
                  <w:color w:val="auto"/>
                  <w:kern w:val="0"/>
                  <w:sz w:val="24"/>
                </w:rPr>
                <w:id w:val="1026831988"/>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5283195"/>
                  </w:sdtPr>
                  <w:sdtEndPr>
                    <w:rPr>
                      <w:rFonts w:hint="eastAsia" w:ascii="仿宋" w:hAnsi="仿宋" w:eastAsia="仿宋" w:cs="仿宋"/>
                      <w:color w:val="auto"/>
                      <w:kern w:val="0"/>
                      <w:sz w:val="24"/>
                    </w:rPr>
                  </w:sdtEndPr>
                  <w:sdtContent/>
                </w:sdt>
              </w:sdtContent>
            </w:sdt>
            <w:r>
              <w:rPr>
                <w:rFonts w:hint="eastAsia" w:ascii="仿宋" w:hAnsi="仿宋" w:eastAsia="仿宋" w:cs="仿宋"/>
                <w:color w:val="auto"/>
                <w:kern w:val="0"/>
                <w:sz w:val="24"/>
              </w:rPr>
              <w:t>B要求提供，</w:t>
            </w:r>
          </w:p>
          <w:p w14:paraId="633D5717">
            <w:pPr>
              <w:spacing w:line="360" w:lineRule="auto"/>
              <w:rPr>
                <w:rFonts w:hint="eastAsia" w:ascii="仿宋" w:hAnsi="仿宋" w:eastAsia="仿宋" w:cs="仿宋"/>
                <w:snapToGrid w:val="0"/>
                <w:color w:val="auto"/>
                <w:kern w:val="28"/>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p>
          <w:p w14:paraId="7BDB09EF">
            <w:pPr>
              <w:spacing w:line="360" w:lineRule="auto"/>
              <w:rPr>
                <w:rFonts w:hint="eastAsia" w:ascii="仿宋" w:hAnsi="仿宋" w:eastAsia="仿宋" w:cs="仿宋"/>
                <w:color w:val="auto"/>
                <w:sz w:val="24"/>
              </w:rPr>
            </w:pPr>
            <w:r>
              <w:rPr>
                <w:rFonts w:hint="eastAsia" w:ascii="仿宋" w:hAnsi="仿宋" w:eastAsia="仿宋" w:cs="仿宋"/>
                <w:color w:val="auto"/>
                <w:sz w:val="24"/>
              </w:rPr>
              <w:t>（2）样品制作的标准和要求：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10EFAF61">
            <w:pPr>
              <w:spacing w:line="360" w:lineRule="auto"/>
              <w:rPr>
                <w:rFonts w:hint="eastAsia" w:ascii="仿宋" w:hAnsi="仿宋" w:eastAsia="仿宋" w:cs="仿宋"/>
                <w:color w:val="auto"/>
                <w:sz w:val="24"/>
              </w:rPr>
            </w:pPr>
            <w:r>
              <w:rPr>
                <w:rFonts w:hint="eastAsia" w:ascii="仿宋" w:hAnsi="仿宋" w:eastAsia="仿宋" w:cs="仿宋"/>
                <w:color w:val="auto"/>
                <w:sz w:val="24"/>
              </w:rPr>
              <w:t>（3）样品的评审方法以及评审标准：详见评标办法。</w:t>
            </w:r>
          </w:p>
          <w:p w14:paraId="7A3576FA">
            <w:pPr>
              <w:pStyle w:val="10"/>
              <w:spacing w:line="360" w:lineRule="auto"/>
              <w:rPr>
                <w:rFonts w:hint="eastAsia" w:ascii="仿宋" w:hAnsi="仿宋" w:eastAsia="仿宋" w:cs="仿宋"/>
                <w:color w:val="auto"/>
                <w:sz w:val="24"/>
                <w:szCs w:val="24"/>
              </w:rPr>
            </w:pPr>
            <w:r>
              <w:rPr>
                <w:rFonts w:hint="eastAsia" w:ascii="仿宋" w:hAnsi="仿宋" w:eastAsia="仿宋" w:cs="仿宋"/>
                <w:color w:val="auto"/>
                <w:sz w:val="24"/>
              </w:rPr>
              <w:t>（4）是否需要随样品提交检测报告：</w:t>
            </w:r>
            <w:r>
              <w:rPr>
                <w:rFonts w:hint="eastAsia" w:ascii="仿宋" w:hAnsi="仿宋" w:eastAsia="仿宋" w:cs="仿宋"/>
                <w:color w:val="auto"/>
                <w:kern w:val="0"/>
                <w:sz w:val="24"/>
              </w:rPr>
              <w:sym w:font="Wingdings 2" w:char="0052"/>
            </w:r>
            <w:r>
              <w:rPr>
                <w:rFonts w:hint="eastAsia" w:ascii="仿宋" w:hAnsi="仿宋" w:eastAsia="仿宋" w:cs="仿宋"/>
                <w:color w:val="auto"/>
                <w:sz w:val="24"/>
              </w:rPr>
              <w:t>否；☐是，检测机构的要求：</w:t>
            </w:r>
            <w:r>
              <w:rPr>
                <w:rFonts w:hint="eastAsia" w:ascii="仿宋" w:hAnsi="仿宋" w:eastAsia="仿宋" w:cs="仿宋"/>
                <w:color w:val="auto"/>
                <w:sz w:val="24"/>
                <w:u w:val="single"/>
              </w:rPr>
              <w:t xml:space="preserve">       </w:t>
            </w:r>
            <w:r>
              <w:rPr>
                <w:rFonts w:hint="eastAsia" w:ascii="仿宋" w:hAnsi="仿宋" w:eastAsia="仿宋" w:cs="仿宋"/>
                <w:color w:val="auto"/>
                <w:sz w:val="24"/>
              </w:rPr>
              <w:t>；检测内容：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9F5E04A">
            <w:pPr>
              <w:spacing w:line="360" w:lineRule="auto"/>
              <w:rPr>
                <w:rFonts w:hint="eastAsia" w:ascii="仿宋" w:hAnsi="仿宋" w:eastAsia="仿宋" w:cs="仿宋"/>
                <w:snapToGrid w:val="0"/>
                <w:color w:val="auto"/>
                <w:kern w:val="28"/>
                <w:sz w:val="24"/>
              </w:rPr>
            </w:pPr>
            <w:r>
              <w:rPr>
                <w:rFonts w:hint="eastAsia" w:ascii="仿宋" w:hAnsi="仿宋" w:eastAsia="仿宋" w:cs="仿宋"/>
                <w:color w:val="auto"/>
                <w:kern w:val="0"/>
                <w:sz w:val="24"/>
              </w:rPr>
              <w:t>（5）</w:t>
            </w:r>
            <w:r>
              <w:rPr>
                <w:rFonts w:hint="eastAsia" w:ascii="仿宋" w:hAnsi="仿宋" w:eastAsia="仿宋" w:cs="仿宋"/>
                <w:color w:val="auto"/>
                <w:sz w:val="24"/>
                <w:szCs w:val="24"/>
              </w:rPr>
              <w:t>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4"/>
              </w:rPr>
              <w:t>。请投标人在上述时间内提供样品并按规定位置安装完毕。超过截止时间的，采购人或采购代理机构将不予接收，并将清场并封闭样品现场。</w:t>
            </w:r>
          </w:p>
          <w:p w14:paraId="54BA8D26">
            <w:pPr>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36DC7264">
            <w:pPr>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（7）制作、运输、安装和保管样品所发生的一切费用由投标人自理。</w:t>
            </w:r>
          </w:p>
        </w:tc>
      </w:tr>
      <w:tr w14:paraId="3CD232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33E7E95E">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6</w:t>
            </w:r>
          </w:p>
        </w:tc>
        <w:tc>
          <w:tcPr>
            <w:tcW w:w="1968" w:type="dxa"/>
            <w:tcBorders>
              <w:top w:val="single" w:color="000000" w:sz="8" w:space="0"/>
              <w:left w:val="single" w:color="000000" w:sz="2" w:space="0"/>
              <w:bottom w:val="single" w:color="000000" w:sz="8" w:space="0"/>
              <w:right w:val="single" w:color="000000" w:sz="8" w:space="0"/>
            </w:tcBorders>
            <w:vAlign w:val="center"/>
          </w:tcPr>
          <w:p w14:paraId="41B22424">
            <w:pPr>
              <w:snapToGrid w:val="0"/>
              <w:spacing w:line="360" w:lineRule="auto"/>
              <w:jc w:val="center"/>
              <w:rPr>
                <w:rFonts w:hint="eastAsia" w:ascii="仿宋" w:hAnsi="仿宋" w:eastAsia="仿宋" w:cs="仿宋"/>
                <w:bCs/>
                <w:color w:val="auto"/>
                <w:sz w:val="24"/>
              </w:rPr>
            </w:pPr>
            <w:r>
              <w:rPr>
                <w:rFonts w:hint="eastAsia" w:ascii="仿宋" w:hAnsi="仿宋" w:eastAsia="仿宋" w:cs="仿宋"/>
                <w:b/>
                <w:color w:val="auto"/>
                <w:sz w:val="24"/>
              </w:rPr>
              <w:t>方案讲解演示</w:t>
            </w:r>
          </w:p>
        </w:tc>
        <w:tc>
          <w:tcPr>
            <w:tcW w:w="6950" w:type="dxa"/>
            <w:tcBorders>
              <w:top w:val="single" w:color="000000" w:sz="8" w:space="0"/>
              <w:left w:val="single" w:color="000000" w:sz="2" w:space="0"/>
              <w:bottom w:val="single" w:color="000000" w:sz="8" w:space="0"/>
              <w:right w:val="single" w:color="000000" w:sz="8" w:space="0"/>
            </w:tcBorders>
            <w:vAlign w:val="center"/>
          </w:tcPr>
          <w:p w14:paraId="09A59FF0">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4584662"/>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4C9D443A">
            <w:pPr>
              <w:spacing w:line="360" w:lineRule="auto"/>
              <w:rPr>
                <w:rFonts w:hint="eastAsia" w:ascii="仿宋" w:hAnsi="仿宋" w:eastAsia="仿宋" w:cs="仿宋"/>
                <w:color w:val="auto"/>
                <w:kern w:val="0"/>
                <w:sz w:val="24"/>
              </w:rPr>
            </w:pPr>
            <w:sdt>
              <w:sdtPr>
                <w:rPr>
                  <w:rFonts w:hint="eastAsia" w:ascii="仿宋" w:hAnsi="仿宋" w:eastAsia="仿宋" w:cs="仿宋"/>
                  <w:color w:val="auto"/>
                  <w:kern w:val="0"/>
                  <w:sz w:val="24"/>
                </w:rPr>
                <w:id w:val="1174071719"/>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szCs w:val="21"/>
                    </w:rPr>
                    <w:id w:val="4552817"/>
                  </w:sdtPr>
                  <w:sdtEndPr>
                    <w:rPr>
                      <w:rFonts w:hint="eastAsia" w:ascii="仿宋" w:hAnsi="仿宋" w:eastAsia="仿宋" w:cs="仿宋"/>
                      <w:color w:val="auto"/>
                      <w:kern w:val="0"/>
                      <w:sz w:val="24"/>
                      <w:szCs w:val="21"/>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B组</w:t>
                </w:r>
              </w:sdtContent>
            </w:sdt>
            <w:r>
              <w:rPr>
                <w:rFonts w:hint="eastAsia" w:ascii="仿宋" w:hAnsi="仿宋" w:eastAsia="仿宋" w:cs="仿宋"/>
                <w:color w:val="auto"/>
                <w:kern w:val="0"/>
                <w:sz w:val="24"/>
              </w:rPr>
              <w:t>织。</w:t>
            </w:r>
          </w:p>
          <w:p w14:paraId="6C3D340E">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（1）在评标时安排每个投标人进行功能演示。每个投标人时间不超过20分钟，讲解次序以投标文件解密时间先后次序为准，讲解演示人员不超过3人。讲解演示结束后按要求解答评标委员会提问。</w:t>
            </w:r>
          </w:p>
          <w:p w14:paraId="1170797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（2）方案讲解演示可选择以下其中一种方式：</w:t>
            </w:r>
          </w:p>
          <w:p w14:paraId="753756FA">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☐政采云平台在线讲解演示。政采云平台在线讲解需投标人根据政采云平台操作要求做好准备工作，提前完善软硬件配置环境。</w:t>
            </w:r>
          </w:p>
          <w:p w14:paraId="6C4FD102">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☐交易中心现场讲解演示。现场讲解地点为</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，讲解演示所用电脑等设备由投标人自备。现场讲解演示人员进场时提供讲解人员名单（加盖公章）及身份证明，否则不得讲解演示。</w:t>
            </w:r>
          </w:p>
          <w:p w14:paraId="026BC8CD">
            <w:pPr>
              <w:spacing w:line="360" w:lineRule="auto"/>
              <w:rPr>
                <w:rFonts w:hint="eastAsia" w:ascii="仿宋" w:hAnsi="仿宋" w:eastAsia="仿宋" w:cs="仿宋"/>
                <w:color w:val="auto"/>
                <w:sz w:val="24"/>
              </w:rPr>
            </w:pPr>
            <w:r>
              <w:rPr>
                <w:rFonts w:hint="eastAsia" w:ascii="仿宋" w:hAnsi="仿宋" w:eastAsia="仿宋" w:cs="仿宋"/>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764BF4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6"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1695FBA0">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7</w:t>
            </w:r>
          </w:p>
        </w:tc>
        <w:tc>
          <w:tcPr>
            <w:tcW w:w="1968" w:type="dxa"/>
            <w:tcBorders>
              <w:top w:val="single" w:color="000000" w:sz="8" w:space="0"/>
              <w:left w:val="single" w:color="000000" w:sz="2" w:space="0"/>
              <w:bottom w:val="single" w:color="000000" w:sz="8" w:space="0"/>
              <w:right w:val="single" w:color="000000" w:sz="8" w:space="0"/>
            </w:tcBorders>
            <w:vAlign w:val="center"/>
          </w:tcPr>
          <w:p w14:paraId="457FFD3D">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是否允许采购进口产品</w:t>
            </w:r>
          </w:p>
        </w:tc>
        <w:tc>
          <w:tcPr>
            <w:tcW w:w="6950" w:type="dxa"/>
            <w:tcBorders>
              <w:top w:val="single" w:color="000000" w:sz="8" w:space="0"/>
              <w:left w:val="single" w:color="000000" w:sz="2" w:space="0"/>
              <w:bottom w:val="single" w:color="000000" w:sz="8" w:space="0"/>
              <w:right w:val="single" w:color="000000" w:sz="8" w:space="0"/>
            </w:tcBorders>
            <w:vAlign w:val="center"/>
          </w:tcPr>
          <w:p w14:paraId="3360B11E">
            <w:pPr>
              <w:spacing w:line="360" w:lineRule="auto"/>
              <w:rPr>
                <w:rFonts w:hint="eastAsia" w:ascii="仿宋" w:hAnsi="仿宋" w:eastAsia="仿宋" w:cs="仿宋"/>
                <w:color w:val="auto"/>
                <w:kern w:val="0"/>
                <w:sz w:val="24"/>
              </w:rPr>
            </w:pPr>
            <w:sdt>
              <w:sdtPr>
                <w:rPr>
                  <w:rFonts w:hint="eastAsia" w:ascii="仿宋" w:hAnsi="仿宋" w:eastAsia="仿宋" w:cs="仿宋"/>
                  <w:color w:val="auto"/>
                  <w:kern w:val="0"/>
                  <w:sz w:val="24"/>
                  <w:szCs w:val="21"/>
                </w:rPr>
                <w:id w:val="21502083"/>
              </w:sdtPr>
              <w:sdtEndPr>
                <w:rPr>
                  <w:rFonts w:hint="eastAsia" w:ascii="仿宋" w:hAnsi="仿宋" w:eastAsia="仿宋" w:cs="仿宋"/>
                  <w:color w:val="auto"/>
                  <w:kern w:val="0"/>
                  <w:sz w:val="24"/>
                  <w:szCs w:val="21"/>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本项目不允许采购进口产品。</w:t>
            </w:r>
          </w:p>
          <w:p w14:paraId="6F601012">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21502084"/>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CD765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53FB6744">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8</w:t>
            </w:r>
          </w:p>
        </w:tc>
        <w:tc>
          <w:tcPr>
            <w:tcW w:w="1968" w:type="dxa"/>
            <w:tcBorders>
              <w:top w:val="single" w:color="000000" w:sz="8" w:space="0"/>
              <w:left w:val="single" w:color="000000" w:sz="2" w:space="0"/>
              <w:bottom w:val="single" w:color="000000" w:sz="8" w:space="0"/>
              <w:right w:val="single" w:color="000000" w:sz="8" w:space="0"/>
            </w:tcBorders>
            <w:vAlign w:val="center"/>
          </w:tcPr>
          <w:p w14:paraId="4343D0BB">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项目属性</w:t>
            </w:r>
          </w:p>
        </w:tc>
        <w:tc>
          <w:tcPr>
            <w:tcW w:w="6950" w:type="dxa"/>
            <w:tcBorders>
              <w:top w:val="single" w:color="000000" w:sz="8" w:space="0"/>
              <w:left w:val="single" w:color="000000" w:sz="2" w:space="0"/>
              <w:bottom w:val="single" w:color="000000" w:sz="8" w:space="0"/>
              <w:right w:val="single" w:color="000000" w:sz="8" w:space="0"/>
            </w:tcBorders>
            <w:vAlign w:val="center"/>
          </w:tcPr>
          <w:p w14:paraId="6CEF0091">
            <w:pPr>
              <w:spacing w:line="360" w:lineRule="auto"/>
              <w:rPr>
                <w:rFonts w:hint="eastAsia" w:ascii="仿宋" w:hAnsi="仿宋" w:eastAsia="仿宋" w:cs="仿宋"/>
                <w:color w:val="auto"/>
                <w:sz w:val="24"/>
              </w:rPr>
            </w:pPr>
            <w:r>
              <w:rPr>
                <w:rFonts w:hint="eastAsia" w:ascii="仿宋" w:hAnsi="仿宋" w:eastAsia="仿宋" w:cs="仿宋"/>
                <w:color w:val="auto"/>
                <w:sz w:val="24"/>
              </w:rPr>
              <w:t>服务类</w:t>
            </w:r>
          </w:p>
        </w:tc>
      </w:tr>
      <w:tr w14:paraId="6FC921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6B2DC8BE">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9</w:t>
            </w:r>
          </w:p>
        </w:tc>
        <w:tc>
          <w:tcPr>
            <w:tcW w:w="1968" w:type="dxa"/>
            <w:tcBorders>
              <w:top w:val="single" w:color="000000" w:sz="8" w:space="0"/>
              <w:left w:val="single" w:color="000000" w:sz="2" w:space="0"/>
              <w:bottom w:val="single" w:color="000000" w:sz="8" w:space="0"/>
              <w:right w:val="single" w:color="000000" w:sz="8" w:space="0"/>
            </w:tcBorders>
            <w:vAlign w:val="center"/>
          </w:tcPr>
          <w:p w14:paraId="558B4441">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中小企业划分标准所属行业</w:t>
            </w:r>
          </w:p>
        </w:tc>
        <w:tc>
          <w:tcPr>
            <w:tcW w:w="6950" w:type="dxa"/>
            <w:tcBorders>
              <w:top w:val="single" w:color="000000" w:sz="8" w:space="0"/>
              <w:left w:val="single" w:color="000000" w:sz="2" w:space="0"/>
              <w:bottom w:val="single" w:color="000000" w:sz="8" w:space="0"/>
              <w:right w:val="single" w:color="000000" w:sz="8" w:space="0"/>
            </w:tcBorders>
            <w:vAlign w:val="center"/>
          </w:tcPr>
          <w:p w14:paraId="492BC9E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采购标的：物业管理服务；</w:t>
            </w:r>
          </w:p>
          <w:p w14:paraId="16B83E54">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所属行业：物业管理。</w:t>
            </w:r>
          </w:p>
        </w:tc>
      </w:tr>
      <w:tr w14:paraId="78C489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7069FACE">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10</w:t>
            </w:r>
          </w:p>
        </w:tc>
        <w:tc>
          <w:tcPr>
            <w:tcW w:w="1968" w:type="dxa"/>
            <w:tcBorders>
              <w:top w:val="single" w:color="auto" w:sz="4" w:space="0"/>
              <w:left w:val="single" w:color="auto" w:sz="4" w:space="0"/>
              <w:bottom w:val="single" w:color="auto" w:sz="4" w:space="0"/>
              <w:right w:val="single" w:color="auto" w:sz="4" w:space="0"/>
            </w:tcBorders>
            <w:vAlign w:val="center"/>
          </w:tcPr>
          <w:p w14:paraId="3DDA61B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节能产品、环境标志产品</w:t>
            </w:r>
          </w:p>
        </w:tc>
        <w:tc>
          <w:tcPr>
            <w:tcW w:w="6950" w:type="dxa"/>
            <w:tcBorders>
              <w:top w:val="single" w:color="000000" w:sz="8" w:space="0"/>
              <w:left w:val="single" w:color="auto" w:sz="4" w:space="0"/>
              <w:bottom w:val="single" w:color="000000" w:sz="8" w:space="0"/>
              <w:right w:val="single" w:color="000000" w:sz="8" w:space="0"/>
            </w:tcBorders>
            <w:vAlign w:val="center"/>
          </w:tcPr>
          <w:p w14:paraId="680FF04A">
            <w:pPr>
              <w:wordWrap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898F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7E2C52EC">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11</w:t>
            </w:r>
          </w:p>
        </w:tc>
        <w:tc>
          <w:tcPr>
            <w:tcW w:w="1968" w:type="dxa"/>
            <w:tcBorders>
              <w:top w:val="single" w:color="auto" w:sz="4" w:space="0"/>
              <w:left w:val="single" w:color="auto" w:sz="4" w:space="0"/>
              <w:bottom w:val="single" w:color="auto" w:sz="4" w:space="0"/>
              <w:right w:val="single" w:color="auto" w:sz="4" w:space="0"/>
            </w:tcBorders>
            <w:vAlign w:val="center"/>
          </w:tcPr>
          <w:p w14:paraId="78023A4F">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b/>
                <w:color w:val="auto"/>
                <w:sz w:val="24"/>
              </w:rPr>
              <w:t>政采贷</w:t>
            </w:r>
          </w:p>
        </w:tc>
        <w:tc>
          <w:tcPr>
            <w:tcW w:w="6950" w:type="dxa"/>
            <w:tcBorders>
              <w:top w:val="single" w:color="000000" w:sz="8" w:space="0"/>
              <w:left w:val="single" w:color="auto" w:sz="4" w:space="0"/>
              <w:bottom w:val="single" w:color="000000" w:sz="8" w:space="0"/>
              <w:right w:val="single" w:color="000000" w:sz="8" w:space="0"/>
            </w:tcBorders>
            <w:vAlign w:val="center"/>
          </w:tcPr>
          <w:p w14:paraId="5E45B09E">
            <w:pPr>
              <w:spacing w:line="40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tc>
      </w:tr>
      <w:tr w14:paraId="2D0E18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6F6E96F0">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12</w:t>
            </w:r>
          </w:p>
        </w:tc>
        <w:tc>
          <w:tcPr>
            <w:tcW w:w="1968" w:type="dxa"/>
            <w:tcBorders>
              <w:top w:val="single" w:color="auto" w:sz="4" w:space="0"/>
              <w:left w:val="single" w:color="auto" w:sz="4" w:space="0"/>
              <w:bottom w:val="single" w:color="auto" w:sz="4" w:space="0"/>
              <w:right w:val="single" w:color="auto" w:sz="4" w:space="0"/>
            </w:tcBorders>
            <w:vAlign w:val="center"/>
          </w:tcPr>
          <w:p w14:paraId="5CEBC9F9">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备份投标文件送达地点</w:t>
            </w:r>
          </w:p>
        </w:tc>
        <w:tc>
          <w:tcPr>
            <w:tcW w:w="6950" w:type="dxa"/>
            <w:tcBorders>
              <w:top w:val="single" w:color="000000" w:sz="8" w:space="0"/>
              <w:left w:val="single" w:color="auto" w:sz="4" w:space="0"/>
              <w:bottom w:val="single" w:color="000000" w:sz="8" w:space="0"/>
              <w:right w:val="single" w:color="000000" w:sz="8" w:space="0"/>
            </w:tcBorders>
            <w:vAlign w:val="center"/>
          </w:tcPr>
          <w:p w14:paraId="1477ECA3">
            <w:pPr>
              <w:spacing w:line="360" w:lineRule="auto"/>
              <w:rPr>
                <w:rFonts w:hint="eastAsia" w:ascii="仿宋" w:hAnsi="仿宋" w:eastAsia="仿宋" w:cs="仿宋"/>
                <w:snapToGrid w:val="0"/>
                <w:color w:val="auto"/>
                <w:kern w:val="28"/>
                <w:sz w:val="24"/>
              </w:rPr>
            </w:pPr>
            <w:r>
              <w:rPr>
                <w:rFonts w:hint="eastAsia" w:ascii="仿宋" w:hAnsi="仿宋" w:eastAsia="仿宋" w:cs="仿宋"/>
                <w:color w:val="auto"/>
                <w:kern w:val="28"/>
                <w:sz w:val="24"/>
              </w:rPr>
              <w:t>备份投标文件送达地点：</w:t>
            </w:r>
            <w:r>
              <w:rPr>
                <w:rFonts w:hint="eastAsia" w:ascii="仿宋" w:hAnsi="仿宋" w:eastAsia="仿宋" w:cs="仿宋"/>
                <w:color w:val="auto"/>
                <w:sz w:val="24"/>
              </w:rPr>
              <w:t>舟山市普陀区东港街道昌正街169号东港商务中心6号楼406室</w:t>
            </w:r>
            <w:r>
              <w:rPr>
                <w:rFonts w:hint="eastAsia" w:ascii="仿宋" w:hAnsi="仿宋" w:eastAsia="仿宋" w:cs="仿宋"/>
                <w:color w:val="auto"/>
                <w:kern w:val="28"/>
                <w:sz w:val="24"/>
              </w:rPr>
              <w:t>。</w:t>
            </w:r>
            <w:r>
              <w:rPr>
                <w:rFonts w:hint="eastAsia" w:ascii="仿宋" w:hAnsi="仿宋" w:eastAsia="仿宋" w:cs="仿宋"/>
                <w:b/>
                <w:color w:val="auto"/>
                <w:sz w:val="24"/>
              </w:rPr>
              <w:t>采购人、采购代理机构不强制或变相强制投标人提交备份投标文件。</w:t>
            </w:r>
          </w:p>
        </w:tc>
      </w:tr>
      <w:tr w14:paraId="1A66F8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3FE093E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13</w:t>
            </w:r>
          </w:p>
        </w:tc>
        <w:tc>
          <w:tcPr>
            <w:tcW w:w="1968" w:type="dxa"/>
            <w:tcBorders>
              <w:top w:val="single" w:color="auto" w:sz="4" w:space="0"/>
              <w:left w:val="single" w:color="auto" w:sz="4" w:space="0"/>
              <w:bottom w:val="single" w:color="auto" w:sz="4" w:space="0"/>
              <w:right w:val="single" w:color="auto" w:sz="4" w:space="0"/>
            </w:tcBorders>
            <w:vAlign w:val="center"/>
          </w:tcPr>
          <w:p w14:paraId="6DDC8171">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b/>
                <w:color w:val="auto"/>
                <w:sz w:val="24"/>
              </w:rPr>
              <w:t>履约保证金</w:t>
            </w:r>
          </w:p>
        </w:tc>
        <w:tc>
          <w:tcPr>
            <w:tcW w:w="6950" w:type="dxa"/>
            <w:tcBorders>
              <w:top w:val="single" w:color="000000" w:sz="8" w:space="0"/>
              <w:left w:val="single" w:color="auto" w:sz="4" w:space="0"/>
              <w:bottom w:val="single" w:color="000000" w:sz="8" w:space="0"/>
              <w:right w:val="single" w:color="000000" w:sz="8" w:space="0"/>
            </w:tcBorders>
            <w:vAlign w:val="center"/>
          </w:tcPr>
          <w:p w14:paraId="09C5F13B">
            <w:pPr>
              <w:spacing w:line="40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 xml:space="preserve">是否需要履约保证金: </w:t>
            </w:r>
            <w:sdt>
              <w:sdtPr>
                <w:rPr>
                  <w:rFonts w:hint="eastAsia" w:ascii="仿宋" w:hAnsi="仿宋" w:eastAsia="仿宋" w:cs="仿宋"/>
                  <w:color w:val="auto"/>
                  <w:sz w:val="24"/>
                  <w:szCs w:val="24"/>
                </w:rPr>
                <w:id w:val="504719723"/>
              </w:sdtPr>
              <w:sdtEndPr>
                <w:rPr>
                  <w:rFonts w:hint="eastAsia" w:ascii="仿宋" w:hAnsi="仿宋" w:eastAsia="仿宋" w:cs="仿宋"/>
                  <w:color w:val="auto"/>
                  <w:sz w:val="24"/>
                  <w:szCs w:val="24"/>
                </w:rPr>
              </w:sdtEndPr>
              <w:sdtContent>
                <w:sdt>
                  <w:sdtPr>
                    <w:rPr>
                      <w:rFonts w:hint="eastAsia" w:ascii="仿宋" w:hAnsi="仿宋" w:eastAsia="仿宋" w:cs="仿宋"/>
                      <w:color w:val="auto"/>
                      <w:sz w:val="24"/>
                      <w:szCs w:val="24"/>
                    </w:rPr>
                    <w:id w:val="504719725"/>
                  </w:sdtPr>
                  <w:sdtEndPr>
                    <w:rPr>
                      <w:rFonts w:hint="eastAsia" w:ascii="仿宋" w:hAnsi="仿宋" w:eastAsia="仿宋" w:cs="仿宋"/>
                      <w:color w:val="auto"/>
                      <w:sz w:val="24"/>
                      <w:szCs w:val="24"/>
                    </w:rPr>
                  </w:sdtEndPr>
                  <w:sdtContent>
                    <w:r>
                      <w:rPr>
                        <w:rFonts w:hint="eastAsia" w:ascii="仿宋" w:hAnsi="仿宋" w:eastAsia="仿宋" w:cs="仿宋"/>
                        <w:color w:val="auto"/>
                        <w:sz w:val="24"/>
                        <w:szCs w:val="24"/>
                      </w:rPr>
                      <w:sym w:font="Wingdings" w:char="00A8"/>
                    </w:r>
                  </w:sdtContent>
                </w:sdt>
                <w:r>
                  <w:rPr>
                    <w:rFonts w:hint="eastAsia" w:ascii="仿宋" w:hAnsi="仿宋" w:eastAsia="仿宋" w:cs="仿宋"/>
                    <w:color w:val="auto"/>
                    <w:sz w:val="24"/>
                    <w:szCs w:val="24"/>
                  </w:rPr>
                  <w:t>是</w:t>
                </w:r>
                <w:sdt>
                  <w:sdtPr>
                    <w:rPr>
                      <w:rFonts w:hint="eastAsia" w:ascii="仿宋" w:hAnsi="仿宋" w:eastAsia="仿宋" w:cs="仿宋"/>
                      <w:color w:val="auto"/>
                      <w:kern w:val="0"/>
                      <w:sz w:val="24"/>
                    </w:rPr>
                    <w:id w:val="147478990"/>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lang w:eastAsia="zh-CN"/>
                      </w:rPr>
                      <w:t>☑</w:t>
                    </w:r>
                  </w:sdtContent>
                </w:sdt>
                <w:sdt>
                  <w:sdtPr>
                    <w:rPr>
                      <w:rFonts w:hint="eastAsia" w:ascii="仿宋" w:hAnsi="仿宋" w:eastAsia="仿宋" w:cs="仿宋"/>
                      <w:color w:val="auto"/>
                      <w:kern w:val="0"/>
                      <w:sz w:val="24"/>
                    </w:rPr>
                    <w:id w:val="147458685"/>
                    <w:showingPlcHdr/>
                  </w:sdtPr>
                  <w:sdtEndPr>
                    <w:rPr>
                      <w:rFonts w:hint="eastAsia" w:ascii="仿宋" w:hAnsi="仿宋" w:eastAsia="仿宋" w:cs="仿宋"/>
                      <w:color w:val="auto"/>
                      <w:kern w:val="0"/>
                      <w:sz w:val="24"/>
                    </w:rPr>
                  </w:sdtEndPr>
                  <w:sdtContent/>
                </w:sdt>
                <w:r>
                  <w:rPr>
                    <w:rFonts w:hint="eastAsia" w:ascii="仿宋" w:hAnsi="仿宋" w:eastAsia="仿宋" w:cs="仿宋"/>
                    <w:color w:val="auto"/>
                    <w:sz w:val="24"/>
                    <w:szCs w:val="24"/>
                  </w:rPr>
                  <w:t>否</w:t>
                </w:r>
              </w:sdtContent>
            </w:sdt>
          </w:p>
        </w:tc>
      </w:tr>
      <w:tr w14:paraId="448EA7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vMerge w:val="restart"/>
            <w:tcBorders>
              <w:top w:val="single" w:color="auto" w:sz="4" w:space="0"/>
              <w:left w:val="single" w:color="auto" w:sz="4" w:space="0"/>
              <w:right w:val="single" w:color="auto" w:sz="4" w:space="0"/>
            </w:tcBorders>
            <w:vAlign w:val="center"/>
          </w:tcPr>
          <w:p w14:paraId="45D21E2A">
            <w:pPr>
              <w:snapToGrid w:val="0"/>
              <w:spacing w:line="360" w:lineRule="auto"/>
              <w:jc w:val="center"/>
              <w:rPr>
                <w:rFonts w:hint="eastAsia" w:ascii="仿宋" w:hAnsi="仿宋" w:eastAsia="仿宋" w:cs="仿宋"/>
                <w:b/>
                <w:color w:val="auto"/>
                <w:kern w:val="2"/>
                <w:sz w:val="24"/>
                <w:szCs w:val="22"/>
                <w:lang w:val="en-US" w:eastAsia="zh-CN" w:bidi="ar-SA"/>
              </w:rPr>
            </w:pPr>
            <w:r>
              <w:rPr>
                <w:rFonts w:hint="eastAsia" w:ascii="仿宋" w:hAnsi="仿宋" w:eastAsia="仿宋" w:cs="仿宋"/>
                <w:b/>
                <w:color w:val="auto"/>
                <w:sz w:val="24"/>
                <w:lang w:val="en-US" w:eastAsia="zh-CN"/>
              </w:rPr>
              <w:t>14</w:t>
            </w:r>
          </w:p>
        </w:tc>
        <w:tc>
          <w:tcPr>
            <w:tcW w:w="1968" w:type="dxa"/>
            <w:vMerge w:val="restart"/>
            <w:tcBorders>
              <w:top w:val="single" w:color="auto" w:sz="4" w:space="0"/>
              <w:left w:val="single" w:color="auto" w:sz="4" w:space="0"/>
              <w:right w:val="single" w:color="auto" w:sz="4" w:space="0"/>
            </w:tcBorders>
            <w:vAlign w:val="center"/>
          </w:tcPr>
          <w:p w14:paraId="1E2EF0EE">
            <w:pPr>
              <w:snapToGrid w:val="0"/>
              <w:spacing w:line="360" w:lineRule="auto"/>
              <w:jc w:val="center"/>
              <w:rPr>
                <w:rFonts w:hint="eastAsia" w:ascii="仿宋" w:hAnsi="仿宋" w:eastAsia="仿宋" w:cs="仿宋"/>
                <w:b/>
                <w:color w:val="auto"/>
                <w:kern w:val="2"/>
                <w:sz w:val="24"/>
                <w:szCs w:val="22"/>
                <w:lang w:val="en-US" w:eastAsia="zh-CN" w:bidi="ar-SA"/>
              </w:rPr>
            </w:pPr>
            <w:r>
              <w:rPr>
                <w:rFonts w:hint="eastAsia" w:ascii="仿宋" w:hAnsi="仿宋" w:eastAsia="仿宋" w:cs="仿宋"/>
                <w:b/>
                <w:color w:val="auto"/>
                <w:sz w:val="24"/>
              </w:rPr>
              <w:t>特别说明</w:t>
            </w:r>
          </w:p>
        </w:tc>
        <w:tc>
          <w:tcPr>
            <w:tcW w:w="6950" w:type="dxa"/>
            <w:tcBorders>
              <w:top w:val="single" w:color="000000" w:sz="8" w:space="0"/>
              <w:left w:val="single" w:color="auto" w:sz="4" w:space="0"/>
              <w:bottom w:val="single" w:color="000000" w:sz="8" w:space="0"/>
              <w:right w:val="single" w:color="000000" w:sz="8" w:space="0"/>
            </w:tcBorders>
            <w:vAlign w:val="center"/>
          </w:tcPr>
          <w:p w14:paraId="5D139D16">
            <w:pPr>
              <w:spacing w:line="400" w:lineRule="exact"/>
              <w:contextualSpacing/>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8"/>
                <w:sz w:val="24"/>
              </w:rPr>
              <w:t>联合体投标的，联合体各方分别提供与联合体协议中规定的分工内容相应的业绩证明材料，业绩数量以提供材料较少的一方为准。</w:t>
            </w:r>
          </w:p>
        </w:tc>
      </w:tr>
      <w:tr w14:paraId="2185BA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vMerge w:val="continue"/>
            <w:tcBorders>
              <w:left w:val="single" w:color="auto" w:sz="4" w:space="0"/>
              <w:bottom w:val="single" w:color="auto" w:sz="4" w:space="0"/>
              <w:right w:val="single" w:color="auto" w:sz="4" w:space="0"/>
            </w:tcBorders>
            <w:vAlign w:val="center"/>
          </w:tcPr>
          <w:p w14:paraId="07028CA3">
            <w:pPr>
              <w:snapToGrid w:val="0"/>
              <w:spacing w:line="360" w:lineRule="auto"/>
              <w:jc w:val="center"/>
              <w:rPr>
                <w:rFonts w:hint="eastAsia" w:ascii="仿宋" w:hAnsi="仿宋" w:eastAsia="仿宋" w:cs="仿宋"/>
                <w:b/>
                <w:color w:val="auto"/>
                <w:sz w:val="24"/>
                <w:lang w:val="en-US" w:eastAsia="zh-CN"/>
              </w:rPr>
            </w:pPr>
          </w:p>
        </w:tc>
        <w:tc>
          <w:tcPr>
            <w:tcW w:w="1968" w:type="dxa"/>
            <w:vMerge w:val="continue"/>
            <w:tcBorders>
              <w:left w:val="single" w:color="auto" w:sz="4" w:space="0"/>
              <w:bottom w:val="single" w:color="auto" w:sz="4" w:space="0"/>
              <w:right w:val="single" w:color="auto" w:sz="4" w:space="0"/>
            </w:tcBorders>
            <w:vAlign w:val="center"/>
          </w:tcPr>
          <w:p w14:paraId="13A1C483">
            <w:pPr>
              <w:snapToGrid w:val="0"/>
              <w:spacing w:line="360" w:lineRule="auto"/>
              <w:jc w:val="center"/>
              <w:rPr>
                <w:rFonts w:hint="eastAsia" w:ascii="仿宋" w:hAnsi="仿宋" w:eastAsia="仿宋" w:cs="仿宋"/>
                <w:b/>
                <w:color w:val="auto"/>
                <w:sz w:val="24"/>
              </w:rPr>
            </w:pPr>
          </w:p>
        </w:tc>
        <w:tc>
          <w:tcPr>
            <w:tcW w:w="6950" w:type="dxa"/>
            <w:tcBorders>
              <w:top w:val="single" w:color="000000" w:sz="8" w:space="0"/>
              <w:left w:val="single" w:color="auto" w:sz="4" w:space="0"/>
              <w:bottom w:val="single" w:color="000000" w:sz="8" w:space="0"/>
              <w:right w:val="single" w:color="000000" w:sz="8" w:space="0"/>
            </w:tcBorders>
            <w:vAlign w:val="center"/>
          </w:tcPr>
          <w:p w14:paraId="42E703A0">
            <w:pPr>
              <w:spacing w:line="360" w:lineRule="auto"/>
              <w:rPr>
                <w:rFonts w:hint="eastAsia" w:ascii="仿宋" w:hAnsi="仿宋" w:eastAsia="仿宋" w:cs="仿宋"/>
                <w:color w:val="auto"/>
                <w:kern w:val="28"/>
                <w:sz w:val="24"/>
              </w:rPr>
            </w:pPr>
            <w:sdt>
              <w:sdtPr>
                <w:rPr>
                  <w:rFonts w:hint="eastAsia" w:ascii="仿宋" w:hAnsi="仿宋" w:eastAsia="仿宋" w:cs="仿宋"/>
                  <w:color w:val="auto"/>
                  <w:kern w:val="28"/>
                  <w:sz w:val="24"/>
                </w:rPr>
                <w:id w:val="28832116"/>
              </w:sdtPr>
              <w:sdtEndPr>
                <w:rPr>
                  <w:rFonts w:hint="eastAsia" w:ascii="仿宋" w:hAnsi="仿宋" w:eastAsia="仿宋" w:cs="仿宋"/>
                  <w:color w:val="auto"/>
                  <w:kern w:val="28"/>
                  <w:sz w:val="24"/>
                </w:rPr>
              </w:sdtEndPr>
              <w:sdtContent>
                <w:r>
                  <w:rPr>
                    <w:rFonts w:hint="eastAsia" w:ascii="仿宋" w:hAnsi="仿宋" w:eastAsia="仿宋" w:cs="仿宋"/>
                    <w:color w:val="auto"/>
                    <w:kern w:val="28"/>
                    <w:sz w:val="24"/>
                  </w:rPr>
                  <w:sym w:font="Wingdings" w:char="00A8"/>
                </w:r>
              </w:sdtContent>
            </w:sdt>
            <w:r>
              <w:rPr>
                <w:rFonts w:hint="eastAsia" w:ascii="仿宋" w:hAnsi="仿宋" w:eastAsia="仿宋" w:cs="仿宋"/>
                <w:color w:val="auto"/>
                <w:kern w:val="28"/>
                <w:sz w:val="24"/>
              </w:rPr>
              <w:t>联合体投标的，联合体各方均需按招标文件第四部分评标办法提供资信证明文件，否则视为不符合相关要求。</w:t>
            </w:r>
          </w:p>
          <w:p w14:paraId="36F81296">
            <w:pPr>
              <w:spacing w:line="400" w:lineRule="exact"/>
              <w:contextualSpacing/>
              <w:rPr>
                <w:rFonts w:hint="eastAsia" w:ascii="仿宋" w:hAnsi="仿宋" w:eastAsia="仿宋" w:cs="仿宋"/>
                <w:color w:val="auto"/>
                <w:kern w:val="28"/>
                <w:sz w:val="24"/>
              </w:rPr>
            </w:pPr>
            <w:sdt>
              <w:sdtPr>
                <w:rPr>
                  <w:rFonts w:hint="eastAsia" w:ascii="仿宋" w:hAnsi="仿宋" w:eastAsia="仿宋" w:cs="仿宋"/>
                  <w:color w:val="auto"/>
                  <w:kern w:val="28"/>
                  <w:sz w:val="24"/>
                </w:rPr>
                <w:id w:val="147473130"/>
              </w:sdtPr>
              <w:sdtEndPr>
                <w:rPr>
                  <w:rFonts w:hint="eastAsia" w:ascii="仿宋" w:hAnsi="仿宋" w:eastAsia="仿宋" w:cs="仿宋"/>
                  <w:color w:val="auto"/>
                  <w:kern w:val="28"/>
                  <w:sz w:val="24"/>
                </w:rPr>
              </w:sdtEndPr>
              <w:sdtContent>
                <w:r>
                  <w:rPr>
                    <w:rFonts w:hint="eastAsia" w:ascii="仿宋" w:hAnsi="仿宋" w:eastAsia="仿宋" w:cs="仿宋"/>
                    <w:color w:val="auto"/>
                    <w:kern w:val="28"/>
                    <w:sz w:val="24"/>
                  </w:rPr>
                  <w:sym w:font="Wingdings" w:char="00A8"/>
                </w:r>
              </w:sdtContent>
            </w:sdt>
            <w:r>
              <w:rPr>
                <w:rFonts w:hint="eastAsia" w:ascii="仿宋" w:hAnsi="仿宋" w:eastAsia="仿宋" w:cs="仿宋"/>
                <w:color w:val="auto"/>
                <w:kern w:val="28"/>
                <w:sz w:val="24"/>
              </w:rPr>
              <w:t>联合体投标的，联合体中有一方或者联合体成员根据分工按招标文件第四部分评标办法提供资信证明文件的，视为符合了相关要求。</w:t>
            </w:r>
          </w:p>
        </w:tc>
      </w:tr>
    </w:tbl>
    <w:p w14:paraId="3E429AF2">
      <w:pPr>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br w:type="page"/>
      </w:r>
      <w:bookmarkEnd w:id="10"/>
      <w:bookmarkStart w:id="11" w:name="第三部分"/>
      <w:bookmarkStart w:id="12" w:name="_Toc164416483"/>
      <w:r>
        <w:rPr>
          <w:rFonts w:hint="eastAsia" w:ascii="仿宋" w:hAnsi="仿宋" w:eastAsia="仿宋" w:cs="仿宋"/>
          <w:b/>
          <w:color w:val="auto"/>
          <w:sz w:val="32"/>
          <w:szCs w:val="20"/>
        </w:rPr>
        <w:t>一、总则</w:t>
      </w:r>
    </w:p>
    <w:p w14:paraId="1AF834BC">
      <w:pPr>
        <w:snapToGrid w:val="0"/>
        <w:spacing w:line="360" w:lineRule="auto"/>
        <w:ind w:firstLine="482" w:firstLineChars="200"/>
        <w:jc w:val="left"/>
        <w:rPr>
          <w:rFonts w:hint="eastAsia" w:ascii="仿宋" w:hAnsi="仿宋" w:eastAsia="仿宋" w:cs="仿宋"/>
          <w:b/>
          <w:color w:val="auto"/>
          <w:sz w:val="24"/>
        </w:rPr>
      </w:pPr>
      <w:bookmarkStart w:id="13" w:name="_Hlt74714665"/>
      <w:bookmarkEnd w:id="13"/>
      <w:bookmarkStart w:id="14" w:name="_Toc91899872"/>
      <w:bookmarkEnd w:id="14"/>
      <w:bookmarkStart w:id="15" w:name="_Hlt74730208"/>
      <w:bookmarkEnd w:id="15"/>
      <w:bookmarkStart w:id="16" w:name="_Hlt74730295"/>
      <w:bookmarkEnd w:id="16"/>
      <w:bookmarkStart w:id="17" w:name="_Hlt74730112"/>
      <w:bookmarkEnd w:id="17"/>
      <w:r>
        <w:rPr>
          <w:rFonts w:hint="eastAsia" w:ascii="仿宋" w:hAnsi="仿宋" w:eastAsia="仿宋" w:cs="仿宋"/>
          <w:b/>
          <w:color w:val="auto"/>
          <w:sz w:val="24"/>
        </w:rPr>
        <w:t>1.适用范围</w:t>
      </w:r>
    </w:p>
    <w:p w14:paraId="7167B62B">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7CC11CC8">
      <w:pPr>
        <w:snapToGrid w:val="0"/>
        <w:spacing w:line="360" w:lineRule="auto"/>
        <w:ind w:firstLine="482" w:firstLineChars="200"/>
        <w:jc w:val="left"/>
        <w:rPr>
          <w:rFonts w:hint="eastAsia" w:ascii="仿宋" w:hAnsi="仿宋" w:eastAsia="仿宋" w:cs="仿宋"/>
          <w:color w:val="auto"/>
          <w:sz w:val="24"/>
        </w:rPr>
      </w:pPr>
      <w:r>
        <w:rPr>
          <w:rFonts w:hint="eastAsia" w:ascii="仿宋" w:hAnsi="仿宋" w:eastAsia="仿宋" w:cs="仿宋"/>
          <w:b/>
          <w:color w:val="auto"/>
          <w:sz w:val="24"/>
        </w:rPr>
        <w:t>2.定义</w:t>
      </w:r>
    </w:p>
    <w:p w14:paraId="77A2D61A">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12949F4D">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2.2“采购代理机构”系指招标公告中载明的本项目的采购代理机构。</w:t>
      </w:r>
    </w:p>
    <w:p w14:paraId="004C1CDF">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2.3“投标人”系指是指响应招标、参加投标竞争的法人、其他组织或者自然人。</w:t>
      </w:r>
    </w:p>
    <w:p w14:paraId="319464AB">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2.4“负责人”系指法人企业的法定负责人，或其他组织为法律、行政法规规定代表单位行使职权的主要负责人，或自然人本人。</w:t>
      </w:r>
    </w:p>
    <w:p w14:paraId="49EE5EAE">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DD3C5B5">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2.6“电子交易平台”是指本项目政府采购活动所依托的政府采购云平台（https://www.zcygov.cn/）。</w:t>
      </w:r>
    </w:p>
    <w:p w14:paraId="039BC3EF">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2.7“▲” 系指实质性要求条款，</w:t>
      </w:r>
      <w:r>
        <w:rPr>
          <w:rFonts w:hint="eastAsia" w:ascii="仿宋" w:hAnsi="仿宋" w:eastAsia="仿宋" w:cs="仿宋"/>
          <w:color w:val="auto"/>
          <w:sz w:val="24"/>
          <w:szCs w:val="24"/>
        </w:rPr>
        <w:t>“</w:t>
      </w:r>
      <w:sdt>
        <w:sdtPr>
          <w:rPr>
            <w:rFonts w:hint="eastAsia" w:ascii="仿宋" w:hAnsi="仿宋" w:eastAsia="仿宋" w:cs="仿宋"/>
            <w:color w:val="auto"/>
            <w:sz w:val="24"/>
            <w:szCs w:val="24"/>
          </w:rPr>
          <w:id w:val="512970236"/>
        </w:sdtPr>
        <w:sdtEndPr>
          <w:rPr>
            <w:rFonts w:hint="eastAsia" w:ascii="仿宋" w:hAnsi="仿宋" w:eastAsia="仿宋" w:cs="仿宋"/>
            <w:color w:val="auto"/>
            <w:sz w:val="24"/>
            <w:szCs w:val="24"/>
          </w:rPr>
        </w:sdtEndPr>
        <w:sdtContent>
          <w:sdt>
            <w:sdtPr>
              <w:rPr>
                <w:rFonts w:hint="eastAsia" w:ascii="仿宋" w:hAnsi="仿宋" w:eastAsia="仿宋" w:cs="仿宋"/>
                <w:color w:val="auto"/>
                <w:sz w:val="24"/>
                <w:szCs w:val="24"/>
              </w:rPr>
              <w:id w:val="-1934305363"/>
            </w:sdtPr>
            <w:sdtEndPr>
              <w:rPr>
                <w:rFonts w:hint="eastAsia" w:ascii="仿宋" w:hAnsi="仿宋" w:eastAsia="仿宋" w:cs="仿宋"/>
                <w:color w:val="auto"/>
                <w:sz w:val="24"/>
                <w:szCs w:val="24"/>
              </w:rPr>
            </w:sdtEndPr>
            <w:sdtContent>
              <w:r>
                <w:rPr>
                  <w:rFonts w:hint="eastAsia" w:ascii="仿宋" w:hAnsi="仿宋" w:eastAsia="仿宋" w:cs="仿宋"/>
                  <w:color w:val="auto"/>
                  <w:sz w:val="24"/>
                  <w:szCs w:val="24"/>
                </w:rPr>
                <w:sym w:font="Wingdings" w:char="F0FE"/>
              </w:r>
            </w:sdtContent>
          </w:sdt>
        </w:sdtContent>
      </w:sdt>
      <w:r>
        <w:rPr>
          <w:rFonts w:hint="eastAsia" w:ascii="仿宋" w:hAnsi="仿宋" w:eastAsia="仿宋" w:cs="仿宋"/>
          <w:color w:val="auto"/>
          <w:sz w:val="24"/>
          <w:szCs w:val="24"/>
        </w:rPr>
        <w:t>”</w:t>
      </w:r>
      <w:r>
        <w:rPr>
          <w:rFonts w:hint="eastAsia" w:ascii="仿宋" w:hAnsi="仿宋" w:eastAsia="仿宋" w:cs="仿宋"/>
          <w:color w:val="auto"/>
          <w:sz w:val="24"/>
        </w:rPr>
        <w:t>系指适用本项目的要求，“☐”系指不适用本项目的要求。</w:t>
      </w:r>
    </w:p>
    <w:p w14:paraId="0F5F739A">
      <w:pPr>
        <w:snapToGrid w:val="0"/>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3.采购项目需要落实的政府采购政策</w:t>
      </w:r>
    </w:p>
    <w:p w14:paraId="0FB5F7EE">
      <w:pPr>
        <w:snapToGrid w:val="0"/>
        <w:spacing w:line="360" w:lineRule="auto"/>
        <w:ind w:firstLine="480" w:firstLineChars="200"/>
        <w:jc w:val="left"/>
        <w:rPr>
          <w:rFonts w:hint="eastAsia" w:ascii="仿宋" w:hAnsi="仿宋" w:eastAsia="仿宋" w:cs="仿宋"/>
          <w:b/>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163D519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 支持绿色发展</w:t>
      </w:r>
    </w:p>
    <w:p w14:paraId="66A5BBA1">
      <w:pPr>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采购人拟采购的产品属于政府强制采购的节能产品品目清单范围的，投标人未按招标文件要求提供国家确定的认证机构出具的、处于有效期之内的节能产品认证证书的，投标无效。</w:t>
      </w:r>
    </w:p>
    <w:p w14:paraId="3AC4C0B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3.2.2 修缮、装修类项目采购建材的，采购人应将绿色建筑和绿色建材性能、指标等作为实质性条件纳入招标文件和合同。</w:t>
      </w:r>
    </w:p>
    <w:p w14:paraId="2603CDF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529375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3.3支持中小企业发展</w:t>
      </w:r>
    </w:p>
    <w:p w14:paraId="216BA3B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F13590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符合中小企业划分标准的个体工商户，在政府采购活动中视同中小企业。</w:t>
      </w:r>
    </w:p>
    <w:p w14:paraId="7C7FDD85">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bCs/>
          <w:color w:val="auto"/>
          <w:sz w:val="24"/>
        </w:rPr>
        <w:t>3.3.2</w:t>
      </w:r>
      <w:r>
        <w:rPr>
          <w:rFonts w:hint="eastAsia" w:ascii="仿宋" w:hAnsi="仿宋" w:eastAsia="仿宋" w:cs="仿宋"/>
          <w:color w:val="auto"/>
          <w:kern w:val="0"/>
          <w:sz w:val="24"/>
        </w:rPr>
        <w:t>在政府采购活动中，投标人提供的货物、工程或者服务符合下列情形的，享受中小企业扶持政策：</w:t>
      </w:r>
    </w:p>
    <w:p w14:paraId="601766B7">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3.3.2.1在货物采购项目中，货物由中小企业制造，即货物由中小企业生产且使用该中小企业商号或者注册商标；</w:t>
      </w:r>
    </w:p>
    <w:p w14:paraId="727A62AE">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3.3.2.2在工程采购项目中，工程由中小企业承建，即工程施工单位为中小企业；</w:t>
      </w:r>
    </w:p>
    <w:p w14:paraId="7EF4A640">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3.3.2.3在服务采购项目中，服务由中小企业承接，即提供服务的人员为中小企业依照</w:t>
      </w:r>
      <w:r>
        <w:rPr>
          <w:rFonts w:hint="eastAsia" w:ascii="仿宋" w:hAnsi="仿宋" w:eastAsia="仿宋" w:cs="仿宋"/>
          <w:color w:val="auto"/>
          <w:sz w:val="24"/>
          <w:szCs w:val="24"/>
        </w:rPr>
        <w:t>《中华人民共和国劳动中华人民共和国民法典》</w:t>
      </w:r>
      <w:r>
        <w:rPr>
          <w:rFonts w:hint="eastAsia" w:ascii="仿宋" w:hAnsi="仿宋" w:eastAsia="仿宋" w:cs="仿宋"/>
          <w:color w:val="auto"/>
          <w:kern w:val="0"/>
          <w:sz w:val="24"/>
        </w:rPr>
        <w:t>订立劳动合同的从业人员。</w:t>
      </w:r>
    </w:p>
    <w:p w14:paraId="347A249F">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在货物采购项目中，投标人提供的货物既有中小企业制造货物，也有大型企业制造货物的，不享受中小企业扶持政策。</w:t>
      </w:r>
    </w:p>
    <w:p w14:paraId="6A6BC1BF">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以联合体形式参加政府采购活动，联合体各方均为中小企业的，联合体视同中小企业。其中，联合体各方均为小微企业的，联合体视同小微企业。</w:t>
      </w:r>
    </w:p>
    <w:p w14:paraId="5D89B71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3.3.3符合《关于促进残疾人就业政府采购政策的通知》（财库〔2017〕141号）规定的条件并提供《残疾人福利性单位声明函》（附件1）的残疾人福利性单位视同小型、微型企业。</w:t>
      </w:r>
    </w:p>
    <w:p w14:paraId="21483E2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3.3.4符合《关于政府采购支持监狱企业发展有关问题的通知》（财库[2014]68号）规定的监狱企业并提供由省级以上监狱管理局、戒毒管理局（含新疆生产建设兵团）出具的属于监狱企业证明文件的，视同为小型、微型企业。</w:t>
      </w:r>
    </w:p>
    <w:p w14:paraId="6D4A3CB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3.3.5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44084C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3.3.6中小企业享受扶持政策获得政府采购合同的，小微企业不得将合同分包给大中型企业，中型企业不得将合同分包给大型企业。</w:t>
      </w:r>
    </w:p>
    <w:p w14:paraId="448DF9F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支持创新发展</w:t>
      </w:r>
    </w:p>
    <w:p w14:paraId="26EE691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3.4.1 采购人优先采购被认定为首台套产品和“制造精品”的自主创新产品。</w:t>
      </w:r>
    </w:p>
    <w:p w14:paraId="7E1C3D3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3CEC846F">
      <w:pPr>
        <w:wordWrap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sz w:val="24"/>
        </w:rPr>
        <w:t>3.5</w:t>
      </w:r>
      <w:r>
        <w:rPr>
          <w:rFonts w:hint="eastAsia" w:ascii="仿宋" w:hAnsi="仿宋" w:eastAsia="仿宋" w:cs="仿宋"/>
          <w:color w:val="auto"/>
          <w:kern w:val="0"/>
          <w:sz w:val="24"/>
          <w:lang w:val="zh-CN"/>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p w14:paraId="38F9A71E">
      <w:pPr>
        <w:snapToGrid w:val="0"/>
        <w:spacing w:line="360" w:lineRule="auto"/>
        <w:ind w:firstLine="482" w:firstLineChars="200"/>
        <w:jc w:val="left"/>
        <w:rPr>
          <w:rFonts w:hint="eastAsia" w:ascii="仿宋" w:hAnsi="仿宋" w:eastAsia="仿宋" w:cs="仿宋"/>
          <w:color w:val="auto"/>
          <w:sz w:val="24"/>
        </w:rPr>
      </w:pPr>
      <w:r>
        <w:rPr>
          <w:rFonts w:hint="eastAsia" w:ascii="仿宋" w:hAnsi="仿宋" w:eastAsia="仿宋" w:cs="仿宋"/>
          <w:b/>
          <w:color w:val="auto"/>
          <w:sz w:val="24"/>
        </w:rPr>
        <w:t>4. 询问、质疑、投诉</w:t>
      </w:r>
    </w:p>
    <w:p w14:paraId="61626FBE">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4.1供应商询问</w:t>
      </w:r>
    </w:p>
    <w:p w14:paraId="6931D449">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供应商可以就招标文件中特定资格条件、采购需求、评分办法及采购过程中有关现场考察或开标前答疑会事项向采购人提出询问，采购人将对此作出答复；供应商可以就采购活动中的其它事项向采购代理机构提出询问，采购代理机构将对此作出答复。答复的内容不得涉及商业秘密。</w:t>
      </w:r>
    </w:p>
    <w:p w14:paraId="5F3A36E7">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4.2供应商质疑</w:t>
      </w:r>
    </w:p>
    <w:p w14:paraId="42DA831C">
      <w:pPr>
        <w:pStyle w:val="1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kern w:val="0"/>
          <w:sz w:val="24"/>
          <w:szCs w:val="24"/>
          <w:lang w:val="zh-CN"/>
        </w:rPr>
        <w:t>4.2</w:t>
      </w:r>
      <w:r>
        <w:rPr>
          <w:rFonts w:hint="eastAsia" w:ascii="仿宋" w:hAnsi="仿宋" w:eastAsia="仿宋" w:cs="仿宋"/>
          <w:color w:val="auto"/>
          <w:sz w:val="24"/>
          <w:szCs w:val="24"/>
        </w:rPr>
        <w:t>.1提出质疑的供应商应当是参与所质疑项目采购活动的供应商。潜在供应商已依法获取其可质疑的招标文件的，可以对该文件提出质疑。</w:t>
      </w:r>
    </w:p>
    <w:p w14:paraId="45BED9C9">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94E6674">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4.2.2.1对招标文件提出质疑的，质疑期限为供应商获得招标文件之日或者招标文件公告期限届满之日起计算。招标文件在获取截止之日后获得的，应当自招标文件公告期限届满之日起计算，且应当在采购响应截止时间之前提出。对招标文件中特定资格条件、采购需求、评分办法提出的质疑，原则上由采购人负责答复；对招标文件中其他内容提出的质疑，原则上由采购代理机构负责答复。</w:t>
      </w:r>
    </w:p>
    <w:p w14:paraId="1F4EEAE4">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4.2.2.2对采购过程提出质疑的，质疑期限为各采购程序环节结束之日起计算。对同一采购程序环节的质疑，供应商须一次性提出。对采购过程中有关现场考察或开标前答疑会事项提出的质疑，原则上由采购人负责答复；对采购过程中其它事项提出的质疑，原则上由采购代理机构负责答复。</w:t>
      </w:r>
    </w:p>
    <w:p w14:paraId="1A0EB782">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4.2.2.3对采购结果提出质疑的，质疑期限自采购结果公告期限届满之日起计算。对采购结果提出质疑的，采购代理机构负责答复。</w:t>
      </w:r>
    </w:p>
    <w:p w14:paraId="3C3BC628">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4.2.3供应商提出质疑应当提交质疑函和必要的证明材料。质疑函应当包括下列内容：</w:t>
      </w:r>
    </w:p>
    <w:p w14:paraId="628CD7EB">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4.2.3.1供应商的姓名或者名称、地址、邮编、联系人及联系电话；</w:t>
      </w:r>
    </w:p>
    <w:p w14:paraId="7F24A0C4">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4.2.3.2质疑项目的名称、编号；</w:t>
      </w:r>
    </w:p>
    <w:p w14:paraId="69C5E465">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4.2.3.3具体、明确的质疑事项和与质疑事项相关的请求；</w:t>
      </w:r>
    </w:p>
    <w:p w14:paraId="4A7018E5">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4.2.3.4事实依据；</w:t>
      </w:r>
    </w:p>
    <w:p w14:paraId="308B15A9">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4.2.3.5必要的法律依据；</w:t>
      </w:r>
    </w:p>
    <w:p w14:paraId="30504F4E">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4.2.3.6提出质疑的日期。</w:t>
      </w:r>
    </w:p>
    <w:p w14:paraId="40CA7FC6">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供应商提交的质疑函需一式三份。供应商为自然人的，应当由本人签字；供应商为法人或者其他组织的，应当由法定代表人、主要负责人，或者其授权代表签字或者盖章，并加盖公章。</w:t>
      </w:r>
    </w:p>
    <w:p w14:paraId="13E6A481">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质疑函范本及制作说明</w:t>
      </w:r>
      <w:r>
        <w:rPr>
          <w:rFonts w:hint="eastAsia" w:ascii="仿宋" w:hAnsi="仿宋" w:eastAsia="仿宋" w:cs="仿宋"/>
          <w:color w:val="auto"/>
          <w:sz w:val="24"/>
        </w:rPr>
        <w:t>请到浙江政府采购网下载专区下载</w:t>
      </w:r>
      <w:r>
        <w:rPr>
          <w:rFonts w:hint="eastAsia" w:ascii="仿宋" w:hAnsi="仿宋" w:eastAsia="仿宋" w:cs="仿宋"/>
          <w:snapToGrid w:val="0"/>
          <w:color w:val="auto"/>
          <w:kern w:val="0"/>
          <w:sz w:val="24"/>
          <w:szCs w:val="24"/>
          <w:lang w:val="zh-CN"/>
        </w:rPr>
        <w:t>。</w:t>
      </w:r>
    </w:p>
    <w:p w14:paraId="4FD489A1">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4.2.4采购人或者采购代理机构应当在收到供应商的书面质疑后七个工作日内作出答复，并以书面形式通知质疑供应商和其他与质疑处理结果有利害关系的政府采购当事人，但答复的内容不得涉及商业秘密。</w:t>
      </w:r>
    </w:p>
    <w:p w14:paraId="7D22A4E2">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4.2.5询问或者质疑事项可能影响采购结果的，采购人应当暂停签订合同，已经签订合同的，应当中止履行合同。</w:t>
      </w:r>
    </w:p>
    <w:p w14:paraId="3BD21390">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4.3供应商投诉</w:t>
      </w:r>
    </w:p>
    <w:p w14:paraId="2DCCFE37">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4.3.1质疑供应商对采购人、采购代理机构的答复不满意或者采购人、采购代理机构未在规定的时间内作出答复的，可以在答复期满后十五个工作日内向同级政府采购监督管理部门提出投诉。</w:t>
      </w:r>
    </w:p>
    <w:p w14:paraId="673DAAAC">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4.3.2供应商投诉的事项不得超出已质疑事项的范围，基于质疑答复内容提出的投诉事项除外。</w:t>
      </w:r>
    </w:p>
    <w:p w14:paraId="243C0E93">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4.3.3供应商投诉应当有明确的请求和必要的证明材料。</w:t>
      </w:r>
    </w:p>
    <w:p w14:paraId="3067E390">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4.3.</w:t>
      </w: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lang w:val="zh-CN"/>
        </w:rPr>
        <w:t xml:space="preserve"> 以联合体形式参加政府采购活动的，其投诉应当由组成联合体的所有供应商共同提出。</w:t>
      </w:r>
    </w:p>
    <w:p w14:paraId="64EB873E">
      <w:pPr>
        <w:snapToGrid w:val="0"/>
        <w:spacing w:line="360" w:lineRule="auto"/>
        <w:ind w:firstLine="480" w:firstLineChars="200"/>
        <w:jc w:val="left"/>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zh-CN"/>
        </w:rPr>
        <w:t>投诉书范本及制作说明</w:t>
      </w:r>
      <w:r>
        <w:rPr>
          <w:rFonts w:hint="eastAsia" w:ascii="仿宋" w:hAnsi="仿宋" w:eastAsia="仿宋" w:cs="仿宋"/>
          <w:color w:val="auto"/>
          <w:sz w:val="24"/>
        </w:rPr>
        <w:t>请到浙江政府采购网下载专区下载。</w:t>
      </w:r>
    </w:p>
    <w:p w14:paraId="7E78259D">
      <w:pPr>
        <w:pStyle w:val="25"/>
        <w:shd w:val="clear" w:color="auto" w:fill="FFFFFF"/>
        <w:snapToGrid w:val="0"/>
        <w:spacing w:after="240" w:afterAutospacing="0" w:line="360" w:lineRule="auto"/>
        <w:ind w:firstLine="518" w:firstLineChars="216"/>
        <w:contextualSpacing/>
        <w:rPr>
          <w:rFonts w:hint="eastAsia" w:ascii="仿宋" w:hAnsi="仿宋" w:eastAsia="仿宋" w:cs="仿宋"/>
          <w:color w:val="auto"/>
        </w:rPr>
      </w:pPr>
    </w:p>
    <w:p w14:paraId="78E54C48">
      <w:pPr>
        <w:widowControl/>
        <w:jc w:val="left"/>
        <w:rPr>
          <w:rFonts w:hint="eastAsia" w:ascii="仿宋" w:hAnsi="仿宋" w:eastAsia="仿宋" w:cs="仿宋"/>
          <w:b/>
          <w:color w:val="auto"/>
          <w:sz w:val="32"/>
          <w:szCs w:val="20"/>
        </w:rPr>
      </w:pPr>
      <w:bookmarkStart w:id="18" w:name="_Hlt74707468"/>
      <w:bookmarkEnd w:id="18"/>
      <w:bookmarkStart w:id="19" w:name="_Hlt68072990"/>
      <w:bookmarkEnd w:id="19"/>
      <w:bookmarkStart w:id="20" w:name="_Hlt74729768"/>
      <w:bookmarkEnd w:id="20"/>
      <w:bookmarkStart w:id="21" w:name="_Hlt68057669"/>
      <w:bookmarkEnd w:id="21"/>
      <w:bookmarkStart w:id="22" w:name="_Hlt75236290"/>
      <w:bookmarkEnd w:id="22"/>
      <w:bookmarkStart w:id="23" w:name="_Toc91899879"/>
      <w:r>
        <w:rPr>
          <w:rFonts w:hint="eastAsia" w:ascii="仿宋" w:hAnsi="仿宋" w:eastAsia="仿宋" w:cs="仿宋"/>
          <w:b/>
          <w:color w:val="auto"/>
          <w:sz w:val="32"/>
          <w:szCs w:val="20"/>
        </w:rPr>
        <w:br w:type="page"/>
      </w:r>
    </w:p>
    <w:p w14:paraId="7D3D1FF8">
      <w:pPr>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二、招标文件</w:t>
      </w:r>
      <w:bookmarkEnd w:id="23"/>
      <w:r>
        <w:rPr>
          <w:rFonts w:hint="eastAsia" w:ascii="仿宋" w:hAnsi="仿宋" w:eastAsia="仿宋" w:cs="仿宋"/>
          <w:b/>
          <w:color w:val="auto"/>
          <w:sz w:val="32"/>
          <w:szCs w:val="20"/>
        </w:rPr>
        <w:t>的构成、澄清、修改</w:t>
      </w:r>
    </w:p>
    <w:p w14:paraId="05936013">
      <w:pPr>
        <w:pStyle w:val="10"/>
        <w:spacing w:line="360" w:lineRule="auto"/>
        <w:ind w:firstLine="482" w:firstLineChars="200"/>
        <w:rPr>
          <w:rFonts w:hint="eastAsia" w:ascii="仿宋" w:hAnsi="仿宋" w:eastAsia="仿宋" w:cs="仿宋"/>
          <w:color w:val="auto"/>
          <w:sz w:val="24"/>
          <w:szCs w:val="24"/>
        </w:rPr>
      </w:pPr>
      <w:bookmarkStart w:id="24" w:name="_Toc91899880"/>
      <w:bookmarkStart w:id="25" w:name="_Hlt74730307"/>
      <w:r>
        <w:rPr>
          <w:rFonts w:hint="eastAsia" w:ascii="仿宋" w:hAnsi="仿宋" w:eastAsia="仿宋" w:cs="仿宋"/>
          <w:b/>
          <w:color w:val="auto"/>
          <w:sz w:val="24"/>
          <w:szCs w:val="24"/>
        </w:rPr>
        <w:t>5．招标文件的构成</w:t>
      </w:r>
      <w:bookmarkEnd w:id="24"/>
    </w:p>
    <w:bookmarkEnd w:id="25"/>
    <w:p w14:paraId="34A076A2">
      <w:pPr>
        <w:spacing w:line="360" w:lineRule="auto"/>
        <w:ind w:firstLine="480" w:firstLineChars="200"/>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5.1 招标文件包括下列文件及附件：</w:t>
      </w:r>
    </w:p>
    <w:p w14:paraId="25D75DF0">
      <w:pPr>
        <w:spacing w:line="360" w:lineRule="auto"/>
        <w:ind w:firstLine="480" w:firstLineChars="200"/>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5.1.1招标公告；</w:t>
      </w:r>
    </w:p>
    <w:p w14:paraId="53B6833C">
      <w:pPr>
        <w:spacing w:line="360" w:lineRule="auto"/>
        <w:ind w:firstLine="480" w:firstLineChars="200"/>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5.1.2投标人须知；</w:t>
      </w:r>
    </w:p>
    <w:p w14:paraId="1E9745DD">
      <w:pPr>
        <w:spacing w:line="360" w:lineRule="auto"/>
        <w:ind w:firstLine="480" w:firstLineChars="200"/>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5.1.3采购需求；</w:t>
      </w:r>
    </w:p>
    <w:p w14:paraId="23643051">
      <w:pPr>
        <w:spacing w:line="360" w:lineRule="auto"/>
        <w:ind w:firstLine="480" w:firstLineChars="200"/>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5.1.4评标办法；</w:t>
      </w:r>
    </w:p>
    <w:p w14:paraId="5777C420">
      <w:pPr>
        <w:spacing w:line="360" w:lineRule="auto"/>
        <w:ind w:firstLine="480" w:firstLineChars="200"/>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5.1.5拟签订的合同文本；</w:t>
      </w:r>
    </w:p>
    <w:p w14:paraId="4515E280">
      <w:pPr>
        <w:spacing w:line="360" w:lineRule="auto"/>
        <w:ind w:firstLine="480" w:firstLineChars="200"/>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5.1.6应提交的有关格式范例。</w:t>
      </w:r>
    </w:p>
    <w:p w14:paraId="4E1C1AEF">
      <w:pPr>
        <w:spacing w:line="360" w:lineRule="auto"/>
        <w:ind w:firstLine="480" w:firstLineChars="200"/>
        <w:rPr>
          <w:rFonts w:hint="eastAsia" w:ascii="仿宋" w:hAnsi="仿宋" w:eastAsia="仿宋" w:cs="仿宋"/>
          <w:color w:val="auto"/>
          <w:sz w:val="24"/>
        </w:rPr>
      </w:pPr>
      <w:r>
        <w:rPr>
          <w:rFonts w:hint="eastAsia" w:ascii="仿宋" w:hAnsi="仿宋" w:eastAsia="仿宋" w:cs="仿宋"/>
          <w:snapToGrid w:val="0"/>
          <w:color w:val="auto"/>
          <w:sz w:val="24"/>
          <w:szCs w:val="24"/>
        </w:rPr>
        <w:t>5.2与本项目有关的澄清或者修改的内容为招标文件的组成部分。</w:t>
      </w:r>
    </w:p>
    <w:p w14:paraId="6E930C35">
      <w:pPr>
        <w:pStyle w:val="10"/>
        <w:spacing w:line="360" w:lineRule="auto"/>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6. 招标文件的澄清、修改</w:t>
      </w:r>
    </w:p>
    <w:p w14:paraId="06E8B944">
      <w:pPr>
        <w:spacing w:line="360" w:lineRule="auto"/>
        <w:ind w:firstLine="480" w:firstLineChars="200"/>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6.1已获取招标文件的潜在投标人，若有问题需要澄清，应于投标截止时间前，以书面形式向采购代理机构提出。</w:t>
      </w:r>
    </w:p>
    <w:p w14:paraId="50ACAD45">
      <w:pPr>
        <w:spacing w:line="360" w:lineRule="auto"/>
        <w:ind w:firstLine="480" w:firstLineChars="200"/>
        <w:rPr>
          <w:rFonts w:hint="eastAsia" w:ascii="仿宋" w:hAnsi="仿宋" w:eastAsia="仿宋" w:cs="仿宋"/>
          <w:color w:val="auto"/>
        </w:rPr>
      </w:pPr>
      <w:r>
        <w:rPr>
          <w:rFonts w:hint="eastAsia" w:ascii="仿宋" w:hAnsi="仿宋" w:eastAsia="仿宋" w:cs="仿宋"/>
          <w:snapToGrid w:val="0"/>
          <w:color w:val="auto"/>
          <w:sz w:val="24"/>
          <w:szCs w:val="24"/>
        </w:rPr>
        <w:t>6.2 采购代理机构对招标文件进行澄清或修改的，将同时通过电子交易平台通知已获取招标文件的潜在投标人。依法应当公告的，将按规定公告，同时视情况延长投标截止时间和开标时间。</w:t>
      </w:r>
      <w:r>
        <w:rPr>
          <w:rFonts w:hint="eastAsia" w:ascii="仿宋" w:hAnsi="仿宋" w:eastAsia="仿宋" w:cs="仿宋"/>
          <w:color w:val="auto"/>
        </w:rPr>
        <w:t>该澄清或者修改的内容为招标文件的组成部分。</w:t>
      </w:r>
    </w:p>
    <w:p w14:paraId="38A16FCC">
      <w:pPr>
        <w:pStyle w:val="3"/>
        <w:rPr>
          <w:rFonts w:hint="eastAsia" w:ascii="仿宋" w:hAnsi="仿宋" w:eastAsia="仿宋" w:cs="仿宋"/>
          <w:color w:val="auto"/>
          <w:sz w:val="18"/>
          <w:szCs w:val="18"/>
          <w:lang w:val="en-US"/>
        </w:rPr>
      </w:pPr>
    </w:p>
    <w:p w14:paraId="4E05B18F">
      <w:pPr>
        <w:spacing w:line="360" w:lineRule="auto"/>
        <w:jc w:val="center"/>
        <w:outlineLvl w:val="0"/>
        <w:rPr>
          <w:rFonts w:hint="eastAsia" w:ascii="仿宋" w:hAnsi="仿宋" w:eastAsia="仿宋" w:cs="仿宋"/>
          <w:b/>
          <w:color w:val="auto"/>
          <w:sz w:val="30"/>
          <w:szCs w:val="20"/>
        </w:rPr>
      </w:pPr>
      <w:bookmarkStart w:id="26" w:name="_Hlt75236011"/>
      <w:bookmarkEnd w:id="26"/>
      <w:bookmarkStart w:id="27" w:name="_Toc91899884"/>
      <w:r>
        <w:rPr>
          <w:rFonts w:hint="eastAsia" w:ascii="仿宋" w:hAnsi="仿宋" w:eastAsia="仿宋" w:cs="仿宋"/>
          <w:b/>
          <w:color w:val="auto"/>
          <w:sz w:val="30"/>
          <w:szCs w:val="20"/>
        </w:rPr>
        <w:t>三、投标</w:t>
      </w:r>
      <w:bookmarkEnd w:id="27"/>
    </w:p>
    <w:p w14:paraId="12568E51">
      <w:pPr>
        <w:pStyle w:val="10"/>
        <w:spacing w:line="360" w:lineRule="auto"/>
        <w:ind w:firstLine="482" w:firstLineChars="200"/>
        <w:rPr>
          <w:rFonts w:hint="eastAsia" w:ascii="仿宋" w:hAnsi="仿宋" w:eastAsia="仿宋" w:cs="仿宋"/>
          <w:b/>
          <w:color w:val="auto"/>
          <w:sz w:val="24"/>
          <w:szCs w:val="24"/>
        </w:rPr>
      </w:pPr>
      <w:bookmarkStart w:id="28" w:name="_Toc86216991"/>
      <w:bookmarkStart w:id="29" w:name="_Toc91899892"/>
      <w:r>
        <w:rPr>
          <w:rFonts w:hint="eastAsia" w:ascii="仿宋" w:hAnsi="仿宋" w:eastAsia="仿宋" w:cs="仿宋"/>
          <w:b/>
          <w:color w:val="auto"/>
          <w:sz w:val="24"/>
          <w:szCs w:val="24"/>
        </w:rPr>
        <w:t>7. 招标文件的获取</w:t>
      </w:r>
    </w:p>
    <w:p w14:paraId="661EF2CE">
      <w:pPr>
        <w:spacing w:line="360" w:lineRule="auto"/>
        <w:ind w:firstLine="480" w:firstLineChars="200"/>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详见招标公告中获取招标文件的时间期限、地点、方式及招标文件售价。</w:t>
      </w:r>
    </w:p>
    <w:p w14:paraId="1FACECD8">
      <w:pPr>
        <w:pStyle w:val="10"/>
        <w:spacing w:line="360" w:lineRule="auto"/>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8.开标前答疑会或现场考察</w:t>
      </w:r>
    </w:p>
    <w:p w14:paraId="5F3752F9">
      <w:pPr>
        <w:pStyle w:val="1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采购人组织潜在投标人现场考察或者召开开标前答疑会的，潜在投标人按第二部分投标人须知前附表的规定参加现场考察或者开标前答疑会。</w:t>
      </w:r>
    </w:p>
    <w:p w14:paraId="3759EACF">
      <w:pPr>
        <w:pStyle w:val="10"/>
        <w:spacing w:line="360" w:lineRule="auto"/>
        <w:ind w:firstLine="482" w:firstLineChars="200"/>
        <w:rPr>
          <w:rFonts w:hint="eastAsia" w:ascii="仿宋" w:hAnsi="仿宋" w:eastAsia="仿宋" w:cs="仿宋"/>
          <w:b/>
          <w:color w:val="auto"/>
          <w:kern w:val="28"/>
          <w:sz w:val="24"/>
          <w:szCs w:val="24"/>
        </w:rPr>
      </w:pPr>
      <w:r>
        <w:rPr>
          <w:rFonts w:hint="eastAsia" w:ascii="仿宋" w:hAnsi="仿宋" w:eastAsia="仿宋" w:cs="仿宋"/>
          <w:b/>
          <w:color w:val="auto"/>
          <w:kern w:val="28"/>
          <w:sz w:val="24"/>
          <w:szCs w:val="24"/>
        </w:rPr>
        <w:t>9.投标保证金</w:t>
      </w:r>
    </w:p>
    <w:p w14:paraId="2610CF7B">
      <w:pPr>
        <w:pStyle w:val="5"/>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14:paraId="47F29271">
      <w:pPr>
        <w:pStyle w:val="10"/>
        <w:spacing w:line="360" w:lineRule="auto"/>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10. 投</w:t>
      </w:r>
      <w:r>
        <w:rPr>
          <w:rFonts w:hint="eastAsia" w:ascii="仿宋" w:hAnsi="仿宋" w:eastAsia="仿宋" w:cs="仿宋"/>
          <w:b/>
          <w:color w:val="auto"/>
          <w:kern w:val="28"/>
          <w:sz w:val="24"/>
          <w:szCs w:val="24"/>
        </w:rPr>
        <w:t>标文件的</w:t>
      </w:r>
      <w:r>
        <w:rPr>
          <w:rFonts w:hint="eastAsia" w:ascii="仿宋" w:hAnsi="仿宋" w:eastAsia="仿宋" w:cs="仿宋"/>
          <w:b/>
          <w:color w:val="auto"/>
          <w:sz w:val="24"/>
          <w:szCs w:val="24"/>
        </w:rPr>
        <w:t>语言</w:t>
      </w:r>
    </w:p>
    <w:p w14:paraId="2D6A2674">
      <w:pPr>
        <w:autoSpaceDE w:val="0"/>
        <w:autoSpaceDN w:val="0"/>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rPr>
        <w:t>投标文件及投标人与采购有关的来往通知、函件和文件均应使用中文。</w:t>
      </w:r>
    </w:p>
    <w:p w14:paraId="183617C3">
      <w:pPr>
        <w:pStyle w:val="10"/>
        <w:spacing w:line="360" w:lineRule="auto"/>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11. 投标文件的组成</w:t>
      </w:r>
    </w:p>
    <w:p w14:paraId="2462EF92">
      <w:pPr>
        <w:snapToGrid w:val="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11.1资格文件：</w:t>
      </w:r>
    </w:p>
    <w:p w14:paraId="20410487">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11.1.1</w:t>
      </w:r>
      <w:r>
        <w:rPr>
          <w:rFonts w:hint="eastAsia" w:ascii="仿宋" w:hAnsi="仿宋" w:eastAsia="仿宋" w:cs="仿宋"/>
          <w:color w:val="auto"/>
          <w:sz w:val="24"/>
          <w:szCs w:val="24"/>
        </w:rPr>
        <w:t>符合</w:t>
      </w:r>
      <w:r>
        <w:rPr>
          <w:rFonts w:hint="eastAsia" w:ascii="仿宋" w:hAnsi="仿宋" w:eastAsia="仿宋" w:cs="仿宋"/>
          <w:color w:val="auto"/>
          <w:sz w:val="24"/>
        </w:rPr>
        <w:t>参加政府采购活动应当具备的一般条件的承诺函；</w:t>
      </w:r>
    </w:p>
    <w:p w14:paraId="3AFEB435">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11.1.2</w:t>
      </w:r>
      <w:bookmarkStart w:id="30" w:name="_Hlk101259339"/>
      <w:r>
        <w:rPr>
          <w:rFonts w:hint="eastAsia" w:ascii="仿宋" w:hAnsi="仿宋" w:eastAsia="仿宋" w:cs="仿宋"/>
          <w:color w:val="auto"/>
          <w:sz w:val="24"/>
        </w:rPr>
        <w:t>联合协议</w:t>
      </w:r>
      <w:bookmarkStart w:id="31" w:name="_Hlk101257010"/>
      <w:r>
        <w:rPr>
          <w:rFonts w:hint="eastAsia" w:ascii="仿宋" w:hAnsi="仿宋" w:eastAsia="仿宋" w:cs="仿宋"/>
          <w:color w:val="auto"/>
          <w:sz w:val="24"/>
        </w:rPr>
        <w:t>（</w:t>
      </w:r>
      <w:r>
        <w:rPr>
          <w:rFonts w:hint="eastAsia" w:ascii="仿宋" w:hAnsi="仿宋" w:eastAsia="仿宋" w:cs="仿宋"/>
          <w:color w:val="auto"/>
          <w:sz w:val="24"/>
          <w:szCs w:val="24"/>
        </w:rPr>
        <w:t>若有</w:t>
      </w:r>
      <w:r>
        <w:rPr>
          <w:rFonts w:hint="eastAsia" w:ascii="仿宋" w:hAnsi="仿宋" w:eastAsia="仿宋" w:cs="仿宋"/>
          <w:color w:val="auto"/>
          <w:sz w:val="24"/>
        </w:rPr>
        <w:t>)</w:t>
      </w:r>
      <w:bookmarkEnd w:id="30"/>
      <w:bookmarkEnd w:id="31"/>
      <w:r>
        <w:rPr>
          <w:rFonts w:hint="eastAsia" w:ascii="仿宋" w:hAnsi="仿宋" w:eastAsia="仿宋" w:cs="仿宋"/>
          <w:color w:val="auto"/>
          <w:sz w:val="24"/>
        </w:rPr>
        <w:t>；</w:t>
      </w:r>
    </w:p>
    <w:p w14:paraId="6BDEBD7C">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11.1.3落实政府采购政策需满足的资格要求（</w:t>
      </w:r>
      <w:r>
        <w:rPr>
          <w:rFonts w:hint="eastAsia" w:ascii="仿宋" w:hAnsi="仿宋" w:eastAsia="仿宋" w:cs="仿宋"/>
          <w:color w:val="auto"/>
          <w:sz w:val="24"/>
          <w:szCs w:val="24"/>
        </w:rPr>
        <w:t>若有</w:t>
      </w:r>
      <w:r>
        <w:rPr>
          <w:rFonts w:hint="eastAsia" w:ascii="仿宋" w:hAnsi="仿宋" w:eastAsia="仿宋" w:cs="仿宋"/>
          <w:color w:val="auto"/>
          <w:sz w:val="24"/>
        </w:rPr>
        <w:t>）；</w:t>
      </w:r>
    </w:p>
    <w:p w14:paraId="49BCFE17">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11.1.4本项目的特定资格要求（</w:t>
      </w:r>
      <w:r>
        <w:rPr>
          <w:rFonts w:hint="eastAsia" w:ascii="仿宋" w:hAnsi="仿宋" w:eastAsia="仿宋" w:cs="仿宋"/>
          <w:color w:val="auto"/>
          <w:sz w:val="24"/>
          <w:szCs w:val="24"/>
        </w:rPr>
        <w:t>若有</w:t>
      </w:r>
      <w:r>
        <w:rPr>
          <w:rFonts w:hint="eastAsia" w:ascii="仿宋" w:hAnsi="仿宋" w:eastAsia="仿宋" w:cs="仿宋"/>
          <w:color w:val="auto"/>
          <w:sz w:val="24"/>
        </w:rPr>
        <w:t>）。</w:t>
      </w:r>
    </w:p>
    <w:p w14:paraId="173C1FFB">
      <w:pPr>
        <w:snapToGrid w:val="0"/>
        <w:spacing w:line="360" w:lineRule="auto"/>
        <w:ind w:firstLine="482" w:firstLineChars="200"/>
        <w:rPr>
          <w:rFonts w:hint="eastAsia" w:ascii="仿宋" w:hAnsi="仿宋" w:eastAsia="仿宋" w:cs="仿宋"/>
          <w:b/>
          <w:color w:val="auto"/>
          <w:sz w:val="24"/>
          <w:lang w:val="zh-CN"/>
        </w:rPr>
      </w:pPr>
      <w:r>
        <w:rPr>
          <w:rFonts w:hint="eastAsia" w:ascii="仿宋" w:hAnsi="仿宋" w:eastAsia="仿宋" w:cs="仿宋"/>
          <w:b/>
          <w:color w:val="auto"/>
          <w:sz w:val="24"/>
          <w:lang w:val="zh-CN"/>
        </w:rPr>
        <w:t>11.</w:t>
      </w:r>
      <w:r>
        <w:rPr>
          <w:rFonts w:hint="eastAsia" w:ascii="仿宋" w:hAnsi="仿宋" w:eastAsia="仿宋" w:cs="仿宋"/>
          <w:b/>
          <w:color w:val="auto"/>
          <w:sz w:val="24"/>
        </w:rPr>
        <w:t>2商务技术</w:t>
      </w:r>
      <w:r>
        <w:rPr>
          <w:rFonts w:hint="eastAsia" w:ascii="仿宋" w:hAnsi="仿宋" w:eastAsia="仿宋" w:cs="仿宋"/>
          <w:b/>
          <w:color w:val="auto"/>
          <w:sz w:val="24"/>
          <w:lang w:val="zh-CN"/>
        </w:rPr>
        <w:t>文件：</w:t>
      </w:r>
    </w:p>
    <w:p w14:paraId="6255E249">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11.2.1</w:t>
      </w:r>
      <w:r>
        <w:rPr>
          <w:rFonts w:hint="eastAsia" w:ascii="仿宋" w:hAnsi="仿宋" w:eastAsia="仿宋" w:cs="仿宋"/>
          <w:color w:val="auto"/>
          <w:sz w:val="24"/>
          <w:szCs w:val="24"/>
        </w:rPr>
        <w:t>投标</w:t>
      </w:r>
      <w:r>
        <w:rPr>
          <w:rFonts w:hint="eastAsia" w:ascii="仿宋" w:hAnsi="仿宋" w:eastAsia="仿宋" w:cs="仿宋"/>
          <w:color w:val="auto"/>
          <w:sz w:val="24"/>
        </w:rPr>
        <w:t>函；</w:t>
      </w:r>
    </w:p>
    <w:p w14:paraId="121952DB">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11.2.2授权委托书或法定代表人（单位负责人、自然人本人）身份证明；</w:t>
      </w:r>
    </w:p>
    <w:p w14:paraId="00B66202">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11.2.3符合性审查资料；</w:t>
      </w:r>
    </w:p>
    <w:p w14:paraId="633A6A9E">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11.2.4评标标准相应的商务技术资料；</w:t>
      </w:r>
    </w:p>
    <w:p w14:paraId="4C4AA7A5">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11.2.5商务技术偏离表；</w:t>
      </w:r>
    </w:p>
    <w:p w14:paraId="2E2E7CE5">
      <w:pPr>
        <w:pStyle w:val="10"/>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11.</w:t>
      </w:r>
      <w:r>
        <w:rPr>
          <w:rFonts w:hint="eastAsia" w:ascii="仿宋" w:hAnsi="仿宋" w:eastAsia="仿宋" w:cs="仿宋"/>
          <w:color w:val="auto"/>
          <w:sz w:val="24"/>
        </w:rPr>
        <w:t>2</w:t>
      </w:r>
      <w:r>
        <w:rPr>
          <w:rFonts w:hint="eastAsia" w:ascii="仿宋" w:hAnsi="仿宋" w:eastAsia="仿宋" w:cs="仿宋"/>
          <w:color w:val="auto"/>
          <w:sz w:val="24"/>
          <w:lang w:val="zh-CN"/>
        </w:rPr>
        <w:t>.6</w:t>
      </w:r>
      <w:r>
        <w:rPr>
          <w:rFonts w:hint="eastAsia" w:ascii="仿宋" w:hAnsi="仿宋" w:eastAsia="仿宋" w:cs="仿宋"/>
          <w:color w:val="auto"/>
          <w:sz w:val="24"/>
          <w:szCs w:val="24"/>
        </w:rPr>
        <w:t>政府</w:t>
      </w:r>
      <w:r>
        <w:rPr>
          <w:rFonts w:hint="eastAsia" w:ascii="仿宋" w:hAnsi="仿宋" w:eastAsia="仿宋" w:cs="仿宋"/>
          <w:color w:val="auto"/>
          <w:sz w:val="24"/>
          <w:lang w:val="zh-CN"/>
        </w:rPr>
        <w:t>采购供应商廉洁自律承诺书。</w:t>
      </w:r>
    </w:p>
    <w:p w14:paraId="389CA1BA">
      <w:pPr>
        <w:pStyle w:val="10"/>
        <w:spacing w:line="360" w:lineRule="auto"/>
        <w:ind w:firstLine="482" w:firstLineChars="200"/>
        <w:rPr>
          <w:rFonts w:hint="eastAsia" w:ascii="仿宋" w:hAnsi="仿宋" w:eastAsia="仿宋" w:cs="仿宋"/>
          <w:b/>
          <w:color w:val="auto"/>
          <w:sz w:val="24"/>
          <w:u w:val="single"/>
          <w:lang w:val="zh-CN"/>
        </w:rPr>
      </w:pPr>
      <w:r>
        <w:rPr>
          <w:rFonts w:hint="eastAsia" w:ascii="仿宋" w:hAnsi="仿宋" w:eastAsia="仿宋" w:cs="仿宋"/>
          <w:b/>
          <w:color w:val="auto"/>
          <w:kern w:val="0"/>
          <w:sz w:val="24"/>
          <w:lang w:val="zh-CN"/>
        </w:rPr>
        <w:t>11.</w:t>
      </w:r>
      <w:r>
        <w:rPr>
          <w:rFonts w:hint="eastAsia" w:ascii="仿宋" w:hAnsi="仿宋" w:eastAsia="仿宋" w:cs="仿宋"/>
          <w:b/>
          <w:color w:val="auto"/>
          <w:kern w:val="0"/>
          <w:sz w:val="24"/>
        </w:rPr>
        <w:t>3</w:t>
      </w:r>
      <w:r>
        <w:rPr>
          <w:rFonts w:hint="eastAsia" w:ascii="仿宋" w:hAnsi="仿宋" w:eastAsia="仿宋" w:cs="仿宋"/>
          <w:b/>
          <w:color w:val="auto"/>
          <w:sz w:val="24"/>
        </w:rPr>
        <w:t>报价文件：</w:t>
      </w:r>
    </w:p>
    <w:p w14:paraId="70B4CA0C">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11.3.1</w:t>
      </w:r>
      <w:r>
        <w:rPr>
          <w:rFonts w:hint="eastAsia" w:ascii="仿宋" w:hAnsi="仿宋" w:eastAsia="仿宋" w:cs="仿宋"/>
          <w:color w:val="auto"/>
          <w:sz w:val="24"/>
          <w:szCs w:val="24"/>
        </w:rPr>
        <w:t>开标一览表（报价表）</w:t>
      </w:r>
      <w:r>
        <w:rPr>
          <w:rFonts w:hint="eastAsia" w:ascii="仿宋" w:hAnsi="仿宋" w:eastAsia="仿宋" w:cs="仿宋"/>
          <w:color w:val="auto"/>
          <w:sz w:val="24"/>
        </w:rPr>
        <w:t>；</w:t>
      </w:r>
    </w:p>
    <w:p w14:paraId="1B0761CD">
      <w:pPr>
        <w:pStyle w:val="1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11.3.2</w:t>
      </w:r>
      <w:r>
        <w:rPr>
          <w:rFonts w:hint="eastAsia" w:ascii="仿宋" w:hAnsi="仿宋" w:eastAsia="仿宋" w:cs="仿宋"/>
          <w:color w:val="auto"/>
          <w:sz w:val="24"/>
          <w:szCs w:val="24"/>
        </w:rPr>
        <w:t>中小企业</w:t>
      </w:r>
      <w:r>
        <w:rPr>
          <w:rFonts w:hint="eastAsia" w:ascii="仿宋" w:hAnsi="仿宋" w:eastAsia="仿宋" w:cs="仿宋"/>
          <w:color w:val="auto"/>
          <w:sz w:val="24"/>
        </w:rPr>
        <w:t>声明函。</w:t>
      </w:r>
    </w:p>
    <w:p w14:paraId="0CF42CF2">
      <w:pPr>
        <w:pStyle w:val="1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投标文件含有采购人不能接受的附加条件的，投标无效；</w:t>
      </w:r>
    </w:p>
    <w:p w14:paraId="033F417C">
      <w:pPr>
        <w:pStyle w:val="1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投标人提供虚假材料投标的，投标无效。</w:t>
      </w:r>
    </w:p>
    <w:p w14:paraId="410D6426">
      <w:pPr>
        <w:pStyle w:val="10"/>
        <w:spacing w:line="360" w:lineRule="auto"/>
        <w:ind w:firstLine="482" w:firstLineChars="200"/>
        <w:rPr>
          <w:rFonts w:hint="eastAsia" w:ascii="仿宋" w:hAnsi="仿宋" w:eastAsia="仿宋" w:cs="仿宋"/>
          <w:b/>
          <w:color w:val="auto"/>
          <w:sz w:val="24"/>
          <w:szCs w:val="24"/>
        </w:rPr>
      </w:pPr>
      <w:bookmarkStart w:id="32" w:name="_Toc91899887"/>
      <w:r>
        <w:rPr>
          <w:rFonts w:hint="eastAsia" w:ascii="仿宋" w:hAnsi="仿宋" w:eastAsia="仿宋" w:cs="仿宋"/>
          <w:b/>
          <w:color w:val="auto"/>
          <w:sz w:val="24"/>
          <w:szCs w:val="24"/>
        </w:rPr>
        <w:t>12</w:t>
      </w:r>
      <w:r>
        <w:rPr>
          <w:rFonts w:hint="eastAsia" w:ascii="仿宋" w:hAnsi="仿宋" w:eastAsia="仿宋" w:cs="仿宋"/>
          <w:b/>
          <w:color w:val="auto"/>
          <w:kern w:val="0"/>
          <w:sz w:val="24"/>
          <w:szCs w:val="24"/>
          <w:lang w:val="zh-CN"/>
        </w:rPr>
        <w:t xml:space="preserve">. </w:t>
      </w:r>
      <w:r>
        <w:rPr>
          <w:rFonts w:hint="eastAsia" w:ascii="仿宋" w:hAnsi="仿宋" w:eastAsia="仿宋" w:cs="仿宋"/>
          <w:b/>
          <w:color w:val="auto"/>
          <w:sz w:val="24"/>
          <w:szCs w:val="24"/>
        </w:rPr>
        <w:t>投标文件的编制</w:t>
      </w:r>
    </w:p>
    <w:p w14:paraId="43FF3DB0">
      <w:pPr>
        <w:pStyle w:val="10"/>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kern w:val="0"/>
          <w:sz w:val="24"/>
          <w:lang w:val="zh-CN"/>
        </w:rPr>
        <w:t>12.1</w:t>
      </w:r>
      <w:r>
        <w:rPr>
          <w:rFonts w:hint="eastAsia" w:ascii="仿宋" w:hAnsi="仿宋" w:eastAsia="仿宋" w:cs="仿宋"/>
          <w:color w:val="auto"/>
          <w:sz w:val="24"/>
          <w:szCs w:val="24"/>
        </w:rPr>
        <w:t>投标</w:t>
      </w:r>
      <w:r>
        <w:rPr>
          <w:rFonts w:hint="eastAsia" w:ascii="仿宋" w:hAnsi="仿宋" w:eastAsia="仿宋" w:cs="仿宋"/>
          <w:color w:val="auto"/>
          <w:kern w:val="0"/>
          <w:sz w:val="24"/>
          <w:lang w:val="zh-CN"/>
        </w:rPr>
        <w:t>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1D8B45C">
      <w:pPr>
        <w:pStyle w:val="10"/>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12.2</w:t>
      </w:r>
      <w:r>
        <w:rPr>
          <w:rFonts w:hint="eastAsia" w:ascii="仿宋" w:hAnsi="仿宋" w:eastAsia="仿宋" w:cs="仿宋"/>
          <w:color w:val="auto"/>
          <w:sz w:val="24"/>
          <w:szCs w:val="24"/>
        </w:rPr>
        <w:t>投标人</w:t>
      </w:r>
      <w:r>
        <w:rPr>
          <w:rFonts w:hint="eastAsia" w:ascii="仿宋" w:hAnsi="仿宋" w:eastAsia="仿宋" w:cs="仿宋"/>
          <w:color w:val="auto"/>
          <w:kern w:val="0"/>
          <w:sz w:val="24"/>
          <w:lang w:val="zh-CN"/>
        </w:rPr>
        <w:t>进行电子投标应安装客户端软件—“政采云电子交易客户端”，并按照招标文件和电子交易平台的要求编制并加密投标文件。投标人未按规定加密的投标文件，电子交易平台将拒收并提示。</w:t>
      </w:r>
    </w:p>
    <w:p w14:paraId="3D819402">
      <w:pPr>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12.3使用“政采云电子交易客户端”需要提前申领CA数字证书，申领流程请自行前往“浙江政府采购网-下载专区-电子交易客户端-CA驱动和申领流程”进行查阅。</w:t>
      </w:r>
    </w:p>
    <w:bookmarkEnd w:id="32"/>
    <w:p w14:paraId="09CB529D">
      <w:pPr>
        <w:pStyle w:val="1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13.投标文件的签署、盖章</w:t>
      </w:r>
    </w:p>
    <w:p w14:paraId="3F9D4F1F">
      <w:pPr>
        <w:pStyle w:val="26"/>
        <w:snapToGrid w:val="0"/>
        <w:spacing w:before="0"/>
        <w:ind w:firstLine="480"/>
        <w:rPr>
          <w:rFonts w:hint="eastAsia" w:ascii="仿宋" w:hAnsi="仿宋" w:eastAsia="仿宋" w:cs="仿宋"/>
          <w:b/>
          <w:color w:val="auto"/>
        </w:rPr>
      </w:pPr>
      <w:r>
        <w:rPr>
          <w:rFonts w:hint="eastAsia" w:ascii="仿宋" w:hAnsi="仿宋" w:eastAsia="仿宋" w:cs="仿宋"/>
          <w:color w:val="auto"/>
          <w:szCs w:val="24"/>
        </w:rPr>
        <w:t>13.1投标文件按照招标文件第六部分格式要</w:t>
      </w:r>
      <w:r>
        <w:rPr>
          <w:rFonts w:hint="eastAsia" w:ascii="仿宋" w:hAnsi="仿宋" w:eastAsia="仿宋" w:cs="仿宋"/>
          <w:color w:val="auto"/>
        </w:rPr>
        <w:t>求进行签署、盖章。</w:t>
      </w:r>
      <w:r>
        <w:rPr>
          <w:rFonts w:hint="eastAsia" w:ascii="仿宋" w:hAnsi="仿宋" w:eastAsia="仿宋" w:cs="仿宋"/>
          <w:b/>
          <w:color w:val="auto"/>
        </w:rPr>
        <w:t>▲投标人的投标文件未按照招标文件要求签署、盖章的，其投标无效</w:t>
      </w:r>
      <w:r>
        <w:rPr>
          <w:rFonts w:hint="eastAsia" w:ascii="仿宋" w:hAnsi="仿宋" w:eastAsia="仿宋" w:cs="仿宋"/>
          <w:color w:val="auto"/>
          <w:szCs w:val="24"/>
        </w:rPr>
        <w:t>。</w:t>
      </w:r>
    </w:p>
    <w:p w14:paraId="30D25852">
      <w:pPr>
        <w:pStyle w:val="26"/>
        <w:snapToGrid w:val="0"/>
        <w:spacing w:before="0"/>
        <w:ind w:firstLine="480"/>
        <w:rPr>
          <w:rFonts w:hint="eastAsia" w:ascii="仿宋" w:hAnsi="仿宋" w:eastAsia="仿宋" w:cs="仿宋"/>
          <w:b/>
          <w:color w:val="auto"/>
        </w:rPr>
      </w:pPr>
      <w:r>
        <w:rPr>
          <w:rFonts w:hint="eastAsia" w:ascii="仿宋" w:hAnsi="仿宋" w:eastAsia="仿宋" w:cs="仿宋"/>
          <w:color w:val="auto"/>
        </w:rPr>
        <w:t>13.2为确保网上操作合法、有效和安全，投标人应当在投标截止时间前完成在“政府采购云平台”的身份认证，确保在电子投标过程中能够对相关数据电文进行加密和使用电子签名。</w:t>
      </w:r>
    </w:p>
    <w:p w14:paraId="6AE72415">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13.3招标文件对投标文件签署、盖章的要求适用于电子签名。</w:t>
      </w:r>
    </w:p>
    <w:p w14:paraId="097C6673">
      <w:pPr>
        <w:pStyle w:val="1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14. 投标文件的提交、补充、修改、撤回</w:t>
      </w:r>
    </w:p>
    <w:p w14:paraId="58DD480C">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AB8CB4A">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14.2电子交易平台收到投标文件，将妥善保存并即时向供应商发出确认回执通知。在投标截止时间前，除供应商补充、修改或者撤回投标文件外，任何单位和个人不得解密或提取投标文件。</w:t>
      </w:r>
    </w:p>
    <w:p w14:paraId="4780AFE9">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14.3采购人、采购代理机构可以视情况延长投标文件提交的截止时间。在上述情况下，采购代理机构与投标人以前在投标截止期方面的全部权利、责任和义务，将适用于延长至新的投标截止期。</w:t>
      </w:r>
    </w:p>
    <w:p w14:paraId="352ECDE5">
      <w:pPr>
        <w:pStyle w:val="26"/>
        <w:spacing w:before="0"/>
        <w:ind w:firstLine="482"/>
        <w:rPr>
          <w:rFonts w:hint="eastAsia" w:ascii="仿宋" w:hAnsi="仿宋" w:eastAsia="仿宋" w:cs="仿宋"/>
          <w:b/>
          <w:color w:val="auto"/>
          <w:szCs w:val="24"/>
        </w:rPr>
      </w:pPr>
      <w:r>
        <w:rPr>
          <w:rFonts w:hint="eastAsia" w:ascii="仿宋" w:hAnsi="仿宋" w:eastAsia="仿宋" w:cs="仿宋"/>
          <w:b/>
          <w:color w:val="auto"/>
          <w:szCs w:val="24"/>
        </w:rPr>
        <w:t>15.备份投标文件</w:t>
      </w:r>
    </w:p>
    <w:p w14:paraId="2D0B1AC0">
      <w:pPr>
        <w:pStyle w:val="26"/>
        <w:spacing w:before="0"/>
        <w:ind w:firstLine="480"/>
        <w:rPr>
          <w:rFonts w:hint="eastAsia" w:ascii="仿宋" w:hAnsi="仿宋" w:eastAsia="仿宋" w:cs="仿宋"/>
          <w:b/>
          <w:color w:val="auto"/>
          <w:szCs w:val="24"/>
        </w:rPr>
      </w:pPr>
      <w:r>
        <w:rPr>
          <w:rFonts w:hint="eastAsia" w:ascii="仿宋" w:hAnsi="仿宋" w:eastAsia="仿宋" w:cs="仿宋"/>
          <w:color w:val="auto"/>
          <w:szCs w:val="24"/>
        </w:rPr>
        <w:t>15.1投标人在电子交易平台传输递交投标文件后，还可以在投标截止时间前直接提交或者以邮政快递方式递交备份投标文件1份，</w:t>
      </w:r>
      <w:r>
        <w:rPr>
          <w:rFonts w:hint="eastAsia" w:ascii="仿宋" w:hAnsi="仿宋" w:eastAsia="仿宋" w:cs="仿宋"/>
          <w:b/>
          <w:color w:val="auto"/>
          <w:szCs w:val="24"/>
        </w:rPr>
        <w:t>但采购人、采购代理机构不强制或变相强制投标人提交备份投标文件。</w:t>
      </w:r>
    </w:p>
    <w:p w14:paraId="1CA53433">
      <w:pPr>
        <w:pStyle w:val="10"/>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szCs w:val="24"/>
        </w:rPr>
        <w:t>15.2备份投标文件须在“政采云投标客户端”制作生成，并储存在介质存储中。备份投标文件应当密封包装并在包装上加盖公章并注明投标项目名称，投标人名称(联合体投标的，包装物封面需注明联合体投标，并注明联合体成员各方的名称和联合体协议中约定的牵头人的名称)</w:t>
      </w:r>
      <w:r>
        <w:rPr>
          <w:rFonts w:hint="eastAsia" w:ascii="仿宋" w:hAnsi="仿宋" w:eastAsia="仿宋" w:cs="仿宋"/>
          <w:b/>
          <w:color w:val="auto"/>
          <w:sz w:val="24"/>
        </w:rPr>
        <w:t>不符合上述制作、</w:t>
      </w:r>
      <w:r>
        <w:rPr>
          <w:rFonts w:hint="eastAsia" w:ascii="仿宋" w:hAnsi="仿宋" w:eastAsia="仿宋" w:cs="仿宋"/>
          <w:b/>
          <w:color w:val="auto"/>
          <w:sz w:val="24"/>
          <w:szCs w:val="24"/>
        </w:rPr>
        <w:t>存储、密封规定的备份投标文件将被视为无效或者被拒绝接收。</w:t>
      </w:r>
    </w:p>
    <w:p w14:paraId="57A7B8EC">
      <w:pPr>
        <w:pStyle w:val="1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15.3直接提交备份投标文件的，投标人应于投标截止时间前在</w:t>
      </w:r>
      <w:r>
        <w:rPr>
          <w:rFonts w:hint="eastAsia" w:ascii="仿宋" w:hAnsi="仿宋" w:eastAsia="仿宋" w:cs="仿宋"/>
          <w:b/>
          <w:color w:val="auto"/>
          <w:sz w:val="24"/>
          <w:szCs w:val="24"/>
        </w:rPr>
        <w:t>第二部分投标人须知前附表</w:t>
      </w:r>
      <w:r>
        <w:rPr>
          <w:rFonts w:hint="eastAsia" w:ascii="仿宋" w:hAnsi="仿宋" w:eastAsia="仿宋" w:cs="仿宋"/>
          <w:color w:val="auto"/>
          <w:sz w:val="24"/>
          <w:szCs w:val="24"/>
        </w:rPr>
        <w:t>中载明的地点将备份投标文件提交给采购代理机构，采购代理机构将拒绝接受逾期送达的备份投标文件。</w:t>
      </w:r>
    </w:p>
    <w:p w14:paraId="11738B08">
      <w:pPr>
        <w:pStyle w:val="7"/>
        <w:spacing w:line="360" w:lineRule="auto"/>
        <w:rPr>
          <w:rFonts w:hint="eastAsia" w:ascii="仿宋" w:hAnsi="仿宋" w:eastAsia="仿宋" w:cs="仿宋"/>
          <w:color w:val="auto"/>
        </w:rPr>
      </w:pPr>
      <w:r>
        <w:rPr>
          <w:rFonts w:hint="eastAsia" w:ascii="仿宋" w:hAnsi="仿宋" w:eastAsia="仿宋" w:cs="仿宋"/>
          <w:color w:val="auto"/>
        </w:rPr>
        <w:t>15.4以邮政快递方式递交备份投标文件的，投标人应先将备份投标文件按要求密封和标记，再进行邮政快递包装后邮寄。备份投标文件须在投标截止时间之前送达舟山市普陀区东港街道昌正街169号东港商务中心6号楼406室政府采购中心，联系电话：0580-</w:t>
      </w:r>
      <w:r>
        <w:rPr>
          <w:rFonts w:hint="eastAsia" w:ascii="仿宋" w:hAnsi="仿宋" w:eastAsia="仿宋" w:cs="仿宋"/>
          <w:color w:val="auto"/>
          <w:lang w:val="en-US" w:eastAsia="zh-CN"/>
        </w:rPr>
        <w:t>3019213</w:t>
      </w:r>
      <w:r>
        <w:rPr>
          <w:rFonts w:hint="eastAsia" w:ascii="仿宋" w:hAnsi="仿宋" w:eastAsia="仿宋" w:cs="仿宋"/>
          <w:color w:val="auto"/>
        </w:rPr>
        <w:t>。采购代理机构将拒绝接受逾期送达的备份投标文件。邮寄过程中，电子备份投标文件发生泄露、遗失、损坏或延期送达等情况的，由投标人自行负责。</w:t>
      </w:r>
    </w:p>
    <w:p w14:paraId="638204C9">
      <w:pPr>
        <w:pStyle w:val="7"/>
        <w:spacing w:line="360" w:lineRule="auto"/>
        <w:ind w:firstLine="482"/>
        <w:rPr>
          <w:rFonts w:hint="eastAsia" w:ascii="仿宋" w:hAnsi="仿宋" w:eastAsia="仿宋" w:cs="仿宋"/>
          <w:b/>
          <w:color w:val="auto"/>
        </w:rPr>
      </w:pPr>
      <w:r>
        <w:rPr>
          <w:rFonts w:hint="eastAsia" w:ascii="仿宋" w:hAnsi="仿宋" w:eastAsia="仿宋" w:cs="仿宋"/>
          <w:b/>
          <w:color w:val="auto"/>
        </w:rPr>
        <w:t>15.5投标人仅提交备份投标文件，没有在电子交易平台传输递交投标文件的，投标无效。</w:t>
      </w:r>
      <w:bookmarkEnd w:id="28"/>
      <w:bookmarkEnd w:id="29"/>
    </w:p>
    <w:p w14:paraId="2EA0B168">
      <w:pPr>
        <w:pStyle w:val="7"/>
        <w:spacing w:line="360" w:lineRule="auto"/>
        <w:ind w:firstLine="482"/>
        <w:rPr>
          <w:rFonts w:hint="eastAsia" w:ascii="仿宋" w:hAnsi="仿宋" w:eastAsia="仿宋" w:cs="仿宋"/>
          <w:b/>
          <w:color w:val="auto"/>
        </w:rPr>
      </w:pPr>
      <w:r>
        <w:rPr>
          <w:rFonts w:hint="eastAsia" w:ascii="仿宋" w:hAnsi="仿宋" w:eastAsia="仿宋" w:cs="仿宋"/>
          <w:b/>
          <w:color w:val="auto"/>
        </w:rPr>
        <w:t>16.投标文件的无效处理</w:t>
      </w:r>
    </w:p>
    <w:p w14:paraId="7F673C81">
      <w:pPr>
        <w:pStyle w:val="7"/>
        <w:spacing w:line="360" w:lineRule="auto"/>
        <w:rPr>
          <w:rFonts w:hint="eastAsia" w:ascii="仿宋" w:hAnsi="仿宋" w:eastAsia="仿宋" w:cs="仿宋"/>
          <w:color w:val="auto"/>
          <w:szCs w:val="21"/>
        </w:rPr>
      </w:pPr>
      <w:r>
        <w:rPr>
          <w:rFonts w:hint="eastAsia" w:ascii="仿宋" w:hAnsi="仿宋" w:eastAsia="仿宋" w:cs="仿宋"/>
          <w:color w:val="auto"/>
          <w:szCs w:val="21"/>
        </w:rPr>
        <w:t>有招标文件第四部分</w:t>
      </w:r>
      <w:r>
        <w:rPr>
          <w:rFonts w:hint="eastAsia" w:ascii="仿宋" w:hAnsi="仿宋" w:eastAsia="仿宋" w:cs="仿宋"/>
          <w:color w:val="auto"/>
        </w:rPr>
        <w:t>第4.2项规定</w:t>
      </w:r>
      <w:r>
        <w:rPr>
          <w:rFonts w:hint="eastAsia" w:ascii="仿宋" w:hAnsi="仿宋" w:eastAsia="仿宋" w:cs="仿宋"/>
          <w:color w:val="auto"/>
          <w:szCs w:val="21"/>
        </w:rPr>
        <w:t>的情形之一的，投标无效：</w:t>
      </w:r>
    </w:p>
    <w:p w14:paraId="4A910B98">
      <w:pPr>
        <w:pStyle w:val="7"/>
        <w:spacing w:line="360" w:lineRule="auto"/>
        <w:ind w:firstLine="482"/>
        <w:rPr>
          <w:rFonts w:hint="eastAsia" w:ascii="仿宋" w:hAnsi="仿宋" w:eastAsia="仿宋" w:cs="仿宋"/>
          <w:b/>
          <w:color w:val="auto"/>
        </w:rPr>
      </w:pPr>
      <w:r>
        <w:rPr>
          <w:rFonts w:hint="eastAsia" w:ascii="仿宋" w:hAnsi="仿宋" w:eastAsia="仿宋" w:cs="仿宋"/>
          <w:b/>
          <w:color w:val="auto"/>
        </w:rPr>
        <w:t>17.</w:t>
      </w:r>
      <w:r>
        <w:rPr>
          <w:rFonts w:hint="eastAsia" w:ascii="仿宋" w:hAnsi="仿宋" w:eastAsia="仿宋" w:cs="仿宋"/>
          <w:b/>
          <w:color w:val="auto"/>
          <w:szCs w:val="21"/>
        </w:rPr>
        <w:t>投标</w:t>
      </w:r>
      <w:r>
        <w:rPr>
          <w:rFonts w:hint="eastAsia" w:ascii="仿宋" w:hAnsi="仿宋" w:eastAsia="仿宋" w:cs="仿宋"/>
          <w:b/>
          <w:color w:val="auto"/>
        </w:rPr>
        <w:t>有效期</w:t>
      </w:r>
    </w:p>
    <w:p w14:paraId="52A638F6">
      <w:pPr>
        <w:pStyle w:val="7"/>
        <w:spacing w:line="360" w:lineRule="auto"/>
        <w:rPr>
          <w:rFonts w:hint="eastAsia" w:ascii="仿宋" w:hAnsi="仿宋" w:eastAsia="仿宋" w:cs="仿宋"/>
          <w:b/>
          <w:color w:val="auto"/>
        </w:rPr>
      </w:pPr>
      <w:r>
        <w:rPr>
          <w:rFonts w:hint="eastAsia" w:ascii="仿宋" w:hAnsi="仿宋" w:eastAsia="仿宋" w:cs="仿宋"/>
          <w:color w:val="auto"/>
          <w:szCs w:val="20"/>
        </w:rPr>
        <w:t>17.1投标有效期为从提交投标文件的截止之日起</w:t>
      </w:r>
      <w:r>
        <w:rPr>
          <w:rFonts w:hint="eastAsia" w:ascii="仿宋" w:hAnsi="仿宋" w:eastAsia="仿宋" w:cs="仿宋"/>
          <w:color w:val="auto"/>
        </w:rPr>
        <w:t>90</w:t>
      </w:r>
      <w:r>
        <w:rPr>
          <w:rFonts w:hint="eastAsia" w:ascii="仿宋" w:hAnsi="仿宋" w:eastAsia="仿宋" w:cs="仿宋"/>
          <w:color w:val="auto"/>
          <w:szCs w:val="20"/>
        </w:rPr>
        <w:t>天。▲</w:t>
      </w:r>
      <w:r>
        <w:rPr>
          <w:rFonts w:hint="eastAsia" w:ascii="仿宋" w:hAnsi="仿宋" w:eastAsia="仿宋" w:cs="仿宋"/>
          <w:b/>
          <w:color w:val="auto"/>
          <w:szCs w:val="20"/>
        </w:rPr>
        <w:t>投标人的投标文件中承</w:t>
      </w:r>
      <w:r>
        <w:rPr>
          <w:rFonts w:hint="eastAsia" w:ascii="仿宋" w:hAnsi="仿宋" w:eastAsia="仿宋" w:cs="仿宋"/>
          <w:b/>
          <w:color w:val="auto"/>
          <w:szCs w:val="21"/>
        </w:rPr>
        <w:t>诺的投标有效期少于招标文件中载明的投标有效期的，投标无效。</w:t>
      </w:r>
    </w:p>
    <w:p w14:paraId="7E9C3D57">
      <w:pPr>
        <w:pStyle w:val="26"/>
        <w:spacing w:before="0"/>
        <w:ind w:firstLine="480"/>
        <w:rPr>
          <w:rFonts w:hint="eastAsia" w:ascii="仿宋" w:hAnsi="仿宋" w:eastAsia="仿宋" w:cs="仿宋"/>
          <w:color w:val="auto"/>
        </w:rPr>
      </w:pPr>
      <w:r>
        <w:rPr>
          <w:rFonts w:hint="eastAsia" w:ascii="仿宋" w:hAnsi="仿宋" w:eastAsia="仿宋" w:cs="仿宋"/>
          <w:color w:val="auto"/>
        </w:rPr>
        <w:t>17.2投标文件合格投递后，自投标截止日期起，在投标有效期内有效。</w:t>
      </w:r>
    </w:p>
    <w:p w14:paraId="74EFA724">
      <w:pPr>
        <w:pStyle w:val="26"/>
        <w:spacing w:before="0"/>
        <w:ind w:firstLine="480"/>
        <w:rPr>
          <w:rFonts w:hint="eastAsia" w:ascii="仿宋" w:hAnsi="仿宋" w:eastAsia="仿宋" w:cs="仿宋"/>
          <w:color w:val="auto"/>
        </w:rPr>
      </w:pPr>
      <w:r>
        <w:rPr>
          <w:rFonts w:hint="eastAsia" w:ascii="仿宋" w:hAnsi="仿宋" w:eastAsia="仿宋" w:cs="仿宋"/>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14:paraId="0612A644">
      <w:pPr>
        <w:pStyle w:val="26"/>
        <w:spacing w:before="0"/>
        <w:ind w:firstLine="643"/>
        <w:rPr>
          <w:rFonts w:hint="eastAsia" w:ascii="仿宋" w:hAnsi="仿宋" w:eastAsia="仿宋" w:cs="仿宋"/>
          <w:b/>
          <w:color w:val="auto"/>
          <w:sz w:val="32"/>
        </w:rPr>
      </w:pPr>
      <w:bookmarkStart w:id="33" w:name="_Toc91899897"/>
    </w:p>
    <w:p w14:paraId="79FC9EE1">
      <w:pPr>
        <w:pStyle w:val="26"/>
        <w:spacing w:before="0"/>
        <w:ind w:firstLine="1928" w:firstLineChars="600"/>
        <w:rPr>
          <w:rFonts w:hint="eastAsia" w:ascii="仿宋" w:hAnsi="仿宋" w:eastAsia="仿宋" w:cs="仿宋"/>
          <w:b/>
          <w:color w:val="auto"/>
          <w:sz w:val="32"/>
        </w:rPr>
      </w:pPr>
      <w:r>
        <w:rPr>
          <w:rFonts w:hint="eastAsia" w:ascii="仿宋" w:hAnsi="仿宋" w:eastAsia="仿宋" w:cs="仿宋"/>
          <w:b/>
          <w:color w:val="auto"/>
          <w:sz w:val="32"/>
        </w:rPr>
        <w:t>四、开标</w:t>
      </w:r>
      <w:bookmarkEnd w:id="33"/>
      <w:r>
        <w:rPr>
          <w:rFonts w:hint="eastAsia" w:ascii="仿宋" w:hAnsi="仿宋" w:eastAsia="仿宋" w:cs="仿宋"/>
          <w:b/>
          <w:color w:val="auto"/>
          <w:sz w:val="32"/>
        </w:rPr>
        <w:t>、资格审查与信用信息查询</w:t>
      </w:r>
    </w:p>
    <w:p w14:paraId="58AB74CF">
      <w:pPr>
        <w:pStyle w:val="7"/>
        <w:spacing w:line="360" w:lineRule="auto"/>
        <w:ind w:firstLine="482"/>
        <w:rPr>
          <w:rFonts w:hint="eastAsia" w:ascii="仿宋" w:hAnsi="仿宋" w:eastAsia="仿宋" w:cs="仿宋"/>
          <w:color w:val="auto"/>
        </w:rPr>
      </w:pPr>
      <w:r>
        <w:rPr>
          <w:rFonts w:hint="eastAsia" w:ascii="仿宋" w:hAnsi="仿宋" w:eastAsia="仿宋" w:cs="仿宋"/>
          <w:b/>
          <w:color w:val="auto"/>
        </w:rPr>
        <w:t>18.开标</w:t>
      </w:r>
    </w:p>
    <w:p w14:paraId="001DEFDA">
      <w:pPr>
        <w:pStyle w:val="27"/>
        <w:spacing w:before="0" w:line="360" w:lineRule="auto"/>
        <w:ind w:left="0" w:firstLine="480" w:firstLineChars="200"/>
        <w:contextualSpacing/>
        <w:rPr>
          <w:rFonts w:hint="eastAsia" w:ascii="仿宋" w:hAnsi="仿宋" w:eastAsia="仿宋" w:cs="仿宋"/>
          <w:color w:val="auto"/>
          <w:sz w:val="24"/>
        </w:rPr>
      </w:pPr>
      <w:r>
        <w:rPr>
          <w:rFonts w:hint="eastAsia" w:ascii="仿宋" w:hAnsi="仿宋" w:eastAsia="仿宋" w:cs="仿宋"/>
          <w:color w:val="auto"/>
          <w:sz w:val="24"/>
        </w:rPr>
        <w:t>18.1采购</w:t>
      </w:r>
      <w:r>
        <w:rPr>
          <w:rFonts w:hint="eastAsia" w:ascii="仿宋" w:hAnsi="仿宋" w:eastAsia="仿宋" w:cs="仿宋"/>
          <w:color w:val="auto"/>
          <w:sz w:val="24"/>
          <w:szCs w:val="24"/>
        </w:rPr>
        <w:t>代理</w:t>
      </w:r>
      <w:r>
        <w:rPr>
          <w:rFonts w:hint="eastAsia" w:ascii="仿宋" w:hAnsi="仿宋" w:eastAsia="仿宋" w:cs="仿宋"/>
          <w:color w:val="auto"/>
          <w:sz w:val="24"/>
        </w:rPr>
        <w:t>机构按照招标文件规定的时间通过电子交易平台组织开标，所有投标人均应当准时在线参加。</w:t>
      </w:r>
    </w:p>
    <w:p w14:paraId="37E8392B">
      <w:pPr>
        <w:pStyle w:val="27"/>
        <w:spacing w:before="0" w:line="360" w:lineRule="auto"/>
        <w:ind w:left="0" w:firstLine="240" w:firstLineChars="100"/>
        <w:contextualSpacing/>
        <w:rPr>
          <w:rFonts w:hint="eastAsia" w:ascii="仿宋" w:hAnsi="仿宋" w:eastAsia="仿宋" w:cs="仿宋"/>
          <w:color w:val="auto"/>
          <w:sz w:val="24"/>
        </w:rPr>
      </w:pPr>
      <w:r>
        <w:rPr>
          <w:rFonts w:hint="eastAsia" w:ascii="仿宋" w:hAnsi="仿宋" w:eastAsia="仿宋" w:cs="仿宋"/>
          <w:color w:val="auto"/>
          <w:sz w:val="24"/>
        </w:rPr>
        <w:t>　18.2开标时，电子交易平台按开标时间自动提取所有投标文件。采购</w:t>
      </w:r>
      <w:r>
        <w:rPr>
          <w:rFonts w:hint="eastAsia" w:ascii="仿宋" w:hAnsi="仿宋" w:eastAsia="仿宋" w:cs="仿宋"/>
          <w:color w:val="auto"/>
          <w:sz w:val="24"/>
          <w:szCs w:val="24"/>
        </w:rPr>
        <w:t>代理</w:t>
      </w:r>
      <w:r>
        <w:rPr>
          <w:rFonts w:hint="eastAsia" w:ascii="仿宋" w:hAnsi="仿宋" w:eastAsia="仿宋" w:cs="仿宋"/>
          <w:color w:val="auto"/>
          <w:sz w:val="24"/>
        </w:rPr>
        <w:t>机构依托电子交易平台发起开始解密指令，投标人按照平台提示和招标文件的规定在半小时内完成在线解密。</w:t>
      </w:r>
    </w:p>
    <w:p w14:paraId="13A0608F">
      <w:pPr>
        <w:pStyle w:val="27"/>
        <w:spacing w:before="0" w:line="360" w:lineRule="auto"/>
        <w:ind w:left="0" w:firstLine="480" w:firstLineChars="200"/>
        <w:contextualSpacing/>
        <w:rPr>
          <w:rFonts w:hint="eastAsia" w:ascii="仿宋" w:hAnsi="仿宋" w:eastAsia="仿宋" w:cs="仿宋"/>
          <w:b/>
          <w:color w:val="auto"/>
          <w:sz w:val="24"/>
        </w:rPr>
      </w:pPr>
      <w:r>
        <w:rPr>
          <w:rFonts w:hint="eastAsia" w:ascii="仿宋" w:hAnsi="仿宋" w:eastAsia="仿宋" w:cs="仿宋"/>
          <w:color w:val="auto"/>
          <w:sz w:val="24"/>
        </w:rPr>
        <w:t>18.3</w:t>
      </w:r>
      <w:r>
        <w:rPr>
          <w:rFonts w:hint="eastAsia" w:ascii="仿宋" w:hAnsi="仿宋" w:eastAsia="仿宋" w:cs="仿宋"/>
          <w:b/>
          <w:color w:val="auto"/>
          <w:sz w:val="24"/>
        </w:rPr>
        <w:t>投标文件未按时解密，投标人提供了备份投标文件的，以备份投标文件作为依据，否则视为投标文件撤回。投标文件已按时解密的，备份投标文件自动失效。</w:t>
      </w:r>
    </w:p>
    <w:p w14:paraId="653C2F69">
      <w:pPr>
        <w:pStyle w:val="27"/>
        <w:spacing w:before="0" w:line="360" w:lineRule="auto"/>
        <w:ind w:left="0" w:firstLine="482" w:firstLineChars="200"/>
        <w:contextualSpacing/>
        <w:rPr>
          <w:rFonts w:hint="eastAsia" w:ascii="仿宋" w:hAnsi="仿宋" w:eastAsia="仿宋" w:cs="仿宋"/>
          <w:color w:val="auto"/>
          <w:sz w:val="24"/>
        </w:rPr>
      </w:pPr>
      <w:r>
        <w:rPr>
          <w:rFonts w:hint="eastAsia" w:ascii="仿宋" w:hAnsi="仿宋" w:eastAsia="仿宋" w:cs="仿宋"/>
          <w:b/>
          <w:color w:val="auto"/>
          <w:sz w:val="24"/>
        </w:rPr>
        <w:t>19、资格审查</w:t>
      </w:r>
    </w:p>
    <w:p w14:paraId="78AF56F7">
      <w:pPr>
        <w:pStyle w:val="7"/>
        <w:spacing w:line="360" w:lineRule="auto"/>
        <w:rPr>
          <w:rFonts w:hint="eastAsia" w:ascii="仿宋" w:hAnsi="仿宋" w:eastAsia="仿宋" w:cs="仿宋"/>
          <w:color w:val="auto"/>
          <w:kern w:val="0"/>
        </w:rPr>
      </w:pPr>
      <w:r>
        <w:rPr>
          <w:rFonts w:hint="eastAsia" w:ascii="仿宋" w:hAnsi="仿宋" w:eastAsia="仿宋" w:cs="仿宋"/>
          <w:color w:val="auto"/>
        </w:rPr>
        <w:t>19</w:t>
      </w:r>
      <w:r>
        <w:rPr>
          <w:rFonts w:hint="eastAsia" w:ascii="仿宋" w:hAnsi="仿宋" w:eastAsia="仿宋" w:cs="仿宋"/>
          <w:color w:val="auto"/>
          <w:kern w:val="0"/>
        </w:rPr>
        <w:t>.1开标后，</w:t>
      </w:r>
      <w:r>
        <w:rPr>
          <w:rFonts w:hint="eastAsia" w:ascii="仿宋" w:hAnsi="仿宋" w:eastAsia="仿宋" w:cs="仿宋"/>
          <w:color w:val="auto"/>
        </w:rPr>
        <w:t>采购人或采购机构将依法对投标人的资格进行审查。</w:t>
      </w:r>
    </w:p>
    <w:p w14:paraId="67A0C72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kern w:val="0"/>
          <w:sz w:val="24"/>
        </w:rPr>
        <w:t>19.2</w:t>
      </w:r>
      <w:r>
        <w:rPr>
          <w:rFonts w:hint="eastAsia" w:ascii="仿宋" w:hAnsi="仿宋" w:eastAsia="仿宋" w:cs="仿宋"/>
          <w:color w:val="auto"/>
          <w:sz w:val="24"/>
        </w:rPr>
        <w:t>采购人依据法律法规和招标文件的规定，对投标人的基本资格条件、特定资格条件进行审查。</w:t>
      </w:r>
    </w:p>
    <w:p w14:paraId="60BC03E9">
      <w:pPr>
        <w:pStyle w:val="26"/>
        <w:spacing w:before="0"/>
        <w:ind w:firstLine="480"/>
        <w:rPr>
          <w:rFonts w:hint="eastAsia" w:ascii="仿宋" w:hAnsi="仿宋" w:eastAsia="仿宋" w:cs="仿宋"/>
          <w:color w:val="auto"/>
        </w:rPr>
      </w:pPr>
      <w:r>
        <w:rPr>
          <w:rFonts w:hint="eastAsia" w:ascii="仿宋" w:hAnsi="仿宋" w:eastAsia="仿宋" w:cs="仿宋"/>
          <w:color w:val="auto"/>
          <w:kern w:val="0"/>
          <w:szCs w:val="24"/>
        </w:rPr>
        <w:t>19.3投标人未按照招标文件要求提供与</w:t>
      </w:r>
      <w:r>
        <w:rPr>
          <w:rFonts w:hint="eastAsia" w:ascii="仿宋" w:hAnsi="仿宋" w:eastAsia="仿宋" w:cs="仿宋"/>
          <w:color w:val="auto"/>
        </w:rPr>
        <w:t>基本资格条件、特定资格条件相应的</w:t>
      </w:r>
      <w:r>
        <w:rPr>
          <w:rFonts w:hint="eastAsia" w:ascii="仿宋" w:hAnsi="仿宋" w:eastAsia="仿宋" w:cs="仿宋"/>
          <w:color w:val="auto"/>
          <w:kern w:val="0"/>
          <w:szCs w:val="24"/>
        </w:rPr>
        <w:t>有效资格证明材料的，视为</w:t>
      </w:r>
      <w:r>
        <w:rPr>
          <w:rFonts w:hint="eastAsia" w:ascii="仿宋" w:hAnsi="仿宋" w:eastAsia="仿宋" w:cs="仿宋"/>
          <w:color w:val="auto"/>
        </w:rPr>
        <w:t>投标人不具备招标文件中规定的资格要求，其投标无效。</w:t>
      </w:r>
    </w:p>
    <w:p w14:paraId="54D84280">
      <w:pPr>
        <w:pStyle w:val="26"/>
        <w:spacing w:before="0"/>
        <w:ind w:firstLine="480"/>
        <w:rPr>
          <w:rFonts w:hint="eastAsia"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4对未通过资格审查的投标人，采购人或采购代理机构告知其未通过的原因。</w:t>
      </w:r>
    </w:p>
    <w:p w14:paraId="4C7A15F7">
      <w:pPr>
        <w:pStyle w:val="26"/>
        <w:spacing w:before="0"/>
        <w:ind w:firstLine="480"/>
        <w:rPr>
          <w:rFonts w:hint="eastAsia"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5合格投标人不足3家的，不再评标。</w:t>
      </w:r>
    </w:p>
    <w:p w14:paraId="0E6F7124">
      <w:pPr>
        <w:pStyle w:val="26"/>
        <w:spacing w:before="0"/>
        <w:ind w:firstLine="482"/>
        <w:rPr>
          <w:rFonts w:hint="eastAsia" w:ascii="仿宋" w:hAnsi="仿宋" w:eastAsia="仿宋" w:cs="仿宋"/>
          <w:color w:val="auto"/>
        </w:rPr>
      </w:pPr>
      <w:r>
        <w:rPr>
          <w:rFonts w:hint="eastAsia" w:ascii="仿宋" w:hAnsi="仿宋" w:eastAsia="仿宋" w:cs="仿宋"/>
          <w:b/>
          <w:color w:val="auto"/>
          <w:szCs w:val="24"/>
        </w:rPr>
        <w:t>20、信用信息查询</w:t>
      </w:r>
    </w:p>
    <w:p w14:paraId="5FCE0497">
      <w:pPr>
        <w:pStyle w:val="26"/>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20.1信用信息查询渠道及截止时间：采购代理机构将通过“信用中国”网站(www.creditchina.gov.cn)、中国政府采购网(www.ccgp.gov.cn)渠道查询投标人投标截止时间当天的信用记录。</w:t>
      </w:r>
    </w:p>
    <w:p w14:paraId="32273715">
      <w:pPr>
        <w:pStyle w:val="26"/>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20.2信用信息查询记录和证据留存的具体方式：现场查询的投标人的信用记录、查询结果经确认后将与采购文件一起存档。</w:t>
      </w:r>
    </w:p>
    <w:p w14:paraId="090F037A">
      <w:pPr>
        <w:pStyle w:val="26"/>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20.3信用信息的使用规则：经查询列入失信被执行人名单、重大税收违法失信主体、政府采购严重违法失信行为记录名单、参加政府采购活动前三年内在经营活动中有重大违法记录的投标人将被拒绝参与政府采购活动。</w:t>
      </w:r>
    </w:p>
    <w:p w14:paraId="27336D2D">
      <w:pPr>
        <w:pStyle w:val="26"/>
        <w:spacing w:before="0"/>
        <w:ind w:firstLine="480"/>
        <w:rPr>
          <w:rFonts w:hint="eastAsia" w:ascii="仿宋" w:hAnsi="仿宋" w:eastAsia="仿宋" w:cs="仿宋"/>
          <w:color w:val="auto"/>
        </w:rPr>
      </w:pPr>
      <w:r>
        <w:rPr>
          <w:rFonts w:hint="eastAsia" w:ascii="仿宋" w:hAnsi="仿宋" w:eastAsia="仿宋" w:cs="仿宋"/>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14:paraId="0FF9B72A">
      <w:pPr>
        <w:pStyle w:val="26"/>
        <w:spacing w:before="0"/>
        <w:ind w:firstLine="0" w:firstLineChars="0"/>
        <w:rPr>
          <w:rFonts w:hint="eastAsia" w:ascii="仿宋" w:hAnsi="仿宋" w:eastAsia="仿宋" w:cs="仿宋"/>
          <w:color w:val="auto"/>
          <w:kern w:val="0"/>
          <w:szCs w:val="24"/>
        </w:rPr>
      </w:pPr>
    </w:p>
    <w:p w14:paraId="1F7BDAF7">
      <w:pPr>
        <w:snapToGrid w:val="0"/>
        <w:spacing w:line="360" w:lineRule="auto"/>
        <w:jc w:val="center"/>
        <w:outlineLvl w:val="0"/>
        <w:rPr>
          <w:rFonts w:hint="eastAsia" w:ascii="仿宋" w:hAnsi="仿宋" w:eastAsia="仿宋" w:cs="仿宋"/>
          <w:b/>
          <w:color w:val="auto"/>
          <w:sz w:val="36"/>
          <w:szCs w:val="36"/>
        </w:rPr>
      </w:pPr>
      <w:bookmarkStart w:id="34" w:name="_Hlt75236101"/>
      <w:bookmarkEnd w:id="34"/>
      <w:bookmarkStart w:id="35" w:name="_Toc91899902"/>
      <w:r>
        <w:rPr>
          <w:rFonts w:hint="eastAsia" w:ascii="仿宋" w:hAnsi="仿宋" w:eastAsia="仿宋" w:cs="仿宋"/>
          <w:b/>
          <w:color w:val="auto"/>
          <w:sz w:val="36"/>
          <w:szCs w:val="36"/>
        </w:rPr>
        <w:t>五、评标</w:t>
      </w:r>
      <w:bookmarkEnd w:id="35"/>
    </w:p>
    <w:p w14:paraId="55389E7A">
      <w:pPr>
        <w:pStyle w:val="26"/>
        <w:spacing w:before="0"/>
        <w:ind w:firstLine="482"/>
        <w:rPr>
          <w:rFonts w:hint="eastAsia" w:ascii="仿宋" w:hAnsi="仿宋" w:eastAsia="仿宋" w:cs="仿宋"/>
          <w:b/>
          <w:color w:val="auto"/>
        </w:rPr>
      </w:pPr>
      <w:bookmarkStart w:id="36" w:name="_Toc91899903"/>
      <w:r>
        <w:rPr>
          <w:rFonts w:hint="eastAsia" w:ascii="仿宋" w:hAnsi="仿宋" w:eastAsia="仿宋" w:cs="仿宋"/>
          <w:b/>
          <w:color w:val="auto"/>
        </w:rPr>
        <w:t>21.</w:t>
      </w:r>
      <w:r>
        <w:rPr>
          <w:rFonts w:hint="eastAsia" w:ascii="仿宋" w:hAnsi="仿宋" w:eastAsia="仿宋" w:cs="仿宋"/>
          <w:color w:val="auto"/>
          <w:szCs w:val="24"/>
        </w:rPr>
        <w:t>评标</w:t>
      </w:r>
      <w:r>
        <w:rPr>
          <w:rFonts w:hint="eastAsia" w:ascii="仿宋" w:hAnsi="仿宋" w:eastAsia="仿宋" w:cs="仿宋"/>
          <w:color w:val="auto"/>
        </w:rPr>
        <w:t>委员会将根据招标文件和有关规定，履行评标工作职责，并按照评标办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rPr>
        <w:t>详见招标文件第四部分“评标办法”</w:t>
      </w:r>
    </w:p>
    <w:p w14:paraId="6F148A25">
      <w:pPr>
        <w:spacing w:line="360" w:lineRule="auto"/>
        <w:rPr>
          <w:rFonts w:hint="eastAsia" w:ascii="仿宋" w:hAnsi="仿宋" w:eastAsia="仿宋" w:cs="仿宋"/>
          <w:b/>
          <w:color w:val="auto"/>
          <w:sz w:val="24"/>
        </w:rPr>
      </w:pPr>
    </w:p>
    <w:p w14:paraId="7859AC3B">
      <w:pPr>
        <w:snapToGrid w:val="0"/>
        <w:spacing w:line="360" w:lineRule="auto"/>
        <w:jc w:val="center"/>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六、定标</w:t>
      </w:r>
    </w:p>
    <w:p w14:paraId="4DE0ACFE">
      <w:pPr>
        <w:pStyle w:val="26"/>
        <w:spacing w:before="0"/>
        <w:ind w:firstLine="482"/>
        <w:rPr>
          <w:rFonts w:hint="eastAsia" w:ascii="仿宋" w:hAnsi="仿宋" w:eastAsia="仿宋" w:cs="仿宋"/>
          <w:b/>
          <w:color w:val="auto"/>
        </w:rPr>
      </w:pPr>
      <w:r>
        <w:rPr>
          <w:rFonts w:hint="eastAsia" w:ascii="仿宋" w:hAnsi="仿宋" w:eastAsia="仿宋" w:cs="仿宋"/>
          <w:b/>
          <w:color w:val="auto"/>
        </w:rPr>
        <w:t>22. 确定</w:t>
      </w:r>
      <w:r>
        <w:rPr>
          <w:rFonts w:hint="eastAsia" w:ascii="仿宋" w:hAnsi="仿宋" w:eastAsia="仿宋" w:cs="仿宋"/>
          <w:b/>
          <w:color w:val="auto"/>
          <w:szCs w:val="24"/>
        </w:rPr>
        <w:t>中标</w:t>
      </w:r>
      <w:r>
        <w:rPr>
          <w:rFonts w:hint="eastAsia" w:ascii="仿宋" w:hAnsi="仿宋" w:eastAsia="仿宋" w:cs="仿宋"/>
          <w:b/>
          <w:color w:val="auto"/>
        </w:rPr>
        <w:t>供应商</w:t>
      </w:r>
    </w:p>
    <w:p w14:paraId="12D7C75C">
      <w:pPr>
        <w:pStyle w:val="26"/>
        <w:snapToGrid w:val="0"/>
        <w:spacing w:before="0"/>
        <w:ind w:firstLine="480"/>
        <w:rPr>
          <w:rFonts w:hint="eastAsia" w:ascii="仿宋" w:hAnsi="仿宋" w:eastAsia="仿宋" w:cs="仿宋"/>
          <w:color w:val="auto"/>
          <w:szCs w:val="24"/>
        </w:rPr>
      </w:pPr>
      <w:r>
        <w:rPr>
          <w:rFonts w:hint="eastAsia" w:ascii="仿宋" w:hAnsi="仿宋" w:eastAsia="仿宋" w:cs="仿宋"/>
          <w:color w:val="auto"/>
          <w:szCs w:val="24"/>
        </w:rPr>
        <w:t>采购人将自收到评审报告之日起5个工作日内通过电子交易平台在评审报告推荐的中标候选人中按顺序确定中标供应商。</w:t>
      </w:r>
    </w:p>
    <w:p w14:paraId="1B0052ED">
      <w:pPr>
        <w:pStyle w:val="26"/>
        <w:spacing w:before="0"/>
        <w:ind w:firstLine="482"/>
        <w:rPr>
          <w:rFonts w:hint="eastAsia" w:ascii="仿宋" w:hAnsi="仿宋" w:eastAsia="仿宋" w:cs="仿宋"/>
          <w:b/>
          <w:color w:val="auto"/>
          <w:szCs w:val="24"/>
        </w:rPr>
      </w:pPr>
      <w:r>
        <w:rPr>
          <w:rFonts w:hint="eastAsia" w:ascii="仿宋" w:hAnsi="仿宋" w:eastAsia="仿宋" w:cs="仿宋"/>
          <w:b/>
          <w:color w:val="auto"/>
          <w:szCs w:val="24"/>
        </w:rPr>
        <w:t>23. 中标通知与中标结果公告</w:t>
      </w:r>
    </w:p>
    <w:p w14:paraId="362D3D6D">
      <w:pPr>
        <w:widowControl/>
        <w:shd w:val="clear" w:color="auto" w:fill="FFFFFF"/>
        <w:spacing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23.1自中标人确定之日起2个工作日内，采购代理机构通过电子交易平台向中标人发出中标通知书，同时编制发布采购结果公告。采购代理机构也可以以纸质形式进行中标通知。</w:t>
      </w:r>
    </w:p>
    <w:p w14:paraId="340CE10E">
      <w:pPr>
        <w:widowControl/>
        <w:shd w:val="clear" w:color="auto" w:fill="FFFFFF"/>
        <w:spacing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23.2中标结果公告内容包括采购人及其委托的采购代理机构的名称、地址、联系方式，项目名称和项目编号，中标人名称、地址和中标金额、评审专家抽取规则、开标情况、资格审查情况、符合性审查情况、专家评分情况，主要中标标的的名称、规格型号、数量、单价、服务要求，开标记录、未中标情况说明、中标公告期限以及评审专家名单、评分汇总及明细。</w:t>
      </w:r>
    </w:p>
    <w:p w14:paraId="17879D25">
      <w:pPr>
        <w:widowControl/>
        <w:shd w:val="clear" w:color="auto" w:fill="FFFFFF"/>
        <w:spacing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23.3公告期限为1个工作日。</w:t>
      </w:r>
    </w:p>
    <w:p w14:paraId="3CB31785">
      <w:pPr>
        <w:snapToGrid w:val="0"/>
        <w:spacing w:line="360" w:lineRule="auto"/>
        <w:ind w:left="120" w:leftChars="57" w:firstLine="482" w:firstLineChars="150"/>
        <w:jc w:val="center"/>
        <w:rPr>
          <w:rFonts w:hint="eastAsia" w:ascii="仿宋" w:hAnsi="仿宋" w:eastAsia="仿宋" w:cs="仿宋"/>
          <w:b/>
          <w:color w:val="auto"/>
          <w:sz w:val="32"/>
        </w:rPr>
      </w:pPr>
    </w:p>
    <w:p w14:paraId="31D20746">
      <w:pPr>
        <w:snapToGrid w:val="0"/>
        <w:spacing w:line="360" w:lineRule="auto"/>
        <w:ind w:left="120" w:leftChars="57" w:firstLine="482" w:firstLineChars="150"/>
        <w:jc w:val="center"/>
        <w:rPr>
          <w:rFonts w:hint="eastAsia" w:ascii="仿宋" w:hAnsi="仿宋" w:eastAsia="仿宋" w:cs="仿宋"/>
          <w:b/>
          <w:color w:val="auto"/>
          <w:sz w:val="32"/>
        </w:rPr>
      </w:pPr>
      <w:r>
        <w:rPr>
          <w:rFonts w:hint="eastAsia" w:ascii="仿宋" w:hAnsi="仿宋" w:eastAsia="仿宋" w:cs="仿宋"/>
          <w:b/>
          <w:color w:val="auto"/>
          <w:sz w:val="32"/>
        </w:rPr>
        <w:t>七、合同授予</w:t>
      </w:r>
    </w:p>
    <w:p w14:paraId="75B60598">
      <w:pPr>
        <w:pStyle w:val="26"/>
        <w:spacing w:before="0"/>
        <w:ind w:firstLine="482"/>
        <w:rPr>
          <w:rFonts w:hint="eastAsia" w:ascii="仿宋" w:hAnsi="仿宋" w:eastAsia="仿宋" w:cs="仿宋"/>
          <w:b/>
          <w:color w:val="auto"/>
        </w:rPr>
      </w:pPr>
      <w:r>
        <w:rPr>
          <w:rFonts w:hint="eastAsia" w:ascii="仿宋" w:hAnsi="仿宋" w:eastAsia="仿宋" w:cs="仿宋"/>
          <w:b/>
          <w:color w:val="auto"/>
        </w:rPr>
        <w:t xml:space="preserve">24. </w:t>
      </w:r>
      <w:r>
        <w:rPr>
          <w:rFonts w:hint="eastAsia" w:ascii="仿宋" w:hAnsi="仿宋" w:eastAsia="仿宋" w:cs="仿宋"/>
          <w:color w:val="auto"/>
        </w:rPr>
        <w:t>合同主要条款详见第五部分拟签订的合同文本。</w:t>
      </w:r>
    </w:p>
    <w:p w14:paraId="66D5F4A2">
      <w:pPr>
        <w:pStyle w:val="26"/>
        <w:spacing w:before="0"/>
        <w:ind w:firstLine="482"/>
        <w:rPr>
          <w:rFonts w:hint="eastAsia" w:ascii="仿宋" w:hAnsi="仿宋" w:eastAsia="仿宋" w:cs="仿宋"/>
          <w:b/>
          <w:color w:val="auto"/>
        </w:rPr>
      </w:pPr>
      <w:r>
        <w:rPr>
          <w:rFonts w:hint="eastAsia" w:ascii="仿宋" w:hAnsi="仿宋" w:eastAsia="仿宋" w:cs="仿宋"/>
          <w:b/>
          <w:color w:val="auto"/>
        </w:rPr>
        <w:t>25. 合同的签订</w:t>
      </w:r>
    </w:p>
    <w:p w14:paraId="2CFA774B">
      <w:pPr>
        <w:pStyle w:val="26"/>
        <w:snapToGrid w:val="0"/>
        <w:spacing w:before="0"/>
        <w:ind w:firstLine="480"/>
        <w:rPr>
          <w:rFonts w:hint="eastAsia" w:ascii="仿宋" w:hAnsi="仿宋" w:eastAsia="仿宋" w:cs="仿宋"/>
          <w:color w:val="auto"/>
          <w:kern w:val="0"/>
        </w:rPr>
      </w:pPr>
      <w:r>
        <w:rPr>
          <w:rFonts w:hint="eastAsia" w:ascii="仿宋" w:hAnsi="仿宋" w:eastAsia="仿宋" w:cs="仿宋"/>
          <w:color w:val="auto"/>
          <w:kern w:val="0"/>
          <w:lang w:val="zh-CN"/>
        </w:rPr>
        <w:t>25.1采购人与中标人应当通过电子交易平台在中标通知书发出之日起三十日内，按照招标文件确定的事项签订政府采购合同，并在合同签订之日起2个工作日内依法发布合同公告。</w:t>
      </w:r>
    </w:p>
    <w:p w14:paraId="6D85681F">
      <w:pPr>
        <w:pStyle w:val="26"/>
        <w:snapToGrid w:val="0"/>
        <w:spacing w:before="0"/>
        <w:ind w:firstLine="480"/>
        <w:rPr>
          <w:rFonts w:hint="eastAsia" w:ascii="仿宋" w:hAnsi="仿宋" w:eastAsia="仿宋" w:cs="仿宋"/>
          <w:color w:val="auto"/>
          <w:kern w:val="0"/>
        </w:rPr>
      </w:pPr>
      <w:r>
        <w:rPr>
          <w:rFonts w:hint="eastAsia" w:ascii="仿宋" w:hAnsi="仿宋" w:eastAsia="仿宋" w:cs="仿宋"/>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14:paraId="40653F7C">
      <w:pPr>
        <w:pStyle w:val="26"/>
        <w:snapToGrid w:val="0"/>
        <w:ind w:firstLine="480"/>
        <w:rPr>
          <w:rFonts w:hint="eastAsia" w:ascii="仿宋" w:hAnsi="仿宋" w:eastAsia="仿宋" w:cs="仿宋"/>
          <w:color w:val="auto"/>
        </w:rPr>
      </w:pPr>
      <w:r>
        <w:rPr>
          <w:rFonts w:hint="eastAsia" w:ascii="仿宋" w:hAnsi="仿宋" w:eastAsia="仿宋" w:cs="仿宋"/>
          <w:color w:val="auto"/>
        </w:rPr>
        <w:t>25.3中标供应商拒绝与采购人签订合同的，采购人可以按照评审报告推荐的中标或者成交候选人名单排序，确定下一候选人为中标供应商，也可以重新开展政府采购活动。</w:t>
      </w:r>
    </w:p>
    <w:p w14:paraId="33B55224">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25.4采购合同由采购人与中标供应商根据招标文件、投标文件等内容通过政府采购电子交易平台在线签订，自动备案。</w:t>
      </w:r>
    </w:p>
    <w:p w14:paraId="6A7E5DC8">
      <w:pPr>
        <w:pStyle w:val="26"/>
        <w:spacing w:before="0"/>
        <w:ind w:firstLine="482"/>
        <w:rPr>
          <w:rFonts w:hint="eastAsia" w:ascii="仿宋" w:hAnsi="仿宋" w:eastAsia="仿宋" w:cs="仿宋"/>
          <w:b/>
          <w:color w:val="auto"/>
        </w:rPr>
      </w:pPr>
      <w:r>
        <w:rPr>
          <w:rFonts w:hint="eastAsia" w:ascii="仿宋" w:hAnsi="仿宋" w:eastAsia="仿宋" w:cs="仿宋"/>
          <w:b/>
          <w:color w:val="auto"/>
        </w:rPr>
        <w:t xml:space="preserve">26. </w:t>
      </w:r>
      <w:r>
        <w:rPr>
          <w:rFonts w:hint="eastAsia" w:ascii="仿宋" w:hAnsi="仿宋" w:eastAsia="仿宋" w:cs="仿宋"/>
          <w:b/>
          <w:color w:val="auto"/>
          <w:szCs w:val="24"/>
        </w:rPr>
        <w:t>履约</w:t>
      </w:r>
      <w:r>
        <w:rPr>
          <w:rFonts w:hint="eastAsia" w:ascii="仿宋" w:hAnsi="仿宋" w:eastAsia="仿宋" w:cs="仿宋"/>
          <w:b/>
          <w:color w:val="auto"/>
        </w:rPr>
        <w:t>保证金</w:t>
      </w:r>
    </w:p>
    <w:p w14:paraId="14F3D72D">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w:t>
      </w:r>
    </w:p>
    <w:p w14:paraId="4C3DA31E">
      <w:pPr>
        <w:pStyle w:val="26"/>
        <w:snapToGrid w:val="0"/>
        <w:spacing w:before="0"/>
        <w:ind w:firstLine="480"/>
        <w:rPr>
          <w:rFonts w:hint="eastAsia" w:ascii="仿宋" w:hAnsi="仿宋" w:eastAsia="仿宋" w:cs="仿宋"/>
          <w:color w:val="auto"/>
        </w:rPr>
      </w:pPr>
    </w:p>
    <w:p w14:paraId="69423DD7">
      <w:pPr>
        <w:snapToGrid w:val="0"/>
        <w:spacing w:line="360" w:lineRule="auto"/>
        <w:ind w:firstLine="3357" w:firstLineChars="1045"/>
        <w:rPr>
          <w:rFonts w:hint="eastAsia" w:ascii="仿宋" w:hAnsi="仿宋" w:eastAsia="仿宋" w:cs="仿宋"/>
          <w:b/>
          <w:color w:val="auto"/>
          <w:sz w:val="24"/>
        </w:rPr>
      </w:pPr>
      <w:r>
        <w:rPr>
          <w:rFonts w:hint="eastAsia" w:ascii="仿宋" w:hAnsi="仿宋" w:eastAsia="仿宋" w:cs="仿宋"/>
          <w:b/>
          <w:color w:val="auto"/>
          <w:sz w:val="32"/>
        </w:rPr>
        <w:t>八、电子交易活动的中止</w:t>
      </w:r>
    </w:p>
    <w:p w14:paraId="44E1FBC0">
      <w:pPr>
        <w:pStyle w:val="26"/>
        <w:spacing w:before="0"/>
        <w:ind w:firstLine="482"/>
        <w:rPr>
          <w:rFonts w:hint="eastAsia" w:ascii="仿宋" w:hAnsi="仿宋" w:eastAsia="仿宋" w:cs="仿宋"/>
          <w:color w:val="auto"/>
        </w:rPr>
      </w:pPr>
      <w:r>
        <w:rPr>
          <w:rFonts w:hint="eastAsia" w:ascii="仿宋" w:hAnsi="仿宋" w:eastAsia="仿宋" w:cs="仿宋"/>
          <w:b/>
          <w:color w:val="auto"/>
        </w:rPr>
        <w:t>2</w:t>
      </w:r>
      <w:r>
        <w:rPr>
          <w:rFonts w:hint="eastAsia" w:ascii="仿宋" w:hAnsi="仿宋" w:eastAsia="仿宋" w:cs="仿宋"/>
          <w:b/>
          <w:color w:val="auto"/>
          <w:szCs w:val="24"/>
        </w:rPr>
        <w:t>7. 电子交易活动的中止。</w:t>
      </w:r>
      <w:r>
        <w:rPr>
          <w:rFonts w:hint="eastAsia" w:ascii="仿宋" w:hAnsi="仿宋" w:eastAsia="仿宋" w:cs="仿宋"/>
          <w:color w:val="auto"/>
        </w:rPr>
        <w:t>采购过程中出现以下情形，导致电子交易平台无法正常运行，或者无法保证电子交易的公平、公正和安全时，采购代理机构可中止电子交易活动：</w:t>
      </w:r>
    </w:p>
    <w:p w14:paraId="3FA46F9C">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27.1电子交易平台发生故障而无法登录访问的；</w:t>
      </w:r>
    </w:p>
    <w:p w14:paraId="1B9223F8">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27.2电子交易平台应用或数据库出现错误，不能进行正常操作的；</w:t>
      </w:r>
    </w:p>
    <w:p w14:paraId="0C579CB6">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27.3电子交易平台发现严重安全漏洞，有潜在泄密危险的；</w:t>
      </w:r>
    </w:p>
    <w:p w14:paraId="4A4BF14D">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27.4病毒发作导致不能进行正常操作的；</w:t>
      </w:r>
    </w:p>
    <w:p w14:paraId="37544C4C">
      <w:pPr>
        <w:pStyle w:val="26"/>
        <w:snapToGrid w:val="0"/>
        <w:spacing w:before="0"/>
        <w:ind w:firstLine="480"/>
        <w:rPr>
          <w:rFonts w:hint="eastAsia" w:ascii="仿宋" w:hAnsi="仿宋" w:eastAsia="仿宋" w:cs="仿宋"/>
          <w:color w:val="auto"/>
        </w:rPr>
      </w:pPr>
      <w:r>
        <w:rPr>
          <w:rFonts w:hint="eastAsia" w:ascii="仿宋" w:hAnsi="仿宋" w:eastAsia="仿宋" w:cs="仿宋"/>
          <w:color w:val="auto"/>
        </w:rPr>
        <w:t>27.5其他无法保证电子交易的公平、公正和安全的情况。</w:t>
      </w:r>
    </w:p>
    <w:p w14:paraId="69253C30">
      <w:pPr>
        <w:pStyle w:val="26"/>
        <w:spacing w:before="0"/>
        <w:ind w:firstLine="482"/>
        <w:rPr>
          <w:rFonts w:hint="eastAsia" w:ascii="仿宋" w:hAnsi="仿宋" w:eastAsia="仿宋" w:cs="仿宋"/>
          <w:color w:val="auto"/>
        </w:rPr>
      </w:pPr>
      <w:r>
        <w:rPr>
          <w:rFonts w:hint="eastAsia" w:ascii="仿宋" w:hAnsi="仿宋" w:eastAsia="仿宋" w:cs="仿宋"/>
          <w:b/>
          <w:color w:val="auto"/>
          <w:szCs w:val="24"/>
        </w:rPr>
        <w:t>28</w:t>
      </w:r>
      <w:r>
        <w:rPr>
          <w:rFonts w:hint="eastAsia" w:ascii="仿宋" w:hAnsi="仿宋" w:eastAsia="仿宋" w:cs="仿宋"/>
          <w:b/>
          <w:color w:val="auto"/>
        </w:rPr>
        <w:t>.</w:t>
      </w:r>
      <w:r>
        <w:rPr>
          <w:rFonts w:hint="eastAsia" w:ascii="仿宋" w:hAnsi="仿宋" w:eastAsia="仿宋" w:cs="仿宋"/>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198A97B8">
      <w:pPr>
        <w:tabs>
          <w:tab w:val="left" w:pos="0"/>
        </w:tabs>
        <w:spacing w:line="360" w:lineRule="auto"/>
        <w:ind w:firstLine="480"/>
        <w:rPr>
          <w:rFonts w:hint="eastAsia" w:ascii="仿宋" w:hAnsi="仿宋" w:eastAsia="仿宋" w:cs="仿宋"/>
          <w:color w:val="auto"/>
          <w:sz w:val="24"/>
        </w:rPr>
      </w:pPr>
    </w:p>
    <w:p w14:paraId="3A6CE8CF">
      <w:pPr>
        <w:widowControl/>
        <w:jc w:val="left"/>
        <w:rPr>
          <w:rFonts w:hint="eastAsia" w:ascii="仿宋" w:hAnsi="仿宋" w:eastAsia="仿宋" w:cs="仿宋"/>
          <w:b/>
          <w:color w:val="auto"/>
          <w:sz w:val="32"/>
        </w:rPr>
      </w:pPr>
      <w:r>
        <w:rPr>
          <w:rFonts w:hint="eastAsia" w:ascii="仿宋" w:hAnsi="仿宋" w:eastAsia="仿宋" w:cs="仿宋"/>
          <w:b/>
          <w:color w:val="auto"/>
          <w:sz w:val="32"/>
        </w:rPr>
        <w:br w:type="page"/>
      </w:r>
    </w:p>
    <w:p w14:paraId="449E4E62">
      <w:pPr>
        <w:snapToGrid w:val="0"/>
        <w:spacing w:line="360" w:lineRule="auto"/>
        <w:ind w:left="120" w:leftChars="57" w:firstLine="482" w:firstLineChars="150"/>
        <w:jc w:val="center"/>
        <w:rPr>
          <w:rFonts w:hint="eastAsia" w:ascii="仿宋" w:hAnsi="仿宋" w:eastAsia="仿宋" w:cs="仿宋"/>
          <w:b/>
          <w:color w:val="auto"/>
          <w:sz w:val="32"/>
        </w:rPr>
      </w:pPr>
      <w:r>
        <w:rPr>
          <w:rFonts w:hint="eastAsia" w:ascii="仿宋" w:hAnsi="仿宋" w:eastAsia="仿宋" w:cs="仿宋"/>
          <w:b/>
          <w:color w:val="auto"/>
          <w:sz w:val="32"/>
        </w:rPr>
        <w:t>九、验收</w:t>
      </w:r>
    </w:p>
    <w:p w14:paraId="1AEBBB25">
      <w:pPr>
        <w:pStyle w:val="26"/>
        <w:spacing w:before="0"/>
        <w:ind w:firstLine="482"/>
        <w:rPr>
          <w:rFonts w:hint="eastAsia" w:ascii="仿宋" w:hAnsi="仿宋" w:eastAsia="仿宋" w:cs="仿宋"/>
          <w:b/>
          <w:color w:val="auto"/>
        </w:rPr>
      </w:pPr>
      <w:r>
        <w:rPr>
          <w:rFonts w:hint="eastAsia" w:ascii="仿宋" w:hAnsi="仿宋" w:eastAsia="仿宋" w:cs="仿宋"/>
          <w:b/>
          <w:color w:val="auto"/>
        </w:rPr>
        <w:t>29.验收</w:t>
      </w:r>
    </w:p>
    <w:p w14:paraId="74AA3FD8">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766CE20">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29.2采购人可以邀请参加本项目的其他投标人或者第三方机构参与验收。参与验收的投标人或者第三方机构的意见作为验收书的参考资料一并存档。</w:t>
      </w:r>
    </w:p>
    <w:p w14:paraId="667A1CCD">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AD55A20">
      <w:pPr>
        <w:tabs>
          <w:tab w:val="left" w:pos="0"/>
        </w:tabs>
        <w:spacing w:line="360" w:lineRule="auto"/>
        <w:ind w:firstLine="480"/>
        <w:rPr>
          <w:rFonts w:hint="eastAsia" w:ascii="仿宋" w:hAnsi="仿宋" w:eastAsia="仿宋" w:cs="仿宋"/>
          <w:color w:val="auto"/>
          <w:sz w:val="18"/>
          <w:szCs w:val="18"/>
        </w:rPr>
      </w:pPr>
      <w:r>
        <w:rPr>
          <w:rFonts w:hint="eastAsia" w:ascii="仿宋" w:hAnsi="仿宋" w:eastAsia="仿宋" w:cs="仿宋"/>
          <w:color w:val="auto"/>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6"/>
    <w:p w14:paraId="6B1B06B2">
      <w:pPr>
        <w:spacing w:line="360" w:lineRule="auto"/>
        <w:jc w:val="center"/>
        <w:outlineLvl w:val="0"/>
        <w:rPr>
          <w:rFonts w:hint="eastAsia" w:ascii="仿宋" w:hAnsi="仿宋" w:eastAsia="仿宋" w:cs="仿宋"/>
          <w:color w:val="auto"/>
        </w:rPr>
        <w:sectPr>
          <w:footerReference r:id="rId8" w:type="first"/>
          <w:footerReference r:id="rId7" w:type="default"/>
          <w:pgSz w:w="11906" w:h="16838"/>
          <w:pgMar w:top="777" w:right="1418" w:bottom="471" w:left="1418" w:header="851" w:footer="992" w:gutter="0"/>
          <w:pgNumType w:fmt="decimal" w:start="1"/>
          <w:cols w:space="720" w:num="1"/>
          <w:docGrid w:linePitch="312" w:charSpace="0"/>
        </w:sectPr>
      </w:pPr>
    </w:p>
    <w:bookmarkEnd w:id="11"/>
    <w:bookmarkEnd w:id="12"/>
    <w:p w14:paraId="52F0B30B">
      <w:pPr>
        <w:spacing w:line="360" w:lineRule="auto"/>
        <w:jc w:val="center"/>
        <w:outlineLvl w:val="0"/>
        <w:rPr>
          <w:rFonts w:hint="eastAsia" w:ascii="仿宋" w:hAnsi="仿宋" w:eastAsia="仿宋" w:cs="仿宋"/>
          <w:bCs/>
          <w:color w:val="auto"/>
          <w:sz w:val="32"/>
        </w:rPr>
      </w:pPr>
      <w:bookmarkStart w:id="37" w:name="_Toc4460"/>
      <w:bookmarkStart w:id="38" w:name="_Toc302396120"/>
      <w:bookmarkStart w:id="39" w:name="第四部分"/>
      <w:r>
        <w:rPr>
          <w:rFonts w:hint="eastAsia" w:ascii="仿宋" w:hAnsi="仿宋" w:eastAsia="仿宋" w:cs="仿宋"/>
          <w:b/>
          <w:color w:val="auto"/>
          <w:sz w:val="36"/>
          <w:szCs w:val="36"/>
        </w:rPr>
        <w:t>第三部分</w:t>
      </w:r>
      <w:bookmarkStart w:id="40" w:name="_Toc184314438"/>
      <w:bookmarkEnd w:id="40"/>
      <w:bookmarkStart w:id="41" w:name="_Toc184308063"/>
      <w:bookmarkEnd w:id="41"/>
      <w:bookmarkStart w:id="42" w:name="_Toc184310320"/>
      <w:bookmarkEnd w:id="42"/>
      <w:bookmarkStart w:id="43" w:name="_Toc184314451"/>
      <w:bookmarkEnd w:id="43"/>
      <w:bookmarkStart w:id="44" w:name="_Toc184312129"/>
      <w:bookmarkEnd w:id="44"/>
      <w:bookmarkStart w:id="45" w:name="_Toc184310296"/>
      <w:bookmarkEnd w:id="45"/>
      <w:bookmarkStart w:id="46" w:name="_Toc184308053"/>
      <w:bookmarkEnd w:id="46"/>
      <w:bookmarkStart w:id="47" w:name="_Toc184314419"/>
      <w:bookmarkEnd w:id="47"/>
      <w:bookmarkStart w:id="48" w:name="_Toc184312130"/>
      <w:bookmarkEnd w:id="48"/>
      <w:bookmarkStart w:id="49" w:name="_Toc184312122"/>
      <w:bookmarkEnd w:id="49"/>
      <w:bookmarkStart w:id="50" w:name="_Toc184314453"/>
      <w:bookmarkEnd w:id="50"/>
      <w:bookmarkStart w:id="51" w:name="_Toc184313271"/>
      <w:bookmarkEnd w:id="51"/>
      <w:bookmarkStart w:id="52" w:name="_Toc184310334"/>
      <w:bookmarkEnd w:id="52"/>
      <w:bookmarkStart w:id="53" w:name="_Toc184314456"/>
      <w:bookmarkEnd w:id="53"/>
      <w:bookmarkStart w:id="54" w:name="_Toc184312101"/>
      <w:bookmarkEnd w:id="54"/>
      <w:bookmarkStart w:id="55" w:name="_Toc184314421"/>
      <w:bookmarkEnd w:id="55"/>
      <w:bookmarkStart w:id="56" w:name="_Toc184312112"/>
      <w:bookmarkEnd w:id="56"/>
      <w:bookmarkStart w:id="57" w:name="_Toc184310305"/>
      <w:bookmarkEnd w:id="57"/>
      <w:bookmarkStart w:id="58" w:name="_Toc184310293"/>
      <w:bookmarkEnd w:id="58"/>
      <w:bookmarkStart w:id="59" w:name="_Toc184310323"/>
      <w:bookmarkEnd w:id="59"/>
      <w:bookmarkStart w:id="60" w:name="_Toc184314477"/>
      <w:bookmarkEnd w:id="60"/>
      <w:bookmarkStart w:id="61" w:name="_Toc184312116"/>
      <w:bookmarkEnd w:id="61"/>
      <w:bookmarkStart w:id="62" w:name="_Toc184308066"/>
      <w:bookmarkEnd w:id="62"/>
      <w:bookmarkStart w:id="63" w:name="_Toc184310325"/>
      <w:bookmarkEnd w:id="63"/>
      <w:bookmarkStart w:id="64" w:name="_Toc184314454"/>
      <w:bookmarkEnd w:id="64"/>
      <w:bookmarkStart w:id="65" w:name="_Toc184308067"/>
      <w:bookmarkEnd w:id="65"/>
      <w:bookmarkStart w:id="66" w:name="_Toc184310292"/>
      <w:bookmarkEnd w:id="66"/>
      <w:bookmarkStart w:id="67" w:name="_Toc184310303"/>
      <w:bookmarkEnd w:id="67"/>
      <w:bookmarkStart w:id="68" w:name="_Toc184310285"/>
      <w:bookmarkEnd w:id="68"/>
      <w:bookmarkStart w:id="69" w:name="_Toc184312083"/>
      <w:bookmarkEnd w:id="69"/>
      <w:bookmarkStart w:id="70" w:name="_Toc184312095"/>
      <w:bookmarkEnd w:id="70"/>
      <w:bookmarkStart w:id="71" w:name="_Toc184313265"/>
      <w:bookmarkEnd w:id="71"/>
      <w:bookmarkStart w:id="72" w:name="_Toc184310272"/>
      <w:bookmarkEnd w:id="72"/>
      <w:bookmarkStart w:id="73" w:name="_Toc184310330"/>
      <w:bookmarkEnd w:id="73"/>
      <w:bookmarkStart w:id="74" w:name="_Toc184308061"/>
      <w:bookmarkEnd w:id="74"/>
      <w:bookmarkStart w:id="75" w:name="_Toc184312069"/>
      <w:bookmarkEnd w:id="75"/>
      <w:bookmarkStart w:id="76" w:name="_Toc184313274"/>
      <w:bookmarkEnd w:id="76"/>
      <w:bookmarkStart w:id="77" w:name="_Toc184308041"/>
      <w:bookmarkEnd w:id="77"/>
      <w:bookmarkStart w:id="78" w:name="_Toc184310321"/>
      <w:bookmarkEnd w:id="78"/>
      <w:bookmarkStart w:id="79" w:name="_Toc184314446"/>
      <w:bookmarkEnd w:id="79"/>
      <w:bookmarkStart w:id="80" w:name="_Toc184310282"/>
      <w:bookmarkEnd w:id="80"/>
      <w:bookmarkStart w:id="81" w:name="_Toc184313253"/>
      <w:bookmarkEnd w:id="81"/>
      <w:bookmarkStart w:id="82" w:name="_Toc184310308"/>
      <w:bookmarkEnd w:id="82"/>
      <w:bookmarkStart w:id="83" w:name="_Toc184308036"/>
      <w:bookmarkEnd w:id="83"/>
      <w:bookmarkStart w:id="84" w:name="_Toc184313279"/>
      <w:bookmarkEnd w:id="84"/>
      <w:bookmarkStart w:id="85" w:name="_Toc184312072"/>
      <w:bookmarkEnd w:id="85"/>
      <w:bookmarkStart w:id="86" w:name="_Toc184308038"/>
      <w:bookmarkEnd w:id="86"/>
      <w:bookmarkStart w:id="87" w:name="_Toc184312135"/>
      <w:bookmarkEnd w:id="87"/>
      <w:bookmarkStart w:id="88" w:name="_Toc184312114"/>
      <w:bookmarkEnd w:id="88"/>
      <w:bookmarkStart w:id="89" w:name="_Toc184312139"/>
      <w:bookmarkEnd w:id="89"/>
      <w:bookmarkStart w:id="90" w:name="_Toc184313256"/>
      <w:bookmarkEnd w:id="90"/>
      <w:bookmarkStart w:id="91" w:name="_Toc184313259"/>
      <w:bookmarkEnd w:id="91"/>
      <w:bookmarkStart w:id="92" w:name="_Toc184310274"/>
      <w:bookmarkEnd w:id="92"/>
      <w:bookmarkStart w:id="93" w:name="_Toc184310341"/>
      <w:bookmarkEnd w:id="93"/>
      <w:bookmarkStart w:id="94" w:name="_Toc184313239"/>
      <w:bookmarkEnd w:id="94"/>
      <w:bookmarkStart w:id="95" w:name="_Toc184310331"/>
      <w:bookmarkEnd w:id="95"/>
      <w:bookmarkStart w:id="96" w:name="_Toc184312074"/>
      <w:bookmarkEnd w:id="96"/>
      <w:bookmarkStart w:id="97" w:name="_Toc184310284"/>
      <w:bookmarkEnd w:id="97"/>
      <w:bookmarkStart w:id="98" w:name="_Toc184308065"/>
      <w:bookmarkEnd w:id="98"/>
      <w:bookmarkStart w:id="99" w:name="_Toc184310301"/>
      <w:bookmarkEnd w:id="99"/>
      <w:bookmarkStart w:id="100" w:name="_Toc184314482"/>
      <w:bookmarkEnd w:id="100"/>
      <w:bookmarkStart w:id="101" w:name="_Toc184308073"/>
      <w:bookmarkEnd w:id="101"/>
      <w:bookmarkStart w:id="102" w:name="_Toc184310318"/>
      <w:bookmarkEnd w:id="102"/>
      <w:bookmarkStart w:id="103" w:name="_Toc184314440"/>
      <w:bookmarkEnd w:id="103"/>
      <w:bookmarkStart w:id="104" w:name="_Toc184310315"/>
      <w:bookmarkEnd w:id="104"/>
      <w:bookmarkStart w:id="105" w:name="_Toc184313246"/>
      <w:bookmarkEnd w:id="105"/>
      <w:bookmarkStart w:id="106" w:name="_Toc184312076"/>
      <w:bookmarkEnd w:id="106"/>
      <w:bookmarkStart w:id="107" w:name="_Toc184313294"/>
      <w:bookmarkEnd w:id="107"/>
      <w:bookmarkStart w:id="108" w:name="_Toc184313288"/>
      <w:bookmarkEnd w:id="108"/>
      <w:bookmarkStart w:id="109" w:name="_Toc184313290"/>
      <w:bookmarkEnd w:id="109"/>
      <w:bookmarkStart w:id="110" w:name="_Toc184313244"/>
      <w:bookmarkEnd w:id="110"/>
      <w:bookmarkStart w:id="111" w:name="_Toc184313245"/>
      <w:bookmarkEnd w:id="111"/>
      <w:bookmarkStart w:id="112" w:name="_Toc184313266"/>
      <w:bookmarkEnd w:id="112"/>
      <w:bookmarkStart w:id="113" w:name="_Toc184313297"/>
      <w:bookmarkEnd w:id="113"/>
      <w:bookmarkStart w:id="114" w:name="_Toc184312075"/>
      <w:bookmarkEnd w:id="114"/>
      <w:bookmarkStart w:id="115" w:name="_Toc184310288"/>
      <w:bookmarkEnd w:id="115"/>
      <w:bookmarkStart w:id="116" w:name="_Toc184308043"/>
      <w:bookmarkEnd w:id="116"/>
      <w:bookmarkStart w:id="117" w:name="_Toc184314435"/>
      <w:bookmarkEnd w:id="117"/>
      <w:bookmarkStart w:id="118" w:name="_Toc184312136"/>
      <w:bookmarkEnd w:id="118"/>
      <w:bookmarkStart w:id="119" w:name="_Toc184308070"/>
      <w:bookmarkEnd w:id="119"/>
      <w:bookmarkStart w:id="120" w:name="_Toc184314467"/>
      <w:bookmarkEnd w:id="120"/>
      <w:bookmarkStart w:id="121" w:name="_Toc184310338"/>
      <w:bookmarkEnd w:id="121"/>
      <w:bookmarkStart w:id="122" w:name="_Toc184314444"/>
      <w:bookmarkEnd w:id="122"/>
      <w:bookmarkStart w:id="123" w:name="_Toc184308072"/>
      <w:bookmarkEnd w:id="123"/>
      <w:bookmarkStart w:id="124" w:name="_Toc184310279"/>
      <w:bookmarkEnd w:id="124"/>
      <w:bookmarkStart w:id="125" w:name="_Toc184312098"/>
      <w:bookmarkEnd w:id="125"/>
      <w:bookmarkStart w:id="126" w:name="_Toc184310297"/>
      <w:bookmarkEnd w:id="126"/>
      <w:bookmarkStart w:id="127" w:name="_Toc184308099"/>
      <w:bookmarkEnd w:id="127"/>
      <w:bookmarkStart w:id="128" w:name="_Toc184312094"/>
      <w:bookmarkEnd w:id="128"/>
      <w:bookmarkStart w:id="129" w:name="_Toc184308087"/>
      <w:bookmarkEnd w:id="129"/>
      <w:bookmarkStart w:id="130" w:name="_Toc184310309"/>
      <w:bookmarkEnd w:id="130"/>
      <w:bookmarkStart w:id="131" w:name="_Toc184314410"/>
      <w:bookmarkEnd w:id="131"/>
      <w:bookmarkStart w:id="132" w:name="_Toc184310319"/>
      <w:bookmarkEnd w:id="132"/>
      <w:bookmarkStart w:id="133" w:name="_Toc184313310"/>
      <w:bookmarkEnd w:id="133"/>
      <w:bookmarkStart w:id="134" w:name="_Toc184308054"/>
      <w:bookmarkEnd w:id="134"/>
      <w:bookmarkStart w:id="135" w:name="_Toc184314412"/>
      <w:bookmarkEnd w:id="135"/>
      <w:bookmarkStart w:id="136" w:name="_Toc184314437"/>
      <w:bookmarkEnd w:id="136"/>
      <w:bookmarkStart w:id="137" w:name="_Toc184314472"/>
      <w:bookmarkEnd w:id="137"/>
      <w:bookmarkStart w:id="138" w:name="_Toc184312124"/>
      <w:bookmarkEnd w:id="138"/>
      <w:bookmarkStart w:id="139" w:name="_Toc184313260"/>
      <w:bookmarkEnd w:id="139"/>
      <w:bookmarkStart w:id="140" w:name="_Toc184308078"/>
      <w:bookmarkEnd w:id="140"/>
      <w:bookmarkStart w:id="141" w:name="_Toc184314413"/>
      <w:bookmarkEnd w:id="141"/>
      <w:bookmarkStart w:id="142" w:name="_Toc184308039"/>
      <w:bookmarkEnd w:id="142"/>
      <w:bookmarkStart w:id="143" w:name="_Toc184308102"/>
      <w:bookmarkEnd w:id="143"/>
      <w:bookmarkStart w:id="144" w:name="_Toc184310289"/>
      <w:bookmarkEnd w:id="144"/>
      <w:bookmarkStart w:id="145" w:name="_Toc184310298"/>
      <w:bookmarkEnd w:id="145"/>
      <w:bookmarkStart w:id="146" w:name="_Toc184308077"/>
      <w:bookmarkEnd w:id="146"/>
      <w:bookmarkStart w:id="147" w:name="_Toc184314471"/>
      <w:bookmarkEnd w:id="147"/>
      <w:bookmarkStart w:id="148" w:name="_Toc184308106"/>
      <w:bookmarkEnd w:id="148"/>
      <w:bookmarkStart w:id="149" w:name="_Toc184308062"/>
      <w:bookmarkEnd w:id="149"/>
      <w:bookmarkStart w:id="150" w:name="_Toc184314415"/>
      <w:bookmarkEnd w:id="150"/>
      <w:bookmarkStart w:id="151" w:name="_Toc184312077"/>
      <w:bookmarkEnd w:id="151"/>
      <w:bookmarkStart w:id="152" w:name="_Toc184308056"/>
      <w:bookmarkEnd w:id="152"/>
      <w:bookmarkStart w:id="153" w:name="_Toc184312120"/>
      <w:bookmarkEnd w:id="153"/>
      <w:bookmarkStart w:id="154" w:name="_Toc184312071"/>
      <w:bookmarkEnd w:id="154"/>
      <w:bookmarkStart w:id="155" w:name="_Toc184314463"/>
      <w:bookmarkEnd w:id="155"/>
      <w:bookmarkStart w:id="156" w:name="_Toc184314414"/>
      <w:bookmarkEnd w:id="156"/>
      <w:bookmarkStart w:id="157" w:name="_Toc184310335"/>
      <w:bookmarkEnd w:id="157"/>
      <w:bookmarkStart w:id="158" w:name="_Toc184308085"/>
      <w:bookmarkEnd w:id="158"/>
      <w:bookmarkStart w:id="159" w:name="_Toc184310317"/>
      <w:bookmarkEnd w:id="159"/>
      <w:bookmarkStart w:id="160" w:name="_Toc184310324"/>
      <w:bookmarkEnd w:id="160"/>
      <w:bookmarkStart w:id="161" w:name="_Toc184313248"/>
      <w:bookmarkEnd w:id="161"/>
      <w:bookmarkStart w:id="162" w:name="_Toc184308044"/>
      <w:bookmarkEnd w:id="162"/>
      <w:bookmarkStart w:id="163" w:name="_Toc184308076"/>
      <w:bookmarkEnd w:id="163"/>
      <w:bookmarkStart w:id="164" w:name="_Toc184308088"/>
      <w:bookmarkEnd w:id="164"/>
      <w:bookmarkStart w:id="165" w:name="_Toc184313287"/>
      <w:bookmarkEnd w:id="165"/>
      <w:bookmarkStart w:id="166" w:name="_Toc184310326"/>
      <w:bookmarkEnd w:id="166"/>
      <w:bookmarkStart w:id="167" w:name="_Toc184313242"/>
      <w:bookmarkEnd w:id="167"/>
      <w:bookmarkStart w:id="168" w:name="_Toc184312107"/>
      <w:bookmarkEnd w:id="168"/>
      <w:bookmarkStart w:id="169" w:name="_Toc184308101"/>
      <w:bookmarkEnd w:id="169"/>
      <w:bookmarkStart w:id="170" w:name="_Toc184308075"/>
      <w:bookmarkEnd w:id="170"/>
      <w:bookmarkStart w:id="171" w:name="_Toc184312118"/>
      <w:bookmarkEnd w:id="171"/>
      <w:bookmarkStart w:id="172" w:name="_Toc184314480"/>
      <w:bookmarkEnd w:id="172"/>
      <w:bookmarkStart w:id="173" w:name="_Toc184314430"/>
      <w:bookmarkEnd w:id="173"/>
      <w:bookmarkStart w:id="174" w:name="_Toc184308082"/>
      <w:bookmarkEnd w:id="174"/>
      <w:bookmarkStart w:id="175" w:name="_Toc184312106"/>
      <w:bookmarkEnd w:id="175"/>
      <w:bookmarkStart w:id="176" w:name="_Toc184314420"/>
      <w:bookmarkEnd w:id="176"/>
      <w:bookmarkStart w:id="177" w:name="_Toc184313264"/>
      <w:bookmarkEnd w:id="177"/>
      <w:bookmarkStart w:id="178" w:name="_Toc184312084"/>
      <w:bookmarkEnd w:id="178"/>
      <w:bookmarkStart w:id="179" w:name="_Toc184312133"/>
      <w:bookmarkEnd w:id="179"/>
      <w:bookmarkStart w:id="180" w:name="_Toc184310277"/>
      <w:bookmarkEnd w:id="180"/>
      <w:bookmarkStart w:id="181" w:name="_Toc184312108"/>
      <w:bookmarkEnd w:id="181"/>
      <w:bookmarkStart w:id="182" w:name="_Toc184314464"/>
      <w:bookmarkEnd w:id="182"/>
      <w:bookmarkStart w:id="183" w:name="_Toc184313295"/>
      <w:bookmarkEnd w:id="183"/>
      <w:bookmarkStart w:id="184" w:name="_Toc184313275"/>
      <w:bookmarkEnd w:id="184"/>
      <w:bookmarkStart w:id="185" w:name="_Toc184313243"/>
      <w:bookmarkEnd w:id="185"/>
      <w:bookmarkStart w:id="186" w:name="_Toc184314450"/>
      <w:bookmarkEnd w:id="186"/>
      <w:bookmarkStart w:id="187" w:name="_Toc184314417"/>
      <w:bookmarkEnd w:id="187"/>
      <w:bookmarkStart w:id="188" w:name="_Toc184312088"/>
      <w:bookmarkEnd w:id="188"/>
      <w:bookmarkStart w:id="189" w:name="_Toc184308090"/>
      <w:bookmarkEnd w:id="189"/>
      <w:bookmarkStart w:id="190" w:name="_Toc184308084"/>
      <w:bookmarkEnd w:id="190"/>
      <w:bookmarkStart w:id="191" w:name="_Toc184314462"/>
      <w:bookmarkEnd w:id="191"/>
      <w:bookmarkStart w:id="192" w:name="_Toc184314433"/>
      <w:bookmarkEnd w:id="192"/>
      <w:bookmarkStart w:id="193" w:name="_Toc184308046"/>
      <w:bookmarkEnd w:id="193"/>
      <w:bookmarkStart w:id="194" w:name="_Toc184310339"/>
      <w:bookmarkEnd w:id="194"/>
      <w:bookmarkStart w:id="195" w:name="_Toc184314428"/>
      <w:bookmarkEnd w:id="195"/>
      <w:bookmarkStart w:id="196" w:name="_Toc184308091"/>
      <w:bookmarkEnd w:id="196"/>
      <w:bookmarkStart w:id="197" w:name="_Toc184313273"/>
      <w:bookmarkEnd w:id="197"/>
      <w:bookmarkStart w:id="198" w:name="_Toc184313296"/>
      <w:bookmarkEnd w:id="198"/>
      <w:bookmarkStart w:id="199" w:name="_Toc184314449"/>
      <w:bookmarkEnd w:id="199"/>
      <w:bookmarkStart w:id="200" w:name="_Toc184313249"/>
      <w:bookmarkEnd w:id="200"/>
      <w:bookmarkStart w:id="201" w:name="_Toc184308096"/>
      <w:bookmarkEnd w:id="201"/>
      <w:bookmarkStart w:id="202" w:name="_Toc184313280"/>
      <w:bookmarkEnd w:id="202"/>
      <w:bookmarkStart w:id="203" w:name="_Toc184313250"/>
      <w:bookmarkEnd w:id="203"/>
      <w:bookmarkStart w:id="204" w:name="_Toc184312105"/>
      <w:bookmarkEnd w:id="204"/>
      <w:bookmarkStart w:id="205" w:name="_Toc184312086"/>
      <w:bookmarkEnd w:id="205"/>
      <w:bookmarkStart w:id="206" w:name="_Toc184310327"/>
      <w:bookmarkEnd w:id="206"/>
      <w:bookmarkStart w:id="207" w:name="_Toc184308105"/>
      <w:bookmarkEnd w:id="207"/>
      <w:bookmarkStart w:id="208" w:name="_Toc184312131"/>
      <w:bookmarkEnd w:id="208"/>
      <w:bookmarkStart w:id="209" w:name="_Toc184308089"/>
      <w:bookmarkEnd w:id="209"/>
      <w:bookmarkStart w:id="210" w:name="_Toc184310343"/>
      <w:bookmarkEnd w:id="210"/>
      <w:bookmarkStart w:id="211" w:name="_Toc184312102"/>
      <w:bookmarkEnd w:id="211"/>
      <w:bookmarkStart w:id="212" w:name="_Toc184310312"/>
      <w:bookmarkEnd w:id="212"/>
      <w:bookmarkStart w:id="213" w:name="_Toc184308057"/>
      <w:bookmarkEnd w:id="213"/>
      <w:bookmarkStart w:id="214" w:name="_Toc184312111"/>
      <w:bookmarkEnd w:id="214"/>
      <w:bookmarkStart w:id="215" w:name="_Toc184310316"/>
      <w:bookmarkEnd w:id="215"/>
      <w:bookmarkStart w:id="216" w:name="_Toc184308071"/>
      <w:bookmarkEnd w:id="216"/>
      <w:bookmarkStart w:id="217" w:name="_Toc184314431"/>
      <w:bookmarkEnd w:id="217"/>
      <w:bookmarkStart w:id="218" w:name="_Toc184314442"/>
      <w:bookmarkEnd w:id="218"/>
      <w:bookmarkStart w:id="219" w:name="_Toc184312070"/>
      <w:bookmarkEnd w:id="219"/>
      <w:bookmarkStart w:id="220" w:name="_Toc184312073"/>
      <w:bookmarkEnd w:id="220"/>
      <w:bookmarkStart w:id="221" w:name="_Toc184313272"/>
      <w:bookmarkEnd w:id="221"/>
      <w:bookmarkStart w:id="222" w:name="_Toc184308093"/>
      <w:bookmarkEnd w:id="222"/>
      <w:bookmarkStart w:id="223" w:name="_Toc184310314"/>
      <w:bookmarkEnd w:id="223"/>
      <w:bookmarkStart w:id="224" w:name="_Toc184314439"/>
      <w:bookmarkEnd w:id="224"/>
      <w:bookmarkStart w:id="225" w:name="_Toc184313276"/>
      <w:bookmarkEnd w:id="225"/>
      <w:bookmarkStart w:id="226" w:name="_Toc184308052"/>
      <w:bookmarkEnd w:id="226"/>
      <w:bookmarkStart w:id="227" w:name="_Toc184313261"/>
      <w:bookmarkEnd w:id="227"/>
      <w:bookmarkStart w:id="228" w:name="_Toc184314474"/>
      <w:bookmarkEnd w:id="228"/>
      <w:bookmarkStart w:id="229" w:name="_Toc184310275"/>
      <w:bookmarkEnd w:id="229"/>
      <w:bookmarkStart w:id="230" w:name="_Toc184314455"/>
      <w:bookmarkEnd w:id="230"/>
      <w:bookmarkStart w:id="231" w:name="_Toc184308040"/>
      <w:bookmarkEnd w:id="231"/>
      <w:bookmarkStart w:id="232" w:name="_Toc184313298"/>
      <w:bookmarkEnd w:id="232"/>
      <w:bookmarkStart w:id="233" w:name="_Toc184308100"/>
      <w:bookmarkEnd w:id="233"/>
      <w:bookmarkStart w:id="234" w:name="_Toc184310280"/>
      <w:bookmarkEnd w:id="234"/>
      <w:bookmarkStart w:id="235" w:name="_Toc184314475"/>
      <w:bookmarkEnd w:id="235"/>
      <w:bookmarkStart w:id="236" w:name="_Toc184314441"/>
      <w:bookmarkEnd w:id="236"/>
      <w:bookmarkStart w:id="237" w:name="_Toc184308107"/>
      <w:bookmarkEnd w:id="237"/>
      <w:bookmarkStart w:id="238" w:name="_Toc184314427"/>
      <w:bookmarkEnd w:id="238"/>
      <w:bookmarkStart w:id="239" w:name="_Toc184314481"/>
      <w:bookmarkEnd w:id="239"/>
      <w:bookmarkStart w:id="240" w:name="_Toc184308037"/>
      <w:bookmarkEnd w:id="240"/>
      <w:bookmarkStart w:id="241" w:name="_Toc184314473"/>
      <w:bookmarkEnd w:id="241"/>
      <w:bookmarkStart w:id="242" w:name="_Toc184312127"/>
      <w:bookmarkEnd w:id="242"/>
      <w:bookmarkStart w:id="243" w:name="_Toc184310302"/>
      <w:bookmarkEnd w:id="243"/>
      <w:bookmarkStart w:id="244" w:name="_Toc184312128"/>
      <w:bookmarkEnd w:id="244"/>
      <w:bookmarkStart w:id="245" w:name="_Toc184310333"/>
      <w:bookmarkEnd w:id="245"/>
      <w:bookmarkStart w:id="246" w:name="_Toc184312104"/>
      <w:bookmarkEnd w:id="246"/>
      <w:bookmarkStart w:id="247" w:name="_Toc184308108"/>
      <w:bookmarkEnd w:id="247"/>
      <w:bookmarkStart w:id="248" w:name="_Toc184313238"/>
      <w:bookmarkEnd w:id="248"/>
      <w:bookmarkStart w:id="249" w:name="_Toc184313254"/>
      <w:bookmarkEnd w:id="249"/>
      <w:bookmarkStart w:id="250" w:name="_Toc184310313"/>
      <w:bookmarkEnd w:id="250"/>
      <w:bookmarkStart w:id="251" w:name="_Toc184313240"/>
      <w:bookmarkEnd w:id="251"/>
      <w:bookmarkStart w:id="252" w:name="_Toc184313303"/>
      <w:bookmarkEnd w:id="252"/>
      <w:bookmarkStart w:id="253" w:name="_Toc184313267"/>
      <w:bookmarkEnd w:id="253"/>
      <w:bookmarkStart w:id="254" w:name="_Toc184312100"/>
      <w:bookmarkEnd w:id="254"/>
      <w:bookmarkStart w:id="255" w:name="_Toc184314479"/>
      <w:bookmarkEnd w:id="255"/>
      <w:bookmarkStart w:id="256" w:name="_Toc184313289"/>
      <w:bookmarkEnd w:id="256"/>
      <w:bookmarkStart w:id="257" w:name="_Toc184313268"/>
      <w:bookmarkEnd w:id="257"/>
      <w:bookmarkStart w:id="258" w:name="_Toc184312134"/>
      <w:bookmarkEnd w:id="258"/>
      <w:bookmarkStart w:id="259" w:name="_Toc184308098"/>
      <w:bookmarkEnd w:id="259"/>
      <w:bookmarkStart w:id="260" w:name="_Toc184310283"/>
      <w:bookmarkEnd w:id="260"/>
      <w:bookmarkStart w:id="261" w:name="_Toc184310337"/>
      <w:bookmarkEnd w:id="261"/>
      <w:bookmarkStart w:id="262" w:name="_Toc184314432"/>
      <w:bookmarkEnd w:id="262"/>
      <w:bookmarkStart w:id="263" w:name="_Toc184310294"/>
      <w:bookmarkEnd w:id="263"/>
      <w:bookmarkStart w:id="264" w:name="_Toc184313270"/>
      <w:bookmarkEnd w:id="264"/>
      <w:bookmarkStart w:id="265" w:name="_Toc184314429"/>
      <w:bookmarkEnd w:id="265"/>
      <w:bookmarkStart w:id="266" w:name="_Toc184308103"/>
      <w:bookmarkEnd w:id="266"/>
      <w:bookmarkStart w:id="267" w:name="_Toc184313262"/>
      <w:bookmarkEnd w:id="267"/>
      <w:bookmarkStart w:id="268" w:name="_Toc184312115"/>
      <w:bookmarkEnd w:id="268"/>
      <w:bookmarkStart w:id="269" w:name="_Toc184314447"/>
      <w:bookmarkEnd w:id="269"/>
      <w:bookmarkStart w:id="270" w:name="_Toc184310276"/>
      <w:bookmarkEnd w:id="270"/>
      <w:bookmarkStart w:id="271" w:name="_Toc184310328"/>
      <w:bookmarkEnd w:id="271"/>
      <w:bookmarkStart w:id="272" w:name="_Toc184313252"/>
      <w:bookmarkEnd w:id="272"/>
      <w:bookmarkStart w:id="273" w:name="_Toc184310340"/>
      <w:bookmarkEnd w:id="273"/>
      <w:bookmarkStart w:id="274" w:name="_Toc184308045"/>
      <w:bookmarkEnd w:id="274"/>
      <w:bookmarkStart w:id="275" w:name="_Toc184314443"/>
      <w:bookmarkEnd w:id="275"/>
      <w:bookmarkStart w:id="276" w:name="_Toc184314461"/>
      <w:bookmarkEnd w:id="276"/>
      <w:bookmarkStart w:id="277" w:name="_Toc184314469"/>
      <w:bookmarkEnd w:id="277"/>
      <w:bookmarkStart w:id="278" w:name="_Toc184314416"/>
      <w:bookmarkEnd w:id="278"/>
      <w:bookmarkStart w:id="279" w:name="_Toc184314425"/>
      <w:bookmarkEnd w:id="279"/>
      <w:bookmarkStart w:id="280" w:name="_Toc184312082"/>
      <w:bookmarkEnd w:id="280"/>
      <w:bookmarkStart w:id="281" w:name="_Toc184308069"/>
      <w:bookmarkEnd w:id="281"/>
      <w:bookmarkStart w:id="282" w:name="_Toc184310278"/>
      <w:bookmarkEnd w:id="282"/>
      <w:bookmarkStart w:id="283" w:name="_Toc184314448"/>
      <w:bookmarkEnd w:id="283"/>
      <w:bookmarkStart w:id="284" w:name="_Toc184312097"/>
      <w:bookmarkEnd w:id="284"/>
      <w:bookmarkStart w:id="285" w:name="_Toc184313293"/>
      <w:bookmarkEnd w:id="285"/>
      <w:bookmarkStart w:id="286" w:name="_Toc184312091"/>
      <w:bookmarkEnd w:id="286"/>
      <w:bookmarkStart w:id="287" w:name="_Toc184313269"/>
      <w:bookmarkEnd w:id="287"/>
      <w:bookmarkStart w:id="288" w:name="_Toc184312109"/>
      <w:bookmarkEnd w:id="288"/>
      <w:bookmarkStart w:id="289" w:name="_Toc184312090"/>
      <w:bookmarkEnd w:id="289"/>
      <w:bookmarkStart w:id="290" w:name="_Toc184314458"/>
      <w:bookmarkEnd w:id="290"/>
      <w:bookmarkStart w:id="291" w:name="_Toc184308058"/>
      <w:bookmarkEnd w:id="291"/>
      <w:bookmarkStart w:id="292" w:name="_Toc184314459"/>
      <w:bookmarkEnd w:id="292"/>
      <w:bookmarkStart w:id="293" w:name="_Toc184310332"/>
      <w:bookmarkEnd w:id="293"/>
      <w:bookmarkStart w:id="294" w:name="_Toc184314470"/>
      <w:bookmarkEnd w:id="294"/>
      <w:bookmarkStart w:id="295" w:name="_Toc184308049"/>
      <w:bookmarkEnd w:id="295"/>
      <w:bookmarkStart w:id="296" w:name="_Toc184312079"/>
      <w:bookmarkEnd w:id="296"/>
      <w:bookmarkStart w:id="297" w:name="_Toc184312110"/>
      <w:bookmarkEnd w:id="297"/>
      <w:bookmarkStart w:id="298" w:name="_Toc184313299"/>
      <w:bookmarkEnd w:id="298"/>
      <w:bookmarkStart w:id="299" w:name="_Toc184308042"/>
      <w:bookmarkEnd w:id="299"/>
      <w:bookmarkStart w:id="300" w:name="_Toc184314457"/>
      <w:bookmarkEnd w:id="300"/>
      <w:bookmarkStart w:id="301" w:name="_Toc184313257"/>
      <w:bookmarkEnd w:id="301"/>
      <w:bookmarkStart w:id="302" w:name="_Toc184308097"/>
      <w:bookmarkEnd w:id="302"/>
      <w:bookmarkStart w:id="303" w:name="_Toc184312132"/>
      <w:bookmarkEnd w:id="303"/>
      <w:bookmarkStart w:id="304" w:name="_Toc184313285"/>
      <w:bookmarkEnd w:id="304"/>
      <w:bookmarkStart w:id="305" w:name="_Toc184308055"/>
      <w:bookmarkEnd w:id="305"/>
      <w:bookmarkStart w:id="306" w:name="_Toc184310336"/>
      <w:bookmarkEnd w:id="306"/>
      <w:bookmarkStart w:id="307" w:name="_Toc184313283"/>
      <w:bookmarkEnd w:id="307"/>
      <w:bookmarkStart w:id="308" w:name="_Toc184310329"/>
      <w:bookmarkEnd w:id="308"/>
      <w:bookmarkStart w:id="309" w:name="_Toc184308095"/>
      <w:bookmarkEnd w:id="309"/>
      <w:bookmarkStart w:id="310" w:name="_Toc184313292"/>
      <w:bookmarkEnd w:id="310"/>
      <w:bookmarkStart w:id="311" w:name="_Toc184313282"/>
      <w:bookmarkEnd w:id="311"/>
      <w:bookmarkStart w:id="312" w:name="_Toc184308081"/>
      <w:bookmarkEnd w:id="312"/>
      <w:bookmarkStart w:id="313" w:name="_Toc184308094"/>
      <w:bookmarkEnd w:id="313"/>
      <w:bookmarkStart w:id="314" w:name="_Toc184313281"/>
      <w:bookmarkEnd w:id="314"/>
      <w:bookmarkStart w:id="315" w:name="_Toc184314466"/>
      <w:bookmarkEnd w:id="315"/>
      <w:bookmarkStart w:id="316" w:name="_Toc184314436"/>
      <w:bookmarkEnd w:id="316"/>
      <w:bookmarkStart w:id="317" w:name="_Toc184310311"/>
      <w:bookmarkEnd w:id="317"/>
      <w:bookmarkStart w:id="318" w:name="_Toc184312138"/>
      <w:bookmarkEnd w:id="318"/>
      <w:bookmarkStart w:id="319" w:name="_Toc184310281"/>
      <w:bookmarkEnd w:id="319"/>
      <w:bookmarkStart w:id="320" w:name="_Toc184312119"/>
      <w:bookmarkEnd w:id="320"/>
      <w:bookmarkStart w:id="321" w:name="_Toc184314426"/>
      <w:bookmarkEnd w:id="321"/>
      <w:bookmarkStart w:id="322" w:name="_Toc184312093"/>
      <w:bookmarkEnd w:id="322"/>
      <w:bookmarkStart w:id="323" w:name="_Toc184312113"/>
      <w:bookmarkEnd w:id="323"/>
      <w:bookmarkStart w:id="324" w:name="_Toc184314418"/>
      <w:bookmarkEnd w:id="324"/>
      <w:bookmarkStart w:id="325" w:name="_Toc184312092"/>
      <w:bookmarkEnd w:id="325"/>
      <w:bookmarkStart w:id="326" w:name="_Toc184308051"/>
      <w:bookmarkEnd w:id="326"/>
      <w:bookmarkStart w:id="327" w:name="_Toc184310322"/>
      <w:bookmarkEnd w:id="327"/>
      <w:bookmarkStart w:id="328" w:name="_Toc184310287"/>
      <w:bookmarkEnd w:id="328"/>
      <w:bookmarkStart w:id="329" w:name="_Toc184314424"/>
      <w:bookmarkEnd w:id="329"/>
      <w:bookmarkStart w:id="330" w:name="_Toc184312085"/>
      <w:bookmarkEnd w:id="330"/>
      <w:bookmarkStart w:id="331" w:name="_Toc184314434"/>
      <w:bookmarkEnd w:id="331"/>
      <w:bookmarkStart w:id="332" w:name="_Toc184313247"/>
      <w:bookmarkEnd w:id="332"/>
      <w:bookmarkStart w:id="333" w:name="_Toc184312067"/>
      <w:bookmarkEnd w:id="333"/>
      <w:bookmarkStart w:id="334" w:name="_Toc184313258"/>
      <w:bookmarkEnd w:id="334"/>
      <w:bookmarkStart w:id="335" w:name="_Toc184313291"/>
      <w:bookmarkEnd w:id="335"/>
      <w:bookmarkStart w:id="336" w:name="_Toc184308080"/>
      <w:bookmarkEnd w:id="336"/>
      <w:bookmarkStart w:id="337" w:name="_Toc184308083"/>
      <w:bookmarkEnd w:id="337"/>
      <w:bookmarkStart w:id="338" w:name="_Toc184314411"/>
      <w:bookmarkEnd w:id="338"/>
      <w:bookmarkStart w:id="339" w:name="_Toc184310300"/>
      <w:bookmarkEnd w:id="339"/>
      <w:bookmarkStart w:id="340" w:name="_Toc184313308"/>
      <w:bookmarkEnd w:id="340"/>
      <w:bookmarkStart w:id="341" w:name="_Toc184308048"/>
      <w:bookmarkEnd w:id="341"/>
      <w:bookmarkStart w:id="342" w:name="_Toc184312126"/>
      <w:bookmarkEnd w:id="342"/>
      <w:bookmarkStart w:id="343" w:name="_Toc184312123"/>
      <w:bookmarkEnd w:id="343"/>
      <w:bookmarkStart w:id="344" w:name="_Toc184312137"/>
      <w:bookmarkEnd w:id="344"/>
      <w:bookmarkStart w:id="345" w:name="_Toc184313277"/>
      <w:bookmarkEnd w:id="345"/>
      <w:bookmarkStart w:id="346" w:name="_Toc184312087"/>
      <w:bookmarkEnd w:id="346"/>
      <w:bookmarkStart w:id="347" w:name="_Toc184312096"/>
      <w:bookmarkEnd w:id="347"/>
      <w:bookmarkStart w:id="348" w:name="_Toc184312125"/>
      <w:bookmarkEnd w:id="348"/>
      <w:bookmarkStart w:id="349" w:name="_Toc184313309"/>
      <w:bookmarkEnd w:id="349"/>
      <w:bookmarkStart w:id="350" w:name="_Toc184314460"/>
      <w:bookmarkEnd w:id="350"/>
      <w:bookmarkStart w:id="351" w:name="_Toc184312080"/>
      <w:bookmarkEnd w:id="351"/>
      <w:bookmarkStart w:id="352" w:name="_Toc184308104"/>
      <w:bookmarkEnd w:id="352"/>
      <w:bookmarkStart w:id="353" w:name="_Toc184313251"/>
      <w:bookmarkEnd w:id="353"/>
      <w:bookmarkStart w:id="354" w:name="_Toc184310295"/>
      <w:bookmarkEnd w:id="354"/>
      <w:bookmarkStart w:id="355" w:name="_Toc184313301"/>
      <w:bookmarkEnd w:id="355"/>
      <w:bookmarkStart w:id="356" w:name="_Toc184314465"/>
      <w:bookmarkEnd w:id="356"/>
      <w:bookmarkStart w:id="357" w:name="_Toc184310310"/>
      <w:bookmarkEnd w:id="357"/>
      <w:bookmarkStart w:id="358" w:name="_Toc184314422"/>
      <w:bookmarkEnd w:id="358"/>
      <w:bookmarkStart w:id="359" w:name="_Toc184308068"/>
      <w:bookmarkEnd w:id="359"/>
      <w:bookmarkStart w:id="360" w:name="_Toc184314445"/>
      <w:bookmarkEnd w:id="360"/>
      <w:bookmarkStart w:id="361" w:name="_Toc184312068"/>
      <w:bookmarkEnd w:id="361"/>
      <w:bookmarkStart w:id="362" w:name="_Toc184313286"/>
      <w:bookmarkEnd w:id="362"/>
      <w:bookmarkStart w:id="363" w:name="_Toc184313305"/>
      <w:bookmarkEnd w:id="363"/>
      <w:bookmarkStart w:id="364" w:name="_Toc184310299"/>
      <w:bookmarkEnd w:id="364"/>
      <w:bookmarkStart w:id="365" w:name="_Toc184312117"/>
      <w:bookmarkEnd w:id="365"/>
      <w:bookmarkStart w:id="366" w:name="_Toc184312121"/>
      <w:bookmarkEnd w:id="366"/>
      <w:bookmarkStart w:id="367" w:name="_Toc184308092"/>
      <w:bookmarkEnd w:id="367"/>
      <w:bookmarkStart w:id="368" w:name="_Toc184314468"/>
      <w:bookmarkEnd w:id="368"/>
      <w:bookmarkStart w:id="369" w:name="_Toc184314423"/>
      <w:bookmarkEnd w:id="369"/>
      <w:bookmarkStart w:id="370" w:name="_Toc184310286"/>
      <w:bookmarkEnd w:id="370"/>
      <w:bookmarkStart w:id="371" w:name="_Toc184308050"/>
      <w:bookmarkEnd w:id="371"/>
      <w:bookmarkStart w:id="372" w:name="_Toc184312081"/>
      <w:bookmarkEnd w:id="372"/>
      <w:bookmarkStart w:id="373" w:name="_Toc184313304"/>
      <w:bookmarkEnd w:id="373"/>
      <w:bookmarkStart w:id="374" w:name="_Toc184310304"/>
      <w:bookmarkEnd w:id="374"/>
      <w:bookmarkStart w:id="375" w:name="_Toc184308086"/>
      <w:bookmarkEnd w:id="375"/>
      <w:bookmarkStart w:id="376" w:name="_Toc184310344"/>
      <w:bookmarkEnd w:id="376"/>
      <w:bookmarkStart w:id="377" w:name="_Toc184313307"/>
      <w:bookmarkEnd w:id="377"/>
      <w:bookmarkStart w:id="378" w:name="_Toc184308079"/>
      <w:bookmarkEnd w:id="378"/>
      <w:bookmarkStart w:id="379" w:name="_Toc184313306"/>
      <w:bookmarkEnd w:id="379"/>
      <w:bookmarkStart w:id="380" w:name="_Toc184314452"/>
      <w:bookmarkEnd w:id="380"/>
      <w:bookmarkStart w:id="381" w:name="_Toc184310307"/>
      <w:bookmarkEnd w:id="381"/>
      <w:bookmarkStart w:id="382" w:name="_Toc184313302"/>
      <w:bookmarkEnd w:id="382"/>
      <w:bookmarkStart w:id="383" w:name="_Toc184310306"/>
      <w:bookmarkEnd w:id="383"/>
      <w:bookmarkStart w:id="384" w:name="_Toc184313278"/>
      <w:bookmarkEnd w:id="384"/>
      <w:bookmarkStart w:id="385" w:name="_Toc184312078"/>
      <w:bookmarkEnd w:id="385"/>
      <w:bookmarkStart w:id="386" w:name="_Toc184313263"/>
      <w:bookmarkEnd w:id="386"/>
      <w:bookmarkStart w:id="387" w:name="_Toc184308064"/>
      <w:bookmarkEnd w:id="387"/>
      <w:bookmarkStart w:id="388" w:name="_Toc184308060"/>
      <w:bookmarkEnd w:id="388"/>
      <w:bookmarkStart w:id="389" w:name="_Toc184314478"/>
      <w:bookmarkEnd w:id="389"/>
      <w:bookmarkStart w:id="390" w:name="_Toc184314476"/>
      <w:bookmarkEnd w:id="390"/>
      <w:bookmarkStart w:id="391" w:name="_Toc184313284"/>
      <w:bookmarkEnd w:id="391"/>
      <w:bookmarkStart w:id="392" w:name="_Toc184308047"/>
      <w:bookmarkEnd w:id="392"/>
      <w:bookmarkStart w:id="393" w:name="_Toc184310342"/>
      <w:bookmarkEnd w:id="393"/>
      <w:bookmarkStart w:id="394" w:name="_Toc184312089"/>
      <w:bookmarkEnd w:id="394"/>
      <w:bookmarkStart w:id="395" w:name="_Toc184312103"/>
      <w:bookmarkEnd w:id="395"/>
      <w:bookmarkStart w:id="396" w:name="_Toc184310291"/>
      <w:bookmarkEnd w:id="396"/>
      <w:bookmarkStart w:id="397" w:name="_Toc184313241"/>
      <w:bookmarkEnd w:id="397"/>
      <w:bookmarkStart w:id="398" w:name="_Toc184312099"/>
      <w:bookmarkEnd w:id="398"/>
      <w:bookmarkStart w:id="399" w:name="_Toc184308059"/>
      <w:bookmarkEnd w:id="399"/>
      <w:bookmarkStart w:id="400" w:name="_Toc184310273"/>
      <w:bookmarkEnd w:id="400"/>
      <w:bookmarkStart w:id="401" w:name="_Toc184313255"/>
      <w:bookmarkEnd w:id="401"/>
      <w:bookmarkStart w:id="402" w:name="_Toc184310290"/>
      <w:bookmarkEnd w:id="402"/>
      <w:bookmarkStart w:id="403" w:name="_Toc184308074"/>
      <w:bookmarkEnd w:id="403"/>
      <w:bookmarkStart w:id="404" w:name="_Toc184313300"/>
      <w:bookmarkEnd w:id="404"/>
      <w:r>
        <w:rPr>
          <w:rFonts w:hint="eastAsia" w:ascii="仿宋" w:hAnsi="仿宋" w:eastAsia="仿宋" w:cs="仿宋"/>
          <w:b/>
          <w:color w:val="auto"/>
          <w:sz w:val="36"/>
          <w:szCs w:val="36"/>
        </w:rPr>
        <w:t xml:space="preserve">  采购需求</w:t>
      </w:r>
    </w:p>
    <w:bookmarkEnd w:id="37"/>
    <w:bookmarkEnd w:id="38"/>
    <w:p w14:paraId="5CF9C44B">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一、招标内容</w:t>
      </w:r>
    </w:p>
    <w:p w14:paraId="2A1F9231">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u w:val="none"/>
        </w:rPr>
        <w:t>（一）东港商务中心保洁、保安、维修、绿化等服务；</w:t>
      </w:r>
    </w:p>
    <w:p w14:paraId="7B1C762F">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u w:val="none"/>
        </w:rPr>
        <w:t>（二）区社会治理综合服务中心保洁、保安、</w:t>
      </w:r>
      <w:r>
        <w:rPr>
          <w:rFonts w:hint="eastAsia" w:ascii="仿宋" w:hAnsi="仿宋" w:eastAsia="仿宋" w:cs="仿宋"/>
          <w:bCs/>
          <w:color w:val="auto"/>
          <w:sz w:val="24"/>
          <w:highlight w:val="none"/>
          <w:u w:val="none"/>
          <w:lang w:eastAsia="zh-CN"/>
        </w:rPr>
        <w:t>设备</w:t>
      </w:r>
      <w:r>
        <w:rPr>
          <w:rFonts w:hint="eastAsia" w:ascii="仿宋" w:hAnsi="仿宋" w:eastAsia="仿宋" w:cs="仿宋"/>
          <w:bCs/>
          <w:color w:val="auto"/>
          <w:sz w:val="24"/>
          <w:highlight w:val="none"/>
          <w:u w:val="none"/>
        </w:rPr>
        <w:t>维</w:t>
      </w:r>
      <w:r>
        <w:rPr>
          <w:rFonts w:hint="eastAsia" w:ascii="仿宋" w:hAnsi="仿宋" w:eastAsia="仿宋" w:cs="仿宋"/>
          <w:bCs/>
          <w:color w:val="auto"/>
          <w:sz w:val="24"/>
          <w:highlight w:val="none"/>
          <w:u w:val="none"/>
          <w:lang w:eastAsia="zh-CN"/>
        </w:rPr>
        <w:t>护</w:t>
      </w:r>
      <w:r>
        <w:rPr>
          <w:rFonts w:hint="eastAsia" w:ascii="仿宋" w:hAnsi="仿宋" w:eastAsia="仿宋" w:cs="仿宋"/>
          <w:bCs/>
          <w:color w:val="auto"/>
          <w:sz w:val="24"/>
          <w:highlight w:val="none"/>
          <w:u w:val="none"/>
        </w:rPr>
        <w:t>等服务；</w:t>
      </w:r>
    </w:p>
    <w:p w14:paraId="50850EBE">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u w:val="none"/>
        </w:rPr>
        <w:t>（三）区人武部办公楼</w:t>
      </w:r>
      <w:r>
        <w:rPr>
          <w:rFonts w:hint="eastAsia" w:ascii="仿宋" w:hAnsi="仿宋" w:eastAsia="仿宋" w:cs="仿宋"/>
          <w:bCs/>
          <w:color w:val="auto"/>
          <w:sz w:val="24"/>
          <w:highlight w:val="none"/>
          <w:u w:val="none"/>
          <w:lang w:eastAsia="zh-CN"/>
        </w:rPr>
        <w:t>设备</w:t>
      </w:r>
      <w:r>
        <w:rPr>
          <w:rFonts w:hint="eastAsia" w:ascii="仿宋" w:hAnsi="仿宋" w:eastAsia="仿宋" w:cs="仿宋"/>
          <w:bCs/>
          <w:color w:val="auto"/>
          <w:sz w:val="24"/>
          <w:highlight w:val="none"/>
          <w:u w:val="none"/>
        </w:rPr>
        <w:t>维</w:t>
      </w:r>
      <w:r>
        <w:rPr>
          <w:rFonts w:hint="eastAsia" w:ascii="仿宋" w:hAnsi="仿宋" w:eastAsia="仿宋" w:cs="仿宋"/>
          <w:bCs/>
          <w:color w:val="auto"/>
          <w:sz w:val="24"/>
          <w:highlight w:val="none"/>
          <w:u w:val="none"/>
          <w:lang w:eastAsia="zh-CN"/>
        </w:rPr>
        <w:t>护</w:t>
      </w:r>
      <w:r>
        <w:rPr>
          <w:rFonts w:hint="eastAsia" w:ascii="仿宋" w:hAnsi="仿宋" w:eastAsia="仿宋" w:cs="仿宋"/>
          <w:bCs/>
          <w:color w:val="auto"/>
          <w:sz w:val="24"/>
          <w:highlight w:val="none"/>
          <w:u w:val="none"/>
        </w:rPr>
        <w:t>服务。</w:t>
      </w:r>
    </w:p>
    <w:p w14:paraId="01988244">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二、招标项目综述及说明</w:t>
      </w:r>
    </w:p>
    <w:p w14:paraId="29BC4012">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（一）功能定位</w:t>
      </w:r>
    </w:p>
    <w:p w14:paraId="2A86DBF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管理理念</w:t>
      </w:r>
    </w:p>
    <w:p w14:paraId="1A949F87">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管理中坚持以人为本，营造文明、和谐、温馨的办公环境；坚持规范化、制度化、创造一流的服务品牌；坚持服务第一，强化宗旨意识，为商务中心高效运行提供优良的后勤服务。</w:t>
      </w:r>
    </w:p>
    <w:p w14:paraId="41CA99C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管理目标</w:t>
      </w:r>
    </w:p>
    <w:p w14:paraId="1DD6F247">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通过努力达到“三优一保证”（优美环境、优质服务、优化功能、保证安全）</w:t>
      </w:r>
    </w:p>
    <w:p w14:paraId="23F76AB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管理方式</w:t>
      </w:r>
    </w:p>
    <w:p w14:paraId="05BA73D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本着商务中心服务社会化的改革方向，采取市场化运作，由舟山市普陀区</w:t>
      </w:r>
      <w:r>
        <w:rPr>
          <w:rFonts w:hint="eastAsia" w:ascii="仿宋" w:hAnsi="仿宋" w:eastAsia="仿宋" w:cs="仿宋"/>
          <w:bCs/>
          <w:color w:val="auto"/>
          <w:sz w:val="24"/>
          <w:highlight w:val="none"/>
          <w:lang w:eastAsia="zh-CN"/>
        </w:rPr>
        <w:t>机关事务管理中心</w:t>
      </w:r>
      <w:r>
        <w:rPr>
          <w:rFonts w:hint="eastAsia" w:ascii="仿宋" w:hAnsi="仿宋" w:eastAsia="仿宋" w:cs="仿宋"/>
          <w:bCs/>
          <w:color w:val="auto"/>
          <w:sz w:val="24"/>
          <w:highlight w:val="none"/>
        </w:rPr>
        <w:t>委托专业物管单位对大楼的物业提供服务并进行管理。</w:t>
      </w:r>
    </w:p>
    <w:p w14:paraId="08AD1869">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（二）项目简介</w:t>
      </w:r>
    </w:p>
    <w:p w14:paraId="042ED04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东港商务中心是一座集行政办公、公务接待、会务展示、后勤服务为一体的具有强烈现代化建筑气息的智能化大楼。内设有集中式中央空调系统、电话通讯系统、计算机通讯网络系统、多媒体会议系统、公共广播系统、保安监控系统、楼宇自动化管理系统、消防监测系统等现代化设施。</w:t>
      </w:r>
    </w:p>
    <w:p w14:paraId="74B08FF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东港商务中心总用地12.08公顷，总建筑面积152208.7㎡，其中地上部分133422.7㎡，地下部分18786.0㎡。绿地总面积30338.2㎡，绿地率25.1﹪。整个商务中心共有7个楼宇组成，“中央位置为1#和2#主楼，东向面海呈“门”形体量，面积70189.4㎡，地上17层，楼高83.0m；主楼的南北两翼为3#和4#两栋反弧形辅楼，面积4647.2㎡，地上6层，楼高31m；两侧为5#和6#两栋多层辅楼，面积11870.1㎡，地上5层，楼高25m；东侧礼仪平台下为7#楼，面积2784.0㎡，楼高1层，6.6m。</w:t>
      </w:r>
    </w:p>
    <w:p w14:paraId="7505F9E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1#、2#楼在底层公共区域和顶层相连，底层为机关食堂、文件交换中心、小型超市、邮政投递、自助银行等。1#楼二层设置</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个会客室，2#楼二层为展览大厅。</w:t>
      </w:r>
    </w:p>
    <w:p w14:paraId="590A1F0C">
      <w:pPr>
        <w:spacing w:line="400" w:lineRule="exact"/>
        <w:ind w:firstLine="480" w:firstLineChars="200"/>
        <w:outlineLvl w:val="0"/>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主楼3～16层均为标准化办公区，配备标准办公室、会议室、辅助功能用房和休息厅等。主楼顶层空间为观景大厅。配备四个专用会议室，在公共空间设置休闲观景区。</w:t>
      </w:r>
    </w:p>
    <w:p w14:paraId="5AF16307">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3#、4#楼为标准办公区，各楼层设置标准办公室、会议室、接待室和辅助功能房等。</w:t>
      </w:r>
    </w:p>
    <w:p w14:paraId="72F6FD1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5#楼主要为会议中心，共有不同功能会议室5个。</w:t>
      </w:r>
    </w:p>
    <w:p w14:paraId="5E40182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6#楼</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rPr>
        <w:t>层设</w:t>
      </w:r>
      <w:r>
        <w:rPr>
          <w:rFonts w:hint="eastAsia" w:ascii="仿宋" w:hAnsi="仿宋" w:eastAsia="仿宋" w:cs="仿宋"/>
          <w:bCs/>
          <w:color w:val="auto"/>
          <w:sz w:val="24"/>
          <w:highlight w:val="none"/>
          <w:lang w:eastAsia="zh-CN"/>
        </w:rPr>
        <w:t>办公室、会议室</w:t>
      </w:r>
      <w:r>
        <w:rPr>
          <w:rFonts w:hint="eastAsia" w:ascii="仿宋" w:hAnsi="仿宋" w:eastAsia="仿宋" w:cs="仿宋"/>
          <w:bCs/>
          <w:color w:val="auto"/>
          <w:sz w:val="24"/>
          <w:highlight w:val="none"/>
        </w:rPr>
        <w:t>的办公用房。</w:t>
      </w:r>
    </w:p>
    <w:p w14:paraId="2B90661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7#楼为健身活动中心。</w:t>
      </w:r>
    </w:p>
    <w:p w14:paraId="5554887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1#～4#楼均设置地下室，地下室主要功能是机动车库和配套设备用房。</w:t>
      </w:r>
    </w:p>
    <w:p w14:paraId="41AB04B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东港商务中心共有机动车停车位</w:t>
      </w:r>
      <w:r>
        <w:rPr>
          <w:rFonts w:hint="eastAsia" w:ascii="仿宋" w:hAnsi="仿宋" w:eastAsia="仿宋" w:cs="仿宋"/>
          <w:bCs/>
          <w:color w:val="auto"/>
          <w:sz w:val="24"/>
          <w:highlight w:val="none"/>
          <w:lang w:val="en-US" w:eastAsia="zh-CN"/>
        </w:rPr>
        <w:t>1055</w:t>
      </w:r>
      <w:r>
        <w:rPr>
          <w:rFonts w:hint="eastAsia" w:ascii="仿宋" w:hAnsi="仿宋" w:eastAsia="仿宋" w:cs="仿宋"/>
          <w:bCs/>
          <w:color w:val="auto"/>
          <w:sz w:val="24"/>
          <w:highlight w:val="none"/>
        </w:rPr>
        <w:t>个，其中地面机动车泊车位</w:t>
      </w:r>
      <w:r>
        <w:rPr>
          <w:rFonts w:hint="eastAsia" w:ascii="仿宋" w:hAnsi="仿宋" w:eastAsia="仿宋" w:cs="仿宋"/>
          <w:bCs/>
          <w:color w:val="auto"/>
          <w:sz w:val="24"/>
          <w:highlight w:val="none"/>
          <w:lang w:val="en-US" w:eastAsia="zh-CN"/>
        </w:rPr>
        <w:t>764</w:t>
      </w:r>
      <w:r>
        <w:rPr>
          <w:rFonts w:hint="eastAsia" w:ascii="仿宋" w:hAnsi="仿宋" w:eastAsia="仿宋" w:cs="仿宋"/>
          <w:bCs/>
          <w:color w:val="auto"/>
          <w:sz w:val="24"/>
          <w:highlight w:val="none"/>
        </w:rPr>
        <w:t>辆，地下车库291辆。非机动车泊车位1650辆，其中室内970辆，室外680辆。</w:t>
      </w:r>
    </w:p>
    <w:p w14:paraId="05B1467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根据景观设计要求，商务中心周边用绿篱遮盖细钢丝网，建立安全屏障，东、南、西、北四个方向都布置一个机动车出入口，与城市道路连接，四个主要通道设置门亭和隔离门，实行人车通道分离和按作息时间不同、通道开放相区别。</w:t>
      </w:r>
    </w:p>
    <w:p w14:paraId="6298EAC8">
      <w:pPr>
        <w:spacing w:line="400" w:lineRule="exact"/>
        <w:ind w:firstLine="480" w:firstLineChars="200"/>
        <w:outlineLvl w:val="0"/>
        <w:rPr>
          <w:rFonts w:hint="eastAsia" w:ascii="仿宋" w:hAnsi="仿宋" w:eastAsia="仿宋" w:cs="仿宋"/>
          <w:b w:val="0"/>
          <w:bCs w:val="0"/>
          <w:color w:val="auto"/>
          <w:sz w:val="24"/>
          <w:highlight w:val="none"/>
          <w:u w:val="none"/>
          <w:lang w:val="en-US" w:eastAsia="zh-CN"/>
        </w:rPr>
      </w:pPr>
      <w:r>
        <w:rPr>
          <w:rFonts w:hint="eastAsia" w:ascii="仿宋" w:hAnsi="仿宋" w:eastAsia="仿宋" w:cs="仿宋"/>
          <w:b w:val="0"/>
          <w:bCs w:val="0"/>
          <w:color w:val="auto"/>
          <w:sz w:val="24"/>
          <w:highlight w:val="none"/>
          <w:u w:val="none"/>
          <w:lang w:val="en-US" w:eastAsia="zh-CN"/>
        </w:rPr>
        <w:t>2.</w:t>
      </w:r>
      <w:r>
        <w:rPr>
          <w:rFonts w:hint="eastAsia" w:ascii="仿宋" w:hAnsi="仿宋" w:eastAsia="仿宋" w:cs="仿宋"/>
          <w:b w:val="0"/>
          <w:bCs w:val="0"/>
          <w:color w:val="auto"/>
          <w:sz w:val="24"/>
          <w:highlight w:val="none"/>
          <w:u w:val="none"/>
        </w:rPr>
        <w:t>区社会治理综合服务中心</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lang w:val="en-US" w:eastAsia="zh-CN"/>
        </w:rPr>
        <w:t>位于普陀区东港</w:t>
      </w:r>
      <w:r>
        <w:rPr>
          <w:rFonts w:hint="eastAsia" w:ascii="仿宋" w:hAnsi="仿宋" w:eastAsia="仿宋" w:cs="仿宋"/>
          <w:b w:val="0"/>
          <w:bCs w:val="0"/>
          <w:color w:val="auto"/>
          <w:sz w:val="24"/>
          <w:highlight w:val="none"/>
          <w:u w:val="none"/>
        </w:rPr>
        <w:t>海莲路601号</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lang w:val="en-US" w:eastAsia="zh-CN"/>
        </w:rPr>
        <w:t>是一幢3层楼高的建筑物，面积约3600平方米，内设有中央空调系统、电话通讯系统、计算机通讯网络系统、多媒体会议系统、公共广播系统、保安监控系统、消防监测系统等现代化设施。</w:t>
      </w:r>
    </w:p>
    <w:p w14:paraId="01591234">
      <w:pPr>
        <w:spacing w:line="400" w:lineRule="exact"/>
        <w:ind w:firstLine="480"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sz w:val="24"/>
          <w:highlight w:val="none"/>
          <w:u w:val="none"/>
          <w:lang w:val="en-US" w:eastAsia="zh-CN"/>
        </w:rPr>
        <w:t>3.</w:t>
      </w:r>
      <w:r>
        <w:rPr>
          <w:rFonts w:hint="eastAsia" w:ascii="仿宋" w:hAnsi="仿宋" w:eastAsia="仿宋" w:cs="仿宋"/>
          <w:b w:val="0"/>
          <w:bCs w:val="0"/>
          <w:color w:val="auto"/>
          <w:sz w:val="24"/>
          <w:highlight w:val="none"/>
          <w:u w:val="none"/>
        </w:rPr>
        <w:t>区人武部办公楼</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rPr>
        <w:t>位于普陀区城北I-08地块，</w:t>
      </w:r>
      <w:r>
        <w:rPr>
          <w:rFonts w:hint="eastAsia" w:ascii="仿宋" w:hAnsi="仿宋" w:eastAsia="仿宋" w:cs="仿宋"/>
          <w:b w:val="0"/>
          <w:bCs w:val="0"/>
          <w:color w:val="auto"/>
          <w:sz w:val="24"/>
          <w:highlight w:val="none"/>
          <w:u w:val="none"/>
          <w:lang w:val="en-US" w:eastAsia="zh-CN"/>
        </w:rPr>
        <w:t>是一幢4层楼高的建筑物，</w:t>
      </w:r>
      <w:r>
        <w:rPr>
          <w:rFonts w:hint="eastAsia" w:ascii="仿宋" w:hAnsi="仿宋" w:eastAsia="仿宋" w:cs="仿宋"/>
          <w:b w:val="0"/>
          <w:bCs w:val="0"/>
          <w:color w:val="auto"/>
          <w:sz w:val="24"/>
          <w:highlight w:val="none"/>
          <w:u w:val="none"/>
        </w:rPr>
        <w:t>面积</w:t>
      </w:r>
      <w:r>
        <w:rPr>
          <w:rFonts w:hint="eastAsia" w:ascii="仿宋" w:hAnsi="仿宋" w:eastAsia="仿宋" w:cs="仿宋"/>
          <w:b w:val="0"/>
          <w:bCs w:val="0"/>
          <w:color w:val="auto"/>
          <w:sz w:val="24"/>
          <w:highlight w:val="none"/>
          <w:u w:val="none"/>
          <w:lang w:val="en-US" w:eastAsia="zh-CN"/>
        </w:rPr>
        <w:t>约4600</w:t>
      </w:r>
      <w:r>
        <w:rPr>
          <w:rFonts w:hint="eastAsia" w:ascii="仿宋" w:hAnsi="仿宋" w:eastAsia="仿宋" w:cs="仿宋"/>
          <w:b w:val="0"/>
          <w:bCs w:val="0"/>
          <w:color w:val="auto"/>
          <w:sz w:val="24"/>
          <w:highlight w:val="none"/>
          <w:u w:val="none"/>
        </w:rPr>
        <w:t>平方米，内设有中央空调系统、电话通讯系统、计算机通讯网络系统、多媒体会议系统、公共广播系统、保安监控系统、消防监测系统等现代化设施。</w:t>
      </w:r>
    </w:p>
    <w:p w14:paraId="3B093A60">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三、服务要求、内容、范围</w:t>
      </w:r>
    </w:p>
    <w:p w14:paraId="7C7C2AD3">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（一）日常管理</w:t>
      </w:r>
    </w:p>
    <w:p w14:paraId="3792DE00">
      <w:pPr>
        <w:spacing w:line="400" w:lineRule="exact"/>
        <w:ind w:firstLine="480" w:firstLineChars="200"/>
        <w:outlineLvl w:val="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以设备维护、环境卫生、安全秩序服务、协调服务为主要管理内容。</w:t>
      </w:r>
    </w:p>
    <w:p w14:paraId="135E08D3">
      <w:pPr>
        <w:spacing w:line="400" w:lineRule="exact"/>
        <w:ind w:firstLine="480" w:firstLineChars="200"/>
        <w:outlineLvl w:val="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2</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中标人按照管理内容编制检查表，每日进行检查，发现问题及时整改。</w:t>
      </w:r>
    </w:p>
    <w:p w14:paraId="1280A6F8">
      <w:pPr>
        <w:spacing w:line="400" w:lineRule="exact"/>
        <w:ind w:firstLine="480" w:firstLineChars="200"/>
        <w:outlineLvl w:val="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3</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采购单位对中标人各工作岗位的服务质量随时进行抽查。发现问题，及时书面通知整改。每日进行统计，参与综合评分。</w:t>
      </w:r>
    </w:p>
    <w:p w14:paraId="32518D11">
      <w:pPr>
        <w:spacing w:line="400" w:lineRule="exact"/>
        <w:ind w:firstLine="480" w:firstLineChars="200"/>
        <w:outlineLvl w:val="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4</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采购单位定期向工作人员发给“服务意见征询书”，根据反馈意见书进行统计，进行综合评分。</w:t>
      </w:r>
    </w:p>
    <w:p w14:paraId="22759CD0">
      <w:pPr>
        <w:spacing w:line="400" w:lineRule="exact"/>
        <w:ind w:firstLine="480" w:firstLineChars="200"/>
        <w:outlineLvl w:val="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5</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lang w:val="en-US" w:eastAsia="zh-CN"/>
        </w:rPr>
        <w:t>根据</w:t>
      </w:r>
      <w:r>
        <w:rPr>
          <w:rFonts w:hint="eastAsia" w:ascii="仿宋" w:hAnsi="仿宋" w:eastAsia="仿宋" w:cs="仿宋"/>
          <w:b w:val="0"/>
          <w:bCs/>
          <w:color w:val="auto"/>
          <w:sz w:val="24"/>
          <w:highlight w:val="none"/>
        </w:rPr>
        <w:t>综合评分</w:t>
      </w:r>
      <w:r>
        <w:rPr>
          <w:rFonts w:hint="eastAsia" w:ascii="仿宋" w:hAnsi="仿宋" w:eastAsia="仿宋" w:cs="仿宋"/>
          <w:b w:val="0"/>
          <w:bCs/>
          <w:color w:val="auto"/>
          <w:sz w:val="24"/>
          <w:highlight w:val="none"/>
          <w:lang w:val="en-US" w:eastAsia="zh-CN"/>
        </w:rPr>
        <w:t>结果</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甲方有权书面要求乙方在规定期限内整改，逾期未整改，甲方有权停止支付乙方的物业管理费；整改合格后，方可继续划拨管理费。</w:t>
      </w:r>
    </w:p>
    <w:p w14:paraId="1304A89E">
      <w:pPr>
        <w:spacing w:line="400" w:lineRule="exact"/>
        <w:ind w:firstLine="480" w:firstLineChars="200"/>
        <w:outlineLvl w:val="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6</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除中标人对服务人员的培训外，需接受采购单位对服务人员进行集中培训。</w:t>
      </w:r>
    </w:p>
    <w:p w14:paraId="37ABCE59">
      <w:pPr>
        <w:spacing w:line="400" w:lineRule="exact"/>
        <w:ind w:firstLine="480" w:firstLineChars="200"/>
        <w:outlineLvl w:val="0"/>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rPr>
        <w:t>7</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rPr>
        <w:t>对节能降耗及垃圾分类的管理。每天记录各用能系统、区域能耗数据，定期编制书面能耗分析报告，充分挖掘节能潜力，提出合理化改进建议。做好垃圾分类、收运、处置等工作。</w:t>
      </w:r>
    </w:p>
    <w:p w14:paraId="02638FBF">
      <w:pPr>
        <w:spacing w:line="400" w:lineRule="exact"/>
        <w:ind w:firstLine="480" w:firstLineChars="200"/>
        <w:outlineLvl w:val="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8</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所有岗位建立岗位责任制与运行程序、工作质量标准。</w:t>
      </w:r>
    </w:p>
    <w:p w14:paraId="2968A7E5">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中标人应建立各类应急预案（如消防、防恐防爆及群体性上访事件处置等），并培训相关人员达到相关要求。</w:t>
      </w:r>
    </w:p>
    <w:p w14:paraId="1298337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重大接待任务必须事先制定周密的接待工作计划，并严格按照计划实施。</w:t>
      </w:r>
    </w:p>
    <w:p w14:paraId="1142B00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如中标人遇到不在其服务范围内的物业方面问题，须联系有关部门会同采购单位一起协调解决。</w:t>
      </w:r>
    </w:p>
    <w:p w14:paraId="6BC8AA8D">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（二）具体要求</w:t>
      </w:r>
    </w:p>
    <w:p w14:paraId="02D19FAC">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环境卫生维护服务</w:t>
      </w:r>
    </w:p>
    <w:p w14:paraId="7689EA4A">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1.1. </w:t>
      </w:r>
      <w:r>
        <w:rPr>
          <w:rFonts w:hint="eastAsia" w:ascii="仿宋" w:hAnsi="仿宋" w:eastAsia="仿宋" w:cs="仿宋"/>
          <w:b/>
          <w:bCs/>
          <w:color w:val="auto"/>
          <w:sz w:val="24"/>
          <w:highlight w:val="none"/>
        </w:rPr>
        <w:t>服务范围</w:t>
      </w:r>
    </w:p>
    <w:p w14:paraId="0396F1E8">
      <w:pPr>
        <w:spacing w:line="400" w:lineRule="exact"/>
        <w:ind w:firstLine="480"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sz w:val="24"/>
          <w:highlight w:val="none"/>
          <w:u w:val="none"/>
          <w:lang w:val="en-US" w:eastAsia="zh-CN"/>
        </w:rPr>
        <w:t xml:space="preserve">1.1.1. </w:t>
      </w:r>
      <w:r>
        <w:rPr>
          <w:rFonts w:hint="eastAsia" w:ascii="仿宋" w:hAnsi="仿宋" w:eastAsia="仿宋" w:cs="仿宋"/>
          <w:b w:val="0"/>
          <w:bCs w:val="0"/>
          <w:color w:val="auto"/>
          <w:sz w:val="24"/>
          <w:highlight w:val="none"/>
          <w:u w:val="none"/>
        </w:rPr>
        <w:t>副处（含）以上领导办公室（含休息室）和电信大楼领导宿舍的日常卫生打扫，以及上述区域内地毯、沙发、棉织布品（如窗帘）等的定期清洁保养。</w:t>
      </w:r>
    </w:p>
    <w:p w14:paraId="49C18A15">
      <w:pPr>
        <w:spacing w:line="400" w:lineRule="exact"/>
        <w:ind w:firstLine="480"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sz w:val="24"/>
          <w:highlight w:val="none"/>
          <w:u w:val="none"/>
          <w:lang w:val="en-US" w:eastAsia="zh-CN"/>
        </w:rPr>
        <w:t xml:space="preserve">1.1.2. </w:t>
      </w:r>
      <w:r>
        <w:rPr>
          <w:rFonts w:hint="eastAsia" w:ascii="仿宋" w:hAnsi="仿宋" w:eastAsia="仿宋" w:cs="仿宋"/>
          <w:b w:val="0"/>
          <w:bCs w:val="0"/>
          <w:color w:val="auto"/>
          <w:sz w:val="24"/>
          <w:highlight w:val="none"/>
          <w:u w:val="none"/>
        </w:rPr>
        <w:t>5#楼会议中心</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rPr>
        <w:t>1#楼516、803、809、815、817、913、915、1125、1510会议室</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rPr>
        <w:t>2#楼311会议室</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rPr>
        <w:t>1#2#楼17层四个专用会议室、贵宾室</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rPr>
        <w:t>1#楼二层的2个贵宾厅</w:t>
      </w:r>
      <w:r>
        <w:rPr>
          <w:rFonts w:hint="eastAsia" w:ascii="仿宋" w:hAnsi="仿宋" w:eastAsia="仿宋" w:cs="仿宋"/>
          <w:b w:val="0"/>
          <w:bCs w:val="0"/>
          <w:color w:val="auto"/>
          <w:sz w:val="24"/>
          <w:highlight w:val="none"/>
          <w:u w:val="none"/>
          <w:lang w:eastAsia="zh-CN"/>
        </w:rPr>
        <w:t>及</w:t>
      </w:r>
      <w:r>
        <w:rPr>
          <w:rFonts w:hint="eastAsia" w:ascii="仿宋" w:hAnsi="仿宋" w:eastAsia="仿宋" w:cs="仿宋"/>
          <w:b w:val="0"/>
          <w:bCs w:val="0"/>
          <w:color w:val="auto"/>
          <w:sz w:val="24"/>
          <w:highlight w:val="none"/>
          <w:u w:val="none"/>
        </w:rPr>
        <w:t>一个会议室</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rPr>
        <w:t>2#楼二层展示厅</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rPr>
        <w:t>6#楼二层区接访大厅和6#楼</w:t>
      </w:r>
      <w:r>
        <w:rPr>
          <w:rFonts w:hint="eastAsia" w:ascii="仿宋" w:hAnsi="仿宋" w:eastAsia="仿宋" w:cs="仿宋"/>
          <w:b w:val="0"/>
          <w:bCs w:val="0"/>
          <w:color w:val="auto"/>
          <w:sz w:val="24"/>
          <w:highlight w:val="none"/>
          <w:u w:val="none"/>
          <w:lang w:val="en-US" w:eastAsia="zh-CN"/>
        </w:rPr>
        <w:t>一</w:t>
      </w:r>
      <w:r>
        <w:rPr>
          <w:rFonts w:hint="eastAsia" w:ascii="仿宋" w:hAnsi="仿宋" w:eastAsia="仿宋" w:cs="仿宋"/>
          <w:b w:val="0"/>
          <w:bCs w:val="0"/>
          <w:color w:val="auto"/>
          <w:sz w:val="24"/>
          <w:highlight w:val="none"/>
          <w:u w:val="none"/>
        </w:rPr>
        <w:t>层大厅的保洁。</w:t>
      </w:r>
    </w:p>
    <w:p w14:paraId="2583E6D5">
      <w:pPr>
        <w:spacing w:line="400" w:lineRule="exact"/>
        <w:ind w:firstLine="480"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sz w:val="24"/>
          <w:highlight w:val="none"/>
          <w:u w:val="none"/>
          <w:lang w:val="en-US" w:eastAsia="zh-CN"/>
        </w:rPr>
        <w:t xml:space="preserve">1.1.3. </w:t>
      </w:r>
      <w:r>
        <w:rPr>
          <w:rFonts w:hint="eastAsia" w:ascii="仿宋" w:hAnsi="仿宋" w:eastAsia="仿宋" w:cs="仿宋"/>
          <w:b w:val="0"/>
          <w:bCs w:val="0"/>
          <w:color w:val="auto"/>
          <w:sz w:val="24"/>
          <w:highlight w:val="none"/>
          <w:u w:val="none"/>
        </w:rPr>
        <w:t>公共部位的所有清洁保养工作，包括电梯、走廊、楼梯、楼道、户外路面、厕所、大厅、茶水间、健身活动中心、停车库、洗车场、楼顶、建筑构件、建筑小品以及所有设备房、自助银行等。</w:t>
      </w:r>
    </w:p>
    <w:p w14:paraId="27FDE04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1.1.4. </w:t>
      </w:r>
      <w:r>
        <w:rPr>
          <w:rFonts w:hint="eastAsia" w:ascii="仿宋" w:hAnsi="仿宋" w:eastAsia="仿宋" w:cs="仿宋"/>
          <w:bCs/>
          <w:color w:val="auto"/>
          <w:sz w:val="24"/>
          <w:highlight w:val="none"/>
        </w:rPr>
        <w:t>商务中心各楼宇外墙及玻璃幕墙的清洁保养工作（一年二次）。</w:t>
      </w:r>
    </w:p>
    <w:p w14:paraId="0788DF1C">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1.1.5. </w:t>
      </w:r>
      <w:r>
        <w:rPr>
          <w:rFonts w:hint="eastAsia" w:ascii="仿宋" w:hAnsi="仿宋" w:eastAsia="仿宋" w:cs="仿宋"/>
          <w:bCs/>
          <w:color w:val="auto"/>
          <w:sz w:val="24"/>
          <w:highlight w:val="none"/>
        </w:rPr>
        <w:t>日常垃圾清运工作。</w:t>
      </w:r>
    </w:p>
    <w:p w14:paraId="3A1C7FF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1.1.6. </w:t>
      </w:r>
      <w:r>
        <w:rPr>
          <w:rFonts w:hint="eastAsia" w:ascii="仿宋" w:hAnsi="仿宋" w:eastAsia="仿宋" w:cs="仿宋"/>
          <w:bCs/>
          <w:color w:val="auto"/>
          <w:sz w:val="24"/>
          <w:highlight w:val="none"/>
        </w:rPr>
        <w:t>主楼、附楼内外各类大理石的清洁保养。</w:t>
      </w:r>
    </w:p>
    <w:p w14:paraId="4FEEFF60">
      <w:pPr>
        <w:spacing w:line="400" w:lineRule="exact"/>
        <w:ind w:firstLine="480"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sz w:val="24"/>
          <w:highlight w:val="none"/>
          <w:u w:val="none"/>
          <w:lang w:val="en-US" w:eastAsia="zh-CN"/>
        </w:rPr>
        <w:t xml:space="preserve">1.1.7. </w:t>
      </w:r>
      <w:r>
        <w:rPr>
          <w:rFonts w:hint="eastAsia" w:ascii="仿宋" w:hAnsi="仿宋" w:eastAsia="仿宋" w:cs="仿宋"/>
          <w:b w:val="0"/>
          <w:bCs w:val="0"/>
          <w:color w:val="auto"/>
          <w:sz w:val="24"/>
          <w:highlight w:val="none"/>
          <w:u w:val="none"/>
        </w:rPr>
        <w:t>室内公共区域的绿化服务（不包含室外及办公室内部）</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b w:val="0"/>
          <w:bCs w:val="0"/>
          <w:color w:val="auto"/>
          <w:sz w:val="24"/>
          <w:highlight w:val="none"/>
          <w:u w:val="none"/>
          <w:lang w:val="en-US" w:eastAsia="zh-CN"/>
        </w:rPr>
        <w:t>绿化植物可采取租赁形式，租金按市场价应不低于30万元/年</w:t>
      </w:r>
      <w:r>
        <w:rPr>
          <w:rFonts w:hint="eastAsia" w:ascii="仿宋" w:hAnsi="仿宋" w:eastAsia="仿宋" w:cs="仿宋"/>
          <w:b w:val="0"/>
          <w:bCs w:val="0"/>
          <w:color w:val="auto"/>
          <w:sz w:val="24"/>
          <w:highlight w:val="none"/>
          <w:u w:val="none"/>
        </w:rPr>
        <w:t>。</w:t>
      </w:r>
    </w:p>
    <w:p w14:paraId="164651B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1.1.8. </w:t>
      </w:r>
      <w:r>
        <w:rPr>
          <w:rFonts w:hint="eastAsia" w:ascii="仿宋" w:hAnsi="仿宋" w:eastAsia="仿宋" w:cs="仿宋"/>
          <w:bCs/>
          <w:color w:val="auto"/>
          <w:sz w:val="24"/>
          <w:highlight w:val="none"/>
        </w:rPr>
        <w:t>适当范围内的新增保洁管理服务项目。</w:t>
      </w:r>
    </w:p>
    <w:p w14:paraId="49F24725">
      <w:pPr>
        <w:spacing w:line="400" w:lineRule="exact"/>
        <w:ind w:firstLine="480" w:firstLineChars="200"/>
        <w:outlineLvl w:val="0"/>
        <w:rPr>
          <w:rFonts w:hint="eastAsia" w:ascii="仿宋" w:hAnsi="仿宋" w:eastAsia="仿宋" w:cs="仿宋"/>
          <w:b w:val="0"/>
          <w:bCs/>
          <w:color w:val="auto"/>
          <w:sz w:val="24"/>
          <w:highlight w:val="none"/>
          <w:u w:val="none"/>
        </w:rPr>
      </w:pPr>
      <w:r>
        <w:rPr>
          <w:rFonts w:hint="eastAsia" w:ascii="仿宋" w:hAnsi="仿宋" w:eastAsia="仿宋" w:cs="仿宋"/>
          <w:bCs/>
          <w:color w:val="auto"/>
          <w:sz w:val="24"/>
          <w:highlight w:val="none"/>
          <w:lang w:val="en-US" w:eastAsia="zh-CN"/>
        </w:rPr>
        <w:t xml:space="preserve">1.1.9. </w:t>
      </w:r>
      <w:r>
        <w:rPr>
          <w:rFonts w:hint="eastAsia" w:ascii="仿宋" w:hAnsi="仿宋" w:eastAsia="仿宋" w:cs="仿宋"/>
          <w:bCs/>
          <w:color w:val="auto"/>
          <w:sz w:val="24"/>
          <w:highlight w:val="none"/>
        </w:rPr>
        <w:t>商务中心各类设施的防盗和重大节日（活动）的环境布置所需管理服务。</w:t>
      </w:r>
    </w:p>
    <w:p w14:paraId="4DA127D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 w:val="0"/>
          <w:bCs/>
          <w:color w:val="auto"/>
          <w:sz w:val="24"/>
          <w:highlight w:val="none"/>
          <w:u w:val="none"/>
          <w:lang w:val="en-US" w:eastAsia="zh-CN"/>
        </w:rPr>
        <w:t xml:space="preserve">1.1.10. </w:t>
      </w:r>
      <w:r>
        <w:rPr>
          <w:rFonts w:hint="eastAsia" w:ascii="仿宋" w:hAnsi="仿宋" w:eastAsia="仿宋" w:cs="仿宋"/>
          <w:b w:val="0"/>
          <w:bCs/>
          <w:color w:val="auto"/>
          <w:sz w:val="24"/>
          <w:highlight w:val="none"/>
          <w:u w:val="none"/>
        </w:rPr>
        <w:t>区社会治理综合服务中心（独立于商务中心外）公共部位的清洁保养</w:t>
      </w:r>
      <w:r>
        <w:rPr>
          <w:rFonts w:hint="eastAsia" w:ascii="仿宋" w:hAnsi="仿宋" w:eastAsia="仿宋" w:cs="仿宋"/>
          <w:b w:val="0"/>
          <w:bCs/>
          <w:color w:val="auto"/>
          <w:sz w:val="24"/>
          <w:highlight w:val="none"/>
          <w:u w:val="none"/>
          <w:lang w:val="en-US" w:eastAsia="zh-CN"/>
        </w:rPr>
        <w:t>、</w:t>
      </w:r>
      <w:r>
        <w:rPr>
          <w:rFonts w:hint="eastAsia" w:ascii="仿宋" w:hAnsi="仿宋" w:eastAsia="仿宋" w:cs="仿宋"/>
          <w:bCs/>
          <w:color w:val="auto"/>
          <w:sz w:val="24"/>
          <w:highlight w:val="none"/>
          <w:lang w:val="en-US" w:eastAsia="zh-CN"/>
        </w:rPr>
        <w:t>垃圾清运等</w:t>
      </w:r>
      <w:r>
        <w:rPr>
          <w:rFonts w:hint="eastAsia" w:ascii="仿宋" w:hAnsi="仿宋" w:eastAsia="仿宋" w:cs="仿宋"/>
          <w:bCs/>
          <w:color w:val="auto"/>
          <w:sz w:val="24"/>
          <w:highlight w:val="none"/>
        </w:rPr>
        <w:t>工作</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不含外墙和幕墙清洗</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保洁标准参照东港商务中心</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 xml:space="preserve"> </w:t>
      </w:r>
    </w:p>
    <w:p w14:paraId="496F4CD7">
      <w:pPr>
        <w:spacing w:line="400" w:lineRule="exact"/>
        <w:ind w:firstLine="482" w:firstLineChars="200"/>
        <w:outlineLvl w:val="0"/>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lang w:val="en-US" w:eastAsia="zh-CN"/>
        </w:rPr>
        <w:t xml:space="preserve">1.2. </w:t>
      </w:r>
      <w:r>
        <w:rPr>
          <w:rFonts w:hint="eastAsia" w:ascii="仿宋" w:hAnsi="仿宋" w:eastAsia="仿宋" w:cs="仿宋"/>
          <w:b/>
          <w:bCs w:val="0"/>
          <w:color w:val="auto"/>
          <w:sz w:val="24"/>
          <w:highlight w:val="none"/>
        </w:rPr>
        <w:t>服务标准和要求</w:t>
      </w:r>
    </w:p>
    <w:p w14:paraId="2C90C0C7">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1.2.1. </w:t>
      </w:r>
      <w:r>
        <w:rPr>
          <w:rFonts w:hint="eastAsia" w:ascii="仿宋" w:hAnsi="仿宋" w:eastAsia="仿宋" w:cs="仿宋"/>
          <w:bCs/>
          <w:color w:val="auto"/>
          <w:sz w:val="24"/>
          <w:highlight w:val="none"/>
        </w:rPr>
        <w:t>保洁管理服务标准按照国家旅游局颁布的三星级宾馆保洁要求和国家公共场所卫生标准执行，并细化考核细则（另定）。</w:t>
      </w:r>
    </w:p>
    <w:p w14:paraId="08062B0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1.2.2. </w:t>
      </w:r>
      <w:r>
        <w:rPr>
          <w:rFonts w:hint="eastAsia" w:ascii="仿宋" w:hAnsi="仿宋" w:eastAsia="仿宋" w:cs="仿宋"/>
          <w:bCs/>
          <w:color w:val="auto"/>
          <w:sz w:val="24"/>
          <w:highlight w:val="none"/>
        </w:rPr>
        <w:t>有用户投诉和服务要求时，应在10-15分钟时间内向相关部门发出工作通知单，对于投诉应在一个工作日内电话或书面或上门回复客户处理进展情况。投诉率不高于2‰。处理率和回访率100%。</w:t>
      </w:r>
    </w:p>
    <w:p w14:paraId="462B76A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1.2.3. </w:t>
      </w:r>
      <w:r>
        <w:rPr>
          <w:rFonts w:hint="eastAsia" w:ascii="仿宋" w:hAnsi="仿宋" w:eastAsia="仿宋" w:cs="仿宋"/>
          <w:bCs/>
          <w:color w:val="auto"/>
          <w:sz w:val="24"/>
          <w:highlight w:val="none"/>
        </w:rPr>
        <w:t>全体员工在管理服务期间，必须仪容整洁、仪表端正、礼仪规范，做到文明礼貌，热情周到。</w:t>
      </w:r>
    </w:p>
    <w:p w14:paraId="78AB31A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1.2.4. </w:t>
      </w:r>
      <w:r>
        <w:rPr>
          <w:rFonts w:hint="eastAsia" w:ascii="仿宋" w:hAnsi="仿宋" w:eastAsia="仿宋" w:cs="仿宋"/>
          <w:bCs/>
          <w:color w:val="auto"/>
          <w:sz w:val="24"/>
          <w:highlight w:val="none"/>
        </w:rPr>
        <w:t>每日至少一次对所管辖区域进行巡视检查，及时发现并解决问题，并有检查及问题处理情况的记录。</w:t>
      </w:r>
    </w:p>
    <w:p w14:paraId="300133A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1.2.5. </w:t>
      </w:r>
      <w:r>
        <w:rPr>
          <w:rFonts w:hint="eastAsia" w:ascii="仿宋" w:hAnsi="仿宋" w:eastAsia="仿宋" w:cs="仿宋"/>
          <w:bCs/>
          <w:color w:val="auto"/>
          <w:sz w:val="24"/>
          <w:highlight w:val="none"/>
        </w:rPr>
        <w:t>每月底向甲方提交保洁管理服务运行情况工作报告。</w:t>
      </w:r>
    </w:p>
    <w:p w14:paraId="08320C7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1.2.6. </w:t>
      </w:r>
      <w:r>
        <w:rPr>
          <w:rFonts w:hint="eastAsia" w:ascii="仿宋" w:hAnsi="仿宋" w:eastAsia="仿宋" w:cs="仿宋"/>
          <w:bCs/>
          <w:color w:val="auto"/>
          <w:sz w:val="24"/>
          <w:highlight w:val="none"/>
        </w:rPr>
        <w:t>按档案管理的要求，将保洁管理服务的有关资料分类管理，保存完好。</w:t>
      </w:r>
    </w:p>
    <w:p w14:paraId="2AB012D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1.2.7. </w:t>
      </w:r>
      <w:r>
        <w:rPr>
          <w:rFonts w:hint="eastAsia" w:ascii="仿宋" w:hAnsi="仿宋" w:eastAsia="仿宋" w:cs="仿宋"/>
          <w:bCs/>
          <w:color w:val="auto"/>
          <w:sz w:val="24"/>
          <w:highlight w:val="none"/>
        </w:rPr>
        <w:t>除中标人对服务人员的培训外，如有必要服务人员还需接受采购单位的集中进行的卫生安全培训，培训所需的费用由投标方考虑到报价中。</w:t>
      </w:r>
    </w:p>
    <w:p w14:paraId="633FC66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1.2.8. </w:t>
      </w:r>
      <w:r>
        <w:rPr>
          <w:rFonts w:hint="eastAsia" w:ascii="仿宋" w:hAnsi="仿宋" w:eastAsia="仿宋" w:cs="仿宋"/>
          <w:bCs/>
          <w:color w:val="auto"/>
          <w:sz w:val="24"/>
          <w:highlight w:val="none"/>
        </w:rPr>
        <w:t>保洁部工作时间为一周六个工作日，每天上班时间为行政班提前一小时，下班为行政班后移一小时。休息日保证值班人员。如有抗台等特殊时期，24小时到场服务。</w:t>
      </w:r>
    </w:p>
    <w:p w14:paraId="257C469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1.2.9. </w:t>
      </w:r>
      <w:r>
        <w:rPr>
          <w:rFonts w:hint="eastAsia" w:ascii="仿宋" w:hAnsi="仿宋" w:eastAsia="仿宋" w:cs="仿宋"/>
          <w:bCs/>
          <w:color w:val="auto"/>
          <w:sz w:val="24"/>
          <w:highlight w:val="none"/>
        </w:rPr>
        <w:t>预防与灭治白蚁、消灭老鼠、蟑螂、蚊子、苍蝇等“四害”，其中人工费由投标方计入报价中，所需物品或材料由采购单位提供。</w:t>
      </w:r>
    </w:p>
    <w:p w14:paraId="40A27A2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1.2.10. </w:t>
      </w:r>
      <w:r>
        <w:rPr>
          <w:rFonts w:hint="eastAsia" w:ascii="仿宋" w:hAnsi="仿宋" w:eastAsia="仿宋" w:cs="仿宋"/>
          <w:bCs/>
          <w:color w:val="auto"/>
          <w:sz w:val="24"/>
          <w:highlight w:val="none"/>
        </w:rPr>
        <w:t>服务区内垃圾用袋装收集，存放与环卫部门交接的指定地点。清卫、保洁及生活服务的工作质量按国家卫生城市管理的有关标准严格验收。其中环保部门对商务中心的垃圾清运费由采购单位负责。</w:t>
      </w:r>
    </w:p>
    <w:p w14:paraId="16A4B20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1.2.11. </w:t>
      </w:r>
      <w:r>
        <w:rPr>
          <w:rFonts w:hint="eastAsia" w:ascii="仿宋" w:hAnsi="仿宋" w:eastAsia="仿宋" w:cs="仿宋"/>
          <w:bCs/>
          <w:color w:val="auto"/>
          <w:sz w:val="24"/>
          <w:highlight w:val="none"/>
        </w:rPr>
        <w:t>室内墙面完好，外观整洁，如出现墙面的一般损坏或污浊，投标方应在12小时内修复或清理完毕。</w:t>
      </w:r>
    </w:p>
    <w:p w14:paraId="294C7CA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1.2.12. </w:t>
      </w:r>
      <w:r>
        <w:rPr>
          <w:rFonts w:hint="eastAsia" w:ascii="仿宋" w:hAnsi="仿宋" w:eastAsia="仿宋" w:cs="仿宋"/>
          <w:bCs/>
          <w:color w:val="auto"/>
          <w:sz w:val="24"/>
          <w:highlight w:val="none"/>
        </w:rPr>
        <w:t>公共环境：中标人每日安排若干名保洁人员进行清理，除每日中心商务上班前和下午下班时间后对办公楼进行全面清理外，保洁人员在工作时间随时清理垃圾，尘土，保持办公环境的整洁，中标人保证保洁人员工作规范，作风优良。</w:t>
      </w:r>
    </w:p>
    <w:p w14:paraId="3B8BB7E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1.2.13. </w:t>
      </w:r>
      <w:r>
        <w:rPr>
          <w:rFonts w:hint="eastAsia" w:ascii="仿宋" w:hAnsi="仿宋" w:eastAsia="仿宋" w:cs="仿宋"/>
          <w:bCs/>
          <w:color w:val="auto"/>
          <w:sz w:val="24"/>
          <w:highlight w:val="none"/>
        </w:rPr>
        <w:t>绿化：中标人协助并监督绿化养护与花卉租摆单位做好对花草树木养护的工作，定期对办公区实施药物喷洒、消毒，除不可抗力外须保证中心内植物不枯死、不受损。</w:t>
      </w:r>
    </w:p>
    <w:p w14:paraId="722F009C">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1.2.14. </w:t>
      </w:r>
      <w:r>
        <w:rPr>
          <w:rFonts w:hint="eastAsia" w:ascii="仿宋" w:hAnsi="仿宋" w:eastAsia="仿宋" w:cs="仿宋"/>
          <w:bCs/>
          <w:color w:val="auto"/>
          <w:sz w:val="24"/>
          <w:highlight w:val="none"/>
        </w:rPr>
        <w:t>保洁频率及标准由采购单位提供（见附件），该表为最低标准，中标人可根据情况，自行提供更完善的执行方案。其中大楼外墙及玻璃幕墙清洗一年二次，大理石墙（不锈钢、家具等）专业清洁应纳入保洁服务范围，清洗费用由投标方计入总价内。</w:t>
      </w:r>
    </w:p>
    <w:p w14:paraId="61BEAD3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1.2.15. </w:t>
      </w:r>
      <w:r>
        <w:rPr>
          <w:rFonts w:hint="eastAsia" w:ascii="仿宋" w:hAnsi="仿宋" w:eastAsia="仿宋" w:cs="仿宋"/>
          <w:bCs/>
          <w:color w:val="auto"/>
          <w:sz w:val="24"/>
          <w:highlight w:val="none"/>
        </w:rPr>
        <w:t>有专人负责与采购单位保持联系，确保领导交办的事件，件件有落实。</w:t>
      </w:r>
    </w:p>
    <w:p w14:paraId="0C2A90CA">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1.3. </w:t>
      </w:r>
      <w:r>
        <w:rPr>
          <w:rFonts w:hint="eastAsia" w:ascii="仿宋" w:hAnsi="仿宋" w:eastAsia="仿宋" w:cs="仿宋"/>
          <w:b/>
          <w:bCs/>
          <w:color w:val="auto"/>
          <w:sz w:val="24"/>
          <w:highlight w:val="none"/>
        </w:rPr>
        <w:t>与相关部门的责任界定</w:t>
      </w:r>
    </w:p>
    <w:p w14:paraId="34506D8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1.3.1. </w:t>
      </w:r>
      <w:r>
        <w:rPr>
          <w:rFonts w:hint="eastAsia" w:ascii="仿宋" w:hAnsi="仿宋" w:eastAsia="仿宋" w:cs="仿宋"/>
          <w:bCs/>
          <w:color w:val="auto"/>
          <w:sz w:val="24"/>
          <w:highlight w:val="none"/>
        </w:rPr>
        <w:t>与会议中心的责任界定。协助会议中心日常各会议室卫生清扫，包括地毯及棉织品（窗帘）的清洁保养及墙面、吊顶的保洁都属投标方的保洁服务范围。会议桌清洁和会场布置以及大型会议、节庆活动的花木摆放由采购单位下属的会议中心负责。</w:t>
      </w:r>
    </w:p>
    <w:p w14:paraId="369D558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1.3.2. </w:t>
      </w:r>
      <w:r>
        <w:rPr>
          <w:rFonts w:hint="eastAsia" w:ascii="仿宋" w:hAnsi="仿宋" w:eastAsia="仿宋" w:cs="仿宋"/>
          <w:bCs/>
          <w:color w:val="auto"/>
          <w:sz w:val="24"/>
          <w:highlight w:val="none"/>
        </w:rPr>
        <w:t>与其他部门的责任界定。其他机关各部门办公用房和服务场所（如食堂、理发室、医务室、邮政投递、超市、电信、移动、保险公司、茶吧）由使用部门自行负责清洁保洁。</w:t>
      </w:r>
    </w:p>
    <w:p w14:paraId="0C447EE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1.3.3. </w:t>
      </w:r>
      <w:r>
        <w:rPr>
          <w:rFonts w:hint="eastAsia" w:ascii="仿宋" w:hAnsi="仿宋" w:eastAsia="仿宋" w:cs="仿宋"/>
          <w:bCs/>
          <w:color w:val="auto"/>
          <w:sz w:val="24"/>
          <w:highlight w:val="none"/>
        </w:rPr>
        <w:t>与房屋维修部门的责任界定。房屋维修部门维修后建筑垃圾由施工方负责清理现场，中标人协助做好后续保洁工作（如：屋顶、水箱水池、水管渗漏而影响保洁清理和美观，其责任不由中标人承担）。</w:t>
      </w:r>
    </w:p>
    <w:p w14:paraId="45CD4CDD">
      <w:pPr>
        <w:spacing w:line="400" w:lineRule="exact"/>
        <w:ind w:firstLine="480" w:firstLineChars="200"/>
        <w:outlineLvl w:val="0"/>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lang w:val="en-US" w:eastAsia="zh-CN"/>
        </w:rPr>
        <w:t xml:space="preserve">1.3.4. </w:t>
      </w:r>
      <w:r>
        <w:rPr>
          <w:rFonts w:hint="eastAsia" w:ascii="仿宋" w:hAnsi="仿宋" w:eastAsia="仿宋" w:cs="仿宋"/>
          <w:color w:val="auto"/>
          <w:sz w:val="24"/>
          <w:highlight w:val="none"/>
          <w:u w:val="none"/>
        </w:rPr>
        <w:t>绿化的责任界定。室内公共区域内的绿化（花卉）包括在本次采购范围内，中标人需负责养护摆放、垃圾清洁等工作。室外及各单位办公室内部的绿化（花卉），由其他绿化部门负责，其产生的垃圾由其自行处理。</w:t>
      </w:r>
    </w:p>
    <w:p w14:paraId="279FA0D1">
      <w:pPr>
        <w:spacing w:line="4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1.4. </w:t>
      </w:r>
      <w:r>
        <w:rPr>
          <w:rFonts w:hint="eastAsia" w:ascii="仿宋" w:hAnsi="仿宋" w:eastAsia="仿宋" w:cs="仿宋"/>
          <w:b/>
          <w:color w:val="auto"/>
          <w:sz w:val="24"/>
          <w:highlight w:val="none"/>
        </w:rPr>
        <w:t>服务方式</w:t>
      </w:r>
    </w:p>
    <w:p w14:paraId="419DE34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环境卫生管理形式为重包，重包是指中标人在进行保洁管理服务及实施过程中所发生的一切费用。包括如厕所内用纸、洗手液及垃圾袋（含有机/无机）等不可预计的主要物料费用。所有的质量标准和服务标准严格参照国家旅游局颁布的三星级宾馆标准的要求实施。</w:t>
      </w:r>
    </w:p>
    <w:p w14:paraId="353A102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附：保洁主要物耗标准说明</w:t>
      </w:r>
    </w:p>
    <w:tbl>
      <w:tblPr>
        <w:tblStyle w:val="18"/>
        <w:tblpPr w:leftFromText="180" w:rightFromText="180" w:vertAnchor="text" w:horzAnchor="page" w:tblpX="1992" w:tblpY="223"/>
        <w:tblOverlap w:val="never"/>
        <w:tblW w:w="82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92"/>
        <w:gridCol w:w="5516"/>
      </w:tblGrid>
      <w:tr w14:paraId="6A93D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692" w:type="dxa"/>
            <w:noWrap w:val="0"/>
            <w:vAlign w:val="top"/>
          </w:tcPr>
          <w:p w14:paraId="6E4F4D6B">
            <w:pPr>
              <w:spacing w:line="400" w:lineRule="exact"/>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名称</w:t>
            </w:r>
          </w:p>
        </w:tc>
        <w:tc>
          <w:tcPr>
            <w:tcW w:w="5516" w:type="dxa"/>
            <w:noWrap w:val="0"/>
            <w:vAlign w:val="top"/>
          </w:tcPr>
          <w:p w14:paraId="0F6353E0">
            <w:pPr>
              <w:spacing w:line="400" w:lineRule="exact"/>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规格及技术型号</w:t>
            </w:r>
          </w:p>
        </w:tc>
      </w:tr>
      <w:tr w14:paraId="25158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noWrap w:val="0"/>
            <w:vAlign w:val="top"/>
          </w:tcPr>
          <w:p w14:paraId="17807D48">
            <w:pPr>
              <w:spacing w:line="400" w:lineRule="exact"/>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擦手纸</w:t>
            </w:r>
          </w:p>
        </w:tc>
        <w:tc>
          <w:tcPr>
            <w:tcW w:w="5516" w:type="dxa"/>
            <w:noWrap w:val="0"/>
            <w:vAlign w:val="top"/>
          </w:tcPr>
          <w:p w14:paraId="312F4C6B">
            <w:pPr>
              <w:spacing w:line="400" w:lineRule="exact"/>
              <w:jc w:val="center"/>
              <w:outlineLvl w:val="0"/>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品牌：清风，</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1层三折全压  B913AC</w:t>
            </w:r>
            <w:r>
              <w:rPr>
                <w:rFonts w:hint="eastAsia" w:ascii="仿宋" w:hAnsi="仿宋" w:eastAsia="仿宋" w:cs="仿宋"/>
                <w:bCs/>
                <w:color w:val="auto"/>
                <w:sz w:val="24"/>
                <w:highlight w:val="none"/>
                <w:lang w:eastAsia="zh-CN"/>
              </w:rPr>
              <w:t>（或同质量产品代替）</w:t>
            </w:r>
          </w:p>
        </w:tc>
      </w:tr>
      <w:tr w14:paraId="2B423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noWrap w:val="0"/>
            <w:vAlign w:val="top"/>
          </w:tcPr>
          <w:p w14:paraId="582FB4D6">
            <w:pPr>
              <w:spacing w:line="400" w:lineRule="exact"/>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洗手液</w:t>
            </w:r>
          </w:p>
        </w:tc>
        <w:tc>
          <w:tcPr>
            <w:tcW w:w="5516" w:type="dxa"/>
            <w:noWrap w:val="0"/>
            <w:vAlign w:val="top"/>
          </w:tcPr>
          <w:p w14:paraId="2D09E0AE">
            <w:pPr>
              <w:spacing w:line="400" w:lineRule="exact"/>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蓝月亮桶装  50斤/桶</w:t>
            </w:r>
          </w:p>
        </w:tc>
      </w:tr>
      <w:tr w14:paraId="25165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noWrap w:val="0"/>
            <w:vAlign w:val="top"/>
          </w:tcPr>
          <w:p w14:paraId="4559D561">
            <w:pPr>
              <w:spacing w:line="400" w:lineRule="exact"/>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卫生纸</w:t>
            </w:r>
          </w:p>
        </w:tc>
        <w:tc>
          <w:tcPr>
            <w:tcW w:w="5516" w:type="dxa"/>
            <w:noWrap w:val="0"/>
            <w:vAlign w:val="top"/>
          </w:tcPr>
          <w:p w14:paraId="3A74AB5E">
            <w:pPr>
              <w:spacing w:line="400" w:lineRule="exact"/>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品牌：清风，</w:t>
            </w: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rPr>
              <w:t>层240M  珍宝  BJ02AB</w:t>
            </w:r>
            <w:r>
              <w:rPr>
                <w:rFonts w:hint="eastAsia" w:ascii="仿宋" w:hAnsi="仿宋" w:eastAsia="仿宋" w:cs="仿宋"/>
                <w:bCs/>
                <w:color w:val="auto"/>
                <w:sz w:val="24"/>
                <w:highlight w:val="none"/>
                <w:lang w:eastAsia="zh-CN"/>
              </w:rPr>
              <w:t>（或同质量产品代替）</w:t>
            </w:r>
          </w:p>
        </w:tc>
      </w:tr>
    </w:tbl>
    <w:p w14:paraId="2778860D">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设施及设备维护维修服务</w:t>
      </w:r>
    </w:p>
    <w:p w14:paraId="1714E000">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2.1. </w:t>
      </w:r>
      <w:r>
        <w:rPr>
          <w:rFonts w:hint="eastAsia" w:ascii="仿宋" w:hAnsi="仿宋" w:eastAsia="仿宋" w:cs="仿宋"/>
          <w:b/>
          <w:bCs/>
          <w:color w:val="auto"/>
          <w:sz w:val="24"/>
          <w:highlight w:val="none"/>
        </w:rPr>
        <w:t>服务范围</w:t>
      </w:r>
    </w:p>
    <w:p w14:paraId="42531332">
      <w:pPr>
        <w:spacing w:line="40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2.1.1. </w:t>
      </w:r>
      <w:r>
        <w:rPr>
          <w:rFonts w:hint="eastAsia" w:ascii="仿宋" w:hAnsi="仿宋" w:eastAsia="仿宋" w:cs="仿宋"/>
          <w:color w:val="auto"/>
          <w:sz w:val="24"/>
          <w:highlight w:val="none"/>
        </w:rPr>
        <w:t>市政公用设施和附属建筑物、构筑物的维修、养护和管理，包括道路、室外给排水管道、化粪池、沟渠、池、自行车棚、停车场洗车场等。</w:t>
      </w:r>
    </w:p>
    <w:p w14:paraId="1D57B698">
      <w:pPr>
        <w:spacing w:line="40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2.1.2. </w:t>
      </w:r>
      <w:r>
        <w:rPr>
          <w:rFonts w:hint="eastAsia" w:ascii="仿宋" w:hAnsi="仿宋" w:eastAsia="仿宋" w:cs="仿宋"/>
          <w:color w:val="auto"/>
          <w:sz w:val="24"/>
          <w:highlight w:val="none"/>
        </w:rPr>
        <w:t>各专业设备定期维保和日常维护工作。</w:t>
      </w:r>
    </w:p>
    <w:p w14:paraId="51778FE1">
      <w:pPr>
        <w:spacing w:line="400" w:lineRule="exact"/>
        <w:ind w:firstLine="480"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Cs/>
          <w:color w:val="auto"/>
          <w:sz w:val="24"/>
          <w:highlight w:val="none"/>
          <w:lang w:val="en-US" w:eastAsia="zh-CN"/>
        </w:rPr>
        <w:t xml:space="preserve">2.1.3. </w:t>
      </w:r>
      <w:r>
        <w:rPr>
          <w:rFonts w:hint="eastAsia" w:ascii="仿宋" w:hAnsi="仿宋" w:eastAsia="仿宋" w:cs="仿宋"/>
          <w:bCs/>
          <w:color w:val="auto"/>
          <w:sz w:val="24"/>
          <w:highlight w:val="none"/>
        </w:rPr>
        <w:t>区域内有电力设备、给排水设备、电梯设备、空调设备、消防设备、弱电系统、照明设备、音响设备、舞台</w:t>
      </w:r>
      <w:r>
        <w:rPr>
          <w:rFonts w:hint="eastAsia" w:ascii="仿宋" w:hAnsi="仿宋" w:eastAsia="仿宋" w:cs="仿宋"/>
          <w:bCs/>
          <w:color w:val="auto"/>
          <w:sz w:val="24"/>
          <w:highlight w:val="none"/>
          <w:u w:val="none"/>
        </w:rPr>
        <w:t>机械设备等。</w:t>
      </w:r>
      <w:r>
        <w:rPr>
          <w:rFonts w:hint="eastAsia" w:ascii="仿宋" w:hAnsi="仿宋" w:eastAsia="仿宋" w:cs="仿宋"/>
          <w:b w:val="0"/>
          <w:bCs w:val="0"/>
          <w:color w:val="auto"/>
          <w:sz w:val="24"/>
          <w:highlight w:val="none"/>
          <w:u w:val="none"/>
        </w:rPr>
        <w:t>主要设备数量等具体情况建议投标方到东港商务中心实地考察。</w:t>
      </w:r>
    </w:p>
    <w:p w14:paraId="651DB0F4">
      <w:pPr>
        <w:spacing w:line="400" w:lineRule="exact"/>
        <w:ind w:firstLine="480" w:firstLineChars="200"/>
        <w:outlineLvl w:val="0"/>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lang w:val="en-US" w:eastAsia="zh-CN"/>
        </w:rPr>
        <w:t xml:space="preserve">2.1.4. </w:t>
      </w:r>
      <w:r>
        <w:rPr>
          <w:rFonts w:hint="eastAsia" w:ascii="仿宋" w:hAnsi="仿宋" w:eastAsia="仿宋" w:cs="仿宋"/>
          <w:b w:val="0"/>
          <w:bCs/>
          <w:color w:val="auto"/>
          <w:sz w:val="24"/>
          <w:highlight w:val="none"/>
          <w:u w:val="none"/>
        </w:rPr>
        <w:t>对区社会治理综合服务中心（商务中心外）公共部位的</w:t>
      </w:r>
      <w:r>
        <w:rPr>
          <w:rFonts w:hint="eastAsia" w:ascii="仿宋" w:hAnsi="仿宋" w:eastAsia="仿宋" w:cs="仿宋"/>
          <w:b w:val="0"/>
          <w:bCs/>
          <w:color w:val="auto"/>
          <w:sz w:val="24"/>
          <w:highlight w:val="none"/>
          <w:u w:val="none"/>
          <w:lang w:val="en-US" w:eastAsia="zh-CN"/>
        </w:rPr>
        <w:t>设施</w:t>
      </w:r>
      <w:r>
        <w:rPr>
          <w:rFonts w:hint="eastAsia" w:ascii="仿宋" w:hAnsi="仿宋" w:eastAsia="仿宋" w:cs="仿宋"/>
          <w:b w:val="0"/>
          <w:bCs/>
          <w:color w:val="auto"/>
          <w:sz w:val="24"/>
          <w:highlight w:val="none"/>
          <w:u w:val="none"/>
        </w:rPr>
        <w:t>设备定期维保和日常维护工作</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lang w:val="en-US" w:eastAsia="zh-CN"/>
        </w:rPr>
        <w:t>维保标准参照东港商务中心</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rPr>
        <w:t xml:space="preserve"> </w:t>
      </w:r>
    </w:p>
    <w:p w14:paraId="766906BC">
      <w:pPr>
        <w:spacing w:line="400" w:lineRule="exact"/>
        <w:ind w:firstLine="480" w:firstLineChars="200"/>
        <w:outlineLvl w:val="0"/>
        <w:rPr>
          <w:rFonts w:hint="eastAsia" w:ascii="仿宋" w:hAnsi="仿宋" w:eastAsia="仿宋" w:cs="仿宋"/>
          <w:b w:val="0"/>
          <w:bCs/>
          <w:color w:val="auto"/>
          <w:highlight w:val="none"/>
          <w:u w:val="none"/>
        </w:rPr>
      </w:pPr>
      <w:r>
        <w:rPr>
          <w:rFonts w:hint="eastAsia" w:ascii="仿宋" w:hAnsi="仿宋" w:eastAsia="仿宋" w:cs="仿宋"/>
          <w:b w:val="0"/>
          <w:bCs/>
          <w:color w:val="auto"/>
          <w:sz w:val="24"/>
          <w:highlight w:val="none"/>
          <w:u w:val="none"/>
          <w:lang w:val="en-US" w:eastAsia="zh-CN"/>
        </w:rPr>
        <w:t xml:space="preserve">2.1.5. </w:t>
      </w:r>
      <w:r>
        <w:rPr>
          <w:rFonts w:hint="eastAsia" w:ascii="仿宋" w:hAnsi="仿宋" w:eastAsia="仿宋" w:cs="仿宋"/>
          <w:b w:val="0"/>
          <w:bCs/>
          <w:color w:val="auto"/>
          <w:sz w:val="24"/>
          <w:highlight w:val="none"/>
          <w:u w:val="none"/>
        </w:rPr>
        <w:t>对区人武部办公楼（商务中心外）公共部位的</w:t>
      </w:r>
      <w:r>
        <w:rPr>
          <w:rFonts w:hint="eastAsia" w:ascii="仿宋" w:hAnsi="仿宋" w:eastAsia="仿宋" w:cs="仿宋"/>
          <w:b w:val="0"/>
          <w:bCs/>
          <w:color w:val="auto"/>
          <w:sz w:val="24"/>
          <w:highlight w:val="none"/>
          <w:u w:val="none"/>
          <w:lang w:val="en-US" w:eastAsia="zh-CN"/>
        </w:rPr>
        <w:t>设施</w:t>
      </w:r>
      <w:r>
        <w:rPr>
          <w:rFonts w:hint="eastAsia" w:ascii="仿宋" w:hAnsi="仿宋" w:eastAsia="仿宋" w:cs="仿宋"/>
          <w:b w:val="0"/>
          <w:bCs/>
          <w:color w:val="auto"/>
          <w:sz w:val="24"/>
          <w:highlight w:val="none"/>
          <w:u w:val="none"/>
        </w:rPr>
        <w:t>设备定期维保和日常维护工作</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lang w:val="en-US" w:eastAsia="zh-CN"/>
        </w:rPr>
        <w:t>维保标准参照东港商务中心</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rPr>
        <w:t xml:space="preserve"> </w:t>
      </w:r>
    </w:p>
    <w:p w14:paraId="4C6D0CB1">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2.2. </w:t>
      </w:r>
      <w:r>
        <w:rPr>
          <w:rFonts w:hint="eastAsia" w:ascii="仿宋" w:hAnsi="仿宋" w:eastAsia="仿宋" w:cs="仿宋"/>
          <w:b/>
          <w:bCs/>
          <w:color w:val="auto"/>
          <w:sz w:val="24"/>
          <w:highlight w:val="none"/>
        </w:rPr>
        <w:t>服务要求</w:t>
      </w:r>
    </w:p>
    <w:p w14:paraId="057775E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2.2.1. </w:t>
      </w:r>
      <w:r>
        <w:rPr>
          <w:rFonts w:hint="eastAsia" w:ascii="仿宋" w:hAnsi="仿宋" w:eastAsia="仿宋" w:cs="仿宋"/>
          <w:bCs/>
          <w:color w:val="auto"/>
          <w:sz w:val="24"/>
          <w:highlight w:val="none"/>
        </w:rPr>
        <w:t>电气系统</w:t>
      </w:r>
    </w:p>
    <w:p w14:paraId="2B52BC3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①确保楼宇、景观灯电器设备系统运行状况良好，做好日常运行记录，杜绝重大责任事故发生。</w:t>
      </w:r>
    </w:p>
    <w:p w14:paraId="6209657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②人员配备合理，具备相关资质证书，严格执行操作使用规程。</w:t>
      </w:r>
    </w:p>
    <w:p w14:paraId="381F0C5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③加强日常巡视，按计划定期检查保养，及时排除设备故障，确保24小时正常运行。</w:t>
      </w:r>
    </w:p>
    <w:p w14:paraId="0AD6B3B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④确保正常供电，严格限电、停电审批权限，遇有计划限电、停电按规定通知采购单位。</w:t>
      </w:r>
    </w:p>
    <w:p w14:paraId="3BC5E2B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⑤制定并严格执行临时用电管理办法和停电应急处理措施。</w:t>
      </w:r>
    </w:p>
    <w:p w14:paraId="477A04B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2.2.2. </w:t>
      </w:r>
      <w:r>
        <w:rPr>
          <w:rFonts w:hint="eastAsia" w:ascii="仿宋" w:hAnsi="仿宋" w:eastAsia="仿宋" w:cs="仿宋"/>
          <w:bCs/>
          <w:color w:val="auto"/>
          <w:sz w:val="24"/>
          <w:highlight w:val="none"/>
        </w:rPr>
        <w:t>弱电系统</w:t>
      </w:r>
    </w:p>
    <w:p w14:paraId="63EF2FD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①确保各类弱电设备系统运行状况良好，杜绝重大责任事故发生。重要活动提供现场技术保障，做好会议准备过程中设备保障工作。</w:t>
      </w:r>
    </w:p>
    <w:p w14:paraId="64CF80B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②做好智能化设备系统运行数据记录分析，按规定期限存放记录信息。BA系统应做到每天24小时值班。</w:t>
      </w:r>
    </w:p>
    <w:p w14:paraId="199CBFF7">
      <w:pPr>
        <w:spacing w:line="40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③按规定做好BA系统、电子会议系统、背景音乐设备系统、闭路电视系统、安全防护设备系统、车库管理系统、门禁系统、UPS系统、一卡通系统、机房设备及精密空调等设备设施维护保养工作，确保完好率达98%以上。负责与专业维保单位的联系及现场管理工作。</w:t>
      </w:r>
    </w:p>
    <w:p w14:paraId="75DA6111">
      <w:pPr>
        <w:spacing w:line="40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④主管人员应具备弱电类工程师职称（中级以上），并定期组织技术培训，提高业务技能。</w:t>
      </w:r>
    </w:p>
    <w:p w14:paraId="1D7DDE1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2.2.3. </w:t>
      </w:r>
      <w:r>
        <w:rPr>
          <w:rFonts w:hint="eastAsia" w:ascii="仿宋" w:hAnsi="仿宋" w:eastAsia="仿宋" w:cs="仿宋"/>
          <w:bCs/>
          <w:color w:val="auto"/>
          <w:sz w:val="24"/>
          <w:highlight w:val="none"/>
        </w:rPr>
        <w:t>消防系统</w:t>
      </w:r>
    </w:p>
    <w:p w14:paraId="3AE658F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①及时做好消防栓、消防龙头及消防管道的检查和保养工作，使消防栓无锈蚀，消防龙头活络。加强消防设备设施管理，确保消防用水和管道无做其他用途。</w:t>
      </w:r>
    </w:p>
    <w:p w14:paraId="1B044FB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消防控制中心应提供每天24小时技术保障，确保随叫随到。各类消防系统配备齐全，定期维护检修，每月联动测试，做到无尘、无锈，可随时启用。烟温报警正确，消防广播能自动广播。负责与专业维保单位的联系及现场管理工作。</w:t>
      </w:r>
    </w:p>
    <w:p w14:paraId="10F8AEE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③消防管理人员熟练掌握消防设施设备的使用方法，能及时处理各种问题。</w:t>
      </w:r>
    </w:p>
    <w:p w14:paraId="025316D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④经常组织员工消防法规及消防知识的宣传教育，消除各种火灾安全隐患，合理划区，责任到人。积极协助采购单位主管部门做好消防安全管理工作。</w:t>
      </w:r>
    </w:p>
    <w:p w14:paraId="4959742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⑤建立健全突发火灾应急处置预案，设立消防疏散示意图、应急照明设施、引路指示等，确保紧急疏散通道畅通。</w:t>
      </w:r>
    </w:p>
    <w:p w14:paraId="37370C6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2.2.4. </w:t>
      </w:r>
      <w:r>
        <w:rPr>
          <w:rFonts w:hint="eastAsia" w:ascii="仿宋" w:hAnsi="仿宋" w:eastAsia="仿宋" w:cs="仿宋"/>
          <w:bCs/>
          <w:color w:val="auto"/>
          <w:sz w:val="24"/>
          <w:highlight w:val="none"/>
        </w:rPr>
        <w:t>电梯系统</w:t>
      </w:r>
    </w:p>
    <w:p w14:paraId="01AD255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①电梯按规定或约定时间保持正常运行，安全措施齐全有效，值班记录清晰。</w:t>
      </w:r>
    </w:p>
    <w:p w14:paraId="2BA0D1C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②轿箱、井道、机房保持清洁，通风、照明及附属设施完好。</w:t>
      </w:r>
    </w:p>
    <w:p w14:paraId="4E39B73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③负责与专业维保单位的联系及现场管理工作，选派技术人员参加电梯公司组织的工地培训（培训时间2周）。</w:t>
      </w:r>
    </w:p>
    <w:p w14:paraId="559B26EA">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④制定相应险情应急处置办法。出现运行故障，相关人员须3分钟内抵达现场处理；如遇电梯关人，须在10分钟内救出被困人员。</w:t>
      </w:r>
    </w:p>
    <w:p w14:paraId="1761BCE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⑤电梯准用证、年检合格证、维修保养合同完备。</w:t>
      </w:r>
    </w:p>
    <w:p w14:paraId="66F848E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⑥电梯机房每周维护检查1次，按高标准维护标准对电梯进行常规检查调整和润滑，做到每月至少2次的例行保养，并负责做好电梯档案资料的建立工作。</w:t>
      </w:r>
    </w:p>
    <w:p w14:paraId="4C3E14D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⑦维修结束后，提供报告给采购单位，报告内容包括故障原因、解决措施、完成修所耗时间及恢复正常运行日期。</w:t>
      </w:r>
    </w:p>
    <w:p w14:paraId="7DCB82AC">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2.2.5. </w:t>
      </w:r>
      <w:r>
        <w:rPr>
          <w:rFonts w:hint="eastAsia" w:ascii="仿宋" w:hAnsi="仿宋" w:eastAsia="仿宋" w:cs="仿宋"/>
          <w:bCs/>
          <w:color w:val="auto"/>
          <w:sz w:val="24"/>
          <w:highlight w:val="none"/>
        </w:rPr>
        <w:t>排水系统</w:t>
      </w:r>
    </w:p>
    <w:p w14:paraId="2B9FE4B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①建立用水供水管理制度和设备维修保养与定期检修制度，设备、阀门、管道工作正常，设备外表无锈蚀、无污渍，无跑冒滴漏现象。制定合理用水和节约用水计划。</w:t>
      </w:r>
    </w:p>
    <w:p w14:paraId="5A56FA7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②每半年对二次供水设施进行消毒，确保水池、水箱清洁卫生；提供水质化验单、操作人员健康合格证。严格执行高压水泵、水池、水箱等管理措施，及时消除水池、水箱周围污染隐患。</w:t>
      </w:r>
    </w:p>
    <w:p w14:paraId="5A35A9AC">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③加强检查维护，确保排水系统畅通，减少道路积水，地下室、车库、设备机房无积水、浸泡现象发生。</w:t>
      </w:r>
    </w:p>
    <w:p w14:paraId="7DED9FA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④确保正常供水，严格限水、停水审批权限，遇有计划限水、停水按规定通知采购单位。</w:t>
      </w:r>
    </w:p>
    <w:p w14:paraId="3D4D3DD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⑤制定给排水事故应急处理方案。遇有事故，维修人员须在3分钟内抵达现场抢修，杜绝大面积跑水、泛水或长时间停水现象。</w:t>
      </w:r>
    </w:p>
    <w:p w14:paraId="465ACC3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2.2.6. </w:t>
      </w:r>
      <w:r>
        <w:rPr>
          <w:rFonts w:hint="eastAsia" w:ascii="仿宋" w:hAnsi="仿宋" w:eastAsia="仿宋" w:cs="仿宋"/>
          <w:bCs/>
          <w:color w:val="auto"/>
          <w:sz w:val="24"/>
          <w:highlight w:val="none"/>
        </w:rPr>
        <w:t>空调系统</w:t>
      </w:r>
    </w:p>
    <w:p w14:paraId="2E5F643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①做好空调维修保养工作，确保运行正常。中央空调水系统运行正常，无漏水现象，各类阀门功能正常，空调计量设备运行正常，数据采集完整。负责与专业维保单位的联系及现场管理工作。</w:t>
      </w:r>
    </w:p>
    <w:p w14:paraId="61AFA5F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制定中央空调发生故障应急处理预案。出现运行故障后，相关人员3分钟内抵达现场抢修，在修理完成后，应将故障原因、修理内容、完成修理及恢复正常的时间和日期等报告给采购单位。选派专业相关人员参加安装公司组织的培训，落实《用户使用维修技术手册》中提出的有关事项，对号入座，并且进行书面交底记录。</w:t>
      </w:r>
    </w:p>
    <w:p w14:paraId="24BFF80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③做好各类风机（包括屋面风机）等设备维修保养工作，噪音不超过规定指标，确保安全运行，及时消除事故隐患，杜绝重大责任事故。</w:t>
      </w:r>
    </w:p>
    <w:p w14:paraId="7438FB4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④按规定做好通风及温度控制工作，及时对会议接待中心及大楼空调的巡视工作，按规定定期做好新风管道的清洗工作（方案另定）。发现问题及时解决，贯彻落实采购单位对中央空调的使用意见。</w:t>
      </w:r>
    </w:p>
    <w:p w14:paraId="13F1234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⑤与采购单位共同负责区域空调网（长沙远大空调有限公司）的协调工作。</w:t>
      </w:r>
    </w:p>
    <w:p w14:paraId="7BB5BB5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2.2.7. </w:t>
      </w:r>
      <w:r>
        <w:rPr>
          <w:rFonts w:hint="eastAsia" w:ascii="仿宋" w:hAnsi="仿宋" w:eastAsia="仿宋" w:cs="仿宋"/>
          <w:bCs/>
          <w:color w:val="auto"/>
          <w:sz w:val="24"/>
          <w:highlight w:val="none"/>
        </w:rPr>
        <w:t>共用设施管理</w:t>
      </w:r>
    </w:p>
    <w:p w14:paraId="10B798F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①加强管理，确保共用配套服务设施完好，不得随意改变用途。</w:t>
      </w:r>
    </w:p>
    <w:p w14:paraId="3E7820B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②共用管线埋设合理，无碍观瞻，无架空管线。</w:t>
      </w:r>
    </w:p>
    <w:p w14:paraId="7CCD8E8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③道路、楼道、大堂等公共照明完好。</w:t>
      </w:r>
    </w:p>
    <w:p w14:paraId="724FF395">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④按国家环保标准做好排烟、排污和噪声控制工作。</w:t>
      </w:r>
    </w:p>
    <w:p w14:paraId="0BC985E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2.2.8. </w:t>
      </w:r>
      <w:r>
        <w:rPr>
          <w:rFonts w:hint="eastAsia" w:ascii="仿宋" w:hAnsi="仿宋" w:eastAsia="仿宋" w:cs="仿宋"/>
          <w:bCs/>
          <w:color w:val="auto"/>
          <w:sz w:val="24"/>
          <w:highlight w:val="none"/>
        </w:rPr>
        <w:t>开水房设备维护管理</w:t>
      </w:r>
    </w:p>
    <w:p w14:paraId="3679CEE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①开水房设备线路定期检测，防止漏电。</w:t>
      </w:r>
    </w:p>
    <w:p w14:paraId="1F8D172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②开水房设备定期检查余水，防止水环境污染。</w:t>
      </w:r>
    </w:p>
    <w:p w14:paraId="29AABA17">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③每天上下班及时开门关门，防止人为污染事件。</w:t>
      </w:r>
    </w:p>
    <w:p w14:paraId="3FB4B28A">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④每周负责打扫卫生，清除余水。</w:t>
      </w:r>
    </w:p>
    <w:p w14:paraId="19C529EF">
      <w:pPr>
        <w:numPr>
          <w:ilvl w:val="0"/>
          <w:numId w:val="0"/>
        </w:num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2.2.9. </w:t>
      </w:r>
      <w:r>
        <w:rPr>
          <w:rFonts w:hint="eastAsia" w:ascii="仿宋" w:hAnsi="仿宋" w:eastAsia="仿宋" w:cs="仿宋"/>
          <w:bCs/>
          <w:color w:val="auto"/>
          <w:sz w:val="24"/>
          <w:highlight w:val="none"/>
        </w:rPr>
        <w:t>健身设施管理</w:t>
      </w:r>
    </w:p>
    <w:p w14:paraId="3A6433B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做好健身设施维修保养工作，确保安全运行，及时消除事故隐患，杜绝重大责任事故。负责与专业维保单位的联系及现场管理工作。</w:t>
      </w:r>
    </w:p>
    <w:p w14:paraId="26739F92">
      <w:pPr>
        <w:numPr>
          <w:ilvl w:val="0"/>
          <w:numId w:val="0"/>
        </w:num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2.2.10. </w:t>
      </w:r>
      <w:r>
        <w:rPr>
          <w:rFonts w:hint="eastAsia" w:ascii="仿宋" w:hAnsi="仿宋" w:eastAsia="仿宋" w:cs="仿宋"/>
          <w:bCs/>
          <w:color w:val="auto"/>
          <w:sz w:val="24"/>
          <w:highlight w:val="none"/>
        </w:rPr>
        <w:t>综合管理</w:t>
      </w:r>
    </w:p>
    <w:p w14:paraId="4F8B31F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①建立健全各项物业管理制度，明确各种工作岗位标准，并制定具体的落实措施和考核办法。</w:t>
      </w:r>
    </w:p>
    <w:p w14:paraId="439FD38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②设备图纸、档案资料管理完善、收集齐全，分类清晰；建立设备台账，登记详细，账物相符。</w:t>
      </w:r>
    </w:p>
    <w:p w14:paraId="6BEE663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③设备机房环境整洁卫生，物品摆放有序。机房内严禁吸烟、饮酒等与工作不相符的事宜，无关人员不得随意入内。</w:t>
      </w:r>
    </w:p>
    <w:p w14:paraId="6042D65A">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④落实设备安全运行岗位责任制；分工明确，定期巡检和维护保养设备，严格执行有关维修保养规程和操作使用规程，并按规定记录设备运行状况。</w:t>
      </w:r>
    </w:p>
    <w:p w14:paraId="75D1C63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⑤每季度向采购单位提供人员编制及档案材料。物管人员和专业技术人员持证上岗，着装规范，佩戴标志明显，服务规范，作风严谨。</w:t>
      </w:r>
    </w:p>
    <w:p w14:paraId="4F2AD27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⑥每月公开一次物业人员考核考勤情况及维护材料损耗情况。</w:t>
      </w:r>
    </w:p>
    <w:p w14:paraId="6ED306B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⑦严格24小时值班执勤制度，设立服务电话，接受采购单位和使用单位对物业管理服务保修、求助、建议、问询、质疑、投诉等各类信息的收集和反馈，并及时处理，有回访制度和记录。</w:t>
      </w:r>
    </w:p>
    <w:p w14:paraId="7682FAF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⑧定期发放物业管理服务工作征求意见单，接受合理化建议并及时整改，杜绝员工有违纪现象发生。</w:t>
      </w:r>
    </w:p>
    <w:p w14:paraId="468DDF0C">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⑨落实设备管理服务合同，兑现设备维修服务承诺，接报修10分钟内赶到现场维修。在设备维修过程中设备维修期限为小修24小时；中修48小时；大修120小时。要保证维修质量，减少返修，并有回访记录。</w:t>
      </w:r>
    </w:p>
    <w:p w14:paraId="4F74B91C">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⑩制订和完善各类设备系统突发事件应急处置预案。</w:t>
      </w:r>
    </w:p>
    <w:p w14:paraId="49FA87B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⑪积极开展节能降耗工作，每月提供能耗数据分析报告，提出合理化建议。</w:t>
      </w:r>
    </w:p>
    <w:p w14:paraId="352D5E7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⑫在设备管理过程中，不得随意更改原系统设备使用、控制或性能上的各项技术指标和要求，确需要更改或进行技术改造须经甲方同意。</w:t>
      </w:r>
    </w:p>
    <w:p w14:paraId="7EB4337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⑬负责与专业维保单位等第三方的联系及现场管理工作，记录专业维保单位服务情况，并向采购单位提出合理化建议。</w:t>
      </w:r>
    </w:p>
    <w:p w14:paraId="00CFD07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⑭及时落实采购单位要求的其他合理服务事项。</w:t>
      </w:r>
    </w:p>
    <w:p w14:paraId="61CC02E7">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2.3. </w:t>
      </w:r>
      <w:r>
        <w:rPr>
          <w:rFonts w:hint="eastAsia" w:ascii="仿宋" w:hAnsi="仿宋" w:eastAsia="仿宋" w:cs="仿宋"/>
          <w:b/>
          <w:bCs/>
          <w:color w:val="auto"/>
          <w:sz w:val="24"/>
          <w:highlight w:val="none"/>
        </w:rPr>
        <w:t>与相关部门的责任界定</w:t>
      </w:r>
    </w:p>
    <w:p w14:paraId="6E524E0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2.3.1. </w:t>
      </w:r>
      <w:r>
        <w:rPr>
          <w:rFonts w:hint="eastAsia" w:ascii="仿宋" w:hAnsi="仿宋" w:eastAsia="仿宋" w:cs="仿宋"/>
          <w:bCs/>
          <w:color w:val="auto"/>
          <w:sz w:val="24"/>
          <w:highlight w:val="none"/>
        </w:rPr>
        <w:t>与会议中心的责任界定。会议场所的电子会议设备日常管理与操作使用由采购单位服务中心负责，中标人负责会议设备设施保障准备、计划性保养与巡检、接受报修与故障检修等管理服务工作，投标方应保证设备设施完好，重要会议必须派专人现场协助做好设备保障工作。</w:t>
      </w:r>
    </w:p>
    <w:p w14:paraId="6D2B8CE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2.3.2. </w:t>
      </w:r>
      <w:r>
        <w:rPr>
          <w:rFonts w:hint="eastAsia" w:ascii="仿宋" w:hAnsi="仿宋" w:eastAsia="仿宋" w:cs="仿宋"/>
          <w:bCs/>
          <w:color w:val="auto"/>
          <w:sz w:val="24"/>
          <w:highlight w:val="none"/>
        </w:rPr>
        <w:t>其他部门的责任界定。其他服务场所（如大楼各单位办公室、食堂、医务室、银行、邮政投递等）的自用设备由其使用部门自行负责操作和维修、保养，中标人仅负责涉及到大楼公用设备（如中央空调、供电、消防等）的正常管理和维修服务；给排水系统：商务中心给水计量总表外的管道维修由自来水公司负责，总表内的管道维修由投标方负责，中心内的排水系统堵塞由投标方负责，中心外的排水系统疏通由市政部门负责；强电系统：商务中心变电房内的强电线路维修由中标人负责，变电房外的强电线路维修由电力部门负责。</w:t>
      </w:r>
    </w:p>
    <w:p w14:paraId="3A7B185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2.3.3. </w:t>
      </w:r>
      <w:r>
        <w:rPr>
          <w:rFonts w:hint="eastAsia" w:ascii="仿宋" w:hAnsi="仿宋" w:eastAsia="仿宋" w:cs="仿宋"/>
          <w:bCs/>
          <w:color w:val="auto"/>
          <w:sz w:val="24"/>
          <w:highlight w:val="none"/>
        </w:rPr>
        <w:t>与房屋维修部门的责任界定。大楼建筑结构及设施（如幕墙玻璃、屋顶、外墙面、楼梯、地面、走廊、吊平顶、各类装饰物等）公共设施由房屋维修部门负责维修、整改。但发生紧急情况，中标人有权采取必要的紧急补救措施，其责任事件不应由中标人承担。此外，管理服务范围内门锁、拉手、污水窖井、管道维修、阴沟疏通、简易线路变更辅设等维护项目由中标人负责，在商务中心各类活动或节庆期间，中标人应协助采购单位做好设备设施等技术保障工作。</w:t>
      </w:r>
    </w:p>
    <w:p w14:paraId="694CA97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2.3.4. </w:t>
      </w:r>
      <w:r>
        <w:rPr>
          <w:rFonts w:hint="eastAsia" w:ascii="仿宋" w:hAnsi="仿宋" w:eastAsia="仿宋" w:cs="仿宋"/>
          <w:bCs/>
          <w:color w:val="auto"/>
          <w:sz w:val="24"/>
          <w:highlight w:val="none"/>
        </w:rPr>
        <w:t>与采购单位的责任界定。采购单位办公室内的办公设备由采购单位使用人自行操作和管理；中标人仅负责四套班子领导办公室内的家用电器设备保养修理及大楼公共设备（如中央空调、给排水、电气设备等）的正常运行、管理和服务。中标人拥有对所管的各类设备机房相关竖井门钥匙的管控权，并负责对上述各类机房设备的安全管理。由于中标人管理不善而引发的机房设备被盗、遗失等安全事故，由中标人自行负责。</w:t>
      </w:r>
    </w:p>
    <w:p w14:paraId="48ED52AC">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2.4. </w:t>
      </w:r>
      <w:r>
        <w:rPr>
          <w:rFonts w:hint="eastAsia" w:ascii="仿宋" w:hAnsi="仿宋" w:eastAsia="仿宋" w:cs="仿宋"/>
          <w:b/>
          <w:bCs/>
          <w:color w:val="auto"/>
          <w:sz w:val="24"/>
          <w:highlight w:val="none"/>
        </w:rPr>
        <w:t>服务方式</w:t>
      </w:r>
    </w:p>
    <w:p w14:paraId="5052FB58">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rPr>
        <w:t>设施设备委托管理服务方式为清包。清包是指中标人承担行政中心大楼的设施、设备日常操作、运行、检修、清洁、维护、保养、保管及在管理过程中所需要的管理服务费用和必要的维修工具费用（详见</w:t>
      </w:r>
      <w:r>
        <w:rPr>
          <w:rFonts w:hint="eastAsia" w:ascii="仿宋" w:hAnsi="仿宋" w:eastAsia="仿宋" w:cs="仿宋"/>
          <w:bCs/>
          <w:color w:val="auto"/>
          <w:sz w:val="24"/>
          <w:highlight w:val="none"/>
          <w:lang w:val="en-US" w:eastAsia="zh-CN"/>
        </w:rPr>
        <w:t>2.5.</w:t>
      </w:r>
      <w:r>
        <w:rPr>
          <w:rFonts w:hint="eastAsia" w:ascii="仿宋" w:hAnsi="仿宋" w:eastAsia="仿宋" w:cs="仿宋"/>
          <w:bCs/>
          <w:color w:val="auto"/>
          <w:sz w:val="24"/>
          <w:highlight w:val="none"/>
        </w:rPr>
        <w:t>必要维修工具）</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u w:val="none"/>
        </w:rPr>
        <w:t>各种替换设施、设备、五金件、维修材料、一次性低值易耗品和必要的检测、测试费用等由采购单位承担。</w:t>
      </w:r>
    </w:p>
    <w:p w14:paraId="01FCD629">
      <w:pPr>
        <w:spacing w:line="400" w:lineRule="exact"/>
        <w:ind w:firstLine="482"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
          <w:bCs/>
          <w:color w:val="auto"/>
          <w:sz w:val="24"/>
          <w:highlight w:val="none"/>
          <w:lang w:val="en-US" w:eastAsia="zh-CN"/>
        </w:rPr>
        <w:t xml:space="preserve">2.5. </w:t>
      </w:r>
      <w:r>
        <w:rPr>
          <w:rFonts w:hint="eastAsia" w:ascii="仿宋" w:hAnsi="仿宋" w:eastAsia="仿宋" w:cs="仿宋"/>
          <w:b w:val="0"/>
          <w:bCs w:val="0"/>
          <w:color w:val="auto"/>
          <w:sz w:val="24"/>
          <w:highlight w:val="none"/>
          <w:u w:val="none"/>
        </w:rPr>
        <w:t>必要维修工具（中标人自行配备，招标方不再另行支付费用）：</w:t>
      </w:r>
    </w:p>
    <w:p w14:paraId="20C5B601">
      <w:pPr>
        <w:spacing w:line="400" w:lineRule="exact"/>
        <w:ind w:firstLine="482" w:firstLineChars="200"/>
        <w:outlineLvl w:val="0"/>
        <w:rPr>
          <w:rFonts w:hint="eastAsia" w:ascii="仿宋" w:hAnsi="仿宋" w:eastAsia="仿宋" w:cs="仿宋"/>
          <w:bCs/>
          <w:color w:val="auto"/>
          <w:sz w:val="24"/>
          <w:highlight w:val="none"/>
          <w:lang w:eastAsia="zh-CN"/>
        </w:rPr>
      </w:pPr>
      <w:r>
        <w:rPr>
          <w:rFonts w:hint="eastAsia" w:ascii="仿宋" w:hAnsi="仿宋" w:eastAsia="仿宋" w:cs="仿宋"/>
          <w:b/>
          <w:bCs/>
          <w:color w:val="auto"/>
          <w:sz w:val="24"/>
          <w:highlight w:val="none"/>
        </w:rPr>
        <w:t xml:space="preserve"> </w:t>
      </w:r>
      <w:r>
        <w:rPr>
          <w:rFonts w:hint="eastAsia" w:ascii="仿宋" w:hAnsi="仿宋" w:eastAsia="仿宋" w:cs="仿宋"/>
          <w:bCs/>
          <w:color w:val="auto"/>
          <w:sz w:val="24"/>
          <w:highlight w:val="none"/>
        </w:rPr>
        <w:t>①电焊设备</w:t>
      </w:r>
    </w:p>
    <w:p w14:paraId="68FA8F4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r>
        <w:rPr>
          <w:rFonts w:hint="eastAsia" w:ascii="仿宋" w:hAnsi="仿宋" w:eastAsia="仿宋" w:cs="仿宋"/>
          <w:bCs/>
          <w:color w:val="auto"/>
          <w:sz w:val="24"/>
          <w:highlight w:val="none"/>
          <w:lang w:val="en-US" w:eastAsia="zh-CN"/>
        </w:rPr>
        <w:t>②</w:t>
      </w:r>
      <w:r>
        <w:rPr>
          <w:rFonts w:hint="eastAsia" w:ascii="仿宋" w:hAnsi="仿宋" w:eastAsia="仿宋" w:cs="仿宋"/>
          <w:bCs/>
          <w:color w:val="auto"/>
          <w:sz w:val="24"/>
          <w:highlight w:val="none"/>
        </w:rPr>
        <w:t>切割机</w:t>
      </w:r>
    </w:p>
    <w:p w14:paraId="29CCF2F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r>
        <w:rPr>
          <w:rFonts w:hint="eastAsia" w:ascii="仿宋" w:hAnsi="仿宋" w:eastAsia="仿宋" w:cs="仿宋"/>
          <w:bCs/>
          <w:color w:val="auto"/>
          <w:sz w:val="24"/>
          <w:highlight w:val="none"/>
          <w:lang w:val="en-US" w:eastAsia="zh-CN"/>
        </w:rPr>
        <w:t>③</w:t>
      </w:r>
      <w:r>
        <w:rPr>
          <w:rFonts w:hint="eastAsia" w:ascii="仿宋" w:hAnsi="仿宋" w:eastAsia="仿宋" w:cs="仿宋"/>
          <w:bCs/>
          <w:color w:val="auto"/>
          <w:sz w:val="24"/>
          <w:highlight w:val="none"/>
        </w:rPr>
        <w:t>弱电检测及维修工具</w:t>
      </w:r>
    </w:p>
    <w:p w14:paraId="40D79C6A">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r>
        <w:rPr>
          <w:rFonts w:hint="eastAsia" w:ascii="仿宋" w:hAnsi="仿宋" w:eastAsia="仿宋" w:cs="仿宋"/>
          <w:bCs/>
          <w:color w:val="auto"/>
          <w:sz w:val="24"/>
          <w:highlight w:val="none"/>
          <w:lang w:val="en-US" w:eastAsia="zh-CN"/>
        </w:rPr>
        <w:t>④</w:t>
      </w:r>
      <w:r>
        <w:rPr>
          <w:rFonts w:hint="eastAsia" w:ascii="仿宋" w:hAnsi="仿宋" w:eastAsia="仿宋" w:cs="仿宋"/>
          <w:bCs/>
          <w:color w:val="auto"/>
          <w:sz w:val="24"/>
          <w:highlight w:val="none"/>
        </w:rPr>
        <w:t>电气检测及维修</w:t>
      </w:r>
    </w:p>
    <w:p w14:paraId="5E75933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r>
        <w:rPr>
          <w:rFonts w:hint="eastAsia" w:ascii="仿宋" w:hAnsi="仿宋" w:eastAsia="仿宋" w:cs="仿宋"/>
          <w:bCs/>
          <w:color w:val="auto"/>
          <w:sz w:val="24"/>
          <w:highlight w:val="none"/>
          <w:lang w:val="en-US" w:eastAsia="zh-CN"/>
        </w:rPr>
        <w:t>⑤</w:t>
      </w:r>
      <w:r>
        <w:rPr>
          <w:rFonts w:hint="eastAsia" w:ascii="仿宋" w:hAnsi="仿宋" w:eastAsia="仿宋" w:cs="仿宋"/>
          <w:bCs/>
          <w:color w:val="auto"/>
          <w:sz w:val="24"/>
          <w:highlight w:val="none"/>
        </w:rPr>
        <w:t>专业高空设备</w:t>
      </w:r>
    </w:p>
    <w:p w14:paraId="6349A5CD">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r>
        <w:rPr>
          <w:rFonts w:hint="eastAsia" w:ascii="仿宋" w:hAnsi="仿宋" w:eastAsia="仿宋" w:cs="仿宋"/>
          <w:bCs/>
          <w:color w:val="auto"/>
          <w:sz w:val="24"/>
          <w:highlight w:val="none"/>
          <w:lang w:val="en-US" w:eastAsia="zh-CN"/>
        </w:rPr>
        <w:t>⑥</w:t>
      </w:r>
      <w:r>
        <w:rPr>
          <w:rFonts w:hint="eastAsia" w:ascii="仿宋" w:hAnsi="仿宋" w:eastAsia="仿宋" w:cs="仿宋"/>
          <w:bCs/>
          <w:color w:val="auto"/>
          <w:sz w:val="24"/>
          <w:highlight w:val="none"/>
        </w:rPr>
        <w:t>高级洗地机</w:t>
      </w:r>
    </w:p>
    <w:p w14:paraId="539DCF37">
      <w:pPr>
        <w:spacing w:line="400" w:lineRule="exact"/>
        <w:ind w:left="0" w:leftChars="0" w:firstLine="638" w:firstLineChars="266"/>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⑦</w:t>
      </w:r>
      <w:r>
        <w:rPr>
          <w:rFonts w:hint="eastAsia" w:ascii="仿宋" w:hAnsi="仿宋" w:eastAsia="仿宋" w:cs="仿宋"/>
          <w:bCs/>
          <w:color w:val="auto"/>
          <w:sz w:val="24"/>
          <w:highlight w:val="none"/>
        </w:rPr>
        <w:t>高级抛光机</w:t>
      </w:r>
    </w:p>
    <w:p w14:paraId="337DA05F">
      <w:pPr>
        <w:spacing w:line="400" w:lineRule="exact"/>
        <w:ind w:left="0" w:leftChars="0" w:firstLine="638" w:firstLineChars="266"/>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⑧</w:t>
      </w:r>
      <w:r>
        <w:rPr>
          <w:rFonts w:hint="eastAsia" w:ascii="仿宋" w:hAnsi="仿宋" w:eastAsia="仿宋" w:cs="仿宋"/>
          <w:bCs/>
          <w:color w:val="auto"/>
          <w:sz w:val="24"/>
          <w:highlight w:val="none"/>
        </w:rPr>
        <w:t>其他必备工具</w:t>
      </w:r>
    </w:p>
    <w:p w14:paraId="5601468A">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秩序维护服务</w:t>
      </w:r>
    </w:p>
    <w:p w14:paraId="51618B8E">
      <w:pPr>
        <w:spacing w:line="400" w:lineRule="exact"/>
        <w:ind w:firstLine="482" w:firstLineChars="200"/>
        <w:outlineLvl w:val="0"/>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lang w:val="en-US" w:eastAsia="zh-CN"/>
        </w:rPr>
        <w:t xml:space="preserve">3.1. </w:t>
      </w:r>
      <w:r>
        <w:rPr>
          <w:rFonts w:hint="eastAsia" w:ascii="仿宋" w:hAnsi="仿宋" w:eastAsia="仿宋" w:cs="仿宋"/>
          <w:b/>
          <w:bCs/>
          <w:color w:val="auto"/>
          <w:sz w:val="24"/>
          <w:highlight w:val="none"/>
        </w:rPr>
        <w:t>服务范围</w:t>
      </w:r>
    </w:p>
    <w:p w14:paraId="40F8EE2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3.1.1. </w:t>
      </w:r>
      <w:r>
        <w:rPr>
          <w:rFonts w:hint="eastAsia" w:ascii="仿宋" w:hAnsi="仿宋" w:eastAsia="仿宋" w:cs="仿宋"/>
          <w:bCs/>
          <w:color w:val="auto"/>
          <w:sz w:val="24"/>
          <w:highlight w:val="none"/>
        </w:rPr>
        <w:t>秩序维护服务内容包括中心整个区域的正常秩序、安全保卫、监控、消防、停车库（场）、洗车场秩序等管理工作。</w:t>
      </w:r>
    </w:p>
    <w:p w14:paraId="0030E202">
      <w:pPr>
        <w:spacing w:line="400" w:lineRule="exact"/>
        <w:ind w:firstLine="480" w:firstLineChars="200"/>
        <w:outlineLvl w:val="0"/>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lang w:val="en-US" w:eastAsia="zh-CN"/>
        </w:rPr>
        <w:t xml:space="preserve">3.1.2. </w:t>
      </w:r>
      <w:r>
        <w:rPr>
          <w:rFonts w:hint="eastAsia" w:ascii="仿宋" w:hAnsi="仿宋" w:eastAsia="仿宋" w:cs="仿宋"/>
          <w:b w:val="0"/>
          <w:bCs/>
          <w:color w:val="auto"/>
          <w:sz w:val="24"/>
          <w:highlight w:val="none"/>
          <w:u w:val="none"/>
        </w:rPr>
        <w:t>对区社会治理综合服务中心（商务中心外）整个区域的正常秩序、安全保卫、监控、消防、停车库（场）秩序等管理工作</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lang w:val="en-US" w:eastAsia="zh-CN"/>
        </w:rPr>
        <w:t>维护标准参照东港商务中心（无需</w:t>
      </w:r>
      <w:r>
        <w:rPr>
          <w:rFonts w:hint="eastAsia" w:ascii="仿宋" w:hAnsi="仿宋" w:eastAsia="仿宋" w:cs="仿宋"/>
          <w:b w:val="0"/>
          <w:bCs/>
          <w:color w:val="auto"/>
          <w:sz w:val="24"/>
          <w:highlight w:val="none"/>
          <w:u w:val="none"/>
        </w:rPr>
        <w:t>配备4轮4座电动巡逻车</w:t>
      </w:r>
      <w:r>
        <w:rPr>
          <w:rFonts w:hint="eastAsia" w:ascii="仿宋" w:hAnsi="仿宋" w:eastAsia="仿宋" w:cs="仿宋"/>
          <w:b w:val="0"/>
          <w:bCs/>
          <w:color w:val="auto"/>
          <w:sz w:val="24"/>
          <w:highlight w:val="none"/>
          <w:u w:val="none"/>
          <w:lang w:val="en-US" w:eastAsia="zh-CN"/>
        </w:rPr>
        <w:t>）</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rPr>
        <w:t xml:space="preserve"> </w:t>
      </w:r>
    </w:p>
    <w:p w14:paraId="2761ECEA">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 xml:space="preserve">3.2. </w:t>
      </w:r>
      <w:r>
        <w:rPr>
          <w:rFonts w:hint="eastAsia" w:ascii="仿宋" w:hAnsi="仿宋" w:eastAsia="仿宋" w:cs="仿宋"/>
          <w:b/>
          <w:bCs/>
          <w:color w:val="auto"/>
          <w:sz w:val="24"/>
          <w:highlight w:val="none"/>
        </w:rPr>
        <w:t>服务要求</w:t>
      </w:r>
    </w:p>
    <w:p w14:paraId="12621FE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3.2.1. </w:t>
      </w:r>
      <w:r>
        <w:rPr>
          <w:rFonts w:hint="eastAsia" w:ascii="仿宋" w:hAnsi="仿宋" w:eastAsia="仿宋" w:cs="仿宋"/>
          <w:bCs/>
          <w:color w:val="auto"/>
          <w:sz w:val="24"/>
          <w:highlight w:val="none"/>
        </w:rPr>
        <w:t>实行24小时、全天候安全保卫、监控、消防工作制度。维护中心的秩序，确保中心安全。</w:t>
      </w:r>
    </w:p>
    <w:p w14:paraId="7F41A5FA">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3.2.2. </w:t>
      </w:r>
      <w:r>
        <w:rPr>
          <w:rFonts w:hint="eastAsia" w:ascii="仿宋" w:hAnsi="仿宋" w:eastAsia="仿宋" w:cs="仿宋"/>
          <w:bCs/>
          <w:color w:val="auto"/>
          <w:sz w:val="24"/>
          <w:highlight w:val="none"/>
          <w:lang w:eastAsia="zh-CN"/>
        </w:rPr>
        <w:t>六</w:t>
      </w:r>
      <w:r>
        <w:rPr>
          <w:rFonts w:hint="eastAsia" w:ascii="仿宋" w:hAnsi="仿宋" w:eastAsia="仿宋" w:cs="仿宋"/>
          <w:bCs/>
          <w:color w:val="auto"/>
          <w:sz w:val="24"/>
          <w:highlight w:val="none"/>
        </w:rPr>
        <w:t>个</w:t>
      </w:r>
      <w:r>
        <w:rPr>
          <w:rFonts w:hint="eastAsia" w:ascii="仿宋" w:hAnsi="仿宋" w:eastAsia="仿宋" w:cs="仿宋"/>
          <w:bCs/>
          <w:color w:val="auto"/>
          <w:sz w:val="24"/>
          <w:highlight w:val="none"/>
          <w:lang w:eastAsia="zh-CN"/>
        </w:rPr>
        <w:t>（南、北、西）岗亭</w:t>
      </w:r>
      <w:r>
        <w:rPr>
          <w:rFonts w:hint="eastAsia" w:ascii="仿宋" w:hAnsi="仿宋" w:eastAsia="仿宋" w:cs="仿宋"/>
          <w:bCs/>
          <w:color w:val="auto"/>
          <w:sz w:val="24"/>
          <w:highlight w:val="none"/>
        </w:rPr>
        <w:t>24小时值班看守，东面</w:t>
      </w:r>
      <w:r>
        <w:rPr>
          <w:rFonts w:hint="eastAsia" w:ascii="仿宋" w:hAnsi="仿宋" w:eastAsia="仿宋" w:cs="仿宋"/>
          <w:bCs/>
          <w:color w:val="auto"/>
          <w:sz w:val="24"/>
          <w:highlight w:val="none"/>
          <w:lang w:eastAsia="zh-CN"/>
        </w:rPr>
        <w:t>两个岗亭夜间关闭</w:t>
      </w:r>
      <w:r>
        <w:rPr>
          <w:rFonts w:hint="eastAsia" w:ascii="仿宋" w:hAnsi="仿宋" w:eastAsia="仿宋" w:cs="仿宋"/>
          <w:bCs/>
          <w:color w:val="auto"/>
          <w:sz w:val="24"/>
          <w:highlight w:val="none"/>
        </w:rPr>
        <w:t>。主入口</w:t>
      </w:r>
      <w:r>
        <w:rPr>
          <w:rFonts w:hint="eastAsia" w:ascii="仿宋" w:hAnsi="仿宋" w:eastAsia="仿宋" w:cs="仿宋"/>
          <w:bCs/>
          <w:color w:val="auto"/>
          <w:sz w:val="24"/>
          <w:highlight w:val="none"/>
          <w:lang w:eastAsia="zh-CN"/>
        </w:rPr>
        <w:t>（南北</w:t>
      </w:r>
      <w:r>
        <w:rPr>
          <w:rFonts w:hint="eastAsia" w:ascii="仿宋" w:hAnsi="仿宋" w:eastAsia="仿宋" w:cs="仿宋"/>
          <w:bCs/>
          <w:color w:val="auto"/>
          <w:sz w:val="24"/>
          <w:highlight w:val="none"/>
          <w:lang w:val="en-US" w:eastAsia="zh-CN"/>
        </w:rPr>
        <w:t>4个岗亭</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10</w:t>
      </w:r>
      <w:r>
        <w:rPr>
          <w:rFonts w:hint="eastAsia" w:ascii="仿宋" w:hAnsi="仿宋" w:eastAsia="仿宋" w:cs="仿宋"/>
          <w:bCs/>
          <w:color w:val="auto"/>
          <w:sz w:val="24"/>
          <w:highlight w:val="none"/>
        </w:rPr>
        <w:t>小时立岗，立岗期间主入口确保双人以上执勤。</w:t>
      </w:r>
    </w:p>
    <w:p w14:paraId="2DE76CA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3.2.3. </w:t>
      </w:r>
      <w:r>
        <w:rPr>
          <w:rFonts w:hint="eastAsia" w:ascii="仿宋" w:hAnsi="仿宋" w:eastAsia="仿宋" w:cs="仿宋"/>
          <w:bCs/>
          <w:color w:val="auto"/>
          <w:sz w:val="24"/>
          <w:highlight w:val="none"/>
        </w:rPr>
        <w:t>交接班：有详细完整的交接班记录。</w:t>
      </w:r>
    </w:p>
    <w:p w14:paraId="192D1C2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3.2.4. </w:t>
      </w:r>
      <w:r>
        <w:rPr>
          <w:rFonts w:hint="eastAsia" w:ascii="仿宋" w:hAnsi="仿宋" w:eastAsia="仿宋" w:cs="仿宋"/>
          <w:bCs/>
          <w:color w:val="auto"/>
          <w:sz w:val="24"/>
          <w:highlight w:val="none"/>
        </w:rPr>
        <w:t>外来人员：对外来人员来访，严格执行登记、验证、认领制度。</w:t>
      </w:r>
    </w:p>
    <w:p w14:paraId="6B6C976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3.2.5. </w:t>
      </w:r>
      <w:r>
        <w:rPr>
          <w:rFonts w:hint="eastAsia" w:ascii="仿宋" w:hAnsi="仿宋" w:eastAsia="仿宋" w:cs="仿宋"/>
          <w:bCs/>
          <w:color w:val="auto"/>
          <w:sz w:val="24"/>
          <w:highlight w:val="none"/>
        </w:rPr>
        <w:t>外来车辆：对进出中心的车辆严格控制，确需进入的实施证（卡）管理和登记，引导车辆有序通行、停放。</w:t>
      </w:r>
    </w:p>
    <w:p w14:paraId="60676C6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3.2.6. </w:t>
      </w:r>
      <w:r>
        <w:rPr>
          <w:rFonts w:hint="eastAsia" w:ascii="仿宋" w:hAnsi="仿宋" w:eastAsia="仿宋" w:cs="仿宋"/>
          <w:bCs/>
          <w:color w:val="auto"/>
          <w:sz w:val="24"/>
          <w:highlight w:val="none"/>
        </w:rPr>
        <w:t>物品出门：对大型物件搬出实行确认制度、并进行记录。</w:t>
      </w:r>
    </w:p>
    <w:p w14:paraId="428E446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3.2.7. </w:t>
      </w:r>
      <w:r>
        <w:rPr>
          <w:rFonts w:hint="eastAsia" w:ascii="仿宋" w:hAnsi="仿宋" w:eastAsia="仿宋" w:cs="仿宋"/>
          <w:bCs/>
          <w:color w:val="auto"/>
          <w:sz w:val="24"/>
          <w:highlight w:val="none"/>
        </w:rPr>
        <w:t>投标方建立各类应急预案，有处理突发事件工作预案。</w:t>
      </w:r>
    </w:p>
    <w:p w14:paraId="5DDCBAF5">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3.2.8. </w:t>
      </w:r>
      <w:r>
        <w:rPr>
          <w:rFonts w:hint="eastAsia" w:ascii="仿宋" w:hAnsi="仿宋" w:eastAsia="仿宋" w:cs="仿宋"/>
          <w:bCs/>
          <w:color w:val="auto"/>
          <w:sz w:val="24"/>
          <w:highlight w:val="none"/>
        </w:rPr>
        <w:t>重大接待任务必须事先制订周密的接待工作计划与预算，并严格按照计划实施。</w:t>
      </w:r>
    </w:p>
    <w:p w14:paraId="3D75A3E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3.2.9. </w:t>
      </w:r>
      <w:r>
        <w:rPr>
          <w:rFonts w:hint="eastAsia" w:ascii="仿宋" w:hAnsi="仿宋" w:eastAsia="仿宋" w:cs="仿宋"/>
          <w:bCs/>
          <w:color w:val="auto"/>
          <w:sz w:val="24"/>
          <w:highlight w:val="none"/>
        </w:rPr>
        <w:t>消防安保控制室1个，24小时应有人值班。对各种可疑因素或突发事件及时处理，并向管理</w:t>
      </w:r>
      <w:r>
        <w:rPr>
          <w:rFonts w:hint="eastAsia" w:ascii="仿宋" w:hAnsi="仿宋" w:eastAsia="仿宋" w:cs="仿宋"/>
          <w:bCs/>
          <w:color w:val="auto"/>
          <w:sz w:val="24"/>
          <w:highlight w:val="none"/>
          <w:lang w:eastAsia="zh-CN"/>
        </w:rPr>
        <w:t>中心</w:t>
      </w:r>
      <w:r>
        <w:rPr>
          <w:rFonts w:hint="eastAsia" w:ascii="仿宋" w:hAnsi="仿宋" w:eastAsia="仿宋" w:cs="仿宋"/>
          <w:bCs/>
          <w:color w:val="auto"/>
          <w:sz w:val="24"/>
          <w:highlight w:val="none"/>
        </w:rPr>
        <w:t>保卫科汇报。</w:t>
      </w:r>
    </w:p>
    <w:p w14:paraId="648D84E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3.2.10. </w:t>
      </w:r>
      <w:r>
        <w:rPr>
          <w:rFonts w:hint="eastAsia" w:ascii="仿宋" w:hAnsi="仿宋" w:eastAsia="仿宋" w:cs="仿宋"/>
          <w:bCs/>
          <w:color w:val="auto"/>
          <w:sz w:val="24"/>
          <w:highlight w:val="none"/>
        </w:rPr>
        <w:t>所有强弱电井道与空调机房的防火门应保持闭合且上锁。</w:t>
      </w:r>
    </w:p>
    <w:p w14:paraId="5D5DCAE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3.2.11. </w:t>
      </w:r>
      <w:r>
        <w:rPr>
          <w:rFonts w:hint="eastAsia" w:ascii="仿宋" w:hAnsi="仿宋" w:eastAsia="仿宋" w:cs="仿宋"/>
          <w:bCs/>
          <w:color w:val="auto"/>
          <w:sz w:val="24"/>
          <w:highlight w:val="none"/>
        </w:rPr>
        <w:t>底层所有通往室外的疏散门在紧急情况时随时可以打开。</w:t>
      </w:r>
    </w:p>
    <w:p w14:paraId="34072B4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3.2.12. </w:t>
      </w:r>
      <w:r>
        <w:rPr>
          <w:rFonts w:hint="eastAsia" w:ascii="仿宋" w:hAnsi="仿宋" w:eastAsia="仿宋" w:cs="仿宋"/>
          <w:bCs/>
          <w:color w:val="auto"/>
          <w:sz w:val="24"/>
          <w:highlight w:val="none"/>
        </w:rPr>
        <w:t>注意大楼公共通道，应急通道是否有乱堆乱放物品，一经发现，应通知相关人员将物品搬离。</w:t>
      </w:r>
    </w:p>
    <w:p w14:paraId="6CEA6B8A">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3.2.13. </w:t>
      </w:r>
      <w:r>
        <w:rPr>
          <w:rFonts w:hint="eastAsia" w:ascii="仿宋" w:hAnsi="仿宋" w:eastAsia="仿宋" w:cs="仿宋"/>
          <w:bCs/>
          <w:color w:val="auto"/>
          <w:sz w:val="24"/>
          <w:highlight w:val="none"/>
        </w:rPr>
        <w:t>管理协调车辆停放，汽车、摩托车、自行车需停放有序。制定车辆管理条理，做好停车标识及宣传。对出入车辆进行指挥，防止通道堵塞。地下停车库设电子门禁系统，但需做好停放车辆的安全监控。</w:t>
      </w:r>
    </w:p>
    <w:p w14:paraId="4CC8E30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3.2.14. </w:t>
      </w:r>
      <w:r>
        <w:rPr>
          <w:rFonts w:hint="eastAsia" w:ascii="仿宋" w:hAnsi="仿宋" w:eastAsia="仿宋" w:cs="仿宋"/>
          <w:bCs/>
          <w:color w:val="auto"/>
          <w:sz w:val="24"/>
          <w:highlight w:val="none"/>
        </w:rPr>
        <w:t>建立培训制度、加强队伍建设，定期开展军训、礼仪礼貌培训、采购单位操作培训及突发事件处理培训，提高业务水平。如：交接班队列训练，每月一次集中晨练，每年一次全员军训，提高秩序维护体能及军事素质。</w:t>
      </w:r>
    </w:p>
    <w:p w14:paraId="6A06DE49">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3.2.15. </w:t>
      </w:r>
      <w:r>
        <w:rPr>
          <w:rFonts w:hint="eastAsia" w:ascii="仿宋" w:hAnsi="仿宋" w:eastAsia="仿宋" w:cs="仿宋"/>
          <w:bCs/>
          <w:color w:val="auto"/>
          <w:sz w:val="24"/>
          <w:highlight w:val="none"/>
        </w:rPr>
        <w:t>建立健全安全档案。</w:t>
      </w:r>
    </w:p>
    <w:p w14:paraId="3269237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3.2.16. </w:t>
      </w:r>
      <w:r>
        <w:rPr>
          <w:rFonts w:hint="eastAsia" w:ascii="仿宋" w:hAnsi="仿宋" w:eastAsia="仿宋" w:cs="仿宋"/>
          <w:bCs/>
          <w:color w:val="auto"/>
          <w:sz w:val="24"/>
          <w:highlight w:val="none"/>
        </w:rPr>
        <w:t>制定相关的突发事件（如：上访、防恐防爆、群体性上访事件处置等）紧急预案。</w:t>
      </w:r>
    </w:p>
    <w:p w14:paraId="18AC003C">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en-US" w:eastAsia="zh-CN"/>
        </w:rPr>
        <w:t xml:space="preserve">.3. </w:t>
      </w:r>
      <w:r>
        <w:rPr>
          <w:rFonts w:hint="eastAsia" w:ascii="仿宋" w:hAnsi="仿宋" w:eastAsia="仿宋" w:cs="仿宋"/>
          <w:b/>
          <w:bCs/>
          <w:color w:val="auto"/>
          <w:sz w:val="24"/>
          <w:highlight w:val="none"/>
        </w:rPr>
        <w:t>与相关部门责任界定</w:t>
      </w:r>
    </w:p>
    <w:p w14:paraId="3432DA61">
      <w:pPr>
        <w:spacing w:line="400" w:lineRule="exact"/>
        <w:ind w:firstLine="480"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sz w:val="24"/>
          <w:highlight w:val="none"/>
          <w:u w:val="none"/>
        </w:rPr>
        <w:t>与采购单位的责任界定。安全保卫设备、秩序维护的用品装备（除对讲机外）均由中标人提供，投标方需自行配备电动巡逻车2辆（4轮4座）、安全护卫器械，并列出清单（招标方不再另行支付费用）。</w:t>
      </w:r>
    </w:p>
    <w:p w14:paraId="02436D0F">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四、项目人员</w:t>
      </w:r>
      <w:r>
        <w:rPr>
          <w:rFonts w:hint="eastAsia" w:ascii="仿宋" w:hAnsi="仿宋" w:eastAsia="仿宋" w:cs="仿宋"/>
          <w:b/>
          <w:bCs/>
          <w:color w:val="auto"/>
          <w:sz w:val="24"/>
          <w:highlight w:val="none"/>
          <w:lang w:eastAsia="zh-CN"/>
        </w:rPr>
        <w:t>配备及考核要求</w:t>
      </w:r>
    </w:p>
    <w:p w14:paraId="41234EF3">
      <w:pPr>
        <w:spacing w:line="400" w:lineRule="exact"/>
        <w:ind w:firstLine="482" w:firstLineChars="200"/>
        <w:outlineLvl w:val="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（一）人员</w:t>
      </w:r>
      <w:r>
        <w:rPr>
          <w:rFonts w:hint="eastAsia" w:ascii="仿宋" w:hAnsi="仿宋" w:eastAsia="仿宋" w:cs="仿宋"/>
          <w:b/>
          <w:bCs/>
          <w:color w:val="auto"/>
          <w:sz w:val="24"/>
          <w:highlight w:val="none"/>
          <w:lang w:eastAsia="zh-CN"/>
        </w:rPr>
        <w:t>素质要求</w:t>
      </w:r>
    </w:p>
    <w:p w14:paraId="6C4BBB10">
      <w:pPr>
        <w:spacing w:line="400" w:lineRule="exact"/>
        <w:ind w:firstLine="482" w:firstLineChars="200"/>
        <w:outlineLvl w:val="0"/>
        <w:rPr>
          <w:rFonts w:hint="eastAsia" w:ascii="仿宋" w:hAnsi="仿宋" w:eastAsia="仿宋" w:cs="仿宋"/>
          <w:b/>
          <w:bCs w:val="0"/>
          <w:color w:val="auto"/>
          <w:sz w:val="24"/>
          <w:highlight w:val="none"/>
          <w:lang w:val="en-US" w:eastAsia="zh-CN"/>
        </w:rPr>
      </w:pPr>
      <w:r>
        <w:rPr>
          <w:rFonts w:hint="eastAsia" w:ascii="仿宋" w:hAnsi="仿宋" w:eastAsia="仿宋" w:cs="仿宋"/>
          <w:b/>
          <w:bCs w:val="0"/>
          <w:color w:val="auto"/>
          <w:sz w:val="24"/>
          <w:highlight w:val="none"/>
          <w:lang w:val="en-US" w:eastAsia="zh-CN"/>
        </w:rPr>
        <w:t>1.行政事务部人员素质要求</w:t>
      </w:r>
    </w:p>
    <w:p w14:paraId="2D4F7FF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1.1. </w:t>
      </w:r>
      <w:r>
        <w:rPr>
          <w:rFonts w:hint="eastAsia" w:ascii="仿宋" w:hAnsi="仿宋" w:eastAsia="仿宋" w:cs="仿宋"/>
          <w:bCs/>
          <w:color w:val="auto"/>
          <w:sz w:val="24"/>
          <w:highlight w:val="none"/>
        </w:rPr>
        <w:t>项目经理：</w:t>
      </w:r>
      <w:r>
        <w:rPr>
          <w:rFonts w:hint="eastAsia" w:ascii="仿宋" w:hAnsi="仿宋" w:eastAsia="仿宋" w:cs="仿宋"/>
          <w:bCs/>
          <w:color w:val="auto"/>
          <w:sz w:val="24"/>
          <w:highlight w:val="none"/>
          <w:lang w:eastAsia="zh-CN"/>
        </w:rPr>
        <w:t>年龄</w:t>
      </w:r>
      <w:r>
        <w:rPr>
          <w:rFonts w:hint="eastAsia" w:ascii="仿宋" w:hAnsi="仿宋" w:eastAsia="仿宋" w:cs="仿宋"/>
          <w:bCs/>
          <w:color w:val="auto"/>
          <w:sz w:val="24"/>
          <w:highlight w:val="none"/>
          <w:lang w:val="en-US" w:eastAsia="zh-CN"/>
        </w:rPr>
        <w:t>50</w:t>
      </w:r>
      <w:r>
        <w:rPr>
          <w:rFonts w:hint="eastAsia" w:ascii="仿宋" w:hAnsi="仿宋" w:eastAsia="仿宋" w:cs="仿宋"/>
          <w:bCs/>
          <w:color w:val="auto"/>
          <w:sz w:val="24"/>
          <w:highlight w:val="none"/>
        </w:rPr>
        <w:t>周岁及以下,具有</w:t>
      </w:r>
      <w:r>
        <w:rPr>
          <w:rFonts w:hint="eastAsia" w:ascii="仿宋" w:hAnsi="仿宋" w:eastAsia="仿宋" w:cs="仿宋"/>
          <w:bCs/>
          <w:color w:val="auto"/>
          <w:sz w:val="24"/>
          <w:highlight w:val="none"/>
          <w:lang w:val="en-US" w:eastAsia="zh-CN"/>
        </w:rPr>
        <w:t>大专</w:t>
      </w:r>
      <w:r>
        <w:rPr>
          <w:rFonts w:hint="eastAsia" w:ascii="仿宋" w:hAnsi="仿宋" w:eastAsia="仿宋" w:cs="仿宋"/>
          <w:bCs/>
          <w:color w:val="auto"/>
          <w:sz w:val="24"/>
          <w:highlight w:val="none"/>
        </w:rPr>
        <w:t>及以上学历；</w:t>
      </w:r>
      <w:r>
        <w:rPr>
          <w:rFonts w:hint="eastAsia" w:ascii="仿宋" w:hAnsi="仿宋" w:eastAsia="仿宋" w:cs="仿宋"/>
          <w:color w:val="auto"/>
          <w:kern w:val="0"/>
          <w:sz w:val="24"/>
          <w:highlight w:val="none"/>
          <w:lang w:bidi="ar"/>
        </w:rPr>
        <w:t>具有</w:t>
      </w:r>
      <w:r>
        <w:rPr>
          <w:rFonts w:hint="eastAsia" w:ascii="仿宋" w:hAnsi="仿宋" w:eastAsia="仿宋" w:cs="仿宋"/>
          <w:color w:val="auto"/>
          <w:kern w:val="0"/>
          <w:sz w:val="24"/>
          <w:highlight w:val="none"/>
          <w:lang w:val="en-US" w:eastAsia="zh-CN" w:bidi="ar"/>
        </w:rPr>
        <w:t>物业项目经理证书或全国物业管理企业经理证、</w:t>
      </w:r>
      <w:r>
        <w:rPr>
          <w:rFonts w:hint="eastAsia" w:ascii="仿宋" w:hAnsi="仿宋" w:eastAsia="仿宋" w:cs="仿宋"/>
          <w:color w:val="auto"/>
          <w:kern w:val="0"/>
          <w:sz w:val="24"/>
          <w:highlight w:val="none"/>
          <w:lang w:bidi="ar"/>
        </w:rPr>
        <w:t>物业管理师资格证书二级及以上职业能力等级证书</w:t>
      </w:r>
      <w:r>
        <w:rPr>
          <w:rFonts w:hint="eastAsia" w:ascii="仿宋" w:hAnsi="仿宋" w:eastAsia="仿宋" w:cs="仿宋"/>
          <w:color w:val="auto"/>
          <w:kern w:val="0"/>
          <w:sz w:val="24"/>
          <w:highlight w:val="none"/>
          <w:lang w:eastAsia="zh-CN" w:bidi="ar"/>
        </w:rPr>
        <w:t>、</w:t>
      </w:r>
      <w:r>
        <w:rPr>
          <w:rFonts w:hint="eastAsia" w:ascii="仿宋" w:hAnsi="仿宋" w:eastAsia="仿宋" w:cs="仿宋"/>
          <w:color w:val="auto"/>
          <w:kern w:val="0"/>
          <w:sz w:val="24"/>
          <w:highlight w:val="none"/>
          <w:lang w:bidi="ar"/>
        </w:rPr>
        <w:t>智能楼宇管理员证</w:t>
      </w:r>
      <w:r>
        <w:rPr>
          <w:rFonts w:hint="eastAsia" w:ascii="仿宋" w:hAnsi="仿宋" w:eastAsia="仿宋" w:cs="仿宋"/>
          <w:color w:val="auto"/>
          <w:kern w:val="0"/>
          <w:sz w:val="24"/>
          <w:highlight w:val="none"/>
          <w:lang w:eastAsia="zh-CN" w:bidi="ar"/>
        </w:rPr>
        <w:t>、消防安全责任人证书</w:t>
      </w:r>
      <w:r>
        <w:rPr>
          <w:rFonts w:hint="eastAsia" w:ascii="仿宋" w:hAnsi="仿宋" w:eastAsia="仿宋" w:cs="仿宋"/>
          <w:bCs/>
          <w:color w:val="auto"/>
          <w:sz w:val="24"/>
          <w:highlight w:val="none"/>
        </w:rPr>
        <w:t>；具有较强的管理能力、制定各类制度、应急预案、很好的协调和处置突发各类事件，以及较强的工作执行能力，</w:t>
      </w:r>
      <w:r>
        <w:rPr>
          <w:rFonts w:hint="eastAsia" w:ascii="仿宋" w:hAnsi="仿宋" w:eastAsia="仿宋" w:cs="仿宋"/>
          <w:color w:val="auto"/>
          <w:kern w:val="0"/>
          <w:sz w:val="24"/>
          <w:highlight w:val="none"/>
          <w:lang w:bidi="ar"/>
        </w:rPr>
        <w:t>具有</w:t>
      </w:r>
      <w:r>
        <w:rPr>
          <w:rFonts w:hint="eastAsia" w:ascii="仿宋" w:hAnsi="仿宋" w:eastAsia="仿宋" w:cs="仿宋"/>
          <w:color w:val="auto"/>
          <w:kern w:val="0"/>
          <w:sz w:val="24"/>
          <w:highlight w:val="none"/>
          <w:lang w:val="en-US" w:eastAsia="zh-CN" w:bidi="ar"/>
        </w:rPr>
        <w:t>5</w:t>
      </w:r>
      <w:r>
        <w:rPr>
          <w:rFonts w:hint="eastAsia" w:ascii="仿宋" w:hAnsi="仿宋" w:eastAsia="仿宋" w:cs="仿宋"/>
          <w:color w:val="auto"/>
          <w:kern w:val="0"/>
          <w:sz w:val="24"/>
          <w:highlight w:val="none"/>
          <w:lang w:bidi="ar"/>
        </w:rPr>
        <w:t>年及以上类似项目物业管理负责人工作经验</w:t>
      </w:r>
      <w:r>
        <w:rPr>
          <w:rFonts w:hint="eastAsia" w:ascii="仿宋" w:hAnsi="仿宋" w:eastAsia="仿宋" w:cs="仿宋"/>
          <w:bCs/>
          <w:color w:val="auto"/>
          <w:sz w:val="24"/>
          <w:highlight w:val="none"/>
        </w:rPr>
        <w:t>。</w:t>
      </w:r>
    </w:p>
    <w:p w14:paraId="290090AB">
      <w:pPr>
        <w:spacing w:line="400" w:lineRule="exact"/>
        <w:ind w:firstLine="480" w:firstLineChars="200"/>
        <w:outlineLvl w:val="0"/>
        <w:rPr>
          <w:rFonts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 </w:t>
      </w:r>
      <w:r>
        <w:rPr>
          <w:rFonts w:hint="eastAsia" w:ascii="仿宋" w:hAnsi="仿宋" w:eastAsia="仿宋" w:cs="仿宋"/>
          <w:bCs/>
          <w:color w:val="auto"/>
          <w:sz w:val="24"/>
          <w:highlight w:val="none"/>
        </w:rPr>
        <w:t>项目经理助理：年龄</w:t>
      </w:r>
      <w:r>
        <w:rPr>
          <w:rFonts w:hint="eastAsia" w:ascii="仿宋" w:hAnsi="仿宋" w:eastAsia="仿宋" w:cs="仿宋"/>
          <w:color w:val="auto"/>
          <w:kern w:val="0"/>
          <w:sz w:val="24"/>
          <w:highlight w:val="none"/>
          <w:lang w:bidi="ar"/>
        </w:rPr>
        <w:t>4</w:t>
      </w:r>
      <w:r>
        <w:rPr>
          <w:rFonts w:hint="eastAsia" w:ascii="仿宋" w:hAnsi="仿宋" w:eastAsia="仿宋" w:cs="仿宋"/>
          <w:color w:val="auto"/>
          <w:kern w:val="0"/>
          <w:sz w:val="24"/>
          <w:highlight w:val="none"/>
          <w:lang w:val="en-US" w:eastAsia="zh-CN" w:bidi="ar"/>
        </w:rPr>
        <w:t>5</w:t>
      </w:r>
      <w:r>
        <w:rPr>
          <w:rFonts w:hint="eastAsia" w:ascii="仿宋" w:hAnsi="仿宋" w:eastAsia="仿宋" w:cs="仿宋"/>
          <w:bCs/>
          <w:color w:val="auto"/>
          <w:sz w:val="24"/>
          <w:highlight w:val="none"/>
        </w:rPr>
        <w:t>周岁（含）以下，具有</w:t>
      </w:r>
      <w:r>
        <w:rPr>
          <w:rFonts w:hint="eastAsia" w:ascii="仿宋" w:hAnsi="仿宋" w:eastAsia="仿宋" w:cs="仿宋"/>
          <w:bCs/>
          <w:color w:val="auto"/>
          <w:sz w:val="24"/>
          <w:highlight w:val="none"/>
          <w:lang w:val="en-US" w:eastAsia="zh-CN"/>
        </w:rPr>
        <w:t>大专</w:t>
      </w:r>
      <w:r>
        <w:rPr>
          <w:rFonts w:hint="eastAsia" w:ascii="仿宋" w:hAnsi="仿宋" w:eastAsia="仿宋" w:cs="仿宋"/>
          <w:bCs/>
          <w:color w:val="auto"/>
          <w:sz w:val="24"/>
          <w:highlight w:val="none"/>
        </w:rPr>
        <w:t>及以上学历，具有</w:t>
      </w:r>
      <w:r>
        <w:rPr>
          <w:rFonts w:hint="eastAsia" w:ascii="仿宋" w:hAnsi="仿宋" w:eastAsia="仿宋" w:cs="仿宋"/>
          <w:color w:val="auto"/>
          <w:kern w:val="0"/>
          <w:sz w:val="24"/>
          <w:highlight w:val="none"/>
          <w:lang w:val="en-US" w:eastAsia="zh-CN" w:bidi="ar"/>
        </w:rPr>
        <w:t>物业项目经理证书或全国物业管理企业经理证、物业管理师资格证书三级及以上职业能力等级证书、智能楼宇管理员证</w:t>
      </w:r>
      <w:r>
        <w:rPr>
          <w:rFonts w:hint="eastAsia" w:ascii="仿宋" w:hAnsi="仿宋" w:eastAsia="仿宋" w:cs="仿宋"/>
          <w:bCs/>
          <w:color w:val="auto"/>
          <w:sz w:val="24"/>
          <w:highlight w:val="none"/>
        </w:rPr>
        <w:t>，</w:t>
      </w:r>
      <w:r>
        <w:rPr>
          <w:rFonts w:hint="eastAsia" w:ascii="仿宋" w:hAnsi="仿宋" w:eastAsia="仿宋" w:cs="仿宋"/>
          <w:color w:val="auto"/>
          <w:kern w:val="0"/>
          <w:sz w:val="24"/>
          <w:highlight w:val="none"/>
          <w:lang w:bidi="ar"/>
        </w:rPr>
        <w:t>具有3年及以上类似物业项目</w:t>
      </w:r>
      <w:r>
        <w:rPr>
          <w:rFonts w:hint="eastAsia" w:ascii="仿宋" w:hAnsi="仿宋" w:eastAsia="仿宋" w:cs="仿宋"/>
          <w:color w:val="auto"/>
          <w:kern w:val="0"/>
          <w:sz w:val="24"/>
          <w:highlight w:val="none"/>
          <w:lang w:val="en-US" w:eastAsia="zh-CN" w:bidi="ar"/>
        </w:rPr>
        <w:t>同类</w:t>
      </w:r>
      <w:r>
        <w:rPr>
          <w:rFonts w:hint="eastAsia" w:ascii="仿宋" w:hAnsi="仿宋" w:eastAsia="仿宋" w:cs="仿宋"/>
          <w:color w:val="auto"/>
          <w:kern w:val="0"/>
          <w:sz w:val="24"/>
          <w:highlight w:val="none"/>
          <w:lang w:bidi="ar"/>
        </w:rPr>
        <w:t>岗位工作经验</w:t>
      </w:r>
      <w:r>
        <w:rPr>
          <w:rFonts w:hint="eastAsia" w:ascii="仿宋" w:hAnsi="仿宋" w:eastAsia="仿宋" w:cs="仿宋"/>
          <w:bCs/>
          <w:color w:val="auto"/>
          <w:sz w:val="24"/>
          <w:highlight w:val="none"/>
        </w:rPr>
        <w:t>。</w:t>
      </w:r>
    </w:p>
    <w:p w14:paraId="2332C6D8">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1.3. </w:t>
      </w:r>
      <w:r>
        <w:rPr>
          <w:rFonts w:hint="eastAsia" w:ascii="仿宋" w:hAnsi="仿宋" w:eastAsia="仿宋" w:cs="仿宋"/>
          <w:bCs/>
          <w:color w:val="auto"/>
          <w:sz w:val="24"/>
          <w:highlight w:val="none"/>
        </w:rPr>
        <w:t>中标人需无条件接受采购单位分流下来符合年龄和技术要求的员工。</w:t>
      </w:r>
    </w:p>
    <w:p w14:paraId="253233A7">
      <w:pPr>
        <w:spacing w:line="400" w:lineRule="exact"/>
        <w:ind w:firstLine="482" w:firstLineChars="200"/>
        <w:outlineLvl w:val="0"/>
        <w:rPr>
          <w:rFonts w:hint="eastAsia" w:ascii="仿宋" w:hAnsi="仿宋" w:eastAsia="仿宋" w:cs="仿宋"/>
          <w:b/>
          <w:bCs w:val="0"/>
          <w:color w:val="auto"/>
          <w:sz w:val="24"/>
          <w:highlight w:val="none"/>
          <w:lang w:val="en-US" w:eastAsia="zh-CN"/>
        </w:rPr>
      </w:pPr>
      <w:r>
        <w:rPr>
          <w:rFonts w:hint="eastAsia" w:ascii="仿宋" w:hAnsi="仿宋" w:eastAsia="仿宋" w:cs="仿宋"/>
          <w:b/>
          <w:bCs w:val="0"/>
          <w:color w:val="auto"/>
          <w:sz w:val="24"/>
          <w:highlight w:val="none"/>
          <w:lang w:val="en-US" w:eastAsia="zh-CN"/>
        </w:rPr>
        <w:t>2.设施与设备维护维修服务人员素质要求</w:t>
      </w:r>
    </w:p>
    <w:p w14:paraId="7BB07A02">
      <w:pPr>
        <w:spacing w:line="400" w:lineRule="exact"/>
        <w:ind w:firstLine="480" w:firstLineChars="200"/>
        <w:outlineLvl w:val="0"/>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2.1</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工程主管：年龄45周岁（含）以下，具有</w:t>
      </w:r>
      <w:r>
        <w:rPr>
          <w:rFonts w:hint="eastAsia" w:ascii="仿宋" w:hAnsi="仿宋" w:eastAsia="仿宋" w:cs="仿宋"/>
          <w:bCs/>
          <w:color w:val="auto"/>
          <w:sz w:val="24"/>
          <w:highlight w:val="none"/>
          <w:lang w:val="en-US" w:eastAsia="zh-CN"/>
        </w:rPr>
        <w:t>大专</w:t>
      </w:r>
      <w:r>
        <w:rPr>
          <w:rFonts w:hint="eastAsia" w:ascii="仿宋" w:hAnsi="仿宋" w:eastAsia="仿宋" w:cs="仿宋"/>
          <w:bCs/>
          <w:color w:val="auto"/>
          <w:sz w:val="24"/>
          <w:highlight w:val="none"/>
        </w:rPr>
        <w:t>及以上学历，具有特种设备安全管理和作业人员证、高压电工作业证、低压电工作业证</w:t>
      </w:r>
      <w:r>
        <w:rPr>
          <w:rFonts w:hint="eastAsia" w:ascii="仿宋" w:hAnsi="仿宋" w:eastAsia="仿宋" w:cs="仿宋"/>
          <w:bCs/>
          <w:color w:val="auto"/>
          <w:sz w:val="24"/>
          <w:highlight w:val="none"/>
          <w:lang w:eastAsia="zh-CN"/>
        </w:rPr>
        <w:t>，</w:t>
      </w:r>
      <w:r>
        <w:rPr>
          <w:rFonts w:hint="eastAsia" w:ascii="仿宋" w:hAnsi="仿宋" w:eastAsia="仿宋" w:cs="仿宋"/>
          <w:color w:val="auto"/>
          <w:kern w:val="0"/>
          <w:sz w:val="24"/>
          <w:highlight w:val="none"/>
          <w:lang w:bidi="ar"/>
        </w:rPr>
        <w:t>具有3年及以</w:t>
      </w:r>
      <w:r>
        <w:rPr>
          <w:rFonts w:hint="eastAsia" w:ascii="仿宋" w:hAnsi="仿宋" w:eastAsia="仿宋" w:cs="仿宋"/>
          <w:bCs/>
          <w:color w:val="auto"/>
          <w:sz w:val="24"/>
          <w:highlight w:val="none"/>
        </w:rPr>
        <w:t>上类似物业项目</w:t>
      </w:r>
      <w:r>
        <w:rPr>
          <w:rFonts w:hint="eastAsia" w:ascii="仿宋" w:hAnsi="仿宋" w:eastAsia="仿宋" w:cs="仿宋"/>
          <w:bCs/>
          <w:color w:val="auto"/>
          <w:sz w:val="24"/>
          <w:highlight w:val="none"/>
          <w:lang w:eastAsia="zh-CN"/>
        </w:rPr>
        <w:t>同类岗位</w:t>
      </w:r>
      <w:r>
        <w:rPr>
          <w:rFonts w:hint="eastAsia" w:ascii="仿宋" w:hAnsi="仿宋" w:eastAsia="仿宋" w:cs="仿宋"/>
          <w:bCs/>
          <w:color w:val="auto"/>
          <w:sz w:val="24"/>
          <w:highlight w:val="none"/>
        </w:rPr>
        <w:t>工作经验</w:t>
      </w:r>
      <w:r>
        <w:rPr>
          <w:rFonts w:hint="eastAsia" w:ascii="仿宋" w:hAnsi="仿宋" w:eastAsia="仿宋" w:cs="仿宋"/>
          <w:bCs/>
          <w:color w:val="auto"/>
          <w:sz w:val="24"/>
          <w:highlight w:val="none"/>
          <w:lang w:eastAsia="zh-CN"/>
        </w:rPr>
        <w:t>。</w:t>
      </w:r>
    </w:p>
    <w:p w14:paraId="789D29F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2.2</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工程领班，年龄45周岁（含）以下，</w:t>
      </w:r>
      <w:r>
        <w:rPr>
          <w:rFonts w:hint="eastAsia" w:ascii="仿宋" w:hAnsi="仿宋" w:eastAsia="仿宋" w:cs="仿宋"/>
          <w:bCs/>
          <w:color w:val="auto"/>
          <w:sz w:val="24"/>
          <w:highlight w:val="none"/>
          <w:lang w:eastAsia="zh-CN"/>
        </w:rPr>
        <w:t>具有高中</w:t>
      </w:r>
      <w:r>
        <w:rPr>
          <w:rFonts w:hint="eastAsia" w:ascii="仿宋" w:hAnsi="仿宋" w:eastAsia="仿宋" w:cs="仿宋"/>
          <w:bCs/>
          <w:color w:val="auto"/>
          <w:sz w:val="24"/>
          <w:highlight w:val="none"/>
        </w:rPr>
        <w:t>及以上学历，具有三级/高级及以上电工证、高压电工作业证、低压电工作业证；</w:t>
      </w:r>
      <w:r>
        <w:rPr>
          <w:rFonts w:hint="eastAsia" w:ascii="仿宋" w:hAnsi="仿宋" w:eastAsia="仿宋" w:cs="仿宋"/>
          <w:bCs/>
          <w:color w:val="auto"/>
          <w:sz w:val="24"/>
          <w:highlight w:val="none"/>
        </w:rPr>
        <w:br w:type="textWrapping"/>
      </w:r>
      <w:r>
        <w:rPr>
          <w:rFonts w:hint="eastAsia" w:ascii="仿宋" w:hAnsi="仿宋" w:eastAsia="仿宋" w:cs="仿宋"/>
          <w:bCs/>
          <w:color w:val="auto"/>
          <w:sz w:val="24"/>
          <w:highlight w:val="none"/>
        </w:rPr>
        <w:t xml:space="preserve">    2.3</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高配值班，年龄40周岁（含）以下，具有高压电工作业证、低压电工作业证。</w:t>
      </w:r>
    </w:p>
    <w:p w14:paraId="555B841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2.4. </w:t>
      </w:r>
      <w:r>
        <w:rPr>
          <w:rFonts w:hint="eastAsia" w:ascii="仿宋" w:hAnsi="仿宋" w:eastAsia="仿宋" w:cs="仿宋"/>
          <w:bCs/>
          <w:color w:val="auto"/>
          <w:sz w:val="24"/>
          <w:highlight w:val="none"/>
        </w:rPr>
        <w:t>中标人需无条件接受采购单位分流下来符合年龄和技术要求的员工。</w:t>
      </w:r>
    </w:p>
    <w:p w14:paraId="25E8602F">
      <w:pPr>
        <w:spacing w:line="400" w:lineRule="exact"/>
        <w:ind w:firstLine="482" w:firstLineChars="200"/>
        <w:outlineLvl w:val="0"/>
        <w:rPr>
          <w:rFonts w:hint="eastAsia" w:ascii="仿宋" w:hAnsi="仿宋" w:eastAsia="仿宋" w:cs="仿宋"/>
          <w:b/>
          <w:bCs w:val="0"/>
          <w:color w:val="auto"/>
          <w:sz w:val="24"/>
          <w:highlight w:val="none"/>
          <w:lang w:val="en-US" w:eastAsia="zh-CN"/>
        </w:rPr>
      </w:pPr>
      <w:r>
        <w:rPr>
          <w:rFonts w:hint="eastAsia" w:ascii="仿宋" w:hAnsi="仿宋" w:eastAsia="仿宋" w:cs="仿宋"/>
          <w:b/>
          <w:bCs w:val="0"/>
          <w:color w:val="auto"/>
          <w:sz w:val="24"/>
          <w:highlight w:val="none"/>
          <w:lang w:val="en-US" w:eastAsia="zh-CN"/>
        </w:rPr>
        <w:t>3.环境卫生维护服务人员素质要求</w:t>
      </w:r>
    </w:p>
    <w:p w14:paraId="10AC7C23">
      <w:pPr>
        <w:numPr>
          <w:ilvl w:val="0"/>
          <w:numId w:val="0"/>
        </w:num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3.1. </w:t>
      </w:r>
      <w:r>
        <w:rPr>
          <w:rFonts w:hint="eastAsia" w:ascii="仿宋" w:hAnsi="仿宋" w:eastAsia="仿宋" w:cs="仿宋"/>
          <w:bCs/>
          <w:color w:val="auto"/>
          <w:sz w:val="24"/>
          <w:highlight w:val="none"/>
        </w:rPr>
        <w:t>保洁主管：年龄4</w:t>
      </w:r>
      <w:r>
        <w:rPr>
          <w:rFonts w:hint="eastAsia" w:ascii="仿宋" w:hAnsi="仿宋" w:eastAsia="仿宋" w:cs="仿宋"/>
          <w:bCs/>
          <w:color w:val="auto"/>
          <w:sz w:val="24"/>
          <w:highlight w:val="none"/>
          <w:lang w:val="en-US" w:eastAsia="zh-CN"/>
        </w:rPr>
        <w:t>5</w:t>
      </w:r>
      <w:r>
        <w:rPr>
          <w:rFonts w:hint="eastAsia" w:ascii="仿宋" w:hAnsi="仿宋" w:eastAsia="仿宋" w:cs="仿宋"/>
          <w:bCs/>
          <w:color w:val="auto"/>
          <w:sz w:val="24"/>
          <w:highlight w:val="none"/>
        </w:rPr>
        <w:t>周岁（含）以下，</w:t>
      </w:r>
      <w:r>
        <w:rPr>
          <w:rFonts w:hint="eastAsia" w:ascii="仿宋" w:hAnsi="仿宋" w:eastAsia="仿宋" w:cs="仿宋"/>
          <w:bCs/>
          <w:color w:val="auto"/>
          <w:sz w:val="24"/>
          <w:highlight w:val="none"/>
          <w:lang w:eastAsia="zh-CN"/>
        </w:rPr>
        <w:t>具有</w:t>
      </w:r>
      <w:r>
        <w:rPr>
          <w:rFonts w:hint="eastAsia" w:ascii="仿宋" w:hAnsi="仿宋" w:eastAsia="仿宋" w:cs="仿宋"/>
          <w:bCs/>
          <w:color w:val="auto"/>
          <w:sz w:val="24"/>
          <w:highlight w:val="none"/>
          <w:lang w:val="en-US" w:eastAsia="zh-CN"/>
        </w:rPr>
        <w:t>大专</w:t>
      </w:r>
      <w:r>
        <w:rPr>
          <w:rFonts w:hint="eastAsia" w:ascii="仿宋" w:hAnsi="仿宋" w:eastAsia="仿宋" w:cs="仿宋"/>
          <w:bCs/>
          <w:color w:val="auto"/>
          <w:sz w:val="24"/>
          <w:highlight w:val="none"/>
        </w:rPr>
        <w:t>及以上学历，具有</w:t>
      </w:r>
      <w:r>
        <w:rPr>
          <w:rFonts w:hint="eastAsia" w:ascii="仿宋" w:hAnsi="仿宋" w:eastAsia="仿宋" w:cs="仿宋"/>
          <w:color w:val="auto"/>
          <w:kern w:val="0"/>
          <w:sz w:val="24"/>
          <w:highlight w:val="none"/>
          <w:lang w:bidi="ar"/>
        </w:rPr>
        <w:t>高级</w:t>
      </w:r>
      <w:r>
        <w:rPr>
          <w:rFonts w:hint="eastAsia" w:ascii="仿宋" w:hAnsi="仿宋" w:eastAsia="仿宋" w:cs="仿宋"/>
          <w:color w:val="auto"/>
          <w:kern w:val="0"/>
          <w:sz w:val="24"/>
          <w:highlight w:val="none"/>
          <w:lang w:eastAsia="zh-CN" w:bidi="ar"/>
        </w:rPr>
        <w:t>保洁员证</w:t>
      </w:r>
      <w:r>
        <w:rPr>
          <w:rFonts w:hint="eastAsia" w:ascii="仿宋" w:hAnsi="仿宋" w:eastAsia="仿宋" w:cs="仿宋"/>
          <w:bCs/>
          <w:color w:val="auto"/>
          <w:sz w:val="24"/>
          <w:highlight w:val="none"/>
        </w:rPr>
        <w:t>、</w:t>
      </w:r>
      <w:r>
        <w:rPr>
          <w:rFonts w:hint="eastAsia" w:ascii="仿宋" w:hAnsi="仿宋" w:eastAsia="仿宋" w:cs="仿宋"/>
          <w:color w:val="auto"/>
          <w:kern w:val="0"/>
          <w:sz w:val="24"/>
          <w:highlight w:val="none"/>
          <w:lang w:bidi="ar"/>
        </w:rPr>
        <w:t>高级及以上垃圾分类工程师证</w:t>
      </w:r>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eastAsia="zh-CN"/>
        </w:rPr>
        <w:t>具有</w:t>
      </w:r>
      <w:r>
        <w:rPr>
          <w:rFonts w:hint="eastAsia" w:ascii="仿宋" w:hAnsi="仿宋" w:eastAsia="仿宋" w:cs="仿宋"/>
          <w:bCs/>
          <w:color w:val="auto"/>
          <w:sz w:val="24"/>
          <w:highlight w:val="none"/>
        </w:rPr>
        <w:t>3年及以上类似物业项目保洁主管工作经验。</w:t>
      </w:r>
    </w:p>
    <w:p w14:paraId="751354D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3.2. 保洁</w:t>
      </w:r>
      <w:r>
        <w:rPr>
          <w:rFonts w:hint="eastAsia" w:ascii="仿宋" w:hAnsi="仿宋" w:eastAsia="仿宋" w:cs="仿宋"/>
          <w:bCs/>
          <w:color w:val="auto"/>
          <w:sz w:val="24"/>
          <w:highlight w:val="none"/>
        </w:rPr>
        <w:t>领班：年龄4</w:t>
      </w:r>
      <w:r>
        <w:rPr>
          <w:rFonts w:hint="eastAsia" w:ascii="仿宋" w:hAnsi="仿宋" w:eastAsia="仿宋" w:cs="仿宋"/>
          <w:bCs/>
          <w:color w:val="auto"/>
          <w:sz w:val="24"/>
          <w:highlight w:val="none"/>
          <w:lang w:val="en-US" w:eastAsia="zh-CN"/>
        </w:rPr>
        <w:t>5</w:t>
      </w:r>
      <w:r>
        <w:rPr>
          <w:rFonts w:hint="eastAsia" w:ascii="仿宋" w:hAnsi="仿宋" w:eastAsia="仿宋" w:cs="仿宋"/>
          <w:bCs/>
          <w:color w:val="auto"/>
          <w:sz w:val="24"/>
          <w:highlight w:val="none"/>
        </w:rPr>
        <w:t>周岁（含）以下，</w:t>
      </w:r>
      <w:r>
        <w:rPr>
          <w:rFonts w:hint="eastAsia" w:ascii="仿宋" w:hAnsi="仿宋" w:eastAsia="仿宋" w:cs="仿宋"/>
          <w:bCs/>
          <w:color w:val="auto"/>
          <w:sz w:val="24"/>
          <w:highlight w:val="none"/>
          <w:lang w:eastAsia="zh-CN"/>
        </w:rPr>
        <w:t>具有</w:t>
      </w:r>
      <w:r>
        <w:rPr>
          <w:rFonts w:hint="eastAsia" w:ascii="仿宋" w:hAnsi="仿宋" w:eastAsia="仿宋" w:cs="仿宋"/>
          <w:bCs/>
          <w:color w:val="auto"/>
          <w:sz w:val="24"/>
          <w:highlight w:val="none"/>
          <w:lang w:val="en-US" w:eastAsia="zh-CN"/>
        </w:rPr>
        <w:t>高中</w:t>
      </w:r>
      <w:r>
        <w:rPr>
          <w:rFonts w:hint="eastAsia" w:ascii="仿宋" w:hAnsi="仿宋" w:eastAsia="仿宋" w:cs="仿宋"/>
          <w:bCs/>
          <w:color w:val="auto"/>
          <w:sz w:val="24"/>
          <w:highlight w:val="none"/>
        </w:rPr>
        <w:t>及以上学历</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具有</w:t>
      </w:r>
      <w:r>
        <w:rPr>
          <w:rFonts w:hint="eastAsia" w:ascii="仿宋" w:hAnsi="仿宋" w:eastAsia="仿宋" w:cs="仿宋"/>
          <w:bCs/>
          <w:color w:val="auto"/>
          <w:sz w:val="24"/>
          <w:highlight w:val="none"/>
          <w:lang w:val="en-US" w:eastAsia="zh-CN"/>
        </w:rPr>
        <w:t>3年以上的</w:t>
      </w:r>
      <w:r>
        <w:rPr>
          <w:rFonts w:hint="eastAsia" w:ascii="仿宋" w:hAnsi="仿宋" w:eastAsia="仿宋" w:cs="仿宋"/>
          <w:bCs/>
          <w:color w:val="auto"/>
          <w:sz w:val="24"/>
          <w:highlight w:val="none"/>
        </w:rPr>
        <w:t>清洁工作经验，形象良好。</w:t>
      </w:r>
    </w:p>
    <w:p w14:paraId="5EC7DF89">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lang w:val="en-US" w:eastAsia="zh-CN"/>
        </w:rPr>
        <w:t xml:space="preserve">3.3. </w:t>
      </w:r>
      <w:r>
        <w:rPr>
          <w:rFonts w:hint="eastAsia" w:ascii="仿宋" w:hAnsi="仿宋" w:eastAsia="仿宋" w:cs="仿宋"/>
          <w:bCs/>
          <w:color w:val="auto"/>
          <w:sz w:val="24"/>
          <w:highlight w:val="none"/>
        </w:rPr>
        <w:t>员工：有培训合格上岗证，能吃苦。男性在</w:t>
      </w:r>
      <w:r>
        <w:rPr>
          <w:rFonts w:hint="eastAsia" w:ascii="仿宋" w:hAnsi="仿宋" w:eastAsia="仿宋" w:cs="仿宋"/>
          <w:bCs/>
          <w:color w:val="auto"/>
          <w:sz w:val="24"/>
          <w:highlight w:val="none"/>
          <w:lang w:val="en-US" w:eastAsia="zh-CN"/>
        </w:rPr>
        <w:t>5</w:t>
      </w:r>
      <w:r>
        <w:rPr>
          <w:rFonts w:hint="eastAsia" w:ascii="仿宋" w:hAnsi="仿宋" w:eastAsia="仿宋" w:cs="仿宋"/>
          <w:bCs/>
          <w:color w:val="auto"/>
          <w:sz w:val="24"/>
          <w:highlight w:val="none"/>
        </w:rPr>
        <w:t>5岁以下，女性在48岁以下；无不良嗜好及不良记录；如特殊岗位年龄和其他条件另有需求，必须无条件接受采购单位的要求</w:t>
      </w:r>
      <w:r>
        <w:rPr>
          <w:rFonts w:hint="eastAsia" w:ascii="仿宋" w:hAnsi="仿宋" w:eastAsia="仿宋" w:cs="仿宋"/>
          <w:bCs/>
          <w:color w:val="auto"/>
          <w:sz w:val="24"/>
          <w:highlight w:val="none"/>
          <w:u w:val="none"/>
        </w:rPr>
        <w:t>。</w:t>
      </w:r>
    </w:p>
    <w:p w14:paraId="571A2F69">
      <w:pPr>
        <w:spacing w:line="400" w:lineRule="exact"/>
        <w:ind w:left="479" w:leftChars="228" w:firstLine="0" w:firstLineChars="0"/>
        <w:outlineLvl w:val="0"/>
        <w:rPr>
          <w:rFonts w:hint="eastAsia" w:ascii="仿宋" w:hAnsi="仿宋" w:eastAsia="仿宋" w:cs="仿宋"/>
          <w:b/>
          <w:bCs/>
          <w:color w:val="auto"/>
          <w:spacing w:val="0"/>
          <w:kern w:val="2"/>
          <w:sz w:val="24"/>
          <w:szCs w:val="24"/>
          <w:highlight w:val="none"/>
          <w:lang w:val="en-US" w:eastAsia="zh-CN" w:bidi="ar-SA"/>
        </w:rPr>
      </w:pPr>
      <w:r>
        <w:rPr>
          <w:rFonts w:hint="eastAsia" w:ascii="仿宋" w:hAnsi="仿宋" w:eastAsia="仿宋" w:cs="仿宋"/>
          <w:bCs/>
          <w:color w:val="auto"/>
          <w:sz w:val="24"/>
          <w:highlight w:val="none"/>
          <w:u w:val="none"/>
          <w:lang w:val="en-US" w:eastAsia="zh-CN"/>
        </w:rPr>
        <w:t xml:space="preserve">3.4. </w:t>
      </w:r>
      <w:r>
        <w:rPr>
          <w:rFonts w:hint="eastAsia" w:ascii="仿宋" w:hAnsi="仿宋" w:eastAsia="仿宋" w:cs="仿宋"/>
          <w:bCs/>
          <w:color w:val="auto"/>
          <w:sz w:val="24"/>
          <w:highlight w:val="none"/>
          <w:u w:val="none"/>
        </w:rPr>
        <w:t>中标人需无条件接受采购单位分流下来的符合年龄和技术要求的员工。</w:t>
      </w:r>
      <w:r>
        <w:rPr>
          <w:rFonts w:hint="eastAsia" w:ascii="仿宋" w:hAnsi="仿宋" w:eastAsia="仿宋" w:cs="仿宋"/>
          <w:b/>
          <w:bCs/>
          <w:color w:val="auto"/>
          <w:spacing w:val="0"/>
          <w:kern w:val="2"/>
          <w:sz w:val="24"/>
          <w:szCs w:val="24"/>
          <w:highlight w:val="none"/>
          <w:lang w:val="en-US" w:eastAsia="zh-CN" w:bidi="ar-SA"/>
        </w:rPr>
        <w:t>4.秩序维护服务人员素质要求</w:t>
      </w:r>
    </w:p>
    <w:p w14:paraId="13F80C3E">
      <w:pPr>
        <w:spacing w:line="400" w:lineRule="exact"/>
        <w:ind w:firstLine="480" w:firstLineChars="200"/>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 xml:space="preserve">4.1. </w:t>
      </w:r>
      <w:r>
        <w:rPr>
          <w:rFonts w:hint="eastAsia" w:ascii="仿宋" w:hAnsi="仿宋" w:eastAsia="仿宋" w:cs="仿宋"/>
          <w:b w:val="0"/>
          <w:bCs w:val="0"/>
          <w:color w:val="auto"/>
          <w:sz w:val="24"/>
          <w:highlight w:val="none"/>
          <w:lang w:eastAsia="zh-CN"/>
        </w:rPr>
        <w:t>保安</w:t>
      </w:r>
      <w:r>
        <w:rPr>
          <w:rFonts w:hint="eastAsia" w:ascii="仿宋" w:hAnsi="仿宋" w:eastAsia="仿宋" w:cs="仿宋"/>
          <w:b w:val="0"/>
          <w:bCs w:val="0"/>
          <w:color w:val="auto"/>
          <w:sz w:val="24"/>
          <w:highlight w:val="none"/>
        </w:rPr>
        <w:t>主管</w:t>
      </w:r>
      <w:r>
        <w:rPr>
          <w:rFonts w:hint="eastAsia" w:ascii="仿宋" w:hAnsi="仿宋" w:eastAsia="仿宋" w:cs="仿宋"/>
          <w:b w:val="0"/>
          <w:bCs w:val="0"/>
          <w:color w:val="auto"/>
          <w:sz w:val="24"/>
          <w:highlight w:val="none"/>
          <w:lang w:val="en-US" w:eastAsia="zh-CN"/>
        </w:rPr>
        <w:t>:年龄45</w:t>
      </w:r>
      <w:r>
        <w:rPr>
          <w:rFonts w:hint="eastAsia" w:ascii="仿宋" w:hAnsi="仿宋" w:eastAsia="仿宋" w:cs="仿宋"/>
          <w:b w:val="0"/>
          <w:bCs w:val="0"/>
          <w:color w:val="auto"/>
          <w:sz w:val="24"/>
          <w:highlight w:val="none"/>
        </w:rPr>
        <w:t>周岁（含）以下，</w:t>
      </w:r>
      <w:r>
        <w:rPr>
          <w:rFonts w:hint="eastAsia" w:ascii="仿宋" w:hAnsi="仿宋" w:eastAsia="仿宋" w:cs="仿宋"/>
          <w:b w:val="0"/>
          <w:bCs w:val="0"/>
          <w:color w:val="auto"/>
          <w:sz w:val="24"/>
          <w:highlight w:val="none"/>
          <w:lang w:eastAsia="zh-CN"/>
        </w:rPr>
        <w:t>具有</w:t>
      </w:r>
      <w:r>
        <w:rPr>
          <w:rFonts w:hint="eastAsia" w:ascii="仿宋" w:hAnsi="仿宋" w:eastAsia="仿宋" w:cs="仿宋"/>
          <w:b w:val="0"/>
          <w:bCs w:val="0"/>
          <w:color w:val="auto"/>
          <w:sz w:val="24"/>
          <w:highlight w:val="none"/>
        </w:rPr>
        <w:t>大专及以上学历</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rPr>
        <w:t>具有</w:t>
      </w:r>
      <w:r>
        <w:rPr>
          <w:rFonts w:hint="eastAsia" w:ascii="仿宋" w:hAnsi="仿宋" w:eastAsia="仿宋" w:cs="仿宋"/>
          <w:color w:val="auto"/>
          <w:kern w:val="0"/>
          <w:sz w:val="24"/>
          <w:highlight w:val="none"/>
          <w:lang w:bidi="ar"/>
        </w:rPr>
        <w:t>国家职业资格三级及以上保安员（高级保安员）</w:t>
      </w:r>
      <w:r>
        <w:rPr>
          <w:rFonts w:hint="eastAsia" w:ascii="仿宋" w:hAnsi="仿宋" w:eastAsia="仿宋" w:cs="仿宋"/>
          <w:color w:val="auto"/>
          <w:kern w:val="0"/>
          <w:sz w:val="24"/>
          <w:highlight w:val="none"/>
          <w:lang w:eastAsia="zh-CN" w:bidi="ar"/>
        </w:rPr>
        <w:t>、</w:t>
      </w:r>
      <w:r>
        <w:rPr>
          <w:rFonts w:hint="eastAsia" w:ascii="仿宋" w:hAnsi="仿宋" w:eastAsia="仿宋" w:cs="仿宋"/>
          <w:color w:val="auto"/>
          <w:kern w:val="0"/>
          <w:sz w:val="24"/>
          <w:highlight w:val="none"/>
          <w:lang w:bidi="ar"/>
        </w:rPr>
        <w:t>四级/中级及以上消防设施操作员或四级/中级及以上建（构）筑物消防员证</w:t>
      </w:r>
      <w:r>
        <w:rPr>
          <w:rFonts w:hint="eastAsia" w:ascii="仿宋" w:hAnsi="仿宋" w:eastAsia="仿宋" w:cs="仿宋"/>
          <w:color w:val="auto"/>
          <w:kern w:val="0"/>
          <w:sz w:val="24"/>
          <w:highlight w:val="none"/>
          <w:lang w:eastAsia="zh-CN" w:bidi="ar"/>
        </w:rPr>
        <w:t>、</w:t>
      </w:r>
      <w:r>
        <w:rPr>
          <w:rFonts w:hint="eastAsia" w:ascii="仿宋" w:hAnsi="仿宋" w:eastAsia="仿宋" w:cs="仿宋"/>
          <w:color w:val="auto"/>
          <w:kern w:val="0"/>
          <w:sz w:val="24"/>
          <w:highlight w:val="none"/>
          <w:lang w:bidi="ar"/>
        </w:rPr>
        <w:t>退伍证</w:t>
      </w:r>
      <w:r>
        <w:rPr>
          <w:rFonts w:hint="eastAsia" w:ascii="仿宋" w:hAnsi="仿宋" w:eastAsia="仿宋" w:cs="仿宋"/>
          <w:color w:val="auto"/>
          <w:kern w:val="0"/>
          <w:sz w:val="24"/>
          <w:highlight w:val="none"/>
          <w:lang w:eastAsia="zh-CN" w:bidi="ar"/>
        </w:rPr>
        <w:t>，</w:t>
      </w:r>
      <w:r>
        <w:rPr>
          <w:rFonts w:hint="eastAsia" w:ascii="仿宋" w:hAnsi="仿宋" w:eastAsia="仿宋" w:cs="仿宋"/>
          <w:color w:val="auto"/>
          <w:kern w:val="0"/>
          <w:sz w:val="24"/>
          <w:highlight w:val="none"/>
          <w:lang w:bidi="ar"/>
        </w:rPr>
        <w:t>3年及以上类似物业项目</w:t>
      </w:r>
      <w:r>
        <w:rPr>
          <w:rFonts w:hint="eastAsia" w:ascii="仿宋" w:hAnsi="仿宋" w:eastAsia="仿宋" w:cs="仿宋"/>
          <w:color w:val="auto"/>
          <w:kern w:val="0"/>
          <w:sz w:val="24"/>
          <w:highlight w:val="none"/>
          <w:lang w:eastAsia="zh-CN" w:bidi="ar"/>
        </w:rPr>
        <w:t>同类岗位</w:t>
      </w:r>
      <w:r>
        <w:rPr>
          <w:rFonts w:hint="eastAsia" w:ascii="仿宋" w:hAnsi="仿宋" w:eastAsia="仿宋" w:cs="仿宋"/>
          <w:color w:val="auto"/>
          <w:kern w:val="0"/>
          <w:sz w:val="24"/>
          <w:highlight w:val="none"/>
          <w:lang w:bidi="ar"/>
        </w:rPr>
        <w:t>工作经验</w:t>
      </w:r>
      <w:r>
        <w:rPr>
          <w:rFonts w:hint="eastAsia" w:ascii="仿宋" w:hAnsi="仿宋" w:eastAsia="仿宋" w:cs="仿宋"/>
          <w:b w:val="0"/>
          <w:bCs w:val="0"/>
          <w:color w:val="auto"/>
          <w:sz w:val="24"/>
          <w:highlight w:val="none"/>
        </w:rPr>
        <w:t>。</w:t>
      </w:r>
    </w:p>
    <w:p w14:paraId="75883AEB">
      <w:pPr>
        <w:spacing w:line="400" w:lineRule="exact"/>
        <w:ind w:firstLine="480" w:firstLineChars="200"/>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 xml:space="preserve">4.2. </w:t>
      </w:r>
      <w:r>
        <w:rPr>
          <w:rFonts w:hint="eastAsia" w:ascii="仿宋" w:hAnsi="仿宋" w:eastAsia="仿宋" w:cs="仿宋"/>
          <w:b w:val="0"/>
          <w:bCs w:val="0"/>
          <w:color w:val="auto"/>
          <w:sz w:val="24"/>
          <w:highlight w:val="none"/>
        </w:rPr>
        <w:t>保安领班</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rPr>
        <w:t>年龄45周岁（含）以下，</w:t>
      </w:r>
      <w:r>
        <w:rPr>
          <w:rFonts w:hint="eastAsia" w:ascii="仿宋" w:hAnsi="仿宋" w:eastAsia="仿宋" w:cs="仿宋"/>
          <w:b w:val="0"/>
          <w:bCs w:val="0"/>
          <w:color w:val="auto"/>
          <w:sz w:val="24"/>
          <w:highlight w:val="none"/>
          <w:lang w:eastAsia="zh-CN"/>
        </w:rPr>
        <w:t>具有</w:t>
      </w:r>
      <w:r>
        <w:rPr>
          <w:rFonts w:hint="eastAsia" w:ascii="仿宋" w:hAnsi="仿宋" w:eastAsia="仿宋" w:cs="仿宋"/>
          <w:b w:val="0"/>
          <w:bCs w:val="0"/>
          <w:color w:val="auto"/>
          <w:sz w:val="24"/>
          <w:highlight w:val="none"/>
          <w:lang w:val="en-US" w:eastAsia="zh-CN"/>
        </w:rPr>
        <w:t>高中</w:t>
      </w:r>
      <w:r>
        <w:rPr>
          <w:rFonts w:hint="eastAsia" w:ascii="仿宋" w:hAnsi="仿宋" w:eastAsia="仿宋" w:cs="仿宋"/>
          <w:b w:val="0"/>
          <w:bCs w:val="0"/>
          <w:color w:val="auto"/>
          <w:sz w:val="24"/>
          <w:highlight w:val="none"/>
        </w:rPr>
        <w:t>及以上学历，具有备退伍证、保安员证、消防设施操作员证或建（构）筑物消防员证。</w:t>
      </w:r>
    </w:p>
    <w:p w14:paraId="13304161">
      <w:pPr>
        <w:spacing w:line="400" w:lineRule="exact"/>
        <w:ind w:firstLine="480" w:firstLineChars="200"/>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 xml:space="preserve">4.3. </w:t>
      </w:r>
      <w:r>
        <w:rPr>
          <w:rFonts w:hint="eastAsia" w:ascii="仿宋" w:hAnsi="仿宋" w:eastAsia="仿宋" w:cs="仿宋"/>
          <w:b w:val="0"/>
          <w:bCs w:val="0"/>
          <w:color w:val="auto"/>
          <w:sz w:val="24"/>
          <w:highlight w:val="none"/>
        </w:rPr>
        <w:t>监控人员</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rPr>
        <w:t>年龄40周岁（含）以下，</w:t>
      </w:r>
      <w:r>
        <w:rPr>
          <w:rFonts w:hint="eastAsia" w:ascii="仿宋" w:hAnsi="仿宋" w:eastAsia="仿宋" w:cs="仿宋"/>
          <w:b w:val="0"/>
          <w:bCs w:val="0"/>
          <w:color w:val="auto"/>
          <w:sz w:val="24"/>
          <w:highlight w:val="none"/>
          <w:lang w:eastAsia="zh-CN"/>
        </w:rPr>
        <w:t>具有</w:t>
      </w:r>
      <w:r>
        <w:rPr>
          <w:rFonts w:hint="eastAsia" w:ascii="仿宋" w:hAnsi="仿宋" w:eastAsia="仿宋" w:cs="仿宋"/>
          <w:b w:val="0"/>
          <w:bCs w:val="0"/>
          <w:color w:val="auto"/>
          <w:sz w:val="24"/>
          <w:highlight w:val="none"/>
        </w:rPr>
        <w:t>大专及以上学历，持有四级/中级及以上消防设施操作员或四级/中级及以上建（构）筑物消防员证。</w:t>
      </w:r>
    </w:p>
    <w:p w14:paraId="3E6DDF3E">
      <w:pPr>
        <w:spacing w:line="400" w:lineRule="exact"/>
        <w:ind w:firstLine="480" w:firstLineChars="200"/>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 xml:space="preserve">4.4. </w:t>
      </w:r>
      <w:r>
        <w:rPr>
          <w:rFonts w:hint="eastAsia" w:ascii="仿宋" w:hAnsi="仿宋" w:eastAsia="仿宋" w:cs="仿宋"/>
          <w:b w:val="0"/>
          <w:bCs w:val="0"/>
          <w:color w:val="auto"/>
          <w:sz w:val="24"/>
          <w:highlight w:val="none"/>
        </w:rPr>
        <w:t>其他安全保卫人员要求45周岁以下，身体健康，高中以上学历、具有保安上岗证，工作认真负责并定期接受培训。</w:t>
      </w:r>
    </w:p>
    <w:p w14:paraId="3FDE3B66">
      <w:pPr>
        <w:spacing w:line="400" w:lineRule="exact"/>
        <w:ind w:firstLine="480" w:firstLineChars="200"/>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 xml:space="preserve">4.5. </w:t>
      </w:r>
      <w:r>
        <w:rPr>
          <w:rFonts w:hint="eastAsia" w:ascii="仿宋" w:hAnsi="仿宋" w:eastAsia="仿宋" w:cs="仿宋"/>
          <w:b w:val="0"/>
          <w:bCs w:val="0"/>
          <w:color w:val="auto"/>
          <w:sz w:val="24"/>
          <w:highlight w:val="none"/>
        </w:rPr>
        <w:t>其他工作要求</w:t>
      </w:r>
    </w:p>
    <w:p w14:paraId="5C57A92A">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u w:val="none"/>
        </w:rPr>
        <w:t>中标人需无条件接受采购单位分流下来的符合年龄和技术要求的员工。</w:t>
      </w:r>
    </w:p>
    <w:p w14:paraId="3A82201B">
      <w:pPr>
        <w:spacing w:line="400" w:lineRule="exact"/>
        <w:ind w:firstLine="480" w:firstLineChars="200"/>
        <w:outlineLvl w:val="0"/>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rPr>
        <w:t>能妥善处理和应对东港商务中心公共秩序维护工作，能正确使用各类消防、物防、技防器械和设备，能够熟悉、掌握各类刑事、治安案件和各类灾害事故的应急预案</w:t>
      </w:r>
      <w:r>
        <w:rPr>
          <w:rFonts w:hint="eastAsia" w:ascii="仿宋" w:hAnsi="仿宋" w:eastAsia="仿宋" w:cs="仿宋"/>
          <w:b w:val="0"/>
          <w:bCs w:val="0"/>
          <w:color w:val="auto"/>
          <w:sz w:val="24"/>
          <w:highlight w:val="none"/>
          <w:lang w:eastAsia="zh-CN"/>
        </w:rPr>
        <w:t>。</w:t>
      </w:r>
    </w:p>
    <w:p w14:paraId="117D91EB">
      <w:pPr>
        <w:spacing w:line="400" w:lineRule="exact"/>
        <w:ind w:firstLine="480" w:firstLineChars="200"/>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上岗时佩戴分别标志，按需求穿戴分别制服（精致），装备佩戴规范，仪容仪表规范整齐，当值时坐姿挺直，站岗时不倚不靠、采用跨立站岗。</w:t>
      </w:r>
    </w:p>
    <w:p w14:paraId="1DB71D1F">
      <w:pPr>
        <w:spacing w:line="400" w:lineRule="exact"/>
        <w:ind w:firstLine="480" w:firstLineChars="200"/>
        <w:outlineLvl w:val="0"/>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rPr>
        <w:t>文明执勤，训练有素，言语规范，认真负责</w:t>
      </w:r>
      <w:r>
        <w:rPr>
          <w:rFonts w:hint="eastAsia" w:ascii="仿宋" w:hAnsi="仿宋" w:eastAsia="仿宋" w:cs="仿宋"/>
          <w:b w:val="0"/>
          <w:bCs w:val="0"/>
          <w:color w:val="auto"/>
          <w:sz w:val="24"/>
          <w:highlight w:val="none"/>
          <w:lang w:eastAsia="zh-CN"/>
        </w:rPr>
        <w:t>。</w:t>
      </w:r>
    </w:p>
    <w:p w14:paraId="05F196F9">
      <w:pPr>
        <w:spacing w:line="400" w:lineRule="exact"/>
        <w:ind w:firstLine="480" w:firstLineChars="200"/>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秩序维护、监控人员要求政治上绝对可靠，身体素质好，无不良行为记录，具备一定的相应专业知识，实行持证上岗。</w:t>
      </w:r>
    </w:p>
    <w:p w14:paraId="605B9739">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（二）人员</w:t>
      </w:r>
      <w:r>
        <w:rPr>
          <w:rFonts w:hint="eastAsia" w:ascii="仿宋" w:hAnsi="仿宋" w:eastAsia="仿宋" w:cs="仿宋"/>
          <w:b/>
          <w:bCs/>
          <w:color w:val="auto"/>
          <w:sz w:val="24"/>
          <w:highlight w:val="none"/>
        </w:rPr>
        <w:t>数量基本要求</w:t>
      </w:r>
    </w:p>
    <w:p w14:paraId="17B74B97">
      <w:pPr>
        <w:spacing w:line="400" w:lineRule="exact"/>
        <w:ind w:firstLine="480" w:firstLineChars="200"/>
        <w:outlineLvl w:val="0"/>
        <w:rPr>
          <w:rFonts w:hint="eastAsia" w:ascii="仿宋" w:hAnsi="仿宋" w:eastAsia="仿宋"/>
          <w:b w:val="0"/>
          <w:bCs/>
          <w:color w:val="auto"/>
          <w:sz w:val="24"/>
          <w:highlight w:val="none"/>
          <w:u w:val="none"/>
          <w:shd w:val="clear" w:color="auto" w:fill="auto"/>
        </w:rPr>
      </w:pPr>
      <w:r>
        <w:rPr>
          <w:rFonts w:hint="eastAsia" w:ascii="仿宋" w:hAnsi="仿宋" w:eastAsia="仿宋"/>
          <w:b w:val="0"/>
          <w:bCs/>
          <w:color w:val="auto"/>
          <w:sz w:val="24"/>
          <w:highlight w:val="none"/>
          <w:u w:val="none"/>
          <w:shd w:val="clear" w:color="auto" w:fill="auto"/>
        </w:rPr>
        <w:t>以下规定了投标方人员配备数量的参考要求1</w:t>
      </w:r>
      <w:r>
        <w:rPr>
          <w:rFonts w:hint="eastAsia" w:ascii="仿宋" w:hAnsi="仿宋" w:eastAsia="仿宋"/>
          <w:b w:val="0"/>
          <w:bCs/>
          <w:color w:val="auto"/>
          <w:sz w:val="24"/>
          <w:highlight w:val="none"/>
          <w:u w:val="none"/>
          <w:shd w:val="clear" w:color="auto" w:fill="auto"/>
          <w:lang w:val="en-US" w:eastAsia="zh-CN"/>
        </w:rPr>
        <w:t>10</w:t>
      </w:r>
      <w:r>
        <w:rPr>
          <w:rFonts w:hint="eastAsia" w:ascii="仿宋" w:hAnsi="仿宋" w:eastAsia="仿宋"/>
          <w:b w:val="0"/>
          <w:bCs/>
          <w:color w:val="auto"/>
          <w:sz w:val="24"/>
          <w:highlight w:val="none"/>
          <w:u w:val="none"/>
          <w:shd w:val="clear" w:color="auto" w:fill="auto"/>
        </w:rPr>
        <w:t>人，投标方应结合自身实际情况提供实际人数，但不应低于</w:t>
      </w:r>
      <w:r>
        <w:rPr>
          <w:rFonts w:hint="eastAsia" w:ascii="仿宋" w:hAnsi="仿宋" w:eastAsia="仿宋"/>
          <w:b w:val="0"/>
          <w:bCs/>
          <w:color w:val="auto"/>
          <w:sz w:val="24"/>
          <w:highlight w:val="none"/>
          <w:u w:val="none"/>
          <w:shd w:val="clear" w:color="auto" w:fill="auto"/>
          <w:lang w:val="en-US" w:eastAsia="zh-CN"/>
        </w:rPr>
        <w:t>110</w:t>
      </w:r>
      <w:r>
        <w:rPr>
          <w:rFonts w:hint="eastAsia" w:ascii="仿宋" w:hAnsi="仿宋" w:eastAsia="仿宋"/>
          <w:b w:val="0"/>
          <w:bCs/>
          <w:color w:val="auto"/>
          <w:sz w:val="24"/>
          <w:highlight w:val="none"/>
          <w:u w:val="none"/>
          <w:shd w:val="clear" w:color="auto" w:fill="auto"/>
        </w:rPr>
        <w:t>人的总人数要求</w:t>
      </w:r>
      <w:r>
        <w:rPr>
          <w:rFonts w:hint="eastAsia" w:ascii="仿宋" w:hAnsi="仿宋" w:eastAsia="仿宋"/>
          <w:b w:val="0"/>
          <w:bCs/>
          <w:color w:val="auto"/>
          <w:sz w:val="24"/>
          <w:highlight w:val="none"/>
          <w:u w:val="none"/>
          <w:shd w:val="clear" w:color="auto" w:fill="auto"/>
          <w:lang w:eastAsia="zh-CN"/>
        </w:rPr>
        <w:t>（行政事务部不低于</w:t>
      </w:r>
      <w:r>
        <w:rPr>
          <w:rFonts w:hint="eastAsia" w:ascii="仿宋" w:hAnsi="仿宋" w:eastAsia="仿宋"/>
          <w:b w:val="0"/>
          <w:bCs/>
          <w:color w:val="auto"/>
          <w:sz w:val="24"/>
          <w:highlight w:val="none"/>
          <w:u w:val="none"/>
          <w:shd w:val="clear" w:color="auto" w:fill="auto"/>
          <w:lang w:val="en-US" w:eastAsia="zh-CN"/>
        </w:rPr>
        <w:t>4人，设施与设备维修服务不低于15人，环境卫生维护服务不低于43人，秩序维护服务不低于48人</w:t>
      </w:r>
      <w:r>
        <w:rPr>
          <w:rFonts w:hint="eastAsia" w:ascii="仿宋" w:hAnsi="仿宋" w:eastAsia="仿宋"/>
          <w:b w:val="0"/>
          <w:bCs/>
          <w:color w:val="auto"/>
          <w:sz w:val="24"/>
          <w:highlight w:val="none"/>
          <w:u w:val="none"/>
          <w:shd w:val="clear" w:color="auto" w:fill="auto"/>
          <w:lang w:eastAsia="zh-CN"/>
        </w:rPr>
        <w:t>）</w:t>
      </w:r>
      <w:r>
        <w:rPr>
          <w:rFonts w:hint="eastAsia" w:ascii="仿宋" w:hAnsi="仿宋" w:eastAsia="仿宋"/>
          <w:b w:val="0"/>
          <w:bCs/>
          <w:color w:val="auto"/>
          <w:sz w:val="24"/>
          <w:highlight w:val="none"/>
          <w:u w:val="none"/>
          <w:shd w:val="clear" w:color="auto" w:fill="auto"/>
        </w:rPr>
        <w:t>。具体如下：</w:t>
      </w:r>
    </w:p>
    <w:p w14:paraId="1430E0ED">
      <w:pPr>
        <w:pStyle w:val="2"/>
        <w:rPr>
          <w:rFonts w:hint="eastAsia"/>
          <w:color w:val="auto"/>
        </w:rPr>
      </w:pPr>
    </w:p>
    <w:tbl>
      <w:tblPr>
        <w:tblStyle w:val="18"/>
        <w:tblW w:w="8835" w:type="dxa"/>
        <w:tblInd w:w="0" w:type="dxa"/>
        <w:tblLayout w:type="fixed"/>
        <w:tblCellMar>
          <w:top w:w="0" w:type="dxa"/>
          <w:left w:w="108" w:type="dxa"/>
          <w:bottom w:w="0" w:type="dxa"/>
          <w:right w:w="108" w:type="dxa"/>
        </w:tblCellMar>
      </w:tblPr>
      <w:tblGrid>
        <w:gridCol w:w="1080"/>
        <w:gridCol w:w="3615"/>
        <w:gridCol w:w="1269"/>
        <w:gridCol w:w="2871"/>
      </w:tblGrid>
      <w:tr w14:paraId="51C17C0A">
        <w:tblPrEx>
          <w:tblCellMar>
            <w:top w:w="0" w:type="dxa"/>
            <w:left w:w="108" w:type="dxa"/>
            <w:bottom w:w="0" w:type="dxa"/>
            <w:right w:w="108" w:type="dxa"/>
          </w:tblCellMar>
        </w:tblPrEx>
        <w:trPr>
          <w:cantSplit/>
          <w:trHeight w:val="403" w:hRule="atLeast"/>
        </w:trPr>
        <w:tc>
          <w:tcPr>
            <w:tcW w:w="1080" w:type="dxa"/>
            <w:tcBorders>
              <w:top w:val="single" w:color="auto" w:sz="4" w:space="0"/>
              <w:left w:val="single" w:color="auto" w:sz="4" w:space="0"/>
              <w:bottom w:val="single" w:color="auto" w:sz="4" w:space="0"/>
              <w:right w:val="single" w:color="auto" w:sz="4" w:space="0"/>
            </w:tcBorders>
            <w:noWrap w:val="0"/>
            <w:vAlign w:val="center"/>
          </w:tcPr>
          <w:p w14:paraId="4E91D50F">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序号</w:t>
            </w:r>
          </w:p>
        </w:tc>
        <w:tc>
          <w:tcPr>
            <w:tcW w:w="3615" w:type="dxa"/>
            <w:tcBorders>
              <w:top w:val="single" w:color="auto" w:sz="4" w:space="0"/>
              <w:left w:val="nil"/>
              <w:bottom w:val="single" w:color="auto" w:sz="4" w:space="0"/>
              <w:right w:val="single" w:color="auto" w:sz="4" w:space="0"/>
            </w:tcBorders>
            <w:noWrap w:val="0"/>
            <w:vAlign w:val="center"/>
          </w:tcPr>
          <w:p w14:paraId="6C5C0553">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项目</w:t>
            </w:r>
          </w:p>
        </w:tc>
        <w:tc>
          <w:tcPr>
            <w:tcW w:w="1269" w:type="dxa"/>
            <w:tcBorders>
              <w:top w:val="single" w:color="auto" w:sz="4" w:space="0"/>
              <w:left w:val="nil"/>
              <w:bottom w:val="single" w:color="auto" w:sz="4" w:space="0"/>
              <w:right w:val="single" w:color="auto" w:sz="4" w:space="0"/>
            </w:tcBorders>
            <w:noWrap w:val="0"/>
            <w:vAlign w:val="center"/>
          </w:tcPr>
          <w:p w14:paraId="2AC75672">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配置人数</w:t>
            </w:r>
          </w:p>
        </w:tc>
        <w:tc>
          <w:tcPr>
            <w:tcW w:w="2871" w:type="dxa"/>
            <w:tcBorders>
              <w:top w:val="single" w:color="auto" w:sz="4" w:space="0"/>
              <w:left w:val="nil"/>
              <w:bottom w:val="single" w:color="auto" w:sz="4" w:space="0"/>
              <w:right w:val="single" w:color="auto" w:sz="4" w:space="0"/>
            </w:tcBorders>
            <w:noWrap w:val="0"/>
            <w:vAlign w:val="center"/>
          </w:tcPr>
          <w:p w14:paraId="28E34146">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备注</w:t>
            </w:r>
          </w:p>
        </w:tc>
      </w:tr>
      <w:tr w14:paraId="7FF5298C">
        <w:tblPrEx>
          <w:tblCellMar>
            <w:top w:w="0" w:type="dxa"/>
            <w:left w:w="108" w:type="dxa"/>
            <w:bottom w:w="0" w:type="dxa"/>
            <w:right w:w="108" w:type="dxa"/>
          </w:tblCellMar>
        </w:tblPrEx>
        <w:trPr>
          <w:cantSplit/>
          <w:trHeight w:val="341" w:hRule="atLeast"/>
        </w:trPr>
        <w:tc>
          <w:tcPr>
            <w:tcW w:w="1080" w:type="dxa"/>
            <w:tcBorders>
              <w:top w:val="nil"/>
              <w:left w:val="single" w:color="auto" w:sz="4" w:space="0"/>
              <w:bottom w:val="single" w:color="auto" w:sz="4" w:space="0"/>
              <w:right w:val="single" w:color="auto" w:sz="4" w:space="0"/>
            </w:tcBorders>
            <w:noWrap w:val="0"/>
            <w:vAlign w:val="center"/>
          </w:tcPr>
          <w:p w14:paraId="5E16B337">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一</w:t>
            </w:r>
          </w:p>
        </w:tc>
        <w:tc>
          <w:tcPr>
            <w:tcW w:w="3615" w:type="dxa"/>
            <w:tcBorders>
              <w:top w:val="nil"/>
              <w:left w:val="nil"/>
              <w:bottom w:val="single" w:color="auto" w:sz="4" w:space="0"/>
              <w:right w:val="single" w:color="auto" w:sz="4" w:space="0"/>
            </w:tcBorders>
            <w:noWrap w:val="0"/>
            <w:vAlign w:val="center"/>
          </w:tcPr>
          <w:p w14:paraId="1C2D171E">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行政事务部</w:t>
            </w:r>
          </w:p>
        </w:tc>
        <w:tc>
          <w:tcPr>
            <w:tcW w:w="1269" w:type="dxa"/>
            <w:tcBorders>
              <w:top w:val="nil"/>
              <w:left w:val="nil"/>
              <w:bottom w:val="single" w:color="auto" w:sz="4" w:space="0"/>
              <w:right w:val="single" w:color="auto" w:sz="4" w:space="0"/>
            </w:tcBorders>
            <w:noWrap w:val="0"/>
            <w:vAlign w:val="center"/>
          </w:tcPr>
          <w:p w14:paraId="548140C3">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4</w:t>
            </w:r>
          </w:p>
        </w:tc>
        <w:tc>
          <w:tcPr>
            <w:tcW w:w="2871" w:type="dxa"/>
            <w:tcBorders>
              <w:top w:val="nil"/>
              <w:left w:val="nil"/>
              <w:bottom w:val="single" w:color="auto" w:sz="4" w:space="0"/>
              <w:right w:val="single" w:color="auto" w:sz="4" w:space="0"/>
            </w:tcBorders>
            <w:noWrap w:val="0"/>
            <w:vAlign w:val="center"/>
          </w:tcPr>
          <w:p w14:paraId="65C068BA">
            <w:pPr>
              <w:spacing w:line="400" w:lineRule="exact"/>
              <w:jc w:val="center"/>
              <w:outlineLvl w:val="0"/>
              <w:rPr>
                <w:rFonts w:hint="eastAsia" w:ascii="仿宋_GB2312" w:hAnsi="仿宋_GB2312" w:eastAsia="仿宋_GB2312" w:cs="仿宋_GB2312"/>
                <w:b/>
                <w:bCs w:val="0"/>
                <w:color w:val="auto"/>
                <w:sz w:val="24"/>
                <w:highlight w:val="none"/>
                <w:u w:val="none"/>
              </w:rPr>
            </w:pPr>
          </w:p>
        </w:tc>
      </w:tr>
      <w:tr w14:paraId="2493EABA">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2C45F844">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3615" w:type="dxa"/>
            <w:tcBorders>
              <w:top w:val="nil"/>
              <w:left w:val="nil"/>
              <w:bottom w:val="single" w:color="auto" w:sz="4" w:space="0"/>
              <w:right w:val="single" w:color="auto" w:sz="4" w:space="0"/>
            </w:tcBorders>
            <w:noWrap w:val="0"/>
            <w:vAlign w:val="center"/>
          </w:tcPr>
          <w:p w14:paraId="60ADD9D7">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项目经理</w:t>
            </w:r>
          </w:p>
        </w:tc>
        <w:tc>
          <w:tcPr>
            <w:tcW w:w="1269" w:type="dxa"/>
            <w:tcBorders>
              <w:top w:val="nil"/>
              <w:left w:val="nil"/>
              <w:bottom w:val="single" w:color="auto" w:sz="4" w:space="0"/>
              <w:right w:val="single" w:color="auto" w:sz="4" w:space="0"/>
            </w:tcBorders>
            <w:noWrap w:val="0"/>
            <w:vAlign w:val="center"/>
          </w:tcPr>
          <w:p w14:paraId="6BB79EB9">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6D66313A">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7C439A25">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346E046E">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2</w:t>
            </w:r>
          </w:p>
        </w:tc>
        <w:tc>
          <w:tcPr>
            <w:tcW w:w="3615" w:type="dxa"/>
            <w:tcBorders>
              <w:top w:val="nil"/>
              <w:left w:val="nil"/>
              <w:bottom w:val="single" w:color="auto" w:sz="4" w:space="0"/>
              <w:right w:val="single" w:color="auto" w:sz="4" w:space="0"/>
            </w:tcBorders>
            <w:noWrap w:val="0"/>
            <w:vAlign w:val="center"/>
          </w:tcPr>
          <w:p w14:paraId="70D58E01">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项目经理助理</w:t>
            </w:r>
          </w:p>
        </w:tc>
        <w:tc>
          <w:tcPr>
            <w:tcW w:w="1269" w:type="dxa"/>
            <w:tcBorders>
              <w:top w:val="nil"/>
              <w:left w:val="nil"/>
              <w:bottom w:val="single" w:color="auto" w:sz="4" w:space="0"/>
              <w:right w:val="single" w:color="auto" w:sz="4" w:space="0"/>
            </w:tcBorders>
            <w:noWrap w:val="0"/>
            <w:vAlign w:val="center"/>
          </w:tcPr>
          <w:p w14:paraId="0BC59A71">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209B216C">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5AAE6FFB">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309868CF">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3</w:t>
            </w:r>
          </w:p>
        </w:tc>
        <w:tc>
          <w:tcPr>
            <w:tcW w:w="3615" w:type="dxa"/>
            <w:tcBorders>
              <w:top w:val="nil"/>
              <w:left w:val="nil"/>
              <w:bottom w:val="single" w:color="auto" w:sz="4" w:space="0"/>
              <w:right w:val="single" w:color="auto" w:sz="4" w:space="0"/>
            </w:tcBorders>
            <w:noWrap w:val="0"/>
            <w:vAlign w:val="center"/>
          </w:tcPr>
          <w:p w14:paraId="2E542E98">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综合主管</w:t>
            </w:r>
          </w:p>
        </w:tc>
        <w:tc>
          <w:tcPr>
            <w:tcW w:w="1269" w:type="dxa"/>
            <w:tcBorders>
              <w:top w:val="nil"/>
              <w:left w:val="nil"/>
              <w:bottom w:val="single" w:color="auto" w:sz="4" w:space="0"/>
              <w:right w:val="single" w:color="auto" w:sz="4" w:space="0"/>
            </w:tcBorders>
            <w:noWrap w:val="0"/>
            <w:vAlign w:val="center"/>
          </w:tcPr>
          <w:p w14:paraId="4194B81F">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6DBC2450">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12731E68">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2BAA7331">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4</w:t>
            </w:r>
          </w:p>
        </w:tc>
        <w:tc>
          <w:tcPr>
            <w:tcW w:w="3615" w:type="dxa"/>
            <w:tcBorders>
              <w:top w:val="nil"/>
              <w:left w:val="nil"/>
              <w:bottom w:val="single" w:color="auto" w:sz="4" w:space="0"/>
              <w:right w:val="single" w:color="auto" w:sz="4" w:space="0"/>
            </w:tcBorders>
            <w:noWrap w:val="0"/>
            <w:vAlign w:val="center"/>
          </w:tcPr>
          <w:p w14:paraId="4C0520BB">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文员</w:t>
            </w:r>
          </w:p>
        </w:tc>
        <w:tc>
          <w:tcPr>
            <w:tcW w:w="1269" w:type="dxa"/>
            <w:tcBorders>
              <w:top w:val="nil"/>
              <w:left w:val="nil"/>
              <w:bottom w:val="single" w:color="auto" w:sz="4" w:space="0"/>
              <w:right w:val="single" w:color="auto" w:sz="4" w:space="0"/>
            </w:tcBorders>
            <w:noWrap w:val="0"/>
            <w:vAlign w:val="center"/>
          </w:tcPr>
          <w:p w14:paraId="03718CCA">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2CA40126">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3EBE2BD0">
        <w:tblPrEx>
          <w:tblCellMar>
            <w:top w:w="0" w:type="dxa"/>
            <w:left w:w="108" w:type="dxa"/>
            <w:bottom w:w="0" w:type="dxa"/>
            <w:right w:w="108" w:type="dxa"/>
          </w:tblCellMar>
        </w:tblPrEx>
        <w:trPr>
          <w:cantSplit/>
          <w:trHeight w:val="391" w:hRule="atLeast"/>
        </w:trPr>
        <w:tc>
          <w:tcPr>
            <w:tcW w:w="1080" w:type="dxa"/>
            <w:tcBorders>
              <w:top w:val="nil"/>
              <w:left w:val="single" w:color="auto" w:sz="4" w:space="0"/>
              <w:bottom w:val="single" w:color="auto" w:sz="4" w:space="0"/>
              <w:right w:val="single" w:color="auto" w:sz="4" w:space="0"/>
            </w:tcBorders>
            <w:noWrap w:val="0"/>
            <w:vAlign w:val="center"/>
          </w:tcPr>
          <w:p w14:paraId="371479A7">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二</w:t>
            </w:r>
          </w:p>
        </w:tc>
        <w:tc>
          <w:tcPr>
            <w:tcW w:w="3615" w:type="dxa"/>
            <w:tcBorders>
              <w:top w:val="nil"/>
              <w:left w:val="nil"/>
              <w:bottom w:val="single" w:color="auto" w:sz="4" w:space="0"/>
              <w:right w:val="single" w:color="auto" w:sz="4" w:space="0"/>
            </w:tcBorders>
            <w:noWrap w:val="0"/>
            <w:vAlign w:val="center"/>
          </w:tcPr>
          <w:p w14:paraId="03E13B3A">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设施与设备维修服务</w:t>
            </w:r>
          </w:p>
        </w:tc>
        <w:tc>
          <w:tcPr>
            <w:tcW w:w="1269" w:type="dxa"/>
            <w:tcBorders>
              <w:top w:val="nil"/>
              <w:left w:val="nil"/>
              <w:bottom w:val="single" w:color="auto" w:sz="4" w:space="0"/>
              <w:right w:val="single" w:color="auto" w:sz="4" w:space="0"/>
            </w:tcBorders>
            <w:noWrap w:val="0"/>
            <w:vAlign w:val="center"/>
          </w:tcPr>
          <w:p w14:paraId="063A2EDC">
            <w:pPr>
              <w:spacing w:line="400" w:lineRule="exact"/>
              <w:jc w:val="center"/>
              <w:outlineLvl w:val="0"/>
              <w:rPr>
                <w:rFonts w:hint="default" w:ascii="仿宋_GB2312" w:hAnsi="仿宋_GB2312" w:eastAsia="仿宋_GB2312" w:cs="仿宋_GB2312"/>
                <w:b/>
                <w:bCs w:val="0"/>
                <w:color w:val="auto"/>
                <w:sz w:val="24"/>
                <w:highlight w:val="none"/>
                <w:u w:val="none"/>
                <w:lang w:val="en-US" w:eastAsia="zh-CN"/>
              </w:rPr>
            </w:pPr>
            <w:r>
              <w:rPr>
                <w:rFonts w:hint="eastAsia" w:ascii="仿宋_GB2312" w:hAnsi="仿宋_GB2312" w:eastAsia="仿宋_GB2312" w:cs="仿宋_GB2312"/>
                <w:b/>
                <w:bCs w:val="0"/>
                <w:color w:val="auto"/>
                <w:sz w:val="24"/>
                <w:highlight w:val="none"/>
                <w:lang w:val="en-US" w:eastAsia="zh-CN"/>
              </w:rPr>
              <w:t>15</w:t>
            </w:r>
          </w:p>
        </w:tc>
        <w:tc>
          <w:tcPr>
            <w:tcW w:w="2871" w:type="dxa"/>
            <w:tcBorders>
              <w:top w:val="nil"/>
              <w:left w:val="nil"/>
              <w:bottom w:val="single" w:color="auto" w:sz="4" w:space="0"/>
              <w:right w:val="single" w:color="auto" w:sz="4" w:space="0"/>
            </w:tcBorders>
            <w:noWrap w:val="0"/>
            <w:vAlign w:val="center"/>
          </w:tcPr>
          <w:p w14:paraId="30D6E884">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0FB26A26">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0D56E0AC">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3615" w:type="dxa"/>
            <w:tcBorders>
              <w:top w:val="nil"/>
              <w:left w:val="nil"/>
              <w:bottom w:val="single" w:color="auto" w:sz="4" w:space="0"/>
              <w:right w:val="single" w:color="auto" w:sz="4" w:space="0"/>
            </w:tcBorders>
            <w:noWrap w:val="0"/>
            <w:vAlign w:val="center"/>
          </w:tcPr>
          <w:p w14:paraId="53503851">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工程主管</w:t>
            </w:r>
          </w:p>
        </w:tc>
        <w:tc>
          <w:tcPr>
            <w:tcW w:w="1269" w:type="dxa"/>
            <w:tcBorders>
              <w:top w:val="nil"/>
              <w:left w:val="nil"/>
              <w:bottom w:val="single" w:color="auto" w:sz="4" w:space="0"/>
              <w:right w:val="single" w:color="auto" w:sz="4" w:space="0"/>
            </w:tcBorders>
            <w:noWrap w:val="0"/>
            <w:vAlign w:val="center"/>
          </w:tcPr>
          <w:p w14:paraId="0B352191">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64E78B9A">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1D1322FC">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638422A1">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2</w:t>
            </w:r>
          </w:p>
        </w:tc>
        <w:tc>
          <w:tcPr>
            <w:tcW w:w="3615" w:type="dxa"/>
            <w:tcBorders>
              <w:top w:val="nil"/>
              <w:left w:val="nil"/>
              <w:bottom w:val="single" w:color="auto" w:sz="4" w:space="0"/>
              <w:right w:val="single" w:color="auto" w:sz="4" w:space="0"/>
            </w:tcBorders>
            <w:noWrap w:val="0"/>
            <w:vAlign w:val="center"/>
          </w:tcPr>
          <w:p w14:paraId="09875799">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领班</w:t>
            </w:r>
          </w:p>
        </w:tc>
        <w:tc>
          <w:tcPr>
            <w:tcW w:w="1269" w:type="dxa"/>
            <w:tcBorders>
              <w:top w:val="nil"/>
              <w:left w:val="nil"/>
              <w:bottom w:val="single" w:color="auto" w:sz="4" w:space="0"/>
              <w:right w:val="single" w:color="auto" w:sz="4" w:space="0"/>
            </w:tcBorders>
            <w:noWrap w:val="0"/>
            <w:vAlign w:val="center"/>
          </w:tcPr>
          <w:p w14:paraId="4175E2EF">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66B76051">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502D79A8">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45FA5F3A">
            <w:pPr>
              <w:spacing w:line="400" w:lineRule="exact"/>
              <w:jc w:val="center"/>
              <w:outlineLvl w:val="0"/>
              <w:rPr>
                <w:rFonts w:hint="eastAsia" w:ascii="仿宋_GB2312" w:hAnsi="仿宋_GB2312" w:eastAsia="仿宋_GB2312" w:cs="仿宋_GB2312"/>
                <w:b w:val="0"/>
                <w:bCs/>
                <w:color w:val="auto"/>
                <w:sz w:val="24"/>
                <w:highlight w:val="none"/>
                <w:u w:val="none"/>
                <w:lang w:eastAsia="zh-CN"/>
              </w:rPr>
            </w:pPr>
            <w:r>
              <w:rPr>
                <w:rFonts w:hint="eastAsia" w:ascii="仿宋_GB2312" w:hAnsi="仿宋_GB2312" w:eastAsia="仿宋_GB2312" w:cs="仿宋_GB2312"/>
                <w:b w:val="0"/>
                <w:bCs/>
                <w:color w:val="auto"/>
                <w:sz w:val="24"/>
                <w:highlight w:val="none"/>
                <w:lang w:val="en-US" w:eastAsia="zh-CN"/>
              </w:rPr>
              <w:t>3</w:t>
            </w:r>
          </w:p>
        </w:tc>
        <w:tc>
          <w:tcPr>
            <w:tcW w:w="3615" w:type="dxa"/>
            <w:tcBorders>
              <w:top w:val="nil"/>
              <w:left w:val="nil"/>
              <w:bottom w:val="single" w:color="auto" w:sz="4" w:space="0"/>
              <w:right w:val="single" w:color="auto" w:sz="4" w:space="0"/>
            </w:tcBorders>
            <w:noWrap w:val="0"/>
            <w:vAlign w:val="center"/>
          </w:tcPr>
          <w:p w14:paraId="165AA4A5">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综合维修工</w:t>
            </w:r>
          </w:p>
        </w:tc>
        <w:tc>
          <w:tcPr>
            <w:tcW w:w="1269" w:type="dxa"/>
            <w:tcBorders>
              <w:top w:val="nil"/>
              <w:left w:val="nil"/>
              <w:bottom w:val="single" w:color="auto" w:sz="4" w:space="0"/>
              <w:right w:val="single" w:color="auto" w:sz="4" w:space="0"/>
            </w:tcBorders>
            <w:noWrap w:val="0"/>
            <w:vAlign w:val="center"/>
          </w:tcPr>
          <w:p w14:paraId="58788D92">
            <w:pPr>
              <w:spacing w:line="400" w:lineRule="exact"/>
              <w:jc w:val="center"/>
              <w:outlineLvl w:val="0"/>
              <w:rPr>
                <w:rFonts w:hint="default" w:ascii="仿宋_GB2312" w:hAnsi="仿宋_GB2312" w:eastAsia="仿宋_GB2312" w:cs="仿宋_GB2312"/>
                <w:b w:val="0"/>
                <w:bCs/>
                <w:color w:val="auto"/>
                <w:sz w:val="24"/>
                <w:highlight w:val="none"/>
                <w:u w:val="none"/>
                <w:lang w:val="en-US" w:eastAsia="zh-CN"/>
              </w:rPr>
            </w:pPr>
            <w:r>
              <w:rPr>
                <w:rFonts w:hint="eastAsia" w:ascii="仿宋_GB2312" w:hAnsi="仿宋_GB2312" w:eastAsia="仿宋_GB2312" w:cs="仿宋_GB2312"/>
                <w:b w:val="0"/>
                <w:bCs/>
                <w:color w:val="auto"/>
                <w:sz w:val="24"/>
                <w:highlight w:val="none"/>
                <w:lang w:val="en-US" w:eastAsia="zh-CN"/>
              </w:rPr>
              <w:t>12</w:t>
            </w:r>
          </w:p>
        </w:tc>
        <w:tc>
          <w:tcPr>
            <w:tcW w:w="2871" w:type="dxa"/>
            <w:tcBorders>
              <w:top w:val="nil"/>
              <w:left w:val="nil"/>
              <w:bottom w:val="single" w:color="auto" w:sz="4" w:space="0"/>
              <w:right w:val="single" w:color="auto" w:sz="4" w:space="0"/>
            </w:tcBorders>
            <w:noWrap w:val="0"/>
            <w:vAlign w:val="center"/>
          </w:tcPr>
          <w:p w14:paraId="493B238E">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773B2769">
        <w:tblPrEx>
          <w:tblCellMar>
            <w:top w:w="0" w:type="dxa"/>
            <w:left w:w="108" w:type="dxa"/>
            <w:bottom w:w="0" w:type="dxa"/>
            <w:right w:w="108" w:type="dxa"/>
          </w:tblCellMar>
        </w:tblPrEx>
        <w:trPr>
          <w:cantSplit/>
          <w:trHeight w:val="612" w:hRule="atLeast"/>
        </w:trPr>
        <w:tc>
          <w:tcPr>
            <w:tcW w:w="1080" w:type="dxa"/>
            <w:tcBorders>
              <w:top w:val="nil"/>
              <w:left w:val="single" w:color="auto" w:sz="4" w:space="0"/>
              <w:bottom w:val="single" w:color="auto" w:sz="4" w:space="0"/>
              <w:right w:val="single" w:color="auto" w:sz="4" w:space="0"/>
            </w:tcBorders>
            <w:noWrap w:val="0"/>
            <w:vAlign w:val="center"/>
          </w:tcPr>
          <w:p w14:paraId="37521F43">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0"/>
              <w:rPr>
                <w:rFonts w:hint="eastAsia" w:ascii="仿宋_GB2312" w:hAnsi="仿宋_GB2312" w:eastAsia="仿宋_GB2312" w:cs="仿宋_GB2312"/>
                <w:b w:val="0"/>
                <w:bCs/>
                <w:color w:val="auto"/>
                <w:sz w:val="24"/>
                <w:highlight w:val="none"/>
                <w:u w:val="none"/>
                <w:lang w:eastAsia="zh-CN"/>
              </w:rPr>
            </w:pPr>
            <w:r>
              <w:rPr>
                <w:rFonts w:hint="eastAsia" w:ascii="仿宋_GB2312" w:hAnsi="仿宋_GB2312" w:eastAsia="仿宋_GB2312" w:cs="仿宋_GB2312"/>
                <w:b w:val="0"/>
                <w:bCs/>
                <w:color w:val="auto"/>
                <w:sz w:val="24"/>
                <w:highlight w:val="none"/>
                <w:lang w:val="en-US" w:eastAsia="zh-CN"/>
              </w:rPr>
              <w:t>4</w:t>
            </w:r>
          </w:p>
        </w:tc>
        <w:tc>
          <w:tcPr>
            <w:tcW w:w="3615" w:type="dxa"/>
            <w:tcBorders>
              <w:top w:val="nil"/>
              <w:left w:val="nil"/>
              <w:bottom w:val="single" w:color="auto" w:sz="4" w:space="0"/>
              <w:right w:val="single" w:color="auto" w:sz="4" w:space="0"/>
            </w:tcBorders>
            <w:noWrap w:val="0"/>
            <w:vAlign w:val="center"/>
          </w:tcPr>
          <w:p w14:paraId="7911F70E">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综合维修工（专用）</w:t>
            </w:r>
          </w:p>
        </w:tc>
        <w:tc>
          <w:tcPr>
            <w:tcW w:w="1269" w:type="dxa"/>
            <w:tcBorders>
              <w:top w:val="nil"/>
              <w:left w:val="nil"/>
              <w:bottom w:val="single" w:color="auto" w:sz="4" w:space="0"/>
              <w:right w:val="single" w:color="auto" w:sz="4" w:space="0"/>
            </w:tcBorders>
            <w:noWrap w:val="0"/>
            <w:vAlign w:val="center"/>
          </w:tcPr>
          <w:p w14:paraId="786BB151">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0"/>
              <w:rPr>
                <w:rFonts w:hint="eastAsia" w:ascii="仿宋_GB2312" w:hAnsi="仿宋_GB2312" w:eastAsia="仿宋_GB2312" w:cs="仿宋_GB2312"/>
                <w:b w:val="0"/>
                <w:bCs/>
                <w:color w:val="auto"/>
                <w:sz w:val="24"/>
                <w:highlight w:val="none"/>
                <w:u w:val="none"/>
                <w:lang w:eastAsia="zh-CN"/>
              </w:rPr>
            </w:pPr>
            <w:r>
              <w:rPr>
                <w:rFonts w:hint="eastAsia" w:ascii="仿宋_GB2312" w:hAnsi="仿宋_GB2312" w:eastAsia="仿宋_GB2312" w:cs="仿宋_GB2312"/>
                <w:b w:val="0"/>
                <w:bCs/>
                <w:color w:val="auto"/>
                <w:sz w:val="24"/>
                <w:highlight w:val="none"/>
                <w:lang w:val="en-US" w:eastAsia="zh-CN"/>
              </w:rPr>
              <w:t>1</w:t>
            </w:r>
          </w:p>
        </w:tc>
        <w:tc>
          <w:tcPr>
            <w:tcW w:w="2871" w:type="dxa"/>
            <w:tcBorders>
              <w:top w:val="nil"/>
              <w:left w:val="nil"/>
              <w:bottom w:val="single" w:color="auto" w:sz="4" w:space="0"/>
              <w:right w:val="single" w:color="auto" w:sz="4" w:space="0"/>
            </w:tcBorders>
            <w:noWrap w:val="0"/>
            <w:vAlign w:val="center"/>
          </w:tcPr>
          <w:p w14:paraId="3454471A">
            <w:pPr>
              <w:keepNext w:val="0"/>
              <w:keepLines w:val="0"/>
              <w:pageBreakBefore w:val="0"/>
              <w:widowControl w:val="0"/>
              <w:kinsoku/>
              <w:wordWrap/>
              <w:overflowPunct/>
              <w:topLinePunct w:val="0"/>
              <w:autoSpaceDE/>
              <w:autoSpaceDN/>
              <w:bidi w:val="0"/>
              <w:adjustRightInd/>
              <w:snapToGrid/>
              <w:spacing w:line="300" w:lineRule="exact"/>
              <w:jc w:val="center"/>
              <w:textAlignment w:val="auto"/>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区社会治理综合服务中心</w:t>
            </w:r>
            <w:r>
              <w:rPr>
                <w:rFonts w:hint="eastAsia" w:ascii="仿宋_GB2312" w:hAnsi="仿宋_GB2312" w:eastAsia="仿宋_GB2312" w:cs="仿宋_GB2312"/>
                <w:b w:val="0"/>
                <w:bCs/>
                <w:color w:val="auto"/>
                <w:sz w:val="24"/>
                <w:highlight w:val="none"/>
                <w:lang w:eastAsia="zh-CN"/>
              </w:rPr>
              <w:t>、</w:t>
            </w:r>
            <w:r>
              <w:rPr>
                <w:rFonts w:hint="eastAsia" w:ascii="仿宋_GB2312" w:hAnsi="仿宋_GB2312" w:eastAsia="仿宋_GB2312" w:cs="仿宋_GB2312"/>
                <w:b w:val="0"/>
                <w:bCs/>
                <w:color w:val="auto"/>
                <w:sz w:val="24"/>
                <w:highlight w:val="none"/>
              </w:rPr>
              <w:t>区人武部办公楼</w:t>
            </w:r>
          </w:p>
        </w:tc>
      </w:tr>
      <w:tr w14:paraId="089CF798">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6174E36D">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三</w:t>
            </w:r>
          </w:p>
        </w:tc>
        <w:tc>
          <w:tcPr>
            <w:tcW w:w="3615" w:type="dxa"/>
            <w:tcBorders>
              <w:top w:val="nil"/>
              <w:left w:val="nil"/>
              <w:bottom w:val="single" w:color="auto" w:sz="4" w:space="0"/>
              <w:right w:val="single" w:color="auto" w:sz="4" w:space="0"/>
            </w:tcBorders>
            <w:noWrap w:val="0"/>
            <w:vAlign w:val="center"/>
          </w:tcPr>
          <w:p w14:paraId="2315DD5D">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环境卫生维护服务</w:t>
            </w:r>
          </w:p>
        </w:tc>
        <w:tc>
          <w:tcPr>
            <w:tcW w:w="1269" w:type="dxa"/>
            <w:tcBorders>
              <w:top w:val="nil"/>
              <w:left w:val="nil"/>
              <w:bottom w:val="single" w:color="auto" w:sz="4" w:space="0"/>
              <w:right w:val="single" w:color="auto" w:sz="4" w:space="0"/>
            </w:tcBorders>
            <w:noWrap w:val="0"/>
            <w:vAlign w:val="center"/>
          </w:tcPr>
          <w:p w14:paraId="02D40DE2">
            <w:pPr>
              <w:spacing w:line="400" w:lineRule="exact"/>
              <w:jc w:val="center"/>
              <w:outlineLvl w:val="0"/>
              <w:rPr>
                <w:rFonts w:hint="eastAsia" w:ascii="仿宋_GB2312" w:hAnsi="仿宋_GB2312" w:eastAsia="仿宋_GB2312" w:cs="仿宋_GB2312"/>
                <w:b/>
                <w:bCs w:val="0"/>
                <w:color w:val="auto"/>
                <w:sz w:val="24"/>
                <w:highlight w:val="none"/>
                <w:u w:val="none"/>
                <w:lang w:eastAsia="zh-CN"/>
              </w:rPr>
            </w:pPr>
            <w:r>
              <w:rPr>
                <w:rFonts w:hint="eastAsia" w:ascii="仿宋_GB2312" w:hAnsi="仿宋_GB2312" w:eastAsia="仿宋_GB2312" w:cs="仿宋_GB2312"/>
                <w:b/>
                <w:bCs w:val="0"/>
                <w:color w:val="auto"/>
                <w:sz w:val="24"/>
                <w:highlight w:val="none"/>
              </w:rPr>
              <w:t>4</w:t>
            </w:r>
            <w:r>
              <w:rPr>
                <w:rFonts w:hint="eastAsia" w:ascii="仿宋_GB2312" w:hAnsi="仿宋_GB2312" w:eastAsia="仿宋_GB2312" w:cs="仿宋_GB2312"/>
                <w:b/>
                <w:bCs w:val="0"/>
                <w:color w:val="auto"/>
                <w:sz w:val="24"/>
                <w:highlight w:val="none"/>
                <w:lang w:val="en-US" w:eastAsia="zh-CN"/>
              </w:rPr>
              <w:t>3</w:t>
            </w:r>
          </w:p>
        </w:tc>
        <w:tc>
          <w:tcPr>
            <w:tcW w:w="2871" w:type="dxa"/>
            <w:tcBorders>
              <w:top w:val="nil"/>
              <w:left w:val="nil"/>
              <w:bottom w:val="single" w:color="auto" w:sz="4" w:space="0"/>
              <w:right w:val="single" w:color="auto" w:sz="4" w:space="0"/>
            </w:tcBorders>
            <w:noWrap w:val="0"/>
            <w:vAlign w:val="center"/>
          </w:tcPr>
          <w:p w14:paraId="0AD76483">
            <w:pPr>
              <w:spacing w:line="400" w:lineRule="exact"/>
              <w:jc w:val="center"/>
              <w:outlineLvl w:val="0"/>
              <w:rPr>
                <w:rFonts w:hint="eastAsia" w:ascii="仿宋_GB2312" w:hAnsi="仿宋_GB2312" w:eastAsia="仿宋_GB2312" w:cs="仿宋_GB2312"/>
                <w:b/>
                <w:bCs w:val="0"/>
                <w:color w:val="auto"/>
                <w:sz w:val="24"/>
                <w:highlight w:val="none"/>
                <w:u w:val="none"/>
              </w:rPr>
            </w:pPr>
          </w:p>
        </w:tc>
      </w:tr>
      <w:tr w14:paraId="110BF61A">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3B08ACA6">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3615" w:type="dxa"/>
            <w:tcBorders>
              <w:top w:val="nil"/>
              <w:left w:val="nil"/>
              <w:bottom w:val="single" w:color="auto" w:sz="4" w:space="0"/>
              <w:right w:val="single" w:color="auto" w:sz="4" w:space="0"/>
            </w:tcBorders>
            <w:noWrap w:val="0"/>
            <w:vAlign w:val="center"/>
          </w:tcPr>
          <w:p w14:paraId="5B9440CC">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主管</w:t>
            </w:r>
          </w:p>
        </w:tc>
        <w:tc>
          <w:tcPr>
            <w:tcW w:w="1269" w:type="dxa"/>
            <w:tcBorders>
              <w:top w:val="nil"/>
              <w:left w:val="nil"/>
              <w:bottom w:val="single" w:color="auto" w:sz="4" w:space="0"/>
              <w:right w:val="single" w:color="auto" w:sz="4" w:space="0"/>
            </w:tcBorders>
            <w:noWrap w:val="0"/>
            <w:vAlign w:val="center"/>
          </w:tcPr>
          <w:p w14:paraId="78A83FAC">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34305856">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15D9B616">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52B51942">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2</w:t>
            </w:r>
          </w:p>
        </w:tc>
        <w:tc>
          <w:tcPr>
            <w:tcW w:w="3615" w:type="dxa"/>
            <w:tcBorders>
              <w:top w:val="nil"/>
              <w:left w:val="nil"/>
              <w:bottom w:val="single" w:color="auto" w:sz="4" w:space="0"/>
              <w:right w:val="single" w:color="auto" w:sz="4" w:space="0"/>
            </w:tcBorders>
            <w:noWrap w:val="0"/>
            <w:vAlign w:val="center"/>
          </w:tcPr>
          <w:p w14:paraId="24E639E7">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保洁领班</w:t>
            </w:r>
          </w:p>
        </w:tc>
        <w:tc>
          <w:tcPr>
            <w:tcW w:w="1269" w:type="dxa"/>
            <w:tcBorders>
              <w:top w:val="nil"/>
              <w:left w:val="nil"/>
              <w:bottom w:val="single" w:color="auto" w:sz="4" w:space="0"/>
              <w:right w:val="single" w:color="auto" w:sz="4" w:space="0"/>
            </w:tcBorders>
            <w:noWrap w:val="0"/>
            <w:vAlign w:val="center"/>
          </w:tcPr>
          <w:p w14:paraId="5A10BC16">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2</w:t>
            </w:r>
          </w:p>
        </w:tc>
        <w:tc>
          <w:tcPr>
            <w:tcW w:w="2871" w:type="dxa"/>
            <w:tcBorders>
              <w:top w:val="nil"/>
              <w:left w:val="nil"/>
              <w:bottom w:val="single" w:color="auto" w:sz="4" w:space="0"/>
              <w:right w:val="single" w:color="auto" w:sz="4" w:space="0"/>
            </w:tcBorders>
            <w:noWrap w:val="0"/>
            <w:vAlign w:val="center"/>
          </w:tcPr>
          <w:p w14:paraId="273BD192">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6E840516">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474838BC">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3</w:t>
            </w:r>
          </w:p>
        </w:tc>
        <w:tc>
          <w:tcPr>
            <w:tcW w:w="3615" w:type="dxa"/>
            <w:tcBorders>
              <w:top w:val="nil"/>
              <w:left w:val="nil"/>
              <w:bottom w:val="single" w:color="auto" w:sz="4" w:space="0"/>
              <w:right w:val="single" w:color="auto" w:sz="4" w:space="0"/>
            </w:tcBorders>
            <w:noWrap w:val="0"/>
            <w:vAlign w:val="center"/>
          </w:tcPr>
          <w:p w14:paraId="473FB4BD">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保洁员</w:t>
            </w:r>
          </w:p>
        </w:tc>
        <w:tc>
          <w:tcPr>
            <w:tcW w:w="1269" w:type="dxa"/>
            <w:tcBorders>
              <w:top w:val="nil"/>
              <w:left w:val="nil"/>
              <w:bottom w:val="single" w:color="auto" w:sz="4" w:space="0"/>
              <w:right w:val="single" w:color="auto" w:sz="4" w:space="0"/>
            </w:tcBorders>
            <w:noWrap w:val="0"/>
            <w:vAlign w:val="center"/>
          </w:tcPr>
          <w:p w14:paraId="1E74AB85">
            <w:pPr>
              <w:spacing w:line="400" w:lineRule="exact"/>
              <w:jc w:val="center"/>
              <w:outlineLvl w:val="0"/>
              <w:rPr>
                <w:rFonts w:hint="default" w:ascii="仿宋_GB2312" w:hAnsi="仿宋_GB2312" w:eastAsia="仿宋_GB2312" w:cs="仿宋_GB2312"/>
                <w:b w:val="0"/>
                <w:bCs/>
                <w:color w:val="auto"/>
                <w:sz w:val="24"/>
                <w:highlight w:val="none"/>
                <w:u w:val="none"/>
                <w:lang w:val="en-US" w:eastAsia="zh-CN"/>
              </w:rPr>
            </w:pPr>
            <w:r>
              <w:rPr>
                <w:rFonts w:hint="eastAsia" w:ascii="仿宋_GB2312" w:hAnsi="仿宋_GB2312" w:eastAsia="仿宋_GB2312" w:cs="仿宋_GB2312"/>
                <w:b w:val="0"/>
                <w:bCs/>
                <w:color w:val="auto"/>
                <w:sz w:val="24"/>
                <w:highlight w:val="none"/>
                <w:lang w:val="en-US" w:eastAsia="zh-CN"/>
              </w:rPr>
              <w:t>37</w:t>
            </w:r>
          </w:p>
        </w:tc>
        <w:tc>
          <w:tcPr>
            <w:tcW w:w="2871" w:type="dxa"/>
            <w:tcBorders>
              <w:top w:val="nil"/>
              <w:left w:val="nil"/>
              <w:bottom w:val="single" w:color="auto" w:sz="4" w:space="0"/>
              <w:right w:val="single" w:color="auto" w:sz="4" w:space="0"/>
            </w:tcBorders>
            <w:noWrap w:val="0"/>
            <w:vAlign w:val="center"/>
          </w:tcPr>
          <w:p w14:paraId="1CE41CC4">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60D71EC6">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11CE6B9B">
            <w:pPr>
              <w:spacing w:line="400" w:lineRule="exact"/>
              <w:jc w:val="center"/>
              <w:outlineLvl w:val="0"/>
              <w:rPr>
                <w:rFonts w:hint="eastAsia" w:ascii="仿宋_GB2312" w:hAnsi="仿宋_GB2312" w:eastAsia="仿宋_GB2312" w:cs="仿宋_GB2312"/>
                <w:b w:val="0"/>
                <w:bCs/>
                <w:color w:val="auto"/>
                <w:sz w:val="24"/>
                <w:highlight w:val="none"/>
                <w:u w:val="none"/>
                <w:lang w:eastAsia="zh-CN"/>
              </w:rPr>
            </w:pPr>
            <w:r>
              <w:rPr>
                <w:rFonts w:hint="eastAsia" w:ascii="仿宋_GB2312" w:hAnsi="仿宋_GB2312" w:eastAsia="仿宋_GB2312" w:cs="仿宋_GB2312"/>
                <w:b w:val="0"/>
                <w:bCs/>
                <w:color w:val="auto"/>
                <w:sz w:val="24"/>
                <w:highlight w:val="none"/>
                <w:lang w:val="en-US" w:eastAsia="zh-CN"/>
              </w:rPr>
              <w:t>4</w:t>
            </w:r>
          </w:p>
        </w:tc>
        <w:tc>
          <w:tcPr>
            <w:tcW w:w="3615" w:type="dxa"/>
            <w:tcBorders>
              <w:top w:val="nil"/>
              <w:left w:val="nil"/>
              <w:bottom w:val="single" w:color="auto" w:sz="4" w:space="0"/>
              <w:right w:val="single" w:color="auto" w:sz="4" w:space="0"/>
            </w:tcBorders>
            <w:noWrap w:val="0"/>
            <w:vAlign w:val="center"/>
          </w:tcPr>
          <w:p w14:paraId="5A6D69A6">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保洁员（专用）</w:t>
            </w:r>
          </w:p>
        </w:tc>
        <w:tc>
          <w:tcPr>
            <w:tcW w:w="1269" w:type="dxa"/>
            <w:tcBorders>
              <w:top w:val="nil"/>
              <w:left w:val="nil"/>
              <w:bottom w:val="single" w:color="auto" w:sz="4" w:space="0"/>
              <w:right w:val="single" w:color="auto" w:sz="4" w:space="0"/>
            </w:tcBorders>
            <w:noWrap w:val="0"/>
            <w:vAlign w:val="center"/>
          </w:tcPr>
          <w:p w14:paraId="3C6BE3F1">
            <w:pPr>
              <w:spacing w:line="400" w:lineRule="exact"/>
              <w:jc w:val="center"/>
              <w:outlineLvl w:val="0"/>
              <w:rPr>
                <w:rFonts w:hint="eastAsia" w:ascii="仿宋_GB2312" w:hAnsi="仿宋_GB2312" w:eastAsia="仿宋_GB2312" w:cs="仿宋_GB2312"/>
                <w:b w:val="0"/>
                <w:bCs/>
                <w:color w:val="auto"/>
                <w:sz w:val="24"/>
                <w:highlight w:val="none"/>
                <w:u w:val="none"/>
                <w:lang w:eastAsia="zh-CN"/>
              </w:rPr>
            </w:pPr>
            <w:r>
              <w:rPr>
                <w:rFonts w:hint="eastAsia" w:ascii="仿宋_GB2312" w:hAnsi="仿宋_GB2312" w:eastAsia="仿宋_GB2312" w:cs="仿宋_GB2312"/>
                <w:b w:val="0"/>
                <w:bCs/>
                <w:color w:val="auto"/>
                <w:sz w:val="24"/>
                <w:highlight w:val="none"/>
                <w:lang w:val="en-US" w:eastAsia="zh-CN"/>
              </w:rPr>
              <w:t>3</w:t>
            </w:r>
          </w:p>
        </w:tc>
        <w:tc>
          <w:tcPr>
            <w:tcW w:w="2871" w:type="dxa"/>
            <w:tcBorders>
              <w:top w:val="nil"/>
              <w:left w:val="nil"/>
              <w:bottom w:val="single" w:color="auto" w:sz="4" w:space="0"/>
              <w:right w:val="single" w:color="auto" w:sz="4" w:space="0"/>
            </w:tcBorders>
            <w:noWrap w:val="0"/>
            <w:vAlign w:val="center"/>
          </w:tcPr>
          <w:p w14:paraId="742F9811">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区社会治理综合服务中心</w:t>
            </w:r>
          </w:p>
        </w:tc>
      </w:tr>
      <w:tr w14:paraId="1548E158">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68520F59">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四</w:t>
            </w:r>
          </w:p>
        </w:tc>
        <w:tc>
          <w:tcPr>
            <w:tcW w:w="3615" w:type="dxa"/>
            <w:tcBorders>
              <w:top w:val="nil"/>
              <w:left w:val="nil"/>
              <w:bottom w:val="single" w:color="auto" w:sz="4" w:space="0"/>
              <w:right w:val="single" w:color="auto" w:sz="4" w:space="0"/>
            </w:tcBorders>
            <w:noWrap w:val="0"/>
            <w:vAlign w:val="center"/>
          </w:tcPr>
          <w:p w14:paraId="1001E24C">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秩序维护服务</w:t>
            </w:r>
          </w:p>
        </w:tc>
        <w:tc>
          <w:tcPr>
            <w:tcW w:w="1269" w:type="dxa"/>
            <w:tcBorders>
              <w:top w:val="nil"/>
              <w:left w:val="nil"/>
              <w:bottom w:val="single" w:color="auto" w:sz="4" w:space="0"/>
              <w:right w:val="single" w:color="auto" w:sz="4" w:space="0"/>
            </w:tcBorders>
            <w:noWrap w:val="0"/>
            <w:vAlign w:val="center"/>
          </w:tcPr>
          <w:p w14:paraId="1CBA21B5">
            <w:pPr>
              <w:spacing w:line="400" w:lineRule="exact"/>
              <w:jc w:val="center"/>
              <w:outlineLvl w:val="0"/>
              <w:rPr>
                <w:rFonts w:hint="default" w:ascii="仿宋_GB2312" w:hAnsi="仿宋_GB2312" w:eastAsia="仿宋_GB2312" w:cs="仿宋_GB2312"/>
                <w:b/>
                <w:bCs w:val="0"/>
                <w:color w:val="auto"/>
                <w:sz w:val="24"/>
                <w:highlight w:val="none"/>
                <w:u w:val="none"/>
                <w:lang w:val="en-US" w:eastAsia="zh-CN"/>
              </w:rPr>
            </w:pPr>
            <w:r>
              <w:rPr>
                <w:rFonts w:hint="eastAsia" w:ascii="仿宋_GB2312" w:hAnsi="仿宋_GB2312" w:eastAsia="仿宋_GB2312" w:cs="仿宋_GB2312"/>
                <w:b/>
                <w:bCs w:val="0"/>
                <w:color w:val="auto"/>
                <w:sz w:val="24"/>
                <w:highlight w:val="none"/>
                <w:lang w:val="en-US" w:eastAsia="zh-CN"/>
              </w:rPr>
              <w:t>48</w:t>
            </w:r>
          </w:p>
        </w:tc>
        <w:tc>
          <w:tcPr>
            <w:tcW w:w="2871" w:type="dxa"/>
            <w:tcBorders>
              <w:top w:val="nil"/>
              <w:left w:val="nil"/>
              <w:bottom w:val="single" w:color="auto" w:sz="4" w:space="0"/>
              <w:right w:val="single" w:color="auto" w:sz="4" w:space="0"/>
            </w:tcBorders>
            <w:noWrap w:val="0"/>
            <w:vAlign w:val="center"/>
          </w:tcPr>
          <w:p w14:paraId="669F5F7A">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689C5C36">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5DBD0897">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3615" w:type="dxa"/>
            <w:tcBorders>
              <w:top w:val="nil"/>
              <w:left w:val="nil"/>
              <w:bottom w:val="single" w:color="auto" w:sz="4" w:space="0"/>
              <w:right w:val="single" w:color="auto" w:sz="4" w:space="0"/>
            </w:tcBorders>
            <w:noWrap w:val="0"/>
            <w:vAlign w:val="center"/>
          </w:tcPr>
          <w:p w14:paraId="42F54F7A">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主管</w:t>
            </w:r>
          </w:p>
        </w:tc>
        <w:tc>
          <w:tcPr>
            <w:tcW w:w="1269" w:type="dxa"/>
            <w:tcBorders>
              <w:top w:val="nil"/>
              <w:left w:val="nil"/>
              <w:bottom w:val="single" w:color="auto" w:sz="4" w:space="0"/>
              <w:right w:val="single" w:color="auto" w:sz="4" w:space="0"/>
            </w:tcBorders>
            <w:noWrap w:val="0"/>
            <w:vAlign w:val="center"/>
          </w:tcPr>
          <w:p w14:paraId="4A7C0E68">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0C2E5846">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2C631EA2">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414BA58B">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2</w:t>
            </w:r>
          </w:p>
        </w:tc>
        <w:tc>
          <w:tcPr>
            <w:tcW w:w="3615" w:type="dxa"/>
            <w:tcBorders>
              <w:top w:val="nil"/>
              <w:left w:val="nil"/>
              <w:bottom w:val="single" w:color="auto" w:sz="4" w:space="0"/>
              <w:right w:val="single" w:color="auto" w:sz="4" w:space="0"/>
            </w:tcBorders>
            <w:noWrap w:val="0"/>
            <w:vAlign w:val="center"/>
          </w:tcPr>
          <w:p w14:paraId="1B228A3E">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消防专管员</w:t>
            </w:r>
          </w:p>
        </w:tc>
        <w:tc>
          <w:tcPr>
            <w:tcW w:w="1269" w:type="dxa"/>
            <w:tcBorders>
              <w:top w:val="nil"/>
              <w:left w:val="nil"/>
              <w:bottom w:val="single" w:color="auto" w:sz="4" w:space="0"/>
              <w:right w:val="single" w:color="auto" w:sz="4" w:space="0"/>
            </w:tcBorders>
            <w:noWrap w:val="0"/>
            <w:vAlign w:val="center"/>
          </w:tcPr>
          <w:p w14:paraId="776C69D1">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1</w:t>
            </w:r>
          </w:p>
        </w:tc>
        <w:tc>
          <w:tcPr>
            <w:tcW w:w="2871" w:type="dxa"/>
            <w:tcBorders>
              <w:top w:val="nil"/>
              <w:left w:val="nil"/>
              <w:bottom w:val="single" w:color="auto" w:sz="4" w:space="0"/>
              <w:right w:val="single" w:color="auto" w:sz="4" w:space="0"/>
            </w:tcBorders>
            <w:noWrap w:val="0"/>
            <w:vAlign w:val="center"/>
          </w:tcPr>
          <w:p w14:paraId="72CBAD0A">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31E440CB">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7AF7CCA8">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3</w:t>
            </w:r>
          </w:p>
        </w:tc>
        <w:tc>
          <w:tcPr>
            <w:tcW w:w="3615" w:type="dxa"/>
            <w:tcBorders>
              <w:top w:val="nil"/>
              <w:left w:val="nil"/>
              <w:bottom w:val="single" w:color="auto" w:sz="4" w:space="0"/>
              <w:right w:val="single" w:color="auto" w:sz="4" w:space="0"/>
            </w:tcBorders>
            <w:noWrap w:val="0"/>
            <w:vAlign w:val="center"/>
          </w:tcPr>
          <w:p w14:paraId="0B07C9ED">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领班</w:t>
            </w:r>
          </w:p>
        </w:tc>
        <w:tc>
          <w:tcPr>
            <w:tcW w:w="1269" w:type="dxa"/>
            <w:tcBorders>
              <w:top w:val="nil"/>
              <w:left w:val="nil"/>
              <w:bottom w:val="single" w:color="auto" w:sz="4" w:space="0"/>
              <w:right w:val="single" w:color="auto" w:sz="4" w:space="0"/>
            </w:tcBorders>
            <w:noWrap w:val="0"/>
            <w:vAlign w:val="center"/>
          </w:tcPr>
          <w:p w14:paraId="498447A6">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3</w:t>
            </w:r>
          </w:p>
        </w:tc>
        <w:tc>
          <w:tcPr>
            <w:tcW w:w="2871" w:type="dxa"/>
            <w:tcBorders>
              <w:top w:val="nil"/>
              <w:left w:val="nil"/>
              <w:bottom w:val="single" w:color="auto" w:sz="4" w:space="0"/>
              <w:right w:val="single" w:color="auto" w:sz="4" w:space="0"/>
            </w:tcBorders>
            <w:noWrap w:val="0"/>
            <w:vAlign w:val="center"/>
          </w:tcPr>
          <w:p w14:paraId="683FAEE3">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60C14ED1">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1F4186FD">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4</w:t>
            </w:r>
          </w:p>
        </w:tc>
        <w:tc>
          <w:tcPr>
            <w:tcW w:w="3615" w:type="dxa"/>
            <w:tcBorders>
              <w:top w:val="nil"/>
              <w:left w:val="nil"/>
              <w:bottom w:val="single" w:color="auto" w:sz="4" w:space="0"/>
              <w:right w:val="single" w:color="auto" w:sz="4" w:space="0"/>
            </w:tcBorders>
            <w:noWrap w:val="0"/>
            <w:vAlign w:val="center"/>
          </w:tcPr>
          <w:p w14:paraId="6400DA68">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lang w:val="en-US" w:eastAsia="zh-CN"/>
              </w:rPr>
              <w:t>保安</w:t>
            </w:r>
            <w:r>
              <w:rPr>
                <w:rFonts w:hint="eastAsia" w:ascii="仿宋_GB2312" w:hAnsi="仿宋_GB2312" w:eastAsia="仿宋_GB2312" w:cs="仿宋_GB2312"/>
                <w:b w:val="0"/>
                <w:bCs/>
                <w:color w:val="auto"/>
                <w:sz w:val="24"/>
                <w:highlight w:val="none"/>
              </w:rPr>
              <w:t>员</w:t>
            </w:r>
          </w:p>
        </w:tc>
        <w:tc>
          <w:tcPr>
            <w:tcW w:w="1269" w:type="dxa"/>
            <w:tcBorders>
              <w:top w:val="nil"/>
              <w:left w:val="nil"/>
              <w:bottom w:val="single" w:color="auto" w:sz="4" w:space="0"/>
              <w:right w:val="single" w:color="auto" w:sz="4" w:space="0"/>
            </w:tcBorders>
            <w:noWrap w:val="0"/>
            <w:vAlign w:val="center"/>
          </w:tcPr>
          <w:p w14:paraId="365DE462">
            <w:pPr>
              <w:spacing w:line="400" w:lineRule="exact"/>
              <w:jc w:val="center"/>
              <w:outlineLvl w:val="0"/>
              <w:rPr>
                <w:rFonts w:hint="default" w:ascii="仿宋_GB2312" w:hAnsi="仿宋_GB2312" w:eastAsia="仿宋_GB2312" w:cs="仿宋_GB2312"/>
                <w:b w:val="0"/>
                <w:bCs/>
                <w:color w:val="auto"/>
                <w:sz w:val="24"/>
                <w:highlight w:val="none"/>
                <w:u w:val="none"/>
                <w:lang w:val="en-US"/>
              </w:rPr>
            </w:pPr>
            <w:r>
              <w:rPr>
                <w:rFonts w:hint="eastAsia" w:ascii="仿宋_GB2312" w:hAnsi="仿宋_GB2312" w:eastAsia="仿宋_GB2312" w:cs="仿宋_GB2312"/>
                <w:b w:val="0"/>
                <w:bCs/>
                <w:color w:val="auto"/>
                <w:sz w:val="24"/>
                <w:highlight w:val="none"/>
                <w:lang w:val="en-US" w:eastAsia="zh-CN"/>
              </w:rPr>
              <w:t>39</w:t>
            </w:r>
          </w:p>
        </w:tc>
        <w:tc>
          <w:tcPr>
            <w:tcW w:w="2871" w:type="dxa"/>
            <w:tcBorders>
              <w:top w:val="nil"/>
              <w:left w:val="nil"/>
              <w:bottom w:val="single" w:color="auto" w:sz="4" w:space="0"/>
              <w:right w:val="single" w:color="auto" w:sz="4" w:space="0"/>
            </w:tcBorders>
            <w:noWrap w:val="0"/>
            <w:vAlign w:val="center"/>
          </w:tcPr>
          <w:p w14:paraId="2B37D7C5">
            <w:pPr>
              <w:spacing w:line="400" w:lineRule="exact"/>
              <w:jc w:val="center"/>
              <w:outlineLvl w:val="0"/>
              <w:rPr>
                <w:rFonts w:hint="eastAsia" w:ascii="仿宋_GB2312" w:hAnsi="仿宋_GB2312" w:eastAsia="仿宋_GB2312" w:cs="仿宋_GB2312"/>
                <w:b w:val="0"/>
                <w:bCs/>
                <w:color w:val="auto"/>
                <w:sz w:val="24"/>
                <w:highlight w:val="none"/>
                <w:u w:val="none"/>
              </w:rPr>
            </w:pPr>
          </w:p>
        </w:tc>
      </w:tr>
      <w:tr w14:paraId="7650AE6A">
        <w:tblPrEx>
          <w:tblCellMar>
            <w:top w:w="0" w:type="dxa"/>
            <w:left w:w="108" w:type="dxa"/>
            <w:bottom w:w="0" w:type="dxa"/>
            <w:right w:w="108" w:type="dxa"/>
          </w:tblCellMar>
        </w:tblPrEx>
        <w:trPr>
          <w:cantSplit/>
          <w:trHeight w:val="403" w:hRule="atLeast"/>
        </w:trPr>
        <w:tc>
          <w:tcPr>
            <w:tcW w:w="1080" w:type="dxa"/>
            <w:tcBorders>
              <w:top w:val="nil"/>
              <w:left w:val="single" w:color="auto" w:sz="4" w:space="0"/>
              <w:bottom w:val="single" w:color="auto" w:sz="4" w:space="0"/>
              <w:right w:val="single" w:color="auto" w:sz="4" w:space="0"/>
            </w:tcBorders>
            <w:noWrap w:val="0"/>
            <w:vAlign w:val="center"/>
          </w:tcPr>
          <w:p w14:paraId="3B6B4AE7">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5</w:t>
            </w:r>
          </w:p>
        </w:tc>
        <w:tc>
          <w:tcPr>
            <w:tcW w:w="3615" w:type="dxa"/>
            <w:tcBorders>
              <w:top w:val="nil"/>
              <w:left w:val="nil"/>
              <w:bottom w:val="single" w:color="auto" w:sz="4" w:space="0"/>
              <w:right w:val="single" w:color="auto" w:sz="4" w:space="0"/>
            </w:tcBorders>
            <w:noWrap w:val="0"/>
            <w:vAlign w:val="center"/>
          </w:tcPr>
          <w:p w14:paraId="0C467E0F">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lang w:val="en-US" w:eastAsia="zh-CN"/>
              </w:rPr>
              <w:t>保安</w:t>
            </w:r>
            <w:r>
              <w:rPr>
                <w:rFonts w:hint="eastAsia" w:ascii="仿宋_GB2312" w:hAnsi="仿宋_GB2312" w:eastAsia="仿宋_GB2312" w:cs="仿宋_GB2312"/>
                <w:b w:val="0"/>
                <w:bCs/>
                <w:color w:val="auto"/>
                <w:sz w:val="24"/>
                <w:highlight w:val="none"/>
              </w:rPr>
              <w:t>员（专用）</w:t>
            </w:r>
          </w:p>
        </w:tc>
        <w:tc>
          <w:tcPr>
            <w:tcW w:w="1269" w:type="dxa"/>
            <w:tcBorders>
              <w:top w:val="nil"/>
              <w:left w:val="nil"/>
              <w:bottom w:val="single" w:color="auto" w:sz="4" w:space="0"/>
              <w:right w:val="single" w:color="auto" w:sz="4" w:space="0"/>
            </w:tcBorders>
            <w:noWrap w:val="0"/>
            <w:vAlign w:val="center"/>
          </w:tcPr>
          <w:p w14:paraId="1AE1E32C">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4</w:t>
            </w:r>
          </w:p>
        </w:tc>
        <w:tc>
          <w:tcPr>
            <w:tcW w:w="2871" w:type="dxa"/>
            <w:tcBorders>
              <w:top w:val="nil"/>
              <w:left w:val="nil"/>
              <w:bottom w:val="single" w:color="auto" w:sz="4" w:space="0"/>
              <w:right w:val="single" w:color="auto" w:sz="4" w:space="0"/>
            </w:tcBorders>
            <w:noWrap w:val="0"/>
            <w:vAlign w:val="center"/>
          </w:tcPr>
          <w:p w14:paraId="4096DA5E">
            <w:pPr>
              <w:spacing w:line="400" w:lineRule="exact"/>
              <w:jc w:val="center"/>
              <w:outlineLvl w:val="0"/>
              <w:rPr>
                <w:rFonts w:hint="eastAsia" w:ascii="仿宋_GB2312" w:hAnsi="仿宋_GB2312" w:eastAsia="仿宋_GB2312" w:cs="仿宋_GB2312"/>
                <w:b w:val="0"/>
                <w:bCs/>
                <w:color w:val="auto"/>
                <w:sz w:val="24"/>
                <w:highlight w:val="none"/>
                <w:u w:val="none"/>
              </w:rPr>
            </w:pPr>
            <w:r>
              <w:rPr>
                <w:rFonts w:hint="eastAsia" w:ascii="仿宋_GB2312" w:hAnsi="仿宋_GB2312" w:eastAsia="仿宋_GB2312" w:cs="仿宋_GB2312"/>
                <w:b w:val="0"/>
                <w:bCs/>
                <w:color w:val="auto"/>
                <w:sz w:val="24"/>
                <w:highlight w:val="none"/>
              </w:rPr>
              <w:t>区社会治理综合服务中心</w:t>
            </w:r>
          </w:p>
        </w:tc>
      </w:tr>
      <w:tr w14:paraId="78A3BECA">
        <w:tblPrEx>
          <w:tblCellMar>
            <w:top w:w="0" w:type="dxa"/>
            <w:left w:w="108" w:type="dxa"/>
            <w:bottom w:w="0" w:type="dxa"/>
            <w:right w:w="108" w:type="dxa"/>
          </w:tblCellMar>
        </w:tblPrEx>
        <w:trPr>
          <w:cantSplit/>
          <w:trHeight w:val="363" w:hRule="atLeast"/>
        </w:trPr>
        <w:tc>
          <w:tcPr>
            <w:tcW w:w="1080" w:type="dxa"/>
            <w:tcBorders>
              <w:top w:val="nil"/>
              <w:left w:val="single" w:color="auto" w:sz="4" w:space="0"/>
              <w:bottom w:val="single" w:color="auto" w:sz="4" w:space="0"/>
              <w:right w:val="single" w:color="auto" w:sz="4" w:space="0"/>
            </w:tcBorders>
            <w:noWrap w:val="0"/>
            <w:vAlign w:val="center"/>
          </w:tcPr>
          <w:p w14:paraId="5A3955E8">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五</w:t>
            </w:r>
          </w:p>
        </w:tc>
        <w:tc>
          <w:tcPr>
            <w:tcW w:w="3615" w:type="dxa"/>
            <w:tcBorders>
              <w:top w:val="nil"/>
              <w:left w:val="nil"/>
              <w:bottom w:val="single" w:color="auto" w:sz="4" w:space="0"/>
              <w:right w:val="single" w:color="auto" w:sz="4" w:space="0"/>
            </w:tcBorders>
            <w:noWrap w:val="0"/>
            <w:vAlign w:val="center"/>
          </w:tcPr>
          <w:p w14:paraId="2E3538B4">
            <w:pPr>
              <w:spacing w:line="400" w:lineRule="exact"/>
              <w:jc w:val="center"/>
              <w:outlineLvl w:val="0"/>
              <w:rPr>
                <w:rFonts w:hint="eastAsia" w:ascii="仿宋_GB2312" w:hAnsi="仿宋_GB2312" w:eastAsia="仿宋_GB2312" w:cs="仿宋_GB2312"/>
                <w:b/>
                <w:bCs w:val="0"/>
                <w:color w:val="auto"/>
                <w:sz w:val="24"/>
                <w:highlight w:val="none"/>
                <w:u w:val="none"/>
              </w:rPr>
            </w:pPr>
            <w:r>
              <w:rPr>
                <w:rFonts w:hint="eastAsia" w:ascii="仿宋_GB2312" w:hAnsi="仿宋_GB2312" w:eastAsia="仿宋_GB2312" w:cs="仿宋_GB2312"/>
                <w:b/>
                <w:bCs w:val="0"/>
                <w:color w:val="auto"/>
                <w:sz w:val="24"/>
                <w:highlight w:val="none"/>
              </w:rPr>
              <w:t>合计</w:t>
            </w:r>
          </w:p>
        </w:tc>
        <w:tc>
          <w:tcPr>
            <w:tcW w:w="1269" w:type="dxa"/>
            <w:tcBorders>
              <w:top w:val="nil"/>
              <w:left w:val="nil"/>
              <w:bottom w:val="single" w:color="auto" w:sz="4" w:space="0"/>
              <w:right w:val="single" w:color="auto" w:sz="4" w:space="0"/>
            </w:tcBorders>
            <w:noWrap w:val="0"/>
            <w:vAlign w:val="center"/>
          </w:tcPr>
          <w:p w14:paraId="0187B09E">
            <w:pPr>
              <w:spacing w:line="400" w:lineRule="exact"/>
              <w:jc w:val="center"/>
              <w:outlineLvl w:val="0"/>
              <w:rPr>
                <w:rFonts w:hint="default" w:ascii="仿宋_GB2312" w:hAnsi="仿宋_GB2312" w:eastAsia="仿宋_GB2312" w:cs="仿宋_GB2312"/>
                <w:b/>
                <w:bCs w:val="0"/>
                <w:color w:val="auto"/>
                <w:sz w:val="24"/>
                <w:highlight w:val="none"/>
                <w:u w:val="none"/>
                <w:lang w:val="en-US" w:eastAsia="zh-CN"/>
              </w:rPr>
            </w:pPr>
            <w:r>
              <w:rPr>
                <w:rFonts w:hint="eastAsia" w:ascii="仿宋_GB2312" w:hAnsi="仿宋_GB2312" w:eastAsia="仿宋_GB2312" w:cs="仿宋_GB2312"/>
                <w:b/>
                <w:bCs w:val="0"/>
                <w:color w:val="auto"/>
                <w:sz w:val="24"/>
                <w:highlight w:val="none"/>
                <w:lang w:val="en-US" w:eastAsia="zh-CN"/>
              </w:rPr>
              <w:t>110</w:t>
            </w:r>
          </w:p>
        </w:tc>
        <w:tc>
          <w:tcPr>
            <w:tcW w:w="2871" w:type="dxa"/>
            <w:tcBorders>
              <w:top w:val="nil"/>
              <w:left w:val="nil"/>
              <w:bottom w:val="single" w:color="auto" w:sz="4" w:space="0"/>
              <w:right w:val="single" w:color="auto" w:sz="4" w:space="0"/>
            </w:tcBorders>
            <w:noWrap w:val="0"/>
            <w:vAlign w:val="center"/>
          </w:tcPr>
          <w:p w14:paraId="1F407759">
            <w:pPr>
              <w:spacing w:line="400" w:lineRule="exact"/>
              <w:jc w:val="center"/>
              <w:outlineLvl w:val="0"/>
              <w:rPr>
                <w:rFonts w:hint="eastAsia" w:ascii="仿宋_GB2312" w:hAnsi="仿宋_GB2312" w:eastAsia="仿宋_GB2312" w:cs="仿宋_GB2312"/>
                <w:b/>
                <w:bCs w:val="0"/>
                <w:color w:val="auto"/>
                <w:sz w:val="24"/>
                <w:highlight w:val="none"/>
                <w:u w:val="none"/>
              </w:rPr>
            </w:pPr>
          </w:p>
        </w:tc>
      </w:tr>
    </w:tbl>
    <w:p w14:paraId="0A445E76">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eastAsia="zh-CN"/>
        </w:rPr>
        <w:t>三</w:t>
      </w:r>
      <w:r>
        <w:rPr>
          <w:rFonts w:hint="eastAsia" w:ascii="仿宋" w:hAnsi="仿宋" w:eastAsia="仿宋" w:cs="仿宋"/>
          <w:b/>
          <w:bCs/>
          <w:color w:val="auto"/>
          <w:sz w:val="24"/>
          <w:highlight w:val="none"/>
        </w:rPr>
        <w:t>）工作时间要求</w:t>
      </w:r>
    </w:p>
    <w:p w14:paraId="5EF4B21F">
      <w:pPr>
        <w:spacing w:line="400" w:lineRule="exact"/>
        <w:ind w:firstLine="480" w:firstLineChars="200"/>
        <w:outlineLvl w:val="0"/>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保洁、工程部工作时间为一周六个工作日，每天上班时间为东港商务中心上班提前一小时，下班为东港商务中心下班后移一小时。休息日保证值班人员。如有抗台等特殊时期，24小时到场服务。</w:t>
      </w:r>
    </w:p>
    <w:p w14:paraId="4A35F514">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eastAsia="zh-CN"/>
        </w:rPr>
        <w:t>四</w:t>
      </w:r>
      <w:r>
        <w:rPr>
          <w:rFonts w:hint="eastAsia" w:ascii="仿宋" w:hAnsi="仿宋" w:eastAsia="仿宋" w:cs="仿宋"/>
          <w:b/>
          <w:bCs/>
          <w:color w:val="auto"/>
          <w:sz w:val="24"/>
          <w:highlight w:val="none"/>
        </w:rPr>
        <w:t>）人员培训要求</w:t>
      </w:r>
    </w:p>
    <w:p w14:paraId="2706F4F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val="en-US" w:eastAsia="zh-CN"/>
        </w:rPr>
        <w:t>.</w:t>
      </w:r>
      <w:r>
        <w:rPr>
          <w:rFonts w:hint="eastAsia" w:ascii="仿宋" w:hAnsi="仿宋" w:eastAsia="仿宋" w:cs="仿宋"/>
          <w:bCs/>
          <w:color w:val="auto"/>
          <w:sz w:val="24"/>
          <w:highlight w:val="none"/>
        </w:rPr>
        <w:t>所有相关人员的配备如需获得相关主管部门认证的，均需持证上岗，且根据不同岗位分别着装。</w:t>
      </w:r>
    </w:p>
    <w:p w14:paraId="5C84A38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所有相关人员要求政治上可靠，身体素质好，无不良行为记录。</w:t>
      </w:r>
    </w:p>
    <w:p w14:paraId="6B06F49F">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重要岗位人员必须由采购单位考核、政治审查通过方可录用。</w:t>
      </w:r>
    </w:p>
    <w:p w14:paraId="5F674EE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中标人必须在合同签订前提供所有工程人员的有效职称证、技工证、上岗证等原件供采购单位审核，所有人员必须专职为东港商务中心服务，不得兼职。</w:t>
      </w:r>
    </w:p>
    <w:p w14:paraId="47EAC18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保持员工队伍相对稳定，调动技术骨干，须提前告知甲方。按招、投标文件岗位配置配足员工，不得擅自减少。经抽查，发现员工数减少，且无正当理由，甲方有权按实际减少的人数扣除相应的人均管理服务费，同时要求乙方补足规定人数。</w:t>
      </w:r>
    </w:p>
    <w:p w14:paraId="67F7E99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为提高物业管理水平，所有物业人员还需进行宾馆礼仪的培训。除投标方对服务人员的培训外，必要时需接受采购单位对服务人员的集中进行培训。</w:t>
      </w:r>
    </w:p>
    <w:p w14:paraId="625251C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采购单位将对主要管理人员、工程技术人员进行考核，如在培训、熟悉环境过程中发现其不能胜任的，采购单位可要求更换，直至胜任为止。</w:t>
      </w:r>
    </w:p>
    <w:p w14:paraId="08EA48F9">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eastAsia="zh-CN"/>
        </w:rPr>
        <w:t>五</w:t>
      </w:r>
      <w:r>
        <w:rPr>
          <w:rFonts w:hint="eastAsia" w:ascii="仿宋" w:hAnsi="仿宋" w:eastAsia="仿宋" w:cs="仿宋"/>
          <w:b/>
          <w:bCs/>
          <w:color w:val="auto"/>
          <w:sz w:val="24"/>
          <w:highlight w:val="none"/>
        </w:rPr>
        <w:t>）检查、管理及考核</w:t>
      </w:r>
    </w:p>
    <w:p w14:paraId="048F53D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中标人所有物管人员必须统一着装、仪表端正、语言文明、使用普通话、保持良好的精神面貌。</w:t>
      </w:r>
    </w:p>
    <w:p w14:paraId="068D3EAC">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中标人必须根据招标文件提供各项管理标准、岗位职责及工作程序、自查表格及服务承诺；必须遵守商务中心各项制度和管理规定，并服从商务中心职能部门的管理。</w:t>
      </w:r>
    </w:p>
    <w:p w14:paraId="2DFCA98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商务中心职能部门行使日常的检查考核，</w:t>
      </w:r>
      <w:r>
        <w:rPr>
          <w:rFonts w:hint="eastAsia" w:ascii="仿宋" w:hAnsi="仿宋" w:eastAsia="仿宋" w:cs="仿宋"/>
          <w:bCs/>
          <w:color w:val="auto"/>
          <w:sz w:val="24"/>
          <w:highlight w:val="none"/>
          <w:lang w:eastAsia="zh-CN"/>
        </w:rPr>
        <w:t>每</w:t>
      </w:r>
      <w:r>
        <w:rPr>
          <w:rFonts w:hint="eastAsia" w:ascii="仿宋" w:hAnsi="仿宋" w:eastAsia="仿宋" w:cs="仿宋"/>
          <w:bCs/>
          <w:color w:val="auto"/>
          <w:sz w:val="24"/>
          <w:highlight w:val="none"/>
        </w:rPr>
        <w:t>月进行一次例行考核，采取考核组、服务对象测评和随机抽查相结合的方法。</w:t>
      </w:r>
    </w:p>
    <w:p w14:paraId="7F00E6E7">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检查考核结果定期通过书面形式送交中标方。轻微差错限期进行整改，严重差错与管理费用挂钩。</w:t>
      </w:r>
    </w:p>
    <w:p w14:paraId="30F1A084">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接受业主监督，定期向业主公开工作情况、工作规划，自觉接受业主监督。</w:t>
      </w:r>
    </w:p>
    <w:p w14:paraId="0BB9CE03">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根据商务中心职能部门的检查及考核结果，按合同条款进行付款。</w:t>
      </w:r>
    </w:p>
    <w:p w14:paraId="5BC5D6CC">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五、采购单位提供的相关场地</w:t>
      </w:r>
    </w:p>
    <w:p w14:paraId="474EC32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采购单位提供物业管理的办公场地，但办公用品（指电脑、打印机等自身使用的办公用品）由投标方自行解决。</w:t>
      </w:r>
    </w:p>
    <w:p w14:paraId="64F988CE">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采购单位提供的相关房间：</w:t>
      </w:r>
    </w:p>
    <w:p w14:paraId="3287E85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（1）物业经理</w:t>
      </w:r>
      <w:r>
        <w:rPr>
          <w:rFonts w:hint="eastAsia" w:ascii="仿宋" w:hAnsi="仿宋" w:eastAsia="仿宋" w:cs="仿宋"/>
          <w:bCs/>
          <w:color w:val="auto"/>
          <w:sz w:val="24"/>
          <w:highlight w:val="none"/>
          <w:lang w:eastAsia="zh-CN"/>
        </w:rPr>
        <w:t>及管理人员</w:t>
      </w:r>
      <w:r>
        <w:rPr>
          <w:rFonts w:hint="eastAsia" w:ascii="仿宋" w:hAnsi="仿宋" w:eastAsia="仿宋" w:cs="仿宋"/>
          <w:bCs/>
          <w:color w:val="auto"/>
          <w:sz w:val="24"/>
          <w:highlight w:val="none"/>
        </w:rPr>
        <w:t>办公室；值班休息间视情况提供。</w:t>
      </w:r>
    </w:p>
    <w:p w14:paraId="234487DE">
      <w:pPr>
        <w:spacing w:line="400" w:lineRule="exact"/>
        <w:ind w:firstLine="480" w:firstLineChars="200"/>
        <w:outlineLvl w:val="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（2）根据需要在适合的楼层配备洁具堆放间，其它房间（如工程管理需要的应急备件仓库、设备工具间、工程值班室、保洁仓库、保洁工作间、员工的更衣室</w:t>
      </w:r>
      <w:r>
        <w:rPr>
          <w:rFonts w:hint="eastAsia" w:ascii="仿宋" w:hAnsi="仿宋" w:eastAsia="仿宋" w:cs="仿宋"/>
          <w:bCs/>
          <w:color w:val="auto"/>
          <w:sz w:val="24"/>
          <w:highlight w:val="none"/>
          <w:lang w:val="en-US" w:eastAsia="zh-CN"/>
        </w:rPr>
        <w:t>等</w:t>
      </w:r>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val="en-US" w:eastAsia="zh-CN"/>
        </w:rPr>
        <w:t>根据采购人空余房间情况，酌情提供。</w:t>
      </w:r>
    </w:p>
    <w:p w14:paraId="57E76D61">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六、采购单位对服务管理质量相关要求</w:t>
      </w:r>
    </w:p>
    <w:p w14:paraId="5BC0B6CA">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总体要求：</w:t>
      </w:r>
    </w:p>
    <w:p w14:paraId="39B75B70">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1.1. </w:t>
      </w:r>
      <w:r>
        <w:rPr>
          <w:rFonts w:hint="eastAsia" w:ascii="仿宋" w:hAnsi="仿宋" w:eastAsia="仿宋" w:cs="仿宋"/>
          <w:bCs/>
          <w:color w:val="auto"/>
          <w:sz w:val="24"/>
          <w:highlight w:val="none"/>
        </w:rPr>
        <w:t>投标方须按现代企业制度运行，发挥自身优势，以热心、爱心、专心、的贴心服务，为中心后勤社会化提供全方位、一体化的专业服务保障。确保中心正常运转，各项重大活动顺利完成。</w:t>
      </w:r>
    </w:p>
    <w:p w14:paraId="01E08142">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1.2. </w:t>
      </w:r>
      <w:r>
        <w:rPr>
          <w:rFonts w:hint="eastAsia" w:ascii="仿宋" w:hAnsi="仿宋" w:eastAsia="仿宋" w:cs="仿宋"/>
          <w:bCs/>
          <w:color w:val="auto"/>
          <w:sz w:val="24"/>
          <w:highlight w:val="none"/>
        </w:rPr>
        <w:t>各投标方须在对现场、周边环境全面了解的情况下编制科学合理、切实可行的组织实施计划以及具体的保障措施、工作程序。</w:t>
      </w:r>
    </w:p>
    <w:p w14:paraId="196CBAA6">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1.3. </w:t>
      </w:r>
      <w:r>
        <w:rPr>
          <w:rFonts w:hint="eastAsia" w:ascii="仿宋" w:hAnsi="仿宋" w:eastAsia="仿宋" w:cs="仿宋"/>
          <w:bCs/>
          <w:color w:val="auto"/>
          <w:sz w:val="24"/>
          <w:highlight w:val="none"/>
        </w:rPr>
        <w:t>采购单位有权在需要时对中标人相关人员做集中调配并以调休、补休等方式进行补偿。此方式投标方必须认可。</w:t>
      </w:r>
    </w:p>
    <w:p w14:paraId="3670992A">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1.4. </w:t>
      </w:r>
      <w:r>
        <w:rPr>
          <w:rFonts w:hint="eastAsia" w:ascii="仿宋" w:hAnsi="仿宋" w:eastAsia="仿宋" w:cs="仿宋"/>
          <w:bCs/>
          <w:color w:val="auto"/>
          <w:sz w:val="24"/>
          <w:highlight w:val="none"/>
        </w:rPr>
        <w:t>投标方必须要考虑到抗台、集会、展会、竞赛、汇演、庆祝等活动期间的人员安排和工程服务（不受时间、地点的限制）。</w:t>
      </w:r>
    </w:p>
    <w:p w14:paraId="7F3B1AB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1.5. </w:t>
      </w:r>
      <w:r>
        <w:rPr>
          <w:rFonts w:hint="eastAsia" w:ascii="仿宋" w:hAnsi="仿宋" w:eastAsia="仿宋" w:cs="仿宋"/>
          <w:bCs/>
          <w:color w:val="auto"/>
          <w:sz w:val="24"/>
          <w:highlight w:val="none"/>
        </w:rPr>
        <w:t>投标方需制定消防、上访、防爆防恐等紧急预案，并切实地培训到每个岗位人员。</w:t>
      </w:r>
    </w:p>
    <w:p w14:paraId="19799C35">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1.6. </w:t>
      </w:r>
      <w:r>
        <w:rPr>
          <w:rFonts w:hint="eastAsia" w:ascii="仿宋" w:hAnsi="仿宋" w:eastAsia="仿宋" w:cs="仿宋"/>
          <w:bCs/>
          <w:color w:val="auto"/>
          <w:sz w:val="24"/>
          <w:highlight w:val="none"/>
        </w:rPr>
        <w:t>投标方需提供公司对进驻东港商务中心员工的内部管理考核办法。</w:t>
      </w:r>
    </w:p>
    <w:p w14:paraId="19FB0E2B">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lang w:val="en-US" w:eastAsia="zh-CN"/>
        </w:rPr>
        <w:t>.</w:t>
      </w:r>
      <w:r>
        <w:rPr>
          <w:rFonts w:hint="eastAsia" w:ascii="仿宋" w:hAnsi="仿宋" w:eastAsia="仿宋" w:cs="仿宋"/>
          <w:bCs/>
          <w:color w:val="auto"/>
          <w:sz w:val="24"/>
          <w:highlight w:val="none"/>
        </w:rPr>
        <w:t>投标方应制订具体的质量保证措施及质量保证和相关服务承诺。投标方所有的工作除应按投标方的内部流程实施外还应接受采购单位或第三方的检查。如因质量未达到目标，采购单位有权要求其整改，投标方应承担责任和经济赔偿（扣款或终止合同）。</w:t>
      </w:r>
    </w:p>
    <w:p w14:paraId="0C69DB95">
      <w:pPr>
        <w:spacing w:line="400" w:lineRule="exact"/>
        <w:ind w:firstLine="480" w:firstLineChars="200"/>
        <w:outlineLvl w:val="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3</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rPr>
        <w:t>采购单位工作人员及其他物业使用人对投标方的满意率达到90％，采购单位可随时要求投标方在采购单位的监督下进行满意率调查。</w:t>
      </w:r>
    </w:p>
    <w:p w14:paraId="71ECE6D9">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rPr>
        <w:t>4</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投标方每月须向采购单位以书面形式报告当月物业管理服务各项费用收支情</w:t>
      </w:r>
      <w:r>
        <w:rPr>
          <w:rFonts w:hint="eastAsia" w:ascii="仿宋" w:hAnsi="仿宋" w:eastAsia="仿宋" w:cs="仿宋"/>
          <w:bCs/>
          <w:color w:val="auto"/>
          <w:sz w:val="24"/>
          <w:highlight w:val="none"/>
          <w:u w:val="none"/>
        </w:rPr>
        <w:t>况的财务报表，供采购单位审核。</w:t>
      </w:r>
    </w:p>
    <w:p w14:paraId="08FDA90E">
      <w:pPr>
        <w:spacing w:line="400" w:lineRule="exact"/>
        <w:ind w:firstLine="480" w:firstLineChars="200"/>
        <w:outlineLvl w:val="0"/>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rPr>
        <w:t>5</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rPr>
        <w:t>投标方须按国家有关规定为本项目员工办理劳动保险、工伤保险等相关保险。如因投标方自身原因未办理相关保险，采购单位有权不承担任何由此引发的法律责任或经济损失。</w:t>
      </w:r>
    </w:p>
    <w:p w14:paraId="3E83F616">
      <w:pPr>
        <w:spacing w:line="400" w:lineRule="exact"/>
        <w:ind w:firstLine="482" w:firstLineChars="200"/>
        <w:outlineLvl w:val="0"/>
        <w:rPr>
          <w:rFonts w:hint="eastAsia" w:ascii="仿宋" w:hAnsi="仿宋" w:eastAsia="仿宋" w:cs="仿宋"/>
          <w:b/>
          <w:bCs/>
          <w:color w:val="auto"/>
          <w:sz w:val="24"/>
          <w:highlight w:val="none"/>
          <w:u w:val="none"/>
        </w:rPr>
      </w:pPr>
      <w:r>
        <w:rPr>
          <w:rFonts w:hint="eastAsia" w:ascii="仿宋" w:hAnsi="仿宋" w:eastAsia="仿宋" w:cs="仿宋"/>
          <w:b/>
          <w:bCs/>
          <w:color w:val="auto"/>
          <w:sz w:val="24"/>
          <w:highlight w:val="none"/>
          <w:u w:val="none"/>
        </w:rPr>
        <w:t>七、项目其他要求</w:t>
      </w:r>
    </w:p>
    <w:p w14:paraId="60D11ADC">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u w:val="none"/>
        </w:rPr>
        <w:t>1</w:t>
      </w:r>
      <w:r>
        <w:rPr>
          <w:rFonts w:hint="eastAsia" w:ascii="仿宋" w:hAnsi="仿宋" w:eastAsia="仿宋" w:cs="仿宋"/>
          <w:bCs/>
          <w:color w:val="auto"/>
          <w:sz w:val="24"/>
          <w:highlight w:val="none"/>
          <w:u w:val="none"/>
          <w:lang w:eastAsia="zh-CN"/>
        </w:rPr>
        <w:t>.</w:t>
      </w:r>
      <w:r>
        <w:rPr>
          <w:rFonts w:hint="eastAsia" w:ascii="仿宋" w:hAnsi="仿宋" w:eastAsia="仿宋" w:cs="仿宋"/>
          <w:bCs/>
          <w:color w:val="auto"/>
          <w:sz w:val="24"/>
          <w:highlight w:val="none"/>
          <w:u w:val="none"/>
        </w:rPr>
        <w:t>所有人员服装费用由投标方自行配备，计入投标总价，但服装样式需经过采购单位认可。</w:t>
      </w:r>
    </w:p>
    <w:p w14:paraId="07C0FAF9">
      <w:pPr>
        <w:spacing w:line="400" w:lineRule="exact"/>
        <w:ind w:firstLine="480" w:firstLineChars="200"/>
        <w:outlineLvl w:val="0"/>
        <w:rPr>
          <w:rFonts w:hint="eastAsia" w:ascii="仿宋" w:hAnsi="仿宋" w:eastAsia="仿宋" w:cs="仿宋"/>
          <w:b w:val="0"/>
          <w:bCs/>
          <w:color w:val="auto"/>
          <w:sz w:val="24"/>
          <w:highlight w:val="none"/>
          <w:u w:val="none"/>
        </w:rPr>
      </w:pPr>
      <w:r>
        <w:rPr>
          <w:rFonts w:hint="eastAsia" w:ascii="仿宋" w:hAnsi="仿宋" w:eastAsia="仿宋" w:cs="仿宋"/>
          <w:b w:val="0"/>
          <w:bCs/>
          <w:color w:val="auto"/>
          <w:sz w:val="24"/>
          <w:highlight w:val="none"/>
          <w:u w:val="none"/>
        </w:rPr>
        <w:t>2</w:t>
      </w:r>
      <w:r>
        <w:rPr>
          <w:rFonts w:hint="eastAsia" w:ascii="仿宋" w:hAnsi="仿宋" w:eastAsia="仿宋" w:cs="仿宋"/>
          <w:b w:val="0"/>
          <w:bCs/>
          <w:color w:val="auto"/>
          <w:sz w:val="24"/>
          <w:highlight w:val="none"/>
          <w:u w:val="none"/>
          <w:lang w:eastAsia="zh-CN"/>
        </w:rPr>
        <w:t>.</w:t>
      </w:r>
      <w:r>
        <w:rPr>
          <w:rFonts w:hint="eastAsia" w:ascii="仿宋" w:hAnsi="仿宋" w:eastAsia="仿宋" w:cs="仿宋"/>
          <w:b w:val="0"/>
          <w:bCs/>
          <w:color w:val="auto"/>
          <w:sz w:val="24"/>
          <w:highlight w:val="none"/>
          <w:u w:val="none"/>
        </w:rPr>
        <w:t>物业管理过程中的各类专用工具（如保洁服务中的大型设备，登高车等）由投标方自行配备（招标方不再另行支付费用）。</w:t>
      </w:r>
    </w:p>
    <w:p w14:paraId="6E8CD7CC">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u w:val="none"/>
        </w:rPr>
        <w:t>3</w:t>
      </w:r>
      <w:r>
        <w:rPr>
          <w:rFonts w:hint="eastAsia" w:ascii="仿宋" w:hAnsi="仿宋" w:eastAsia="仿宋" w:cs="仿宋"/>
          <w:bCs/>
          <w:color w:val="auto"/>
          <w:sz w:val="24"/>
          <w:highlight w:val="none"/>
          <w:u w:val="none"/>
          <w:lang w:eastAsia="zh-CN"/>
        </w:rPr>
        <w:t>.</w:t>
      </w:r>
      <w:r>
        <w:rPr>
          <w:rFonts w:hint="eastAsia" w:ascii="仿宋" w:hAnsi="仿宋" w:eastAsia="仿宋" w:cs="仿宋"/>
          <w:bCs/>
          <w:color w:val="auto"/>
          <w:sz w:val="24"/>
          <w:highlight w:val="none"/>
          <w:u w:val="none"/>
        </w:rPr>
        <w:t>根据招标文件，各投标方须按国家有关标准及规范完成上述要求的物业管理工作。</w:t>
      </w:r>
    </w:p>
    <w:p w14:paraId="3DB75A91">
      <w:pPr>
        <w:spacing w:line="400" w:lineRule="exact"/>
        <w:ind w:firstLine="480" w:firstLineChars="200"/>
        <w:outlineLvl w:val="0"/>
        <w:rPr>
          <w:rFonts w:hint="eastAsia" w:ascii="仿宋" w:hAnsi="仿宋" w:eastAsia="仿宋" w:cs="仿宋"/>
          <w:bCs/>
          <w:color w:val="auto"/>
          <w:sz w:val="24"/>
          <w:highlight w:val="none"/>
          <w:u w:val="none"/>
        </w:rPr>
      </w:pPr>
      <w:r>
        <w:rPr>
          <w:rFonts w:hint="eastAsia" w:ascii="仿宋" w:hAnsi="仿宋" w:eastAsia="仿宋" w:cs="仿宋"/>
          <w:bCs/>
          <w:color w:val="auto"/>
          <w:sz w:val="24"/>
          <w:highlight w:val="none"/>
          <w:u w:val="none"/>
        </w:rPr>
        <w:t>4</w:t>
      </w:r>
      <w:r>
        <w:rPr>
          <w:rFonts w:hint="eastAsia" w:ascii="仿宋" w:hAnsi="仿宋" w:eastAsia="仿宋" w:cs="仿宋"/>
          <w:bCs/>
          <w:color w:val="auto"/>
          <w:sz w:val="24"/>
          <w:highlight w:val="none"/>
          <w:u w:val="none"/>
          <w:lang w:eastAsia="zh-CN"/>
        </w:rPr>
        <w:t>.</w:t>
      </w:r>
      <w:r>
        <w:rPr>
          <w:rFonts w:hint="eastAsia" w:ascii="仿宋" w:hAnsi="仿宋" w:eastAsia="仿宋" w:cs="仿宋"/>
          <w:bCs/>
          <w:color w:val="auto"/>
          <w:sz w:val="24"/>
          <w:highlight w:val="none"/>
          <w:u w:val="none"/>
        </w:rPr>
        <w:t>以上工作内容的费用均包含在投标总价，但正常年度管理费用投标方需按服务种类分项报价。</w:t>
      </w:r>
    </w:p>
    <w:p w14:paraId="36883477">
      <w:pPr>
        <w:spacing w:line="400" w:lineRule="exact"/>
        <w:ind w:firstLine="480" w:firstLineChars="200"/>
        <w:outlineLvl w:val="0"/>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sz w:val="24"/>
          <w:highlight w:val="none"/>
          <w:u w:val="none"/>
        </w:rPr>
        <w:t>5</w:t>
      </w:r>
      <w:r>
        <w:rPr>
          <w:rFonts w:hint="eastAsia" w:ascii="仿宋" w:hAnsi="仿宋" w:eastAsia="仿宋" w:cs="仿宋"/>
          <w:b w:val="0"/>
          <w:bCs w:val="0"/>
          <w:color w:val="auto"/>
          <w:sz w:val="24"/>
          <w:highlight w:val="none"/>
          <w:u w:val="none"/>
          <w:lang w:eastAsia="zh-CN"/>
        </w:rPr>
        <w:t>.</w:t>
      </w:r>
      <w:r>
        <w:rPr>
          <w:rFonts w:hint="eastAsia" w:ascii="仿宋" w:hAnsi="仿宋" w:eastAsia="仿宋" w:cs="仿宋"/>
          <w:color w:val="auto"/>
          <w:sz w:val="24"/>
          <w:lang w:eastAsia="zh-CN"/>
        </w:rPr>
        <w:t>首次合同签订为一年（预算</w:t>
      </w:r>
      <w:r>
        <w:rPr>
          <w:rFonts w:hint="eastAsia" w:ascii="仿宋" w:hAnsi="仿宋" w:eastAsia="仿宋" w:cs="仿宋"/>
          <w:color w:val="auto"/>
          <w:sz w:val="24"/>
          <w:lang w:val="en-US" w:eastAsia="zh-CN"/>
        </w:rPr>
        <w:t>890万/年</w:t>
      </w:r>
      <w:r>
        <w:rPr>
          <w:rFonts w:hint="eastAsia" w:ascii="仿宋" w:hAnsi="仿宋" w:eastAsia="仿宋" w:cs="仿宋"/>
          <w:color w:val="auto"/>
          <w:sz w:val="24"/>
          <w:lang w:eastAsia="zh-CN"/>
        </w:rPr>
        <w:t>），合同到期后，满意度达到要求水平，经甲乙双方协商及有关部门同意可以续签，续签须保证原合同内容不变，</w:t>
      </w:r>
      <w:r>
        <w:rPr>
          <w:rFonts w:hint="eastAsia" w:ascii="仿宋" w:hAnsi="仿宋" w:eastAsia="仿宋" w:cs="仿宋"/>
          <w:color w:val="auto"/>
          <w:sz w:val="24"/>
          <w:lang w:val="en-US" w:eastAsia="zh-CN"/>
        </w:rPr>
        <w:t>续签</w:t>
      </w:r>
      <w:r>
        <w:rPr>
          <w:rFonts w:hint="eastAsia" w:ascii="仿宋" w:hAnsi="仿宋" w:eastAsia="仿宋" w:cs="仿宋"/>
          <w:color w:val="auto"/>
          <w:sz w:val="24"/>
          <w:lang w:eastAsia="zh-CN"/>
        </w:rPr>
        <w:t>时间为二年。</w:t>
      </w:r>
      <w:r>
        <w:rPr>
          <w:rFonts w:hint="eastAsia" w:ascii="仿宋" w:hAnsi="仿宋" w:eastAsia="仿宋" w:cs="仿宋"/>
          <w:b w:val="0"/>
          <w:bCs w:val="0"/>
          <w:color w:val="auto"/>
          <w:sz w:val="24"/>
          <w:highlight w:val="none"/>
          <w:u w:val="none"/>
        </w:rPr>
        <w:t>合作期内任何一方不得擅自停止协议，否则应负担所造成的一切损失。</w:t>
      </w:r>
    </w:p>
    <w:p w14:paraId="5F4EEB01">
      <w:pPr>
        <w:spacing w:line="400" w:lineRule="exact"/>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u w:val="none"/>
        </w:rPr>
        <w:t>若甲乙双方任何一方决定在合</w:t>
      </w:r>
      <w:r>
        <w:rPr>
          <w:rFonts w:hint="eastAsia" w:ascii="仿宋" w:hAnsi="仿宋" w:eastAsia="仿宋" w:cs="仿宋"/>
          <w:bCs/>
          <w:color w:val="auto"/>
          <w:sz w:val="24"/>
          <w:highlight w:val="none"/>
        </w:rPr>
        <w:t>同期限届满后不再续约的，应在合同到期前六十天以书面方式通知对方。</w:t>
      </w:r>
    </w:p>
    <w:p w14:paraId="3255DA3D">
      <w:pPr>
        <w:spacing w:line="400" w:lineRule="exact"/>
        <w:ind w:firstLine="480" w:firstLineChars="200"/>
        <w:outlineLvl w:val="0"/>
        <w:rPr>
          <w:rFonts w:hint="eastAsia" w:ascii="仿宋" w:hAnsi="仿宋" w:eastAsia="仿宋" w:cs="仿宋"/>
          <w:b w:val="0"/>
          <w:bCs/>
          <w:color w:val="auto"/>
          <w:sz w:val="24"/>
          <w:highlight w:val="none"/>
        </w:rPr>
        <w:sectPr>
          <w:headerReference r:id="rId9" w:type="default"/>
          <w:footerReference r:id="rId10" w:type="default"/>
          <w:footerReference r:id="rId11" w:type="even"/>
          <w:pgSz w:w="11906" w:h="16838"/>
          <w:pgMar w:top="1474" w:right="1701" w:bottom="1247" w:left="1701" w:header="851" w:footer="851" w:gutter="0"/>
          <w:pgNumType w:fmt="decimal"/>
          <w:cols w:space="720" w:num="1"/>
          <w:docGrid w:linePitch="312" w:charSpace="0"/>
        </w:sectPr>
      </w:pPr>
      <w:r>
        <w:rPr>
          <w:rFonts w:hint="eastAsia" w:ascii="仿宋" w:hAnsi="仿宋" w:eastAsia="仿宋" w:cs="仿宋"/>
          <w:b w:val="0"/>
          <w:bCs/>
          <w:color w:val="auto"/>
          <w:sz w:val="24"/>
          <w:highlight w:val="none"/>
          <w:lang w:val="en-US" w:eastAsia="zh-CN"/>
        </w:rPr>
        <w:t>6.</w:t>
      </w:r>
      <w:r>
        <w:rPr>
          <w:rFonts w:hint="eastAsia" w:ascii="仿宋" w:hAnsi="仿宋" w:eastAsia="仿宋" w:cs="仿宋"/>
          <w:b w:val="0"/>
          <w:bCs/>
          <w:color w:val="auto"/>
          <w:sz w:val="24"/>
          <w:highlight w:val="none"/>
        </w:rPr>
        <w:t>招标项目需求附件：保洁频率及标准。</w:t>
      </w:r>
    </w:p>
    <w:p w14:paraId="7D402C8B">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保 洁 频 率 及 标 准</w:t>
      </w:r>
    </w:p>
    <w:p w14:paraId="2343FF14">
      <w:pPr>
        <w:jc w:val="left"/>
        <w:rPr>
          <w:rFonts w:hint="eastAsia" w:ascii="仿宋" w:hAnsi="仿宋" w:eastAsia="仿宋" w:cs="仿宋"/>
          <w:color w:val="auto"/>
          <w:highlight w:val="none"/>
        </w:rPr>
      </w:pPr>
      <w:r>
        <w:rPr>
          <w:rFonts w:hint="eastAsia" w:ascii="仿宋" w:hAnsi="仿宋" w:eastAsia="仿宋" w:cs="仿宋"/>
          <w:color w:val="auto"/>
          <w:highlight w:val="none"/>
        </w:rPr>
        <w:t>表1</w:t>
      </w:r>
    </w:p>
    <w:tbl>
      <w:tblPr>
        <w:tblStyle w:val="18"/>
        <w:tblpPr w:leftFromText="180" w:rightFromText="180" w:vertAnchor="page" w:horzAnchor="margin" w:tblpXSpec="center" w:tblpY="2734"/>
        <w:tblW w:w="139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682"/>
        <w:gridCol w:w="2340"/>
        <w:gridCol w:w="2880"/>
        <w:gridCol w:w="1224"/>
        <w:gridCol w:w="1224"/>
        <w:gridCol w:w="1224"/>
        <w:gridCol w:w="1224"/>
        <w:gridCol w:w="1224"/>
      </w:tblGrid>
      <w:tr w14:paraId="3E6B8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33BA05E7">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区域</w:t>
            </w:r>
          </w:p>
        </w:tc>
        <w:tc>
          <w:tcPr>
            <w:tcW w:w="1682" w:type="dxa"/>
            <w:vMerge w:val="restart"/>
            <w:noWrap w:val="0"/>
            <w:vAlign w:val="center"/>
          </w:tcPr>
          <w:p w14:paraId="65C2D5EC">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项  目</w:t>
            </w:r>
          </w:p>
        </w:tc>
        <w:tc>
          <w:tcPr>
            <w:tcW w:w="2340" w:type="dxa"/>
            <w:vMerge w:val="restart"/>
            <w:noWrap w:val="0"/>
            <w:vAlign w:val="center"/>
          </w:tcPr>
          <w:p w14:paraId="4CFD2F82">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工作内容</w:t>
            </w:r>
          </w:p>
        </w:tc>
        <w:tc>
          <w:tcPr>
            <w:tcW w:w="2880" w:type="dxa"/>
            <w:vMerge w:val="restart"/>
            <w:noWrap w:val="0"/>
            <w:vAlign w:val="center"/>
          </w:tcPr>
          <w:p w14:paraId="423C4B44">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标  准</w:t>
            </w:r>
          </w:p>
        </w:tc>
        <w:tc>
          <w:tcPr>
            <w:tcW w:w="6120" w:type="dxa"/>
            <w:gridSpan w:val="5"/>
            <w:noWrap w:val="0"/>
            <w:vAlign w:val="center"/>
          </w:tcPr>
          <w:p w14:paraId="49C4B69E">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频    率</w:t>
            </w:r>
          </w:p>
        </w:tc>
      </w:tr>
      <w:tr w14:paraId="26077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center"/>
          </w:tcPr>
          <w:p w14:paraId="050B40D2">
            <w:pPr>
              <w:jc w:val="center"/>
              <w:rPr>
                <w:rFonts w:hint="eastAsia" w:ascii="仿宋" w:hAnsi="仿宋" w:eastAsia="仿宋" w:cs="仿宋"/>
                <w:color w:val="auto"/>
                <w:szCs w:val="21"/>
                <w:highlight w:val="none"/>
              </w:rPr>
            </w:pPr>
          </w:p>
        </w:tc>
        <w:tc>
          <w:tcPr>
            <w:tcW w:w="1682" w:type="dxa"/>
            <w:vMerge w:val="continue"/>
            <w:noWrap w:val="0"/>
            <w:vAlign w:val="center"/>
          </w:tcPr>
          <w:p w14:paraId="68C0644C">
            <w:pPr>
              <w:jc w:val="center"/>
              <w:rPr>
                <w:rFonts w:hint="eastAsia" w:ascii="仿宋" w:hAnsi="仿宋" w:eastAsia="仿宋" w:cs="仿宋"/>
                <w:color w:val="auto"/>
                <w:szCs w:val="21"/>
                <w:highlight w:val="none"/>
              </w:rPr>
            </w:pPr>
          </w:p>
        </w:tc>
        <w:tc>
          <w:tcPr>
            <w:tcW w:w="2340" w:type="dxa"/>
            <w:vMerge w:val="continue"/>
            <w:noWrap w:val="0"/>
            <w:vAlign w:val="center"/>
          </w:tcPr>
          <w:p w14:paraId="63C91A99">
            <w:pPr>
              <w:jc w:val="center"/>
              <w:rPr>
                <w:rFonts w:hint="eastAsia" w:ascii="仿宋" w:hAnsi="仿宋" w:eastAsia="仿宋" w:cs="仿宋"/>
                <w:color w:val="auto"/>
                <w:szCs w:val="21"/>
                <w:highlight w:val="none"/>
              </w:rPr>
            </w:pPr>
          </w:p>
        </w:tc>
        <w:tc>
          <w:tcPr>
            <w:tcW w:w="2880" w:type="dxa"/>
            <w:vMerge w:val="continue"/>
            <w:noWrap w:val="0"/>
            <w:vAlign w:val="center"/>
          </w:tcPr>
          <w:p w14:paraId="6B3C53A7">
            <w:pPr>
              <w:jc w:val="center"/>
              <w:rPr>
                <w:rFonts w:hint="eastAsia" w:ascii="仿宋" w:hAnsi="仿宋" w:eastAsia="仿宋" w:cs="仿宋"/>
                <w:color w:val="auto"/>
                <w:szCs w:val="21"/>
                <w:highlight w:val="none"/>
              </w:rPr>
            </w:pPr>
          </w:p>
        </w:tc>
        <w:tc>
          <w:tcPr>
            <w:tcW w:w="1224" w:type="dxa"/>
            <w:noWrap w:val="0"/>
            <w:vAlign w:val="center"/>
          </w:tcPr>
          <w:p w14:paraId="74DCFF39">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循环</w:t>
            </w:r>
          </w:p>
        </w:tc>
        <w:tc>
          <w:tcPr>
            <w:tcW w:w="1224" w:type="dxa"/>
            <w:noWrap w:val="0"/>
            <w:vAlign w:val="center"/>
          </w:tcPr>
          <w:p w14:paraId="7551CA74">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日</w:t>
            </w:r>
          </w:p>
        </w:tc>
        <w:tc>
          <w:tcPr>
            <w:tcW w:w="1224" w:type="dxa"/>
            <w:noWrap w:val="0"/>
            <w:vAlign w:val="center"/>
          </w:tcPr>
          <w:p w14:paraId="678BEC54">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星 期</w:t>
            </w:r>
          </w:p>
        </w:tc>
        <w:tc>
          <w:tcPr>
            <w:tcW w:w="1224" w:type="dxa"/>
            <w:noWrap w:val="0"/>
            <w:vAlign w:val="center"/>
          </w:tcPr>
          <w:p w14:paraId="1A2061F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月</w:t>
            </w:r>
          </w:p>
        </w:tc>
        <w:tc>
          <w:tcPr>
            <w:tcW w:w="1224" w:type="dxa"/>
            <w:noWrap w:val="0"/>
            <w:vAlign w:val="center"/>
          </w:tcPr>
          <w:p w14:paraId="53FBE6DB">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季</w:t>
            </w:r>
          </w:p>
        </w:tc>
      </w:tr>
      <w:tr w14:paraId="35344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2C075851">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总</w:t>
            </w:r>
          </w:p>
          <w:p w14:paraId="551F7201">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体</w:t>
            </w:r>
          </w:p>
          <w:p w14:paraId="29786558">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外</w:t>
            </w:r>
          </w:p>
          <w:p w14:paraId="394E22D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墙</w:t>
            </w:r>
          </w:p>
        </w:tc>
        <w:tc>
          <w:tcPr>
            <w:tcW w:w="1682" w:type="dxa"/>
            <w:noWrap w:val="0"/>
            <w:vAlign w:val="top"/>
          </w:tcPr>
          <w:p w14:paraId="4F4FD154">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地面</w:t>
            </w:r>
          </w:p>
        </w:tc>
        <w:tc>
          <w:tcPr>
            <w:tcW w:w="2340" w:type="dxa"/>
            <w:noWrap w:val="0"/>
            <w:vAlign w:val="top"/>
          </w:tcPr>
          <w:p w14:paraId="4902E016">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清扫、收集垃圾、水力冲洗</w:t>
            </w:r>
          </w:p>
        </w:tc>
        <w:tc>
          <w:tcPr>
            <w:tcW w:w="2880" w:type="dxa"/>
            <w:noWrap w:val="0"/>
            <w:vAlign w:val="top"/>
          </w:tcPr>
          <w:p w14:paraId="73F6E548">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无垃圾、烟头、杂物、明显泥沙</w:t>
            </w:r>
          </w:p>
        </w:tc>
        <w:tc>
          <w:tcPr>
            <w:tcW w:w="1224" w:type="dxa"/>
            <w:noWrap w:val="0"/>
            <w:vAlign w:val="top"/>
          </w:tcPr>
          <w:p w14:paraId="053FE00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清扫</w:t>
            </w:r>
          </w:p>
        </w:tc>
        <w:tc>
          <w:tcPr>
            <w:tcW w:w="1224" w:type="dxa"/>
            <w:noWrap w:val="0"/>
            <w:vAlign w:val="top"/>
          </w:tcPr>
          <w:p w14:paraId="62150865">
            <w:pPr>
              <w:jc w:val="center"/>
              <w:rPr>
                <w:rFonts w:hint="eastAsia" w:ascii="仿宋" w:hAnsi="仿宋" w:eastAsia="仿宋" w:cs="仿宋"/>
                <w:color w:val="auto"/>
                <w:szCs w:val="21"/>
                <w:highlight w:val="none"/>
              </w:rPr>
            </w:pPr>
          </w:p>
        </w:tc>
        <w:tc>
          <w:tcPr>
            <w:tcW w:w="1224" w:type="dxa"/>
            <w:noWrap w:val="0"/>
            <w:vAlign w:val="top"/>
          </w:tcPr>
          <w:p w14:paraId="71B57DF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冲洗一次</w:t>
            </w:r>
          </w:p>
        </w:tc>
        <w:tc>
          <w:tcPr>
            <w:tcW w:w="1224" w:type="dxa"/>
            <w:noWrap w:val="0"/>
            <w:vAlign w:val="top"/>
          </w:tcPr>
          <w:p w14:paraId="6D0D9B01">
            <w:pPr>
              <w:rPr>
                <w:rFonts w:hint="eastAsia" w:ascii="仿宋" w:hAnsi="仿宋" w:eastAsia="仿宋" w:cs="仿宋"/>
                <w:color w:val="auto"/>
                <w:szCs w:val="21"/>
                <w:highlight w:val="none"/>
              </w:rPr>
            </w:pPr>
          </w:p>
        </w:tc>
        <w:tc>
          <w:tcPr>
            <w:tcW w:w="1224" w:type="dxa"/>
            <w:noWrap w:val="0"/>
            <w:vAlign w:val="top"/>
          </w:tcPr>
          <w:p w14:paraId="6B0A4C7B">
            <w:pPr>
              <w:rPr>
                <w:rFonts w:hint="eastAsia" w:ascii="仿宋" w:hAnsi="仿宋" w:eastAsia="仿宋" w:cs="仿宋"/>
                <w:color w:val="auto"/>
                <w:szCs w:val="21"/>
                <w:highlight w:val="none"/>
              </w:rPr>
            </w:pPr>
          </w:p>
        </w:tc>
      </w:tr>
      <w:tr w14:paraId="6D92A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7F60ED81">
            <w:pPr>
              <w:rPr>
                <w:rFonts w:hint="eastAsia" w:ascii="仿宋" w:hAnsi="仿宋" w:eastAsia="仿宋" w:cs="仿宋"/>
                <w:color w:val="auto"/>
                <w:szCs w:val="21"/>
                <w:highlight w:val="none"/>
              </w:rPr>
            </w:pPr>
          </w:p>
        </w:tc>
        <w:tc>
          <w:tcPr>
            <w:tcW w:w="1682" w:type="dxa"/>
            <w:noWrap w:val="0"/>
            <w:vAlign w:val="center"/>
          </w:tcPr>
          <w:p w14:paraId="3D12915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明沟</w:t>
            </w:r>
          </w:p>
        </w:tc>
        <w:tc>
          <w:tcPr>
            <w:tcW w:w="2340" w:type="dxa"/>
            <w:noWrap w:val="0"/>
            <w:vAlign w:val="center"/>
          </w:tcPr>
          <w:p w14:paraId="79D1E60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清扫、收集垃圾、刷洗</w:t>
            </w:r>
          </w:p>
        </w:tc>
        <w:tc>
          <w:tcPr>
            <w:tcW w:w="2880" w:type="dxa"/>
            <w:noWrap w:val="0"/>
            <w:vAlign w:val="center"/>
          </w:tcPr>
          <w:p w14:paraId="1EC8407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无垃圾、杂物、无苔藓</w:t>
            </w:r>
          </w:p>
        </w:tc>
        <w:tc>
          <w:tcPr>
            <w:tcW w:w="1224" w:type="dxa"/>
            <w:noWrap w:val="0"/>
            <w:vAlign w:val="center"/>
          </w:tcPr>
          <w:p w14:paraId="10AFC41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7D9814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清扫一次</w:t>
            </w:r>
          </w:p>
        </w:tc>
        <w:tc>
          <w:tcPr>
            <w:tcW w:w="1224" w:type="dxa"/>
            <w:noWrap w:val="0"/>
            <w:vAlign w:val="center"/>
          </w:tcPr>
          <w:p w14:paraId="33C31EE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冲洗一次</w:t>
            </w:r>
          </w:p>
        </w:tc>
        <w:tc>
          <w:tcPr>
            <w:tcW w:w="1224" w:type="dxa"/>
            <w:noWrap w:val="0"/>
            <w:vAlign w:val="top"/>
          </w:tcPr>
          <w:p w14:paraId="0AF6417E">
            <w:pPr>
              <w:rPr>
                <w:rFonts w:hint="eastAsia" w:ascii="仿宋" w:hAnsi="仿宋" w:eastAsia="仿宋" w:cs="仿宋"/>
                <w:color w:val="auto"/>
                <w:szCs w:val="21"/>
                <w:highlight w:val="none"/>
              </w:rPr>
            </w:pPr>
          </w:p>
        </w:tc>
        <w:tc>
          <w:tcPr>
            <w:tcW w:w="1224" w:type="dxa"/>
            <w:noWrap w:val="0"/>
            <w:vAlign w:val="top"/>
          </w:tcPr>
          <w:p w14:paraId="631143A5">
            <w:pPr>
              <w:rPr>
                <w:rFonts w:hint="eastAsia" w:ascii="仿宋" w:hAnsi="仿宋" w:eastAsia="仿宋" w:cs="仿宋"/>
                <w:color w:val="auto"/>
                <w:szCs w:val="21"/>
                <w:highlight w:val="none"/>
              </w:rPr>
            </w:pPr>
          </w:p>
        </w:tc>
      </w:tr>
      <w:tr w14:paraId="4FF5A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3B5ED114">
            <w:pPr>
              <w:rPr>
                <w:rFonts w:hint="eastAsia" w:ascii="仿宋" w:hAnsi="仿宋" w:eastAsia="仿宋" w:cs="仿宋"/>
                <w:color w:val="auto"/>
                <w:szCs w:val="21"/>
                <w:highlight w:val="none"/>
              </w:rPr>
            </w:pPr>
          </w:p>
        </w:tc>
        <w:tc>
          <w:tcPr>
            <w:tcW w:w="1682" w:type="dxa"/>
            <w:noWrap w:val="0"/>
            <w:vAlign w:val="center"/>
          </w:tcPr>
          <w:p w14:paraId="5B29FBD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外露管道</w:t>
            </w:r>
          </w:p>
          <w:p w14:paraId="6B51897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（二米以下）</w:t>
            </w:r>
          </w:p>
        </w:tc>
        <w:tc>
          <w:tcPr>
            <w:tcW w:w="2340" w:type="dxa"/>
            <w:noWrap w:val="0"/>
            <w:vAlign w:val="center"/>
          </w:tcPr>
          <w:p w14:paraId="787D14E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1652A7F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无积灰、污渍</w:t>
            </w:r>
          </w:p>
        </w:tc>
        <w:tc>
          <w:tcPr>
            <w:tcW w:w="1224" w:type="dxa"/>
            <w:noWrap w:val="0"/>
            <w:vAlign w:val="center"/>
          </w:tcPr>
          <w:p w14:paraId="0DFCA9F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DC746B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清抹一次</w:t>
            </w:r>
          </w:p>
        </w:tc>
        <w:tc>
          <w:tcPr>
            <w:tcW w:w="1224" w:type="dxa"/>
            <w:noWrap w:val="0"/>
            <w:vAlign w:val="top"/>
          </w:tcPr>
          <w:p w14:paraId="6DB1D728">
            <w:pPr>
              <w:jc w:val="center"/>
              <w:rPr>
                <w:rFonts w:hint="eastAsia" w:ascii="仿宋" w:hAnsi="仿宋" w:eastAsia="仿宋" w:cs="仿宋"/>
                <w:color w:val="auto"/>
                <w:szCs w:val="21"/>
                <w:highlight w:val="none"/>
              </w:rPr>
            </w:pPr>
          </w:p>
        </w:tc>
        <w:tc>
          <w:tcPr>
            <w:tcW w:w="1224" w:type="dxa"/>
            <w:noWrap w:val="0"/>
            <w:vAlign w:val="top"/>
          </w:tcPr>
          <w:p w14:paraId="0B612399">
            <w:pPr>
              <w:rPr>
                <w:rFonts w:hint="eastAsia" w:ascii="仿宋" w:hAnsi="仿宋" w:eastAsia="仿宋" w:cs="仿宋"/>
                <w:color w:val="auto"/>
                <w:szCs w:val="21"/>
                <w:highlight w:val="none"/>
              </w:rPr>
            </w:pPr>
          </w:p>
        </w:tc>
        <w:tc>
          <w:tcPr>
            <w:tcW w:w="1224" w:type="dxa"/>
            <w:noWrap w:val="0"/>
            <w:vAlign w:val="top"/>
          </w:tcPr>
          <w:p w14:paraId="3CC35403">
            <w:pPr>
              <w:rPr>
                <w:rFonts w:hint="eastAsia" w:ascii="仿宋" w:hAnsi="仿宋" w:eastAsia="仿宋" w:cs="仿宋"/>
                <w:color w:val="auto"/>
                <w:szCs w:val="21"/>
                <w:highlight w:val="none"/>
              </w:rPr>
            </w:pPr>
          </w:p>
        </w:tc>
      </w:tr>
      <w:tr w14:paraId="6D369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00519CB">
            <w:pPr>
              <w:rPr>
                <w:rFonts w:hint="eastAsia" w:ascii="仿宋" w:hAnsi="仿宋" w:eastAsia="仿宋" w:cs="仿宋"/>
                <w:color w:val="auto"/>
                <w:szCs w:val="21"/>
                <w:highlight w:val="none"/>
              </w:rPr>
            </w:pPr>
          </w:p>
        </w:tc>
        <w:tc>
          <w:tcPr>
            <w:tcW w:w="1682" w:type="dxa"/>
            <w:noWrap w:val="0"/>
            <w:vAlign w:val="center"/>
          </w:tcPr>
          <w:p w14:paraId="0973224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外墙金属嵌条</w:t>
            </w:r>
          </w:p>
        </w:tc>
        <w:tc>
          <w:tcPr>
            <w:tcW w:w="2340" w:type="dxa"/>
            <w:noWrap w:val="0"/>
            <w:vAlign w:val="center"/>
          </w:tcPr>
          <w:p w14:paraId="18C676F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04104C9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无积灰、污渍</w:t>
            </w:r>
          </w:p>
        </w:tc>
        <w:tc>
          <w:tcPr>
            <w:tcW w:w="1224" w:type="dxa"/>
            <w:noWrap w:val="0"/>
            <w:vAlign w:val="center"/>
          </w:tcPr>
          <w:p w14:paraId="39C066E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E1DA4B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清抹一次</w:t>
            </w:r>
          </w:p>
        </w:tc>
        <w:tc>
          <w:tcPr>
            <w:tcW w:w="1224" w:type="dxa"/>
            <w:noWrap w:val="0"/>
            <w:vAlign w:val="center"/>
          </w:tcPr>
          <w:p w14:paraId="48A9567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F633CF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0CA0401E">
            <w:pPr>
              <w:rPr>
                <w:rFonts w:hint="eastAsia" w:ascii="仿宋" w:hAnsi="仿宋" w:eastAsia="仿宋" w:cs="仿宋"/>
                <w:color w:val="auto"/>
                <w:szCs w:val="21"/>
                <w:highlight w:val="none"/>
              </w:rPr>
            </w:pPr>
          </w:p>
        </w:tc>
      </w:tr>
      <w:tr w14:paraId="7B3F9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C51B6BE">
            <w:pPr>
              <w:rPr>
                <w:rFonts w:hint="eastAsia" w:ascii="仿宋" w:hAnsi="仿宋" w:eastAsia="仿宋" w:cs="仿宋"/>
                <w:color w:val="auto"/>
                <w:szCs w:val="21"/>
                <w:highlight w:val="none"/>
              </w:rPr>
            </w:pPr>
          </w:p>
        </w:tc>
        <w:tc>
          <w:tcPr>
            <w:tcW w:w="1682" w:type="dxa"/>
            <w:noWrap w:val="0"/>
            <w:vAlign w:val="center"/>
          </w:tcPr>
          <w:p w14:paraId="2AE24B8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标志牌</w:t>
            </w:r>
          </w:p>
        </w:tc>
        <w:tc>
          <w:tcPr>
            <w:tcW w:w="2340" w:type="dxa"/>
            <w:noWrap w:val="0"/>
            <w:vAlign w:val="center"/>
          </w:tcPr>
          <w:p w14:paraId="76AD710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26C199C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5120C83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05C5F1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清抹一次</w:t>
            </w:r>
          </w:p>
        </w:tc>
        <w:tc>
          <w:tcPr>
            <w:tcW w:w="1224" w:type="dxa"/>
            <w:noWrap w:val="0"/>
            <w:vAlign w:val="center"/>
          </w:tcPr>
          <w:p w14:paraId="04F549A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6179AE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41F23BB8">
            <w:pPr>
              <w:rPr>
                <w:rFonts w:hint="eastAsia" w:ascii="仿宋" w:hAnsi="仿宋" w:eastAsia="仿宋" w:cs="仿宋"/>
                <w:color w:val="auto"/>
                <w:szCs w:val="21"/>
                <w:highlight w:val="none"/>
              </w:rPr>
            </w:pPr>
          </w:p>
        </w:tc>
      </w:tr>
      <w:tr w14:paraId="4C8CA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395794E">
            <w:pPr>
              <w:rPr>
                <w:rFonts w:hint="eastAsia" w:ascii="仿宋" w:hAnsi="仿宋" w:eastAsia="仿宋" w:cs="仿宋"/>
                <w:color w:val="auto"/>
                <w:szCs w:val="21"/>
                <w:highlight w:val="none"/>
              </w:rPr>
            </w:pPr>
          </w:p>
        </w:tc>
        <w:tc>
          <w:tcPr>
            <w:tcW w:w="1682" w:type="dxa"/>
            <w:noWrap w:val="0"/>
            <w:vAlign w:val="center"/>
          </w:tcPr>
          <w:p w14:paraId="05CFDF0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大厦铬牌</w:t>
            </w:r>
          </w:p>
        </w:tc>
        <w:tc>
          <w:tcPr>
            <w:tcW w:w="2340" w:type="dxa"/>
            <w:noWrap w:val="0"/>
            <w:vAlign w:val="center"/>
          </w:tcPr>
          <w:p w14:paraId="480A0A4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2B9ABDE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w:t>
            </w:r>
          </w:p>
        </w:tc>
        <w:tc>
          <w:tcPr>
            <w:tcW w:w="1224" w:type="dxa"/>
            <w:noWrap w:val="0"/>
            <w:vAlign w:val="center"/>
          </w:tcPr>
          <w:p w14:paraId="70A672B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E0B451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清抹一次</w:t>
            </w:r>
          </w:p>
        </w:tc>
        <w:tc>
          <w:tcPr>
            <w:tcW w:w="1224" w:type="dxa"/>
            <w:noWrap w:val="0"/>
            <w:vAlign w:val="center"/>
          </w:tcPr>
          <w:p w14:paraId="00C63E2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EEFC44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5D0D765F">
            <w:pPr>
              <w:rPr>
                <w:rFonts w:hint="eastAsia" w:ascii="仿宋" w:hAnsi="仿宋" w:eastAsia="仿宋" w:cs="仿宋"/>
                <w:color w:val="auto"/>
                <w:szCs w:val="21"/>
                <w:highlight w:val="none"/>
              </w:rPr>
            </w:pPr>
          </w:p>
        </w:tc>
      </w:tr>
      <w:tr w14:paraId="39A50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15F76F2">
            <w:pPr>
              <w:rPr>
                <w:rFonts w:hint="eastAsia" w:ascii="仿宋" w:hAnsi="仿宋" w:eastAsia="仿宋" w:cs="仿宋"/>
                <w:color w:val="auto"/>
                <w:szCs w:val="21"/>
                <w:highlight w:val="none"/>
              </w:rPr>
            </w:pPr>
          </w:p>
        </w:tc>
        <w:tc>
          <w:tcPr>
            <w:tcW w:w="1682" w:type="dxa"/>
            <w:noWrap w:val="0"/>
            <w:vAlign w:val="center"/>
          </w:tcPr>
          <w:p w14:paraId="31DBA8A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2米以下外墙</w:t>
            </w:r>
          </w:p>
        </w:tc>
        <w:tc>
          <w:tcPr>
            <w:tcW w:w="2340" w:type="dxa"/>
            <w:noWrap w:val="0"/>
            <w:vAlign w:val="center"/>
          </w:tcPr>
          <w:p w14:paraId="085CACA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刷洗</w:t>
            </w:r>
          </w:p>
        </w:tc>
        <w:tc>
          <w:tcPr>
            <w:tcW w:w="2880" w:type="dxa"/>
            <w:noWrap w:val="0"/>
            <w:vAlign w:val="center"/>
          </w:tcPr>
          <w:p w14:paraId="0B60171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无积灰、污渍</w:t>
            </w:r>
          </w:p>
        </w:tc>
        <w:tc>
          <w:tcPr>
            <w:tcW w:w="1224" w:type="dxa"/>
            <w:noWrap w:val="0"/>
            <w:vAlign w:val="center"/>
          </w:tcPr>
          <w:p w14:paraId="5649AFF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8C5BC7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清洁一次</w:t>
            </w:r>
          </w:p>
        </w:tc>
        <w:tc>
          <w:tcPr>
            <w:tcW w:w="1224" w:type="dxa"/>
            <w:noWrap w:val="0"/>
            <w:vAlign w:val="center"/>
          </w:tcPr>
          <w:p w14:paraId="7789C69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B00FD6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794AB876">
            <w:pPr>
              <w:rPr>
                <w:rFonts w:hint="eastAsia" w:ascii="仿宋" w:hAnsi="仿宋" w:eastAsia="仿宋" w:cs="仿宋"/>
                <w:color w:val="auto"/>
                <w:szCs w:val="21"/>
                <w:highlight w:val="none"/>
              </w:rPr>
            </w:pPr>
          </w:p>
        </w:tc>
      </w:tr>
      <w:tr w14:paraId="5E059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2CCF235D">
            <w:pPr>
              <w:rPr>
                <w:rFonts w:hint="eastAsia" w:ascii="仿宋" w:hAnsi="仿宋" w:eastAsia="仿宋" w:cs="仿宋"/>
                <w:color w:val="auto"/>
                <w:szCs w:val="21"/>
                <w:highlight w:val="none"/>
              </w:rPr>
            </w:pPr>
          </w:p>
        </w:tc>
        <w:tc>
          <w:tcPr>
            <w:tcW w:w="1682" w:type="dxa"/>
            <w:noWrap w:val="0"/>
            <w:vAlign w:val="center"/>
          </w:tcPr>
          <w:p w14:paraId="6F43245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监控探头</w:t>
            </w:r>
          </w:p>
        </w:tc>
        <w:tc>
          <w:tcPr>
            <w:tcW w:w="2340" w:type="dxa"/>
            <w:noWrap w:val="0"/>
            <w:vAlign w:val="center"/>
          </w:tcPr>
          <w:p w14:paraId="26CC254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1FB3308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w:t>
            </w:r>
          </w:p>
        </w:tc>
        <w:tc>
          <w:tcPr>
            <w:tcW w:w="1224" w:type="dxa"/>
            <w:noWrap w:val="0"/>
            <w:vAlign w:val="center"/>
          </w:tcPr>
          <w:p w14:paraId="7918A94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EB8D8D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清抹一次</w:t>
            </w:r>
          </w:p>
        </w:tc>
        <w:tc>
          <w:tcPr>
            <w:tcW w:w="1224" w:type="dxa"/>
            <w:noWrap w:val="0"/>
            <w:vAlign w:val="center"/>
          </w:tcPr>
          <w:p w14:paraId="12AF9D2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326379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4B7A3C60">
            <w:pPr>
              <w:rPr>
                <w:rFonts w:hint="eastAsia" w:ascii="仿宋" w:hAnsi="仿宋" w:eastAsia="仿宋" w:cs="仿宋"/>
                <w:color w:val="auto"/>
                <w:szCs w:val="21"/>
                <w:highlight w:val="none"/>
              </w:rPr>
            </w:pPr>
          </w:p>
        </w:tc>
      </w:tr>
      <w:tr w14:paraId="2FEA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5B4C510C">
            <w:pPr>
              <w:rPr>
                <w:rFonts w:hint="eastAsia" w:ascii="仿宋" w:hAnsi="仿宋" w:eastAsia="仿宋" w:cs="仿宋"/>
                <w:color w:val="auto"/>
                <w:szCs w:val="21"/>
                <w:highlight w:val="none"/>
              </w:rPr>
            </w:pPr>
          </w:p>
        </w:tc>
        <w:tc>
          <w:tcPr>
            <w:tcW w:w="1682" w:type="dxa"/>
            <w:noWrap w:val="0"/>
            <w:vAlign w:val="center"/>
          </w:tcPr>
          <w:p w14:paraId="78ACD5C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绿化植物</w:t>
            </w:r>
          </w:p>
        </w:tc>
        <w:tc>
          <w:tcPr>
            <w:tcW w:w="2340" w:type="dxa"/>
            <w:noWrap w:val="0"/>
            <w:vAlign w:val="center"/>
          </w:tcPr>
          <w:p w14:paraId="0E17ECF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浇水</w:t>
            </w:r>
          </w:p>
        </w:tc>
        <w:tc>
          <w:tcPr>
            <w:tcW w:w="2880" w:type="dxa"/>
            <w:noWrap w:val="0"/>
            <w:vAlign w:val="center"/>
          </w:tcPr>
          <w:p w14:paraId="2B559FB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较好观赏效果</w:t>
            </w:r>
          </w:p>
        </w:tc>
        <w:tc>
          <w:tcPr>
            <w:tcW w:w="1224" w:type="dxa"/>
            <w:noWrap w:val="0"/>
            <w:vAlign w:val="center"/>
          </w:tcPr>
          <w:p w14:paraId="041BA0D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871901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浇水一次</w:t>
            </w:r>
          </w:p>
        </w:tc>
        <w:tc>
          <w:tcPr>
            <w:tcW w:w="1224" w:type="dxa"/>
            <w:noWrap w:val="0"/>
            <w:vAlign w:val="center"/>
          </w:tcPr>
          <w:p w14:paraId="2305FA7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1D3524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修剪一次</w:t>
            </w:r>
          </w:p>
        </w:tc>
        <w:tc>
          <w:tcPr>
            <w:tcW w:w="1224" w:type="dxa"/>
            <w:noWrap w:val="0"/>
            <w:vAlign w:val="top"/>
          </w:tcPr>
          <w:p w14:paraId="3B84EE61">
            <w:pPr>
              <w:rPr>
                <w:rFonts w:hint="eastAsia" w:ascii="仿宋" w:hAnsi="仿宋" w:eastAsia="仿宋" w:cs="仿宋"/>
                <w:color w:val="auto"/>
                <w:szCs w:val="21"/>
                <w:highlight w:val="none"/>
              </w:rPr>
            </w:pPr>
          </w:p>
        </w:tc>
      </w:tr>
      <w:tr w14:paraId="7A4D1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F0CAD67">
            <w:pPr>
              <w:rPr>
                <w:rFonts w:hint="eastAsia" w:ascii="仿宋" w:hAnsi="仿宋" w:eastAsia="仿宋" w:cs="仿宋"/>
                <w:color w:val="auto"/>
                <w:szCs w:val="21"/>
                <w:highlight w:val="none"/>
              </w:rPr>
            </w:pPr>
          </w:p>
        </w:tc>
        <w:tc>
          <w:tcPr>
            <w:tcW w:w="1682" w:type="dxa"/>
            <w:noWrap w:val="0"/>
            <w:vAlign w:val="center"/>
          </w:tcPr>
          <w:p w14:paraId="6CA9BAC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地毯（3M）踏垫</w:t>
            </w:r>
          </w:p>
        </w:tc>
        <w:tc>
          <w:tcPr>
            <w:tcW w:w="2340" w:type="dxa"/>
            <w:noWrap w:val="0"/>
            <w:vAlign w:val="center"/>
          </w:tcPr>
          <w:p w14:paraId="5547A71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624DCE2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无垃圾、无泥巴</w:t>
            </w:r>
          </w:p>
        </w:tc>
        <w:tc>
          <w:tcPr>
            <w:tcW w:w="1224" w:type="dxa"/>
            <w:noWrap w:val="0"/>
            <w:vAlign w:val="center"/>
          </w:tcPr>
          <w:p w14:paraId="71DAECA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清扫</w:t>
            </w:r>
          </w:p>
        </w:tc>
        <w:tc>
          <w:tcPr>
            <w:tcW w:w="1224" w:type="dxa"/>
            <w:noWrap w:val="0"/>
            <w:vAlign w:val="center"/>
          </w:tcPr>
          <w:p w14:paraId="449B3BC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冲洗一次</w:t>
            </w:r>
          </w:p>
        </w:tc>
        <w:tc>
          <w:tcPr>
            <w:tcW w:w="1224" w:type="dxa"/>
            <w:noWrap w:val="0"/>
            <w:vAlign w:val="center"/>
          </w:tcPr>
          <w:p w14:paraId="7C649B8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22F63C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ECC46BC">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0AC3A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55006B53">
            <w:pPr>
              <w:rPr>
                <w:rFonts w:hint="eastAsia" w:ascii="仿宋" w:hAnsi="仿宋" w:eastAsia="仿宋" w:cs="仿宋"/>
                <w:color w:val="auto"/>
                <w:szCs w:val="21"/>
                <w:highlight w:val="none"/>
              </w:rPr>
            </w:pPr>
          </w:p>
        </w:tc>
        <w:tc>
          <w:tcPr>
            <w:tcW w:w="1682" w:type="dxa"/>
            <w:noWrap w:val="0"/>
            <w:vAlign w:val="center"/>
          </w:tcPr>
          <w:p w14:paraId="3FF9196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窗帘</w:t>
            </w:r>
          </w:p>
        </w:tc>
        <w:tc>
          <w:tcPr>
            <w:tcW w:w="2340" w:type="dxa"/>
            <w:noWrap w:val="0"/>
            <w:vAlign w:val="center"/>
          </w:tcPr>
          <w:p w14:paraId="02116E2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w:t>
            </w:r>
          </w:p>
        </w:tc>
        <w:tc>
          <w:tcPr>
            <w:tcW w:w="2880" w:type="dxa"/>
            <w:noWrap w:val="0"/>
            <w:vAlign w:val="center"/>
          </w:tcPr>
          <w:p w14:paraId="2BACE4A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无灰尘、无污渍</w:t>
            </w:r>
          </w:p>
        </w:tc>
        <w:tc>
          <w:tcPr>
            <w:tcW w:w="1224" w:type="dxa"/>
            <w:noWrap w:val="0"/>
            <w:vAlign w:val="center"/>
          </w:tcPr>
          <w:p w14:paraId="2FE44CE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F04BBB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78F1EA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EA8874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9D8C83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r>
      <w:tr w14:paraId="20BF3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5D1A1489">
            <w:pPr>
              <w:rPr>
                <w:rFonts w:hint="eastAsia" w:ascii="仿宋" w:hAnsi="仿宋" w:eastAsia="仿宋" w:cs="仿宋"/>
                <w:color w:val="auto"/>
                <w:szCs w:val="21"/>
                <w:highlight w:val="none"/>
              </w:rPr>
            </w:pPr>
          </w:p>
        </w:tc>
        <w:tc>
          <w:tcPr>
            <w:tcW w:w="1682" w:type="dxa"/>
            <w:noWrap w:val="0"/>
            <w:vAlign w:val="center"/>
          </w:tcPr>
          <w:p w14:paraId="1B488AD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地面</w:t>
            </w:r>
          </w:p>
        </w:tc>
        <w:tc>
          <w:tcPr>
            <w:tcW w:w="2340" w:type="dxa"/>
            <w:noWrap w:val="0"/>
            <w:vAlign w:val="center"/>
          </w:tcPr>
          <w:p w14:paraId="3CEBB9A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除尘、抛光</w:t>
            </w:r>
          </w:p>
        </w:tc>
        <w:tc>
          <w:tcPr>
            <w:tcW w:w="2880" w:type="dxa"/>
            <w:noWrap w:val="0"/>
            <w:vAlign w:val="center"/>
          </w:tcPr>
          <w:p w14:paraId="3CEB0B0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无脚印、无灰尘、光亮</w:t>
            </w:r>
          </w:p>
        </w:tc>
        <w:tc>
          <w:tcPr>
            <w:tcW w:w="1224" w:type="dxa"/>
            <w:noWrap w:val="0"/>
            <w:vAlign w:val="center"/>
          </w:tcPr>
          <w:p w14:paraId="6ED8529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推尘</w:t>
            </w:r>
          </w:p>
        </w:tc>
        <w:tc>
          <w:tcPr>
            <w:tcW w:w="1224" w:type="dxa"/>
            <w:noWrap w:val="0"/>
            <w:vAlign w:val="center"/>
          </w:tcPr>
          <w:p w14:paraId="29AEDF0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抛光一次</w:t>
            </w:r>
          </w:p>
        </w:tc>
        <w:tc>
          <w:tcPr>
            <w:tcW w:w="1224" w:type="dxa"/>
            <w:noWrap w:val="0"/>
            <w:vAlign w:val="center"/>
          </w:tcPr>
          <w:p w14:paraId="6594737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EB8F54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982AA50">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7C5C6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36476E6C">
            <w:pPr>
              <w:rPr>
                <w:rFonts w:hint="eastAsia" w:ascii="仿宋" w:hAnsi="仿宋" w:eastAsia="仿宋" w:cs="仿宋"/>
                <w:color w:val="auto"/>
                <w:szCs w:val="21"/>
                <w:highlight w:val="none"/>
              </w:rPr>
            </w:pPr>
          </w:p>
        </w:tc>
        <w:tc>
          <w:tcPr>
            <w:tcW w:w="1682" w:type="dxa"/>
            <w:noWrap w:val="0"/>
            <w:vAlign w:val="center"/>
          </w:tcPr>
          <w:p w14:paraId="6997457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墙身</w:t>
            </w:r>
          </w:p>
        </w:tc>
        <w:tc>
          <w:tcPr>
            <w:tcW w:w="2340" w:type="dxa"/>
            <w:noWrap w:val="0"/>
            <w:vAlign w:val="center"/>
          </w:tcPr>
          <w:p w14:paraId="1DD75AB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4E79547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无积灰、无蜘蛛网</w:t>
            </w:r>
          </w:p>
        </w:tc>
        <w:tc>
          <w:tcPr>
            <w:tcW w:w="1224" w:type="dxa"/>
            <w:noWrap w:val="0"/>
            <w:vAlign w:val="center"/>
          </w:tcPr>
          <w:p w14:paraId="35FA9BC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97C110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520BEC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5496F3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清除一次</w:t>
            </w:r>
          </w:p>
        </w:tc>
        <w:tc>
          <w:tcPr>
            <w:tcW w:w="1224" w:type="dxa"/>
            <w:noWrap w:val="0"/>
            <w:vAlign w:val="center"/>
          </w:tcPr>
          <w:p w14:paraId="18FFE07D">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487A8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2FC9AF62">
            <w:pPr>
              <w:rPr>
                <w:rFonts w:hint="eastAsia" w:ascii="仿宋" w:hAnsi="仿宋" w:eastAsia="仿宋" w:cs="仿宋"/>
                <w:color w:val="auto"/>
                <w:szCs w:val="21"/>
                <w:highlight w:val="none"/>
              </w:rPr>
            </w:pPr>
          </w:p>
        </w:tc>
        <w:tc>
          <w:tcPr>
            <w:tcW w:w="1682" w:type="dxa"/>
            <w:noWrap w:val="0"/>
            <w:vAlign w:val="center"/>
          </w:tcPr>
          <w:p w14:paraId="2FBCA85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大理石柱</w:t>
            </w:r>
          </w:p>
        </w:tc>
        <w:tc>
          <w:tcPr>
            <w:tcW w:w="2340" w:type="dxa"/>
            <w:noWrap w:val="0"/>
            <w:vAlign w:val="center"/>
          </w:tcPr>
          <w:p w14:paraId="0A9BFBF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3A5417C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无积灰、污渍</w:t>
            </w:r>
          </w:p>
        </w:tc>
        <w:tc>
          <w:tcPr>
            <w:tcW w:w="1224" w:type="dxa"/>
            <w:noWrap w:val="0"/>
            <w:vAlign w:val="center"/>
          </w:tcPr>
          <w:p w14:paraId="69EEEC2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EC1235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2米以下清抹</w:t>
            </w:r>
          </w:p>
        </w:tc>
        <w:tc>
          <w:tcPr>
            <w:tcW w:w="1224" w:type="dxa"/>
            <w:noWrap w:val="0"/>
            <w:vAlign w:val="center"/>
          </w:tcPr>
          <w:p w14:paraId="49EFA9E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C0BDE5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2米以上清抹</w:t>
            </w:r>
          </w:p>
        </w:tc>
        <w:tc>
          <w:tcPr>
            <w:tcW w:w="1224" w:type="dxa"/>
            <w:noWrap w:val="0"/>
            <w:vAlign w:val="center"/>
          </w:tcPr>
          <w:p w14:paraId="6FC2D59A">
            <w:pPr>
              <w:adjustRightInd w:val="0"/>
              <w:snapToGrid w:val="0"/>
              <w:spacing w:line="400" w:lineRule="atLeast"/>
              <w:jc w:val="center"/>
              <w:rPr>
                <w:rFonts w:hint="eastAsia" w:ascii="仿宋" w:hAnsi="仿宋" w:eastAsia="仿宋" w:cs="仿宋"/>
                <w:snapToGrid w:val="0"/>
                <w:color w:val="auto"/>
                <w:kern w:val="0"/>
                <w:szCs w:val="21"/>
                <w:highlight w:val="none"/>
              </w:rPr>
            </w:pPr>
          </w:p>
        </w:tc>
      </w:tr>
    </w:tbl>
    <w:p w14:paraId="7EB55219">
      <w:pPr>
        <w:rPr>
          <w:rFonts w:hint="eastAsia" w:ascii="仿宋" w:hAnsi="仿宋" w:eastAsia="仿宋" w:cs="仿宋"/>
          <w:color w:val="auto"/>
          <w:highlight w:val="none"/>
        </w:rPr>
      </w:pPr>
      <w:r>
        <w:rPr>
          <w:rFonts w:hint="eastAsia" w:ascii="仿宋" w:hAnsi="仿宋" w:eastAsia="仿宋" w:cs="仿宋"/>
          <w:color w:val="auto"/>
          <w:highlight w:val="none"/>
        </w:rPr>
        <w:br w:type="page"/>
      </w:r>
      <w:r>
        <w:rPr>
          <w:rFonts w:hint="eastAsia" w:ascii="仿宋" w:hAnsi="仿宋" w:eastAsia="仿宋" w:cs="仿宋"/>
          <w:color w:val="auto"/>
          <w:highlight w:val="none"/>
        </w:rPr>
        <w:t>表2</w:t>
      </w:r>
    </w:p>
    <w:tbl>
      <w:tblPr>
        <w:tblStyle w:val="18"/>
        <w:tblpPr w:leftFromText="180" w:rightFromText="180" w:vertAnchor="page" w:horzAnchor="margin" w:tblpXSpec="center" w:tblpY="2266"/>
        <w:tblW w:w="139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682"/>
        <w:gridCol w:w="2340"/>
        <w:gridCol w:w="2880"/>
        <w:gridCol w:w="1224"/>
        <w:gridCol w:w="1224"/>
        <w:gridCol w:w="1224"/>
        <w:gridCol w:w="1224"/>
        <w:gridCol w:w="1224"/>
      </w:tblGrid>
      <w:tr w14:paraId="12875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509981E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区</w:t>
            </w:r>
          </w:p>
          <w:p w14:paraId="115D04E4">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域</w:t>
            </w:r>
          </w:p>
        </w:tc>
        <w:tc>
          <w:tcPr>
            <w:tcW w:w="1682" w:type="dxa"/>
            <w:vMerge w:val="restart"/>
            <w:noWrap w:val="0"/>
            <w:vAlign w:val="center"/>
          </w:tcPr>
          <w:p w14:paraId="7EEEBBE2">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项  目</w:t>
            </w:r>
          </w:p>
        </w:tc>
        <w:tc>
          <w:tcPr>
            <w:tcW w:w="2340" w:type="dxa"/>
            <w:vMerge w:val="restart"/>
            <w:noWrap w:val="0"/>
            <w:vAlign w:val="center"/>
          </w:tcPr>
          <w:p w14:paraId="2DFB511F">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工作内容</w:t>
            </w:r>
          </w:p>
        </w:tc>
        <w:tc>
          <w:tcPr>
            <w:tcW w:w="2880" w:type="dxa"/>
            <w:vMerge w:val="restart"/>
            <w:noWrap w:val="0"/>
            <w:vAlign w:val="center"/>
          </w:tcPr>
          <w:p w14:paraId="31D65C3B">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标  准</w:t>
            </w:r>
          </w:p>
        </w:tc>
        <w:tc>
          <w:tcPr>
            <w:tcW w:w="6120" w:type="dxa"/>
            <w:gridSpan w:val="5"/>
            <w:noWrap w:val="0"/>
            <w:vAlign w:val="center"/>
          </w:tcPr>
          <w:p w14:paraId="51A83876">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频    率</w:t>
            </w:r>
          </w:p>
        </w:tc>
      </w:tr>
      <w:tr w14:paraId="66EF8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center"/>
          </w:tcPr>
          <w:p w14:paraId="5BA48552">
            <w:pPr>
              <w:jc w:val="center"/>
              <w:rPr>
                <w:rFonts w:hint="eastAsia" w:ascii="仿宋" w:hAnsi="仿宋" w:eastAsia="仿宋" w:cs="仿宋"/>
                <w:color w:val="auto"/>
                <w:szCs w:val="21"/>
                <w:highlight w:val="none"/>
              </w:rPr>
            </w:pPr>
          </w:p>
        </w:tc>
        <w:tc>
          <w:tcPr>
            <w:tcW w:w="1682" w:type="dxa"/>
            <w:vMerge w:val="continue"/>
            <w:noWrap w:val="0"/>
            <w:vAlign w:val="center"/>
          </w:tcPr>
          <w:p w14:paraId="11ED6AB4">
            <w:pPr>
              <w:jc w:val="center"/>
              <w:rPr>
                <w:rFonts w:hint="eastAsia" w:ascii="仿宋" w:hAnsi="仿宋" w:eastAsia="仿宋" w:cs="仿宋"/>
                <w:color w:val="auto"/>
                <w:szCs w:val="21"/>
                <w:highlight w:val="none"/>
              </w:rPr>
            </w:pPr>
          </w:p>
        </w:tc>
        <w:tc>
          <w:tcPr>
            <w:tcW w:w="2340" w:type="dxa"/>
            <w:vMerge w:val="continue"/>
            <w:noWrap w:val="0"/>
            <w:vAlign w:val="center"/>
          </w:tcPr>
          <w:p w14:paraId="3F378895">
            <w:pPr>
              <w:jc w:val="center"/>
              <w:rPr>
                <w:rFonts w:hint="eastAsia" w:ascii="仿宋" w:hAnsi="仿宋" w:eastAsia="仿宋" w:cs="仿宋"/>
                <w:color w:val="auto"/>
                <w:szCs w:val="21"/>
                <w:highlight w:val="none"/>
              </w:rPr>
            </w:pPr>
          </w:p>
        </w:tc>
        <w:tc>
          <w:tcPr>
            <w:tcW w:w="2880" w:type="dxa"/>
            <w:vMerge w:val="continue"/>
            <w:noWrap w:val="0"/>
            <w:vAlign w:val="center"/>
          </w:tcPr>
          <w:p w14:paraId="55524188">
            <w:pPr>
              <w:jc w:val="center"/>
              <w:rPr>
                <w:rFonts w:hint="eastAsia" w:ascii="仿宋" w:hAnsi="仿宋" w:eastAsia="仿宋" w:cs="仿宋"/>
                <w:color w:val="auto"/>
                <w:szCs w:val="21"/>
                <w:highlight w:val="none"/>
              </w:rPr>
            </w:pPr>
          </w:p>
        </w:tc>
        <w:tc>
          <w:tcPr>
            <w:tcW w:w="1224" w:type="dxa"/>
            <w:noWrap w:val="0"/>
            <w:vAlign w:val="center"/>
          </w:tcPr>
          <w:p w14:paraId="732F442D">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循环</w:t>
            </w:r>
          </w:p>
        </w:tc>
        <w:tc>
          <w:tcPr>
            <w:tcW w:w="1224" w:type="dxa"/>
            <w:noWrap w:val="0"/>
            <w:vAlign w:val="center"/>
          </w:tcPr>
          <w:p w14:paraId="73C50C3F">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日</w:t>
            </w:r>
          </w:p>
        </w:tc>
        <w:tc>
          <w:tcPr>
            <w:tcW w:w="1224" w:type="dxa"/>
            <w:noWrap w:val="0"/>
            <w:vAlign w:val="center"/>
          </w:tcPr>
          <w:p w14:paraId="5FA7BAD5">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星 期</w:t>
            </w:r>
          </w:p>
        </w:tc>
        <w:tc>
          <w:tcPr>
            <w:tcW w:w="1224" w:type="dxa"/>
            <w:noWrap w:val="0"/>
            <w:vAlign w:val="center"/>
          </w:tcPr>
          <w:p w14:paraId="4F2447E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月</w:t>
            </w:r>
          </w:p>
        </w:tc>
        <w:tc>
          <w:tcPr>
            <w:tcW w:w="1224" w:type="dxa"/>
            <w:noWrap w:val="0"/>
            <w:vAlign w:val="center"/>
          </w:tcPr>
          <w:p w14:paraId="0AA7C182">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季</w:t>
            </w:r>
          </w:p>
        </w:tc>
      </w:tr>
      <w:tr w14:paraId="3F59E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714E584E">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总</w:t>
            </w:r>
          </w:p>
          <w:p w14:paraId="65453513">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体</w:t>
            </w:r>
          </w:p>
          <w:p w14:paraId="42EF16B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外</w:t>
            </w:r>
          </w:p>
          <w:p w14:paraId="6DEC568D">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墙</w:t>
            </w:r>
          </w:p>
        </w:tc>
        <w:tc>
          <w:tcPr>
            <w:tcW w:w="1682" w:type="dxa"/>
            <w:noWrap w:val="0"/>
            <w:vAlign w:val="center"/>
          </w:tcPr>
          <w:p w14:paraId="5F52660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木质立面</w:t>
            </w:r>
          </w:p>
        </w:tc>
        <w:tc>
          <w:tcPr>
            <w:tcW w:w="2340" w:type="dxa"/>
            <w:noWrap w:val="0"/>
            <w:vAlign w:val="center"/>
          </w:tcPr>
          <w:p w14:paraId="02AF33C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除尘（用碧丽珠）</w:t>
            </w:r>
          </w:p>
        </w:tc>
        <w:tc>
          <w:tcPr>
            <w:tcW w:w="2880" w:type="dxa"/>
            <w:noWrap w:val="0"/>
            <w:vAlign w:val="center"/>
          </w:tcPr>
          <w:p w14:paraId="44F4DFB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无灰尘、光亮</w:t>
            </w:r>
          </w:p>
        </w:tc>
        <w:tc>
          <w:tcPr>
            <w:tcW w:w="1224" w:type="dxa"/>
            <w:noWrap w:val="0"/>
            <w:vAlign w:val="center"/>
          </w:tcPr>
          <w:p w14:paraId="68CB863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E88FA2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37B5700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保养一次</w:t>
            </w:r>
          </w:p>
        </w:tc>
        <w:tc>
          <w:tcPr>
            <w:tcW w:w="1224" w:type="dxa"/>
            <w:noWrap w:val="0"/>
            <w:vAlign w:val="center"/>
          </w:tcPr>
          <w:p w14:paraId="0B59BB7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5B44FF42">
            <w:pPr>
              <w:rPr>
                <w:rFonts w:hint="eastAsia" w:ascii="仿宋" w:hAnsi="仿宋" w:eastAsia="仿宋" w:cs="仿宋"/>
                <w:color w:val="auto"/>
                <w:szCs w:val="21"/>
                <w:highlight w:val="none"/>
              </w:rPr>
            </w:pPr>
          </w:p>
        </w:tc>
      </w:tr>
      <w:tr w14:paraId="21F9D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7EE9D951">
            <w:pPr>
              <w:rPr>
                <w:rFonts w:hint="eastAsia" w:ascii="仿宋" w:hAnsi="仿宋" w:eastAsia="仿宋" w:cs="仿宋"/>
                <w:color w:val="auto"/>
                <w:szCs w:val="21"/>
                <w:highlight w:val="none"/>
              </w:rPr>
            </w:pPr>
          </w:p>
        </w:tc>
        <w:tc>
          <w:tcPr>
            <w:tcW w:w="1682" w:type="dxa"/>
            <w:noWrap w:val="0"/>
            <w:vAlign w:val="center"/>
          </w:tcPr>
          <w:p w14:paraId="2552BC1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标识牌（各类）</w:t>
            </w:r>
          </w:p>
        </w:tc>
        <w:tc>
          <w:tcPr>
            <w:tcW w:w="2340" w:type="dxa"/>
            <w:noWrap w:val="0"/>
            <w:vAlign w:val="center"/>
          </w:tcPr>
          <w:p w14:paraId="164AA89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0E5E074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5255FBF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DA2061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2米以下清抹</w:t>
            </w:r>
          </w:p>
        </w:tc>
        <w:tc>
          <w:tcPr>
            <w:tcW w:w="1224" w:type="dxa"/>
            <w:noWrap w:val="0"/>
            <w:vAlign w:val="center"/>
          </w:tcPr>
          <w:p w14:paraId="6C7F60E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2米以上清抹</w:t>
            </w:r>
          </w:p>
        </w:tc>
        <w:tc>
          <w:tcPr>
            <w:tcW w:w="1224" w:type="dxa"/>
            <w:noWrap w:val="0"/>
            <w:vAlign w:val="center"/>
          </w:tcPr>
          <w:p w14:paraId="645AAFB4">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4001556B">
            <w:pPr>
              <w:rPr>
                <w:rFonts w:hint="eastAsia" w:ascii="仿宋" w:hAnsi="仿宋" w:eastAsia="仿宋" w:cs="仿宋"/>
                <w:color w:val="auto"/>
                <w:szCs w:val="21"/>
                <w:highlight w:val="none"/>
              </w:rPr>
            </w:pPr>
          </w:p>
        </w:tc>
      </w:tr>
      <w:tr w14:paraId="22F2C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70988E70">
            <w:pPr>
              <w:rPr>
                <w:rFonts w:hint="eastAsia" w:ascii="仿宋" w:hAnsi="仿宋" w:eastAsia="仿宋" w:cs="仿宋"/>
                <w:color w:val="auto"/>
                <w:szCs w:val="21"/>
                <w:highlight w:val="none"/>
              </w:rPr>
            </w:pPr>
          </w:p>
        </w:tc>
        <w:tc>
          <w:tcPr>
            <w:tcW w:w="1682" w:type="dxa"/>
            <w:noWrap w:val="0"/>
            <w:vAlign w:val="center"/>
          </w:tcPr>
          <w:p w14:paraId="1EB0B24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灯箱</w:t>
            </w:r>
          </w:p>
        </w:tc>
        <w:tc>
          <w:tcPr>
            <w:tcW w:w="2340" w:type="dxa"/>
            <w:noWrap w:val="0"/>
            <w:vAlign w:val="center"/>
          </w:tcPr>
          <w:p w14:paraId="2B087AF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外表除尘</w:t>
            </w:r>
          </w:p>
        </w:tc>
        <w:tc>
          <w:tcPr>
            <w:tcW w:w="2880" w:type="dxa"/>
            <w:noWrap w:val="0"/>
            <w:vAlign w:val="center"/>
          </w:tcPr>
          <w:p w14:paraId="6C8A7E8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w:t>
            </w:r>
          </w:p>
        </w:tc>
        <w:tc>
          <w:tcPr>
            <w:tcW w:w="1224" w:type="dxa"/>
            <w:noWrap w:val="0"/>
            <w:vAlign w:val="center"/>
          </w:tcPr>
          <w:p w14:paraId="100A7BF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25626F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67844E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清抹一次</w:t>
            </w:r>
          </w:p>
        </w:tc>
        <w:tc>
          <w:tcPr>
            <w:tcW w:w="1224" w:type="dxa"/>
            <w:noWrap w:val="0"/>
            <w:vAlign w:val="center"/>
          </w:tcPr>
          <w:p w14:paraId="525964D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5774D49F">
            <w:pPr>
              <w:rPr>
                <w:rFonts w:hint="eastAsia" w:ascii="仿宋" w:hAnsi="仿宋" w:eastAsia="仿宋" w:cs="仿宋"/>
                <w:color w:val="auto"/>
                <w:szCs w:val="21"/>
                <w:highlight w:val="none"/>
              </w:rPr>
            </w:pPr>
          </w:p>
        </w:tc>
      </w:tr>
      <w:tr w14:paraId="17D79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0A3382E">
            <w:pPr>
              <w:rPr>
                <w:rFonts w:hint="eastAsia" w:ascii="仿宋" w:hAnsi="仿宋" w:eastAsia="仿宋" w:cs="仿宋"/>
                <w:color w:val="auto"/>
                <w:szCs w:val="21"/>
                <w:highlight w:val="none"/>
              </w:rPr>
            </w:pPr>
          </w:p>
        </w:tc>
        <w:tc>
          <w:tcPr>
            <w:tcW w:w="1682" w:type="dxa"/>
            <w:noWrap w:val="0"/>
            <w:vAlign w:val="center"/>
          </w:tcPr>
          <w:p w14:paraId="7352981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各类消防设施</w:t>
            </w:r>
          </w:p>
        </w:tc>
        <w:tc>
          <w:tcPr>
            <w:tcW w:w="2340" w:type="dxa"/>
            <w:noWrap w:val="0"/>
            <w:vAlign w:val="center"/>
          </w:tcPr>
          <w:p w14:paraId="5033C90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0B56E73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w:t>
            </w:r>
          </w:p>
        </w:tc>
        <w:tc>
          <w:tcPr>
            <w:tcW w:w="1224" w:type="dxa"/>
            <w:noWrap w:val="0"/>
            <w:vAlign w:val="center"/>
          </w:tcPr>
          <w:p w14:paraId="6D13DB8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F85991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清抹一次</w:t>
            </w:r>
          </w:p>
        </w:tc>
        <w:tc>
          <w:tcPr>
            <w:tcW w:w="1224" w:type="dxa"/>
            <w:noWrap w:val="0"/>
            <w:vAlign w:val="center"/>
          </w:tcPr>
          <w:p w14:paraId="7D09FED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4F10EE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2D98EE3C">
            <w:pPr>
              <w:rPr>
                <w:rFonts w:hint="eastAsia" w:ascii="仿宋" w:hAnsi="仿宋" w:eastAsia="仿宋" w:cs="仿宋"/>
                <w:color w:val="auto"/>
                <w:szCs w:val="21"/>
                <w:highlight w:val="none"/>
              </w:rPr>
            </w:pPr>
          </w:p>
        </w:tc>
      </w:tr>
      <w:tr w14:paraId="4E5F5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4819D872">
            <w:pPr>
              <w:rPr>
                <w:rFonts w:hint="eastAsia" w:ascii="仿宋" w:hAnsi="仿宋" w:eastAsia="仿宋" w:cs="仿宋"/>
                <w:color w:val="auto"/>
                <w:szCs w:val="21"/>
                <w:highlight w:val="none"/>
              </w:rPr>
            </w:pPr>
          </w:p>
        </w:tc>
        <w:tc>
          <w:tcPr>
            <w:tcW w:w="1682" w:type="dxa"/>
            <w:noWrap w:val="0"/>
            <w:vAlign w:val="center"/>
          </w:tcPr>
          <w:p w14:paraId="78962B9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墙脚线</w:t>
            </w:r>
          </w:p>
        </w:tc>
        <w:tc>
          <w:tcPr>
            <w:tcW w:w="2340" w:type="dxa"/>
            <w:noWrap w:val="0"/>
            <w:vAlign w:val="center"/>
          </w:tcPr>
          <w:p w14:paraId="7D01AD7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431358A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40B2492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0C65B9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保洁一次</w:t>
            </w:r>
          </w:p>
        </w:tc>
        <w:tc>
          <w:tcPr>
            <w:tcW w:w="1224" w:type="dxa"/>
            <w:noWrap w:val="0"/>
            <w:vAlign w:val="center"/>
          </w:tcPr>
          <w:p w14:paraId="029536C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清除一次</w:t>
            </w:r>
          </w:p>
        </w:tc>
        <w:tc>
          <w:tcPr>
            <w:tcW w:w="1224" w:type="dxa"/>
            <w:noWrap w:val="0"/>
            <w:vAlign w:val="center"/>
          </w:tcPr>
          <w:p w14:paraId="275A751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69268F64">
            <w:pPr>
              <w:rPr>
                <w:rFonts w:hint="eastAsia" w:ascii="仿宋" w:hAnsi="仿宋" w:eastAsia="仿宋" w:cs="仿宋"/>
                <w:color w:val="auto"/>
                <w:szCs w:val="21"/>
                <w:highlight w:val="none"/>
              </w:rPr>
            </w:pPr>
          </w:p>
        </w:tc>
      </w:tr>
      <w:tr w14:paraId="5C6F5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440A48B4">
            <w:pPr>
              <w:rPr>
                <w:rFonts w:hint="eastAsia" w:ascii="仿宋" w:hAnsi="仿宋" w:eastAsia="仿宋" w:cs="仿宋"/>
                <w:color w:val="auto"/>
                <w:szCs w:val="21"/>
                <w:highlight w:val="none"/>
              </w:rPr>
            </w:pPr>
          </w:p>
        </w:tc>
        <w:tc>
          <w:tcPr>
            <w:tcW w:w="1682" w:type="dxa"/>
            <w:noWrap w:val="0"/>
            <w:vAlign w:val="center"/>
          </w:tcPr>
          <w:p w14:paraId="056B8BA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风口</w:t>
            </w:r>
          </w:p>
        </w:tc>
        <w:tc>
          <w:tcPr>
            <w:tcW w:w="2340" w:type="dxa"/>
            <w:noWrap w:val="0"/>
            <w:vAlign w:val="center"/>
          </w:tcPr>
          <w:p w14:paraId="3484B6D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5F527E4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6D67E93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6A5326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F593CA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清除一次</w:t>
            </w:r>
          </w:p>
        </w:tc>
        <w:tc>
          <w:tcPr>
            <w:tcW w:w="1224" w:type="dxa"/>
            <w:noWrap w:val="0"/>
            <w:vAlign w:val="center"/>
          </w:tcPr>
          <w:p w14:paraId="5F9371A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32916202">
            <w:pPr>
              <w:rPr>
                <w:rFonts w:hint="eastAsia" w:ascii="仿宋" w:hAnsi="仿宋" w:eastAsia="仿宋" w:cs="仿宋"/>
                <w:color w:val="auto"/>
                <w:szCs w:val="21"/>
                <w:highlight w:val="none"/>
              </w:rPr>
            </w:pPr>
          </w:p>
        </w:tc>
      </w:tr>
      <w:tr w14:paraId="35CF1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CAC0EA3">
            <w:pPr>
              <w:rPr>
                <w:rFonts w:hint="eastAsia" w:ascii="仿宋" w:hAnsi="仿宋" w:eastAsia="仿宋" w:cs="仿宋"/>
                <w:color w:val="auto"/>
                <w:szCs w:val="21"/>
                <w:highlight w:val="none"/>
              </w:rPr>
            </w:pPr>
          </w:p>
        </w:tc>
        <w:tc>
          <w:tcPr>
            <w:tcW w:w="1682" w:type="dxa"/>
            <w:noWrap w:val="0"/>
            <w:vAlign w:val="center"/>
          </w:tcPr>
          <w:p w14:paraId="04C48C3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烟灰缸</w:t>
            </w:r>
          </w:p>
        </w:tc>
        <w:tc>
          <w:tcPr>
            <w:tcW w:w="2340" w:type="dxa"/>
            <w:noWrap w:val="0"/>
            <w:vAlign w:val="center"/>
          </w:tcPr>
          <w:p w14:paraId="75B59B2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清除烟蒂和保洁</w:t>
            </w:r>
          </w:p>
        </w:tc>
        <w:tc>
          <w:tcPr>
            <w:tcW w:w="2880" w:type="dxa"/>
            <w:noWrap w:val="0"/>
            <w:vAlign w:val="center"/>
          </w:tcPr>
          <w:p w14:paraId="48B894E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烟蒂不超过三只、外表清洁</w:t>
            </w:r>
          </w:p>
        </w:tc>
        <w:tc>
          <w:tcPr>
            <w:tcW w:w="1224" w:type="dxa"/>
            <w:noWrap w:val="0"/>
            <w:vAlign w:val="center"/>
          </w:tcPr>
          <w:p w14:paraId="3108484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1E27B4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及时清洗</w:t>
            </w:r>
          </w:p>
        </w:tc>
        <w:tc>
          <w:tcPr>
            <w:tcW w:w="1224" w:type="dxa"/>
            <w:noWrap w:val="0"/>
            <w:vAlign w:val="center"/>
          </w:tcPr>
          <w:p w14:paraId="77F1F6D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F33A3C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7EB0BAD4">
            <w:pPr>
              <w:rPr>
                <w:rFonts w:hint="eastAsia" w:ascii="仿宋" w:hAnsi="仿宋" w:eastAsia="仿宋" w:cs="仿宋"/>
                <w:color w:val="auto"/>
                <w:szCs w:val="21"/>
                <w:highlight w:val="none"/>
              </w:rPr>
            </w:pPr>
          </w:p>
        </w:tc>
      </w:tr>
      <w:tr w14:paraId="6BBF0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00DD3ABA">
            <w:pPr>
              <w:rPr>
                <w:rFonts w:hint="eastAsia" w:ascii="仿宋" w:hAnsi="仿宋" w:eastAsia="仿宋" w:cs="仿宋"/>
                <w:color w:val="auto"/>
                <w:szCs w:val="21"/>
                <w:highlight w:val="none"/>
              </w:rPr>
            </w:pPr>
          </w:p>
        </w:tc>
        <w:tc>
          <w:tcPr>
            <w:tcW w:w="1682" w:type="dxa"/>
            <w:noWrap w:val="0"/>
            <w:vAlign w:val="center"/>
          </w:tcPr>
          <w:p w14:paraId="0C7AA41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废物箱</w:t>
            </w:r>
          </w:p>
        </w:tc>
        <w:tc>
          <w:tcPr>
            <w:tcW w:w="2340" w:type="dxa"/>
            <w:noWrap w:val="0"/>
            <w:vAlign w:val="center"/>
          </w:tcPr>
          <w:p w14:paraId="12EB8C8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清除垃圾、外表抹净</w:t>
            </w:r>
          </w:p>
        </w:tc>
        <w:tc>
          <w:tcPr>
            <w:tcW w:w="2880" w:type="dxa"/>
            <w:noWrap w:val="0"/>
            <w:vAlign w:val="center"/>
          </w:tcPr>
          <w:p w14:paraId="5BC15C3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无垃圾满溢、无拖挂</w:t>
            </w:r>
          </w:p>
        </w:tc>
        <w:tc>
          <w:tcPr>
            <w:tcW w:w="1224" w:type="dxa"/>
            <w:noWrap w:val="0"/>
            <w:vAlign w:val="center"/>
          </w:tcPr>
          <w:p w14:paraId="1E556E5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4FC0F01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倾倒一次</w:t>
            </w:r>
          </w:p>
        </w:tc>
        <w:tc>
          <w:tcPr>
            <w:tcW w:w="1224" w:type="dxa"/>
            <w:noWrap w:val="0"/>
            <w:vAlign w:val="center"/>
          </w:tcPr>
          <w:p w14:paraId="0DF55D6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center"/>
          </w:tcPr>
          <w:p w14:paraId="2D55FD5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6113034E">
            <w:pPr>
              <w:rPr>
                <w:rFonts w:hint="eastAsia" w:ascii="仿宋" w:hAnsi="仿宋" w:eastAsia="仿宋" w:cs="仿宋"/>
                <w:color w:val="auto"/>
                <w:szCs w:val="21"/>
                <w:highlight w:val="none"/>
              </w:rPr>
            </w:pPr>
          </w:p>
        </w:tc>
      </w:tr>
      <w:tr w14:paraId="1961F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7646FCFC">
            <w:pPr>
              <w:rPr>
                <w:rFonts w:hint="eastAsia" w:ascii="仿宋" w:hAnsi="仿宋" w:eastAsia="仿宋" w:cs="仿宋"/>
                <w:color w:val="auto"/>
                <w:szCs w:val="21"/>
                <w:highlight w:val="none"/>
              </w:rPr>
            </w:pPr>
          </w:p>
        </w:tc>
        <w:tc>
          <w:tcPr>
            <w:tcW w:w="1682" w:type="dxa"/>
            <w:noWrap w:val="0"/>
            <w:vAlign w:val="center"/>
          </w:tcPr>
          <w:p w14:paraId="6C568E0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门框</w:t>
            </w:r>
          </w:p>
        </w:tc>
        <w:tc>
          <w:tcPr>
            <w:tcW w:w="2340" w:type="dxa"/>
            <w:noWrap w:val="0"/>
            <w:vAlign w:val="center"/>
          </w:tcPr>
          <w:p w14:paraId="2F5A593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除尘（木质上碧丽珠）铜把手</w:t>
            </w:r>
          </w:p>
        </w:tc>
        <w:tc>
          <w:tcPr>
            <w:tcW w:w="2880" w:type="dxa"/>
            <w:noWrap w:val="0"/>
            <w:vAlign w:val="center"/>
          </w:tcPr>
          <w:p w14:paraId="783B732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无灰尘、无手印、明亮</w:t>
            </w:r>
          </w:p>
        </w:tc>
        <w:tc>
          <w:tcPr>
            <w:tcW w:w="1224" w:type="dxa"/>
            <w:noWrap w:val="0"/>
            <w:vAlign w:val="center"/>
          </w:tcPr>
          <w:p w14:paraId="4FDAAAB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180E3AC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CA9113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保洁一次</w:t>
            </w:r>
          </w:p>
        </w:tc>
        <w:tc>
          <w:tcPr>
            <w:tcW w:w="1224" w:type="dxa"/>
            <w:noWrap w:val="0"/>
            <w:vAlign w:val="center"/>
          </w:tcPr>
          <w:p w14:paraId="14C3519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12AE331D">
            <w:pPr>
              <w:rPr>
                <w:rFonts w:hint="eastAsia" w:ascii="仿宋" w:hAnsi="仿宋" w:eastAsia="仿宋" w:cs="仿宋"/>
                <w:color w:val="auto"/>
                <w:szCs w:val="21"/>
                <w:highlight w:val="none"/>
              </w:rPr>
            </w:pPr>
          </w:p>
        </w:tc>
      </w:tr>
      <w:tr w14:paraId="16919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7AD50EAA">
            <w:pPr>
              <w:rPr>
                <w:rFonts w:hint="eastAsia" w:ascii="仿宋" w:hAnsi="仿宋" w:eastAsia="仿宋" w:cs="仿宋"/>
                <w:color w:val="auto"/>
                <w:szCs w:val="21"/>
                <w:highlight w:val="none"/>
              </w:rPr>
            </w:pPr>
          </w:p>
        </w:tc>
        <w:tc>
          <w:tcPr>
            <w:tcW w:w="1682" w:type="dxa"/>
            <w:noWrap w:val="0"/>
            <w:vAlign w:val="center"/>
          </w:tcPr>
          <w:p w14:paraId="2AB4853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大玻璃窗内</w:t>
            </w:r>
          </w:p>
        </w:tc>
        <w:tc>
          <w:tcPr>
            <w:tcW w:w="2340" w:type="dxa"/>
            <w:noWrap w:val="0"/>
            <w:vAlign w:val="center"/>
          </w:tcPr>
          <w:p w14:paraId="5933DDA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w:t>
            </w:r>
          </w:p>
        </w:tc>
        <w:tc>
          <w:tcPr>
            <w:tcW w:w="2880" w:type="dxa"/>
            <w:noWrap w:val="0"/>
            <w:vAlign w:val="center"/>
          </w:tcPr>
          <w:p w14:paraId="2CF1BB5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无积灰、无刮刀印、明亮</w:t>
            </w:r>
          </w:p>
        </w:tc>
        <w:tc>
          <w:tcPr>
            <w:tcW w:w="1224" w:type="dxa"/>
            <w:noWrap w:val="0"/>
            <w:vAlign w:val="center"/>
          </w:tcPr>
          <w:p w14:paraId="7161F5D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2CCA618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7C6F2A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center"/>
          </w:tcPr>
          <w:p w14:paraId="7611F27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F5088B0">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2C5D0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22168070">
            <w:pPr>
              <w:rPr>
                <w:rFonts w:hint="eastAsia" w:ascii="仿宋" w:hAnsi="仿宋" w:eastAsia="仿宋" w:cs="仿宋"/>
                <w:color w:val="auto"/>
                <w:szCs w:val="21"/>
                <w:highlight w:val="none"/>
              </w:rPr>
            </w:pPr>
          </w:p>
        </w:tc>
        <w:tc>
          <w:tcPr>
            <w:tcW w:w="1682" w:type="dxa"/>
            <w:noWrap w:val="0"/>
            <w:vAlign w:val="center"/>
          </w:tcPr>
          <w:p w14:paraId="0A5DF36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花岗岩墙身</w:t>
            </w:r>
          </w:p>
        </w:tc>
        <w:tc>
          <w:tcPr>
            <w:tcW w:w="2340" w:type="dxa"/>
            <w:noWrap w:val="0"/>
            <w:vAlign w:val="center"/>
          </w:tcPr>
          <w:p w14:paraId="0D9E373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2DF6619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161CA24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99ED63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2米以下清抹</w:t>
            </w:r>
          </w:p>
        </w:tc>
        <w:tc>
          <w:tcPr>
            <w:tcW w:w="1224" w:type="dxa"/>
            <w:noWrap w:val="0"/>
            <w:vAlign w:val="center"/>
          </w:tcPr>
          <w:p w14:paraId="0D7CA20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940DE1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2米以上清抹</w:t>
            </w:r>
          </w:p>
        </w:tc>
        <w:tc>
          <w:tcPr>
            <w:tcW w:w="1224" w:type="dxa"/>
            <w:noWrap w:val="0"/>
            <w:vAlign w:val="center"/>
          </w:tcPr>
          <w:p w14:paraId="6BF2D38B">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683D8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7E01708">
            <w:pPr>
              <w:rPr>
                <w:rFonts w:hint="eastAsia" w:ascii="仿宋" w:hAnsi="仿宋" w:eastAsia="仿宋" w:cs="仿宋"/>
                <w:color w:val="auto"/>
                <w:szCs w:val="21"/>
                <w:highlight w:val="none"/>
              </w:rPr>
            </w:pPr>
          </w:p>
        </w:tc>
        <w:tc>
          <w:tcPr>
            <w:tcW w:w="1682" w:type="dxa"/>
            <w:noWrap w:val="0"/>
            <w:vAlign w:val="center"/>
          </w:tcPr>
          <w:p w14:paraId="7E53F35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花盆套</w:t>
            </w:r>
          </w:p>
        </w:tc>
        <w:tc>
          <w:tcPr>
            <w:tcW w:w="2340" w:type="dxa"/>
            <w:noWrap w:val="0"/>
            <w:vAlign w:val="center"/>
          </w:tcPr>
          <w:p w14:paraId="5FC3859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44810D3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无灰尘、盆内无垃圾</w:t>
            </w:r>
          </w:p>
        </w:tc>
        <w:tc>
          <w:tcPr>
            <w:tcW w:w="1224" w:type="dxa"/>
            <w:noWrap w:val="0"/>
            <w:vAlign w:val="center"/>
          </w:tcPr>
          <w:p w14:paraId="636F3D3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A22379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1DDACE2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清抹外表</w:t>
            </w:r>
          </w:p>
        </w:tc>
        <w:tc>
          <w:tcPr>
            <w:tcW w:w="1224" w:type="dxa"/>
            <w:noWrap w:val="0"/>
            <w:vAlign w:val="center"/>
          </w:tcPr>
          <w:p w14:paraId="0E8B2B7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3B023A5">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26876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5FBE872">
            <w:pPr>
              <w:rPr>
                <w:rFonts w:hint="eastAsia" w:ascii="仿宋" w:hAnsi="仿宋" w:eastAsia="仿宋" w:cs="仿宋"/>
                <w:color w:val="auto"/>
                <w:szCs w:val="21"/>
                <w:highlight w:val="none"/>
              </w:rPr>
            </w:pPr>
          </w:p>
        </w:tc>
        <w:tc>
          <w:tcPr>
            <w:tcW w:w="1682" w:type="dxa"/>
            <w:noWrap w:val="0"/>
            <w:vAlign w:val="center"/>
          </w:tcPr>
          <w:p w14:paraId="2F32E24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灯具</w:t>
            </w:r>
          </w:p>
        </w:tc>
        <w:tc>
          <w:tcPr>
            <w:tcW w:w="2340" w:type="dxa"/>
            <w:noWrap w:val="0"/>
            <w:vAlign w:val="center"/>
          </w:tcPr>
          <w:p w14:paraId="4B7CA45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除尘（大型灯具除外）</w:t>
            </w:r>
          </w:p>
        </w:tc>
        <w:tc>
          <w:tcPr>
            <w:tcW w:w="2880" w:type="dxa"/>
            <w:noWrap w:val="0"/>
            <w:vAlign w:val="center"/>
          </w:tcPr>
          <w:p w14:paraId="0D99F6D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1975047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7FBC76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4234ED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C54957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0E864FE">
            <w:pPr>
              <w:adjustRightInd w:val="0"/>
              <w:snapToGrid w:val="0"/>
              <w:spacing w:line="400" w:lineRule="atLeast"/>
              <w:jc w:val="center"/>
              <w:rPr>
                <w:rFonts w:hint="eastAsia" w:ascii="仿宋" w:hAnsi="仿宋" w:eastAsia="仿宋" w:cs="仿宋"/>
                <w:snapToGrid w:val="0"/>
                <w:color w:val="auto"/>
                <w:kern w:val="0"/>
                <w:szCs w:val="21"/>
                <w:highlight w:val="none"/>
              </w:rPr>
            </w:pPr>
          </w:p>
        </w:tc>
      </w:tr>
    </w:tbl>
    <w:p w14:paraId="45A23EB4">
      <w:pPr>
        <w:widowControl/>
        <w:jc w:val="center"/>
        <w:rPr>
          <w:rFonts w:hint="eastAsia" w:ascii="仿宋" w:hAnsi="仿宋" w:eastAsia="仿宋" w:cs="仿宋"/>
          <w:b/>
          <w:bCs/>
          <w:color w:val="auto"/>
          <w:sz w:val="24"/>
          <w:highlight w:val="none"/>
        </w:rPr>
      </w:pPr>
    </w:p>
    <w:p w14:paraId="0FF5272C">
      <w:pPr>
        <w:rPr>
          <w:rFonts w:hint="eastAsia" w:ascii="仿宋" w:hAnsi="仿宋" w:eastAsia="仿宋" w:cs="仿宋"/>
          <w:color w:val="auto"/>
          <w:highlight w:val="none"/>
        </w:rPr>
      </w:pPr>
    </w:p>
    <w:p w14:paraId="0EFD0BF7">
      <w:pPr>
        <w:rPr>
          <w:rFonts w:hint="eastAsia" w:ascii="仿宋" w:hAnsi="仿宋" w:eastAsia="仿宋" w:cs="仿宋"/>
          <w:color w:val="auto"/>
          <w:highlight w:val="none"/>
        </w:rPr>
      </w:pPr>
      <w:r>
        <w:rPr>
          <w:rFonts w:hint="eastAsia" w:ascii="仿宋" w:hAnsi="仿宋" w:eastAsia="仿宋" w:cs="仿宋"/>
          <w:color w:val="auto"/>
          <w:highlight w:val="none"/>
        </w:rPr>
        <w:t>表3</w:t>
      </w:r>
    </w:p>
    <w:tbl>
      <w:tblPr>
        <w:tblStyle w:val="18"/>
        <w:tblpPr w:leftFromText="180" w:rightFromText="180" w:vertAnchor="page" w:horzAnchor="margin" w:tblpXSpec="center" w:tblpY="2266"/>
        <w:tblW w:w="139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682"/>
        <w:gridCol w:w="2340"/>
        <w:gridCol w:w="2880"/>
        <w:gridCol w:w="1224"/>
        <w:gridCol w:w="1224"/>
        <w:gridCol w:w="1224"/>
        <w:gridCol w:w="1224"/>
        <w:gridCol w:w="1224"/>
      </w:tblGrid>
      <w:tr w14:paraId="3D2D8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73D0BB2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区</w:t>
            </w:r>
          </w:p>
          <w:p w14:paraId="58AFA81D">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域</w:t>
            </w:r>
          </w:p>
        </w:tc>
        <w:tc>
          <w:tcPr>
            <w:tcW w:w="1682" w:type="dxa"/>
            <w:vMerge w:val="restart"/>
            <w:noWrap w:val="0"/>
            <w:vAlign w:val="center"/>
          </w:tcPr>
          <w:p w14:paraId="6A7B9F2C">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项  目</w:t>
            </w:r>
          </w:p>
        </w:tc>
        <w:tc>
          <w:tcPr>
            <w:tcW w:w="2340" w:type="dxa"/>
            <w:vMerge w:val="restart"/>
            <w:noWrap w:val="0"/>
            <w:vAlign w:val="center"/>
          </w:tcPr>
          <w:p w14:paraId="36E22C65">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工作内容</w:t>
            </w:r>
          </w:p>
        </w:tc>
        <w:tc>
          <w:tcPr>
            <w:tcW w:w="2880" w:type="dxa"/>
            <w:vMerge w:val="restart"/>
            <w:noWrap w:val="0"/>
            <w:vAlign w:val="center"/>
          </w:tcPr>
          <w:p w14:paraId="0766EDDE">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标  准</w:t>
            </w:r>
          </w:p>
        </w:tc>
        <w:tc>
          <w:tcPr>
            <w:tcW w:w="6120" w:type="dxa"/>
            <w:gridSpan w:val="5"/>
            <w:noWrap w:val="0"/>
            <w:vAlign w:val="center"/>
          </w:tcPr>
          <w:p w14:paraId="6D35ACA8">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频    率</w:t>
            </w:r>
          </w:p>
        </w:tc>
      </w:tr>
      <w:tr w14:paraId="1E2A2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center"/>
          </w:tcPr>
          <w:p w14:paraId="1370DDAC">
            <w:pPr>
              <w:jc w:val="center"/>
              <w:rPr>
                <w:rFonts w:hint="eastAsia" w:ascii="仿宋" w:hAnsi="仿宋" w:eastAsia="仿宋" w:cs="仿宋"/>
                <w:color w:val="auto"/>
                <w:szCs w:val="21"/>
                <w:highlight w:val="none"/>
              </w:rPr>
            </w:pPr>
          </w:p>
        </w:tc>
        <w:tc>
          <w:tcPr>
            <w:tcW w:w="1682" w:type="dxa"/>
            <w:vMerge w:val="continue"/>
            <w:noWrap w:val="0"/>
            <w:vAlign w:val="center"/>
          </w:tcPr>
          <w:p w14:paraId="25ACB1AB">
            <w:pPr>
              <w:jc w:val="center"/>
              <w:rPr>
                <w:rFonts w:hint="eastAsia" w:ascii="仿宋" w:hAnsi="仿宋" w:eastAsia="仿宋" w:cs="仿宋"/>
                <w:color w:val="auto"/>
                <w:szCs w:val="21"/>
                <w:highlight w:val="none"/>
              </w:rPr>
            </w:pPr>
          </w:p>
        </w:tc>
        <w:tc>
          <w:tcPr>
            <w:tcW w:w="2340" w:type="dxa"/>
            <w:vMerge w:val="continue"/>
            <w:noWrap w:val="0"/>
            <w:vAlign w:val="center"/>
          </w:tcPr>
          <w:p w14:paraId="5AF8E50E">
            <w:pPr>
              <w:jc w:val="center"/>
              <w:rPr>
                <w:rFonts w:hint="eastAsia" w:ascii="仿宋" w:hAnsi="仿宋" w:eastAsia="仿宋" w:cs="仿宋"/>
                <w:color w:val="auto"/>
                <w:szCs w:val="21"/>
                <w:highlight w:val="none"/>
              </w:rPr>
            </w:pPr>
          </w:p>
        </w:tc>
        <w:tc>
          <w:tcPr>
            <w:tcW w:w="2880" w:type="dxa"/>
            <w:vMerge w:val="continue"/>
            <w:noWrap w:val="0"/>
            <w:vAlign w:val="center"/>
          </w:tcPr>
          <w:p w14:paraId="70B6A89F">
            <w:pPr>
              <w:jc w:val="center"/>
              <w:rPr>
                <w:rFonts w:hint="eastAsia" w:ascii="仿宋" w:hAnsi="仿宋" w:eastAsia="仿宋" w:cs="仿宋"/>
                <w:color w:val="auto"/>
                <w:szCs w:val="21"/>
                <w:highlight w:val="none"/>
              </w:rPr>
            </w:pPr>
          </w:p>
        </w:tc>
        <w:tc>
          <w:tcPr>
            <w:tcW w:w="1224" w:type="dxa"/>
            <w:noWrap w:val="0"/>
            <w:vAlign w:val="center"/>
          </w:tcPr>
          <w:p w14:paraId="20E14BD6">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循环</w:t>
            </w:r>
          </w:p>
        </w:tc>
        <w:tc>
          <w:tcPr>
            <w:tcW w:w="1224" w:type="dxa"/>
            <w:noWrap w:val="0"/>
            <w:vAlign w:val="center"/>
          </w:tcPr>
          <w:p w14:paraId="4378EB9C">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日</w:t>
            </w:r>
          </w:p>
        </w:tc>
        <w:tc>
          <w:tcPr>
            <w:tcW w:w="1224" w:type="dxa"/>
            <w:noWrap w:val="0"/>
            <w:vAlign w:val="center"/>
          </w:tcPr>
          <w:p w14:paraId="43CDAFAF">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星 期</w:t>
            </w:r>
          </w:p>
        </w:tc>
        <w:tc>
          <w:tcPr>
            <w:tcW w:w="1224" w:type="dxa"/>
            <w:noWrap w:val="0"/>
            <w:vAlign w:val="center"/>
          </w:tcPr>
          <w:p w14:paraId="208BE58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月</w:t>
            </w:r>
          </w:p>
        </w:tc>
        <w:tc>
          <w:tcPr>
            <w:tcW w:w="1224" w:type="dxa"/>
            <w:noWrap w:val="0"/>
            <w:vAlign w:val="center"/>
          </w:tcPr>
          <w:p w14:paraId="4406AB4E">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季</w:t>
            </w:r>
          </w:p>
        </w:tc>
      </w:tr>
      <w:tr w14:paraId="67AC2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2C86116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w:t>
            </w:r>
          </w:p>
          <w:p w14:paraId="2280045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梯</w:t>
            </w:r>
          </w:p>
        </w:tc>
        <w:tc>
          <w:tcPr>
            <w:tcW w:w="1682" w:type="dxa"/>
            <w:noWrap w:val="0"/>
            <w:vAlign w:val="center"/>
          </w:tcPr>
          <w:p w14:paraId="58A0529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地毯</w:t>
            </w:r>
          </w:p>
        </w:tc>
        <w:tc>
          <w:tcPr>
            <w:tcW w:w="2340" w:type="dxa"/>
            <w:noWrap w:val="0"/>
            <w:vAlign w:val="center"/>
          </w:tcPr>
          <w:p w14:paraId="6592791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除尘、清洗</w:t>
            </w:r>
          </w:p>
        </w:tc>
        <w:tc>
          <w:tcPr>
            <w:tcW w:w="2880" w:type="dxa"/>
            <w:noWrap w:val="0"/>
            <w:vAlign w:val="center"/>
          </w:tcPr>
          <w:p w14:paraId="2E875DC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无灰尘、无垃圾、无污渍</w:t>
            </w:r>
          </w:p>
        </w:tc>
        <w:tc>
          <w:tcPr>
            <w:tcW w:w="1224" w:type="dxa"/>
            <w:noWrap w:val="0"/>
            <w:vAlign w:val="center"/>
          </w:tcPr>
          <w:p w14:paraId="773E6B0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43DCF5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吸尘二次</w:t>
            </w:r>
          </w:p>
        </w:tc>
        <w:tc>
          <w:tcPr>
            <w:tcW w:w="1224" w:type="dxa"/>
            <w:noWrap w:val="0"/>
            <w:vAlign w:val="center"/>
          </w:tcPr>
          <w:p w14:paraId="7685F06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C47265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center"/>
          </w:tcPr>
          <w:p w14:paraId="05889AB8">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1D150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18559B9">
            <w:pPr>
              <w:rPr>
                <w:rFonts w:hint="eastAsia" w:ascii="仿宋" w:hAnsi="仿宋" w:eastAsia="仿宋" w:cs="仿宋"/>
                <w:color w:val="auto"/>
                <w:szCs w:val="21"/>
                <w:highlight w:val="none"/>
              </w:rPr>
            </w:pPr>
          </w:p>
        </w:tc>
        <w:tc>
          <w:tcPr>
            <w:tcW w:w="1682" w:type="dxa"/>
            <w:noWrap w:val="0"/>
            <w:vAlign w:val="center"/>
          </w:tcPr>
          <w:p w14:paraId="7196EC1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墙面</w:t>
            </w:r>
          </w:p>
        </w:tc>
        <w:tc>
          <w:tcPr>
            <w:tcW w:w="2340" w:type="dxa"/>
            <w:noWrap w:val="0"/>
            <w:vAlign w:val="center"/>
          </w:tcPr>
          <w:p w14:paraId="2993C10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木质（除尘）铝合金（上保护剂）、镜面清洁</w:t>
            </w:r>
          </w:p>
        </w:tc>
        <w:tc>
          <w:tcPr>
            <w:tcW w:w="2880" w:type="dxa"/>
            <w:noWrap w:val="0"/>
            <w:vAlign w:val="center"/>
          </w:tcPr>
          <w:p w14:paraId="1864137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无灰尘、无手印、光亮</w:t>
            </w:r>
          </w:p>
        </w:tc>
        <w:tc>
          <w:tcPr>
            <w:tcW w:w="1224" w:type="dxa"/>
            <w:noWrap w:val="0"/>
            <w:vAlign w:val="center"/>
          </w:tcPr>
          <w:p w14:paraId="7A3970A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B71803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153CE33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清洁、上光</w:t>
            </w:r>
          </w:p>
        </w:tc>
        <w:tc>
          <w:tcPr>
            <w:tcW w:w="1224" w:type="dxa"/>
            <w:noWrap w:val="0"/>
            <w:vAlign w:val="top"/>
          </w:tcPr>
          <w:p w14:paraId="731015EC">
            <w:pPr>
              <w:rPr>
                <w:rFonts w:hint="eastAsia" w:ascii="仿宋" w:hAnsi="仿宋" w:eastAsia="仿宋" w:cs="仿宋"/>
                <w:color w:val="auto"/>
                <w:szCs w:val="21"/>
                <w:highlight w:val="none"/>
              </w:rPr>
            </w:pPr>
          </w:p>
        </w:tc>
        <w:tc>
          <w:tcPr>
            <w:tcW w:w="1224" w:type="dxa"/>
            <w:noWrap w:val="0"/>
            <w:vAlign w:val="top"/>
          </w:tcPr>
          <w:p w14:paraId="661D7C39">
            <w:pPr>
              <w:rPr>
                <w:rFonts w:hint="eastAsia" w:ascii="仿宋" w:hAnsi="仿宋" w:eastAsia="仿宋" w:cs="仿宋"/>
                <w:color w:val="auto"/>
                <w:szCs w:val="21"/>
                <w:highlight w:val="none"/>
              </w:rPr>
            </w:pPr>
          </w:p>
        </w:tc>
      </w:tr>
      <w:tr w14:paraId="192B3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2EAEEA85">
            <w:pPr>
              <w:rPr>
                <w:rFonts w:hint="eastAsia" w:ascii="仿宋" w:hAnsi="仿宋" w:eastAsia="仿宋" w:cs="仿宋"/>
                <w:color w:val="auto"/>
                <w:szCs w:val="21"/>
                <w:highlight w:val="none"/>
              </w:rPr>
            </w:pPr>
          </w:p>
        </w:tc>
        <w:tc>
          <w:tcPr>
            <w:tcW w:w="1682" w:type="dxa"/>
            <w:noWrap w:val="0"/>
            <w:vAlign w:val="center"/>
          </w:tcPr>
          <w:p w14:paraId="58C2A72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门（内外）</w:t>
            </w:r>
          </w:p>
        </w:tc>
        <w:tc>
          <w:tcPr>
            <w:tcW w:w="2340" w:type="dxa"/>
            <w:noWrap w:val="0"/>
            <w:vAlign w:val="center"/>
          </w:tcPr>
          <w:p w14:paraId="431CB1C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抹净（上保护剂）</w:t>
            </w:r>
          </w:p>
        </w:tc>
        <w:tc>
          <w:tcPr>
            <w:tcW w:w="2880" w:type="dxa"/>
            <w:noWrap w:val="0"/>
            <w:vAlign w:val="center"/>
          </w:tcPr>
          <w:p w14:paraId="21439BE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无灰尘、无垃圾、光亮</w:t>
            </w:r>
          </w:p>
        </w:tc>
        <w:tc>
          <w:tcPr>
            <w:tcW w:w="1224" w:type="dxa"/>
            <w:noWrap w:val="0"/>
            <w:vAlign w:val="center"/>
          </w:tcPr>
          <w:p w14:paraId="5931505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16E33B8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97B88C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清洁、上光</w:t>
            </w:r>
          </w:p>
        </w:tc>
        <w:tc>
          <w:tcPr>
            <w:tcW w:w="1224" w:type="dxa"/>
            <w:noWrap w:val="0"/>
            <w:vAlign w:val="center"/>
          </w:tcPr>
          <w:p w14:paraId="30F57CA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门（内外）</w:t>
            </w:r>
          </w:p>
        </w:tc>
        <w:tc>
          <w:tcPr>
            <w:tcW w:w="1224" w:type="dxa"/>
            <w:noWrap w:val="0"/>
            <w:vAlign w:val="top"/>
          </w:tcPr>
          <w:p w14:paraId="177E0415">
            <w:pPr>
              <w:rPr>
                <w:rFonts w:hint="eastAsia" w:ascii="仿宋" w:hAnsi="仿宋" w:eastAsia="仿宋" w:cs="仿宋"/>
                <w:color w:val="auto"/>
                <w:szCs w:val="21"/>
                <w:highlight w:val="none"/>
              </w:rPr>
            </w:pPr>
          </w:p>
        </w:tc>
      </w:tr>
      <w:tr w14:paraId="3B2A7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A99D7CE">
            <w:pPr>
              <w:rPr>
                <w:rFonts w:hint="eastAsia" w:ascii="仿宋" w:hAnsi="仿宋" w:eastAsia="仿宋" w:cs="仿宋"/>
                <w:color w:val="auto"/>
                <w:szCs w:val="21"/>
                <w:highlight w:val="none"/>
              </w:rPr>
            </w:pPr>
          </w:p>
        </w:tc>
        <w:tc>
          <w:tcPr>
            <w:tcW w:w="1682" w:type="dxa"/>
            <w:noWrap w:val="0"/>
            <w:vAlign w:val="center"/>
          </w:tcPr>
          <w:p w14:paraId="5460F8B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门槽</w:t>
            </w:r>
          </w:p>
        </w:tc>
        <w:tc>
          <w:tcPr>
            <w:tcW w:w="2340" w:type="dxa"/>
            <w:noWrap w:val="0"/>
            <w:vAlign w:val="center"/>
          </w:tcPr>
          <w:p w14:paraId="28F64D9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清除垃圾、杂物</w:t>
            </w:r>
          </w:p>
        </w:tc>
        <w:tc>
          <w:tcPr>
            <w:tcW w:w="2880" w:type="dxa"/>
            <w:noWrap w:val="0"/>
            <w:vAlign w:val="center"/>
          </w:tcPr>
          <w:p w14:paraId="0FD9C83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无灰尘、无垃圾、光亮</w:t>
            </w:r>
          </w:p>
        </w:tc>
        <w:tc>
          <w:tcPr>
            <w:tcW w:w="1224" w:type="dxa"/>
            <w:noWrap w:val="0"/>
            <w:vAlign w:val="center"/>
          </w:tcPr>
          <w:p w14:paraId="583BB60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CEB47B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及时清除</w:t>
            </w:r>
          </w:p>
        </w:tc>
        <w:tc>
          <w:tcPr>
            <w:tcW w:w="1224" w:type="dxa"/>
            <w:noWrap w:val="0"/>
            <w:vAlign w:val="center"/>
          </w:tcPr>
          <w:p w14:paraId="37213E5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上光一次</w:t>
            </w:r>
          </w:p>
        </w:tc>
        <w:tc>
          <w:tcPr>
            <w:tcW w:w="1224" w:type="dxa"/>
            <w:noWrap w:val="0"/>
            <w:vAlign w:val="center"/>
          </w:tcPr>
          <w:p w14:paraId="7C398C4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741B6650">
            <w:pPr>
              <w:rPr>
                <w:rFonts w:hint="eastAsia" w:ascii="仿宋" w:hAnsi="仿宋" w:eastAsia="仿宋" w:cs="仿宋"/>
                <w:color w:val="auto"/>
                <w:szCs w:val="21"/>
                <w:highlight w:val="none"/>
              </w:rPr>
            </w:pPr>
          </w:p>
        </w:tc>
      </w:tr>
      <w:tr w14:paraId="46732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361C22C">
            <w:pPr>
              <w:rPr>
                <w:rFonts w:hint="eastAsia" w:ascii="仿宋" w:hAnsi="仿宋" w:eastAsia="仿宋" w:cs="仿宋"/>
                <w:color w:val="auto"/>
                <w:szCs w:val="21"/>
                <w:highlight w:val="none"/>
              </w:rPr>
            </w:pPr>
          </w:p>
        </w:tc>
        <w:tc>
          <w:tcPr>
            <w:tcW w:w="1682" w:type="dxa"/>
            <w:noWrap w:val="0"/>
            <w:vAlign w:val="center"/>
          </w:tcPr>
          <w:p w14:paraId="79B3957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指示牌和按钮</w:t>
            </w:r>
          </w:p>
        </w:tc>
        <w:tc>
          <w:tcPr>
            <w:tcW w:w="2340" w:type="dxa"/>
            <w:noWrap w:val="0"/>
            <w:vAlign w:val="center"/>
          </w:tcPr>
          <w:p w14:paraId="0676EC1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04452E7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无灰尘、无手印</w:t>
            </w:r>
          </w:p>
        </w:tc>
        <w:tc>
          <w:tcPr>
            <w:tcW w:w="1224" w:type="dxa"/>
            <w:noWrap w:val="0"/>
            <w:vAlign w:val="center"/>
          </w:tcPr>
          <w:p w14:paraId="3F23D75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15ABC9F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B9A3CA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6F043E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02E9828C">
            <w:pPr>
              <w:rPr>
                <w:rFonts w:hint="eastAsia" w:ascii="仿宋" w:hAnsi="仿宋" w:eastAsia="仿宋" w:cs="仿宋"/>
                <w:color w:val="auto"/>
                <w:szCs w:val="21"/>
                <w:highlight w:val="none"/>
              </w:rPr>
            </w:pPr>
          </w:p>
        </w:tc>
      </w:tr>
      <w:tr w14:paraId="7A465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77B3C1B3">
            <w:pPr>
              <w:rPr>
                <w:rFonts w:hint="eastAsia" w:ascii="仿宋" w:hAnsi="仿宋" w:eastAsia="仿宋" w:cs="仿宋"/>
                <w:color w:val="auto"/>
                <w:szCs w:val="21"/>
                <w:highlight w:val="none"/>
              </w:rPr>
            </w:pPr>
          </w:p>
        </w:tc>
        <w:tc>
          <w:tcPr>
            <w:tcW w:w="1682" w:type="dxa"/>
            <w:noWrap w:val="0"/>
            <w:vAlign w:val="center"/>
          </w:tcPr>
          <w:p w14:paraId="0FE8919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灯片和风口</w:t>
            </w:r>
          </w:p>
        </w:tc>
        <w:tc>
          <w:tcPr>
            <w:tcW w:w="2340" w:type="dxa"/>
            <w:noWrap w:val="0"/>
            <w:vAlign w:val="center"/>
          </w:tcPr>
          <w:p w14:paraId="2D55406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6357E8D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w:t>
            </w:r>
          </w:p>
        </w:tc>
        <w:tc>
          <w:tcPr>
            <w:tcW w:w="1224" w:type="dxa"/>
            <w:noWrap w:val="0"/>
            <w:vAlign w:val="center"/>
          </w:tcPr>
          <w:p w14:paraId="7E4B3E3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7460014">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17E8E7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清除一次</w:t>
            </w:r>
          </w:p>
        </w:tc>
        <w:tc>
          <w:tcPr>
            <w:tcW w:w="1224" w:type="dxa"/>
            <w:noWrap w:val="0"/>
            <w:vAlign w:val="center"/>
          </w:tcPr>
          <w:p w14:paraId="6940C05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7D2662AA">
            <w:pPr>
              <w:rPr>
                <w:rFonts w:hint="eastAsia" w:ascii="仿宋" w:hAnsi="仿宋" w:eastAsia="仿宋" w:cs="仿宋"/>
                <w:color w:val="auto"/>
                <w:szCs w:val="21"/>
                <w:highlight w:val="none"/>
              </w:rPr>
            </w:pPr>
          </w:p>
        </w:tc>
      </w:tr>
      <w:tr w14:paraId="55211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4A19E99D">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洗</w:t>
            </w:r>
          </w:p>
          <w:p w14:paraId="1B14B98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手</w:t>
            </w:r>
          </w:p>
          <w:p w14:paraId="7F9F978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间</w:t>
            </w:r>
          </w:p>
        </w:tc>
        <w:tc>
          <w:tcPr>
            <w:tcW w:w="1682" w:type="dxa"/>
            <w:noWrap w:val="0"/>
            <w:vAlign w:val="center"/>
          </w:tcPr>
          <w:p w14:paraId="0BB9BC1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尿斗、坐厕、面盆</w:t>
            </w:r>
          </w:p>
        </w:tc>
        <w:tc>
          <w:tcPr>
            <w:tcW w:w="2340" w:type="dxa"/>
            <w:noWrap w:val="0"/>
            <w:vAlign w:val="center"/>
          </w:tcPr>
          <w:p w14:paraId="2F63DA2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除污垢（用中性药剂）除锈斑、消毒</w:t>
            </w:r>
          </w:p>
        </w:tc>
        <w:tc>
          <w:tcPr>
            <w:tcW w:w="2880" w:type="dxa"/>
            <w:noWrap w:val="0"/>
            <w:vAlign w:val="center"/>
          </w:tcPr>
          <w:p w14:paraId="2C65C9B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无污垢、无积垢、清洁</w:t>
            </w:r>
          </w:p>
        </w:tc>
        <w:tc>
          <w:tcPr>
            <w:tcW w:w="1224" w:type="dxa"/>
            <w:noWrap w:val="0"/>
            <w:vAlign w:val="center"/>
          </w:tcPr>
          <w:p w14:paraId="0C9EF2F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3AAE4AF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p w14:paraId="337B514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消毒一次</w:t>
            </w:r>
          </w:p>
        </w:tc>
        <w:tc>
          <w:tcPr>
            <w:tcW w:w="1224" w:type="dxa"/>
            <w:noWrap w:val="0"/>
            <w:vAlign w:val="center"/>
          </w:tcPr>
          <w:p w14:paraId="1F421AC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6C918C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7E3D25C1">
            <w:pPr>
              <w:rPr>
                <w:rFonts w:hint="eastAsia" w:ascii="仿宋" w:hAnsi="仿宋" w:eastAsia="仿宋" w:cs="仿宋"/>
                <w:color w:val="auto"/>
                <w:szCs w:val="21"/>
                <w:highlight w:val="none"/>
              </w:rPr>
            </w:pPr>
          </w:p>
        </w:tc>
      </w:tr>
      <w:tr w14:paraId="7B19D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5DA6AD76">
            <w:pPr>
              <w:rPr>
                <w:rFonts w:hint="eastAsia" w:ascii="仿宋" w:hAnsi="仿宋" w:eastAsia="仿宋" w:cs="仿宋"/>
                <w:color w:val="auto"/>
                <w:szCs w:val="21"/>
                <w:highlight w:val="none"/>
              </w:rPr>
            </w:pPr>
          </w:p>
        </w:tc>
        <w:tc>
          <w:tcPr>
            <w:tcW w:w="1682" w:type="dxa"/>
            <w:noWrap w:val="0"/>
            <w:vAlign w:val="center"/>
          </w:tcPr>
          <w:p w14:paraId="0EE5A24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隔断</w:t>
            </w:r>
          </w:p>
        </w:tc>
        <w:tc>
          <w:tcPr>
            <w:tcW w:w="2340" w:type="dxa"/>
            <w:noWrap w:val="0"/>
            <w:vAlign w:val="center"/>
          </w:tcPr>
          <w:p w14:paraId="77E20B4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除尘、除污垢</w:t>
            </w:r>
          </w:p>
        </w:tc>
        <w:tc>
          <w:tcPr>
            <w:tcW w:w="2880" w:type="dxa"/>
            <w:noWrap w:val="0"/>
            <w:vAlign w:val="center"/>
          </w:tcPr>
          <w:p w14:paraId="58A6F2B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无灰尘、无涂画、无污垢</w:t>
            </w:r>
          </w:p>
        </w:tc>
        <w:tc>
          <w:tcPr>
            <w:tcW w:w="1224" w:type="dxa"/>
            <w:noWrap w:val="0"/>
            <w:vAlign w:val="center"/>
          </w:tcPr>
          <w:p w14:paraId="7B88752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07440C6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清洁一次</w:t>
            </w:r>
          </w:p>
        </w:tc>
        <w:tc>
          <w:tcPr>
            <w:tcW w:w="1224" w:type="dxa"/>
            <w:noWrap w:val="0"/>
            <w:vAlign w:val="center"/>
          </w:tcPr>
          <w:p w14:paraId="7E6EA3D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B293D4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4047175E">
            <w:pPr>
              <w:rPr>
                <w:rFonts w:hint="eastAsia" w:ascii="仿宋" w:hAnsi="仿宋" w:eastAsia="仿宋" w:cs="仿宋"/>
                <w:color w:val="auto"/>
                <w:szCs w:val="21"/>
                <w:highlight w:val="none"/>
              </w:rPr>
            </w:pPr>
          </w:p>
        </w:tc>
      </w:tr>
      <w:tr w14:paraId="617E6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48480C1A">
            <w:pPr>
              <w:rPr>
                <w:rFonts w:hint="eastAsia" w:ascii="仿宋" w:hAnsi="仿宋" w:eastAsia="仿宋" w:cs="仿宋"/>
                <w:color w:val="auto"/>
                <w:szCs w:val="21"/>
                <w:highlight w:val="none"/>
              </w:rPr>
            </w:pPr>
          </w:p>
        </w:tc>
        <w:tc>
          <w:tcPr>
            <w:tcW w:w="1682" w:type="dxa"/>
            <w:noWrap w:val="0"/>
            <w:vAlign w:val="center"/>
          </w:tcPr>
          <w:p w14:paraId="25470CF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水龙头</w:t>
            </w:r>
          </w:p>
        </w:tc>
        <w:tc>
          <w:tcPr>
            <w:tcW w:w="2340" w:type="dxa"/>
            <w:noWrap w:val="0"/>
            <w:vAlign w:val="center"/>
          </w:tcPr>
          <w:p w14:paraId="52B4758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抹净</w:t>
            </w:r>
          </w:p>
        </w:tc>
        <w:tc>
          <w:tcPr>
            <w:tcW w:w="2880" w:type="dxa"/>
            <w:noWrap w:val="0"/>
            <w:vAlign w:val="center"/>
          </w:tcPr>
          <w:p w14:paraId="449A7C3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无水锈、无污渍</w:t>
            </w:r>
          </w:p>
        </w:tc>
        <w:tc>
          <w:tcPr>
            <w:tcW w:w="1224" w:type="dxa"/>
            <w:noWrap w:val="0"/>
            <w:vAlign w:val="center"/>
          </w:tcPr>
          <w:p w14:paraId="44557C2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5B539B4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清洁一次</w:t>
            </w:r>
          </w:p>
        </w:tc>
        <w:tc>
          <w:tcPr>
            <w:tcW w:w="1224" w:type="dxa"/>
            <w:noWrap w:val="0"/>
            <w:vAlign w:val="center"/>
          </w:tcPr>
          <w:p w14:paraId="29B75AA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E7E7D6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07ED1443">
            <w:pPr>
              <w:rPr>
                <w:rFonts w:hint="eastAsia" w:ascii="仿宋" w:hAnsi="仿宋" w:eastAsia="仿宋" w:cs="仿宋"/>
                <w:color w:val="auto"/>
                <w:szCs w:val="21"/>
                <w:highlight w:val="none"/>
              </w:rPr>
            </w:pPr>
          </w:p>
        </w:tc>
      </w:tr>
      <w:tr w14:paraId="20A3C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51A3521A">
            <w:pPr>
              <w:rPr>
                <w:rFonts w:hint="eastAsia" w:ascii="仿宋" w:hAnsi="仿宋" w:eastAsia="仿宋" w:cs="仿宋"/>
                <w:color w:val="auto"/>
                <w:szCs w:val="21"/>
                <w:highlight w:val="none"/>
              </w:rPr>
            </w:pPr>
          </w:p>
        </w:tc>
        <w:tc>
          <w:tcPr>
            <w:tcW w:w="1682" w:type="dxa"/>
            <w:noWrap w:val="0"/>
            <w:vAlign w:val="center"/>
          </w:tcPr>
          <w:p w14:paraId="6B426BD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镜面</w:t>
            </w:r>
          </w:p>
        </w:tc>
        <w:tc>
          <w:tcPr>
            <w:tcW w:w="2340" w:type="dxa"/>
            <w:noWrap w:val="0"/>
            <w:vAlign w:val="center"/>
          </w:tcPr>
          <w:p w14:paraId="7569EC2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抹净</w:t>
            </w:r>
          </w:p>
        </w:tc>
        <w:tc>
          <w:tcPr>
            <w:tcW w:w="2880" w:type="dxa"/>
            <w:noWrap w:val="0"/>
            <w:vAlign w:val="center"/>
          </w:tcPr>
          <w:p w14:paraId="5513D90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无水迹、无污渍、明亮</w:t>
            </w:r>
          </w:p>
        </w:tc>
        <w:tc>
          <w:tcPr>
            <w:tcW w:w="1224" w:type="dxa"/>
            <w:noWrap w:val="0"/>
            <w:vAlign w:val="center"/>
          </w:tcPr>
          <w:p w14:paraId="65579B2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453E1EF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清洁一次</w:t>
            </w:r>
          </w:p>
        </w:tc>
        <w:tc>
          <w:tcPr>
            <w:tcW w:w="1224" w:type="dxa"/>
            <w:noWrap w:val="0"/>
            <w:vAlign w:val="center"/>
          </w:tcPr>
          <w:p w14:paraId="0AB499B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94499D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DB5A411">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13E0B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5EB086CF">
            <w:pPr>
              <w:rPr>
                <w:rFonts w:hint="eastAsia" w:ascii="仿宋" w:hAnsi="仿宋" w:eastAsia="仿宋" w:cs="仿宋"/>
                <w:color w:val="auto"/>
                <w:szCs w:val="21"/>
                <w:highlight w:val="none"/>
              </w:rPr>
            </w:pPr>
          </w:p>
        </w:tc>
        <w:tc>
          <w:tcPr>
            <w:tcW w:w="1682" w:type="dxa"/>
            <w:noWrap w:val="0"/>
            <w:vAlign w:val="center"/>
          </w:tcPr>
          <w:p w14:paraId="14C13CF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地面</w:t>
            </w:r>
          </w:p>
        </w:tc>
        <w:tc>
          <w:tcPr>
            <w:tcW w:w="2340" w:type="dxa"/>
            <w:noWrap w:val="0"/>
            <w:vAlign w:val="center"/>
          </w:tcPr>
          <w:p w14:paraId="435DCEF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清洗、消毒</w:t>
            </w:r>
          </w:p>
        </w:tc>
        <w:tc>
          <w:tcPr>
            <w:tcW w:w="2880" w:type="dxa"/>
            <w:noWrap w:val="0"/>
            <w:vAlign w:val="center"/>
          </w:tcPr>
          <w:p w14:paraId="5F8FC1A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无垃圾、无水迹、无污渍</w:t>
            </w:r>
          </w:p>
        </w:tc>
        <w:tc>
          <w:tcPr>
            <w:tcW w:w="1224" w:type="dxa"/>
            <w:noWrap w:val="0"/>
            <w:vAlign w:val="center"/>
          </w:tcPr>
          <w:p w14:paraId="5812FCF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16971F6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清洁一次</w:t>
            </w:r>
          </w:p>
        </w:tc>
        <w:tc>
          <w:tcPr>
            <w:tcW w:w="1224" w:type="dxa"/>
            <w:noWrap w:val="0"/>
            <w:vAlign w:val="center"/>
          </w:tcPr>
          <w:p w14:paraId="43D1468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294E51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2C1C1CF">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09627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73CE0235">
            <w:pPr>
              <w:rPr>
                <w:rFonts w:hint="eastAsia" w:ascii="仿宋" w:hAnsi="仿宋" w:eastAsia="仿宋" w:cs="仿宋"/>
                <w:color w:val="auto"/>
                <w:szCs w:val="21"/>
                <w:highlight w:val="none"/>
              </w:rPr>
            </w:pPr>
          </w:p>
        </w:tc>
        <w:tc>
          <w:tcPr>
            <w:tcW w:w="1682" w:type="dxa"/>
            <w:noWrap w:val="0"/>
            <w:vAlign w:val="center"/>
          </w:tcPr>
          <w:p w14:paraId="435AED1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墙面</w:t>
            </w:r>
          </w:p>
        </w:tc>
        <w:tc>
          <w:tcPr>
            <w:tcW w:w="2340" w:type="dxa"/>
            <w:noWrap w:val="0"/>
            <w:vAlign w:val="center"/>
          </w:tcPr>
          <w:p w14:paraId="1CC0315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0B52F75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无灰尘、无污渍</w:t>
            </w:r>
          </w:p>
        </w:tc>
        <w:tc>
          <w:tcPr>
            <w:tcW w:w="1224" w:type="dxa"/>
            <w:noWrap w:val="0"/>
            <w:vAlign w:val="center"/>
          </w:tcPr>
          <w:p w14:paraId="4B7AE9A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29EDFA3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E9E90F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center"/>
          </w:tcPr>
          <w:p w14:paraId="6211415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F19D6C9">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12A17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521EC394">
            <w:pPr>
              <w:rPr>
                <w:rFonts w:hint="eastAsia" w:ascii="仿宋" w:hAnsi="仿宋" w:eastAsia="仿宋" w:cs="仿宋"/>
                <w:color w:val="auto"/>
                <w:szCs w:val="21"/>
                <w:highlight w:val="none"/>
              </w:rPr>
            </w:pPr>
          </w:p>
        </w:tc>
        <w:tc>
          <w:tcPr>
            <w:tcW w:w="1682" w:type="dxa"/>
            <w:noWrap w:val="0"/>
            <w:vAlign w:val="center"/>
          </w:tcPr>
          <w:p w14:paraId="0D9348F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灯片、天花及风口</w:t>
            </w:r>
          </w:p>
        </w:tc>
        <w:tc>
          <w:tcPr>
            <w:tcW w:w="2340" w:type="dxa"/>
            <w:noWrap w:val="0"/>
            <w:vAlign w:val="center"/>
          </w:tcPr>
          <w:p w14:paraId="2CEC47D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4058CFC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4BD0C75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3FCA4C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1EEC554">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FA6318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清除一次</w:t>
            </w:r>
          </w:p>
        </w:tc>
        <w:tc>
          <w:tcPr>
            <w:tcW w:w="1224" w:type="dxa"/>
            <w:noWrap w:val="0"/>
            <w:vAlign w:val="center"/>
          </w:tcPr>
          <w:p w14:paraId="1B2FFA82">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5959E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445719C9">
            <w:pPr>
              <w:rPr>
                <w:rFonts w:hint="eastAsia" w:ascii="仿宋" w:hAnsi="仿宋" w:eastAsia="仿宋" w:cs="仿宋"/>
                <w:color w:val="auto"/>
                <w:szCs w:val="21"/>
                <w:highlight w:val="none"/>
              </w:rPr>
            </w:pPr>
          </w:p>
        </w:tc>
        <w:tc>
          <w:tcPr>
            <w:tcW w:w="1682" w:type="dxa"/>
            <w:noWrap w:val="0"/>
            <w:vAlign w:val="center"/>
          </w:tcPr>
          <w:p w14:paraId="66E022B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门和门框</w:t>
            </w:r>
          </w:p>
        </w:tc>
        <w:tc>
          <w:tcPr>
            <w:tcW w:w="2340" w:type="dxa"/>
            <w:noWrap w:val="0"/>
            <w:vAlign w:val="center"/>
          </w:tcPr>
          <w:p w14:paraId="308C5D3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31FC194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无灰尘、无污渍</w:t>
            </w:r>
          </w:p>
        </w:tc>
        <w:tc>
          <w:tcPr>
            <w:tcW w:w="1224" w:type="dxa"/>
            <w:noWrap w:val="0"/>
            <w:vAlign w:val="center"/>
          </w:tcPr>
          <w:p w14:paraId="4FC5EAC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6D791E0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清洁一次</w:t>
            </w:r>
          </w:p>
        </w:tc>
        <w:tc>
          <w:tcPr>
            <w:tcW w:w="1224" w:type="dxa"/>
            <w:noWrap w:val="0"/>
            <w:vAlign w:val="center"/>
          </w:tcPr>
          <w:p w14:paraId="69B4310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D2B63E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2D9C12B">
            <w:pPr>
              <w:adjustRightInd w:val="0"/>
              <w:snapToGrid w:val="0"/>
              <w:spacing w:line="400" w:lineRule="atLeast"/>
              <w:jc w:val="center"/>
              <w:rPr>
                <w:rFonts w:hint="eastAsia" w:ascii="仿宋" w:hAnsi="仿宋" w:eastAsia="仿宋" w:cs="仿宋"/>
                <w:snapToGrid w:val="0"/>
                <w:color w:val="auto"/>
                <w:kern w:val="0"/>
                <w:szCs w:val="21"/>
                <w:highlight w:val="none"/>
              </w:rPr>
            </w:pPr>
          </w:p>
        </w:tc>
      </w:tr>
    </w:tbl>
    <w:p w14:paraId="6DDA23FA">
      <w:pPr>
        <w:rPr>
          <w:rFonts w:hint="eastAsia" w:ascii="仿宋" w:hAnsi="仿宋" w:eastAsia="仿宋" w:cs="仿宋"/>
          <w:color w:val="auto"/>
          <w:highlight w:val="none"/>
        </w:rPr>
      </w:pPr>
      <w:r>
        <w:rPr>
          <w:rFonts w:hint="eastAsia" w:ascii="仿宋" w:hAnsi="仿宋" w:eastAsia="仿宋" w:cs="仿宋"/>
          <w:color w:val="auto"/>
          <w:highlight w:val="none"/>
        </w:rPr>
        <w:t>表4</w:t>
      </w:r>
    </w:p>
    <w:tbl>
      <w:tblPr>
        <w:tblStyle w:val="18"/>
        <w:tblpPr w:leftFromText="180" w:rightFromText="180" w:vertAnchor="page" w:horzAnchor="margin" w:tblpXSpec="center" w:tblpY="2110"/>
        <w:tblW w:w="139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682"/>
        <w:gridCol w:w="2340"/>
        <w:gridCol w:w="2880"/>
        <w:gridCol w:w="1224"/>
        <w:gridCol w:w="1224"/>
        <w:gridCol w:w="1224"/>
        <w:gridCol w:w="1224"/>
        <w:gridCol w:w="1224"/>
      </w:tblGrid>
      <w:tr w14:paraId="54E04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77EDFEF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区</w:t>
            </w:r>
          </w:p>
          <w:p w14:paraId="57A05AD3">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域</w:t>
            </w:r>
          </w:p>
        </w:tc>
        <w:tc>
          <w:tcPr>
            <w:tcW w:w="1682" w:type="dxa"/>
            <w:vMerge w:val="restart"/>
            <w:noWrap w:val="0"/>
            <w:vAlign w:val="center"/>
          </w:tcPr>
          <w:p w14:paraId="7E2A739D">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项  目</w:t>
            </w:r>
          </w:p>
        </w:tc>
        <w:tc>
          <w:tcPr>
            <w:tcW w:w="2340" w:type="dxa"/>
            <w:vMerge w:val="restart"/>
            <w:noWrap w:val="0"/>
            <w:vAlign w:val="center"/>
          </w:tcPr>
          <w:p w14:paraId="000316FA">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工作内容</w:t>
            </w:r>
          </w:p>
        </w:tc>
        <w:tc>
          <w:tcPr>
            <w:tcW w:w="2880" w:type="dxa"/>
            <w:vMerge w:val="restart"/>
            <w:noWrap w:val="0"/>
            <w:vAlign w:val="center"/>
          </w:tcPr>
          <w:p w14:paraId="70E9D609">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标  准</w:t>
            </w:r>
          </w:p>
        </w:tc>
        <w:tc>
          <w:tcPr>
            <w:tcW w:w="6120" w:type="dxa"/>
            <w:gridSpan w:val="5"/>
            <w:noWrap w:val="0"/>
            <w:vAlign w:val="center"/>
          </w:tcPr>
          <w:p w14:paraId="781B4FE0">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频    率</w:t>
            </w:r>
          </w:p>
        </w:tc>
      </w:tr>
      <w:tr w14:paraId="5D2C6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center"/>
          </w:tcPr>
          <w:p w14:paraId="464DA146">
            <w:pPr>
              <w:jc w:val="center"/>
              <w:rPr>
                <w:rFonts w:hint="eastAsia" w:ascii="仿宋" w:hAnsi="仿宋" w:eastAsia="仿宋" w:cs="仿宋"/>
                <w:color w:val="auto"/>
                <w:szCs w:val="21"/>
                <w:highlight w:val="none"/>
              </w:rPr>
            </w:pPr>
          </w:p>
        </w:tc>
        <w:tc>
          <w:tcPr>
            <w:tcW w:w="1682" w:type="dxa"/>
            <w:vMerge w:val="continue"/>
            <w:noWrap w:val="0"/>
            <w:vAlign w:val="center"/>
          </w:tcPr>
          <w:p w14:paraId="53229612">
            <w:pPr>
              <w:jc w:val="center"/>
              <w:rPr>
                <w:rFonts w:hint="eastAsia" w:ascii="仿宋" w:hAnsi="仿宋" w:eastAsia="仿宋" w:cs="仿宋"/>
                <w:color w:val="auto"/>
                <w:szCs w:val="21"/>
                <w:highlight w:val="none"/>
              </w:rPr>
            </w:pPr>
          </w:p>
        </w:tc>
        <w:tc>
          <w:tcPr>
            <w:tcW w:w="2340" w:type="dxa"/>
            <w:vMerge w:val="continue"/>
            <w:noWrap w:val="0"/>
            <w:vAlign w:val="center"/>
          </w:tcPr>
          <w:p w14:paraId="520C7E0E">
            <w:pPr>
              <w:jc w:val="center"/>
              <w:rPr>
                <w:rFonts w:hint="eastAsia" w:ascii="仿宋" w:hAnsi="仿宋" w:eastAsia="仿宋" w:cs="仿宋"/>
                <w:color w:val="auto"/>
                <w:szCs w:val="21"/>
                <w:highlight w:val="none"/>
              </w:rPr>
            </w:pPr>
          </w:p>
        </w:tc>
        <w:tc>
          <w:tcPr>
            <w:tcW w:w="2880" w:type="dxa"/>
            <w:vMerge w:val="continue"/>
            <w:noWrap w:val="0"/>
            <w:vAlign w:val="center"/>
          </w:tcPr>
          <w:p w14:paraId="2CFE4F38">
            <w:pPr>
              <w:jc w:val="center"/>
              <w:rPr>
                <w:rFonts w:hint="eastAsia" w:ascii="仿宋" w:hAnsi="仿宋" w:eastAsia="仿宋" w:cs="仿宋"/>
                <w:color w:val="auto"/>
                <w:szCs w:val="21"/>
                <w:highlight w:val="none"/>
              </w:rPr>
            </w:pPr>
          </w:p>
        </w:tc>
        <w:tc>
          <w:tcPr>
            <w:tcW w:w="1224" w:type="dxa"/>
            <w:noWrap w:val="0"/>
            <w:vAlign w:val="center"/>
          </w:tcPr>
          <w:p w14:paraId="09473353">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循环</w:t>
            </w:r>
          </w:p>
        </w:tc>
        <w:tc>
          <w:tcPr>
            <w:tcW w:w="1224" w:type="dxa"/>
            <w:noWrap w:val="0"/>
            <w:vAlign w:val="center"/>
          </w:tcPr>
          <w:p w14:paraId="44B30162">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日</w:t>
            </w:r>
          </w:p>
        </w:tc>
        <w:tc>
          <w:tcPr>
            <w:tcW w:w="1224" w:type="dxa"/>
            <w:noWrap w:val="0"/>
            <w:vAlign w:val="center"/>
          </w:tcPr>
          <w:p w14:paraId="6B96450A">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星 期</w:t>
            </w:r>
          </w:p>
        </w:tc>
        <w:tc>
          <w:tcPr>
            <w:tcW w:w="1224" w:type="dxa"/>
            <w:noWrap w:val="0"/>
            <w:vAlign w:val="center"/>
          </w:tcPr>
          <w:p w14:paraId="0BBA7638">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月</w:t>
            </w:r>
          </w:p>
        </w:tc>
        <w:tc>
          <w:tcPr>
            <w:tcW w:w="1224" w:type="dxa"/>
            <w:noWrap w:val="0"/>
            <w:vAlign w:val="center"/>
          </w:tcPr>
          <w:p w14:paraId="16E9DEC8">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季</w:t>
            </w:r>
          </w:p>
        </w:tc>
      </w:tr>
      <w:tr w14:paraId="1BD8B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5B6901F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洗</w:t>
            </w:r>
          </w:p>
          <w:p w14:paraId="03A98E4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手</w:t>
            </w:r>
          </w:p>
          <w:p w14:paraId="4A1A1FC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间</w:t>
            </w:r>
          </w:p>
        </w:tc>
        <w:tc>
          <w:tcPr>
            <w:tcW w:w="1682" w:type="dxa"/>
            <w:noWrap w:val="0"/>
            <w:vAlign w:val="center"/>
          </w:tcPr>
          <w:p w14:paraId="2BBC11F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台面</w:t>
            </w:r>
          </w:p>
        </w:tc>
        <w:tc>
          <w:tcPr>
            <w:tcW w:w="2340" w:type="dxa"/>
            <w:noWrap w:val="0"/>
            <w:vAlign w:val="center"/>
          </w:tcPr>
          <w:p w14:paraId="64A31A7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抹净</w:t>
            </w:r>
          </w:p>
        </w:tc>
        <w:tc>
          <w:tcPr>
            <w:tcW w:w="2880" w:type="dxa"/>
            <w:noWrap w:val="0"/>
            <w:vAlign w:val="center"/>
          </w:tcPr>
          <w:p w14:paraId="240CD0D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无水迹、无污渍</w:t>
            </w:r>
          </w:p>
        </w:tc>
        <w:tc>
          <w:tcPr>
            <w:tcW w:w="1224" w:type="dxa"/>
            <w:noWrap w:val="0"/>
            <w:vAlign w:val="center"/>
          </w:tcPr>
          <w:p w14:paraId="5057F83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w:t>
            </w:r>
          </w:p>
        </w:tc>
        <w:tc>
          <w:tcPr>
            <w:tcW w:w="1224" w:type="dxa"/>
            <w:noWrap w:val="0"/>
            <w:vAlign w:val="center"/>
          </w:tcPr>
          <w:p w14:paraId="71B2F5A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清洁一次</w:t>
            </w:r>
          </w:p>
        </w:tc>
        <w:tc>
          <w:tcPr>
            <w:tcW w:w="1224" w:type="dxa"/>
            <w:noWrap w:val="0"/>
            <w:vAlign w:val="center"/>
          </w:tcPr>
          <w:p w14:paraId="19125214">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3A7FBC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7D5F3C0D">
            <w:pPr>
              <w:rPr>
                <w:rFonts w:hint="eastAsia" w:ascii="仿宋" w:hAnsi="仿宋" w:eastAsia="仿宋" w:cs="仿宋"/>
                <w:color w:val="auto"/>
                <w:szCs w:val="21"/>
                <w:highlight w:val="none"/>
              </w:rPr>
            </w:pPr>
          </w:p>
        </w:tc>
      </w:tr>
      <w:tr w14:paraId="592F1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72AE50F4">
            <w:pPr>
              <w:rPr>
                <w:rFonts w:hint="eastAsia" w:ascii="仿宋" w:hAnsi="仿宋" w:eastAsia="仿宋" w:cs="仿宋"/>
                <w:color w:val="auto"/>
                <w:szCs w:val="21"/>
                <w:highlight w:val="none"/>
              </w:rPr>
            </w:pPr>
          </w:p>
        </w:tc>
        <w:tc>
          <w:tcPr>
            <w:tcW w:w="1682" w:type="dxa"/>
            <w:noWrap w:val="0"/>
            <w:vAlign w:val="center"/>
          </w:tcPr>
          <w:p w14:paraId="1CA9C1D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废物箱</w:t>
            </w:r>
          </w:p>
        </w:tc>
        <w:tc>
          <w:tcPr>
            <w:tcW w:w="2340" w:type="dxa"/>
            <w:noWrap w:val="0"/>
            <w:vAlign w:val="center"/>
          </w:tcPr>
          <w:p w14:paraId="5028604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清除垃圾、外表清洁</w:t>
            </w:r>
          </w:p>
        </w:tc>
        <w:tc>
          <w:tcPr>
            <w:tcW w:w="2880" w:type="dxa"/>
            <w:noWrap w:val="0"/>
            <w:vAlign w:val="center"/>
          </w:tcPr>
          <w:p w14:paraId="7E309EC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无垃圾满溢、无污渍</w:t>
            </w:r>
          </w:p>
        </w:tc>
        <w:tc>
          <w:tcPr>
            <w:tcW w:w="1224" w:type="dxa"/>
            <w:noWrap w:val="0"/>
            <w:vAlign w:val="center"/>
          </w:tcPr>
          <w:p w14:paraId="3EDDBE4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AB35F7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倾倒二次</w:t>
            </w:r>
          </w:p>
        </w:tc>
        <w:tc>
          <w:tcPr>
            <w:tcW w:w="1224" w:type="dxa"/>
            <w:noWrap w:val="0"/>
            <w:vAlign w:val="center"/>
          </w:tcPr>
          <w:p w14:paraId="170BB68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center"/>
          </w:tcPr>
          <w:p w14:paraId="30A1A17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0F00D0BB">
            <w:pPr>
              <w:rPr>
                <w:rFonts w:hint="eastAsia" w:ascii="仿宋" w:hAnsi="仿宋" w:eastAsia="仿宋" w:cs="仿宋"/>
                <w:color w:val="auto"/>
                <w:szCs w:val="21"/>
                <w:highlight w:val="none"/>
              </w:rPr>
            </w:pPr>
          </w:p>
        </w:tc>
      </w:tr>
      <w:tr w14:paraId="7E4AF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4C6EB84D">
            <w:pPr>
              <w:rPr>
                <w:rFonts w:hint="eastAsia" w:ascii="仿宋" w:hAnsi="仿宋" w:eastAsia="仿宋" w:cs="仿宋"/>
                <w:color w:val="auto"/>
                <w:szCs w:val="21"/>
                <w:highlight w:val="none"/>
              </w:rPr>
            </w:pPr>
          </w:p>
        </w:tc>
        <w:tc>
          <w:tcPr>
            <w:tcW w:w="1682" w:type="dxa"/>
            <w:noWrap w:val="0"/>
            <w:vAlign w:val="center"/>
          </w:tcPr>
          <w:p w14:paraId="5FE8039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玻璃窗</w:t>
            </w:r>
          </w:p>
        </w:tc>
        <w:tc>
          <w:tcPr>
            <w:tcW w:w="2340" w:type="dxa"/>
            <w:noWrap w:val="0"/>
            <w:vAlign w:val="center"/>
          </w:tcPr>
          <w:p w14:paraId="61202DB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清洗、除尘</w:t>
            </w:r>
          </w:p>
        </w:tc>
        <w:tc>
          <w:tcPr>
            <w:tcW w:w="2880" w:type="dxa"/>
            <w:noWrap w:val="0"/>
            <w:vAlign w:val="center"/>
          </w:tcPr>
          <w:p w14:paraId="5FB690B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无灰尘、无水迹</w:t>
            </w:r>
          </w:p>
        </w:tc>
        <w:tc>
          <w:tcPr>
            <w:tcW w:w="1224" w:type="dxa"/>
            <w:noWrap w:val="0"/>
            <w:vAlign w:val="center"/>
          </w:tcPr>
          <w:p w14:paraId="76506FB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371A984">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E0BC0D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center"/>
          </w:tcPr>
          <w:p w14:paraId="512ADBA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46290066">
            <w:pPr>
              <w:rPr>
                <w:rFonts w:hint="eastAsia" w:ascii="仿宋" w:hAnsi="仿宋" w:eastAsia="仿宋" w:cs="仿宋"/>
                <w:color w:val="auto"/>
                <w:szCs w:val="21"/>
                <w:highlight w:val="none"/>
              </w:rPr>
            </w:pPr>
          </w:p>
        </w:tc>
      </w:tr>
      <w:tr w14:paraId="5AE51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FADE6A7">
            <w:pPr>
              <w:rPr>
                <w:rFonts w:hint="eastAsia" w:ascii="仿宋" w:hAnsi="仿宋" w:eastAsia="仿宋" w:cs="仿宋"/>
                <w:color w:val="auto"/>
                <w:szCs w:val="21"/>
                <w:highlight w:val="none"/>
              </w:rPr>
            </w:pPr>
          </w:p>
        </w:tc>
        <w:tc>
          <w:tcPr>
            <w:tcW w:w="1682" w:type="dxa"/>
            <w:noWrap w:val="0"/>
            <w:vAlign w:val="center"/>
          </w:tcPr>
          <w:p w14:paraId="41E454F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卷筒纸</w:t>
            </w:r>
          </w:p>
        </w:tc>
        <w:tc>
          <w:tcPr>
            <w:tcW w:w="2340" w:type="dxa"/>
            <w:noWrap w:val="0"/>
            <w:vAlign w:val="center"/>
          </w:tcPr>
          <w:p w14:paraId="5F22B43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装添纸</w:t>
            </w:r>
          </w:p>
        </w:tc>
        <w:tc>
          <w:tcPr>
            <w:tcW w:w="2880" w:type="dxa"/>
            <w:noWrap w:val="0"/>
            <w:vAlign w:val="center"/>
          </w:tcPr>
          <w:p w14:paraId="03DB368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无短缺</w:t>
            </w:r>
          </w:p>
        </w:tc>
        <w:tc>
          <w:tcPr>
            <w:tcW w:w="1224" w:type="dxa"/>
            <w:noWrap w:val="0"/>
            <w:vAlign w:val="center"/>
          </w:tcPr>
          <w:p w14:paraId="512D8DE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F40F83D">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视需要添加</w:t>
            </w:r>
          </w:p>
        </w:tc>
        <w:tc>
          <w:tcPr>
            <w:tcW w:w="1224" w:type="dxa"/>
            <w:noWrap w:val="0"/>
            <w:vAlign w:val="center"/>
          </w:tcPr>
          <w:p w14:paraId="5EC24404">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02752E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top"/>
          </w:tcPr>
          <w:p w14:paraId="655C5BA2">
            <w:pPr>
              <w:rPr>
                <w:rFonts w:hint="eastAsia" w:ascii="仿宋" w:hAnsi="仿宋" w:eastAsia="仿宋" w:cs="仿宋"/>
                <w:color w:val="auto"/>
                <w:szCs w:val="21"/>
                <w:highlight w:val="none"/>
              </w:rPr>
            </w:pPr>
          </w:p>
        </w:tc>
      </w:tr>
      <w:tr w14:paraId="03B27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04583AE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层面</w:t>
            </w:r>
          </w:p>
          <w:p w14:paraId="7440E68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公共</w:t>
            </w:r>
          </w:p>
        </w:tc>
        <w:tc>
          <w:tcPr>
            <w:tcW w:w="1682" w:type="dxa"/>
            <w:noWrap w:val="0"/>
            <w:vAlign w:val="center"/>
          </w:tcPr>
          <w:p w14:paraId="52EB721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大理石</w:t>
            </w:r>
          </w:p>
        </w:tc>
        <w:tc>
          <w:tcPr>
            <w:tcW w:w="2340" w:type="dxa"/>
            <w:noWrap w:val="0"/>
            <w:vAlign w:val="center"/>
          </w:tcPr>
          <w:p w14:paraId="1E546D4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除尘、清洗</w:t>
            </w:r>
          </w:p>
        </w:tc>
        <w:tc>
          <w:tcPr>
            <w:tcW w:w="2880" w:type="dxa"/>
            <w:noWrap w:val="0"/>
            <w:vAlign w:val="center"/>
          </w:tcPr>
          <w:p w14:paraId="55D1FB9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无灰尘、无污渍</w:t>
            </w:r>
          </w:p>
        </w:tc>
        <w:tc>
          <w:tcPr>
            <w:tcW w:w="1224" w:type="dxa"/>
            <w:noWrap w:val="0"/>
            <w:vAlign w:val="center"/>
          </w:tcPr>
          <w:p w14:paraId="04036CB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36D4DF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随时推尘</w:t>
            </w:r>
          </w:p>
        </w:tc>
        <w:tc>
          <w:tcPr>
            <w:tcW w:w="1224" w:type="dxa"/>
            <w:noWrap w:val="0"/>
            <w:vAlign w:val="center"/>
          </w:tcPr>
          <w:p w14:paraId="3514116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抛光二次</w:t>
            </w:r>
          </w:p>
        </w:tc>
        <w:tc>
          <w:tcPr>
            <w:tcW w:w="1224" w:type="dxa"/>
            <w:noWrap w:val="0"/>
            <w:vAlign w:val="center"/>
          </w:tcPr>
          <w:p w14:paraId="4A79DE6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top"/>
          </w:tcPr>
          <w:p w14:paraId="0163B75F">
            <w:pPr>
              <w:rPr>
                <w:rFonts w:hint="eastAsia" w:ascii="仿宋" w:hAnsi="仿宋" w:eastAsia="仿宋" w:cs="仿宋"/>
                <w:color w:val="auto"/>
                <w:szCs w:val="21"/>
                <w:highlight w:val="none"/>
              </w:rPr>
            </w:pPr>
          </w:p>
        </w:tc>
      </w:tr>
      <w:tr w14:paraId="43F79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3E3D325F">
            <w:pPr>
              <w:rPr>
                <w:rFonts w:hint="eastAsia" w:ascii="仿宋" w:hAnsi="仿宋" w:eastAsia="仿宋" w:cs="仿宋"/>
                <w:color w:val="auto"/>
                <w:szCs w:val="21"/>
                <w:highlight w:val="none"/>
              </w:rPr>
            </w:pPr>
          </w:p>
        </w:tc>
        <w:tc>
          <w:tcPr>
            <w:tcW w:w="1682" w:type="dxa"/>
            <w:noWrap w:val="0"/>
            <w:vAlign w:val="center"/>
          </w:tcPr>
          <w:p w14:paraId="54B41EC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电梯厅地坪</w:t>
            </w:r>
          </w:p>
        </w:tc>
        <w:tc>
          <w:tcPr>
            <w:tcW w:w="2340" w:type="dxa"/>
            <w:noWrap w:val="0"/>
            <w:vAlign w:val="center"/>
          </w:tcPr>
          <w:p w14:paraId="3611A1A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3C05F4C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0A680D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0F4045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随时推尘</w:t>
            </w:r>
          </w:p>
        </w:tc>
        <w:tc>
          <w:tcPr>
            <w:tcW w:w="1224" w:type="dxa"/>
            <w:noWrap w:val="0"/>
            <w:vAlign w:val="center"/>
          </w:tcPr>
          <w:p w14:paraId="27FA70A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抛光二次</w:t>
            </w:r>
          </w:p>
        </w:tc>
        <w:tc>
          <w:tcPr>
            <w:tcW w:w="1224" w:type="dxa"/>
            <w:noWrap w:val="0"/>
            <w:vAlign w:val="center"/>
          </w:tcPr>
          <w:p w14:paraId="62B31F7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top"/>
          </w:tcPr>
          <w:p w14:paraId="03A29A1B">
            <w:pPr>
              <w:rPr>
                <w:rFonts w:hint="eastAsia" w:ascii="仿宋" w:hAnsi="仿宋" w:eastAsia="仿宋" w:cs="仿宋"/>
                <w:color w:val="auto"/>
                <w:szCs w:val="21"/>
                <w:highlight w:val="none"/>
              </w:rPr>
            </w:pPr>
          </w:p>
        </w:tc>
      </w:tr>
      <w:tr w14:paraId="3E245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195A860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楼</w:t>
            </w:r>
          </w:p>
          <w:p w14:paraId="48F65D11">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梯</w:t>
            </w:r>
          </w:p>
        </w:tc>
        <w:tc>
          <w:tcPr>
            <w:tcW w:w="1682" w:type="dxa"/>
            <w:noWrap w:val="0"/>
            <w:vAlign w:val="center"/>
          </w:tcPr>
          <w:p w14:paraId="077877F3">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楼级和平台</w:t>
            </w:r>
          </w:p>
        </w:tc>
        <w:tc>
          <w:tcPr>
            <w:tcW w:w="2340" w:type="dxa"/>
            <w:noWrap w:val="0"/>
            <w:vAlign w:val="center"/>
          </w:tcPr>
          <w:p w14:paraId="14B468D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清扫垃圾、清洗</w:t>
            </w:r>
          </w:p>
        </w:tc>
        <w:tc>
          <w:tcPr>
            <w:tcW w:w="2880" w:type="dxa"/>
            <w:noWrap w:val="0"/>
            <w:vAlign w:val="center"/>
          </w:tcPr>
          <w:p w14:paraId="0EB9712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无垃圾、死角、无积灰</w:t>
            </w:r>
          </w:p>
        </w:tc>
        <w:tc>
          <w:tcPr>
            <w:tcW w:w="1224" w:type="dxa"/>
            <w:noWrap w:val="0"/>
            <w:vAlign w:val="center"/>
          </w:tcPr>
          <w:p w14:paraId="009FA53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3D05C5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清扫一次</w:t>
            </w:r>
          </w:p>
        </w:tc>
        <w:tc>
          <w:tcPr>
            <w:tcW w:w="1224" w:type="dxa"/>
            <w:noWrap w:val="0"/>
            <w:vAlign w:val="center"/>
          </w:tcPr>
          <w:p w14:paraId="22B35B3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267F50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center"/>
          </w:tcPr>
          <w:p w14:paraId="38762D10">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48656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A0FB20F">
            <w:pPr>
              <w:rPr>
                <w:rFonts w:hint="eastAsia" w:ascii="仿宋" w:hAnsi="仿宋" w:eastAsia="仿宋" w:cs="仿宋"/>
                <w:color w:val="auto"/>
                <w:szCs w:val="21"/>
                <w:highlight w:val="none"/>
              </w:rPr>
            </w:pPr>
          </w:p>
        </w:tc>
        <w:tc>
          <w:tcPr>
            <w:tcW w:w="1682" w:type="dxa"/>
            <w:noWrap w:val="0"/>
            <w:vAlign w:val="center"/>
          </w:tcPr>
          <w:p w14:paraId="381D3F6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墙面</w:t>
            </w:r>
          </w:p>
        </w:tc>
        <w:tc>
          <w:tcPr>
            <w:tcW w:w="2340" w:type="dxa"/>
            <w:noWrap w:val="0"/>
            <w:vAlign w:val="center"/>
          </w:tcPr>
          <w:p w14:paraId="26733CD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大理石（除尘、抹净）涂料（除尘）</w:t>
            </w:r>
          </w:p>
        </w:tc>
        <w:tc>
          <w:tcPr>
            <w:tcW w:w="2880" w:type="dxa"/>
            <w:noWrap w:val="0"/>
            <w:vAlign w:val="center"/>
          </w:tcPr>
          <w:p w14:paraId="40FC0F7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w:t>
            </w:r>
          </w:p>
        </w:tc>
        <w:tc>
          <w:tcPr>
            <w:tcW w:w="1224" w:type="dxa"/>
            <w:noWrap w:val="0"/>
            <w:vAlign w:val="center"/>
          </w:tcPr>
          <w:p w14:paraId="1FACD2C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10D7A8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8F5633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清除一次</w:t>
            </w:r>
          </w:p>
        </w:tc>
        <w:tc>
          <w:tcPr>
            <w:tcW w:w="1224" w:type="dxa"/>
            <w:noWrap w:val="0"/>
            <w:vAlign w:val="center"/>
          </w:tcPr>
          <w:p w14:paraId="1E75CC5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934E850">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58D65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3FF5F436">
            <w:pPr>
              <w:rPr>
                <w:rFonts w:hint="eastAsia" w:ascii="仿宋" w:hAnsi="仿宋" w:eastAsia="仿宋" w:cs="仿宋"/>
                <w:color w:val="auto"/>
                <w:szCs w:val="21"/>
                <w:highlight w:val="none"/>
              </w:rPr>
            </w:pPr>
          </w:p>
        </w:tc>
        <w:tc>
          <w:tcPr>
            <w:tcW w:w="1682" w:type="dxa"/>
            <w:noWrap w:val="0"/>
            <w:vAlign w:val="center"/>
          </w:tcPr>
          <w:p w14:paraId="61B2E1A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灯具</w:t>
            </w:r>
          </w:p>
        </w:tc>
        <w:tc>
          <w:tcPr>
            <w:tcW w:w="2340" w:type="dxa"/>
            <w:noWrap w:val="0"/>
            <w:vAlign w:val="center"/>
          </w:tcPr>
          <w:p w14:paraId="7C01A6A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5C52997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w:t>
            </w:r>
          </w:p>
        </w:tc>
        <w:tc>
          <w:tcPr>
            <w:tcW w:w="1224" w:type="dxa"/>
            <w:noWrap w:val="0"/>
            <w:vAlign w:val="center"/>
          </w:tcPr>
          <w:p w14:paraId="2646249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4C69DF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58407DB">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清除一次</w:t>
            </w:r>
          </w:p>
        </w:tc>
        <w:tc>
          <w:tcPr>
            <w:tcW w:w="1224" w:type="dxa"/>
            <w:noWrap w:val="0"/>
            <w:vAlign w:val="center"/>
          </w:tcPr>
          <w:p w14:paraId="3696095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4722F32">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24FDA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D975C86">
            <w:pPr>
              <w:rPr>
                <w:rFonts w:hint="eastAsia" w:ascii="仿宋" w:hAnsi="仿宋" w:eastAsia="仿宋" w:cs="仿宋"/>
                <w:color w:val="auto"/>
                <w:szCs w:val="21"/>
                <w:highlight w:val="none"/>
              </w:rPr>
            </w:pPr>
          </w:p>
        </w:tc>
        <w:tc>
          <w:tcPr>
            <w:tcW w:w="1682" w:type="dxa"/>
            <w:noWrap w:val="0"/>
            <w:vAlign w:val="center"/>
          </w:tcPr>
          <w:p w14:paraId="01FADB4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扶手、栏杆</w:t>
            </w:r>
          </w:p>
        </w:tc>
        <w:tc>
          <w:tcPr>
            <w:tcW w:w="2340" w:type="dxa"/>
            <w:noWrap w:val="0"/>
            <w:vAlign w:val="center"/>
          </w:tcPr>
          <w:p w14:paraId="3E80923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除尘、抹净</w:t>
            </w:r>
          </w:p>
        </w:tc>
        <w:tc>
          <w:tcPr>
            <w:tcW w:w="2880" w:type="dxa"/>
            <w:noWrap w:val="0"/>
            <w:vAlign w:val="center"/>
          </w:tcPr>
          <w:p w14:paraId="3C97AAB0">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w:t>
            </w:r>
          </w:p>
        </w:tc>
        <w:tc>
          <w:tcPr>
            <w:tcW w:w="1224" w:type="dxa"/>
            <w:noWrap w:val="0"/>
            <w:vAlign w:val="center"/>
          </w:tcPr>
          <w:p w14:paraId="4CF616F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2E14BD2">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随时清抹</w:t>
            </w:r>
          </w:p>
        </w:tc>
        <w:tc>
          <w:tcPr>
            <w:tcW w:w="1224" w:type="dxa"/>
            <w:noWrap w:val="0"/>
            <w:vAlign w:val="center"/>
          </w:tcPr>
          <w:p w14:paraId="048747E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3F25C1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C3B5062">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297A0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28508BCD">
            <w:pPr>
              <w:rPr>
                <w:rFonts w:hint="eastAsia" w:ascii="仿宋" w:hAnsi="仿宋" w:eastAsia="仿宋" w:cs="仿宋"/>
                <w:color w:val="auto"/>
                <w:szCs w:val="21"/>
                <w:highlight w:val="none"/>
              </w:rPr>
            </w:pPr>
          </w:p>
        </w:tc>
        <w:tc>
          <w:tcPr>
            <w:tcW w:w="1682" w:type="dxa"/>
            <w:noWrap w:val="0"/>
            <w:vAlign w:val="center"/>
          </w:tcPr>
          <w:p w14:paraId="2FA908D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外露管道</w:t>
            </w:r>
          </w:p>
        </w:tc>
        <w:tc>
          <w:tcPr>
            <w:tcW w:w="2340" w:type="dxa"/>
            <w:noWrap w:val="0"/>
            <w:vAlign w:val="center"/>
          </w:tcPr>
          <w:p w14:paraId="0029F498">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250B3D0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4D3BBD6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5FE1EE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CCFBF2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清除一次</w:t>
            </w:r>
          </w:p>
        </w:tc>
        <w:tc>
          <w:tcPr>
            <w:tcW w:w="1224" w:type="dxa"/>
            <w:noWrap w:val="0"/>
            <w:vAlign w:val="center"/>
          </w:tcPr>
          <w:p w14:paraId="58796C2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5F3BB13">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79DC3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7DB4504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w:t>
            </w:r>
          </w:p>
          <w:p w14:paraId="57B89DF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下</w:t>
            </w:r>
          </w:p>
          <w:p w14:paraId="5DCE139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室</w:t>
            </w:r>
          </w:p>
        </w:tc>
        <w:tc>
          <w:tcPr>
            <w:tcW w:w="1682" w:type="dxa"/>
            <w:noWrap w:val="0"/>
            <w:vAlign w:val="center"/>
          </w:tcPr>
          <w:p w14:paraId="1B427C6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地面</w:t>
            </w:r>
          </w:p>
        </w:tc>
        <w:tc>
          <w:tcPr>
            <w:tcW w:w="2340" w:type="dxa"/>
            <w:noWrap w:val="0"/>
            <w:vAlign w:val="center"/>
          </w:tcPr>
          <w:p w14:paraId="16A3058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清扫、冲洗</w:t>
            </w:r>
          </w:p>
        </w:tc>
        <w:tc>
          <w:tcPr>
            <w:tcW w:w="2880" w:type="dxa"/>
            <w:noWrap w:val="0"/>
            <w:vAlign w:val="center"/>
          </w:tcPr>
          <w:p w14:paraId="6599562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无垃圾、无杂物</w:t>
            </w:r>
          </w:p>
        </w:tc>
        <w:tc>
          <w:tcPr>
            <w:tcW w:w="1224" w:type="dxa"/>
            <w:noWrap w:val="0"/>
            <w:vAlign w:val="center"/>
          </w:tcPr>
          <w:p w14:paraId="40747FD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94B62E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清扫一次</w:t>
            </w:r>
          </w:p>
        </w:tc>
        <w:tc>
          <w:tcPr>
            <w:tcW w:w="1224" w:type="dxa"/>
            <w:noWrap w:val="0"/>
            <w:vAlign w:val="center"/>
          </w:tcPr>
          <w:p w14:paraId="15DFE79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冲洗一次</w:t>
            </w:r>
          </w:p>
        </w:tc>
        <w:tc>
          <w:tcPr>
            <w:tcW w:w="1224" w:type="dxa"/>
            <w:noWrap w:val="0"/>
            <w:vAlign w:val="center"/>
          </w:tcPr>
          <w:p w14:paraId="208E387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AA39696">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15E0A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B6DE17A">
            <w:pPr>
              <w:rPr>
                <w:rFonts w:hint="eastAsia" w:ascii="仿宋" w:hAnsi="仿宋" w:eastAsia="仿宋" w:cs="仿宋"/>
                <w:color w:val="auto"/>
                <w:szCs w:val="21"/>
                <w:highlight w:val="none"/>
              </w:rPr>
            </w:pPr>
          </w:p>
        </w:tc>
        <w:tc>
          <w:tcPr>
            <w:tcW w:w="1682" w:type="dxa"/>
            <w:noWrap w:val="0"/>
            <w:vAlign w:val="center"/>
          </w:tcPr>
          <w:p w14:paraId="2293D89A">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门窗</w:t>
            </w:r>
          </w:p>
        </w:tc>
        <w:tc>
          <w:tcPr>
            <w:tcW w:w="2340" w:type="dxa"/>
            <w:noWrap w:val="0"/>
            <w:vAlign w:val="center"/>
          </w:tcPr>
          <w:p w14:paraId="04B9E95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6A7198C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无灰尘、无污渍</w:t>
            </w:r>
          </w:p>
        </w:tc>
        <w:tc>
          <w:tcPr>
            <w:tcW w:w="1224" w:type="dxa"/>
            <w:noWrap w:val="0"/>
            <w:vAlign w:val="center"/>
          </w:tcPr>
          <w:p w14:paraId="349FE88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036216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244D0A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c>
          <w:tcPr>
            <w:tcW w:w="1224" w:type="dxa"/>
            <w:noWrap w:val="0"/>
            <w:vAlign w:val="center"/>
          </w:tcPr>
          <w:p w14:paraId="527046F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B73887E">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5562B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6917EA6C">
            <w:pPr>
              <w:rPr>
                <w:rFonts w:hint="eastAsia" w:ascii="仿宋" w:hAnsi="仿宋" w:eastAsia="仿宋" w:cs="仿宋"/>
                <w:color w:val="auto"/>
                <w:szCs w:val="21"/>
                <w:highlight w:val="none"/>
              </w:rPr>
            </w:pPr>
          </w:p>
        </w:tc>
        <w:tc>
          <w:tcPr>
            <w:tcW w:w="1682" w:type="dxa"/>
            <w:noWrap w:val="0"/>
            <w:vAlign w:val="center"/>
          </w:tcPr>
          <w:p w14:paraId="58FF1FA6">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各类消防设施</w:t>
            </w:r>
          </w:p>
        </w:tc>
        <w:tc>
          <w:tcPr>
            <w:tcW w:w="2340" w:type="dxa"/>
            <w:noWrap w:val="0"/>
            <w:vAlign w:val="center"/>
          </w:tcPr>
          <w:p w14:paraId="24684A0F">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w:t>
            </w:r>
          </w:p>
        </w:tc>
        <w:tc>
          <w:tcPr>
            <w:tcW w:w="2880" w:type="dxa"/>
            <w:noWrap w:val="0"/>
            <w:vAlign w:val="center"/>
          </w:tcPr>
          <w:p w14:paraId="624C5CDE">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无积灰</w:t>
            </w:r>
          </w:p>
        </w:tc>
        <w:tc>
          <w:tcPr>
            <w:tcW w:w="1224" w:type="dxa"/>
            <w:noWrap w:val="0"/>
            <w:vAlign w:val="center"/>
          </w:tcPr>
          <w:p w14:paraId="25BD849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916B7B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F86CD3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保洁一次</w:t>
            </w:r>
          </w:p>
        </w:tc>
        <w:tc>
          <w:tcPr>
            <w:tcW w:w="1224" w:type="dxa"/>
            <w:noWrap w:val="0"/>
            <w:vAlign w:val="center"/>
          </w:tcPr>
          <w:p w14:paraId="734A0FC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DAEAB7C">
            <w:pPr>
              <w:adjustRightInd w:val="0"/>
              <w:snapToGrid w:val="0"/>
              <w:spacing w:line="400" w:lineRule="atLeast"/>
              <w:jc w:val="center"/>
              <w:rPr>
                <w:rFonts w:hint="eastAsia" w:ascii="仿宋" w:hAnsi="仿宋" w:eastAsia="仿宋" w:cs="仿宋"/>
                <w:snapToGrid w:val="0"/>
                <w:color w:val="auto"/>
                <w:kern w:val="0"/>
                <w:szCs w:val="21"/>
                <w:highlight w:val="none"/>
              </w:rPr>
            </w:pPr>
          </w:p>
        </w:tc>
      </w:tr>
    </w:tbl>
    <w:p w14:paraId="5FB609D5">
      <w:pPr>
        <w:widowControl/>
        <w:jc w:val="left"/>
        <w:rPr>
          <w:rFonts w:hint="eastAsia" w:ascii="仿宋" w:hAnsi="仿宋" w:eastAsia="仿宋" w:cs="仿宋"/>
          <w:color w:val="auto"/>
          <w:highlight w:val="none"/>
        </w:rPr>
      </w:pPr>
    </w:p>
    <w:p w14:paraId="3D670FC1">
      <w:pPr>
        <w:pStyle w:val="24"/>
        <w:rPr>
          <w:rFonts w:hint="eastAsia" w:ascii="仿宋" w:hAnsi="仿宋" w:eastAsia="仿宋" w:cs="仿宋"/>
          <w:color w:val="auto"/>
          <w:highlight w:val="none"/>
        </w:rPr>
      </w:pPr>
    </w:p>
    <w:p w14:paraId="735D27A3">
      <w:pPr>
        <w:rPr>
          <w:rFonts w:hint="eastAsia" w:ascii="仿宋" w:hAnsi="仿宋" w:eastAsia="仿宋" w:cs="仿宋"/>
          <w:color w:val="auto"/>
          <w:highlight w:val="none"/>
        </w:rPr>
      </w:pPr>
      <w:r>
        <w:rPr>
          <w:rFonts w:hint="eastAsia" w:ascii="仿宋" w:hAnsi="仿宋" w:eastAsia="仿宋" w:cs="仿宋"/>
          <w:color w:val="auto"/>
          <w:highlight w:val="none"/>
        </w:rPr>
        <w:t>表5</w:t>
      </w:r>
    </w:p>
    <w:tbl>
      <w:tblPr>
        <w:tblStyle w:val="18"/>
        <w:tblpPr w:leftFromText="180" w:rightFromText="180" w:vertAnchor="page" w:horzAnchor="page" w:tblpXSpec="center" w:tblpY="2086"/>
        <w:tblW w:w="139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682"/>
        <w:gridCol w:w="2340"/>
        <w:gridCol w:w="2880"/>
        <w:gridCol w:w="1224"/>
        <w:gridCol w:w="1224"/>
        <w:gridCol w:w="1224"/>
        <w:gridCol w:w="1224"/>
        <w:gridCol w:w="1224"/>
      </w:tblGrid>
      <w:tr w14:paraId="7DE98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46" w:type="dxa"/>
            <w:vMerge w:val="restart"/>
            <w:noWrap w:val="0"/>
            <w:vAlign w:val="center"/>
          </w:tcPr>
          <w:p w14:paraId="787E20A4">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区</w:t>
            </w:r>
          </w:p>
          <w:p w14:paraId="7B532551">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域</w:t>
            </w:r>
          </w:p>
        </w:tc>
        <w:tc>
          <w:tcPr>
            <w:tcW w:w="1682" w:type="dxa"/>
            <w:vMerge w:val="restart"/>
            <w:noWrap w:val="0"/>
            <w:vAlign w:val="center"/>
          </w:tcPr>
          <w:p w14:paraId="7D45A007">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项  目</w:t>
            </w:r>
          </w:p>
        </w:tc>
        <w:tc>
          <w:tcPr>
            <w:tcW w:w="2340" w:type="dxa"/>
            <w:vMerge w:val="restart"/>
            <w:noWrap w:val="0"/>
            <w:vAlign w:val="center"/>
          </w:tcPr>
          <w:p w14:paraId="40B5164E">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工作内容</w:t>
            </w:r>
          </w:p>
        </w:tc>
        <w:tc>
          <w:tcPr>
            <w:tcW w:w="2880" w:type="dxa"/>
            <w:vMerge w:val="restart"/>
            <w:noWrap w:val="0"/>
            <w:vAlign w:val="center"/>
          </w:tcPr>
          <w:p w14:paraId="7F93F41D">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标  准</w:t>
            </w:r>
          </w:p>
        </w:tc>
        <w:tc>
          <w:tcPr>
            <w:tcW w:w="6120" w:type="dxa"/>
            <w:gridSpan w:val="5"/>
            <w:noWrap w:val="0"/>
            <w:vAlign w:val="center"/>
          </w:tcPr>
          <w:p w14:paraId="4FAAE08C">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频    率</w:t>
            </w:r>
          </w:p>
        </w:tc>
      </w:tr>
      <w:tr w14:paraId="42AEC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center"/>
          </w:tcPr>
          <w:p w14:paraId="5F9D0AD1">
            <w:pPr>
              <w:jc w:val="center"/>
              <w:rPr>
                <w:rFonts w:hint="eastAsia" w:ascii="仿宋" w:hAnsi="仿宋" w:eastAsia="仿宋" w:cs="仿宋"/>
                <w:color w:val="auto"/>
                <w:szCs w:val="21"/>
                <w:highlight w:val="none"/>
              </w:rPr>
            </w:pPr>
          </w:p>
        </w:tc>
        <w:tc>
          <w:tcPr>
            <w:tcW w:w="1682" w:type="dxa"/>
            <w:vMerge w:val="continue"/>
            <w:noWrap w:val="0"/>
            <w:vAlign w:val="center"/>
          </w:tcPr>
          <w:p w14:paraId="3D4E7546">
            <w:pPr>
              <w:jc w:val="center"/>
              <w:rPr>
                <w:rFonts w:hint="eastAsia" w:ascii="仿宋" w:hAnsi="仿宋" w:eastAsia="仿宋" w:cs="仿宋"/>
                <w:color w:val="auto"/>
                <w:szCs w:val="21"/>
                <w:highlight w:val="none"/>
              </w:rPr>
            </w:pPr>
          </w:p>
        </w:tc>
        <w:tc>
          <w:tcPr>
            <w:tcW w:w="2340" w:type="dxa"/>
            <w:vMerge w:val="continue"/>
            <w:noWrap w:val="0"/>
            <w:vAlign w:val="center"/>
          </w:tcPr>
          <w:p w14:paraId="50C17DED">
            <w:pPr>
              <w:jc w:val="center"/>
              <w:rPr>
                <w:rFonts w:hint="eastAsia" w:ascii="仿宋" w:hAnsi="仿宋" w:eastAsia="仿宋" w:cs="仿宋"/>
                <w:color w:val="auto"/>
                <w:szCs w:val="21"/>
                <w:highlight w:val="none"/>
              </w:rPr>
            </w:pPr>
          </w:p>
        </w:tc>
        <w:tc>
          <w:tcPr>
            <w:tcW w:w="2880" w:type="dxa"/>
            <w:vMerge w:val="continue"/>
            <w:noWrap w:val="0"/>
            <w:vAlign w:val="center"/>
          </w:tcPr>
          <w:p w14:paraId="753A7A7A">
            <w:pPr>
              <w:jc w:val="center"/>
              <w:rPr>
                <w:rFonts w:hint="eastAsia" w:ascii="仿宋" w:hAnsi="仿宋" w:eastAsia="仿宋" w:cs="仿宋"/>
                <w:color w:val="auto"/>
                <w:szCs w:val="21"/>
                <w:highlight w:val="none"/>
              </w:rPr>
            </w:pPr>
          </w:p>
        </w:tc>
        <w:tc>
          <w:tcPr>
            <w:tcW w:w="1224" w:type="dxa"/>
            <w:noWrap w:val="0"/>
            <w:vAlign w:val="center"/>
          </w:tcPr>
          <w:p w14:paraId="4A306850">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循环</w:t>
            </w:r>
          </w:p>
        </w:tc>
        <w:tc>
          <w:tcPr>
            <w:tcW w:w="1224" w:type="dxa"/>
            <w:noWrap w:val="0"/>
            <w:vAlign w:val="center"/>
          </w:tcPr>
          <w:p w14:paraId="0B999D10">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日</w:t>
            </w:r>
          </w:p>
        </w:tc>
        <w:tc>
          <w:tcPr>
            <w:tcW w:w="1224" w:type="dxa"/>
            <w:noWrap w:val="0"/>
            <w:vAlign w:val="center"/>
          </w:tcPr>
          <w:p w14:paraId="768D7CC4">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星 期</w:t>
            </w:r>
          </w:p>
        </w:tc>
        <w:tc>
          <w:tcPr>
            <w:tcW w:w="1224" w:type="dxa"/>
            <w:noWrap w:val="0"/>
            <w:vAlign w:val="center"/>
          </w:tcPr>
          <w:p w14:paraId="38C00B1E">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月</w:t>
            </w:r>
          </w:p>
        </w:tc>
        <w:tc>
          <w:tcPr>
            <w:tcW w:w="1224" w:type="dxa"/>
            <w:noWrap w:val="0"/>
            <w:vAlign w:val="center"/>
          </w:tcPr>
          <w:p w14:paraId="6F0445EB">
            <w:pPr>
              <w:jc w:val="center"/>
              <w:rPr>
                <w:rFonts w:hint="eastAsia" w:ascii="仿宋" w:hAnsi="仿宋" w:eastAsia="仿宋" w:cs="仿宋"/>
                <w:color w:val="auto"/>
                <w:szCs w:val="21"/>
                <w:highlight w:val="none"/>
              </w:rPr>
            </w:pPr>
            <w:r>
              <w:rPr>
                <w:rFonts w:hint="eastAsia" w:ascii="仿宋" w:hAnsi="仿宋" w:eastAsia="仿宋" w:cs="仿宋"/>
                <w:snapToGrid w:val="0"/>
                <w:color w:val="auto"/>
                <w:kern w:val="0"/>
                <w:szCs w:val="21"/>
                <w:highlight w:val="none"/>
              </w:rPr>
              <w:t>季</w:t>
            </w:r>
          </w:p>
        </w:tc>
      </w:tr>
      <w:tr w14:paraId="2BEA5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restart"/>
            <w:noWrap w:val="0"/>
            <w:vAlign w:val="center"/>
          </w:tcPr>
          <w:p w14:paraId="588A4FB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会</w:t>
            </w:r>
          </w:p>
          <w:p w14:paraId="09A0577A">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议</w:t>
            </w:r>
          </w:p>
          <w:p w14:paraId="696A2E5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中</w:t>
            </w:r>
          </w:p>
          <w:p w14:paraId="2C1B2CB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心</w:t>
            </w:r>
          </w:p>
        </w:tc>
        <w:tc>
          <w:tcPr>
            <w:tcW w:w="1682" w:type="dxa"/>
            <w:noWrap w:val="0"/>
            <w:vAlign w:val="center"/>
          </w:tcPr>
          <w:p w14:paraId="02FAD87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剧院椅外套</w:t>
            </w:r>
          </w:p>
        </w:tc>
        <w:tc>
          <w:tcPr>
            <w:tcW w:w="2340" w:type="dxa"/>
            <w:noWrap w:val="0"/>
            <w:vAlign w:val="center"/>
          </w:tcPr>
          <w:p w14:paraId="3E7242F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w:t>
            </w:r>
          </w:p>
        </w:tc>
        <w:tc>
          <w:tcPr>
            <w:tcW w:w="2880" w:type="dxa"/>
            <w:noWrap w:val="0"/>
            <w:vAlign w:val="center"/>
          </w:tcPr>
          <w:p w14:paraId="17F8DF89">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无灰尘、无污渍</w:t>
            </w:r>
          </w:p>
        </w:tc>
        <w:tc>
          <w:tcPr>
            <w:tcW w:w="1224" w:type="dxa"/>
            <w:noWrap w:val="0"/>
            <w:vAlign w:val="center"/>
          </w:tcPr>
          <w:p w14:paraId="4DB267B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51802A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108EC9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657F75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2D94BA7">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清洗一次</w:t>
            </w:r>
          </w:p>
        </w:tc>
      </w:tr>
      <w:tr w14:paraId="79025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vMerge w:val="continue"/>
            <w:noWrap w:val="0"/>
            <w:vAlign w:val="top"/>
          </w:tcPr>
          <w:p w14:paraId="1F7F4F5E">
            <w:pPr>
              <w:rPr>
                <w:rFonts w:hint="eastAsia" w:ascii="仿宋" w:hAnsi="仿宋" w:eastAsia="仿宋" w:cs="仿宋"/>
                <w:color w:val="auto"/>
                <w:szCs w:val="21"/>
                <w:highlight w:val="none"/>
              </w:rPr>
            </w:pPr>
          </w:p>
        </w:tc>
        <w:tc>
          <w:tcPr>
            <w:tcW w:w="1682" w:type="dxa"/>
            <w:noWrap w:val="0"/>
            <w:vAlign w:val="center"/>
          </w:tcPr>
          <w:p w14:paraId="22493EE1">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地面</w:t>
            </w:r>
          </w:p>
        </w:tc>
        <w:tc>
          <w:tcPr>
            <w:tcW w:w="2340" w:type="dxa"/>
            <w:noWrap w:val="0"/>
            <w:vAlign w:val="center"/>
          </w:tcPr>
          <w:p w14:paraId="2D097C2C">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除尘、清洗</w:t>
            </w:r>
          </w:p>
        </w:tc>
        <w:tc>
          <w:tcPr>
            <w:tcW w:w="2880" w:type="dxa"/>
            <w:noWrap w:val="0"/>
            <w:vAlign w:val="center"/>
          </w:tcPr>
          <w:p w14:paraId="55FF22A5">
            <w:pPr>
              <w:adjustRightInd w:val="0"/>
              <w:snapToGrid w:val="0"/>
              <w:spacing w:line="400" w:lineRule="atLeast"/>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无灰尘、无污渍、无垃圾</w:t>
            </w:r>
          </w:p>
        </w:tc>
        <w:tc>
          <w:tcPr>
            <w:tcW w:w="1224" w:type="dxa"/>
            <w:noWrap w:val="0"/>
            <w:vAlign w:val="center"/>
          </w:tcPr>
          <w:p w14:paraId="38A325D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3EB4174">
            <w:pPr>
              <w:adjustRightInd w:val="0"/>
              <w:snapToGrid w:val="0"/>
              <w:spacing w:line="400" w:lineRule="atLeast"/>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会前会后洗尘一次</w:t>
            </w:r>
          </w:p>
        </w:tc>
        <w:tc>
          <w:tcPr>
            <w:tcW w:w="1224" w:type="dxa"/>
            <w:noWrap w:val="0"/>
            <w:vAlign w:val="center"/>
          </w:tcPr>
          <w:p w14:paraId="2BB45AF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157BC4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F34C2C5">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59BBD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73B08C51">
            <w:pPr>
              <w:rPr>
                <w:rFonts w:hint="eastAsia" w:ascii="仿宋" w:hAnsi="仿宋" w:eastAsia="仿宋" w:cs="仿宋"/>
                <w:color w:val="auto"/>
                <w:szCs w:val="21"/>
                <w:highlight w:val="none"/>
              </w:rPr>
            </w:pPr>
          </w:p>
        </w:tc>
        <w:tc>
          <w:tcPr>
            <w:tcW w:w="1682" w:type="dxa"/>
            <w:noWrap w:val="0"/>
            <w:vAlign w:val="center"/>
          </w:tcPr>
          <w:p w14:paraId="7731544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4610977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534B75D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A76481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3261E79">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3E5A1DB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4BF287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7FB06AB">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514E7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3B8B606E">
            <w:pPr>
              <w:rPr>
                <w:rFonts w:hint="eastAsia" w:ascii="仿宋" w:hAnsi="仿宋" w:eastAsia="仿宋" w:cs="仿宋"/>
                <w:color w:val="auto"/>
                <w:szCs w:val="21"/>
                <w:highlight w:val="none"/>
              </w:rPr>
            </w:pPr>
          </w:p>
        </w:tc>
        <w:tc>
          <w:tcPr>
            <w:tcW w:w="1682" w:type="dxa"/>
            <w:noWrap w:val="0"/>
            <w:vAlign w:val="center"/>
          </w:tcPr>
          <w:p w14:paraId="3F3336A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4ED983B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048B00E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88B228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8C3CA6B">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450E4F34">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C63289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CA20199">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7A5AF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59A90721">
            <w:pPr>
              <w:rPr>
                <w:rFonts w:hint="eastAsia" w:ascii="仿宋" w:hAnsi="仿宋" w:eastAsia="仿宋" w:cs="仿宋"/>
                <w:color w:val="auto"/>
                <w:szCs w:val="21"/>
                <w:highlight w:val="none"/>
              </w:rPr>
            </w:pPr>
          </w:p>
        </w:tc>
        <w:tc>
          <w:tcPr>
            <w:tcW w:w="1682" w:type="dxa"/>
            <w:noWrap w:val="0"/>
            <w:vAlign w:val="center"/>
          </w:tcPr>
          <w:p w14:paraId="0780EE5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0FC3246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3E4ACF6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670E5E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F6FC67E">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4991092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9CCB3A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D7DAF51">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78F91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29B02BF8">
            <w:pPr>
              <w:rPr>
                <w:rFonts w:hint="eastAsia" w:ascii="仿宋" w:hAnsi="仿宋" w:eastAsia="仿宋" w:cs="仿宋"/>
                <w:color w:val="auto"/>
                <w:szCs w:val="21"/>
                <w:highlight w:val="none"/>
              </w:rPr>
            </w:pPr>
          </w:p>
        </w:tc>
        <w:tc>
          <w:tcPr>
            <w:tcW w:w="1682" w:type="dxa"/>
            <w:noWrap w:val="0"/>
            <w:vAlign w:val="center"/>
          </w:tcPr>
          <w:p w14:paraId="6D1A5DD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605B463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0F8225C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4A652F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D47F87A">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4C0464A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853796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BF62886">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7222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6A7F1DC1">
            <w:pPr>
              <w:rPr>
                <w:rFonts w:hint="eastAsia" w:ascii="仿宋" w:hAnsi="仿宋" w:eastAsia="仿宋" w:cs="仿宋"/>
                <w:color w:val="auto"/>
                <w:szCs w:val="21"/>
                <w:highlight w:val="none"/>
              </w:rPr>
            </w:pPr>
          </w:p>
        </w:tc>
        <w:tc>
          <w:tcPr>
            <w:tcW w:w="1682" w:type="dxa"/>
            <w:noWrap w:val="0"/>
            <w:vAlign w:val="center"/>
          </w:tcPr>
          <w:p w14:paraId="45663A9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24B1203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08FF1F2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E5407F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F2FCD77">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6231ED8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F2AD33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D100748">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25945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50949DC5">
            <w:pPr>
              <w:rPr>
                <w:rFonts w:hint="eastAsia" w:ascii="仿宋" w:hAnsi="仿宋" w:eastAsia="仿宋" w:cs="仿宋"/>
                <w:color w:val="auto"/>
                <w:szCs w:val="21"/>
                <w:highlight w:val="none"/>
              </w:rPr>
            </w:pPr>
          </w:p>
        </w:tc>
        <w:tc>
          <w:tcPr>
            <w:tcW w:w="1682" w:type="dxa"/>
            <w:noWrap w:val="0"/>
            <w:vAlign w:val="center"/>
          </w:tcPr>
          <w:p w14:paraId="7B5832F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018504B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622AC8C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D21B03D">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1B8F898">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420D74A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F4D7B4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64B910E">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22E8F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09D47D57">
            <w:pPr>
              <w:rPr>
                <w:rFonts w:hint="eastAsia" w:ascii="仿宋" w:hAnsi="仿宋" w:eastAsia="仿宋" w:cs="仿宋"/>
                <w:color w:val="auto"/>
                <w:szCs w:val="21"/>
                <w:highlight w:val="none"/>
              </w:rPr>
            </w:pPr>
          </w:p>
        </w:tc>
        <w:tc>
          <w:tcPr>
            <w:tcW w:w="1682" w:type="dxa"/>
            <w:noWrap w:val="0"/>
            <w:vAlign w:val="center"/>
          </w:tcPr>
          <w:p w14:paraId="3A45595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31628D7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0B885B0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F6F791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F21A0FF">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39F2695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DD9AF9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BB2503B">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1D883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782755FC">
            <w:pPr>
              <w:rPr>
                <w:rFonts w:hint="eastAsia" w:ascii="仿宋" w:hAnsi="仿宋" w:eastAsia="仿宋" w:cs="仿宋"/>
                <w:color w:val="auto"/>
                <w:szCs w:val="21"/>
                <w:highlight w:val="none"/>
              </w:rPr>
            </w:pPr>
          </w:p>
        </w:tc>
        <w:tc>
          <w:tcPr>
            <w:tcW w:w="1682" w:type="dxa"/>
            <w:noWrap w:val="0"/>
            <w:vAlign w:val="center"/>
          </w:tcPr>
          <w:p w14:paraId="6D1AC272">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27DE2EA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7EE132D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6F1917A">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6B99387">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6757F6D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530E1AA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E862BDA">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235CA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76AD1992">
            <w:pPr>
              <w:rPr>
                <w:rFonts w:hint="eastAsia" w:ascii="仿宋" w:hAnsi="仿宋" w:eastAsia="仿宋" w:cs="仿宋"/>
                <w:color w:val="auto"/>
                <w:szCs w:val="21"/>
                <w:highlight w:val="none"/>
              </w:rPr>
            </w:pPr>
          </w:p>
        </w:tc>
        <w:tc>
          <w:tcPr>
            <w:tcW w:w="1682" w:type="dxa"/>
            <w:noWrap w:val="0"/>
            <w:vAlign w:val="center"/>
          </w:tcPr>
          <w:p w14:paraId="3837E2D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69B4553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3257E2C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574FB0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D8B1DF0">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0BB8B50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E67A7D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77FDFD9">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5F9A5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6CB33D35">
            <w:pPr>
              <w:rPr>
                <w:rFonts w:hint="eastAsia" w:ascii="仿宋" w:hAnsi="仿宋" w:eastAsia="仿宋" w:cs="仿宋"/>
                <w:color w:val="auto"/>
                <w:szCs w:val="21"/>
                <w:highlight w:val="none"/>
              </w:rPr>
            </w:pPr>
          </w:p>
        </w:tc>
        <w:tc>
          <w:tcPr>
            <w:tcW w:w="1682" w:type="dxa"/>
            <w:noWrap w:val="0"/>
            <w:vAlign w:val="center"/>
          </w:tcPr>
          <w:p w14:paraId="1F8C3C7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259279B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52977A6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0CB95E1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7CA56AB">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54FA02E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622A2E2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17A2C07">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1F012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674E8884">
            <w:pPr>
              <w:rPr>
                <w:rFonts w:hint="eastAsia" w:ascii="仿宋" w:hAnsi="仿宋" w:eastAsia="仿宋" w:cs="仿宋"/>
                <w:color w:val="auto"/>
                <w:szCs w:val="21"/>
                <w:highlight w:val="none"/>
              </w:rPr>
            </w:pPr>
          </w:p>
        </w:tc>
        <w:tc>
          <w:tcPr>
            <w:tcW w:w="1682" w:type="dxa"/>
            <w:noWrap w:val="0"/>
            <w:vAlign w:val="center"/>
          </w:tcPr>
          <w:p w14:paraId="66322EE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1BC50E7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59341DD7">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4E4A3C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372828A">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27FE0A50">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14CEF7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EE9E904">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27203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6C10BBB0">
            <w:pPr>
              <w:rPr>
                <w:rFonts w:hint="eastAsia" w:ascii="仿宋" w:hAnsi="仿宋" w:eastAsia="仿宋" w:cs="仿宋"/>
                <w:color w:val="auto"/>
                <w:szCs w:val="21"/>
                <w:highlight w:val="none"/>
              </w:rPr>
            </w:pPr>
          </w:p>
        </w:tc>
        <w:tc>
          <w:tcPr>
            <w:tcW w:w="1682" w:type="dxa"/>
            <w:noWrap w:val="0"/>
            <w:vAlign w:val="center"/>
          </w:tcPr>
          <w:p w14:paraId="6A8C3D49">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7C9EF135">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46C6B81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7EB3222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B634C6E">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22E659C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3B861A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BEA8AEC">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60515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1A355664">
            <w:pPr>
              <w:rPr>
                <w:rFonts w:hint="eastAsia" w:ascii="仿宋" w:hAnsi="仿宋" w:eastAsia="仿宋" w:cs="仿宋"/>
                <w:color w:val="auto"/>
                <w:szCs w:val="21"/>
                <w:highlight w:val="none"/>
              </w:rPr>
            </w:pPr>
          </w:p>
        </w:tc>
        <w:tc>
          <w:tcPr>
            <w:tcW w:w="1682" w:type="dxa"/>
            <w:noWrap w:val="0"/>
            <w:vAlign w:val="center"/>
          </w:tcPr>
          <w:p w14:paraId="7CA75B46">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6CCA5FF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68AB28D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C88905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9D5C6BB">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76E04AFB">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4229F68">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4B22FC82">
            <w:pPr>
              <w:adjustRightInd w:val="0"/>
              <w:snapToGrid w:val="0"/>
              <w:spacing w:line="400" w:lineRule="atLeast"/>
              <w:jc w:val="center"/>
              <w:rPr>
                <w:rFonts w:hint="eastAsia" w:ascii="仿宋" w:hAnsi="仿宋" w:eastAsia="仿宋" w:cs="仿宋"/>
                <w:snapToGrid w:val="0"/>
                <w:color w:val="auto"/>
                <w:kern w:val="0"/>
                <w:szCs w:val="21"/>
                <w:highlight w:val="none"/>
              </w:rPr>
            </w:pPr>
          </w:p>
        </w:tc>
      </w:tr>
      <w:tr w14:paraId="3ED65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6" w:type="dxa"/>
            <w:noWrap w:val="0"/>
            <w:vAlign w:val="top"/>
          </w:tcPr>
          <w:p w14:paraId="752798A4">
            <w:pPr>
              <w:rPr>
                <w:rFonts w:hint="eastAsia" w:ascii="仿宋" w:hAnsi="仿宋" w:eastAsia="仿宋" w:cs="仿宋"/>
                <w:color w:val="auto"/>
                <w:szCs w:val="21"/>
                <w:highlight w:val="none"/>
              </w:rPr>
            </w:pPr>
          </w:p>
        </w:tc>
        <w:tc>
          <w:tcPr>
            <w:tcW w:w="1682" w:type="dxa"/>
            <w:noWrap w:val="0"/>
            <w:vAlign w:val="center"/>
          </w:tcPr>
          <w:p w14:paraId="0BBEA1AE">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340" w:type="dxa"/>
            <w:noWrap w:val="0"/>
            <w:vAlign w:val="center"/>
          </w:tcPr>
          <w:p w14:paraId="664E4EA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2880" w:type="dxa"/>
            <w:noWrap w:val="0"/>
            <w:vAlign w:val="center"/>
          </w:tcPr>
          <w:p w14:paraId="06328B7C">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CA12441">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2CCEA435">
            <w:pPr>
              <w:adjustRightInd w:val="0"/>
              <w:snapToGrid w:val="0"/>
              <w:spacing w:line="400" w:lineRule="atLeast"/>
              <w:rPr>
                <w:rFonts w:hint="eastAsia" w:ascii="仿宋" w:hAnsi="仿宋" w:eastAsia="仿宋" w:cs="仿宋"/>
                <w:snapToGrid w:val="0"/>
                <w:color w:val="auto"/>
                <w:kern w:val="0"/>
                <w:szCs w:val="21"/>
                <w:highlight w:val="none"/>
              </w:rPr>
            </w:pPr>
          </w:p>
        </w:tc>
        <w:tc>
          <w:tcPr>
            <w:tcW w:w="1224" w:type="dxa"/>
            <w:noWrap w:val="0"/>
            <w:vAlign w:val="center"/>
          </w:tcPr>
          <w:p w14:paraId="4CAB38A3">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127D9C2F">
            <w:pPr>
              <w:adjustRightInd w:val="0"/>
              <w:snapToGrid w:val="0"/>
              <w:spacing w:line="400" w:lineRule="atLeast"/>
              <w:jc w:val="center"/>
              <w:rPr>
                <w:rFonts w:hint="eastAsia" w:ascii="仿宋" w:hAnsi="仿宋" w:eastAsia="仿宋" w:cs="仿宋"/>
                <w:snapToGrid w:val="0"/>
                <w:color w:val="auto"/>
                <w:kern w:val="0"/>
                <w:szCs w:val="21"/>
                <w:highlight w:val="none"/>
              </w:rPr>
            </w:pPr>
          </w:p>
        </w:tc>
        <w:tc>
          <w:tcPr>
            <w:tcW w:w="1224" w:type="dxa"/>
            <w:noWrap w:val="0"/>
            <w:vAlign w:val="center"/>
          </w:tcPr>
          <w:p w14:paraId="3AC07038">
            <w:pPr>
              <w:adjustRightInd w:val="0"/>
              <w:snapToGrid w:val="0"/>
              <w:spacing w:line="400" w:lineRule="atLeast"/>
              <w:jc w:val="center"/>
              <w:rPr>
                <w:rFonts w:hint="eastAsia" w:ascii="仿宋" w:hAnsi="仿宋" w:eastAsia="仿宋" w:cs="仿宋"/>
                <w:snapToGrid w:val="0"/>
                <w:color w:val="auto"/>
                <w:kern w:val="0"/>
                <w:szCs w:val="21"/>
                <w:highlight w:val="none"/>
              </w:rPr>
            </w:pPr>
          </w:p>
        </w:tc>
      </w:tr>
    </w:tbl>
    <w:p w14:paraId="1D341F4D">
      <w:pPr>
        <w:widowControl/>
        <w:jc w:val="left"/>
        <w:rPr>
          <w:rFonts w:hint="eastAsia" w:ascii="仿宋" w:hAnsi="仿宋" w:eastAsia="仿宋" w:cs="仿宋"/>
          <w:b/>
          <w:bCs/>
          <w:color w:val="auto"/>
          <w:sz w:val="24"/>
          <w:highlight w:val="none"/>
        </w:rPr>
        <w:sectPr>
          <w:footerReference r:id="rId12" w:type="default"/>
          <w:pgSz w:w="16838" w:h="11906" w:orient="landscape"/>
          <w:pgMar w:top="1797" w:right="1474" w:bottom="1797" w:left="1247" w:header="851" w:footer="850" w:gutter="0"/>
          <w:pgNumType w:fmt="decimal"/>
          <w:cols w:space="720" w:num="1"/>
          <w:docGrid w:linePitch="312" w:charSpace="0"/>
        </w:sectPr>
      </w:pPr>
    </w:p>
    <w:p w14:paraId="468EF053">
      <w:pPr>
        <w:spacing w:line="360" w:lineRule="auto"/>
        <w:jc w:val="center"/>
        <w:rPr>
          <w:rFonts w:ascii="宋体" w:hAnsi="宋体"/>
          <w:bCs/>
          <w:color w:val="auto"/>
          <w:sz w:val="32"/>
        </w:rPr>
      </w:pPr>
    </w:p>
    <w:p w14:paraId="7652B5CD">
      <w:pPr>
        <w:ind w:firstLine="2891" w:firstLineChars="800"/>
        <w:rPr>
          <w:rFonts w:hint="eastAsia" w:ascii="仿宋" w:hAnsi="仿宋" w:eastAsia="仿宋" w:cs="仿宋"/>
          <w:b/>
          <w:color w:val="auto"/>
          <w:sz w:val="36"/>
          <w:szCs w:val="36"/>
        </w:rPr>
      </w:pPr>
      <w:r>
        <w:rPr>
          <w:rFonts w:hint="eastAsia" w:ascii="仿宋" w:hAnsi="仿宋" w:eastAsia="仿宋" w:cs="仿宋"/>
          <w:b/>
          <w:color w:val="auto"/>
          <w:sz w:val="36"/>
          <w:szCs w:val="36"/>
        </w:rPr>
        <w:t>第四部分</w:t>
      </w:r>
      <w:bookmarkStart w:id="405" w:name="_Toc11082"/>
      <w:bookmarkStart w:id="406" w:name="_Toc8240"/>
      <w:bookmarkStart w:id="407" w:name="_Toc302396102"/>
      <w:bookmarkStart w:id="408" w:name="_Toc13823"/>
      <w:bookmarkStart w:id="409" w:name="_Toc18363"/>
      <w:bookmarkStart w:id="410" w:name="_Toc30830"/>
      <w:r>
        <w:rPr>
          <w:rFonts w:hint="eastAsia" w:ascii="仿宋" w:hAnsi="仿宋" w:eastAsia="仿宋" w:cs="仿宋"/>
          <w:b/>
          <w:color w:val="auto"/>
          <w:sz w:val="36"/>
          <w:szCs w:val="36"/>
        </w:rPr>
        <w:t xml:space="preserve">  评标办法</w:t>
      </w:r>
      <w:bookmarkEnd w:id="39"/>
      <w:bookmarkEnd w:id="405"/>
      <w:bookmarkEnd w:id="406"/>
      <w:bookmarkEnd w:id="407"/>
      <w:bookmarkEnd w:id="408"/>
      <w:bookmarkEnd w:id="409"/>
      <w:bookmarkEnd w:id="410"/>
      <w:bookmarkStart w:id="411" w:name="_Toc401313705"/>
      <w:bookmarkStart w:id="412" w:name="_Toc86217003"/>
      <w:bookmarkStart w:id="413" w:name="第五部分"/>
    </w:p>
    <w:p w14:paraId="5251834F">
      <w:pPr>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评标办法前附表</w:t>
      </w:r>
    </w:p>
    <w:tbl>
      <w:tblPr>
        <w:tblStyle w:val="18"/>
        <w:tblW w:w="102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1"/>
        <w:gridCol w:w="438"/>
        <w:gridCol w:w="7139"/>
        <w:gridCol w:w="745"/>
        <w:gridCol w:w="1132"/>
      </w:tblGrid>
      <w:tr w14:paraId="2B90D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811" w:type="dxa"/>
            <w:tcBorders>
              <w:top w:val="single" w:color="auto" w:sz="4" w:space="0"/>
              <w:left w:val="single" w:color="auto" w:sz="4" w:space="0"/>
              <w:bottom w:val="single" w:color="auto" w:sz="4" w:space="0"/>
              <w:right w:val="single" w:color="auto" w:sz="4" w:space="0"/>
            </w:tcBorders>
            <w:noWrap w:val="0"/>
            <w:vAlign w:val="center"/>
          </w:tcPr>
          <w:p w14:paraId="338966DB">
            <w:pPr>
              <w:ind w:right="3" w:rightChars="0"/>
              <w:jc w:val="center"/>
              <w:rPr>
                <w:rFonts w:ascii="仿宋" w:hAnsi="仿宋" w:eastAsia="仿宋" w:cs="仿宋"/>
                <w:b/>
                <w:color w:val="auto"/>
                <w:spacing w:val="4"/>
                <w:szCs w:val="21"/>
              </w:rPr>
            </w:pPr>
            <w:r>
              <w:rPr>
                <w:rFonts w:hint="eastAsia" w:ascii="仿宋" w:hAnsi="仿宋" w:eastAsia="仿宋" w:cs="仿宋"/>
                <w:b/>
                <w:color w:val="auto"/>
                <w:spacing w:val="4"/>
                <w:szCs w:val="21"/>
              </w:rPr>
              <w:t>类目</w:t>
            </w:r>
          </w:p>
        </w:tc>
        <w:tc>
          <w:tcPr>
            <w:tcW w:w="438" w:type="dxa"/>
            <w:tcBorders>
              <w:top w:val="single" w:color="auto" w:sz="4" w:space="0"/>
              <w:left w:val="single" w:color="auto" w:sz="4" w:space="0"/>
              <w:bottom w:val="single" w:color="auto" w:sz="4" w:space="0"/>
              <w:right w:val="single" w:color="auto" w:sz="4" w:space="0"/>
            </w:tcBorders>
            <w:noWrap w:val="0"/>
            <w:vAlign w:val="center"/>
          </w:tcPr>
          <w:p w14:paraId="0CC79D10">
            <w:pPr>
              <w:jc w:val="center"/>
              <w:rPr>
                <w:rFonts w:ascii="仿宋" w:hAnsi="仿宋" w:eastAsia="仿宋" w:cs="仿宋"/>
                <w:b/>
                <w:color w:val="auto"/>
                <w:spacing w:val="4"/>
                <w:szCs w:val="21"/>
              </w:rPr>
            </w:pPr>
            <w:r>
              <w:rPr>
                <w:rFonts w:hint="eastAsia" w:ascii="仿宋" w:hAnsi="仿宋" w:eastAsia="仿宋" w:cs="仿宋"/>
                <w:b/>
                <w:color w:val="auto"/>
                <w:spacing w:val="4"/>
                <w:szCs w:val="21"/>
              </w:rPr>
              <w:t>序号</w:t>
            </w:r>
          </w:p>
        </w:tc>
        <w:tc>
          <w:tcPr>
            <w:tcW w:w="7139" w:type="dxa"/>
            <w:tcBorders>
              <w:top w:val="single" w:color="auto" w:sz="4" w:space="0"/>
              <w:left w:val="single" w:color="auto" w:sz="4" w:space="0"/>
              <w:bottom w:val="single" w:color="auto" w:sz="4" w:space="0"/>
              <w:right w:val="single" w:color="auto" w:sz="4" w:space="0"/>
            </w:tcBorders>
            <w:noWrap w:val="0"/>
            <w:vAlign w:val="center"/>
          </w:tcPr>
          <w:p w14:paraId="1AF84F98">
            <w:pPr>
              <w:jc w:val="center"/>
              <w:rPr>
                <w:rFonts w:ascii="仿宋" w:hAnsi="仿宋" w:eastAsia="仿宋" w:cs="仿宋"/>
                <w:color w:val="auto"/>
                <w:szCs w:val="21"/>
              </w:rPr>
            </w:pPr>
            <w:r>
              <w:rPr>
                <w:rFonts w:hint="eastAsia" w:ascii="仿宋" w:hAnsi="仿宋" w:eastAsia="仿宋" w:cs="仿宋"/>
                <w:b/>
                <w:color w:val="auto"/>
                <w:spacing w:val="4"/>
                <w:szCs w:val="21"/>
              </w:rPr>
              <w:t>评分标准</w:t>
            </w:r>
          </w:p>
        </w:tc>
        <w:tc>
          <w:tcPr>
            <w:tcW w:w="745" w:type="dxa"/>
            <w:tcBorders>
              <w:top w:val="single" w:color="auto" w:sz="4" w:space="0"/>
              <w:left w:val="single" w:color="auto" w:sz="4" w:space="0"/>
              <w:bottom w:val="single" w:color="auto" w:sz="4" w:space="0"/>
              <w:right w:val="single" w:color="auto" w:sz="4" w:space="0"/>
            </w:tcBorders>
            <w:noWrap w:val="0"/>
            <w:vAlign w:val="center"/>
          </w:tcPr>
          <w:p w14:paraId="5A5DDDC9">
            <w:pPr>
              <w:ind w:right="3" w:rightChars="0"/>
              <w:jc w:val="center"/>
              <w:rPr>
                <w:rFonts w:ascii="仿宋" w:hAnsi="仿宋" w:eastAsia="仿宋" w:cs="仿宋"/>
                <w:b/>
                <w:color w:val="auto"/>
                <w:spacing w:val="4"/>
                <w:szCs w:val="21"/>
              </w:rPr>
            </w:pPr>
            <w:r>
              <w:rPr>
                <w:rFonts w:hint="eastAsia" w:ascii="仿宋" w:hAnsi="仿宋" w:eastAsia="仿宋" w:cs="仿宋"/>
                <w:b/>
                <w:color w:val="auto"/>
                <w:spacing w:val="4"/>
                <w:szCs w:val="21"/>
              </w:rPr>
              <w:t>权重</w:t>
            </w:r>
          </w:p>
        </w:tc>
        <w:tc>
          <w:tcPr>
            <w:tcW w:w="1132" w:type="dxa"/>
            <w:tcBorders>
              <w:top w:val="single" w:color="auto" w:sz="4" w:space="0"/>
              <w:left w:val="single" w:color="auto" w:sz="4" w:space="0"/>
              <w:bottom w:val="single" w:color="auto" w:sz="4" w:space="0"/>
              <w:right w:val="single" w:color="auto" w:sz="4" w:space="0"/>
            </w:tcBorders>
            <w:noWrap w:val="0"/>
            <w:vAlign w:val="top"/>
          </w:tcPr>
          <w:p w14:paraId="768D36F6">
            <w:pPr>
              <w:spacing w:line="240" w:lineRule="exact"/>
              <w:jc w:val="center"/>
              <w:rPr>
                <w:rFonts w:ascii="仿宋" w:hAnsi="仿宋" w:eastAsia="仿宋" w:cs="仿宋"/>
                <w:b/>
                <w:color w:val="auto"/>
                <w:spacing w:val="4"/>
                <w:szCs w:val="21"/>
              </w:rPr>
            </w:pPr>
            <w:r>
              <w:rPr>
                <w:rFonts w:hint="eastAsia" w:ascii="仿宋" w:hAnsi="仿宋" w:eastAsia="仿宋" w:cs="仿宋"/>
                <w:b/>
                <w:color w:val="auto"/>
                <w:spacing w:val="4"/>
                <w:szCs w:val="21"/>
              </w:rPr>
              <w:t>投标文件中评标标准相应的商务技术资料目录*</w:t>
            </w:r>
          </w:p>
        </w:tc>
      </w:tr>
      <w:tr w14:paraId="5C37F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1" w:type="dxa"/>
            <w:vMerge w:val="restart"/>
            <w:tcBorders>
              <w:top w:val="single" w:color="auto" w:sz="4" w:space="0"/>
              <w:left w:val="single" w:color="auto" w:sz="4" w:space="0"/>
              <w:right w:val="single" w:color="auto" w:sz="4" w:space="0"/>
            </w:tcBorders>
            <w:noWrap w:val="0"/>
            <w:vAlign w:val="center"/>
          </w:tcPr>
          <w:p w14:paraId="0C55ACC5">
            <w:pPr>
              <w:jc w:val="center"/>
              <w:rPr>
                <w:rFonts w:hint="eastAsia" w:ascii="仿宋" w:hAnsi="仿宋" w:eastAsia="仿宋" w:cs="仿宋"/>
                <w:color w:val="auto"/>
                <w:sz w:val="21"/>
                <w:szCs w:val="21"/>
              </w:rPr>
            </w:pPr>
            <w:r>
              <w:rPr>
                <w:rFonts w:hint="eastAsia" w:ascii="仿宋" w:hAnsi="仿宋" w:eastAsia="仿宋" w:cs="仿宋"/>
                <w:color w:val="auto"/>
                <w:sz w:val="21"/>
                <w:szCs w:val="21"/>
              </w:rPr>
              <w:t>商务部分（</w:t>
            </w:r>
            <w:r>
              <w:rPr>
                <w:rFonts w:hint="eastAsia" w:ascii="仿宋" w:hAnsi="仿宋" w:eastAsia="仿宋" w:cs="仿宋"/>
                <w:color w:val="auto"/>
                <w:sz w:val="21"/>
                <w:szCs w:val="21"/>
                <w:lang w:val="en-US" w:eastAsia="zh-CN"/>
              </w:rPr>
              <w:t>33</w:t>
            </w:r>
            <w:r>
              <w:rPr>
                <w:rFonts w:hint="eastAsia" w:ascii="仿宋" w:hAnsi="仿宋" w:eastAsia="仿宋" w:cs="仿宋"/>
                <w:color w:val="auto"/>
                <w:sz w:val="21"/>
                <w:szCs w:val="21"/>
              </w:rPr>
              <w:t>分）</w:t>
            </w:r>
          </w:p>
        </w:tc>
        <w:tc>
          <w:tcPr>
            <w:tcW w:w="438" w:type="dxa"/>
            <w:tcBorders>
              <w:top w:val="single" w:color="auto" w:sz="4" w:space="0"/>
              <w:left w:val="single" w:color="auto" w:sz="4" w:space="0"/>
              <w:right w:val="single" w:color="auto" w:sz="4" w:space="0"/>
            </w:tcBorders>
            <w:noWrap w:val="0"/>
            <w:vAlign w:val="center"/>
          </w:tcPr>
          <w:p w14:paraId="53A95D54">
            <w:pPr>
              <w:jc w:val="center"/>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1</w:t>
            </w:r>
          </w:p>
        </w:tc>
        <w:tc>
          <w:tcPr>
            <w:tcW w:w="7139" w:type="dxa"/>
            <w:tcBorders>
              <w:top w:val="single" w:color="auto" w:sz="4" w:space="0"/>
              <w:left w:val="single" w:color="auto" w:sz="4" w:space="0"/>
              <w:right w:val="single" w:color="auto" w:sz="4" w:space="0"/>
            </w:tcBorders>
            <w:noWrap w:val="0"/>
            <w:vAlign w:val="center"/>
          </w:tcPr>
          <w:p w14:paraId="49374B47">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投标人获得有效的质量管理体系、环境管理体系、职业健康安全管理体系的得</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分</w:t>
            </w:r>
            <w:r>
              <w:rPr>
                <w:rFonts w:hint="eastAsia" w:ascii="仿宋" w:hAnsi="仿宋" w:eastAsia="仿宋" w:cs="仿宋"/>
                <w:color w:val="auto"/>
                <w:sz w:val="21"/>
                <w:szCs w:val="21"/>
                <w:lang w:eastAsia="zh-CN"/>
              </w:rPr>
              <w:t>；</w:t>
            </w:r>
          </w:p>
          <w:p w14:paraId="3E835E14">
            <w:pP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获得有效能源管理体系、信息安全管理体系、信息技术服务管理体系认证证书、后勤管理体系认证证书，每个证书得</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分，最高</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分。</w:t>
            </w:r>
          </w:p>
          <w:p w14:paraId="7BDCD3A6">
            <w:pPr>
              <w:rPr>
                <w:rFonts w:hint="eastAsia" w:ascii="仿宋" w:hAnsi="仿宋" w:eastAsia="仿宋" w:cs="仿宋"/>
                <w:color w:val="auto"/>
                <w:sz w:val="21"/>
                <w:szCs w:val="21"/>
              </w:rPr>
            </w:pPr>
            <w:r>
              <w:rPr>
                <w:rFonts w:hint="eastAsia" w:ascii="仿宋" w:hAnsi="仿宋" w:eastAsia="仿宋" w:cs="仿宋"/>
                <w:b/>
                <w:bCs/>
                <w:color w:val="auto"/>
                <w:sz w:val="21"/>
                <w:szCs w:val="21"/>
                <w:lang w:eastAsia="zh-CN"/>
              </w:rPr>
              <w:t>注：</w:t>
            </w:r>
            <w:r>
              <w:rPr>
                <w:rFonts w:hint="eastAsia" w:ascii="仿宋" w:hAnsi="仿宋" w:eastAsia="仿宋" w:cs="仿宋"/>
                <w:b/>
                <w:bCs/>
                <w:color w:val="auto"/>
                <w:sz w:val="21"/>
                <w:szCs w:val="21"/>
              </w:rPr>
              <w:t>提供证书原件扫描件。</w:t>
            </w:r>
          </w:p>
        </w:tc>
        <w:tc>
          <w:tcPr>
            <w:tcW w:w="745" w:type="dxa"/>
            <w:tcBorders>
              <w:top w:val="single" w:color="auto" w:sz="4" w:space="0"/>
              <w:left w:val="single" w:color="auto" w:sz="4" w:space="0"/>
              <w:right w:val="single" w:color="auto" w:sz="4" w:space="0"/>
            </w:tcBorders>
            <w:noWrap w:val="0"/>
            <w:vAlign w:val="center"/>
          </w:tcPr>
          <w:p w14:paraId="1EC910FB">
            <w:pPr>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1132" w:type="dxa"/>
            <w:tcBorders>
              <w:top w:val="single" w:color="auto" w:sz="4" w:space="0"/>
              <w:left w:val="single" w:color="auto" w:sz="4" w:space="0"/>
              <w:right w:val="single" w:color="auto" w:sz="4" w:space="0"/>
            </w:tcBorders>
            <w:noWrap w:val="0"/>
            <w:vAlign w:val="center"/>
          </w:tcPr>
          <w:p w14:paraId="243D4C6E">
            <w:pPr>
              <w:jc w:val="center"/>
              <w:rPr>
                <w:rFonts w:hint="eastAsia" w:ascii="仿宋" w:hAnsi="仿宋" w:eastAsia="仿宋" w:cs="仿宋"/>
                <w:color w:val="auto"/>
                <w:sz w:val="21"/>
                <w:szCs w:val="21"/>
              </w:rPr>
            </w:pPr>
            <w:r>
              <w:rPr>
                <w:rFonts w:hint="eastAsia" w:ascii="仿宋" w:hAnsi="仿宋" w:eastAsia="仿宋" w:cs="仿宋"/>
                <w:color w:val="auto"/>
                <w:sz w:val="21"/>
                <w:szCs w:val="21"/>
              </w:rPr>
              <w:t>企业综合实力</w:t>
            </w:r>
          </w:p>
        </w:tc>
      </w:tr>
      <w:tr w14:paraId="472E3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811" w:type="dxa"/>
            <w:vMerge w:val="continue"/>
            <w:tcBorders>
              <w:left w:val="single" w:color="auto" w:sz="4" w:space="0"/>
              <w:right w:val="single" w:color="auto" w:sz="4" w:space="0"/>
            </w:tcBorders>
            <w:noWrap w:val="0"/>
            <w:vAlign w:val="center"/>
          </w:tcPr>
          <w:p w14:paraId="6D74B5C5">
            <w:pPr>
              <w:jc w:val="left"/>
              <w:rPr>
                <w:rFonts w:hint="eastAsia" w:ascii="仿宋" w:hAnsi="仿宋" w:eastAsia="仿宋" w:cs="仿宋"/>
                <w:color w:val="auto"/>
                <w:sz w:val="21"/>
                <w:szCs w:val="21"/>
              </w:rPr>
            </w:pPr>
          </w:p>
        </w:tc>
        <w:tc>
          <w:tcPr>
            <w:tcW w:w="438" w:type="dxa"/>
            <w:tcBorders>
              <w:left w:val="single" w:color="auto" w:sz="4" w:space="0"/>
              <w:right w:val="single" w:color="auto" w:sz="4" w:space="0"/>
            </w:tcBorders>
            <w:noWrap w:val="0"/>
            <w:vAlign w:val="center"/>
          </w:tcPr>
          <w:p w14:paraId="335259F1">
            <w:pPr>
              <w:jc w:val="center"/>
              <w:rPr>
                <w:rFonts w:hint="eastAsia" w:ascii="仿宋" w:hAnsi="仿宋" w:eastAsia="仿宋" w:cs="仿宋"/>
                <w:bCs/>
                <w:color w:val="auto"/>
                <w:sz w:val="21"/>
                <w:szCs w:val="21"/>
              </w:rPr>
            </w:pPr>
            <w:r>
              <w:rPr>
                <w:rFonts w:hint="eastAsia" w:ascii="仿宋" w:hAnsi="仿宋" w:eastAsia="仿宋" w:cs="仿宋"/>
                <w:color w:val="auto"/>
                <w:sz w:val="21"/>
                <w:szCs w:val="21"/>
                <w:lang w:val="en-US" w:eastAsia="zh-CN"/>
              </w:rPr>
              <w:t>2</w:t>
            </w:r>
          </w:p>
        </w:tc>
        <w:tc>
          <w:tcPr>
            <w:tcW w:w="7139" w:type="dxa"/>
            <w:tcBorders>
              <w:left w:val="single" w:color="auto" w:sz="4" w:space="0"/>
              <w:right w:val="single" w:color="auto" w:sz="4" w:space="0"/>
            </w:tcBorders>
            <w:noWrap w:val="0"/>
            <w:vAlign w:val="center"/>
          </w:tcPr>
          <w:p w14:paraId="5B1F9C33">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投标人投标截止时间前三年以来成功承担过同类办公大楼物业管理项目（同一合同服务内容至少包含保洁、安全、维修、绿化）合同业绩，每一个案例得0.5分，最高1分</w:t>
            </w:r>
            <w:r>
              <w:rPr>
                <w:rFonts w:hint="eastAsia" w:ascii="仿宋" w:hAnsi="仿宋" w:eastAsia="仿宋" w:cs="仿宋"/>
                <w:color w:val="auto"/>
                <w:sz w:val="21"/>
                <w:szCs w:val="21"/>
                <w:lang w:eastAsia="zh-CN"/>
              </w:rPr>
              <w:br w:type="textWrapping"/>
            </w:r>
            <w:r>
              <w:rPr>
                <w:rFonts w:hint="eastAsia" w:ascii="仿宋" w:hAnsi="仿宋" w:eastAsia="仿宋" w:cs="仿宋"/>
                <w:b/>
                <w:bCs/>
                <w:color w:val="auto"/>
                <w:sz w:val="21"/>
                <w:szCs w:val="21"/>
                <w:lang w:eastAsia="zh-CN"/>
              </w:rPr>
              <w:t>注:以上须提供合同复印件编入投标文件，未按要求提供完整材料的，不得分；一个单位分年度多次签订的案例，计入1个案例；同一个项目，分两期或以上建设完成的，计入1个案例。</w:t>
            </w:r>
          </w:p>
        </w:tc>
        <w:tc>
          <w:tcPr>
            <w:tcW w:w="745" w:type="dxa"/>
            <w:tcBorders>
              <w:left w:val="single" w:color="auto" w:sz="4" w:space="0"/>
              <w:right w:val="single" w:color="auto" w:sz="4" w:space="0"/>
            </w:tcBorders>
            <w:noWrap w:val="0"/>
            <w:vAlign w:val="center"/>
          </w:tcPr>
          <w:p w14:paraId="3C9D19C4">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1132" w:type="dxa"/>
            <w:tcBorders>
              <w:left w:val="single" w:color="auto" w:sz="4" w:space="0"/>
              <w:right w:val="single" w:color="auto" w:sz="4" w:space="0"/>
            </w:tcBorders>
            <w:noWrap w:val="0"/>
            <w:vAlign w:val="center"/>
          </w:tcPr>
          <w:p w14:paraId="77F50647">
            <w:pPr>
              <w:jc w:val="both"/>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类似业绩</w:t>
            </w:r>
          </w:p>
        </w:tc>
      </w:tr>
      <w:tr w14:paraId="6BF2C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5" w:hRule="atLeast"/>
          <w:jc w:val="center"/>
        </w:trPr>
        <w:tc>
          <w:tcPr>
            <w:tcW w:w="811" w:type="dxa"/>
            <w:vMerge w:val="continue"/>
            <w:tcBorders>
              <w:left w:val="single" w:color="auto" w:sz="4" w:space="0"/>
              <w:right w:val="single" w:color="auto" w:sz="4" w:space="0"/>
            </w:tcBorders>
            <w:noWrap w:val="0"/>
            <w:vAlign w:val="center"/>
          </w:tcPr>
          <w:p w14:paraId="4848FBAC">
            <w:pPr>
              <w:jc w:val="left"/>
              <w:rPr>
                <w:rFonts w:hint="eastAsia" w:ascii="仿宋" w:hAnsi="仿宋" w:eastAsia="仿宋" w:cs="仿宋"/>
                <w:color w:val="auto"/>
                <w:sz w:val="21"/>
                <w:szCs w:val="21"/>
              </w:rPr>
            </w:pPr>
          </w:p>
        </w:tc>
        <w:tc>
          <w:tcPr>
            <w:tcW w:w="438" w:type="dxa"/>
            <w:tcBorders>
              <w:left w:val="single" w:color="auto" w:sz="4" w:space="0"/>
              <w:right w:val="single" w:color="auto" w:sz="4" w:space="0"/>
            </w:tcBorders>
            <w:noWrap w:val="0"/>
            <w:vAlign w:val="center"/>
          </w:tcPr>
          <w:p w14:paraId="2296F9BB">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w:t>
            </w:r>
          </w:p>
        </w:tc>
        <w:tc>
          <w:tcPr>
            <w:tcW w:w="7139" w:type="dxa"/>
            <w:tcBorders>
              <w:left w:val="single" w:color="auto" w:sz="4" w:space="0"/>
              <w:right w:val="single" w:color="auto" w:sz="4" w:space="0"/>
            </w:tcBorders>
            <w:noWrap w:val="0"/>
            <w:vAlign w:val="center"/>
          </w:tcPr>
          <w:p w14:paraId="296C8CB6">
            <w:pPr>
              <w:widowControl/>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项目经理：</w:t>
            </w:r>
          </w:p>
          <w:p w14:paraId="615B1D77">
            <w:pPr>
              <w:widowControl/>
              <w:numPr>
                <w:ilvl w:val="0"/>
                <w:numId w:val="1"/>
              </w:numPr>
              <w:ind w:left="425" w:leftChars="0" w:hanging="425" w:firstLineChars="0"/>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截止投标截止时间年龄</w:t>
            </w:r>
            <w:r>
              <w:rPr>
                <w:rFonts w:hint="eastAsia" w:ascii="仿宋" w:hAnsi="仿宋" w:eastAsia="仿宋" w:cs="仿宋"/>
                <w:color w:val="auto"/>
                <w:kern w:val="0"/>
                <w:sz w:val="21"/>
                <w:szCs w:val="21"/>
                <w:highlight w:val="none"/>
                <w:lang w:val="en-US" w:eastAsia="zh-CN" w:bidi="ar"/>
              </w:rPr>
              <w:t>50</w:t>
            </w:r>
            <w:r>
              <w:rPr>
                <w:rFonts w:hint="eastAsia" w:ascii="仿宋" w:hAnsi="仿宋" w:eastAsia="仿宋" w:cs="仿宋"/>
                <w:color w:val="auto"/>
                <w:kern w:val="0"/>
                <w:sz w:val="21"/>
                <w:szCs w:val="21"/>
                <w:highlight w:val="none"/>
                <w:lang w:bidi="ar"/>
              </w:rPr>
              <w:t>周岁（含）以下，具有</w:t>
            </w:r>
            <w:r>
              <w:rPr>
                <w:rFonts w:hint="eastAsia" w:ascii="仿宋" w:hAnsi="仿宋" w:eastAsia="仿宋" w:cs="仿宋"/>
                <w:color w:val="auto"/>
                <w:kern w:val="0"/>
                <w:sz w:val="21"/>
                <w:szCs w:val="21"/>
                <w:highlight w:val="none"/>
                <w:lang w:eastAsia="zh-CN" w:bidi="ar"/>
              </w:rPr>
              <w:t>专科学历，得</w:t>
            </w:r>
            <w:r>
              <w:rPr>
                <w:rFonts w:hint="eastAsia" w:ascii="仿宋" w:hAnsi="仿宋" w:eastAsia="仿宋" w:cs="仿宋"/>
                <w:color w:val="auto"/>
                <w:kern w:val="0"/>
                <w:sz w:val="21"/>
                <w:szCs w:val="21"/>
                <w:highlight w:val="none"/>
                <w:lang w:val="en-US" w:eastAsia="zh-CN" w:bidi="ar"/>
              </w:rPr>
              <w:t>0.5分；</w:t>
            </w:r>
            <w:r>
              <w:rPr>
                <w:rFonts w:hint="eastAsia" w:ascii="仿宋" w:hAnsi="仿宋" w:eastAsia="仿宋" w:cs="仿宋"/>
                <w:color w:val="auto"/>
                <w:kern w:val="0"/>
                <w:sz w:val="21"/>
                <w:szCs w:val="21"/>
                <w:highlight w:val="none"/>
                <w:lang w:bidi="ar"/>
              </w:rPr>
              <w:t>年龄</w:t>
            </w:r>
            <w:r>
              <w:rPr>
                <w:rFonts w:hint="eastAsia" w:ascii="仿宋" w:hAnsi="仿宋" w:eastAsia="仿宋" w:cs="仿宋"/>
                <w:color w:val="auto"/>
                <w:kern w:val="0"/>
                <w:sz w:val="21"/>
                <w:szCs w:val="21"/>
                <w:highlight w:val="none"/>
                <w:lang w:val="en-US" w:eastAsia="zh-CN" w:bidi="ar"/>
              </w:rPr>
              <w:t>50</w:t>
            </w:r>
            <w:r>
              <w:rPr>
                <w:rFonts w:hint="eastAsia" w:ascii="仿宋" w:hAnsi="仿宋" w:eastAsia="仿宋" w:cs="仿宋"/>
                <w:color w:val="auto"/>
                <w:kern w:val="0"/>
                <w:sz w:val="21"/>
                <w:szCs w:val="21"/>
                <w:highlight w:val="none"/>
                <w:lang w:bidi="ar"/>
              </w:rPr>
              <w:t>周岁（含）以下，本科及以上学历，得</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eastAsia="zh-CN" w:bidi="ar"/>
              </w:rPr>
              <w:t>，最多得</w:t>
            </w:r>
            <w:r>
              <w:rPr>
                <w:rFonts w:hint="eastAsia" w:ascii="仿宋" w:hAnsi="仿宋" w:eastAsia="仿宋" w:cs="仿宋"/>
                <w:color w:val="auto"/>
                <w:kern w:val="0"/>
                <w:sz w:val="21"/>
                <w:szCs w:val="21"/>
                <w:highlight w:val="none"/>
                <w:lang w:val="en-US" w:eastAsia="zh-CN" w:bidi="ar"/>
              </w:rPr>
              <w:t>1分；</w:t>
            </w:r>
          </w:p>
          <w:p w14:paraId="36457E6C">
            <w:pPr>
              <w:widowControl/>
              <w:numPr>
                <w:ilvl w:val="0"/>
                <w:numId w:val="1"/>
              </w:numPr>
              <w:ind w:left="425" w:leftChars="0" w:hanging="425" w:firstLineChars="0"/>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具有</w:t>
            </w:r>
            <w:r>
              <w:rPr>
                <w:rFonts w:hint="eastAsia" w:ascii="仿宋" w:hAnsi="仿宋" w:eastAsia="仿宋" w:cs="仿宋"/>
                <w:color w:val="auto"/>
                <w:kern w:val="0"/>
                <w:sz w:val="21"/>
                <w:szCs w:val="21"/>
                <w:highlight w:val="none"/>
                <w:lang w:val="en-US" w:eastAsia="zh-CN" w:bidi="ar"/>
              </w:rPr>
              <w:t>物业项目经理证书或全国物业管理企业经理证</w:t>
            </w:r>
            <w:r>
              <w:rPr>
                <w:rFonts w:hint="eastAsia" w:ascii="仿宋" w:hAnsi="仿宋" w:eastAsia="仿宋" w:cs="仿宋"/>
                <w:color w:val="auto"/>
                <w:kern w:val="0"/>
                <w:sz w:val="21"/>
                <w:szCs w:val="21"/>
                <w:highlight w:val="none"/>
                <w:lang w:bidi="ar"/>
              </w:rPr>
              <w:t>，得1分；</w:t>
            </w:r>
          </w:p>
          <w:p w14:paraId="0301FD56">
            <w:pPr>
              <w:widowControl/>
              <w:numPr>
                <w:ilvl w:val="0"/>
                <w:numId w:val="1"/>
              </w:numPr>
              <w:ind w:left="425" w:leftChars="0" w:hanging="425" w:firstLineChars="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具有物业管理师资格证书二级及以上职业能力等级证书，得</w:t>
            </w:r>
            <w:r>
              <w:rPr>
                <w:rFonts w:hint="eastAsia" w:ascii="仿宋" w:hAnsi="仿宋" w:eastAsia="仿宋" w:cs="仿宋"/>
                <w:color w:val="auto"/>
                <w:kern w:val="0"/>
                <w:sz w:val="21"/>
                <w:szCs w:val="21"/>
                <w:highlight w:val="none"/>
                <w:lang w:val="en-US" w:eastAsia="zh-CN" w:bidi="ar"/>
              </w:rPr>
              <w:t>2</w:t>
            </w:r>
            <w:r>
              <w:rPr>
                <w:rFonts w:hint="eastAsia" w:ascii="仿宋" w:hAnsi="仿宋" w:eastAsia="仿宋" w:cs="仿宋"/>
                <w:color w:val="auto"/>
                <w:kern w:val="0"/>
                <w:sz w:val="21"/>
                <w:szCs w:val="21"/>
                <w:highlight w:val="none"/>
                <w:lang w:bidi="ar"/>
              </w:rPr>
              <w:t>分；</w:t>
            </w:r>
          </w:p>
          <w:p w14:paraId="793C25DD">
            <w:pPr>
              <w:widowControl/>
              <w:numPr>
                <w:ilvl w:val="0"/>
                <w:numId w:val="1"/>
              </w:numPr>
              <w:ind w:left="425" w:leftChars="0" w:hanging="425" w:firstLineChars="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具有智能楼宇管理员证，得</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eastAsia="zh-CN" w:bidi="ar"/>
              </w:rPr>
              <w:t>；</w:t>
            </w:r>
          </w:p>
          <w:p w14:paraId="26060D6D">
            <w:pPr>
              <w:widowControl/>
              <w:numPr>
                <w:ilvl w:val="0"/>
                <w:numId w:val="1"/>
              </w:numPr>
              <w:ind w:left="425" w:leftChars="0" w:hanging="425" w:firstLineChars="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eastAsia="zh-CN" w:bidi="ar"/>
              </w:rPr>
              <w:t>具有消防安全责任人证书</w:t>
            </w:r>
            <w:r>
              <w:rPr>
                <w:rFonts w:hint="eastAsia" w:ascii="仿宋" w:hAnsi="仿宋" w:eastAsia="仿宋" w:cs="仿宋"/>
                <w:color w:val="auto"/>
                <w:kern w:val="0"/>
                <w:sz w:val="21"/>
                <w:szCs w:val="21"/>
                <w:highlight w:val="none"/>
                <w:lang w:bidi="ar"/>
              </w:rPr>
              <w:t>，得</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分；</w:t>
            </w:r>
          </w:p>
          <w:p w14:paraId="231CB503">
            <w:pPr>
              <w:widowControl/>
              <w:numPr>
                <w:ilvl w:val="0"/>
                <w:numId w:val="1"/>
              </w:numPr>
              <w:ind w:left="425" w:leftChars="0" w:hanging="425" w:firstLineChars="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具有</w:t>
            </w:r>
            <w:r>
              <w:rPr>
                <w:rFonts w:hint="eastAsia" w:ascii="仿宋" w:hAnsi="仿宋" w:eastAsia="仿宋" w:cs="仿宋"/>
                <w:color w:val="auto"/>
                <w:kern w:val="0"/>
                <w:sz w:val="21"/>
                <w:szCs w:val="21"/>
                <w:highlight w:val="none"/>
                <w:lang w:val="en-US" w:eastAsia="zh-CN" w:bidi="ar"/>
              </w:rPr>
              <w:t>5</w:t>
            </w:r>
            <w:r>
              <w:rPr>
                <w:rFonts w:hint="eastAsia" w:ascii="仿宋" w:hAnsi="仿宋" w:eastAsia="仿宋" w:cs="仿宋"/>
                <w:color w:val="auto"/>
                <w:kern w:val="0"/>
                <w:sz w:val="21"/>
                <w:szCs w:val="21"/>
                <w:highlight w:val="none"/>
                <w:lang w:bidi="ar"/>
              </w:rPr>
              <w:t>年及以上类似项目物业管理负责人工作经验，需提供业主证明材料复印件</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得1分。</w:t>
            </w:r>
          </w:p>
          <w:p w14:paraId="6A7A52BC">
            <w:pPr>
              <w:widowControl/>
              <w:jc w:val="left"/>
              <w:textAlignment w:val="center"/>
              <w:rPr>
                <w:rFonts w:ascii="仿宋" w:hAnsi="仿宋" w:eastAsia="仿宋" w:cs="仿宋"/>
                <w:b/>
                <w:bCs/>
                <w:color w:val="auto"/>
                <w:kern w:val="0"/>
                <w:sz w:val="21"/>
                <w:szCs w:val="21"/>
                <w:highlight w:val="none"/>
                <w:lang w:bidi="ar"/>
              </w:rPr>
            </w:pPr>
            <w:r>
              <w:rPr>
                <w:rFonts w:hint="eastAsia" w:ascii="仿宋" w:hAnsi="仿宋" w:eastAsia="仿宋" w:cs="仿宋"/>
                <w:b/>
                <w:bCs/>
                <w:color w:val="auto"/>
                <w:kern w:val="0"/>
                <w:sz w:val="21"/>
                <w:szCs w:val="21"/>
                <w:highlight w:val="none"/>
                <w:lang w:bidi="ar"/>
              </w:rPr>
              <w:t>注: ①以上需提供相关证明文件；</w:t>
            </w:r>
          </w:p>
          <w:p w14:paraId="0409CF6B">
            <w:pPr>
              <w:rPr>
                <w:rFonts w:hint="eastAsia" w:ascii="仿宋" w:hAnsi="仿宋" w:eastAsia="仿宋" w:cs="仿宋"/>
                <w:color w:val="auto"/>
                <w:sz w:val="21"/>
                <w:szCs w:val="21"/>
              </w:rPr>
            </w:pPr>
            <w:r>
              <w:rPr>
                <w:rFonts w:hint="eastAsia" w:ascii="仿宋" w:hAnsi="仿宋" w:eastAsia="仿宋" w:cs="仿宋"/>
                <w:b/>
                <w:bCs/>
                <w:color w:val="auto"/>
                <w:kern w:val="0"/>
                <w:sz w:val="21"/>
                <w:szCs w:val="21"/>
                <w:highlight w:val="none"/>
                <w:lang w:bidi="ar"/>
              </w:rPr>
              <w:t>②提供在投标人单位近三个月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val="en-US" w:eastAsia="zh-CN" w:bidi="ar"/>
              </w:rPr>
              <w:t>2025年1月、2月、3月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bidi="ar"/>
              </w:rPr>
              <w:t>中任意一个月社保缴纳记录，否则不得分。</w:t>
            </w:r>
          </w:p>
        </w:tc>
        <w:tc>
          <w:tcPr>
            <w:tcW w:w="745" w:type="dxa"/>
            <w:tcBorders>
              <w:left w:val="single" w:color="auto" w:sz="4" w:space="0"/>
              <w:right w:val="single" w:color="auto" w:sz="4" w:space="0"/>
            </w:tcBorders>
            <w:noWrap w:val="0"/>
            <w:vAlign w:val="center"/>
          </w:tcPr>
          <w:p w14:paraId="5642E3DE">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1132" w:type="dxa"/>
            <w:vMerge w:val="restart"/>
            <w:tcBorders>
              <w:left w:val="single" w:color="auto" w:sz="4" w:space="0"/>
              <w:right w:val="single" w:color="auto" w:sz="4" w:space="0"/>
            </w:tcBorders>
            <w:noWrap w:val="0"/>
            <w:vAlign w:val="center"/>
          </w:tcPr>
          <w:p w14:paraId="0AF83813">
            <w:pPr>
              <w:jc w:val="center"/>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rPr>
              <w:t>项目实施管理团队素质情况</w:t>
            </w:r>
          </w:p>
          <w:p w14:paraId="02DAE6CB">
            <w:pPr>
              <w:jc w:val="center"/>
              <w:rPr>
                <w:rFonts w:hint="eastAsia" w:ascii="仿宋" w:hAnsi="仿宋" w:eastAsia="仿宋" w:cs="仿宋"/>
                <w:color w:val="auto"/>
                <w:sz w:val="21"/>
                <w:szCs w:val="21"/>
              </w:rPr>
            </w:pPr>
          </w:p>
        </w:tc>
      </w:tr>
      <w:tr w14:paraId="16FCD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11" w:type="dxa"/>
            <w:vMerge w:val="continue"/>
            <w:tcBorders>
              <w:left w:val="single" w:color="auto" w:sz="4" w:space="0"/>
              <w:right w:val="single" w:color="auto" w:sz="4" w:space="0"/>
            </w:tcBorders>
            <w:noWrap w:val="0"/>
            <w:vAlign w:val="center"/>
          </w:tcPr>
          <w:p w14:paraId="07D79BD5">
            <w:pPr>
              <w:jc w:val="left"/>
              <w:rPr>
                <w:rFonts w:hint="eastAsia" w:ascii="仿宋" w:hAnsi="仿宋" w:eastAsia="仿宋" w:cs="仿宋"/>
                <w:color w:val="auto"/>
                <w:sz w:val="21"/>
                <w:szCs w:val="21"/>
              </w:rPr>
            </w:pPr>
          </w:p>
        </w:tc>
        <w:tc>
          <w:tcPr>
            <w:tcW w:w="438" w:type="dxa"/>
            <w:tcBorders>
              <w:left w:val="single" w:color="auto" w:sz="4" w:space="0"/>
              <w:right w:val="single" w:color="auto" w:sz="4" w:space="0"/>
            </w:tcBorders>
            <w:noWrap w:val="0"/>
            <w:vAlign w:val="center"/>
          </w:tcPr>
          <w:p w14:paraId="383DF4A2">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7139" w:type="dxa"/>
            <w:tcBorders>
              <w:left w:val="single" w:color="auto" w:sz="4" w:space="0"/>
              <w:right w:val="single" w:color="auto" w:sz="4" w:space="0"/>
            </w:tcBorders>
            <w:noWrap w:val="0"/>
            <w:vAlign w:val="center"/>
          </w:tcPr>
          <w:p w14:paraId="7278CDF3">
            <w:pPr>
              <w:widowControl/>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项目经理助理：</w:t>
            </w:r>
          </w:p>
          <w:p w14:paraId="1FFD46B5">
            <w:pPr>
              <w:widowControl/>
              <w:numPr>
                <w:ilvl w:val="0"/>
                <w:numId w:val="2"/>
              </w:numPr>
              <w:jc w:val="left"/>
              <w:textAlignment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bidi="ar"/>
              </w:rPr>
              <w:t>截止投标截止时间年龄4</w:t>
            </w:r>
            <w:r>
              <w:rPr>
                <w:rFonts w:hint="eastAsia" w:ascii="仿宋" w:hAnsi="仿宋" w:eastAsia="仿宋" w:cs="仿宋"/>
                <w:color w:val="auto"/>
                <w:kern w:val="0"/>
                <w:sz w:val="21"/>
                <w:szCs w:val="21"/>
                <w:highlight w:val="none"/>
                <w:lang w:val="en-US" w:eastAsia="zh-CN" w:bidi="ar"/>
              </w:rPr>
              <w:t>5</w:t>
            </w:r>
            <w:r>
              <w:rPr>
                <w:rFonts w:hint="eastAsia" w:ascii="仿宋" w:hAnsi="仿宋" w:eastAsia="仿宋" w:cs="仿宋"/>
                <w:color w:val="auto"/>
                <w:kern w:val="0"/>
                <w:sz w:val="21"/>
                <w:szCs w:val="21"/>
                <w:highlight w:val="none"/>
                <w:lang w:bidi="ar"/>
              </w:rPr>
              <w:t>周岁（含）以下，具有</w:t>
            </w:r>
            <w:r>
              <w:rPr>
                <w:rFonts w:hint="eastAsia" w:ascii="仿宋" w:hAnsi="仿宋" w:eastAsia="仿宋" w:cs="仿宋"/>
                <w:color w:val="auto"/>
                <w:kern w:val="0"/>
                <w:sz w:val="21"/>
                <w:szCs w:val="21"/>
                <w:highlight w:val="none"/>
                <w:lang w:eastAsia="zh-CN" w:bidi="ar"/>
              </w:rPr>
              <w:t>专科学历，得</w:t>
            </w:r>
            <w:r>
              <w:rPr>
                <w:rFonts w:hint="eastAsia" w:ascii="仿宋" w:hAnsi="仿宋" w:eastAsia="仿宋" w:cs="仿宋"/>
                <w:color w:val="auto"/>
                <w:kern w:val="0"/>
                <w:sz w:val="21"/>
                <w:szCs w:val="21"/>
                <w:highlight w:val="none"/>
                <w:lang w:val="en-US" w:eastAsia="zh-CN" w:bidi="ar"/>
              </w:rPr>
              <w:t>0.5分；</w:t>
            </w:r>
            <w:r>
              <w:rPr>
                <w:rFonts w:hint="eastAsia" w:ascii="仿宋" w:hAnsi="仿宋" w:eastAsia="仿宋" w:cs="仿宋"/>
                <w:color w:val="auto"/>
                <w:kern w:val="0"/>
                <w:sz w:val="21"/>
                <w:szCs w:val="21"/>
                <w:highlight w:val="none"/>
                <w:lang w:bidi="ar"/>
              </w:rPr>
              <w:t>年龄4</w:t>
            </w:r>
            <w:r>
              <w:rPr>
                <w:rFonts w:hint="eastAsia" w:ascii="仿宋" w:hAnsi="仿宋" w:eastAsia="仿宋" w:cs="仿宋"/>
                <w:color w:val="auto"/>
                <w:kern w:val="0"/>
                <w:sz w:val="21"/>
                <w:szCs w:val="21"/>
                <w:highlight w:val="none"/>
                <w:lang w:val="en-US" w:eastAsia="zh-CN" w:bidi="ar"/>
              </w:rPr>
              <w:t>5</w:t>
            </w:r>
            <w:r>
              <w:rPr>
                <w:rFonts w:hint="eastAsia" w:ascii="仿宋" w:hAnsi="仿宋" w:eastAsia="仿宋" w:cs="仿宋"/>
                <w:color w:val="auto"/>
                <w:kern w:val="0"/>
                <w:sz w:val="21"/>
                <w:szCs w:val="21"/>
                <w:highlight w:val="none"/>
                <w:lang w:bidi="ar"/>
              </w:rPr>
              <w:t>周岁（含）以下，本科及以上学历，得</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eastAsia="zh-CN" w:bidi="ar"/>
              </w:rPr>
              <w:t>，最多得</w:t>
            </w:r>
            <w:r>
              <w:rPr>
                <w:rFonts w:hint="eastAsia" w:ascii="仿宋" w:hAnsi="仿宋" w:eastAsia="仿宋" w:cs="仿宋"/>
                <w:color w:val="auto"/>
                <w:kern w:val="0"/>
                <w:sz w:val="21"/>
                <w:szCs w:val="21"/>
                <w:highlight w:val="none"/>
                <w:lang w:val="en-US" w:eastAsia="zh-CN" w:bidi="ar"/>
              </w:rPr>
              <w:t>1分</w:t>
            </w:r>
            <w:r>
              <w:rPr>
                <w:rFonts w:hint="eastAsia" w:ascii="仿宋" w:hAnsi="仿宋" w:eastAsia="仿宋" w:cs="仿宋"/>
                <w:color w:val="auto"/>
                <w:kern w:val="0"/>
                <w:sz w:val="21"/>
                <w:szCs w:val="21"/>
                <w:highlight w:val="none"/>
                <w:lang w:bidi="ar"/>
              </w:rPr>
              <w:t>；</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val="en-US" w:eastAsia="zh-CN" w:bidi="ar"/>
              </w:rPr>
              <w:t>2</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具有</w:t>
            </w:r>
            <w:r>
              <w:rPr>
                <w:rFonts w:hint="eastAsia" w:ascii="仿宋" w:hAnsi="仿宋" w:eastAsia="仿宋" w:cs="仿宋"/>
                <w:color w:val="auto"/>
                <w:kern w:val="0"/>
                <w:sz w:val="21"/>
                <w:szCs w:val="21"/>
                <w:highlight w:val="none"/>
                <w:lang w:val="en-US" w:eastAsia="zh-CN" w:bidi="ar"/>
              </w:rPr>
              <w:t>物业项目经理证书或全国物业管理企业经理证，得1分；</w:t>
            </w:r>
          </w:p>
          <w:p w14:paraId="1E60446A">
            <w:pPr>
              <w:widowControl/>
              <w:numPr>
                <w:ilvl w:val="0"/>
                <w:numId w:val="0"/>
              </w:numPr>
              <w:jc w:val="left"/>
              <w:textAlignment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（3）具有物业管理师资格证书三级及以上职业能力等级证书，得1分；</w:t>
            </w:r>
          </w:p>
          <w:p w14:paraId="66FC5A19">
            <w:pPr>
              <w:widowControl/>
              <w:numPr>
                <w:ilvl w:val="0"/>
                <w:numId w:val="0"/>
              </w:numPr>
              <w:jc w:val="left"/>
              <w:textAlignment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（4）具有智能楼宇管理员证</w:t>
            </w:r>
            <w:r>
              <w:rPr>
                <w:rFonts w:hint="eastAsia" w:ascii="仿宋" w:hAnsi="仿宋" w:eastAsia="仿宋" w:cs="仿宋"/>
                <w:color w:val="auto"/>
                <w:kern w:val="0"/>
                <w:sz w:val="21"/>
                <w:szCs w:val="21"/>
                <w:highlight w:val="none"/>
                <w:lang w:bidi="ar"/>
              </w:rPr>
              <w:t>，得</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val="en-US" w:eastAsia="zh-CN" w:bidi="ar"/>
              </w:rPr>
              <w:t>；</w:t>
            </w:r>
          </w:p>
          <w:p w14:paraId="7551956D">
            <w:pPr>
              <w:widowControl/>
              <w:jc w:val="left"/>
              <w:textAlignment w:val="center"/>
              <w:rPr>
                <w:rFonts w:ascii="仿宋" w:hAnsi="仿宋" w:eastAsia="仿宋" w:cs="仿宋"/>
                <w:b/>
                <w:bCs/>
                <w:color w:val="auto"/>
                <w:kern w:val="0"/>
                <w:sz w:val="21"/>
                <w:szCs w:val="21"/>
                <w:highlight w:val="none"/>
                <w:lang w:bidi="ar"/>
              </w:rPr>
            </w:pPr>
            <w:r>
              <w:rPr>
                <w:rFonts w:hint="eastAsia" w:ascii="仿宋" w:hAnsi="仿宋" w:eastAsia="仿宋" w:cs="仿宋"/>
                <w:color w:val="auto"/>
                <w:kern w:val="0"/>
                <w:sz w:val="21"/>
                <w:szCs w:val="21"/>
                <w:highlight w:val="none"/>
                <w:lang w:bidi="ar"/>
              </w:rPr>
              <w:t>（</w:t>
            </w:r>
            <w:r>
              <w:rPr>
                <w:rFonts w:hint="eastAsia" w:ascii="仿宋" w:hAnsi="仿宋" w:eastAsia="仿宋" w:cs="仿宋"/>
                <w:color w:val="auto"/>
                <w:kern w:val="0"/>
                <w:sz w:val="21"/>
                <w:szCs w:val="21"/>
                <w:highlight w:val="none"/>
                <w:lang w:val="en-US" w:eastAsia="zh-CN" w:bidi="ar"/>
              </w:rPr>
              <w:t>5</w:t>
            </w:r>
            <w:r>
              <w:rPr>
                <w:rFonts w:hint="eastAsia" w:ascii="仿宋" w:hAnsi="仿宋" w:eastAsia="仿宋" w:cs="仿宋"/>
                <w:color w:val="auto"/>
                <w:kern w:val="0"/>
                <w:sz w:val="21"/>
                <w:szCs w:val="21"/>
                <w:highlight w:val="none"/>
                <w:lang w:bidi="ar"/>
              </w:rPr>
              <w:t>）具有3年及以上类似物业项目</w:t>
            </w:r>
            <w:r>
              <w:rPr>
                <w:rFonts w:hint="eastAsia" w:ascii="仿宋" w:hAnsi="仿宋" w:eastAsia="仿宋" w:cs="仿宋"/>
                <w:color w:val="auto"/>
                <w:kern w:val="0"/>
                <w:sz w:val="21"/>
                <w:szCs w:val="21"/>
                <w:highlight w:val="none"/>
                <w:lang w:val="en-US" w:eastAsia="zh-CN" w:bidi="ar"/>
              </w:rPr>
              <w:t>同类</w:t>
            </w:r>
            <w:r>
              <w:rPr>
                <w:rFonts w:hint="eastAsia" w:ascii="仿宋" w:hAnsi="仿宋" w:eastAsia="仿宋" w:cs="仿宋"/>
                <w:color w:val="auto"/>
                <w:kern w:val="0"/>
                <w:sz w:val="21"/>
                <w:szCs w:val="21"/>
                <w:highlight w:val="none"/>
                <w:lang w:bidi="ar"/>
              </w:rPr>
              <w:t>岗位工作经验的，需提供业主证明材料复印件，得1分。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b/>
                <w:bCs/>
                <w:color w:val="auto"/>
                <w:kern w:val="0"/>
                <w:sz w:val="21"/>
                <w:szCs w:val="21"/>
                <w:highlight w:val="none"/>
                <w:lang w:bidi="ar"/>
              </w:rPr>
              <w:t>注: ①以上需提供相关证明文件；</w:t>
            </w:r>
          </w:p>
          <w:p w14:paraId="69E6588D">
            <w:pPr>
              <w:numPr>
                <w:ilvl w:val="0"/>
                <w:numId w:val="3"/>
              </w:numPr>
              <w:rPr>
                <w:rFonts w:hint="eastAsia"/>
                <w:color w:val="auto"/>
                <w:sz w:val="21"/>
                <w:szCs w:val="21"/>
              </w:rPr>
            </w:pPr>
            <w:r>
              <w:rPr>
                <w:rFonts w:hint="eastAsia" w:ascii="仿宋" w:hAnsi="仿宋" w:eastAsia="仿宋" w:cs="仿宋"/>
                <w:b/>
                <w:bCs/>
                <w:color w:val="auto"/>
                <w:kern w:val="0"/>
                <w:sz w:val="21"/>
                <w:szCs w:val="21"/>
                <w:highlight w:val="none"/>
                <w:lang w:bidi="ar"/>
              </w:rPr>
              <w:t>②提供在投标人单位近三个月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val="en-US" w:eastAsia="zh-CN" w:bidi="ar"/>
              </w:rPr>
              <w:t>2025年1月、2月、3月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bidi="ar"/>
              </w:rPr>
              <w:t>中任意一个月社保缴纳记录，否则不得分。</w:t>
            </w:r>
          </w:p>
        </w:tc>
        <w:tc>
          <w:tcPr>
            <w:tcW w:w="745" w:type="dxa"/>
            <w:tcBorders>
              <w:left w:val="single" w:color="auto" w:sz="4" w:space="0"/>
              <w:right w:val="single" w:color="auto" w:sz="4" w:space="0"/>
            </w:tcBorders>
            <w:noWrap w:val="0"/>
            <w:vAlign w:val="center"/>
          </w:tcPr>
          <w:p w14:paraId="30457315">
            <w:pPr>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1132" w:type="dxa"/>
            <w:vMerge w:val="continue"/>
            <w:tcBorders>
              <w:left w:val="single" w:color="auto" w:sz="4" w:space="0"/>
              <w:right w:val="single" w:color="auto" w:sz="4" w:space="0"/>
            </w:tcBorders>
            <w:noWrap w:val="0"/>
            <w:vAlign w:val="center"/>
          </w:tcPr>
          <w:p w14:paraId="1880BE1E">
            <w:pPr>
              <w:jc w:val="center"/>
              <w:rPr>
                <w:rFonts w:hint="eastAsia" w:ascii="仿宋" w:hAnsi="仿宋" w:eastAsia="仿宋" w:cs="仿宋"/>
                <w:color w:val="auto"/>
                <w:sz w:val="21"/>
                <w:szCs w:val="21"/>
              </w:rPr>
            </w:pPr>
          </w:p>
        </w:tc>
      </w:tr>
      <w:tr w14:paraId="328A8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6" w:hRule="atLeast"/>
          <w:jc w:val="center"/>
        </w:trPr>
        <w:tc>
          <w:tcPr>
            <w:tcW w:w="811" w:type="dxa"/>
            <w:vMerge w:val="continue"/>
            <w:tcBorders>
              <w:left w:val="single" w:color="auto" w:sz="4" w:space="0"/>
              <w:right w:val="single" w:color="auto" w:sz="4" w:space="0"/>
            </w:tcBorders>
            <w:noWrap w:val="0"/>
            <w:vAlign w:val="center"/>
          </w:tcPr>
          <w:p w14:paraId="52FA3A16">
            <w:pPr>
              <w:jc w:val="left"/>
              <w:rPr>
                <w:rFonts w:hint="eastAsia" w:ascii="仿宋" w:hAnsi="仿宋" w:eastAsia="仿宋" w:cs="仿宋"/>
                <w:color w:val="auto"/>
                <w:sz w:val="21"/>
                <w:szCs w:val="21"/>
              </w:rPr>
            </w:pPr>
          </w:p>
        </w:tc>
        <w:tc>
          <w:tcPr>
            <w:tcW w:w="438" w:type="dxa"/>
            <w:tcBorders>
              <w:left w:val="single" w:color="auto" w:sz="4" w:space="0"/>
              <w:right w:val="single" w:color="auto" w:sz="4" w:space="0"/>
            </w:tcBorders>
            <w:noWrap w:val="0"/>
            <w:vAlign w:val="center"/>
          </w:tcPr>
          <w:p w14:paraId="4A0F4CFB">
            <w:pPr>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7139" w:type="dxa"/>
            <w:tcBorders>
              <w:left w:val="single" w:color="auto" w:sz="4" w:space="0"/>
              <w:right w:val="single" w:color="auto" w:sz="4" w:space="0"/>
            </w:tcBorders>
            <w:noWrap w:val="0"/>
            <w:vAlign w:val="center"/>
          </w:tcPr>
          <w:p w14:paraId="0B8CBEDD">
            <w:pPr>
              <w:widowControl/>
              <w:numPr>
                <w:ilvl w:val="0"/>
                <w:numId w:val="0"/>
              </w:numPr>
              <w:ind w:leftChars="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工程主管：</w:t>
            </w:r>
          </w:p>
          <w:p w14:paraId="725ECCC7">
            <w:pPr>
              <w:widowControl/>
              <w:numPr>
                <w:ilvl w:val="0"/>
                <w:numId w:val="4"/>
              </w:numPr>
              <w:ind w:left="425" w:leftChars="0" w:hanging="425" w:firstLineChars="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截止投标截止时间年龄45周岁（含）以下，具有</w:t>
            </w:r>
            <w:r>
              <w:rPr>
                <w:rFonts w:hint="eastAsia" w:ascii="仿宋" w:hAnsi="仿宋" w:eastAsia="仿宋" w:cs="仿宋"/>
                <w:color w:val="auto"/>
                <w:kern w:val="0"/>
                <w:sz w:val="21"/>
                <w:szCs w:val="21"/>
                <w:highlight w:val="none"/>
                <w:lang w:eastAsia="zh-CN" w:bidi="ar"/>
              </w:rPr>
              <w:t>专科及以上学历，得</w:t>
            </w:r>
            <w:r>
              <w:rPr>
                <w:rFonts w:hint="eastAsia" w:ascii="仿宋" w:hAnsi="仿宋" w:eastAsia="仿宋" w:cs="仿宋"/>
                <w:color w:val="auto"/>
                <w:kern w:val="0"/>
                <w:sz w:val="21"/>
                <w:szCs w:val="21"/>
                <w:highlight w:val="none"/>
                <w:lang w:val="en-US" w:eastAsia="zh-CN" w:bidi="ar"/>
              </w:rPr>
              <w:t>1分</w:t>
            </w:r>
            <w:r>
              <w:rPr>
                <w:rFonts w:hint="eastAsia" w:ascii="仿宋" w:hAnsi="仿宋" w:eastAsia="仿宋" w:cs="仿宋"/>
                <w:color w:val="auto"/>
                <w:kern w:val="0"/>
                <w:sz w:val="21"/>
                <w:szCs w:val="21"/>
                <w:highlight w:val="none"/>
                <w:lang w:bidi="ar"/>
              </w:rPr>
              <w:t>；</w:t>
            </w:r>
          </w:p>
          <w:p w14:paraId="5C52FE40">
            <w:pPr>
              <w:widowControl/>
              <w:numPr>
                <w:ilvl w:val="0"/>
                <w:numId w:val="4"/>
              </w:numPr>
              <w:ind w:left="425" w:leftChars="0" w:hanging="425" w:firstLineChars="0"/>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具有特种设备安全管理和作业人员证</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得</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eastAsia="zh-CN" w:bidi="ar"/>
              </w:rPr>
              <w:t>；</w:t>
            </w:r>
          </w:p>
          <w:p w14:paraId="55166B66">
            <w:pPr>
              <w:widowControl/>
              <w:numPr>
                <w:ilvl w:val="0"/>
                <w:numId w:val="4"/>
              </w:numPr>
              <w:ind w:left="425" w:leftChars="0" w:hanging="425" w:firstLineChars="0"/>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eastAsia="zh-CN" w:bidi="ar"/>
              </w:rPr>
              <w:t>（高压、低压）</w:t>
            </w:r>
            <w:r>
              <w:rPr>
                <w:rFonts w:hint="eastAsia" w:ascii="仿宋" w:hAnsi="仿宋" w:eastAsia="仿宋" w:cs="仿宋"/>
                <w:color w:val="auto"/>
                <w:kern w:val="0"/>
                <w:sz w:val="21"/>
                <w:szCs w:val="21"/>
                <w:highlight w:val="none"/>
                <w:lang w:bidi="ar"/>
              </w:rPr>
              <w:t>电工作业证</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得</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分；</w:t>
            </w:r>
          </w:p>
          <w:p w14:paraId="26529B56">
            <w:pPr>
              <w:widowControl/>
              <w:numPr>
                <w:ilvl w:val="0"/>
                <w:numId w:val="4"/>
              </w:numPr>
              <w:ind w:left="425" w:leftChars="0" w:hanging="425" w:firstLineChars="0"/>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具有3年及以上类似物业项目</w:t>
            </w:r>
            <w:r>
              <w:rPr>
                <w:rFonts w:hint="eastAsia" w:ascii="仿宋" w:hAnsi="仿宋" w:eastAsia="仿宋" w:cs="仿宋"/>
                <w:color w:val="auto"/>
                <w:kern w:val="0"/>
                <w:sz w:val="21"/>
                <w:szCs w:val="21"/>
                <w:highlight w:val="none"/>
                <w:lang w:eastAsia="zh-CN" w:bidi="ar"/>
              </w:rPr>
              <w:t>同类岗位</w:t>
            </w:r>
            <w:r>
              <w:rPr>
                <w:rFonts w:hint="eastAsia" w:ascii="仿宋" w:hAnsi="仿宋" w:eastAsia="仿宋" w:cs="仿宋"/>
                <w:color w:val="auto"/>
                <w:kern w:val="0"/>
                <w:sz w:val="21"/>
                <w:szCs w:val="21"/>
                <w:highlight w:val="none"/>
                <w:lang w:bidi="ar"/>
              </w:rPr>
              <w:t>工作经验，需提供业主证明复印件，得1分。</w:t>
            </w:r>
          </w:p>
          <w:p w14:paraId="0545C78E">
            <w:pPr>
              <w:widowControl/>
              <w:numPr>
                <w:ilvl w:val="0"/>
                <w:numId w:val="0"/>
              </w:numPr>
              <w:ind w:leftChars="0"/>
              <w:jc w:val="left"/>
              <w:textAlignment w:val="center"/>
              <w:rPr>
                <w:rFonts w:ascii="仿宋" w:hAnsi="仿宋" w:eastAsia="仿宋" w:cs="仿宋"/>
                <w:b/>
                <w:bCs/>
                <w:color w:val="auto"/>
                <w:kern w:val="0"/>
                <w:sz w:val="21"/>
                <w:szCs w:val="21"/>
                <w:highlight w:val="none"/>
                <w:lang w:bidi="ar"/>
              </w:rPr>
            </w:pPr>
            <w:r>
              <w:rPr>
                <w:rFonts w:hint="eastAsia" w:ascii="仿宋" w:hAnsi="仿宋" w:eastAsia="仿宋" w:cs="仿宋"/>
                <w:b/>
                <w:bCs/>
                <w:color w:val="auto"/>
                <w:kern w:val="0"/>
                <w:sz w:val="21"/>
                <w:szCs w:val="21"/>
                <w:highlight w:val="none"/>
                <w:lang w:bidi="ar"/>
              </w:rPr>
              <w:t>注:①以上需提供相关证明文件；</w:t>
            </w:r>
          </w:p>
          <w:p w14:paraId="059C9EB9">
            <w:pPr>
              <w:rPr>
                <w:rFonts w:hint="eastAsia" w:eastAsia="仿宋"/>
                <w:color w:val="auto"/>
                <w:sz w:val="21"/>
                <w:szCs w:val="21"/>
                <w:lang w:eastAsia="zh-CN"/>
              </w:rPr>
            </w:pPr>
            <w:r>
              <w:rPr>
                <w:rFonts w:hint="eastAsia" w:ascii="仿宋" w:hAnsi="仿宋" w:eastAsia="仿宋" w:cs="仿宋"/>
                <w:b/>
                <w:bCs/>
                <w:color w:val="auto"/>
                <w:kern w:val="0"/>
                <w:sz w:val="21"/>
                <w:szCs w:val="21"/>
                <w:highlight w:val="none"/>
                <w:lang w:bidi="ar"/>
              </w:rPr>
              <w:t>②提供在投标人单位近三个月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val="en-US" w:eastAsia="zh-CN" w:bidi="ar"/>
              </w:rPr>
              <w:t>2025年1月、2月、3月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bidi="ar"/>
              </w:rPr>
              <w:t>中任意一个月社保缴纳记录，否则不得分。</w:t>
            </w:r>
          </w:p>
        </w:tc>
        <w:tc>
          <w:tcPr>
            <w:tcW w:w="745" w:type="dxa"/>
            <w:tcBorders>
              <w:left w:val="single" w:color="auto" w:sz="4" w:space="0"/>
              <w:right w:val="single" w:color="auto" w:sz="4" w:space="0"/>
            </w:tcBorders>
            <w:noWrap w:val="0"/>
            <w:vAlign w:val="center"/>
          </w:tcPr>
          <w:p w14:paraId="6CF3AA3B">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1132" w:type="dxa"/>
            <w:vMerge w:val="continue"/>
            <w:tcBorders>
              <w:left w:val="single" w:color="auto" w:sz="4" w:space="0"/>
              <w:right w:val="single" w:color="auto" w:sz="4" w:space="0"/>
            </w:tcBorders>
            <w:noWrap w:val="0"/>
            <w:vAlign w:val="center"/>
          </w:tcPr>
          <w:p w14:paraId="2DB0598A">
            <w:pPr>
              <w:jc w:val="center"/>
              <w:rPr>
                <w:rFonts w:hint="eastAsia" w:ascii="仿宋" w:hAnsi="仿宋" w:eastAsia="仿宋" w:cs="仿宋"/>
                <w:color w:val="auto"/>
                <w:sz w:val="21"/>
                <w:szCs w:val="21"/>
              </w:rPr>
            </w:pPr>
          </w:p>
        </w:tc>
      </w:tr>
      <w:tr w14:paraId="6EEE7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6" w:hRule="atLeast"/>
          <w:jc w:val="center"/>
        </w:trPr>
        <w:tc>
          <w:tcPr>
            <w:tcW w:w="811" w:type="dxa"/>
            <w:vMerge w:val="continue"/>
            <w:tcBorders>
              <w:left w:val="single" w:color="auto" w:sz="4" w:space="0"/>
              <w:right w:val="single" w:color="auto" w:sz="4" w:space="0"/>
            </w:tcBorders>
            <w:noWrap w:val="0"/>
            <w:vAlign w:val="center"/>
          </w:tcPr>
          <w:p w14:paraId="391E1FC2">
            <w:pPr>
              <w:jc w:val="left"/>
              <w:rPr>
                <w:rFonts w:hint="eastAsia" w:ascii="仿宋" w:hAnsi="仿宋" w:eastAsia="仿宋" w:cs="仿宋"/>
                <w:color w:val="auto"/>
                <w:sz w:val="21"/>
                <w:szCs w:val="21"/>
              </w:rPr>
            </w:pPr>
          </w:p>
        </w:tc>
        <w:tc>
          <w:tcPr>
            <w:tcW w:w="438" w:type="dxa"/>
            <w:tcBorders>
              <w:left w:val="single" w:color="auto" w:sz="4" w:space="0"/>
              <w:right w:val="single" w:color="auto" w:sz="4" w:space="0"/>
            </w:tcBorders>
            <w:noWrap w:val="0"/>
            <w:vAlign w:val="center"/>
          </w:tcPr>
          <w:p w14:paraId="0BCDA5E6">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7139" w:type="dxa"/>
            <w:tcBorders>
              <w:left w:val="single" w:color="auto" w:sz="4" w:space="0"/>
              <w:right w:val="single" w:color="auto" w:sz="4" w:space="0"/>
            </w:tcBorders>
            <w:noWrap w:val="0"/>
            <w:vAlign w:val="center"/>
          </w:tcPr>
          <w:p w14:paraId="068F9D06">
            <w:pPr>
              <w:widowControl/>
              <w:numPr>
                <w:ilvl w:val="0"/>
                <w:numId w:val="0"/>
              </w:numPr>
              <w:ind w:leftChars="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保洁主管：</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（1）截止投标截止时间年龄4</w:t>
            </w:r>
            <w:r>
              <w:rPr>
                <w:rFonts w:hint="eastAsia" w:ascii="仿宋" w:hAnsi="仿宋" w:eastAsia="仿宋" w:cs="仿宋"/>
                <w:color w:val="auto"/>
                <w:kern w:val="0"/>
                <w:sz w:val="21"/>
                <w:szCs w:val="21"/>
                <w:highlight w:val="none"/>
                <w:lang w:val="en-US" w:eastAsia="zh-CN" w:bidi="ar"/>
              </w:rPr>
              <w:t>5</w:t>
            </w:r>
            <w:r>
              <w:rPr>
                <w:rFonts w:hint="eastAsia" w:ascii="仿宋" w:hAnsi="仿宋" w:eastAsia="仿宋" w:cs="仿宋"/>
                <w:color w:val="auto"/>
                <w:kern w:val="0"/>
                <w:sz w:val="21"/>
                <w:szCs w:val="21"/>
                <w:highlight w:val="none"/>
                <w:lang w:bidi="ar"/>
              </w:rPr>
              <w:t>周岁（含）以下，具有</w:t>
            </w:r>
            <w:r>
              <w:rPr>
                <w:rFonts w:hint="eastAsia" w:ascii="仿宋" w:hAnsi="仿宋" w:eastAsia="仿宋" w:cs="仿宋"/>
                <w:color w:val="auto"/>
                <w:kern w:val="0"/>
                <w:sz w:val="21"/>
                <w:szCs w:val="21"/>
                <w:highlight w:val="none"/>
                <w:lang w:eastAsia="zh-CN" w:bidi="ar"/>
              </w:rPr>
              <w:t>专科及以上学历，得</w:t>
            </w:r>
            <w:r>
              <w:rPr>
                <w:rFonts w:hint="eastAsia" w:ascii="仿宋" w:hAnsi="仿宋" w:eastAsia="仿宋" w:cs="仿宋"/>
                <w:color w:val="auto"/>
                <w:kern w:val="0"/>
                <w:sz w:val="21"/>
                <w:szCs w:val="21"/>
                <w:highlight w:val="none"/>
                <w:lang w:val="en-US" w:eastAsia="zh-CN" w:bidi="ar"/>
              </w:rPr>
              <w:t>1分</w:t>
            </w:r>
            <w:r>
              <w:rPr>
                <w:rFonts w:hint="eastAsia" w:ascii="仿宋" w:hAnsi="仿宋" w:eastAsia="仿宋" w:cs="仿宋"/>
                <w:color w:val="auto"/>
                <w:kern w:val="0"/>
                <w:sz w:val="21"/>
                <w:szCs w:val="21"/>
                <w:highlight w:val="none"/>
                <w:lang w:bidi="ar"/>
              </w:rPr>
              <w:t>；</w:t>
            </w:r>
          </w:p>
          <w:p w14:paraId="5D63F62F">
            <w:pPr>
              <w:widowControl/>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（2）具有高级</w:t>
            </w:r>
            <w:r>
              <w:rPr>
                <w:rFonts w:hint="eastAsia" w:ascii="仿宋" w:hAnsi="仿宋" w:eastAsia="仿宋" w:cs="仿宋"/>
                <w:color w:val="auto"/>
                <w:kern w:val="0"/>
                <w:sz w:val="21"/>
                <w:szCs w:val="21"/>
                <w:highlight w:val="none"/>
                <w:lang w:eastAsia="zh-CN" w:bidi="ar"/>
              </w:rPr>
              <w:t>保洁员证</w:t>
            </w:r>
            <w:r>
              <w:rPr>
                <w:rFonts w:hint="eastAsia" w:ascii="仿宋" w:hAnsi="仿宋" w:eastAsia="仿宋" w:cs="仿宋"/>
                <w:color w:val="auto"/>
                <w:kern w:val="0"/>
                <w:sz w:val="21"/>
                <w:szCs w:val="21"/>
                <w:highlight w:val="none"/>
                <w:lang w:bidi="ar"/>
              </w:rPr>
              <w:t>，得1分；</w:t>
            </w:r>
          </w:p>
          <w:p w14:paraId="11CC4D97">
            <w:pPr>
              <w:widowControl/>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（3）具有高级及以上垃圾分类工程师证，得1分；</w:t>
            </w:r>
          </w:p>
          <w:p w14:paraId="0087D359">
            <w:pPr>
              <w:widowControl/>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（4）具有3年及以上类似物业项目</w:t>
            </w:r>
            <w:r>
              <w:rPr>
                <w:rFonts w:hint="eastAsia" w:ascii="仿宋" w:hAnsi="仿宋" w:eastAsia="仿宋" w:cs="仿宋"/>
                <w:color w:val="auto"/>
                <w:kern w:val="0"/>
                <w:sz w:val="21"/>
                <w:szCs w:val="21"/>
                <w:highlight w:val="none"/>
                <w:lang w:eastAsia="zh-CN" w:bidi="ar"/>
              </w:rPr>
              <w:t>同类岗位</w:t>
            </w:r>
            <w:r>
              <w:rPr>
                <w:rFonts w:hint="eastAsia" w:ascii="仿宋" w:hAnsi="仿宋" w:eastAsia="仿宋" w:cs="仿宋"/>
                <w:color w:val="auto"/>
                <w:kern w:val="0"/>
                <w:sz w:val="21"/>
                <w:szCs w:val="21"/>
                <w:highlight w:val="none"/>
                <w:lang w:bidi="ar"/>
              </w:rPr>
              <w:t>工作经验，需提供业主证明复印件，得1分；</w:t>
            </w:r>
          </w:p>
          <w:p w14:paraId="29114595">
            <w:pPr>
              <w:widowControl/>
              <w:jc w:val="left"/>
              <w:textAlignment w:val="center"/>
              <w:rPr>
                <w:rFonts w:ascii="仿宋" w:hAnsi="仿宋" w:eastAsia="仿宋" w:cs="仿宋"/>
                <w:b/>
                <w:bCs/>
                <w:color w:val="auto"/>
                <w:kern w:val="0"/>
                <w:sz w:val="21"/>
                <w:szCs w:val="21"/>
                <w:highlight w:val="none"/>
                <w:lang w:bidi="ar"/>
              </w:rPr>
            </w:pPr>
            <w:r>
              <w:rPr>
                <w:rFonts w:hint="eastAsia" w:ascii="仿宋" w:hAnsi="仿宋" w:eastAsia="仿宋" w:cs="仿宋"/>
                <w:b/>
                <w:bCs/>
                <w:color w:val="auto"/>
                <w:kern w:val="0"/>
                <w:sz w:val="21"/>
                <w:szCs w:val="21"/>
                <w:highlight w:val="none"/>
                <w:lang w:bidi="ar"/>
              </w:rPr>
              <w:t>注: ①以上需提供相关证明文件；</w:t>
            </w:r>
          </w:p>
          <w:p w14:paraId="726B8D6E">
            <w:pPr>
              <w:rPr>
                <w:rFonts w:hint="eastAsia" w:ascii="仿宋" w:hAnsi="仿宋" w:eastAsia="仿宋" w:cs="仿宋"/>
                <w:b/>
                <w:bCs/>
                <w:color w:val="auto"/>
                <w:sz w:val="21"/>
                <w:szCs w:val="21"/>
                <w:lang w:val="en-US" w:eastAsia="zh-CN"/>
              </w:rPr>
            </w:pPr>
            <w:r>
              <w:rPr>
                <w:rFonts w:hint="eastAsia" w:ascii="仿宋" w:hAnsi="仿宋" w:eastAsia="仿宋" w:cs="仿宋"/>
                <w:b/>
                <w:bCs/>
                <w:color w:val="auto"/>
                <w:kern w:val="0"/>
                <w:sz w:val="21"/>
                <w:szCs w:val="21"/>
                <w:highlight w:val="none"/>
                <w:lang w:bidi="ar"/>
              </w:rPr>
              <w:t>②提供在投标人单位近三个月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val="en-US" w:eastAsia="zh-CN" w:bidi="ar"/>
              </w:rPr>
              <w:t>2025年1月、2月、3月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bidi="ar"/>
              </w:rPr>
              <w:t>中任意一个月社保缴纳记录，否则不得分。</w:t>
            </w:r>
          </w:p>
        </w:tc>
        <w:tc>
          <w:tcPr>
            <w:tcW w:w="745" w:type="dxa"/>
            <w:tcBorders>
              <w:left w:val="single" w:color="auto" w:sz="4" w:space="0"/>
              <w:right w:val="single" w:color="auto" w:sz="4" w:space="0"/>
            </w:tcBorders>
            <w:noWrap w:val="0"/>
            <w:vAlign w:val="center"/>
          </w:tcPr>
          <w:p w14:paraId="5C8B4AD1">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1132" w:type="dxa"/>
            <w:vMerge w:val="continue"/>
            <w:tcBorders>
              <w:left w:val="single" w:color="auto" w:sz="4" w:space="0"/>
              <w:right w:val="single" w:color="auto" w:sz="4" w:space="0"/>
            </w:tcBorders>
            <w:noWrap w:val="0"/>
            <w:vAlign w:val="center"/>
          </w:tcPr>
          <w:p w14:paraId="7F2B9A50">
            <w:pPr>
              <w:jc w:val="center"/>
              <w:rPr>
                <w:rFonts w:hint="eastAsia" w:ascii="仿宋" w:hAnsi="仿宋" w:eastAsia="仿宋" w:cs="仿宋"/>
                <w:color w:val="auto"/>
                <w:sz w:val="21"/>
                <w:szCs w:val="21"/>
              </w:rPr>
            </w:pPr>
          </w:p>
        </w:tc>
      </w:tr>
      <w:tr w14:paraId="09AF1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6" w:hRule="atLeast"/>
          <w:jc w:val="center"/>
        </w:trPr>
        <w:tc>
          <w:tcPr>
            <w:tcW w:w="811" w:type="dxa"/>
            <w:vMerge w:val="continue"/>
            <w:tcBorders>
              <w:left w:val="single" w:color="auto" w:sz="4" w:space="0"/>
              <w:right w:val="single" w:color="auto" w:sz="4" w:space="0"/>
            </w:tcBorders>
            <w:noWrap w:val="0"/>
            <w:vAlign w:val="center"/>
          </w:tcPr>
          <w:p w14:paraId="308674CA">
            <w:pPr>
              <w:jc w:val="left"/>
              <w:rPr>
                <w:rFonts w:hint="eastAsia" w:ascii="仿宋" w:hAnsi="仿宋" w:eastAsia="仿宋" w:cs="仿宋"/>
                <w:color w:val="auto"/>
                <w:sz w:val="21"/>
                <w:szCs w:val="21"/>
              </w:rPr>
            </w:pPr>
          </w:p>
        </w:tc>
        <w:tc>
          <w:tcPr>
            <w:tcW w:w="438" w:type="dxa"/>
            <w:tcBorders>
              <w:left w:val="single" w:color="auto" w:sz="4" w:space="0"/>
              <w:right w:val="single" w:color="auto" w:sz="4" w:space="0"/>
            </w:tcBorders>
            <w:noWrap w:val="0"/>
            <w:vAlign w:val="center"/>
          </w:tcPr>
          <w:p w14:paraId="3A90ABFF">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7139" w:type="dxa"/>
            <w:tcBorders>
              <w:left w:val="single" w:color="auto" w:sz="4" w:space="0"/>
              <w:right w:val="single" w:color="auto" w:sz="4" w:space="0"/>
            </w:tcBorders>
            <w:noWrap w:val="0"/>
            <w:vAlign w:val="center"/>
          </w:tcPr>
          <w:p w14:paraId="3F4FA03C">
            <w:pPr>
              <w:widowControl/>
              <w:numPr>
                <w:ilvl w:val="0"/>
                <w:numId w:val="0"/>
              </w:numPr>
              <w:ind w:leftChars="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安保主管：</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（1）截止投标截止时间年龄</w:t>
            </w:r>
            <w:r>
              <w:rPr>
                <w:rFonts w:hint="eastAsia" w:ascii="仿宋" w:hAnsi="仿宋" w:eastAsia="仿宋" w:cs="仿宋"/>
                <w:color w:val="auto"/>
                <w:kern w:val="0"/>
                <w:sz w:val="21"/>
                <w:szCs w:val="21"/>
                <w:highlight w:val="none"/>
                <w:lang w:val="en-US" w:eastAsia="zh-CN" w:bidi="ar"/>
              </w:rPr>
              <w:t>45</w:t>
            </w:r>
            <w:r>
              <w:rPr>
                <w:rFonts w:hint="eastAsia" w:ascii="仿宋" w:hAnsi="仿宋" w:eastAsia="仿宋" w:cs="仿宋"/>
                <w:color w:val="auto"/>
                <w:kern w:val="0"/>
                <w:sz w:val="21"/>
                <w:szCs w:val="21"/>
                <w:highlight w:val="none"/>
                <w:lang w:bidi="ar"/>
              </w:rPr>
              <w:t>周岁（含）以下，具有</w:t>
            </w:r>
            <w:r>
              <w:rPr>
                <w:rFonts w:hint="eastAsia" w:ascii="仿宋" w:hAnsi="仿宋" w:eastAsia="仿宋" w:cs="仿宋"/>
                <w:color w:val="auto"/>
                <w:kern w:val="0"/>
                <w:sz w:val="21"/>
                <w:szCs w:val="21"/>
                <w:highlight w:val="none"/>
                <w:lang w:eastAsia="zh-CN" w:bidi="ar"/>
              </w:rPr>
              <w:t>专科及以上学历，得</w:t>
            </w:r>
            <w:r>
              <w:rPr>
                <w:rFonts w:hint="eastAsia" w:ascii="仿宋" w:hAnsi="仿宋" w:eastAsia="仿宋" w:cs="仿宋"/>
                <w:color w:val="auto"/>
                <w:kern w:val="0"/>
                <w:sz w:val="21"/>
                <w:szCs w:val="21"/>
                <w:highlight w:val="none"/>
                <w:lang w:val="en-US" w:eastAsia="zh-CN" w:bidi="ar"/>
              </w:rPr>
              <w:t>1分</w:t>
            </w:r>
            <w:r>
              <w:rPr>
                <w:rFonts w:hint="eastAsia" w:ascii="仿宋" w:hAnsi="仿宋" w:eastAsia="仿宋" w:cs="仿宋"/>
                <w:color w:val="auto"/>
                <w:kern w:val="0"/>
                <w:sz w:val="21"/>
                <w:szCs w:val="21"/>
                <w:highlight w:val="none"/>
                <w:lang w:bidi="ar"/>
              </w:rPr>
              <w:t>；</w:t>
            </w:r>
          </w:p>
          <w:p w14:paraId="2E2EF70B">
            <w:pPr>
              <w:widowControl/>
              <w:jc w:val="left"/>
              <w:textAlignment w:val="center"/>
              <w:rPr>
                <w:rFonts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（2）具有国家职业资格三级及以上保安员（高级保安员），得1分；</w:t>
            </w:r>
          </w:p>
          <w:p w14:paraId="47D753B2">
            <w:pPr>
              <w:widowControl/>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（3）</w:t>
            </w:r>
            <w:r>
              <w:rPr>
                <w:rFonts w:hint="eastAsia" w:ascii="仿宋" w:hAnsi="仿宋" w:eastAsia="仿宋" w:cs="仿宋"/>
                <w:color w:val="auto"/>
                <w:kern w:val="0"/>
                <w:sz w:val="21"/>
                <w:szCs w:val="21"/>
                <w:highlight w:val="none"/>
                <w:lang w:eastAsia="zh-CN" w:bidi="ar"/>
              </w:rPr>
              <w:t>具有</w:t>
            </w:r>
            <w:r>
              <w:rPr>
                <w:rFonts w:hint="eastAsia" w:ascii="仿宋" w:hAnsi="仿宋" w:eastAsia="仿宋" w:cs="仿宋"/>
                <w:color w:val="auto"/>
                <w:kern w:val="0"/>
                <w:sz w:val="21"/>
                <w:szCs w:val="21"/>
                <w:highlight w:val="none"/>
                <w:lang w:bidi="ar"/>
              </w:rPr>
              <w:t>四级/中级及以上消防设施操作员或四级/中级及以上建（构）筑物消防员证，得1分；</w:t>
            </w:r>
          </w:p>
          <w:p w14:paraId="2A03E7B8">
            <w:pPr>
              <w:widowControl/>
              <w:jc w:val="left"/>
              <w:textAlignment w:val="center"/>
              <w:rPr>
                <w:rFonts w:ascii="仿宋" w:hAnsi="仿宋" w:eastAsia="仿宋" w:cs="仿宋"/>
                <w:b/>
                <w:bCs/>
                <w:color w:val="auto"/>
                <w:kern w:val="0"/>
                <w:sz w:val="21"/>
                <w:szCs w:val="21"/>
                <w:highlight w:val="none"/>
                <w:lang w:bidi="ar"/>
              </w:rPr>
            </w:pPr>
            <w:r>
              <w:rPr>
                <w:rFonts w:hint="eastAsia" w:ascii="仿宋" w:hAnsi="仿宋" w:eastAsia="仿宋" w:cs="仿宋"/>
                <w:color w:val="auto"/>
                <w:kern w:val="0"/>
                <w:sz w:val="21"/>
                <w:szCs w:val="21"/>
                <w:highlight w:val="none"/>
                <w:lang w:bidi="ar"/>
              </w:rPr>
              <w:t>（4）具有退伍证，得</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（5）具有3年及以上类似物业项目</w:t>
            </w:r>
            <w:r>
              <w:rPr>
                <w:rFonts w:hint="eastAsia" w:ascii="仿宋" w:hAnsi="仿宋" w:eastAsia="仿宋" w:cs="仿宋"/>
                <w:color w:val="auto"/>
                <w:kern w:val="0"/>
                <w:sz w:val="21"/>
                <w:szCs w:val="21"/>
                <w:highlight w:val="none"/>
                <w:lang w:eastAsia="zh-CN" w:bidi="ar"/>
              </w:rPr>
              <w:t>同类岗位</w:t>
            </w:r>
            <w:r>
              <w:rPr>
                <w:rFonts w:hint="eastAsia" w:ascii="仿宋" w:hAnsi="仿宋" w:eastAsia="仿宋" w:cs="仿宋"/>
                <w:color w:val="auto"/>
                <w:kern w:val="0"/>
                <w:sz w:val="21"/>
                <w:szCs w:val="21"/>
                <w:highlight w:val="none"/>
                <w:lang w:bidi="ar"/>
              </w:rPr>
              <w:t>工作经验，需提供业主证明材料复印件，得1分。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b/>
                <w:bCs/>
                <w:color w:val="auto"/>
                <w:kern w:val="0"/>
                <w:sz w:val="21"/>
                <w:szCs w:val="21"/>
                <w:highlight w:val="none"/>
                <w:lang w:bidi="ar"/>
              </w:rPr>
              <w:t>注: ①以上需提供相关证明文件；</w:t>
            </w:r>
          </w:p>
          <w:p w14:paraId="1E08EBA7">
            <w:pPr>
              <w:rPr>
                <w:rFonts w:hint="eastAsia" w:ascii="仿宋" w:hAnsi="仿宋" w:eastAsia="仿宋" w:cs="仿宋"/>
                <w:color w:val="auto"/>
                <w:kern w:val="0"/>
                <w:sz w:val="21"/>
                <w:szCs w:val="21"/>
                <w:highlight w:val="none"/>
                <w:lang w:bidi="ar"/>
              </w:rPr>
            </w:pPr>
            <w:r>
              <w:rPr>
                <w:rFonts w:hint="eastAsia" w:ascii="仿宋" w:hAnsi="仿宋" w:eastAsia="仿宋" w:cs="仿宋"/>
                <w:b/>
                <w:bCs/>
                <w:color w:val="auto"/>
                <w:kern w:val="0"/>
                <w:sz w:val="21"/>
                <w:szCs w:val="21"/>
                <w:highlight w:val="none"/>
                <w:lang w:bidi="ar"/>
              </w:rPr>
              <w:t>②提供在投标人单位近三个月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val="en-US" w:eastAsia="zh-CN" w:bidi="ar"/>
              </w:rPr>
              <w:t>2025年1月、2月、3月</w:t>
            </w:r>
            <w:r>
              <w:rPr>
                <w:rFonts w:hint="eastAsia" w:ascii="仿宋" w:hAnsi="仿宋" w:eastAsia="仿宋" w:cs="仿宋"/>
                <w:b/>
                <w:bCs/>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bidi="ar"/>
              </w:rPr>
              <w:t>中任意一个月社保缴纳记录，否则不得分。</w:t>
            </w:r>
          </w:p>
        </w:tc>
        <w:tc>
          <w:tcPr>
            <w:tcW w:w="745" w:type="dxa"/>
            <w:tcBorders>
              <w:left w:val="single" w:color="auto" w:sz="4" w:space="0"/>
              <w:right w:val="single" w:color="auto" w:sz="4" w:space="0"/>
            </w:tcBorders>
            <w:noWrap w:val="0"/>
            <w:vAlign w:val="center"/>
          </w:tcPr>
          <w:p w14:paraId="1AF720DA">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1132" w:type="dxa"/>
            <w:vMerge w:val="continue"/>
            <w:tcBorders>
              <w:left w:val="single" w:color="auto" w:sz="4" w:space="0"/>
              <w:right w:val="single" w:color="auto" w:sz="4" w:space="0"/>
            </w:tcBorders>
            <w:noWrap w:val="0"/>
            <w:vAlign w:val="center"/>
          </w:tcPr>
          <w:p w14:paraId="7BD5792C">
            <w:pPr>
              <w:jc w:val="center"/>
              <w:rPr>
                <w:rFonts w:hint="eastAsia" w:ascii="仿宋" w:hAnsi="仿宋" w:eastAsia="仿宋" w:cs="仿宋"/>
                <w:color w:val="auto"/>
                <w:sz w:val="21"/>
                <w:szCs w:val="21"/>
              </w:rPr>
            </w:pPr>
          </w:p>
        </w:tc>
      </w:tr>
      <w:tr w14:paraId="43620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811" w:type="dxa"/>
            <w:vMerge w:val="restart"/>
            <w:tcBorders>
              <w:left w:val="single" w:color="auto" w:sz="4" w:space="0"/>
              <w:right w:val="single" w:color="auto" w:sz="4" w:space="0"/>
            </w:tcBorders>
            <w:noWrap w:val="0"/>
            <w:vAlign w:val="center"/>
          </w:tcPr>
          <w:p w14:paraId="2891EF56">
            <w:pPr>
              <w:jc w:val="center"/>
              <w:rPr>
                <w:rFonts w:hint="eastAsia" w:ascii="仿宋" w:hAnsi="仿宋" w:eastAsia="仿宋" w:cs="仿宋"/>
                <w:color w:val="auto"/>
                <w:sz w:val="21"/>
                <w:szCs w:val="21"/>
              </w:rPr>
            </w:pPr>
            <w:r>
              <w:rPr>
                <w:rFonts w:hint="eastAsia" w:ascii="仿宋" w:hAnsi="仿宋" w:eastAsia="仿宋" w:cs="仿宋"/>
                <w:color w:val="auto"/>
                <w:sz w:val="21"/>
                <w:szCs w:val="21"/>
              </w:rPr>
              <w:t>技术部分（</w:t>
            </w:r>
            <w:r>
              <w:rPr>
                <w:rFonts w:hint="eastAsia" w:ascii="仿宋" w:hAnsi="仿宋" w:eastAsia="仿宋" w:cs="仿宋"/>
                <w:color w:val="auto"/>
                <w:sz w:val="21"/>
                <w:szCs w:val="21"/>
                <w:lang w:val="en-US" w:eastAsia="zh-CN"/>
              </w:rPr>
              <w:t>57</w:t>
            </w:r>
            <w:r>
              <w:rPr>
                <w:rFonts w:hint="eastAsia" w:ascii="仿宋" w:hAnsi="仿宋" w:eastAsia="仿宋" w:cs="仿宋"/>
                <w:color w:val="auto"/>
                <w:sz w:val="21"/>
                <w:szCs w:val="21"/>
              </w:rPr>
              <w:t>分）</w:t>
            </w:r>
          </w:p>
        </w:tc>
        <w:tc>
          <w:tcPr>
            <w:tcW w:w="438" w:type="dxa"/>
            <w:tcBorders>
              <w:left w:val="single" w:color="auto" w:sz="4" w:space="0"/>
              <w:right w:val="single" w:color="auto" w:sz="4" w:space="0"/>
            </w:tcBorders>
            <w:noWrap w:val="0"/>
            <w:vAlign w:val="center"/>
          </w:tcPr>
          <w:p w14:paraId="50217268">
            <w:pPr>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7139" w:type="dxa"/>
            <w:tcBorders>
              <w:left w:val="single" w:color="auto" w:sz="4" w:space="0"/>
              <w:right w:val="single" w:color="auto" w:sz="4" w:space="0"/>
            </w:tcBorders>
            <w:noWrap w:val="0"/>
            <w:vAlign w:val="center"/>
          </w:tcPr>
          <w:p w14:paraId="7EBBE522">
            <w:pPr>
              <w:rPr>
                <w:rFonts w:hint="eastAsia"/>
                <w:color w:val="auto"/>
                <w:sz w:val="21"/>
                <w:szCs w:val="21"/>
              </w:rPr>
            </w:pPr>
            <w:r>
              <w:rPr>
                <w:rFonts w:hint="eastAsia" w:ascii="仿宋" w:hAnsi="仿宋" w:eastAsia="仿宋" w:cs="仿宋"/>
                <w:color w:val="auto"/>
                <w:kern w:val="0"/>
                <w:sz w:val="21"/>
                <w:szCs w:val="21"/>
                <w:highlight w:val="none"/>
                <w:lang w:bidi="ar"/>
              </w:rPr>
              <w:t>根据项目服务特点，投标人对本项目制定的项目总体方案，包括投标人对项目需求的理解、存在问题、重点、难点的调查分析，是否提出管理服务的创新思路和合理化建议等情况评分。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深入了解本项目需求，制定的总体方案逻辑清晰、内容完整、对所存在问题有详细阐述，并提出有操作性的合理化解决方案，对管理服务提出有针对性的，切实可行的方案。得</w:t>
            </w:r>
            <w:r>
              <w:rPr>
                <w:rFonts w:hint="eastAsia" w:ascii="仿宋" w:hAnsi="仿宋" w:eastAsia="仿宋" w:cs="仿宋"/>
                <w:color w:val="auto"/>
                <w:kern w:val="0"/>
                <w:sz w:val="21"/>
                <w:szCs w:val="21"/>
                <w:highlight w:val="none"/>
                <w:lang w:val="en-US" w:eastAsia="zh-CN" w:bidi="ar"/>
              </w:rPr>
              <w:t>4.1-6</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对本项目需求有一定了解，制定的总体方案逻辑基本清晰、内容基本完整，但对存在问题未归纳重难点，解决方案未一一对应的，针对性不强的。得</w:t>
            </w:r>
            <w:r>
              <w:rPr>
                <w:rFonts w:hint="eastAsia" w:ascii="仿宋" w:hAnsi="仿宋" w:eastAsia="仿宋" w:cs="仿宋"/>
                <w:color w:val="auto"/>
                <w:kern w:val="0"/>
                <w:sz w:val="21"/>
                <w:szCs w:val="21"/>
                <w:highlight w:val="none"/>
                <w:lang w:val="en-US" w:eastAsia="zh-CN" w:bidi="ar"/>
              </w:rPr>
              <w:t>2.1-4</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未对项目需求、存在问题进行调查分析，制定的总体方案逻辑不清晰、内容不完整，照搬或凭空其他没有针对性项目的方案的，得</w:t>
            </w:r>
            <w:r>
              <w:rPr>
                <w:rFonts w:hint="eastAsia" w:ascii="仿宋" w:hAnsi="仿宋" w:eastAsia="仿宋" w:cs="仿宋"/>
                <w:color w:val="auto"/>
                <w:kern w:val="0"/>
                <w:sz w:val="21"/>
                <w:szCs w:val="21"/>
                <w:highlight w:val="none"/>
                <w:lang w:val="en-US" w:eastAsia="zh-CN" w:bidi="ar"/>
              </w:rPr>
              <w:t>0.1-2</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未提及此项不得分。</w:t>
            </w:r>
          </w:p>
        </w:tc>
        <w:tc>
          <w:tcPr>
            <w:tcW w:w="745" w:type="dxa"/>
            <w:tcBorders>
              <w:left w:val="single" w:color="auto" w:sz="4" w:space="0"/>
              <w:right w:val="single" w:color="auto" w:sz="4" w:space="0"/>
            </w:tcBorders>
            <w:noWrap w:val="0"/>
            <w:vAlign w:val="center"/>
          </w:tcPr>
          <w:p w14:paraId="5EFEE95B">
            <w:pPr>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1132" w:type="dxa"/>
            <w:tcBorders>
              <w:left w:val="single" w:color="auto" w:sz="4" w:space="0"/>
              <w:right w:val="single" w:color="auto" w:sz="4" w:space="0"/>
            </w:tcBorders>
            <w:noWrap w:val="0"/>
            <w:vAlign w:val="center"/>
          </w:tcPr>
          <w:p w14:paraId="4D4DAC45">
            <w:pP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项目</w:t>
            </w:r>
            <w:r>
              <w:rPr>
                <w:rFonts w:hint="eastAsia" w:ascii="仿宋" w:hAnsi="仿宋" w:eastAsia="仿宋" w:cs="仿宋"/>
                <w:color w:val="auto"/>
                <w:sz w:val="21"/>
                <w:szCs w:val="21"/>
              </w:rPr>
              <w:t>总体方案</w:t>
            </w:r>
          </w:p>
          <w:p w14:paraId="1D3FCDF5">
            <w:pPr>
              <w:rPr>
                <w:rFonts w:hint="eastAsia" w:ascii="仿宋" w:hAnsi="仿宋" w:eastAsia="仿宋" w:cs="仿宋"/>
                <w:color w:val="auto"/>
                <w:sz w:val="21"/>
                <w:szCs w:val="21"/>
              </w:rPr>
            </w:pPr>
          </w:p>
        </w:tc>
      </w:tr>
      <w:tr w14:paraId="21ACF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811" w:type="dxa"/>
            <w:vMerge w:val="continue"/>
            <w:tcBorders>
              <w:left w:val="single" w:color="auto" w:sz="4" w:space="0"/>
              <w:right w:val="single" w:color="auto" w:sz="4" w:space="0"/>
            </w:tcBorders>
            <w:noWrap w:val="0"/>
            <w:vAlign w:val="center"/>
          </w:tcPr>
          <w:p w14:paraId="4E4BCF71">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7C2013C7">
            <w:pPr>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9</w:t>
            </w:r>
          </w:p>
        </w:tc>
        <w:tc>
          <w:tcPr>
            <w:tcW w:w="7139" w:type="dxa"/>
            <w:tcBorders>
              <w:left w:val="single" w:color="auto" w:sz="4" w:space="0"/>
              <w:right w:val="single" w:color="auto" w:sz="4" w:space="0"/>
            </w:tcBorders>
            <w:noWrap w:val="0"/>
            <w:vAlign w:val="center"/>
          </w:tcPr>
          <w:p w14:paraId="38E4A542">
            <w:pPr>
              <w:widowControl/>
              <w:jc w:val="left"/>
              <w:textAlignment w:val="center"/>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lang w:bidi="ar"/>
              </w:rPr>
              <w:t>针对本项目有比较完善的组织架构及管理制度，清晰简练地列出主要管理流程，包括运作流程图、激励机制、监督机制、自我约束机制、信息反馈渠道及处理机制</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完全符合采购人要求得</w:t>
            </w:r>
            <w:r>
              <w:rPr>
                <w:rFonts w:hint="eastAsia" w:ascii="仿宋" w:hAnsi="仿宋" w:eastAsia="仿宋" w:cs="仿宋"/>
                <w:color w:val="auto"/>
                <w:kern w:val="0"/>
                <w:sz w:val="21"/>
                <w:szCs w:val="21"/>
                <w:highlight w:val="none"/>
                <w:lang w:val="en-US" w:eastAsia="zh-CN" w:bidi="ar"/>
              </w:rPr>
              <w:t>3.1-5</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eastAsia="zh-CN" w:bidi="ar"/>
              </w:rPr>
              <w:t>；</w:t>
            </w:r>
          </w:p>
          <w:p w14:paraId="4E0AAE9C">
            <w:pPr>
              <w:widowControl/>
              <w:jc w:val="left"/>
              <w:textAlignment w:val="center"/>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lang w:bidi="ar"/>
              </w:rPr>
              <w:t>部分符合得</w:t>
            </w:r>
            <w:r>
              <w:rPr>
                <w:rFonts w:hint="eastAsia" w:ascii="仿宋" w:hAnsi="仿宋" w:eastAsia="仿宋" w:cs="仿宋"/>
                <w:color w:val="auto"/>
                <w:kern w:val="0"/>
                <w:sz w:val="21"/>
                <w:szCs w:val="21"/>
                <w:highlight w:val="none"/>
                <w:lang w:val="en-US" w:eastAsia="zh-CN" w:bidi="ar"/>
              </w:rPr>
              <w:t>0.1-3</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eastAsia="zh-CN" w:bidi="ar"/>
              </w:rPr>
              <w:t>；</w:t>
            </w:r>
          </w:p>
          <w:p w14:paraId="67A97AAD">
            <w:pP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不符合不得分。</w:t>
            </w:r>
          </w:p>
        </w:tc>
        <w:tc>
          <w:tcPr>
            <w:tcW w:w="745" w:type="dxa"/>
            <w:tcBorders>
              <w:left w:val="single" w:color="auto" w:sz="4" w:space="0"/>
              <w:right w:val="single" w:color="auto" w:sz="4" w:space="0"/>
            </w:tcBorders>
            <w:noWrap w:val="0"/>
            <w:vAlign w:val="center"/>
          </w:tcPr>
          <w:p w14:paraId="741B60F1">
            <w:pPr>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5</w:t>
            </w:r>
          </w:p>
        </w:tc>
        <w:tc>
          <w:tcPr>
            <w:tcW w:w="1132" w:type="dxa"/>
            <w:tcBorders>
              <w:top w:val="single" w:color="auto" w:sz="4" w:space="0"/>
              <w:left w:val="single" w:color="auto" w:sz="4" w:space="0"/>
              <w:right w:val="single" w:color="auto" w:sz="4" w:space="0"/>
            </w:tcBorders>
            <w:noWrap w:val="0"/>
            <w:vAlign w:val="center"/>
          </w:tcPr>
          <w:p w14:paraId="0F39BA90">
            <w:pPr>
              <w:rPr>
                <w:rFonts w:hint="eastAsia" w:ascii="仿宋" w:hAnsi="仿宋" w:eastAsia="仿宋" w:cs="仿宋"/>
                <w:color w:val="auto"/>
                <w:sz w:val="21"/>
                <w:szCs w:val="21"/>
              </w:rPr>
            </w:pPr>
            <w:r>
              <w:rPr>
                <w:rFonts w:hint="eastAsia" w:ascii="仿宋" w:hAnsi="仿宋" w:eastAsia="仿宋" w:cs="仿宋"/>
                <w:color w:val="auto"/>
                <w:sz w:val="21"/>
                <w:szCs w:val="21"/>
              </w:rPr>
              <w:t>管理方案</w:t>
            </w:r>
          </w:p>
          <w:p w14:paraId="4BA33A27">
            <w:pPr>
              <w:rPr>
                <w:rFonts w:hint="eastAsia" w:ascii="仿宋" w:hAnsi="仿宋" w:eastAsia="仿宋" w:cs="仿宋"/>
                <w:color w:val="auto"/>
                <w:sz w:val="21"/>
                <w:szCs w:val="21"/>
              </w:rPr>
            </w:pPr>
          </w:p>
        </w:tc>
      </w:tr>
      <w:tr w14:paraId="383D3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jc w:val="center"/>
        </w:trPr>
        <w:tc>
          <w:tcPr>
            <w:tcW w:w="811" w:type="dxa"/>
            <w:vMerge w:val="continue"/>
            <w:tcBorders>
              <w:left w:val="single" w:color="auto" w:sz="4" w:space="0"/>
              <w:right w:val="single" w:color="auto" w:sz="4" w:space="0"/>
            </w:tcBorders>
            <w:noWrap w:val="0"/>
            <w:vAlign w:val="center"/>
          </w:tcPr>
          <w:p w14:paraId="1DD971A9">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562F5F42">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w:t>
            </w:r>
          </w:p>
        </w:tc>
        <w:tc>
          <w:tcPr>
            <w:tcW w:w="7139" w:type="dxa"/>
            <w:tcBorders>
              <w:left w:val="single" w:color="auto" w:sz="4" w:space="0"/>
              <w:right w:val="single" w:color="auto" w:sz="4" w:space="0"/>
            </w:tcBorders>
            <w:noWrap w:val="0"/>
            <w:vAlign w:val="center"/>
          </w:tcPr>
          <w:p w14:paraId="31AEC754">
            <w:pP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物业管理区域保洁服务方案：</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方案详实、内容完整、操作性</w:t>
            </w:r>
            <w:r>
              <w:rPr>
                <w:rFonts w:hint="eastAsia" w:ascii="仿宋" w:hAnsi="仿宋" w:eastAsia="仿宋" w:cs="仿宋"/>
                <w:color w:val="auto"/>
                <w:kern w:val="0"/>
                <w:sz w:val="21"/>
                <w:szCs w:val="21"/>
                <w:highlight w:val="none"/>
                <w:lang w:eastAsia="zh-CN" w:bidi="ar"/>
              </w:rPr>
              <w:t>针对性</w:t>
            </w:r>
            <w:r>
              <w:rPr>
                <w:rFonts w:hint="eastAsia" w:ascii="仿宋" w:hAnsi="仿宋" w:eastAsia="仿宋" w:cs="仿宋"/>
                <w:color w:val="auto"/>
                <w:kern w:val="0"/>
                <w:sz w:val="21"/>
                <w:szCs w:val="21"/>
                <w:highlight w:val="none"/>
                <w:lang w:bidi="ar"/>
              </w:rPr>
              <w:t>强的给</w:t>
            </w:r>
            <w:r>
              <w:rPr>
                <w:rFonts w:hint="eastAsia" w:ascii="仿宋" w:hAnsi="仿宋" w:eastAsia="仿宋" w:cs="仿宋"/>
                <w:color w:val="auto"/>
                <w:kern w:val="0"/>
                <w:sz w:val="21"/>
                <w:szCs w:val="21"/>
                <w:highlight w:val="none"/>
                <w:lang w:val="en-US" w:eastAsia="zh-CN" w:bidi="ar"/>
              </w:rPr>
              <w:t>5.1-7</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方案合理、内容常规、操作</w:t>
            </w:r>
            <w:r>
              <w:rPr>
                <w:rFonts w:hint="eastAsia" w:ascii="仿宋" w:hAnsi="仿宋" w:eastAsia="仿宋" w:cs="仿宋"/>
                <w:color w:val="auto"/>
                <w:kern w:val="0"/>
                <w:sz w:val="21"/>
                <w:szCs w:val="21"/>
                <w:highlight w:val="none"/>
                <w:lang w:eastAsia="zh-CN" w:bidi="ar"/>
              </w:rPr>
              <w:t>性针对性一般</w:t>
            </w:r>
            <w:r>
              <w:rPr>
                <w:rFonts w:hint="eastAsia" w:ascii="仿宋" w:hAnsi="仿宋" w:eastAsia="仿宋" w:cs="仿宋"/>
                <w:color w:val="auto"/>
                <w:kern w:val="0"/>
                <w:sz w:val="21"/>
                <w:szCs w:val="21"/>
                <w:highlight w:val="none"/>
                <w:lang w:bidi="ar"/>
              </w:rPr>
              <w:t>的给</w:t>
            </w:r>
            <w:r>
              <w:rPr>
                <w:rFonts w:hint="eastAsia" w:ascii="仿宋" w:hAnsi="仿宋" w:eastAsia="仿宋" w:cs="仿宋"/>
                <w:color w:val="auto"/>
                <w:kern w:val="0"/>
                <w:sz w:val="21"/>
                <w:szCs w:val="21"/>
                <w:highlight w:val="none"/>
                <w:lang w:val="en-US" w:eastAsia="zh-CN" w:bidi="ar"/>
              </w:rPr>
              <w:t>2.1-5</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方案粗糙、内容缺漏、操作性</w:t>
            </w:r>
            <w:r>
              <w:rPr>
                <w:rFonts w:hint="eastAsia" w:ascii="仿宋" w:hAnsi="仿宋" w:eastAsia="仿宋" w:cs="仿宋"/>
                <w:color w:val="auto"/>
                <w:kern w:val="0"/>
                <w:sz w:val="21"/>
                <w:szCs w:val="21"/>
                <w:highlight w:val="none"/>
                <w:lang w:eastAsia="zh-CN" w:bidi="ar"/>
              </w:rPr>
              <w:t>针对性</w:t>
            </w:r>
            <w:r>
              <w:rPr>
                <w:rFonts w:hint="eastAsia" w:ascii="仿宋" w:hAnsi="仿宋" w:eastAsia="仿宋" w:cs="仿宋"/>
                <w:color w:val="auto"/>
                <w:kern w:val="0"/>
                <w:sz w:val="21"/>
                <w:szCs w:val="21"/>
                <w:highlight w:val="none"/>
                <w:lang w:bidi="ar"/>
              </w:rPr>
              <w:t>差的给</w:t>
            </w:r>
            <w:r>
              <w:rPr>
                <w:rFonts w:hint="eastAsia" w:ascii="仿宋" w:hAnsi="仿宋" w:eastAsia="仿宋" w:cs="仿宋"/>
                <w:color w:val="auto"/>
                <w:kern w:val="0"/>
                <w:sz w:val="21"/>
                <w:szCs w:val="21"/>
                <w:highlight w:val="none"/>
                <w:lang w:val="en-US" w:eastAsia="zh-CN" w:bidi="ar"/>
              </w:rPr>
              <w:t>0-2</w:t>
            </w:r>
            <w:r>
              <w:rPr>
                <w:rFonts w:hint="eastAsia" w:ascii="仿宋" w:hAnsi="仿宋" w:eastAsia="仿宋" w:cs="仿宋"/>
                <w:color w:val="auto"/>
                <w:kern w:val="0"/>
                <w:sz w:val="21"/>
                <w:szCs w:val="21"/>
                <w:highlight w:val="none"/>
                <w:lang w:bidi="ar"/>
              </w:rPr>
              <w:t>分。</w:t>
            </w:r>
          </w:p>
        </w:tc>
        <w:tc>
          <w:tcPr>
            <w:tcW w:w="745" w:type="dxa"/>
            <w:tcBorders>
              <w:left w:val="single" w:color="auto" w:sz="4" w:space="0"/>
              <w:right w:val="single" w:color="auto" w:sz="4" w:space="0"/>
            </w:tcBorders>
            <w:noWrap w:val="0"/>
            <w:vAlign w:val="center"/>
          </w:tcPr>
          <w:p w14:paraId="1291AC42">
            <w:pPr>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p>
        </w:tc>
        <w:tc>
          <w:tcPr>
            <w:tcW w:w="1132" w:type="dxa"/>
            <w:tcBorders>
              <w:top w:val="single" w:color="auto" w:sz="4" w:space="0"/>
              <w:left w:val="single" w:color="auto" w:sz="4" w:space="0"/>
              <w:right w:val="single" w:color="auto" w:sz="4" w:space="0"/>
            </w:tcBorders>
            <w:noWrap w:val="0"/>
            <w:vAlign w:val="center"/>
          </w:tcPr>
          <w:p w14:paraId="427C32FB">
            <w:pP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保洁服务方案</w:t>
            </w:r>
          </w:p>
        </w:tc>
      </w:tr>
      <w:tr w14:paraId="64FFC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jc w:val="center"/>
        </w:trPr>
        <w:tc>
          <w:tcPr>
            <w:tcW w:w="811" w:type="dxa"/>
            <w:vMerge w:val="continue"/>
            <w:tcBorders>
              <w:left w:val="single" w:color="auto" w:sz="4" w:space="0"/>
              <w:right w:val="single" w:color="auto" w:sz="4" w:space="0"/>
            </w:tcBorders>
            <w:noWrap w:val="0"/>
            <w:vAlign w:val="center"/>
          </w:tcPr>
          <w:p w14:paraId="7B90A729">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29721ADF">
            <w:pPr>
              <w:adjustRightInd w:val="0"/>
              <w:snapToGrid w:val="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11</w:t>
            </w:r>
          </w:p>
        </w:tc>
        <w:tc>
          <w:tcPr>
            <w:tcW w:w="7139" w:type="dxa"/>
            <w:tcBorders>
              <w:left w:val="single" w:color="auto" w:sz="4" w:space="0"/>
              <w:right w:val="single" w:color="auto" w:sz="4" w:space="0"/>
            </w:tcBorders>
            <w:noWrap w:val="0"/>
            <w:vAlign w:val="center"/>
          </w:tcPr>
          <w:p w14:paraId="03C7E498">
            <w:pP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物业管理区域安保消控服务方案：</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方案详实、内容完整、操作性</w:t>
            </w:r>
            <w:r>
              <w:rPr>
                <w:rFonts w:hint="eastAsia" w:ascii="仿宋" w:hAnsi="仿宋" w:eastAsia="仿宋" w:cs="仿宋"/>
                <w:color w:val="auto"/>
                <w:kern w:val="0"/>
                <w:sz w:val="21"/>
                <w:szCs w:val="21"/>
                <w:highlight w:val="none"/>
                <w:lang w:eastAsia="zh-CN" w:bidi="ar"/>
              </w:rPr>
              <w:t>针对性</w:t>
            </w:r>
            <w:r>
              <w:rPr>
                <w:rFonts w:hint="eastAsia" w:ascii="仿宋" w:hAnsi="仿宋" w:eastAsia="仿宋" w:cs="仿宋"/>
                <w:color w:val="auto"/>
                <w:kern w:val="0"/>
                <w:sz w:val="21"/>
                <w:szCs w:val="21"/>
                <w:highlight w:val="none"/>
                <w:lang w:bidi="ar"/>
              </w:rPr>
              <w:t>强的给</w:t>
            </w:r>
            <w:r>
              <w:rPr>
                <w:rFonts w:hint="eastAsia" w:ascii="仿宋" w:hAnsi="仿宋" w:eastAsia="仿宋" w:cs="仿宋"/>
                <w:color w:val="auto"/>
                <w:kern w:val="0"/>
                <w:sz w:val="21"/>
                <w:szCs w:val="21"/>
                <w:highlight w:val="none"/>
                <w:lang w:val="en-US" w:eastAsia="zh-CN" w:bidi="ar"/>
              </w:rPr>
              <w:t>5.1-7</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方案合理、内容常规、操作</w:t>
            </w:r>
            <w:r>
              <w:rPr>
                <w:rFonts w:hint="eastAsia" w:ascii="仿宋" w:hAnsi="仿宋" w:eastAsia="仿宋" w:cs="仿宋"/>
                <w:color w:val="auto"/>
                <w:kern w:val="0"/>
                <w:sz w:val="21"/>
                <w:szCs w:val="21"/>
                <w:highlight w:val="none"/>
                <w:lang w:eastAsia="zh-CN" w:bidi="ar"/>
              </w:rPr>
              <w:t>性针对性一般</w:t>
            </w:r>
            <w:r>
              <w:rPr>
                <w:rFonts w:hint="eastAsia" w:ascii="仿宋" w:hAnsi="仿宋" w:eastAsia="仿宋" w:cs="仿宋"/>
                <w:color w:val="auto"/>
                <w:kern w:val="0"/>
                <w:sz w:val="21"/>
                <w:szCs w:val="21"/>
                <w:highlight w:val="none"/>
                <w:lang w:bidi="ar"/>
              </w:rPr>
              <w:t>的给</w:t>
            </w:r>
            <w:r>
              <w:rPr>
                <w:rFonts w:hint="eastAsia" w:ascii="仿宋" w:hAnsi="仿宋" w:eastAsia="仿宋" w:cs="仿宋"/>
                <w:color w:val="auto"/>
                <w:kern w:val="0"/>
                <w:sz w:val="21"/>
                <w:szCs w:val="21"/>
                <w:highlight w:val="none"/>
                <w:lang w:val="en-US" w:eastAsia="zh-CN" w:bidi="ar"/>
              </w:rPr>
              <w:t>2.1-5</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方案粗糙、内容缺漏、操作性</w:t>
            </w:r>
            <w:r>
              <w:rPr>
                <w:rFonts w:hint="eastAsia" w:ascii="仿宋" w:hAnsi="仿宋" w:eastAsia="仿宋" w:cs="仿宋"/>
                <w:color w:val="auto"/>
                <w:kern w:val="0"/>
                <w:sz w:val="21"/>
                <w:szCs w:val="21"/>
                <w:highlight w:val="none"/>
                <w:lang w:eastAsia="zh-CN" w:bidi="ar"/>
              </w:rPr>
              <w:t>针对性</w:t>
            </w:r>
            <w:r>
              <w:rPr>
                <w:rFonts w:hint="eastAsia" w:ascii="仿宋" w:hAnsi="仿宋" w:eastAsia="仿宋" w:cs="仿宋"/>
                <w:color w:val="auto"/>
                <w:kern w:val="0"/>
                <w:sz w:val="21"/>
                <w:szCs w:val="21"/>
                <w:highlight w:val="none"/>
                <w:lang w:bidi="ar"/>
              </w:rPr>
              <w:t>差的给</w:t>
            </w:r>
            <w:r>
              <w:rPr>
                <w:rFonts w:hint="eastAsia" w:ascii="仿宋" w:hAnsi="仿宋" w:eastAsia="仿宋" w:cs="仿宋"/>
                <w:color w:val="auto"/>
                <w:kern w:val="0"/>
                <w:sz w:val="21"/>
                <w:szCs w:val="21"/>
                <w:highlight w:val="none"/>
                <w:lang w:val="en-US" w:eastAsia="zh-CN" w:bidi="ar"/>
              </w:rPr>
              <w:t>0-2</w:t>
            </w:r>
            <w:r>
              <w:rPr>
                <w:rFonts w:hint="eastAsia" w:ascii="仿宋" w:hAnsi="仿宋" w:eastAsia="仿宋" w:cs="仿宋"/>
                <w:color w:val="auto"/>
                <w:kern w:val="0"/>
                <w:sz w:val="21"/>
                <w:szCs w:val="21"/>
                <w:highlight w:val="none"/>
                <w:lang w:bidi="ar"/>
              </w:rPr>
              <w:t>分。</w:t>
            </w:r>
          </w:p>
        </w:tc>
        <w:tc>
          <w:tcPr>
            <w:tcW w:w="745" w:type="dxa"/>
            <w:tcBorders>
              <w:left w:val="single" w:color="auto" w:sz="4" w:space="0"/>
              <w:right w:val="single" w:color="auto" w:sz="4" w:space="0"/>
            </w:tcBorders>
            <w:noWrap w:val="0"/>
            <w:vAlign w:val="center"/>
          </w:tcPr>
          <w:p w14:paraId="37CF337C">
            <w:pPr>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p>
        </w:tc>
        <w:tc>
          <w:tcPr>
            <w:tcW w:w="1132" w:type="dxa"/>
            <w:tcBorders>
              <w:top w:val="single" w:color="auto" w:sz="4" w:space="0"/>
              <w:left w:val="single" w:color="auto" w:sz="4" w:space="0"/>
              <w:right w:val="single" w:color="auto" w:sz="4" w:space="0"/>
            </w:tcBorders>
            <w:noWrap w:val="0"/>
            <w:vAlign w:val="center"/>
          </w:tcPr>
          <w:p w14:paraId="07F7B906">
            <w:pP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安保消控服务方案</w:t>
            </w:r>
          </w:p>
        </w:tc>
      </w:tr>
      <w:tr w14:paraId="0304C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811" w:type="dxa"/>
            <w:vMerge w:val="continue"/>
            <w:tcBorders>
              <w:left w:val="single" w:color="auto" w:sz="4" w:space="0"/>
              <w:right w:val="single" w:color="auto" w:sz="4" w:space="0"/>
            </w:tcBorders>
            <w:noWrap w:val="0"/>
            <w:vAlign w:val="center"/>
          </w:tcPr>
          <w:p w14:paraId="1A940F21">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7EB0B07C">
            <w:pPr>
              <w:adjustRightInd w:val="0"/>
              <w:snapToGrid w:val="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12</w:t>
            </w:r>
          </w:p>
        </w:tc>
        <w:tc>
          <w:tcPr>
            <w:tcW w:w="7139" w:type="dxa"/>
            <w:tcBorders>
              <w:left w:val="single" w:color="auto" w:sz="4" w:space="0"/>
              <w:right w:val="single" w:color="auto" w:sz="4" w:space="0"/>
            </w:tcBorders>
            <w:noWrap w:val="0"/>
            <w:vAlign w:val="center"/>
          </w:tcPr>
          <w:p w14:paraId="0D1364AC">
            <w:pPr>
              <w:widowControl/>
              <w:jc w:val="left"/>
              <w:textAlignment w:val="cente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物业管理区域工程维修服务方案：</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方案详实、内容完整、操作性</w:t>
            </w:r>
            <w:r>
              <w:rPr>
                <w:rFonts w:hint="eastAsia" w:ascii="仿宋" w:hAnsi="仿宋" w:eastAsia="仿宋" w:cs="仿宋"/>
                <w:color w:val="auto"/>
                <w:kern w:val="0"/>
                <w:sz w:val="21"/>
                <w:szCs w:val="21"/>
                <w:highlight w:val="none"/>
                <w:lang w:eastAsia="zh-CN" w:bidi="ar"/>
              </w:rPr>
              <w:t>针对性</w:t>
            </w:r>
            <w:r>
              <w:rPr>
                <w:rFonts w:hint="eastAsia" w:ascii="仿宋" w:hAnsi="仿宋" w:eastAsia="仿宋" w:cs="仿宋"/>
                <w:color w:val="auto"/>
                <w:kern w:val="0"/>
                <w:sz w:val="21"/>
                <w:szCs w:val="21"/>
                <w:highlight w:val="none"/>
                <w:lang w:bidi="ar"/>
              </w:rPr>
              <w:t>强的给</w:t>
            </w:r>
            <w:r>
              <w:rPr>
                <w:rFonts w:hint="eastAsia" w:ascii="仿宋" w:hAnsi="仿宋" w:eastAsia="仿宋" w:cs="仿宋"/>
                <w:color w:val="auto"/>
                <w:kern w:val="0"/>
                <w:sz w:val="21"/>
                <w:szCs w:val="21"/>
                <w:highlight w:val="none"/>
                <w:lang w:val="en-US" w:eastAsia="zh-CN" w:bidi="ar"/>
              </w:rPr>
              <w:t>5.1-7</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方案合理、内容常规、操作</w:t>
            </w:r>
            <w:r>
              <w:rPr>
                <w:rFonts w:hint="eastAsia" w:ascii="仿宋" w:hAnsi="仿宋" w:eastAsia="仿宋" w:cs="仿宋"/>
                <w:color w:val="auto"/>
                <w:kern w:val="0"/>
                <w:sz w:val="21"/>
                <w:szCs w:val="21"/>
                <w:highlight w:val="none"/>
                <w:lang w:eastAsia="zh-CN" w:bidi="ar"/>
              </w:rPr>
              <w:t>性针对性一般</w:t>
            </w:r>
            <w:r>
              <w:rPr>
                <w:rFonts w:hint="eastAsia" w:ascii="仿宋" w:hAnsi="仿宋" w:eastAsia="仿宋" w:cs="仿宋"/>
                <w:color w:val="auto"/>
                <w:kern w:val="0"/>
                <w:sz w:val="21"/>
                <w:szCs w:val="21"/>
                <w:highlight w:val="none"/>
                <w:lang w:bidi="ar"/>
              </w:rPr>
              <w:t>的给</w:t>
            </w:r>
            <w:r>
              <w:rPr>
                <w:rFonts w:hint="eastAsia" w:ascii="仿宋" w:hAnsi="仿宋" w:eastAsia="仿宋" w:cs="仿宋"/>
                <w:color w:val="auto"/>
                <w:kern w:val="0"/>
                <w:sz w:val="21"/>
                <w:szCs w:val="21"/>
                <w:highlight w:val="none"/>
                <w:lang w:val="en-US" w:eastAsia="zh-CN" w:bidi="ar"/>
              </w:rPr>
              <w:t>2.1-5</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方案粗糙、内容缺漏、操作性</w:t>
            </w:r>
            <w:r>
              <w:rPr>
                <w:rFonts w:hint="eastAsia" w:ascii="仿宋" w:hAnsi="仿宋" w:eastAsia="仿宋" w:cs="仿宋"/>
                <w:color w:val="auto"/>
                <w:kern w:val="0"/>
                <w:sz w:val="21"/>
                <w:szCs w:val="21"/>
                <w:highlight w:val="none"/>
                <w:lang w:eastAsia="zh-CN" w:bidi="ar"/>
              </w:rPr>
              <w:t>针对性</w:t>
            </w:r>
            <w:r>
              <w:rPr>
                <w:rFonts w:hint="eastAsia" w:ascii="仿宋" w:hAnsi="仿宋" w:eastAsia="仿宋" w:cs="仿宋"/>
                <w:color w:val="auto"/>
                <w:kern w:val="0"/>
                <w:sz w:val="21"/>
                <w:szCs w:val="21"/>
                <w:highlight w:val="none"/>
                <w:lang w:bidi="ar"/>
              </w:rPr>
              <w:t>差的给</w:t>
            </w:r>
            <w:r>
              <w:rPr>
                <w:rFonts w:hint="eastAsia" w:ascii="仿宋" w:hAnsi="仿宋" w:eastAsia="仿宋" w:cs="仿宋"/>
                <w:color w:val="auto"/>
                <w:kern w:val="0"/>
                <w:sz w:val="21"/>
                <w:szCs w:val="21"/>
                <w:highlight w:val="none"/>
                <w:lang w:val="en-US" w:eastAsia="zh-CN" w:bidi="ar"/>
              </w:rPr>
              <w:t>0-2</w:t>
            </w:r>
            <w:r>
              <w:rPr>
                <w:rFonts w:hint="eastAsia" w:ascii="仿宋" w:hAnsi="仿宋" w:eastAsia="仿宋" w:cs="仿宋"/>
                <w:color w:val="auto"/>
                <w:kern w:val="0"/>
                <w:sz w:val="21"/>
                <w:szCs w:val="21"/>
                <w:highlight w:val="none"/>
                <w:lang w:bidi="ar"/>
              </w:rPr>
              <w:t>分。</w:t>
            </w:r>
          </w:p>
        </w:tc>
        <w:tc>
          <w:tcPr>
            <w:tcW w:w="745" w:type="dxa"/>
            <w:tcBorders>
              <w:left w:val="single" w:color="auto" w:sz="4" w:space="0"/>
              <w:right w:val="single" w:color="auto" w:sz="4" w:space="0"/>
            </w:tcBorders>
            <w:noWrap w:val="0"/>
            <w:vAlign w:val="center"/>
          </w:tcPr>
          <w:p w14:paraId="73434C80">
            <w:pPr>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p>
        </w:tc>
        <w:tc>
          <w:tcPr>
            <w:tcW w:w="1132" w:type="dxa"/>
            <w:tcBorders>
              <w:top w:val="single" w:color="auto" w:sz="4" w:space="0"/>
              <w:left w:val="single" w:color="auto" w:sz="4" w:space="0"/>
              <w:right w:val="single" w:color="auto" w:sz="4" w:space="0"/>
            </w:tcBorders>
            <w:noWrap w:val="0"/>
            <w:vAlign w:val="center"/>
          </w:tcPr>
          <w:p w14:paraId="10C5BC18">
            <w:pPr>
              <w:jc w:val="cente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工程维修服务方案</w:t>
            </w:r>
          </w:p>
        </w:tc>
      </w:tr>
      <w:tr w14:paraId="75DD4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811" w:type="dxa"/>
            <w:vMerge w:val="continue"/>
            <w:tcBorders>
              <w:left w:val="single" w:color="auto" w:sz="4" w:space="0"/>
              <w:right w:val="single" w:color="auto" w:sz="4" w:space="0"/>
            </w:tcBorders>
            <w:noWrap w:val="0"/>
            <w:vAlign w:val="center"/>
          </w:tcPr>
          <w:p w14:paraId="7E7AB1E3">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34B17CB8">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13</w:t>
            </w:r>
          </w:p>
        </w:tc>
        <w:tc>
          <w:tcPr>
            <w:tcW w:w="7139" w:type="dxa"/>
            <w:tcBorders>
              <w:left w:val="single" w:color="auto" w:sz="4" w:space="0"/>
              <w:right w:val="single" w:color="auto" w:sz="4" w:space="0"/>
            </w:tcBorders>
            <w:noWrap w:val="0"/>
            <w:vAlign w:val="center"/>
          </w:tcPr>
          <w:p w14:paraId="149C9A16">
            <w:pPr>
              <w:widowControl/>
              <w:jc w:val="left"/>
              <w:textAlignment w:val="cente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物业管理区域绿化养护服务方案：</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方案详实、内容完整、操作性</w:t>
            </w:r>
            <w:r>
              <w:rPr>
                <w:rFonts w:hint="eastAsia" w:ascii="仿宋" w:hAnsi="仿宋" w:eastAsia="仿宋" w:cs="仿宋"/>
                <w:color w:val="auto"/>
                <w:kern w:val="0"/>
                <w:sz w:val="21"/>
                <w:szCs w:val="21"/>
                <w:highlight w:val="none"/>
                <w:lang w:eastAsia="zh-CN" w:bidi="ar"/>
              </w:rPr>
              <w:t>针对性</w:t>
            </w:r>
            <w:r>
              <w:rPr>
                <w:rFonts w:hint="eastAsia" w:ascii="仿宋" w:hAnsi="仿宋" w:eastAsia="仿宋" w:cs="仿宋"/>
                <w:color w:val="auto"/>
                <w:kern w:val="0"/>
                <w:sz w:val="21"/>
                <w:szCs w:val="21"/>
                <w:highlight w:val="none"/>
                <w:lang w:bidi="ar"/>
              </w:rPr>
              <w:t>强的给</w:t>
            </w:r>
            <w:r>
              <w:rPr>
                <w:rFonts w:hint="eastAsia" w:ascii="仿宋" w:hAnsi="仿宋" w:eastAsia="仿宋" w:cs="仿宋"/>
                <w:color w:val="auto"/>
                <w:kern w:val="0"/>
                <w:sz w:val="21"/>
                <w:szCs w:val="21"/>
                <w:highlight w:val="none"/>
                <w:lang w:val="en-US" w:eastAsia="zh-CN" w:bidi="ar"/>
              </w:rPr>
              <w:t>5.1-7</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方案合理、内容常规、操作</w:t>
            </w:r>
            <w:r>
              <w:rPr>
                <w:rFonts w:hint="eastAsia" w:ascii="仿宋" w:hAnsi="仿宋" w:eastAsia="仿宋" w:cs="仿宋"/>
                <w:color w:val="auto"/>
                <w:kern w:val="0"/>
                <w:sz w:val="21"/>
                <w:szCs w:val="21"/>
                <w:highlight w:val="none"/>
                <w:lang w:eastAsia="zh-CN" w:bidi="ar"/>
              </w:rPr>
              <w:t>性针对性一般</w:t>
            </w:r>
            <w:r>
              <w:rPr>
                <w:rFonts w:hint="eastAsia" w:ascii="仿宋" w:hAnsi="仿宋" w:eastAsia="仿宋" w:cs="仿宋"/>
                <w:color w:val="auto"/>
                <w:kern w:val="0"/>
                <w:sz w:val="21"/>
                <w:szCs w:val="21"/>
                <w:highlight w:val="none"/>
                <w:lang w:bidi="ar"/>
              </w:rPr>
              <w:t>的给</w:t>
            </w:r>
            <w:r>
              <w:rPr>
                <w:rFonts w:hint="eastAsia" w:ascii="仿宋" w:hAnsi="仿宋" w:eastAsia="仿宋" w:cs="仿宋"/>
                <w:color w:val="auto"/>
                <w:kern w:val="0"/>
                <w:sz w:val="21"/>
                <w:szCs w:val="21"/>
                <w:highlight w:val="none"/>
                <w:lang w:val="en-US" w:eastAsia="zh-CN" w:bidi="ar"/>
              </w:rPr>
              <w:t>2.1-5</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方案粗糙、内容缺漏、操作性</w:t>
            </w:r>
            <w:r>
              <w:rPr>
                <w:rFonts w:hint="eastAsia" w:ascii="仿宋" w:hAnsi="仿宋" w:eastAsia="仿宋" w:cs="仿宋"/>
                <w:color w:val="auto"/>
                <w:kern w:val="0"/>
                <w:sz w:val="21"/>
                <w:szCs w:val="21"/>
                <w:highlight w:val="none"/>
                <w:lang w:eastAsia="zh-CN" w:bidi="ar"/>
              </w:rPr>
              <w:t>针对性</w:t>
            </w:r>
            <w:r>
              <w:rPr>
                <w:rFonts w:hint="eastAsia" w:ascii="仿宋" w:hAnsi="仿宋" w:eastAsia="仿宋" w:cs="仿宋"/>
                <w:color w:val="auto"/>
                <w:kern w:val="0"/>
                <w:sz w:val="21"/>
                <w:szCs w:val="21"/>
                <w:highlight w:val="none"/>
                <w:lang w:bidi="ar"/>
              </w:rPr>
              <w:t>差的给</w:t>
            </w:r>
            <w:r>
              <w:rPr>
                <w:rFonts w:hint="eastAsia" w:ascii="仿宋" w:hAnsi="仿宋" w:eastAsia="仿宋" w:cs="仿宋"/>
                <w:color w:val="auto"/>
                <w:kern w:val="0"/>
                <w:sz w:val="21"/>
                <w:szCs w:val="21"/>
                <w:highlight w:val="none"/>
                <w:lang w:val="en-US" w:eastAsia="zh-CN" w:bidi="ar"/>
              </w:rPr>
              <w:t>0-2</w:t>
            </w:r>
            <w:r>
              <w:rPr>
                <w:rFonts w:hint="eastAsia" w:ascii="仿宋" w:hAnsi="仿宋" w:eastAsia="仿宋" w:cs="仿宋"/>
                <w:color w:val="auto"/>
                <w:kern w:val="0"/>
                <w:sz w:val="21"/>
                <w:szCs w:val="21"/>
                <w:highlight w:val="none"/>
                <w:lang w:bidi="ar"/>
              </w:rPr>
              <w:t>分。</w:t>
            </w:r>
          </w:p>
        </w:tc>
        <w:tc>
          <w:tcPr>
            <w:tcW w:w="745" w:type="dxa"/>
            <w:tcBorders>
              <w:left w:val="single" w:color="auto" w:sz="4" w:space="0"/>
              <w:right w:val="single" w:color="auto" w:sz="4" w:space="0"/>
            </w:tcBorders>
            <w:noWrap w:val="0"/>
            <w:vAlign w:val="center"/>
          </w:tcPr>
          <w:p w14:paraId="444F552E">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1132" w:type="dxa"/>
            <w:tcBorders>
              <w:top w:val="single" w:color="auto" w:sz="4" w:space="0"/>
              <w:left w:val="single" w:color="auto" w:sz="4" w:space="0"/>
              <w:right w:val="single" w:color="auto" w:sz="4" w:space="0"/>
            </w:tcBorders>
            <w:noWrap w:val="0"/>
            <w:vAlign w:val="center"/>
          </w:tcPr>
          <w:p w14:paraId="0D74DFBA">
            <w:pP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绿化养护服务方案</w:t>
            </w:r>
          </w:p>
        </w:tc>
      </w:tr>
      <w:tr w14:paraId="2A2D5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811" w:type="dxa"/>
            <w:vMerge w:val="continue"/>
            <w:tcBorders>
              <w:left w:val="single" w:color="auto" w:sz="4" w:space="0"/>
              <w:right w:val="single" w:color="auto" w:sz="4" w:space="0"/>
            </w:tcBorders>
            <w:noWrap w:val="0"/>
            <w:vAlign w:val="center"/>
          </w:tcPr>
          <w:p w14:paraId="0813681E">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6E0F16AC">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14</w:t>
            </w:r>
          </w:p>
        </w:tc>
        <w:tc>
          <w:tcPr>
            <w:tcW w:w="7139" w:type="dxa"/>
            <w:tcBorders>
              <w:left w:val="single" w:color="auto" w:sz="4" w:space="0"/>
              <w:right w:val="single" w:color="auto" w:sz="4" w:space="0"/>
            </w:tcBorders>
            <w:noWrap w:val="0"/>
            <w:vAlign w:val="center"/>
          </w:tcPr>
          <w:p w14:paraId="7A0E7879">
            <w:pPr>
              <w:widowControl/>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根据供应商投入的与本次采购服务需求相关的设备情况评分。（品牌、产地、规格、用途的详细说明）要求提供设备照片、进货发票原件扫描件或相关证明。</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设备先进、使用性佳、完全满足本次采购服务需求的给</w:t>
            </w:r>
            <w:r>
              <w:rPr>
                <w:rFonts w:hint="eastAsia" w:ascii="仿宋" w:hAnsi="仿宋" w:eastAsia="仿宋" w:cs="仿宋"/>
                <w:color w:val="auto"/>
                <w:kern w:val="0"/>
                <w:sz w:val="21"/>
                <w:szCs w:val="21"/>
                <w:highlight w:val="none"/>
                <w:lang w:val="en-US" w:eastAsia="zh-CN" w:bidi="ar"/>
              </w:rPr>
              <w:t>2.1-3</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设备齐全、使用性能一般、可以基本满足本次采购服务需求的给</w:t>
            </w:r>
            <w:r>
              <w:rPr>
                <w:rFonts w:hint="eastAsia" w:ascii="仿宋" w:hAnsi="仿宋" w:eastAsia="仿宋" w:cs="仿宋"/>
                <w:color w:val="auto"/>
                <w:kern w:val="0"/>
                <w:sz w:val="21"/>
                <w:szCs w:val="21"/>
                <w:highlight w:val="none"/>
                <w:lang w:val="en-US" w:eastAsia="zh-CN" w:bidi="ar"/>
              </w:rPr>
              <w:t>0.1-2</w:t>
            </w:r>
            <w:r>
              <w:rPr>
                <w:rFonts w:hint="eastAsia" w:ascii="仿宋" w:hAnsi="仿宋" w:eastAsia="仿宋" w:cs="仿宋"/>
                <w:color w:val="auto"/>
                <w:kern w:val="0"/>
                <w:sz w:val="21"/>
                <w:szCs w:val="21"/>
                <w:highlight w:val="none"/>
                <w:lang w:bidi="ar"/>
              </w:rPr>
              <w:t>分；</w:t>
            </w:r>
          </w:p>
          <w:p w14:paraId="605D29AF">
            <w:pPr>
              <w:widowControl/>
              <w:jc w:val="left"/>
              <w:textAlignment w:val="cente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设备简陋、使用性能较差、不能基本满足本次采购服务需求的给0分。</w:t>
            </w:r>
          </w:p>
        </w:tc>
        <w:tc>
          <w:tcPr>
            <w:tcW w:w="745" w:type="dxa"/>
            <w:tcBorders>
              <w:left w:val="single" w:color="auto" w:sz="4" w:space="0"/>
              <w:right w:val="single" w:color="auto" w:sz="4" w:space="0"/>
            </w:tcBorders>
            <w:noWrap w:val="0"/>
            <w:vAlign w:val="center"/>
          </w:tcPr>
          <w:p w14:paraId="0548A833">
            <w:pPr>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p>
        </w:tc>
        <w:tc>
          <w:tcPr>
            <w:tcW w:w="1132" w:type="dxa"/>
            <w:tcBorders>
              <w:top w:val="single" w:color="auto" w:sz="4" w:space="0"/>
              <w:left w:val="single" w:color="auto" w:sz="4" w:space="0"/>
              <w:right w:val="single" w:color="auto" w:sz="4" w:space="0"/>
            </w:tcBorders>
            <w:noWrap w:val="0"/>
            <w:vAlign w:val="center"/>
          </w:tcPr>
          <w:p w14:paraId="07ADB79D">
            <w:pPr>
              <w:rPr>
                <w:rFonts w:hint="eastAsia" w:ascii="仿宋" w:hAnsi="仿宋" w:eastAsia="仿宋" w:cs="仿宋"/>
                <w:color w:val="auto"/>
                <w:sz w:val="21"/>
                <w:szCs w:val="21"/>
              </w:rPr>
            </w:pPr>
            <w:r>
              <w:rPr>
                <w:rFonts w:hint="eastAsia" w:ascii="仿宋" w:hAnsi="仿宋" w:eastAsia="仿宋" w:cs="仿宋"/>
                <w:color w:val="auto"/>
                <w:sz w:val="21"/>
                <w:szCs w:val="21"/>
              </w:rPr>
              <w:t>主要设备工具基本配置情况</w:t>
            </w:r>
          </w:p>
        </w:tc>
      </w:tr>
      <w:tr w14:paraId="66895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811" w:type="dxa"/>
            <w:vMerge w:val="continue"/>
            <w:tcBorders>
              <w:left w:val="single" w:color="auto" w:sz="4" w:space="0"/>
              <w:right w:val="single" w:color="auto" w:sz="4" w:space="0"/>
            </w:tcBorders>
            <w:noWrap w:val="0"/>
            <w:vAlign w:val="center"/>
          </w:tcPr>
          <w:p w14:paraId="795B9848">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26E3BE6F">
            <w:pPr>
              <w:adjustRightInd w:val="0"/>
              <w:snapToGrid w:val="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14</w:t>
            </w:r>
          </w:p>
        </w:tc>
        <w:tc>
          <w:tcPr>
            <w:tcW w:w="7139" w:type="dxa"/>
            <w:tcBorders>
              <w:left w:val="single" w:color="auto" w:sz="4" w:space="0"/>
              <w:right w:val="single" w:color="auto" w:sz="4" w:space="0"/>
            </w:tcBorders>
            <w:noWrap w:val="0"/>
            <w:vAlign w:val="center"/>
          </w:tcPr>
          <w:p w14:paraId="14CA5BB0">
            <w:pPr>
              <w:widowControl/>
              <w:jc w:val="left"/>
              <w:textAlignment w:val="center"/>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lang w:bidi="ar"/>
              </w:rPr>
              <w:t>对物业突发事件（包括发生台风、暴雨等灾害性天气及其突发事件）时的应急预案及相应的措施</w:t>
            </w:r>
            <w:r>
              <w:rPr>
                <w:rFonts w:hint="eastAsia" w:ascii="仿宋" w:hAnsi="仿宋" w:eastAsia="仿宋" w:cs="仿宋"/>
                <w:color w:val="auto"/>
                <w:kern w:val="0"/>
                <w:sz w:val="21"/>
                <w:szCs w:val="21"/>
                <w:highlight w:val="none"/>
                <w:lang w:eastAsia="zh-CN" w:bidi="ar"/>
              </w:rPr>
              <w:t>。</w:t>
            </w:r>
          </w:p>
          <w:p w14:paraId="70B793A5">
            <w:pPr>
              <w:widowControl/>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方案逻辑清晰、内容完整、措施切实可行视为满足，满足得</w:t>
            </w:r>
            <w:r>
              <w:rPr>
                <w:rFonts w:hint="eastAsia" w:ascii="仿宋" w:hAnsi="仿宋" w:eastAsia="仿宋" w:cs="仿宋"/>
                <w:color w:val="auto"/>
                <w:kern w:val="0"/>
                <w:sz w:val="21"/>
                <w:szCs w:val="21"/>
                <w:highlight w:val="none"/>
                <w:lang w:val="en-US" w:eastAsia="zh-CN" w:bidi="ar"/>
              </w:rPr>
              <w:t>2.1-4</w:t>
            </w:r>
            <w:r>
              <w:rPr>
                <w:rFonts w:hint="eastAsia" w:ascii="仿宋" w:hAnsi="仿宋" w:eastAsia="仿宋" w:cs="仿宋"/>
                <w:color w:val="auto"/>
                <w:kern w:val="0"/>
                <w:sz w:val="21"/>
                <w:szCs w:val="21"/>
                <w:highlight w:val="none"/>
                <w:lang w:bidi="ar"/>
              </w:rPr>
              <w:t>分；</w:t>
            </w:r>
          </w:p>
          <w:p w14:paraId="243A9CEE">
            <w:pPr>
              <w:widowControl/>
              <w:jc w:val="left"/>
              <w:textAlignment w:val="cente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方案逻辑不够清晰、内容不够完整、措施不够切实可行的得</w:t>
            </w:r>
            <w:r>
              <w:rPr>
                <w:rFonts w:hint="eastAsia" w:ascii="仿宋" w:hAnsi="仿宋" w:eastAsia="仿宋" w:cs="仿宋"/>
                <w:color w:val="auto"/>
                <w:kern w:val="0"/>
                <w:sz w:val="21"/>
                <w:szCs w:val="21"/>
                <w:highlight w:val="none"/>
                <w:lang w:val="en-US" w:eastAsia="zh-CN" w:bidi="ar"/>
              </w:rPr>
              <w:t>0.1-2</w:t>
            </w:r>
            <w:r>
              <w:rPr>
                <w:rFonts w:hint="eastAsia" w:ascii="仿宋" w:hAnsi="仿宋" w:eastAsia="仿宋" w:cs="仿宋"/>
                <w:color w:val="auto"/>
                <w:kern w:val="0"/>
                <w:sz w:val="21"/>
                <w:szCs w:val="21"/>
                <w:highlight w:val="none"/>
                <w:lang w:bidi="ar"/>
              </w:rPr>
              <w:t>分。</w:t>
            </w:r>
          </w:p>
        </w:tc>
        <w:tc>
          <w:tcPr>
            <w:tcW w:w="745" w:type="dxa"/>
            <w:tcBorders>
              <w:left w:val="single" w:color="auto" w:sz="4" w:space="0"/>
              <w:right w:val="single" w:color="auto" w:sz="4" w:space="0"/>
            </w:tcBorders>
            <w:noWrap w:val="0"/>
            <w:vAlign w:val="center"/>
          </w:tcPr>
          <w:p w14:paraId="04ACCBAE">
            <w:pPr>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p>
        </w:tc>
        <w:tc>
          <w:tcPr>
            <w:tcW w:w="1132" w:type="dxa"/>
            <w:vMerge w:val="restart"/>
            <w:tcBorders>
              <w:top w:val="single" w:color="auto" w:sz="4" w:space="0"/>
              <w:left w:val="single" w:color="auto" w:sz="4" w:space="0"/>
              <w:right w:val="single" w:color="auto" w:sz="4" w:space="0"/>
            </w:tcBorders>
            <w:noWrap w:val="0"/>
            <w:vAlign w:val="center"/>
          </w:tcPr>
          <w:p w14:paraId="1F0B4ABE">
            <w:pPr>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应急预案</w:t>
            </w:r>
            <w:r>
              <w:rPr>
                <w:rFonts w:hint="eastAsia" w:ascii="仿宋" w:hAnsi="仿宋" w:eastAsia="仿宋" w:cs="仿宋"/>
                <w:color w:val="auto"/>
                <w:kern w:val="0"/>
                <w:sz w:val="21"/>
                <w:szCs w:val="21"/>
                <w:highlight w:val="none"/>
                <w:lang w:val="en-US" w:eastAsia="zh-CN" w:bidi="ar"/>
              </w:rPr>
              <w:t>及措施</w:t>
            </w:r>
          </w:p>
        </w:tc>
      </w:tr>
      <w:tr w14:paraId="0D9EA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11" w:type="dxa"/>
            <w:vMerge w:val="continue"/>
            <w:tcBorders>
              <w:left w:val="single" w:color="auto" w:sz="4" w:space="0"/>
              <w:right w:val="single" w:color="auto" w:sz="4" w:space="0"/>
            </w:tcBorders>
            <w:noWrap w:val="0"/>
            <w:vAlign w:val="center"/>
          </w:tcPr>
          <w:p w14:paraId="7ED602DD">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00A62A7D">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rPr>
              <w:t>1</w:t>
            </w:r>
            <w:r>
              <w:rPr>
                <w:rFonts w:hint="eastAsia" w:ascii="仿宋" w:hAnsi="仿宋" w:eastAsia="仿宋" w:cs="仿宋"/>
                <w:color w:val="auto"/>
                <w:sz w:val="21"/>
                <w:szCs w:val="21"/>
                <w:lang w:val="en-US" w:eastAsia="zh-CN"/>
              </w:rPr>
              <w:t>5</w:t>
            </w:r>
          </w:p>
        </w:tc>
        <w:tc>
          <w:tcPr>
            <w:tcW w:w="7139" w:type="dxa"/>
            <w:tcBorders>
              <w:left w:val="single" w:color="auto" w:sz="4" w:space="0"/>
              <w:right w:val="single" w:color="auto" w:sz="4" w:space="0"/>
            </w:tcBorders>
            <w:noWrap w:val="0"/>
            <w:vAlign w:val="center"/>
          </w:tcPr>
          <w:p w14:paraId="2303DECF">
            <w:pPr>
              <w:widowControl/>
              <w:jc w:val="left"/>
              <w:textAlignment w:val="center"/>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lang w:bidi="ar"/>
              </w:rPr>
              <w:t>对物业管理区域内的防盗、防火的安全防范巡查、应急供电系统、给排水设备、电气照明装置等设备应急检修措施等</w:t>
            </w:r>
            <w:r>
              <w:rPr>
                <w:rFonts w:hint="eastAsia" w:ascii="仿宋" w:hAnsi="仿宋" w:eastAsia="仿宋" w:cs="仿宋"/>
                <w:color w:val="auto"/>
                <w:kern w:val="0"/>
                <w:sz w:val="21"/>
                <w:szCs w:val="21"/>
                <w:highlight w:val="none"/>
                <w:lang w:eastAsia="zh-CN" w:bidi="ar"/>
              </w:rPr>
              <w:t>。</w:t>
            </w:r>
          </w:p>
          <w:p w14:paraId="43A21DFC">
            <w:pPr>
              <w:widowControl/>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方案逻辑清晰、内容完整、措施切实可行视为满足，满足得</w:t>
            </w:r>
            <w:r>
              <w:rPr>
                <w:rFonts w:hint="eastAsia" w:ascii="仿宋" w:hAnsi="仿宋" w:eastAsia="仿宋" w:cs="仿宋"/>
                <w:color w:val="auto"/>
                <w:kern w:val="0"/>
                <w:sz w:val="21"/>
                <w:szCs w:val="21"/>
                <w:highlight w:val="none"/>
                <w:lang w:val="en-US" w:eastAsia="zh-CN" w:bidi="ar"/>
              </w:rPr>
              <w:t>2.1-4</w:t>
            </w:r>
            <w:r>
              <w:rPr>
                <w:rFonts w:hint="eastAsia" w:ascii="仿宋" w:hAnsi="仿宋" w:eastAsia="仿宋" w:cs="仿宋"/>
                <w:color w:val="auto"/>
                <w:kern w:val="0"/>
                <w:sz w:val="21"/>
                <w:szCs w:val="21"/>
                <w:highlight w:val="none"/>
                <w:lang w:bidi="ar"/>
              </w:rPr>
              <w:t>分；</w:t>
            </w:r>
          </w:p>
          <w:p w14:paraId="60A6F10F">
            <w:pPr>
              <w:widowControl/>
              <w:jc w:val="left"/>
              <w:textAlignment w:val="center"/>
              <w:rPr>
                <w:rFonts w:hint="eastAsia" w:ascii="仿宋" w:hAnsi="仿宋" w:eastAsia="仿宋" w:cs="仿宋"/>
                <w:color w:val="auto"/>
                <w:sz w:val="21"/>
                <w:szCs w:val="21"/>
                <w:lang w:eastAsia="en-US"/>
              </w:rPr>
            </w:pPr>
            <w:r>
              <w:rPr>
                <w:rFonts w:hint="eastAsia" w:ascii="仿宋" w:hAnsi="仿宋" w:eastAsia="仿宋" w:cs="仿宋"/>
                <w:color w:val="auto"/>
                <w:kern w:val="0"/>
                <w:sz w:val="21"/>
                <w:szCs w:val="21"/>
                <w:highlight w:val="none"/>
                <w:lang w:bidi="ar"/>
              </w:rPr>
              <w:t>方案逻辑不够清晰、内容不够完整、措施不够切实可行的得</w:t>
            </w:r>
            <w:r>
              <w:rPr>
                <w:rFonts w:hint="eastAsia" w:ascii="仿宋" w:hAnsi="仿宋" w:eastAsia="仿宋" w:cs="仿宋"/>
                <w:color w:val="auto"/>
                <w:kern w:val="0"/>
                <w:sz w:val="21"/>
                <w:szCs w:val="21"/>
                <w:highlight w:val="none"/>
                <w:lang w:val="en-US" w:eastAsia="zh-CN" w:bidi="ar"/>
              </w:rPr>
              <w:t>0.1-2</w:t>
            </w:r>
            <w:r>
              <w:rPr>
                <w:rFonts w:hint="eastAsia" w:ascii="仿宋" w:hAnsi="仿宋" w:eastAsia="仿宋" w:cs="仿宋"/>
                <w:color w:val="auto"/>
                <w:kern w:val="0"/>
                <w:sz w:val="21"/>
                <w:szCs w:val="21"/>
                <w:highlight w:val="none"/>
                <w:lang w:bidi="ar"/>
              </w:rPr>
              <w:t>分。</w:t>
            </w:r>
          </w:p>
        </w:tc>
        <w:tc>
          <w:tcPr>
            <w:tcW w:w="745" w:type="dxa"/>
            <w:tcBorders>
              <w:left w:val="single" w:color="auto" w:sz="4" w:space="0"/>
              <w:right w:val="single" w:color="auto" w:sz="4" w:space="0"/>
            </w:tcBorders>
            <w:noWrap w:val="0"/>
            <w:vAlign w:val="center"/>
          </w:tcPr>
          <w:p w14:paraId="3A20ED9B">
            <w:pPr>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p>
        </w:tc>
        <w:tc>
          <w:tcPr>
            <w:tcW w:w="1132" w:type="dxa"/>
            <w:vMerge w:val="continue"/>
            <w:tcBorders>
              <w:left w:val="single" w:color="auto" w:sz="4" w:space="0"/>
              <w:right w:val="single" w:color="auto" w:sz="4" w:space="0"/>
            </w:tcBorders>
            <w:noWrap w:val="0"/>
            <w:vAlign w:val="center"/>
          </w:tcPr>
          <w:p w14:paraId="7EA619B7">
            <w:pPr>
              <w:rPr>
                <w:rFonts w:hint="eastAsia" w:ascii="仿宋" w:hAnsi="仿宋" w:eastAsia="仿宋" w:cs="仿宋"/>
                <w:color w:val="auto"/>
                <w:sz w:val="21"/>
                <w:szCs w:val="21"/>
              </w:rPr>
            </w:pPr>
          </w:p>
        </w:tc>
      </w:tr>
      <w:tr w14:paraId="1EA6D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11" w:type="dxa"/>
            <w:vMerge w:val="continue"/>
            <w:tcBorders>
              <w:left w:val="single" w:color="auto" w:sz="4" w:space="0"/>
              <w:right w:val="single" w:color="auto" w:sz="4" w:space="0"/>
            </w:tcBorders>
            <w:noWrap w:val="0"/>
            <w:vAlign w:val="center"/>
          </w:tcPr>
          <w:p w14:paraId="7CF577F9">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646A6E3F">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w:t>
            </w:r>
          </w:p>
        </w:tc>
        <w:tc>
          <w:tcPr>
            <w:tcW w:w="7139" w:type="dxa"/>
            <w:tcBorders>
              <w:left w:val="single" w:color="auto" w:sz="4" w:space="0"/>
              <w:right w:val="single" w:color="auto" w:sz="4" w:space="0"/>
            </w:tcBorders>
            <w:noWrap w:val="0"/>
            <w:vAlign w:val="center"/>
          </w:tcPr>
          <w:p w14:paraId="5111C358">
            <w:pPr>
              <w:widowControl/>
              <w:jc w:val="left"/>
              <w:textAlignment w:val="center"/>
              <w:rPr>
                <w:rFonts w:hint="default"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会议活动方案:</w:t>
            </w:r>
          </w:p>
          <w:p w14:paraId="2A57F344">
            <w:pPr>
              <w:widowControl/>
              <w:jc w:val="left"/>
              <w:textAlignment w:val="center"/>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方案包括协助布置会场、绿化（盆景）摆设和保养、横幅悬挂、搬运器材、桌椅、音响、空调、鲜花、会后清场等工作</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完全符合采购人要求得</w:t>
            </w:r>
            <w:r>
              <w:rPr>
                <w:rFonts w:hint="eastAsia" w:ascii="仿宋" w:hAnsi="仿宋" w:eastAsia="仿宋" w:cs="仿宋"/>
                <w:color w:val="auto"/>
                <w:kern w:val="0"/>
                <w:sz w:val="21"/>
                <w:szCs w:val="21"/>
                <w:highlight w:val="none"/>
                <w:lang w:val="en-US" w:eastAsia="zh-CN" w:bidi="ar"/>
              </w:rPr>
              <w:t>1.1-</w:t>
            </w:r>
            <w:r>
              <w:rPr>
                <w:rFonts w:hint="eastAsia" w:ascii="仿宋" w:hAnsi="仿宋" w:eastAsia="仿宋" w:cs="仿宋"/>
                <w:color w:val="auto"/>
                <w:kern w:val="0"/>
                <w:sz w:val="21"/>
                <w:szCs w:val="21"/>
                <w:highlight w:val="none"/>
                <w:lang w:bidi="ar"/>
              </w:rPr>
              <w:t>2分，部分符合得</w:t>
            </w:r>
            <w:r>
              <w:rPr>
                <w:rFonts w:hint="eastAsia" w:ascii="仿宋" w:hAnsi="仿宋" w:eastAsia="仿宋" w:cs="仿宋"/>
                <w:color w:val="auto"/>
                <w:kern w:val="0"/>
                <w:sz w:val="21"/>
                <w:szCs w:val="21"/>
                <w:highlight w:val="none"/>
                <w:lang w:val="en-US" w:eastAsia="zh-CN" w:bidi="ar"/>
              </w:rPr>
              <w:t>0.1-</w:t>
            </w:r>
            <w:r>
              <w:rPr>
                <w:rFonts w:hint="eastAsia" w:ascii="仿宋" w:hAnsi="仿宋" w:eastAsia="仿宋" w:cs="仿宋"/>
                <w:color w:val="auto"/>
                <w:kern w:val="0"/>
                <w:sz w:val="21"/>
                <w:szCs w:val="21"/>
                <w:highlight w:val="none"/>
                <w:lang w:bidi="ar"/>
              </w:rPr>
              <w:t>1分，不符合不得分</w:t>
            </w:r>
            <w:r>
              <w:rPr>
                <w:rFonts w:hint="eastAsia" w:ascii="仿宋" w:hAnsi="仿宋" w:eastAsia="仿宋" w:cs="仿宋"/>
                <w:color w:val="auto"/>
                <w:kern w:val="0"/>
                <w:sz w:val="21"/>
                <w:szCs w:val="21"/>
                <w:highlight w:val="none"/>
                <w:lang w:eastAsia="zh-CN" w:bidi="ar"/>
              </w:rPr>
              <w:t>；</w:t>
            </w:r>
          </w:p>
          <w:p w14:paraId="0034EE08">
            <w:pPr>
              <w:widowControl/>
              <w:jc w:val="left"/>
              <w:textAlignment w:val="cente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val="en-US" w:eastAsia="zh-CN" w:bidi="ar"/>
              </w:rPr>
              <w:t>2</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能保证活动期间全过程值班，满足服务需求，确保各项活动正常进行</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完全符合采购人要求得</w:t>
            </w:r>
            <w:r>
              <w:rPr>
                <w:rFonts w:hint="eastAsia" w:ascii="仿宋" w:hAnsi="仿宋" w:eastAsia="仿宋" w:cs="仿宋"/>
                <w:color w:val="auto"/>
                <w:kern w:val="0"/>
                <w:sz w:val="21"/>
                <w:szCs w:val="21"/>
                <w:highlight w:val="none"/>
                <w:lang w:val="en-US" w:eastAsia="zh-CN" w:bidi="ar"/>
              </w:rPr>
              <w:t>1.1-</w:t>
            </w:r>
            <w:r>
              <w:rPr>
                <w:rFonts w:hint="eastAsia" w:ascii="仿宋" w:hAnsi="仿宋" w:eastAsia="仿宋" w:cs="仿宋"/>
                <w:color w:val="auto"/>
                <w:kern w:val="0"/>
                <w:sz w:val="21"/>
                <w:szCs w:val="21"/>
                <w:highlight w:val="none"/>
                <w:lang w:bidi="ar"/>
              </w:rPr>
              <w:t>2分</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部分符合得</w:t>
            </w:r>
            <w:r>
              <w:rPr>
                <w:rFonts w:hint="eastAsia" w:ascii="仿宋" w:hAnsi="仿宋" w:eastAsia="仿宋" w:cs="仿宋"/>
                <w:color w:val="auto"/>
                <w:kern w:val="0"/>
                <w:sz w:val="21"/>
                <w:szCs w:val="21"/>
                <w:highlight w:val="none"/>
                <w:lang w:val="en-US" w:eastAsia="zh-CN" w:bidi="ar"/>
              </w:rPr>
              <w:t>0.1-</w:t>
            </w:r>
            <w:r>
              <w:rPr>
                <w:rFonts w:hint="eastAsia" w:ascii="仿宋" w:hAnsi="仿宋" w:eastAsia="仿宋" w:cs="仿宋"/>
                <w:color w:val="auto"/>
                <w:kern w:val="0"/>
                <w:sz w:val="21"/>
                <w:szCs w:val="21"/>
                <w:highlight w:val="none"/>
                <w:lang w:bidi="ar"/>
              </w:rPr>
              <w:t>1分，不符合不得分</w:t>
            </w:r>
            <w:r>
              <w:rPr>
                <w:rFonts w:hint="eastAsia" w:ascii="仿宋" w:hAnsi="仿宋" w:eastAsia="仿宋" w:cs="仿宋"/>
                <w:color w:val="auto"/>
                <w:kern w:val="0"/>
                <w:sz w:val="21"/>
                <w:szCs w:val="21"/>
                <w:highlight w:val="none"/>
                <w:lang w:eastAsia="zh-CN" w:bidi="ar"/>
              </w:rPr>
              <w:t>。</w:t>
            </w:r>
          </w:p>
        </w:tc>
        <w:tc>
          <w:tcPr>
            <w:tcW w:w="745" w:type="dxa"/>
            <w:tcBorders>
              <w:left w:val="single" w:color="auto" w:sz="4" w:space="0"/>
              <w:right w:val="single" w:color="auto" w:sz="4" w:space="0"/>
            </w:tcBorders>
            <w:noWrap w:val="0"/>
            <w:vAlign w:val="center"/>
          </w:tcPr>
          <w:p w14:paraId="46E4C7AB">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1132" w:type="dxa"/>
            <w:tcBorders>
              <w:left w:val="single" w:color="auto" w:sz="4" w:space="0"/>
              <w:right w:val="single" w:color="auto" w:sz="4" w:space="0"/>
            </w:tcBorders>
            <w:noWrap w:val="0"/>
            <w:vAlign w:val="center"/>
          </w:tcPr>
          <w:p w14:paraId="4E812FCB">
            <w:pP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val="en-US" w:eastAsia="zh-CN" w:bidi="ar"/>
              </w:rPr>
              <w:t>会议活动方案</w:t>
            </w:r>
          </w:p>
        </w:tc>
      </w:tr>
      <w:tr w14:paraId="0667F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11" w:type="dxa"/>
            <w:vMerge w:val="continue"/>
            <w:tcBorders>
              <w:left w:val="single" w:color="auto" w:sz="4" w:space="0"/>
              <w:right w:val="single" w:color="auto" w:sz="4" w:space="0"/>
            </w:tcBorders>
            <w:noWrap w:val="0"/>
            <w:vAlign w:val="center"/>
          </w:tcPr>
          <w:p w14:paraId="69A5E06B">
            <w:pPr>
              <w:ind w:firstLine="109" w:firstLineChars="50"/>
              <w:rPr>
                <w:rFonts w:hint="eastAsia" w:ascii="仿宋" w:hAnsi="仿宋" w:eastAsia="仿宋" w:cs="仿宋"/>
                <w:color w:val="auto"/>
                <w:spacing w:val="4"/>
                <w:sz w:val="21"/>
                <w:szCs w:val="21"/>
              </w:rPr>
            </w:pPr>
          </w:p>
        </w:tc>
        <w:tc>
          <w:tcPr>
            <w:tcW w:w="438" w:type="dxa"/>
            <w:tcBorders>
              <w:left w:val="single" w:color="auto" w:sz="4" w:space="0"/>
              <w:right w:val="single" w:color="auto" w:sz="4" w:space="0"/>
            </w:tcBorders>
            <w:noWrap w:val="0"/>
            <w:vAlign w:val="center"/>
          </w:tcPr>
          <w:p w14:paraId="7A2CE67B">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17</w:t>
            </w:r>
          </w:p>
        </w:tc>
        <w:tc>
          <w:tcPr>
            <w:tcW w:w="7139" w:type="dxa"/>
            <w:tcBorders>
              <w:left w:val="single" w:color="auto" w:sz="4" w:space="0"/>
              <w:right w:val="single" w:color="auto" w:sz="4" w:space="0"/>
            </w:tcBorders>
            <w:noWrap w:val="0"/>
            <w:vAlign w:val="center"/>
          </w:tcPr>
          <w:p w14:paraId="79DDBB17">
            <w:pPr>
              <w:widowControl/>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bidi="ar"/>
              </w:rPr>
              <w:t>服务管理人员岗位安排方案及岗位人员配置：</w:t>
            </w:r>
          </w:p>
          <w:p w14:paraId="237C8AE5">
            <w:pPr>
              <w:widowControl/>
              <w:jc w:val="left"/>
              <w:textAlignment w:val="cente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项目负责人、保安员、保洁员、工程部人员等构成情况及人员数量安排是否合理。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人员编制完整、权责清晰、架构高效、各岗位人员数量安排合理的给</w:t>
            </w:r>
            <w:r>
              <w:rPr>
                <w:rFonts w:hint="eastAsia" w:ascii="仿宋" w:hAnsi="仿宋" w:eastAsia="仿宋" w:cs="仿宋"/>
                <w:color w:val="auto"/>
                <w:kern w:val="0"/>
                <w:sz w:val="21"/>
                <w:szCs w:val="21"/>
                <w:highlight w:val="none"/>
                <w:lang w:val="en-US" w:eastAsia="zh-CN" w:bidi="ar"/>
              </w:rPr>
              <w:t>2.1-3</w:t>
            </w:r>
            <w:r>
              <w:rPr>
                <w:rFonts w:hint="eastAsia" w:ascii="仿宋" w:hAnsi="仿宋" w:eastAsia="仿宋" w:cs="仿宋"/>
                <w:color w:val="auto"/>
                <w:kern w:val="0"/>
                <w:sz w:val="21"/>
                <w:szCs w:val="21"/>
                <w:highlight w:val="none"/>
                <w:lang w:bidi="ar"/>
              </w:rPr>
              <w:t>分；</w:t>
            </w:r>
            <w:r>
              <w:rPr>
                <w:rFonts w:hint="eastAsia" w:ascii="仿宋" w:hAnsi="仿宋" w:eastAsia="仿宋" w:cs="仿宋"/>
                <w:color w:val="auto"/>
                <w:kern w:val="0"/>
                <w:sz w:val="21"/>
                <w:szCs w:val="21"/>
                <w:highlight w:val="none"/>
                <w:lang w:bidi="ar"/>
              </w:rPr>
              <w:br w:type="textWrapping"/>
            </w:r>
            <w:r>
              <w:rPr>
                <w:rFonts w:hint="eastAsia" w:ascii="仿宋" w:hAnsi="仿宋" w:eastAsia="仿宋" w:cs="仿宋"/>
                <w:color w:val="auto"/>
                <w:kern w:val="0"/>
                <w:sz w:val="21"/>
                <w:szCs w:val="21"/>
                <w:highlight w:val="none"/>
                <w:lang w:bidi="ar"/>
              </w:rPr>
              <w:t>人员编制不完整、权责不清、架构低效、各岗位人员安排不合理的给</w:t>
            </w:r>
            <w:r>
              <w:rPr>
                <w:rFonts w:hint="eastAsia" w:ascii="仿宋" w:hAnsi="仿宋" w:eastAsia="仿宋" w:cs="仿宋"/>
                <w:color w:val="auto"/>
                <w:kern w:val="0"/>
                <w:sz w:val="21"/>
                <w:szCs w:val="21"/>
                <w:highlight w:val="none"/>
                <w:lang w:val="en-US" w:eastAsia="zh-CN" w:bidi="ar"/>
              </w:rPr>
              <w:t>0.1-2</w:t>
            </w:r>
            <w:r>
              <w:rPr>
                <w:rFonts w:hint="eastAsia" w:ascii="仿宋" w:hAnsi="仿宋" w:eastAsia="仿宋" w:cs="仿宋"/>
                <w:color w:val="auto"/>
                <w:kern w:val="0"/>
                <w:sz w:val="21"/>
                <w:szCs w:val="21"/>
                <w:highlight w:val="none"/>
                <w:lang w:bidi="ar"/>
              </w:rPr>
              <w:t>分。</w:t>
            </w:r>
          </w:p>
        </w:tc>
        <w:tc>
          <w:tcPr>
            <w:tcW w:w="745" w:type="dxa"/>
            <w:tcBorders>
              <w:left w:val="single" w:color="auto" w:sz="4" w:space="0"/>
              <w:right w:val="single" w:color="auto" w:sz="4" w:space="0"/>
            </w:tcBorders>
            <w:noWrap w:val="0"/>
            <w:vAlign w:val="center"/>
          </w:tcPr>
          <w:p w14:paraId="2AB41FD7">
            <w:pPr>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w:t>
            </w:r>
          </w:p>
        </w:tc>
        <w:tc>
          <w:tcPr>
            <w:tcW w:w="1132" w:type="dxa"/>
            <w:tcBorders>
              <w:left w:val="single" w:color="auto" w:sz="4" w:space="0"/>
              <w:right w:val="single" w:color="auto" w:sz="4" w:space="0"/>
            </w:tcBorders>
            <w:noWrap w:val="0"/>
            <w:vAlign w:val="center"/>
          </w:tcPr>
          <w:p w14:paraId="675C27B6">
            <w:pPr>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bidi="ar"/>
              </w:rPr>
              <w:t>人员配置</w:t>
            </w:r>
            <w:r>
              <w:rPr>
                <w:rFonts w:hint="eastAsia" w:ascii="仿宋" w:hAnsi="仿宋" w:eastAsia="仿宋" w:cs="仿宋"/>
                <w:color w:val="auto"/>
                <w:kern w:val="0"/>
                <w:sz w:val="21"/>
                <w:szCs w:val="21"/>
                <w:highlight w:val="none"/>
                <w:lang w:val="en-US" w:eastAsia="zh-CN" w:bidi="ar"/>
              </w:rPr>
              <w:t>方案</w:t>
            </w:r>
          </w:p>
        </w:tc>
      </w:tr>
      <w:tr w14:paraId="03179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811" w:type="dxa"/>
            <w:tcBorders>
              <w:left w:val="single" w:color="auto" w:sz="4" w:space="0"/>
              <w:right w:val="single" w:color="auto" w:sz="4" w:space="0"/>
            </w:tcBorders>
            <w:noWrap w:val="0"/>
            <w:vAlign w:val="center"/>
          </w:tcPr>
          <w:p w14:paraId="53F5F25C">
            <w:pPr>
              <w:jc w:val="center"/>
              <w:rPr>
                <w:rFonts w:hint="eastAsia" w:ascii="仿宋" w:hAnsi="仿宋" w:eastAsia="仿宋" w:cs="仿宋"/>
                <w:color w:val="auto"/>
                <w:spacing w:val="4"/>
                <w:sz w:val="21"/>
                <w:szCs w:val="21"/>
              </w:rPr>
            </w:pPr>
            <w:r>
              <w:rPr>
                <w:rFonts w:hint="eastAsia" w:ascii="仿宋" w:hAnsi="仿宋" w:eastAsia="仿宋" w:cs="仿宋"/>
                <w:color w:val="auto"/>
                <w:sz w:val="21"/>
                <w:szCs w:val="21"/>
              </w:rPr>
              <w:t>报价部分（</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0分）</w:t>
            </w:r>
          </w:p>
        </w:tc>
        <w:tc>
          <w:tcPr>
            <w:tcW w:w="438" w:type="dxa"/>
            <w:tcBorders>
              <w:left w:val="single" w:color="auto" w:sz="4" w:space="0"/>
              <w:right w:val="single" w:color="auto" w:sz="4" w:space="0"/>
            </w:tcBorders>
            <w:noWrap w:val="0"/>
            <w:vAlign w:val="center"/>
          </w:tcPr>
          <w:p w14:paraId="20E26BD2">
            <w:pPr>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1</w:t>
            </w:r>
            <w:r>
              <w:rPr>
                <w:rFonts w:hint="eastAsia" w:ascii="仿宋" w:hAnsi="仿宋" w:eastAsia="仿宋" w:cs="仿宋"/>
                <w:color w:val="auto"/>
                <w:sz w:val="21"/>
                <w:szCs w:val="21"/>
                <w:lang w:val="en-US" w:eastAsia="zh-CN"/>
              </w:rPr>
              <w:t>8</w:t>
            </w:r>
          </w:p>
        </w:tc>
        <w:tc>
          <w:tcPr>
            <w:tcW w:w="7139" w:type="dxa"/>
            <w:tcBorders>
              <w:left w:val="single" w:color="auto" w:sz="4" w:space="0"/>
              <w:right w:val="single" w:color="auto" w:sz="4" w:space="0"/>
            </w:tcBorders>
            <w:noWrap w:val="0"/>
            <w:vAlign w:val="center"/>
          </w:tcPr>
          <w:p w14:paraId="7FBA63DA">
            <w:pPr>
              <w:rPr>
                <w:rFonts w:hint="eastAsia" w:ascii="仿宋" w:hAnsi="仿宋" w:eastAsia="仿宋" w:cs="仿宋"/>
                <w:color w:val="auto"/>
                <w:sz w:val="21"/>
                <w:szCs w:val="21"/>
              </w:rPr>
            </w:pPr>
            <w:r>
              <w:rPr>
                <w:rFonts w:hint="eastAsia" w:ascii="仿宋" w:hAnsi="仿宋" w:eastAsia="仿宋" w:cs="仿宋"/>
                <w:color w:val="auto"/>
                <w:sz w:val="21"/>
                <w:szCs w:val="21"/>
              </w:rPr>
              <w:t>有效投标报价的最低价作为评标基准价，其最低报价为满分；按［投标报价得分=（评标基准价/投标报价）*</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0］的计算公式计算。</w:t>
            </w:r>
          </w:p>
          <w:p w14:paraId="1D3F8A30">
            <w:pPr>
              <w:rPr>
                <w:rFonts w:hint="eastAsia" w:ascii="仿宋" w:hAnsi="仿宋" w:eastAsia="仿宋" w:cs="仿宋"/>
                <w:color w:val="auto"/>
                <w:sz w:val="21"/>
                <w:szCs w:val="21"/>
              </w:rPr>
            </w:pPr>
            <w:r>
              <w:rPr>
                <w:rFonts w:hint="eastAsia" w:ascii="仿宋" w:hAnsi="仿宋" w:eastAsia="仿宋" w:cs="仿宋"/>
                <w:color w:val="auto"/>
                <w:sz w:val="21"/>
                <w:szCs w:val="21"/>
              </w:rPr>
              <w:t>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w:t>
            </w:r>
          </w:p>
        </w:tc>
        <w:tc>
          <w:tcPr>
            <w:tcW w:w="745" w:type="dxa"/>
            <w:tcBorders>
              <w:left w:val="single" w:color="auto" w:sz="4" w:space="0"/>
              <w:right w:val="single" w:color="auto" w:sz="4" w:space="0"/>
            </w:tcBorders>
            <w:noWrap w:val="0"/>
            <w:vAlign w:val="center"/>
          </w:tcPr>
          <w:p w14:paraId="1018401F">
            <w:pPr>
              <w:widowControl/>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bidi="en-US"/>
              </w:rPr>
              <w:t>1</w:t>
            </w:r>
            <w:r>
              <w:rPr>
                <w:rFonts w:hint="eastAsia" w:ascii="仿宋" w:hAnsi="仿宋" w:eastAsia="仿宋" w:cs="仿宋"/>
                <w:color w:val="auto"/>
                <w:sz w:val="21"/>
                <w:szCs w:val="21"/>
                <w:lang w:bidi="en-US"/>
              </w:rPr>
              <w:t>0</w:t>
            </w:r>
          </w:p>
        </w:tc>
        <w:tc>
          <w:tcPr>
            <w:tcW w:w="1132" w:type="dxa"/>
            <w:tcBorders>
              <w:left w:val="single" w:color="auto" w:sz="4" w:space="0"/>
              <w:right w:val="single" w:color="auto" w:sz="4" w:space="0"/>
            </w:tcBorders>
            <w:noWrap w:val="0"/>
            <w:vAlign w:val="center"/>
          </w:tcPr>
          <w:p w14:paraId="65C4F101">
            <w:pPr>
              <w:widowControl/>
              <w:jc w:val="center"/>
              <w:rPr>
                <w:rFonts w:hint="eastAsia" w:ascii="仿宋" w:hAnsi="仿宋" w:eastAsia="仿宋" w:cs="仿宋"/>
                <w:color w:val="auto"/>
                <w:sz w:val="21"/>
                <w:szCs w:val="21"/>
              </w:rPr>
            </w:pPr>
          </w:p>
        </w:tc>
      </w:tr>
    </w:tbl>
    <w:p w14:paraId="61864ECB">
      <w:pPr>
        <w:snapToGrid w:val="0"/>
        <w:spacing w:line="360" w:lineRule="auto"/>
        <w:rPr>
          <w:rFonts w:hint="eastAsia" w:ascii="仿宋" w:hAnsi="仿宋" w:eastAsia="仿宋" w:cs="仿宋"/>
          <w:b/>
          <w:color w:val="auto"/>
          <w:sz w:val="24"/>
        </w:rPr>
      </w:pPr>
      <w:r>
        <w:rPr>
          <w:rFonts w:hint="eastAsia" w:ascii="仿宋" w:hAnsi="仿宋" w:eastAsia="仿宋" w:cs="仿宋"/>
          <w:color w:val="auto"/>
          <w:sz w:val="24"/>
          <w:shd w:val="clear" w:color="auto" w:fill="FFFFFF"/>
        </w:rPr>
        <w:t> *</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14:paraId="10A56041">
      <w:pPr>
        <w:snapToGrid w:val="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一、评标办法</w:t>
      </w:r>
    </w:p>
    <w:p w14:paraId="12310D18">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1.本项目采用综合评分法。</w:t>
      </w:r>
      <w:r>
        <w:rPr>
          <w:rFonts w:hint="eastAsia" w:ascii="仿宋" w:hAnsi="仿宋" w:eastAsia="仿宋" w:cs="仿宋"/>
          <w:color w:val="auto"/>
          <w:kern w:val="0"/>
          <w:sz w:val="24"/>
        </w:rPr>
        <w:t>综合评分法，是指投标文件满足招标文件全部实质性要求，且按照评审因素的量化指标评审得分最高的投标人为中标候选人的评标办法。评分过程中采用四舍五入法，并保留小数2位。</w:t>
      </w:r>
    </w:p>
    <w:p w14:paraId="3C6C1F13">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sz w:val="24"/>
        </w:rPr>
        <w:t>二、评标标准</w:t>
      </w:r>
    </w:p>
    <w:p w14:paraId="06455867">
      <w:pPr>
        <w:spacing w:line="360" w:lineRule="auto"/>
        <w:ind w:firstLine="472" w:firstLineChars="196"/>
        <w:rPr>
          <w:rFonts w:hint="eastAsia" w:ascii="仿宋" w:hAnsi="仿宋" w:eastAsia="仿宋" w:cs="仿宋"/>
          <w:b/>
          <w:color w:val="auto"/>
          <w:sz w:val="24"/>
        </w:rPr>
      </w:pPr>
      <w:r>
        <w:rPr>
          <w:rFonts w:hint="eastAsia" w:ascii="仿宋" w:hAnsi="仿宋" w:eastAsia="仿宋" w:cs="仿宋"/>
          <w:b/>
          <w:color w:val="auto"/>
          <w:sz w:val="24"/>
        </w:rPr>
        <w:t>2.评标标准：</w:t>
      </w:r>
      <w:r>
        <w:rPr>
          <w:rFonts w:hint="eastAsia" w:ascii="仿宋" w:hAnsi="仿宋" w:eastAsia="仿宋" w:cs="仿宋"/>
          <w:color w:val="auto"/>
          <w:kern w:val="0"/>
          <w:sz w:val="24"/>
        </w:rPr>
        <w:t>见评标办法前附表。</w:t>
      </w:r>
    </w:p>
    <w:p w14:paraId="4A723CAF">
      <w:pPr>
        <w:spacing w:line="360" w:lineRule="auto"/>
        <w:ind w:firstLine="472" w:firstLineChars="196"/>
        <w:rPr>
          <w:rFonts w:hint="eastAsia" w:ascii="仿宋" w:hAnsi="仿宋" w:eastAsia="仿宋" w:cs="仿宋"/>
          <w:b/>
          <w:color w:val="auto"/>
          <w:sz w:val="24"/>
        </w:rPr>
      </w:pPr>
      <w:r>
        <w:rPr>
          <w:rFonts w:hint="eastAsia" w:ascii="仿宋" w:hAnsi="仿宋" w:eastAsia="仿宋" w:cs="仿宋"/>
          <w:b/>
          <w:color w:val="auto"/>
          <w:sz w:val="24"/>
        </w:rPr>
        <w:t>三、评标程序</w:t>
      </w:r>
    </w:p>
    <w:p w14:paraId="5FB7C704">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3.1符合性审查。</w:t>
      </w:r>
      <w:r>
        <w:rPr>
          <w:rFonts w:hint="eastAsia" w:ascii="仿宋" w:hAnsi="仿宋" w:eastAsia="仿宋" w:cs="仿宋"/>
          <w:color w:val="auto"/>
          <w:kern w:val="0"/>
          <w:sz w:val="24"/>
        </w:rPr>
        <w:t>评标委员会应当对符合资格的投标人的投标文件进行符合性审查，以确定其是否满足招标文件的实质性要求。不满足招标文件的实质性要求的，投标无效。</w:t>
      </w:r>
    </w:p>
    <w:p w14:paraId="3C938607">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3.2 比较与评价。</w:t>
      </w:r>
      <w:r>
        <w:rPr>
          <w:rFonts w:hint="eastAsia" w:ascii="仿宋" w:hAnsi="仿宋" w:eastAsia="仿宋" w:cs="仿宋"/>
          <w:color w:val="auto"/>
          <w:kern w:val="0"/>
          <w:sz w:val="24"/>
        </w:rPr>
        <w:t>评标委员会应当按照招标文件中规定的评标办法和标准，对符合性审查合格的投标文件进行商务和技术评估，综合比较与评价。</w:t>
      </w:r>
    </w:p>
    <w:p w14:paraId="754C755C">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3.3汇总商务技术得分。</w:t>
      </w:r>
      <w:r>
        <w:rPr>
          <w:rFonts w:hint="eastAsia" w:ascii="仿宋" w:hAnsi="仿宋" w:eastAsia="仿宋" w:cs="仿宋"/>
          <w:color w:val="auto"/>
          <w:kern w:val="0"/>
          <w:sz w:val="24"/>
        </w:rPr>
        <w:t>评标委员会各成员应当独立对每个投标人的商务和技术文件进行评价，并汇总商务技术得分情况。</w:t>
      </w:r>
    </w:p>
    <w:p w14:paraId="68008B10">
      <w:pPr>
        <w:spacing w:line="360" w:lineRule="auto"/>
        <w:ind w:firstLine="472" w:firstLineChars="196"/>
        <w:rPr>
          <w:rFonts w:hint="eastAsia" w:ascii="仿宋" w:hAnsi="仿宋" w:eastAsia="仿宋" w:cs="仿宋"/>
          <w:b/>
          <w:color w:val="auto"/>
          <w:kern w:val="0"/>
          <w:sz w:val="24"/>
        </w:rPr>
      </w:pPr>
      <w:r>
        <w:rPr>
          <w:rFonts w:hint="eastAsia" w:ascii="仿宋" w:hAnsi="仿宋" w:eastAsia="仿宋" w:cs="仿宋"/>
          <w:b/>
          <w:color w:val="auto"/>
          <w:kern w:val="0"/>
          <w:sz w:val="24"/>
        </w:rPr>
        <w:t>3.4报价评审。</w:t>
      </w:r>
    </w:p>
    <w:p w14:paraId="3D54BA7C">
      <w:pPr>
        <w:pStyle w:val="26"/>
        <w:spacing w:before="0"/>
        <w:ind w:firstLine="508" w:firstLineChars="212"/>
        <w:rPr>
          <w:rFonts w:hint="eastAsia" w:ascii="仿宋" w:hAnsi="仿宋" w:eastAsia="仿宋" w:cs="仿宋"/>
          <w:color w:val="auto"/>
          <w:kern w:val="0"/>
          <w:szCs w:val="24"/>
        </w:rPr>
      </w:pPr>
      <w:r>
        <w:rPr>
          <w:rFonts w:hint="eastAsia" w:ascii="仿宋" w:hAnsi="仿宋" w:eastAsia="仿宋" w:cs="仿宋"/>
          <w:color w:val="auto"/>
          <w:kern w:val="0"/>
          <w:szCs w:val="24"/>
        </w:rPr>
        <w:t>3.4.1投标文件报价出现前后不一致的，按照下列规定修正：</w:t>
      </w:r>
    </w:p>
    <w:p w14:paraId="06AD8B6A">
      <w:pPr>
        <w:pStyle w:val="2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3.4.1.1投标文件中开标一览表(报价表)内容与投标文件中相应内容不一致的，以开标一览表(报价表)为准（政采云系统开启报价若与报价文件不一致以报价文件为准）;</w:t>
      </w:r>
    </w:p>
    <w:p w14:paraId="50888051">
      <w:pPr>
        <w:pStyle w:val="2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3.4.1.2大写金额和小写金额不一致的，以大写金额为准;</w:t>
      </w:r>
    </w:p>
    <w:p w14:paraId="0FD6D68A">
      <w:pPr>
        <w:pStyle w:val="2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3.4.1.3单价金额小数点或者百分比有明显错位的，以开标一览表的总价为准，并修改单价;</w:t>
      </w:r>
    </w:p>
    <w:p w14:paraId="5564882A">
      <w:pPr>
        <w:pStyle w:val="2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3.4.1.4总价金额与按单价汇总金额不一致的，以单价金额计算结果为准。</w:t>
      </w:r>
    </w:p>
    <w:p w14:paraId="393B270B">
      <w:pPr>
        <w:pStyle w:val="2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3.4.1.5同时出现两种以上不一致的，按照3.4.1规定的顺序修正。修正后的报价按照财政部第87号令《政府采购货物和服务招标投标管理办法》第五十一条第二款的规定经投标人确认后产生约束力。</w:t>
      </w:r>
    </w:p>
    <w:p w14:paraId="7A260CDB">
      <w:pPr>
        <w:snapToGrid w:val="0"/>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3.4.2投标文件出现不是唯一的、有选择性投标报价的，投标无效。</w:t>
      </w:r>
    </w:p>
    <w:p w14:paraId="27A59DA4">
      <w:pPr>
        <w:snapToGrid w:val="0"/>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3.4.3投标报价超过招标文件中规定的预算金额或者最高限价的，投标无效。</w:t>
      </w:r>
    </w:p>
    <w:p w14:paraId="0F2130AE">
      <w:pPr>
        <w:pStyle w:val="2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BB56C7A">
      <w:pPr>
        <w:spacing w:line="360" w:lineRule="auto"/>
        <w:ind w:firstLine="482" w:firstLineChars="200"/>
        <w:rPr>
          <w:rFonts w:hint="eastAsia" w:ascii="仿宋" w:hAnsi="仿宋" w:eastAsia="仿宋" w:cs="仿宋"/>
          <w:color w:val="auto"/>
          <w:kern w:val="0"/>
          <w:sz w:val="24"/>
        </w:rPr>
      </w:pPr>
      <w:r>
        <w:rPr>
          <w:rFonts w:hint="eastAsia" w:ascii="仿宋" w:hAnsi="仿宋" w:eastAsia="仿宋" w:cs="仿宋"/>
          <w:b/>
          <w:color w:val="auto"/>
          <w:kern w:val="0"/>
          <w:sz w:val="24"/>
        </w:rPr>
        <w:t>3.5排序与推荐。</w:t>
      </w:r>
      <w:r>
        <w:rPr>
          <w:rFonts w:hint="eastAsia" w:ascii="仿宋" w:hAnsi="仿宋" w:eastAsia="仿宋" w:cs="仿宋"/>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CEF749E">
      <w:pPr>
        <w:spacing w:line="360" w:lineRule="auto"/>
        <w:ind w:firstLine="480" w:firstLineChars="200"/>
        <w:rPr>
          <w:rFonts w:hint="eastAsia" w:ascii="仿宋" w:hAnsi="仿宋" w:eastAsia="仿宋" w:cs="仿宋"/>
          <w:b/>
          <w:color w:val="auto"/>
          <w:kern w:val="0"/>
          <w:sz w:val="24"/>
        </w:rPr>
      </w:pPr>
      <w:r>
        <w:rPr>
          <w:rFonts w:hint="eastAsia" w:ascii="仿宋" w:hAnsi="仿宋" w:eastAsia="仿宋" w:cs="仿宋"/>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1D7F689">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3.6编写评标报告。</w:t>
      </w:r>
      <w:r>
        <w:rPr>
          <w:rFonts w:hint="eastAsia" w:ascii="仿宋" w:hAnsi="仿宋" w:eastAsia="仿宋" w:cs="仿宋"/>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9DEEF52">
      <w:pPr>
        <w:spacing w:line="360" w:lineRule="auto"/>
        <w:ind w:firstLine="472" w:firstLineChars="196"/>
        <w:rPr>
          <w:rFonts w:hint="eastAsia" w:ascii="仿宋" w:hAnsi="仿宋" w:eastAsia="仿宋" w:cs="仿宋"/>
          <w:b/>
          <w:color w:val="auto"/>
          <w:sz w:val="24"/>
        </w:rPr>
      </w:pPr>
      <w:r>
        <w:rPr>
          <w:rFonts w:hint="eastAsia" w:ascii="仿宋" w:hAnsi="仿宋" w:eastAsia="仿宋" w:cs="仿宋"/>
          <w:b/>
          <w:color w:val="auto"/>
          <w:sz w:val="24"/>
        </w:rPr>
        <w:t>四、评标中的</w:t>
      </w:r>
      <w:r>
        <w:rPr>
          <w:rFonts w:hint="eastAsia" w:ascii="仿宋" w:hAnsi="仿宋" w:eastAsia="仿宋" w:cs="仿宋"/>
          <w:b/>
          <w:color w:val="auto"/>
          <w:kern w:val="0"/>
          <w:sz w:val="24"/>
        </w:rPr>
        <w:t>其他</w:t>
      </w:r>
      <w:r>
        <w:rPr>
          <w:rFonts w:hint="eastAsia" w:ascii="仿宋" w:hAnsi="仿宋" w:eastAsia="仿宋" w:cs="仿宋"/>
          <w:b/>
          <w:color w:val="auto"/>
          <w:sz w:val="24"/>
        </w:rPr>
        <w:t>事项</w:t>
      </w:r>
    </w:p>
    <w:p w14:paraId="569FC811">
      <w:pPr>
        <w:pStyle w:val="26"/>
        <w:spacing w:before="0"/>
        <w:ind w:firstLine="472" w:firstLineChars="196"/>
        <w:rPr>
          <w:rFonts w:hint="eastAsia" w:ascii="仿宋" w:hAnsi="仿宋" w:eastAsia="仿宋" w:cs="仿宋"/>
          <w:color w:val="auto"/>
          <w:kern w:val="0"/>
          <w:szCs w:val="24"/>
        </w:rPr>
      </w:pPr>
      <w:r>
        <w:rPr>
          <w:rFonts w:hint="eastAsia" w:ascii="仿宋" w:hAnsi="仿宋" w:eastAsia="仿宋" w:cs="仿宋"/>
          <w:b/>
          <w:color w:val="auto"/>
          <w:kern w:val="0"/>
          <w:szCs w:val="24"/>
        </w:rPr>
        <w:t>4.1投标人澄清、说明或者补正。</w:t>
      </w:r>
      <w:r>
        <w:rPr>
          <w:rFonts w:hint="eastAsia" w:ascii="仿宋" w:hAnsi="仿宋" w:eastAsia="仿宋" w:cs="仿宋"/>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92CBB09">
      <w:pPr>
        <w:pStyle w:val="7"/>
        <w:spacing w:line="360" w:lineRule="auto"/>
        <w:ind w:left="954" w:leftChars="226" w:hanging="479" w:firstLineChars="0"/>
        <w:rPr>
          <w:rFonts w:hint="eastAsia" w:ascii="仿宋" w:hAnsi="仿宋" w:eastAsia="仿宋" w:cs="仿宋"/>
          <w:color w:val="auto"/>
        </w:rPr>
      </w:pPr>
      <w:r>
        <w:rPr>
          <w:rFonts w:hint="eastAsia" w:ascii="仿宋" w:hAnsi="仿宋" w:eastAsia="仿宋" w:cs="仿宋"/>
          <w:b/>
          <w:color w:val="auto"/>
          <w:kern w:val="0"/>
        </w:rPr>
        <w:t>4.2投标无效。</w:t>
      </w:r>
      <w:r>
        <w:rPr>
          <w:rFonts w:hint="eastAsia" w:ascii="仿宋" w:hAnsi="仿宋" w:eastAsia="仿宋" w:cs="仿宋"/>
          <w:color w:val="auto"/>
        </w:rPr>
        <w:t>有下列情况之一的，投标无效：</w:t>
      </w:r>
    </w:p>
    <w:p w14:paraId="26BEE038">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4.2.1单位负责人为同一人或者存在直接控股、管理关系的不同供应商参加同一合同项下的政府采购活动的（均无效）；</w:t>
      </w:r>
    </w:p>
    <w:p w14:paraId="51BCA0E7">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 xml:space="preserve">4.2.2为采购项目提供整体设计、规范编制或者项目管理、监理、检测等服务的供应商再参加该采购项目的其他采购活动的； </w:t>
      </w:r>
    </w:p>
    <w:p w14:paraId="665C7C2F">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4.2.3投标人不具备招标文件中规定的资格要求的（投标人未提供有效的资格证明文件的，视为投标人不具备招标文件中规定的资格要求）；</w:t>
      </w:r>
    </w:p>
    <w:p w14:paraId="7016DF03">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4.2.4如以联合体形式参加政府采购活动的，联合体协议不符合招标文件规定的联合体协议要求的；</w:t>
      </w:r>
    </w:p>
    <w:p w14:paraId="0ACE3A93">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4.2.5投标文件未按招标文件的澄清、修改的内容编制，又不符合实质性要求的；</w:t>
      </w:r>
    </w:p>
    <w:p w14:paraId="77C0B424">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4.2.6投标文件组成不全或内容字迹模糊辨认不清的而导致评标无法正常进行（经评标委员会认定并允许其当场更正的笔误除外的）；</w:t>
      </w:r>
    </w:p>
    <w:p w14:paraId="10794050">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4.2.7投标文件中法人授权书所载内容与本项目内容有异的；</w:t>
      </w:r>
    </w:p>
    <w:p w14:paraId="6F1D8BA6">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4.2.8投标文件未按照招标文件要求签署、盖章的；</w:t>
      </w:r>
    </w:p>
    <w:p w14:paraId="4A37C55D">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4.2.9采购人拟采购的产品属于政府强制采购的节能产品品目清单范围的，投标人未按招标文件要求提供国家确定的认证机构出具的、处于有效期之内的节能产品认证证书的；</w:t>
      </w:r>
    </w:p>
    <w:p w14:paraId="2BAE68DE">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4.2.10投标文件含有采购人不能接受的附加条件的；</w:t>
      </w:r>
    </w:p>
    <w:p w14:paraId="37A5DCBF">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4.2.11投标文件中承诺的投标有效期少于招标文件中载明的投标有效期的；</w:t>
      </w:r>
    </w:p>
    <w:p w14:paraId="04DF90B2">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4.2.12投标人所投内容不符合招标文件中实质性要求的；</w:t>
      </w:r>
    </w:p>
    <w:p w14:paraId="7DB1057F">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4.2.13投标文件出现不是唯一的、有选择性投标报价的;</w:t>
      </w:r>
    </w:p>
    <w:p w14:paraId="27DCD5AC">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4.2.14投标报价高于本项目采购预算或者最高限价的;</w:t>
      </w:r>
    </w:p>
    <w:p w14:paraId="72E124E7">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4.2.15报价明显低于其他通过符合性审查投标人的报价，有可能影响产品质量或者不能诚信履约的，未能按要求提供书面说明或者提交相关证明材料，不能证明其报价合理性的;</w:t>
      </w:r>
    </w:p>
    <w:p w14:paraId="1F51EF28">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4.2.16开标一览表（报价表）填写不完整或字迹不能辨认或有漏项的；</w:t>
      </w:r>
    </w:p>
    <w:p w14:paraId="489A4FF4">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4.2.17投标人对根据修正原则修正后的报价不确认的；</w:t>
      </w:r>
    </w:p>
    <w:p w14:paraId="11ADA3EE">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4.2.18投标人提供虚假材料投标的（包括但不限于以下情节）；</w:t>
      </w:r>
    </w:p>
    <w:p w14:paraId="45688E21">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4.2.18.1使用伪造、变造的许可证件；</w:t>
      </w:r>
    </w:p>
    <w:p w14:paraId="149FF252">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4.2.18.2提供虚假的财务状况或者业绩；</w:t>
      </w:r>
    </w:p>
    <w:p w14:paraId="37EDBF5A">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4.2.18.3提供虚假的项目负责人或者主要技术人员简历、劳动关系证明；</w:t>
      </w:r>
    </w:p>
    <w:p w14:paraId="2AEBA229">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4.2.18.4提供虚假的信用状况；</w:t>
      </w:r>
    </w:p>
    <w:p w14:paraId="1C3DF285">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4.2.18.5其他弄虚作假的行为。</w:t>
      </w:r>
    </w:p>
    <w:p w14:paraId="78451E7F">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4.2.19投标人有恶意串通、妨碍其他投标人的竞争行为、损害采购人或者其他投标人的合法权益情形的；有下列情形之一的，属于或视为恶意串通，其投标无效：</w:t>
      </w:r>
    </w:p>
    <w:p w14:paraId="402C7B9F">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4.2.19.1供应商直接或者间接从采购人或者采购代理机构处获得其他供应商的相关情况并修改其投标文件或者响应文件；</w:t>
      </w:r>
    </w:p>
    <w:p w14:paraId="2C1B6857">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4.2.19.2供应商按照采购人或者采购代理机构的授意撤换、修改投标文件或者响应文件；</w:t>
      </w:r>
    </w:p>
    <w:p w14:paraId="29CD4C81">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4.2.19.3供应商之间协商报价、技术方案等投标文件或者响应文件的实质性内容；</w:t>
      </w:r>
    </w:p>
    <w:p w14:paraId="7D2BE2CB">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4.2.19.4属于同一集团、协会、商会等组织成员的供应商按照该组织要求协同参加政府采购活动；</w:t>
      </w:r>
    </w:p>
    <w:p w14:paraId="7DD23C86">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4.2.19.5供应商之间事先约定由某一特定供应商中标、成交；</w:t>
      </w:r>
    </w:p>
    <w:p w14:paraId="5F41E2AC">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4.2.19.6供应商之间商定部分供应商放弃参加政府采购活动或者放弃中标、成交；</w:t>
      </w:r>
    </w:p>
    <w:p w14:paraId="0A7DCCDA">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4.2.19.7供应商与采购人或者采购代理机构之间、供应商相互之间，为谋求特定供应商中标、成交或者排斥其他供应商的其他串通行为。</w:t>
      </w:r>
    </w:p>
    <w:p w14:paraId="05C6C892">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4.2.19.8不同投标人的投标文件由同一单位或者个人编制；</w:t>
      </w:r>
    </w:p>
    <w:p w14:paraId="70500861">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4.2.19.9不同投标人委托同一单位或者个人办理投标事宜；</w:t>
      </w:r>
    </w:p>
    <w:p w14:paraId="09477E0E">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4.2.19.10不同投标人的投标文件载明的项目管理成员或者联系人员为同一人；</w:t>
      </w:r>
    </w:p>
    <w:p w14:paraId="4806A152">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4.2.19.11不同投标人的投标文件异常一致或者投标报价呈规律性差异；</w:t>
      </w:r>
    </w:p>
    <w:p w14:paraId="0C288561">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4.2.19.12不同投标人的投标文件相互混装；</w:t>
      </w:r>
    </w:p>
    <w:p w14:paraId="6DFF57AF">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4.2.20投标人仅提交备份投标文件，没有在电子交易平台传输递交投标文件的，投标无效；</w:t>
      </w:r>
    </w:p>
    <w:p w14:paraId="31428577">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4.2.21以联合体形式投标的，在资格文件和商务技术文件中均未提供联合协议的，投标无效；</w:t>
      </w:r>
    </w:p>
    <w:p w14:paraId="3A28CDBD">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4.2.22以分包方式履行合同的，在资格文件和商务技术文件中均未提供分包意向协议的，投标无效；</w:t>
      </w:r>
    </w:p>
    <w:p w14:paraId="7619CA87">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4.2.23 专门面向中小企业采购的，在资格文件和商务技术文件中均未提供中小企业声明函的，投标无效；</w:t>
      </w:r>
    </w:p>
    <w:p w14:paraId="72C93C2F">
      <w:pPr>
        <w:pStyle w:val="7"/>
        <w:snapToGrid w:val="0"/>
        <w:spacing w:line="360" w:lineRule="auto"/>
        <w:ind w:firstLine="470" w:firstLineChars="196"/>
        <w:rPr>
          <w:rFonts w:hint="eastAsia" w:ascii="仿宋" w:hAnsi="仿宋" w:eastAsia="仿宋" w:cs="仿宋"/>
          <w:color w:val="auto"/>
          <w:kern w:val="0"/>
          <w:szCs w:val="22"/>
        </w:rPr>
      </w:pPr>
      <w:r>
        <w:rPr>
          <w:rFonts w:hint="eastAsia" w:ascii="仿宋" w:hAnsi="仿宋" w:eastAsia="仿宋" w:cs="仿宋"/>
          <w:color w:val="auto"/>
          <w:kern w:val="0"/>
          <w:szCs w:val="22"/>
        </w:rPr>
        <w:t>4.2.24法律、法规、规章（适用本市的）及省级以上规范性文件（适用本市的）规定的其他无效情形。</w:t>
      </w:r>
    </w:p>
    <w:p w14:paraId="3AD79619">
      <w:pPr>
        <w:pStyle w:val="7"/>
        <w:snapToGrid w:val="0"/>
        <w:spacing w:line="360" w:lineRule="auto"/>
        <w:ind w:firstLine="472" w:firstLineChars="196"/>
        <w:rPr>
          <w:rFonts w:hint="eastAsia" w:ascii="仿宋" w:hAnsi="仿宋" w:eastAsia="仿宋" w:cs="仿宋"/>
          <w:color w:val="auto"/>
        </w:rPr>
      </w:pPr>
      <w:r>
        <w:rPr>
          <w:rFonts w:hint="eastAsia" w:ascii="仿宋" w:hAnsi="仿宋" w:eastAsia="仿宋" w:cs="仿宋"/>
          <w:b/>
          <w:color w:val="auto"/>
        </w:rPr>
        <w:t>5.废标。</w:t>
      </w:r>
      <w:r>
        <w:rPr>
          <w:rFonts w:hint="eastAsia" w:ascii="仿宋" w:hAnsi="仿宋" w:eastAsia="仿宋" w:cs="仿宋"/>
          <w:color w:val="auto"/>
        </w:rPr>
        <w:t>根据《中华人民共和国政府采购法》第三十六条之规定，在采购中，出现下列情形之一的，应予废标：</w:t>
      </w:r>
    </w:p>
    <w:p w14:paraId="0B591040">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5.1符合专业条件的供应商或者对招标文件作实质响应的供应商不足3家的；</w:t>
      </w:r>
    </w:p>
    <w:p w14:paraId="2B69F386">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5.2出现影响采购公正的违法、违规行为的；</w:t>
      </w:r>
    </w:p>
    <w:p w14:paraId="4A1E4FF5">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5.3投标人的报价均超过了采购预算，采购人不能支付的；</w:t>
      </w:r>
    </w:p>
    <w:p w14:paraId="13A69FFD">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5.4因重大变故，采购任务取消的。</w:t>
      </w:r>
    </w:p>
    <w:p w14:paraId="59EA0A14">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废标后，采购代理机构应当将废标理由通知所有投标人。</w:t>
      </w:r>
    </w:p>
    <w:p w14:paraId="6802B7DB">
      <w:pPr>
        <w:pStyle w:val="7"/>
        <w:snapToGrid w:val="0"/>
        <w:spacing w:line="360" w:lineRule="auto"/>
        <w:ind w:firstLine="482"/>
        <w:rPr>
          <w:rFonts w:hint="eastAsia" w:ascii="仿宋" w:hAnsi="仿宋" w:eastAsia="仿宋" w:cs="仿宋"/>
          <w:color w:val="auto"/>
        </w:rPr>
      </w:pPr>
      <w:r>
        <w:rPr>
          <w:rFonts w:hint="eastAsia" w:ascii="仿宋" w:hAnsi="仿宋" w:eastAsia="仿宋" w:cs="仿宋"/>
          <w:b/>
          <w:color w:val="auto"/>
        </w:rPr>
        <w:t>6.修改招标文件，重新组织采购活动。</w:t>
      </w:r>
      <w:r>
        <w:rPr>
          <w:rFonts w:hint="eastAsia" w:ascii="仿宋" w:hAnsi="仿宋" w:eastAsia="仿宋" w:cs="仿宋"/>
          <w:color w:val="auto"/>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1E4F508D">
      <w:pPr>
        <w:pStyle w:val="7"/>
        <w:snapToGrid w:val="0"/>
        <w:spacing w:line="360" w:lineRule="auto"/>
        <w:ind w:firstLine="482"/>
        <w:rPr>
          <w:rFonts w:hint="eastAsia" w:ascii="仿宋" w:hAnsi="仿宋" w:eastAsia="仿宋" w:cs="仿宋"/>
          <w:color w:val="auto"/>
        </w:rPr>
      </w:pPr>
      <w:r>
        <w:rPr>
          <w:rFonts w:hint="eastAsia" w:ascii="仿宋" w:hAnsi="仿宋" w:eastAsia="仿宋" w:cs="仿宋"/>
          <w:b/>
          <w:color w:val="auto"/>
          <w:kern w:val="0"/>
        </w:rPr>
        <w:t>7.重新开展采购。</w:t>
      </w:r>
      <w:r>
        <w:rPr>
          <w:rFonts w:hint="eastAsia" w:ascii="仿宋" w:hAnsi="仿宋" w:eastAsia="仿宋" w:cs="仿宋"/>
          <w:color w:val="auto"/>
        </w:rPr>
        <w:t>有政府采购法第七十一条、第七十二条规定的违法行为之一，影响或者可能影响中标、成交结果的，依照下列规定处理：</w:t>
      </w:r>
    </w:p>
    <w:p w14:paraId="5A2E8195">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7.1未确定中标或者中标人的，终止本次政府采购活动，重新开展政府采购活动。</w:t>
      </w:r>
    </w:p>
    <w:p w14:paraId="115771F8">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7.2已确定中标或者中标人但尚未签订政府采购合同的，中标或者成交结果无效，从合格的中标或者成交候选人中另行确定中标或者中标人；没有合格的中标或者成交候选人的，重新开展政府采购活动。</w:t>
      </w:r>
    </w:p>
    <w:p w14:paraId="491F026C">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7.3政府采购合同已签订但尚未履行的，撤销合同，从合格的中标或者成交候选人中另行确定中标或者中标人；没有合格的中标或者成交候选人的，重新开展政府采购活动。</w:t>
      </w:r>
    </w:p>
    <w:p w14:paraId="11FCB55F">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7.4政府采购合同已经履行，给采购人、供应商造成损失的，由责任人承担赔偿责任。</w:t>
      </w:r>
    </w:p>
    <w:p w14:paraId="5AC4212C">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7.5政府采购当事人有其他违反政府采购法或者政府采购法实施条例等法律法规规定的行为，经改正后仍然影响或者可能影响中标、成交结果或者依法被认定为中标成交无效的，依照7.1-7.4规定处理。</w:t>
      </w:r>
    </w:p>
    <w:p w14:paraId="5635ABCC">
      <w:pPr>
        <w:pStyle w:val="7"/>
        <w:snapToGrid w:val="0"/>
        <w:spacing w:line="360" w:lineRule="auto"/>
        <w:ind w:firstLine="482"/>
        <w:rPr>
          <w:rFonts w:hint="eastAsia" w:ascii="仿宋" w:hAnsi="仿宋" w:eastAsia="仿宋" w:cs="仿宋"/>
          <w:b/>
          <w:color w:val="auto"/>
        </w:rPr>
      </w:pPr>
      <w:r>
        <w:rPr>
          <w:rFonts w:hint="eastAsia" w:ascii="仿宋" w:hAnsi="仿宋" w:eastAsia="仿宋" w:cs="仿宋"/>
          <w:b/>
          <w:color w:val="auto"/>
        </w:rPr>
        <w:t>8.评审过程的保密与录像</w:t>
      </w:r>
    </w:p>
    <w:p w14:paraId="2407FC84">
      <w:pPr>
        <w:pStyle w:val="7"/>
        <w:snapToGrid w:val="0"/>
        <w:spacing w:line="360" w:lineRule="auto"/>
        <w:rPr>
          <w:rFonts w:hint="eastAsia" w:ascii="仿宋" w:hAnsi="仿宋" w:eastAsia="仿宋" w:cs="仿宋"/>
          <w:color w:val="auto"/>
        </w:rPr>
      </w:pPr>
      <w:r>
        <w:rPr>
          <w:rFonts w:hint="eastAsia" w:ascii="仿宋" w:hAnsi="仿宋" w:eastAsia="仿宋" w:cs="仿宋"/>
          <w:color w:val="auto"/>
        </w:rPr>
        <w:t>8.1保密。评审活动在严格保密的情况下进行。评审过程中凡是与采购响应文件评审和比较、中标人推荐等评审有关的情况，以及涉及国家秘密和商业秘密等信息，评审委员会成员、采购人和采购代理机构工作人员、相关监督人员等与评审有关的人员应当予以保密。</w:t>
      </w:r>
    </w:p>
    <w:p w14:paraId="19190148">
      <w:pPr>
        <w:pStyle w:val="7"/>
        <w:snapToGrid w:val="0"/>
        <w:spacing w:line="360" w:lineRule="auto"/>
        <w:ind w:firstLine="482"/>
        <w:rPr>
          <w:rFonts w:hint="eastAsia" w:ascii="仿宋" w:hAnsi="仿宋" w:eastAsia="仿宋" w:cs="仿宋"/>
          <w:color w:val="auto"/>
        </w:rPr>
      </w:pPr>
      <w:r>
        <w:rPr>
          <w:rFonts w:hint="eastAsia" w:ascii="仿宋" w:hAnsi="仿宋" w:eastAsia="仿宋" w:cs="仿宋"/>
          <w:b/>
          <w:color w:val="auto"/>
        </w:rPr>
        <w:t>9.录音录像。</w:t>
      </w:r>
      <w:r>
        <w:rPr>
          <w:rFonts w:hint="eastAsia" w:ascii="仿宋" w:hAnsi="仿宋" w:eastAsia="仿宋" w:cs="仿宋"/>
          <w:color w:val="auto"/>
        </w:rPr>
        <w:t>采购代理机构对评审工作现场进行全过程录音录像。</w:t>
      </w:r>
    </w:p>
    <w:p w14:paraId="1C9470AE">
      <w:pPr>
        <w:pStyle w:val="7"/>
        <w:snapToGrid w:val="0"/>
        <w:spacing w:line="360" w:lineRule="auto"/>
        <w:rPr>
          <w:rFonts w:hint="eastAsia" w:ascii="仿宋" w:hAnsi="仿宋" w:eastAsia="仿宋" w:cs="仿宋"/>
          <w:color w:val="auto"/>
        </w:rPr>
      </w:pPr>
      <w:r>
        <w:rPr>
          <w:rFonts w:hint="eastAsia" w:ascii="仿宋" w:hAnsi="仿宋" w:eastAsia="仿宋" w:cs="仿宋"/>
          <w:color w:val="auto"/>
        </w:rPr>
        <w:br w:type="page"/>
      </w:r>
    </w:p>
    <w:p w14:paraId="2FE0254F">
      <w:pPr>
        <w:pStyle w:val="7"/>
        <w:snapToGrid w:val="0"/>
        <w:spacing w:line="360" w:lineRule="auto"/>
        <w:ind w:right="-512" w:firstLine="0" w:firstLineChars="0"/>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第五部分  拟签订的合同文本</w:t>
      </w:r>
    </w:p>
    <w:p w14:paraId="7562249D">
      <w:pPr>
        <w:pStyle w:val="7"/>
        <w:snapToGrid w:val="0"/>
        <w:spacing w:line="360" w:lineRule="auto"/>
        <w:ind w:right="-512" w:firstLine="0" w:firstLineChars="0"/>
        <w:jc w:val="center"/>
        <w:rPr>
          <w:rFonts w:hint="eastAsia" w:ascii="仿宋" w:hAnsi="仿宋" w:eastAsia="仿宋" w:cs="仿宋"/>
          <w:b/>
          <w:color w:val="auto"/>
        </w:rPr>
      </w:pPr>
    </w:p>
    <w:p w14:paraId="54594218">
      <w:pPr>
        <w:adjustRightInd w:val="0"/>
        <w:spacing w:line="400" w:lineRule="exact"/>
        <w:jc w:val="center"/>
        <w:rPr>
          <w:rFonts w:ascii="仿宋_GB2312" w:eastAsia="仿宋_GB2312"/>
          <w:color w:val="auto"/>
          <w:sz w:val="24"/>
          <w:highlight w:val="none"/>
        </w:rPr>
      </w:pPr>
      <w:r>
        <w:rPr>
          <w:rFonts w:hint="eastAsia" w:ascii="仿宋_GB2312" w:eastAsia="仿宋_GB2312"/>
          <w:b/>
          <w:bCs/>
          <w:color w:val="auto"/>
          <w:sz w:val="24"/>
          <w:highlight w:val="none"/>
        </w:rPr>
        <w:t>一、合同基本条款</w:t>
      </w:r>
    </w:p>
    <w:p w14:paraId="54C343A3">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1、定义</w:t>
      </w:r>
    </w:p>
    <w:p w14:paraId="1F5A8C39">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1.1 “合同”系指采购人和中标人(以下简称合同双方)已达成的协议，即由双方签订的合同格式中的文件，包括所有的附件、附录和组成合同部分的所有其他文件。</w:t>
      </w:r>
    </w:p>
    <w:p w14:paraId="30859870">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1.2 “合同价格”系指根据合同规定，在中标人全面正确地履行合同义务，采购人应支付给中标人的总金额。</w:t>
      </w:r>
    </w:p>
    <w:p w14:paraId="522CC614">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1.3 “采购人（甲方）”系指通过政府采购方式，接受物业服务的采购人单位。</w:t>
      </w:r>
    </w:p>
    <w:p w14:paraId="00618469">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1.4 “中标人（乙方）”系指中标后提供物业服务的物业管理企业或单位。</w:t>
      </w:r>
    </w:p>
    <w:p w14:paraId="44175833">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2、适用范围</w:t>
      </w:r>
    </w:p>
    <w:p w14:paraId="345AD63B">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本合同条款仅适用于本次采购活动，有关中标人与采购人最终权利义务的确定以中标后双方依据本次采购投标情况签订的正式合同为准。</w:t>
      </w:r>
    </w:p>
    <w:p w14:paraId="365E0F69">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3、技术规格和标准</w:t>
      </w:r>
    </w:p>
    <w:p w14:paraId="2403E6D2">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本合同项下所提供服务的范围和标准应与本招标文件要求规定的标准相一致。</w:t>
      </w:r>
    </w:p>
    <w:p w14:paraId="1B70A338">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4、价格</w:t>
      </w:r>
    </w:p>
    <w:p w14:paraId="1CE8480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除非合同中另有规定,中标人为其所提供物业管理服务而要求采购人支付的金额应与其投标报价一致。</w:t>
      </w:r>
    </w:p>
    <w:p w14:paraId="3C4CE5EC">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5、专利权</w:t>
      </w:r>
    </w:p>
    <w:p w14:paraId="0F76D2E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中标人须保障采购人在使用其货物、服务及其任何部分不受到第三方关于侵犯专利权、商标权或工业设计权的指控。任何第三方如果提出侵权指控，中标人须与第三方交涉并承担可能发生的一切法律和费用责任。</w:t>
      </w:r>
    </w:p>
    <w:p w14:paraId="3AC502BE">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6、违约责任及索赔</w:t>
      </w:r>
    </w:p>
    <w:p w14:paraId="7036C1E3">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6.1  甲乙双方任何一方违反合同，造成对方经济损失的，应给予对方经济赔偿。</w:t>
      </w:r>
    </w:p>
    <w:p w14:paraId="2334B3CE">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6.2  如果乙方无正当理由拖延管理或不按时提供服务，甲方有权加收违约损失赔偿。</w:t>
      </w:r>
    </w:p>
    <w:p w14:paraId="41E2D3D8">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6.3  乙方如给甲方造成的实际损失高于违约金的，对高出违约金的部分乙方应予以赔偿。</w:t>
      </w:r>
    </w:p>
    <w:p w14:paraId="212DE205">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6.4  乙方如延迟履行合同、不完全履行合同，除支付违约金外，乙方仍应实际履行合同；不履行或履行合同不符合约定，甲方均有权解除合同，并就乙方违约给甲方造成的损失向乙方索赔。</w:t>
      </w:r>
    </w:p>
    <w:p w14:paraId="36121E7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6.5  甲方不能及时按合同付款，则应当自逾付款第5日起，每天按当月应付管理服务费的0.5%向乙方支付滞纳金，甲方应付费用拖欠60天后，乙方有权终止本合同承担的管理目标及责任。</w:t>
      </w:r>
    </w:p>
    <w:p w14:paraId="7311B644">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6.6  乙方未能履行合同义务（除不可抗力因素外），不能完成管理和服务目标，甲方有权要求乙方给予甲方经济赔偿。</w:t>
      </w:r>
    </w:p>
    <w:p w14:paraId="74196137">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6.7  乙方应对所提供的服务项目与合同要求不符合承担责任，对于情节轻微的，经双方同意可降低该类项目的物业管理服务价格；对情节严重的，甲方有权取消其不符要求的服务项目，并收回该类项目的物业管理费等全部费用。</w:t>
      </w:r>
    </w:p>
    <w:p w14:paraId="3F79BFB5">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6.8  乙方未按要求维护保养设备致使设备损坏的；或因人为因素致使所检修的设备损坏的；或因监管不力致使被第三方损坏设备的，应负责修复损坏设备或照价赔偿甲方损失。</w:t>
      </w:r>
    </w:p>
    <w:p w14:paraId="15E0A400">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6.9  如果甲方提出索赔通知后30天内或甲方允许的更长时间内乙方未能予以答复，给索赔应视为已经被乙方接收。甲方将从乙方管理费用中扣除索赔金额，同时保留进一步要求索赔的权利。</w:t>
      </w:r>
    </w:p>
    <w:p w14:paraId="1D89A53C">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6.10 乙方如有委托外包服务项目，乙方要积极对外包单位进行服务程序制度的培训，以便符合商务中心服务质量的要求。对乙方与外包单位所引起的一切纠纷，以及造成设备和人员损伤等事故，均由乙方负责和赔偿。</w:t>
      </w:r>
    </w:p>
    <w:p w14:paraId="41336530">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7、不可抗力</w:t>
      </w:r>
    </w:p>
    <w:p w14:paraId="097395E3">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7.1  签约双方任一方由于受诸如战争、严重火灾、洪水、台风、地震等不可抗力事故的影响而不能执行合同时,履行合同的期限应予以延长,则延长的期限应相当于事故所影响的时间.不可抗力事故系指甲乙双方在缔结合同时所不能预见的,并且它的发生及其后果是无法避免和无法克服的事故。</w:t>
      </w:r>
    </w:p>
    <w:p w14:paraId="21D5620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7.2  受阻一方应在不可抗力事故发生后尽快用电报或传真通知对方,并于事故发生后14天内将有关部门出具的证明文件用特快专递或挂号信寄给对方审阅确认。一旦不可抗力事故的影响持续60天以上,双方应通过友好协商在合理的时间内达成进一步履行合同的协议。</w:t>
      </w:r>
    </w:p>
    <w:p w14:paraId="7B3EC785">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8、服务费的支付</w:t>
      </w:r>
    </w:p>
    <w:p w14:paraId="556FABD9">
      <w:pPr>
        <w:spacing w:line="400" w:lineRule="exact"/>
        <w:ind w:firstLine="480" w:firstLineChars="200"/>
        <w:rPr>
          <w:rFonts w:hint="eastAsia" w:ascii="仿宋_GB2312" w:hAnsi="宋体" w:eastAsia="仿宋_GB2312"/>
          <w:color w:val="auto"/>
          <w:sz w:val="24"/>
          <w:highlight w:val="none"/>
          <w:lang w:eastAsia="zh-CN"/>
        </w:rPr>
      </w:pPr>
      <w:r>
        <w:rPr>
          <w:rFonts w:hint="eastAsia" w:ascii="仿宋_GB2312" w:hAnsi="宋体" w:eastAsia="仿宋_GB2312"/>
          <w:color w:val="auto"/>
          <w:sz w:val="24"/>
          <w:highlight w:val="none"/>
          <w:lang w:eastAsia="zh-CN"/>
        </w:rPr>
        <w:t>甲方根据《物业管理服务考核细则》（另定）对乙方的服务质量进行月度考核，如考核合格，甲方足额支付当月物业管理费。如达不到要求的，甲方有权书面要求乙方在规定期限内整改，逾期未整改，甲方有权扣除乙方当月相应项目的物业管理费用。</w:t>
      </w:r>
    </w:p>
    <w:p w14:paraId="57065A98">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9、税费</w:t>
      </w:r>
    </w:p>
    <w:p w14:paraId="0194B70B">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9.1  根据国家现行税法向采购人征收的与履行本合同有关的一切税费由采购人负担。</w:t>
      </w:r>
    </w:p>
    <w:p w14:paraId="4966559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9.2  根据国家现行税法向中标人征收的与履行本合同有关的一切税费由中标人负担。</w:t>
      </w:r>
    </w:p>
    <w:p w14:paraId="1E02E6C6">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0</w:t>
      </w:r>
      <w:r>
        <w:rPr>
          <w:rFonts w:hint="eastAsia" w:ascii="仿宋_GB2312" w:eastAsia="仿宋_GB2312"/>
          <w:color w:val="auto"/>
          <w:sz w:val="24"/>
          <w:highlight w:val="none"/>
        </w:rPr>
        <w:t>、争议的解决</w:t>
      </w:r>
    </w:p>
    <w:p w14:paraId="6FA11AA8">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0</w:t>
      </w:r>
      <w:r>
        <w:rPr>
          <w:rFonts w:hint="eastAsia" w:ascii="仿宋_GB2312" w:eastAsia="仿宋_GB2312"/>
          <w:color w:val="auto"/>
          <w:sz w:val="24"/>
          <w:highlight w:val="none"/>
        </w:rPr>
        <w:t>.1  在执行合同中发生的或与本合同有关的争端,双方应通过友好协商解决,经协商在60天内不能达成协议时,提交合同履行地法院裁决。</w:t>
      </w:r>
    </w:p>
    <w:p w14:paraId="0D787410">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0</w:t>
      </w:r>
      <w:r>
        <w:rPr>
          <w:rFonts w:hint="eastAsia" w:ascii="仿宋_GB2312" w:eastAsia="仿宋_GB2312"/>
          <w:color w:val="auto"/>
          <w:sz w:val="24"/>
          <w:highlight w:val="none"/>
        </w:rPr>
        <w:t>.2  在诉讼期间，除正在进行诉讼部分外，合同其他部分继续执行。</w:t>
      </w:r>
    </w:p>
    <w:p w14:paraId="6858C140">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1</w:t>
      </w:r>
      <w:r>
        <w:rPr>
          <w:rFonts w:hint="eastAsia" w:ascii="仿宋_GB2312" w:eastAsia="仿宋_GB2312"/>
          <w:color w:val="auto"/>
          <w:sz w:val="24"/>
          <w:highlight w:val="none"/>
        </w:rPr>
        <w:t>、合同终止</w:t>
      </w:r>
    </w:p>
    <w:p w14:paraId="0E3AEE18">
      <w:pPr>
        <w:spacing w:line="400" w:lineRule="exact"/>
        <w:ind w:firstLine="480" w:firstLineChars="200"/>
        <w:rPr>
          <w:rFonts w:hint="eastAsia"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1</w:t>
      </w:r>
      <w:r>
        <w:rPr>
          <w:rFonts w:hint="eastAsia" w:ascii="仿宋_GB2312" w:eastAsia="仿宋_GB2312"/>
          <w:color w:val="auto"/>
          <w:sz w:val="24"/>
          <w:highlight w:val="none"/>
        </w:rPr>
        <w:t>.1  本合同</w:t>
      </w:r>
      <w:r>
        <w:rPr>
          <w:rFonts w:hint="eastAsia" w:ascii="仿宋_GB2312" w:eastAsia="仿宋_GB2312"/>
          <w:color w:val="auto"/>
          <w:sz w:val="24"/>
          <w:highlight w:val="none"/>
          <w:lang w:eastAsia="zh-CN"/>
        </w:rPr>
        <w:t>首期</w:t>
      </w:r>
      <w:r>
        <w:rPr>
          <w:rFonts w:hint="eastAsia" w:ascii="仿宋_GB2312" w:eastAsia="仿宋_GB2312"/>
          <w:color w:val="auto"/>
          <w:sz w:val="24"/>
          <w:highlight w:val="none"/>
        </w:rPr>
        <w:t>期限为一年。合同到期甲乙双方均未提出新的意向,合同自行终止。合作期内任何一方不得擅自停止协议,否则应负担所造成的一切损失。如一方因故需终止合同,必须提前三个月书面通知另一方,经双方达成一致意见后,方可终止。</w:t>
      </w:r>
    </w:p>
    <w:p w14:paraId="2D4604A3">
      <w:pPr>
        <w:spacing w:line="400" w:lineRule="exact"/>
        <w:ind w:firstLine="480" w:firstLineChars="200"/>
        <w:rPr>
          <w:rFonts w:hint="eastAsia" w:ascii="仿宋_GB2312" w:eastAsia="仿宋_GB2312"/>
          <w:color w:val="auto"/>
          <w:sz w:val="24"/>
          <w:highlight w:val="none"/>
        </w:rPr>
      </w:pPr>
      <w:r>
        <w:rPr>
          <w:rFonts w:hint="eastAsia" w:ascii="仿宋_GB2312" w:eastAsia="仿宋_GB2312"/>
          <w:color w:val="auto"/>
          <w:sz w:val="24"/>
          <w:highlight w:val="none"/>
        </w:rPr>
        <w:t>若合同到期，经甲乙双方协商及有关部门同意可以续签，续签须保证原合同内容不变，时间为二年。合作期内任何一方不得擅自停止协议，否则应负担所造成的一切损失。</w:t>
      </w:r>
    </w:p>
    <w:p w14:paraId="3240AC17">
      <w:pPr>
        <w:spacing w:line="400" w:lineRule="exact"/>
        <w:ind w:firstLine="480" w:firstLineChars="200"/>
        <w:rPr>
          <w:color w:val="auto"/>
        </w:rPr>
      </w:pPr>
      <w:r>
        <w:rPr>
          <w:rFonts w:hint="eastAsia" w:ascii="仿宋_GB2312" w:eastAsia="仿宋_GB2312"/>
          <w:color w:val="auto"/>
          <w:sz w:val="24"/>
          <w:highlight w:val="none"/>
        </w:rPr>
        <w:t>若甲乙双方任何一方决定在合同期限届满后不再续约的，应在合同到期前六十天以书面方式通知对方。</w:t>
      </w:r>
    </w:p>
    <w:p w14:paraId="4D5F967F">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1</w:t>
      </w:r>
      <w:r>
        <w:rPr>
          <w:rFonts w:hint="eastAsia" w:ascii="仿宋_GB2312" w:eastAsia="仿宋_GB2312"/>
          <w:color w:val="auto"/>
          <w:sz w:val="24"/>
          <w:highlight w:val="none"/>
        </w:rPr>
        <w:t>.2  出现下列情况时合同自动终止:</w:t>
      </w:r>
    </w:p>
    <w:p w14:paraId="7DF6DBF7">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1</w:t>
      </w:r>
      <w:r>
        <w:rPr>
          <w:rFonts w:hint="eastAsia" w:ascii="仿宋_GB2312" w:eastAsia="仿宋_GB2312"/>
          <w:color w:val="auto"/>
          <w:sz w:val="24"/>
          <w:highlight w:val="none"/>
        </w:rPr>
        <w:t>.2．1  发生不可抗力时。</w:t>
      </w:r>
    </w:p>
    <w:p w14:paraId="7F4FD996">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1</w:t>
      </w:r>
      <w:r>
        <w:rPr>
          <w:rFonts w:hint="eastAsia" w:ascii="仿宋_GB2312" w:eastAsia="仿宋_GB2312"/>
          <w:color w:val="auto"/>
          <w:sz w:val="24"/>
          <w:highlight w:val="none"/>
        </w:rPr>
        <w:t>．2.2 一方不履行合同条款,造成另一方无法执行合同协议,协商又不能求得解决。合同终止,责任方赔偿损失。</w:t>
      </w:r>
    </w:p>
    <w:p w14:paraId="54EBD20A">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、违约终止合同</w:t>
      </w:r>
    </w:p>
    <w:p w14:paraId="12A30ED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 xml:space="preserve"> .1在补救违约而采取的任何其它措施未能实现的情况下，即在中标人收到采购人发出的违约通知后的30天内(或经采购人书面确认的更长时间内)仍未纠正其下述任何一种违约行为,采购人可向中标人发出书面违约通知，终止全部或部分合同：</w:t>
      </w:r>
    </w:p>
    <w:p w14:paraId="7BEBF963">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.1.1 如果中标人未能在合同规定期限内或采购人准许的任何延期内提供服务。</w:t>
      </w:r>
    </w:p>
    <w:p w14:paraId="430B4F4C">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.1.2 中标人未能履行合同项下的任何其它义务。</w:t>
      </w:r>
    </w:p>
    <w:p w14:paraId="67E840C6">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.2 一旦采购人根据第11.1款终止部分或全部合同，中标人应承担采购人的额外费用，同时中标人还应继续履行合同中未终止的部分。</w:t>
      </w:r>
    </w:p>
    <w:p w14:paraId="0D568DB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3</w:t>
      </w:r>
      <w:r>
        <w:rPr>
          <w:rFonts w:hint="eastAsia" w:ascii="仿宋_GB2312" w:eastAsia="仿宋_GB2312"/>
          <w:color w:val="auto"/>
          <w:sz w:val="24"/>
          <w:highlight w:val="none"/>
        </w:rPr>
        <w:t>、破产终止合同</w:t>
      </w:r>
    </w:p>
    <w:p w14:paraId="47FC5342">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 xml:space="preserve">  当中标人破产或无清偿能力时，采购人可在任何时候以书面通知中标人终止合同，该终止合同以不损害或影响采购人已采取或将采取补救措施的任何权利为条件。</w:t>
      </w:r>
    </w:p>
    <w:p w14:paraId="3BC5131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4</w:t>
      </w:r>
      <w:r>
        <w:rPr>
          <w:rFonts w:hint="eastAsia" w:ascii="仿宋_GB2312" w:eastAsia="仿宋_GB2312"/>
          <w:color w:val="auto"/>
          <w:sz w:val="24"/>
          <w:highlight w:val="none"/>
        </w:rPr>
        <w:t>、变更指示</w:t>
      </w:r>
    </w:p>
    <w:p w14:paraId="6C5EE166">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4</w:t>
      </w:r>
      <w:r>
        <w:rPr>
          <w:rFonts w:hint="eastAsia" w:ascii="仿宋_GB2312" w:eastAsia="仿宋_GB2312"/>
          <w:color w:val="auto"/>
          <w:sz w:val="24"/>
          <w:highlight w:val="none"/>
        </w:rPr>
        <w:t>.1  采购人在任何时候可以向中标人发出书面指示，在合同总体范围内提出变更：</w:t>
      </w:r>
    </w:p>
    <w:p w14:paraId="2258728B">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4</w:t>
      </w:r>
      <w:r>
        <w:rPr>
          <w:rFonts w:hint="eastAsia" w:ascii="仿宋_GB2312" w:eastAsia="仿宋_GB2312"/>
          <w:color w:val="auto"/>
          <w:sz w:val="24"/>
          <w:highlight w:val="none"/>
        </w:rPr>
        <w:t>.2  若上述变更导致了中标人履行合同任何部分义务的费用或所需时间的增加，应对合同价格或时间进行合理的调整同时相应地修改合同。中标人必须在接到采购人的变更指示后30天内根据本款提出调整的要求。</w:t>
      </w:r>
    </w:p>
    <w:p w14:paraId="1B3B893B">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5</w:t>
      </w:r>
      <w:r>
        <w:rPr>
          <w:rFonts w:hint="eastAsia" w:ascii="仿宋_GB2312" w:eastAsia="仿宋_GB2312"/>
          <w:color w:val="auto"/>
          <w:sz w:val="24"/>
          <w:highlight w:val="none"/>
        </w:rPr>
        <w:t>、合同修改</w:t>
      </w:r>
    </w:p>
    <w:p w14:paraId="5FD8EAC6">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欲对合同条款作出任何改动或偏离，均须由采购人和中标人双方签署书面的合同修改书。</w:t>
      </w:r>
    </w:p>
    <w:p w14:paraId="1D98B2C8">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6</w:t>
      </w:r>
      <w:r>
        <w:rPr>
          <w:rFonts w:hint="eastAsia" w:ascii="仿宋_GB2312" w:eastAsia="仿宋_GB2312"/>
          <w:color w:val="auto"/>
          <w:sz w:val="24"/>
          <w:highlight w:val="none"/>
        </w:rPr>
        <w:t>、转让与分包</w:t>
      </w:r>
    </w:p>
    <w:p w14:paraId="28CF4E19">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6</w:t>
      </w:r>
      <w:r>
        <w:rPr>
          <w:rFonts w:hint="eastAsia" w:ascii="仿宋_GB2312" w:eastAsia="仿宋_GB2312"/>
          <w:color w:val="auto"/>
          <w:sz w:val="24"/>
          <w:highlight w:val="none"/>
        </w:rPr>
        <w:t>.1 除采购人事先书面同意外，中标人不得部分转让或全部转让其应履行的合同项下的义务。</w:t>
      </w:r>
    </w:p>
    <w:p w14:paraId="7AF8E579">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6</w:t>
      </w:r>
      <w:r>
        <w:rPr>
          <w:rFonts w:hint="eastAsia" w:ascii="仿宋_GB2312" w:eastAsia="仿宋_GB2312"/>
          <w:color w:val="auto"/>
          <w:sz w:val="24"/>
          <w:highlight w:val="none"/>
        </w:rPr>
        <w:t>.2  中标人应书面通知采购人本合同项下所授予的所有分包合同。但该通知不解除中标人承担的本合同项下的任何责任或义务。</w:t>
      </w:r>
    </w:p>
    <w:p w14:paraId="57730EAC">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7</w:t>
      </w:r>
      <w:r>
        <w:rPr>
          <w:rFonts w:hint="eastAsia" w:ascii="仿宋_GB2312" w:eastAsia="仿宋_GB2312"/>
          <w:color w:val="auto"/>
          <w:sz w:val="24"/>
          <w:highlight w:val="none"/>
        </w:rPr>
        <w:t>、适用法律及政策</w:t>
      </w:r>
    </w:p>
    <w:p w14:paraId="7AD1B2AD">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本合同应按国家、省、市有关法律、法规、规章和规范性文件规定的有关政策解释。</w:t>
      </w:r>
    </w:p>
    <w:p w14:paraId="53ACDA21">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8</w:t>
      </w:r>
      <w:r>
        <w:rPr>
          <w:rFonts w:hint="eastAsia" w:ascii="仿宋_GB2312" w:eastAsia="仿宋_GB2312"/>
          <w:color w:val="auto"/>
          <w:sz w:val="24"/>
          <w:highlight w:val="none"/>
        </w:rPr>
        <w:t>、主导语言与计量单位</w:t>
      </w:r>
    </w:p>
    <w:p w14:paraId="038A8ABA">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8</w:t>
      </w:r>
      <w:r>
        <w:rPr>
          <w:rFonts w:hint="eastAsia" w:ascii="仿宋_GB2312" w:eastAsia="仿宋_GB2312"/>
          <w:color w:val="auto"/>
          <w:sz w:val="24"/>
          <w:highlight w:val="none"/>
        </w:rPr>
        <w:t>.1甲乙双方来往的所有文件、合同以及与合同有关的文件均应以中文书写。</w:t>
      </w:r>
    </w:p>
    <w:p w14:paraId="4F8D2768">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1</w:t>
      </w:r>
      <w:r>
        <w:rPr>
          <w:rFonts w:hint="eastAsia" w:ascii="仿宋_GB2312" w:eastAsia="仿宋_GB2312"/>
          <w:color w:val="auto"/>
          <w:sz w:val="24"/>
          <w:highlight w:val="none"/>
          <w:lang w:val="en-US" w:eastAsia="zh-CN"/>
        </w:rPr>
        <w:t>8</w:t>
      </w:r>
      <w:r>
        <w:rPr>
          <w:rFonts w:hint="eastAsia" w:ascii="仿宋_GB2312" w:eastAsia="仿宋_GB2312"/>
          <w:color w:val="auto"/>
          <w:sz w:val="24"/>
          <w:highlight w:val="none"/>
        </w:rPr>
        <w:t>.2  除技术规格另有规定外,计量单位均使用中华人民共和国法定计量单位。</w:t>
      </w:r>
    </w:p>
    <w:p w14:paraId="29246D8D">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lang w:val="en-US" w:eastAsia="zh-CN"/>
        </w:rPr>
        <w:t>19</w:t>
      </w:r>
      <w:r>
        <w:rPr>
          <w:rFonts w:hint="eastAsia" w:ascii="仿宋_GB2312" w:eastAsia="仿宋_GB2312"/>
          <w:color w:val="auto"/>
          <w:sz w:val="24"/>
          <w:highlight w:val="none"/>
        </w:rPr>
        <w:t>、通知</w:t>
      </w:r>
    </w:p>
    <w:p w14:paraId="387B2C1B">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合同任何一方给另一方的通知都应以书面形式发送，而另一方应以书面形式确认并发送到对方明确的地址。</w:t>
      </w:r>
    </w:p>
    <w:p w14:paraId="669B8B12">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lang w:val="en-US" w:eastAsia="zh-CN"/>
        </w:rPr>
        <w:t>20</w:t>
      </w:r>
      <w:r>
        <w:rPr>
          <w:rFonts w:hint="eastAsia" w:ascii="仿宋_GB2312" w:eastAsia="仿宋_GB2312"/>
          <w:color w:val="auto"/>
          <w:sz w:val="24"/>
          <w:highlight w:val="none"/>
        </w:rPr>
        <w:t>、合同文件及资料的使用</w:t>
      </w:r>
    </w:p>
    <w:p w14:paraId="7CAD238C">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0</w:t>
      </w:r>
      <w:r>
        <w:rPr>
          <w:rFonts w:hint="eastAsia" w:ascii="仿宋_GB2312" w:eastAsia="仿宋_GB2312"/>
          <w:color w:val="auto"/>
          <w:sz w:val="24"/>
          <w:highlight w:val="none"/>
        </w:rPr>
        <w:t>.1  除了中标人为执行合同所雇人员外，在未经采购人同意的情况下，中标人不得将合同、合同中的规定、有关规格、计划、图纸、式样、样本或采购人为上述内容向中标人提供的资料透露给任何人。中标人须在对外保密的前提下，对其雇用人员提供有关情况，所提供的情况仅限于执行合同必不可少的范围内。</w:t>
      </w:r>
    </w:p>
    <w:p w14:paraId="7633CB09">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0</w:t>
      </w:r>
      <w:r>
        <w:rPr>
          <w:rFonts w:hint="eastAsia" w:ascii="仿宋_GB2312" w:eastAsia="仿宋_GB2312"/>
          <w:color w:val="auto"/>
          <w:sz w:val="24"/>
          <w:highlight w:val="none"/>
        </w:rPr>
        <w:t>.2  除非执行合同需要，在事先未得到采购人书面同意的情况下，中标人不得使用第21.1款中所列的任何文件和资料。</w:t>
      </w:r>
    </w:p>
    <w:p w14:paraId="0120C037">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0</w:t>
      </w:r>
      <w:r>
        <w:rPr>
          <w:rFonts w:hint="eastAsia" w:ascii="仿宋_GB2312" w:eastAsia="仿宋_GB2312"/>
          <w:color w:val="auto"/>
          <w:sz w:val="24"/>
          <w:highlight w:val="none"/>
        </w:rPr>
        <w:t>.3  除合同本身以外，21.1款列明的所有资料始终为采购人的财产，若采购人要求，中标人应于其合同义务履行完毕以后将这些资料(包括所有副本)退还采购人。</w:t>
      </w:r>
    </w:p>
    <w:p w14:paraId="246E0348">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1</w:t>
      </w:r>
      <w:r>
        <w:rPr>
          <w:rFonts w:hint="eastAsia" w:ascii="仿宋_GB2312" w:eastAsia="仿宋_GB2312"/>
          <w:color w:val="auto"/>
          <w:sz w:val="24"/>
          <w:highlight w:val="none"/>
        </w:rPr>
        <w:t>、合同修改</w:t>
      </w:r>
    </w:p>
    <w:p w14:paraId="1B64C774">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对于合同的未尽事宜,需进行修改、补充和完善的,甲乙双方必须就所修改的内容签订书面的合同修改书,作为合同的补充协议。</w:t>
      </w:r>
    </w:p>
    <w:p w14:paraId="1343A6BB">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、合同附件</w:t>
      </w:r>
    </w:p>
    <w:p w14:paraId="3401200D">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下列文件属本合同的依据和附件，具有同等的法律效力：</w:t>
      </w:r>
    </w:p>
    <w:p w14:paraId="69134832">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.1  采购文件；</w:t>
      </w:r>
    </w:p>
    <w:p w14:paraId="447E8F34">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.2  中标人的投标文件；</w:t>
      </w:r>
    </w:p>
    <w:p w14:paraId="31AE5697">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.3  中标通知书；</w:t>
      </w:r>
    </w:p>
    <w:p w14:paraId="65EE27BF">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.4  双方授权代表签字并指明的书面文件。</w:t>
      </w:r>
    </w:p>
    <w:p w14:paraId="2E6F1DE4">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3</w:t>
      </w:r>
      <w:r>
        <w:rPr>
          <w:rFonts w:hint="eastAsia" w:ascii="仿宋_GB2312" w:eastAsia="仿宋_GB2312"/>
          <w:color w:val="auto"/>
          <w:sz w:val="24"/>
          <w:highlight w:val="none"/>
        </w:rPr>
        <w:t>、合同份数</w:t>
      </w:r>
    </w:p>
    <w:p w14:paraId="397D1656">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本合同一式六份，经甲乙双方法定代表人或委托代理人签字并加盖公章后生效。甲乙双方各执二份，舟山市公共资源交易中心普陀分中心执一份。送交物业管理行政主管部门备案一份，具有同等法律效力。</w:t>
      </w:r>
    </w:p>
    <w:p w14:paraId="6035A51A">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4</w:t>
      </w:r>
      <w:r>
        <w:rPr>
          <w:rFonts w:hint="eastAsia" w:ascii="仿宋_GB2312" w:eastAsia="仿宋_GB2312"/>
          <w:color w:val="auto"/>
          <w:sz w:val="24"/>
          <w:highlight w:val="none"/>
        </w:rPr>
        <w:t>、合同生效</w:t>
      </w:r>
    </w:p>
    <w:p w14:paraId="39667879">
      <w:pPr>
        <w:spacing w:line="400" w:lineRule="exact"/>
        <w:ind w:firstLine="480" w:firstLineChars="200"/>
        <w:rPr>
          <w:rFonts w:ascii="仿宋_GB2312" w:eastAsia="仿宋_GB2312"/>
          <w:color w:val="auto"/>
          <w:sz w:val="24"/>
          <w:highlight w:val="none"/>
        </w:rPr>
      </w:pPr>
      <w:r>
        <w:rPr>
          <w:rFonts w:hint="eastAsia" w:ascii="仿宋_GB2312" w:eastAsia="仿宋_GB2312"/>
          <w:color w:val="auto"/>
          <w:sz w:val="24"/>
          <w:highlight w:val="none"/>
        </w:rPr>
        <w:t>除非合同中另有说明,本合同经甲乙双方签字盖章,即开始生效。</w:t>
      </w:r>
    </w:p>
    <w:p w14:paraId="7B21C7BD">
      <w:pPr>
        <w:pStyle w:val="10"/>
        <w:spacing w:line="400" w:lineRule="exact"/>
        <w:rPr>
          <w:rFonts w:ascii="仿宋_GB2312" w:eastAsia="仿宋_GB2312"/>
          <w:color w:val="auto"/>
          <w:sz w:val="24"/>
          <w:szCs w:val="24"/>
          <w:highlight w:val="none"/>
        </w:rPr>
      </w:pPr>
    </w:p>
    <w:p w14:paraId="1183A704">
      <w:pPr>
        <w:pStyle w:val="10"/>
        <w:spacing w:line="400" w:lineRule="exact"/>
        <w:jc w:val="center"/>
        <w:rPr>
          <w:color w:val="auto"/>
          <w:highlight w:val="none"/>
        </w:rPr>
      </w:pPr>
      <w:r>
        <w:rPr>
          <w:bCs/>
          <w:color w:val="auto"/>
          <w:szCs w:val="24"/>
          <w:highlight w:val="none"/>
        </w:rPr>
        <w:br w:type="page"/>
      </w:r>
      <w:r>
        <w:rPr>
          <w:rFonts w:hint="eastAsia"/>
          <w:bCs/>
          <w:color w:val="auto"/>
          <w:szCs w:val="24"/>
          <w:highlight w:val="none"/>
        </w:rPr>
        <w:t>二、</w:t>
      </w:r>
      <w:r>
        <w:rPr>
          <w:rFonts w:hint="eastAsia" w:ascii="仿宋_GB2312" w:hAnsi="宋体" w:eastAsia="仿宋_GB2312" w:cs="Times New Roman"/>
          <w:b/>
          <w:color w:val="auto"/>
          <w:sz w:val="24"/>
          <w:szCs w:val="24"/>
          <w:highlight w:val="none"/>
        </w:rPr>
        <w:t>合同书格式</w:t>
      </w:r>
    </w:p>
    <w:p w14:paraId="24BD13A8">
      <w:pPr>
        <w:spacing w:line="400" w:lineRule="exact"/>
        <w:ind w:left="1" w:firstLine="482" w:firstLineChars="200"/>
        <w:jc w:val="center"/>
        <w:rPr>
          <w:rFonts w:ascii="仿宋_GB2312" w:hAnsi="宋体" w:eastAsia="仿宋_GB2312"/>
          <w:b/>
          <w:color w:val="auto"/>
          <w:sz w:val="24"/>
          <w:highlight w:val="none"/>
        </w:rPr>
      </w:pPr>
    </w:p>
    <w:p w14:paraId="71E1F3C4">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合同名称 ：___________________</w:t>
      </w:r>
    </w:p>
    <w:p w14:paraId="03740B75">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合同编号：____________________</w:t>
      </w:r>
    </w:p>
    <w:p w14:paraId="00DD850E">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甲方：_____________________________（采购单位）</w:t>
      </w:r>
    </w:p>
    <w:p w14:paraId="7E5D02E7">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乙方：______________________________（中标人）</w:t>
      </w:r>
    </w:p>
    <w:p w14:paraId="3DCD5960">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甲乙双方根据__________________________项目公开招标结果，同意按下述条款和条件签署本合同书（以下简称合同）：</w:t>
      </w:r>
    </w:p>
    <w:p w14:paraId="00F4755D">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合同文件</w:t>
      </w:r>
    </w:p>
    <w:p w14:paraId="32E087C2">
      <w:pPr>
        <w:keepNext w:val="0"/>
        <w:keepLines w:val="0"/>
        <w:pageBreakBefore w:val="0"/>
        <w:widowControl w:val="0"/>
        <w:numPr>
          <w:ilvl w:val="0"/>
          <w:numId w:val="6"/>
        </w:numPr>
        <w:kinsoku/>
        <w:wordWrap/>
        <w:overflowPunct/>
        <w:topLinePunct w:val="0"/>
        <w:autoSpaceDE/>
        <w:autoSpaceDN/>
        <w:bidi w:val="0"/>
        <w:adjustRightInd/>
        <w:snapToGrid/>
        <w:spacing w:line="480" w:lineRule="exact"/>
        <w:ind w:left="0" w:leftChars="0" w:firstLine="420" w:firstLineChars="0"/>
        <w:textAlignment w:val="auto"/>
        <w:rPr>
          <w:rFonts w:hint="eastAsia" w:ascii="仿宋_GB2312" w:hAnsi="宋体" w:eastAsia="仿宋_GB2312"/>
          <w:color w:val="auto"/>
          <w:sz w:val="24"/>
          <w:highlight w:val="none"/>
          <w:lang w:eastAsia="zh-CN"/>
        </w:rPr>
      </w:pPr>
      <w:r>
        <w:rPr>
          <w:rFonts w:hint="eastAsia" w:ascii="仿宋_GB2312" w:hAnsi="宋体" w:eastAsia="仿宋_GB2312"/>
          <w:color w:val="auto"/>
          <w:sz w:val="24"/>
          <w:highlight w:val="none"/>
        </w:rPr>
        <w:t>本合同所附下列文件是构成本合同不可分割的部分</w:t>
      </w:r>
      <w:r>
        <w:rPr>
          <w:rFonts w:hint="eastAsia" w:ascii="仿宋_GB2312" w:hAnsi="宋体" w:eastAsia="仿宋_GB2312"/>
          <w:color w:val="auto"/>
          <w:sz w:val="24"/>
          <w:highlight w:val="none"/>
          <w:lang w:eastAsia="zh-CN"/>
        </w:rPr>
        <w:t>；</w:t>
      </w:r>
    </w:p>
    <w:p w14:paraId="270393C2">
      <w:pPr>
        <w:keepNext w:val="0"/>
        <w:keepLines w:val="0"/>
        <w:pageBreakBefore w:val="0"/>
        <w:widowControl w:val="0"/>
        <w:numPr>
          <w:ilvl w:val="0"/>
          <w:numId w:val="6"/>
        </w:numPr>
        <w:kinsoku/>
        <w:wordWrap/>
        <w:overflowPunct/>
        <w:topLinePunct w:val="0"/>
        <w:autoSpaceDE/>
        <w:autoSpaceDN/>
        <w:bidi w:val="0"/>
        <w:adjustRightInd/>
        <w:snapToGrid/>
        <w:spacing w:line="480" w:lineRule="exact"/>
        <w:ind w:left="0" w:leftChars="0" w:firstLine="420" w:firstLineChars="0"/>
        <w:textAlignment w:val="auto"/>
        <w:rPr>
          <w:rFonts w:hint="eastAsia" w:ascii="仿宋_GB2312" w:hAnsi="宋体" w:eastAsia="仿宋_GB2312"/>
          <w:color w:val="auto"/>
          <w:sz w:val="24"/>
          <w:highlight w:val="none"/>
          <w:lang w:eastAsia="zh-CN"/>
        </w:rPr>
      </w:pPr>
      <w:r>
        <w:rPr>
          <w:rFonts w:hint="eastAsia" w:ascii="仿宋_GB2312" w:hAnsi="宋体" w:eastAsia="仿宋_GB2312"/>
          <w:color w:val="auto"/>
          <w:sz w:val="24"/>
          <w:highlight w:val="none"/>
        </w:rPr>
        <w:t>合同基本条款</w:t>
      </w:r>
      <w:r>
        <w:rPr>
          <w:rFonts w:hint="eastAsia" w:ascii="仿宋_GB2312" w:hAnsi="宋体" w:eastAsia="仿宋_GB2312"/>
          <w:color w:val="auto"/>
          <w:sz w:val="24"/>
          <w:highlight w:val="none"/>
          <w:lang w:eastAsia="zh-CN"/>
        </w:rPr>
        <w:t>；</w:t>
      </w:r>
    </w:p>
    <w:p w14:paraId="79CF91E5">
      <w:pPr>
        <w:keepNext w:val="0"/>
        <w:keepLines w:val="0"/>
        <w:pageBreakBefore w:val="0"/>
        <w:widowControl w:val="0"/>
        <w:numPr>
          <w:ilvl w:val="0"/>
          <w:numId w:val="6"/>
        </w:numPr>
        <w:kinsoku/>
        <w:wordWrap/>
        <w:overflowPunct/>
        <w:topLinePunct w:val="0"/>
        <w:autoSpaceDE/>
        <w:autoSpaceDN/>
        <w:bidi w:val="0"/>
        <w:adjustRightInd/>
        <w:snapToGrid/>
        <w:spacing w:line="480" w:lineRule="exact"/>
        <w:ind w:left="0" w:leftChars="0" w:firstLine="420" w:firstLineChars="0"/>
        <w:textAlignment w:val="auto"/>
        <w:rPr>
          <w:rFonts w:hint="eastAsia" w:ascii="仿宋_GB2312" w:hAnsi="宋体" w:eastAsia="仿宋_GB2312"/>
          <w:color w:val="auto"/>
          <w:sz w:val="24"/>
          <w:highlight w:val="none"/>
          <w:lang w:eastAsia="zh-CN"/>
        </w:rPr>
      </w:pPr>
      <w:r>
        <w:rPr>
          <w:rFonts w:hint="eastAsia" w:ascii="仿宋_GB2312" w:hAnsi="宋体" w:eastAsia="仿宋_GB2312"/>
          <w:color w:val="auto"/>
          <w:sz w:val="24"/>
          <w:highlight w:val="none"/>
        </w:rPr>
        <w:t>中标人提交的投标函、投标报价表</w:t>
      </w:r>
      <w:r>
        <w:rPr>
          <w:rFonts w:hint="eastAsia" w:ascii="仿宋_GB2312" w:hAnsi="宋体" w:eastAsia="仿宋_GB2312"/>
          <w:color w:val="auto"/>
          <w:sz w:val="24"/>
          <w:highlight w:val="none"/>
          <w:lang w:eastAsia="zh-CN"/>
        </w:rPr>
        <w:t>；</w:t>
      </w:r>
    </w:p>
    <w:p w14:paraId="38E151DC">
      <w:pPr>
        <w:keepNext w:val="0"/>
        <w:keepLines w:val="0"/>
        <w:pageBreakBefore w:val="0"/>
        <w:widowControl w:val="0"/>
        <w:numPr>
          <w:ilvl w:val="0"/>
          <w:numId w:val="6"/>
        </w:numPr>
        <w:kinsoku/>
        <w:wordWrap/>
        <w:overflowPunct/>
        <w:topLinePunct w:val="0"/>
        <w:autoSpaceDE/>
        <w:autoSpaceDN/>
        <w:bidi w:val="0"/>
        <w:adjustRightInd/>
        <w:snapToGrid/>
        <w:spacing w:line="480" w:lineRule="exact"/>
        <w:ind w:left="0" w:leftChars="0" w:firstLine="420"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投标价格承诺书；服务承诺等全部投标文件；</w:t>
      </w:r>
    </w:p>
    <w:p w14:paraId="412778E4">
      <w:pPr>
        <w:keepNext w:val="0"/>
        <w:keepLines w:val="0"/>
        <w:pageBreakBefore w:val="0"/>
        <w:widowControl w:val="0"/>
        <w:numPr>
          <w:ilvl w:val="0"/>
          <w:numId w:val="6"/>
        </w:numPr>
        <w:kinsoku/>
        <w:wordWrap/>
        <w:overflowPunct/>
        <w:topLinePunct w:val="0"/>
        <w:autoSpaceDE/>
        <w:autoSpaceDN/>
        <w:bidi w:val="0"/>
        <w:adjustRightInd/>
        <w:snapToGrid/>
        <w:spacing w:line="480" w:lineRule="exact"/>
        <w:ind w:left="0" w:leftChars="0" w:firstLine="420" w:firstLineChars="0"/>
        <w:textAlignment w:val="auto"/>
        <w:rPr>
          <w:rFonts w:hint="eastAsia" w:ascii="仿宋_GB2312" w:hAnsi="宋体" w:eastAsia="仿宋_GB2312"/>
          <w:color w:val="auto"/>
          <w:sz w:val="24"/>
          <w:highlight w:val="none"/>
          <w:lang w:eastAsia="zh-CN"/>
        </w:rPr>
      </w:pPr>
      <w:r>
        <w:rPr>
          <w:rFonts w:hint="eastAsia" w:ascii="仿宋_GB2312" w:hAnsi="宋体" w:eastAsia="仿宋_GB2312"/>
          <w:color w:val="auto"/>
          <w:sz w:val="24"/>
          <w:highlight w:val="none"/>
        </w:rPr>
        <w:t>服务要求一览表</w:t>
      </w:r>
      <w:r>
        <w:rPr>
          <w:rFonts w:hint="eastAsia" w:ascii="仿宋_GB2312" w:hAnsi="宋体" w:eastAsia="仿宋_GB2312"/>
          <w:color w:val="auto"/>
          <w:sz w:val="24"/>
          <w:highlight w:val="none"/>
          <w:lang w:eastAsia="zh-CN"/>
        </w:rPr>
        <w:t>；</w:t>
      </w:r>
    </w:p>
    <w:p w14:paraId="4871B6BA">
      <w:pPr>
        <w:keepNext w:val="0"/>
        <w:keepLines w:val="0"/>
        <w:pageBreakBefore w:val="0"/>
        <w:widowControl w:val="0"/>
        <w:numPr>
          <w:ilvl w:val="0"/>
          <w:numId w:val="6"/>
        </w:numPr>
        <w:kinsoku/>
        <w:wordWrap/>
        <w:overflowPunct/>
        <w:topLinePunct w:val="0"/>
        <w:autoSpaceDE/>
        <w:autoSpaceDN/>
        <w:bidi w:val="0"/>
        <w:adjustRightInd/>
        <w:snapToGrid/>
        <w:spacing w:line="480" w:lineRule="exact"/>
        <w:ind w:left="0" w:leftChars="0" w:firstLine="420" w:firstLineChars="0"/>
        <w:textAlignment w:val="auto"/>
        <w:rPr>
          <w:rFonts w:hint="eastAsia" w:ascii="仿宋_GB2312" w:hAnsi="宋体" w:eastAsia="仿宋_GB2312"/>
          <w:color w:val="auto"/>
          <w:sz w:val="24"/>
          <w:highlight w:val="none"/>
          <w:u w:val="none"/>
          <w:lang w:eastAsia="zh-CN"/>
        </w:rPr>
      </w:pPr>
      <w:r>
        <w:rPr>
          <w:rFonts w:hint="eastAsia" w:ascii="仿宋_GB2312" w:hAnsi="宋体" w:eastAsia="仿宋_GB2312"/>
          <w:color w:val="auto"/>
          <w:sz w:val="24"/>
          <w:highlight w:val="none"/>
        </w:rPr>
        <w:t>中标通知书</w:t>
      </w:r>
      <w:r>
        <w:rPr>
          <w:rFonts w:hint="eastAsia" w:ascii="仿宋_GB2312" w:hAnsi="宋体" w:eastAsia="仿宋_GB2312"/>
          <w:color w:val="auto"/>
          <w:sz w:val="24"/>
          <w:highlight w:val="none"/>
          <w:lang w:eastAsia="zh-CN"/>
        </w:rPr>
        <w:t>；</w:t>
      </w:r>
    </w:p>
    <w:p w14:paraId="417E4383">
      <w:pPr>
        <w:keepNext w:val="0"/>
        <w:keepLines w:val="0"/>
        <w:pageBreakBefore w:val="0"/>
        <w:widowControl w:val="0"/>
        <w:numPr>
          <w:ilvl w:val="0"/>
          <w:numId w:val="6"/>
        </w:numPr>
        <w:kinsoku/>
        <w:wordWrap/>
        <w:overflowPunct/>
        <w:topLinePunct w:val="0"/>
        <w:autoSpaceDE/>
        <w:autoSpaceDN/>
        <w:bidi w:val="0"/>
        <w:adjustRightInd/>
        <w:snapToGrid/>
        <w:spacing w:line="480" w:lineRule="exact"/>
        <w:ind w:left="0" w:leftChars="0" w:firstLine="420" w:firstLineChars="0"/>
        <w:textAlignment w:val="auto"/>
        <w:rPr>
          <w:rFonts w:hint="eastAsia" w:ascii="仿宋_GB2312" w:hAnsi="宋体" w:eastAsia="仿宋_GB2312"/>
          <w:color w:val="auto"/>
          <w:sz w:val="24"/>
          <w:highlight w:val="none"/>
          <w:u w:val="none"/>
          <w:lang w:eastAsia="zh-CN"/>
        </w:rPr>
      </w:pPr>
      <w:r>
        <w:rPr>
          <w:rFonts w:hint="eastAsia" w:ascii="仿宋_GB2312" w:hAnsi="宋体" w:eastAsia="仿宋_GB2312"/>
          <w:color w:val="auto"/>
          <w:sz w:val="24"/>
          <w:highlight w:val="none"/>
          <w:u w:val="none"/>
        </w:rPr>
        <w:t>甲、乙双方商定经</w:t>
      </w:r>
      <w:r>
        <w:rPr>
          <w:rFonts w:hint="eastAsia" w:ascii="仿宋_GB2312" w:eastAsia="仿宋_GB2312"/>
          <w:color w:val="auto"/>
          <w:sz w:val="24"/>
          <w:highlight w:val="none"/>
          <w:u w:val="none"/>
        </w:rPr>
        <w:t>舟山市公共资源交易中心普陀分中心</w:t>
      </w:r>
      <w:r>
        <w:rPr>
          <w:rFonts w:hint="eastAsia" w:ascii="仿宋_GB2312" w:hAnsi="宋体" w:eastAsia="仿宋_GB2312"/>
          <w:color w:val="auto"/>
          <w:sz w:val="24"/>
          <w:highlight w:val="none"/>
          <w:u w:val="none"/>
        </w:rPr>
        <w:t>确认后的补充协</w:t>
      </w:r>
      <w:r>
        <w:rPr>
          <w:rFonts w:hint="eastAsia" w:ascii="仿宋_GB2312" w:hAnsi="宋体" w:eastAsia="仿宋_GB2312"/>
          <w:color w:val="auto"/>
          <w:sz w:val="24"/>
          <w:highlight w:val="none"/>
          <w:u w:val="none"/>
          <w:lang w:val="en-US" w:eastAsia="zh-CN"/>
        </w:rPr>
        <w:t xml:space="preserve">    </w:t>
      </w:r>
      <w:r>
        <w:rPr>
          <w:rFonts w:hint="eastAsia" w:ascii="仿宋_GB2312" w:hAnsi="宋体" w:eastAsia="仿宋_GB2312"/>
          <w:color w:val="auto"/>
          <w:sz w:val="24"/>
          <w:highlight w:val="none"/>
          <w:u w:val="none"/>
        </w:rPr>
        <w:t>议</w:t>
      </w:r>
      <w:r>
        <w:rPr>
          <w:rFonts w:hint="eastAsia" w:ascii="仿宋_GB2312" w:hAnsi="宋体" w:eastAsia="仿宋_GB2312"/>
          <w:color w:val="auto"/>
          <w:sz w:val="24"/>
          <w:highlight w:val="none"/>
          <w:u w:val="none"/>
          <w:lang w:eastAsia="zh-CN"/>
        </w:rPr>
        <w:t>。</w:t>
      </w:r>
    </w:p>
    <w:p w14:paraId="190BBBE4">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u w:val="none"/>
        </w:rPr>
      </w:pPr>
      <w:r>
        <w:rPr>
          <w:rFonts w:hint="eastAsia" w:ascii="黑体" w:hAnsi="黑体" w:eastAsia="黑体" w:cs="黑体"/>
          <w:b w:val="0"/>
          <w:bCs/>
          <w:color w:val="auto"/>
          <w:sz w:val="24"/>
          <w:highlight w:val="none"/>
          <w:u w:val="none"/>
        </w:rPr>
        <w:t>物业管理服务内容</w:t>
      </w:r>
    </w:p>
    <w:p w14:paraId="2287FE76">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b w:val="0"/>
          <w:bCs w:val="0"/>
          <w:color w:val="auto"/>
          <w:sz w:val="24"/>
          <w:highlight w:val="none"/>
          <w:u w:val="none"/>
        </w:rPr>
      </w:pPr>
      <w:r>
        <w:rPr>
          <w:rFonts w:hint="eastAsia" w:ascii="仿宋_GB2312" w:hAnsi="宋体" w:eastAsia="仿宋_GB2312"/>
          <w:color w:val="auto"/>
          <w:sz w:val="24"/>
          <w:highlight w:val="none"/>
          <w:u w:val="none"/>
        </w:rPr>
        <w:t>环境卫生维护、保洁服务，包括室内及房屋公共部位的清洁（如楼梯及楼梯间、电梯间、门厅、走廊通道、户外路面、玻璃门窗，会议室、健身房、卫生间及所有设备房）；灭鼠、灭蟑工作要与区灭四害管理部门签定达标协</w:t>
      </w:r>
      <w:r>
        <w:rPr>
          <w:rFonts w:hint="eastAsia" w:ascii="仿宋_GB2312" w:hAnsi="宋体" w:eastAsia="仿宋_GB2312"/>
          <w:b w:val="0"/>
          <w:bCs w:val="0"/>
          <w:color w:val="auto"/>
          <w:sz w:val="24"/>
          <w:highlight w:val="none"/>
          <w:u w:val="none"/>
        </w:rPr>
        <w:t>议（其中</w:t>
      </w:r>
      <w:r>
        <w:rPr>
          <w:rFonts w:hint="eastAsia" w:ascii="仿宋_GB2312" w:hAnsi="宋体" w:eastAsia="仿宋_GB2312"/>
          <w:b w:val="0"/>
          <w:bCs w:val="0"/>
          <w:color w:val="auto"/>
          <w:sz w:val="24"/>
          <w:highlight w:val="none"/>
          <w:u w:val="none"/>
          <w:lang w:val="en-US" w:eastAsia="zh-CN"/>
        </w:rPr>
        <w:t>3</w:t>
      </w:r>
      <w:r>
        <w:rPr>
          <w:rFonts w:hint="eastAsia" w:ascii="仿宋_GB2312" w:hAnsi="宋体" w:eastAsia="仿宋_GB2312"/>
          <w:b w:val="0"/>
          <w:bCs w:val="0"/>
          <w:color w:val="auto"/>
          <w:sz w:val="24"/>
          <w:highlight w:val="none"/>
          <w:u w:val="none"/>
        </w:rPr>
        <w:t>名保洁员专用于区社会治理综合服务中心）。</w:t>
      </w:r>
    </w:p>
    <w:p w14:paraId="26AA7B50">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b w:val="0"/>
          <w:bCs w:val="0"/>
          <w:color w:val="auto"/>
          <w:sz w:val="24"/>
          <w:highlight w:val="none"/>
          <w:u w:val="none"/>
        </w:rPr>
      </w:pPr>
      <w:r>
        <w:rPr>
          <w:rFonts w:hint="eastAsia" w:ascii="仿宋_GB2312" w:hAnsi="宋体" w:eastAsia="仿宋_GB2312"/>
          <w:b w:val="0"/>
          <w:bCs w:val="0"/>
          <w:color w:val="auto"/>
          <w:sz w:val="24"/>
          <w:highlight w:val="none"/>
          <w:u w:val="none"/>
        </w:rPr>
        <w:t>设施及设备的管理、维护运行、维修服务，包括：电力设备、给排水设备、电梯设备、空调设备、消防设备、弱电系统、照明设备、音响设备、舞台机械等（其中1名综合维修员专用于区社会治理综合服务中心、区人武部办公楼）。</w:t>
      </w:r>
    </w:p>
    <w:p w14:paraId="4A938C93">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b w:val="0"/>
          <w:bCs w:val="0"/>
          <w:color w:val="auto"/>
          <w:sz w:val="24"/>
          <w:highlight w:val="none"/>
          <w:u w:val="none"/>
        </w:rPr>
      </w:pPr>
      <w:r>
        <w:rPr>
          <w:rFonts w:hint="eastAsia" w:ascii="仿宋_GB2312" w:hAnsi="宋体" w:eastAsia="仿宋_GB2312"/>
          <w:b w:val="0"/>
          <w:bCs w:val="0"/>
          <w:color w:val="auto"/>
          <w:sz w:val="24"/>
          <w:highlight w:val="none"/>
          <w:u w:val="none"/>
        </w:rPr>
        <w:t>安全秩序服务、24小时维护公共秩序值班，包括门岗执勤、巡视、监控、防盗、防火、灭火，在紧急情况下组织人员疏散；消防设备的日常清洁维护（其中4名秩序维护员专用于区社会治理综合服务中心）。</w:t>
      </w:r>
    </w:p>
    <w:p w14:paraId="07967A5A">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hint="eastAsia" w:ascii="仿宋_GB2312" w:hAnsi="宋体" w:eastAsia="仿宋_GB2312"/>
          <w:b w:val="0"/>
          <w:bCs w:val="0"/>
          <w:color w:val="auto"/>
          <w:sz w:val="24"/>
          <w:highlight w:val="none"/>
          <w:u w:val="none"/>
        </w:rPr>
      </w:pPr>
      <w:r>
        <w:rPr>
          <w:rFonts w:hint="eastAsia" w:ascii="仿宋_GB2312" w:hAnsi="宋体" w:eastAsia="仿宋_GB2312"/>
          <w:b w:val="0"/>
          <w:bCs w:val="0"/>
          <w:color w:val="auto"/>
          <w:sz w:val="24"/>
          <w:highlight w:val="none"/>
          <w:u w:val="none"/>
        </w:rPr>
        <w:t>协助并监督绿化养护与花卉租摆单位做好</w:t>
      </w:r>
      <w:r>
        <w:rPr>
          <w:rFonts w:hint="eastAsia" w:ascii="仿宋_GB2312" w:hAnsi="宋体" w:eastAsia="仿宋_GB2312"/>
          <w:b w:val="0"/>
          <w:bCs w:val="0"/>
          <w:color w:val="auto"/>
          <w:sz w:val="24"/>
          <w:highlight w:val="none"/>
          <w:u w:val="none"/>
          <w:lang w:eastAsia="zh-CN"/>
        </w:rPr>
        <w:t>商务中心内</w:t>
      </w:r>
      <w:r>
        <w:rPr>
          <w:rFonts w:hint="eastAsia" w:ascii="仿宋_GB2312" w:hAnsi="宋体" w:eastAsia="仿宋_GB2312"/>
          <w:b w:val="0"/>
          <w:bCs w:val="0"/>
          <w:color w:val="auto"/>
          <w:sz w:val="24"/>
          <w:highlight w:val="none"/>
          <w:u w:val="none"/>
        </w:rPr>
        <w:t>花草树木养护工作</w:t>
      </w:r>
      <w:r>
        <w:rPr>
          <w:rFonts w:hint="eastAsia" w:ascii="仿宋_GB2312" w:hAnsi="宋体" w:eastAsia="仿宋_GB2312"/>
          <w:b w:val="0"/>
          <w:bCs w:val="0"/>
          <w:color w:val="auto"/>
          <w:sz w:val="24"/>
          <w:highlight w:val="none"/>
          <w:u w:val="none"/>
          <w:lang w:eastAsia="zh-CN"/>
        </w:rPr>
        <w:t>。</w:t>
      </w:r>
    </w:p>
    <w:p w14:paraId="2DC3B46E">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其他服务内容</w:t>
      </w:r>
    </w:p>
    <w:p w14:paraId="57B13158">
      <w:pPr>
        <w:keepNext w:val="0"/>
        <w:keepLines w:val="0"/>
        <w:pageBreakBefore w:val="0"/>
        <w:widowControl w:val="0"/>
        <w:numPr>
          <w:ilvl w:val="0"/>
          <w:numId w:val="8"/>
        </w:numPr>
        <w:kinsoku/>
        <w:wordWrap/>
        <w:overflowPunct/>
        <w:topLinePunct w:val="0"/>
        <w:autoSpaceDE/>
        <w:autoSpaceDN/>
        <w:bidi w:val="0"/>
        <w:adjustRightInd/>
        <w:snapToGrid/>
        <w:spacing w:line="480" w:lineRule="exact"/>
        <w:ind w:left="126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定期于每月底前向采购单位汇报上月物业管理总体情况。</w:t>
      </w:r>
    </w:p>
    <w:p w14:paraId="464A09C3">
      <w:pPr>
        <w:keepNext w:val="0"/>
        <w:keepLines w:val="0"/>
        <w:pageBreakBefore w:val="0"/>
        <w:widowControl w:val="0"/>
        <w:numPr>
          <w:ilvl w:val="0"/>
          <w:numId w:val="8"/>
        </w:numPr>
        <w:kinsoku/>
        <w:wordWrap/>
        <w:overflowPunct/>
        <w:topLinePunct w:val="0"/>
        <w:autoSpaceDE/>
        <w:autoSpaceDN/>
        <w:bidi w:val="0"/>
        <w:adjustRightInd/>
        <w:snapToGrid/>
        <w:spacing w:line="480" w:lineRule="exact"/>
        <w:ind w:left="126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不得擅自占用和改变公用设施的实用功能，如需完善或扩建，须与甲方协商，经甲方同意后方可实施。</w:t>
      </w:r>
    </w:p>
    <w:p w14:paraId="2BC1C10C">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物业档案资料管理及给予采购单位管理资料备份；</w:t>
      </w:r>
    </w:p>
    <w:p w14:paraId="410DC18C">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采购单位与中标人协商后，认为有必要交给物业公司管理的其它项目；</w:t>
      </w:r>
    </w:p>
    <w:p w14:paraId="02B8BA17">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采购单位认可的，中标人在投标文件中承诺的其他事项；</w:t>
      </w:r>
    </w:p>
    <w:p w14:paraId="1DFBC403">
      <w:pPr>
        <w:keepNext w:val="0"/>
        <w:keepLines w:val="0"/>
        <w:pageBreakBefore w:val="0"/>
        <w:widowControl w:val="0"/>
        <w:numPr>
          <w:ilvl w:val="0"/>
          <w:numId w:val="7"/>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完成甲方安排的临时工作。</w:t>
      </w:r>
    </w:p>
    <w:p w14:paraId="049B3BEB">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物业管理服务合同期限</w:t>
      </w:r>
    </w:p>
    <w:p w14:paraId="7EDB827D">
      <w:pPr>
        <w:keepNext w:val="0"/>
        <w:keepLines w:val="0"/>
        <w:pageBreakBefore w:val="0"/>
        <w:widowControl w:val="0"/>
        <w:numPr>
          <w:ilvl w:val="0"/>
          <w:numId w:val="9"/>
        </w:numPr>
        <w:kinsoku/>
        <w:wordWrap/>
        <w:overflowPunct/>
        <w:topLinePunct w:val="0"/>
        <w:autoSpaceDE/>
        <w:autoSpaceDN/>
        <w:bidi w:val="0"/>
        <w:adjustRightInd/>
        <w:snapToGrid/>
        <w:spacing w:line="480" w:lineRule="exact"/>
        <w:ind w:left="845" w:leftChars="0" w:hanging="425" w:firstLineChars="0"/>
        <w:textAlignment w:val="auto"/>
        <w:outlineLvl w:val="0"/>
        <w:rPr>
          <w:rFonts w:hint="eastAsia" w:ascii="仿宋_GB2312" w:hAnsi="宋体" w:eastAsia="仿宋_GB2312"/>
          <w:b w:val="0"/>
          <w:bCs/>
          <w:color w:val="auto"/>
          <w:sz w:val="24"/>
          <w:highlight w:val="none"/>
          <w:u w:val="none"/>
        </w:rPr>
      </w:pPr>
      <w:r>
        <w:rPr>
          <w:rFonts w:hint="eastAsia" w:ascii="仿宋_GB2312" w:hAnsi="宋体" w:eastAsia="仿宋_GB2312"/>
          <w:b w:val="0"/>
          <w:bCs/>
          <w:color w:val="auto"/>
          <w:sz w:val="24"/>
          <w:highlight w:val="none"/>
          <w:u w:val="none"/>
        </w:rPr>
        <w:t>服务管理期限为一年，自 XX年  月  日起至 XX年  月  日止。</w:t>
      </w:r>
    </w:p>
    <w:p w14:paraId="5A0A3BD6">
      <w:pPr>
        <w:keepNext w:val="0"/>
        <w:keepLines w:val="0"/>
        <w:pageBreakBefore w:val="0"/>
        <w:widowControl w:val="0"/>
        <w:numPr>
          <w:ilvl w:val="0"/>
          <w:numId w:val="9"/>
        </w:numPr>
        <w:kinsoku/>
        <w:wordWrap/>
        <w:overflowPunct/>
        <w:topLinePunct w:val="0"/>
        <w:autoSpaceDE/>
        <w:autoSpaceDN/>
        <w:bidi w:val="0"/>
        <w:adjustRightInd/>
        <w:snapToGrid/>
        <w:spacing w:line="480" w:lineRule="exact"/>
        <w:ind w:left="845" w:leftChars="0" w:hanging="425" w:firstLineChars="0"/>
        <w:textAlignment w:val="auto"/>
        <w:outlineLvl w:val="0"/>
        <w:rPr>
          <w:rFonts w:ascii="仿宋_GB2312" w:eastAsia="仿宋_GB2312"/>
          <w:b w:val="0"/>
          <w:bCs/>
          <w:color w:val="auto"/>
          <w:sz w:val="24"/>
          <w:highlight w:val="none"/>
          <w:u w:val="none"/>
        </w:rPr>
      </w:pPr>
      <w:r>
        <w:rPr>
          <w:rFonts w:hint="eastAsia" w:ascii="仿宋_GB2312" w:hAnsi="宋体" w:eastAsia="仿宋_GB2312"/>
          <w:b w:val="0"/>
          <w:bCs/>
          <w:color w:val="auto"/>
          <w:sz w:val="24"/>
          <w:highlight w:val="none"/>
          <w:u w:val="none"/>
        </w:rPr>
        <w:t>若合同到期，经甲乙双方协商及有关部门同意可以续签，续签须</w:t>
      </w:r>
      <w:r>
        <w:rPr>
          <w:rFonts w:hint="eastAsia" w:ascii="仿宋_GB2312" w:eastAsia="仿宋_GB2312"/>
          <w:b w:val="0"/>
          <w:bCs/>
          <w:color w:val="auto"/>
          <w:sz w:val="24"/>
          <w:highlight w:val="none"/>
          <w:u w:val="none"/>
        </w:rPr>
        <w:t>保证原合同内容不变，</w:t>
      </w:r>
      <w:r>
        <w:rPr>
          <w:rFonts w:hint="eastAsia" w:ascii="仿宋_GB2312" w:eastAsia="仿宋_GB2312"/>
          <w:b w:val="0"/>
          <w:bCs/>
          <w:color w:val="auto"/>
          <w:sz w:val="24"/>
          <w:highlight w:val="none"/>
          <w:u w:val="none"/>
          <w:lang w:eastAsia="zh-CN"/>
        </w:rPr>
        <w:t>续签</w:t>
      </w:r>
      <w:r>
        <w:rPr>
          <w:rFonts w:hint="eastAsia" w:ascii="仿宋_GB2312" w:eastAsia="仿宋_GB2312"/>
          <w:b w:val="0"/>
          <w:bCs/>
          <w:color w:val="auto"/>
          <w:sz w:val="24"/>
          <w:highlight w:val="none"/>
          <w:u w:val="none"/>
        </w:rPr>
        <w:t>时间为二年。合作期内任何一方不得擅自停止协议，否则应负担所造成的一切损失。</w:t>
      </w:r>
    </w:p>
    <w:p w14:paraId="45A21C10">
      <w:pPr>
        <w:keepNext w:val="0"/>
        <w:keepLines w:val="0"/>
        <w:pageBreakBefore w:val="0"/>
        <w:widowControl w:val="0"/>
        <w:numPr>
          <w:ilvl w:val="0"/>
          <w:numId w:val="9"/>
        </w:numPr>
        <w:kinsoku/>
        <w:wordWrap/>
        <w:overflowPunct/>
        <w:topLinePunct w:val="0"/>
        <w:autoSpaceDE/>
        <w:autoSpaceDN/>
        <w:bidi w:val="0"/>
        <w:adjustRightInd/>
        <w:snapToGrid/>
        <w:spacing w:line="480" w:lineRule="exact"/>
        <w:ind w:left="845" w:leftChars="0" w:hanging="425" w:firstLineChars="0"/>
        <w:textAlignment w:val="auto"/>
        <w:outlineLvl w:val="0"/>
        <w:rPr>
          <w:rFonts w:ascii="仿宋_GB2312" w:eastAsia="仿宋_GB2312"/>
          <w:bCs/>
          <w:color w:val="auto"/>
          <w:sz w:val="24"/>
          <w:highlight w:val="none"/>
          <w:u w:val="none"/>
        </w:rPr>
      </w:pPr>
      <w:r>
        <w:rPr>
          <w:rFonts w:hint="eastAsia" w:ascii="仿宋_GB2312" w:eastAsia="仿宋_GB2312"/>
          <w:bCs/>
          <w:color w:val="auto"/>
          <w:sz w:val="24"/>
          <w:highlight w:val="none"/>
          <w:u w:val="none"/>
        </w:rPr>
        <w:t>若甲乙双方任何一方决定在合同期限届满后不再续约的，应在合同到期前六十天以书面方式通知对方。</w:t>
      </w:r>
    </w:p>
    <w:p w14:paraId="6D8BB2BC">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甲方权利义务</w:t>
      </w:r>
    </w:p>
    <w:p w14:paraId="2E59244A">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审议乙方提交的物业管理服务方案及管理制度。</w:t>
      </w:r>
    </w:p>
    <w:p w14:paraId="34F51F9C">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审议乙方提出的物业管理服务年度计划。</w:t>
      </w:r>
    </w:p>
    <w:p w14:paraId="7F3093C5">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监督并配合乙方管理服务工作的实施及制度的执行。</w:t>
      </w:r>
    </w:p>
    <w:p w14:paraId="41586F28">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合同签订之后，甲方就本合同内的各物业向乙方的物业管理处无偿提供具备办公条件的物业管理办公室（有效期至合同期止）。</w:t>
      </w:r>
    </w:p>
    <w:p w14:paraId="3D15125B">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负责处理非乙方管理原因而产生的各种纠纷和协调工作。</w:t>
      </w:r>
    </w:p>
    <w:p w14:paraId="6383612E">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按合同规定支付乙方本合同所指物业的物业管理服务费。</w:t>
      </w:r>
    </w:p>
    <w:p w14:paraId="1970C0D5">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维护乙方权利和地位，保障乙方在涉及管理上的各种关系。</w:t>
      </w:r>
    </w:p>
    <w:p w14:paraId="399FDB70">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指定一个部门科室负责协调乙方在涉及管理上的各种关系。</w:t>
      </w:r>
    </w:p>
    <w:p w14:paraId="0D6800FD">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按合同规定负责配套设施设备的维护费用。</w:t>
      </w:r>
    </w:p>
    <w:p w14:paraId="73461F5C">
      <w:pPr>
        <w:keepNext w:val="0"/>
        <w:keepLines w:val="0"/>
        <w:pageBreakBefore w:val="0"/>
        <w:widowControl w:val="0"/>
        <w:numPr>
          <w:ilvl w:val="0"/>
          <w:numId w:val="10"/>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承担法律法规规定由甲方承担的其他责任。</w:t>
      </w:r>
    </w:p>
    <w:p w14:paraId="62CB758B">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乙方权利义务</w:t>
      </w:r>
    </w:p>
    <w:p w14:paraId="354DC343">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乙方在签订合同之日起5日内接手进入，进入正常物业管理工作。</w:t>
      </w:r>
    </w:p>
    <w:p w14:paraId="744EEDBE">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依照有关规定和本合同约定，制定物业管理服务制度，对物业及其环境、秩序进行管理。</w:t>
      </w:r>
    </w:p>
    <w:p w14:paraId="58F9E5E6">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依照本合同约定向甲方收取物业管理服务费。</w:t>
      </w:r>
    </w:p>
    <w:p w14:paraId="4F338DB8">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建立物业项目的管理档案。</w:t>
      </w:r>
    </w:p>
    <w:p w14:paraId="0476E96F">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按照物业管理情况及要求进行养护、服务与管理。</w:t>
      </w:r>
    </w:p>
    <w:p w14:paraId="769FF94D">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不得将物业项目整体转让给其他物业管理服务企业管理，若将专项服务委托专业公司承担，需报甲方批准。</w:t>
      </w:r>
    </w:p>
    <w:p w14:paraId="391326B9">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负责编制物业的年度日常维修养护计划，经双方议定后，由乙方组织实施。</w:t>
      </w:r>
    </w:p>
    <w:p w14:paraId="72D3FE5F">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负责编制物业管理服务年度计划。</w:t>
      </w:r>
    </w:p>
    <w:p w14:paraId="7A1095CE">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本合同终止乙方不再管理本物业时，必须向甲方移交全部借用的物品、管理用房及物业管理的全部档案资料。</w:t>
      </w:r>
    </w:p>
    <w:p w14:paraId="045F3EC7">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协助公安部门维护本物业管理区域内治安秩序、制止违法行为。在本物业管理区域内发生治安案件或者各类灾害事故时，应当及时向甲方或公安和有关部门报告，并协助做好调查和救助工作。</w:t>
      </w:r>
    </w:p>
    <w:p w14:paraId="5619EAE5">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因乙方未能履行本合同的约定，导致甲方人身、财产安全受到损害的，乙方应当依法承担相应的法律责任及经济赔偿。</w:t>
      </w:r>
    </w:p>
    <w:p w14:paraId="31560214">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乙方管理人员进行如下物业管理活动时，对甲方造成的财产损失可不承担民事赔偿责任；</w:t>
      </w:r>
    </w:p>
    <w:p w14:paraId="065E61FE">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840" w:left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lang w:val="en-US" w:eastAsia="zh-CN"/>
        </w:rPr>
        <w:t>1.</w:t>
      </w:r>
      <w:r>
        <w:rPr>
          <w:rFonts w:hint="eastAsia" w:ascii="仿宋_GB2312" w:hAnsi="宋体" w:eastAsia="仿宋_GB2312"/>
          <w:color w:val="auto"/>
          <w:sz w:val="24"/>
          <w:highlight w:val="none"/>
        </w:rPr>
        <w:t>为救助他人生命而造成的必要财产损失；</w:t>
      </w:r>
    </w:p>
    <w:p w14:paraId="6A8328F2">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840" w:leftChars="0"/>
        <w:textAlignment w:val="auto"/>
        <w:rPr>
          <w:rFonts w:hint="eastAsia" w:ascii="仿宋_GB2312" w:hAnsi="宋体" w:eastAsia="仿宋_GB2312"/>
          <w:color w:val="auto"/>
          <w:sz w:val="24"/>
          <w:highlight w:val="none"/>
        </w:rPr>
      </w:pPr>
      <w:r>
        <w:rPr>
          <w:rFonts w:hint="eastAsia" w:ascii="仿宋_GB2312" w:hAnsi="宋体" w:eastAsia="仿宋_GB2312"/>
          <w:color w:val="auto"/>
          <w:sz w:val="24"/>
          <w:highlight w:val="none"/>
          <w:lang w:val="en-US" w:eastAsia="zh-CN"/>
        </w:rPr>
        <w:t>2.</w:t>
      </w:r>
      <w:r>
        <w:rPr>
          <w:rFonts w:hint="eastAsia" w:ascii="仿宋_GB2312" w:hAnsi="宋体" w:eastAsia="仿宋_GB2312"/>
          <w:color w:val="auto"/>
          <w:sz w:val="24"/>
          <w:highlight w:val="none"/>
        </w:rPr>
        <w:t>为避免甲方财产受损或可能受损而造成的必要财产损失（如失火又无人在内</w:t>
      </w:r>
      <w:r>
        <w:rPr>
          <w:rFonts w:hint="eastAsia" w:ascii="仿宋_GB2312" w:hAnsi="宋体" w:eastAsia="仿宋_GB2312"/>
          <w:color w:val="auto"/>
          <w:sz w:val="24"/>
          <w:highlight w:val="none"/>
          <w:lang w:eastAsia="zh-CN"/>
        </w:rPr>
        <w:t>，</w:t>
      </w:r>
      <w:r>
        <w:rPr>
          <w:rFonts w:hint="eastAsia" w:ascii="仿宋_GB2312" w:hAnsi="宋体" w:eastAsia="仿宋_GB2312"/>
          <w:color w:val="auto"/>
          <w:sz w:val="24"/>
          <w:highlight w:val="none"/>
        </w:rPr>
        <w:t>为不使其造成巨大损失，物业管理者强行入内救助）；</w:t>
      </w:r>
    </w:p>
    <w:p w14:paraId="6CB3B686">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840" w:left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lang w:val="en-US" w:eastAsia="zh-CN"/>
        </w:rPr>
        <w:t>3.</w:t>
      </w:r>
      <w:r>
        <w:rPr>
          <w:rFonts w:hint="eastAsia" w:ascii="仿宋_GB2312" w:hAnsi="宋体" w:eastAsia="仿宋_GB2312"/>
          <w:color w:val="auto"/>
          <w:sz w:val="24"/>
          <w:highlight w:val="none"/>
        </w:rPr>
        <w:t>为抓捕违法犯罪分子、制止不法侵害行为而造成的必要财产损失</w:t>
      </w:r>
      <w:r>
        <w:rPr>
          <w:rFonts w:hint="eastAsia" w:ascii="仿宋_GB2312" w:hAnsi="宋体" w:eastAsia="仿宋_GB2312"/>
          <w:color w:val="auto"/>
          <w:sz w:val="24"/>
          <w:highlight w:val="none"/>
          <w:lang w:eastAsia="zh-CN"/>
        </w:rPr>
        <w:t>。</w:t>
      </w:r>
    </w:p>
    <w:p w14:paraId="56F2177C">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本项目主管人员的更换，须在30日前书面通知甲方。</w:t>
      </w:r>
    </w:p>
    <w:p w14:paraId="76443220">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接受甲方的监督。</w:t>
      </w:r>
    </w:p>
    <w:p w14:paraId="2B3FE45B">
      <w:pPr>
        <w:keepNext w:val="0"/>
        <w:keepLines w:val="0"/>
        <w:pageBreakBefore w:val="0"/>
        <w:widowControl w:val="0"/>
        <w:numPr>
          <w:ilvl w:val="0"/>
          <w:numId w:val="11"/>
        </w:numPr>
        <w:kinsoku/>
        <w:wordWrap/>
        <w:overflowPunct/>
        <w:topLinePunct w:val="0"/>
        <w:autoSpaceDE/>
        <w:autoSpaceDN/>
        <w:bidi w:val="0"/>
        <w:adjustRightInd/>
        <w:snapToGrid/>
        <w:spacing w:line="480" w:lineRule="exact"/>
        <w:ind w:left="845" w:leftChars="0" w:hanging="425" w:firstLineChars="0"/>
        <w:textAlignment w:val="auto"/>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接受物业管理行政主管部门的监督指导。</w:t>
      </w:r>
    </w:p>
    <w:p w14:paraId="4D3B7800">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物业管理服务费用</w:t>
      </w:r>
    </w:p>
    <w:p w14:paraId="42DBBD8E">
      <w:pPr>
        <w:keepNext w:val="0"/>
        <w:keepLines w:val="0"/>
        <w:pageBreakBefore w:val="0"/>
        <w:widowControl w:val="0"/>
        <w:numPr>
          <w:ilvl w:val="0"/>
          <w:numId w:val="12"/>
        </w:numPr>
        <w:kinsoku/>
        <w:wordWrap/>
        <w:overflowPunct/>
        <w:topLinePunct w:val="0"/>
        <w:autoSpaceDE/>
        <w:autoSpaceDN/>
        <w:bidi w:val="0"/>
        <w:adjustRightInd/>
        <w:snapToGrid/>
        <w:spacing w:line="480" w:lineRule="exact"/>
        <w:ind w:left="0" w:leftChars="0" w:firstLine="420" w:firstLineChars="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乙方收取物业管理服务费的构成包括以下项目：</w:t>
      </w:r>
    </w:p>
    <w:p w14:paraId="2166CEBA">
      <w:pPr>
        <w:keepNext w:val="0"/>
        <w:keepLines w:val="0"/>
        <w:pageBreakBefore w:val="0"/>
        <w:widowControl w:val="0"/>
        <w:numPr>
          <w:ilvl w:val="0"/>
          <w:numId w:val="13"/>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管理、服务人员的工资、按规定提取的保险和福利费及国家地方规定必须</w:t>
      </w:r>
    </w:p>
    <w:p w14:paraId="534E79D4">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firstLine="960" w:firstLineChars="4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lang w:eastAsia="zh-CN"/>
        </w:rPr>
        <w:t>缴</w:t>
      </w:r>
      <w:r>
        <w:rPr>
          <w:rFonts w:hint="eastAsia" w:ascii="仿宋_GB2312" w:hAnsi="宋体" w:eastAsia="仿宋_GB2312"/>
          <w:color w:val="auto"/>
          <w:sz w:val="24"/>
          <w:highlight w:val="none"/>
        </w:rPr>
        <w:t>纳的费用；</w:t>
      </w:r>
    </w:p>
    <w:p w14:paraId="43D2026F">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ascii="仿宋_GB2312" w:hAnsi="宋体" w:eastAsia="仿宋_GB2312"/>
          <w:color w:val="auto"/>
          <w:sz w:val="24"/>
          <w:highlight w:val="none"/>
        </w:rPr>
      </w:pPr>
      <w:r>
        <w:rPr>
          <w:rFonts w:hint="default" w:ascii="仿宋_GB2312" w:hAnsi="宋体" w:eastAsia="仿宋_GB2312" w:cstheme="minorBidi"/>
          <w:color w:val="auto"/>
          <w:kern w:val="2"/>
          <w:sz w:val="24"/>
          <w:szCs w:val="22"/>
          <w:lang w:val="en-US" w:eastAsia="zh-CN" w:bidi="ar-SA"/>
        </w:rPr>
        <w:t>2．</w:t>
      </w:r>
      <w:r>
        <w:rPr>
          <w:rFonts w:hint="eastAsia" w:ascii="仿宋_GB2312" w:hAnsi="宋体" w:eastAsia="仿宋_GB2312"/>
          <w:color w:val="auto"/>
          <w:sz w:val="24"/>
          <w:highlight w:val="none"/>
        </w:rPr>
        <w:t>绿化养护管理费用；</w:t>
      </w:r>
    </w:p>
    <w:p w14:paraId="75A511D8">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ascii="仿宋_GB2312" w:hAnsi="宋体" w:eastAsia="仿宋_GB2312"/>
          <w:color w:val="auto"/>
          <w:sz w:val="24"/>
          <w:highlight w:val="none"/>
        </w:rPr>
      </w:pPr>
      <w:r>
        <w:rPr>
          <w:rFonts w:hint="default" w:ascii="仿宋_GB2312" w:hAnsi="宋体" w:eastAsia="仿宋_GB2312" w:cstheme="minorBidi"/>
          <w:color w:val="auto"/>
          <w:kern w:val="2"/>
          <w:sz w:val="24"/>
          <w:szCs w:val="22"/>
          <w:lang w:val="en-US" w:eastAsia="zh-CN" w:bidi="ar-SA"/>
        </w:rPr>
        <w:t>3．</w:t>
      </w:r>
      <w:r>
        <w:rPr>
          <w:rFonts w:hint="eastAsia" w:ascii="仿宋_GB2312" w:hAnsi="宋体" w:eastAsia="仿宋_GB2312"/>
          <w:color w:val="auto"/>
          <w:sz w:val="24"/>
          <w:highlight w:val="none"/>
        </w:rPr>
        <w:t>清洁卫生费（包括工具物品及清洁剂）；</w:t>
      </w:r>
    </w:p>
    <w:p w14:paraId="6E1B88F3">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ascii="仿宋_GB2312" w:hAnsi="宋体" w:eastAsia="仿宋_GB2312"/>
          <w:color w:val="auto"/>
          <w:sz w:val="24"/>
          <w:highlight w:val="none"/>
        </w:rPr>
      </w:pPr>
      <w:r>
        <w:rPr>
          <w:rFonts w:hint="default" w:ascii="仿宋_GB2312" w:hAnsi="宋体" w:eastAsia="仿宋_GB2312" w:cstheme="minorBidi"/>
          <w:color w:val="auto"/>
          <w:kern w:val="2"/>
          <w:sz w:val="24"/>
          <w:szCs w:val="22"/>
          <w:lang w:val="en-US" w:eastAsia="zh-CN" w:bidi="ar-SA"/>
        </w:rPr>
        <w:t>4．</w:t>
      </w:r>
      <w:r>
        <w:rPr>
          <w:rFonts w:hint="eastAsia" w:ascii="仿宋_GB2312" w:hAnsi="宋体" w:eastAsia="仿宋_GB2312"/>
          <w:color w:val="auto"/>
          <w:sz w:val="24"/>
          <w:highlight w:val="none"/>
        </w:rPr>
        <w:t>设备设施维护费（指单件低于2元的维修材料费）；</w:t>
      </w:r>
    </w:p>
    <w:p w14:paraId="7FC6C1F5">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ascii="仿宋_GB2312" w:hAnsi="宋体" w:eastAsia="仿宋_GB2312"/>
          <w:color w:val="auto"/>
          <w:sz w:val="24"/>
          <w:highlight w:val="none"/>
        </w:rPr>
      </w:pPr>
      <w:r>
        <w:rPr>
          <w:rFonts w:hint="default" w:ascii="仿宋_GB2312" w:hAnsi="宋体" w:eastAsia="仿宋_GB2312" w:cstheme="minorBidi"/>
          <w:color w:val="auto"/>
          <w:kern w:val="2"/>
          <w:sz w:val="24"/>
          <w:szCs w:val="22"/>
          <w:lang w:val="en-US" w:eastAsia="zh-CN" w:bidi="ar-SA"/>
        </w:rPr>
        <w:t>5．</w:t>
      </w:r>
      <w:r>
        <w:rPr>
          <w:rFonts w:hint="eastAsia" w:ascii="仿宋_GB2312" w:hAnsi="宋体" w:eastAsia="仿宋_GB2312"/>
          <w:color w:val="auto"/>
          <w:sz w:val="24"/>
          <w:highlight w:val="none"/>
        </w:rPr>
        <w:t>日常行政办公费；</w:t>
      </w:r>
    </w:p>
    <w:p w14:paraId="58E858AA">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ascii="仿宋_GB2312" w:hAnsi="宋体" w:eastAsia="仿宋_GB2312"/>
          <w:color w:val="auto"/>
          <w:sz w:val="24"/>
          <w:highlight w:val="none"/>
        </w:rPr>
      </w:pPr>
      <w:r>
        <w:rPr>
          <w:rFonts w:hint="default" w:ascii="仿宋_GB2312" w:hAnsi="宋体" w:eastAsia="仿宋_GB2312" w:cstheme="minorBidi"/>
          <w:color w:val="auto"/>
          <w:kern w:val="2"/>
          <w:sz w:val="24"/>
          <w:szCs w:val="22"/>
          <w:lang w:val="en-US" w:eastAsia="zh-CN" w:bidi="ar-SA"/>
        </w:rPr>
        <w:t>6．</w:t>
      </w:r>
      <w:r>
        <w:rPr>
          <w:rFonts w:hint="eastAsia" w:ascii="仿宋_GB2312" w:hAnsi="宋体" w:eastAsia="仿宋_GB2312"/>
          <w:color w:val="auto"/>
          <w:sz w:val="24"/>
          <w:highlight w:val="none"/>
        </w:rPr>
        <w:t>物业公司与本项目直接有关的固定资产折旧费；</w:t>
      </w:r>
    </w:p>
    <w:p w14:paraId="1ECE2D5E">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ascii="仿宋_GB2312" w:hAnsi="宋体" w:eastAsia="仿宋_GB2312"/>
          <w:color w:val="auto"/>
          <w:sz w:val="24"/>
          <w:highlight w:val="none"/>
        </w:rPr>
      </w:pPr>
      <w:r>
        <w:rPr>
          <w:rFonts w:hint="default" w:ascii="仿宋_GB2312" w:hAnsi="宋体" w:eastAsia="仿宋_GB2312" w:cstheme="minorBidi"/>
          <w:color w:val="auto"/>
          <w:kern w:val="2"/>
          <w:sz w:val="24"/>
          <w:szCs w:val="22"/>
          <w:lang w:val="en-US" w:eastAsia="zh-CN" w:bidi="ar-SA"/>
        </w:rPr>
        <w:t>7．</w:t>
      </w:r>
      <w:r>
        <w:rPr>
          <w:rFonts w:hint="eastAsia" w:ascii="仿宋_GB2312" w:hAnsi="宋体" w:eastAsia="仿宋_GB2312"/>
          <w:color w:val="auto"/>
          <w:sz w:val="24"/>
          <w:highlight w:val="none"/>
        </w:rPr>
        <w:t>专业工具及劳保用品费用；</w:t>
      </w:r>
    </w:p>
    <w:p w14:paraId="30111D39">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ascii="仿宋_GB2312" w:hAnsi="宋体" w:eastAsia="仿宋_GB2312"/>
          <w:color w:val="auto"/>
          <w:sz w:val="24"/>
          <w:highlight w:val="none"/>
        </w:rPr>
      </w:pPr>
      <w:r>
        <w:rPr>
          <w:rFonts w:hint="default" w:ascii="仿宋_GB2312" w:hAnsi="宋体" w:eastAsia="仿宋_GB2312" w:cstheme="minorBidi"/>
          <w:color w:val="auto"/>
          <w:kern w:val="2"/>
          <w:sz w:val="24"/>
          <w:szCs w:val="22"/>
          <w:lang w:val="en-US" w:eastAsia="zh-CN" w:bidi="ar-SA"/>
        </w:rPr>
        <w:t>8．</w:t>
      </w:r>
      <w:r>
        <w:rPr>
          <w:rFonts w:hint="eastAsia" w:ascii="仿宋_GB2312" w:hAnsi="宋体" w:eastAsia="仿宋_GB2312"/>
          <w:color w:val="auto"/>
          <w:sz w:val="24"/>
          <w:highlight w:val="none"/>
        </w:rPr>
        <w:t>物业公司合理利润；</w:t>
      </w:r>
    </w:p>
    <w:p w14:paraId="6A95C4CF">
      <w:pPr>
        <w:keepNext w:val="0"/>
        <w:keepLines w:val="0"/>
        <w:pageBreakBefore w:val="0"/>
        <w:widowControl w:val="0"/>
        <w:numPr>
          <w:ilvl w:val="0"/>
          <w:numId w:val="0"/>
        </w:numPr>
        <w:tabs>
          <w:tab w:val="left" w:pos="420"/>
        </w:tabs>
        <w:kinsoku/>
        <w:wordWrap/>
        <w:overflowPunct/>
        <w:topLinePunct w:val="0"/>
        <w:autoSpaceDE/>
        <w:autoSpaceDN/>
        <w:bidi w:val="0"/>
        <w:adjustRightInd/>
        <w:snapToGrid/>
        <w:spacing w:line="480" w:lineRule="exact"/>
        <w:ind w:left="1294" w:leftChars="0" w:hanging="454" w:firstLineChars="0"/>
        <w:textAlignment w:val="auto"/>
        <w:rPr>
          <w:rFonts w:ascii="仿宋_GB2312" w:hAnsi="宋体" w:eastAsia="仿宋_GB2312"/>
          <w:color w:val="auto"/>
          <w:sz w:val="24"/>
          <w:highlight w:val="none"/>
        </w:rPr>
      </w:pPr>
      <w:r>
        <w:rPr>
          <w:rFonts w:hint="default" w:ascii="仿宋_GB2312" w:hAnsi="宋体" w:eastAsia="仿宋_GB2312" w:cstheme="minorBidi"/>
          <w:color w:val="auto"/>
          <w:kern w:val="2"/>
          <w:sz w:val="24"/>
          <w:szCs w:val="22"/>
          <w:lang w:val="en-US" w:eastAsia="zh-CN" w:bidi="ar-SA"/>
        </w:rPr>
        <w:t>9．</w:t>
      </w:r>
      <w:r>
        <w:rPr>
          <w:rFonts w:hint="eastAsia" w:ascii="仿宋_GB2312" w:hAnsi="宋体" w:eastAsia="仿宋_GB2312"/>
          <w:color w:val="auto"/>
          <w:sz w:val="24"/>
          <w:highlight w:val="none"/>
        </w:rPr>
        <w:t xml:space="preserve">法定税费； </w:t>
      </w:r>
    </w:p>
    <w:p w14:paraId="1590A88F">
      <w:pPr>
        <w:keepNext w:val="0"/>
        <w:keepLines w:val="0"/>
        <w:pageBreakBefore w:val="0"/>
        <w:widowControl w:val="0"/>
        <w:numPr>
          <w:ilvl w:val="0"/>
          <w:numId w:val="12"/>
        </w:numPr>
        <w:kinsoku/>
        <w:wordWrap/>
        <w:overflowPunct/>
        <w:topLinePunct w:val="0"/>
        <w:autoSpaceDE/>
        <w:autoSpaceDN/>
        <w:bidi w:val="0"/>
        <w:adjustRightInd/>
        <w:snapToGrid/>
        <w:spacing w:line="480" w:lineRule="exact"/>
        <w:ind w:left="0" w:leftChars="0" w:firstLine="420" w:firstLineChars="0"/>
        <w:textAlignment w:val="auto"/>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按双方商定，物业管理收费标准为：_______________元/月，_____________元/年；</w:t>
      </w:r>
    </w:p>
    <w:p w14:paraId="77D0EAC2">
      <w:pPr>
        <w:keepNext w:val="0"/>
        <w:keepLines w:val="0"/>
        <w:pageBreakBefore w:val="0"/>
        <w:widowControl w:val="0"/>
        <w:numPr>
          <w:ilvl w:val="0"/>
          <w:numId w:val="12"/>
        </w:numPr>
        <w:kinsoku/>
        <w:wordWrap/>
        <w:overflowPunct/>
        <w:topLinePunct w:val="0"/>
        <w:autoSpaceDE/>
        <w:autoSpaceDN/>
        <w:bidi w:val="0"/>
        <w:adjustRightInd/>
        <w:snapToGrid/>
        <w:spacing w:line="480" w:lineRule="exact"/>
        <w:ind w:left="0" w:leftChars="0" w:firstLine="420" w:firstLineChars="0"/>
        <w:textAlignment w:val="auto"/>
        <w:rPr>
          <w:rFonts w:hint="default" w:ascii="仿宋_GB2312" w:hAnsi="宋体" w:eastAsia="仿宋_GB2312"/>
          <w:color w:val="auto"/>
          <w:sz w:val="24"/>
          <w:highlight w:val="none"/>
          <w:lang w:val="en-US" w:eastAsia="zh-CN"/>
        </w:rPr>
      </w:pPr>
      <w:r>
        <w:rPr>
          <w:rFonts w:hint="eastAsia" w:ascii="仿宋_GB2312" w:hAnsi="宋体" w:eastAsia="仿宋_GB2312"/>
          <w:color w:val="auto"/>
          <w:sz w:val="24"/>
          <w:highlight w:val="none"/>
        </w:rPr>
        <w:t>交纳费用时间：</w:t>
      </w:r>
      <w:r>
        <w:rPr>
          <w:rFonts w:hint="eastAsia" w:ascii="仿宋_GB2312" w:hAnsi="宋体" w:eastAsia="仿宋_GB2312"/>
          <w:color w:val="auto"/>
          <w:sz w:val="24"/>
          <w:highlight w:val="none"/>
          <w:lang w:eastAsia="zh-CN"/>
        </w:rPr>
        <w:t>甲方根据《物业管理服务考核细则》（另定）对乙方的服务质量进行月度考核，如考核合格，甲方足额支付当月物业管理费。如达不到要求的，甲方有权书面要求乙方在规定期限内整改，逾期未整改，甲方有权扣除乙方当月相应项目的物业管理费用。</w:t>
      </w:r>
    </w:p>
    <w:p w14:paraId="2E33C0DC">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违约责任</w:t>
      </w:r>
    </w:p>
    <w:p w14:paraId="6E4BD804">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一）如因甲方的原因，造成乙方未完成规定管理目标，乙方有权书面要求甲方在一定期限内解决，逾期未解决的，乙方不承担因此造成的一切后果，如甲方无正当理由拒付或付少物业管理费用，乙方有权终止合同；造成乙方损失的，甲方应给予乙方经济赔偿。</w:t>
      </w:r>
    </w:p>
    <w:p w14:paraId="4C28FAC8">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hint="eastAsia" w:ascii="仿宋_GB2312" w:hAnsi="宋体" w:eastAsia="仿宋_GB2312"/>
          <w:color w:val="auto"/>
          <w:sz w:val="24"/>
          <w:highlight w:val="none"/>
          <w:lang w:val="en-US" w:eastAsia="zh-CN"/>
        </w:rPr>
      </w:pPr>
      <w:r>
        <w:rPr>
          <w:rFonts w:hint="eastAsia" w:ascii="仿宋_GB2312" w:hAnsi="宋体" w:eastAsia="仿宋_GB2312"/>
          <w:color w:val="auto"/>
          <w:sz w:val="24"/>
          <w:highlight w:val="none"/>
        </w:rPr>
        <w:t>（二）每年度邀请区级有关专业人员对乙方的管理工作进行评审，评审结果达不到标准的，属于乙方违约，甲方有权单方解除合同</w:t>
      </w:r>
      <w:r>
        <w:rPr>
          <w:rFonts w:hint="eastAsia" w:ascii="仿宋_GB2312" w:hAnsi="宋体" w:eastAsia="仿宋_GB2312"/>
          <w:color w:val="auto"/>
          <w:sz w:val="24"/>
          <w:highlight w:val="none"/>
          <w:lang w:eastAsia="zh-CN"/>
        </w:rPr>
        <w:t>。</w:t>
      </w:r>
    </w:p>
    <w:p w14:paraId="41A258BB">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不可抗拒的约定</w:t>
      </w:r>
    </w:p>
    <w:p w14:paraId="0F9B6166">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本合同执行期间，如遇不可抗力，致使合同无法履行时，双方应按有关法律规定及时协商处理。</w:t>
      </w:r>
    </w:p>
    <w:p w14:paraId="5B7D78D4">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争议处理</w:t>
      </w:r>
    </w:p>
    <w:p w14:paraId="1F799EF6">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本合同在履行中如发生争议，双方应协商解决或报请物业管理行政主管部门进行协调，协商或协调不成的，向物业所在地的人民法院提起诉讼。</w:t>
      </w:r>
    </w:p>
    <w:p w14:paraId="660B82B7">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合同附件</w:t>
      </w:r>
    </w:p>
    <w:p w14:paraId="7CA64462">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双方可对本合同的条款及未尽事宜进行补充，以书面形式签订补充合同或会议纪要、备忘录，补充合同、会议纪要、备忘录与本合同具有同等效力。</w:t>
      </w:r>
    </w:p>
    <w:p w14:paraId="2B3E1471">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本合同及其附件和补充合同中未规定的事宜，均遵照国际和本市、区有关法律、法规和规章执行。</w:t>
      </w:r>
    </w:p>
    <w:p w14:paraId="4270DDF8">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合同备案</w:t>
      </w:r>
    </w:p>
    <w:p w14:paraId="64BD17AE">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本合同签订之日起十五日内，甲方持本合同到市物业管理行政主管部门办理备案。</w:t>
      </w:r>
    </w:p>
    <w:p w14:paraId="0A5478EC">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合同责任及生效</w:t>
      </w:r>
    </w:p>
    <w:p w14:paraId="4811DF60">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（一）本合同自签定盖章之日起生效。</w:t>
      </w:r>
    </w:p>
    <w:p w14:paraId="4900CA19">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（二）合同期满本合同自然终止，双方如续订合同，应在该合同期满30天前向对方提出书面意见。</w:t>
      </w:r>
    </w:p>
    <w:p w14:paraId="127B9121">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（三）自本合同生效、乙方正式进场之日起三十天内，根据甲方委托管理事项，办完交接验收手续。</w:t>
      </w:r>
    </w:p>
    <w:p w14:paraId="45DC0607">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（四）双方可对本合同的条款进行补充，以书面形式签订补充协议，补充协议与本合同具有同等效力。</w:t>
      </w:r>
    </w:p>
    <w:p w14:paraId="03697809">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合同生效及其它</w:t>
      </w:r>
    </w:p>
    <w:p w14:paraId="18ED3326">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本合同一式六份，经甲乙双方法定代表人或委托代理人签字并加盖公章后生效。甲乙双方各执二份，舟山市公共资源交易中心普陀分中心执一份。送交物业管理行政主管部门备案一份，具有同等法律效力。</w:t>
      </w:r>
    </w:p>
    <w:p w14:paraId="3373C9D3">
      <w:pPr>
        <w:keepNext w:val="0"/>
        <w:keepLines w:val="0"/>
        <w:pageBreakBefore w:val="0"/>
        <w:widowControl w:val="0"/>
        <w:numPr>
          <w:ilvl w:val="0"/>
          <w:numId w:val="5"/>
        </w:numPr>
        <w:kinsoku/>
        <w:wordWrap/>
        <w:overflowPunct/>
        <w:topLinePunct w:val="0"/>
        <w:autoSpaceDE/>
        <w:autoSpaceDN/>
        <w:bidi w:val="0"/>
        <w:adjustRightInd/>
        <w:snapToGrid/>
        <w:spacing w:line="480" w:lineRule="exact"/>
        <w:ind w:left="0" w:leftChars="0" w:firstLine="420" w:firstLineChars="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特别约定</w:t>
      </w:r>
    </w:p>
    <w:p w14:paraId="38121CCD">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b w:val="0"/>
          <w:bCs w:val="0"/>
          <w:color w:val="auto"/>
          <w:sz w:val="24"/>
          <w:highlight w:val="none"/>
          <w:u w:val="none"/>
        </w:rPr>
      </w:pPr>
      <w:r>
        <w:rPr>
          <w:rFonts w:hint="eastAsia" w:ascii="仿宋_GB2312" w:hAnsi="宋体" w:eastAsia="仿宋_GB2312"/>
          <w:b w:val="0"/>
          <w:bCs w:val="0"/>
          <w:color w:val="auto"/>
          <w:sz w:val="24"/>
          <w:highlight w:val="none"/>
          <w:u w:val="none"/>
        </w:rPr>
        <w:t>（一）乙方须在本合同签订之日起2个月内，在本项目所在地范围内（即舟山市普陀区）设立分公司。逾期未设立的，甲方有权随时单方面解除合同，并不承担任何法律责任或赔偿乙方任何经济损失。</w:t>
      </w:r>
    </w:p>
    <w:p w14:paraId="7F72E57C">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b w:val="0"/>
          <w:bCs w:val="0"/>
          <w:color w:val="auto"/>
          <w:sz w:val="24"/>
          <w:highlight w:val="none"/>
          <w:u w:val="none"/>
        </w:rPr>
      </w:pPr>
      <w:r>
        <w:rPr>
          <w:rFonts w:hint="eastAsia" w:ascii="仿宋_GB2312" w:hAnsi="宋体" w:eastAsia="仿宋_GB2312"/>
          <w:b w:val="0"/>
          <w:bCs w:val="0"/>
          <w:color w:val="auto"/>
          <w:sz w:val="24"/>
          <w:highlight w:val="none"/>
          <w:u w:val="none"/>
        </w:rPr>
        <w:t>（二）乙方须按国家有关规定为本项目员工办理劳动保险、工伤保险等相关保险。如因乙方自身原因未办理相关保险，甲方有权不承担任何由此引发的法律责任或经济损失。</w:t>
      </w:r>
    </w:p>
    <w:p w14:paraId="44DD3751">
      <w:pPr>
        <w:keepNext w:val="0"/>
        <w:keepLines w:val="0"/>
        <w:pageBreakBefore w:val="0"/>
        <w:widowControl w:val="0"/>
        <w:kinsoku/>
        <w:wordWrap/>
        <w:overflowPunct/>
        <w:topLinePunct w:val="0"/>
        <w:autoSpaceDE/>
        <w:autoSpaceDN/>
        <w:bidi w:val="0"/>
        <w:adjustRightInd/>
        <w:snapToGrid/>
        <w:spacing w:line="480" w:lineRule="exact"/>
        <w:ind w:left="1" w:firstLine="480" w:firstLineChars="200"/>
        <w:textAlignment w:val="auto"/>
        <w:rPr>
          <w:rFonts w:ascii="仿宋_GB2312" w:hAnsi="宋体" w:eastAsia="仿宋_GB2312"/>
          <w:color w:val="auto"/>
          <w:sz w:val="24"/>
          <w:highlight w:val="none"/>
        </w:rPr>
      </w:pPr>
    </w:p>
    <w:p w14:paraId="40B3661B">
      <w:pPr>
        <w:spacing w:line="440" w:lineRule="exact"/>
        <w:ind w:left="1" w:firstLine="480" w:firstLineChars="200"/>
        <w:rPr>
          <w:rFonts w:ascii="仿宋_GB2312" w:hAnsi="宋体" w:eastAsia="仿宋_GB2312"/>
          <w:color w:val="auto"/>
          <w:sz w:val="24"/>
          <w:highlight w:val="none"/>
        </w:rPr>
      </w:pPr>
    </w:p>
    <w:p w14:paraId="60D84604">
      <w:pPr>
        <w:spacing w:line="44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甲方名称及公章：                  乙方名称及公章：</w:t>
      </w:r>
    </w:p>
    <w:p w14:paraId="60E6A6E9">
      <w:pPr>
        <w:spacing w:line="44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法定代表人                        法定代表人 </w:t>
      </w:r>
    </w:p>
    <w:p w14:paraId="4CF735D5">
      <w:pPr>
        <w:spacing w:line="44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或委托代理人：                    或委托代理人：</w:t>
      </w:r>
    </w:p>
    <w:p w14:paraId="0DDE5A52">
      <w:pPr>
        <w:spacing w:line="44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地    址：                        地    址：</w:t>
      </w:r>
    </w:p>
    <w:p w14:paraId="56CA7DF4">
      <w:pPr>
        <w:spacing w:line="44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联系电话：                        联系电话：</w:t>
      </w:r>
    </w:p>
    <w:p w14:paraId="015B298D">
      <w:pPr>
        <w:spacing w:line="44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开户名称：</w:t>
      </w:r>
    </w:p>
    <w:p w14:paraId="4FDF148C">
      <w:pPr>
        <w:spacing w:line="44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开户银行：</w:t>
      </w:r>
    </w:p>
    <w:p w14:paraId="34BCE156">
      <w:pPr>
        <w:spacing w:line="44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                                  银行账号：</w:t>
      </w:r>
    </w:p>
    <w:p w14:paraId="7B2FBA0A">
      <w:pPr>
        <w:spacing w:line="400" w:lineRule="exact"/>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合同签订时间：                    合同签订地点： </w:t>
      </w:r>
    </w:p>
    <w:p w14:paraId="0E8058E4">
      <w:pPr>
        <w:rPr>
          <w:color w:val="auto"/>
          <w:highlight w:val="none"/>
        </w:rPr>
      </w:pPr>
    </w:p>
    <w:p w14:paraId="7BD2265C">
      <w:pPr>
        <w:pStyle w:val="8"/>
        <w:ind w:left="0" w:leftChars="0" w:firstLine="0" w:firstLineChars="0"/>
        <w:rPr>
          <w:rFonts w:hint="eastAsia" w:ascii="仿宋" w:hAnsi="仿宋" w:eastAsia="仿宋" w:cs="仿宋"/>
          <w:color w:val="auto"/>
        </w:rPr>
      </w:pPr>
    </w:p>
    <w:p w14:paraId="4AC47B9E">
      <w:pPr>
        <w:pStyle w:val="8"/>
        <w:rPr>
          <w:rFonts w:hint="eastAsia" w:ascii="仿宋" w:hAnsi="仿宋" w:eastAsia="仿宋" w:cs="仿宋"/>
          <w:color w:val="auto"/>
        </w:rPr>
      </w:pPr>
    </w:p>
    <w:p w14:paraId="7ABC0BFF">
      <w:pPr>
        <w:pStyle w:val="8"/>
        <w:rPr>
          <w:rFonts w:hint="eastAsia" w:ascii="仿宋" w:hAnsi="仿宋" w:eastAsia="仿宋" w:cs="仿宋"/>
          <w:color w:val="auto"/>
        </w:rPr>
      </w:pPr>
    </w:p>
    <w:p w14:paraId="5CA423E1">
      <w:pPr>
        <w:pStyle w:val="8"/>
        <w:rPr>
          <w:rFonts w:hint="eastAsia" w:ascii="仿宋" w:hAnsi="仿宋" w:eastAsia="仿宋" w:cs="仿宋"/>
          <w:color w:val="auto"/>
        </w:rPr>
      </w:pPr>
    </w:p>
    <w:p w14:paraId="7E5B6A0B">
      <w:pPr>
        <w:snapToGrid w:val="0"/>
        <w:spacing w:line="360" w:lineRule="auto"/>
        <w:jc w:val="center"/>
        <w:rPr>
          <w:rFonts w:hint="eastAsia" w:ascii="仿宋" w:hAnsi="仿宋" w:eastAsia="仿宋" w:cs="仿宋"/>
          <w:b/>
          <w:color w:val="auto"/>
          <w:sz w:val="36"/>
        </w:rPr>
      </w:pPr>
      <w:r>
        <w:rPr>
          <w:rFonts w:hint="eastAsia" w:ascii="仿宋" w:hAnsi="仿宋" w:eastAsia="仿宋" w:cs="仿宋"/>
          <w:b/>
          <w:color w:val="auto"/>
          <w:sz w:val="36"/>
        </w:rPr>
        <w:t>第六部分  应提交的有关格式范例</w:t>
      </w:r>
    </w:p>
    <w:p w14:paraId="318F44E4">
      <w:pPr>
        <w:spacing w:line="360" w:lineRule="auto"/>
        <w:outlineLvl w:val="0"/>
        <w:rPr>
          <w:rFonts w:hint="eastAsia" w:ascii="仿宋" w:hAnsi="仿宋" w:eastAsia="仿宋" w:cs="仿宋"/>
          <w:color w:val="auto"/>
          <w:sz w:val="24"/>
        </w:rPr>
      </w:pPr>
    </w:p>
    <w:p w14:paraId="01C256FC">
      <w:pPr>
        <w:spacing w:line="360" w:lineRule="auto"/>
        <w:outlineLvl w:val="0"/>
        <w:rPr>
          <w:rFonts w:hint="eastAsia" w:ascii="仿宋" w:hAnsi="仿宋" w:eastAsia="仿宋" w:cs="仿宋"/>
          <w:color w:val="auto"/>
          <w:sz w:val="36"/>
          <w:szCs w:val="36"/>
        </w:rPr>
      </w:pPr>
    </w:p>
    <w:p w14:paraId="1E0C0426">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468246C1">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278FF747">
      <w:pPr>
        <w:spacing w:line="360" w:lineRule="auto"/>
        <w:jc w:val="center"/>
        <w:outlineLvl w:val="0"/>
        <w:rPr>
          <w:rFonts w:hint="eastAsia" w:ascii="仿宋" w:hAnsi="仿宋" w:eastAsia="仿宋" w:cs="仿宋"/>
          <w:b/>
          <w:color w:val="auto"/>
          <w:kern w:val="0"/>
          <w:sz w:val="36"/>
          <w:szCs w:val="36"/>
        </w:rPr>
      </w:pPr>
    </w:p>
    <w:p w14:paraId="2432677C">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（1）符合参加政府采购活动应当具备的一般条件的承诺函……………（页码）</w:t>
      </w:r>
    </w:p>
    <w:p w14:paraId="3E727C90">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（2）联合协议（若有）……………………………………………………（页码）</w:t>
      </w:r>
    </w:p>
    <w:p w14:paraId="0FCF0098">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（3）落实政府采购政策需满足的资格要求（若有）……………………（页码）</w:t>
      </w:r>
    </w:p>
    <w:p w14:paraId="4D9F986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（4）本项目的特定资格要求（若有）……………………………………（页码）</w:t>
      </w:r>
    </w:p>
    <w:p w14:paraId="707EE60D">
      <w:pPr>
        <w:snapToGrid w:val="0"/>
        <w:spacing w:line="360" w:lineRule="auto"/>
        <w:rPr>
          <w:rFonts w:hint="eastAsia" w:ascii="仿宋" w:hAnsi="仿宋" w:eastAsia="仿宋" w:cs="仿宋"/>
          <w:color w:val="auto"/>
          <w:kern w:val="0"/>
          <w:sz w:val="24"/>
        </w:rPr>
      </w:pPr>
    </w:p>
    <w:p w14:paraId="03546660">
      <w:pPr>
        <w:pStyle w:val="7"/>
        <w:snapToGrid w:val="0"/>
        <w:spacing w:line="360" w:lineRule="auto"/>
        <w:ind w:right="-512" w:firstLine="0" w:firstLineChars="0"/>
        <w:rPr>
          <w:rFonts w:hint="eastAsia" w:ascii="仿宋" w:hAnsi="仿宋" w:eastAsia="仿宋" w:cs="仿宋"/>
          <w:color w:val="auto"/>
        </w:rPr>
      </w:pPr>
    </w:p>
    <w:p w14:paraId="1EA13274">
      <w:pPr>
        <w:spacing w:line="360" w:lineRule="auto"/>
        <w:outlineLvl w:val="0"/>
        <w:rPr>
          <w:rFonts w:hint="eastAsia" w:ascii="仿宋" w:hAnsi="仿宋" w:eastAsia="仿宋" w:cs="仿宋"/>
          <w:color w:val="auto"/>
          <w:sz w:val="24"/>
        </w:rPr>
        <w:sectPr>
          <w:headerReference r:id="rId13" w:type="default"/>
          <w:footerReference r:id="rId14" w:type="default"/>
          <w:pgSz w:w="11906" w:h="16838"/>
          <w:pgMar w:top="777" w:right="1418" w:bottom="471" w:left="1418" w:header="851" w:footer="567" w:gutter="0"/>
          <w:pgNumType w:fmt="decimal"/>
          <w:cols w:space="720" w:num="1"/>
        </w:sectPr>
      </w:pPr>
    </w:p>
    <w:bookmarkEnd w:id="411"/>
    <w:bookmarkEnd w:id="412"/>
    <w:bookmarkEnd w:id="413"/>
    <w:p w14:paraId="49C22737">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 xml:space="preserve">  一、 符合参加政府采购活动应当具备的一般条件的承诺函</w:t>
      </w:r>
    </w:p>
    <w:p w14:paraId="394E2124">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61E9BC32">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我方参与（项目名称）【招标编号：（采购编号）】政府采购活动，郑重承诺：</w:t>
      </w:r>
    </w:p>
    <w:p w14:paraId="54F107BB">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146BBC2C">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1、具有独立承担民事责任的能力；</w:t>
      </w:r>
    </w:p>
    <w:p w14:paraId="319FEFD7">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2F7E203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36FCE862">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0EBE4BBB">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5、参加本次政府采购活动前三年内，在经营活动中没有重大违法记录；</w:t>
      </w:r>
    </w:p>
    <w:p w14:paraId="734F946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14:paraId="0BEE9C0F">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（二）未被信用中国（www.creditchina.gov.cn)、中国政府采购网（www.ccgp.gov.cn）列入失信被执行人、重大税收违法失信主体、政府采购严重违法失信行为记录名单。</w:t>
      </w:r>
    </w:p>
    <w:p w14:paraId="1EBD5393">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（三）不存在以下情况：</w:t>
      </w:r>
    </w:p>
    <w:p w14:paraId="51E3067A">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2C9B5218">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5864EE1E">
      <w:pPr>
        <w:snapToGrid w:val="0"/>
        <w:spacing w:line="360" w:lineRule="auto"/>
        <w:ind w:firstLine="480" w:firstLineChars="200"/>
        <w:rPr>
          <w:rFonts w:hint="eastAsia" w:ascii="仿宋" w:hAnsi="仿宋" w:eastAsia="仿宋" w:cs="仿宋"/>
          <w:color w:val="auto"/>
          <w:sz w:val="24"/>
        </w:rPr>
      </w:pPr>
    </w:p>
    <w:p w14:paraId="5BFF7DFF">
      <w:pPr>
        <w:snapToGrid w:val="0"/>
        <w:spacing w:line="360" w:lineRule="auto"/>
        <w:ind w:firstLine="480" w:firstLineChars="200"/>
        <w:rPr>
          <w:rFonts w:hint="eastAsia" w:ascii="仿宋" w:hAnsi="仿宋" w:eastAsia="仿宋" w:cs="仿宋"/>
          <w:color w:val="auto"/>
          <w:sz w:val="24"/>
        </w:rPr>
      </w:pPr>
    </w:p>
    <w:p w14:paraId="38AC5151">
      <w:pPr>
        <w:snapToGrid w:val="0"/>
        <w:spacing w:line="360" w:lineRule="auto"/>
        <w:ind w:firstLine="480" w:firstLineChars="200"/>
        <w:rPr>
          <w:rFonts w:hint="eastAsia" w:ascii="仿宋" w:hAnsi="仿宋" w:eastAsia="仿宋" w:cs="仿宋"/>
          <w:color w:val="auto"/>
          <w:sz w:val="24"/>
        </w:rPr>
      </w:pPr>
    </w:p>
    <w:p w14:paraId="6C6974F6">
      <w:pPr>
        <w:snapToGrid w:val="0"/>
        <w:spacing w:line="360" w:lineRule="auto"/>
        <w:ind w:firstLine="5760" w:firstLineChars="24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09054251">
      <w:pPr>
        <w:snapToGrid w:val="0"/>
        <w:spacing w:line="360" w:lineRule="auto"/>
        <w:ind w:firstLine="5640" w:firstLineChars="2350"/>
        <w:rPr>
          <w:rFonts w:hint="eastAsia" w:ascii="仿宋" w:hAnsi="仿宋" w:eastAsia="仿宋" w:cs="仿宋"/>
          <w:color w:val="auto"/>
          <w:kern w:val="0"/>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   日</w:t>
      </w:r>
    </w:p>
    <w:p w14:paraId="21E6288F">
      <w:pPr>
        <w:snapToGrid w:val="0"/>
        <w:spacing w:line="360" w:lineRule="auto"/>
        <w:ind w:right="480"/>
        <w:jc w:val="center"/>
        <w:rPr>
          <w:rFonts w:hint="eastAsia" w:ascii="仿宋" w:hAnsi="仿宋" w:eastAsia="仿宋" w:cs="仿宋"/>
          <w:b/>
          <w:color w:val="auto"/>
          <w:kern w:val="0"/>
          <w:sz w:val="32"/>
          <w:szCs w:val="32"/>
        </w:rPr>
      </w:pPr>
    </w:p>
    <w:p w14:paraId="248B0BA0">
      <w:pPr>
        <w:snapToGrid w:val="0"/>
        <w:spacing w:line="360" w:lineRule="auto"/>
        <w:ind w:right="480"/>
        <w:jc w:val="center"/>
        <w:rPr>
          <w:rFonts w:hint="eastAsia" w:ascii="仿宋" w:hAnsi="仿宋" w:eastAsia="仿宋" w:cs="仿宋"/>
          <w:b/>
          <w:color w:val="auto"/>
          <w:kern w:val="0"/>
          <w:sz w:val="32"/>
          <w:szCs w:val="32"/>
        </w:rPr>
      </w:pPr>
    </w:p>
    <w:p w14:paraId="2B275D81">
      <w:pPr>
        <w:widowControl/>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62D69C1E">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二、联合协议（若有）</w:t>
      </w:r>
    </w:p>
    <w:p w14:paraId="311414E7">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[以联合体形式投标的，提供联合协议（附件2）；本项目不接受联合体投标或者投标人不以联合体形式投标的，则不需要提供]</w:t>
      </w:r>
    </w:p>
    <w:p w14:paraId="05ED4130">
      <w:pPr>
        <w:rPr>
          <w:rFonts w:hint="eastAsia" w:ascii="仿宋" w:hAnsi="仿宋" w:eastAsia="仿宋" w:cs="仿宋"/>
          <w:color w:val="auto"/>
        </w:rPr>
      </w:pPr>
    </w:p>
    <w:p w14:paraId="0FA18017">
      <w:pPr>
        <w:snapToGrid w:val="0"/>
        <w:spacing w:line="360" w:lineRule="auto"/>
        <w:ind w:right="480"/>
        <w:rPr>
          <w:rFonts w:hint="eastAsia" w:ascii="仿宋" w:hAnsi="仿宋" w:eastAsia="仿宋" w:cs="仿宋"/>
          <w:b/>
          <w:color w:val="auto"/>
          <w:kern w:val="0"/>
          <w:sz w:val="32"/>
          <w:szCs w:val="32"/>
        </w:rPr>
      </w:pPr>
    </w:p>
    <w:p w14:paraId="7D3CEA52">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三、落实政府采购政策需满足的资格要求</w:t>
      </w:r>
    </w:p>
    <w:p w14:paraId="7260C381">
      <w:pPr>
        <w:spacing w:line="360" w:lineRule="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78A58367">
      <w:pPr>
        <w:widowControl/>
        <w:spacing w:line="360" w:lineRule="auto"/>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专门面向中小企业，服务全部由符合政策要求的中小企业（或小微企业）承接的，提供相应的中小企业声明函（附件3）。</w:t>
      </w:r>
    </w:p>
    <w:p w14:paraId="6B016801">
      <w:pPr>
        <w:widowControl/>
        <w:spacing w:line="360" w:lineRule="auto"/>
        <w:ind w:firstLine="480"/>
        <w:jc w:val="left"/>
        <w:rPr>
          <w:rFonts w:hint="eastAsia" w:ascii="仿宋" w:hAnsi="仿宋" w:eastAsia="仿宋" w:cs="仿宋"/>
          <w:color w:val="auto"/>
          <w:sz w:val="24"/>
        </w:rPr>
      </w:pPr>
    </w:p>
    <w:p w14:paraId="0AB38619">
      <w:pPr>
        <w:widowControl/>
        <w:spacing w:line="360" w:lineRule="auto"/>
        <w:ind w:firstLine="470" w:firstLineChars="196"/>
        <w:jc w:val="left"/>
        <w:rPr>
          <w:rFonts w:hint="eastAsia" w:ascii="仿宋" w:hAnsi="仿宋" w:eastAsia="仿宋" w:cs="仿宋"/>
          <w:color w:val="auto"/>
          <w:sz w:val="24"/>
        </w:rPr>
      </w:pPr>
    </w:p>
    <w:p w14:paraId="01ADA775">
      <w:pPr>
        <w:widowControl/>
        <w:spacing w:line="360" w:lineRule="auto"/>
        <w:ind w:firstLine="472" w:firstLineChars="196"/>
        <w:jc w:val="left"/>
        <w:rPr>
          <w:rFonts w:hint="eastAsia" w:ascii="仿宋" w:hAnsi="仿宋" w:eastAsia="仿宋" w:cs="仿宋"/>
          <w:b/>
          <w:color w:val="auto"/>
          <w:sz w:val="24"/>
        </w:rPr>
      </w:pPr>
    </w:p>
    <w:p w14:paraId="7770089C">
      <w:pPr>
        <w:rPr>
          <w:rFonts w:hint="eastAsia" w:ascii="仿宋" w:hAnsi="仿宋" w:eastAsia="仿宋" w:cs="仿宋"/>
          <w:color w:val="auto"/>
        </w:rPr>
      </w:pPr>
    </w:p>
    <w:p w14:paraId="5A1E8471">
      <w:pPr>
        <w:snapToGrid w:val="0"/>
        <w:spacing w:before="50" w:after="50" w:line="360" w:lineRule="auto"/>
        <w:jc w:val="center"/>
        <w:rPr>
          <w:rFonts w:hint="eastAsia" w:ascii="仿宋" w:hAnsi="仿宋" w:eastAsia="仿宋" w:cs="仿宋"/>
          <w:b/>
          <w:color w:val="auto"/>
          <w:kern w:val="0"/>
          <w:sz w:val="32"/>
          <w:szCs w:val="32"/>
          <w:lang w:val="zh-CN"/>
        </w:rPr>
      </w:pPr>
    </w:p>
    <w:p w14:paraId="0669374B">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四、本项目的特定资格要求</w:t>
      </w:r>
    </w:p>
    <w:p w14:paraId="52522C7E">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7B3E61F5">
      <w:pPr>
        <w:snapToGrid w:val="0"/>
        <w:spacing w:line="360" w:lineRule="auto"/>
        <w:rPr>
          <w:rFonts w:hint="eastAsia" w:ascii="仿宋" w:hAnsi="仿宋" w:eastAsia="仿宋" w:cs="仿宋"/>
          <w:b/>
          <w:color w:val="auto"/>
          <w:sz w:val="36"/>
          <w:szCs w:val="20"/>
        </w:rPr>
      </w:pPr>
    </w:p>
    <w:p w14:paraId="6D72983A">
      <w:pPr>
        <w:snapToGrid w:val="0"/>
        <w:spacing w:line="360" w:lineRule="auto"/>
        <w:rPr>
          <w:rFonts w:hint="eastAsia" w:ascii="仿宋" w:hAnsi="仿宋" w:eastAsia="仿宋" w:cs="仿宋"/>
          <w:b/>
          <w:color w:val="auto"/>
          <w:sz w:val="36"/>
          <w:szCs w:val="20"/>
        </w:rPr>
      </w:pPr>
    </w:p>
    <w:p w14:paraId="06534B58">
      <w:pPr>
        <w:snapToGrid w:val="0"/>
        <w:spacing w:line="360" w:lineRule="auto"/>
        <w:rPr>
          <w:rFonts w:hint="eastAsia" w:ascii="仿宋" w:hAnsi="仿宋" w:eastAsia="仿宋" w:cs="仿宋"/>
          <w:b/>
          <w:color w:val="auto"/>
          <w:sz w:val="36"/>
          <w:szCs w:val="20"/>
        </w:rPr>
      </w:pPr>
    </w:p>
    <w:p w14:paraId="7ECAAC96">
      <w:pPr>
        <w:widowControl/>
        <w:jc w:val="left"/>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br w:type="page"/>
      </w:r>
    </w:p>
    <w:p w14:paraId="6EE89F05">
      <w:pPr>
        <w:spacing w:line="360" w:lineRule="auto"/>
        <w:ind w:right="420"/>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5616E162">
      <w:pPr>
        <w:spacing w:line="360" w:lineRule="auto"/>
        <w:jc w:val="center"/>
        <w:outlineLvl w:val="0"/>
        <w:rPr>
          <w:rFonts w:hint="eastAsia" w:ascii="仿宋" w:hAnsi="仿宋" w:eastAsia="仿宋" w:cs="仿宋"/>
          <w:b/>
          <w:color w:val="auto"/>
          <w:kern w:val="0"/>
          <w:sz w:val="24"/>
        </w:rPr>
      </w:pPr>
    </w:p>
    <w:p w14:paraId="7DECC9BB">
      <w:pPr>
        <w:spacing w:line="360" w:lineRule="auto"/>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624F7FA1">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（1）投标函</w:t>
      </w:r>
      <w:r>
        <w:rPr>
          <w:rFonts w:hint="eastAsia" w:ascii="仿宋" w:hAnsi="仿宋" w:eastAsia="仿宋" w:cs="仿宋"/>
          <w:color w:val="auto"/>
        </w:rPr>
        <w:t>…………………………………………………………………………………（页码）</w:t>
      </w:r>
      <w:r>
        <w:rPr>
          <w:rFonts w:hint="eastAsia" w:ascii="仿宋" w:hAnsi="仿宋" w:eastAsia="仿宋" w:cs="仿宋"/>
          <w:color w:val="auto"/>
          <w:sz w:val="24"/>
        </w:rPr>
        <w:t>（2）授权委托书或法定代表人（单位负责人、自然人本人）身份证明</w:t>
      </w:r>
      <w:r>
        <w:rPr>
          <w:rFonts w:hint="eastAsia" w:ascii="仿宋" w:hAnsi="仿宋" w:eastAsia="仿宋" w:cs="仿宋"/>
          <w:color w:val="auto"/>
        </w:rPr>
        <w:t>………（页码）</w:t>
      </w:r>
    </w:p>
    <w:p w14:paraId="3ACA6883">
      <w:pPr>
        <w:snapToGri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sz w:val="24"/>
        </w:rPr>
        <w:t>（3）符合性审查资料</w:t>
      </w:r>
      <w:r>
        <w:rPr>
          <w:rFonts w:hint="eastAsia" w:ascii="仿宋" w:hAnsi="仿宋" w:eastAsia="仿宋" w:cs="仿宋"/>
          <w:color w:val="auto"/>
        </w:rPr>
        <w:t>………………………………………………………………………（页码）</w:t>
      </w:r>
    </w:p>
    <w:p w14:paraId="724B1EC7">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（4）评标标准相应的商务技术资料</w:t>
      </w:r>
      <w:r>
        <w:rPr>
          <w:rFonts w:hint="eastAsia" w:ascii="仿宋" w:hAnsi="仿宋" w:eastAsia="仿宋" w:cs="仿宋"/>
          <w:color w:val="auto"/>
        </w:rPr>
        <w:t>……………………………………………………（页码）</w:t>
      </w:r>
    </w:p>
    <w:p w14:paraId="39C20069">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（5）商务技术偏离表</w:t>
      </w:r>
      <w:r>
        <w:rPr>
          <w:rFonts w:hint="eastAsia" w:ascii="仿宋" w:hAnsi="仿宋" w:eastAsia="仿宋" w:cs="仿宋"/>
          <w:color w:val="auto"/>
        </w:rPr>
        <w:t>………………………………………………………………………（页码）</w:t>
      </w:r>
    </w:p>
    <w:p w14:paraId="2B6ACCB6">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lang w:val="zh-CN"/>
        </w:rPr>
        <w:t>（</w:t>
      </w:r>
      <w:r>
        <w:rPr>
          <w:rFonts w:hint="eastAsia" w:ascii="仿宋" w:hAnsi="仿宋" w:eastAsia="仿宋" w:cs="仿宋"/>
          <w:color w:val="auto"/>
          <w:sz w:val="24"/>
        </w:rPr>
        <w:t>6</w:t>
      </w:r>
      <w:r>
        <w:rPr>
          <w:rFonts w:hint="eastAsia" w:ascii="仿宋" w:hAnsi="仿宋" w:eastAsia="仿宋" w:cs="仿宋"/>
          <w:color w:val="auto"/>
          <w:sz w:val="24"/>
          <w:lang w:val="zh-CN"/>
        </w:rPr>
        <w:t>）政府采购供应商廉洁自律承诺书</w:t>
      </w:r>
      <w:r>
        <w:rPr>
          <w:rFonts w:hint="eastAsia" w:ascii="仿宋" w:hAnsi="仿宋" w:eastAsia="仿宋" w:cs="仿宋"/>
          <w:color w:val="auto"/>
        </w:rPr>
        <w:t>…………………………………………………（页码）</w:t>
      </w:r>
    </w:p>
    <w:p w14:paraId="4CA993DA">
      <w:pPr>
        <w:snapToGrid w:val="0"/>
        <w:spacing w:line="360" w:lineRule="auto"/>
        <w:jc w:val="center"/>
        <w:rPr>
          <w:rFonts w:hint="eastAsia" w:ascii="仿宋" w:hAnsi="仿宋" w:eastAsia="仿宋" w:cs="仿宋"/>
          <w:b/>
          <w:color w:val="auto"/>
          <w:kern w:val="0"/>
          <w:sz w:val="32"/>
          <w:szCs w:val="32"/>
          <w:lang w:val="zh-CN"/>
        </w:rPr>
      </w:pPr>
    </w:p>
    <w:p w14:paraId="30C44A39">
      <w:pPr>
        <w:snapToGrid w:val="0"/>
        <w:spacing w:line="360" w:lineRule="auto"/>
        <w:jc w:val="center"/>
        <w:rPr>
          <w:rFonts w:hint="eastAsia" w:ascii="仿宋" w:hAnsi="仿宋" w:eastAsia="仿宋" w:cs="仿宋"/>
          <w:b/>
          <w:color w:val="auto"/>
          <w:kern w:val="0"/>
          <w:sz w:val="32"/>
          <w:szCs w:val="32"/>
          <w:lang w:val="zh-CN"/>
        </w:rPr>
      </w:pPr>
    </w:p>
    <w:p w14:paraId="1DDA432C">
      <w:pPr>
        <w:snapToGrid w:val="0"/>
        <w:spacing w:line="360" w:lineRule="auto"/>
        <w:jc w:val="center"/>
        <w:rPr>
          <w:rFonts w:hint="eastAsia" w:ascii="仿宋" w:hAnsi="仿宋" w:eastAsia="仿宋" w:cs="仿宋"/>
          <w:b/>
          <w:color w:val="auto"/>
          <w:kern w:val="0"/>
          <w:sz w:val="32"/>
          <w:szCs w:val="32"/>
          <w:lang w:val="zh-CN"/>
        </w:rPr>
      </w:pPr>
    </w:p>
    <w:p w14:paraId="2874CD7F">
      <w:pPr>
        <w:snapToGrid w:val="0"/>
        <w:spacing w:line="360" w:lineRule="auto"/>
        <w:jc w:val="center"/>
        <w:rPr>
          <w:rFonts w:hint="eastAsia" w:ascii="仿宋" w:hAnsi="仿宋" w:eastAsia="仿宋" w:cs="仿宋"/>
          <w:b/>
          <w:color w:val="auto"/>
          <w:kern w:val="0"/>
          <w:sz w:val="32"/>
          <w:szCs w:val="32"/>
          <w:lang w:val="zh-CN"/>
        </w:rPr>
      </w:pPr>
    </w:p>
    <w:p w14:paraId="7271F16B">
      <w:pPr>
        <w:snapToGrid w:val="0"/>
        <w:spacing w:line="360" w:lineRule="auto"/>
        <w:jc w:val="center"/>
        <w:rPr>
          <w:rFonts w:hint="eastAsia" w:ascii="仿宋" w:hAnsi="仿宋" w:eastAsia="仿宋" w:cs="仿宋"/>
          <w:b/>
          <w:color w:val="auto"/>
          <w:kern w:val="0"/>
          <w:sz w:val="32"/>
          <w:szCs w:val="32"/>
          <w:lang w:val="zh-CN"/>
        </w:rPr>
      </w:pPr>
    </w:p>
    <w:p w14:paraId="5BC019C2">
      <w:pPr>
        <w:snapToGrid w:val="0"/>
        <w:spacing w:line="360" w:lineRule="auto"/>
        <w:jc w:val="center"/>
        <w:outlineLvl w:val="0"/>
        <w:rPr>
          <w:rFonts w:hint="eastAsia" w:ascii="仿宋" w:hAnsi="仿宋" w:eastAsia="仿宋" w:cs="仿宋"/>
          <w:b/>
          <w:color w:val="auto"/>
          <w:kern w:val="0"/>
          <w:sz w:val="32"/>
          <w:szCs w:val="32"/>
        </w:rPr>
      </w:pPr>
    </w:p>
    <w:p w14:paraId="09F10E5C">
      <w:pPr>
        <w:snapToGrid w:val="0"/>
        <w:spacing w:line="360" w:lineRule="auto"/>
        <w:jc w:val="center"/>
        <w:outlineLvl w:val="0"/>
        <w:rPr>
          <w:rFonts w:hint="eastAsia" w:ascii="仿宋" w:hAnsi="仿宋" w:eastAsia="仿宋" w:cs="仿宋"/>
          <w:b/>
          <w:color w:val="auto"/>
          <w:kern w:val="0"/>
          <w:sz w:val="32"/>
          <w:szCs w:val="32"/>
        </w:rPr>
      </w:pPr>
    </w:p>
    <w:p w14:paraId="35E66C7B">
      <w:pPr>
        <w:rPr>
          <w:rFonts w:hint="eastAsia" w:ascii="仿宋" w:hAnsi="仿宋" w:eastAsia="仿宋" w:cs="仿宋"/>
          <w:color w:val="auto"/>
        </w:rPr>
      </w:pPr>
    </w:p>
    <w:p w14:paraId="7394345F">
      <w:pPr>
        <w:snapToGrid w:val="0"/>
        <w:spacing w:line="360" w:lineRule="auto"/>
        <w:jc w:val="center"/>
        <w:outlineLvl w:val="0"/>
        <w:rPr>
          <w:rFonts w:hint="eastAsia" w:ascii="仿宋" w:hAnsi="仿宋" w:eastAsia="仿宋" w:cs="仿宋"/>
          <w:b/>
          <w:color w:val="auto"/>
          <w:kern w:val="0"/>
          <w:sz w:val="32"/>
          <w:szCs w:val="32"/>
        </w:rPr>
      </w:pPr>
    </w:p>
    <w:p w14:paraId="2783CEB4">
      <w:pPr>
        <w:snapToGrid w:val="0"/>
        <w:spacing w:line="360" w:lineRule="auto"/>
        <w:jc w:val="center"/>
        <w:outlineLvl w:val="0"/>
        <w:rPr>
          <w:rFonts w:hint="eastAsia" w:ascii="仿宋" w:hAnsi="仿宋" w:eastAsia="仿宋" w:cs="仿宋"/>
          <w:b/>
          <w:color w:val="auto"/>
          <w:kern w:val="0"/>
          <w:sz w:val="32"/>
          <w:szCs w:val="32"/>
        </w:rPr>
      </w:pPr>
    </w:p>
    <w:p w14:paraId="7BD9DA14">
      <w:pPr>
        <w:snapToGrid w:val="0"/>
        <w:spacing w:line="360" w:lineRule="auto"/>
        <w:jc w:val="center"/>
        <w:outlineLvl w:val="0"/>
        <w:rPr>
          <w:rFonts w:hint="eastAsia" w:ascii="仿宋" w:hAnsi="仿宋" w:eastAsia="仿宋" w:cs="仿宋"/>
          <w:b/>
          <w:color w:val="auto"/>
          <w:kern w:val="0"/>
          <w:sz w:val="32"/>
          <w:szCs w:val="32"/>
        </w:rPr>
      </w:pPr>
    </w:p>
    <w:p w14:paraId="5F3B74C2">
      <w:pPr>
        <w:snapToGrid w:val="0"/>
        <w:spacing w:line="360" w:lineRule="auto"/>
        <w:jc w:val="center"/>
        <w:outlineLvl w:val="0"/>
        <w:rPr>
          <w:rFonts w:hint="eastAsia" w:ascii="仿宋" w:hAnsi="仿宋" w:eastAsia="仿宋" w:cs="仿宋"/>
          <w:b/>
          <w:color w:val="auto"/>
          <w:kern w:val="0"/>
          <w:sz w:val="32"/>
          <w:szCs w:val="32"/>
        </w:rPr>
      </w:pPr>
    </w:p>
    <w:p w14:paraId="200E5CD4">
      <w:pPr>
        <w:snapToGrid w:val="0"/>
        <w:spacing w:line="360" w:lineRule="auto"/>
        <w:jc w:val="center"/>
        <w:outlineLvl w:val="0"/>
        <w:rPr>
          <w:rFonts w:hint="eastAsia" w:ascii="仿宋" w:hAnsi="仿宋" w:eastAsia="仿宋" w:cs="仿宋"/>
          <w:b/>
          <w:color w:val="auto"/>
          <w:kern w:val="0"/>
          <w:sz w:val="32"/>
          <w:szCs w:val="32"/>
        </w:rPr>
      </w:pPr>
    </w:p>
    <w:p w14:paraId="09A3FE89">
      <w:pPr>
        <w:snapToGrid w:val="0"/>
        <w:spacing w:line="360" w:lineRule="auto"/>
        <w:jc w:val="center"/>
        <w:outlineLvl w:val="0"/>
        <w:rPr>
          <w:rFonts w:hint="eastAsia" w:ascii="仿宋" w:hAnsi="仿宋" w:eastAsia="仿宋" w:cs="仿宋"/>
          <w:b/>
          <w:color w:val="auto"/>
          <w:kern w:val="0"/>
          <w:sz w:val="32"/>
          <w:szCs w:val="32"/>
        </w:rPr>
      </w:pPr>
    </w:p>
    <w:p w14:paraId="1D4A24F8">
      <w:pPr>
        <w:widowControl/>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03311717">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20B527A4">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02F1B76A">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我方参加你方组织的（项目名称）【招标编号：（采购编号）】招标的有关活动，并对此项目进行投标。为此：</w:t>
      </w:r>
    </w:p>
    <w:p w14:paraId="68E026BA">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1、我方承诺投标有效期从提交投标文件的截止之日起</w:t>
      </w:r>
      <w:r>
        <w:rPr>
          <w:rFonts w:hint="eastAsia" w:ascii="仿宋" w:hAnsi="仿宋" w:eastAsia="仿宋" w:cs="仿宋"/>
          <w:color w:val="auto"/>
          <w:sz w:val="24"/>
          <w:u w:val="single"/>
        </w:rPr>
        <w:t xml:space="preserve">    </w:t>
      </w:r>
      <w:r>
        <w:rPr>
          <w:rFonts w:hint="eastAsia" w:ascii="仿宋" w:hAnsi="仿宋" w:eastAsia="仿宋" w:cs="仿宋"/>
          <w:color w:val="auto"/>
          <w:sz w:val="24"/>
        </w:rPr>
        <w:t>天（不少于90天）</w:t>
      </w:r>
      <w:r>
        <w:rPr>
          <w:rFonts w:hint="eastAsia" w:ascii="仿宋" w:hAnsi="仿宋" w:eastAsia="仿宋" w:cs="仿宋"/>
          <w:color w:val="auto"/>
        </w:rPr>
        <w:t>，</w:t>
      </w:r>
      <w:r>
        <w:rPr>
          <w:rFonts w:hint="eastAsia" w:ascii="仿宋" w:hAnsi="仿宋" w:eastAsia="仿宋" w:cs="仿宋"/>
          <w:color w:val="auto"/>
          <w:sz w:val="24"/>
        </w:rPr>
        <w:t>本投标文件在投标有效期满之前均具有约束力。</w:t>
      </w:r>
    </w:p>
    <w:p w14:paraId="30E6B59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2、我方的投标文件包括以下内容：</w:t>
      </w:r>
    </w:p>
    <w:p w14:paraId="37B8E7B5">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rPr>
        <w:t>2.1资格文件：</w:t>
      </w:r>
    </w:p>
    <w:p w14:paraId="4320373A">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2.1.1承诺函；</w:t>
      </w:r>
    </w:p>
    <w:p w14:paraId="45915A1F">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2.1.2联合协议（若有)；</w:t>
      </w:r>
    </w:p>
    <w:p w14:paraId="20AC0F66">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2.1.3落实政府采购政策需满足的资格要求（若有）；</w:t>
      </w:r>
    </w:p>
    <w:p w14:paraId="6247F1C8">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2.1.4本项目的特定资格要求（若有）。</w:t>
      </w:r>
    </w:p>
    <w:p w14:paraId="1F8DE126">
      <w:pPr>
        <w:snapToGrid w:val="0"/>
        <w:spacing w:line="360" w:lineRule="auto"/>
        <w:ind w:left="210" w:leftChars="100" w:firstLine="480" w:firstLineChars="200"/>
        <w:rPr>
          <w:rFonts w:hint="eastAsia"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2商务技术</w:t>
      </w:r>
      <w:r>
        <w:rPr>
          <w:rFonts w:hint="eastAsia" w:ascii="仿宋" w:hAnsi="仿宋" w:eastAsia="仿宋" w:cs="仿宋"/>
          <w:color w:val="auto"/>
          <w:sz w:val="24"/>
          <w:lang w:val="zh-CN"/>
        </w:rPr>
        <w:t>文件：</w:t>
      </w:r>
    </w:p>
    <w:p w14:paraId="0A49045F">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2.2.1投标函；</w:t>
      </w:r>
    </w:p>
    <w:p w14:paraId="1493ACD4">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2.2.2授权委托书或法定代表人（单位负责人）身份证明；</w:t>
      </w:r>
    </w:p>
    <w:p w14:paraId="3D2269E6">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2.2.3符合性审查资料；</w:t>
      </w:r>
    </w:p>
    <w:p w14:paraId="2FA5D880">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2.2.4评标标准相应的商务技术资料；</w:t>
      </w:r>
    </w:p>
    <w:p w14:paraId="482726D9">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2.2.5商务技术偏离表；</w:t>
      </w:r>
    </w:p>
    <w:p w14:paraId="3B3B1025">
      <w:pPr>
        <w:snapToGrid w:val="0"/>
        <w:spacing w:line="360" w:lineRule="auto"/>
        <w:ind w:left="420" w:leftChars="200" w:firstLine="480" w:firstLineChars="200"/>
        <w:rPr>
          <w:rFonts w:hint="eastAsia"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6</w:t>
      </w:r>
      <w:r>
        <w:rPr>
          <w:rFonts w:hint="eastAsia" w:ascii="仿宋" w:hAnsi="仿宋" w:eastAsia="仿宋" w:cs="仿宋"/>
          <w:color w:val="auto"/>
          <w:sz w:val="24"/>
          <w:lang w:val="zh-CN"/>
        </w:rPr>
        <w:t>政府采购供应商廉洁自律承诺书；</w:t>
      </w:r>
    </w:p>
    <w:p w14:paraId="4EBEFC72">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3报价文件</w:t>
      </w:r>
    </w:p>
    <w:p w14:paraId="10F0F946">
      <w:pPr>
        <w:snapToGrid w:val="0"/>
        <w:spacing w:line="360" w:lineRule="auto"/>
        <w:ind w:left="420" w:leftChars="200"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rPr>
        <w:t>2.3.1开标一览表（报价表）</w:t>
      </w:r>
      <w:r>
        <w:rPr>
          <w:rFonts w:hint="eastAsia" w:ascii="仿宋" w:hAnsi="仿宋" w:eastAsia="仿宋" w:cs="仿宋"/>
          <w:color w:val="auto"/>
          <w:sz w:val="24"/>
          <w:lang w:eastAsia="zh-CN"/>
        </w:rPr>
        <w:t>。</w:t>
      </w:r>
    </w:p>
    <w:p w14:paraId="3F28CA3D">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3、我方承诺除商务技术偏离表列出的偏离外，我方响应招标文件的全部要求。</w:t>
      </w:r>
    </w:p>
    <w:p w14:paraId="42DB4B9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4、我方已详细审查了招标文件的全部内容及其相关补充文件（若有），并完全清晰理解全部内容及相关的补充文件（若有），不存在任何误解之处，同意放弃提出异议和质疑的权利。</w:t>
      </w:r>
    </w:p>
    <w:p w14:paraId="3A098A2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5、如我方中标，我方承诺：</w:t>
      </w:r>
    </w:p>
    <w:p w14:paraId="1BC3C70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5.1在收到中标通知书后，在中标通知书规定的期限内与你方签订合同； </w:t>
      </w:r>
    </w:p>
    <w:p w14:paraId="001D9C1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5.2在签订合同时不向你方提出附加条件； </w:t>
      </w:r>
    </w:p>
    <w:p w14:paraId="7A9AA9A6">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5.3按照招标文件要求提交履约保证金； </w:t>
      </w:r>
    </w:p>
    <w:p w14:paraId="1769CA3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5.4在合同约定的期限内完成合同规定的全部义务。 </w:t>
      </w:r>
    </w:p>
    <w:p w14:paraId="1B326163">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6、其他补充说明:</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14:paraId="29477926">
      <w:pPr>
        <w:spacing w:line="360" w:lineRule="auto"/>
        <w:ind w:firstLine="3600" w:firstLineChars="1500"/>
        <w:rPr>
          <w:rFonts w:hint="eastAsia" w:ascii="仿宋" w:hAnsi="仿宋" w:eastAsia="仿宋" w:cs="仿宋"/>
          <w:color w:val="auto"/>
          <w:sz w:val="24"/>
        </w:rPr>
      </w:pPr>
    </w:p>
    <w:p w14:paraId="7879C0D7">
      <w:pPr>
        <w:spacing w:line="360" w:lineRule="auto"/>
        <w:ind w:firstLine="3600" w:firstLineChars="1500"/>
        <w:rPr>
          <w:rFonts w:hint="eastAsia" w:ascii="仿宋" w:hAnsi="仿宋" w:eastAsia="仿宋" w:cs="仿宋"/>
          <w:color w:val="auto"/>
          <w:sz w:val="24"/>
        </w:rPr>
      </w:pPr>
    </w:p>
    <w:p w14:paraId="315EF14E">
      <w:pPr>
        <w:spacing w:line="360"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rPr>
        <w:t>投标人名称（电子签名）：</w:t>
      </w:r>
    </w:p>
    <w:p w14:paraId="0DA7CD43">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22A4BE51">
      <w:pPr>
        <w:jc w:val="center"/>
        <w:rPr>
          <w:rFonts w:hint="eastAsia" w:ascii="仿宋" w:hAnsi="仿宋" w:eastAsia="仿宋" w:cs="仿宋"/>
          <w:b/>
          <w:color w:val="auto"/>
          <w:kern w:val="0"/>
          <w:sz w:val="32"/>
          <w:szCs w:val="32"/>
          <w:lang w:val="zh-CN"/>
        </w:rPr>
      </w:pPr>
    </w:p>
    <w:p w14:paraId="7EC2A446">
      <w:pPr>
        <w:snapToGrid w:val="0"/>
        <w:spacing w:line="360" w:lineRule="auto"/>
        <w:ind w:firstLine="420" w:firstLineChars="200"/>
        <w:rPr>
          <w:rFonts w:hint="eastAsia" w:ascii="仿宋" w:hAnsi="仿宋" w:eastAsia="仿宋" w:cs="仿宋"/>
          <w:color w:val="auto"/>
        </w:rPr>
      </w:pPr>
    </w:p>
    <w:p w14:paraId="1B553496">
      <w:pPr>
        <w:widowControl/>
        <w:jc w:val="left"/>
        <w:rPr>
          <w:rFonts w:hint="eastAsia"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br w:type="page"/>
      </w:r>
    </w:p>
    <w:p w14:paraId="416F4967">
      <w:pPr>
        <w:jc w:val="center"/>
        <w:rPr>
          <w:rFonts w:hint="eastAsia"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二、授权委托书或法定代表人（单位负责人、自然人本人）身份证明</w:t>
      </w:r>
    </w:p>
    <w:p w14:paraId="041C9A9A">
      <w:pPr>
        <w:snapToGrid w:val="0"/>
        <w:spacing w:line="360" w:lineRule="auto"/>
        <w:rPr>
          <w:rFonts w:hint="eastAsia" w:ascii="仿宋" w:hAnsi="仿宋" w:eastAsia="仿宋" w:cs="仿宋"/>
          <w:color w:val="auto"/>
          <w:sz w:val="24"/>
        </w:rPr>
      </w:pPr>
    </w:p>
    <w:p w14:paraId="4321162D">
      <w:pPr>
        <w:snapToGrid w:val="0"/>
        <w:spacing w:line="360" w:lineRule="auto"/>
        <w:jc w:val="center"/>
        <w:rPr>
          <w:rFonts w:hint="eastAsia" w:ascii="仿宋" w:hAnsi="仿宋" w:eastAsia="仿宋" w:cs="仿宋"/>
          <w:color w:val="auto"/>
        </w:rPr>
      </w:pPr>
      <w:r>
        <w:rPr>
          <w:rFonts w:hint="eastAsia" w:ascii="仿宋" w:hAnsi="仿宋" w:eastAsia="仿宋" w:cs="仿宋"/>
          <w:b/>
          <w:color w:val="auto"/>
          <w:kern w:val="0"/>
          <w:sz w:val="32"/>
          <w:szCs w:val="32"/>
          <w:lang w:val="zh-CN"/>
        </w:rPr>
        <w:t>授权委托书（适用于非联合体投标）</w:t>
      </w:r>
    </w:p>
    <w:p w14:paraId="014CDFAF">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53EDA878">
      <w:pPr>
        <w:snapToGrid w:val="0"/>
        <w:spacing w:line="360" w:lineRule="auto"/>
        <w:ind w:firstLine="576"/>
        <w:rPr>
          <w:rFonts w:hint="eastAsia" w:ascii="仿宋" w:hAnsi="仿宋" w:eastAsia="仿宋" w:cs="仿宋"/>
          <w:color w:val="auto"/>
          <w:kern w:val="0"/>
          <w:sz w:val="24"/>
        </w:rPr>
      </w:pPr>
      <w:r>
        <w:rPr>
          <w:rFonts w:hint="eastAsia" w:ascii="仿宋" w:hAnsi="仿宋" w:eastAsia="仿宋" w:cs="仿宋"/>
          <w:color w:val="auto"/>
          <w:kern w:val="0"/>
          <w:sz w:val="24"/>
        </w:rPr>
        <w:t>现</w:t>
      </w:r>
      <w:r>
        <w:rPr>
          <w:rFonts w:hint="eastAsia" w:ascii="仿宋" w:hAnsi="仿宋" w:eastAsia="仿宋" w:cs="仿宋"/>
          <w:color w:val="auto"/>
          <w:kern w:val="0"/>
          <w:sz w:val="24"/>
          <w:lang w:val="zh-CN"/>
        </w:rPr>
        <w:t>委托</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lang w:val="zh-CN"/>
        </w:rPr>
        <w:t>（姓名）为我方代理人（身份证号码：</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lang w:val="zh-CN"/>
        </w:rPr>
        <w:t>，手机：</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lang w:val="zh-CN"/>
        </w:rPr>
        <w:t>），以我方名义处理</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政府采购投标的一切事项，其法律后果由我方承担。</w:t>
      </w:r>
    </w:p>
    <w:p w14:paraId="6D859EFE">
      <w:pPr>
        <w:snapToGrid w:val="0"/>
        <w:spacing w:line="360" w:lineRule="auto"/>
        <w:ind w:firstLine="576"/>
        <w:rPr>
          <w:rFonts w:hint="eastAsia" w:ascii="仿宋" w:hAnsi="仿宋" w:eastAsia="仿宋" w:cs="仿宋"/>
          <w:color w:val="auto"/>
          <w:kern w:val="0"/>
          <w:sz w:val="24"/>
        </w:rPr>
      </w:pPr>
      <w:r>
        <w:rPr>
          <w:rFonts w:hint="eastAsia" w:ascii="仿宋" w:hAnsi="仿宋" w:eastAsia="仿宋" w:cs="仿宋"/>
          <w:color w:val="auto"/>
          <w:kern w:val="0"/>
          <w:sz w:val="24"/>
          <w:lang w:val="zh-CN"/>
        </w:rPr>
        <w:t>委托期限</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自</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日起至</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日止。</w:t>
      </w:r>
    </w:p>
    <w:p w14:paraId="05E331C7">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特此告知。</w:t>
      </w:r>
    </w:p>
    <w:p w14:paraId="7710C6D5">
      <w:pPr>
        <w:snapToGrid w:val="0"/>
        <w:spacing w:line="360" w:lineRule="auto"/>
        <w:ind w:firstLine="576"/>
        <w:rPr>
          <w:rFonts w:hint="eastAsia" w:ascii="仿宋" w:hAnsi="仿宋" w:eastAsia="仿宋" w:cs="仿宋"/>
          <w:color w:val="auto"/>
          <w:kern w:val="0"/>
          <w:sz w:val="24"/>
          <w:lang w:val="zh-CN"/>
        </w:rPr>
      </w:pPr>
    </w:p>
    <w:p w14:paraId="003F94B3">
      <w:pPr>
        <w:snapToGrid w:val="0"/>
        <w:spacing w:line="360" w:lineRule="auto"/>
        <w:ind w:firstLine="576"/>
        <w:rPr>
          <w:rFonts w:hint="eastAsia" w:ascii="仿宋" w:hAnsi="仿宋" w:eastAsia="仿宋" w:cs="仿宋"/>
          <w:color w:val="auto"/>
          <w:kern w:val="0"/>
          <w:sz w:val="24"/>
        </w:rPr>
      </w:pPr>
    </w:p>
    <w:p w14:paraId="6CAC4AD4">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投标人名称(电子签名)：</w:t>
      </w:r>
    </w:p>
    <w:p w14:paraId="1043CB75">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签发日期：  年  月   日</w:t>
      </w:r>
    </w:p>
    <w:p w14:paraId="25E91927">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kern w:val="0"/>
          <w:sz w:val="32"/>
          <w:szCs w:val="32"/>
          <w:lang w:val="zh-CN"/>
        </w:rPr>
        <w:t>法定代表人、单位负责人或自然人本人</w:t>
      </w:r>
      <w:r>
        <w:rPr>
          <w:rFonts w:hint="eastAsia" w:ascii="仿宋" w:hAnsi="仿宋" w:eastAsia="仿宋" w:cs="仿宋"/>
          <w:b/>
          <w:color w:val="auto"/>
          <w:sz w:val="30"/>
          <w:szCs w:val="30"/>
        </w:rPr>
        <w:t>的身份证明（适用于法定代表人、单位负责人或者自然人本人代表投标人参加投标）</w:t>
      </w:r>
    </w:p>
    <w:p w14:paraId="21CA7CDE">
      <w:pPr>
        <w:pStyle w:val="29"/>
        <w:spacing w:line="360" w:lineRule="auto"/>
        <w:rPr>
          <w:rFonts w:hint="eastAsia" w:ascii="仿宋" w:hAnsi="仿宋" w:eastAsia="仿宋" w:cs="仿宋"/>
          <w:bCs/>
          <w:color w:val="auto"/>
          <w:sz w:val="24"/>
        </w:rPr>
      </w:pPr>
      <w:r>
        <w:rPr>
          <w:rFonts w:hint="eastAsia" w:ascii="仿宋" w:hAnsi="仿宋" w:eastAsia="仿宋" w:cs="仿宋"/>
          <w:bCs/>
          <w:color w:val="auto"/>
          <w:sz w:val="24"/>
        </w:rPr>
        <w:t>身份证件扫描件：</w:t>
      </w:r>
    </w:p>
    <w:tbl>
      <w:tblPr>
        <w:tblStyle w:val="18"/>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81D7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68597EF">
            <w:pPr>
              <w:pStyle w:val="29"/>
              <w:adjustRightIn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正面：                               反面：</w:t>
            </w:r>
          </w:p>
          <w:p w14:paraId="56222CFA">
            <w:pPr>
              <w:pStyle w:val="29"/>
              <w:adjustRightInd w:val="0"/>
              <w:spacing w:line="360" w:lineRule="auto"/>
              <w:rPr>
                <w:rFonts w:hint="eastAsia" w:ascii="仿宋" w:hAnsi="仿宋" w:eastAsia="仿宋" w:cs="仿宋"/>
                <w:bCs/>
                <w:color w:val="auto"/>
                <w:sz w:val="24"/>
              </w:rPr>
            </w:pPr>
          </w:p>
        </w:tc>
      </w:tr>
    </w:tbl>
    <w:p w14:paraId="12B7A77E">
      <w:pPr>
        <w:snapToGrid w:val="0"/>
        <w:spacing w:line="360" w:lineRule="auto"/>
        <w:ind w:firstLine="576"/>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投标人名称(电子签名)：                              </w:t>
      </w:r>
    </w:p>
    <w:p w14:paraId="1D7ADB59">
      <w:pPr>
        <w:widowControl/>
        <w:jc w:val="center"/>
        <w:rPr>
          <w:rFonts w:hint="eastAsia" w:ascii="仿宋" w:hAnsi="仿宋" w:eastAsia="仿宋" w:cs="仿宋"/>
          <w:color w:val="auto"/>
          <w:sz w:val="24"/>
        </w:rPr>
      </w:pPr>
      <w:r>
        <w:rPr>
          <w:rFonts w:hint="eastAsia" w:ascii="仿宋" w:hAnsi="仿宋" w:eastAsia="仿宋" w:cs="仿宋"/>
          <w:color w:val="auto"/>
          <w:kern w:val="0"/>
          <w:sz w:val="24"/>
          <w:lang w:val="zh-CN"/>
        </w:rPr>
        <w:t xml:space="preserve">                   日期：  年  月  日</w:t>
      </w:r>
    </w:p>
    <w:p w14:paraId="785E91E4">
      <w:pPr>
        <w:snapToGrid w:val="0"/>
        <w:spacing w:line="360" w:lineRule="auto"/>
        <w:rPr>
          <w:rFonts w:hint="eastAsia" w:ascii="仿宋" w:hAnsi="仿宋" w:eastAsia="仿宋" w:cs="仿宋"/>
          <w:color w:val="auto"/>
          <w:sz w:val="24"/>
        </w:rPr>
      </w:pPr>
    </w:p>
    <w:p w14:paraId="0F42BAAD">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zh-CN"/>
        </w:rPr>
        <w:t>授权委托书（适用于联合体投标）</w:t>
      </w:r>
    </w:p>
    <w:p w14:paraId="3149E65E">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11255F40">
      <w:pPr>
        <w:snapToGrid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现</w:t>
      </w:r>
      <w:r>
        <w:rPr>
          <w:rFonts w:hint="eastAsia" w:ascii="仿宋" w:hAnsi="仿宋" w:eastAsia="仿宋" w:cs="仿宋"/>
          <w:color w:val="auto"/>
          <w:kern w:val="0"/>
          <w:sz w:val="24"/>
          <w:lang w:val="zh-CN"/>
        </w:rPr>
        <w:t>委托</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lang w:val="zh-CN"/>
        </w:rPr>
        <w:t>（姓名）为我方代理人（身份证号码：</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lang w:val="zh-CN"/>
        </w:rPr>
        <w:t>，手机：</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lang w:val="zh-CN"/>
        </w:rPr>
        <w:t>），以我方名义处理</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政府采购投标的一切事项，其法律后果由我方承担。</w:t>
      </w:r>
    </w:p>
    <w:p w14:paraId="7ECB54B9">
      <w:pPr>
        <w:snapToGrid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lang w:val="zh-CN"/>
        </w:rPr>
        <w:t>委托期限</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自</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日起至</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日止。</w:t>
      </w:r>
    </w:p>
    <w:p w14:paraId="2B9CA094">
      <w:pPr>
        <w:snapToGrid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lang w:val="zh-CN"/>
        </w:rPr>
        <w:t>特此告知。</w:t>
      </w:r>
    </w:p>
    <w:p w14:paraId="234E9101">
      <w:pPr>
        <w:rPr>
          <w:rFonts w:hint="eastAsia" w:ascii="仿宋" w:hAnsi="仿宋" w:eastAsia="仿宋" w:cs="仿宋"/>
          <w:color w:val="auto"/>
        </w:rPr>
      </w:pPr>
    </w:p>
    <w:p w14:paraId="303FC636">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1665D08F">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0CFDA9E3">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1D538446">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14C44775">
      <w:pPr>
        <w:autoSpaceDE w:val="0"/>
        <w:autoSpaceDN w:val="0"/>
        <w:spacing w:line="360" w:lineRule="auto"/>
        <w:jc w:val="center"/>
        <w:rPr>
          <w:rFonts w:hint="eastAsia" w:ascii="仿宋" w:hAnsi="仿宋" w:eastAsia="仿宋" w:cs="仿宋"/>
          <w:b/>
          <w:color w:val="auto"/>
          <w:kern w:val="0"/>
          <w:sz w:val="32"/>
          <w:szCs w:val="32"/>
          <w:lang w:val="zh-CN"/>
        </w:rPr>
      </w:pPr>
    </w:p>
    <w:p w14:paraId="1E186B9A">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kern w:val="0"/>
          <w:sz w:val="32"/>
          <w:szCs w:val="32"/>
          <w:lang w:val="zh-CN"/>
        </w:rPr>
        <w:t>法定代表人、单位负责人或自然人本人</w:t>
      </w:r>
      <w:r>
        <w:rPr>
          <w:rFonts w:hint="eastAsia" w:ascii="仿宋" w:hAnsi="仿宋" w:eastAsia="仿宋" w:cs="仿宋"/>
          <w:b/>
          <w:color w:val="auto"/>
          <w:sz w:val="30"/>
          <w:szCs w:val="30"/>
        </w:rPr>
        <w:t>的身份证明（适用于法定代表人、单位负责人或者自然人本人代表投标人参加投标）</w:t>
      </w:r>
    </w:p>
    <w:p w14:paraId="35E31072">
      <w:pPr>
        <w:pStyle w:val="29"/>
        <w:spacing w:line="360" w:lineRule="auto"/>
        <w:rPr>
          <w:rFonts w:hint="eastAsia" w:ascii="仿宋" w:hAnsi="仿宋" w:eastAsia="仿宋" w:cs="仿宋"/>
          <w:bCs/>
          <w:color w:val="auto"/>
          <w:sz w:val="24"/>
        </w:rPr>
      </w:pPr>
      <w:r>
        <w:rPr>
          <w:rFonts w:hint="eastAsia" w:ascii="仿宋" w:hAnsi="仿宋" w:eastAsia="仿宋" w:cs="仿宋"/>
          <w:bCs/>
          <w:color w:val="auto"/>
          <w:sz w:val="24"/>
        </w:rPr>
        <w:t>身份证件扫描件：</w:t>
      </w:r>
    </w:p>
    <w:tbl>
      <w:tblPr>
        <w:tblStyle w:val="18"/>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DCC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D2E3469">
            <w:pPr>
              <w:pStyle w:val="29"/>
              <w:adjustRightIn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正面：                               反面：</w:t>
            </w:r>
          </w:p>
          <w:p w14:paraId="03D16973">
            <w:pPr>
              <w:pStyle w:val="29"/>
              <w:adjustRightInd w:val="0"/>
              <w:spacing w:line="360" w:lineRule="auto"/>
              <w:rPr>
                <w:rFonts w:hint="eastAsia" w:ascii="仿宋" w:hAnsi="仿宋" w:eastAsia="仿宋" w:cs="仿宋"/>
                <w:bCs/>
                <w:color w:val="auto"/>
                <w:sz w:val="24"/>
              </w:rPr>
            </w:pPr>
          </w:p>
        </w:tc>
      </w:tr>
    </w:tbl>
    <w:p w14:paraId="6789B685">
      <w:pPr>
        <w:snapToGrid w:val="0"/>
        <w:spacing w:line="360" w:lineRule="auto"/>
        <w:ind w:firstLine="576"/>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投标人名称(电子签名)：                              </w:t>
      </w:r>
    </w:p>
    <w:p w14:paraId="03FCBAB8">
      <w:pPr>
        <w:spacing w:line="360" w:lineRule="auto"/>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6F3B08C">
      <w:pPr>
        <w:jc w:val="center"/>
        <w:rPr>
          <w:rFonts w:hint="eastAsia" w:ascii="仿宋" w:hAnsi="仿宋" w:eastAsia="仿宋" w:cs="仿宋"/>
          <w:b/>
          <w:color w:val="auto"/>
          <w:kern w:val="0"/>
          <w:sz w:val="32"/>
          <w:szCs w:val="32"/>
        </w:rPr>
      </w:pPr>
    </w:p>
    <w:p w14:paraId="0A935612">
      <w:pPr>
        <w:widowControl/>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1707E449">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三、符合性审查资料</w:t>
      </w:r>
    </w:p>
    <w:p w14:paraId="6D84E1C6">
      <w:pPr>
        <w:jc w:val="center"/>
        <w:rPr>
          <w:rFonts w:hint="eastAsia" w:ascii="仿宋" w:hAnsi="仿宋" w:eastAsia="仿宋" w:cs="仿宋"/>
          <w:b/>
          <w:color w:val="auto"/>
          <w:kern w:val="0"/>
          <w:sz w:val="32"/>
          <w:szCs w:val="32"/>
        </w:rPr>
      </w:pPr>
    </w:p>
    <w:tbl>
      <w:tblPr>
        <w:tblStyle w:val="18"/>
        <w:tblW w:w="992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4991"/>
        <w:gridCol w:w="2551"/>
        <w:gridCol w:w="1559"/>
      </w:tblGrid>
      <w:tr w14:paraId="22185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22" w:type="dxa"/>
            <w:vAlign w:val="center"/>
          </w:tcPr>
          <w:p w14:paraId="2F823F7C">
            <w:pPr>
              <w:snapToGrid w:val="0"/>
              <w:spacing w:line="240" w:lineRule="atLeast"/>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4991" w:type="dxa"/>
            <w:vAlign w:val="center"/>
          </w:tcPr>
          <w:p w14:paraId="443AB76B">
            <w:pPr>
              <w:snapToGrid w:val="0"/>
              <w:spacing w:line="240" w:lineRule="atLeast"/>
              <w:jc w:val="center"/>
              <w:rPr>
                <w:rFonts w:hint="eastAsia" w:ascii="仿宋" w:hAnsi="仿宋" w:eastAsia="仿宋" w:cs="仿宋"/>
                <w:b/>
                <w:color w:val="auto"/>
                <w:sz w:val="24"/>
              </w:rPr>
            </w:pPr>
            <w:r>
              <w:rPr>
                <w:rFonts w:hint="eastAsia" w:ascii="仿宋" w:hAnsi="仿宋" w:eastAsia="仿宋" w:cs="仿宋"/>
                <w:b/>
                <w:color w:val="auto"/>
                <w:sz w:val="24"/>
              </w:rPr>
              <w:t>实质性要求</w:t>
            </w:r>
          </w:p>
        </w:tc>
        <w:tc>
          <w:tcPr>
            <w:tcW w:w="2551" w:type="dxa"/>
            <w:vAlign w:val="center"/>
          </w:tcPr>
          <w:p w14:paraId="2A7155A2">
            <w:pPr>
              <w:snapToGrid w:val="0"/>
              <w:spacing w:line="240" w:lineRule="atLeast"/>
              <w:jc w:val="center"/>
              <w:rPr>
                <w:rFonts w:hint="eastAsia" w:ascii="仿宋" w:hAnsi="仿宋" w:eastAsia="仿宋" w:cs="仿宋"/>
                <w:b/>
                <w:color w:val="auto"/>
                <w:sz w:val="24"/>
              </w:rPr>
            </w:pPr>
            <w:r>
              <w:rPr>
                <w:rFonts w:hint="eastAsia" w:ascii="仿宋" w:hAnsi="仿宋" w:eastAsia="仿宋" w:cs="仿宋"/>
                <w:b/>
                <w:color w:val="auto"/>
                <w:sz w:val="24"/>
              </w:rPr>
              <w:t>需要提供的符合性审查资料</w:t>
            </w:r>
          </w:p>
        </w:tc>
        <w:tc>
          <w:tcPr>
            <w:tcW w:w="1559" w:type="dxa"/>
            <w:vAlign w:val="center"/>
          </w:tcPr>
          <w:p w14:paraId="02187465">
            <w:pPr>
              <w:snapToGrid w:val="0"/>
              <w:spacing w:line="240" w:lineRule="atLeast"/>
              <w:jc w:val="center"/>
              <w:rPr>
                <w:rFonts w:hint="eastAsia" w:ascii="仿宋" w:hAnsi="仿宋" w:eastAsia="仿宋" w:cs="仿宋"/>
                <w:b/>
                <w:color w:val="auto"/>
                <w:sz w:val="24"/>
              </w:rPr>
            </w:pPr>
            <w:r>
              <w:rPr>
                <w:rFonts w:hint="eastAsia" w:ascii="仿宋" w:hAnsi="仿宋" w:eastAsia="仿宋" w:cs="仿宋"/>
                <w:b/>
                <w:color w:val="auto"/>
                <w:sz w:val="24"/>
              </w:rPr>
              <w:t>投标文件中的页码位置</w:t>
            </w:r>
          </w:p>
        </w:tc>
      </w:tr>
      <w:tr w14:paraId="391FD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41CCEDC7">
            <w:pPr>
              <w:jc w:val="center"/>
              <w:rPr>
                <w:rFonts w:hint="eastAsia" w:ascii="仿宋" w:hAnsi="仿宋" w:eastAsia="仿宋" w:cs="仿宋"/>
                <w:color w:val="auto"/>
                <w:sz w:val="24"/>
              </w:rPr>
            </w:pPr>
            <w:r>
              <w:rPr>
                <w:rFonts w:hint="eastAsia" w:ascii="仿宋" w:hAnsi="仿宋" w:eastAsia="仿宋" w:cs="仿宋"/>
                <w:color w:val="auto"/>
                <w:sz w:val="24"/>
              </w:rPr>
              <w:t>1</w:t>
            </w:r>
          </w:p>
        </w:tc>
        <w:tc>
          <w:tcPr>
            <w:tcW w:w="4991" w:type="dxa"/>
            <w:vAlign w:val="center"/>
          </w:tcPr>
          <w:p w14:paraId="548275A7">
            <w:pPr>
              <w:spacing w:line="360" w:lineRule="auto"/>
              <w:rPr>
                <w:rFonts w:hint="eastAsia" w:ascii="仿宋" w:hAnsi="仿宋" w:eastAsia="仿宋" w:cs="仿宋"/>
                <w:color w:val="auto"/>
                <w:sz w:val="24"/>
              </w:rPr>
            </w:pPr>
            <w:r>
              <w:rPr>
                <w:rFonts w:hint="eastAsia" w:ascii="仿宋" w:hAnsi="仿宋" w:eastAsia="仿宋" w:cs="仿宋"/>
                <w:color w:val="auto"/>
                <w:sz w:val="24"/>
              </w:rPr>
              <w:t>投标文件按照招标文件要求签署、盖章。</w:t>
            </w:r>
          </w:p>
        </w:tc>
        <w:tc>
          <w:tcPr>
            <w:tcW w:w="2551" w:type="dxa"/>
            <w:vAlign w:val="center"/>
          </w:tcPr>
          <w:p w14:paraId="0F066E44">
            <w:pPr>
              <w:jc w:val="center"/>
              <w:rPr>
                <w:rFonts w:hint="eastAsia" w:ascii="仿宋" w:hAnsi="仿宋" w:eastAsia="仿宋" w:cs="仿宋"/>
                <w:color w:val="auto"/>
                <w:sz w:val="24"/>
              </w:rPr>
            </w:pPr>
            <w:r>
              <w:rPr>
                <w:rFonts w:hint="eastAsia" w:ascii="仿宋" w:hAnsi="仿宋" w:eastAsia="仿宋" w:cs="仿宋"/>
                <w:color w:val="auto"/>
                <w:sz w:val="24"/>
              </w:rPr>
              <w:t>需要使用电子签名或者签字盖章的投标文件的组成部分</w:t>
            </w:r>
          </w:p>
        </w:tc>
        <w:tc>
          <w:tcPr>
            <w:tcW w:w="1559" w:type="dxa"/>
            <w:vAlign w:val="center"/>
          </w:tcPr>
          <w:p w14:paraId="29A90EB0">
            <w:pPr>
              <w:jc w:val="center"/>
              <w:rPr>
                <w:rFonts w:hint="eastAsia" w:ascii="仿宋" w:hAnsi="仿宋" w:eastAsia="仿宋" w:cs="仿宋"/>
                <w:color w:val="auto"/>
                <w:sz w:val="24"/>
              </w:rPr>
            </w:pPr>
            <w:r>
              <w:rPr>
                <w:rFonts w:hint="eastAsia" w:ascii="仿宋" w:hAnsi="仿宋" w:eastAsia="仿宋" w:cs="仿宋"/>
                <w:color w:val="auto"/>
                <w:sz w:val="24"/>
              </w:rPr>
              <w:t>见投标文件</w:t>
            </w:r>
          </w:p>
          <w:p w14:paraId="689EFE51">
            <w:pPr>
              <w:jc w:val="center"/>
              <w:rPr>
                <w:rFonts w:hint="eastAsia" w:ascii="仿宋" w:hAnsi="仿宋" w:eastAsia="仿宋" w:cs="仿宋"/>
                <w:color w:val="auto"/>
              </w:rPr>
            </w:pPr>
            <w:r>
              <w:rPr>
                <w:rFonts w:hint="eastAsia" w:ascii="仿宋" w:hAnsi="仿宋" w:eastAsia="仿宋" w:cs="仿宋"/>
                <w:color w:val="auto"/>
                <w:sz w:val="24"/>
              </w:rPr>
              <w:t>第  页</w:t>
            </w:r>
          </w:p>
        </w:tc>
      </w:tr>
      <w:tr w14:paraId="0A2E2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39E97BB4">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4991" w:type="dxa"/>
            <w:vAlign w:val="center"/>
          </w:tcPr>
          <w:p w14:paraId="6B16DBB3">
            <w:pPr>
              <w:spacing w:line="360" w:lineRule="auto"/>
              <w:rPr>
                <w:rFonts w:hint="eastAsia" w:ascii="仿宋" w:hAnsi="仿宋" w:eastAsia="仿宋" w:cs="仿宋"/>
                <w:color w:val="auto"/>
                <w:sz w:val="24"/>
              </w:rPr>
            </w:pPr>
            <w:r>
              <w:rPr>
                <w:rFonts w:hint="eastAsia" w:ascii="仿宋" w:hAnsi="仿宋" w:eastAsia="仿宋" w:cs="仿宋"/>
                <w:color w:val="auto"/>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50A1A0A6">
            <w:pPr>
              <w:jc w:val="center"/>
              <w:rPr>
                <w:rFonts w:hint="eastAsia" w:ascii="仿宋" w:hAnsi="仿宋" w:eastAsia="仿宋" w:cs="仿宋"/>
                <w:color w:val="auto"/>
                <w:sz w:val="24"/>
              </w:rPr>
            </w:pPr>
            <w:r>
              <w:rPr>
                <w:rFonts w:hint="eastAsia" w:ascii="仿宋" w:hAnsi="仿宋" w:eastAsia="仿宋" w:cs="仿宋"/>
                <w:color w:val="auto"/>
                <w:sz w:val="24"/>
              </w:rPr>
              <w:t>节能产品认证证书（本项目拟采购的产品不属于政府强制采购的节能产品品目清单范围的，无需提供）</w:t>
            </w:r>
          </w:p>
        </w:tc>
        <w:tc>
          <w:tcPr>
            <w:tcW w:w="1559" w:type="dxa"/>
            <w:vAlign w:val="center"/>
          </w:tcPr>
          <w:p w14:paraId="136C2787">
            <w:pPr>
              <w:jc w:val="center"/>
              <w:rPr>
                <w:rFonts w:hint="eastAsia" w:ascii="仿宋" w:hAnsi="仿宋" w:eastAsia="仿宋" w:cs="仿宋"/>
                <w:color w:val="auto"/>
                <w:sz w:val="24"/>
              </w:rPr>
            </w:pPr>
            <w:r>
              <w:rPr>
                <w:rFonts w:hint="eastAsia" w:ascii="仿宋" w:hAnsi="仿宋" w:eastAsia="仿宋" w:cs="仿宋"/>
                <w:color w:val="auto"/>
                <w:sz w:val="24"/>
              </w:rPr>
              <w:t>见投标文件</w:t>
            </w:r>
          </w:p>
          <w:p w14:paraId="0E885322">
            <w:pPr>
              <w:pStyle w:val="4"/>
              <w:jc w:val="center"/>
              <w:rPr>
                <w:rFonts w:hint="eastAsia" w:ascii="仿宋" w:hAnsi="仿宋" w:eastAsia="仿宋" w:cs="仿宋"/>
                <w:color w:val="auto"/>
                <w:lang w:val="en-US"/>
              </w:rPr>
            </w:pPr>
            <w:r>
              <w:rPr>
                <w:rFonts w:hint="eastAsia" w:ascii="仿宋" w:hAnsi="仿宋" w:eastAsia="仿宋" w:cs="仿宋"/>
                <w:b w:val="0"/>
                <w:bCs w:val="0"/>
                <w:color w:val="auto"/>
                <w:sz w:val="24"/>
                <w:szCs w:val="24"/>
                <w:lang w:val="en-US"/>
              </w:rPr>
              <w:t>第</w:t>
            </w:r>
            <w:r>
              <w:rPr>
                <w:rFonts w:hint="eastAsia" w:ascii="仿宋" w:hAnsi="仿宋" w:eastAsia="仿宋" w:cs="仿宋"/>
                <w:color w:val="auto"/>
                <w:sz w:val="24"/>
              </w:rPr>
              <w:t xml:space="preserve">  </w:t>
            </w:r>
            <w:r>
              <w:rPr>
                <w:rFonts w:hint="eastAsia" w:ascii="仿宋" w:hAnsi="仿宋" w:eastAsia="仿宋" w:cs="仿宋"/>
                <w:b w:val="0"/>
                <w:bCs w:val="0"/>
                <w:color w:val="auto"/>
                <w:sz w:val="24"/>
                <w:szCs w:val="24"/>
                <w:lang w:val="en-US"/>
              </w:rPr>
              <w:t>页</w:t>
            </w:r>
          </w:p>
        </w:tc>
      </w:tr>
      <w:tr w14:paraId="719CE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6453DBBD">
            <w:pPr>
              <w:jc w:val="center"/>
              <w:rPr>
                <w:rFonts w:hint="eastAsia" w:ascii="仿宋" w:hAnsi="仿宋" w:eastAsia="仿宋" w:cs="仿宋"/>
                <w:color w:val="auto"/>
                <w:sz w:val="24"/>
              </w:rPr>
            </w:pPr>
            <w:r>
              <w:rPr>
                <w:rFonts w:hint="eastAsia" w:ascii="仿宋" w:hAnsi="仿宋" w:eastAsia="仿宋" w:cs="仿宋"/>
                <w:color w:val="auto"/>
                <w:sz w:val="24"/>
              </w:rPr>
              <w:t>3</w:t>
            </w:r>
          </w:p>
        </w:tc>
        <w:tc>
          <w:tcPr>
            <w:tcW w:w="4991" w:type="dxa"/>
            <w:vAlign w:val="center"/>
          </w:tcPr>
          <w:p w14:paraId="0E1EA66E">
            <w:pPr>
              <w:spacing w:line="360" w:lineRule="auto"/>
              <w:rPr>
                <w:rFonts w:hint="eastAsia" w:ascii="仿宋" w:hAnsi="仿宋" w:eastAsia="仿宋" w:cs="仿宋"/>
                <w:color w:val="auto"/>
                <w:sz w:val="24"/>
              </w:rPr>
            </w:pPr>
            <w:r>
              <w:rPr>
                <w:rFonts w:hint="eastAsia" w:ascii="仿宋" w:hAnsi="仿宋" w:eastAsia="仿宋" w:cs="仿宋"/>
                <w:color w:val="auto"/>
                <w:sz w:val="24"/>
              </w:rPr>
              <w:t>投标文件中承诺的投标有效期不少于招标文件中载明的投标有效期。</w:t>
            </w:r>
          </w:p>
        </w:tc>
        <w:tc>
          <w:tcPr>
            <w:tcW w:w="2551" w:type="dxa"/>
            <w:vAlign w:val="center"/>
          </w:tcPr>
          <w:p w14:paraId="2536C61F">
            <w:pPr>
              <w:jc w:val="center"/>
              <w:rPr>
                <w:rFonts w:hint="eastAsia" w:ascii="仿宋" w:hAnsi="仿宋" w:eastAsia="仿宋" w:cs="仿宋"/>
                <w:color w:val="auto"/>
                <w:sz w:val="24"/>
              </w:rPr>
            </w:pPr>
            <w:r>
              <w:rPr>
                <w:rFonts w:hint="eastAsia" w:ascii="仿宋" w:hAnsi="仿宋" w:eastAsia="仿宋" w:cs="仿宋"/>
                <w:color w:val="auto"/>
                <w:sz w:val="24"/>
              </w:rPr>
              <w:t>投标函</w:t>
            </w:r>
          </w:p>
        </w:tc>
        <w:tc>
          <w:tcPr>
            <w:tcW w:w="1559" w:type="dxa"/>
            <w:vAlign w:val="center"/>
          </w:tcPr>
          <w:p w14:paraId="1CC744B8">
            <w:pPr>
              <w:jc w:val="center"/>
              <w:rPr>
                <w:rFonts w:hint="eastAsia" w:ascii="仿宋" w:hAnsi="仿宋" w:eastAsia="仿宋" w:cs="仿宋"/>
                <w:color w:val="auto"/>
              </w:rPr>
            </w:pPr>
            <w:r>
              <w:rPr>
                <w:rFonts w:hint="eastAsia" w:ascii="仿宋" w:hAnsi="仿宋" w:eastAsia="仿宋" w:cs="仿宋"/>
                <w:color w:val="auto"/>
                <w:sz w:val="24"/>
              </w:rPr>
              <w:t>见投标文件第  页</w:t>
            </w:r>
          </w:p>
        </w:tc>
      </w:tr>
      <w:tr w14:paraId="4A66A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41018A04">
            <w:pPr>
              <w:jc w:val="center"/>
              <w:rPr>
                <w:rFonts w:hint="eastAsia" w:ascii="仿宋" w:hAnsi="仿宋" w:eastAsia="仿宋" w:cs="仿宋"/>
                <w:color w:val="auto"/>
                <w:sz w:val="24"/>
              </w:rPr>
            </w:pPr>
            <w:r>
              <w:rPr>
                <w:rFonts w:hint="eastAsia" w:ascii="仿宋" w:hAnsi="仿宋" w:eastAsia="仿宋" w:cs="仿宋"/>
                <w:color w:val="auto"/>
                <w:sz w:val="24"/>
              </w:rPr>
              <w:t>4</w:t>
            </w:r>
          </w:p>
        </w:tc>
        <w:tc>
          <w:tcPr>
            <w:tcW w:w="4991" w:type="dxa"/>
            <w:vAlign w:val="center"/>
          </w:tcPr>
          <w:p w14:paraId="4A748DB2">
            <w:pPr>
              <w:spacing w:line="360" w:lineRule="auto"/>
              <w:rPr>
                <w:rFonts w:hint="eastAsia" w:ascii="仿宋" w:hAnsi="仿宋" w:eastAsia="仿宋" w:cs="仿宋"/>
                <w:color w:val="auto"/>
                <w:sz w:val="24"/>
              </w:rPr>
            </w:pPr>
            <w:r>
              <w:rPr>
                <w:rFonts w:hint="eastAsia" w:ascii="仿宋" w:hAnsi="仿宋" w:eastAsia="仿宋" w:cs="仿宋"/>
                <w:color w:val="auto"/>
                <w:sz w:val="24"/>
              </w:rPr>
              <w:t>投标文件满足招标文件的其它实质性要求。</w:t>
            </w:r>
          </w:p>
        </w:tc>
        <w:tc>
          <w:tcPr>
            <w:tcW w:w="2551" w:type="dxa"/>
            <w:vAlign w:val="center"/>
          </w:tcPr>
          <w:p w14:paraId="1D6F83AC">
            <w:pPr>
              <w:jc w:val="center"/>
              <w:rPr>
                <w:rFonts w:hint="eastAsia" w:ascii="仿宋" w:hAnsi="仿宋" w:eastAsia="仿宋" w:cs="仿宋"/>
                <w:color w:val="auto"/>
                <w:sz w:val="24"/>
              </w:rPr>
            </w:pPr>
            <w:r>
              <w:rPr>
                <w:rFonts w:hint="eastAsia" w:ascii="仿宋" w:hAnsi="仿宋" w:eastAsia="仿宋" w:cs="仿宋"/>
                <w:color w:val="auto"/>
                <w:kern w:val="0"/>
                <w:sz w:val="24"/>
              </w:rPr>
              <w:t>招标文件其它实质性要求相应的材料（“▲”系指实质性要求条款，招标文件无其它实质性要求的，无需提供）</w:t>
            </w:r>
          </w:p>
        </w:tc>
        <w:tc>
          <w:tcPr>
            <w:tcW w:w="1559" w:type="dxa"/>
            <w:vAlign w:val="center"/>
          </w:tcPr>
          <w:p w14:paraId="207E5A59">
            <w:pPr>
              <w:jc w:val="center"/>
              <w:rPr>
                <w:rFonts w:hint="eastAsia" w:ascii="仿宋" w:hAnsi="仿宋" w:eastAsia="仿宋" w:cs="仿宋"/>
                <w:color w:val="auto"/>
              </w:rPr>
            </w:pPr>
            <w:r>
              <w:rPr>
                <w:rFonts w:hint="eastAsia" w:ascii="仿宋" w:hAnsi="仿宋" w:eastAsia="仿宋" w:cs="仿宋"/>
                <w:color w:val="auto"/>
                <w:sz w:val="24"/>
              </w:rPr>
              <w:t>见投标文件第  页</w:t>
            </w:r>
          </w:p>
        </w:tc>
      </w:tr>
    </w:tbl>
    <w:p w14:paraId="2593B1D7">
      <w:pPr>
        <w:rPr>
          <w:rFonts w:hint="eastAsia" w:ascii="仿宋" w:hAnsi="仿宋" w:eastAsia="仿宋" w:cs="仿宋"/>
          <w:b/>
          <w:color w:val="auto"/>
          <w:kern w:val="0"/>
          <w:sz w:val="32"/>
          <w:szCs w:val="32"/>
        </w:rPr>
      </w:pPr>
    </w:p>
    <w:p w14:paraId="4FF59C88">
      <w:pPr>
        <w:widowControl/>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24F954C3">
      <w:pPr>
        <w:jc w:val="center"/>
        <w:rPr>
          <w:rFonts w:hint="eastAsia" w:ascii="仿宋" w:hAnsi="仿宋" w:eastAsia="仿宋" w:cs="仿宋"/>
          <w:color w:val="auto"/>
        </w:rPr>
      </w:pPr>
      <w:r>
        <w:rPr>
          <w:rFonts w:hint="eastAsia" w:ascii="仿宋" w:hAnsi="仿宋" w:eastAsia="仿宋" w:cs="仿宋"/>
          <w:b/>
          <w:color w:val="auto"/>
          <w:kern w:val="0"/>
          <w:sz w:val="32"/>
          <w:szCs w:val="32"/>
        </w:rPr>
        <w:t>四、评标标准相应的商务技术资料</w:t>
      </w:r>
    </w:p>
    <w:p w14:paraId="28D7300D">
      <w:pPr>
        <w:snapToGrid w:val="0"/>
        <w:spacing w:line="360" w:lineRule="auto"/>
        <w:jc w:val="left"/>
        <w:rPr>
          <w:rFonts w:hint="eastAsia" w:ascii="仿宋" w:hAnsi="仿宋" w:eastAsia="仿宋" w:cs="仿宋"/>
          <w:b/>
          <w:color w:val="auto"/>
          <w:sz w:val="24"/>
        </w:rPr>
      </w:pPr>
      <w:r>
        <w:rPr>
          <w:rFonts w:hint="eastAsia" w:ascii="仿宋" w:hAnsi="仿宋" w:eastAsia="仿宋" w:cs="仿宋"/>
          <w:b/>
          <w:color w:val="auto"/>
          <w:sz w:val="24"/>
        </w:rPr>
        <w:t>（按招标文件第四部分评标办法前附表中“投标文件中评标标准相应的商务技术资料目录”提供资料，除以下投标文件格式外其他相关资料由供应商自拟。）</w:t>
      </w:r>
    </w:p>
    <w:p w14:paraId="1E180CC4">
      <w:pPr>
        <w:snapToGrid w:val="0"/>
        <w:spacing w:line="360" w:lineRule="auto"/>
        <w:jc w:val="left"/>
        <w:rPr>
          <w:rFonts w:hint="eastAsia" w:ascii="仿宋" w:hAnsi="仿宋" w:eastAsia="仿宋" w:cs="仿宋"/>
          <w:b/>
          <w:color w:val="auto"/>
          <w:kern w:val="0"/>
          <w:sz w:val="32"/>
          <w:szCs w:val="32"/>
        </w:rPr>
      </w:pPr>
      <w:r>
        <w:rPr>
          <w:rFonts w:hint="eastAsia" w:ascii="仿宋" w:hAnsi="仿宋" w:eastAsia="仿宋" w:cs="仿宋"/>
          <w:color w:val="auto"/>
          <w:sz w:val="24"/>
          <w:szCs w:val="24"/>
        </w:rPr>
        <w:t>（格式仅供参考）</w:t>
      </w:r>
    </w:p>
    <w:p w14:paraId="08900DBC">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kern w:val="0"/>
          <w:sz w:val="32"/>
          <w:szCs w:val="32"/>
        </w:rPr>
        <w:t>同类型项目业绩表</w:t>
      </w:r>
    </w:p>
    <w:tbl>
      <w:tblPr>
        <w:tblStyle w:val="18"/>
        <w:tblW w:w="10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831"/>
        <w:gridCol w:w="2422"/>
        <w:gridCol w:w="1547"/>
        <w:gridCol w:w="1313"/>
        <w:gridCol w:w="1818"/>
        <w:gridCol w:w="850"/>
      </w:tblGrid>
      <w:tr w14:paraId="43E96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16AE3B60">
            <w:pPr>
              <w:spacing w:line="320" w:lineRule="exact"/>
              <w:rPr>
                <w:rFonts w:hint="eastAsia" w:ascii="仿宋" w:hAnsi="仿宋" w:eastAsia="仿宋" w:cs="仿宋"/>
                <w:b/>
                <w:color w:val="auto"/>
                <w:sz w:val="24"/>
              </w:rPr>
            </w:pPr>
            <w:r>
              <w:rPr>
                <w:rFonts w:hint="eastAsia" w:ascii="仿宋" w:hAnsi="仿宋" w:eastAsia="仿宋" w:cs="仿宋"/>
                <w:b/>
                <w:color w:val="auto"/>
                <w:sz w:val="24"/>
              </w:rPr>
              <w:t>序号</w:t>
            </w:r>
          </w:p>
        </w:tc>
        <w:tc>
          <w:tcPr>
            <w:tcW w:w="1831" w:type="dxa"/>
            <w:vAlign w:val="center"/>
          </w:tcPr>
          <w:p w14:paraId="35B1A1DA">
            <w:pPr>
              <w:spacing w:line="320" w:lineRule="exact"/>
              <w:jc w:val="center"/>
              <w:rPr>
                <w:rFonts w:hint="eastAsia" w:ascii="仿宋" w:hAnsi="仿宋" w:eastAsia="仿宋" w:cs="仿宋"/>
                <w:b/>
                <w:color w:val="auto"/>
                <w:sz w:val="24"/>
              </w:rPr>
            </w:pPr>
            <w:r>
              <w:rPr>
                <w:rFonts w:hint="eastAsia" w:ascii="仿宋" w:hAnsi="仿宋" w:eastAsia="仿宋" w:cs="仿宋"/>
                <w:b/>
                <w:color w:val="auto"/>
                <w:sz w:val="24"/>
              </w:rPr>
              <w:t>业主名称</w:t>
            </w:r>
          </w:p>
        </w:tc>
        <w:tc>
          <w:tcPr>
            <w:tcW w:w="2422" w:type="dxa"/>
            <w:vAlign w:val="center"/>
          </w:tcPr>
          <w:p w14:paraId="49F33A20">
            <w:pPr>
              <w:spacing w:line="320" w:lineRule="exact"/>
              <w:jc w:val="center"/>
              <w:rPr>
                <w:rFonts w:hint="eastAsia" w:ascii="仿宋" w:hAnsi="仿宋" w:eastAsia="仿宋" w:cs="仿宋"/>
                <w:b/>
                <w:color w:val="auto"/>
                <w:sz w:val="24"/>
              </w:rPr>
            </w:pPr>
            <w:r>
              <w:rPr>
                <w:rFonts w:hint="eastAsia" w:ascii="仿宋" w:hAnsi="仿宋" w:eastAsia="仿宋" w:cs="仿宋"/>
                <w:b/>
                <w:color w:val="auto"/>
                <w:sz w:val="24"/>
              </w:rPr>
              <w:t>项目名称</w:t>
            </w:r>
          </w:p>
        </w:tc>
        <w:tc>
          <w:tcPr>
            <w:tcW w:w="1547" w:type="dxa"/>
            <w:vAlign w:val="center"/>
          </w:tcPr>
          <w:p w14:paraId="7C48292E">
            <w:pPr>
              <w:spacing w:line="320" w:lineRule="exact"/>
              <w:jc w:val="center"/>
              <w:rPr>
                <w:rFonts w:hint="eastAsia" w:ascii="仿宋" w:hAnsi="仿宋" w:eastAsia="仿宋" w:cs="仿宋"/>
                <w:b/>
                <w:color w:val="auto"/>
                <w:sz w:val="24"/>
              </w:rPr>
            </w:pPr>
            <w:r>
              <w:rPr>
                <w:rFonts w:hint="eastAsia" w:ascii="仿宋" w:hAnsi="仿宋" w:eastAsia="仿宋" w:cs="仿宋"/>
                <w:b/>
                <w:color w:val="auto"/>
                <w:sz w:val="24"/>
              </w:rPr>
              <w:t>合同</w:t>
            </w:r>
          </w:p>
          <w:p w14:paraId="533A1049">
            <w:pPr>
              <w:spacing w:line="320" w:lineRule="exact"/>
              <w:jc w:val="center"/>
              <w:rPr>
                <w:rFonts w:hint="eastAsia" w:ascii="仿宋" w:hAnsi="仿宋" w:eastAsia="仿宋" w:cs="仿宋"/>
                <w:b/>
                <w:color w:val="auto"/>
                <w:sz w:val="24"/>
              </w:rPr>
            </w:pPr>
            <w:r>
              <w:rPr>
                <w:rFonts w:hint="eastAsia" w:ascii="仿宋" w:hAnsi="仿宋" w:eastAsia="仿宋" w:cs="仿宋"/>
                <w:b/>
                <w:color w:val="auto"/>
                <w:sz w:val="24"/>
              </w:rPr>
              <w:t>签订时间</w:t>
            </w:r>
          </w:p>
        </w:tc>
        <w:tc>
          <w:tcPr>
            <w:tcW w:w="1313" w:type="dxa"/>
            <w:vAlign w:val="center"/>
          </w:tcPr>
          <w:p w14:paraId="09E22ED1">
            <w:pPr>
              <w:spacing w:line="320" w:lineRule="exact"/>
              <w:jc w:val="center"/>
              <w:rPr>
                <w:rFonts w:hint="eastAsia" w:ascii="仿宋" w:hAnsi="仿宋" w:eastAsia="仿宋" w:cs="仿宋"/>
                <w:b/>
                <w:color w:val="auto"/>
                <w:sz w:val="24"/>
              </w:rPr>
            </w:pPr>
            <w:r>
              <w:rPr>
                <w:rFonts w:hint="eastAsia" w:ascii="仿宋" w:hAnsi="仿宋" w:eastAsia="仿宋" w:cs="仿宋"/>
                <w:b/>
                <w:color w:val="auto"/>
                <w:sz w:val="24"/>
              </w:rPr>
              <w:t>业主</w:t>
            </w:r>
          </w:p>
          <w:p w14:paraId="020BFCA4">
            <w:pPr>
              <w:spacing w:line="320" w:lineRule="exact"/>
              <w:jc w:val="center"/>
              <w:rPr>
                <w:rFonts w:hint="eastAsia" w:ascii="仿宋" w:hAnsi="仿宋" w:eastAsia="仿宋" w:cs="仿宋"/>
                <w:b/>
                <w:color w:val="auto"/>
                <w:sz w:val="24"/>
              </w:rPr>
            </w:pPr>
            <w:r>
              <w:rPr>
                <w:rFonts w:hint="eastAsia" w:ascii="仿宋" w:hAnsi="仿宋" w:eastAsia="仿宋" w:cs="仿宋"/>
                <w:b/>
                <w:color w:val="auto"/>
                <w:sz w:val="24"/>
              </w:rPr>
              <w:t>联系人</w:t>
            </w:r>
          </w:p>
        </w:tc>
        <w:tc>
          <w:tcPr>
            <w:tcW w:w="1818" w:type="dxa"/>
            <w:vAlign w:val="center"/>
          </w:tcPr>
          <w:p w14:paraId="5F4731C4">
            <w:pPr>
              <w:spacing w:line="320" w:lineRule="exact"/>
              <w:jc w:val="center"/>
              <w:rPr>
                <w:rFonts w:hint="eastAsia" w:ascii="仿宋" w:hAnsi="仿宋" w:eastAsia="仿宋" w:cs="仿宋"/>
                <w:b/>
                <w:color w:val="auto"/>
                <w:sz w:val="24"/>
              </w:rPr>
            </w:pPr>
            <w:r>
              <w:rPr>
                <w:rFonts w:hint="eastAsia" w:ascii="仿宋" w:hAnsi="仿宋" w:eastAsia="仿宋" w:cs="仿宋"/>
                <w:b/>
                <w:color w:val="auto"/>
                <w:sz w:val="24"/>
              </w:rPr>
              <w:t>联系电话</w:t>
            </w:r>
          </w:p>
        </w:tc>
        <w:tc>
          <w:tcPr>
            <w:tcW w:w="850" w:type="dxa"/>
            <w:vAlign w:val="center"/>
          </w:tcPr>
          <w:p w14:paraId="4FD8C88F">
            <w:pPr>
              <w:snapToGrid w:val="0"/>
              <w:jc w:val="center"/>
              <w:rPr>
                <w:rFonts w:hint="eastAsia" w:ascii="仿宋" w:hAnsi="仿宋" w:eastAsia="仿宋" w:cs="仿宋"/>
                <w:b/>
                <w:color w:val="auto"/>
                <w:sz w:val="24"/>
              </w:rPr>
            </w:pPr>
            <w:r>
              <w:rPr>
                <w:rFonts w:hint="eastAsia" w:ascii="仿宋" w:hAnsi="仿宋" w:eastAsia="仿宋" w:cs="仿宋"/>
                <w:b/>
                <w:color w:val="auto"/>
                <w:sz w:val="24"/>
              </w:rPr>
              <w:t>附件</w:t>
            </w:r>
          </w:p>
          <w:p w14:paraId="0C3A012E">
            <w:pPr>
              <w:snapToGrid w:val="0"/>
              <w:jc w:val="center"/>
              <w:rPr>
                <w:rFonts w:hint="eastAsia" w:ascii="仿宋" w:hAnsi="仿宋" w:eastAsia="仿宋" w:cs="仿宋"/>
                <w:b/>
                <w:color w:val="auto"/>
                <w:sz w:val="24"/>
              </w:rPr>
            </w:pPr>
            <w:r>
              <w:rPr>
                <w:rFonts w:hint="eastAsia" w:ascii="仿宋" w:hAnsi="仿宋" w:eastAsia="仿宋" w:cs="仿宋"/>
                <w:b/>
                <w:color w:val="auto"/>
                <w:sz w:val="24"/>
              </w:rPr>
              <w:t>页码</w:t>
            </w:r>
          </w:p>
        </w:tc>
      </w:tr>
      <w:tr w14:paraId="6BF48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72F55073">
            <w:pPr>
              <w:spacing w:line="360" w:lineRule="auto"/>
              <w:jc w:val="center"/>
              <w:rPr>
                <w:rFonts w:hint="eastAsia" w:ascii="仿宋" w:hAnsi="仿宋" w:eastAsia="仿宋" w:cs="仿宋"/>
                <w:b/>
                <w:color w:val="auto"/>
                <w:sz w:val="24"/>
              </w:rPr>
            </w:pPr>
          </w:p>
        </w:tc>
        <w:tc>
          <w:tcPr>
            <w:tcW w:w="1831" w:type="dxa"/>
            <w:vAlign w:val="center"/>
          </w:tcPr>
          <w:p w14:paraId="0AC042C6">
            <w:pPr>
              <w:spacing w:line="360" w:lineRule="auto"/>
              <w:jc w:val="center"/>
              <w:rPr>
                <w:rFonts w:hint="eastAsia" w:ascii="仿宋" w:hAnsi="仿宋" w:eastAsia="仿宋" w:cs="仿宋"/>
                <w:b/>
                <w:color w:val="auto"/>
                <w:sz w:val="24"/>
              </w:rPr>
            </w:pPr>
          </w:p>
        </w:tc>
        <w:tc>
          <w:tcPr>
            <w:tcW w:w="2422" w:type="dxa"/>
            <w:vAlign w:val="center"/>
          </w:tcPr>
          <w:p w14:paraId="29F39B5D">
            <w:pPr>
              <w:spacing w:line="360" w:lineRule="auto"/>
              <w:jc w:val="center"/>
              <w:rPr>
                <w:rFonts w:hint="eastAsia" w:ascii="仿宋" w:hAnsi="仿宋" w:eastAsia="仿宋" w:cs="仿宋"/>
                <w:b/>
                <w:color w:val="auto"/>
                <w:sz w:val="24"/>
              </w:rPr>
            </w:pPr>
          </w:p>
        </w:tc>
        <w:tc>
          <w:tcPr>
            <w:tcW w:w="1547" w:type="dxa"/>
            <w:vAlign w:val="center"/>
          </w:tcPr>
          <w:p w14:paraId="21A8EBEC">
            <w:pPr>
              <w:spacing w:line="360" w:lineRule="auto"/>
              <w:jc w:val="center"/>
              <w:rPr>
                <w:rFonts w:hint="eastAsia" w:ascii="仿宋" w:hAnsi="仿宋" w:eastAsia="仿宋" w:cs="仿宋"/>
                <w:b/>
                <w:color w:val="auto"/>
                <w:sz w:val="24"/>
              </w:rPr>
            </w:pPr>
          </w:p>
        </w:tc>
        <w:tc>
          <w:tcPr>
            <w:tcW w:w="1313" w:type="dxa"/>
            <w:vAlign w:val="center"/>
          </w:tcPr>
          <w:p w14:paraId="04E99F48">
            <w:pPr>
              <w:spacing w:line="360" w:lineRule="auto"/>
              <w:jc w:val="center"/>
              <w:rPr>
                <w:rFonts w:hint="eastAsia" w:ascii="仿宋" w:hAnsi="仿宋" w:eastAsia="仿宋" w:cs="仿宋"/>
                <w:b/>
                <w:color w:val="auto"/>
                <w:sz w:val="24"/>
              </w:rPr>
            </w:pPr>
          </w:p>
        </w:tc>
        <w:tc>
          <w:tcPr>
            <w:tcW w:w="1818" w:type="dxa"/>
            <w:vAlign w:val="center"/>
          </w:tcPr>
          <w:p w14:paraId="2DFD5AE8">
            <w:pPr>
              <w:spacing w:line="360" w:lineRule="auto"/>
              <w:jc w:val="center"/>
              <w:rPr>
                <w:rFonts w:hint="eastAsia" w:ascii="仿宋" w:hAnsi="仿宋" w:eastAsia="仿宋" w:cs="仿宋"/>
                <w:b/>
                <w:color w:val="auto"/>
                <w:sz w:val="24"/>
              </w:rPr>
            </w:pPr>
          </w:p>
        </w:tc>
        <w:tc>
          <w:tcPr>
            <w:tcW w:w="850" w:type="dxa"/>
            <w:vAlign w:val="center"/>
          </w:tcPr>
          <w:p w14:paraId="319F6A79">
            <w:pPr>
              <w:spacing w:line="360" w:lineRule="auto"/>
              <w:jc w:val="center"/>
              <w:rPr>
                <w:rFonts w:hint="eastAsia" w:ascii="仿宋" w:hAnsi="仿宋" w:eastAsia="仿宋" w:cs="仿宋"/>
                <w:b/>
                <w:color w:val="auto"/>
                <w:sz w:val="24"/>
              </w:rPr>
            </w:pPr>
          </w:p>
        </w:tc>
      </w:tr>
      <w:tr w14:paraId="170FA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2CF2ED27">
            <w:pPr>
              <w:spacing w:line="360" w:lineRule="auto"/>
              <w:jc w:val="center"/>
              <w:rPr>
                <w:rFonts w:hint="eastAsia" w:ascii="仿宋" w:hAnsi="仿宋" w:eastAsia="仿宋" w:cs="仿宋"/>
                <w:b/>
                <w:color w:val="auto"/>
                <w:sz w:val="24"/>
              </w:rPr>
            </w:pPr>
          </w:p>
        </w:tc>
        <w:tc>
          <w:tcPr>
            <w:tcW w:w="1831" w:type="dxa"/>
            <w:vAlign w:val="center"/>
          </w:tcPr>
          <w:p w14:paraId="36EE42B0">
            <w:pPr>
              <w:spacing w:line="360" w:lineRule="auto"/>
              <w:jc w:val="center"/>
              <w:rPr>
                <w:rFonts w:hint="eastAsia" w:ascii="仿宋" w:hAnsi="仿宋" w:eastAsia="仿宋" w:cs="仿宋"/>
                <w:b/>
                <w:color w:val="auto"/>
                <w:sz w:val="24"/>
              </w:rPr>
            </w:pPr>
          </w:p>
        </w:tc>
        <w:tc>
          <w:tcPr>
            <w:tcW w:w="2422" w:type="dxa"/>
            <w:vAlign w:val="center"/>
          </w:tcPr>
          <w:p w14:paraId="5C6A51DE">
            <w:pPr>
              <w:spacing w:line="360" w:lineRule="auto"/>
              <w:jc w:val="center"/>
              <w:rPr>
                <w:rFonts w:hint="eastAsia" w:ascii="仿宋" w:hAnsi="仿宋" w:eastAsia="仿宋" w:cs="仿宋"/>
                <w:b/>
                <w:color w:val="auto"/>
                <w:sz w:val="24"/>
              </w:rPr>
            </w:pPr>
          </w:p>
        </w:tc>
        <w:tc>
          <w:tcPr>
            <w:tcW w:w="1547" w:type="dxa"/>
            <w:vAlign w:val="center"/>
          </w:tcPr>
          <w:p w14:paraId="14376C8E">
            <w:pPr>
              <w:spacing w:line="360" w:lineRule="auto"/>
              <w:jc w:val="center"/>
              <w:rPr>
                <w:rFonts w:hint="eastAsia" w:ascii="仿宋" w:hAnsi="仿宋" w:eastAsia="仿宋" w:cs="仿宋"/>
                <w:b/>
                <w:color w:val="auto"/>
                <w:sz w:val="24"/>
              </w:rPr>
            </w:pPr>
          </w:p>
        </w:tc>
        <w:tc>
          <w:tcPr>
            <w:tcW w:w="1313" w:type="dxa"/>
            <w:vAlign w:val="center"/>
          </w:tcPr>
          <w:p w14:paraId="7AB3027C">
            <w:pPr>
              <w:spacing w:line="360" w:lineRule="auto"/>
              <w:jc w:val="center"/>
              <w:rPr>
                <w:rFonts w:hint="eastAsia" w:ascii="仿宋" w:hAnsi="仿宋" w:eastAsia="仿宋" w:cs="仿宋"/>
                <w:b/>
                <w:color w:val="auto"/>
                <w:sz w:val="24"/>
              </w:rPr>
            </w:pPr>
          </w:p>
        </w:tc>
        <w:tc>
          <w:tcPr>
            <w:tcW w:w="1818" w:type="dxa"/>
            <w:vAlign w:val="center"/>
          </w:tcPr>
          <w:p w14:paraId="4907B2E3">
            <w:pPr>
              <w:spacing w:line="360" w:lineRule="auto"/>
              <w:jc w:val="center"/>
              <w:rPr>
                <w:rFonts w:hint="eastAsia" w:ascii="仿宋" w:hAnsi="仿宋" w:eastAsia="仿宋" w:cs="仿宋"/>
                <w:b/>
                <w:color w:val="auto"/>
                <w:sz w:val="24"/>
              </w:rPr>
            </w:pPr>
          </w:p>
        </w:tc>
        <w:tc>
          <w:tcPr>
            <w:tcW w:w="850" w:type="dxa"/>
            <w:vAlign w:val="center"/>
          </w:tcPr>
          <w:p w14:paraId="1B9018FB">
            <w:pPr>
              <w:spacing w:line="360" w:lineRule="auto"/>
              <w:jc w:val="center"/>
              <w:rPr>
                <w:rFonts w:hint="eastAsia" w:ascii="仿宋" w:hAnsi="仿宋" w:eastAsia="仿宋" w:cs="仿宋"/>
                <w:b/>
                <w:color w:val="auto"/>
                <w:sz w:val="24"/>
              </w:rPr>
            </w:pPr>
          </w:p>
        </w:tc>
      </w:tr>
      <w:tr w14:paraId="27FE6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272C74A9">
            <w:pPr>
              <w:spacing w:line="360" w:lineRule="auto"/>
              <w:jc w:val="center"/>
              <w:rPr>
                <w:rFonts w:hint="eastAsia" w:ascii="仿宋" w:hAnsi="仿宋" w:eastAsia="仿宋" w:cs="仿宋"/>
                <w:b/>
                <w:color w:val="auto"/>
                <w:sz w:val="24"/>
              </w:rPr>
            </w:pPr>
          </w:p>
        </w:tc>
        <w:tc>
          <w:tcPr>
            <w:tcW w:w="1831" w:type="dxa"/>
            <w:vAlign w:val="center"/>
          </w:tcPr>
          <w:p w14:paraId="5954A7C0">
            <w:pPr>
              <w:spacing w:line="360" w:lineRule="auto"/>
              <w:jc w:val="center"/>
              <w:rPr>
                <w:rFonts w:hint="eastAsia" w:ascii="仿宋" w:hAnsi="仿宋" w:eastAsia="仿宋" w:cs="仿宋"/>
                <w:b/>
                <w:color w:val="auto"/>
                <w:sz w:val="24"/>
              </w:rPr>
            </w:pPr>
          </w:p>
        </w:tc>
        <w:tc>
          <w:tcPr>
            <w:tcW w:w="2422" w:type="dxa"/>
            <w:vAlign w:val="center"/>
          </w:tcPr>
          <w:p w14:paraId="7F5EB9C4">
            <w:pPr>
              <w:spacing w:line="360" w:lineRule="auto"/>
              <w:jc w:val="center"/>
              <w:rPr>
                <w:rFonts w:hint="eastAsia" w:ascii="仿宋" w:hAnsi="仿宋" w:eastAsia="仿宋" w:cs="仿宋"/>
                <w:b/>
                <w:color w:val="auto"/>
                <w:sz w:val="24"/>
              </w:rPr>
            </w:pPr>
          </w:p>
        </w:tc>
        <w:tc>
          <w:tcPr>
            <w:tcW w:w="1547" w:type="dxa"/>
            <w:vAlign w:val="center"/>
          </w:tcPr>
          <w:p w14:paraId="51BB7EC3">
            <w:pPr>
              <w:spacing w:line="360" w:lineRule="auto"/>
              <w:jc w:val="center"/>
              <w:rPr>
                <w:rFonts w:hint="eastAsia" w:ascii="仿宋" w:hAnsi="仿宋" w:eastAsia="仿宋" w:cs="仿宋"/>
                <w:b/>
                <w:color w:val="auto"/>
                <w:sz w:val="24"/>
              </w:rPr>
            </w:pPr>
          </w:p>
        </w:tc>
        <w:tc>
          <w:tcPr>
            <w:tcW w:w="1313" w:type="dxa"/>
            <w:vAlign w:val="center"/>
          </w:tcPr>
          <w:p w14:paraId="2370CC90">
            <w:pPr>
              <w:spacing w:line="360" w:lineRule="auto"/>
              <w:jc w:val="center"/>
              <w:rPr>
                <w:rFonts w:hint="eastAsia" w:ascii="仿宋" w:hAnsi="仿宋" w:eastAsia="仿宋" w:cs="仿宋"/>
                <w:b/>
                <w:color w:val="auto"/>
                <w:sz w:val="24"/>
              </w:rPr>
            </w:pPr>
          </w:p>
        </w:tc>
        <w:tc>
          <w:tcPr>
            <w:tcW w:w="1818" w:type="dxa"/>
            <w:vAlign w:val="center"/>
          </w:tcPr>
          <w:p w14:paraId="60B73A8D">
            <w:pPr>
              <w:spacing w:line="360" w:lineRule="auto"/>
              <w:jc w:val="center"/>
              <w:rPr>
                <w:rFonts w:hint="eastAsia" w:ascii="仿宋" w:hAnsi="仿宋" w:eastAsia="仿宋" w:cs="仿宋"/>
                <w:b/>
                <w:color w:val="auto"/>
                <w:sz w:val="24"/>
              </w:rPr>
            </w:pPr>
          </w:p>
        </w:tc>
        <w:tc>
          <w:tcPr>
            <w:tcW w:w="850" w:type="dxa"/>
            <w:vAlign w:val="center"/>
          </w:tcPr>
          <w:p w14:paraId="5B54489D">
            <w:pPr>
              <w:spacing w:line="360" w:lineRule="auto"/>
              <w:jc w:val="center"/>
              <w:rPr>
                <w:rFonts w:hint="eastAsia" w:ascii="仿宋" w:hAnsi="仿宋" w:eastAsia="仿宋" w:cs="仿宋"/>
                <w:b/>
                <w:color w:val="auto"/>
                <w:sz w:val="24"/>
              </w:rPr>
            </w:pPr>
          </w:p>
        </w:tc>
      </w:tr>
      <w:tr w14:paraId="31274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6CEC975">
            <w:pPr>
              <w:spacing w:line="360" w:lineRule="auto"/>
              <w:jc w:val="center"/>
              <w:rPr>
                <w:rFonts w:hint="eastAsia" w:ascii="仿宋" w:hAnsi="仿宋" w:eastAsia="仿宋" w:cs="仿宋"/>
                <w:b/>
                <w:color w:val="auto"/>
                <w:sz w:val="24"/>
              </w:rPr>
            </w:pPr>
          </w:p>
        </w:tc>
        <w:tc>
          <w:tcPr>
            <w:tcW w:w="1831" w:type="dxa"/>
            <w:vAlign w:val="center"/>
          </w:tcPr>
          <w:p w14:paraId="7866EA3B">
            <w:pPr>
              <w:spacing w:line="360" w:lineRule="auto"/>
              <w:jc w:val="center"/>
              <w:rPr>
                <w:rFonts w:hint="eastAsia" w:ascii="仿宋" w:hAnsi="仿宋" w:eastAsia="仿宋" w:cs="仿宋"/>
                <w:b/>
                <w:color w:val="auto"/>
                <w:sz w:val="24"/>
              </w:rPr>
            </w:pPr>
          </w:p>
        </w:tc>
        <w:tc>
          <w:tcPr>
            <w:tcW w:w="2422" w:type="dxa"/>
            <w:vAlign w:val="center"/>
          </w:tcPr>
          <w:p w14:paraId="2A7974C0">
            <w:pPr>
              <w:spacing w:line="360" w:lineRule="auto"/>
              <w:jc w:val="center"/>
              <w:rPr>
                <w:rFonts w:hint="eastAsia" w:ascii="仿宋" w:hAnsi="仿宋" w:eastAsia="仿宋" w:cs="仿宋"/>
                <w:b/>
                <w:color w:val="auto"/>
                <w:sz w:val="24"/>
              </w:rPr>
            </w:pPr>
          </w:p>
        </w:tc>
        <w:tc>
          <w:tcPr>
            <w:tcW w:w="1547" w:type="dxa"/>
            <w:vAlign w:val="center"/>
          </w:tcPr>
          <w:p w14:paraId="751C63E1">
            <w:pPr>
              <w:spacing w:line="360" w:lineRule="auto"/>
              <w:jc w:val="center"/>
              <w:rPr>
                <w:rFonts w:hint="eastAsia" w:ascii="仿宋" w:hAnsi="仿宋" w:eastAsia="仿宋" w:cs="仿宋"/>
                <w:b/>
                <w:color w:val="auto"/>
                <w:sz w:val="24"/>
              </w:rPr>
            </w:pPr>
          </w:p>
        </w:tc>
        <w:tc>
          <w:tcPr>
            <w:tcW w:w="1313" w:type="dxa"/>
            <w:vAlign w:val="center"/>
          </w:tcPr>
          <w:p w14:paraId="6729B2E2">
            <w:pPr>
              <w:spacing w:line="360" w:lineRule="auto"/>
              <w:jc w:val="center"/>
              <w:rPr>
                <w:rFonts w:hint="eastAsia" w:ascii="仿宋" w:hAnsi="仿宋" w:eastAsia="仿宋" w:cs="仿宋"/>
                <w:b/>
                <w:color w:val="auto"/>
                <w:sz w:val="24"/>
              </w:rPr>
            </w:pPr>
          </w:p>
        </w:tc>
        <w:tc>
          <w:tcPr>
            <w:tcW w:w="1818" w:type="dxa"/>
            <w:vAlign w:val="center"/>
          </w:tcPr>
          <w:p w14:paraId="4663DB86">
            <w:pPr>
              <w:spacing w:line="360" w:lineRule="auto"/>
              <w:jc w:val="center"/>
              <w:rPr>
                <w:rFonts w:hint="eastAsia" w:ascii="仿宋" w:hAnsi="仿宋" w:eastAsia="仿宋" w:cs="仿宋"/>
                <w:b/>
                <w:color w:val="auto"/>
                <w:sz w:val="24"/>
              </w:rPr>
            </w:pPr>
          </w:p>
        </w:tc>
        <w:tc>
          <w:tcPr>
            <w:tcW w:w="850" w:type="dxa"/>
            <w:vAlign w:val="center"/>
          </w:tcPr>
          <w:p w14:paraId="1B875783">
            <w:pPr>
              <w:spacing w:line="360" w:lineRule="auto"/>
              <w:jc w:val="center"/>
              <w:rPr>
                <w:rFonts w:hint="eastAsia" w:ascii="仿宋" w:hAnsi="仿宋" w:eastAsia="仿宋" w:cs="仿宋"/>
                <w:b/>
                <w:color w:val="auto"/>
                <w:sz w:val="24"/>
              </w:rPr>
            </w:pPr>
          </w:p>
        </w:tc>
      </w:tr>
      <w:tr w14:paraId="7F8A0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356AAE40">
            <w:pPr>
              <w:spacing w:line="360" w:lineRule="auto"/>
              <w:jc w:val="center"/>
              <w:rPr>
                <w:rFonts w:hint="eastAsia" w:ascii="仿宋" w:hAnsi="仿宋" w:eastAsia="仿宋" w:cs="仿宋"/>
                <w:b/>
                <w:color w:val="auto"/>
                <w:sz w:val="24"/>
              </w:rPr>
            </w:pPr>
          </w:p>
        </w:tc>
        <w:tc>
          <w:tcPr>
            <w:tcW w:w="1831" w:type="dxa"/>
            <w:vAlign w:val="center"/>
          </w:tcPr>
          <w:p w14:paraId="02034722">
            <w:pPr>
              <w:spacing w:line="360" w:lineRule="auto"/>
              <w:jc w:val="center"/>
              <w:rPr>
                <w:rFonts w:hint="eastAsia" w:ascii="仿宋" w:hAnsi="仿宋" w:eastAsia="仿宋" w:cs="仿宋"/>
                <w:b/>
                <w:color w:val="auto"/>
                <w:sz w:val="24"/>
              </w:rPr>
            </w:pPr>
          </w:p>
        </w:tc>
        <w:tc>
          <w:tcPr>
            <w:tcW w:w="2422" w:type="dxa"/>
            <w:vAlign w:val="center"/>
          </w:tcPr>
          <w:p w14:paraId="519B58B4">
            <w:pPr>
              <w:spacing w:line="360" w:lineRule="auto"/>
              <w:jc w:val="center"/>
              <w:rPr>
                <w:rFonts w:hint="eastAsia" w:ascii="仿宋" w:hAnsi="仿宋" w:eastAsia="仿宋" w:cs="仿宋"/>
                <w:b/>
                <w:color w:val="auto"/>
                <w:sz w:val="24"/>
              </w:rPr>
            </w:pPr>
          </w:p>
        </w:tc>
        <w:tc>
          <w:tcPr>
            <w:tcW w:w="1547" w:type="dxa"/>
            <w:vAlign w:val="center"/>
          </w:tcPr>
          <w:p w14:paraId="5918227E">
            <w:pPr>
              <w:spacing w:line="360" w:lineRule="auto"/>
              <w:jc w:val="center"/>
              <w:rPr>
                <w:rFonts w:hint="eastAsia" w:ascii="仿宋" w:hAnsi="仿宋" w:eastAsia="仿宋" w:cs="仿宋"/>
                <w:b/>
                <w:color w:val="auto"/>
                <w:sz w:val="22"/>
              </w:rPr>
            </w:pPr>
          </w:p>
        </w:tc>
        <w:tc>
          <w:tcPr>
            <w:tcW w:w="1313" w:type="dxa"/>
            <w:vAlign w:val="center"/>
          </w:tcPr>
          <w:p w14:paraId="4BCABC08">
            <w:pPr>
              <w:spacing w:line="360" w:lineRule="auto"/>
              <w:jc w:val="center"/>
              <w:rPr>
                <w:rFonts w:hint="eastAsia" w:ascii="仿宋" w:hAnsi="仿宋" w:eastAsia="仿宋" w:cs="仿宋"/>
                <w:b/>
                <w:color w:val="auto"/>
                <w:sz w:val="24"/>
              </w:rPr>
            </w:pPr>
          </w:p>
        </w:tc>
        <w:tc>
          <w:tcPr>
            <w:tcW w:w="1818" w:type="dxa"/>
            <w:vAlign w:val="center"/>
          </w:tcPr>
          <w:p w14:paraId="5694C3DC">
            <w:pPr>
              <w:spacing w:line="360" w:lineRule="auto"/>
              <w:jc w:val="center"/>
              <w:rPr>
                <w:rFonts w:hint="eastAsia" w:ascii="仿宋" w:hAnsi="仿宋" w:eastAsia="仿宋" w:cs="仿宋"/>
                <w:b/>
                <w:color w:val="auto"/>
                <w:sz w:val="24"/>
              </w:rPr>
            </w:pPr>
          </w:p>
        </w:tc>
        <w:tc>
          <w:tcPr>
            <w:tcW w:w="850" w:type="dxa"/>
            <w:vAlign w:val="center"/>
          </w:tcPr>
          <w:p w14:paraId="4878E9C6">
            <w:pPr>
              <w:spacing w:line="360" w:lineRule="auto"/>
              <w:jc w:val="center"/>
              <w:rPr>
                <w:rFonts w:hint="eastAsia" w:ascii="仿宋" w:hAnsi="仿宋" w:eastAsia="仿宋" w:cs="仿宋"/>
                <w:b/>
                <w:color w:val="auto"/>
                <w:sz w:val="24"/>
              </w:rPr>
            </w:pPr>
          </w:p>
        </w:tc>
      </w:tr>
      <w:tr w14:paraId="539A6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5D4A5351">
            <w:pPr>
              <w:spacing w:line="360" w:lineRule="auto"/>
              <w:jc w:val="center"/>
              <w:rPr>
                <w:rFonts w:hint="eastAsia" w:ascii="仿宋" w:hAnsi="仿宋" w:eastAsia="仿宋" w:cs="仿宋"/>
                <w:b/>
                <w:color w:val="auto"/>
                <w:sz w:val="24"/>
              </w:rPr>
            </w:pPr>
            <w:r>
              <w:rPr>
                <w:rFonts w:hint="eastAsia" w:ascii="仿宋" w:hAnsi="仿宋" w:eastAsia="仿宋" w:cs="仿宋"/>
                <w:color w:val="auto"/>
                <w:sz w:val="24"/>
              </w:rPr>
              <w:t>……</w:t>
            </w:r>
          </w:p>
        </w:tc>
        <w:tc>
          <w:tcPr>
            <w:tcW w:w="1831" w:type="dxa"/>
            <w:vAlign w:val="center"/>
          </w:tcPr>
          <w:p w14:paraId="52958DDC">
            <w:pPr>
              <w:spacing w:line="360" w:lineRule="auto"/>
              <w:jc w:val="center"/>
              <w:rPr>
                <w:rFonts w:hint="eastAsia" w:ascii="仿宋" w:hAnsi="仿宋" w:eastAsia="仿宋" w:cs="仿宋"/>
                <w:b/>
                <w:color w:val="auto"/>
                <w:sz w:val="24"/>
              </w:rPr>
            </w:pPr>
          </w:p>
        </w:tc>
        <w:tc>
          <w:tcPr>
            <w:tcW w:w="2422" w:type="dxa"/>
            <w:vAlign w:val="center"/>
          </w:tcPr>
          <w:p w14:paraId="28FAC3FD">
            <w:pPr>
              <w:spacing w:line="360" w:lineRule="auto"/>
              <w:jc w:val="center"/>
              <w:rPr>
                <w:rFonts w:hint="eastAsia" w:ascii="仿宋" w:hAnsi="仿宋" w:eastAsia="仿宋" w:cs="仿宋"/>
                <w:b/>
                <w:color w:val="auto"/>
                <w:sz w:val="24"/>
              </w:rPr>
            </w:pPr>
          </w:p>
        </w:tc>
        <w:tc>
          <w:tcPr>
            <w:tcW w:w="1547" w:type="dxa"/>
            <w:vAlign w:val="center"/>
          </w:tcPr>
          <w:p w14:paraId="4E0538E7">
            <w:pPr>
              <w:spacing w:line="360" w:lineRule="auto"/>
              <w:jc w:val="center"/>
              <w:rPr>
                <w:rFonts w:hint="eastAsia" w:ascii="仿宋" w:hAnsi="仿宋" w:eastAsia="仿宋" w:cs="仿宋"/>
                <w:b/>
                <w:color w:val="auto"/>
                <w:sz w:val="24"/>
              </w:rPr>
            </w:pPr>
          </w:p>
        </w:tc>
        <w:tc>
          <w:tcPr>
            <w:tcW w:w="1313" w:type="dxa"/>
            <w:vAlign w:val="center"/>
          </w:tcPr>
          <w:p w14:paraId="775995CF">
            <w:pPr>
              <w:spacing w:line="360" w:lineRule="auto"/>
              <w:jc w:val="center"/>
              <w:rPr>
                <w:rFonts w:hint="eastAsia" w:ascii="仿宋" w:hAnsi="仿宋" w:eastAsia="仿宋" w:cs="仿宋"/>
                <w:b/>
                <w:color w:val="auto"/>
                <w:sz w:val="24"/>
              </w:rPr>
            </w:pPr>
          </w:p>
        </w:tc>
        <w:tc>
          <w:tcPr>
            <w:tcW w:w="1818" w:type="dxa"/>
            <w:vAlign w:val="center"/>
          </w:tcPr>
          <w:p w14:paraId="5A195D9A">
            <w:pPr>
              <w:spacing w:line="360" w:lineRule="auto"/>
              <w:jc w:val="center"/>
              <w:rPr>
                <w:rFonts w:hint="eastAsia" w:ascii="仿宋" w:hAnsi="仿宋" w:eastAsia="仿宋" w:cs="仿宋"/>
                <w:b/>
                <w:color w:val="auto"/>
                <w:sz w:val="24"/>
              </w:rPr>
            </w:pPr>
          </w:p>
        </w:tc>
        <w:tc>
          <w:tcPr>
            <w:tcW w:w="850" w:type="dxa"/>
            <w:vAlign w:val="center"/>
          </w:tcPr>
          <w:p w14:paraId="436A87EB">
            <w:pPr>
              <w:spacing w:line="360" w:lineRule="auto"/>
              <w:jc w:val="center"/>
              <w:rPr>
                <w:rFonts w:hint="eastAsia" w:ascii="仿宋" w:hAnsi="仿宋" w:eastAsia="仿宋" w:cs="仿宋"/>
                <w:b/>
                <w:color w:val="auto"/>
                <w:sz w:val="24"/>
              </w:rPr>
            </w:pPr>
          </w:p>
        </w:tc>
      </w:tr>
    </w:tbl>
    <w:p w14:paraId="48E35DEB">
      <w:pPr>
        <w:spacing w:line="360" w:lineRule="auto"/>
        <w:rPr>
          <w:rFonts w:hint="eastAsia" w:ascii="仿宋" w:hAnsi="仿宋" w:eastAsia="仿宋" w:cs="仿宋"/>
          <w:color w:val="auto"/>
          <w:kern w:val="0"/>
          <w:szCs w:val="21"/>
        </w:rPr>
      </w:pPr>
      <w:r>
        <w:rPr>
          <w:rFonts w:hint="eastAsia" w:ascii="仿宋" w:hAnsi="仿宋" w:eastAsia="仿宋" w:cs="仿宋"/>
          <w:color w:val="auto"/>
          <w:sz w:val="24"/>
        </w:rPr>
        <w:t>注：附相关业绩合同复印件。</w:t>
      </w:r>
    </w:p>
    <w:p w14:paraId="55D8868B">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p>
    <w:p w14:paraId="4605B73F">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w:t>
      </w:r>
    </w:p>
    <w:p w14:paraId="77DB0099">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05EC8910">
      <w:pPr>
        <w:jc w:val="center"/>
        <w:rPr>
          <w:rFonts w:hint="eastAsia" w:ascii="仿宋" w:hAnsi="仿宋" w:eastAsia="仿宋" w:cs="仿宋"/>
          <w:b/>
          <w:color w:val="auto"/>
          <w:kern w:val="0"/>
          <w:sz w:val="32"/>
          <w:szCs w:val="32"/>
        </w:rPr>
      </w:pPr>
    </w:p>
    <w:p w14:paraId="5104D44D">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拟投入的项目团队人员情况表</w:t>
      </w:r>
    </w:p>
    <w:tbl>
      <w:tblPr>
        <w:tblStyle w:val="1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9"/>
        <w:gridCol w:w="2223"/>
        <w:gridCol w:w="1165"/>
        <w:gridCol w:w="1466"/>
        <w:gridCol w:w="1212"/>
        <w:gridCol w:w="1216"/>
        <w:gridCol w:w="1225"/>
      </w:tblGrid>
      <w:tr w14:paraId="6D421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419" w:type="pct"/>
            <w:tcBorders>
              <w:top w:val="single" w:color="auto" w:sz="4" w:space="0"/>
              <w:left w:val="single" w:color="auto" w:sz="4" w:space="0"/>
              <w:bottom w:val="single" w:color="auto" w:sz="4" w:space="0"/>
              <w:right w:val="single" w:color="auto" w:sz="4" w:space="0"/>
            </w:tcBorders>
            <w:vAlign w:val="center"/>
          </w:tcPr>
          <w:p w14:paraId="6C071C66">
            <w:pPr>
              <w:tabs>
                <w:tab w:val="left" w:pos="2340"/>
                <w:tab w:val="left" w:pos="2520"/>
                <w:tab w:val="left" w:pos="2700"/>
                <w:tab w:val="left" w:pos="3060"/>
              </w:tabs>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szCs w:val="24"/>
              </w:rPr>
              <w:t>序号</w:t>
            </w:r>
          </w:p>
        </w:tc>
        <w:tc>
          <w:tcPr>
            <w:tcW w:w="1196" w:type="pct"/>
            <w:tcBorders>
              <w:top w:val="single" w:color="auto" w:sz="4" w:space="0"/>
              <w:left w:val="single" w:color="auto" w:sz="4" w:space="0"/>
              <w:bottom w:val="single" w:color="auto" w:sz="4" w:space="0"/>
              <w:right w:val="single" w:color="auto" w:sz="4" w:space="0"/>
            </w:tcBorders>
            <w:vAlign w:val="center"/>
          </w:tcPr>
          <w:p w14:paraId="092788B3">
            <w:pPr>
              <w:tabs>
                <w:tab w:val="left" w:pos="2340"/>
                <w:tab w:val="left" w:pos="2520"/>
                <w:tab w:val="left" w:pos="2700"/>
                <w:tab w:val="left" w:pos="3060"/>
              </w:tabs>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szCs w:val="24"/>
              </w:rPr>
              <w:t>本项目拟任岗位</w:t>
            </w:r>
          </w:p>
        </w:tc>
        <w:tc>
          <w:tcPr>
            <w:tcW w:w="627" w:type="pct"/>
            <w:tcBorders>
              <w:top w:val="single" w:color="auto" w:sz="4" w:space="0"/>
              <w:left w:val="single" w:color="auto" w:sz="4" w:space="0"/>
              <w:bottom w:val="single" w:color="auto" w:sz="4" w:space="0"/>
              <w:right w:val="single" w:color="auto" w:sz="4" w:space="0"/>
            </w:tcBorders>
            <w:vAlign w:val="center"/>
          </w:tcPr>
          <w:p w14:paraId="0A292BA8">
            <w:pPr>
              <w:tabs>
                <w:tab w:val="left" w:pos="2340"/>
                <w:tab w:val="left" w:pos="2520"/>
                <w:tab w:val="left" w:pos="2700"/>
                <w:tab w:val="left" w:pos="3060"/>
              </w:tabs>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szCs w:val="24"/>
              </w:rPr>
              <w:t>姓名</w:t>
            </w:r>
          </w:p>
        </w:tc>
        <w:tc>
          <w:tcPr>
            <w:tcW w:w="789" w:type="pct"/>
            <w:tcBorders>
              <w:top w:val="single" w:color="auto" w:sz="4" w:space="0"/>
              <w:left w:val="single" w:color="auto" w:sz="4" w:space="0"/>
              <w:bottom w:val="single" w:color="auto" w:sz="4" w:space="0"/>
              <w:right w:val="single" w:color="auto" w:sz="4" w:space="0"/>
            </w:tcBorders>
            <w:vAlign w:val="center"/>
          </w:tcPr>
          <w:p w14:paraId="2E3975DE">
            <w:pPr>
              <w:tabs>
                <w:tab w:val="left" w:pos="2340"/>
                <w:tab w:val="left" w:pos="2520"/>
                <w:tab w:val="left" w:pos="2700"/>
                <w:tab w:val="left" w:pos="3060"/>
              </w:tabs>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szCs w:val="24"/>
              </w:rPr>
              <w:t>学</w:t>
            </w:r>
            <w:r>
              <w:rPr>
                <w:rFonts w:hint="eastAsia" w:ascii="仿宋" w:hAnsi="仿宋" w:eastAsia="仿宋" w:cs="仿宋"/>
                <w:b/>
                <w:color w:val="auto"/>
                <w:sz w:val="24"/>
              </w:rPr>
              <w:t>历</w:t>
            </w:r>
          </w:p>
        </w:tc>
        <w:tc>
          <w:tcPr>
            <w:tcW w:w="652" w:type="pct"/>
            <w:tcBorders>
              <w:top w:val="single" w:color="auto" w:sz="4" w:space="0"/>
              <w:left w:val="single" w:color="auto" w:sz="4" w:space="0"/>
              <w:bottom w:val="single" w:color="auto" w:sz="4" w:space="0"/>
              <w:right w:val="single" w:color="auto" w:sz="4" w:space="0"/>
            </w:tcBorders>
            <w:vAlign w:val="center"/>
          </w:tcPr>
          <w:p w14:paraId="2D0E2B13">
            <w:pPr>
              <w:tabs>
                <w:tab w:val="left" w:pos="2340"/>
                <w:tab w:val="left" w:pos="2520"/>
                <w:tab w:val="left" w:pos="2700"/>
                <w:tab w:val="left" w:pos="3060"/>
              </w:tabs>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szCs w:val="24"/>
              </w:rPr>
              <w:t>职称证书</w:t>
            </w:r>
          </w:p>
        </w:tc>
        <w:tc>
          <w:tcPr>
            <w:tcW w:w="654" w:type="pct"/>
            <w:tcBorders>
              <w:top w:val="single" w:color="auto" w:sz="4" w:space="0"/>
              <w:left w:val="single" w:color="auto" w:sz="4" w:space="0"/>
              <w:bottom w:val="single" w:color="auto" w:sz="4" w:space="0"/>
              <w:right w:val="single" w:color="auto" w:sz="4" w:space="0"/>
            </w:tcBorders>
            <w:vAlign w:val="center"/>
          </w:tcPr>
          <w:p w14:paraId="146E860D">
            <w:pPr>
              <w:spacing w:line="320" w:lineRule="exact"/>
              <w:jc w:val="center"/>
              <w:rPr>
                <w:rFonts w:hint="eastAsia" w:ascii="仿宋" w:hAnsi="仿宋" w:eastAsia="仿宋" w:cs="仿宋"/>
                <w:b/>
                <w:color w:val="auto"/>
                <w:sz w:val="24"/>
              </w:rPr>
            </w:pPr>
            <w:r>
              <w:rPr>
                <w:rFonts w:hint="eastAsia" w:ascii="仿宋" w:hAnsi="仿宋" w:eastAsia="仿宋" w:cs="仿宋"/>
                <w:b/>
                <w:color w:val="auto"/>
                <w:sz w:val="24"/>
                <w:szCs w:val="24"/>
              </w:rPr>
              <w:t>从事该</w:t>
            </w:r>
          </w:p>
          <w:p w14:paraId="47A74E0C">
            <w:pPr>
              <w:tabs>
                <w:tab w:val="left" w:pos="2340"/>
                <w:tab w:val="left" w:pos="2520"/>
                <w:tab w:val="left" w:pos="2700"/>
                <w:tab w:val="left" w:pos="3060"/>
              </w:tabs>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szCs w:val="24"/>
              </w:rPr>
              <w:t>工作年限</w:t>
            </w:r>
          </w:p>
        </w:tc>
        <w:tc>
          <w:tcPr>
            <w:tcW w:w="659" w:type="pct"/>
            <w:tcBorders>
              <w:top w:val="single" w:color="auto" w:sz="4" w:space="0"/>
              <w:left w:val="single" w:color="auto" w:sz="4" w:space="0"/>
              <w:bottom w:val="single" w:color="auto" w:sz="4" w:space="0"/>
              <w:right w:val="single" w:color="auto" w:sz="4" w:space="0"/>
            </w:tcBorders>
            <w:vAlign w:val="center"/>
          </w:tcPr>
          <w:p w14:paraId="1A83E5FB">
            <w:pPr>
              <w:tabs>
                <w:tab w:val="left" w:pos="2340"/>
                <w:tab w:val="left" w:pos="2520"/>
                <w:tab w:val="left" w:pos="2700"/>
                <w:tab w:val="left" w:pos="3060"/>
              </w:tabs>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szCs w:val="24"/>
              </w:rPr>
              <w:t>联系方式</w:t>
            </w:r>
          </w:p>
        </w:tc>
      </w:tr>
      <w:tr w14:paraId="2704D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419" w:type="pct"/>
            <w:tcBorders>
              <w:top w:val="single" w:color="auto" w:sz="4" w:space="0"/>
              <w:left w:val="single" w:color="auto" w:sz="4" w:space="0"/>
              <w:bottom w:val="single" w:color="auto" w:sz="4" w:space="0"/>
              <w:right w:val="single" w:color="auto" w:sz="4" w:space="0"/>
            </w:tcBorders>
            <w:vAlign w:val="center"/>
          </w:tcPr>
          <w:p w14:paraId="4DD07A85">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1196" w:type="pct"/>
            <w:tcBorders>
              <w:top w:val="single" w:color="auto" w:sz="4" w:space="0"/>
              <w:left w:val="single" w:color="auto" w:sz="4" w:space="0"/>
              <w:bottom w:val="single" w:color="auto" w:sz="4" w:space="0"/>
              <w:right w:val="single" w:color="auto" w:sz="4" w:space="0"/>
            </w:tcBorders>
            <w:vAlign w:val="center"/>
          </w:tcPr>
          <w:p w14:paraId="1DA048A2">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27" w:type="pct"/>
            <w:tcBorders>
              <w:top w:val="single" w:color="auto" w:sz="4" w:space="0"/>
              <w:left w:val="single" w:color="auto" w:sz="4" w:space="0"/>
              <w:bottom w:val="single" w:color="auto" w:sz="4" w:space="0"/>
              <w:right w:val="single" w:color="auto" w:sz="4" w:space="0"/>
            </w:tcBorders>
            <w:vAlign w:val="center"/>
          </w:tcPr>
          <w:p w14:paraId="19F297BD">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789" w:type="pct"/>
            <w:tcBorders>
              <w:top w:val="single" w:color="auto" w:sz="4" w:space="0"/>
              <w:left w:val="single" w:color="auto" w:sz="4" w:space="0"/>
              <w:bottom w:val="single" w:color="auto" w:sz="4" w:space="0"/>
              <w:right w:val="single" w:color="auto" w:sz="4" w:space="0"/>
            </w:tcBorders>
            <w:vAlign w:val="center"/>
          </w:tcPr>
          <w:p w14:paraId="58A8B445">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2" w:type="pct"/>
            <w:tcBorders>
              <w:top w:val="single" w:color="auto" w:sz="4" w:space="0"/>
              <w:left w:val="single" w:color="auto" w:sz="4" w:space="0"/>
              <w:bottom w:val="single" w:color="auto" w:sz="4" w:space="0"/>
              <w:right w:val="single" w:color="auto" w:sz="4" w:space="0"/>
            </w:tcBorders>
            <w:vAlign w:val="center"/>
          </w:tcPr>
          <w:p w14:paraId="0AC91F06">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4" w:type="pct"/>
            <w:tcBorders>
              <w:top w:val="single" w:color="auto" w:sz="4" w:space="0"/>
              <w:left w:val="single" w:color="auto" w:sz="4" w:space="0"/>
              <w:bottom w:val="single" w:color="auto" w:sz="4" w:space="0"/>
              <w:right w:val="single" w:color="auto" w:sz="4" w:space="0"/>
            </w:tcBorders>
            <w:vAlign w:val="center"/>
          </w:tcPr>
          <w:p w14:paraId="2E50C456">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9" w:type="pct"/>
            <w:tcBorders>
              <w:top w:val="single" w:color="auto" w:sz="4" w:space="0"/>
              <w:left w:val="single" w:color="auto" w:sz="4" w:space="0"/>
              <w:bottom w:val="single" w:color="auto" w:sz="4" w:space="0"/>
              <w:right w:val="single" w:color="auto" w:sz="4" w:space="0"/>
            </w:tcBorders>
            <w:vAlign w:val="center"/>
          </w:tcPr>
          <w:p w14:paraId="53133F8D">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r>
      <w:tr w14:paraId="0B65B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jc w:val="center"/>
        </w:trPr>
        <w:tc>
          <w:tcPr>
            <w:tcW w:w="419" w:type="pct"/>
            <w:tcBorders>
              <w:top w:val="single" w:color="auto" w:sz="4" w:space="0"/>
              <w:left w:val="single" w:color="auto" w:sz="4" w:space="0"/>
              <w:bottom w:val="single" w:color="auto" w:sz="4" w:space="0"/>
              <w:right w:val="single" w:color="auto" w:sz="4" w:space="0"/>
            </w:tcBorders>
            <w:vAlign w:val="center"/>
          </w:tcPr>
          <w:p w14:paraId="20EDCB7C">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1196" w:type="pct"/>
            <w:tcBorders>
              <w:top w:val="single" w:color="auto" w:sz="4" w:space="0"/>
              <w:left w:val="single" w:color="auto" w:sz="4" w:space="0"/>
              <w:bottom w:val="single" w:color="auto" w:sz="4" w:space="0"/>
              <w:right w:val="single" w:color="auto" w:sz="4" w:space="0"/>
            </w:tcBorders>
            <w:vAlign w:val="center"/>
          </w:tcPr>
          <w:p w14:paraId="56C85ABF">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27" w:type="pct"/>
            <w:tcBorders>
              <w:top w:val="single" w:color="auto" w:sz="4" w:space="0"/>
              <w:left w:val="single" w:color="auto" w:sz="4" w:space="0"/>
              <w:bottom w:val="single" w:color="auto" w:sz="4" w:space="0"/>
              <w:right w:val="single" w:color="auto" w:sz="4" w:space="0"/>
            </w:tcBorders>
            <w:vAlign w:val="center"/>
          </w:tcPr>
          <w:p w14:paraId="1688F2D3">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789" w:type="pct"/>
            <w:tcBorders>
              <w:top w:val="single" w:color="auto" w:sz="4" w:space="0"/>
              <w:left w:val="single" w:color="auto" w:sz="4" w:space="0"/>
              <w:bottom w:val="single" w:color="auto" w:sz="4" w:space="0"/>
              <w:right w:val="single" w:color="auto" w:sz="4" w:space="0"/>
            </w:tcBorders>
            <w:vAlign w:val="center"/>
          </w:tcPr>
          <w:p w14:paraId="6A82B327">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2" w:type="pct"/>
            <w:tcBorders>
              <w:top w:val="single" w:color="auto" w:sz="4" w:space="0"/>
              <w:left w:val="single" w:color="auto" w:sz="4" w:space="0"/>
              <w:bottom w:val="single" w:color="auto" w:sz="4" w:space="0"/>
              <w:right w:val="single" w:color="auto" w:sz="4" w:space="0"/>
            </w:tcBorders>
            <w:vAlign w:val="center"/>
          </w:tcPr>
          <w:p w14:paraId="38D03B91">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4" w:type="pct"/>
            <w:tcBorders>
              <w:top w:val="single" w:color="auto" w:sz="4" w:space="0"/>
              <w:left w:val="single" w:color="auto" w:sz="4" w:space="0"/>
              <w:bottom w:val="single" w:color="auto" w:sz="4" w:space="0"/>
              <w:right w:val="single" w:color="auto" w:sz="4" w:space="0"/>
            </w:tcBorders>
            <w:vAlign w:val="center"/>
          </w:tcPr>
          <w:p w14:paraId="3AE7A369">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9" w:type="pct"/>
            <w:tcBorders>
              <w:top w:val="single" w:color="auto" w:sz="4" w:space="0"/>
              <w:left w:val="single" w:color="auto" w:sz="4" w:space="0"/>
              <w:bottom w:val="single" w:color="auto" w:sz="4" w:space="0"/>
              <w:right w:val="single" w:color="auto" w:sz="4" w:space="0"/>
            </w:tcBorders>
            <w:vAlign w:val="center"/>
          </w:tcPr>
          <w:p w14:paraId="776A00E8">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r>
      <w:tr w14:paraId="4FAC1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419" w:type="pct"/>
            <w:tcBorders>
              <w:top w:val="single" w:color="auto" w:sz="4" w:space="0"/>
              <w:left w:val="single" w:color="auto" w:sz="4" w:space="0"/>
              <w:bottom w:val="single" w:color="auto" w:sz="4" w:space="0"/>
              <w:right w:val="single" w:color="auto" w:sz="4" w:space="0"/>
            </w:tcBorders>
            <w:vAlign w:val="center"/>
          </w:tcPr>
          <w:p w14:paraId="74C7554B">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1196" w:type="pct"/>
            <w:tcBorders>
              <w:top w:val="single" w:color="auto" w:sz="4" w:space="0"/>
              <w:left w:val="single" w:color="auto" w:sz="4" w:space="0"/>
              <w:bottom w:val="single" w:color="auto" w:sz="4" w:space="0"/>
              <w:right w:val="single" w:color="auto" w:sz="4" w:space="0"/>
            </w:tcBorders>
            <w:vAlign w:val="center"/>
          </w:tcPr>
          <w:p w14:paraId="23C67D47">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27" w:type="pct"/>
            <w:tcBorders>
              <w:top w:val="single" w:color="auto" w:sz="4" w:space="0"/>
              <w:left w:val="single" w:color="auto" w:sz="4" w:space="0"/>
              <w:bottom w:val="single" w:color="auto" w:sz="4" w:space="0"/>
              <w:right w:val="single" w:color="auto" w:sz="4" w:space="0"/>
            </w:tcBorders>
            <w:vAlign w:val="center"/>
          </w:tcPr>
          <w:p w14:paraId="6E96552A">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789" w:type="pct"/>
            <w:tcBorders>
              <w:top w:val="single" w:color="auto" w:sz="4" w:space="0"/>
              <w:left w:val="single" w:color="auto" w:sz="4" w:space="0"/>
              <w:bottom w:val="single" w:color="auto" w:sz="4" w:space="0"/>
              <w:right w:val="single" w:color="auto" w:sz="4" w:space="0"/>
            </w:tcBorders>
            <w:vAlign w:val="center"/>
          </w:tcPr>
          <w:p w14:paraId="152FC365">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2" w:type="pct"/>
            <w:tcBorders>
              <w:top w:val="single" w:color="auto" w:sz="4" w:space="0"/>
              <w:left w:val="single" w:color="auto" w:sz="4" w:space="0"/>
              <w:bottom w:val="single" w:color="auto" w:sz="4" w:space="0"/>
              <w:right w:val="single" w:color="auto" w:sz="4" w:space="0"/>
            </w:tcBorders>
            <w:vAlign w:val="center"/>
          </w:tcPr>
          <w:p w14:paraId="724F5057">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4" w:type="pct"/>
            <w:tcBorders>
              <w:top w:val="single" w:color="auto" w:sz="4" w:space="0"/>
              <w:left w:val="single" w:color="auto" w:sz="4" w:space="0"/>
              <w:bottom w:val="single" w:color="auto" w:sz="4" w:space="0"/>
              <w:right w:val="single" w:color="auto" w:sz="4" w:space="0"/>
            </w:tcBorders>
            <w:vAlign w:val="center"/>
          </w:tcPr>
          <w:p w14:paraId="521E8BE7">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9" w:type="pct"/>
            <w:tcBorders>
              <w:top w:val="single" w:color="auto" w:sz="4" w:space="0"/>
              <w:left w:val="single" w:color="auto" w:sz="4" w:space="0"/>
              <w:bottom w:val="single" w:color="auto" w:sz="4" w:space="0"/>
              <w:right w:val="single" w:color="auto" w:sz="4" w:space="0"/>
            </w:tcBorders>
            <w:vAlign w:val="center"/>
          </w:tcPr>
          <w:p w14:paraId="704A51E5">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r>
      <w:tr w14:paraId="0A2A3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419" w:type="pct"/>
            <w:tcBorders>
              <w:top w:val="single" w:color="auto" w:sz="4" w:space="0"/>
              <w:left w:val="single" w:color="auto" w:sz="4" w:space="0"/>
              <w:bottom w:val="single" w:color="auto" w:sz="4" w:space="0"/>
              <w:right w:val="single" w:color="auto" w:sz="4" w:space="0"/>
            </w:tcBorders>
            <w:vAlign w:val="center"/>
          </w:tcPr>
          <w:p w14:paraId="287265FA">
            <w:pPr>
              <w:tabs>
                <w:tab w:val="left" w:pos="2340"/>
                <w:tab w:val="left" w:pos="2520"/>
                <w:tab w:val="left" w:pos="2700"/>
                <w:tab w:val="left" w:pos="3060"/>
              </w:tabs>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w:t>
            </w:r>
          </w:p>
        </w:tc>
        <w:tc>
          <w:tcPr>
            <w:tcW w:w="1196" w:type="pct"/>
            <w:tcBorders>
              <w:top w:val="single" w:color="auto" w:sz="4" w:space="0"/>
              <w:left w:val="single" w:color="auto" w:sz="4" w:space="0"/>
              <w:bottom w:val="single" w:color="auto" w:sz="4" w:space="0"/>
              <w:right w:val="single" w:color="auto" w:sz="4" w:space="0"/>
            </w:tcBorders>
            <w:vAlign w:val="center"/>
          </w:tcPr>
          <w:p w14:paraId="2FA22BE5">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27" w:type="pct"/>
            <w:tcBorders>
              <w:top w:val="single" w:color="auto" w:sz="4" w:space="0"/>
              <w:left w:val="single" w:color="auto" w:sz="4" w:space="0"/>
              <w:bottom w:val="single" w:color="auto" w:sz="4" w:space="0"/>
              <w:right w:val="single" w:color="auto" w:sz="4" w:space="0"/>
            </w:tcBorders>
            <w:vAlign w:val="center"/>
          </w:tcPr>
          <w:p w14:paraId="6EDFA0FF">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789" w:type="pct"/>
            <w:tcBorders>
              <w:top w:val="single" w:color="auto" w:sz="4" w:space="0"/>
              <w:left w:val="single" w:color="auto" w:sz="4" w:space="0"/>
              <w:bottom w:val="single" w:color="auto" w:sz="4" w:space="0"/>
              <w:right w:val="single" w:color="auto" w:sz="4" w:space="0"/>
            </w:tcBorders>
            <w:vAlign w:val="center"/>
          </w:tcPr>
          <w:p w14:paraId="76A494A3">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2" w:type="pct"/>
            <w:tcBorders>
              <w:top w:val="single" w:color="auto" w:sz="4" w:space="0"/>
              <w:left w:val="single" w:color="auto" w:sz="4" w:space="0"/>
              <w:bottom w:val="single" w:color="auto" w:sz="4" w:space="0"/>
              <w:right w:val="single" w:color="auto" w:sz="4" w:space="0"/>
            </w:tcBorders>
            <w:vAlign w:val="center"/>
          </w:tcPr>
          <w:p w14:paraId="23C30F36">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4" w:type="pct"/>
            <w:tcBorders>
              <w:top w:val="single" w:color="auto" w:sz="4" w:space="0"/>
              <w:left w:val="single" w:color="auto" w:sz="4" w:space="0"/>
              <w:bottom w:val="single" w:color="auto" w:sz="4" w:space="0"/>
              <w:right w:val="single" w:color="auto" w:sz="4" w:space="0"/>
            </w:tcBorders>
            <w:vAlign w:val="center"/>
          </w:tcPr>
          <w:p w14:paraId="0632C3C7">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c>
          <w:tcPr>
            <w:tcW w:w="659" w:type="pct"/>
            <w:tcBorders>
              <w:top w:val="single" w:color="auto" w:sz="4" w:space="0"/>
              <w:left w:val="single" w:color="auto" w:sz="4" w:space="0"/>
              <w:bottom w:val="single" w:color="auto" w:sz="4" w:space="0"/>
              <w:right w:val="single" w:color="auto" w:sz="4" w:space="0"/>
            </w:tcBorders>
            <w:vAlign w:val="center"/>
          </w:tcPr>
          <w:p w14:paraId="108D5546">
            <w:pPr>
              <w:tabs>
                <w:tab w:val="left" w:pos="2340"/>
                <w:tab w:val="left" w:pos="2520"/>
                <w:tab w:val="left" w:pos="2700"/>
                <w:tab w:val="left" w:pos="3060"/>
              </w:tabs>
              <w:spacing w:line="360" w:lineRule="auto"/>
              <w:jc w:val="center"/>
              <w:rPr>
                <w:rFonts w:hint="eastAsia" w:ascii="仿宋" w:hAnsi="仿宋" w:eastAsia="仿宋" w:cs="仿宋"/>
                <w:color w:val="auto"/>
                <w:sz w:val="24"/>
              </w:rPr>
            </w:pPr>
          </w:p>
        </w:tc>
      </w:tr>
    </w:tbl>
    <w:p w14:paraId="547CCC44">
      <w:pPr>
        <w:spacing w:line="360" w:lineRule="auto"/>
        <w:ind w:firstLine="484" w:firstLineChars="202"/>
        <w:rPr>
          <w:rFonts w:hint="eastAsia" w:ascii="仿宋" w:hAnsi="仿宋" w:eastAsia="仿宋" w:cs="仿宋"/>
          <w:color w:val="auto"/>
          <w:kern w:val="0"/>
          <w:szCs w:val="21"/>
        </w:rPr>
      </w:pPr>
      <w:r>
        <w:rPr>
          <w:rFonts w:hint="eastAsia" w:ascii="仿宋" w:hAnsi="仿宋" w:eastAsia="仿宋" w:cs="仿宋"/>
          <w:color w:val="auto"/>
          <w:sz w:val="24"/>
        </w:rPr>
        <w:t>注：附</w:t>
      </w:r>
      <w:r>
        <w:rPr>
          <w:rFonts w:hint="eastAsia" w:ascii="仿宋" w:hAnsi="仿宋" w:eastAsia="仿宋" w:cs="仿宋"/>
          <w:color w:val="auto"/>
          <w:sz w:val="24"/>
          <w:szCs w:val="24"/>
        </w:rPr>
        <w:t>相关人员的专业技术资格证书复印件证明材料。</w:t>
      </w:r>
    </w:p>
    <w:p w14:paraId="2C9AFB37">
      <w:pPr>
        <w:autoSpaceDE w:val="0"/>
        <w:autoSpaceDN w:val="0"/>
        <w:spacing w:line="360" w:lineRule="auto"/>
        <w:ind w:right="112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▲投标文件所提供的项目经理必须为项目实际管理人员，未经甲方同意不得更换。</w:t>
      </w:r>
    </w:p>
    <w:p w14:paraId="6A23236A">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w:t>
      </w:r>
    </w:p>
    <w:p w14:paraId="6DA0632F">
      <w:pPr>
        <w:spacing w:line="360" w:lineRule="auto"/>
        <w:ind w:firstLine="4560" w:firstLineChars="19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2744A5DC">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五、商务技术偏离表</w:t>
      </w:r>
    </w:p>
    <w:p w14:paraId="2E18F342">
      <w:pPr>
        <w:jc w:val="center"/>
        <w:rPr>
          <w:rFonts w:hint="eastAsia" w:ascii="仿宋" w:hAnsi="仿宋" w:eastAsia="仿宋" w:cs="仿宋"/>
          <w:b/>
          <w:color w:val="auto"/>
          <w:kern w:val="0"/>
          <w:sz w:val="32"/>
          <w:szCs w:val="32"/>
        </w:rPr>
      </w:pPr>
    </w:p>
    <w:tbl>
      <w:tblPr>
        <w:tblStyle w:val="19"/>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3EC9B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45FA62C">
            <w:pPr>
              <w:jc w:val="center"/>
              <w:rPr>
                <w:rFonts w:hint="eastAsia" w:ascii="仿宋" w:hAnsi="仿宋" w:eastAsia="仿宋" w:cs="仿宋"/>
                <w:b/>
                <w:bCs/>
                <w:color w:val="auto"/>
                <w:kern w:val="0"/>
                <w:sz w:val="24"/>
                <w:szCs w:val="20"/>
              </w:rPr>
            </w:pPr>
            <w:r>
              <w:rPr>
                <w:rFonts w:hint="eastAsia" w:ascii="仿宋" w:hAnsi="仿宋" w:eastAsia="仿宋" w:cs="仿宋"/>
                <w:b/>
                <w:bCs/>
                <w:color w:val="auto"/>
                <w:kern w:val="0"/>
                <w:sz w:val="24"/>
                <w:szCs w:val="20"/>
              </w:rPr>
              <w:t>序号</w:t>
            </w:r>
          </w:p>
        </w:tc>
        <w:tc>
          <w:tcPr>
            <w:tcW w:w="3683" w:type="dxa"/>
          </w:tcPr>
          <w:p w14:paraId="46E620EE">
            <w:pPr>
              <w:jc w:val="center"/>
              <w:rPr>
                <w:rFonts w:hint="eastAsia" w:ascii="仿宋" w:hAnsi="仿宋" w:eastAsia="仿宋" w:cs="仿宋"/>
                <w:b/>
                <w:bCs/>
                <w:color w:val="auto"/>
                <w:kern w:val="0"/>
                <w:sz w:val="24"/>
                <w:szCs w:val="20"/>
              </w:rPr>
            </w:pPr>
            <w:r>
              <w:rPr>
                <w:rFonts w:hint="eastAsia" w:ascii="仿宋" w:hAnsi="仿宋" w:eastAsia="仿宋" w:cs="仿宋"/>
                <w:b/>
                <w:bCs/>
                <w:color w:val="auto"/>
                <w:kern w:val="0"/>
                <w:sz w:val="24"/>
                <w:szCs w:val="20"/>
              </w:rPr>
              <w:t>招标文件章节及具体内容</w:t>
            </w:r>
          </w:p>
        </w:tc>
        <w:tc>
          <w:tcPr>
            <w:tcW w:w="3546" w:type="dxa"/>
          </w:tcPr>
          <w:p w14:paraId="11B03DAE">
            <w:pPr>
              <w:jc w:val="center"/>
              <w:rPr>
                <w:rFonts w:hint="eastAsia" w:ascii="仿宋" w:hAnsi="仿宋" w:eastAsia="仿宋" w:cs="仿宋"/>
                <w:b/>
                <w:bCs/>
                <w:color w:val="auto"/>
                <w:kern w:val="0"/>
                <w:sz w:val="24"/>
                <w:szCs w:val="20"/>
              </w:rPr>
            </w:pPr>
            <w:r>
              <w:rPr>
                <w:rFonts w:hint="eastAsia" w:ascii="仿宋" w:hAnsi="仿宋" w:eastAsia="仿宋" w:cs="仿宋"/>
                <w:b/>
                <w:bCs/>
                <w:color w:val="auto"/>
                <w:kern w:val="0"/>
                <w:sz w:val="24"/>
                <w:szCs w:val="20"/>
              </w:rPr>
              <w:t>投标文件章节及具体内容</w:t>
            </w:r>
          </w:p>
        </w:tc>
        <w:tc>
          <w:tcPr>
            <w:tcW w:w="1276" w:type="dxa"/>
          </w:tcPr>
          <w:p w14:paraId="3E89CAD6">
            <w:pPr>
              <w:jc w:val="center"/>
              <w:rPr>
                <w:rFonts w:hint="eastAsia" w:ascii="仿宋" w:hAnsi="仿宋" w:eastAsia="仿宋" w:cs="仿宋"/>
                <w:b/>
                <w:bCs/>
                <w:color w:val="auto"/>
                <w:kern w:val="0"/>
                <w:sz w:val="24"/>
                <w:szCs w:val="20"/>
              </w:rPr>
            </w:pPr>
            <w:r>
              <w:rPr>
                <w:rFonts w:hint="eastAsia" w:ascii="仿宋" w:hAnsi="仿宋" w:eastAsia="仿宋" w:cs="仿宋"/>
                <w:b/>
                <w:bCs/>
                <w:color w:val="auto"/>
                <w:kern w:val="0"/>
                <w:sz w:val="24"/>
                <w:szCs w:val="20"/>
              </w:rPr>
              <w:t>偏离说明</w:t>
            </w:r>
          </w:p>
        </w:tc>
      </w:tr>
      <w:tr w14:paraId="09B2B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0899251">
            <w:pPr>
              <w:jc w:val="center"/>
              <w:rPr>
                <w:rFonts w:hint="eastAsia" w:ascii="仿宋" w:hAnsi="仿宋" w:eastAsia="仿宋" w:cs="仿宋"/>
                <w:color w:val="auto"/>
                <w:kern w:val="0"/>
                <w:sz w:val="24"/>
                <w:szCs w:val="20"/>
              </w:rPr>
            </w:pPr>
            <w:r>
              <w:rPr>
                <w:rFonts w:hint="eastAsia" w:ascii="仿宋" w:hAnsi="仿宋" w:eastAsia="仿宋" w:cs="仿宋"/>
                <w:color w:val="auto"/>
                <w:kern w:val="0"/>
                <w:sz w:val="24"/>
                <w:szCs w:val="20"/>
              </w:rPr>
              <w:t>1</w:t>
            </w:r>
          </w:p>
        </w:tc>
        <w:tc>
          <w:tcPr>
            <w:tcW w:w="3683" w:type="dxa"/>
          </w:tcPr>
          <w:p w14:paraId="2DD0D83D">
            <w:pPr>
              <w:jc w:val="center"/>
              <w:rPr>
                <w:rFonts w:hint="eastAsia" w:ascii="仿宋" w:hAnsi="仿宋" w:eastAsia="仿宋" w:cs="仿宋"/>
                <w:b/>
                <w:color w:val="auto"/>
                <w:kern w:val="0"/>
                <w:sz w:val="32"/>
                <w:szCs w:val="32"/>
              </w:rPr>
            </w:pPr>
          </w:p>
        </w:tc>
        <w:tc>
          <w:tcPr>
            <w:tcW w:w="3546" w:type="dxa"/>
          </w:tcPr>
          <w:p w14:paraId="07CE6AE8">
            <w:pPr>
              <w:jc w:val="center"/>
              <w:rPr>
                <w:rFonts w:hint="eastAsia" w:ascii="仿宋" w:hAnsi="仿宋" w:eastAsia="仿宋" w:cs="仿宋"/>
                <w:b/>
                <w:color w:val="auto"/>
                <w:kern w:val="0"/>
                <w:sz w:val="32"/>
                <w:szCs w:val="32"/>
              </w:rPr>
            </w:pPr>
          </w:p>
        </w:tc>
        <w:tc>
          <w:tcPr>
            <w:tcW w:w="1276" w:type="dxa"/>
          </w:tcPr>
          <w:p w14:paraId="72800DB8">
            <w:pPr>
              <w:jc w:val="center"/>
              <w:rPr>
                <w:rFonts w:hint="eastAsia" w:ascii="仿宋" w:hAnsi="仿宋" w:eastAsia="仿宋" w:cs="仿宋"/>
                <w:b/>
                <w:color w:val="auto"/>
                <w:kern w:val="0"/>
                <w:sz w:val="32"/>
                <w:szCs w:val="32"/>
              </w:rPr>
            </w:pPr>
          </w:p>
        </w:tc>
      </w:tr>
      <w:tr w14:paraId="36784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E1C42A9">
            <w:pPr>
              <w:jc w:val="center"/>
              <w:rPr>
                <w:rFonts w:hint="eastAsia" w:ascii="仿宋" w:hAnsi="仿宋" w:eastAsia="仿宋" w:cs="仿宋"/>
                <w:color w:val="auto"/>
                <w:kern w:val="0"/>
                <w:sz w:val="24"/>
                <w:szCs w:val="20"/>
              </w:rPr>
            </w:pPr>
            <w:r>
              <w:rPr>
                <w:rFonts w:hint="eastAsia" w:ascii="仿宋" w:hAnsi="仿宋" w:eastAsia="仿宋" w:cs="仿宋"/>
                <w:color w:val="auto"/>
                <w:kern w:val="0"/>
                <w:sz w:val="24"/>
                <w:szCs w:val="20"/>
              </w:rPr>
              <w:t>2</w:t>
            </w:r>
          </w:p>
        </w:tc>
        <w:tc>
          <w:tcPr>
            <w:tcW w:w="3683" w:type="dxa"/>
          </w:tcPr>
          <w:p w14:paraId="3C04ABFD">
            <w:pPr>
              <w:jc w:val="center"/>
              <w:rPr>
                <w:rFonts w:hint="eastAsia" w:ascii="仿宋" w:hAnsi="仿宋" w:eastAsia="仿宋" w:cs="仿宋"/>
                <w:b/>
                <w:color w:val="auto"/>
                <w:kern w:val="0"/>
                <w:sz w:val="32"/>
                <w:szCs w:val="32"/>
              </w:rPr>
            </w:pPr>
          </w:p>
        </w:tc>
        <w:tc>
          <w:tcPr>
            <w:tcW w:w="3546" w:type="dxa"/>
          </w:tcPr>
          <w:p w14:paraId="589304DA">
            <w:pPr>
              <w:jc w:val="center"/>
              <w:rPr>
                <w:rFonts w:hint="eastAsia" w:ascii="仿宋" w:hAnsi="仿宋" w:eastAsia="仿宋" w:cs="仿宋"/>
                <w:b/>
                <w:color w:val="auto"/>
                <w:kern w:val="0"/>
                <w:sz w:val="32"/>
                <w:szCs w:val="32"/>
              </w:rPr>
            </w:pPr>
          </w:p>
        </w:tc>
        <w:tc>
          <w:tcPr>
            <w:tcW w:w="1276" w:type="dxa"/>
          </w:tcPr>
          <w:p w14:paraId="0EAAF0A3">
            <w:pPr>
              <w:jc w:val="center"/>
              <w:rPr>
                <w:rFonts w:hint="eastAsia" w:ascii="仿宋" w:hAnsi="仿宋" w:eastAsia="仿宋" w:cs="仿宋"/>
                <w:b/>
                <w:color w:val="auto"/>
                <w:kern w:val="0"/>
                <w:sz w:val="32"/>
                <w:szCs w:val="32"/>
              </w:rPr>
            </w:pPr>
          </w:p>
        </w:tc>
      </w:tr>
      <w:tr w14:paraId="3CE1C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D0683D2">
            <w:pPr>
              <w:jc w:val="center"/>
              <w:rPr>
                <w:rFonts w:hint="eastAsia" w:ascii="仿宋" w:hAnsi="仿宋" w:eastAsia="仿宋" w:cs="仿宋"/>
                <w:color w:val="auto"/>
                <w:kern w:val="0"/>
                <w:sz w:val="24"/>
                <w:szCs w:val="20"/>
              </w:rPr>
            </w:pPr>
            <w:r>
              <w:rPr>
                <w:rFonts w:hint="eastAsia" w:ascii="仿宋" w:hAnsi="仿宋" w:eastAsia="仿宋" w:cs="仿宋"/>
                <w:color w:val="auto"/>
                <w:kern w:val="0"/>
                <w:sz w:val="24"/>
                <w:szCs w:val="20"/>
              </w:rPr>
              <w:t>……</w:t>
            </w:r>
          </w:p>
        </w:tc>
        <w:tc>
          <w:tcPr>
            <w:tcW w:w="3683" w:type="dxa"/>
          </w:tcPr>
          <w:p w14:paraId="4C16C620">
            <w:pPr>
              <w:jc w:val="center"/>
              <w:rPr>
                <w:rFonts w:hint="eastAsia" w:ascii="仿宋" w:hAnsi="仿宋" w:eastAsia="仿宋" w:cs="仿宋"/>
                <w:b/>
                <w:color w:val="auto"/>
                <w:kern w:val="0"/>
                <w:sz w:val="32"/>
                <w:szCs w:val="32"/>
              </w:rPr>
            </w:pPr>
          </w:p>
        </w:tc>
        <w:tc>
          <w:tcPr>
            <w:tcW w:w="3546" w:type="dxa"/>
          </w:tcPr>
          <w:p w14:paraId="6F5E8142">
            <w:pPr>
              <w:jc w:val="center"/>
              <w:rPr>
                <w:rFonts w:hint="eastAsia" w:ascii="仿宋" w:hAnsi="仿宋" w:eastAsia="仿宋" w:cs="仿宋"/>
                <w:b/>
                <w:color w:val="auto"/>
                <w:kern w:val="0"/>
                <w:sz w:val="32"/>
                <w:szCs w:val="32"/>
              </w:rPr>
            </w:pPr>
          </w:p>
        </w:tc>
        <w:tc>
          <w:tcPr>
            <w:tcW w:w="1276" w:type="dxa"/>
          </w:tcPr>
          <w:p w14:paraId="2789B53E">
            <w:pPr>
              <w:jc w:val="center"/>
              <w:rPr>
                <w:rFonts w:hint="eastAsia" w:ascii="仿宋" w:hAnsi="仿宋" w:eastAsia="仿宋" w:cs="仿宋"/>
                <w:b/>
                <w:color w:val="auto"/>
                <w:kern w:val="0"/>
                <w:sz w:val="32"/>
                <w:szCs w:val="32"/>
              </w:rPr>
            </w:pPr>
          </w:p>
        </w:tc>
      </w:tr>
    </w:tbl>
    <w:p w14:paraId="6D882366">
      <w:pPr>
        <w:jc w:val="left"/>
        <w:rPr>
          <w:rFonts w:hint="eastAsia"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14:paraId="34E3DF2D">
      <w:pPr>
        <w:jc w:val="center"/>
        <w:rPr>
          <w:rFonts w:hint="eastAsia" w:ascii="仿宋" w:hAnsi="仿宋" w:eastAsia="仿宋" w:cs="仿宋"/>
          <w:b/>
          <w:color w:val="auto"/>
          <w:kern w:val="0"/>
          <w:sz w:val="32"/>
          <w:szCs w:val="32"/>
        </w:rPr>
      </w:pPr>
    </w:p>
    <w:p w14:paraId="51B449D2">
      <w:pPr>
        <w:jc w:val="center"/>
        <w:rPr>
          <w:rFonts w:hint="eastAsia" w:ascii="仿宋" w:hAnsi="仿宋" w:eastAsia="仿宋" w:cs="仿宋"/>
          <w:b/>
          <w:color w:val="auto"/>
          <w:kern w:val="0"/>
          <w:sz w:val="32"/>
          <w:szCs w:val="32"/>
        </w:rPr>
      </w:pPr>
    </w:p>
    <w:p w14:paraId="2AD539FA">
      <w:pPr>
        <w:jc w:val="center"/>
        <w:rPr>
          <w:rFonts w:hint="eastAsia" w:ascii="仿宋" w:hAnsi="仿宋" w:eastAsia="仿宋" w:cs="仿宋"/>
          <w:b/>
          <w:color w:val="auto"/>
          <w:kern w:val="0"/>
          <w:sz w:val="32"/>
          <w:szCs w:val="32"/>
        </w:rPr>
      </w:pPr>
    </w:p>
    <w:p w14:paraId="4B17A5E6">
      <w:pPr>
        <w:rPr>
          <w:rFonts w:hint="eastAsia" w:ascii="仿宋" w:hAnsi="仿宋" w:eastAsia="仿宋" w:cs="仿宋"/>
          <w:b/>
          <w:color w:val="auto"/>
          <w:kern w:val="0"/>
          <w:sz w:val="32"/>
          <w:szCs w:val="32"/>
        </w:rPr>
      </w:pPr>
    </w:p>
    <w:p w14:paraId="64B0811F">
      <w:pPr>
        <w:widowControl/>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3BC0EE94">
      <w:pPr>
        <w:ind w:firstLine="1911" w:firstLineChars="595"/>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六、</w:t>
      </w:r>
      <w:r>
        <w:rPr>
          <w:rFonts w:hint="eastAsia" w:ascii="仿宋" w:hAnsi="仿宋" w:eastAsia="仿宋" w:cs="仿宋"/>
          <w:b/>
          <w:color w:val="auto"/>
          <w:kern w:val="0"/>
          <w:sz w:val="32"/>
          <w:szCs w:val="32"/>
          <w:lang w:val="zh-CN"/>
        </w:rPr>
        <w:t>政府采购供应商廉洁自律承诺书</w:t>
      </w:r>
    </w:p>
    <w:p w14:paraId="3657EB89">
      <w:pPr>
        <w:snapToGrid w:val="0"/>
        <w:spacing w:line="360" w:lineRule="auto"/>
        <w:rPr>
          <w:rFonts w:hint="eastAsia" w:ascii="仿宋" w:hAnsi="仿宋" w:eastAsia="仿宋" w:cs="仿宋"/>
          <w:color w:val="auto"/>
          <w:sz w:val="24"/>
        </w:rPr>
      </w:pPr>
    </w:p>
    <w:p w14:paraId="12329A59">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3DE0918A">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2DE318DD">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一、不向项目有关人员及部门赠送礼金礼物、有价证券、回扣以及中介费、介绍费、咨询费等好处费；</w:t>
      </w:r>
    </w:p>
    <w:p w14:paraId="71A42E30">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二、不为项目有关人员及部门报销应由你方单位或个人支付的费用；</w:t>
      </w:r>
    </w:p>
    <w:p w14:paraId="49E8BDCE">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三、不向项目有关人员及部门提供有可能影响公正的宴请和健身娱乐等活动；</w:t>
      </w:r>
    </w:p>
    <w:p w14:paraId="6849C4DE">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10B7B2FA">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五、不为项目有关人员个人装修住房、婚丧嫁娶、配偶子女工作安排等提供好处；</w:t>
      </w:r>
    </w:p>
    <w:p w14:paraId="6CB703BE">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招标投标法》《中华人民共和国民法典》等法律法规，诚实守信，合法经营，坚决抵制各种违法违纪行为。</w:t>
      </w:r>
    </w:p>
    <w:p w14:paraId="5D68705D">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进行项目建设或其他经营活动，并通报区财政局。由此引起的相应损失均由我单位承担。</w:t>
      </w:r>
    </w:p>
    <w:p w14:paraId="1114C9F4">
      <w:pPr>
        <w:autoSpaceDE w:val="0"/>
        <w:autoSpaceDN w:val="0"/>
        <w:spacing w:line="360" w:lineRule="auto"/>
        <w:ind w:left="2"/>
        <w:jc w:val="left"/>
        <w:rPr>
          <w:rFonts w:hint="eastAsia" w:ascii="仿宋" w:hAnsi="仿宋" w:eastAsia="仿宋" w:cs="仿宋"/>
          <w:color w:val="auto"/>
          <w:kern w:val="0"/>
          <w:sz w:val="24"/>
          <w:lang w:val="zh-CN"/>
        </w:rPr>
      </w:pPr>
    </w:p>
    <w:p w14:paraId="3A7306A2">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w:t>
      </w:r>
    </w:p>
    <w:p w14:paraId="5F79ABAC">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50BF03B2">
      <w:pPr>
        <w:spacing w:line="360" w:lineRule="auto"/>
        <w:ind w:right="420"/>
        <w:rPr>
          <w:rFonts w:hint="eastAsia" w:ascii="仿宋" w:hAnsi="仿宋" w:eastAsia="仿宋" w:cs="仿宋"/>
          <w:color w:val="auto"/>
          <w:sz w:val="24"/>
        </w:rPr>
      </w:pPr>
    </w:p>
    <w:p w14:paraId="0E4FA2B4">
      <w:pPr>
        <w:spacing w:line="360" w:lineRule="auto"/>
        <w:ind w:right="420"/>
        <w:rPr>
          <w:rFonts w:hint="eastAsia" w:ascii="仿宋" w:hAnsi="仿宋" w:eastAsia="仿宋" w:cs="仿宋"/>
          <w:color w:val="auto"/>
          <w:sz w:val="24"/>
        </w:rPr>
      </w:pPr>
    </w:p>
    <w:p w14:paraId="599D277F">
      <w:pPr>
        <w:widowControl/>
        <w:jc w:val="left"/>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br w:type="page"/>
      </w:r>
    </w:p>
    <w:p w14:paraId="7DD379D1">
      <w:pPr>
        <w:snapToGrid w:val="0"/>
        <w:spacing w:line="360" w:lineRule="auto"/>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7729C6DF">
      <w:pPr>
        <w:spacing w:line="360" w:lineRule="auto"/>
        <w:jc w:val="center"/>
        <w:outlineLvl w:val="0"/>
        <w:rPr>
          <w:rFonts w:hint="eastAsia" w:ascii="仿宋" w:hAnsi="仿宋" w:eastAsia="仿宋" w:cs="仿宋"/>
          <w:b/>
          <w:color w:val="auto"/>
          <w:kern w:val="0"/>
          <w:sz w:val="24"/>
        </w:rPr>
      </w:pPr>
    </w:p>
    <w:p w14:paraId="6AF6881F">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41805EDD">
      <w:pPr>
        <w:spacing w:line="360" w:lineRule="auto"/>
        <w:outlineLvl w:val="0"/>
        <w:rPr>
          <w:rFonts w:hint="eastAsia"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color w:val="auto"/>
          <w:sz w:val="24"/>
          <w:szCs w:val="24"/>
        </w:rPr>
        <w:t>开标一览表（报价表）</w:t>
      </w:r>
      <w:r>
        <w:rPr>
          <w:rFonts w:hint="eastAsia" w:ascii="仿宋" w:hAnsi="仿宋" w:eastAsia="仿宋" w:cs="仿宋"/>
          <w:color w:val="auto"/>
          <w:kern w:val="0"/>
          <w:sz w:val="24"/>
        </w:rPr>
        <w:t>………………………………………（页码）</w:t>
      </w:r>
    </w:p>
    <w:p w14:paraId="49FF4309">
      <w:pPr>
        <w:spacing w:line="360" w:lineRule="auto"/>
        <w:outlineLvl w:val="0"/>
        <w:rPr>
          <w:rFonts w:hint="eastAsia" w:ascii="仿宋" w:hAnsi="仿宋" w:eastAsia="仿宋" w:cs="仿宋"/>
          <w:color w:val="auto"/>
          <w:kern w:val="0"/>
          <w:sz w:val="24"/>
        </w:rPr>
      </w:pPr>
      <w:r>
        <w:rPr>
          <w:rFonts w:hint="eastAsia" w:ascii="仿宋" w:hAnsi="仿宋" w:eastAsia="仿宋" w:cs="仿宋"/>
          <w:color w:val="auto"/>
          <w:kern w:val="0"/>
          <w:sz w:val="24"/>
        </w:rPr>
        <w:t>（2）中小企业声明函………………………………………………（页码）</w:t>
      </w:r>
    </w:p>
    <w:p w14:paraId="53E5F7FB">
      <w:pPr>
        <w:spacing w:line="360" w:lineRule="auto"/>
        <w:outlineLvl w:val="0"/>
        <w:rPr>
          <w:rFonts w:hint="eastAsia" w:ascii="仿宋" w:hAnsi="仿宋" w:eastAsia="仿宋" w:cs="仿宋"/>
          <w:color w:val="auto"/>
          <w:kern w:val="0"/>
          <w:sz w:val="24"/>
        </w:rPr>
      </w:pPr>
    </w:p>
    <w:p w14:paraId="5E76F1EA">
      <w:pPr>
        <w:spacing w:line="360" w:lineRule="auto"/>
        <w:ind w:left="2" w:firstLine="480" w:firstLineChars="200"/>
        <w:rPr>
          <w:rFonts w:hint="eastAsia" w:ascii="仿宋" w:hAnsi="仿宋" w:eastAsia="仿宋" w:cs="仿宋"/>
          <w:color w:val="auto"/>
          <w:sz w:val="24"/>
        </w:rPr>
      </w:pPr>
    </w:p>
    <w:p w14:paraId="5F662A20">
      <w:pPr>
        <w:spacing w:line="360" w:lineRule="auto"/>
        <w:ind w:left="2" w:firstLine="480" w:firstLineChars="200"/>
        <w:rPr>
          <w:rFonts w:hint="eastAsia" w:ascii="仿宋" w:hAnsi="仿宋" w:eastAsia="仿宋" w:cs="仿宋"/>
          <w:color w:val="auto"/>
          <w:sz w:val="24"/>
        </w:rPr>
      </w:pPr>
    </w:p>
    <w:p w14:paraId="196F4FAC">
      <w:pPr>
        <w:spacing w:line="360" w:lineRule="auto"/>
        <w:ind w:left="2" w:firstLine="480" w:firstLineChars="200"/>
        <w:rPr>
          <w:rFonts w:hint="eastAsia" w:ascii="仿宋" w:hAnsi="仿宋" w:eastAsia="仿宋" w:cs="仿宋"/>
          <w:color w:val="auto"/>
          <w:sz w:val="24"/>
        </w:rPr>
      </w:pPr>
    </w:p>
    <w:p w14:paraId="54BDB34E">
      <w:pPr>
        <w:spacing w:line="360" w:lineRule="auto"/>
        <w:ind w:left="2" w:firstLine="480" w:firstLineChars="200"/>
        <w:rPr>
          <w:rFonts w:hint="eastAsia" w:ascii="仿宋" w:hAnsi="仿宋" w:eastAsia="仿宋" w:cs="仿宋"/>
          <w:color w:val="auto"/>
          <w:sz w:val="24"/>
        </w:rPr>
      </w:pPr>
    </w:p>
    <w:p w14:paraId="6246C5B9">
      <w:pPr>
        <w:spacing w:line="360" w:lineRule="auto"/>
        <w:ind w:left="2" w:firstLine="480" w:firstLineChars="200"/>
        <w:rPr>
          <w:rFonts w:hint="eastAsia" w:ascii="仿宋" w:hAnsi="仿宋" w:eastAsia="仿宋" w:cs="仿宋"/>
          <w:color w:val="auto"/>
          <w:sz w:val="24"/>
        </w:rPr>
      </w:pPr>
    </w:p>
    <w:p w14:paraId="67453C34">
      <w:pPr>
        <w:snapToGrid w:val="0"/>
        <w:spacing w:line="360" w:lineRule="auto"/>
        <w:jc w:val="center"/>
        <w:outlineLvl w:val="0"/>
        <w:rPr>
          <w:rFonts w:hint="eastAsia" w:ascii="仿宋" w:hAnsi="仿宋" w:eastAsia="仿宋" w:cs="仿宋"/>
          <w:b/>
          <w:color w:val="auto"/>
          <w:kern w:val="0"/>
          <w:sz w:val="32"/>
          <w:szCs w:val="32"/>
        </w:rPr>
      </w:pPr>
    </w:p>
    <w:p w14:paraId="4A6700C2">
      <w:pPr>
        <w:snapToGrid w:val="0"/>
        <w:spacing w:line="360" w:lineRule="auto"/>
        <w:jc w:val="center"/>
        <w:outlineLvl w:val="0"/>
        <w:rPr>
          <w:rFonts w:hint="eastAsia" w:ascii="仿宋" w:hAnsi="仿宋" w:eastAsia="仿宋" w:cs="仿宋"/>
          <w:b/>
          <w:color w:val="auto"/>
          <w:kern w:val="0"/>
          <w:sz w:val="32"/>
          <w:szCs w:val="32"/>
        </w:rPr>
      </w:pPr>
    </w:p>
    <w:p w14:paraId="19D39337">
      <w:pPr>
        <w:snapToGrid w:val="0"/>
        <w:spacing w:line="360" w:lineRule="auto"/>
        <w:jc w:val="center"/>
        <w:outlineLvl w:val="0"/>
        <w:rPr>
          <w:rFonts w:hint="eastAsia" w:ascii="仿宋" w:hAnsi="仿宋" w:eastAsia="仿宋" w:cs="仿宋"/>
          <w:b/>
          <w:color w:val="auto"/>
          <w:kern w:val="0"/>
          <w:sz w:val="32"/>
          <w:szCs w:val="32"/>
        </w:rPr>
      </w:pPr>
    </w:p>
    <w:p w14:paraId="40AE4422">
      <w:pPr>
        <w:snapToGrid w:val="0"/>
        <w:spacing w:line="360" w:lineRule="auto"/>
        <w:jc w:val="center"/>
        <w:outlineLvl w:val="0"/>
        <w:rPr>
          <w:rFonts w:hint="eastAsia" w:ascii="仿宋" w:hAnsi="仿宋" w:eastAsia="仿宋" w:cs="仿宋"/>
          <w:b/>
          <w:color w:val="auto"/>
          <w:kern w:val="0"/>
          <w:sz w:val="32"/>
          <w:szCs w:val="32"/>
        </w:rPr>
      </w:pPr>
    </w:p>
    <w:p w14:paraId="07336D80">
      <w:pPr>
        <w:snapToGrid w:val="0"/>
        <w:spacing w:line="360" w:lineRule="auto"/>
        <w:jc w:val="center"/>
        <w:outlineLvl w:val="0"/>
        <w:rPr>
          <w:rFonts w:hint="eastAsia" w:ascii="仿宋" w:hAnsi="仿宋" w:eastAsia="仿宋" w:cs="仿宋"/>
          <w:b/>
          <w:color w:val="auto"/>
          <w:kern w:val="0"/>
          <w:sz w:val="32"/>
          <w:szCs w:val="32"/>
        </w:rPr>
      </w:pPr>
    </w:p>
    <w:p w14:paraId="1CF4D446">
      <w:pPr>
        <w:snapToGrid w:val="0"/>
        <w:spacing w:line="360" w:lineRule="auto"/>
        <w:jc w:val="center"/>
        <w:outlineLvl w:val="0"/>
        <w:rPr>
          <w:rFonts w:hint="eastAsia" w:ascii="仿宋" w:hAnsi="仿宋" w:eastAsia="仿宋" w:cs="仿宋"/>
          <w:b/>
          <w:color w:val="auto"/>
          <w:kern w:val="0"/>
          <w:sz w:val="32"/>
          <w:szCs w:val="32"/>
        </w:rPr>
      </w:pPr>
    </w:p>
    <w:p w14:paraId="34D5FF82">
      <w:pPr>
        <w:snapToGrid w:val="0"/>
        <w:spacing w:line="360" w:lineRule="auto"/>
        <w:jc w:val="center"/>
        <w:outlineLvl w:val="0"/>
        <w:rPr>
          <w:rFonts w:hint="eastAsia" w:ascii="仿宋" w:hAnsi="仿宋" w:eastAsia="仿宋" w:cs="仿宋"/>
          <w:b/>
          <w:color w:val="auto"/>
          <w:kern w:val="0"/>
          <w:sz w:val="32"/>
          <w:szCs w:val="32"/>
        </w:rPr>
      </w:pPr>
    </w:p>
    <w:p w14:paraId="5B7921B1">
      <w:pPr>
        <w:snapToGrid w:val="0"/>
        <w:spacing w:line="360" w:lineRule="auto"/>
        <w:jc w:val="center"/>
        <w:outlineLvl w:val="0"/>
        <w:rPr>
          <w:rFonts w:hint="eastAsia" w:ascii="仿宋" w:hAnsi="仿宋" w:eastAsia="仿宋" w:cs="仿宋"/>
          <w:b/>
          <w:color w:val="auto"/>
          <w:kern w:val="0"/>
          <w:sz w:val="32"/>
          <w:szCs w:val="32"/>
        </w:rPr>
      </w:pPr>
    </w:p>
    <w:p w14:paraId="7E50F500">
      <w:pPr>
        <w:snapToGrid w:val="0"/>
        <w:spacing w:line="360" w:lineRule="auto"/>
        <w:jc w:val="center"/>
        <w:outlineLvl w:val="0"/>
        <w:rPr>
          <w:rFonts w:hint="eastAsia" w:ascii="仿宋" w:hAnsi="仿宋" w:eastAsia="仿宋" w:cs="仿宋"/>
          <w:b/>
          <w:color w:val="auto"/>
          <w:kern w:val="0"/>
          <w:sz w:val="32"/>
          <w:szCs w:val="32"/>
        </w:rPr>
      </w:pPr>
    </w:p>
    <w:p w14:paraId="4EAA2429">
      <w:pPr>
        <w:snapToGrid w:val="0"/>
        <w:spacing w:line="360" w:lineRule="auto"/>
        <w:jc w:val="center"/>
        <w:outlineLvl w:val="0"/>
        <w:rPr>
          <w:rFonts w:hint="eastAsia" w:ascii="仿宋" w:hAnsi="仿宋" w:eastAsia="仿宋" w:cs="仿宋"/>
          <w:b/>
          <w:color w:val="auto"/>
          <w:kern w:val="0"/>
          <w:sz w:val="32"/>
          <w:szCs w:val="32"/>
        </w:rPr>
      </w:pPr>
    </w:p>
    <w:p w14:paraId="2D7C3043">
      <w:pPr>
        <w:snapToGrid w:val="0"/>
        <w:spacing w:line="360" w:lineRule="auto"/>
        <w:jc w:val="center"/>
        <w:outlineLvl w:val="0"/>
        <w:rPr>
          <w:rFonts w:hint="eastAsia" w:ascii="仿宋" w:hAnsi="仿宋" w:eastAsia="仿宋" w:cs="仿宋"/>
          <w:b/>
          <w:color w:val="auto"/>
          <w:kern w:val="0"/>
          <w:sz w:val="32"/>
          <w:szCs w:val="32"/>
        </w:rPr>
      </w:pPr>
    </w:p>
    <w:p w14:paraId="55B68936">
      <w:pPr>
        <w:snapToGrid w:val="0"/>
        <w:spacing w:line="360" w:lineRule="auto"/>
        <w:rPr>
          <w:rFonts w:hint="eastAsia" w:ascii="仿宋" w:hAnsi="仿宋" w:eastAsia="仿宋" w:cs="仿宋"/>
          <w:color w:val="auto"/>
          <w:sz w:val="24"/>
        </w:rPr>
      </w:pPr>
    </w:p>
    <w:p w14:paraId="37CE707F">
      <w:pPr>
        <w:snapToGrid w:val="0"/>
        <w:spacing w:line="360" w:lineRule="auto"/>
        <w:jc w:val="center"/>
        <w:rPr>
          <w:rFonts w:hint="eastAsia" w:ascii="仿宋" w:hAnsi="仿宋" w:eastAsia="仿宋" w:cs="仿宋"/>
          <w:color w:val="auto"/>
          <w:sz w:val="24"/>
        </w:rPr>
        <w:sectPr>
          <w:pgSz w:w="11906" w:h="16838"/>
          <w:pgMar w:top="777" w:right="1418" w:bottom="471" w:left="1418" w:header="851" w:footer="992" w:gutter="0"/>
          <w:pgNumType w:fmt="decimal"/>
          <w:cols w:space="720" w:num="1"/>
          <w:docGrid w:linePitch="312" w:charSpace="0"/>
        </w:sectPr>
      </w:pPr>
    </w:p>
    <w:p w14:paraId="09610308">
      <w:pPr>
        <w:snapToGrid w:val="0"/>
        <w:spacing w:line="360" w:lineRule="auto"/>
        <w:rPr>
          <w:rFonts w:hint="eastAsia" w:ascii="仿宋" w:hAnsi="仿宋" w:eastAsia="仿宋" w:cs="仿宋"/>
          <w:color w:val="auto"/>
          <w:sz w:val="24"/>
        </w:rPr>
      </w:pPr>
    </w:p>
    <w:p w14:paraId="37FECDC3">
      <w:pPr>
        <w:pStyle w:val="30"/>
        <w:keepNext w:val="0"/>
        <w:pageBreakBefore w:val="0"/>
        <w:tabs>
          <w:tab w:val="clear" w:pos="720"/>
        </w:tabs>
        <w:snapToGrid w:val="0"/>
        <w:spacing w:before="120" w:after="120"/>
        <w:ind w:firstLine="640"/>
        <w:outlineLvl w:val="9"/>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开标一览表（报价表）</w:t>
      </w:r>
    </w:p>
    <w:p w14:paraId="0D32DC82">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40C11740">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5A7F6B13">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18"/>
        <w:tblW w:w="8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119"/>
        <w:gridCol w:w="1417"/>
        <w:gridCol w:w="851"/>
        <w:gridCol w:w="1417"/>
        <w:gridCol w:w="965"/>
      </w:tblGrid>
      <w:tr w14:paraId="55ABD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452AF4BE">
            <w:pPr>
              <w:spacing w:line="36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3119" w:type="dxa"/>
            <w:vAlign w:val="center"/>
          </w:tcPr>
          <w:p w14:paraId="164DC23E">
            <w:pPr>
              <w:spacing w:line="36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名称</w:t>
            </w:r>
          </w:p>
        </w:tc>
        <w:tc>
          <w:tcPr>
            <w:tcW w:w="1417" w:type="dxa"/>
            <w:vAlign w:val="center"/>
          </w:tcPr>
          <w:p w14:paraId="21F92A8F">
            <w:pPr>
              <w:spacing w:line="36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单价</w:t>
            </w:r>
          </w:p>
        </w:tc>
        <w:tc>
          <w:tcPr>
            <w:tcW w:w="851" w:type="dxa"/>
            <w:vAlign w:val="center"/>
          </w:tcPr>
          <w:p w14:paraId="1E5EA40D">
            <w:pPr>
              <w:spacing w:line="36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1417" w:type="dxa"/>
            <w:vAlign w:val="center"/>
          </w:tcPr>
          <w:p w14:paraId="78A44F45">
            <w:pPr>
              <w:spacing w:line="36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总价</w:t>
            </w:r>
          </w:p>
        </w:tc>
        <w:tc>
          <w:tcPr>
            <w:tcW w:w="965" w:type="dxa"/>
            <w:vAlign w:val="center"/>
          </w:tcPr>
          <w:p w14:paraId="78FE8D54">
            <w:pPr>
              <w:spacing w:line="36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r>
      <w:tr w14:paraId="2DB3B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7" w:type="dxa"/>
            <w:vAlign w:val="center"/>
          </w:tcPr>
          <w:p w14:paraId="5269EC8B">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3119" w:type="dxa"/>
            <w:vAlign w:val="bottom"/>
          </w:tcPr>
          <w:p w14:paraId="495B77BF">
            <w:pPr>
              <w:spacing w:line="540" w:lineRule="exact"/>
              <w:contextualSpacing/>
              <w:jc w:val="center"/>
              <w:rPr>
                <w:rFonts w:hint="eastAsia" w:ascii="仿宋" w:hAnsi="仿宋" w:eastAsia="仿宋" w:cs="仿宋"/>
                <w:color w:val="auto"/>
                <w:sz w:val="24"/>
                <w:szCs w:val="24"/>
              </w:rPr>
            </w:pPr>
          </w:p>
        </w:tc>
        <w:tc>
          <w:tcPr>
            <w:tcW w:w="1417" w:type="dxa"/>
            <w:vAlign w:val="center"/>
          </w:tcPr>
          <w:p w14:paraId="08FF8D25">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1FA2A6B4">
            <w:pPr>
              <w:spacing w:line="540" w:lineRule="exact"/>
              <w:contextualSpacing/>
              <w:jc w:val="center"/>
              <w:rPr>
                <w:rFonts w:hint="eastAsia" w:ascii="仿宋" w:hAnsi="仿宋" w:eastAsia="仿宋" w:cs="仿宋"/>
                <w:color w:val="auto"/>
                <w:sz w:val="24"/>
                <w:szCs w:val="24"/>
              </w:rPr>
            </w:pPr>
          </w:p>
        </w:tc>
        <w:tc>
          <w:tcPr>
            <w:tcW w:w="1417" w:type="dxa"/>
            <w:vAlign w:val="center"/>
          </w:tcPr>
          <w:p w14:paraId="575A7939">
            <w:pPr>
              <w:spacing w:line="540" w:lineRule="exact"/>
              <w:contextualSpacing/>
              <w:jc w:val="center"/>
              <w:rPr>
                <w:rFonts w:hint="eastAsia" w:ascii="仿宋" w:hAnsi="仿宋" w:eastAsia="仿宋" w:cs="仿宋"/>
                <w:color w:val="auto"/>
                <w:sz w:val="24"/>
                <w:szCs w:val="24"/>
              </w:rPr>
            </w:pPr>
          </w:p>
        </w:tc>
        <w:tc>
          <w:tcPr>
            <w:tcW w:w="965" w:type="dxa"/>
            <w:vAlign w:val="center"/>
          </w:tcPr>
          <w:p w14:paraId="70E9CFAB">
            <w:pPr>
              <w:spacing w:line="540" w:lineRule="exact"/>
              <w:contextualSpacing/>
              <w:jc w:val="center"/>
              <w:rPr>
                <w:rFonts w:hint="eastAsia" w:ascii="仿宋" w:hAnsi="仿宋" w:eastAsia="仿宋" w:cs="仿宋"/>
                <w:color w:val="auto"/>
                <w:sz w:val="24"/>
                <w:szCs w:val="24"/>
              </w:rPr>
            </w:pPr>
          </w:p>
        </w:tc>
      </w:tr>
      <w:tr w14:paraId="0FD7B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17" w:type="dxa"/>
            <w:vAlign w:val="center"/>
          </w:tcPr>
          <w:p w14:paraId="4779488E">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3119" w:type="dxa"/>
            <w:vAlign w:val="bottom"/>
          </w:tcPr>
          <w:p w14:paraId="1DD1B20E">
            <w:pPr>
              <w:spacing w:line="540" w:lineRule="exact"/>
              <w:contextualSpacing/>
              <w:jc w:val="center"/>
              <w:rPr>
                <w:rFonts w:hint="eastAsia" w:ascii="仿宋" w:hAnsi="仿宋" w:eastAsia="仿宋" w:cs="仿宋"/>
                <w:color w:val="auto"/>
                <w:sz w:val="24"/>
                <w:szCs w:val="24"/>
              </w:rPr>
            </w:pPr>
          </w:p>
        </w:tc>
        <w:tc>
          <w:tcPr>
            <w:tcW w:w="1417" w:type="dxa"/>
            <w:vAlign w:val="center"/>
          </w:tcPr>
          <w:p w14:paraId="4B0242BE">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0A68F65B">
            <w:pPr>
              <w:spacing w:line="540" w:lineRule="exact"/>
              <w:contextualSpacing/>
              <w:jc w:val="center"/>
              <w:rPr>
                <w:rFonts w:hint="eastAsia" w:ascii="仿宋" w:hAnsi="仿宋" w:eastAsia="仿宋" w:cs="仿宋"/>
                <w:color w:val="auto"/>
                <w:sz w:val="24"/>
                <w:szCs w:val="24"/>
              </w:rPr>
            </w:pPr>
          </w:p>
        </w:tc>
        <w:tc>
          <w:tcPr>
            <w:tcW w:w="1417" w:type="dxa"/>
            <w:vAlign w:val="center"/>
          </w:tcPr>
          <w:p w14:paraId="7B42A30A">
            <w:pPr>
              <w:spacing w:line="540" w:lineRule="exact"/>
              <w:contextualSpacing/>
              <w:jc w:val="center"/>
              <w:rPr>
                <w:rFonts w:hint="eastAsia" w:ascii="仿宋" w:hAnsi="仿宋" w:eastAsia="仿宋" w:cs="仿宋"/>
                <w:color w:val="auto"/>
                <w:sz w:val="24"/>
                <w:szCs w:val="24"/>
              </w:rPr>
            </w:pPr>
          </w:p>
        </w:tc>
        <w:tc>
          <w:tcPr>
            <w:tcW w:w="965" w:type="dxa"/>
            <w:vAlign w:val="center"/>
          </w:tcPr>
          <w:p w14:paraId="4A0A8B51">
            <w:pPr>
              <w:spacing w:line="540" w:lineRule="exact"/>
              <w:contextualSpacing/>
              <w:jc w:val="center"/>
              <w:rPr>
                <w:rFonts w:hint="eastAsia" w:ascii="仿宋" w:hAnsi="仿宋" w:eastAsia="仿宋" w:cs="仿宋"/>
                <w:color w:val="auto"/>
                <w:sz w:val="24"/>
                <w:szCs w:val="24"/>
              </w:rPr>
            </w:pPr>
          </w:p>
        </w:tc>
      </w:tr>
      <w:tr w14:paraId="532CD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17" w:type="dxa"/>
            <w:vAlign w:val="center"/>
          </w:tcPr>
          <w:p w14:paraId="1B5C6714">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3119" w:type="dxa"/>
            <w:vAlign w:val="bottom"/>
          </w:tcPr>
          <w:p w14:paraId="607A6593">
            <w:pPr>
              <w:spacing w:line="540" w:lineRule="exact"/>
              <w:contextualSpacing/>
              <w:jc w:val="center"/>
              <w:rPr>
                <w:rFonts w:hint="eastAsia" w:ascii="仿宋" w:hAnsi="仿宋" w:eastAsia="仿宋" w:cs="仿宋"/>
                <w:color w:val="auto"/>
                <w:sz w:val="24"/>
                <w:szCs w:val="24"/>
              </w:rPr>
            </w:pPr>
          </w:p>
        </w:tc>
        <w:tc>
          <w:tcPr>
            <w:tcW w:w="1417" w:type="dxa"/>
            <w:vAlign w:val="center"/>
          </w:tcPr>
          <w:p w14:paraId="2EB3EDCF">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59035BFA">
            <w:pPr>
              <w:spacing w:line="540" w:lineRule="exact"/>
              <w:contextualSpacing/>
              <w:jc w:val="center"/>
              <w:rPr>
                <w:rFonts w:hint="eastAsia" w:ascii="仿宋" w:hAnsi="仿宋" w:eastAsia="仿宋" w:cs="仿宋"/>
                <w:color w:val="auto"/>
                <w:sz w:val="24"/>
                <w:szCs w:val="24"/>
              </w:rPr>
            </w:pPr>
          </w:p>
        </w:tc>
        <w:tc>
          <w:tcPr>
            <w:tcW w:w="1417" w:type="dxa"/>
            <w:vAlign w:val="center"/>
          </w:tcPr>
          <w:p w14:paraId="53992D41">
            <w:pPr>
              <w:spacing w:line="540" w:lineRule="exact"/>
              <w:contextualSpacing/>
              <w:jc w:val="center"/>
              <w:rPr>
                <w:rFonts w:hint="eastAsia" w:ascii="仿宋" w:hAnsi="仿宋" w:eastAsia="仿宋" w:cs="仿宋"/>
                <w:color w:val="auto"/>
                <w:sz w:val="24"/>
                <w:szCs w:val="24"/>
              </w:rPr>
            </w:pPr>
          </w:p>
        </w:tc>
        <w:tc>
          <w:tcPr>
            <w:tcW w:w="965" w:type="dxa"/>
            <w:vAlign w:val="center"/>
          </w:tcPr>
          <w:p w14:paraId="7360E0A3">
            <w:pPr>
              <w:spacing w:line="540" w:lineRule="exact"/>
              <w:contextualSpacing/>
              <w:jc w:val="center"/>
              <w:rPr>
                <w:rFonts w:hint="eastAsia" w:ascii="仿宋" w:hAnsi="仿宋" w:eastAsia="仿宋" w:cs="仿宋"/>
                <w:color w:val="auto"/>
                <w:sz w:val="24"/>
                <w:szCs w:val="24"/>
              </w:rPr>
            </w:pPr>
          </w:p>
        </w:tc>
      </w:tr>
      <w:tr w14:paraId="602D1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17" w:type="dxa"/>
            <w:vAlign w:val="center"/>
          </w:tcPr>
          <w:p w14:paraId="53438BD0">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3119" w:type="dxa"/>
            <w:vAlign w:val="bottom"/>
          </w:tcPr>
          <w:p w14:paraId="3EFB47E1">
            <w:pPr>
              <w:spacing w:line="540" w:lineRule="exact"/>
              <w:contextualSpacing/>
              <w:jc w:val="center"/>
              <w:rPr>
                <w:rFonts w:hint="eastAsia" w:ascii="仿宋" w:hAnsi="仿宋" w:eastAsia="仿宋" w:cs="仿宋"/>
                <w:color w:val="auto"/>
                <w:sz w:val="24"/>
                <w:szCs w:val="24"/>
              </w:rPr>
            </w:pPr>
          </w:p>
        </w:tc>
        <w:tc>
          <w:tcPr>
            <w:tcW w:w="1417" w:type="dxa"/>
            <w:vAlign w:val="center"/>
          </w:tcPr>
          <w:p w14:paraId="60E4E0A8">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0936F88C">
            <w:pPr>
              <w:spacing w:line="540" w:lineRule="exact"/>
              <w:contextualSpacing/>
              <w:jc w:val="center"/>
              <w:rPr>
                <w:rFonts w:hint="eastAsia" w:ascii="仿宋" w:hAnsi="仿宋" w:eastAsia="仿宋" w:cs="仿宋"/>
                <w:color w:val="auto"/>
                <w:sz w:val="24"/>
                <w:szCs w:val="24"/>
              </w:rPr>
            </w:pPr>
          </w:p>
        </w:tc>
        <w:tc>
          <w:tcPr>
            <w:tcW w:w="1417" w:type="dxa"/>
            <w:vAlign w:val="center"/>
          </w:tcPr>
          <w:p w14:paraId="53C903F6">
            <w:pPr>
              <w:spacing w:line="540" w:lineRule="exact"/>
              <w:contextualSpacing/>
              <w:jc w:val="center"/>
              <w:rPr>
                <w:rFonts w:hint="eastAsia" w:ascii="仿宋" w:hAnsi="仿宋" w:eastAsia="仿宋" w:cs="仿宋"/>
                <w:color w:val="auto"/>
                <w:sz w:val="24"/>
                <w:szCs w:val="24"/>
              </w:rPr>
            </w:pPr>
          </w:p>
        </w:tc>
        <w:tc>
          <w:tcPr>
            <w:tcW w:w="965" w:type="dxa"/>
            <w:vAlign w:val="center"/>
          </w:tcPr>
          <w:p w14:paraId="30394F79">
            <w:pPr>
              <w:spacing w:line="540" w:lineRule="exact"/>
              <w:contextualSpacing/>
              <w:jc w:val="center"/>
              <w:rPr>
                <w:rFonts w:hint="eastAsia" w:ascii="仿宋" w:hAnsi="仿宋" w:eastAsia="仿宋" w:cs="仿宋"/>
                <w:color w:val="auto"/>
                <w:sz w:val="24"/>
                <w:szCs w:val="24"/>
              </w:rPr>
            </w:pPr>
          </w:p>
        </w:tc>
      </w:tr>
      <w:tr w14:paraId="07CCF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225E7422">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3119" w:type="dxa"/>
            <w:vAlign w:val="bottom"/>
          </w:tcPr>
          <w:p w14:paraId="7C22BB8A">
            <w:pPr>
              <w:spacing w:line="540" w:lineRule="exact"/>
              <w:contextualSpacing/>
              <w:jc w:val="center"/>
              <w:rPr>
                <w:rFonts w:hint="eastAsia" w:ascii="仿宋" w:hAnsi="仿宋" w:eastAsia="仿宋" w:cs="仿宋"/>
                <w:color w:val="auto"/>
                <w:sz w:val="24"/>
                <w:szCs w:val="24"/>
              </w:rPr>
            </w:pPr>
          </w:p>
        </w:tc>
        <w:tc>
          <w:tcPr>
            <w:tcW w:w="1417" w:type="dxa"/>
            <w:vAlign w:val="center"/>
          </w:tcPr>
          <w:p w14:paraId="1670CA9D">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2BBA90FE">
            <w:pPr>
              <w:spacing w:line="540" w:lineRule="exact"/>
              <w:contextualSpacing/>
              <w:jc w:val="center"/>
              <w:rPr>
                <w:rFonts w:hint="eastAsia" w:ascii="仿宋" w:hAnsi="仿宋" w:eastAsia="仿宋" w:cs="仿宋"/>
                <w:color w:val="auto"/>
                <w:sz w:val="24"/>
                <w:szCs w:val="24"/>
              </w:rPr>
            </w:pPr>
          </w:p>
        </w:tc>
        <w:tc>
          <w:tcPr>
            <w:tcW w:w="1417" w:type="dxa"/>
            <w:vAlign w:val="center"/>
          </w:tcPr>
          <w:p w14:paraId="0F0ED791">
            <w:pPr>
              <w:spacing w:line="540" w:lineRule="exact"/>
              <w:contextualSpacing/>
              <w:jc w:val="center"/>
              <w:rPr>
                <w:rFonts w:hint="eastAsia" w:ascii="仿宋" w:hAnsi="仿宋" w:eastAsia="仿宋" w:cs="仿宋"/>
                <w:color w:val="auto"/>
                <w:sz w:val="24"/>
                <w:szCs w:val="24"/>
              </w:rPr>
            </w:pPr>
          </w:p>
        </w:tc>
        <w:tc>
          <w:tcPr>
            <w:tcW w:w="965" w:type="dxa"/>
            <w:vAlign w:val="center"/>
          </w:tcPr>
          <w:p w14:paraId="239E0332">
            <w:pPr>
              <w:spacing w:line="540" w:lineRule="exact"/>
              <w:contextualSpacing/>
              <w:jc w:val="center"/>
              <w:rPr>
                <w:rFonts w:hint="eastAsia" w:ascii="仿宋" w:hAnsi="仿宋" w:eastAsia="仿宋" w:cs="仿宋"/>
                <w:color w:val="auto"/>
                <w:sz w:val="24"/>
                <w:szCs w:val="24"/>
              </w:rPr>
            </w:pPr>
          </w:p>
        </w:tc>
      </w:tr>
      <w:tr w14:paraId="40405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817" w:type="dxa"/>
            <w:vAlign w:val="center"/>
          </w:tcPr>
          <w:p w14:paraId="2265967D">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3119" w:type="dxa"/>
            <w:vAlign w:val="bottom"/>
          </w:tcPr>
          <w:p w14:paraId="4E7419C1">
            <w:pPr>
              <w:spacing w:line="540" w:lineRule="exact"/>
              <w:contextualSpacing/>
              <w:jc w:val="center"/>
              <w:rPr>
                <w:rFonts w:hint="eastAsia" w:ascii="仿宋" w:hAnsi="仿宋" w:eastAsia="仿宋" w:cs="仿宋"/>
                <w:color w:val="auto"/>
                <w:sz w:val="24"/>
                <w:szCs w:val="24"/>
              </w:rPr>
            </w:pPr>
          </w:p>
        </w:tc>
        <w:tc>
          <w:tcPr>
            <w:tcW w:w="1417" w:type="dxa"/>
            <w:vAlign w:val="center"/>
          </w:tcPr>
          <w:p w14:paraId="10DFE858">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44DE5F68">
            <w:pPr>
              <w:spacing w:line="540" w:lineRule="exact"/>
              <w:contextualSpacing/>
              <w:jc w:val="center"/>
              <w:rPr>
                <w:rFonts w:hint="eastAsia" w:ascii="仿宋" w:hAnsi="仿宋" w:eastAsia="仿宋" w:cs="仿宋"/>
                <w:color w:val="auto"/>
                <w:sz w:val="24"/>
                <w:szCs w:val="24"/>
              </w:rPr>
            </w:pPr>
          </w:p>
        </w:tc>
        <w:tc>
          <w:tcPr>
            <w:tcW w:w="1417" w:type="dxa"/>
            <w:vAlign w:val="center"/>
          </w:tcPr>
          <w:p w14:paraId="3B3F99F7">
            <w:pPr>
              <w:spacing w:line="540" w:lineRule="exact"/>
              <w:contextualSpacing/>
              <w:jc w:val="center"/>
              <w:rPr>
                <w:rFonts w:hint="eastAsia" w:ascii="仿宋" w:hAnsi="仿宋" w:eastAsia="仿宋" w:cs="仿宋"/>
                <w:color w:val="auto"/>
                <w:sz w:val="24"/>
                <w:szCs w:val="24"/>
              </w:rPr>
            </w:pPr>
          </w:p>
        </w:tc>
        <w:tc>
          <w:tcPr>
            <w:tcW w:w="965" w:type="dxa"/>
            <w:vAlign w:val="center"/>
          </w:tcPr>
          <w:p w14:paraId="06461FDB">
            <w:pPr>
              <w:spacing w:line="540" w:lineRule="exact"/>
              <w:contextualSpacing/>
              <w:jc w:val="center"/>
              <w:rPr>
                <w:rFonts w:hint="eastAsia" w:ascii="仿宋" w:hAnsi="仿宋" w:eastAsia="仿宋" w:cs="仿宋"/>
                <w:color w:val="auto"/>
                <w:sz w:val="24"/>
                <w:szCs w:val="24"/>
              </w:rPr>
            </w:pPr>
          </w:p>
        </w:tc>
      </w:tr>
      <w:tr w14:paraId="1CBE6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5E8FF74E">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3119" w:type="dxa"/>
            <w:vAlign w:val="center"/>
          </w:tcPr>
          <w:p w14:paraId="638EBE02">
            <w:pPr>
              <w:spacing w:line="540" w:lineRule="exact"/>
              <w:contextualSpacing/>
              <w:jc w:val="center"/>
              <w:rPr>
                <w:rFonts w:hint="eastAsia" w:ascii="仿宋" w:hAnsi="仿宋" w:eastAsia="仿宋" w:cs="仿宋"/>
                <w:color w:val="auto"/>
                <w:sz w:val="24"/>
                <w:szCs w:val="24"/>
              </w:rPr>
            </w:pPr>
          </w:p>
        </w:tc>
        <w:tc>
          <w:tcPr>
            <w:tcW w:w="1417" w:type="dxa"/>
            <w:vAlign w:val="center"/>
          </w:tcPr>
          <w:p w14:paraId="6217AD0E">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49A9BDE7">
            <w:pPr>
              <w:spacing w:line="540" w:lineRule="exact"/>
              <w:contextualSpacing/>
              <w:jc w:val="center"/>
              <w:rPr>
                <w:rFonts w:hint="eastAsia" w:ascii="仿宋" w:hAnsi="仿宋" w:eastAsia="仿宋" w:cs="仿宋"/>
                <w:color w:val="auto"/>
                <w:sz w:val="24"/>
                <w:szCs w:val="24"/>
              </w:rPr>
            </w:pPr>
          </w:p>
        </w:tc>
        <w:tc>
          <w:tcPr>
            <w:tcW w:w="1417" w:type="dxa"/>
            <w:vAlign w:val="center"/>
          </w:tcPr>
          <w:p w14:paraId="06FE9AC9">
            <w:pPr>
              <w:spacing w:line="540" w:lineRule="exact"/>
              <w:contextualSpacing/>
              <w:jc w:val="center"/>
              <w:rPr>
                <w:rFonts w:hint="eastAsia" w:ascii="仿宋" w:hAnsi="仿宋" w:eastAsia="仿宋" w:cs="仿宋"/>
                <w:color w:val="auto"/>
                <w:sz w:val="24"/>
                <w:szCs w:val="24"/>
              </w:rPr>
            </w:pPr>
          </w:p>
        </w:tc>
        <w:tc>
          <w:tcPr>
            <w:tcW w:w="965" w:type="dxa"/>
            <w:vAlign w:val="center"/>
          </w:tcPr>
          <w:p w14:paraId="5BA1ECDA">
            <w:pPr>
              <w:spacing w:line="540" w:lineRule="exact"/>
              <w:contextualSpacing/>
              <w:jc w:val="center"/>
              <w:rPr>
                <w:rFonts w:hint="eastAsia" w:ascii="仿宋" w:hAnsi="仿宋" w:eastAsia="仿宋" w:cs="仿宋"/>
                <w:color w:val="auto"/>
                <w:sz w:val="24"/>
                <w:szCs w:val="24"/>
              </w:rPr>
            </w:pPr>
          </w:p>
        </w:tc>
      </w:tr>
      <w:tr w14:paraId="6F15C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438357B8">
            <w:pPr>
              <w:spacing w:line="540" w:lineRule="exact"/>
              <w:contextualSpacing/>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3119" w:type="dxa"/>
            <w:vAlign w:val="center"/>
          </w:tcPr>
          <w:p w14:paraId="3DE4988D">
            <w:pPr>
              <w:spacing w:line="540" w:lineRule="exact"/>
              <w:contextualSpacing/>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绿化租赁费</w:t>
            </w:r>
          </w:p>
        </w:tc>
        <w:tc>
          <w:tcPr>
            <w:tcW w:w="1417" w:type="dxa"/>
            <w:vAlign w:val="center"/>
          </w:tcPr>
          <w:p w14:paraId="2D9200C7">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1D1A4CF7">
            <w:pPr>
              <w:spacing w:line="540" w:lineRule="exact"/>
              <w:contextualSpacing/>
              <w:jc w:val="center"/>
              <w:rPr>
                <w:rFonts w:hint="eastAsia" w:ascii="仿宋" w:hAnsi="仿宋" w:eastAsia="仿宋" w:cs="仿宋"/>
                <w:color w:val="auto"/>
                <w:sz w:val="24"/>
                <w:szCs w:val="24"/>
              </w:rPr>
            </w:pPr>
          </w:p>
        </w:tc>
        <w:tc>
          <w:tcPr>
            <w:tcW w:w="1417" w:type="dxa"/>
            <w:vAlign w:val="center"/>
          </w:tcPr>
          <w:p w14:paraId="31050F9A">
            <w:pPr>
              <w:spacing w:line="540" w:lineRule="exact"/>
              <w:contextualSpacing/>
              <w:jc w:val="center"/>
              <w:rPr>
                <w:rFonts w:hint="eastAsia" w:ascii="仿宋" w:hAnsi="仿宋" w:eastAsia="仿宋" w:cs="仿宋"/>
                <w:color w:val="auto"/>
                <w:sz w:val="24"/>
                <w:szCs w:val="24"/>
              </w:rPr>
            </w:pPr>
          </w:p>
        </w:tc>
        <w:tc>
          <w:tcPr>
            <w:tcW w:w="965" w:type="dxa"/>
            <w:vAlign w:val="center"/>
          </w:tcPr>
          <w:p w14:paraId="468A5333">
            <w:pPr>
              <w:spacing w:line="540" w:lineRule="exact"/>
              <w:contextualSpacing/>
              <w:jc w:val="center"/>
              <w:rPr>
                <w:rFonts w:hint="eastAsia" w:ascii="仿宋" w:hAnsi="仿宋" w:eastAsia="仿宋" w:cs="仿宋"/>
                <w:color w:val="auto"/>
                <w:sz w:val="24"/>
                <w:szCs w:val="24"/>
                <w:lang w:val="en-US" w:eastAsia="zh-CN"/>
              </w:rPr>
            </w:pPr>
          </w:p>
        </w:tc>
      </w:tr>
      <w:tr w14:paraId="56C85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14:paraId="2104C6A4">
            <w:pPr>
              <w:spacing w:line="540" w:lineRule="exact"/>
              <w:contextualSpacing/>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w:t>
            </w:r>
          </w:p>
        </w:tc>
        <w:tc>
          <w:tcPr>
            <w:tcW w:w="3119" w:type="dxa"/>
            <w:vAlign w:val="center"/>
          </w:tcPr>
          <w:p w14:paraId="467D1CA9">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其他</w:t>
            </w:r>
          </w:p>
        </w:tc>
        <w:tc>
          <w:tcPr>
            <w:tcW w:w="1417" w:type="dxa"/>
            <w:vAlign w:val="center"/>
          </w:tcPr>
          <w:p w14:paraId="2BF136F7">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68F738FF">
            <w:pPr>
              <w:spacing w:line="540" w:lineRule="exact"/>
              <w:contextualSpacing/>
              <w:jc w:val="center"/>
              <w:rPr>
                <w:rFonts w:hint="eastAsia" w:ascii="仿宋" w:hAnsi="仿宋" w:eastAsia="仿宋" w:cs="仿宋"/>
                <w:color w:val="auto"/>
                <w:sz w:val="24"/>
                <w:szCs w:val="24"/>
              </w:rPr>
            </w:pPr>
          </w:p>
        </w:tc>
        <w:tc>
          <w:tcPr>
            <w:tcW w:w="1417" w:type="dxa"/>
            <w:vAlign w:val="center"/>
          </w:tcPr>
          <w:p w14:paraId="42D0F936">
            <w:pPr>
              <w:spacing w:line="540" w:lineRule="exact"/>
              <w:contextualSpacing/>
              <w:jc w:val="center"/>
              <w:rPr>
                <w:rFonts w:hint="eastAsia" w:ascii="仿宋" w:hAnsi="仿宋" w:eastAsia="仿宋" w:cs="仿宋"/>
                <w:color w:val="auto"/>
                <w:sz w:val="24"/>
                <w:szCs w:val="24"/>
              </w:rPr>
            </w:pPr>
          </w:p>
        </w:tc>
        <w:tc>
          <w:tcPr>
            <w:tcW w:w="965" w:type="dxa"/>
            <w:vAlign w:val="center"/>
          </w:tcPr>
          <w:p w14:paraId="3426995B">
            <w:pPr>
              <w:spacing w:line="540" w:lineRule="exact"/>
              <w:contextualSpacing/>
              <w:jc w:val="center"/>
              <w:rPr>
                <w:rFonts w:hint="eastAsia" w:ascii="仿宋" w:hAnsi="仿宋" w:eastAsia="仿宋" w:cs="仿宋"/>
                <w:color w:val="auto"/>
                <w:sz w:val="24"/>
                <w:szCs w:val="24"/>
              </w:rPr>
            </w:pPr>
          </w:p>
        </w:tc>
      </w:tr>
      <w:tr w14:paraId="77538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14:paraId="687CFB5D">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3119" w:type="dxa"/>
            <w:vAlign w:val="center"/>
          </w:tcPr>
          <w:p w14:paraId="74C11F58">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1417" w:type="dxa"/>
            <w:vAlign w:val="center"/>
          </w:tcPr>
          <w:p w14:paraId="40A7CE6A">
            <w:pPr>
              <w:spacing w:line="540" w:lineRule="exact"/>
              <w:contextualSpacing/>
              <w:jc w:val="center"/>
              <w:rPr>
                <w:rFonts w:hint="eastAsia" w:ascii="仿宋" w:hAnsi="仿宋" w:eastAsia="仿宋" w:cs="仿宋"/>
                <w:color w:val="auto"/>
                <w:sz w:val="24"/>
                <w:szCs w:val="24"/>
              </w:rPr>
            </w:pPr>
            <w:r>
              <w:rPr>
                <w:rFonts w:hint="eastAsia" w:ascii="仿宋" w:hAnsi="仿宋" w:eastAsia="仿宋" w:cs="仿宋"/>
                <w:color w:val="auto"/>
                <w:sz w:val="24"/>
                <w:szCs w:val="24"/>
              </w:rPr>
              <w:t>/年</w:t>
            </w:r>
          </w:p>
        </w:tc>
        <w:tc>
          <w:tcPr>
            <w:tcW w:w="851" w:type="dxa"/>
            <w:vAlign w:val="center"/>
          </w:tcPr>
          <w:p w14:paraId="11E6ECA9">
            <w:pPr>
              <w:spacing w:line="540" w:lineRule="exact"/>
              <w:contextualSpacing/>
              <w:jc w:val="center"/>
              <w:rPr>
                <w:rFonts w:hint="eastAsia" w:ascii="仿宋" w:hAnsi="仿宋" w:eastAsia="仿宋" w:cs="仿宋"/>
                <w:color w:val="auto"/>
                <w:sz w:val="24"/>
                <w:szCs w:val="24"/>
              </w:rPr>
            </w:pPr>
          </w:p>
        </w:tc>
        <w:tc>
          <w:tcPr>
            <w:tcW w:w="1417" w:type="dxa"/>
            <w:vAlign w:val="center"/>
          </w:tcPr>
          <w:p w14:paraId="49421996">
            <w:pPr>
              <w:spacing w:line="540" w:lineRule="exact"/>
              <w:contextualSpacing/>
              <w:jc w:val="center"/>
              <w:rPr>
                <w:rFonts w:hint="eastAsia" w:ascii="仿宋" w:hAnsi="仿宋" w:eastAsia="仿宋" w:cs="仿宋"/>
                <w:color w:val="auto"/>
                <w:sz w:val="24"/>
                <w:szCs w:val="24"/>
              </w:rPr>
            </w:pPr>
          </w:p>
        </w:tc>
        <w:tc>
          <w:tcPr>
            <w:tcW w:w="965" w:type="dxa"/>
            <w:vAlign w:val="center"/>
          </w:tcPr>
          <w:p w14:paraId="043FD7F6">
            <w:pPr>
              <w:spacing w:line="540" w:lineRule="exact"/>
              <w:contextualSpacing/>
              <w:jc w:val="center"/>
              <w:rPr>
                <w:rFonts w:hint="eastAsia" w:ascii="仿宋" w:hAnsi="仿宋" w:eastAsia="仿宋" w:cs="仿宋"/>
                <w:color w:val="auto"/>
                <w:sz w:val="24"/>
                <w:szCs w:val="24"/>
              </w:rPr>
            </w:pPr>
          </w:p>
        </w:tc>
      </w:tr>
      <w:tr w14:paraId="136F6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204" w:type="dxa"/>
            <w:gridSpan w:val="4"/>
            <w:vAlign w:val="center"/>
          </w:tcPr>
          <w:p w14:paraId="02164C39">
            <w:pPr>
              <w:spacing w:line="54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投标报价（小写）</w:t>
            </w:r>
          </w:p>
        </w:tc>
        <w:tc>
          <w:tcPr>
            <w:tcW w:w="2382" w:type="dxa"/>
            <w:gridSpan w:val="2"/>
            <w:shd w:val="clear" w:color="auto" w:fill="auto"/>
          </w:tcPr>
          <w:p w14:paraId="429CAE8B">
            <w:pPr>
              <w:spacing w:line="540" w:lineRule="exact"/>
              <w:contextualSpacing/>
              <w:rPr>
                <w:rFonts w:hint="eastAsia" w:ascii="仿宋" w:hAnsi="仿宋" w:eastAsia="仿宋" w:cs="仿宋"/>
                <w:color w:val="auto"/>
                <w:sz w:val="24"/>
                <w:szCs w:val="24"/>
              </w:rPr>
            </w:pPr>
          </w:p>
        </w:tc>
      </w:tr>
      <w:tr w14:paraId="7A846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6204" w:type="dxa"/>
            <w:gridSpan w:val="4"/>
            <w:vAlign w:val="center"/>
          </w:tcPr>
          <w:p w14:paraId="144A5150">
            <w:pPr>
              <w:spacing w:line="54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投标报价（大写）</w:t>
            </w:r>
          </w:p>
        </w:tc>
        <w:tc>
          <w:tcPr>
            <w:tcW w:w="2382" w:type="dxa"/>
            <w:gridSpan w:val="2"/>
            <w:shd w:val="clear" w:color="auto" w:fill="auto"/>
          </w:tcPr>
          <w:p w14:paraId="7BDB256B">
            <w:pPr>
              <w:spacing w:line="540" w:lineRule="exact"/>
              <w:contextualSpacing/>
              <w:rPr>
                <w:rFonts w:hint="eastAsia" w:ascii="仿宋" w:hAnsi="仿宋" w:eastAsia="仿宋" w:cs="仿宋"/>
                <w:color w:val="auto"/>
                <w:sz w:val="24"/>
                <w:szCs w:val="24"/>
              </w:rPr>
            </w:pPr>
          </w:p>
        </w:tc>
      </w:tr>
    </w:tbl>
    <w:p w14:paraId="0BAEEC11">
      <w:pPr>
        <w:snapToGrid w:val="0"/>
        <w:spacing w:line="360" w:lineRule="auto"/>
        <w:ind w:left="480"/>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3656EAC5">
      <w:pPr>
        <w:numPr>
          <w:ilvl w:val="0"/>
          <w:numId w:val="14"/>
        </w:numPr>
        <w:snapToGrid w:val="0"/>
        <w:spacing w:line="360" w:lineRule="auto"/>
        <w:ind w:firstLine="482"/>
        <w:rPr>
          <w:rFonts w:hint="eastAsia" w:ascii="仿宋" w:hAnsi="仿宋" w:eastAsia="仿宋" w:cs="仿宋"/>
          <w:b/>
          <w:color w:val="auto"/>
          <w:sz w:val="24"/>
          <w:szCs w:val="24"/>
        </w:rPr>
      </w:pPr>
      <w:r>
        <w:rPr>
          <w:rFonts w:hint="eastAsia" w:ascii="仿宋" w:hAnsi="仿宋" w:eastAsia="仿宋" w:cs="仿宋"/>
          <w:b/>
          <w:color w:val="auto"/>
          <w:sz w:val="24"/>
          <w:szCs w:val="24"/>
        </w:rPr>
        <w:t>投标报价中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20DF6E35">
      <w:pPr>
        <w:pStyle w:val="2"/>
        <w:numPr>
          <w:ilvl w:val="0"/>
          <w:numId w:val="14"/>
        </w:numPr>
        <w:rPr>
          <w:rFonts w:hint="eastAsia"/>
          <w:b/>
          <w:bCs/>
          <w:color w:val="auto"/>
        </w:rPr>
      </w:pPr>
      <w:r>
        <w:rPr>
          <w:rFonts w:hint="eastAsia" w:ascii="仿宋" w:hAnsi="仿宋" w:eastAsia="仿宋" w:cs="仿宋"/>
          <w:b/>
          <w:bCs/>
          <w:color w:val="auto"/>
          <w:sz w:val="24"/>
          <w:szCs w:val="24"/>
          <w:lang w:val="en-US" w:eastAsia="zh-CN"/>
        </w:rPr>
        <w:t>绿化租赁费指</w:t>
      </w:r>
      <w:r>
        <w:rPr>
          <w:rFonts w:hint="eastAsia" w:ascii="仿宋" w:hAnsi="仿宋" w:eastAsia="仿宋" w:cs="仿宋"/>
          <w:b/>
          <w:bCs/>
          <w:color w:val="auto"/>
          <w:sz w:val="24"/>
          <w:highlight w:val="none"/>
          <w:u w:val="none"/>
        </w:rPr>
        <w:t>室内公共区域的绿化服务</w:t>
      </w:r>
      <w:r>
        <w:rPr>
          <w:rFonts w:hint="eastAsia" w:ascii="仿宋" w:hAnsi="仿宋" w:eastAsia="仿宋" w:cs="仿宋"/>
          <w:b/>
          <w:bCs/>
          <w:color w:val="auto"/>
          <w:sz w:val="24"/>
          <w:highlight w:val="none"/>
          <w:u w:val="none"/>
          <w:lang w:val="en-US" w:eastAsia="zh-CN"/>
        </w:rPr>
        <w:t>费</w:t>
      </w:r>
      <w:r>
        <w:rPr>
          <w:rFonts w:hint="eastAsia" w:ascii="仿宋" w:hAnsi="仿宋" w:eastAsia="仿宋" w:cs="仿宋"/>
          <w:b/>
          <w:bCs/>
          <w:color w:val="auto"/>
          <w:sz w:val="24"/>
          <w:highlight w:val="none"/>
          <w:u w:val="none"/>
        </w:rPr>
        <w:t>（不包含室外及办公室内部）</w:t>
      </w:r>
      <w:r>
        <w:rPr>
          <w:rFonts w:hint="eastAsia" w:ascii="仿宋" w:hAnsi="仿宋" w:eastAsia="仿宋" w:cs="仿宋"/>
          <w:b/>
          <w:bCs/>
          <w:color w:val="auto"/>
          <w:sz w:val="24"/>
          <w:highlight w:val="none"/>
          <w:u w:val="none"/>
          <w:lang w:eastAsia="zh-CN"/>
        </w:rPr>
        <w:t>，</w:t>
      </w:r>
      <w:r>
        <w:rPr>
          <w:rFonts w:hint="eastAsia" w:ascii="仿宋" w:hAnsi="仿宋" w:eastAsia="仿宋" w:cs="仿宋"/>
          <w:b/>
          <w:bCs/>
          <w:color w:val="auto"/>
          <w:sz w:val="24"/>
          <w:highlight w:val="none"/>
          <w:u w:val="none"/>
          <w:lang w:val="en-US" w:eastAsia="zh-CN"/>
        </w:rPr>
        <w:t>绿化植物可采取租赁形式，租金按市场价应不低于30万元/年</w:t>
      </w:r>
      <w:r>
        <w:rPr>
          <w:rFonts w:hint="eastAsia" w:ascii="仿宋" w:hAnsi="仿宋" w:eastAsia="仿宋" w:cs="仿宋"/>
          <w:b/>
          <w:bCs/>
          <w:color w:val="auto"/>
          <w:sz w:val="24"/>
          <w:highlight w:val="none"/>
          <w:u w:val="none"/>
        </w:rPr>
        <w:t>。</w:t>
      </w:r>
    </w:p>
    <w:p w14:paraId="5121338C">
      <w:pPr>
        <w:snapToGrid w:val="0"/>
        <w:spacing w:line="360" w:lineRule="auto"/>
        <w:ind w:firstLine="482"/>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、特别提示：采购代理机构将对项目名称和项目编号，中标供应商名称、地址和中标金额，主要中标标的的名称、规格型号、数量、单价、服务要求等予以公示。</w:t>
      </w:r>
    </w:p>
    <w:p w14:paraId="48E5939E">
      <w:pPr>
        <w:snapToGrid w:val="0"/>
        <w:spacing w:line="360" w:lineRule="auto"/>
        <w:ind w:firstLine="482"/>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EE5669A">
      <w:pPr>
        <w:snapToGrid w:val="0"/>
        <w:spacing w:line="360" w:lineRule="auto"/>
        <w:ind w:firstLine="482"/>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、投标报价一经涂改，应在涂改处加盖单位公章或投标人代表签字（或盖章），否则其投标作无效标处理。</w:t>
      </w:r>
    </w:p>
    <w:p w14:paraId="3C211E25">
      <w:pPr>
        <w:snapToGrid w:val="0"/>
        <w:spacing w:line="360" w:lineRule="auto"/>
        <w:ind w:firstLine="482"/>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投标报价应包括产品、产品标准配件、备品备件、专用工具、包装、工时、运输、装卸、保险、税金、设备保护、安装、调试与试运行、培训、保修、售后服务费、工程配套费、以及实施本项目所需的其他一切费用。</w:t>
      </w:r>
    </w:p>
    <w:p w14:paraId="2689C1E6">
      <w:pPr>
        <w:spacing w:line="540" w:lineRule="exact"/>
        <w:contextualSpacing/>
        <w:rPr>
          <w:rFonts w:hint="eastAsia" w:ascii="仿宋" w:hAnsi="仿宋" w:eastAsia="仿宋" w:cs="仿宋"/>
          <w:color w:val="auto"/>
          <w:sz w:val="24"/>
          <w:szCs w:val="24"/>
        </w:rPr>
      </w:pPr>
    </w:p>
    <w:p w14:paraId="72B9DEF8">
      <w:pPr>
        <w:spacing w:line="540" w:lineRule="exact"/>
        <w:ind w:right="960"/>
        <w:contextualSpacing/>
        <w:jc w:val="right"/>
        <w:rPr>
          <w:rFonts w:hint="eastAsia" w:ascii="仿宋" w:hAnsi="仿宋" w:eastAsia="仿宋" w:cs="仿宋"/>
          <w:color w:val="auto"/>
          <w:sz w:val="24"/>
          <w:szCs w:val="24"/>
        </w:rPr>
      </w:pPr>
      <w:r>
        <w:rPr>
          <w:rFonts w:hint="eastAsia" w:ascii="仿宋" w:hAnsi="仿宋" w:eastAsia="仿宋" w:cs="仿宋"/>
          <w:color w:val="auto"/>
          <w:sz w:val="24"/>
          <w:szCs w:val="24"/>
        </w:rPr>
        <w:t>投标人名称(电子签名)：</w:t>
      </w:r>
    </w:p>
    <w:p w14:paraId="6FCBA7AF">
      <w:pPr>
        <w:pStyle w:val="30"/>
        <w:keepNext w:val="0"/>
        <w:pageBreakBefore w:val="0"/>
        <w:tabs>
          <w:tab w:val="clear" w:pos="720"/>
        </w:tabs>
        <w:snapToGrid w:val="0"/>
        <w:spacing w:before="120" w:after="120"/>
        <w:ind w:firstLine="643"/>
        <w:outlineLvl w:val="9"/>
        <w:rPr>
          <w:rFonts w:hint="eastAsia" w:ascii="仿宋" w:hAnsi="仿宋" w:eastAsia="仿宋" w:cs="仿宋"/>
          <w:b w:val="0"/>
          <w:color w:val="auto"/>
          <w:kern w:val="2"/>
          <w:sz w:val="32"/>
          <w:szCs w:val="32"/>
        </w:rPr>
      </w:pPr>
      <w:r>
        <w:rPr>
          <w:rFonts w:hint="eastAsia" w:ascii="仿宋" w:hAnsi="仿宋" w:eastAsia="仿宋" w:cs="仿宋"/>
          <w:b w:val="0"/>
          <w:color w:val="auto"/>
          <w:sz w:val="24"/>
          <w:szCs w:val="24"/>
        </w:rPr>
        <w:t xml:space="preserve">                               日期：   年   月   日</w:t>
      </w:r>
    </w:p>
    <w:p w14:paraId="5E393CE3">
      <w:pPr>
        <w:pStyle w:val="3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50488E73">
      <w:pPr>
        <w:pStyle w:val="3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2204271C">
      <w:pPr>
        <w:pStyle w:val="30"/>
        <w:keepNext w:val="0"/>
        <w:pageBreakBefore w:val="0"/>
        <w:tabs>
          <w:tab w:val="clear" w:pos="720"/>
        </w:tabs>
        <w:snapToGrid w:val="0"/>
        <w:spacing w:before="120" w:after="120"/>
        <w:jc w:val="both"/>
        <w:outlineLvl w:val="9"/>
        <w:rPr>
          <w:rFonts w:hint="eastAsia" w:ascii="仿宋" w:hAnsi="仿宋" w:eastAsia="仿宋" w:cs="仿宋"/>
          <w:color w:val="auto"/>
          <w:kern w:val="2"/>
          <w:sz w:val="32"/>
          <w:szCs w:val="32"/>
        </w:rPr>
      </w:pPr>
    </w:p>
    <w:p w14:paraId="5CC50C88">
      <w:pPr>
        <w:widowControl/>
        <w:jc w:val="left"/>
        <w:rPr>
          <w:rFonts w:hint="eastAsia" w:ascii="仿宋" w:hAnsi="仿宋" w:eastAsia="仿宋" w:cs="仿宋"/>
          <w:b/>
          <w:color w:val="auto"/>
          <w:sz w:val="32"/>
          <w:szCs w:val="32"/>
        </w:rPr>
      </w:pPr>
      <w:r>
        <w:rPr>
          <w:rFonts w:hint="eastAsia" w:ascii="仿宋" w:hAnsi="仿宋" w:eastAsia="仿宋" w:cs="仿宋"/>
          <w:color w:val="auto"/>
          <w:sz w:val="32"/>
          <w:szCs w:val="32"/>
        </w:rPr>
        <w:br w:type="page"/>
      </w:r>
    </w:p>
    <w:p w14:paraId="029C9001">
      <w:pPr>
        <w:pStyle w:val="30"/>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pgSz w:w="11906" w:h="16838"/>
          <w:pgMar w:top="765" w:right="1418" w:bottom="471" w:left="1418" w:header="851" w:footer="992" w:gutter="0"/>
          <w:pgNumType w:fmt="decimal"/>
          <w:cols w:space="720" w:num="1"/>
          <w:docGrid w:linePitch="312" w:charSpace="0"/>
        </w:sectPr>
      </w:pPr>
    </w:p>
    <w:p w14:paraId="26021E67">
      <w:pPr>
        <w:spacing w:line="360" w:lineRule="auto"/>
        <w:jc w:val="center"/>
        <w:rPr>
          <w:rFonts w:hint="eastAsia" w:ascii="仿宋" w:hAnsi="仿宋" w:eastAsia="仿宋" w:cs="仿宋"/>
          <w:b/>
          <w:color w:val="auto"/>
          <w:spacing w:val="6"/>
          <w:sz w:val="44"/>
          <w:szCs w:val="44"/>
        </w:rPr>
      </w:pPr>
      <w:bookmarkStart w:id="414" w:name="_Toc465665161"/>
      <w:r>
        <w:rPr>
          <w:rFonts w:hint="eastAsia" w:ascii="仿宋" w:hAnsi="仿宋" w:eastAsia="仿宋" w:cs="仿宋"/>
          <w:b/>
          <w:color w:val="auto"/>
          <w:spacing w:val="6"/>
          <w:sz w:val="44"/>
          <w:szCs w:val="44"/>
        </w:rPr>
        <w:t>附件</w:t>
      </w:r>
      <w:bookmarkEnd w:id="414"/>
    </w:p>
    <w:p w14:paraId="557B3B3B">
      <w:pPr>
        <w:spacing w:line="360" w:lineRule="auto"/>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w:t>
      </w:r>
    </w:p>
    <w:p w14:paraId="3D19D9FA">
      <w:pPr>
        <w:spacing w:line="360" w:lineRule="auto"/>
        <w:jc w:val="center"/>
        <w:rPr>
          <w:rFonts w:hint="eastAsia" w:ascii="仿宋" w:hAnsi="仿宋" w:eastAsia="仿宋" w:cs="仿宋"/>
          <w:b/>
          <w:color w:val="auto"/>
          <w:spacing w:val="6"/>
          <w:sz w:val="32"/>
          <w:szCs w:val="32"/>
        </w:rPr>
      </w:pPr>
      <w:bookmarkStart w:id="415" w:name="OLE_LINK13"/>
      <w:bookmarkStart w:id="416" w:name="OLE_LINK14"/>
      <w:r>
        <w:rPr>
          <w:rFonts w:hint="eastAsia" w:ascii="仿宋" w:hAnsi="仿宋" w:eastAsia="仿宋" w:cs="仿宋"/>
          <w:b/>
          <w:color w:val="auto"/>
          <w:spacing w:val="6"/>
          <w:sz w:val="32"/>
          <w:szCs w:val="32"/>
        </w:rPr>
        <w:t>残疾人福利性单位声明函</w:t>
      </w:r>
    </w:p>
    <w:bookmarkEnd w:id="415"/>
    <w:bookmarkEnd w:id="416"/>
    <w:p w14:paraId="1A67F044">
      <w:pPr>
        <w:spacing w:line="360" w:lineRule="auto"/>
        <w:rPr>
          <w:rFonts w:hint="eastAsia" w:ascii="仿宋" w:hAnsi="仿宋" w:eastAsia="仿宋" w:cs="仿宋"/>
          <w:b/>
          <w:color w:val="auto"/>
          <w:spacing w:val="6"/>
          <w:sz w:val="30"/>
          <w:szCs w:val="30"/>
        </w:rPr>
      </w:pPr>
    </w:p>
    <w:p w14:paraId="41B9568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34EC3F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6152365B">
      <w:pPr>
        <w:spacing w:line="360" w:lineRule="auto"/>
        <w:ind w:firstLine="480" w:firstLineChars="200"/>
        <w:rPr>
          <w:rFonts w:hint="eastAsia" w:ascii="仿宋" w:hAnsi="仿宋" w:eastAsia="仿宋" w:cs="仿宋"/>
          <w:color w:val="auto"/>
          <w:sz w:val="24"/>
        </w:rPr>
      </w:pPr>
    </w:p>
    <w:p w14:paraId="770E5CD9">
      <w:pPr>
        <w:spacing w:line="360" w:lineRule="auto"/>
        <w:ind w:firstLine="480" w:firstLineChars="200"/>
        <w:rPr>
          <w:rFonts w:hint="eastAsia" w:ascii="仿宋" w:hAnsi="仿宋" w:eastAsia="仿宋" w:cs="仿宋"/>
          <w:color w:val="auto"/>
          <w:sz w:val="24"/>
        </w:rPr>
      </w:pPr>
    </w:p>
    <w:p w14:paraId="64716069">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kern w:val="0"/>
          <w:sz w:val="24"/>
          <w:lang w:val="zh-CN"/>
        </w:rPr>
        <w:t xml:space="preserve">                             投标人名称（电子签名）</w:t>
      </w:r>
      <w:r>
        <w:rPr>
          <w:rFonts w:hint="eastAsia" w:ascii="仿宋" w:hAnsi="仿宋" w:eastAsia="仿宋" w:cs="仿宋"/>
          <w:color w:val="auto"/>
          <w:sz w:val="24"/>
        </w:rPr>
        <w:t>：</w:t>
      </w:r>
    </w:p>
    <w:p w14:paraId="5138074F">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日期：</w:t>
      </w:r>
    </w:p>
    <w:p w14:paraId="2797F73F">
      <w:pPr>
        <w:spacing w:line="360" w:lineRule="auto"/>
        <w:ind w:firstLine="480" w:firstLineChars="200"/>
        <w:rPr>
          <w:rFonts w:hint="eastAsia" w:ascii="仿宋" w:hAnsi="仿宋" w:eastAsia="仿宋" w:cs="仿宋"/>
          <w:color w:val="auto"/>
          <w:sz w:val="24"/>
        </w:rPr>
      </w:pPr>
    </w:p>
    <w:p w14:paraId="585CFBD6">
      <w:pPr>
        <w:spacing w:line="360" w:lineRule="auto"/>
        <w:ind w:firstLine="420" w:firstLineChars="200"/>
        <w:rPr>
          <w:rFonts w:hint="eastAsia" w:ascii="仿宋" w:hAnsi="仿宋" w:eastAsia="仿宋" w:cs="仿宋"/>
          <w:color w:val="auto"/>
        </w:rPr>
      </w:pPr>
    </w:p>
    <w:p w14:paraId="56A255BB">
      <w:pPr>
        <w:spacing w:line="360" w:lineRule="auto"/>
        <w:ind w:firstLine="420" w:firstLineChars="200"/>
        <w:rPr>
          <w:rFonts w:hint="eastAsia" w:ascii="仿宋" w:hAnsi="仿宋" w:eastAsia="仿宋" w:cs="仿宋"/>
          <w:color w:val="auto"/>
        </w:rPr>
      </w:pPr>
    </w:p>
    <w:p w14:paraId="75298CED">
      <w:pPr>
        <w:spacing w:line="360" w:lineRule="auto"/>
        <w:ind w:firstLine="420" w:firstLineChars="200"/>
        <w:rPr>
          <w:rFonts w:hint="eastAsia" w:ascii="仿宋" w:hAnsi="仿宋" w:eastAsia="仿宋" w:cs="仿宋"/>
          <w:color w:val="auto"/>
        </w:rPr>
      </w:pPr>
    </w:p>
    <w:p w14:paraId="5B8C5FE6">
      <w:pPr>
        <w:spacing w:line="360" w:lineRule="auto"/>
        <w:ind w:firstLine="420" w:firstLineChars="200"/>
        <w:rPr>
          <w:rFonts w:hint="eastAsia" w:ascii="仿宋" w:hAnsi="仿宋" w:eastAsia="仿宋" w:cs="仿宋"/>
          <w:color w:val="auto"/>
        </w:rPr>
      </w:pPr>
    </w:p>
    <w:p w14:paraId="793FEE1A">
      <w:pPr>
        <w:spacing w:line="360" w:lineRule="auto"/>
        <w:rPr>
          <w:rFonts w:hint="eastAsia" w:ascii="仿宋" w:hAnsi="仿宋" w:eastAsia="仿宋" w:cs="仿宋"/>
          <w:b/>
          <w:color w:val="auto"/>
          <w:sz w:val="24"/>
        </w:rPr>
      </w:pPr>
    </w:p>
    <w:p w14:paraId="77BC2771">
      <w:pPr>
        <w:spacing w:line="360" w:lineRule="auto"/>
        <w:rPr>
          <w:rFonts w:hint="eastAsia" w:ascii="仿宋" w:hAnsi="仿宋" w:eastAsia="仿宋" w:cs="仿宋"/>
          <w:b/>
          <w:color w:val="auto"/>
          <w:sz w:val="24"/>
        </w:rPr>
      </w:pPr>
    </w:p>
    <w:p w14:paraId="4B5F1B50">
      <w:pPr>
        <w:spacing w:line="360" w:lineRule="auto"/>
        <w:rPr>
          <w:rFonts w:hint="eastAsia" w:ascii="仿宋" w:hAnsi="仿宋" w:eastAsia="仿宋" w:cs="仿宋"/>
          <w:b/>
          <w:color w:val="auto"/>
          <w:sz w:val="24"/>
        </w:rPr>
      </w:pPr>
    </w:p>
    <w:p w14:paraId="3EA87FD6">
      <w:pPr>
        <w:spacing w:line="360" w:lineRule="auto"/>
        <w:rPr>
          <w:rFonts w:hint="eastAsia" w:ascii="仿宋" w:hAnsi="仿宋" w:eastAsia="仿宋" w:cs="仿宋"/>
          <w:b/>
          <w:color w:val="auto"/>
          <w:sz w:val="24"/>
        </w:rPr>
      </w:pPr>
    </w:p>
    <w:p w14:paraId="0CE2EC48">
      <w:pPr>
        <w:spacing w:line="360" w:lineRule="auto"/>
        <w:rPr>
          <w:rFonts w:hint="eastAsia" w:ascii="仿宋" w:hAnsi="仿宋" w:eastAsia="仿宋" w:cs="仿宋"/>
          <w:b/>
          <w:color w:val="auto"/>
          <w:sz w:val="24"/>
        </w:rPr>
      </w:pPr>
    </w:p>
    <w:p w14:paraId="7BEBF05E">
      <w:pPr>
        <w:spacing w:line="360" w:lineRule="auto"/>
        <w:rPr>
          <w:rFonts w:hint="eastAsia" w:ascii="仿宋" w:hAnsi="仿宋" w:eastAsia="仿宋" w:cs="仿宋"/>
          <w:b/>
          <w:color w:val="auto"/>
          <w:sz w:val="24"/>
        </w:rPr>
      </w:pPr>
    </w:p>
    <w:p w14:paraId="15130C5A">
      <w:pPr>
        <w:spacing w:line="360" w:lineRule="auto"/>
        <w:rPr>
          <w:rFonts w:hint="eastAsia" w:ascii="仿宋" w:hAnsi="仿宋" w:eastAsia="仿宋" w:cs="仿宋"/>
          <w:b/>
          <w:color w:val="auto"/>
          <w:sz w:val="24"/>
        </w:rPr>
      </w:pPr>
    </w:p>
    <w:p w14:paraId="1EDFECFC">
      <w:pPr>
        <w:spacing w:line="360" w:lineRule="auto"/>
        <w:rPr>
          <w:rFonts w:hint="eastAsia" w:ascii="仿宋" w:hAnsi="仿宋" w:eastAsia="仿宋" w:cs="仿宋"/>
          <w:b/>
          <w:color w:val="auto"/>
          <w:sz w:val="24"/>
        </w:rPr>
      </w:pPr>
    </w:p>
    <w:p w14:paraId="478B77C4">
      <w:pPr>
        <w:spacing w:line="360" w:lineRule="auto"/>
        <w:rPr>
          <w:rFonts w:hint="eastAsia" w:ascii="仿宋" w:hAnsi="仿宋" w:eastAsia="仿宋" w:cs="仿宋"/>
          <w:b/>
          <w:color w:val="auto"/>
          <w:sz w:val="24"/>
        </w:rPr>
      </w:pPr>
    </w:p>
    <w:p w14:paraId="4BF332CB">
      <w:pPr>
        <w:spacing w:line="360" w:lineRule="auto"/>
        <w:rPr>
          <w:rFonts w:hint="eastAsia" w:ascii="仿宋" w:hAnsi="仿宋" w:eastAsia="仿宋" w:cs="仿宋"/>
          <w:b/>
          <w:color w:val="auto"/>
          <w:sz w:val="24"/>
        </w:rPr>
      </w:pPr>
    </w:p>
    <w:p w14:paraId="5E0DF0DB">
      <w:pPr>
        <w:widowControl/>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5F9B4A99">
      <w:pPr>
        <w:autoSpaceDE w:val="0"/>
        <w:autoSpaceDN w:val="0"/>
        <w:rPr>
          <w:rFonts w:hint="eastAsia"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附件2：</w:t>
      </w:r>
      <w:r>
        <w:rPr>
          <w:rFonts w:hint="eastAsia" w:ascii="仿宋" w:hAnsi="仿宋" w:eastAsia="仿宋" w:cs="仿宋"/>
          <w:b/>
          <w:color w:val="auto"/>
          <w:kern w:val="0"/>
          <w:sz w:val="32"/>
          <w:szCs w:val="32"/>
          <w:lang w:val="zh-CN"/>
        </w:rPr>
        <w:t>联合协议（若有）</w:t>
      </w:r>
    </w:p>
    <w:p w14:paraId="12047C12">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5443784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 xml:space="preserve">投标。 </w:t>
      </w:r>
    </w:p>
    <w:p w14:paraId="59440405">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7D3A7B26">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78FDC61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39A0B9BC">
      <w:pPr>
        <w:snapToGrid w:val="0"/>
        <w:spacing w:line="360" w:lineRule="auto"/>
        <w:ind w:firstLine="576"/>
        <w:rPr>
          <w:rFonts w:hint="eastAsia" w:ascii="仿宋" w:hAnsi="仿宋" w:eastAsia="仿宋" w:cs="仿宋"/>
          <w:color w:val="auto"/>
          <w:kern w:val="0"/>
          <w:sz w:val="24"/>
          <w:lang w:val="zh-CN"/>
        </w:rPr>
      </w:pPr>
      <w:bookmarkStart w:id="417" w:name="_Hlk101134295"/>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694AFD26">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127494AB">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bookmarkEnd w:id="417"/>
    <w:p w14:paraId="21CB9945">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119CD692">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  %，小微企业合同金额达到   %</w:t>
      </w:r>
      <w:r>
        <w:rPr>
          <w:rFonts w:hint="eastAsia" w:ascii="仿宋" w:hAnsi="仿宋" w:eastAsia="仿宋" w:cs="仿宋"/>
          <w:color w:val="auto"/>
          <w:kern w:val="0"/>
          <w:sz w:val="24"/>
          <w:lang w:val="zh-CN"/>
        </w:rPr>
        <w:t>。</w:t>
      </w:r>
    </w:p>
    <w:p w14:paraId="332406F2">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35B31067">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1675B41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5776E70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668F075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1F1D3BBC">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9883F28">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54EA7EFF">
      <w:pPr>
        <w:spacing w:line="360" w:lineRule="auto"/>
        <w:ind w:right="420"/>
        <w:rPr>
          <w:rFonts w:hint="eastAsia" w:ascii="仿宋" w:hAnsi="仿宋" w:eastAsia="仿宋" w:cs="仿宋"/>
          <w:color w:val="auto"/>
          <w:sz w:val="24"/>
        </w:rPr>
      </w:pPr>
    </w:p>
    <w:p w14:paraId="32368C2C">
      <w:pPr>
        <w:autoSpaceDE w:val="0"/>
        <w:autoSpaceDN w:val="0"/>
        <w:jc w:val="center"/>
        <w:rPr>
          <w:rFonts w:hint="eastAsia" w:ascii="仿宋" w:hAnsi="仿宋" w:eastAsia="仿宋" w:cs="仿宋"/>
          <w:b/>
          <w:color w:val="auto"/>
          <w:spacing w:val="6"/>
          <w:sz w:val="32"/>
          <w:szCs w:val="32"/>
        </w:rPr>
      </w:pPr>
    </w:p>
    <w:p w14:paraId="69435F99">
      <w:pPr>
        <w:autoSpaceDE w:val="0"/>
        <w:autoSpaceDN w:val="0"/>
        <w:jc w:val="center"/>
        <w:rPr>
          <w:rFonts w:hint="eastAsia" w:ascii="仿宋" w:hAnsi="仿宋" w:eastAsia="仿宋" w:cs="仿宋"/>
          <w:b/>
          <w:color w:val="auto"/>
          <w:spacing w:val="6"/>
          <w:sz w:val="32"/>
          <w:szCs w:val="32"/>
        </w:rPr>
      </w:pPr>
    </w:p>
    <w:p w14:paraId="3EEF3179">
      <w:pPr>
        <w:autoSpaceDE w:val="0"/>
        <w:autoSpaceDN w:val="0"/>
        <w:jc w:val="center"/>
        <w:rPr>
          <w:rFonts w:hint="eastAsia" w:ascii="仿宋" w:hAnsi="仿宋" w:eastAsia="仿宋" w:cs="仿宋"/>
          <w:b/>
          <w:color w:val="auto"/>
          <w:spacing w:val="6"/>
          <w:sz w:val="32"/>
          <w:szCs w:val="32"/>
        </w:rPr>
      </w:pPr>
    </w:p>
    <w:p w14:paraId="43B8B6F9">
      <w:pPr>
        <w:autoSpaceDE w:val="0"/>
        <w:autoSpaceDN w:val="0"/>
        <w:jc w:val="center"/>
        <w:rPr>
          <w:rFonts w:hint="eastAsia" w:ascii="仿宋" w:hAnsi="仿宋" w:eastAsia="仿宋" w:cs="仿宋"/>
          <w:b/>
          <w:color w:val="auto"/>
          <w:spacing w:val="6"/>
          <w:sz w:val="32"/>
          <w:szCs w:val="32"/>
        </w:rPr>
      </w:pPr>
    </w:p>
    <w:p w14:paraId="239E3D41">
      <w:pPr>
        <w:autoSpaceDE w:val="0"/>
        <w:autoSpaceDN w:val="0"/>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附件3：</w:t>
      </w:r>
      <w:r>
        <w:rPr>
          <w:rFonts w:hint="eastAsia" w:ascii="仿宋" w:hAnsi="仿宋" w:eastAsia="仿宋" w:cs="仿宋"/>
          <w:b/>
          <w:color w:val="auto"/>
          <w:sz w:val="32"/>
          <w:szCs w:val="32"/>
        </w:rPr>
        <w:t>中小企业声明函</w:t>
      </w:r>
    </w:p>
    <w:p w14:paraId="0007B67B">
      <w:pPr>
        <w:spacing w:line="360" w:lineRule="auto"/>
        <w:jc w:val="center"/>
        <w:rPr>
          <w:rFonts w:hint="eastAsia" w:ascii="仿宋" w:hAnsi="仿宋" w:eastAsia="仿宋" w:cs="仿宋"/>
          <w:color w:val="auto"/>
          <w:sz w:val="24"/>
          <w:u w:val="single"/>
        </w:rPr>
      </w:pPr>
    </w:p>
    <w:p w14:paraId="247813BB">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中小企业声明函（服务）</w:t>
      </w:r>
    </w:p>
    <w:p w14:paraId="78A3A2A0">
      <w:pPr>
        <w:spacing w:line="360" w:lineRule="auto"/>
        <w:ind w:firstLine="360" w:firstLineChars="150"/>
        <w:jc w:val="left"/>
        <w:rPr>
          <w:rFonts w:hint="eastAsia"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采购活动，服务全部由符合政策要求的中小企业承接。相关企业（含联合体中的中小企业、签订分包意向协议的中小企业）的具体情况如下：</w:t>
      </w:r>
    </w:p>
    <w:p w14:paraId="4884839A">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6757BF22">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1EF8E27F">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w:t>
      </w:r>
    </w:p>
    <w:p w14:paraId="1DE1BD9F">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不与</w:t>
      </w:r>
      <w:r>
        <w:rPr>
          <w:rFonts w:hint="eastAsia" w:ascii="仿宋" w:hAnsi="仿宋" w:eastAsia="仿宋" w:cs="仿宋"/>
          <w:color w:val="auto"/>
          <w:sz w:val="24"/>
        </w:rPr>
        <w:t>大企业</w:t>
      </w:r>
      <w:r>
        <w:rPr>
          <w:rFonts w:hint="eastAsia" w:ascii="仿宋" w:hAnsi="仿宋" w:eastAsia="仿宋" w:cs="仿宋"/>
          <w:color w:val="auto"/>
          <w:sz w:val="24"/>
          <w:lang w:val="en-US" w:eastAsia="zh-CN"/>
        </w:rPr>
        <w:t>存在管理关系的</w:t>
      </w:r>
      <w:r>
        <w:rPr>
          <w:rFonts w:hint="eastAsia" w:ascii="仿宋" w:hAnsi="仿宋" w:eastAsia="仿宋" w:cs="仿宋"/>
          <w:color w:val="auto"/>
          <w:sz w:val="24"/>
        </w:rPr>
        <w:t>情形，也不存在与大企业的负责人为同一人的情形。</w:t>
      </w:r>
    </w:p>
    <w:p w14:paraId="3119C955">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6F083615">
      <w:pPr>
        <w:spacing w:line="360" w:lineRule="auto"/>
        <w:ind w:right="1760"/>
        <w:jc w:val="right"/>
        <w:rPr>
          <w:rFonts w:hint="eastAsia" w:ascii="仿宋" w:hAnsi="仿宋" w:eastAsia="仿宋" w:cs="仿宋"/>
          <w:color w:val="auto"/>
          <w:sz w:val="24"/>
        </w:rPr>
      </w:pPr>
    </w:p>
    <w:p w14:paraId="37604A80">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投标人名称（电子签名）：</w:t>
      </w:r>
    </w:p>
    <w:p w14:paraId="4BEA3E89">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14:paraId="31D5431F">
      <w:pPr>
        <w:spacing w:line="360" w:lineRule="auto"/>
        <w:ind w:firstLine="310" w:firstLineChars="147"/>
        <w:jc w:val="left"/>
        <w:rPr>
          <w:rFonts w:hint="eastAsia"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14:paraId="6AD3465A">
      <w:pPr>
        <w:spacing w:line="360" w:lineRule="auto"/>
        <w:ind w:right="420"/>
        <w:rPr>
          <w:rFonts w:hint="eastAsia" w:ascii="仿宋" w:hAnsi="仿宋" w:eastAsia="仿宋" w:cs="仿宋"/>
          <w:color w:val="auto"/>
          <w:sz w:val="24"/>
        </w:rPr>
      </w:pPr>
    </w:p>
    <w:p w14:paraId="45BA562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w:t>
      </w:r>
    </w:p>
    <w:p w14:paraId="31BB14F8">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76A1D0B">
      <w:pPr>
        <w:spacing w:line="360" w:lineRule="auto"/>
        <w:ind w:right="420" w:firstLine="720" w:firstLineChars="300"/>
        <w:rPr>
          <w:rFonts w:hint="eastAsia"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1A6ABF5">
      <w:pPr>
        <w:snapToGrid w:val="0"/>
        <w:spacing w:line="360" w:lineRule="auto"/>
        <w:rPr>
          <w:rFonts w:hint="eastAsia" w:ascii="仿宋" w:hAnsi="仿宋" w:eastAsia="仿宋" w:cs="仿宋"/>
          <w:color w:val="auto"/>
          <w:sz w:val="24"/>
        </w:rPr>
      </w:pPr>
    </w:p>
    <w:p w14:paraId="4945607F">
      <w:pPr>
        <w:widowControl/>
        <w:jc w:val="left"/>
        <w:rPr>
          <w:rFonts w:hint="eastAsia" w:ascii="仿宋" w:hAnsi="仿宋" w:eastAsia="仿宋" w:cs="仿宋"/>
          <w:color w:val="auto"/>
        </w:rPr>
      </w:pPr>
      <w:r>
        <w:rPr>
          <w:rFonts w:hint="eastAsia" w:ascii="仿宋" w:hAnsi="仿宋" w:eastAsia="仿宋" w:cs="仿宋"/>
          <w:color w:val="auto"/>
        </w:rPr>
        <w:br w:type="page"/>
      </w:r>
    </w:p>
    <w:p w14:paraId="26EF63CA">
      <w:pPr>
        <w:autoSpaceDE w:val="0"/>
        <w:autoSpaceDN w:val="0"/>
        <w:jc w:val="left"/>
        <w:rPr>
          <w:rFonts w:hint="eastAsia" w:ascii="仿宋" w:hAnsi="仿宋" w:eastAsia="仿宋" w:cs="仿宋"/>
          <w:b/>
          <w:color w:val="auto"/>
          <w:sz w:val="32"/>
          <w:szCs w:val="32"/>
        </w:rPr>
      </w:pPr>
      <w:bookmarkStart w:id="418" w:name="_Toc18323"/>
      <w:bookmarkStart w:id="419" w:name="_Toc25802"/>
      <w:r>
        <w:rPr>
          <w:rFonts w:hint="eastAsia" w:ascii="仿宋" w:hAnsi="仿宋" w:eastAsia="仿宋" w:cs="仿宋"/>
          <w:b/>
          <w:color w:val="auto"/>
          <w:spacing w:val="6"/>
          <w:sz w:val="32"/>
          <w:szCs w:val="32"/>
        </w:rPr>
        <w:t>附件4：</w:t>
      </w:r>
      <w:r>
        <w:rPr>
          <w:rFonts w:hint="eastAsia" w:ascii="仿宋" w:hAnsi="仿宋" w:eastAsia="仿宋" w:cs="仿宋"/>
          <w:b/>
          <w:color w:val="auto"/>
          <w:sz w:val="32"/>
          <w:szCs w:val="32"/>
        </w:rPr>
        <w:t>业务专用章使用说明函</w:t>
      </w:r>
    </w:p>
    <w:p w14:paraId="4456F559">
      <w:pPr>
        <w:spacing w:line="360" w:lineRule="auto"/>
        <w:rPr>
          <w:rFonts w:hint="eastAsia" w:ascii="仿宋" w:hAnsi="仿宋" w:eastAsia="仿宋" w:cs="仿宋"/>
          <w:b/>
          <w:color w:val="auto"/>
          <w:sz w:val="32"/>
          <w:szCs w:val="32"/>
        </w:rPr>
      </w:pPr>
    </w:p>
    <w:p w14:paraId="71CFF74F">
      <w:pPr>
        <w:autoSpaceDE w:val="0"/>
        <w:autoSpaceDN w:val="0"/>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业务专用章使用说明函</w:t>
      </w:r>
    </w:p>
    <w:p w14:paraId="3F58B704">
      <w:pPr>
        <w:spacing w:line="540" w:lineRule="exact"/>
        <w:contextualSpacing/>
        <w:rPr>
          <w:rFonts w:hint="eastAsia" w:ascii="仿宋" w:hAnsi="仿宋" w:eastAsia="仿宋" w:cs="仿宋"/>
          <w:color w:val="auto"/>
          <w:sz w:val="24"/>
          <w:szCs w:val="24"/>
        </w:rPr>
      </w:pPr>
    </w:p>
    <w:p w14:paraId="146F75C4">
      <w:pPr>
        <w:spacing w:line="54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p>
    <w:p w14:paraId="53DBEB06">
      <w:pPr>
        <w:spacing w:line="540" w:lineRule="exact"/>
        <w:ind w:firstLine="480" w:firstLineChars="200"/>
        <w:contextualSpacing/>
        <w:rPr>
          <w:rFonts w:hint="eastAsia" w:ascii="仿宋" w:hAnsi="仿宋" w:eastAsia="仿宋" w:cs="仿宋"/>
          <w:color w:val="auto"/>
          <w:sz w:val="24"/>
          <w:szCs w:val="24"/>
        </w:rPr>
      </w:pPr>
      <w:r>
        <w:rPr>
          <w:rFonts w:hint="eastAsia" w:ascii="仿宋" w:hAnsi="仿宋" w:eastAsia="仿宋" w:cs="仿宋"/>
          <w:color w:val="auto"/>
          <w:sz w:val="24"/>
          <w:szCs w:val="24"/>
        </w:rPr>
        <w:t>我方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14:paraId="2C3008D0">
      <w:pPr>
        <w:spacing w:line="54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特此说明。</w:t>
      </w:r>
    </w:p>
    <w:p w14:paraId="22B15F37">
      <w:pPr>
        <w:spacing w:line="540" w:lineRule="exact"/>
        <w:contextualSpacing/>
        <w:rPr>
          <w:rFonts w:hint="eastAsia" w:ascii="仿宋" w:hAnsi="仿宋" w:eastAsia="仿宋" w:cs="仿宋"/>
          <w:color w:val="auto"/>
          <w:sz w:val="24"/>
          <w:szCs w:val="24"/>
        </w:rPr>
      </w:pPr>
    </w:p>
    <w:p w14:paraId="216A4E98">
      <w:pPr>
        <w:spacing w:line="540" w:lineRule="exact"/>
        <w:contextualSpacing/>
        <w:rPr>
          <w:rFonts w:hint="eastAsia" w:ascii="仿宋" w:hAnsi="仿宋" w:eastAsia="仿宋" w:cs="仿宋"/>
          <w:color w:val="auto"/>
          <w:sz w:val="24"/>
          <w:szCs w:val="24"/>
        </w:rPr>
      </w:pPr>
    </w:p>
    <w:p w14:paraId="02088272">
      <w:pPr>
        <w:spacing w:line="540" w:lineRule="exact"/>
        <w:ind w:firstLine="3600" w:firstLineChars="1500"/>
        <w:contextualSpacing/>
        <w:rPr>
          <w:rFonts w:hint="eastAsia" w:ascii="仿宋" w:hAnsi="仿宋" w:eastAsia="仿宋" w:cs="仿宋"/>
          <w:color w:val="auto"/>
          <w:sz w:val="24"/>
          <w:szCs w:val="24"/>
        </w:rPr>
      </w:pPr>
      <w:r>
        <w:rPr>
          <w:rFonts w:hint="eastAsia" w:ascii="仿宋" w:hAnsi="仿宋" w:eastAsia="仿宋" w:cs="仿宋"/>
          <w:color w:val="auto"/>
          <w:sz w:val="24"/>
          <w:szCs w:val="24"/>
        </w:rPr>
        <w:t>投标单位（法定名称章）：</w:t>
      </w:r>
    </w:p>
    <w:p w14:paraId="4B278534">
      <w:pPr>
        <w:spacing w:line="54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 xml:space="preserve">                              日期：    年    月    日</w:t>
      </w:r>
    </w:p>
    <w:p w14:paraId="00F94194">
      <w:pPr>
        <w:spacing w:line="54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附：</w:t>
      </w:r>
    </w:p>
    <w:p w14:paraId="2C9D683A">
      <w:pPr>
        <w:spacing w:line="54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投标单位法定名称章（印模）                投标单位“XX专用章”（印模）</w:t>
      </w:r>
    </w:p>
    <w:p w14:paraId="25A5801B">
      <w:pPr>
        <w:spacing w:line="54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13335</wp:posOffset>
                </wp:positionV>
                <wp:extent cx="2704465" cy="1593850"/>
                <wp:effectExtent l="4445" t="4445" r="15240" b="20955"/>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1593850"/>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1.05pt;height:125.5pt;width:212.95pt;z-index:-251656192;mso-width-relative:page;mso-height-relative:page;" fillcolor="#FFFFFF" filled="t" stroked="t" coordsize="21600,21600" o:gfxdata="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ZkzKQ9cAAAAJAQAADwAAAAAAAAABACAAAAAiAAAAZHJzL2Rvd25yZXYu&#10;eG1sUEsBAhQAFAAAAAgAh07iQIobR4Q1AgAAcAQAAA4AAAAAAAAAAQAgAAAAJg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color w:val="auto"/>
          <w:sz w:val="24"/>
          <w:szCs w:val="24"/>
        </w:rPr>
        <mc:AlternateContent>
          <mc:Choice Requires="wps">
            <w:drawing>
              <wp:anchor distT="0" distB="0" distL="114300" distR="114300" simplePos="0" relativeHeight="251661312" behindDoc="1" locked="0" layoutInCell="1" allowOverlap="1">
                <wp:simplePos x="0" y="0"/>
                <wp:positionH relativeFrom="column">
                  <wp:posOffset>-45720</wp:posOffset>
                </wp:positionH>
                <wp:positionV relativeFrom="paragraph">
                  <wp:posOffset>13335</wp:posOffset>
                </wp:positionV>
                <wp:extent cx="2647950" cy="1593850"/>
                <wp:effectExtent l="4445" t="4445" r="14605" b="20955"/>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1593850"/>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3.6pt;margin-top:1.05pt;height:125.5pt;width:208.5pt;z-index:-251655168;mso-width-relative:page;mso-height-relative:page;" fillcolor="#FFFFFF" filled="t" stroked="t" coordsize="21600,21600" o:gfxdata="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6VNQP1gAAAAgBAAAPAAAAAAAAAAEAIAAAACIAAABkcnMvZG93bnJldi54bWxQ&#10;SwECFAAUAAAACACHTuJAxpDpfzICAABwBAAADgAAAAAAAAABACAAAAAlAQAAZHJzL2Uyb0RvYy54&#10;bWxQSwUGAAAAAAYABgBZAQAAyQUAAAAA&#10;">
                <v:fill on="t" focussize="0,0"/>
                <v:stroke color="#000000" miterlimit="2" joinstyle="miter"/>
                <v:imagedata o:title=""/>
                <o:lock v:ext="edit" aspectratio="f"/>
              </v:rect>
            </w:pict>
          </mc:Fallback>
        </mc:AlternateContent>
      </w:r>
    </w:p>
    <w:p w14:paraId="1DE9E5EC">
      <w:pPr>
        <w:spacing w:line="540" w:lineRule="exact"/>
        <w:contextualSpacing/>
        <w:rPr>
          <w:rFonts w:hint="eastAsia" w:ascii="仿宋" w:hAnsi="仿宋" w:eastAsia="仿宋" w:cs="仿宋"/>
          <w:color w:val="auto"/>
          <w:sz w:val="24"/>
          <w:szCs w:val="24"/>
        </w:rPr>
      </w:pPr>
    </w:p>
    <w:p w14:paraId="12982AAD">
      <w:pPr>
        <w:spacing w:line="540" w:lineRule="exact"/>
        <w:contextualSpacing/>
        <w:rPr>
          <w:rFonts w:hint="eastAsia" w:ascii="仿宋" w:hAnsi="仿宋" w:eastAsia="仿宋" w:cs="仿宋"/>
          <w:color w:val="auto"/>
          <w:sz w:val="24"/>
          <w:szCs w:val="24"/>
        </w:rPr>
      </w:pPr>
    </w:p>
    <w:p w14:paraId="5D2C9C3C">
      <w:pPr>
        <w:spacing w:line="540" w:lineRule="exact"/>
        <w:contextualSpacing/>
        <w:rPr>
          <w:rFonts w:hint="eastAsia" w:ascii="仿宋" w:hAnsi="仿宋" w:eastAsia="仿宋" w:cs="仿宋"/>
          <w:color w:val="auto"/>
          <w:sz w:val="24"/>
          <w:szCs w:val="24"/>
        </w:rPr>
      </w:pPr>
    </w:p>
    <w:p w14:paraId="5C213251">
      <w:pPr>
        <w:spacing w:line="540" w:lineRule="exact"/>
        <w:contextualSpacing/>
        <w:rPr>
          <w:rFonts w:hint="eastAsia" w:ascii="仿宋" w:hAnsi="仿宋" w:eastAsia="仿宋" w:cs="仿宋"/>
          <w:color w:val="auto"/>
          <w:sz w:val="24"/>
          <w:szCs w:val="24"/>
        </w:rPr>
      </w:pPr>
    </w:p>
    <w:p w14:paraId="69AA4B4C">
      <w:pPr>
        <w:spacing w:line="540" w:lineRule="exact"/>
        <w:contextualSpacing/>
        <w:rPr>
          <w:rFonts w:hint="eastAsia" w:ascii="仿宋" w:hAnsi="仿宋" w:eastAsia="仿宋" w:cs="仿宋"/>
          <w:color w:val="auto"/>
          <w:sz w:val="24"/>
          <w:szCs w:val="24"/>
        </w:rPr>
      </w:pPr>
    </w:p>
    <w:p w14:paraId="5F07E0D6">
      <w:pPr>
        <w:spacing w:line="540" w:lineRule="exact"/>
        <w:contextualSpacing/>
        <w:rPr>
          <w:rFonts w:hint="eastAsia" w:ascii="仿宋" w:hAnsi="仿宋" w:eastAsia="仿宋" w:cs="仿宋"/>
          <w:color w:val="auto"/>
          <w:sz w:val="24"/>
          <w:szCs w:val="24"/>
        </w:rPr>
      </w:pPr>
    </w:p>
    <w:p w14:paraId="5FD1F29B">
      <w:pPr>
        <w:spacing w:line="540" w:lineRule="exact"/>
        <w:contextualSpacing/>
        <w:rPr>
          <w:rFonts w:hint="eastAsia" w:ascii="仿宋" w:hAnsi="仿宋" w:eastAsia="仿宋" w:cs="仿宋"/>
          <w:color w:val="auto"/>
          <w:sz w:val="24"/>
          <w:szCs w:val="24"/>
        </w:rPr>
      </w:pPr>
    </w:p>
    <w:p w14:paraId="544D25F5">
      <w:pPr>
        <w:spacing w:line="360" w:lineRule="auto"/>
        <w:rPr>
          <w:rFonts w:hint="eastAsia" w:ascii="仿宋" w:hAnsi="仿宋" w:eastAsia="仿宋" w:cs="仿宋"/>
          <w:b/>
          <w:color w:val="auto"/>
          <w:spacing w:val="6"/>
          <w:sz w:val="32"/>
          <w:szCs w:val="32"/>
        </w:rPr>
      </w:pPr>
    </w:p>
    <w:p w14:paraId="1835AFA0">
      <w:pPr>
        <w:widowControl/>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202B2FCD">
      <w:pPr>
        <w:spacing w:line="360" w:lineRule="auto"/>
        <w:rPr>
          <w:rFonts w:hint="eastAsia" w:ascii="仿宋" w:hAnsi="仿宋" w:eastAsia="仿宋" w:cs="仿宋"/>
          <w:b/>
          <w:color w:val="auto"/>
          <w:sz w:val="32"/>
          <w:szCs w:val="32"/>
        </w:rPr>
      </w:pPr>
      <w:r>
        <w:rPr>
          <w:rFonts w:hint="eastAsia" w:ascii="仿宋" w:hAnsi="仿宋" w:eastAsia="仿宋" w:cs="仿宋"/>
          <w:b/>
          <w:color w:val="auto"/>
          <w:spacing w:val="6"/>
          <w:sz w:val="32"/>
          <w:szCs w:val="32"/>
        </w:rPr>
        <w:t>附件5：</w:t>
      </w:r>
    </w:p>
    <w:bookmarkEnd w:id="418"/>
    <w:bookmarkEnd w:id="419"/>
    <w:p w14:paraId="09918F74">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政  采  贷</w:t>
      </w:r>
    </w:p>
    <w:p w14:paraId="5EC1F7CC">
      <w:pPr>
        <w:spacing w:line="540" w:lineRule="exact"/>
        <w:ind w:firstLine="480" w:firstLineChars="200"/>
        <w:contextualSpacing/>
        <w:rPr>
          <w:rFonts w:hint="eastAsia" w:ascii="仿宋" w:hAnsi="仿宋" w:eastAsia="仿宋" w:cs="仿宋"/>
          <w:color w:val="auto"/>
          <w:sz w:val="24"/>
          <w:szCs w:val="24"/>
        </w:rPr>
      </w:pPr>
      <w:r>
        <w:rPr>
          <w:rFonts w:hint="eastAsia" w:ascii="仿宋" w:hAnsi="仿宋" w:eastAsia="仿宋" w:cs="仿宋"/>
          <w:color w:val="auto"/>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18"/>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37ADA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14:paraId="05B886C0">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舟山市政府采购信用融资合作银行</w:t>
            </w:r>
          </w:p>
        </w:tc>
      </w:tr>
      <w:tr w14:paraId="556F5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vAlign w:val="center"/>
          </w:tcPr>
          <w:p w14:paraId="2176B314">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银行名称</w:t>
            </w:r>
          </w:p>
        </w:tc>
        <w:tc>
          <w:tcPr>
            <w:tcW w:w="3975" w:type="dxa"/>
            <w:vAlign w:val="center"/>
          </w:tcPr>
          <w:p w14:paraId="314EA0B7">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各银行介绍的产品特点</w:t>
            </w:r>
          </w:p>
        </w:tc>
        <w:tc>
          <w:tcPr>
            <w:tcW w:w="2220" w:type="dxa"/>
            <w:vAlign w:val="center"/>
          </w:tcPr>
          <w:p w14:paraId="50F39581">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经办人</w:t>
            </w:r>
          </w:p>
        </w:tc>
        <w:tc>
          <w:tcPr>
            <w:tcW w:w="1908" w:type="dxa"/>
            <w:vAlign w:val="center"/>
          </w:tcPr>
          <w:p w14:paraId="78081AB4">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联系方式</w:t>
            </w:r>
          </w:p>
        </w:tc>
      </w:tr>
      <w:tr w14:paraId="1A068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7106867">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中国工商银行股份有限公司舟山分行</w:t>
            </w:r>
          </w:p>
        </w:tc>
        <w:tc>
          <w:tcPr>
            <w:tcW w:w="3975" w:type="dxa"/>
          </w:tcPr>
          <w:p w14:paraId="74C0997A">
            <w:pPr>
              <w:numPr>
                <w:ilvl w:val="0"/>
                <w:numId w:val="15"/>
              </w:numPr>
              <w:spacing w:line="400" w:lineRule="exact"/>
              <w:contextualSpacing/>
              <w:rPr>
                <w:rFonts w:hint="eastAsia" w:ascii="仿宋" w:hAnsi="仿宋" w:eastAsia="仿宋" w:cs="仿宋"/>
                <w:color w:val="auto"/>
                <w:sz w:val="24"/>
                <w:szCs w:val="24"/>
              </w:rPr>
            </w:pPr>
            <w:r>
              <w:rPr>
                <w:rFonts w:hint="eastAsia" w:ascii="仿宋" w:hAnsi="仿宋" w:eastAsia="仿宋" w:cs="仿宋"/>
                <w:color w:val="auto"/>
                <w:sz w:val="24"/>
                <w:szCs w:val="24"/>
              </w:rPr>
              <w:t>融资额度高，融资金额最高可至订单金额70%，线上申请，随借随还。2.融资利率低，最低可至当期LPR利率。</w:t>
            </w:r>
          </w:p>
          <w:p w14:paraId="19FDAF14">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szCs w:val="24"/>
              </w:rPr>
              <w:t>3.担保方式灵活，以政府采购合同进行融资，无需另外抵押。</w:t>
            </w:r>
          </w:p>
        </w:tc>
        <w:tc>
          <w:tcPr>
            <w:tcW w:w="2220" w:type="dxa"/>
            <w:vAlign w:val="center"/>
          </w:tcPr>
          <w:p w14:paraId="7F04F577">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柳超颖</w:t>
            </w:r>
          </w:p>
        </w:tc>
        <w:tc>
          <w:tcPr>
            <w:tcW w:w="1908" w:type="dxa"/>
            <w:vAlign w:val="center"/>
          </w:tcPr>
          <w:p w14:paraId="1EE95A57">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0580-2166242, 15858076468</w:t>
            </w:r>
          </w:p>
        </w:tc>
      </w:tr>
      <w:tr w14:paraId="087C1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565473F5">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中国建设银行股份有限公司舟山分行</w:t>
            </w:r>
          </w:p>
        </w:tc>
        <w:tc>
          <w:tcPr>
            <w:tcW w:w="3975" w:type="dxa"/>
          </w:tcPr>
          <w:p w14:paraId="73F02DE8">
            <w:pPr>
              <w:numPr>
                <w:ilvl w:val="0"/>
                <w:numId w:val="16"/>
              </w:num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快速便捷：全流程线上操作，通过浙江省政府采购网数据审核信用额度，建行供应链平台快速放款。</w:t>
            </w:r>
          </w:p>
          <w:p w14:paraId="2BBEB611">
            <w:pPr>
              <w:numPr>
                <w:ilvl w:val="0"/>
                <w:numId w:val="16"/>
              </w:num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申请额度高：单笔融资额度最高可达政府采购合同金额的90%，单户额度最高可达3000万。</w:t>
            </w:r>
          </w:p>
          <w:p w14:paraId="1943D591">
            <w:pPr>
              <w:numPr>
                <w:ilvl w:val="0"/>
                <w:numId w:val="16"/>
              </w:num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无需额外抵押：以浙江省政府采购网备案公示的政府采购合同进行融资，无需额外抵押担保。</w:t>
            </w:r>
          </w:p>
          <w:p w14:paraId="4DB3EBBD">
            <w:pPr>
              <w:numPr>
                <w:ilvl w:val="0"/>
                <w:numId w:val="16"/>
              </w:num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利率优惠：给予流动资金贷款最优惠利率。</w:t>
            </w:r>
          </w:p>
        </w:tc>
        <w:tc>
          <w:tcPr>
            <w:tcW w:w="2220" w:type="dxa"/>
            <w:vAlign w:val="center"/>
          </w:tcPr>
          <w:p w14:paraId="19FD62EE">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普陀片区：蔡妮妮</w:t>
            </w:r>
          </w:p>
          <w:p w14:paraId="3BFB8E98">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定海片区：杨莹</w:t>
            </w:r>
          </w:p>
          <w:p w14:paraId="351AB6D0">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自贸区片区：方晓</w:t>
            </w:r>
          </w:p>
        </w:tc>
        <w:tc>
          <w:tcPr>
            <w:tcW w:w="1908" w:type="dxa"/>
            <w:vAlign w:val="center"/>
          </w:tcPr>
          <w:p w14:paraId="0BF4D486">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普陀片区：13957201791</w:t>
            </w:r>
          </w:p>
          <w:p w14:paraId="1420081F">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定海片区：13655803997</w:t>
            </w:r>
          </w:p>
          <w:p w14:paraId="0EFF7FB4">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自贸区片区：13587086324</w:t>
            </w:r>
          </w:p>
        </w:tc>
      </w:tr>
      <w:tr w14:paraId="3A853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591D200">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杭州银行股份有限公司舟山市分行</w:t>
            </w:r>
          </w:p>
        </w:tc>
        <w:tc>
          <w:tcPr>
            <w:tcW w:w="3975" w:type="dxa"/>
          </w:tcPr>
          <w:p w14:paraId="4CD17FE8">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3988C2F4">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方经理</w:t>
            </w:r>
          </w:p>
        </w:tc>
        <w:tc>
          <w:tcPr>
            <w:tcW w:w="1908" w:type="dxa"/>
            <w:vAlign w:val="center"/>
          </w:tcPr>
          <w:p w14:paraId="02AAB8AB">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0580-2185201，18205800451</w:t>
            </w:r>
          </w:p>
        </w:tc>
      </w:tr>
      <w:tr w14:paraId="5A74A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1C5AC96C">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招商银行股份有限公司浙江自贸试验区舟山分行</w:t>
            </w:r>
          </w:p>
        </w:tc>
        <w:tc>
          <w:tcPr>
            <w:tcW w:w="3975" w:type="dxa"/>
          </w:tcPr>
          <w:p w14:paraId="61DABAB8">
            <w:pPr>
              <w:spacing w:line="400" w:lineRule="exact"/>
              <w:rPr>
                <w:rFonts w:hint="eastAsia" w:ascii="仿宋" w:hAnsi="仿宋" w:eastAsia="仿宋" w:cs="仿宋"/>
                <w:color w:val="auto"/>
              </w:rPr>
            </w:pPr>
            <w:r>
              <w:rPr>
                <w:rFonts w:hint="eastAsia" w:ascii="仿宋" w:hAnsi="仿宋" w:eastAsia="仿宋" w:cs="仿宋"/>
                <w:color w:val="auto"/>
                <w:sz w:val="24"/>
                <w:szCs w:val="24"/>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57203C94">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李玲</w:t>
            </w:r>
          </w:p>
        </w:tc>
        <w:tc>
          <w:tcPr>
            <w:tcW w:w="1908" w:type="dxa"/>
            <w:vAlign w:val="center"/>
          </w:tcPr>
          <w:p w14:paraId="503B1D3B">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0580-2061710，13957227971</w:t>
            </w:r>
          </w:p>
        </w:tc>
      </w:tr>
      <w:tr w14:paraId="128B1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3E99A186">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温州银行股份有限公司舟山市分行</w:t>
            </w:r>
          </w:p>
        </w:tc>
        <w:tc>
          <w:tcPr>
            <w:tcW w:w="3975" w:type="dxa"/>
          </w:tcPr>
          <w:p w14:paraId="564C0D8E">
            <w:pPr>
              <w:numPr>
                <w:ilvl w:val="0"/>
                <w:numId w:val="17"/>
              </w:num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单户授信敞口最高不超过1000万元，且最高额度核定一般不超过借款人（含实际控制人控制的其他经营实体）最近13个月合计有效中标合同金额的70%。</w:t>
            </w:r>
          </w:p>
          <w:p w14:paraId="4B463DFD">
            <w:pPr>
              <w:numPr>
                <w:ilvl w:val="0"/>
                <w:numId w:val="17"/>
              </w:num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单笔借款额度最高不超过1000万元，单笔业务授信额度不超过“政采云平台”提供的中标通知书承载的中标金额或本次申请授信提供的采购合同金额的80%，且用信金额不超过采购合同未付金额的80%。</w:t>
            </w:r>
          </w:p>
          <w:p w14:paraId="63390D00">
            <w:pPr>
              <w:numPr>
                <w:ilvl w:val="0"/>
                <w:numId w:val="17"/>
              </w:num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借款人中标采购人自行采购项目并向我行发起授信申请的，单笔业务授信敞口不超500万元，且不超过借款人中标通知书承载的中标金额或本次申请授信提供的采购合同的80%。</w:t>
            </w:r>
          </w:p>
          <w:p w14:paraId="42B4529F">
            <w:pPr>
              <w:numPr>
                <w:ilvl w:val="0"/>
                <w:numId w:val="17"/>
              </w:num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符合我行采购人资质的，且负债率不超75%，配合应收账款质押登记确认的，并可出具确认函，单笔借款额度可按不超过采购合同的90%办理。</w:t>
            </w:r>
          </w:p>
        </w:tc>
        <w:tc>
          <w:tcPr>
            <w:tcW w:w="2220" w:type="dxa"/>
            <w:vAlign w:val="center"/>
          </w:tcPr>
          <w:p w14:paraId="638D7E55">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郑贤栋</w:t>
            </w:r>
          </w:p>
        </w:tc>
        <w:tc>
          <w:tcPr>
            <w:tcW w:w="1908" w:type="dxa"/>
            <w:vAlign w:val="center"/>
          </w:tcPr>
          <w:p w14:paraId="6E8FC778">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058—8866086</w:t>
            </w:r>
          </w:p>
        </w:tc>
      </w:tr>
      <w:tr w14:paraId="07E40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15D517B">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交通银行股份有限公司舟山分行</w:t>
            </w:r>
          </w:p>
        </w:tc>
        <w:tc>
          <w:tcPr>
            <w:tcW w:w="3975" w:type="dxa"/>
          </w:tcPr>
          <w:p w14:paraId="35741964">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szCs w:val="24"/>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仿宋" w:hAnsi="仿宋" w:eastAsia="仿宋" w:cs="仿宋"/>
                <w:color w:val="auto"/>
              </w:rPr>
              <w:t>PR。</w:t>
            </w:r>
          </w:p>
        </w:tc>
        <w:tc>
          <w:tcPr>
            <w:tcW w:w="2220" w:type="dxa"/>
            <w:vAlign w:val="center"/>
          </w:tcPr>
          <w:p w14:paraId="1EA64CEF">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赵争艳</w:t>
            </w:r>
          </w:p>
        </w:tc>
        <w:tc>
          <w:tcPr>
            <w:tcW w:w="1908" w:type="dxa"/>
            <w:vAlign w:val="center"/>
          </w:tcPr>
          <w:p w14:paraId="7C8E4F75">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0580-2260728</w:t>
            </w:r>
          </w:p>
          <w:p w14:paraId="04446C04">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13758007280</w:t>
            </w:r>
          </w:p>
        </w:tc>
      </w:tr>
      <w:tr w14:paraId="38653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6011CB7B">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中信银行股份有限公司舟山分行</w:t>
            </w:r>
          </w:p>
        </w:tc>
        <w:tc>
          <w:tcPr>
            <w:tcW w:w="3975" w:type="dxa"/>
          </w:tcPr>
          <w:p w14:paraId="71C11C17">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0A49A887">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黄丽</w:t>
            </w:r>
          </w:p>
        </w:tc>
        <w:tc>
          <w:tcPr>
            <w:tcW w:w="1908" w:type="dxa"/>
            <w:vAlign w:val="center"/>
          </w:tcPr>
          <w:p w14:paraId="5D72ADED">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13905808032</w:t>
            </w:r>
          </w:p>
        </w:tc>
      </w:tr>
      <w:tr w14:paraId="19E82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53B40AA">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泰隆银行舟山市分行</w:t>
            </w:r>
          </w:p>
        </w:tc>
        <w:tc>
          <w:tcPr>
            <w:tcW w:w="3975" w:type="dxa"/>
          </w:tcPr>
          <w:p w14:paraId="0350190C">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405CE1D0">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胡亢宇</w:t>
            </w:r>
          </w:p>
        </w:tc>
        <w:tc>
          <w:tcPr>
            <w:tcW w:w="1908" w:type="dxa"/>
            <w:vAlign w:val="center"/>
          </w:tcPr>
          <w:p w14:paraId="0EB60403">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17605868703</w:t>
            </w:r>
          </w:p>
        </w:tc>
      </w:tr>
      <w:tr w14:paraId="328AF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60BE2CE">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中国农业银行股份有限公司舟山分行</w:t>
            </w:r>
          </w:p>
        </w:tc>
        <w:tc>
          <w:tcPr>
            <w:tcW w:w="3975" w:type="dxa"/>
          </w:tcPr>
          <w:p w14:paraId="3A9F2312">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17A1B25D">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苏华瞻</w:t>
            </w:r>
          </w:p>
        </w:tc>
        <w:tc>
          <w:tcPr>
            <w:tcW w:w="1908" w:type="dxa"/>
            <w:vAlign w:val="center"/>
          </w:tcPr>
          <w:p w14:paraId="7553A580">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13967228926</w:t>
            </w:r>
          </w:p>
        </w:tc>
      </w:tr>
      <w:tr w14:paraId="50ECF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5874CD5">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中国邮政储蓄银行股份有限公司舟山市分行</w:t>
            </w:r>
          </w:p>
        </w:tc>
        <w:tc>
          <w:tcPr>
            <w:tcW w:w="3975" w:type="dxa"/>
          </w:tcPr>
          <w:p w14:paraId="63A67659">
            <w:pPr>
              <w:tabs>
                <w:tab w:val="left" w:pos="0"/>
              </w:tabs>
              <w:spacing w:line="400" w:lineRule="exact"/>
              <w:rPr>
                <w:rFonts w:hint="eastAsia" w:ascii="仿宋" w:hAnsi="仿宋" w:eastAsia="仿宋" w:cs="仿宋"/>
                <w:color w:val="auto"/>
                <w:sz w:val="24"/>
              </w:rPr>
            </w:pPr>
            <w:r>
              <w:rPr>
                <w:rFonts w:hint="eastAsia" w:ascii="仿宋" w:hAnsi="仿宋" w:eastAsia="仿宋" w:cs="仿宋"/>
                <w:color w:val="auto"/>
                <w:sz w:val="24"/>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5994ABB6">
            <w:pPr>
              <w:spacing w:line="400" w:lineRule="exact"/>
              <w:contextualSpacing/>
              <w:jc w:val="center"/>
              <w:rPr>
                <w:rFonts w:hint="eastAsia" w:ascii="仿宋" w:hAnsi="仿宋" w:eastAsia="仿宋" w:cs="仿宋"/>
                <w:color w:val="auto"/>
                <w:sz w:val="24"/>
              </w:rPr>
            </w:pPr>
            <w:r>
              <w:rPr>
                <w:rFonts w:hint="eastAsia" w:ascii="仿宋" w:hAnsi="仿宋" w:eastAsia="仿宋" w:cs="仿宋"/>
                <w:color w:val="auto"/>
                <w:sz w:val="24"/>
              </w:rPr>
              <w:t>蒋志燕</w:t>
            </w:r>
          </w:p>
        </w:tc>
        <w:tc>
          <w:tcPr>
            <w:tcW w:w="1908" w:type="dxa"/>
            <w:vAlign w:val="center"/>
          </w:tcPr>
          <w:p w14:paraId="422EBF4D">
            <w:pPr>
              <w:spacing w:line="400" w:lineRule="exact"/>
              <w:contextualSpacing/>
              <w:rPr>
                <w:rFonts w:hint="eastAsia" w:ascii="仿宋" w:hAnsi="仿宋" w:eastAsia="仿宋" w:cs="仿宋"/>
                <w:color w:val="auto"/>
                <w:sz w:val="24"/>
              </w:rPr>
            </w:pPr>
            <w:r>
              <w:rPr>
                <w:rFonts w:hint="eastAsia" w:ascii="仿宋" w:hAnsi="仿宋" w:eastAsia="仿宋" w:cs="仿宋"/>
                <w:color w:val="auto"/>
                <w:sz w:val="24"/>
              </w:rPr>
              <w:t>13732527321</w:t>
            </w:r>
          </w:p>
        </w:tc>
      </w:tr>
    </w:tbl>
    <w:p w14:paraId="26F538B3">
      <w:pPr>
        <w:spacing w:line="360" w:lineRule="auto"/>
        <w:contextualSpacing/>
        <w:rPr>
          <w:rFonts w:hint="eastAsia" w:ascii="仿宋" w:hAnsi="仿宋" w:eastAsia="仿宋" w:cs="仿宋"/>
          <w:color w:val="auto"/>
          <w:sz w:val="24"/>
        </w:rPr>
      </w:pPr>
      <w:r>
        <w:rPr>
          <w:rFonts w:hint="eastAsia" w:ascii="仿宋" w:hAnsi="仿宋" w:eastAsia="仿宋" w:cs="仿宋"/>
          <w:color w:val="auto"/>
          <w:sz w:val="24"/>
        </w:rPr>
        <w:t>1. 一般步骤</w:t>
      </w:r>
    </w:p>
    <w:p w14:paraId="3C4E84E9">
      <w:pPr>
        <w:spacing w:line="360" w:lineRule="auto"/>
        <w:contextualSpacing/>
        <w:rPr>
          <w:rFonts w:hint="eastAsia" w:ascii="仿宋" w:hAnsi="仿宋" w:eastAsia="仿宋" w:cs="仿宋"/>
          <w:color w:val="auto"/>
          <w:sz w:val="24"/>
        </w:rPr>
      </w:pPr>
      <w:r>
        <w:rPr>
          <w:rFonts w:hint="eastAsia" w:ascii="仿宋" w:hAnsi="仿宋" w:eastAsia="仿宋" w:cs="仿宋"/>
          <w:color w:val="auto"/>
          <w:sz w:val="24"/>
        </w:rPr>
        <w:t>（1）供应商先与银行对接，办理融资前期手续；</w:t>
      </w:r>
    </w:p>
    <w:p w14:paraId="7E8C5E7A">
      <w:pPr>
        <w:spacing w:line="360" w:lineRule="auto"/>
        <w:contextualSpacing/>
        <w:rPr>
          <w:rFonts w:hint="eastAsia" w:ascii="仿宋" w:hAnsi="仿宋" w:eastAsia="仿宋" w:cs="仿宋"/>
          <w:color w:val="auto"/>
          <w:sz w:val="24"/>
        </w:rPr>
      </w:pPr>
      <w:r>
        <w:rPr>
          <w:rFonts w:hint="eastAsia" w:ascii="仿宋" w:hAnsi="仿宋" w:eastAsia="仿宋" w:cs="仿宋"/>
          <w:color w:val="auto"/>
          <w:sz w:val="24"/>
        </w:rPr>
        <w:t>（2）供应商成交后，凭成交通知书等材料，向相关合作银行发出融资申请；</w:t>
      </w:r>
    </w:p>
    <w:p w14:paraId="501E46A2">
      <w:pPr>
        <w:spacing w:line="360" w:lineRule="auto"/>
        <w:contextualSpacing/>
        <w:rPr>
          <w:rFonts w:hint="eastAsia" w:ascii="仿宋" w:hAnsi="仿宋" w:eastAsia="仿宋" w:cs="仿宋"/>
          <w:color w:val="auto"/>
          <w:sz w:val="24"/>
        </w:rPr>
      </w:pPr>
      <w:r>
        <w:rPr>
          <w:rFonts w:hint="eastAsia" w:ascii="仿宋" w:hAnsi="仿宋" w:eastAsia="仿宋" w:cs="仿宋"/>
          <w:color w:val="auto"/>
          <w:sz w:val="24"/>
        </w:rPr>
        <w:t>（3）银行、供应商线上办理审批、放贷事宜。</w:t>
      </w:r>
    </w:p>
    <w:p w14:paraId="25AAB92E">
      <w:pPr>
        <w:spacing w:line="360" w:lineRule="auto"/>
        <w:contextualSpacing/>
        <w:rPr>
          <w:rFonts w:hint="eastAsia" w:ascii="仿宋" w:hAnsi="仿宋" w:eastAsia="仿宋" w:cs="仿宋"/>
          <w:color w:val="auto"/>
          <w:sz w:val="24"/>
        </w:rPr>
      </w:pPr>
      <w:r>
        <w:rPr>
          <w:rFonts w:hint="eastAsia" w:ascii="仿宋" w:hAnsi="仿宋" w:eastAsia="仿宋" w:cs="仿宋"/>
          <w:color w:val="auto"/>
          <w:sz w:val="24"/>
        </w:rPr>
        <w:t>2. 注意事项</w:t>
      </w:r>
    </w:p>
    <w:p w14:paraId="0EDA1F8B">
      <w:pPr>
        <w:spacing w:line="360" w:lineRule="auto"/>
        <w:contextualSpacing/>
        <w:rPr>
          <w:rFonts w:hint="eastAsia" w:ascii="仿宋" w:hAnsi="仿宋" w:eastAsia="仿宋" w:cs="仿宋"/>
          <w:color w:val="auto"/>
          <w:sz w:val="24"/>
        </w:rPr>
      </w:pPr>
      <w:r>
        <w:rPr>
          <w:rFonts w:hint="eastAsia" w:ascii="仿宋" w:hAnsi="仿宋" w:eastAsia="仿宋" w:cs="仿宋"/>
          <w:color w:val="auto"/>
          <w:sz w:val="24"/>
        </w:rPr>
        <w:t>（1）成交供应商需确保政府采购合同的收款账户与融资银行开户账户一致。</w:t>
      </w:r>
    </w:p>
    <w:p w14:paraId="5BA92101">
      <w:pPr>
        <w:spacing w:line="360" w:lineRule="auto"/>
        <w:contextualSpacing/>
        <w:rPr>
          <w:rFonts w:hint="eastAsia" w:ascii="仿宋" w:hAnsi="仿宋" w:eastAsia="仿宋" w:cs="仿宋"/>
          <w:color w:val="auto"/>
          <w:sz w:val="24"/>
        </w:rPr>
      </w:pPr>
      <w:r>
        <w:rPr>
          <w:rFonts w:hint="eastAsia" w:ascii="仿宋" w:hAnsi="仿宋" w:eastAsia="仿宋" w:cs="仿宋"/>
          <w:color w:val="auto"/>
          <w:sz w:val="24"/>
        </w:rPr>
        <w:t>（2）用于政府采购信用融资的政府采购合同，应当包含如下条款：“第   条：</w:t>
      </w:r>
    </w:p>
    <w:p w14:paraId="7DAFBA49">
      <w:pPr>
        <w:spacing w:line="360" w:lineRule="auto"/>
        <w:contextualSpacing/>
        <w:rPr>
          <w:rFonts w:hint="eastAsia" w:ascii="仿宋" w:hAnsi="仿宋" w:eastAsia="仿宋" w:cs="仿宋"/>
          <w:color w:val="auto"/>
          <w:sz w:val="24"/>
        </w:rPr>
      </w:pPr>
      <w:r>
        <w:rPr>
          <w:rFonts w:hint="eastAsia" w:ascii="仿宋" w:hAnsi="仿宋" w:eastAsia="仿宋" w:cs="仿宋"/>
          <w:color w:val="auto"/>
          <w:sz w:val="24"/>
        </w:rPr>
        <w:t>政府采购合同贷款  本合同同时用于乙方向      银行（金融机构）申请政府采购信用贷款。本合同一经签订，原则上不得更改乙方收款账户信息。确须更改的，乙方应取得原合同收款账户开户银行书面同意，否则修改后的合同不予备案，采购资金不予支付。”</w:t>
      </w:r>
    </w:p>
    <w:p w14:paraId="066EE3A7">
      <w:pPr>
        <w:pStyle w:val="24"/>
        <w:rPr>
          <w:rFonts w:hint="eastAsia"/>
          <w:color w:val="auto"/>
        </w:rPr>
      </w:pPr>
    </w:p>
    <w:sectPr>
      <w:pgSz w:w="11906" w:h="16838"/>
      <w:pgMar w:top="765" w:right="1418" w:bottom="471" w:left="1418" w:header="851" w:footer="567"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4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EDB19">
    <w:pPr>
      <w:pStyle w:val="13"/>
      <w:jc w:val="center"/>
    </w:pPr>
  </w:p>
  <w:p w14:paraId="7F7BAD68">
    <w:pPr>
      <w:pStyle w:val="13"/>
      <w:tabs>
        <w:tab w:val="left" w:pos="3179"/>
        <w:tab w:val="clear" w:pos="4153"/>
      </w:tabs>
      <w:rPr>
        <w:rFonts w:hint="eastAsia" w:eastAsia="宋体"/>
        <w:lang w:eastAsia="zh-CN"/>
      </w:rPr>
    </w:pPr>
    <w:r>
      <w:rPr>
        <w:rFonts w:hint="eastAsia"/>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369A9">
    <w:pPr>
      <w:pStyle w:val="13"/>
      <w:framePr w:wrap="around" w:vAnchor="text" w:hAnchor="margin" w:xAlign="right" w:y="1"/>
      <w:rPr>
        <w:rStyle w:val="22"/>
      </w:rPr>
    </w:pPr>
    <w:r>
      <w:fldChar w:fldCharType="begin"/>
    </w:r>
    <w:r>
      <w:rPr>
        <w:rStyle w:val="22"/>
      </w:rPr>
      <w:instrText xml:space="preserve">PAGE  </w:instrText>
    </w:r>
    <w:r>
      <w:fldChar w:fldCharType="end"/>
    </w:r>
  </w:p>
  <w:p w14:paraId="1F7046CD">
    <w:pPr>
      <w:pStyle w:val="1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D9C77">
    <w:pPr>
      <w:pStyle w:val="13"/>
      <w:jc w:val="center"/>
    </w:pPr>
  </w:p>
  <w:p w14:paraId="2B44BDFA">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C56A0">
    <w:pPr>
      <w:pStyle w:val="13"/>
      <w:tabs>
        <w:tab w:val="left" w:pos="3479"/>
        <w:tab w:val="center" w:pos="4595"/>
      </w:tabs>
      <w:jc w:val="lef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D9CB3D">
                          <w:pPr>
                            <w:pStyle w:val="2"/>
                            <w:rPr>
                              <w:rFonts w:ascii="宋体" w:hAnsi="宋体" w:eastAsia="宋体"/>
                              <w:sz w:val="28"/>
                            </w:rPr>
                          </w:pP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1</w:t>
                          </w:r>
                          <w:r>
                            <w:rPr>
                              <w:rFonts w:ascii="宋体" w:hAnsi="宋体" w:eastAsia="宋体"/>
                              <w:sz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DD9CB3D">
                    <w:pPr>
                      <w:pStyle w:val="2"/>
                      <w:rPr>
                        <w:rFonts w:ascii="宋体" w:hAnsi="宋体" w:eastAsia="宋体"/>
                        <w:sz w:val="28"/>
                      </w:rPr>
                    </w:pP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1</w:t>
                    </w:r>
                    <w:r>
                      <w:rPr>
                        <w:rFonts w:ascii="宋体" w:hAnsi="宋体" w:eastAsia="宋体"/>
                        <w:sz w:val="28"/>
                      </w:rPr>
                      <w:fldChar w:fldCharType="end"/>
                    </w:r>
                  </w:p>
                </w:txbxContent>
              </v:textbox>
            </v:shape>
          </w:pict>
        </mc:Fallback>
      </mc:AlternateContent>
    </w:r>
    <w:r>
      <w:rPr>
        <w:rFonts w:hint="eastAsia"/>
        <w:lang w:eastAsia="zh-CN"/>
      </w:rPr>
      <w:tab/>
    </w:r>
    <w:r>
      <w:rPr>
        <w:rFonts w:hint="eastAsia"/>
        <w:lang w:eastAsia="zh-CN"/>
      </w:rPr>
      <w:tab/>
    </w:r>
    <w:r>
      <w:rPr>
        <w:rFonts w:hint="eastAsia"/>
        <w:lang w:eastAsia="zh-CN"/>
      </w:rPr>
      <w:tab/>
    </w:r>
  </w:p>
  <w:p w14:paraId="40EB11E7">
    <w:pPr>
      <w:pStyle w:val="1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34E9E">
    <w:pPr>
      <w:pStyle w:val="13"/>
      <w:jc w:val="center"/>
    </w:pPr>
  </w:p>
  <w:p w14:paraId="22ED75FC">
    <w:pPr>
      <w:pStyle w:val="1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82F34">
    <w:pPr>
      <w:pStyle w:val="13"/>
      <w:ind w:right="360"/>
      <w:rPr>
        <w:rStyle w:val="2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1CCC13">
                          <w:pPr>
                            <w:pStyle w:val="13"/>
                            <w:rPr>
                              <w:rFonts w:ascii="宋体" w:hAnsi="宋体" w:eastAsia="宋体"/>
                              <w:sz w:val="28"/>
                            </w:rPr>
                          </w:pP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24</w:t>
                          </w:r>
                          <w:r>
                            <w:rPr>
                              <w:rFonts w:ascii="宋体" w:hAnsi="宋体" w:eastAsia="宋体"/>
                              <w:sz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E1CCC13">
                    <w:pPr>
                      <w:pStyle w:val="13"/>
                      <w:rPr>
                        <w:rFonts w:ascii="宋体" w:hAnsi="宋体" w:eastAsia="宋体"/>
                        <w:sz w:val="28"/>
                      </w:rPr>
                    </w:pP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24</w:t>
                    </w:r>
                    <w:r>
                      <w:rPr>
                        <w:rFonts w:ascii="宋体" w:hAnsi="宋体" w:eastAsia="宋体"/>
                        <w:sz w:val="28"/>
                      </w:rPr>
                      <w:fldChar w:fldCharType="end"/>
                    </w:r>
                  </w:p>
                </w:txbxContent>
              </v:textbox>
            </v:shape>
          </w:pict>
        </mc:Fallback>
      </mc:AlternateContent>
    </w:r>
  </w:p>
  <w:p w14:paraId="264BB04E">
    <w:pPr>
      <w:pStyle w:val="13"/>
      <w:ind w:right="360" w:firstLine="360"/>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66FD6">
    <w:pPr>
      <w:pStyle w:val="13"/>
      <w:framePr w:wrap="around" w:vAnchor="text" w:hAnchor="margin" w:xAlign="right" w:y="1"/>
      <w:rPr>
        <w:rStyle w:val="22"/>
      </w:rPr>
    </w:pPr>
    <w:r>
      <w:fldChar w:fldCharType="begin"/>
    </w:r>
    <w:r>
      <w:rPr>
        <w:rStyle w:val="22"/>
      </w:rPr>
      <w:instrText xml:space="preserve">PAGE  </w:instrText>
    </w:r>
    <w:r>
      <w:fldChar w:fldCharType="end"/>
    </w:r>
  </w:p>
  <w:p w14:paraId="64A616FA">
    <w:pPr>
      <w:pStyle w:val="13"/>
      <w:ind w:right="360"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1DB96">
    <w:pPr>
      <w:pStyle w:val="13"/>
      <w:ind w:right="360"/>
      <w:rPr>
        <w:rStyle w:val="2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6447F1">
                          <w:pPr>
                            <w:pStyle w:val="13"/>
                            <w:rPr>
                              <w:rFonts w:ascii="宋体" w:hAnsi="宋体" w:eastAsia="宋体"/>
                              <w:sz w:val="28"/>
                            </w:rPr>
                          </w:pP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39</w:t>
                          </w:r>
                          <w:r>
                            <w:rPr>
                              <w:rFonts w:ascii="宋体" w:hAnsi="宋体" w:eastAsia="宋体"/>
                              <w:sz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C6447F1">
                    <w:pPr>
                      <w:pStyle w:val="13"/>
                      <w:rPr>
                        <w:rFonts w:ascii="宋体" w:hAnsi="宋体" w:eastAsia="宋体"/>
                        <w:sz w:val="28"/>
                      </w:rPr>
                    </w:pP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39</w:t>
                    </w:r>
                    <w:r>
                      <w:rPr>
                        <w:rFonts w:ascii="宋体" w:hAnsi="宋体" w:eastAsia="宋体"/>
                        <w:sz w:val="28"/>
                      </w:rPr>
                      <w:fldChar w:fldCharType="end"/>
                    </w:r>
                  </w:p>
                </w:txbxContent>
              </v:textbox>
            </v:shape>
          </w:pict>
        </mc:Fallback>
      </mc:AlternateContent>
    </w:r>
  </w:p>
  <w:p w14:paraId="2E3ACAFE">
    <w:pPr>
      <w:pStyle w:val="13"/>
      <w:ind w:right="360" w:firstLine="360"/>
      <w:jc w:val="cen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459DC">
    <w:pPr>
      <w:pStyle w:val="13"/>
      <w:ind w:right="360"/>
      <w:rPr>
        <w:rStyle w:val="2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BD7C98">
                          <w:pPr>
                            <w:pStyle w:val="13"/>
                            <w:rPr>
                              <w:rFonts w:ascii="宋体" w:hAnsi="宋体" w:eastAsia="宋体"/>
                              <w:sz w:val="28"/>
                            </w:rPr>
                          </w:pP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44</w:t>
                          </w:r>
                          <w:r>
                            <w:rPr>
                              <w:rFonts w:ascii="宋体" w:hAnsi="宋体" w:eastAsia="宋体"/>
                              <w:sz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5BD7C98">
                    <w:pPr>
                      <w:pStyle w:val="13"/>
                      <w:rPr>
                        <w:rFonts w:ascii="宋体" w:hAnsi="宋体" w:eastAsia="宋体"/>
                        <w:sz w:val="28"/>
                      </w:rPr>
                    </w:pP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44</w:t>
                    </w:r>
                    <w:r>
                      <w:rPr>
                        <w:rFonts w:ascii="宋体" w:hAnsi="宋体" w:eastAsia="宋体"/>
                        <w:sz w:val="28"/>
                      </w:rPr>
                      <w:fldChar w:fldCharType="end"/>
                    </w:r>
                  </w:p>
                </w:txbxContent>
              </v:textbox>
            </v:shape>
          </w:pict>
        </mc:Fallback>
      </mc:AlternateContent>
    </w:r>
  </w:p>
  <w:p w14:paraId="3BD06DA6">
    <w:pPr>
      <w:pStyle w:val="13"/>
      <w:ind w:right="360" w:firstLine="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49852">
    <w:pPr>
      <w:pStyle w:val="1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4D3F0">
    <w:pPr>
      <w:pStyle w:val="1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2EA2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F9E455"/>
    <w:multiLevelType w:val="singleLevel"/>
    <w:tmpl w:val="83F9E455"/>
    <w:lvl w:ilvl="0" w:tentative="0">
      <w:start w:val="1"/>
      <w:numFmt w:val="decimal"/>
      <w:suff w:val="nothing"/>
      <w:lvlText w:val="（%1）"/>
      <w:lvlJc w:val="left"/>
    </w:lvl>
  </w:abstractNum>
  <w:abstractNum w:abstractNumId="1">
    <w:nsid w:val="B37E7D97"/>
    <w:multiLevelType w:val="singleLevel"/>
    <w:tmpl w:val="B37E7D97"/>
    <w:lvl w:ilvl="0" w:tentative="0">
      <w:start w:val="1"/>
      <w:numFmt w:val="chineseCounting"/>
      <w:suff w:val="nothing"/>
      <w:lvlText w:val="（%1）"/>
      <w:lvlJc w:val="left"/>
      <w:pPr>
        <w:ind w:left="420" w:firstLine="420"/>
      </w:pPr>
      <w:rPr>
        <w:rFonts w:hint="eastAsia"/>
      </w:rPr>
    </w:lvl>
  </w:abstractNum>
  <w:abstractNum w:abstractNumId="2">
    <w:nsid w:val="BFC12B7A"/>
    <w:multiLevelType w:val="singleLevel"/>
    <w:tmpl w:val="BFC12B7A"/>
    <w:lvl w:ilvl="0" w:tentative="0">
      <w:start w:val="1"/>
      <w:numFmt w:val="decimal"/>
      <w:lvlText w:val="%1."/>
      <w:lvlJc w:val="left"/>
      <w:pPr>
        <w:tabs>
          <w:tab w:val="left" w:pos="420"/>
        </w:tabs>
        <w:ind w:left="845" w:hanging="425"/>
      </w:pPr>
      <w:rPr>
        <w:rFonts w:hint="default"/>
      </w:rPr>
    </w:lvl>
  </w:abstractNum>
  <w:abstractNum w:abstractNumId="3">
    <w:nsid w:val="C8B0017D"/>
    <w:multiLevelType w:val="singleLevel"/>
    <w:tmpl w:val="C8B0017D"/>
    <w:lvl w:ilvl="0" w:tentative="0">
      <w:start w:val="1"/>
      <w:numFmt w:val="decimal"/>
      <w:lvlText w:val="(%1)"/>
      <w:lvlJc w:val="left"/>
      <w:pPr>
        <w:ind w:left="425" w:hanging="425"/>
      </w:pPr>
      <w:rPr>
        <w:rFonts w:hint="default"/>
      </w:rPr>
    </w:lvl>
  </w:abstractNum>
  <w:abstractNum w:abstractNumId="4">
    <w:nsid w:val="CF3CC4F0"/>
    <w:multiLevelType w:val="singleLevel"/>
    <w:tmpl w:val="CF3CC4F0"/>
    <w:lvl w:ilvl="0" w:tentative="0">
      <w:start w:val="1"/>
      <w:numFmt w:val="chineseCounting"/>
      <w:suff w:val="nothing"/>
      <w:lvlText w:val="（%1）"/>
      <w:lvlJc w:val="left"/>
      <w:pPr>
        <w:ind w:left="0" w:firstLine="420"/>
      </w:pPr>
      <w:rPr>
        <w:rFonts w:hint="eastAsia"/>
      </w:rPr>
    </w:lvl>
  </w:abstractNum>
  <w:abstractNum w:abstractNumId="5">
    <w:nsid w:val="D8979E69"/>
    <w:multiLevelType w:val="singleLevel"/>
    <w:tmpl w:val="D8979E69"/>
    <w:lvl w:ilvl="0" w:tentative="0">
      <w:start w:val="1"/>
      <w:numFmt w:val="chineseCounting"/>
      <w:suff w:val="nothing"/>
      <w:lvlText w:val="（%1）"/>
      <w:lvlJc w:val="left"/>
      <w:pPr>
        <w:ind w:left="420" w:firstLine="420"/>
      </w:pPr>
      <w:rPr>
        <w:rFonts w:hint="eastAsia"/>
      </w:rPr>
    </w:lvl>
  </w:abstractNum>
  <w:abstractNum w:abstractNumId="6">
    <w:nsid w:val="0794A269"/>
    <w:multiLevelType w:val="singleLevel"/>
    <w:tmpl w:val="0794A269"/>
    <w:lvl w:ilvl="0" w:tentative="0">
      <w:start w:val="2"/>
      <w:numFmt w:val="decimal"/>
      <w:suff w:val="nothing"/>
      <w:lvlText w:val="%1、"/>
      <w:lvlJc w:val="left"/>
    </w:lvl>
  </w:abstractNum>
  <w:abstractNum w:abstractNumId="7">
    <w:nsid w:val="08D5BFDA"/>
    <w:multiLevelType w:val="singleLevel"/>
    <w:tmpl w:val="08D5BFDA"/>
    <w:lvl w:ilvl="0" w:tentative="0">
      <w:start w:val="1"/>
      <w:numFmt w:val="chineseCounting"/>
      <w:suff w:val="nothing"/>
      <w:lvlText w:val="（%1）"/>
      <w:lvlJc w:val="left"/>
      <w:pPr>
        <w:ind w:left="0" w:firstLine="420"/>
      </w:pPr>
      <w:rPr>
        <w:rFonts w:hint="eastAsia"/>
      </w:rPr>
    </w:lvl>
  </w:abstractNum>
  <w:abstractNum w:abstractNumId="8">
    <w:nsid w:val="0C34DE15"/>
    <w:multiLevelType w:val="singleLevel"/>
    <w:tmpl w:val="0C34DE15"/>
    <w:lvl w:ilvl="0" w:tentative="0">
      <w:start w:val="1"/>
      <w:numFmt w:val="decimal"/>
      <w:lvlText w:val="%1."/>
      <w:lvlJc w:val="left"/>
      <w:pPr>
        <w:tabs>
          <w:tab w:val="left" w:pos="312"/>
        </w:tabs>
      </w:pPr>
    </w:lvl>
  </w:abstractNum>
  <w:abstractNum w:abstractNumId="9">
    <w:nsid w:val="0C77A2A3"/>
    <w:multiLevelType w:val="singleLevel"/>
    <w:tmpl w:val="0C77A2A3"/>
    <w:lvl w:ilvl="0" w:tentative="0">
      <w:start w:val="1"/>
      <w:numFmt w:val="chineseCounting"/>
      <w:suff w:val="nothing"/>
      <w:lvlText w:val="（%1）"/>
      <w:lvlJc w:val="left"/>
      <w:pPr>
        <w:ind w:left="420" w:firstLine="420"/>
      </w:pPr>
      <w:rPr>
        <w:rFonts w:hint="eastAsia"/>
      </w:rPr>
    </w:lvl>
  </w:abstractNum>
  <w:abstractNum w:abstractNumId="10">
    <w:nsid w:val="20723FE6"/>
    <w:multiLevelType w:val="singleLevel"/>
    <w:tmpl w:val="20723FE6"/>
    <w:lvl w:ilvl="0" w:tentative="0">
      <w:start w:val="1"/>
      <w:numFmt w:val="chineseCounting"/>
      <w:suff w:val="nothing"/>
      <w:lvlText w:val="（%1）"/>
      <w:lvlJc w:val="left"/>
      <w:pPr>
        <w:ind w:left="420" w:firstLine="420"/>
      </w:pPr>
      <w:rPr>
        <w:rFonts w:hint="eastAsia"/>
      </w:rPr>
    </w:lvl>
  </w:abstractNum>
  <w:abstractNum w:abstractNumId="11">
    <w:nsid w:val="225A8346"/>
    <w:multiLevelType w:val="singleLevel"/>
    <w:tmpl w:val="225A8346"/>
    <w:lvl w:ilvl="0" w:tentative="0">
      <w:start w:val="1"/>
      <w:numFmt w:val="decimal"/>
      <w:lvlText w:val="%1."/>
      <w:lvlJc w:val="left"/>
      <w:pPr>
        <w:tabs>
          <w:tab w:val="left" w:pos="312"/>
        </w:tabs>
      </w:pPr>
    </w:lvl>
  </w:abstractNum>
  <w:abstractNum w:abstractNumId="12">
    <w:nsid w:val="22EADF1B"/>
    <w:multiLevelType w:val="singleLevel"/>
    <w:tmpl w:val="22EADF1B"/>
    <w:lvl w:ilvl="0" w:tentative="0">
      <w:start w:val="1"/>
      <w:numFmt w:val="decimal"/>
      <w:lvlText w:val="(%1)"/>
      <w:lvlJc w:val="left"/>
      <w:pPr>
        <w:ind w:left="425" w:hanging="425"/>
      </w:pPr>
      <w:rPr>
        <w:rFonts w:hint="default"/>
      </w:rPr>
    </w:lvl>
  </w:abstractNum>
  <w:abstractNum w:abstractNumId="13">
    <w:nsid w:val="2C7A1A41"/>
    <w:multiLevelType w:val="singleLevel"/>
    <w:tmpl w:val="2C7A1A41"/>
    <w:lvl w:ilvl="0" w:tentative="0">
      <w:start w:val="1"/>
      <w:numFmt w:val="decimal"/>
      <w:suff w:val="nothing"/>
      <w:lvlText w:val="%1．"/>
      <w:lvlJc w:val="left"/>
    </w:lvl>
  </w:abstractNum>
  <w:abstractNum w:abstractNumId="14">
    <w:nsid w:val="3276A9F4"/>
    <w:multiLevelType w:val="singleLevel"/>
    <w:tmpl w:val="3276A9F4"/>
    <w:lvl w:ilvl="0" w:tentative="0">
      <w:start w:val="1"/>
      <w:numFmt w:val="chineseCounting"/>
      <w:suff w:val="nothing"/>
      <w:lvlText w:val="%1、"/>
      <w:lvlJc w:val="left"/>
      <w:pPr>
        <w:ind w:left="0" w:firstLine="420"/>
      </w:pPr>
      <w:rPr>
        <w:rFonts w:hint="eastAsia"/>
      </w:rPr>
    </w:lvl>
  </w:abstractNum>
  <w:abstractNum w:abstractNumId="15">
    <w:nsid w:val="46D25D85"/>
    <w:multiLevelType w:val="singleLevel"/>
    <w:tmpl w:val="46D25D85"/>
    <w:lvl w:ilvl="0" w:tentative="0">
      <w:start w:val="1"/>
      <w:numFmt w:val="decimal"/>
      <w:suff w:val="nothing"/>
      <w:lvlText w:val="%1、"/>
      <w:lvlJc w:val="left"/>
    </w:lvl>
  </w:abstractNum>
  <w:abstractNum w:abstractNumId="16">
    <w:nsid w:val="4DD4552D"/>
    <w:multiLevelType w:val="singleLevel"/>
    <w:tmpl w:val="4DD4552D"/>
    <w:lvl w:ilvl="0" w:tentative="0">
      <w:start w:val="1"/>
      <w:numFmt w:val="decimal"/>
      <w:lvlText w:val="%1."/>
      <w:lvlJc w:val="left"/>
      <w:pPr>
        <w:tabs>
          <w:tab w:val="left" w:pos="312"/>
        </w:tabs>
      </w:pPr>
    </w:lvl>
  </w:abstractNum>
  <w:num w:numId="1">
    <w:abstractNumId w:val="12"/>
  </w:num>
  <w:num w:numId="2">
    <w:abstractNumId w:val="0"/>
  </w:num>
  <w:num w:numId="3">
    <w:abstractNumId w:val="6"/>
  </w:num>
  <w:num w:numId="4">
    <w:abstractNumId w:val="3"/>
  </w:num>
  <w:num w:numId="5">
    <w:abstractNumId w:val="14"/>
  </w:num>
  <w:num w:numId="6">
    <w:abstractNumId w:val="7"/>
  </w:num>
  <w:num w:numId="7">
    <w:abstractNumId w:val="5"/>
  </w:num>
  <w:num w:numId="8">
    <w:abstractNumId w:val="2"/>
  </w:num>
  <w:num w:numId="9">
    <w:abstractNumId w:val="1"/>
  </w:num>
  <w:num w:numId="10">
    <w:abstractNumId w:val="10"/>
  </w:num>
  <w:num w:numId="11">
    <w:abstractNumId w:val="9"/>
  </w:num>
  <w:num w:numId="12">
    <w:abstractNumId w:val="4"/>
  </w:num>
  <w:num w:numId="13">
    <w:abstractNumId w:val="13"/>
  </w:num>
  <w:num w:numId="14">
    <w:abstractNumId w:val="15"/>
  </w:num>
  <w:num w:numId="15">
    <w:abstractNumId w:val="11"/>
  </w:num>
  <w:num w:numId="16">
    <w:abstractNumId w:val="16"/>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ViMTY4MWExZWMwOWI2OGU4YzRkYmZjZGM2ZWU3NjgifQ=="/>
  </w:docVars>
  <w:rsids>
    <w:rsidRoot w:val="72EB1B2F"/>
    <w:rsid w:val="00317500"/>
    <w:rsid w:val="00F77601"/>
    <w:rsid w:val="01CD7566"/>
    <w:rsid w:val="01EE5274"/>
    <w:rsid w:val="01FF7952"/>
    <w:rsid w:val="025008C3"/>
    <w:rsid w:val="026B1B3E"/>
    <w:rsid w:val="0276709E"/>
    <w:rsid w:val="02DA44F9"/>
    <w:rsid w:val="030363C8"/>
    <w:rsid w:val="03335E80"/>
    <w:rsid w:val="03597303"/>
    <w:rsid w:val="03C2759E"/>
    <w:rsid w:val="045E36B4"/>
    <w:rsid w:val="04B52122"/>
    <w:rsid w:val="04D160A4"/>
    <w:rsid w:val="05B71F20"/>
    <w:rsid w:val="05C83808"/>
    <w:rsid w:val="05E02329"/>
    <w:rsid w:val="06A54C50"/>
    <w:rsid w:val="06AF1D37"/>
    <w:rsid w:val="06E73AAC"/>
    <w:rsid w:val="072E3AD0"/>
    <w:rsid w:val="078D1C71"/>
    <w:rsid w:val="07AC4821"/>
    <w:rsid w:val="0854278F"/>
    <w:rsid w:val="0898267C"/>
    <w:rsid w:val="08FD285D"/>
    <w:rsid w:val="094D790A"/>
    <w:rsid w:val="09ED2E9B"/>
    <w:rsid w:val="09F50715"/>
    <w:rsid w:val="0A16615F"/>
    <w:rsid w:val="0A2933A4"/>
    <w:rsid w:val="0A2A4979"/>
    <w:rsid w:val="0A674520"/>
    <w:rsid w:val="0AF241A3"/>
    <w:rsid w:val="0B3B3792"/>
    <w:rsid w:val="0B5C3E34"/>
    <w:rsid w:val="0B93679C"/>
    <w:rsid w:val="0BD4106C"/>
    <w:rsid w:val="0BD67870"/>
    <w:rsid w:val="0BF10160"/>
    <w:rsid w:val="0C1A784C"/>
    <w:rsid w:val="0C882A07"/>
    <w:rsid w:val="0CB41100"/>
    <w:rsid w:val="0CCB3CB4"/>
    <w:rsid w:val="0CEE4F60"/>
    <w:rsid w:val="0D5623CA"/>
    <w:rsid w:val="0E184446"/>
    <w:rsid w:val="0E907C8B"/>
    <w:rsid w:val="0EC60901"/>
    <w:rsid w:val="10210749"/>
    <w:rsid w:val="113373E5"/>
    <w:rsid w:val="11D97647"/>
    <w:rsid w:val="14177E65"/>
    <w:rsid w:val="16066BB1"/>
    <w:rsid w:val="161869B3"/>
    <w:rsid w:val="16340798"/>
    <w:rsid w:val="16557DFE"/>
    <w:rsid w:val="1663076D"/>
    <w:rsid w:val="176C195F"/>
    <w:rsid w:val="17B33AEE"/>
    <w:rsid w:val="17CA2F63"/>
    <w:rsid w:val="182B350C"/>
    <w:rsid w:val="18313F08"/>
    <w:rsid w:val="18C46BFD"/>
    <w:rsid w:val="18DE232D"/>
    <w:rsid w:val="18E57F67"/>
    <w:rsid w:val="18F90F15"/>
    <w:rsid w:val="19191272"/>
    <w:rsid w:val="19E50C35"/>
    <w:rsid w:val="1A231FC1"/>
    <w:rsid w:val="1A4737D2"/>
    <w:rsid w:val="1A525246"/>
    <w:rsid w:val="1AFE3C31"/>
    <w:rsid w:val="1B1C736D"/>
    <w:rsid w:val="1B4D5EE4"/>
    <w:rsid w:val="1B5543FC"/>
    <w:rsid w:val="1BB67591"/>
    <w:rsid w:val="1C726886"/>
    <w:rsid w:val="1C9553F8"/>
    <w:rsid w:val="1CB803B9"/>
    <w:rsid w:val="1D507D79"/>
    <w:rsid w:val="1D64423A"/>
    <w:rsid w:val="1E4F109D"/>
    <w:rsid w:val="1E696B3C"/>
    <w:rsid w:val="20717F2A"/>
    <w:rsid w:val="20832C3C"/>
    <w:rsid w:val="21115269"/>
    <w:rsid w:val="214A289E"/>
    <w:rsid w:val="21937A2C"/>
    <w:rsid w:val="22256B0A"/>
    <w:rsid w:val="22544EFC"/>
    <w:rsid w:val="2277268F"/>
    <w:rsid w:val="227C71F1"/>
    <w:rsid w:val="22D12F02"/>
    <w:rsid w:val="25205A7B"/>
    <w:rsid w:val="252F4242"/>
    <w:rsid w:val="25701ECF"/>
    <w:rsid w:val="25735D92"/>
    <w:rsid w:val="2593336E"/>
    <w:rsid w:val="260457C8"/>
    <w:rsid w:val="261854C9"/>
    <w:rsid w:val="266E51DE"/>
    <w:rsid w:val="26BD3FDF"/>
    <w:rsid w:val="278771ED"/>
    <w:rsid w:val="27F73C88"/>
    <w:rsid w:val="2870120A"/>
    <w:rsid w:val="28E056C2"/>
    <w:rsid w:val="29A573BE"/>
    <w:rsid w:val="29B11E5C"/>
    <w:rsid w:val="29D54100"/>
    <w:rsid w:val="2A6E1503"/>
    <w:rsid w:val="2A900FAD"/>
    <w:rsid w:val="2AA24436"/>
    <w:rsid w:val="2B770F33"/>
    <w:rsid w:val="2CD07D87"/>
    <w:rsid w:val="2D2E0394"/>
    <w:rsid w:val="2D5A57EE"/>
    <w:rsid w:val="2E713BAF"/>
    <w:rsid w:val="2EE31FF3"/>
    <w:rsid w:val="2F5A489B"/>
    <w:rsid w:val="321D3A6E"/>
    <w:rsid w:val="32A61601"/>
    <w:rsid w:val="32DB74D3"/>
    <w:rsid w:val="32F61DA6"/>
    <w:rsid w:val="32FA5B5D"/>
    <w:rsid w:val="335E39AC"/>
    <w:rsid w:val="341A70B7"/>
    <w:rsid w:val="349149FB"/>
    <w:rsid w:val="349D2C44"/>
    <w:rsid w:val="351123DC"/>
    <w:rsid w:val="35364C20"/>
    <w:rsid w:val="35EA0477"/>
    <w:rsid w:val="35EC1519"/>
    <w:rsid w:val="36374E47"/>
    <w:rsid w:val="37147E8D"/>
    <w:rsid w:val="37260AD4"/>
    <w:rsid w:val="37773C20"/>
    <w:rsid w:val="391F631E"/>
    <w:rsid w:val="39B3246F"/>
    <w:rsid w:val="3A5D65EF"/>
    <w:rsid w:val="3A606BEE"/>
    <w:rsid w:val="3AD76784"/>
    <w:rsid w:val="3AF85078"/>
    <w:rsid w:val="3B1D3B63"/>
    <w:rsid w:val="3B740529"/>
    <w:rsid w:val="3BBB7E54"/>
    <w:rsid w:val="3C502C92"/>
    <w:rsid w:val="3C5A5BA6"/>
    <w:rsid w:val="3C726F73"/>
    <w:rsid w:val="3C895432"/>
    <w:rsid w:val="3DCE0F67"/>
    <w:rsid w:val="3DD66FC3"/>
    <w:rsid w:val="3E6D7563"/>
    <w:rsid w:val="3E9B09C8"/>
    <w:rsid w:val="3F994C36"/>
    <w:rsid w:val="3FE90EF7"/>
    <w:rsid w:val="400E612C"/>
    <w:rsid w:val="401A49DA"/>
    <w:rsid w:val="4077259B"/>
    <w:rsid w:val="410F6B37"/>
    <w:rsid w:val="413F48E2"/>
    <w:rsid w:val="41847666"/>
    <w:rsid w:val="41E44D72"/>
    <w:rsid w:val="427A2817"/>
    <w:rsid w:val="42ED4D97"/>
    <w:rsid w:val="42F26851"/>
    <w:rsid w:val="42FB2162"/>
    <w:rsid w:val="43362122"/>
    <w:rsid w:val="43CF26EE"/>
    <w:rsid w:val="44116A05"/>
    <w:rsid w:val="44476729"/>
    <w:rsid w:val="44C341C0"/>
    <w:rsid w:val="454761D1"/>
    <w:rsid w:val="45CB206F"/>
    <w:rsid w:val="462E7BA0"/>
    <w:rsid w:val="46413695"/>
    <w:rsid w:val="4666119D"/>
    <w:rsid w:val="467A68A3"/>
    <w:rsid w:val="46AF5982"/>
    <w:rsid w:val="475C24F5"/>
    <w:rsid w:val="482528AF"/>
    <w:rsid w:val="499863CE"/>
    <w:rsid w:val="49A81A17"/>
    <w:rsid w:val="4A33686C"/>
    <w:rsid w:val="4A8F6B7A"/>
    <w:rsid w:val="4BBD225B"/>
    <w:rsid w:val="4BD96800"/>
    <w:rsid w:val="4CE8452C"/>
    <w:rsid w:val="4DC37B1E"/>
    <w:rsid w:val="4DEE2346"/>
    <w:rsid w:val="4E21022F"/>
    <w:rsid w:val="4E854A1D"/>
    <w:rsid w:val="4ECD6362"/>
    <w:rsid w:val="4FB629B4"/>
    <w:rsid w:val="4FEB08B0"/>
    <w:rsid w:val="4FF9121F"/>
    <w:rsid w:val="5035213F"/>
    <w:rsid w:val="506959EC"/>
    <w:rsid w:val="509F66A6"/>
    <w:rsid w:val="50EA0CAA"/>
    <w:rsid w:val="515406D7"/>
    <w:rsid w:val="51EE444A"/>
    <w:rsid w:val="523E73BD"/>
    <w:rsid w:val="5244074B"/>
    <w:rsid w:val="525C3999"/>
    <w:rsid w:val="526640A6"/>
    <w:rsid w:val="526C1316"/>
    <w:rsid w:val="52E72BEF"/>
    <w:rsid w:val="53881802"/>
    <w:rsid w:val="53CE651E"/>
    <w:rsid w:val="54433F29"/>
    <w:rsid w:val="54446DEC"/>
    <w:rsid w:val="54F2530C"/>
    <w:rsid w:val="54F55D2D"/>
    <w:rsid w:val="54FD1300"/>
    <w:rsid w:val="557E7F28"/>
    <w:rsid w:val="558570B1"/>
    <w:rsid w:val="55BA3249"/>
    <w:rsid w:val="56BB5E8D"/>
    <w:rsid w:val="571B5F1F"/>
    <w:rsid w:val="57A75B27"/>
    <w:rsid w:val="580A7D41"/>
    <w:rsid w:val="583263D5"/>
    <w:rsid w:val="58D40A4D"/>
    <w:rsid w:val="58DD3B7B"/>
    <w:rsid w:val="58DE2ADE"/>
    <w:rsid w:val="594B42EB"/>
    <w:rsid w:val="59AA5338"/>
    <w:rsid w:val="59B82F14"/>
    <w:rsid w:val="5A0937FD"/>
    <w:rsid w:val="5A1341AF"/>
    <w:rsid w:val="5A1E534D"/>
    <w:rsid w:val="5AD05272"/>
    <w:rsid w:val="5B9B13DC"/>
    <w:rsid w:val="5BA109BC"/>
    <w:rsid w:val="5BEE5CC2"/>
    <w:rsid w:val="5C441F61"/>
    <w:rsid w:val="5C4B5E34"/>
    <w:rsid w:val="5C4C156C"/>
    <w:rsid w:val="5C583E75"/>
    <w:rsid w:val="5C6914DA"/>
    <w:rsid w:val="5C8C5700"/>
    <w:rsid w:val="5CD54DC2"/>
    <w:rsid w:val="5D34130F"/>
    <w:rsid w:val="5D357BF0"/>
    <w:rsid w:val="5D5201C0"/>
    <w:rsid w:val="5D79574D"/>
    <w:rsid w:val="5D7E036A"/>
    <w:rsid w:val="5DE31865"/>
    <w:rsid w:val="5E16312D"/>
    <w:rsid w:val="5E4E149C"/>
    <w:rsid w:val="5E612C7A"/>
    <w:rsid w:val="5F0821AA"/>
    <w:rsid w:val="607D4860"/>
    <w:rsid w:val="60BA67A8"/>
    <w:rsid w:val="610A4495"/>
    <w:rsid w:val="616C4008"/>
    <w:rsid w:val="63DD24D9"/>
    <w:rsid w:val="64A36D2B"/>
    <w:rsid w:val="65A21F54"/>
    <w:rsid w:val="65C259A4"/>
    <w:rsid w:val="65D8322D"/>
    <w:rsid w:val="66932D32"/>
    <w:rsid w:val="67DC5256"/>
    <w:rsid w:val="68442EE3"/>
    <w:rsid w:val="68F91E38"/>
    <w:rsid w:val="69903B38"/>
    <w:rsid w:val="69BA1345"/>
    <w:rsid w:val="6A6D488B"/>
    <w:rsid w:val="6B0D2453"/>
    <w:rsid w:val="6B3727A3"/>
    <w:rsid w:val="6C176243"/>
    <w:rsid w:val="6C58280B"/>
    <w:rsid w:val="6C694275"/>
    <w:rsid w:val="6DD24A05"/>
    <w:rsid w:val="6DD4405D"/>
    <w:rsid w:val="6DE8157A"/>
    <w:rsid w:val="6E9C7C7E"/>
    <w:rsid w:val="6EA86854"/>
    <w:rsid w:val="6EE906BC"/>
    <w:rsid w:val="6F527D12"/>
    <w:rsid w:val="6F8B7C47"/>
    <w:rsid w:val="6FA87689"/>
    <w:rsid w:val="6FD4659B"/>
    <w:rsid w:val="70102C88"/>
    <w:rsid w:val="71055290"/>
    <w:rsid w:val="715C2F64"/>
    <w:rsid w:val="719A3A8C"/>
    <w:rsid w:val="71CC5A9E"/>
    <w:rsid w:val="71D55997"/>
    <w:rsid w:val="7285237C"/>
    <w:rsid w:val="72CA7C8D"/>
    <w:rsid w:val="72EB1B2F"/>
    <w:rsid w:val="74F8525D"/>
    <w:rsid w:val="75991FBB"/>
    <w:rsid w:val="75BF554D"/>
    <w:rsid w:val="75CE5963"/>
    <w:rsid w:val="777806B3"/>
    <w:rsid w:val="777C1537"/>
    <w:rsid w:val="77900BC8"/>
    <w:rsid w:val="782331D6"/>
    <w:rsid w:val="786B5093"/>
    <w:rsid w:val="78EB4071"/>
    <w:rsid w:val="78F47F26"/>
    <w:rsid w:val="79384DBD"/>
    <w:rsid w:val="79D51B05"/>
    <w:rsid w:val="7BDF0A19"/>
    <w:rsid w:val="7C4A55BC"/>
    <w:rsid w:val="7CB400F8"/>
    <w:rsid w:val="7CDA2453"/>
    <w:rsid w:val="7DEE6B0C"/>
    <w:rsid w:val="7E0230E5"/>
    <w:rsid w:val="7E8167F7"/>
    <w:rsid w:val="7FF949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2"/>
    <w:basedOn w:val="1"/>
    <w:next w:val="1"/>
    <w:unhideWhenUsed/>
    <w:qFormat/>
    <w:uiPriority w:val="0"/>
    <w:pPr>
      <w:keepNext/>
      <w:keepLines/>
      <w:tabs>
        <w:tab w:val="left" w:pos="432"/>
      </w:tabs>
      <w:spacing w:line="360" w:lineRule="auto"/>
      <w:ind w:left="432" w:hanging="432"/>
      <w:jc w:val="left"/>
      <w:outlineLvl w:val="1"/>
    </w:pPr>
    <w:rPr>
      <w:rFonts w:ascii="仿宋_GB2312" w:hAnsi="仿宋" w:eastAsia="仿宋_GB2312" w:cs="Times New Roman"/>
      <w:b/>
      <w:bCs/>
      <w:sz w:val="32"/>
      <w:szCs w:val="32"/>
      <w:lang w:val="zh-CN"/>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ind w:firstLine="420"/>
    </w:pPr>
    <w:rPr>
      <w:rFonts w:hAnsi="Calibri" w:eastAsia="宋体"/>
      <w:snapToGrid/>
      <w:kern w:val="0"/>
      <w:szCs w:val="20"/>
    </w:rPr>
  </w:style>
  <w:style w:type="paragraph" w:styleId="3">
    <w:name w:val="Body Text"/>
    <w:basedOn w:val="1"/>
    <w:next w:val="2"/>
    <w:autoRedefine/>
    <w:qFormat/>
    <w:uiPriority w:val="0"/>
    <w:pPr>
      <w:autoSpaceDE w:val="0"/>
      <w:autoSpaceDN w:val="0"/>
      <w:adjustRightInd w:val="0"/>
      <w:spacing w:line="360" w:lineRule="auto"/>
    </w:pPr>
    <w:rPr>
      <w:rFonts w:ascii="宋体" w:hAnsi="Arial" w:eastAsia="黑体" w:cs="Times New Roman"/>
      <w:snapToGrid w:val="0"/>
      <w:sz w:val="24"/>
      <w:szCs w:val="21"/>
      <w:lang w:val="zh-CN"/>
    </w:rPr>
  </w:style>
  <w:style w:type="paragraph" w:styleId="5">
    <w:name w:val="Normal Indent"/>
    <w:basedOn w:val="1"/>
    <w:qFormat/>
    <w:uiPriority w:val="0"/>
    <w:pPr>
      <w:widowControl/>
      <w:adjustRightInd w:val="0"/>
      <w:snapToGrid w:val="0"/>
      <w:spacing w:line="480" w:lineRule="exact"/>
      <w:ind w:firstLine="567"/>
    </w:pPr>
    <w:rPr>
      <w:rFonts w:ascii="宋体" w:hAnsi="Times New Roman" w:eastAsia="宋体" w:cs="Times New Roman"/>
      <w:snapToGrid w:val="0"/>
      <w:color w:val="000000"/>
      <w:kern w:val="28"/>
      <w:sz w:val="28"/>
      <w:szCs w:val="20"/>
    </w:rPr>
  </w:style>
  <w:style w:type="paragraph" w:styleId="6">
    <w:name w:val="toa heading"/>
    <w:basedOn w:val="1"/>
    <w:next w:val="1"/>
    <w:autoRedefine/>
    <w:qFormat/>
    <w:uiPriority w:val="0"/>
    <w:pPr>
      <w:spacing w:before="120"/>
    </w:pPr>
    <w:rPr>
      <w:rFonts w:ascii="Arial" w:hAnsi="Arial" w:cs="Arial"/>
      <w:sz w:val="24"/>
    </w:rPr>
  </w:style>
  <w:style w:type="paragraph" w:styleId="7">
    <w:name w:val="Body Text Indent"/>
    <w:basedOn w:val="1"/>
    <w:next w:val="8"/>
    <w:autoRedefine/>
    <w:qFormat/>
    <w:uiPriority w:val="0"/>
    <w:pPr>
      <w:adjustRightInd w:val="0"/>
      <w:spacing w:line="480" w:lineRule="exact"/>
      <w:ind w:firstLine="480" w:firstLineChars="200"/>
    </w:pPr>
    <w:rPr>
      <w:rFonts w:ascii="宋体" w:hAnsi="宋体" w:eastAsia="宋体" w:cs="Times New Roman"/>
      <w:sz w:val="24"/>
      <w:szCs w:val="24"/>
    </w:rPr>
  </w:style>
  <w:style w:type="paragraph" w:customStyle="1" w:styleId="8">
    <w:name w:val="样式 正文文本缩进 + 首行缩进:  2 字符 行距: 1.5 倍行距"/>
    <w:basedOn w:val="7"/>
    <w:autoRedefine/>
    <w:qFormat/>
    <w:uiPriority w:val="0"/>
    <w:pPr>
      <w:spacing w:before="156" w:line="360" w:lineRule="auto"/>
      <w:ind w:left="0" w:leftChars="0" w:firstLine="482"/>
    </w:pPr>
    <w:rPr>
      <w:rFonts w:eastAsia="仿宋" w:cs="宋体"/>
      <w:b/>
      <w:sz w:val="20"/>
      <w:szCs w:val="20"/>
    </w:rPr>
  </w:style>
  <w:style w:type="paragraph" w:styleId="9">
    <w:name w:val="Block Text"/>
    <w:basedOn w:val="1"/>
    <w:autoRedefine/>
    <w:qFormat/>
    <w:uiPriority w:val="0"/>
    <w:pPr>
      <w:adjustRightInd w:val="0"/>
      <w:ind w:left="-359" w:leftChars="-171" w:right="-244" w:rightChars="-244" w:firstLine="501" w:firstLineChars="239"/>
    </w:pPr>
    <w:rPr>
      <w:rFonts w:ascii="仿宋_GB2312" w:hAnsi="Times New Roman" w:eastAsia="仿宋_GB2312" w:cs="Times New Roman"/>
      <w:sz w:val="30"/>
      <w:szCs w:val="20"/>
    </w:rPr>
  </w:style>
  <w:style w:type="paragraph" w:styleId="10">
    <w:name w:val="Plain Text"/>
    <w:basedOn w:val="1"/>
    <w:next w:val="1"/>
    <w:autoRedefine/>
    <w:qFormat/>
    <w:uiPriority w:val="0"/>
    <w:pPr>
      <w:adjustRightInd w:val="0"/>
    </w:pPr>
    <w:rPr>
      <w:rFonts w:ascii="宋体" w:hAnsi="Courier New" w:eastAsia="黑体" w:cs="Times New Roman"/>
      <w:snapToGrid w:val="0"/>
      <w:szCs w:val="21"/>
    </w:rPr>
  </w:style>
  <w:style w:type="paragraph" w:styleId="11">
    <w:name w:val="Date"/>
    <w:basedOn w:val="1"/>
    <w:next w:val="1"/>
    <w:autoRedefine/>
    <w:qFormat/>
    <w:uiPriority w:val="0"/>
    <w:pPr>
      <w:adjustRightInd w:val="0"/>
      <w:ind w:left="100" w:leftChars="2500"/>
    </w:pPr>
    <w:rPr>
      <w:rFonts w:ascii="宋体" w:hAnsi="Times New Roman" w:eastAsia="宋体" w:cs="Times New Roman"/>
      <w:sz w:val="24"/>
      <w:szCs w:val="21"/>
      <w:lang w:val="zh-CN"/>
    </w:rPr>
  </w:style>
  <w:style w:type="paragraph" w:styleId="12">
    <w:name w:val="Body Text Indent 2"/>
    <w:basedOn w:val="1"/>
    <w:autoRedefine/>
    <w:qFormat/>
    <w:uiPriority w:val="0"/>
    <w:pPr>
      <w:adjustRightInd w:val="0"/>
      <w:spacing w:line="360" w:lineRule="auto"/>
      <w:ind w:firstLine="601"/>
      <w:textAlignment w:val="baseline"/>
    </w:pPr>
    <w:rPr>
      <w:rFonts w:ascii="宋体" w:hAnsi="Times New Roman" w:eastAsia="宋体" w:cs="Times New Roman"/>
      <w:kern w:val="0"/>
      <w:sz w:val="28"/>
      <w:szCs w:val="20"/>
    </w:rPr>
  </w:style>
  <w:style w:type="paragraph" w:styleId="13">
    <w:name w:val="footer"/>
    <w:basedOn w:val="1"/>
    <w:autoRedefine/>
    <w:qFormat/>
    <w:uiPriority w:val="99"/>
    <w:pPr>
      <w:tabs>
        <w:tab w:val="center" w:pos="4153"/>
        <w:tab w:val="right" w:pos="8306"/>
      </w:tabs>
      <w:adjustRightInd w:val="0"/>
      <w:snapToGrid w:val="0"/>
      <w:jc w:val="left"/>
    </w:pPr>
    <w:rPr>
      <w:rFonts w:ascii="Times New Roman" w:hAnsi="Times New Roman" w:eastAsia="宋体" w:cs="Times New Roman"/>
      <w:sz w:val="18"/>
      <w:szCs w:val="18"/>
    </w:rPr>
  </w:style>
  <w:style w:type="paragraph" w:styleId="14">
    <w:name w:val="header"/>
    <w:basedOn w:val="1"/>
    <w:autoRedefine/>
    <w:qFormat/>
    <w:uiPriority w:val="0"/>
    <w:pPr>
      <w:pBdr>
        <w:bottom w:val="single" w:color="auto" w:sz="6" w:space="1"/>
      </w:pBdr>
      <w:tabs>
        <w:tab w:val="center" w:pos="4153"/>
        <w:tab w:val="right" w:pos="8306"/>
      </w:tabs>
      <w:adjustRightInd w:val="0"/>
      <w:snapToGrid w:val="0"/>
      <w:jc w:val="right"/>
    </w:pPr>
    <w:rPr>
      <w:rFonts w:ascii="仿宋" w:hAnsi="仿宋" w:eastAsia="仿宋" w:cs="Times New Roman"/>
      <w:i/>
      <w:snapToGrid w:val="0"/>
      <w:sz w:val="18"/>
      <w:szCs w:val="18"/>
      <w:u w:val="single"/>
      <w:lang w:val="en-GB"/>
    </w:rPr>
  </w:style>
  <w:style w:type="paragraph" w:styleId="15">
    <w:name w:val="Subtitle"/>
    <w:basedOn w:val="1"/>
    <w:next w:val="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16">
    <w:name w:val="Body Text 2"/>
    <w:basedOn w:val="1"/>
    <w:autoRedefine/>
    <w:qFormat/>
    <w:uiPriority w:val="0"/>
    <w:pPr>
      <w:adjustRightInd w:val="0"/>
      <w:spacing w:after="120" w:line="480" w:lineRule="auto"/>
    </w:pPr>
    <w:rPr>
      <w:rFonts w:ascii="Arial" w:hAnsi="Arial" w:eastAsia="黑体" w:cs="Times New Roman"/>
      <w:snapToGrid w:val="0"/>
      <w:szCs w:val="24"/>
    </w:rPr>
  </w:style>
  <w:style w:type="paragraph" w:styleId="17">
    <w:name w:val="Normal (Web)"/>
    <w:basedOn w:val="1"/>
    <w:autoRedefine/>
    <w:semiHidden/>
    <w:unhideWhenUsed/>
    <w:qFormat/>
    <w:uiPriority w:val="0"/>
    <w:pPr>
      <w:widowControl/>
      <w:spacing w:before="100" w:beforeAutospacing="1" w:after="100" w:afterAutospacing="1"/>
      <w:jc w:val="left"/>
    </w:pPr>
    <w:rPr>
      <w:rFonts w:ascii="宋体" w:hAnsi="宋体"/>
      <w:kern w:val="0"/>
      <w:sz w:val="24"/>
    </w:rPr>
  </w:style>
  <w:style w:type="table" w:styleId="19">
    <w:name w:val="Table Grid"/>
    <w:basedOn w:val="18"/>
    <w:autoRedefine/>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autoRedefine/>
    <w:qFormat/>
    <w:uiPriority w:val="0"/>
    <w:rPr>
      <w:b/>
    </w:rPr>
  </w:style>
  <w:style w:type="character" w:styleId="22">
    <w:name w:val="page number"/>
    <w:basedOn w:val="20"/>
    <w:autoRedefine/>
    <w:qFormat/>
    <w:uiPriority w:val="0"/>
  </w:style>
  <w:style w:type="character" w:styleId="23">
    <w:name w:val="Hyperlink"/>
    <w:basedOn w:val="20"/>
    <w:autoRedefine/>
    <w:qFormat/>
    <w:uiPriority w:val="0"/>
    <w:rPr>
      <w:color w:val="0000FF"/>
      <w:u w:val="single"/>
    </w:rPr>
  </w:style>
  <w:style w:type="paragraph" w:customStyle="1" w:styleId="24">
    <w:name w:val="表格文字"/>
    <w:basedOn w:val="1"/>
    <w:next w:val="3"/>
    <w:autoRedefine/>
    <w:qFormat/>
    <w:uiPriority w:val="0"/>
    <w:pPr>
      <w:ind w:firstLine="200" w:firstLineChars="200"/>
    </w:pPr>
    <w:rPr>
      <w:rFonts w:ascii="Arial" w:hAnsi="Arial" w:eastAsia="宋体" w:cs="Times New Roman"/>
      <w:spacing w:val="-5"/>
      <w:kern w:val="0"/>
      <w:sz w:val="24"/>
      <w:szCs w:val="20"/>
    </w:rPr>
  </w:style>
  <w:style w:type="paragraph" w:customStyle="1" w:styleId="25">
    <w:name w:val="trs_editor"/>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
    <w:name w:val="正文2"/>
    <w:basedOn w:val="1"/>
    <w:autoRedefine/>
    <w:qFormat/>
    <w:uiPriority w:val="0"/>
    <w:pPr>
      <w:adjustRightInd w:val="0"/>
      <w:spacing w:before="156" w:line="360" w:lineRule="auto"/>
      <w:ind w:firstLine="510" w:firstLineChars="200"/>
    </w:pPr>
    <w:rPr>
      <w:rFonts w:eastAsia="宋体"/>
      <w:sz w:val="24"/>
    </w:rPr>
  </w:style>
  <w:style w:type="paragraph" w:customStyle="1" w:styleId="2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28">
    <w:name w:val="Other|1"/>
    <w:basedOn w:val="1"/>
    <w:autoRedefine/>
    <w:qFormat/>
    <w:uiPriority w:val="0"/>
    <w:pPr>
      <w:spacing w:line="408" w:lineRule="auto"/>
      <w:ind w:firstLine="400"/>
    </w:pPr>
    <w:rPr>
      <w:rFonts w:ascii="宋体" w:hAnsi="宋体" w:eastAsia="宋体" w:cs="宋体"/>
      <w:sz w:val="28"/>
      <w:szCs w:val="28"/>
      <w:lang w:val="zh-TW" w:eastAsia="zh-TW" w:bidi="zh-TW"/>
    </w:rPr>
  </w:style>
  <w:style w:type="paragraph" w:customStyle="1" w:styleId="29">
    <w:name w:val="纯文本_0_0"/>
    <w:basedOn w:val="1"/>
    <w:autoRedefine/>
    <w:qFormat/>
    <w:uiPriority w:val="0"/>
    <w:rPr>
      <w:rFonts w:ascii="宋体" w:hAnsi="Courier New" w:eastAsia="宋体" w:cs="Times New Roman"/>
      <w:szCs w:val="21"/>
    </w:rPr>
  </w:style>
  <w:style w:type="paragraph" w:customStyle="1" w:styleId="30">
    <w:name w:val="部分1"/>
    <w:basedOn w:val="1"/>
    <w:autoRedefine/>
    <w:qFormat/>
    <w:uiPriority w:val="0"/>
    <w:pPr>
      <w:keepNext/>
      <w:pageBreakBefore/>
      <w:tabs>
        <w:tab w:val="left" w:pos="720"/>
      </w:tabs>
      <w:adjustRightInd w:val="0"/>
      <w:spacing w:line="360" w:lineRule="auto"/>
      <w:jc w:val="center"/>
      <w:outlineLvl w:val="0"/>
    </w:pPr>
    <w:rPr>
      <w:rFonts w:ascii="Times New Roman" w:hAnsi="Times New Roman" w:eastAsia="黑体" w:cs="Times New Roman"/>
      <w:b/>
      <w:kern w:val="44"/>
      <w:sz w:val="36"/>
      <w:szCs w:val="20"/>
    </w:rPr>
  </w:style>
  <w:style w:type="paragraph" w:customStyle="1" w:styleId="31">
    <w:name w:val="文档正文"/>
    <w:basedOn w:val="1"/>
    <w:autoRedefine/>
    <w:qFormat/>
    <w:uiPriority w:val="0"/>
    <w:rPr>
      <w:rFonts w:ascii="宋体" w:hAnsi="宋体" w:cs="Arial"/>
      <w:bCs/>
      <w:szCs w:val="21"/>
    </w:rPr>
  </w:style>
  <w:style w:type="character" w:customStyle="1" w:styleId="32">
    <w:name w:val="font11"/>
    <w:basedOn w:val="20"/>
    <w:autoRedefine/>
    <w:qFormat/>
    <w:uiPriority w:val="0"/>
    <w:rPr>
      <w:rFonts w:hint="eastAsia" w:ascii="宋体" w:hAnsi="宋体" w:eastAsia="宋体" w:cs="宋体"/>
      <w:color w:val="000000"/>
      <w:sz w:val="20"/>
      <w:szCs w:val="20"/>
      <w:u w:val="none"/>
    </w:rPr>
  </w:style>
  <w:style w:type="character" w:customStyle="1" w:styleId="33">
    <w:name w:val="font41"/>
    <w:basedOn w:val="20"/>
    <w:autoRedefine/>
    <w:qFormat/>
    <w:uiPriority w:val="0"/>
    <w:rPr>
      <w:rFonts w:hint="default" w:ascii="Times New Roman" w:hAnsi="Times New Roman" w:cs="Times New Roman"/>
      <w:color w:val="000000"/>
      <w:sz w:val="20"/>
      <w:szCs w:val="20"/>
      <w:u w:val="none"/>
    </w:rPr>
  </w:style>
  <w:style w:type="paragraph" w:customStyle="1" w:styleId="34">
    <w:name w:val="Fließtext"/>
    <w:basedOn w:val="1"/>
    <w:autoRedefine/>
    <w:qFormat/>
    <w:uiPriority w:val="0"/>
    <w:pPr>
      <w:overflowPunct w:val="0"/>
      <w:autoSpaceDE w:val="0"/>
      <w:autoSpaceDN w:val="0"/>
      <w:adjustRightInd w:val="0"/>
      <w:textAlignment w:val="baseline"/>
    </w:pPr>
    <w:rPr>
      <w:rFonts w:ascii="Calibri" w:hAnsi="Calibri" w:eastAsia="宋体" w:cs="Times New Roman"/>
      <w:kern w:val="28"/>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9.xml"/><Relationship Id="rId13" Type="http://schemas.openxmlformats.org/officeDocument/2006/relationships/header" Target="header3.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82</Pages>
  <Words>22773</Words>
  <Characters>24392</Characters>
  <Lines>0</Lines>
  <Paragraphs>0</Paragraphs>
  <TotalTime>2</TotalTime>
  <ScaleCrop>false</ScaleCrop>
  <LinksUpToDate>false</LinksUpToDate>
  <CharactersWithSpaces>24774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2023-10-20T01:31:00Z</dcterms:created>
  <dc:creator>白居不易</dc:creator>
  <cp:lastModifiedBy>毛小毛</cp:lastModifiedBy>
  <cp:lastPrinted>2025-04-18T08:50:00Z</cp:lastPrinted>
  <dcterms:modified xsi:type="dcterms:W3CDTF">2025-04-21T03:00:26Z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AF4CE66026DA4CEB807D9558A0267797_13</vt:lpwstr>
  </property>
  <property fmtid="{D5CDD505-2E9C-101B-9397-08002B2CF9AE}" pid="4" name="KSOTemplateDocerSaveRecord">
    <vt:lpwstr>eyJoZGlkIjoiZGViMTY4MWExZWMwOWI2OGU4YzRkYmZjZGM2ZWU3NjgiLCJ1c2VySWQiOiI1MzA0MDAxNjIifQ==</vt:lpwstr>
  </property>
</Properties>
</file>