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bCs/>
          <w:sz w:val="44"/>
          <w:szCs w:val="44"/>
        </w:rPr>
      </w:pPr>
      <w:bookmarkStart w:id="0" w:name="OLE_LINK2"/>
      <w:r>
        <w:rPr>
          <w:rFonts w:hint="eastAsia" w:ascii="仿宋" w:hAnsi="仿宋" w:eastAsia="仿宋" w:cs="仿宋"/>
          <w:b/>
          <w:bCs/>
          <w:sz w:val="44"/>
          <w:szCs w:val="44"/>
        </w:rPr>
        <w:t>普陀区网络综合治理中心设备采购</w:t>
      </w:r>
      <w:bookmarkEnd w:id="0"/>
      <w:r>
        <w:rPr>
          <w:rFonts w:hint="eastAsia" w:ascii="仿宋" w:hAnsi="仿宋" w:eastAsia="仿宋" w:cs="仿宋"/>
          <w:b/>
          <w:bCs/>
          <w:sz w:val="44"/>
          <w:szCs w:val="44"/>
        </w:rPr>
        <w:t>项目</w:t>
      </w:r>
    </w:p>
    <w:p>
      <w:pPr>
        <w:pStyle w:val="2"/>
        <w:rPr>
          <w:rFonts w:hint="eastAsia" w:ascii="仿宋" w:eastAsia="仿宋" w:cs="仿宋"/>
          <w:lang w:val="en-US"/>
        </w:rPr>
      </w:pPr>
    </w:p>
    <w:p>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公开招标文件</w:t>
      </w: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pPr>
        <w:spacing w:line="360" w:lineRule="auto"/>
        <w:jc w:val="center"/>
        <w:rPr>
          <w:rFonts w:hint="eastAsia" w:ascii="仿宋" w:hAnsi="仿宋" w:eastAsia="仿宋" w:cs="仿宋"/>
          <w:b/>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30"/>
          <w:szCs w:val="30"/>
        </w:rPr>
        <w:t xml:space="preserve">编号: </w:t>
      </w:r>
      <w:bookmarkStart w:id="1" w:name="OLE_LINK1"/>
      <w:r>
        <w:rPr>
          <w:rFonts w:hint="eastAsia" w:ascii="仿宋" w:hAnsi="仿宋" w:eastAsia="仿宋" w:cs="仿宋"/>
          <w:sz w:val="30"/>
          <w:szCs w:val="30"/>
        </w:rPr>
        <w:t>ZD20240022</w:t>
      </w:r>
      <w:bookmarkEnd w:id="1"/>
    </w:p>
    <w:p>
      <w:pPr>
        <w:snapToGrid w:val="0"/>
        <w:spacing w:line="360" w:lineRule="auto"/>
        <w:jc w:val="center"/>
        <w:rPr>
          <w:rFonts w:hint="eastAsia" w:ascii="仿宋" w:hAnsi="仿宋" w:eastAsia="仿宋" w:cs="仿宋"/>
          <w:sz w:val="32"/>
          <w:szCs w:val="32"/>
        </w:rPr>
      </w:pPr>
    </w:p>
    <w:p>
      <w:pPr>
        <w:spacing w:line="360" w:lineRule="auto"/>
        <w:rPr>
          <w:rFonts w:hint="eastAsia" w:ascii="仿宋" w:hAnsi="仿宋" w:eastAsia="仿宋" w:cs="仿宋"/>
          <w:bCs/>
          <w:sz w:val="32"/>
          <w:szCs w:val="32"/>
        </w:rPr>
      </w:pPr>
    </w:p>
    <w:p>
      <w:pPr>
        <w:pStyle w:val="2"/>
        <w:rPr>
          <w:rFonts w:hint="eastAsia" w:ascii="仿宋" w:eastAsia="仿宋" w:cs="仿宋"/>
        </w:rPr>
      </w:pPr>
    </w:p>
    <w:p>
      <w:pPr>
        <w:spacing w:line="360" w:lineRule="auto"/>
        <w:jc w:val="center"/>
        <w:rPr>
          <w:rFonts w:hint="eastAsia" w:ascii="仿宋" w:hAnsi="仿宋" w:eastAsia="仿宋" w:cs="仿宋"/>
          <w:bCs/>
          <w:sz w:val="32"/>
          <w:szCs w:val="32"/>
        </w:rPr>
      </w:pPr>
    </w:p>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舟山市公安局普陀区分局</w:t>
      </w:r>
    </w:p>
    <w:p>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 xml:space="preserve"> 舟山市公共资源交易中心普陀区分中心</w:t>
      </w:r>
    </w:p>
    <w:p>
      <w:pPr>
        <w:snapToGrid w:val="0"/>
        <w:spacing w:line="360" w:lineRule="auto"/>
        <w:jc w:val="center"/>
        <w:rPr>
          <w:rFonts w:hint="eastAsia" w:ascii="仿宋" w:hAnsi="仿宋" w:eastAsia="仿宋" w:cs="仿宋"/>
          <w:sz w:val="24"/>
        </w:rPr>
      </w:pPr>
      <w:r>
        <w:rPr>
          <w:rFonts w:hint="eastAsia" w:ascii="仿宋" w:hAnsi="仿宋" w:eastAsia="仿宋" w:cs="仿宋"/>
          <w:sz w:val="30"/>
          <w:szCs w:val="30"/>
        </w:rPr>
        <w:t>二〇二四年九月</w:t>
      </w:r>
      <w:r>
        <w:rPr>
          <w:rFonts w:hint="eastAsia" w:ascii="仿宋" w:hAnsi="仿宋" w:eastAsia="仿宋" w:cs="仿宋"/>
          <w:sz w:val="24"/>
        </w:rPr>
        <w:br w:type="page"/>
      </w:r>
      <w:bookmarkStart w:id="2" w:name="_Hlt67893495"/>
      <w:bookmarkEnd w:id="2"/>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30"/>
          <w:szCs w:val="30"/>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3" w:name="_Hlt91233176"/>
      <w:bookmarkEnd w:id="3"/>
      <w:bookmarkStart w:id="4"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jc w:val="center"/>
        <w:outlineLvl w:val="0"/>
        <w:rPr>
          <w:rFonts w:hint="eastAsia" w:ascii="仿宋" w:hAnsi="仿宋" w:eastAsia="仿宋" w:cs="仿宋"/>
          <w:b/>
          <w:sz w:val="36"/>
          <w:szCs w:val="20"/>
        </w:rPr>
      </w:pPr>
      <w:bookmarkStart w:id="5" w:name="第一部分"/>
      <w:r>
        <w:rPr>
          <w:rFonts w:hint="eastAsia" w:ascii="仿宋" w:hAnsi="仿宋" w:eastAsia="仿宋" w:cs="仿宋"/>
          <w:b/>
          <w:sz w:val="36"/>
          <w:szCs w:val="36"/>
        </w:rPr>
        <w:br w:type="page"/>
      </w:r>
      <w:bookmarkEnd w:id="4"/>
      <w:bookmarkEnd w:id="5"/>
      <w:bookmarkStart w:id="6" w:name="_Hlt74728647"/>
      <w:bookmarkEnd w:id="6"/>
      <w:bookmarkStart w:id="7" w:name="_Hlt74649545"/>
      <w:bookmarkEnd w:id="7"/>
      <w:bookmarkStart w:id="8" w:name="_Hlt74707423"/>
      <w:bookmarkEnd w:id="8"/>
      <w:bookmarkStart w:id="9" w:name="_Hlt74729822"/>
      <w:bookmarkEnd w:id="9"/>
      <w:bookmarkStart w:id="10" w:name="第二部分"/>
      <w:bookmarkStart w:id="11" w:name="_Toc91899870"/>
      <w:bookmarkStart w:id="12"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sz w:val="24"/>
          <w:u w:val="single"/>
          <w:shd w:val="clear" w:color="auto" w:fill="auto"/>
        </w:rPr>
      </w:pPr>
      <w:r>
        <w:rPr>
          <w:rFonts w:hint="eastAsia" w:ascii="仿宋" w:hAnsi="仿宋" w:eastAsia="仿宋" w:cs="仿宋"/>
          <w:b/>
          <w:bCs/>
          <w:sz w:val="24"/>
          <w:u w:val="single"/>
        </w:rPr>
        <w:t>普陀区网络综合治理中心设备采购项目</w:t>
      </w:r>
      <w:r>
        <w:rPr>
          <w:rFonts w:hint="eastAsia" w:ascii="仿宋" w:hAnsi="仿宋" w:eastAsia="仿宋" w:cs="仿宋"/>
          <w:sz w:val="24"/>
        </w:rPr>
        <w:t>招标项目的潜在投标人应在政采云平台（https://www.zcygov.cn/）获取（下载）招标文件，并于2024年10月</w:t>
      </w:r>
      <w:r>
        <w:rPr>
          <w:rFonts w:hint="eastAsia" w:ascii="仿宋" w:hAnsi="仿宋" w:eastAsia="仿宋" w:cs="仿宋"/>
          <w:sz w:val="24"/>
          <w:lang w:val="en-US" w:eastAsia="zh-CN"/>
        </w:rPr>
        <w:t>24</w:t>
      </w:r>
      <w:r>
        <w:rPr>
          <w:rFonts w:hint="eastAsia" w:ascii="仿宋" w:hAnsi="仿宋" w:eastAsia="仿宋" w:cs="仿宋"/>
          <w:sz w:val="24"/>
        </w:rPr>
        <w:t>日09点00分00秒（北京时间）前递交（上传）投标文</w:t>
      </w:r>
      <w:r>
        <w:rPr>
          <w:rFonts w:hint="eastAsia" w:ascii="仿宋" w:hAnsi="仿宋" w:eastAsia="仿宋" w:cs="仿宋"/>
          <w:sz w:val="24"/>
          <w:shd w:val="clear" w:color="auto" w:fill="auto"/>
        </w:rPr>
        <w:t>件。</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b/>
          <w:sz w:val="24"/>
        </w:rPr>
        <w:t xml:space="preserve">一、项目基本情况     </w:t>
      </w:r>
    </w:p>
    <w:p>
      <w:pPr>
        <w:pStyle w:val="34"/>
        <w:spacing w:line="360" w:lineRule="auto"/>
        <w:rPr>
          <w:rFonts w:hint="eastAsia" w:ascii="仿宋" w:hAnsi="仿宋" w:eastAsia="仿宋" w:cs="仿宋"/>
          <w:sz w:val="24"/>
          <w:szCs w:val="24"/>
        </w:rPr>
      </w:pPr>
      <w:r>
        <w:rPr>
          <w:rFonts w:hint="eastAsia" w:ascii="仿宋" w:hAnsi="仿宋" w:eastAsia="仿宋" w:cs="仿宋"/>
          <w:b/>
          <w:sz w:val="24"/>
          <w:szCs w:val="24"/>
        </w:rPr>
        <w:t>项目编号：ZD20240022</w:t>
      </w:r>
    </w:p>
    <w:p>
      <w:pPr>
        <w:pStyle w:val="34"/>
        <w:spacing w:line="360" w:lineRule="auto"/>
        <w:rPr>
          <w:rFonts w:hint="eastAsia" w:ascii="仿宋" w:hAnsi="仿宋" w:eastAsia="仿宋" w:cs="仿宋"/>
          <w:sz w:val="24"/>
          <w:szCs w:val="24"/>
        </w:rPr>
      </w:pPr>
      <w:r>
        <w:rPr>
          <w:rFonts w:hint="eastAsia" w:ascii="仿宋" w:hAnsi="仿宋" w:eastAsia="仿宋" w:cs="仿宋"/>
          <w:b/>
          <w:sz w:val="24"/>
          <w:szCs w:val="24"/>
        </w:rPr>
        <w:t>项目名称：</w:t>
      </w:r>
      <w:r>
        <w:rPr>
          <w:rFonts w:hint="eastAsia" w:ascii="仿宋" w:hAnsi="仿宋" w:eastAsia="仿宋" w:cs="仿宋"/>
          <w:bCs/>
          <w:sz w:val="24"/>
          <w:szCs w:val="24"/>
        </w:rPr>
        <w:t>普陀区网络综合治理中心设备采购项目</w:t>
      </w:r>
    </w:p>
    <w:p>
      <w:pPr>
        <w:spacing w:line="360" w:lineRule="auto"/>
        <w:rPr>
          <w:rFonts w:hint="eastAsia" w:ascii="仿宋" w:hAnsi="仿宋" w:eastAsia="仿宋" w:cs="仿宋"/>
          <w:bCs/>
          <w:sz w:val="24"/>
        </w:rPr>
      </w:pPr>
      <w:r>
        <w:rPr>
          <w:rFonts w:hint="eastAsia" w:ascii="仿宋" w:hAnsi="仿宋" w:eastAsia="仿宋" w:cs="仿宋"/>
          <w:b/>
          <w:sz w:val="24"/>
        </w:rPr>
        <w:t>预算金额（元）：</w:t>
      </w:r>
      <w:r>
        <w:rPr>
          <w:rFonts w:ascii="仿宋" w:hAnsi="仿宋" w:eastAsia="仿宋" w:cs="仿宋"/>
          <w:b/>
          <w:sz w:val="24"/>
        </w:rPr>
        <w:t>1491430</w:t>
      </w:r>
    </w:p>
    <w:p>
      <w:pPr>
        <w:spacing w:line="360" w:lineRule="auto"/>
        <w:rPr>
          <w:rFonts w:hint="eastAsia" w:ascii="仿宋" w:hAnsi="仿宋" w:eastAsia="仿宋" w:cs="仿宋"/>
          <w:b/>
          <w:sz w:val="24"/>
        </w:rPr>
      </w:pPr>
      <w:r>
        <w:rPr>
          <w:rFonts w:hint="eastAsia" w:ascii="仿宋" w:hAnsi="仿宋" w:eastAsia="仿宋" w:cs="仿宋"/>
          <w:b/>
          <w:sz w:val="24"/>
        </w:rPr>
        <w:t>最高限价（元）：</w:t>
      </w:r>
      <w:r>
        <w:rPr>
          <w:rFonts w:ascii="仿宋" w:hAnsi="仿宋" w:eastAsia="仿宋" w:cs="仿宋"/>
          <w:b/>
          <w:sz w:val="24"/>
        </w:rPr>
        <w:t>1491430</w:t>
      </w:r>
    </w:p>
    <w:p>
      <w:pPr>
        <w:widowControl/>
        <w:spacing w:line="360" w:lineRule="auto"/>
        <w:jc w:val="left"/>
        <w:rPr>
          <w:rFonts w:hint="eastAsia" w:ascii="仿宋" w:hAnsi="仿宋" w:eastAsia="仿宋" w:cs="仿宋"/>
          <w:sz w:val="24"/>
        </w:rPr>
      </w:pPr>
      <w:r>
        <w:rPr>
          <w:rFonts w:hint="eastAsia" w:ascii="仿宋" w:hAnsi="仿宋" w:eastAsia="仿宋" w:cs="仿宋"/>
          <w:b/>
          <w:sz w:val="24"/>
        </w:rPr>
        <w:t>采购需求：</w:t>
      </w:r>
      <w:r>
        <w:rPr>
          <w:rFonts w:hint="eastAsia" w:ascii="仿宋" w:hAnsi="仿宋" w:eastAsia="仿宋" w:cs="仿宋"/>
          <w:sz w:val="24"/>
        </w:rPr>
        <w:t>详见招标文件第三部分采购需求</w:t>
      </w:r>
    </w:p>
    <w:p>
      <w:pPr>
        <w:spacing w:line="360" w:lineRule="auto"/>
        <w:rPr>
          <w:rFonts w:hint="eastAsia" w:ascii="仿宋" w:hAnsi="仿宋" w:eastAsia="仿宋" w:cs="仿宋"/>
          <w:sz w:val="24"/>
        </w:rPr>
      </w:pPr>
      <w:r>
        <w:rPr>
          <w:rFonts w:hint="eastAsia" w:ascii="仿宋" w:hAnsi="仿宋" w:eastAsia="仿宋" w:cs="仿宋"/>
          <w:b/>
          <w:snapToGrid w:val="0"/>
          <w:kern w:val="28"/>
          <w:sz w:val="24"/>
        </w:rPr>
        <w:t>合同履约期限：</w:t>
      </w:r>
      <w:bookmarkStart w:id="13" w:name="OLE_LINK3"/>
      <w:r>
        <w:rPr>
          <w:rFonts w:hint="eastAsia" w:ascii="仿宋" w:hAnsi="仿宋" w:eastAsia="仿宋" w:cs="仿宋"/>
          <w:sz w:val="24"/>
        </w:rPr>
        <w:t>合同签订后一个月内完成全部相关硬件设备的安装调试并通过项目初验安装调试完成，具体按招标文件要求执行</w:t>
      </w:r>
      <w:bookmarkEnd w:id="13"/>
    </w:p>
    <w:p>
      <w:pPr>
        <w:widowControl/>
        <w:spacing w:line="360" w:lineRule="auto"/>
        <w:jc w:val="left"/>
        <w:rPr>
          <w:rFonts w:hint="eastAsia" w:ascii="仿宋" w:hAnsi="仿宋" w:eastAsia="仿宋" w:cs="仿宋"/>
          <w:sz w:val="24"/>
        </w:rPr>
      </w:pPr>
      <w:r>
        <w:rPr>
          <w:rFonts w:hint="eastAsia" w:ascii="仿宋" w:hAnsi="仿宋" w:eastAsia="仿宋" w:cs="仿宋"/>
          <w:b/>
          <w:sz w:val="24"/>
        </w:rPr>
        <w:t>本项目接受联合体投标：</w:t>
      </w:r>
      <w:bookmarkStart w:id="14" w:name="_Hlk176514669"/>
      <w:sdt>
        <w:sdtPr>
          <w:rPr>
            <w:rFonts w:hint="eastAsia" w:ascii="仿宋" w:hAnsi="仿宋" w:eastAsia="仿宋" w:cs="仿宋"/>
            <w:kern w:val="0"/>
            <w:sz w:val="24"/>
          </w:rPr>
          <w:id w:val="-203016119"/>
        </w:sdtPr>
        <w:sdtEndPr>
          <w:rPr>
            <w:rFonts w:hint="eastAsia" w:ascii="仿宋" w:hAnsi="仿宋" w:eastAsia="仿宋" w:cs="仿宋"/>
            <w:kern w:val="0"/>
            <w:sz w:val="24"/>
          </w:rPr>
        </w:sdtEndPr>
        <w:sdtContent>
          <w:bookmarkEnd w:id="14"/>
          <w:r>
            <w:rPr>
              <w:rFonts w:hint="eastAsia" w:ascii="仿宋" w:hAnsi="仿宋" w:eastAsia="仿宋" w:cs="仿宋"/>
              <w:kern w:val="0"/>
              <w:sz w:val="24"/>
            </w:rPr>
            <w:sym w:font="Wingdings 2" w:char="00A3"/>
          </w:r>
          <w:sdt>
            <w:sdtPr>
              <w:rPr>
                <w:rFonts w:hint="eastAsia" w:ascii="仿宋" w:hAnsi="仿宋" w:eastAsia="仿宋" w:cs="仿宋"/>
                <w:kern w:val="0"/>
                <w:sz w:val="24"/>
              </w:rPr>
              <w:id w:val="-1430114951"/>
            </w:sdtPr>
            <w:sdtEndPr>
              <w:rPr>
                <w:rFonts w:hint="eastAsia" w:ascii="仿宋" w:hAnsi="仿宋" w:eastAsia="仿宋" w:cs="仿宋"/>
                <w:kern w:val="0"/>
                <w:sz w:val="24"/>
              </w:rPr>
            </w:sdtEndPr>
            <w:sdtContent/>
          </w:sdt>
          <w:r>
            <w:rPr>
              <w:rFonts w:hint="eastAsia" w:ascii="仿宋" w:hAnsi="仿宋" w:eastAsia="仿宋" w:cs="仿宋"/>
              <w:b/>
              <w:sz w:val="24"/>
            </w:rPr>
            <w:t>是</w:t>
          </w:r>
        </w:sdtContent>
      </w:sdt>
      <w:r>
        <w:rPr>
          <w:rFonts w:hint="eastAsia" w:ascii="仿宋" w:hAnsi="仿宋" w:eastAsia="仿宋" w:cs="仿宋"/>
          <w:b/>
          <w:sz w:val="24"/>
        </w:rPr>
        <w:t>，</w:t>
      </w:r>
      <w:r>
        <w:rPr>
          <w:rFonts w:hint="eastAsia" w:ascii="仿宋" w:hAnsi="仿宋" w:eastAsia="仿宋" w:cs="仿宋"/>
          <w:kern w:val="0"/>
          <w:sz w:val="24"/>
        </w:rPr>
        <w:sym w:font="Wingdings 2" w:char="0052"/>
      </w:r>
      <w:r>
        <w:rPr>
          <w:rFonts w:hint="eastAsia" w:ascii="仿宋" w:hAnsi="仿宋" w:eastAsia="仿宋" w:cs="仿宋"/>
          <w:b/>
          <w:sz w:val="24"/>
        </w:rPr>
        <w:t>否</w:t>
      </w:r>
      <w:r>
        <w:rPr>
          <w:rFonts w:hint="eastAsia" w:ascii="仿宋" w:hAnsi="仿宋" w:eastAsia="仿宋" w:cs="仿宋"/>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z w:val="24"/>
        </w:rPr>
      </w:pPr>
      <w:r>
        <w:rPr>
          <w:rFonts w:hint="eastAsia" w:ascii="仿宋" w:hAnsi="仿宋" w:eastAsia="仿宋" w:cs="仿宋"/>
          <w:snapToGrid w:val="0"/>
          <w:kern w:val="28"/>
          <w:sz w:val="24"/>
          <w:szCs w:val="20"/>
        </w:rPr>
        <w:t>1.</w:t>
      </w:r>
      <w:r>
        <w:rPr>
          <w:rFonts w:hint="eastAsia" w:ascii="仿宋" w:hAnsi="仿宋" w:eastAsia="仿宋" w:cs="仿宋"/>
          <w:sz w:val="24"/>
        </w:rPr>
        <w:t>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szCs w:val="20"/>
        </w:rPr>
        <w:t>3.</w:t>
      </w:r>
      <w:r>
        <w:rPr>
          <w:rFonts w:hint="eastAsia" w:ascii="仿宋" w:hAnsi="仿宋" w:eastAsia="仿宋" w:cs="仿宋"/>
          <w:sz w:val="24"/>
        </w:rPr>
        <w:t>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sz w:val="24"/>
            <w:szCs w:val="21"/>
          </w:rPr>
          <w:id w:val="1928616923"/>
        </w:sdtPr>
        <w:sdtEndPr>
          <w:rPr>
            <w:rFonts w:hint="eastAsia" w:ascii="仿宋" w:hAnsi="仿宋" w:eastAsia="仿宋" w:cs="仿宋"/>
            <w:sz w:val="24"/>
            <w:szCs w:val="21"/>
          </w:rPr>
        </w:sdtEndPr>
        <w:sdtContent>
          <w:sdt>
            <w:sdtPr>
              <w:rPr>
                <w:rFonts w:hint="eastAsia" w:ascii="仿宋" w:hAnsi="仿宋" w:eastAsia="仿宋" w:cs="仿宋"/>
                <w:sz w:val="24"/>
                <w:szCs w:val="21"/>
              </w:rPr>
              <w:id w:val="4552814"/>
            </w:sdtPr>
            <w:sdtEndPr>
              <w:rPr>
                <w:rFonts w:hint="eastAsia" w:ascii="仿宋" w:hAnsi="仿宋" w:eastAsia="仿宋" w:cs="仿宋"/>
                <w:sz w:val="24"/>
                <w:szCs w:val="21"/>
              </w:rPr>
            </w:sdtEndPr>
            <w:sdtContent>
              <w:sdt>
                <w:sdtPr>
                  <w:rPr>
                    <w:rFonts w:hint="eastAsia" w:ascii="仿宋" w:hAnsi="仿宋" w:eastAsia="仿宋" w:cs="仿宋"/>
                    <w:kern w:val="0"/>
                    <w:sz w:val="24"/>
                    <w:szCs w:val="21"/>
                  </w:rPr>
                  <w:id w:val="24617069"/>
                </w:sdtPr>
                <w:sdtEndPr>
                  <w:rPr>
                    <w:rFonts w:hint="eastAsia" w:ascii="仿宋" w:hAnsi="仿宋" w:eastAsia="仿宋" w:cs="仿宋"/>
                    <w:kern w:val="0"/>
                    <w:sz w:val="24"/>
                    <w:szCs w:val="21"/>
                  </w:rPr>
                </w:sdtEndPr>
                <w:sdtContent>
                  <w:sdt>
                    <w:sdtPr>
                      <w:rPr>
                        <w:rFonts w:hint="eastAsia" w:ascii="仿宋" w:hAnsi="仿宋" w:eastAsia="仿宋" w:cs="仿宋"/>
                        <w:kern w:val="0"/>
                        <w:sz w:val="24"/>
                      </w:rPr>
                      <w:id w:val="4584651"/>
                    </w:sdtPr>
                    <w:sdtEndPr>
                      <w:rPr>
                        <w:rFonts w:hint="eastAsia" w:ascii="仿宋" w:hAnsi="仿宋" w:eastAsia="仿宋" w:cs="仿宋"/>
                        <w:kern w:val="0"/>
                        <w:sz w:val="24"/>
                      </w:rPr>
                    </w:sdtEndPr>
                    <w:sdtContent>
                      <w:r>
                        <w:rPr>
                          <w:rFonts w:hint="eastAsia" w:ascii="仿宋" w:hAnsi="仿宋" w:eastAsia="仿宋" w:cs="仿宋"/>
                          <w:kern w:val="0"/>
                          <w:sz w:val="24"/>
                        </w:rPr>
                        <w:sym w:font="Wingdings 2" w:char="0052"/>
                      </w:r>
                    </w:sdtContent>
                  </w:sdt>
                  <w:sdt>
                    <w:sdtPr>
                      <w:rPr>
                        <w:rFonts w:hint="eastAsia" w:ascii="仿宋" w:hAnsi="仿宋" w:eastAsia="仿宋" w:cs="仿宋"/>
                        <w:kern w:val="0"/>
                        <w:sz w:val="24"/>
                      </w:rPr>
                      <w:id w:val="4584652"/>
                      <w:showingPlcHdr/>
                    </w:sdtPr>
                    <w:sdtEndPr>
                      <w:rPr>
                        <w:rFonts w:hint="eastAsia" w:ascii="仿宋" w:hAnsi="仿宋" w:eastAsia="仿宋" w:cs="仿宋"/>
                        <w:kern w:val="0"/>
                        <w:sz w:val="24"/>
                      </w:rPr>
                    </w:sdtEndPr>
                    <w:sdtContent/>
                  </w:sdt>
                </w:sdtContent>
              </w:sdt>
            </w:sdtContent>
          </w:sdt>
        </w:sdtContent>
      </w:sdt>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21502072"/>
        </w:sdtPr>
        <w:sdtEndPr>
          <w:rPr>
            <w:rFonts w:hint="eastAsia" w:ascii="仿宋" w:hAnsi="仿宋" w:eastAsia="仿宋" w:cs="仿宋"/>
            <w:kern w:val="0"/>
            <w:sz w:val="24"/>
          </w:rPr>
        </w:sdtEndPr>
        <w:sdtContent>
          <w:sdt>
            <w:sdtPr>
              <w:rPr>
                <w:rFonts w:hint="eastAsia" w:ascii="仿宋" w:hAnsi="仿宋" w:eastAsia="仿宋" w:cs="仿宋"/>
                <w:kern w:val="0"/>
                <w:sz w:val="24"/>
              </w:rPr>
              <w:id w:val="-1676032179"/>
            </w:sdtPr>
            <w:sdtEndPr>
              <w:rPr>
                <w:rFonts w:hint="eastAsia" w:ascii="仿宋" w:hAnsi="仿宋" w:eastAsia="仿宋" w:cs="仿宋"/>
                <w:kern w:val="0"/>
                <w:sz w:val="24"/>
              </w:rPr>
            </w:sdtEndPr>
            <w:sdtContent>
              <w:r>
                <w:rPr>
                  <w:rFonts w:hint="eastAsia" w:ascii="仿宋" w:hAnsi="仿宋" w:eastAsia="仿宋" w:cs="仿宋"/>
                  <w:kern w:val="0"/>
                  <w:sz w:val="24"/>
                </w:rPr>
                <w:sym w:font="Wingdings 2" w:char="00A3"/>
              </w:r>
            </w:sdtContent>
          </w:sdt>
          <w:sdt>
            <w:sdtPr>
              <w:rPr>
                <w:rFonts w:hint="eastAsia" w:ascii="仿宋" w:hAnsi="仿宋" w:eastAsia="仿宋" w:cs="仿宋"/>
                <w:kern w:val="0"/>
                <w:sz w:val="24"/>
              </w:rPr>
              <w:id w:val="925995435"/>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960" w:firstLineChars="400"/>
        <w:rPr>
          <w:rFonts w:hint="eastAsia" w:ascii="仿宋" w:hAnsi="仿宋" w:eastAsia="仿宋" w:cs="仿宋"/>
          <w:sz w:val="24"/>
        </w:rPr>
      </w:pPr>
      <w:sdt>
        <w:sdtPr>
          <w:rPr>
            <w:rFonts w:hint="eastAsia" w:ascii="仿宋" w:hAnsi="仿宋" w:eastAsia="仿宋" w:cs="仿宋"/>
            <w:sz w:val="24"/>
          </w:rPr>
          <w:id w:val="-924730588"/>
        </w:sdtPr>
        <w:sdtEndPr>
          <w:rPr>
            <w:rFonts w:hint="eastAsia" w:ascii="仿宋" w:hAnsi="仿宋" w:eastAsia="仿宋" w:cs="仿宋"/>
            <w:sz w:val="24"/>
          </w:rPr>
        </w:sdtEndPr>
        <w:sdtContent>
          <w:sdt>
            <w:sdtPr>
              <w:rPr>
                <w:rFonts w:hint="eastAsia" w:ascii="仿宋" w:hAnsi="仿宋" w:eastAsia="仿宋" w:cs="仿宋"/>
                <w:sz w:val="24"/>
              </w:rPr>
              <w:id w:val="269264799"/>
            </w:sdtPr>
            <w:sdtEndPr>
              <w:rPr>
                <w:rFonts w:hint="eastAsia" w:ascii="仿宋" w:hAnsi="仿宋" w:eastAsia="仿宋" w:cs="仿宋"/>
                <w:sz w:val="24"/>
              </w:rPr>
            </w:sdtEndPr>
            <w:sdtContent>
              <w:sdt>
                <w:sdtPr>
                  <w:rPr>
                    <w:rFonts w:hint="eastAsia" w:ascii="仿宋" w:hAnsi="仿宋" w:eastAsia="仿宋" w:cs="仿宋"/>
                    <w:sz w:val="24"/>
                  </w:rPr>
                  <w:id w:val="-1191279020"/>
                </w:sdtPr>
                <w:sdtEndPr>
                  <w:rPr>
                    <w:rFonts w:hint="eastAsia" w:ascii="仿宋" w:hAnsi="仿宋" w:eastAsia="仿宋" w:cs="仿宋"/>
                    <w:sz w:val="24"/>
                  </w:rPr>
                </w:sdtEndPr>
                <w:sdtContent>
                  <w:r>
                    <w:rPr>
                      <w:rFonts w:hint="eastAsia" w:ascii="仿宋" w:hAnsi="仿宋" w:eastAsia="仿宋" w:cs="仿宋"/>
                      <w:sz w:val="24"/>
                    </w:rPr>
                    <w:sym w:font="Wingdings 2" w:char="00A3"/>
                  </w:r>
                </w:sdtContent>
              </w:sdt>
            </w:sdtContent>
          </w:sdt>
        </w:sdtContent>
      </w:sdt>
      <w:r>
        <w:rPr>
          <w:rFonts w:hint="eastAsia" w:ascii="仿宋" w:hAnsi="仿宋" w:eastAsia="仿宋" w:cs="仿宋"/>
          <w:sz w:val="24"/>
        </w:rPr>
        <w:t>货物全部由符合政策要求的中小企业制造，提供中小企业声明函；</w:t>
      </w:r>
    </w:p>
    <w:p>
      <w:pPr>
        <w:spacing w:line="360" w:lineRule="auto"/>
        <w:ind w:firstLine="960" w:firstLineChars="400"/>
        <w:rPr>
          <w:rFonts w:hint="eastAsia" w:ascii="仿宋" w:hAnsi="仿宋" w:eastAsia="仿宋" w:cs="仿宋"/>
          <w:sz w:val="24"/>
        </w:rPr>
      </w:pPr>
      <w:sdt>
        <w:sdtPr>
          <w:rPr>
            <w:rFonts w:hint="eastAsia" w:ascii="仿宋" w:hAnsi="仿宋" w:eastAsia="仿宋" w:cs="仿宋"/>
            <w:sz w:val="24"/>
          </w:rPr>
          <w:id w:val="-1152604937"/>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货物全部由符合政策要求的小微企业制造，提供中小企业声明函；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2150207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要求合同分包，提供分包意向协议和中小企业声明函，分包意向协议中，中小微企业合同份额为合同总金额的</w:t>
      </w:r>
      <w:r>
        <w:rPr>
          <w:rFonts w:hint="eastAsia" w:ascii="仿宋" w:hAnsi="仿宋" w:eastAsia="仿宋" w:cs="仿宋"/>
          <w:sz w:val="24"/>
          <w:u w:val="single"/>
        </w:rPr>
        <w:t xml:space="preserve">  </w:t>
      </w:r>
      <w:r>
        <w:rPr>
          <w:rFonts w:hint="eastAsia" w:ascii="仿宋" w:hAnsi="仿宋" w:eastAsia="仿宋" w:cs="仿宋"/>
          <w:sz w:val="24"/>
        </w:rPr>
        <w:t>%，如果供应商本身提供所有标的均由中小微企业制造、承建或承接，视同符合了资格条件，无需再向中小微企业分包，无需提供分包意向协议；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361" w:firstLineChars="15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bookmarkStart w:id="15" w:name="OLE_LINK27"/>
      <w:r>
        <w:rPr>
          <w:rFonts w:hint="eastAsia" w:ascii="仿宋" w:hAnsi="仿宋" w:eastAsia="仿宋" w:cs="仿宋"/>
          <w:sz w:val="24"/>
        </w:rPr>
        <w:t>2024年10月</w:t>
      </w:r>
      <w:r>
        <w:rPr>
          <w:rFonts w:hint="eastAsia" w:ascii="仿宋" w:hAnsi="仿宋" w:eastAsia="仿宋" w:cs="仿宋"/>
          <w:sz w:val="24"/>
          <w:lang w:val="en-US" w:eastAsia="zh-CN"/>
        </w:rPr>
        <w:t>24</w:t>
      </w:r>
      <w:r>
        <w:rPr>
          <w:rFonts w:hint="eastAsia" w:ascii="仿宋" w:hAnsi="仿宋" w:eastAsia="仿宋" w:cs="仿宋"/>
          <w:sz w:val="24"/>
        </w:rPr>
        <w:t>日</w:t>
      </w:r>
      <w:bookmarkEnd w:id="15"/>
      <w:r>
        <w:rPr>
          <w:rFonts w:hint="eastAsia" w:ascii="仿宋" w:hAnsi="仿宋" w:eastAsia="仿宋" w:cs="仿宋"/>
          <w:sz w:val="24"/>
        </w:rPr>
        <w:t>，每天上午00:00至12:00 ，下午12:00至23:59（北京时间，线上获取法定节假日均可，线下获取文件法定节假日除外的工作时间）</w:t>
      </w:r>
    </w:p>
    <w:p>
      <w:pPr>
        <w:spacing w:line="360" w:lineRule="auto"/>
        <w:ind w:firstLine="361" w:firstLineChars="15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spacing w:line="360" w:lineRule="auto"/>
        <w:ind w:firstLine="354" w:firstLineChars="147"/>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354" w:firstLineChars="147"/>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四、提交投标文件截止时间、开标时间和地点</w:t>
      </w:r>
    </w:p>
    <w:p>
      <w:pPr>
        <w:pStyle w:val="15"/>
        <w:spacing w:line="360" w:lineRule="auto"/>
        <w:ind w:firstLine="436" w:firstLineChars="181"/>
        <w:rPr>
          <w:rFonts w:hint="eastAsia" w:ascii="仿宋" w:hAnsi="仿宋" w:eastAsia="仿宋" w:cs="仿宋"/>
          <w:b/>
          <w:color w:val="auto"/>
          <w:sz w:val="24"/>
          <w:szCs w:val="24"/>
        </w:rPr>
      </w:pPr>
      <w:r>
        <w:rPr>
          <w:rFonts w:hint="eastAsia" w:ascii="仿宋" w:hAnsi="仿宋" w:eastAsia="仿宋" w:cs="仿宋"/>
          <w:b/>
          <w:color w:val="auto"/>
          <w:sz w:val="24"/>
          <w:szCs w:val="24"/>
        </w:rPr>
        <w:t>提交投标文件截止时间：</w:t>
      </w:r>
      <w:r>
        <w:rPr>
          <w:rFonts w:hint="eastAsia" w:ascii="仿宋" w:hAnsi="仿宋" w:eastAsia="仿宋" w:cs="仿宋"/>
          <w:sz w:val="24"/>
        </w:rPr>
        <w:t>2024年10月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color w:val="auto"/>
          <w:sz w:val="24"/>
          <w:szCs w:val="24"/>
        </w:rPr>
        <w:t xml:space="preserve"> 09:00:00（北京时间）</w:t>
      </w:r>
    </w:p>
    <w:p>
      <w:pPr>
        <w:pStyle w:val="15"/>
        <w:spacing w:line="360" w:lineRule="auto"/>
        <w:ind w:firstLine="436" w:firstLineChars="181"/>
        <w:rPr>
          <w:rFonts w:hint="eastAsia" w:ascii="仿宋" w:hAnsi="仿宋" w:eastAsia="仿宋" w:cs="仿宋"/>
          <w:color w:val="auto"/>
          <w:sz w:val="24"/>
          <w:szCs w:val="24"/>
        </w:rPr>
      </w:pPr>
      <w:r>
        <w:rPr>
          <w:rFonts w:hint="eastAsia" w:ascii="仿宋" w:hAnsi="仿宋" w:eastAsia="仿宋" w:cs="仿宋"/>
          <w:b/>
          <w:color w:val="auto"/>
          <w:sz w:val="24"/>
          <w:szCs w:val="24"/>
        </w:rPr>
        <w:t>投标地点（网址）：</w:t>
      </w:r>
      <w:r>
        <w:rPr>
          <w:rFonts w:hint="eastAsia" w:ascii="仿宋" w:hAnsi="仿宋" w:eastAsia="仿宋" w:cs="仿宋"/>
          <w:color w:val="auto"/>
          <w:sz w:val="24"/>
          <w:szCs w:val="24"/>
        </w:rPr>
        <w:t>政采云平台（https://www.zcygov.cn/）</w:t>
      </w:r>
    </w:p>
    <w:p>
      <w:pPr>
        <w:pStyle w:val="15"/>
        <w:spacing w:line="360" w:lineRule="auto"/>
        <w:ind w:firstLine="436" w:firstLineChars="181"/>
        <w:rPr>
          <w:rFonts w:hint="eastAsia" w:ascii="仿宋" w:hAnsi="仿宋" w:eastAsia="仿宋" w:cs="仿宋"/>
          <w:b/>
          <w:color w:val="auto"/>
          <w:sz w:val="24"/>
          <w:szCs w:val="24"/>
        </w:rPr>
      </w:pPr>
      <w:r>
        <w:rPr>
          <w:rFonts w:hint="eastAsia" w:ascii="仿宋" w:hAnsi="仿宋" w:eastAsia="仿宋" w:cs="仿宋"/>
          <w:b/>
          <w:color w:val="auto"/>
          <w:sz w:val="24"/>
          <w:szCs w:val="24"/>
        </w:rPr>
        <w:t>开标时间：</w:t>
      </w:r>
      <w:r>
        <w:rPr>
          <w:rFonts w:hint="eastAsia" w:ascii="仿宋" w:hAnsi="仿宋" w:eastAsia="仿宋" w:cs="仿宋"/>
          <w:sz w:val="24"/>
        </w:rPr>
        <w:t>2024年10月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color w:val="auto"/>
          <w:sz w:val="24"/>
          <w:szCs w:val="24"/>
        </w:rPr>
        <w:t>09:00:00（北京时间）</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五、公告期限</w:t>
      </w:r>
    </w:p>
    <w:p>
      <w:pPr>
        <w:pStyle w:val="15"/>
        <w:spacing w:line="360" w:lineRule="auto"/>
        <w:ind w:firstLine="434" w:firstLineChars="181"/>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1.采购人信息</w:t>
      </w:r>
    </w:p>
    <w:p>
      <w:pPr>
        <w:spacing w:line="360" w:lineRule="auto"/>
        <w:ind w:firstLine="465"/>
        <w:rPr>
          <w:rFonts w:hint="eastAsia" w:ascii="仿宋" w:hAnsi="仿宋" w:eastAsia="仿宋" w:cs="仿宋"/>
          <w:sz w:val="24"/>
        </w:rPr>
      </w:pPr>
      <w:r>
        <w:rPr>
          <w:rFonts w:hint="eastAsia" w:ascii="仿宋" w:hAnsi="仿宋" w:eastAsia="仿宋" w:cs="仿宋"/>
          <w:snapToGrid w:val="0"/>
          <w:sz w:val="24"/>
        </w:rPr>
        <w:t>名    称：</w:t>
      </w:r>
      <w:r>
        <w:rPr>
          <w:rFonts w:hint="eastAsia" w:ascii="仿宋" w:hAnsi="仿宋" w:eastAsia="仿宋" w:cs="仿宋"/>
          <w:sz w:val="24"/>
        </w:rPr>
        <w:t>舟山市公安局普陀区分局</w:t>
      </w:r>
    </w:p>
    <w:p>
      <w:pPr>
        <w:spacing w:line="360" w:lineRule="auto"/>
        <w:ind w:firstLine="465"/>
        <w:rPr>
          <w:rFonts w:hint="eastAsia" w:ascii="仿宋" w:hAnsi="仿宋" w:eastAsia="仿宋" w:cs="仿宋"/>
          <w:snapToGrid w:val="0"/>
          <w:sz w:val="24"/>
        </w:rPr>
      </w:pPr>
      <w:r>
        <w:rPr>
          <w:rFonts w:hint="eastAsia" w:ascii="仿宋" w:hAnsi="仿宋" w:eastAsia="仿宋" w:cs="仿宋"/>
          <w:snapToGrid w:val="0"/>
          <w:sz w:val="24"/>
        </w:rPr>
        <w:t>地    址：</w:t>
      </w:r>
      <w:r>
        <w:rPr>
          <w:rFonts w:hint="eastAsia" w:ascii="仿宋" w:hAnsi="仿宋" w:eastAsia="仿宋" w:cs="仿宋"/>
          <w:sz w:val="24"/>
        </w:rPr>
        <w:t>舟山市普陀区东港街道昌正街169号东港港务中心4号楼东楼</w:t>
      </w:r>
    </w:p>
    <w:p>
      <w:pPr>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传    真：/</w:t>
      </w:r>
    </w:p>
    <w:p>
      <w:pPr>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项目联系人（询问）：胡康俊</w:t>
      </w:r>
    </w:p>
    <w:p>
      <w:pPr>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项目联系方式（询问）：</w:t>
      </w:r>
      <w:r>
        <w:rPr>
          <w:rFonts w:ascii="仿宋" w:hAnsi="仿宋" w:eastAsia="仿宋" w:cs="仿宋"/>
          <w:snapToGrid w:val="0"/>
          <w:sz w:val="24"/>
        </w:rPr>
        <w:t>18358085262</w:t>
      </w:r>
    </w:p>
    <w:p>
      <w:pPr>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质疑联系人：</w:t>
      </w:r>
      <w:bookmarkStart w:id="16" w:name="OLE_LINK28"/>
      <w:r>
        <w:rPr>
          <w:rFonts w:hint="eastAsia" w:ascii="仿宋" w:hAnsi="仿宋" w:eastAsia="仿宋" w:cs="仿宋"/>
          <w:snapToGrid w:val="0"/>
          <w:sz w:val="24"/>
        </w:rPr>
        <w:t>刘</w:t>
      </w:r>
      <w:bookmarkEnd w:id="16"/>
      <w:r>
        <w:rPr>
          <w:rFonts w:hint="eastAsia" w:ascii="仿宋" w:hAnsi="仿宋" w:eastAsia="仿宋" w:cs="仿宋"/>
          <w:snapToGrid w:val="0"/>
          <w:sz w:val="24"/>
        </w:rPr>
        <w:t xml:space="preserve">浙毅 </w:t>
      </w:r>
    </w:p>
    <w:p>
      <w:pPr>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质疑联系方式：13454055082</w:t>
      </w:r>
    </w:p>
    <w:p>
      <w:pPr>
        <w:spacing w:line="360" w:lineRule="auto"/>
        <w:ind w:firstLine="480"/>
        <w:rPr>
          <w:rFonts w:hint="eastAsia" w:ascii="仿宋" w:hAnsi="仿宋" w:eastAsia="仿宋" w:cs="仿宋"/>
          <w:b/>
          <w:sz w:val="24"/>
        </w:rPr>
      </w:pPr>
      <w:r>
        <w:rPr>
          <w:rFonts w:hint="eastAsia" w:ascii="仿宋" w:hAnsi="仿宋" w:eastAsia="仿宋" w:cs="仿宋"/>
          <w:b/>
          <w:sz w:val="24"/>
        </w:rPr>
        <w:t>2.采购代理机构信息</w:t>
      </w:r>
    </w:p>
    <w:p>
      <w:pPr>
        <w:spacing w:line="360" w:lineRule="auto"/>
        <w:ind w:firstLine="480"/>
        <w:rPr>
          <w:rFonts w:hint="eastAsia" w:ascii="仿宋" w:hAnsi="仿宋" w:eastAsia="仿宋" w:cs="仿宋"/>
          <w:sz w:val="24"/>
        </w:rPr>
      </w:pPr>
      <w:r>
        <w:rPr>
          <w:rFonts w:hint="eastAsia" w:ascii="仿宋" w:hAnsi="仿宋" w:eastAsia="仿宋" w:cs="仿宋"/>
          <w:sz w:val="24"/>
        </w:rPr>
        <w:t>名    称：舟山市公共资源交易中心普陀区分中心。</w:t>
      </w:r>
    </w:p>
    <w:p>
      <w:pPr>
        <w:spacing w:line="360" w:lineRule="auto"/>
        <w:ind w:firstLine="480"/>
        <w:rPr>
          <w:rFonts w:hint="eastAsia" w:ascii="仿宋" w:hAnsi="仿宋" w:eastAsia="仿宋" w:cs="仿宋"/>
        </w:rPr>
      </w:pPr>
      <w:r>
        <w:rPr>
          <w:rFonts w:hint="eastAsia" w:ascii="仿宋" w:hAnsi="仿宋" w:eastAsia="仿宋" w:cs="仿宋"/>
          <w:sz w:val="24"/>
        </w:rPr>
        <w:t>地    址：舟山市普陀区东港街道昌正街169号东港商务中心6号楼406室</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p>
    <w:p>
      <w:pPr>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项目联系人（询问）：毛女士</w:t>
      </w:r>
    </w:p>
    <w:p>
      <w:pPr>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项目联系方式（询问）：0580-3019213</w:t>
      </w:r>
    </w:p>
    <w:p>
      <w:pPr>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质疑联系人：康先生</w:t>
      </w:r>
    </w:p>
    <w:p>
      <w:pPr>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质疑联系方式：0580-3823025</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3.同级政府采购监督管理部门</w:t>
      </w:r>
    </w:p>
    <w:p>
      <w:pPr>
        <w:spacing w:line="360" w:lineRule="auto"/>
        <w:rPr>
          <w:rFonts w:hint="eastAsia" w:ascii="仿宋" w:hAnsi="仿宋" w:eastAsia="仿宋" w:cs="仿宋"/>
          <w:sz w:val="24"/>
        </w:rPr>
      </w:pPr>
      <w:r>
        <w:rPr>
          <w:rFonts w:hint="eastAsia" w:ascii="仿宋" w:hAnsi="仿宋" w:eastAsia="仿宋" w:cs="仿宋"/>
          <w:sz w:val="24"/>
        </w:rPr>
        <w:t xml:space="preserve">    名  称：舟山市普陀区财政局</w:t>
      </w:r>
    </w:p>
    <w:p>
      <w:pPr>
        <w:spacing w:line="360" w:lineRule="auto"/>
        <w:rPr>
          <w:rFonts w:hint="eastAsia" w:ascii="仿宋" w:hAnsi="仿宋" w:eastAsia="仿宋" w:cs="仿宋"/>
          <w:sz w:val="24"/>
        </w:rPr>
      </w:pPr>
      <w:r>
        <w:rPr>
          <w:rFonts w:hint="eastAsia" w:ascii="仿宋" w:hAnsi="仿宋" w:eastAsia="仿宋" w:cs="仿宋"/>
          <w:sz w:val="24"/>
        </w:rPr>
        <w:t xml:space="preserve">    地  址：舟山市普陀区东港街道昌正街169号东港商务中心3号楼东314室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联系人 ：徐女士</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监督投诉电话：0580-3062899</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称：舟山市普陀区审批服务与招投标管理办公室招投标监管科</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  址：舟山市普陀区东港街道昌正街169号东港商务中心6号楼307室</w:t>
      </w: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监督投诉电话：0580-3820791 </w:t>
      </w:r>
    </w:p>
    <w:p>
      <w:pPr>
        <w:wordWrap w:val="0"/>
        <w:spacing w:line="360" w:lineRule="auto"/>
        <w:ind w:firstLine="480" w:firstLineChars="200"/>
        <w:rPr>
          <w:rFonts w:hint="eastAsia" w:ascii="仿宋" w:hAnsi="仿宋" w:eastAsia="仿宋" w:cs="仿宋"/>
          <w:sz w:val="24"/>
        </w:rPr>
      </w:pPr>
    </w:p>
    <w:p>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spacing w:line="360" w:lineRule="auto"/>
        <w:ind w:firstLine="480" w:firstLineChars="200"/>
        <w:rPr>
          <w:rFonts w:hint="eastAsia" w:ascii="仿宋" w:hAnsi="仿宋" w:eastAsia="仿宋" w:cs="仿宋"/>
          <w:sz w:val="24"/>
        </w:rPr>
      </w:pPr>
    </w:p>
    <w:p>
      <w:pPr>
        <w:pStyle w:val="34"/>
        <w:spacing w:line="360" w:lineRule="auto"/>
        <w:ind w:firstLine="420"/>
        <w:jc w:val="center"/>
        <w:rPr>
          <w:rFonts w:hint="eastAsia" w:ascii="仿宋" w:hAnsi="仿宋" w:eastAsia="仿宋" w:cs="仿宋"/>
          <w:b/>
          <w:sz w:val="36"/>
          <w:szCs w:val="20"/>
        </w:rPr>
      </w:pPr>
      <w:r>
        <w:rPr>
          <w:rFonts w:hint="eastAsia" w:ascii="仿宋" w:hAnsi="仿宋" w:eastAsia="仿宋" w:cs="仿宋"/>
          <w:sz w:val="24"/>
          <w:szCs w:val="24"/>
        </w:rPr>
        <w:br w:type="page"/>
      </w:r>
      <w:r>
        <w:rPr>
          <w:rFonts w:hint="eastAsia" w:ascii="仿宋" w:hAnsi="仿宋" w:eastAsia="仿宋" w:cs="仿宋"/>
          <w:b/>
          <w:sz w:val="36"/>
          <w:szCs w:val="20"/>
        </w:rPr>
        <w:t>第二部分</w:t>
      </w:r>
      <w:bookmarkEnd w:id="10"/>
      <w:r>
        <w:rPr>
          <w:rFonts w:hint="eastAsia" w:ascii="仿宋" w:hAnsi="仿宋" w:eastAsia="仿宋" w:cs="仿宋"/>
          <w:b/>
          <w:sz w:val="36"/>
          <w:szCs w:val="20"/>
        </w:rPr>
        <w:t xml:space="preserve">  投标人须知</w:t>
      </w:r>
      <w:bookmarkEnd w:id="11"/>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1</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sz w:val="24"/>
              </w:rPr>
            </w:pPr>
            <w:r>
              <w:rPr>
                <w:rFonts w:hint="eastAsia" w:ascii="仿宋" w:hAnsi="仿宋" w:eastAsia="仿宋" w:cs="仿宋"/>
                <w:sz w:val="24"/>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sz w:val="24"/>
              </w:rPr>
              <w:t>提醒：验收时检测费用由采购人承担，不包含在投标总价中。</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投标报价出现下列情形的，投标无效：</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1、投标文件出现不是唯一的、有选择性投标报价的；</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2、投标报价超过招标文件中规定的预算金额或者最高限价的;</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3、报价明显低于其他通过符合性审查投标人的报价，有可能影响产品质量或者不能诚信履约的，未能按要求提供书面说明或者提交相关证明材料证明其报价合理性的;</w:t>
            </w:r>
          </w:p>
          <w:p>
            <w:pPr>
              <w:spacing w:line="360" w:lineRule="auto"/>
              <w:rPr>
                <w:rFonts w:hint="eastAsia" w:ascii="仿宋" w:hAnsi="仿宋" w:eastAsia="仿宋" w:cs="仿宋"/>
                <w:sz w:val="24"/>
              </w:rPr>
            </w:pPr>
            <w:r>
              <w:rPr>
                <w:rFonts w:hint="eastAsia" w:ascii="仿宋" w:hAnsi="仿宋" w:eastAsia="仿宋" w:cs="仿宋"/>
                <w:sz w:val="24"/>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2</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szCs w:val="21"/>
                </w:rPr>
                <w:id w:val="21502076"/>
              </w:sdtPr>
              <w:sdtEndPr>
                <w:rPr>
                  <w:rFonts w:hint="eastAsia" w:ascii="仿宋" w:hAnsi="仿宋" w:eastAsia="仿宋" w:cs="仿宋"/>
                  <w:kern w:val="0"/>
                  <w:sz w:val="24"/>
                  <w:szCs w:val="21"/>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spacing w:line="360" w:lineRule="auto"/>
              <w:rPr>
                <w:rFonts w:hint="eastAsia" w:ascii="仿宋" w:hAnsi="仿宋" w:eastAsia="仿宋" w:cs="仿宋"/>
                <w:sz w:val="24"/>
              </w:rPr>
            </w:pPr>
            <w:sdt>
              <w:sdtPr>
                <w:rPr>
                  <w:rFonts w:hint="eastAsia" w:ascii="仿宋" w:hAnsi="仿宋" w:eastAsia="仿宋" w:cs="仿宋"/>
                  <w:kern w:val="0"/>
                  <w:sz w:val="24"/>
                </w:rPr>
                <w:id w:val="2150207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3</w:t>
            </w:r>
          </w:p>
        </w:tc>
        <w:tc>
          <w:tcPr>
            <w:tcW w:w="1968"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kern w:val="0"/>
                <w:sz w:val="24"/>
              </w:rPr>
            </w:pPr>
            <w:r>
              <w:rPr>
                <w:rFonts w:hint="eastAsia" w:ascii="仿宋" w:hAnsi="仿宋" w:eastAsia="仿宋" w:cs="仿宋"/>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968"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highlight w:val="yellow"/>
              </w:rPr>
            </w:pPr>
            <w:r>
              <w:rPr>
                <w:rFonts w:hint="eastAsia" w:ascii="仿宋" w:hAnsi="仿宋" w:eastAsia="仿宋" w:cs="仿宋"/>
                <w:b/>
                <w:sz w:val="24"/>
              </w:rPr>
              <w:t>4</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szCs w:val="21"/>
                </w:rPr>
                <w:id w:val="21502078"/>
              </w:sdtPr>
              <w:sdtEndPr>
                <w:rPr>
                  <w:rFonts w:hint="eastAsia" w:ascii="仿宋" w:hAnsi="仿宋" w:eastAsia="仿宋" w:cs="仿宋"/>
                  <w:kern w:val="0"/>
                  <w:sz w:val="24"/>
                  <w:szCs w:val="21"/>
                </w:rPr>
              </w:sdtEndPr>
              <w:sdtContent>
                <w:sdt>
                  <w:sdtPr>
                    <w:rPr>
                      <w:rFonts w:hint="eastAsia" w:ascii="仿宋" w:hAnsi="仿宋" w:eastAsia="仿宋" w:cs="仿宋"/>
                      <w:kern w:val="0"/>
                      <w:sz w:val="24"/>
                      <w:szCs w:val="21"/>
                    </w:rPr>
                    <w:id w:val="4552815"/>
                  </w:sdtPr>
                  <w:sdtEndPr>
                    <w:rPr>
                      <w:rFonts w:hint="eastAsia" w:ascii="仿宋" w:hAnsi="仿宋" w:eastAsia="仿宋" w:cs="仿宋"/>
                      <w:kern w:val="0"/>
                      <w:sz w:val="24"/>
                      <w:szCs w:val="21"/>
                    </w:rPr>
                  </w:sdtEndPr>
                  <w:sdtContent>
                    <w:sdt>
                      <w:sdtPr>
                        <w:rPr>
                          <w:rFonts w:hint="eastAsia" w:ascii="仿宋" w:hAnsi="仿宋" w:eastAsia="仿宋" w:cs="仿宋"/>
                          <w:kern w:val="0"/>
                          <w:sz w:val="24"/>
                        </w:rPr>
                        <w:id w:val="458466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rPr>
            </w:pPr>
            <w:sdt>
              <w:sdtPr>
                <w:rPr>
                  <w:rFonts w:hint="eastAsia" w:ascii="仿宋" w:hAnsi="仿宋" w:eastAsia="仿宋" w:cs="仿宋"/>
                  <w:kern w:val="0"/>
                  <w:sz w:val="24"/>
                </w:rPr>
                <w:id w:val="2150207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szCs w:val="24"/>
              </w:rPr>
              <w:t>组织，时间：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4" w:hRule="atLeast"/>
          <w:tblHeader/>
          <w:jc w:val="center"/>
        </w:trPr>
        <w:tc>
          <w:tcPr>
            <w:tcW w:w="671"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5</w:t>
            </w:r>
          </w:p>
        </w:tc>
        <w:tc>
          <w:tcPr>
            <w:tcW w:w="1968"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950" w:type="dxa"/>
            <w:tcBorders>
              <w:top w:val="single" w:color="000000" w:sz="8" w:space="0"/>
              <w:left w:val="single" w:color="000000" w:sz="2"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szCs w:val="21"/>
                </w:rPr>
                <w:id w:val="21502080"/>
              </w:sdtPr>
              <w:sdtEndPr>
                <w:rPr>
                  <w:rFonts w:hint="eastAsia" w:ascii="仿宋" w:hAnsi="仿宋" w:eastAsia="仿宋" w:cs="仿宋"/>
                  <w:kern w:val="0"/>
                  <w:sz w:val="24"/>
                  <w:szCs w:val="21"/>
                </w:rPr>
              </w:sdtEndPr>
              <w:sdtContent>
                <w:sdt>
                  <w:sdtPr>
                    <w:rPr>
                      <w:rFonts w:hint="eastAsia" w:ascii="仿宋" w:hAnsi="仿宋" w:eastAsia="仿宋" w:cs="仿宋"/>
                      <w:kern w:val="0"/>
                      <w:sz w:val="24"/>
                      <w:szCs w:val="21"/>
                    </w:rPr>
                    <w:id w:val="4552816"/>
                  </w:sdtPr>
                  <w:sdtEndPr>
                    <w:rPr>
                      <w:rFonts w:hint="eastAsia" w:ascii="仿宋" w:hAnsi="仿宋" w:eastAsia="仿宋" w:cs="仿宋"/>
                      <w:kern w:val="0"/>
                      <w:sz w:val="24"/>
                      <w:szCs w:val="21"/>
                    </w:rPr>
                  </w:sdtEndPr>
                  <w:sdtContent>
                    <w:sdt>
                      <w:sdtPr>
                        <w:rPr>
                          <w:rFonts w:hint="eastAsia" w:ascii="仿宋" w:hAnsi="仿宋" w:eastAsia="仿宋" w:cs="仿宋"/>
                          <w:kern w:val="0"/>
                          <w:sz w:val="24"/>
                        </w:rPr>
                        <w:id w:val="458466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2461707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sdt>
                  <w:sdtPr>
                    <w:rPr>
                      <w:rFonts w:hint="eastAsia" w:ascii="仿宋" w:hAnsi="仿宋" w:eastAsia="仿宋" w:cs="仿宋"/>
                      <w:kern w:val="0"/>
                      <w:sz w:val="24"/>
                    </w:rPr>
                    <w:id w:val="5283195"/>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B要求提供，</w:t>
            </w:r>
          </w:p>
          <w:p>
            <w:pPr>
              <w:spacing w:line="360" w:lineRule="auto"/>
              <w:rPr>
                <w:rFonts w:hint="eastAsia" w:ascii="仿宋" w:hAnsi="仿宋" w:eastAsia="仿宋" w:cs="仿宋"/>
                <w:snapToGrid w:val="0"/>
                <w:kern w:val="28"/>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p>
          <w:p>
            <w:pPr>
              <w:spacing w:line="360" w:lineRule="auto"/>
              <w:rPr>
                <w:rFonts w:hint="eastAsia" w:ascii="仿宋" w:hAnsi="仿宋" w:eastAsia="仿宋" w:cs="仿宋"/>
                <w:sz w:val="24"/>
              </w:rPr>
            </w:pPr>
            <w:r>
              <w:rPr>
                <w:rFonts w:hint="eastAsia" w:ascii="仿宋" w:hAnsi="仿宋" w:eastAsia="仿宋" w:cs="仿宋"/>
                <w:sz w:val="24"/>
              </w:rPr>
              <w:t>（2）样品制作的标准和要求：。</w:t>
            </w:r>
          </w:p>
          <w:p>
            <w:pPr>
              <w:spacing w:line="360" w:lineRule="auto"/>
              <w:rPr>
                <w:rFonts w:hint="eastAsia" w:ascii="仿宋" w:hAnsi="仿宋" w:eastAsia="仿宋" w:cs="仿宋"/>
                <w:sz w:val="24"/>
              </w:rPr>
            </w:pPr>
            <w:r>
              <w:rPr>
                <w:rFonts w:hint="eastAsia" w:ascii="仿宋" w:hAnsi="仿宋" w:eastAsia="仿宋" w:cs="仿宋"/>
                <w:sz w:val="24"/>
              </w:rPr>
              <w:t>（3）样品的评审方法以及评审标准：详见评标办法。</w:t>
            </w:r>
          </w:p>
          <w:p>
            <w:pPr>
              <w:pStyle w:val="34"/>
              <w:spacing w:line="360" w:lineRule="auto"/>
              <w:rPr>
                <w:rFonts w:hint="eastAsia" w:ascii="仿宋" w:hAnsi="仿宋" w:eastAsia="仿宋" w:cs="仿宋"/>
                <w:sz w:val="24"/>
                <w:szCs w:val="24"/>
              </w:rPr>
            </w:pPr>
            <w:r>
              <w:rPr>
                <w:rFonts w:hint="eastAsia" w:ascii="仿宋" w:hAnsi="仿宋" w:eastAsia="仿宋" w:cs="仿宋"/>
                <w:sz w:val="24"/>
              </w:rPr>
              <w:t>（4）是否需要随样品提交检测报告：</w:t>
            </w:r>
            <w:r>
              <w:rPr>
                <w:rFonts w:hint="eastAsia" w:ascii="仿宋" w:hAnsi="仿宋" w:eastAsia="仿宋" w:cs="仿宋"/>
                <w:kern w:val="0"/>
                <w:sz w:val="24"/>
              </w:rPr>
              <w:sym w:font="Wingdings 2" w:char="0052"/>
            </w:r>
            <w:r>
              <w:rPr>
                <w:rFonts w:hint="eastAsia" w:ascii="仿宋" w:hAnsi="仿宋" w:eastAsia="仿宋" w:cs="仿宋"/>
                <w:sz w:val="24"/>
              </w:rPr>
              <w:t>否；☐是，检测机构的要求：；检测内容：。</w:t>
            </w:r>
          </w:p>
          <w:p>
            <w:pPr>
              <w:spacing w:line="360" w:lineRule="auto"/>
              <w:rPr>
                <w:rFonts w:hint="eastAsia" w:ascii="仿宋" w:hAnsi="仿宋" w:eastAsia="仿宋" w:cs="仿宋"/>
                <w:snapToGrid w:val="0"/>
                <w:kern w:val="28"/>
                <w:sz w:val="24"/>
              </w:rPr>
            </w:pPr>
            <w:r>
              <w:rPr>
                <w:rFonts w:hint="eastAsia" w:ascii="仿宋" w:hAnsi="仿宋" w:eastAsia="仿宋" w:cs="仿宋"/>
                <w:kern w:val="0"/>
                <w:sz w:val="24"/>
              </w:rPr>
              <w:t>（5）</w:t>
            </w:r>
            <w:r>
              <w:rPr>
                <w:rFonts w:hint="eastAsia" w:ascii="仿宋" w:hAnsi="仿宋" w:eastAsia="仿宋" w:cs="仿宋"/>
                <w:sz w:val="24"/>
                <w:szCs w:val="24"/>
              </w:rPr>
              <w:t>提供样品的时间：；地点：；联系人：，联系电话：。请投标人在上述时间内提供样品并按规定位置安装完毕。超过截止时间的，采购人或采购代理机构将不予接收，并将清场并封闭样品现场。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kern w:val="0"/>
                <w:sz w:val="24"/>
              </w:rPr>
            </w:pPr>
            <w:r>
              <w:rPr>
                <w:rFonts w:hint="eastAsia" w:ascii="仿宋" w:hAnsi="仿宋" w:eastAsia="仿宋" w:cs="仿宋"/>
                <w:kern w:val="0"/>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仿宋" w:hAnsi="仿宋" w:eastAsia="仿宋" w:cs="仿宋"/>
                <w:kern w:val="0"/>
                <w:sz w:val="24"/>
              </w:rPr>
            </w:pPr>
            <w:r>
              <w:rPr>
                <w:rFonts w:hint="eastAsia" w:ascii="仿宋" w:hAnsi="仿宋" w:eastAsia="仿宋" w:cs="仿宋"/>
                <w:kern w:val="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6</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4584662"/>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仿宋" w:hAnsi="仿宋" w:eastAsia="仿宋" w:cs="仿宋"/>
                      <w:kern w:val="0"/>
                      <w:sz w:val="24"/>
                      <w:szCs w:val="21"/>
                    </w:rPr>
                    <w:id w:val="4552817"/>
                  </w:sdtPr>
                  <w:sdtEndPr>
                    <w:rPr>
                      <w:rFonts w:hint="eastAsia" w:ascii="仿宋" w:hAnsi="仿宋" w:eastAsia="仿宋" w:cs="仿宋"/>
                      <w:kern w:val="0"/>
                      <w:sz w:val="24"/>
                      <w:szCs w:val="21"/>
                    </w:rPr>
                  </w:sdtEndPr>
                  <w:sdtContent>
                    <w:r>
                      <w:rPr>
                        <w:rFonts w:hint="eastAsia" w:ascii="仿宋" w:hAnsi="仿宋" w:eastAsia="仿宋" w:cs="仿宋"/>
                        <w:kern w:val="0"/>
                        <w:sz w:val="24"/>
                      </w:rPr>
                      <w:t>☐</w:t>
                    </w:r>
                  </w:sdtContent>
                </w:sdt>
                <w:r>
                  <w:rPr>
                    <w:rFonts w:hint="eastAsia" w:ascii="仿宋" w:hAnsi="仿宋" w:eastAsia="仿宋" w:cs="仿宋"/>
                    <w:kern w:val="0"/>
                    <w:sz w:val="24"/>
                  </w:rPr>
                  <w:t>B组</w:t>
                </w:r>
              </w:sdtContent>
            </w:sdt>
            <w:r>
              <w:rPr>
                <w:rFonts w:hint="eastAsia" w:ascii="仿宋" w:hAnsi="仿宋" w:eastAsia="仿宋" w:cs="仿宋"/>
                <w:kern w:val="0"/>
                <w:sz w:val="24"/>
              </w:rPr>
              <w:t>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（1）在评标时安排每个投标人进行功能演示。每个投标人时间不超过20分钟，讲解次序以投标文件解密时间先后次序为准，讲解演示人员不超过3人。讲解演示结束后按要求解答评标委员会提问。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☐交易中心现场讲解演示。现场讲解地点为</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，讲解演示所用电脑等设备由投标人自备。现场讲解演示人员进场时提供讲解人员名单（加盖公章）及身份证明，否则不得讲解演示。</w:t>
            </w:r>
          </w:p>
          <w:p>
            <w:pPr>
              <w:spacing w:line="360" w:lineRule="auto"/>
              <w:rPr>
                <w:rFonts w:hint="eastAsia" w:ascii="仿宋" w:hAnsi="仿宋" w:eastAsia="仿宋" w:cs="仿宋"/>
                <w:sz w:val="24"/>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7</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szCs w:val="21"/>
                </w:rPr>
                <w:id w:val="21502083"/>
              </w:sdtPr>
              <w:sdtEndPr>
                <w:rPr>
                  <w:rFonts w:hint="eastAsia" w:ascii="仿宋" w:hAnsi="仿宋" w:eastAsia="仿宋" w:cs="仿宋"/>
                  <w:kern w:val="0"/>
                  <w:sz w:val="24"/>
                  <w:szCs w:val="21"/>
                </w:rPr>
              </w:sdtEndPr>
              <w:sdtContent>
                <w:r>
                  <w:rPr>
                    <w:rFonts w:hint="eastAsia" w:ascii="仿宋" w:hAnsi="仿宋"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sz w:val="24"/>
              </w:rPr>
            </w:pPr>
            <w:sdt>
              <w:sdtPr>
                <w:rPr>
                  <w:rFonts w:hint="eastAsia" w:ascii="仿宋" w:hAnsi="仿宋" w:eastAsia="仿宋" w:cs="仿宋"/>
                  <w:kern w:val="0"/>
                  <w:sz w:val="24"/>
                </w:rPr>
                <w:id w:val="2150208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8</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仿宋" w:hAnsi="仿宋" w:eastAsia="仿宋" w:cs="仿宋"/>
                <w:sz w:val="24"/>
              </w:rPr>
            </w:pPr>
            <w:r>
              <w:rPr>
                <w:rFonts w:hint="eastAsia" w:ascii="仿宋" w:hAnsi="仿宋" w:eastAsia="仿宋" w:cs="仿宋"/>
                <w:sz w:val="24"/>
              </w:rPr>
              <w:t>货物类，</w:t>
            </w:r>
            <w:r>
              <w:rPr>
                <w:rFonts w:hint="eastAsia" w:ascii="仿宋" w:hAnsi="仿宋" w:eastAsia="仿宋" w:cs="仿宋"/>
                <w:b/>
                <w:bCs/>
                <w:sz w:val="24"/>
              </w:rPr>
              <w:t>单一产品或</w:t>
            </w:r>
            <w:r>
              <w:rPr>
                <w:rFonts w:hint="eastAsia" w:ascii="仿宋" w:hAnsi="仿宋" w:eastAsia="仿宋" w:cs="仿宋"/>
                <w:b/>
                <w:bCs/>
                <w:sz w:val="24"/>
                <w:szCs w:val="24"/>
              </w:rPr>
              <w:t>核心产品为：LED屏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9</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sz w:val="24"/>
              </w:rPr>
              <w:t>采购标的：详见采购需求；</w:t>
            </w:r>
          </w:p>
          <w:p>
            <w:pPr>
              <w:snapToGrid w:val="0"/>
              <w:spacing w:line="360" w:lineRule="auto"/>
              <w:rPr>
                <w:rFonts w:hint="eastAsia" w:ascii="仿宋" w:hAnsi="仿宋" w:eastAsia="仿宋" w:cs="仿宋"/>
                <w:sz w:val="24"/>
              </w:rPr>
            </w:pPr>
            <w:r>
              <w:rPr>
                <w:rFonts w:hint="eastAsia" w:ascii="仿宋" w:hAnsi="仿宋" w:eastAsia="仿宋" w:cs="仿宋"/>
                <w:sz w:val="24"/>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10</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pPr>
              <w:wordWrap w:val="0"/>
              <w:spacing w:line="360" w:lineRule="auto"/>
              <w:rPr>
                <w:rFonts w:hint="eastAsia"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11</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b/>
                <w:sz w:val="24"/>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hint="eastAsia" w:ascii="仿宋" w:hAnsi="仿宋" w:eastAsia="仿宋" w:cs="仿宋"/>
                <w:sz w:val="24"/>
                <w:szCs w:val="24"/>
              </w:rPr>
            </w:pPr>
            <w:r>
              <w:rPr>
                <w:rFonts w:hint="eastAsia" w:ascii="仿宋" w:hAnsi="仿宋" w:eastAsia="仿宋" w:cs="仿宋"/>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12</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kern w:val="28"/>
                <w:sz w:val="24"/>
              </w:rPr>
              <w:t>备份投标文件送达地点：</w:t>
            </w:r>
            <w:r>
              <w:rPr>
                <w:rFonts w:hint="eastAsia" w:ascii="仿宋" w:hAnsi="仿宋" w:eastAsia="仿宋" w:cs="仿宋"/>
                <w:sz w:val="24"/>
              </w:rPr>
              <w:t>舟山市普陀区东港街道昌正街169号东港商务中心6号楼406室</w:t>
            </w:r>
            <w:r>
              <w:rPr>
                <w:rFonts w:hint="eastAsia" w:ascii="仿宋" w:hAnsi="仿宋" w:eastAsia="仿宋" w:cs="仿宋"/>
                <w:kern w:val="28"/>
                <w:sz w:val="24"/>
              </w:rPr>
              <w:t>。</w:t>
            </w:r>
            <w:r>
              <w:rPr>
                <w:rFonts w:hint="eastAsia" w:ascii="仿宋" w:hAnsi="仿宋" w:eastAsia="仿宋" w:cs="仿宋"/>
                <w:b/>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13</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b/>
                <w:sz w:val="24"/>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hint="eastAsia" w:ascii="仿宋" w:hAnsi="仿宋" w:eastAsia="仿宋" w:cs="仿宋"/>
                <w:sz w:val="24"/>
                <w:szCs w:val="24"/>
              </w:rPr>
            </w:pPr>
            <w:r>
              <w:rPr>
                <w:rFonts w:hint="eastAsia" w:ascii="仿宋" w:hAnsi="仿宋" w:eastAsia="仿宋" w:cs="仿宋"/>
                <w:sz w:val="24"/>
                <w:szCs w:val="24"/>
              </w:rPr>
              <w:t xml:space="preserve">是否需要履约保证金: </w:t>
            </w:r>
            <w:sdt>
              <w:sdtPr>
                <w:rPr>
                  <w:rFonts w:hint="eastAsia" w:ascii="仿宋" w:hAnsi="仿宋" w:eastAsia="仿宋" w:cs="仿宋"/>
                  <w:sz w:val="24"/>
                  <w:szCs w:val="24"/>
                </w:rPr>
                <w:id w:val="504719723"/>
              </w:sdtPr>
              <w:sdtEndPr>
                <w:rPr>
                  <w:rFonts w:hint="eastAsia" w:ascii="仿宋" w:hAnsi="仿宋" w:eastAsia="仿宋" w:cs="仿宋"/>
                  <w:sz w:val="24"/>
                  <w:szCs w:val="24"/>
                </w:rPr>
              </w:sdtEndPr>
              <w:sdtContent>
                <w:sdt>
                  <w:sdtPr>
                    <w:rPr>
                      <w:rFonts w:hint="eastAsia" w:ascii="仿宋" w:hAnsi="仿宋" w:eastAsia="仿宋" w:cs="仿宋"/>
                      <w:sz w:val="24"/>
                      <w:szCs w:val="24"/>
                    </w:rPr>
                    <w:id w:val="504719725"/>
                  </w:sdtPr>
                  <w:sdtEndPr>
                    <w:rPr>
                      <w:rFonts w:hint="eastAsia" w:ascii="仿宋" w:hAnsi="仿宋" w:eastAsia="仿宋" w:cs="仿宋"/>
                      <w:sz w:val="24"/>
                      <w:szCs w:val="24"/>
                    </w:rPr>
                  </w:sdtEndPr>
                  <w:sdtContent>
                    <w:r>
                      <w:rPr>
                        <w:rFonts w:hint="eastAsia" w:ascii="仿宋" w:hAnsi="仿宋" w:eastAsia="仿宋" w:cs="仿宋"/>
                        <w:sz w:val="24"/>
                        <w:szCs w:val="24"/>
                      </w:rPr>
                      <w:sym w:font="Wingdings" w:char="00A8"/>
                    </w:r>
                  </w:sdtContent>
                </w:sdt>
                <w:r>
                  <w:rPr>
                    <w:rFonts w:hint="eastAsia" w:ascii="仿宋" w:hAnsi="仿宋" w:eastAsia="仿宋" w:cs="仿宋"/>
                    <w:sz w:val="24"/>
                    <w:szCs w:val="24"/>
                  </w:rPr>
                  <w:t>是</w:t>
                </w:r>
                <w:sdt>
                  <w:sdtPr>
                    <w:rPr>
                      <w:rFonts w:hint="eastAsia" w:ascii="仿宋" w:hAnsi="仿宋" w:eastAsia="仿宋" w:cs="仿宋"/>
                      <w:kern w:val="0"/>
                      <w:sz w:val="24"/>
                    </w:rPr>
                    <w:id w:val="197262488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1386227328"/>
                    <w:showingPlcHdr/>
                  </w:sdtPr>
                  <w:sdtEndPr>
                    <w:rPr>
                      <w:rFonts w:hint="eastAsia" w:ascii="仿宋" w:hAnsi="仿宋" w:eastAsia="仿宋" w:cs="仿宋"/>
                      <w:kern w:val="0"/>
                      <w:sz w:val="24"/>
                    </w:rPr>
                  </w:sdtEndPr>
                  <w:sdtContent/>
                </w:sdt>
                <w:r>
                  <w:rPr>
                    <w:rFonts w:hint="eastAsia" w:ascii="仿宋" w:hAnsi="仿宋" w:eastAsia="仿宋" w:cs="仿宋"/>
                    <w:sz w:val="24"/>
                    <w:szCs w:val="24"/>
                  </w:rPr>
                  <w:t>否</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14</w:t>
            </w:r>
          </w:p>
        </w:tc>
        <w:tc>
          <w:tcPr>
            <w:tcW w:w="1968"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kern w:val="28"/>
                <w:sz w:val="24"/>
              </w:rPr>
            </w:pPr>
            <w:r>
              <w:rPr>
                <w:rFonts w:hint="eastAsia" w:ascii="仿宋" w:hAnsi="仿宋" w:eastAsia="仿宋" w:cs="仿宋"/>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p>
        </w:tc>
        <w:tc>
          <w:tcPr>
            <w:tcW w:w="196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p>
        </w:tc>
        <w:tc>
          <w:tcPr>
            <w:tcW w:w="6950"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kern w:val="28"/>
                <w:sz w:val="24"/>
              </w:rPr>
            </w:pPr>
            <w:sdt>
              <w:sdtPr>
                <w:rPr>
                  <w:rFonts w:hint="eastAsia" w:ascii="仿宋" w:hAnsi="仿宋" w:eastAsia="仿宋" w:cs="仿宋"/>
                  <w:kern w:val="28"/>
                  <w:sz w:val="24"/>
                </w:rPr>
                <w:id w:val="28832115"/>
              </w:sdtPr>
              <w:sdtEndPr>
                <w:rPr>
                  <w:rFonts w:hint="eastAsia" w:ascii="仿宋" w:hAnsi="仿宋" w:eastAsia="仿宋" w:cs="仿宋"/>
                  <w:kern w:val="28"/>
                  <w:sz w:val="24"/>
                </w:rPr>
              </w:sdtEndPr>
              <w:sdtContent>
                <w:r>
                  <w:rPr>
                    <w:rFonts w:hint="eastAsia" w:ascii="仿宋" w:hAnsi="仿宋" w:eastAsia="仿宋" w:cs="仿宋"/>
                    <w:kern w:val="28"/>
                    <w:sz w:val="24"/>
                  </w:rPr>
                  <w:t>☐</w:t>
                </w:r>
              </w:sdtContent>
            </w:sdt>
            <w:r>
              <w:rPr>
                <w:rFonts w:hint="eastAsia" w:ascii="仿宋" w:hAnsi="仿宋" w:eastAsia="仿宋" w:cs="仿宋"/>
                <w:kern w:val="28"/>
                <w:sz w:val="24"/>
              </w:rPr>
              <w:t>联合体投标的，联合体各方均需按招标文件第四部分评标办法提供资信证明文件，否则视为不符合相关要求。</w:t>
            </w:r>
          </w:p>
          <w:p>
            <w:pPr>
              <w:spacing w:line="360" w:lineRule="auto"/>
              <w:rPr>
                <w:rFonts w:hint="eastAsia" w:ascii="仿宋" w:hAnsi="仿宋" w:eastAsia="仿宋" w:cs="仿宋"/>
                <w:kern w:val="28"/>
                <w:sz w:val="24"/>
              </w:rPr>
            </w:pPr>
            <w:sdt>
              <w:sdtPr>
                <w:rPr>
                  <w:rFonts w:hint="eastAsia" w:ascii="仿宋" w:hAnsi="仿宋" w:eastAsia="仿宋" w:cs="仿宋"/>
                  <w:kern w:val="28"/>
                  <w:sz w:val="24"/>
                </w:rPr>
                <w:id w:val="28832116"/>
              </w:sdtPr>
              <w:sdtEndPr>
                <w:rPr>
                  <w:rFonts w:hint="eastAsia" w:ascii="仿宋" w:hAnsi="仿宋" w:eastAsia="仿宋" w:cs="仿宋"/>
                  <w:kern w:val="28"/>
                  <w:sz w:val="24"/>
                </w:rPr>
              </w:sdtEndPr>
              <w:sdtContent>
                <w:r>
                  <w:rPr>
                    <w:rFonts w:hint="eastAsia" w:ascii="仿宋" w:hAnsi="仿宋" w:eastAsia="仿宋" w:cs="仿宋"/>
                    <w:kern w:val="28"/>
                    <w:sz w:val="24"/>
                  </w:rPr>
                  <w:sym w:font="Wingdings" w:char="F0FE"/>
                </w:r>
              </w:sdtContent>
            </w:sdt>
            <w:r>
              <w:rPr>
                <w:rFonts w:hint="eastAsia" w:ascii="仿宋" w:hAnsi="仿宋" w:eastAsia="仿宋" w:cs="仿宋"/>
                <w:kern w:val="28"/>
                <w:sz w:val="24"/>
              </w:rPr>
              <w:t>联合体投标的，联合体中有一方或者联合体成员根据分工按招标文件第四部分评标办法提供资信证明文件的，视为符合了相关要求。</w:t>
            </w:r>
          </w:p>
        </w:tc>
      </w:tr>
    </w:tbl>
    <w:p>
      <w:pPr>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br w:type="page"/>
      </w:r>
      <w:bookmarkEnd w:id="12"/>
      <w:bookmarkStart w:id="17" w:name="第三部分"/>
      <w:bookmarkStart w:id="18" w:name="_Toc164416483"/>
      <w:r>
        <w:rPr>
          <w:rFonts w:hint="eastAsia" w:ascii="仿宋" w:hAnsi="仿宋" w:eastAsia="仿宋" w:cs="仿宋"/>
          <w:b/>
          <w:sz w:val="32"/>
          <w:szCs w:val="20"/>
        </w:rPr>
        <w:t>一、总则</w:t>
      </w:r>
    </w:p>
    <w:p>
      <w:pPr>
        <w:snapToGrid w:val="0"/>
        <w:spacing w:line="360" w:lineRule="auto"/>
        <w:ind w:firstLine="482" w:firstLineChars="200"/>
        <w:jc w:val="left"/>
        <w:rPr>
          <w:rFonts w:hint="eastAsia" w:ascii="仿宋" w:hAnsi="仿宋" w:eastAsia="仿宋" w:cs="仿宋"/>
          <w:b/>
          <w:sz w:val="24"/>
        </w:rPr>
      </w:pPr>
      <w:bookmarkStart w:id="19" w:name="_Hlt74730208"/>
      <w:bookmarkEnd w:id="19"/>
      <w:bookmarkStart w:id="20" w:name="_Hlt74714665"/>
      <w:bookmarkEnd w:id="20"/>
      <w:bookmarkStart w:id="21" w:name="_Toc91899872"/>
      <w:bookmarkEnd w:id="21"/>
      <w:bookmarkStart w:id="22" w:name="_Hlt74730295"/>
      <w:bookmarkEnd w:id="22"/>
      <w:bookmarkStart w:id="23" w:name="_Hlt74730112"/>
      <w:bookmarkEnd w:id="23"/>
      <w:r>
        <w:rPr>
          <w:rFonts w:hint="eastAsia" w:ascii="仿宋" w:hAnsi="仿宋" w:eastAsia="仿宋" w:cs="仿宋"/>
          <w:b/>
          <w:sz w:val="24"/>
        </w:rPr>
        <w:t>1.适用范围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hint="eastAsia" w:ascii="仿宋" w:hAnsi="仿宋" w:eastAsia="仿宋" w:cs="仿宋"/>
          <w:sz w:val="24"/>
        </w:rPr>
      </w:pPr>
      <w:r>
        <w:rPr>
          <w:rFonts w:hint="eastAsia" w:ascii="仿宋" w:hAnsi="仿宋" w:eastAsia="仿宋" w:cs="仿宋"/>
          <w:b/>
          <w:sz w:val="24"/>
        </w:rPr>
        <w:t>2.定义</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sz w:val="24"/>
            <w:szCs w:val="24"/>
          </w:rPr>
          <w:id w:val="-1934305363"/>
        </w:sdtPr>
        <w:sdtEndPr>
          <w:rPr>
            <w:rFonts w:hint="eastAsia" w:ascii="仿宋" w:hAnsi="仿宋" w:eastAsia="仿宋" w:cs="仿宋"/>
            <w:sz w:val="24"/>
            <w:szCs w:val="24"/>
          </w:rPr>
        </w:sdtEndPr>
        <w:sdtContent>
          <w:r>
            <w:rPr>
              <w:rFonts w:hint="eastAsia" w:ascii="仿宋" w:hAnsi="仿宋" w:eastAsia="仿宋" w:cs="仿宋"/>
              <w:sz w:val="24"/>
              <w:szCs w:val="24"/>
            </w:rPr>
            <w:sym w:font="Wingdings" w:char="F0FE"/>
          </w:r>
        </w:sdtContent>
      </w:sdt>
      <w:r>
        <w:rPr>
          <w:rFonts w:hint="eastAsia" w:ascii="仿宋" w:hAnsi="仿宋" w:eastAsia="仿宋" w:cs="仿宋"/>
          <w:sz w:val="24"/>
        </w:rPr>
        <w:t>”系指适用本项目的要求，“☐”系指不适用本项目的要求。</w:t>
      </w:r>
    </w:p>
    <w:p>
      <w:pPr>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3.采购项目需要落实的政府采购政策</w:t>
      </w:r>
    </w:p>
    <w:p>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3.3.1</w:t>
      </w:r>
      <w:r>
        <w:rPr>
          <w:rFonts w:hint="eastAsia" w:ascii="仿宋" w:hAnsi="仿宋" w:eastAsia="仿宋" w:cs="仿宋"/>
          <w:b/>
          <w:bCs/>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sz w:val="24"/>
          <w:szCs w:val="24"/>
        </w:rPr>
        <w:t>《中华人民共和国劳动合同法》</w:t>
      </w:r>
      <w:r>
        <w:rPr>
          <w:rFonts w:hint="eastAsia" w:ascii="仿宋" w:hAnsi="仿宋" w:eastAsia="仿宋" w:cs="仿宋"/>
          <w:kern w:val="0"/>
          <w:sz w:val="24"/>
        </w:rPr>
        <w:t>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3.3.7</w:t>
      </w:r>
      <w:r>
        <w:rPr>
          <w:rFonts w:hint="eastAsia" w:ascii="仿宋" w:hAnsi="仿宋" w:eastAsia="仿宋" w:cs="仿宋"/>
          <w:b/>
          <w:bCs/>
          <w:sz w:val="24"/>
        </w:rPr>
        <w:t xml:space="preserve"> </w:t>
      </w:r>
      <w:bookmarkStart w:id="24" w:name="_Hlk177318073"/>
      <w:r>
        <w:rPr>
          <w:rFonts w:hint="eastAsia" w:ascii="仿宋" w:hAnsi="仿宋" w:eastAsia="仿宋" w:cs="仿宋"/>
          <w:b/>
          <w:bCs/>
          <w:sz w:val="24"/>
        </w:rPr>
        <w:t>对符合规定的小微企业报价按10%给予扣除，用扣除后的价格参加评审。</w:t>
      </w:r>
      <w:bookmarkEnd w:id="24"/>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wordWrap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sz w:val="24"/>
        </w:rPr>
        <w:t>3.5</w:t>
      </w:r>
      <w:r>
        <w:rPr>
          <w:rFonts w:hint="eastAsia" w:ascii="仿宋" w:hAnsi="仿宋" w:eastAsia="仿宋" w:cs="仿宋"/>
          <w:kern w:val="0"/>
          <w:sz w:val="24"/>
          <w:lang w:val="zh-CN"/>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pPr>
        <w:snapToGrid w:val="0"/>
        <w:spacing w:line="360" w:lineRule="auto"/>
        <w:ind w:firstLine="482" w:firstLineChars="200"/>
        <w:jc w:val="left"/>
        <w:rPr>
          <w:rFonts w:hint="eastAsia" w:ascii="仿宋" w:hAnsi="仿宋" w:eastAsia="仿宋" w:cs="仿宋"/>
          <w:sz w:val="24"/>
        </w:rPr>
      </w:pPr>
      <w:r>
        <w:rPr>
          <w:rFonts w:hint="eastAsia" w:ascii="仿宋" w:hAnsi="仿宋" w:eastAsia="仿宋" w:cs="仿宋"/>
          <w:b/>
          <w:sz w:val="24"/>
        </w:rPr>
        <w:t>4. 询问、质疑、投诉</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.1提出质疑的供应商应当是参与所质疑项目采购活动的供应商。潜在供应商已依法获取其可质疑的招标文件的，可以对该文件提出质疑。</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4.2.2.3对采购结果提出质疑的，质疑期限自采购结果公告期限届满之日起计算。对采购结果提出质疑的，采购代理机构负责答复。</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4.2.3供应商提出质疑应当提交质疑函和必要的证明材料。质疑函应当包括下列内容：</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4.2.3.1供应商的姓名或者名称、地址、邮编、联系人及联系电话；</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4.2.3.2质疑项目的名称、编号；</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4.2.3.3具体、明确的质疑事项和与质疑事项相关的请求；</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4.2.3.4事实依据；</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4.2.3.5必要的法律依据；</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4.2.3.6提出质疑的日期。</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质疑函范本及制作说明</w:t>
      </w:r>
      <w:r>
        <w:rPr>
          <w:rFonts w:hint="eastAsia" w:ascii="仿宋" w:hAnsi="仿宋" w:eastAsia="仿宋" w:cs="仿宋"/>
          <w:sz w:val="24"/>
        </w:rPr>
        <w:t>请到浙江政府采购网下载专区下载</w:t>
      </w:r>
      <w:r>
        <w:rPr>
          <w:rFonts w:hint="eastAsia" w:ascii="仿宋" w:hAnsi="仿宋" w:eastAsia="仿宋" w:cs="仿宋"/>
          <w:snapToGrid w:val="0"/>
          <w:kern w:val="0"/>
          <w:sz w:val="24"/>
          <w:szCs w:val="24"/>
          <w:lang w:val="zh-CN"/>
        </w:rPr>
        <w:t>。</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4.2.4采购人或者采购代理机构应当在收到供应商的书面质疑后七个工作日内作出答复，并以书面形式通知质疑供应商和其他与质疑处理结果有利害关系的政府采购当事人，但答复的内容不得涉及商业秘密。</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4.2.5询问或者质疑事项可能影响采购结果的，采购人应当暂停签订合同，已经签订合同的，应当中止履行合同。</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4.3供应商投诉</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4.3.1质疑供应商对采购人、采购代理机构的答复不满意或者采购人、采购代理机构未在规定的时间内作出答复的，可以在答复期满后十五个工作日内向同级政府采购监督管理部门提出投诉。</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4.3.2供应商投诉的事项不得超出已质疑事项的范围，基于质疑答复内容提出的投诉事项除外。</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4.3.3供应商投诉应当有明确的请求和必要的证明材料。</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4.3.</w:t>
      </w:r>
      <w:r>
        <w:rPr>
          <w:rFonts w:hint="eastAsia" w:ascii="仿宋" w:hAnsi="仿宋" w:eastAsia="仿宋" w:cs="仿宋"/>
          <w:snapToGrid w:val="0"/>
          <w:kern w:val="0"/>
          <w:sz w:val="24"/>
          <w:szCs w:val="24"/>
        </w:rPr>
        <w:t>4</w:t>
      </w:r>
      <w:r>
        <w:rPr>
          <w:rFonts w:hint="eastAsia" w:ascii="仿宋" w:hAnsi="仿宋" w:eastAsia="仿宋" w:cs="仿宋"/>
          <w:snapToGrid w:val="0"/>
          <w:kern w:val="0"/>
          <w:sz w:val="24"/>
          <w:szCs w:val="24"/>
          <w:lang w:val="zh-CN"/>
        </w:rPr>
        <w:t xml:space="preserve"> 以联合体形式参加政府采购活动的，其投诉应当由组成联合体的所有供应商共同提出。</w:t>
      </w:r>
    </w:p>
    <w:p>
      <w:pPr>
        <w:snapToGrid w:val="0"/>
        <w:spacing w:line="360" w:lineRule="auto"/>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lang w:val="zh-CN"/>
        </w:rPr>
        <w:t>投诉书范本及制作说明</w:t>
      </w:r>
      <w:r>
        <w:rPr>
          <w:rFonts w:hint="eastAsia" w:ascii="仿宋" w:hAnsi="仿宋" w:eastAsia="仿宋" w:cs="仿宋"/>
          <w:sz w:val="24"/>
        </w:rPr>
        <w:t>请到浙江政府采购网下载专区下载。</w:t>
      </w:r>
    </w:p>
    <w:p>
      <w:pPr>
        <w:pStyle w:val="744"/>
        <w:shd w:val="clear" w:color="auto" w:fill="FFFFFF"/>
        <w:snapToGrid w:val="0"/>
        <w:spacing w:after="240" w:afterAutospacing="0" w:line="360" w:lineRule="auto"/>
        <w:ind w:firstLine="518" w:firstLineChars="216"/>
        <w:contextualSpacing/>
        <w:rPr>
          <w:rFonts w:hint="eastAsia" w:ascii="仿宋" w:hAnsi="仿宋" w:eastAsia="仿宋" w:cs="仿宋"/>
        </w:rPr>
      </w:pPr>
    </w:p>
    <w:p>
      <w:pPr>
        <w:widowControl/>
        <w:jc w:val="left"/>
        <w:rPr>
          <w:rFonts w:hint="eastAsia" w:ascii="仿宋" w:hAnsi="仿宋" w:eastAsia="仿宋" w:cs="仿宋"/>
          <w:b/>
          <w:sz w:val="32"/>
          <w:szCs w:val="20"/>
        </w:rPr>
      </w:pPr>
      <w:bookmarkStart w:id="25" w:name="_Hlt75236290"/>
      <w:bookmarkEnd w:id="25"/>
      <w:bookmarkStart w:id="26" w:name="_Hlt74729768"/>
      <w:bookmarkEnd w:id="26"/>
      <w:bookmarkStart w:id="27" w:name="_Hlt74707468"/>
      <w:bookmarkEnd w:id="27"/>
      <w:bookmarkStart w:id="28" w:name="_Hlt68072990"/>
      <w:bookmarkEnd w:id="28"/>
      <w:bookmarkStart w:id="29" w:name="_Hlt68057669"/>
      <w:bookmarkEnd w:id="29"/>
      <w:bookmarkStart w:id="30" w:name="_Toc91899879"/>
      <w:r>
        <w:rPr>
          <w:rFonts w:hint="eastAsia" w:ascii="仿宋" w:hAnsi="仿宋" w:eastAsia="仿宋" w:cs="仿宋"/>
          <w:b/>
          <w:sz w:val="32"/>
          <w:szCs w:val="20"/>
        </w:rPr>
        <w:br w:type="page"/>
      </w:r>
    </w:p>
    <w:p>
      <w:pPr>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w:t>
      </w:r>
      <w:bookmarkEnd w:id="30"/>
      <w:r>
        <w:rPr>
          <w:rFonts w:hint="eastAsia" w:ascii="仿宋" w:hAnsi="仿宋" w:eastAsia="仿宋" w:cs="仿宋"/>
          <w:b/>
          <w:sz w:val="32"/>
          <w:szCs w:val="20"/>
        </w:rPr>
        <w:t>的构成、澄清、修改</w:t>
      </w:r>
    </w:p>
    <w:p>
      <w:pPr>
        <w:pStyle w:val="34"/>
        <w:spacing w:line="360" w:lineRule="auto"/>
        <w:ind w:firstLine="482" w:firstLineChars="200"/>
        <w:rPr>
          <w:rFonts w:hint="eastAsia" w:ascii="仿宋" w:hAnsi="仿宋" w:eastAsia="仿宋" w:cs="仿宋"/>
          <w:sz w:val="24"/>
          <w:szCs w:val="24"/>
        </w:rPr>
      </w:pPr>
      <w:bookmarkStart w:id="31" w:name="_Toc91899880"/>
      <w:bookmarkStart w:id="32" w:name="_Hlt74730307"/>
      <w:r>
        <w:rPr>
          <w:rFonts w:hint="eastAsia" w:ascii="仿宋" w:hAnsi="仿宋" w:eastAsia="仿宋" w:cs="仿宋"/>
          <w:b/>
          <w:sz w:val="24"/>
          <w:szCs w:val="24"/>
        </w:rPr>
        <w:t>5．招标文件的构成</w:t>
      </w:r>
      <w:bookmarkEnd w:id="31"/>
    </w:p>
    <w:bookmarkEnd w:id="32"/>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5.1 招标文件包括下列文件及附件：</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5.1.1招标公告；</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5.1.2投标人须知；</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5.1.3采购需求；</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5.1.4评标办法；</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5.1.5拟签订的合同文本；</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5.1.6应提交的有关格式范例。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sz w:val="24"/>
          <w:szCs w:val="24"/>
        </w:rPr>
        <w:t>5.2与本项目有关的澄清或者修改的内容为招标文件的组成部分。</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6.1已获取招标文件的潜在投标人，若有问题需要澄清，应于投标截止时间前，以书面形式向采购代理机构提出。</w:t>
      </w:r>
    </w:p>
    <w:p>
      <w:pPr>
        <w:spacing w:line="360" w:lineRule="auto"/>
        <w:ind w:firstLine="480" w:firstLineChars="200"/>
        <w:rPr>
          <w:rFonts w:hint="eastAsia" w:ascii="仿宋" w:hAnsi="仿宋" w:eastAsia="仿宋" w:cs="仿宋"/>
        </w:rPr>
      </w:pPr>
      <w:r>
        <w:rPr>
          <w:rFonts w:hint="eastAsia" w:ascii="仿宋" w:hAnsi="仿宋" w:eastAsia="仿宋" w:cs="仿宋"/>
          <w:snapToGrid w:val="0"/>
          <w:sz w:val="24"/>
          <w:szCs w:val="24"/>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rPr>
        <w:t>该澄清或者修改的内容为招标文件的组成部分。</w:t>
      </w:r>
    </w:p>
    <w:p>
      <w:pPr>
        <w:pStyle w:val="23"/>
        <w:rPr>
          <w:rFonts w:hint="eastAsia" w:ascii="仿宋" w:hAnsi="仿宋" w:eastAsia="仿宋" w:cs="仿宋"/>
          <w:sz w:val="18"/>
          <w:szCs w:val="18"/>
          <w:lang w:val="en-US"/>
        </w:rPr>
      </w:pPr>
    </w:p>
    <w:p>
      <w:pPr>
        <w:spacing w:line="360" w:lineRule="auto"/>
        <w:jc w:val="center"/>
        <w:outlineLvl w:val="0"/>
        <w:rPr>
          <w:rFonts w:hint="eastAsia" w:ascii="仿宋" w:hAnsi="仿宋" w:eastAsia="仿宋" w:cs="仿宋"/>
          <w:b/>
          <w:sz w:val="30"/>
          <w:szCs w:val="20"/>
        </w:rPr>
      </w:pPr>
      <w:bookmarkStart w:id="33" w:name="_Hlt75236011"/>
      <w:bookmarkEnd w:id="33"/>
      <w:bookmarkStart w:id="34" w:name="_Toc91899884"/>
      <w:r>
        <w:rPr>
          <w:rFonts w:hint="eastAsia" w:ascii="仿宋" w:hAnsi="仿宋" w:eastAsia="仿宋" w:cs="仿宋"/>
          <w:b/>
          <w:sz w:val="30"/>
          <w:szCs w:val="20"/>
        </w:rPr>
        <w:t>三、投标</w:t>
      </w:r>
      <w:bookmarkEnd w:id="34"/>
    </w:p>
    <w:p>
      <w:pPr>
        <w:pStyle w:val="34"/>
        <w:spacing w:line="360" w:lineRule="auto"/>
        <w:ind w:firstLine="482" w:firstLineChars="200"/>
        <w:rPr>
          <w:rFonts w:hint="eastAsia" w:ascii="仿宋" w:hAnsi="仿宋" w:eastAsia="仿宋" w:cs="仿宋"/>
          <w:b/>
          <w:sz w:val="24"/>
          <w:szCs w:val="24"/>
        </w:rPr>
      </w:pPr>
      <w:bookmarkStart w:id="35" w:name="_Toc91899892"/>
      <w:bookmarkStart w:id="36" w:name="_Toc86216991"/>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ind w:firstLine="482" w:firstLineChars="200"/>
        <w:rPr>
          <w:rFonts w:hint="eastAsia" w:ascii="仿宋" w:hAnsi="仿宋" w:eastAsia="仿宋" w:cs="仿宋"/>
          <w:b/>
          <w:kern w:val="28"/>
          <w:sz w:val="24"/>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10. 投</w:t>
      </w:r>
      <w:r>
        <w:rPr>
          <w:rFonts w:hint="eastAsia" w:ascii="仿宋" w:hAnsi="仿宋" w:eastAsia="仿宋" w:cs="仿宋"/>
          <w:b/>
          <w:kern w:val="28"/>
          <w:sz w:val="24"/>
          <w:szCs w:val="24"/>
        </w:rPr>
        <w:t>标文件的</w:t>
      </w:r>
      <w:r>
        <w:rPr>
          <w:rFonts w:hint="eastAsia" w:ascii="仿宋" w:hAnsi="仿宋" w:eastAsia="仿宋" w:cs="仿宋"/>
          <w:b/>
          <w:sz w:val="24"/>
          <w:szCs w:val="24"/>
        </w:rPr>
        <w:t>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11.1资格文件：</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11.1.1</w:t>
      </w:r>
      <w:r>
        <w:rPr>
          <w:rFonts w:hint="eastAsia" w:ascii="仿宋" w:hAnsi="仿宋" w:eastAsia="仿宋" w:cs="仿宋"/>
          <w:sz w:val="24"/>
          <w:szCs w:val="24"/>
        </w:rPr>
        <w:t>符合</w:t>
      </w:r>
      <w:r>
        <w:rPr>
          <w:rFonts w:hint="eastAsia" w:ascii="仿宋" w:hAnsi="仿宋" w:eastAsia="仿宋" w:cs="仿宋"/>
          <w:sz w:val="24"/>
        </w:rPr>
        <w:t>参加政府采购活动应当具备的一般条件的承诺函；</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11.1.2</w:t>
      </w:r>
      <w:bookmarkStart w:id="37" w:name="_Hlk101259339"/>
      <w:r>
        <w:rPr>
          <w:rFonts w:hint="eastAsia" w:ascii="仿宋" w:hAnsi="仿宋" w:eastAsia="仿宋" w:cs="仿宋"/>
          <w:sz w:val="24"/>
        </w:rPr>
        <w:t>联合协议</w:t>
      </w:r>
      <w:bookmarkStart w:id="38" w:name="_Hlk101257010"/>
      <w:r>
        <w:rPr>
          <w:rFonts w:hint="eastAsia" w:ascii="仿宋" w:hAnsi="仿宋" w:eastAsia="仿宋" w:cs="仿宋"/>
          <w:sz w:val="24"/>
        </w:rPr>
        <w:t>（</w:t>
      </w:r>
      <w:r>
        <w:rPr>
          <w:rFonts w:hint="eastAsia" w:ascii="仿宋" w:hAnsi="仿宋" w:eastAsia="仿宋" w:cs="仿宋"/>
          <w:sz w:val="24"/>
          <w:szCs w:val="24"/>
        </w:rPr>
        <w:t>若有</w:t>
      </w:r>
      <w:r>
        <w:rPr>
          <w:rFonts w:hint="eastAsia" w:ascii="仿宋" w:hAnsi="仿宋" w:eastAsia="仿宋" w:cs="仿宋"/>
          <w:sz w:val="24"/>
        </w:rPr>
        <w:t>)</w:t>
      </w:r>
      <w:bookmarkEnd w:id="37"/>
      <w:bookmarkEnd w:id="38"/>
      <w:r>
        <w:rPr>
          <w:rFonts w:hint="eastAsia" w:ascii="仿宋" w:hAnsi="仿宋" w:eastAsia="仿宋" w:cs="仿宋"/>
          <w:sz w:val="24"/>
        </w:rPr>
        <w:t>；</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z w:val="24"/>
          <w:szCs w:val="24"/>
        </w:rPr>
        <w:t>若有</w:t>
      </w:r>
      <w:r>
        <w:rPr>
          <w:rFonts w:hint="eastAsia" w:ascii="仿宋" w:hAnsi="仿宋" w:eastAsia="仿宋" w:cs="仿宋"/>
          <w:sz w:val="24"/>
        </w:rPr>
        <w:t>）；</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z w:val="24"/>
          <w:szCs w:val="24"/>
        </w:rPr>
        <w:t>若有</w:t>
      </w:r>
      <w:r>
        <w:rPr>
          <w:rFonts w:hint="eastAsia" w:ascii="仿宋" w:hAnsi="仿宋" w:eastAsia="仿宋" w:cs="仿宋"/>
          <w:sz w:val="24"/>
        </w:rPr>
        <w:t>）。</w:t>
      </w:r>
    </w:p>
    <w:p>
      <w:pPr>
        <w:snapToGrid w:val="0"/>
        <w:spacing w:line="360" w:lineRule="auto"/>
        <w:ind w:firstLine="482" w:firstLineChars="200"/>
        <w:rPr>
          <w:rFonts w:hint="eastAsia" w:ascii="仿宋" w:hAnsi="仿宋" w:eastAsia="仿宋" w:cs="仿宋"/>
          <w:b/>
          <w:sz w:val="24"/>
          <w:lang w:val="zh-CN"/>
        </w:rPr>
      </w:pPr>
      <w:r>
        <w:rPr>
          <w:rFonts w:hint="eastAsia" w:ascii="仿宋" w:hAnsi="仿宋" w:eastAsia="仿宋" w:cs="仿宋"/>
          <w:b/>
          <w:sz w:val="24"/>
          <w:lang w:val="zh-CN"/>
        </w:rPr>
        <w:t>11.</w:t>
      </w:r>
      <w:r>
        <w:rPr>
          <w:rFonts w:hint="eastAsia" w:ascii="仿宋" w:hAnsi="仿宋" w:eastAsia="仿宋" w:cs="仿宋"/>
          <w:b/>
          <w:sz w:val="24"/>
        </w:rPr>
        <w:t>2商务技术</w:t>
      </w:r>
      <w:r>
        <w:rPr>
          <w:rFonts w:hint="eastAsia" w:ascii="仿宋" w:hAnsi="仿宋" w:eastAsia="仿宋" w:cs="仿宋"/>
          <w:b/>
          <w:sz w:val="24"/>
          <w:lang w:val="zh-CN"/>
        </w:rPr>
        <w:t>文件：</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11.2.1</w:t>
      </w:r>
      <w:r>
        <w:rPr>
          <w:rFonts w:hint="eastAsia" w:ascii="仿宋" w:hAnsi="仿宋" w:eastAsia="仿宋" w:cs="仿宋"/>
          <w:sz w:val="24"/>
          <w:szCs w:val="24"/>
        </w:rPr>
        <w:t>投标</w:t>
      </w:r>
      <w:r>
        <w:rPr>
          <w:rFonts w:hint="eastAsia" w:ascii="仿宋" w:hAnsi="仿宋" w:eastAsia="仿宋" w:cs="仿宋"/>
          <w:sz w:val="24"/>
        </w:rPr>
        <w:t>函；</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11.2.3符合性审查资料；</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11.2.4评标标准相应的商务技术资料；</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11.2.5商务技术偏离表；</w:t>
      </w:r>
    </w:p>
    <w:p>
      <w:pPr>
        <w:pStyle w:val="34"/>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.6</w:t>
      </w:r>
      <w:r>
        <w:rPr>
          <w:rFonts w:hint="eastAsia" w:ascii="仿宋" w:hAnsi="仿宋" w:eastAsia="仿宋" w:cs="仿宋"/>
          <w:sz w:val="24"/>
          <w:szCs w:val="24"/>
        </w:rPr>
        <w:t>政府</w:t>
      </w:r>
      <w:r>
        <w:rPr>
          <w:rFonts w:hint="eastAsia" w:ascii="仿宋" w:hAnsi="仿宋" w:eastAsia="仿宋" w:cs="仿宋"/>
          <w:sz w:val="24"/>
          <w:lang w:val="zh-CN"/>
        </w:rPr>
        <w:t>采购供应商廉洁自律承诺书。</w:t>
      </w:r>
    </w:p>
    <w:p>
      <w:pPr>
        <w:pStyle w:val="34"/>
        <w:spacing w:line="360" w:lineRule="auto"/>
        <w:ind w:firstLine="482" w:firstLineChars="200"/>
        <w:rPr>
          <w:rFonts w:hint="eastAsia" w:ascii="仿宋" w:hAnsi="仿宋" w:eastAsia="仿宋" w:cs="仿宋"/>
          <w:b/>
          <w:sz w:val="24"/>
          <w:u w:val="single"/>
          <w:lang w:val="zh-CN"/>
        </w:rPr>
      </w:pPr>
      <w:r>
        <w:rPr>
          <w:rFonts w:hint="eastAsia" w:ascii="仿宋" w:hAnsi="仿宋" w:eastAsia="仿宋" w:cs="仿宋"/>
          <w:b/>
          <w:kern w:val="0"/>
          <w:sz w:val="24"/>
          <w:lang w:val="zh-CN"/>
        </w:rPr>
        <w:t>11.</w:t>
      </w:r>
      <w:r>
        <w:rPr>
          <w:rFonts w:hint="eastAsia" w:ascii="仿宋" w:hAnsi="仿宋" w:eastAsia="仿宋" w:cs="仿宋"/>
          <w:b/>
          <w:kern w:val="0"/>
          <w:sz w:val="24"/>
        </w:rPr>
        <w:t>3</w:t>
      </w:r>
      <w:r>
        <w:rPr>
          <w:rFonts w:hint="eastAsia" w:ascii="仿宋" w:hAnsi="仿宋" w:eastAsia="仿宋" w:cs="仿宋"/>
          <w:b/>
          <w:sz w:val="24"/>
        </w:rPr>
        <w:t>报价文件：</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11.3.1</w:t>
      </w:r>
      <w:r>
        <w:rPr>
          <w:rFonts w:hint="eastAsia" w:ascii="仿宋" w:hAnsi="仿宋" w:eastAsia="仿宋" w:cs="仿宋"/>
          <w:sz w:val="24"/>
          <w:szCs w:val="24"/>
        </w:rPr>
        <w:t>开标一览表（报价表）</w:t>
      </w:r>
      <w:r>
        <w:rPr>
          <w:rFonts w:hint="eastAsia" w:ascii="仿宋" w:hAnsi="仿宋" w:eastAsia="仿宋" w:cs="仿宋"/>
          <w:sz w:val="24"/>
        </w:rPr>
        <w:t>；</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11.3.2</w:t>
      </w:r>
      <w:r>
        <w:rPr>
          <w:rFonts w:hint="eastAsia" w:ascii="仿宋" w:hAnsi="仿宋" w:eastAsia="仿宋" w:cs="仿宋"/>
          <w:sz w:val="24"/>
          <w:szCs w:val="24"/>
        </w:rPr>
        <w:t>中小企业</w:t>
      </w:r>
      <w:r>
        <w:rPr>
          <w:rFonts w:hint="eastAsia" w:ascii="仿宋" w:hAnsi="仿宋" w:eastAsia="仿宋" w:cs="仿宋"/>
          <w:sz w:val="24"/>
        </w:rPr>
        <w:t>声明函。</w:t>
      </w:r>
    </w:p>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投标人提供虚假材料投标的，投标无效。</w:t>
      </w:r>
    </w:p>
    <w:p>
      <w:pPr>
        <w:pStyle w:val="34"/>
        <w:spacing w:line="360" w:lineRule="auto"/>
        <w:ind w:firstLine="482" w:firstLineChars="200"/>
        <w:rPr>
          <w:rFonts w:hint="eastAsia" w:ascii="仿宋" w:hAnsi="仿宋" w:eastAsia="仿宋" w:cs="仿宋"/>
          <w:b/>
          <w:sz w:val="24"/>
          <w:szCs w:val="24"/>
        </w:rPr>
      </w:pPr>
      <w:bookmarkStart w:id="39" w:name="_Toc91899887"/>
      <w:r>
        <w:rPr>
          <w:rFonts w:hint="eastAsia" w:ascii="仿宋" w:hAnsi="仿宋" w:eastAsia="仿宋" w:cs="仿宋"/>
          <w:b/>
          <w:sz w:val="24"/>
          <w:szCs w:val="24"/>
        </w:rPr>
        <w:t>12</w:t>
      </w:r>
      <w:r>
        <w:rPr>
          <w:rFonts w:hint="eastAsia" w:ascii="仿宋" w:hAnsi="仿宋" w:eastAsia="仿宋" w:cs="仿宋"/>
          <w:b/>
          <w:kern w:val="0"/>
          <w:sz w:val="24"/>
          <w:szCs w:val="24"/>
          <w:lang w:val="zh-CN"/>
        </w:rPr>
        <w:t xml:space="preserve">. </w:t>
      </w:r>
      <w:r>
        <w:rPr>
          <w:rFonts w:hint="eastAsia" w:ascii="仿宋" w:hAnsi="仿宋" w:eastAsia="仿宋" w:cs="仿宋"/>
          <w:b/>
          <w:sz w:val="24"/>
          <w:szCs w:val="24"/>
        </w:rPr>
        <w:t>投标文件的编制</w:t>
      </w:r>
    </w:p>
    <w:p>
      <w:pPr>
        <w:pStyle w:val="34"/>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w:t>
      </w:r>
      <w:r>
        <w:rPr>
          <w:rFonts w:hint="eastAsia" w:ascii="仿宋" w:hAnsi="仿宋" w:eastAsia="仿宋" w:cs="仿宋"/>
          <w:sz w:val="24"/>
          <w:szCs w:val="24"/>
        </w:rPr>
        <w:t>投标</w:t>
      </w:r>
      <w:r>
        <w:rPr>
          <w:rFonts w:hint="eastAsia" w:ascii="仿宋" w:hAnsi="仿宋" w:eastAsia="仿宋" w:cs="仿宋"/>
          <w:kern w:val="0"/>
          <w:sz w:val="24"/>
          <w:lang w:val="zh-CN"/>
        </w:rPr>
        <w:t>文件分为资格文件、商务技术文件、报价文件三部分。各投标人在编制投标文件时请按照招标文件第六部分规定的格式进行，混乱的编排导致投标文件被误读或评标委员会查找不到有效文件是投标人的风险。</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w:t>
      </w:r>
      <w:r>
        <w:rPr>
          <w:rFonts w:hint="eastAsia" w:ascii="仿宋" w:hAnsi="仿宋" w:eastAsia="仿宋" w:cs="仿宋"/>
          <w:sz w:val="24"/>
          <w:szCs w:val="24"/>
        </w:rPr>
        <w:t>投标人</w:t>
      </w:r>
      <w:r>
        <w:rPr>
          <w:rFonts w:hint="eastAsia" w:ascii="仿宋" w:hAnsi="仿宋" w:eastAsia="仿宋" w:cs="仿宋"/>
          <w:kern w:val="0"/>
          <w:sz w:val="24"/>
          <w:lang w:val="zh-CN"/>
        </w:rPr>
        <w:t>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bookmarkEnd w:id="39"/>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13.投标文件的签署、盖章</w:t>
      </w:r>
    </w:p>
    <w:p>
      <w:pPr>
        <w:pStyle w:val="149"/>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49"/>
        <w:snapToGrid w:val="0"/>
        <w:spacing w:before="0"/>
        <w:ind w:firstLine="480"/>
        <w:rPr>
          <w:rFonts w:hint="eastAsia" w:ascii="仿宋" w:hAnsi="仿宋" w:eastAsia="仿宋" w:cs="仿宋"/>
          <w:b/>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49"/>
        <w:snapToGrid w:val="0"/>
        <w:spacing w:before="0"/>
        <w:ind w:firstLine="480"/>
        <w:rPr>
          <w:rFonts w:hint="eastAsia" w:ascii="仿宋" w:hAnsi="仿宋" w:eastAsia="仿宋" w:cs="仿宋"/>
        </w:rPr>
      </w:pPr>
      <w:r>
        <w:rPr>
          <w:rFonts w:hint="eastAsia" w:ascii="仿宋" w:hAnsi="仿宋" w:eastAsia="仿宋" w:cs="仿宋"/>
        </w:rPr>
        <w:t>13.3招标文件对投标文件签署、盖章的要求适用于电子签名。</w:t>
      </w:r>
    </w:p>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14. 投标文件的提交、补充、修改、撤回</w:t>
      </w:r>
    </w:p>
    <w:p>
      <w:pPr>
        <w:pStyle w:val="149"/>
        <w:snapToGrid w:val="0"/>
        <w:spacing w:before="0"/>
        <w:ind w:firstLine="480"/>
        <w:rPr>
          <w:rFonts w:hint="eastAsia"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9"/>
        <w:snapToGrid w:val="0"/>
        <w:spacing w:before="0"/>
        <w:ind w:firstLine="480"/>
        <w:rPr>
          <w:rFonts w:hint="eastAsia"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pStyle w:val="149"/>
        <w:snapToGrid w:val="0"/>
        <w:spacing w:before="0"/>
        <w:ind w:firstLine="480"/>
        <w:rPr>
          <w:rFonts w:hint="eastAsia" w:ascii="仿宋" w:hAnsi="仿宋" w:eastAsia="仿宋" w:cs="仿宋"/>
        </w:rPr>
      </w:pPr>
      <w:r>
        <w:rPr>
          <w:rFonts w:hint="eastAsia" w:ascii="仿宋" w:hAnsi="仿宋" w:eastAsia="仿宋" w:cs="仿宋"/>
        </w:rPr>
        <w:t>14.3采购人、采购代理机构可以视情况延长投标文件提交的截止时间。在上述情况下，采购代理机构与投标人以前在投标截止期方面的全部权利、责任和义务，将适用于延长至新的投标截止期。</w:t>
      </w:r>
    </w:p>
    <w:p>
      <w:pPr>
        <w:pStyle w:val="149"/>
        <w:spacing w:before="0"/>
        <w:ind w:firstLine="482"/>
        <w:rPr>
          <w:rFonts w:hint="eastAsia" w:ascii="仿宋" w:hAnsi="仿宋" w:eastAsia="仿宋" w:cs="仿宋"/>
          <w:b/>
          <w:szCs w:val="24"/>
        </w:rPr>
      </w:pPr>
      <w:r>
        <w:rPr>
          <w:rFonts w:hint="eastAsia" w:ascii="仿宋" w:hAnsi="仿宋" w:eastAsia="仿宋" w:cs="仿宋"/>
          <w:b/>
          <w:szCs w:val="24"/>
        </w:rPr>
        <w:t>15.备份投标文件</w:t>
      </w:r>
    </w:p>
    <w:p>
      <w:pPr>
        <w:pStyle w:val="149"/>
        <w:spacing w:before="0"/>
        <w:ind w:firstLine="480"/>
        <w:rPr>
          <w:rFonts w:hint="eastAsia" w:ascii="仿宋" w:hAnsi="仿宋" w:eastAsia="仿宋" w:cs="仿宋"/>
          <w:b/>
          <w:szCs w:val="24"/>
        </w:rPr>
      </w:pPr>
      <w:r>
        <w:rPr>
          <w:rFonts w:hint="eastAsia" w:ascii="仿宋" w:hAnsi="仿宋" w:eastAsia="仿宋" w:cs="仿宋"/>
          <w:szCs w:val="24"/>
        </w:rPr>
        <w:t>15.1投标人在电子交易平台传输递交投标文件后，还可以在投标截止时间前直接提交或者以邮政快递方式递交备份投标文件1份，</w:t>
      </w:r>
      <w:r>
        <w:rPr>
          <w:rFonts w:hint="eastAsia" w:ascii="仿宋" w:hAnsi="仿宋" w:eastAsia="仿宋" w:cs="仿宋"/>
          <w:b/>
          <w:szCs w:val="24"/>
        </w:rPr>
        <w:t>但采购人、采购代理机构不强制或变相强制投标人提交备份投标文件。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w:t>
      </w:r>
      <w:r>
        <w:rPr>
          <w:rFonts w:hint="eastAsia" w:ascii="仿宋" w:hAnsi="仿宋" w:eastAsia="仿宋" w:cs="仿宋"/>
          <w:b/>
          <w:sz w:val="24"/>
          <w:szCs w:val="24"/>
        </w:rPr>
        <w:t>第二部分投标人须知前附表</w:t>
      </w:r>
      <w:r>
        <w:rPr>
          <w:rFonts w:hint="eastAsia" w:ascii="仿宋" w:hAnsi="仿宋" w:eastAsia="仿宋" w:cs="仿宋"/>
          <w:sz w:val="24"/>
          <w:szCs w:val="24"/>
        </w:rPr>
        <w:t>中载明的地点将备份投标文件提交给采购代理机构，采购代理机构将拒绝接受逾期送达的备份投标文件。</w:t>
      </w:r>
    </w:p>
    <w:p>
      <w:pPr>
        <w:pStyle w:val="25"/>
        <w:spacing w:line="360" w:lineRule="auto"/>
        <w:rPr>
          <w:rFonts w:hint="eastAsia" w:ascii="仿宋" w:hAnsi="仿宋" w:eastAsia="仿宋" w:cs="仿宋"/>
        </w:rPr>
      </w:pPr>
      <w:r>
        <w:rPr>
          <w:rFonts w:hint="eastAsia" w:ascii="仿宋" w:hAnsi="仿宋" w:eastAsia="仿宋" w:cs="仿宋"/>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-3019213。采购代理机构将拒绝接受逾期送达的备份投标文件。邮寄过程中，电子备份投标文件发生泄露、遗失、损坏或延期送达等情况的，由投标人自行负责。</w:t>
      </w:r>
    </w:p>
    <w:p>
      <w:pPr>
        <w:pStyle w:val="25"/>
        <w:spacing w:line="360" w:lineRule="auto"/>
        <w:ind w:firstLine="482"/>
        <w:rPr>
          <w:rFonts w:hint="eastAsia" w:ascii="仿宋" w:hAnsi="仿宋" w:eastAsia="仿宋" w:cs="仿宋"/>
          <w:b/>
        </w:rPr>
      </w:pPr>
      <w:r>
        <w:rPr>
          <w:rFonts w:hint="eastAsia" w:ascii="仿宋" w:hAnsi="仿宋" w:eastAsia="仿宋" w:cs="仿宋"/>
          <w:b/>
        </w:rPr>
        <w:t>15.5投标人仅提交备份投标文件，没有在电子交易平台传输递交投标文件的，投标无效。</w:t>
      </w:r>
      <w:bookmarkEnd w:id="35"/>
      <w:bookmarkEnd w:id="36"/>
    </w:p>
    <w:p>
      <w:pPr>
        <w:pStyle w:val="25"/>
        <w:spacing w:line="360" w:lineRule="auto"/>
        <w:ind w:firstLine="482"/>
        <w:rPr>
          <w:rFonts w:hint="eastAsia" w:ascii="仿宋" w:hAnsi="仿宋" w:eastAsia="仿宋" w:cs="仿宋"/>
          <w:b/>
        </w:rPr>
      </w:pPr>
      <w:r>
        <w:rPr>
          <w:rFonts w:hint="eastAsia" w:ascii="仿宋" w:hAnsi="仿宋" w:eastAsia="仿宋" w:cs="仿宋"/>
          <w:b/>
        </w:rPr>
        <w:t>16.投标文件的无效处理</w:t>
      </w:r>
    </w:p>
    <w:p>
      <w:pPr>
        <w:pStyle w:val="25"/>
        <w:spacing w:line="360" w:lineRule="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pPr>
        <w:pStyle w:val="25"/>
        <w:spacing w:line="360" w:lineRule="auto"/>
        <w:ind w:firstLine="482"/>
        <w:rPr>
          <w:rFonts w:hint="eastAsia" w:ascii="仿宋" w:hAnsi="仿宋" w:eastAsia="仿宋" w:cs="仿宋"/>
          <w:b/>
        </w:rPr>
      </w:pPr>
      <w:r>
        <w:rPr>
          <w:rFonts w:hint="eastAsia" w:ascii="仿宋" w:hAnsi="仿宋" w:eastAsia="仿宋" w:cs="仿宋"/>
          <w:b/>
        </w:rPr>
        <w:t>17.</w:t>
      </w:r>
      <w:r>
        <w:rPr>
          <w:rFonts w:hint="eastAsia" w:ascii="仿宋" w:hAnsi="仿宋" w:eastAsia="仿宋" w:cs="仿宋"/>
          <w:b/>
          <w:szCs w:val="21"/>
        </w:rPr>
        <w:t>投标</w:t>
      </w:r>
      <w:r>
        <w:rPr>
          <w:rFonts w:hint="eastAsia" w:ascii="仿宋" w:hAnsi="仿宋" w:eastAsia="仿宋" w:cs="仿宋"/>
          <w:b/>
        </w:rPr>
        <w:t>有效期</w:t>
      </w:r>
    </w:p>
    <w:p>
      <w:pPr>
        <w:pStyle w:val="25"/>
        <w:spacing w:line="360" w:lineRule="auto"/>
        <w:rPr>
          <w:rFonts w:hint="eastAsia" w:ascii="仿宋" w:hAnsi="仿宋" w:eastAsia="仿宋" w:cs="仿宋"/>
          <w:b/>
        </w:rPr>
      </w:pPr>
      <w:r>
        <w:rPr>
          <w:rFonts w:hint="eastAsia" w:ascii="仿宋" w:hAnsi="仿宋" w:eastAsia="仿宋" w:cs="仿宋"/>
          <w:szCs w:val="20"/>
        </w:rPr>
        <w:t>17.1投标有效期为从提交投标文件的截止之日起</w:t>
      </w:r>
      <w:r>
        <w:rPr>
          <w:rFonts w:hint="eastAsia" w:ascii="仿宋" w:hAnsi="仿宋" w:eastAsia="仿宋" w:cs="仿宋"/>
        </w:rPr>
        <w:t>90</w:t>
      </w:r>
      <w:r>
        <w:rPr>
          <w:rFonts w:hint="eastAsia" w:ascii="仿宋" w:hAnsi="仿宋" w:eastAsia="仿宋" w:cs="仿宋"/>
          <w:szCs w:val="20"/>
        </w:rPr>
        <w:t>天。▲</w:t>
      </w:r>
      <w:r>
        <w:rPr>
          <w:rFonts w:hint="eastAsia" w:ascii="仿宋" w:hAnsi="仿宋" w:eastAsia="仿宋" w:cs="仿宋"/>
          <w:b/>
          <w:szCs w:val="20"/>
        </w:rPr>
        <w:t>投标人的投标文件中承</w:t>
      </w:r>
      <w:r>
        <w:rPr>
          <w:rFonts w:hint="eastAsia" w:ascii="仿宋" w:hAnsi="仿宋" w:eastAsia="仿宋" w:cs="仿宋"/>
          <w:b/>
          <w:szCs w:val="21"/>
        </w:rPr>
        <w:t>诺的投标有效期少于招标文件中载明的投标有效期的，投标无效。</w:t>
      </w:r>
    </w:p>
    <w:p>
      <w:pPr>
        <w:pStyle w:val="149"/>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49"/>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49"/>
        <w:spacing w:before="0"/>
        <w:ind w:firstLine="643"/>
        <w:rPr>
          <w:rFonts w:hint="eastAsia" w:ascii="仿宋" w:hAnsi="仿宋" w:eastAsia="仿宋" w:cs="仿宋"/>
          <w:b/>
          <w:sz w:val="32"/>
        </w:rPr>
      </w:pPr>
      <w:bookmarkStart w:id="40" w:name="_Toc91899897"/>
    </w:p>
    <w:p>
      <w:pPr>
        <w:pStyle w:val="149"/>
        <w:spacing w:before="0"/>
        <w:ind w:firstLine="1928" w:firstLineChars="600"/>
        <w:rPr>
          <w:rFonts w:hint="eastAsia" w:ascii="仿宋" w:hAnsi="仿宋" w:eastAsia="仿宋" w:cs="仿宋"/>
          <w:b/>
          <w:sz w:val="32"/>
        </w:rPr>
      </w:pPr>
      <w:r>
        <w:rPr>
          <w:rFonts w:hint="eastAsia" w:ascii="仿宋" w:hAnsi="仿宋" w:eastAsia="仿宋" w:cs="仿宋"/>
          <w:b/>
          <w:sz w:val="32"/>
        </w:rPr>
        <w:t>四、开标</w:t>
      </w:r>
      <w:bookmarkEnd w:id="40"/>
      <w:r>
        <w:rPr>
          <w:rFonts w:hint="eastAsia" w:ascii="仿宋" w:hAnsi="仿宋" w:eastAsia="仿宋" w:cs="仿宋"/>
          <w:b/>
          <w:sz w:val="32"/>
        </w:rPr>
        <w:t>、资格审查与信用信息查询</w:t>
      </w:r>
    </w:p>
    <w:p>
      <w:pPr>
        <w:pStyle w:val="25"/>
        <w:spacing w:line="360" w:lineRule="auto"/>
        <w:ind w:firstLine="482"/>
        <w:rPr>
          <w:rFonts w:hint="eastAsia" w:ascii="仿宋" w:hAnsi="仿宋" w:eastAsia="仿宋" w:cs="仿宋"/>
        </w:rPr>
      </w:pPr>
      <w:r>
        <w:rPr>
          <w:rFonts w:hint="eastAsia" w:ascii="仿宋" w:hAnsi="仿宋" w:eastAsia="仿宋" w:cs="仿宋"/>
          <w:b/>
        </w:rPr>
        <w:t>18.开标</w:t>
      </w:r>
    </w:p>
    <w:p>
      <w:pPr>
        <w:pStyle w:val="50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w:t>
      </w:r>
      <w:r>
        <w:rPr>
          <w:rFonts w:hint="eastAsia" w:ascii="仿宋" w:hAnsi="仿宋" w:eastAsia="仿宋" w:cs="仿宋"/>
          <w:sz w:val="24"/>
          <w:szCs w:val="24"/>
        </w:rPr>
        <w:t>代理</w:t>
      </w:r>
      <w:r>
        <w:rPr>
          <w:rFonts w:hint="eastAsia" w:ascii="仿宋" w:hAnsi="仿宋" w:eastAsia="仿宋" w:cs="仿宋"/>
          <w:sz w:val="24"/>
        </w:rPr>
        <w:t>机构按照招标文件规定的时间通过电子交易平台组织开标，所有投标人均应当准时在线参加。</w:t>
      </w:r>
    </w:p>
    <w:p>
      <w:pPr>
        <w:pStyle w:val="50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w:t>
      </w:r>
      <w:r>
        <w:rPr>
          <w:rFonts w:hint="eastAsia" w:ascii="仿宋" w:hAnsi="仿宋" w:eastAsia="仿宋" w:cs="仿宋"/>
          <w:sz w:val="24"/>
          <w:szCs w:val="24"/>
        </w:rPr>
        <w:t>代理</w:t>
      </w:r>
      <w:r>
        <w:rPr>
          <w:rFonts w:hint="eastAsia" w:ascii="仿宋" w:hAnsi="仿宋" w:eastAsia="仿宋" w:cs="仿宋"/>
          <w:sz w:val="24"/>
        </w:rPr>
        <w:t>机构依托电子交易平台发起开始解密指令，投标人按照平台提示和招标文件的规定在半小时内完成在线解密。</w:t>
      </w:r>
    </w:p>
    <w:p>
      <w:pPr>
        <w:pStyle w:val="503"/>
        <w:spacing w:before="0" w:line="360" w:lineRule="auto"/>
        <w:ind w:left="0" w:firstLine="480" w:firstLineChars="200"/>
        <w:contextualSpacing/>
        <w:rPr>
          <w:rFonts w:hint="eastAsia"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503"/>
        <w:spacing w:before="0" w:line="360" w:lineRule="auto"/>
        <w:ind w:left="0" w:firstLine="482" w:firstLineChars="200"/>
        <w:contextualSpacing/>
        <w:rPr>
          <w:rFonts w:hint="eastAsia" w:ascii="仿宋" w:hAnsi="仿宋" w:eastAsia="仿宋" w:cs="仿宋"/>
          <w:sz w:val="24"/>
        </w:rPr>
      </w:pPr>
      <w:r>
        <w:rPr>
          <w:rFonts w:hint="eastAsia" w:ascii="仿宋" w:hAnsi="仿宋" w:eastAsia="仿宋" w:cs="仿宋"/>
          <w:b/>
          <w:sz w:val="24"/>
        </w:rPr>
        <w:t>19、资格审查</w:t>
      </w:r>
    </w:p>
    <w:p>
      <w:pPr>
        <w:pStyle w:val="25"/>
        <w:spacing w:line="360" w:lineRule="auto"/>
        <w:rPr>
          <w:rFonts w:hint="eastAsia" w:ascii="仿宋" w:hAnsi="仿宋" w:eastAsia="仿宋" w:cs="仿宋"/>
          <w:kern w:val="0"/>
        </w:rPr>
      </w:pPr>
      <w:r>
        <w:rPr>
          <w:rFonts w:hint="eastAsia" w:ascii="仿宋" w:hAnsi="仿宋" w:eastAsia="仿宋" w:cs="仿宋"/>
        </w:rPr>
        <w:t>19</w:t>
      </w:r>
      <w:r>
        <w:rPr>
          <w:rFonts w:hint="eastAsia" w:ascii="仿宋" w:hAnsi="仿宋" w:eastAsia="仿宋" w:cs="仿宋"/>
          <w:kern w:val="0"/>
        </w:rPr>
        <w:t>.1开标后，</w:t>
      </w:r>
      <w:r>
        <w:rPr>
          <w:rFonts w:hint="eastAsia" w:ascii="仿宋" w:hAnsi="仿宋" w:eastAsia="仿宋" w:cs="仿宋"/>
        </w:rPr>
        <w:t>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采购人依据法律法规和招标文件的规定，对投标人的基本资格条件、特定资格条件进行审查。</w:t>
      </w:r>
    </w:p>
    <w:p>
      <w:pPr>
        <w:pStyle w:val="149"/>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4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4对未通过资格审查的投标人，采购人或采购代理机构告知其未通过的原因。</w:t>
      </w:r>
    </w:p>
    <w:p>
      <w:pPr>
        <w:pStyle w:val="14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49"/>
        <w:spacing w:before="0"/>
        <w:ind w:firstLine="482"/>
        <w:rPr>
          <w:rFonts w:hint="eastAsia" w:ascii="仿宋" w:hAnsi="仿宋" w:eastAsia="仿宋" w:cs="仿宋"/>
        </w:rPr>
      </w:pPr>
      <w:r>
        <w:rPr>
          <w:rFonts w:hint="eastAsia" w:ascii="仿宋" w:hAnsi="仿宋" w:eastAsia="仿宋" w:cs="仿宋"/>
          <w:b/>
          <w:szCs w:val="24"/>
        </w:rPr>
        <w:t>20、信用信息查询</w:t>
      </w:r>
    </w:p>
    <w:p>
      <w:pPr>
        <w:pStyle w:val="14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pPr>
        <w:pStyle w:val="14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4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pPr>
        <w:pStyle w:val="149"/>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49"/>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bookmarkStart w:id="41" w:name="_Hlt75236101"/>
      <w:bookmarkEnd w:id="41"/>
      <w:bookmarkStart w:id="42" w:name="_Toc91899902"/>
      <w:r>
        <w:rPr>
          <w:rFonts w:hint="eastAsia" w:ascii="仿宋" w:hAnsi="仿宋" w:eastAsia="仿宋" w:cs="仿宋"/>
          <w:b/>
          <w:sz w:val="36"/>
          <w:szCs w:val="36"/>
        </w:rPr>
        <w:t>五、评标</w:t>
      </w:r>
      <w:bookmarkEnd w:id="42"/>
    </w:p>
    <w:p>
      <w:pPr>
        <w:pStyle w:val="149"/>
        <w:spacing w:before="0"/>
        <w:ind w:firstLine="482"/>
        <w:rPr>
          <w:rFonts w:hint="eastAsia" w:ascii="仿宋" w:hAnsi="仿宋" w:eastAsia="仿宋" w:cs="仿宋"/>
          <w:b/>
        </w:rPr>
      </w:pPr>
      <w:bookmarkStart w:id="43" w:name="_Toc91899903"/>
      <w:r>
        <w:rPr>
          <w:rFonts w:hint="eastAsia" w:ascii="仿宋" w:hAnsi="仿宋" w:eastAsia="仿宋" w:cs="仿宋"/>
          <w:b/>
        </w:rPr>
        <w:t>21.</w:t>
      </w:r>
      <w:r>
        <w:rPr>
          <w:rFonts w:hint="eastAsia" w:ascii="仿宋" w:hAnsi="仿宋" w:eastAsia="仿宋" w:cs="仿宋"/>
          <w:szCs w:val="24"/>
        </w:rPr>
        <w:t>评标</w:t>
      </w:r>
      <w:r>
        <w:rPr>
          <w:rFonts w:hint="eastAsia" w:ascii="仿宋" w:hAnsi="仿宋" w:eastAsia="仿宋" w:cs="仿宋"/>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rPr>
        <w:t>详见招标文件第四部分“评标办法”。</w:t>
      </w:r>
      <w:r>
        <w:rPr>
          <w:rFonts w:hint="eastAsia" w:ascii="仿宋" w:hAnsi="仿宋" w:eastAsia="仿宋" w:cs="仿宋"/>
          <w:bCs/>
        </w:rPr>
        <w:t>评标委员会由采购人代表和评审专家组成，成员人数应当为5人以上单数，其中评审专家不得少于成员总数的三分之二。</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六、定标</w:t>
      </w:r>
    </w:p>
    <w:p>
      <w:pPr>
        <w:pStyle w:val="149"/>
        <w:spacing w:before="0"/>
        <w:ind w:firstLine="482"/>
        <w:rPr>
          <w:rFonts w:hint="eastAsia" w:ascii="仿宋" w:hAnsi="仿宋" w:eastAsia="仿宋" w:cs="仿宋"/>
          <w:b/>
        </w:rPr>
      </w:pPr>
      <w:r>
        <w:rPr>
          <w:rFonts w:hint="eastAsia" w:ascii="仿宋" w:hAnsi="仿宋" w:eastAsia="仿宋" w:cs="仿宋"/>
          <w:b/>
        </w:rPr>
        <w:t>22. 确定</w:t>
      </w:r>
      <w:r>
        <w:rPr>
          <w:rFonts w:hint="eastAsia" w:ascii="仿宋" w:hAnsi="仿宋" w:eastAsia="仿宋" w:cs="仿宋"/>
          <w:b/>
          <w:szCs w:val="24"/>
        </w:rPr>
        <w:t>中标</w:t>
      </w:r>
      <w:r>
        <w:rPr>
          <w:rFonts w:hint="eastAsia" w:ascii="仿宋" w:hAnsi="仿宋" w:eastAsia="仿宋" w:cs="仿宋"/>
          <w:b/>
        </w:rPr>
        <w:t>供应商</w:t>
      </w:r>
    </w:p>
    <w:p>
      <w:pPr>
        <w:pStyle w:val="149"/>
        <w:snapToGrid w:val="0"/>
        <w:spacing w:before="0"/>
        <w:ind w:firstLine="480"/>
        <w:rPr>
          <w:rFonts w:hint="eastAsia" w:ascii="仿宋" w:hAnsi="仿宋" w:eastAsia="仿宋" w:cs="仿宋"/>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49"/>
        <w:spacing w:before="0"/>
        <w:ind w:firstLine="482"/>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149"/>
        <w:spacing w:before="0"/>
        <w:ind w:firstLine="482"/>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149"/>
        <w:spacing w:before="0"/>
        <w:ind w:firstLine="482"/>
        <w:rPr>
          <w:rFonts w:hint="eastAsia" w:ascii="仿宋" w:hAnsi="仿宋" w:eastAsia="仿宋" w:cs="仿宋"/>
          <w:b/>
        </w:rPr>
      </w:pPr>
      <w:r>
        <w:rPr>
          <w:rFonts w:hint="eastAsia" w:ascii="仿宋" w:hAnsi="仿宋" w:eastAsia="仿宋" w:cs="仿宋"/>
          <w:b/>
        </w:rPr>
        <w:t>25. 合同的签订</w:t>
      </w:r>
    </w:p>
    <w:p>
      <w:pPr>
        <w:pStyle w:val="149"/>
        <w:snapToGrid w:val="0"/>
        <w:spacing w:before="0"/>
        <w:ind w:firstLine="480"/>
        <w:rPr>
          <w:rFonts w:hint="eastAsia" w:ascii="仿宋" w:hAnsi="仿宋" w:eastAsia="仿宋" w:cs="仿宋"/>
          <w:kern w:val="0"/>
        </w:rPr>
      </w:pPr>
      <w:r>
        <w:rPr>
          <w:rFonts w:hint="eastAsia" w:ascii="仿宋" w:hAnsi="仿宋" w:eastAsia="仿宋" w:cs="仿宋"/>
          <w:kern w:val="0"/>
          <w:lang w:val="zh-CN"/>
        </w:rPr>
        <w:t>25.1采购人与中标人应当通过电子交易平台在中标通知书发出之日起三十日内，按照招标文件确定的事项签订政府采购合同，并在合同签订之日起2个工作日内依法发布合同公告。</w:t>
      </w:r>
    </w:p>
    <w:p>
      <w:pPr>
        <w:pStyle w:val="149"/>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49"/>
        <w:snapToGrid w:val="0"/>
        <w:ind w:firstLine="480"/>
        <w:rPr>
          <w:rFonts w:hint="eastAsia" w:ascii="仿宋" w:hAnsi="仿宋" w:eastAsia="仿宋" w:cs="仿宋"/>
        </w:rPr>
      </w:pPr>
      <w:r>
        <w:rPr>
          <w:rFonts w:hint="eastAsia" w:ascii="仿宋" w:hAnsi="仿宋" w:eastAsia="仿宋" w:cs="仿宋"/>
        </w:rPr>
        <w:t>25.3中标供应商拒绝与采购人签订合同的，采购人可以按照评审报告推荐的中标或者成交候选人名单排序，确定下一候选人为中标供应商，也可以重新开展政府采购活动。</w:t>
      </w:r>
    </w:p>
    <w:p>
      <w:pPr>
        <w:pStyle w:val="149"/>
        <w:snapToGrid w:val="0"/>
        <w:spacing w:before="0"/>
        <w:ind w:firstLine="480"/>
        <w:rPr>
          <w:rFonts w:hint="eastAsia" w:ascii="仿宋" w:hAnsi="仿宋" w:eastAsia="仿宋" w:cs="仿宋"/>
        </w:rPr>
      </w:pPr>
      <w:r>
        <w:rPr>
          <w:rFonts w:hint="eastAsia" w:ascii="仿宋" w:hAnsi="仿宋" w:eastAsia="仿宋" w:cs="仿宋"/>
        </w:rPr>
        <w:t>25.4采购合同由采购人与中标供应商根据招标文件、投标文件等内容通过政府采购电子交易平台在线签订，自动备案。</w:t>
      </w:r>
    </w:p>
    <w:p>
      <w:pPr>
        <w:pStyle w:val="149"/>
        <w:spacing w:before="0"/>
        <w:ind w:firstLine="482"/>
        <w:rPr>
          <w:rFonts w:hint="eastAsia" w:ascii="仿宋" w:hAnsi="仿宋" w:eastAsia="仿宋" w:cs="仿宋"/>
          <w:b/>
        </w:rPr>
      </w:pPr>
      <w:r>
        <w:rPr>
          <w:rFonts w:hint="eastAsia" w:ascii="仿宋" w:hAnsi="仿宋" w:eastAsia="仿宋" w:cs="仿宋"/>
          <w:b/>
        </w:rPr>
        <w:t xml:space="preserve">26. </w:t>
      </w:r>
      <w:r>
        <w:rPr>
          <w:rFonts w:hint="eastAsia" w:ascii="仿宋" w:hAnsi="仿宋" w:eastAsia="仿宋" w:cs="仿宋"/>
          <w:b/>
          <w:szCs w:val="24"/>
        </w:rPr>
        <w:t>履约</w:t>
      </w:r>
      <w:r>
        <w:rPr>
          <w:rFonts w:hint="eastAsia" w:ascii="仿宋" w:hAnsi="仿宋" w:eastAsia="仿宋" w:cs="仿宋"/>
          <w:b/>
        </w:rPr>
        <w:t>保证金</w:t>
      </w:r>
    </w:p>
    <w:p>
      <w:pPr>
        <w:pStyle w:val="149"/>
        <w:snapToGrid w:val="0"/>
        <w:spacing w:before="0"/>
        <w:ind w:firstLine="480"/>
        <w:rPr>
          <w:rFonts w:hint="eastAsia" w:ascii="仿宋" w:hAnsi="仿宋" w:eastAsia="仿宋" w:cs="仿宋"/>
        </w:rPr>
      </w:pPr>
      <w:r>
        <w:rPr>
          <w:rFonts w:hint="eastAsia" w:ascii="仿宋" w:hAnsi="仿宋" w:eastAsia="仿宋" w:cs="仿宋"/>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49"/>
        <w:spacing w:before="0"/>
        <w:ind w:firstLine="482"/>
        <w:rPr>
          <w:rFonts w:hint="eastAsia" w:ascii="仿宋" w:hAnsi="仿宋" w:eastAsia="仿宋" w:cs="仿宋"/>
        </w:rPr>
      </w:pPr>
      <w:r>
        <w:rPr>
          <w:rFonts w:hint="eastAsia" w:ascii="仿宋" w:hAnsi="仿宋" w:eastAsia="仿宋" w:cs="仿宋"/>
          <w:b/>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49"/>
        <w:snapToGrid w:val="0"/>
        <w:spacing w:before="0"/>
        <w:ind w:firstLine="480"/>
        <w:rPr>
          <w:rFonts w:hint="eastAsia" w:ascii="仿宋" w:hAnsi="仿宋" w:eastAsia="仿宋" w:cs="仿宋"/>
        </w:rPr>
      </w:pPr>
      <w:r>
        <w:rPr>
          <w:rFonts w:hint="eastAsia" w:ascii="仿宋" w:hAnsi="仿宋" w:eastAsia="仿宋" w:cs="仿宋"/>
        </w:rPr>
        <w:t>27.1电子交易平台发生故障而无法登录访问的；</w:t>
      </w:r>
    </w:p>
    <w:p>
      <w:pPr>
        <w:pStyle w:val="149"/>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49"/>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49"/>
        <w:snapToGrid w:val="0"/>
        <w:spacing w:before="0"/>
        <w:ind w:firstLine="480"/>
        <w:rPr>
          <w:rFonts w:hint="eastAsia" w:ascii="仿宋" w:hAnsi="仿宋" w:eastAsia="仿宋" w:cs="仿宋"/>
        </w:rPr>
      </w:pPr>
      <w:r>
        <w:rPr>
          <w:rFonts w:hint="eastAsia" w:ascii="仿宋" w:hAnsi="仿宋" w:eastAsia="仿宋" w:cs="仿宋"/>
        </w:rPr>
        <w:t>27.4病毒发作导致不能进行正常操作的；</w:t>
      </w:r>
    </w:p>
    <w:p>
      <w:pPr>
        <w:pStyle w:val="149"/>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49"/>
        <w:spacing w:before="0"/>
        <w:ind w:firstLine="482"/>
        <w:rPr>
          <w:rFonts w:hint="eastAsia" w:ascii="仿宋" w:hAnsi="仿宋" w:eastAsia="仿宋" w:cs="仿宋"/>
          <w:b/>
          <w:sz w:val="32"/>
        </w:rPr>
      </w:pPr>
      <w:r>
        <w:rPr>
          <w:rFonts w:hint="eastAsia" w:ascii="仿宋" w:hAnsi="仿宋" w:eastAsia="仿宋" w:cs="仿宋"/>
          <w:b/>
          <w:szCs w:val="24"/>
        </w:rPr>
        <w:t>28</w:t>
      </w:r>
      <w:r>
        <w:rPr>
          <w:rFonts w:hint="eastAsia" w:ascii="仿宋" w:hAnsi="仿宋" w:eastAsia="仿宋" w:cs="仿宋"/>
          <w:b/>
        </w:rPr>
        <w:t>.</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149"/>
        <w:spacing w:before="0"/>
        <w:ind w:firstLine="482"/>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3"/>
    <w:p>
      <w:pPr>
        <w:spacing w:line="360" w:lineRule="auto"/>
        <w:jc w:val="center"/>
        <w:outlineLvl w:val="0"/>
        <w:rPr>
          <w:rFonts w:hint="eastAsia" w:ascii="仿宋" w:hAnsi="仿宋" w:eastAsia="仿宋" w:cs="仿宋"/>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7"/>
    <w:bookmarkEnd w:id="18"/>
    <w:p>
      <w:pPr>
        <w:spacing w:line="360" w:lineRule="auto"/>
        <w:jc w:val="center"/>
        <w:outlineLvl w:val="0"/>
        <w:rPr>
          <w:rFonts w:hint="eastAsia" w:ascii="仿宋" w:hAnsi="仿宋" w:eastAsia="仿宋" w:cs="仿宋"/>
          <w:bCs/>
          <w:sz w:val="32"/>
        </w:rPr>
      </w:pPr>
      <w:bookmarkStart w:id="44" w:name="第四部分"/>
      <w:bookmarkStart w:id="45" w:name="_Toc4460"/>
      <w:bookmarkStart w:id="46" w:name="_Toc302396120"/>
      <w:r>
        <w:rPr>
          <w:rFonts w:hint="eastAsia" w:ascii="仿宋" w:hAnsi="仿宋" w:eastAsia="仿宋" w:cs="仿宋"/>
          <w:b/>
          <w:sz w:val="36"/>
          <w:szCs w:val="36"/>
        </w:rPr>
        <w:t>第三部分</w:t>
      </w:r>
      <w:bookmarkStart w:id="47" w:name="_Toc184308054"/>
      <w:bookmarkEnd w:id="47"/>
      <w:bookmarkStart w:id="48" w:name="_Toc184308104"/>
      <w:bookmarkEnd w:id="48"/>
      <w:bookmarkStart w:id="49" w:name="_Toc184312080"/>
      <w:bookmarkEnd w:id="49"/>
      <w:bookmarkStart w:id="50" w:name="_Toc184308105"/>
      <w:bookmarkEnd w:id="50"/>
      <w:bookmarkStart w:id="51" w:name="_Toc184313249"/>
      <w:bookmarkEnd w:id="51"/>
      <w:bookmarkStart w:id="52" w:name="_Toc184308055"/>
      <w:bookmarkEnd w:id="52"/>
      <w:bookmarkStart w:id="53" w:name="_Toc184314411"/>
      <w:bookmarkEnd w:id="53"/>
      <w:bookmarkStart w:id="54" w:name="_Toc184312123"/>
      <w:bookmarkEnd w:id="54"/>
      <w:bookmarkStart w:id="55" w:name="_Toc184312115"/>
      <w:bookmarkEnd w:id="55"/>
      <w:bookmarkStart w:id="56" w:name="_Toc184308069"/>
      <w:bookmarkEnd w:id="56"/>
      <w:bookmarkStart w:id="57" w:name="_Toc184312121"/>
      <w:bookmarkEnd w:id="57"/>
      <w:bookmarkStart w:id="58" w:name="_Toc184312090"/>
      <w:bookmarkEnd w:id="58"/>
      <w:bookmarkStart w:id="59" w:name="_Toc184310294"/>
      <w:bookmarkEnd w:id="59"/>
      <w:bookmarkStart w:id="60" w:name="_Toc184313252"/>
      <w:bookmarkEnd w:id="60"/>
      <w:bookmarkStart w:id="61" w:name="_Toc184308045"/>
      <w:bookmarkEnd w:id="61"/>
      <w:bookmarkStart w:id="62" w:name="_Toc184314451"/>
      <w:bookmarkEnd w:id="62"/>
      <w:bookmarkStart w:id="63" w:name="_Toc184310320"/>
      <w:bookmarkEnd w:id="63"/>
      <w:bookmarkStart w:id="64" w:name="_Toc184314427"/>
      <w:bookmarkEnd w:id="64"/>
      <w:bookmarkStart w:id="65" w:name="_Toc184314425"/>
      <w:bookmarkEnd w:id="65"/>
      <w:bookmarkStart w:id="66" w:name="_Toc184314421"/>
      <w:bookmarkEnd w:id="66"/>
      <w:bookmarkStart w:id="67" w:name="_Toc184313296"/>
      <w:bookmarkEnd w:id="67"/>
      <w:bookmarkStart w:id="68" w:name="_Toc184314474"/>
      <w:bookmarkEnd w:id="68"/>
      <w:bookmarkStart w:id="69" w:name="_Toc184314438"/>
      <w:bookmarkEnd w:id="69"/>
      <w:bookmarkStart w:id="70" w:name="_Toc184313256"/>
      <w:bookmarkEnd w:id="70"/>
      <w:bookmarkStart w:id="71" w:name="_Toc184313299"/>
      <w:bookmarkEnd w:id="71"/>
      <w:bookmarkStart w:id="72" w:name="_Toc184313275"/>
      <w:bookmarkEnd w:id="72"/>
      <w:bookmarkStart w:id="73" w:name="_Toc184314420"/>
      <w:bookmarkEnd w:id="73"/>
      <w:bookmarkStart w:id="74" w:name="_Toc184308079"/>
      <w:bookmarkEnd w:id="74"/>
      <w:bookmarkStart w:id="75" w:name="_Toc184313262"/>
      <w:bookmarkEnd w:id="75"/>
      <w:bookmarkStart w:id="76" w:name="_Toc184310292"/>
      <w:bookmarkEnd w:id="76"/>
      <w:bookmarkStart w:id="77" w:name="_Toc184313264"/>
      <w:bookmarkEnd w:id="77"/>
      <w:bookmarkStart w:id="78" w:name="_Toc184314473"/>
      <w:bookmarkEnd w:id="78"/>
      <w:bookmarkStart w:id="79" w:name="_Toc184310282"/>
      <w:bookmarkEnd w:id="79"/>
      <w:bookmarkStart w:id="80" w:name="_Toc184314464"/>
      <w:bookmarkEnd w:id="80"/>
      <w:bookmarkStart w:id="81" w:name="_Toc184313289"/>
      <w:bookmarkEnd w:id="81"/>
      <w:bookmarkStart w:id="82" w:name="_Toc184314443"/>
      <w:bookmarkEnd w:id="82"/>
      <w:bookmarkStart w:id="83" w:name="_Toc184308089"/>
      <w:bookmarkEnd w:id="83"/>
      <w:bookmarkStart w:id="84" w:name="_Toc184314413"/>
      <w:bookmarkEnd w:id="84"/>
      <w:bookmarkStart w:id="85" w:name="_Toc184313270"/>
      <w:bookmarkEnd w:id="85"/>
      <w:bookmarkStart w:id="86" w:name="_Toc184313310"/>
      <w:bookmarkEnd w:id="86"/>
      <w:bookmarkStart w:id="87" w:name="_Toc184312118"/>
      <w:bookmarkEnd w:id="87"/>
      <w:bookmarkStart w:id="88" w:name="_Toc184308097"/>
      <w:bookmarkEnd w:id="88"/>
      <w:bookmarkStart w:id="89" w:name="_Toc184310307"/>
      <w:bookmarkEnd w:id="89"/>
      <w:bookmarkStart w:id="90" w:name="_Toc184310318"/>
      <w:bookmarkEnd w:id="90"/>
      <w:bookmarkStart w:id="91" w:name="_Toc184314481"/>
      <w:bookmarkEnd w:id="91"/>
      <w:bookmarkStart w:id="92" w:name="_Toc184308043"/>
      <w:bookmarkEnd w:id="92"/>
      <w:bookmarkStart w:id="93" w:name="_Toc184308082"/>
      <w:bookmarkEnd w:id="93"/>
      <w:bookmarkStart w:id="94" w:name="_Toc184312107"/>
      <w:bookmarkEnd w:id="94"/>
      <w:bookmarkStart w:id="95" w:name="_Toc184312084"/>
      <w:bookmarkEnd w:id="95"/>
      <w:bookmarkStart w:id="96" w:name="_Toc184310322"/>
      <w:bookmarkEnd w:id="96"/>
      <w:bookmarkStart w:id="97" w:name="_Toc184312125"/>
      <w:bookmarkEnd w:id="97"/>
      <w:bookmarkStart w:id="98" w:name="_Toc184308088"/>
      <w:bookmarkEnd w:id="98"/>
      <w:bookmarkStart w:id="99" w:name="_Toc184313246"/>
      <w:bookmarkEnd w:id="99"/>
      <w:bookmarkStart w:id="100" w:name="_Toc184312071"/>
      <w:bookmarkEnd w:id="100"/>
      <w:bookmarkStart w:id="101" w:name="_Toc184312122"/>
      <w:bookmarkEnd w:id="101"/>
      <w:bookmarkStart w:id="102" w:name="_Toc184312085"/>
      <w:bookmarkEnd w:id="102"/>
      <w:bookmarkStart w:id="103" w:name="_Toc184310343"/>
      <w:bookmarkEnd w:id="103"/>
      <w:bookmarkStart w:id="104" w:name="_Toc184310305"/>
      <w:bookmarkEnd w:id="104"/>
      <w:bookmarkStart w:id="105" w:name="_Toc184308046"/>
      <w:bookmarkEnd w:id="105"/>
      <w:bookmarkStart w:id="106" w:name="_Toc184314467"/>
      <w:bookmarkEnd w:id="106"/>
      <w:bookmarkStart w:id="107" w:name="_Toc184313291"/>
      <w:bookmarkEnd w:id="107"/>
      <w:bookmarkStart w:id="108" w:name="_Toc184313287"/>
      <w:bookmarkEnd w:id="108"/>
      <w:bookmarkStart w:id="109" w:name="_Toc184310335"/>
      <w:bookmarkEnd w:id="109"/>
      <w:bookmarkStart w:id="110" w:name="_Toc184308064"/>
      <w:bookmarkEnd w:id="110"/>
      <w:bookmarkStart w:id="111" w:name="_Toc184313266"/>
      <w:bookmarkEnd w:id="111"/>
      <w:bookmarkStart w:id="112" w:name="_Toc184308068"/>
      <w:bookmarkEnd w:id="112"/>
      <w:bookmarkStart w:id="113" w:name="_Toc184310291"/>
      <w:bookmarkEnd w:id="113"/>
      <w:bookmarkStart w:id="114" w:name="_Toc184314414"/>
      <w:bookmarkEnd w:id="114"/>
      <w:bookmarkStart w:id="115" w:name="_Toc184312089"/>
      <w:bookmarkEnd w:id="115"/>
      <w:bookmarkStart w:id="116" w:name="_Toc184308102"/>
      <w:bookmarkEnd w:id="116"/>
      <w:bookmarkStart w:id="117" w:name="_Toc184310298"/>
      <w:bookmarkEnd w:id="117"/>
      <w:bookmarkStart w:id="118" w:name="_Toc184308062"/>
      <w:bookmarkEnd w:id="118"/>
      <w:bookmarkStart w:id="119" w:name="_Toc184310332"/>
      <w:bookmarkEnd w:id="119"/>
      <w:bookmarkStart w:id="120" w:name="_Toc184313277"/>
      <w:bookmarkEnd w:id="120"/>
      <w:bookmarkStart w:id="121" w:name="_Toc184312073"/>
      <w:bookmarkEnd w:id="121"/>
      <w:bookmarkStart w:id="122" w:name="_Toc184314422"/>
      <w:bookmarkEnd w:id="122"/>
      <w:bookmarkStart w:id="123" w:name="_Toc184308042"/>
      <w:bookmarkEnd w:id="123"/>
      <w:bookmarkStart w:id="124" w:name="_Toc184312083"/>
      <w:bookmarkEnd w:id="124"/>
      <w:bookmarkStart w:id="125" w:name="_Toc184312126"/>
      <w:bookmarkEnd w:id="125"/>
      <w:bookmarkStart w:id="126" w:name="_Toc184314436"/>
      <w:bookmarkEnd w:id="126"/>
      <w:bookmarkStart w:id="127" w:name="_Toc184312093"/>
      <w:bookmarkEnd w:id="127"/>
      <w:bookmarkStart w:id="128" w:name="_Toc184314458"/>
      <w:bookmarkEnd w:id="128"/>
      <w:bookmarkStart w:id="129" w:name="_Toc184313261"/>
      <w:bookmarkEnd w:id="129"/>
      <w:bookmarkStart w:id="130" w:name="_Toc184308041"/>
      <w:bookmarkEnd w:id="130"/>
      <w:bookmarkStart w:id="131" w:name="_Toc184312120"/>
      <w:bookmarkEnd w:id="131"/>
      <w:bookmarkStart w:id="132" w:name="_Toc184313285"/>
      <w:bookmarkEnd w:id="132"/>
      <w:bookmarkStart w:id="133" w:name="_Toc184313268"/>
      <w:bookmarkEnd w:id="133"/>
      <w:bookmarkStart w:id="134" w:name="_Toc184310293"/>
      <w:bookmarkEnd w:id="134"/>
      <w:bookmarkStart w:id="135" w:name="_Toc184310314"/>
      <w:bookmarkEnd w:id="135"/>
      <w:bookmarkStart w:id="136" w:name="_Toc184312114"/>
      <w:bookmarkEnd w:id="136"/>
      <w:bookmarkStart w:id="137" w:name="_Toc184314466"/>
      <w:bookmarkEnd w:id="137"/>
      <w:bookmarkStart w:id="138" w:name="_Toc184310310"/>
      <w:bookmarkEnd w:id="138"/>
      <w:bookmarkStart w:id="139" w:name="_Toc184314423"/>
      <w:bookmarkEnd w:id="139"/>
      <w:bookmarkStart w:id="140" w:name="_Toc184313242"/>
      <w:bookmarkEnd w:id="140"/>
      <w:bookmarkStart w:id="141" w:name="_Toc184314442"/>
      <w:bookmarkEnd w:id="141"/>
      <w:bookmarkStart w:id="142" w:name="_Toc184314441"/>
      <w:bookmarkEnd w:id="142"/>
      <w:bookmarkStart w:id="143" w:name="_Toc184314461"/>
      <w:bookmarkEnd w:id="143"/>
      <w:bookmarkStart w:id="144" w:name="_Toc184314470"/>
      <w:bookmarkEnd w:id="144"/>
      <w:bookmarkStart w:id="145" w:name="_Toc184314449"/>
      <w:bookmarkEnd w:id="145"/>
      <w:bookmarkStart w:id="146" w:name="_Toc184313267"/>
      <w:bookmarkEnd w:id="146"/>
      <w:bookmarkStart w:id="147" w:name="_Toc184313278"/>
      <w:bookmarkEnd w:id="147"/>
      <w:bookmarkStart w:id="148" w:name="_Toc184310319"/>
      <w:bookmarkEnd w:id="148"/>
      <w:bookmarkStart w:id="149" w:name="_Toc184314448"/>
      <w:bookmarkEnd w:id="149"/>
      <w:bookmarkStart w:id="150" w:name="_Toc184312103"/>
      <w:bookmarkEnd w:id="150"/>
      <w:bookmarkStart w:id="151" w:name="_Toc184312109"/>
      <w:bookmarkEnd w:id="151"/>
      <w:bookmarkStart w:id="152" w:name="_Toc184314468"/>
      <w:bookmarkEnd w:id="152"/>
      <w:bookmarkStart w:id="153" w:name="_Toc184312102"/>
      <w:bookmarkEnd w:id="153"/>
      <w:bookmarkStart w:id="154" w:name="_Toc184314453"/>
      <w:bookmarkEnd w:id="154"/>
      <w:bookmarkStart w:id="155" w:name="_Toc184314462"/>
      <w:bookmarkEnd w:id="155"/>
      <w:bookmarkStart w:id="156" w:name="_Toc184313253"/>
      <w:bookmarkEnd w:id="156"/>
      <w:bookmarkStart w:id="157" w:name="_Toc184308075"/>
      <w:bookmarkEnd w:id="157"/>
      <w:bookmarkStart w:id="158" w:name="_Toc184313301"/>
      <w:bookmarkEnd w:id="158"/>
      <w:bookmarkStart w:id="159" w:name="_Toc184313244"/>
      <w:bookmarkEnd w:id="159"/>
      <w:bookmarkStart w:id="160" w:name="_Toc184310327"/>
      <w:bookmarkEnd w:id="160"/>
      <w:bookmarkStart w:id="161" w:name="_Toc184314437"/>
      <w:bookmarkEnd w:id="161"/>
      <w:bookmarkStart w:id="162" w:name="_Toc184312079"/>
      <w:bookmarkEnd w:id="162"/>
      <w:bookmarkStart w:id="163" w:name="_Toc184312086"/>
      <w:bookmarkEnd w:id="163"/>
      <w:bookmarkStart w:id="164" w:name="_Toc184308095"/>
      <w:bookmarkEnd w:id="164"/>
      <w:bookmarkStart w:id="165" w:name="_Toc184308048"/>
      <w:bookmarkEnd w:id="165"/>
      <w:bookmarkStart w:id="166" w:name="_Toc184314432"/>
      <w:bookmarkEnd w:id="166"/>
      <w:bookmarkStart w:id="167" w:name="_Toc184308063"/>
      <w:bookmarkEnd w:id="167"/>
      <w:bookmarkStart w:id="168" w:name="_Toc184310275"/>
      <w:bookmarkEnd w:id="168"/>
      <w:bookmarkStart w:id="169" w:name="_Toc184314416"/>
      <w:bookmarkEnd w:id="169"/>
      <w:bookmarkStart w:id="170" w:name="_Toc184310316"/>
      <w:bookmarkEnd w:id="170"/>
      <w:bookmarkStart w:id="171" w:name="_Toc184313286"/>
      <w:bookmarkEnd w:id="171"/>
      <w:bookmarkStart w:id="172" w:name="_Toc184313305"/>
      <w:bookmarkEnd w:id="172"/>
      <w:bookmarkStart w:id="173" w:name="_Toc184310278"/>
      <w:bookmarkEnd w:id="173"/>
      <w:bookmarkStart w:id="174" w:name="_Toc184310299"/>
      <w:bookmarkEnd w:id="174"/>
      <w:bookmarkStart w:id="175" w:name="_Toc184308073"/>
      <w:bookmarkEnd w:id="175"/>
      <w:bookmarkStart w:id="176" w:name="_Toc184314457"/>
      <w:bookmarkEnd w:id="176"/>
      <w:bookmarkStart w:id="177" w:name="_Toc184308090"/>
      <w:bookmarkEnd w:id="177"/>
      <w:bookmarkStart w:id="178" w:name="_Toc184308101"/>
      <w:bookmarkEnd w:id="178"/>
      <w:bookmarkStart w:id="179" w:name="_Toc184308076"/>
      <w:bookmarkEnd w:id="179"/>
      <w:bookmarkStart w:id="180" w:name="_Toc184308053"/>
      <w:bookmarkEnd w:id="180"/>
      <w:bookmarkStart w:id="181" w:name="_Toc184313309"/>
      <w:bookmarkEnd w:id="181"/>
      <w:bookmarkStart w:id="182" w:name="_Toc184312105"/>
      <w:bookmarkEnd w:id="182"/>
      <w:bookmarkStart w:id="183" w:name="_Toc184313279"/>
      <w:bookmarkEnd w:id="183"/>
      <w:bookmarkStart w:id="184" w:name="_Toc184312137"/>
      <w:bookmarkEnd w:id="184"/>
      <w:bookmarkStart w:id="185" w:name="_Toc184310288"/>
      <w:bookmarkEnd w:id="185"/>
      <w:bookmarkStart w:id="186" w:name="_Toc184310336"/>
      <w:bookmarkEnd w:id="186"/>
      <w:bookmarkStart w:id="187" w:name="_Toc184308051"/>
      <w:bookmarkEnd w:id="187"/>
      <w:bookmarkStart w:id="188" w:name="_Toc184310284"/>
      <w:bookmarkEnd w:id="188"/>
      <w:bookmarkStart w:id="189" w:name="_Toc184312124"/>
      <w:bookmarkEnd w:id="189"/>
      <w:bookmarkStart w:id="190" w:name="_Toc184313300"/>
      <w:bookmarkEnd w:id="190"/>
      <w:bookmarkStart w:id="191" w:name="_Toc184310331"/>
      <w:bookmarkEnd w:id="191"/>
      <w:bookmarkStart w:id="192" w:name="_Toc184310324"/>
      <w:bookmarkEnd w:id="192"/>
      <w:bookmarkStart w:id="193" w:name="_Toc184314450"/>
      <w:bookmarkEnd w:id="193"/>
      <w:bookmarkStart w:id="194" w:name="_Toc184313251"/>
      <w:bookmarkEnd w:id="194"/>
      <w:bookmarkStart w:id="195" w:name="_Toc184310337"/>
      <w:bookmarkEnd w:id="195"/>
      <w:bookmarkStart w:id="196" w:name="_Toc184314410"/>
      <w:bookmarkEnd w:id="196"/>
      <w:bookmarkStart w:id="197" w:name="_Toc184310283"/>
      <w:bookmarkEnd w:id="197"/>
      <w:bookmarkStart w:id="198" w:name="_Toc184310300"/>
      <w:bookmarkEnd w:id="198"/>
      <w:bookmarkStart w:id="199" w:name="_Toc184314445"/>
      <w:bookmarkEnd w:id="199"/>
      <w:bookmarkStart w:id="200" w:name="_Toc184310279"/>
      <w:bookmarkEnd w:id="200"/>
      <w:bookmarkStart w:id="201" w:name="_Toc184314446"/>
      <w:bookmarkEnd w:id="201"/>
      <w:bookmarkStart w:id="202" w:name="_Toc184310295"/>
      <w:bookmarkEnd w:id="202"/>
      <w:bookmarkStart w:id="203" w:name="_Toc184313243"/>
      <w:bookmarkEnd w:id="203"/>
      <w:bookmarkStart w:id="204" w:name="_Toc184308050"/>
      <w:bookmarkEnd w:id="204"/>
      <w:bookmarkStart w:id="205" w:name="_Toc184310286"/>
      <w:bookmarkEnd w:id="205"/>
      <w:bookmarkStart w:id="206" w:name="_Toc184310328"/>
      <w:bookmarkEnd w:id="206"/>
      <w:bookmarkStart w:id="207" w:name="_Toc184310341"/>
      <w:bookmarkEnd w:id="207"/>
      <w:bookmarkStart w:id="208" w:name="_Toc184314482"/>
      <w:bookmarkEnd w:id="208"/>
      <w:bookmarkStart w:id="209" w:name="_Toc184308093"/>
      <w:bookmarkEnd w:id="209"/>
      <w:bookmarkStart w:id="210" w:name="_Toc184314476"/>
      <w:bookmarkEnd w:id="210"/>
      <w:bookmarkStart w:id="211" w:name="_Toc184312069"/>
      <w:bookmarkEnd w:id="211"/>
      <w:bookmarkStart w:id="212" w:name="_Toc184312075"/>
      <w:bookmarkEnd w:id="212"/>
      <w:bookmarkStart w:id="213" w:name="_Toc184314418"/>
      <w:bookmarkEnd w:id="213"/>
      <w:bookmarkStart w:id="214" w:name="_Toc184308107"/>
      <w:bookmarkEnd w:id="214"/>
      <w:bookmarkStart w:id="215" w:name="_Toc184314472"/>
      <w:bookmarkEnd w:id="215"/>
      <w:bookmarkStart w:id="216" w:name="_Toc184310287"/>
      <w:bookmarkEnd w:id="216"/>
      <w:bookmarkStart w:id="217" w:name="_Toc184308100"/>
      <w:bookmarkEnd w:id="217"/>
      <w:bookmarkStart w:id="218" w:name="_Toc184314431"/>
      <w:bookmarkEnd w:id="218"/>
      <w:bookmarkStart w:id="219" w:name="_Toc184312129"/>
      <w:bookmarkEnd w:id="219"/>
      <w:bookmarkStart w:id="220" w:name="_Toc184314471"/>
      <w:bookmarkEnd w:id="220"/>
      <w:bookmarkStart w:id="221" w:name="_Toc184313295"/>
      <w:bookmarkEnd w:id="221"/>
      <w:bookmarkStart w:id="222" w:name="_Toc184314428"/>
      <w:bookmarkEnd w:id="222"/>
      <w:bookmarkStart w:id="223" w:name="_Toc184310306"/>
      <w:bookmarkEnd w:id="223"/>
      <w:bookmarkStart w:id="224" w:name="_Toc184314469"/>
      <w:bookmarkEnd w:id="224"/>
      <w:bookmarkStart w:id="225" w:name="_Toc184312094"/>
      <w:bookmarkEnd w:id="225"/>
      <w:bookmarkStart w:id="226" w:name="_Toc184308080"/>
      <w:bookmarkEnd w:id="226"/>
      <w:bookmarkStart w:id="227" w:name="_Toc184312135"/>
      <w:bookmarkEnd w:id="227"/>
      <w:bookmarkStart w:id="228" w:name="_Toc184314459"/>
      <w:bookmarkEnd w:id="228"/>
      <w:bookmarkStart w:id="229" w:name="_Toc184310329"/>
      <w:bookmarkEnd w:id="229"/>
      <w:bookmarkStart w:id="230" w:name="_Toc184312096"/>
      <w:bookmarkEnd w:id="230"/>
      <w:bookmarkStart w:id="231" w:name="_Toc184312110"/>
      <w:bookmarkEnd w:id="231"/>
      <w:bookmarkStart w:id="232" w:name="_Toc184314452"/>
      <w:bookmarkEnd w:id="232"/>
      <w:bookmarkStart w:id="233" w:name="_Toc184313276"/>
      <w:bookmarkEnd w:id="233"/>
      <w:bookmarkStart w:id="234" w:name="_Toc184313302"/>
      <w:bookmarkEnd w:id="234"/>
      <w:bookmarkStart w:id="235" w:name="_Toc184310273"/>
      <w:bookmarkEnd w:id="235"/>
      <w:bookmarkStart w:id="236" w:name="_Toc184308058"/>
      <w:bookmarkEnd w:id="236"/>
      <w:bookmarkStart w:id="237" w:name="_Toc184310321"/>
      <w:bookmarkEnd w:id="237"/>
      <w:bookmarkStart w:id="238" w:name="_Toc184313248"/>
      <w:bookmarkEnd w:id="238"/>
      <w:bookmarkStart w:id="239" w:name="_Toc184314456"/>
      <w:bookmarkEnd w:id="239"/>
      <w:bookmarkStart w:id="240" w:name="_Toc184310303"/>
      <w:bookmarkEnd w:id="240"/>
      <w:bookmarkStart w:id="241" w:name="_Toc184308099"/>
      <w:bookmarkEnd w:id="241"/>
      <w:bookmarkStart w:id="242" w:name="_Toc184308087"/>
      <w:bookmarkEnd w:id="242"/>
      <w:bookmarkStart w:id="243" w:name="_Toc184310311"/>
      <w:bookmarkEnd w:id="243"/>
      <w:bookmarkStart w:id="244" w:name="_Toc184313254"/>
      <w:bookmarkEnd w:id="244"/>
      <w:bookmarkStart w:id="245" w:name="_Toc184308038"/>
      <w:bookmarkEnd w:id="245"/>
      <w:bookmarkStart w:id="246" w:name="_Toc184314424"/>
      <w:bookmarkEnd w:id="246"/>
      <w:bookmarkStart w:id="247" w:name="_Toc184310276"/>
      <w:bookmarkEnd w:id="247"/>
      <w:bookmarkStart w:id="248" w:name="_Toc184312130"/>
      <w:bookmarkEnd w:id="248"/>
      <w:bookmarkStart w:id="249" w:name="_Toc184310290"/>
      <w:bookmarkEnd w:id="249"/>
      <w:bookmarkStart w:id="250" w:name="_Toc184314439"/>
      <w:bookmarkEnd w:id="250"/>
      <w:bookmarkStart w:id="251" w:name="_Toc184313257"/>
      <w:bookmarkEnd w:id="251"/>
      <w:bookmarkStart w:id="252" w:name="_Toc184313259"/>
      <w:bookmarkEnd w:id="252"/>
      <w:bookmarkStart w:id="253" w:name="_Toc184313265"/>
      <w:bookmarkEnd w:id="253"/>
      <w:bookmarkStart w:id="254" w:name="_Toc184308039"/>
      <w:bookmarkEnd w:id="254"/>
      <w:bookmarkStart w:id="255" w:name="_Toc184308106"/>
      <w:bookmarkEnd w:id="255"/>
      <w:bookmarkStart w:id="256" w:name="_Toc184313284"/>
      <w:bookmarkEnd w:id="256"/>
      <w:bookmarkStart w:id="257" w:name="_Toc184313283"/>
      <w:bookmarkEnd w:id="257"/>
      <w:bookmarkStart w:id="258" w:name="_Toc184313269"/>
      <w:bookmarkEnd w:id="258"/>
      <w:bookmarkStart w:id="259" w:name="_Toc184308065"/>
      <w:bookmarkEnd w:id="259"/>
      <w:bookmarkStart w:id="260" w:name="_Toc184312139"/>
      <w:bookmarkEnd w:id="260"/>
      <w:bookmarkStart w:id="261" w:name="_Toc184310313"/>
      <w:bookmarkEnd w:id="261"/>
      <w:bookmarkStart w:id="262" w:name="_Toc184314429"/>
      <w:bookmarkEnd w:id="262"/>
      <w:bookmarkStart w:id="263" w:name="_Toc184310296"/>
      <w:bookmarkEnd w:id="263"/>
      <w:bookmarkStart w:id="264" w:name="_Toc184314479"/>
      <w:bookmarkEnd w:id="264"/>
      <w:bookmarkStart w:id="265" w:name="_Toc184313298"/>
      <w:bookmarkEnd w:id="265"/>
      <w:bookmarkStart w:id="266" w:name="_Toc184312112"/>
      <w:bookmarkEnd w:id="266"/>
      <w:bookmarkStart w:id="267" w:name="_Toc184308108"/>
      <w:bookmarkEnd w:id="267"/>
      <w:bookmarkStart w:id="268" w:name="_Toc184310317"/>
      <w:bookmarkEnd w:id="268"/>
      <w:bookmarkStart w:id="269" w:name="_Toc184314455"/>
      <w:bookmarkEnd w:id="269"/>
      <w:bookmarkStart w:id="270" w:name="_Toc184312078"/>
      <w:bookmarkEnd w:id="270"/>
      <w:bookmarkStart w:id="271" w:name="_Toc184310285"/>
      <w:bookmarkEnd w:id="271"/>
      <w:bookmarkStart w:id="272" w:name="_Toc184313306"/>
      <w:bookmarkEnd w:id="272"/>
      <w:bookmarkStart w:id="273" w:name="_Toc184313274"/>
      <w:bookmarkEnd w:id="273"/>
      <w:bookmarkStart w:id="274" w:name="_Toc184310342"/>
      <w:bookmarkEnd w:id="274"/>
      <w:bookmarkStart w:id="275" w:name="_Toc184308072"/>
      <w:bookmarkEnd w:id="275"/>
      <w:bookmarkStart w:id="276" w:name="_Toc184312106"/>
      <w:bookmarkEnd w:id="276"/>
      <w:bookmarkStart w:id="277" w:name="_Toc184312074"/>
      <w:bookmarkEnd w:id="277"/>
      <w:bookmarkStart w:id="278" w:name="_Toc184314415"/>
      <w:bookmarkEnd w:id="278"/>
      <w:bookmarkStart w:id="279" w:name="_Toc184313250"/>
      <w:bookmarkEnd w:id="279"/>
      <w:bookmarkStart w:id="280" w:name="_Toc184310289"/>
      <w:bookmarkEnd w:id="280"/>
      <w:bookmarkStart w:id="281" w:name="_Toc184314426"/>
      <w:bookmarkEnd w:id="281"/>
      <w:bookmarkStart w:id="282" w:name="_Toc184313280"/>
      <w:bookmarkEnd w:id="282"/>
      <w:bookmarkStart w:id="283" w:name="_Toc184313292"/>
      <w:bookmarkEnd w:id="283"/>
      <w:bookmarkStart w:id="284" w:name="_Toc184314434"/>
      <w:bookmarkEnd w:id="284"/>
      <w:bookmarkStart w:id="285" w:name="_Toc184312098"/>
      <w:bookmarkEnd w:id="285"/>
      <w:bookmarkStart w:id="286" w:name="_Toc184310325"/>
      <w:bookmarkEnd w:id="286"/>
      <w:bookmarkStart w:id="287" w:name="_Toc184312127"/>
      <w:bookmarkEnd w:id="287"/>
      <w:bookmarkStart w:id="288" w:name="_Toc184308047"/>
      <w:bookmarkEnd w:id="288"/>
      <w:bookmarkStart w:id="289" w:name="_Toc184313273"/>
      <w:bookmarkEnd w:id="289"/>
      <w:bookmarkStart w:id="290" w:name="_Toc184312131"/>
      <w:bookmarkEnd w:id="290"/>
      <w:bookmarkStart w:id="291" w:name="_Toc184310274"/>
      <w:bookmarkEnd w:id="291"/>
      <w:bookmarkStart w:id="292" w:name="_Toc184310309"/>
      <w:bookmarkEnd w:id="292"/>
      <w:bookmarkStart w:id="293" w:name="_Toc184312092"/>
      <w:bookmarkEnd w:id="293"/>
      <w:bookmarkStart w:id="294" w:name="_Toc184308092"/>
      <w:bookmarkEnd w:id="294"/>
      <w:bookmarkStart w:id="295" w:name="_Toc184314454"/>
      <w:bookmarkEnd w:id="295"/>
      <w:bookmarkStart w:id="296" w:name="_Toc184313293"/>
      <w:bookmarkEnd w:id="296"/>
      <w:bookmarkStart w:id="297" w:name="_Toc184314477"/>
      <w:bookmarkEnd w:id="297"/>
      <w:bookmarkStart w:id="298" w:name="_Toc184312072"/>
      <w:bookmarkEnd w:id="298"/>
      <w:bookmarkStart w:id="299" w:name="_Toc184308066"/>
      <w:bookmarkEnd w:id="299"/>
      <w:bookmarkStart w:id="300" w:name="_Toc184312104"/>
      <w:bookmarkEnd w:id="300"/>
      <w:bookmarkStart w:id="301" w:name="_Toc184312070"/>
      <w:bookmarkEnd w:id="301"/>
      <w:bookmarkStart w:id="302" w:name="_Toc184312136"/>
      <w:bookmarkEnd w:id="302"/>
      <w:bookmarkStart w:id="303" w:name="_Toc184313271"/>
      <w:bookmarkEnd w:id="303"/>
      <w:bookmarkStart w:id="304" w:name="_Toc184314433"/>
      <w:bookmarkEnd w:id="304"/>
      <w:bookmarkStart w:id="305" w:name="_Toc184312132"/>
      <w:bookmarkEnd w:id="305"/>
      <w:bookmarkStart w:id="306" w:name="_Toc184312081"/>
      <w:bookmarkEnd w:id="306"/>
      <w:bookmarkStart w:id="307" w:name="_Toc184313297"/>
      <w:bookmarkEnd w:id="307"/>
      <w:bookmarkStart w:id="308" w:name="_Toc184310272"/>
      <w:bookmarkEnd w:id="308"/>
      <w:bookmarkStart w:id="309" w:name="_Toc184310315"/>
      <w:bookmarkEnd w:id="309"/>
      <w:bookmarkStart w:id="310" w:name="_Toc184313307"/>
      <w:bookmarkEnd w:id="310"/>
      <w:bookmarkStart w:id="311" w:name="_Toc184312113"/>
      <w:bookmarkEnd w:id="311"/>
      <w:bookmarkStart w:id="312" w:name="_Toc184308085"/>
      <w:bookmarkEnd w:id="312"/>
      <w:bookmarkStart w:id="313" w:name="_Toc184308084"/>
      <w:bookmarkEnd w:id="313"/>
      <w:bookmarkStart w:id="314" w:name="_Toc184308067"/>
      <w:bookmarkEnd w:id="314"/>
      <w:bookmarkStart w:id="315" w:name="_Toc184312117"/>
      <w:bookmarkEnd w:id="315"/>
      <w:bookmarkStart w:id="316" w:name="_Toc184314417"/>
      <w:bookmarkEnd w:id="316"/>
      <w:bookmarkStart w:id="317" w:name="_Toc184308070"/>
      <w:bookmarkEnd w:id="317"/>
      <w:bookmarkStart w:id="318" w:name="_Toc184313294"/>
      <w:bookmarkEnd w:id="318"/>
      <w:bookmarkStart w:id="319" w:name="_Toc184314435"/>
      <w:bookmarkEnd w:id="319"/>
      <w:bookmarkStart w:id="320" w:name="_Toc184310330"/>
      <w:bookmarkEnd w:id="320"/>
      <w:bookmarkStart w:id="321" w:name="_Toc184313238"/>
      <w:bookmarkEnd w:id="321"/>
      <w:bookmarkStart w:id="322" w:name="_Toc184310344"/>
      <w:bookmarkEnd w:id="322"/>
      <w:bookmarkStart w:id="323" w:name="_Toc184314463"/>
      <w:bookmarkEnd w:id="323"/>
      <w:bookmarkStart w:id="324" w:name="_Toc184312077"/>
      <w:bookmarkEnd w:id="324"/>
      <w:bookmarkStart w:id="325" w:name="_Toc184308036"/>
      <w:bookmarkEnd w:id="325"/>
      <w:bookmarkStart w:id="326" w:name="_Toc184313247"/>
      <w:bookmarkEnd w:id="326"/>
      <w:bookmarkStart w:id="327" w:name="_Toc184313304"/>
      <w:bookmarkEnd w:id="327"/>
      <w:bookmarkStart w:id="328" w:name="_Toc184314447"/>
      <w:bookmarkEnd w:id="328"/>
      <w:bookmarkStart w:id="329" w:name="_Toc184308056"/>
      <w:bookmarkEnd w:id="329"/>
      <w:bookmarkStart w:id="330" w:name="_Toc184312067"/>
      <w:bookmarkEnd w:id="330"/>
      <w:bookmarkStart w:id="331" w:name="_Toc184312128"/>
      <w:bookmarkEnd w:id="331"/>
      <w:bookmarkStart w:id="332" w:name="_Toc184313303"/>
      <w:bookmarkEnd w:id="332"/>
      <w:bookmarkStart w:id="333" w:name="_Toc184313290"/>
      <w:bookmarkEnd w:id="333"/>
      <w:bookmarkStart w:id="334" w:name="_Toc184312099"/>
      <w:bookmarkEnd w:id="334"/>
      <w:bookmarkStart w:id="335" w:name="_Toc184313308"/>
      <w:bookmarkEnd w:id="335"/>
      <w:bookmarkStart w:id="336" w:name="_Toc184313281"/>
      <w:bookmarkEnd w:id="336"/>
      <w:bookmarkStart w:id="337" w:name="_Toc184308098"/>
      <w:bookmarkEnd w:id="337"/>
      <w:bookmarkStart w:id="338" w:name="_Toc184308103"/>
      <w:bookmarkEnd w:id="338"/>
      <w:bookmarkStart w:id="339" w:name="_Toc184308074"/>
      <w:bookmarkEnd w:id="339"/>
      <w:bookmarkStart w:id="340" w:name="_Toc184313282"/>
      <w:bookmarkEnd w:id="340"/>
      <w:bookmarkStart w:id="341" w:name="_Toc184308049"/>
      <w:bookmarkEnd w:id="341"/>
      <w:bookmarkStart w:id="342" w:name="_Toc184312111"/>
      <w:bookmarkEnd w:id="342"/>
      <w:bookmarkStart w:id="343" w:name="_Toc184312097"/>
      <w:bookmarkEnd w:id="343"/>
      <w:bookmarkStart w:id="344" w:name="_Toc184312082"/>
      <w:bookmarkEnd w:id="344"/>
      <w:bookmarkStart w:id="345" w:name="_Toc184313255"/>
      <w:bookmarkEnd w:id="345"/>
      <w:bookmarkStart w:id="346" w:name="_Toc184308040"/>
      <w:bookmarkEnd w:id="346"/>
      <w:bookmarkStart w:id="347" w:name="_Toc184310333"/>
      <w:bookmarkEnd w:id="347"/>
      <w:bookmarkStart w:id="348" w:name="_Toc184310297"/>
      <w:bookmarkEnd w:id="348"/>
      <w:bookmarkStart w:id="349" w:name="_Toc184312100"/>
      <w:bookmarkEnd w:id="349"/>
      <w:bookmarkStart w:id="350" w:name="_Toc184310281"/>
      <w:bookmarkEnd w:id="350"/>
      <w:bookmarkStart w:id="351" w:name="_Toc184308057"/>
      <w:bookmarkEnd w:id="351"/>
      <w:bookmarkStart w:id="352" w:name="_Toc184312116"/>
      <w:bookmarkEnd w:id="352"/>
      <w:bookmarkStart w:id="353" w:name="_Toc184310312"/>
      <w:bookmarkEnd w:id="353"/>
      <w:bookmarkStart w:id="354" w:name="_Toc184312087"/>
      <w:bookmarkEnd w:id="354"/>
      <w:bookmarkStart w:id="355" w:name="_Toc184308083"/>
      <w:bookmarkEnd w:id="355"/>
      <w:bookmarkStart w:id="356" w:name="_Toc184308052"/>
      <w:bookmarkEnd w:id="356"/>
      <w:bookmarkStart w:id="357" w:name="_Toc184310334"/>
      <w:bookmarkEnd w:id="357"/>
      <w:bookmarkStart w:id="358" w:name="_Toc184312138"/>
      <w:bookmarkEnd w:id="358"/>
      <w:bookmarkStart w:id="359" w:name="_Toc184308059"/>
      <w:bookmarkEnd w:id="359"/>
      <w:bookmarkStart w:id="360" w:name="_Toc184310340"/>
      <w:bookmarkEnd w:id="360"/>
      <w:bookmarkStart w:id="361" w:name="_Toc184310338"/>
      <w:bookmarkEnd w:id="361"/>
      <w:bookmarkStart w:id="362" w:name="_Toc184312108"/>
      <w:bookmarkEnd w:id="362"/>
      <w:bookmarkStart w:id="363" w:name="_Toc184312133"/>
      <w:bookmarkEnd w:id="363"/>
      <w:bookmarkStart w:id="364" w:name="_Toc184310339"/>
      <w:bookmarkEnd w:id="364"/>
      <w:bookmarkStart w:id="365" w:name="_Toc184314440"/>
      <w:bookmarkEnd w:id="365"/>
      <w:bookmarkStart w:id="366" w:name="_Toc184310280"/>
      <w:bookmarkEnd w:id="366"/>
      <w:bookmarkStart w:id="367" w:name="_Toc184314475"/>
      <w:bookmarkEnd w:id="367"/>
      <w:bookmarkStart w:id="368" w:name="_Toc184308094"/>
      <w:bookmarkEnd w:id="368"/>
      <w:bookmarkStart w:id="369" w:name="_Toc184314480"/>
      <w:bookmarkEnd w:id="369"/>
      <w:bookmarkStart w:id="370" w:name="_Toc184314419"/>
      <w:bookmarkEnd w:id="370"/>
      <w:bookmarkStart w:id="371" w:name="_Toc184308061"/>
      <w:bookmarkEnd w:id="371"/>
      <w:bookmarkStart w:id="372" w:name="_Toc184312119"/>
      <w:bookmarkEnd w:id="372"/>
      <w:bookmarkStart w:id="373" w:name="_Toc184308060"/>
      <w:bookmarkEnd w:id="373"/>
      <w:bookmarkStart w:id="374" w:name="_Toc184308091"/>
      <w:bookmarkEnd w:id="374"/>
      <w:bookmarkStart w:id="375" w:name="_Toc184313260"/>
      <w:bookmarkEnd w:id="375"/>
      <w:bookmarkStart w:id="376" w:name="_Toc184314444"/>
      <w:bookmarkEnd w:id="376"/>
      <w:bookmarkStart w:id="377" w:name="_Toc184312095"/>
      <w:bookmarkEnd w:id="377"/>
      <w:bookmarkStart w:id="378" w:name="_Toc184308037"/>
      <w:bookmarkEnd w:id="378"/>
      <w:bookmarkStart w:id="379" w:name="_Toc184308044"/>
      <w:bookmarkEnd w:id="379"/>
      <w:bookmarkStart w:id="380" w:name="_Toc184313272"/>
      <w:bookmarkEnd w:id="380"/>
      <w:bookmarkStart w:id="381" w:name="_Toc184313240"/>
      <w:bookmarkEnd w:id="381"/>
      <w:bookmarkStart w:id="382" w:name="_Toc184310304"/>
      <w:bookmarkEnd w:id="382"/>
      <w:bookmarkStart w:id="383" w:name="_Toc184312068"/>
      <w:bookmarkEnd w:id="383"/>
      <w:bookmarkStart w:id="384" w:name="_Toc184313258"/>
      <w:bookmarkEnd w:id="384"/>
      <w:bookmarkStart w:id="385" w:name="_Toc184308081"/>
      <w:bookmarkEnd w:id="385"/>
      <w:bookmarkStart w:id="386" w:name="_Toc184313263"/>
      <w:bookmarkEnd w:id="386"/>
      <w:bookmarkStart w:id="387" w:name="_Toc184313288"/>
      <w:bookmarkEnd w:id="387"/>
      <w:bookmarkStart w:id="388" w:name="_Toc184314412"/>
      <w:bookmarkEnd w:id="388"/>
      <w:bookmarkStart w:id="389" w:name="_Toc184312101"/>
      <w:bookmarkEnd w:id="389"/>
      <w:bookmarkStart w:id="390" w:name="_Toc184310277"/>
      <w:bookmarkEnd w:id="390"/>
      <w:bookmarkStart w:id="391" w:name="_Toc184314478"/>
      <w:bookmarkEnd w:id="391"/>
      <w:bookmarkStart w:id="392" w:name="_Toc184312088"/>
      <w:bookmarkEnd w:id="392"/>
      <w:bookmarkStart w:id="393" w:name="_Toc184308077"/>
      <w:bookmarkEnd w:id="393"/>
      <w:bookmarkStart w:id="394" w:name="_Toc184314465"/>
      <w:bookmarkEnd w:id="394"/>
      <w:bookmarkStart w:id="395" w:name="_Toc184308078"/>
      <w:bookmarkEnd w:id="395"/>
      <w:bookmarkStart w:id="396" w:name="_Toc184312091"/>
      <w:bookmarkEnd w:id="396"/>
      <w:bookmarkStart w:id="397" w:name="_Toc184310301"/>
      <w:bookmarkEnd w:id="397"/>
      <w:bookmarkStart w:id="398" w:name="_Toc184313239"/>
      <w:bookmarkEnd w:id="398"/>
      <w:bookmarkStart w:id="399" w:name="_Toc184313245"/>
      <w:bookmarkEnd w:id="399"/>
      <w:bookmarkStart w:id="400" w:name="_Toc184312076"/>
      <w:bookmarkEnd w:id="400"/>
      <w:bookmarkStart w:id="401" w:name="_Toc184308086"/>
      <w:bookmarkEnd w:id="401"/>
      <w:bookmarkStart w:id="402" w:name="_Toc184310308"/>
      <w:bookmarkEnd w:id="402"/>
      <w:bookmarkStart w:id="403" w:name="_Toc184312134"/>
      <w:bookmarkEnd w:id="403"/>
      <w:bookmarkStart w:id="404" w:name="_Toc184313241"/>
      <w:bookmarkEnd w:id="404"/>
      <w:bookmarkStart w:id="405" w:name="_Toc184308071"/>
      <w:bookmarkEnd w:id="405"/>
      <w:bookmarkStart w:id="406" w:name="_Toc184310302"/>
      <w:bookmarkEnd w:id="406"/>
      <w:bookmarkStart w:id="407" w:name="_Toc184314460"/>
      <w:bookmarkEnd w:id="407"/>
      <w:bookmarkStart w:id="408" w:name="_Toc184310323"/>
      <w:bookmarkEnd w:id="408"/>
      <w:bookmarkStart w:id="409" w:name="_Toc184308096"/>
      <w:bookmarkEnd w:id="409"/>
      <w:bookmarkStart w:id="410" w:name="_Toc184314430"/>
      <w:bookmarkEnd w:id="410"/>
      <w:bookmarkStart w:id="411" w:name="_Toc184310326"/>
      <w:bookmarkEnd w:id="411"/>
      <w:r>
        <w:rPr>
          <w:rFonts w:hint="eastAsia" w:ascii="仿宋" w:hAnsi="仿宋" w:eastAsia="仿宋" w:cs="仿宋"/>
          <w:b/>
          <w:sz w:val="36"/>
          <w:szCs w:val="36"/>
        </w:rPr>
        <w:t xml:space="preserve">  采购需求</w:t>
      </w:r>
    </w:p>
    <w:bookmarkEnd w:id="44"/>
    <w:bookmarkEnd w:id="45"/>
    <w:bookmarkEnd w:id="46"/>
    <w:p>
      <w:pPr>
        <w:spacing w:line="560" w:lineRule="exact"/>
        <w:ind w:firstLine="480" w:firstLineChars="200"/>
        <w:jc w:val="left"/>
        <w:rPr>
          <w:rFonts w:hint="eastAsia" w:ascii="仿宋" w:hAnsi="仿宋" w:eastAsia="仿宋" w:cs="仿宋"/>
          <w:sz w:val="24"/>
          <w:szCs w:val="24"/>
        </w:rPr>
      </w:pPr>
      <w:bookmarkStart w:id="412" w:name="_Toc86217003"/>
      <w:bookmarkStart w:id="413" w:name="第五部分"/>
      <w:bookmarkStart w:id="414" w:name="_Toc401313705"/>
      <w:r>
        <w:rPr>
          <w:rFonts w:hint="eastAsia" w:ascii="仿宋" w:hAnsi="仿宋" w:eastAsia="仿宋" w:cs="仿宋"/>
          <w:sz w:val="24"/>
          <w:szCs w:val="24"/>
        </w:rPr>
        <w:t>一、项目概况</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随着互联网的广泛普及和深入发展，网络空间已成为与现实社会深度融合的新领域，网络安全、网络谣言、网络诈骗、网络暴力等问题日益凸显，严重威胁国家安全、社会稳定和人民群众的合法权益，网络安全已成为我国面临的最复杂、最现实、最严峻的非传统安全问题之一。</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此次建设依据《关于加强网络文明建设的意见》《网络信息内容生态治理规定》等相关的要求实施。</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本项目主要对舟山市公安局普陀区分局网络综合治理中心进行信息化建设，建设地点位于舟山市普陀区公安分局主楼三层西，涉及建筑面积约为280㎡。主要建立网络综合治理中心，统筹涉网职能部门资源，统一指挥调度。设置各功能区间，主要包括云上融洽中心、大厅、办公室（3间）、更衣室（2间），配套相应设备如LED大屏、操控台、调度椅、音频系统、电脑主机、显示器、证据分析专用一体机、手机数据专业化采集配套高拍仪等，满足日常网络治理工作。</w:t>
      </w:r>
    </w:p>
    <w:p>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二、设备清单</w:t>
      </w:r>
    </w:p>
    <w:tbl>
      <w:tblPr>
        <w:tblStyle w:val="64"/>
        <w:tblW w:w="5000" w:type="pct"/>
        <w:tblInd w:w="0" w:type="dxa"/>
        <w:tblLayout w:type="autofit"/>
        <w:tblCellMar>
          <w:top w:w="0" w:type="dxa"/>
          <w:left w:w="108" w:type="dxa"/>
          <w:bottom w:w="0" w:type="dxa"/>
          <w:right w:w="108" w:type="dxa"/>
        </w:tblCellMar>
      </w:tblPr>
      <w:tblGrid>
        <w:gridCol w:w="997"/>
        <w:gridCol w:w="5129"/>
        <w:gridCol w:w="1371"/>
        <w:gridCol w:w="998"/>
      </w:tblGrid>
      <w:tr>
        <w:tblPrEx>
          <w:tblCellMar>
            <w:top w:w="0" w:type="dxa"/>
            <w:left w:w="108" w:type="dxa"/>
            <w:bottom w:w="0" w:type="dxa"/>
            <w:right w:w="108" w:type="dxa"/>
          </w:tblCellMar>
        </w:tblPrEx>
        <w:trPr>
          <w:trHeight w:val="312" w:hRule="atLeast"/>
        </w:trPr>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30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建设内容</w:t>
            </w:r>
          </w:p>
        </w:tc>
        <w:tc>
          <w:tcPr>
            <w:tcW w:w="8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58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r>
      <w:tr>
        <w:tblPrEx>
          <w:tblCellMar>
            <w:top w:w="0" w:type="dxa"/>
            <w:left w:w="108" w:type="dxa"/>
            <w:bottom w:w="0" w:type="dxa"/>
            <w:right w:w="108" w:type="dxa"/>
          </w:tblCellMar>
        </w:tblPrEx>
        <w:trPr>
          <w:trHeight w:val="31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大厅LED大屏</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LED屏</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10.935</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支架及框架</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10.935</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大屏包边</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批</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配电箱</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发送卡</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分布式拼接节点</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分布式输入节点</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分布式输出节点</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分布式信号处理中心</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可视化控制系统</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大厅中控、网络、门禁</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8路串口扩展器</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8路导轨式电源控制器</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中控主机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平板电脑</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01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吸顶AP</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624"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01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AC控制器</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624"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301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POE交换机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48口千兆交换机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444"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301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65寸广告屏</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20"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301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人脸门禁（含磁力锁、电源）</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大厅音频</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专业线性音柱</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吸顶音箱</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调音台</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数字音频处理器</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反馈抑制器</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8路时序电源器</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功放</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天线分配器（含天线2根）</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无线短柄话筒</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无线手持话筒</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大厅办公区</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3席位操作控制台</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2席位操作控制台</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3席位控制台</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专业调度椅</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把</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电脑主机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显示器支臂</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PDU</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键盘托</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主机托盘</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氛围灯带</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米</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手机数据专业化采集软件升级</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187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301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手机数据专业化采集配套高拍仪设备</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6"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证据分析专用一体机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75寸广告屏</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100寸电视</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空调</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云上融洽中心</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电脑主机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显示器支臂</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复印机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碎纸机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75寸广告屏</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办公室（3间）</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电脑主机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显示器支臂</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黑白打印机</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31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更衣室（2间）</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机柜</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312"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集成施工费</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1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辅材</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批</w:t>
            </w:r>
          </w:p>
        </w:tc>
      </w:tr>
      <w:tr>
        <w:tblPrEx>
          <w:tblCellMar>
            <w:top w:w="0" w:type="dxa"/>
            <w:left w:w="108" w:type="dxa"/>
            <w:bottom w:w="0" w:type="dxa"/>
            <w:right w:w="108" w:type="dxa"/>
          </w:tblCellMar>
        </w:tblPrEx>
        <w:trPr>
          <w:trHeight w:val="312" w:hRule="atLeast"/>
        </w:trPr>
        <w:tc>
          <w:tcPr>
            <w:tcW w:w="58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01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集成施工费</w:t>
            </w:r>
          </w:p>
        </w:tc>
        <w:tc>
          <w:tcPr>
            <w:tcW w:w="80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8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w:t>
            </w:r>
          </w:p>
        </w:tc>
      </w:tr>
    </w:tbl>
    <w:p>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三、技术商务要求</w:t>
      </w:r>
    </w:p>
    <w:p>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（一）技术要求</w:t>
      </w:r>
    </w:p>
    <w:tbl>
      <w:tblPr>
        <w:tblStyle w:val="64"/>
        <w:tblW w:w="9470" w:type="dxa"/>
        <w:tblInd w:w="-326" w:type="dxa"/>
        <w:tblLayout w:type="fixed"/>
        <w:tblCellMar>
          <w:top w:w="0" w:type="dxa"/>
          <w:left w:w="108" w:type="dxa"/>
          <w:bottom w:w="0" w:type="dxa"/>
          <w:right w:w="108" w:type="dxa"/>
        </w:tblCellMar>
      </w:tblPr>
      <w:tblGrid>
        <w:gridCol w:w="710"/>
        <w:gridCol w:w="1240"/>
        <w:gridCol w:w="5790"/>
        <w:gridCol w:w="950"/>
        <w:gridCol w:w="780"/>
      </w:tblGrid>
      <w:tr>
        <w:tblPrEx>
          <w:tblCellMar>
            <w:top w:w="0" w:type="dxa"/>
            <w:left w:w="108" w:type="dxa"/>
            <w:bottom w:w="0" w:type="dxa"/>
            <w:right w:w="108" w:type="dxa"/>
          </w:tblCellMar>
        </w:tblPrEx>
        <w:trPr>
          <w:trHeight w:val="27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建设内容</w:t>
            </w:r>
          </w:p>
        </w:tc>
        <w:tc>
          <w:tcPr>
            <w:tcW w:w="57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参数</w:t>
            </w: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大厅LED大屏</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LED屏</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1、LED像素点间距≤1.25mm;像素密度≥640000点/㎡。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2、封装方式：SMD</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3、有效显示≥5.4m×2.025m，投标方也可根据自身产品尺寸进行拼接，但是显示尺寸长和宽均不得小于规定长宽，误差范围不超过2％。</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4、色温3000K—10000K可调，水平、垂直视角160°，亮度均匀性≥97%，色度均匀性±0.003Cx,Cy之内，刷新率：3840Hz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5、压铸铝箱体，抗腐蚀性，冲击韧性和屈服强度，符合要求。</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6、环氧玻璃布层压板，机械性能、电性能、耐高湿性能以及耐焊接性能，符合要求，使用温度130℃。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7、★依据GB/T 20145-2006 标准要求，LED显示屏辐亮度≤100 W·m^-2·sr^-1 ，判定级别为RG0无危害级，LED屏幕蓝光辐射符合国标无危害级要求。 （提供具有CNAS或CMA标识的第三方检测报告复印件）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8、★LED单元箱体间连接网线具备L型等非矩形框架走线方式，网线利用率＞95%。（提供具有CNAS或CMA标识的第三方检测报告复印件）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9、★灯板硬连接，箱体内部灯板部分功率和信号传输采用一体式浮动触点接触连接器。（提供具有CNAS或CMA标识的第三方检测报告复印件）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10、★LED 屏幕通过局域网客户端，局域网WEB端，红外遥控器，射频遥控器，物理按键五种种方式实现亮度调节。（提供具有CNAS或CMA标识的第三方检测报告复印件）。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10.935</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支架及框架</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1、根据现场实际情况搭建钢结构</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2、所用结构需适用于箱体LED屏使用</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10.935</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大屏包边</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1、根据现场环境对大屏安装后周边进行包边和美化装修处理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2、基板定制加工，5cm以内钛金包边</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批</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配电箱</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1、10KW LED显示屏PLC智能配电柜；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2、输入电压：380V；</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3、输出电压：220V；</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4、额定功率：10KW；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5、输出回路：3个单相回路（AC220V）；</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6、每路输出最大带载功率：≤3.33KW。</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发送卡</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1、发送卡带载≥260万像素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2、输入：HDMI 1.4*1、DVI*1、USB*2、DEBUG*1、ETHERNET*2、light sensor*1、IR IN*1、Audio IN*1 输出：HDMI*1、网口RJ45*4、Audio OUT*1、3D OUT*1</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 800*600-1920*1200之间的多种分辨率视频信号自适应接入。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4、支持对灰度进行调节，文持0-16bit调节。</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5、支持对刷新率进行调节，支持1920Hz-7680Hz调节。</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6、支持将输入为30Hz的信号转成60Hz的信号输出。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7、支持发送卡信号预览，实现HDMI环出信号预览功能。 HDMI口外接显示器可显示与大屏同内容的画面。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8、★支持通过设备自带Web浏览器、客户端、遥控器操作，对图像的亮度、色温以及图像模式进行调节设置。（提供具有CNAS或CMA标识的第三方检测报告复印件）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9、★支持任意走线、LED屏幕带载无矩形框架限制。（提供具有CNAS或CMA标识的第三方检测报告复印件）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10、★可通过设备自带Web浏览器、客户端、遥控器同时控制多台发送卡设备参数的调节。（提供具有CNAS或CMA标识的第三方检测报告复印件）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11、★可通过设备自带Web浏览器、客户端、遥控器同时控制多台发送卡设备参数的调节。（提供具有CNAS或CMA标识的第三方检测报告复印件）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分布式拼接节点</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1、4K60拼接输出节点具备1路视频输出接口、1路3.5m模拟音频输出、1路3.5m反向模拟音频输入。6个USB Type-A接口、1路千兆电口、1路千兆光口、1路RS232、1路RS485接口、1个IR接口。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2、输出节点支持支持1920x1200@60Hz、1920x1080@60Hz、2560x1440@60Hz、3840x1080@30Hz、3840x2160@30Hz、3840x2160@60Hz分辨率视频解码输出，并向下兼容常见分辨率，支持隔行视频输出，支持分辨率包括:1920*1080i@60Hz；1920*1080i@50Hz。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3、支持设置拼接屏的拼缝补偿，可精确至1像素；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4、支持信号预监功能，可对信号源画面(刷新频率15Hz)实时预览,可对不少于20路画面同时预监；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5、支持预操作模式，画面调整过程不会实时输出显示，点击应用按钮时，将调整好的布局一键上屏显示；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6、★可在输出节点上预览信号源音频的状态，可以音柱的形式监看音频音量大小，且不影响其他输出节点画面显示。（提供具有CNAS或CMA标识的第三方检测报告复印件）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7、★支持输入输出节点双光纤链路传输，主光链路传输断开时，可自动切换至备光纤链路数据传输，当主光链路恢复时，自动切换回主光链路。（提供具有CNAS或CMA标识的第三方检测报告复印件）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8、★支持多路输出的画面同步功能，快速变化的画面不会出现撕裂、错位等现象;支持采集同一台计算机不同接口输出的画面并输出同步显示。（提供具有CNAS或CMA标识的第三方检测报告复印件）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分布式输入节点</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1、4K60 输入节点具备1路视频输入接口、1路视频环出接口、1路3.5mm音频输入接口、1路3.5mm音频环出接口、1路3.5mm反向音频输出接口。1个USB Type-B 接口、1路PS/2接口、1路千兆电口、一路2pin凤凰端子远程开关机接口，1路RS232、1路RS485接口、1个IR接口。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2、输入节点支持支持1920x1200@60Hz、1920x1080@60Hz、2560x1440@60Hz、3840x1080@30Hz、3840x2160@30Hz、3840x2160@60Hz分辨率视频采集和编码，并向下兼容常见分辨率。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采用4:4:4全色度取样的图像无损处理，还原信号颜色。经过编解码后，画质仍然保持原图像质量、色度、亮度、对比度、饱和度等，帧率不抽帧。支持8bit、10bit图像采样。（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4、无实体中心管理节点及中心管理设备架构，任意节点掉线不影响系统正常运行。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5、★光接口可以配置为以太网模式和光矩阵交换模式。以太网模式可以通过光交换机进行数据传输；光矩阵模式可以通过光矩阵进行数据传输。（提供具有CNAS或CMA标识的第三方检测报告复印件）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6、★支持输入输出节点双光纤链路传输，主光链路传输断开时，可自动切换至备光纤链路数据传输，当主光链路恢复时，自动切换回主光链路。（提供具有CNAS或CMA标识的第三方检测报告复印件）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7、★支持与云桌面系统对接，支持将云桌面系统虚拟的PC图像作为信号源并实现反向控制。（提供具有CNAS或CMA标识的第三方检测报告复印件）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8、★节点支持DB9接口，可实现全9针串口控制与透传功能，支持9600、14400、19200、57600、115200等多种波特率。（提供具有CNAS或CMA标识的第三方检测报告复印件）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9、信号源由输入节点至输出节点解码输出的延时时间小于等于50ms。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10、支持信号预监功能，可对信号源画面(刷新频率15Hz)实时预览,可对不少于20路画面同时预监。</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分布式输出节点</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1、4K60矩阵输出节点具备1路视频输出接口、1路3.5mm模拟音频输出、1路3.5mm反向模拟音频输入。6个USB Type-A接口、1路千兆电口、1路千兆光口、1路RS232、1路RS485接口、1个IR接口。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2、输出节点支持支持1920x1200@60Hz、1920x1080@60Hz、2560x1440@60Hz、3840x1080@30Hz、3840x2160@30Hz、3840x2160@60Hz分辨率视频解码输出，并向下兼容常见分辨率，支持隔行视频输出，支持分辨率包括:1920*1080i@60Hz；1920*1080i@50Hz。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3、★支持硬件监控，异常报警提示，包括各节点分辨率信息、温度、运行状态、IP地址、节点运行状态、连接状态、MAC地址、程序版本等信息。（提供具有CNAS或CMA标识的第三方检测报告复印件）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4、信号源由输入节点至输出节点解码输出的延时时间小于等于50ms。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5、★可在输出节点上预览信号源音频的状态，可以音柱的形式监看音频音量大小，且不影响其他输出节点画面显示。（提供具有CNAS或CMA标识的第三方检测报告复印件）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6、支持输入信号源属性显示，包括信号源名称、信号源状态、IP地址、信号源类型等。</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分布式信号处理中心</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1、千兆级分布式处理中心</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2、支持48个 1/2.5/5/10G BASE-T 的SFP端口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3、最大可支持32组聚合链路，单组最大聚合端口数达到8个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4、交换容量≥960 Gbps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5、包转发率≥714.24 Mpps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6、支持IGMP v1 v2 v3 和 IGMP Snooping 组播路由协议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 PIM-SM 组播路由协议</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可视化控制系统</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支持可视化触控操作，包括大屏管理、矩阵切换、视频点播、音频控制、音频切换、中央控制等功能，采用“所见即所得”的直观控制方式，帮助用户快速、精准地调用、显示、控制音视频信号源与中控设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2、支持页面自定义编辑，可贴合用户的需求和使用习惯设计界面的布局与按钮的排列；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3、支持界面风格自定义，可以根据用户需求定制界面风格，全部按钮、高级组件的样式、背景图片均可任意定制，更加贴合用户使用需求和喜好，给用户更好的个性化体验；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系统采用C/S和B/S架构，支持多种形态的客户端，支持部署在全系各种版本Windows、Linux、Android、IOS、UOS及国产麒麟系统等操作系统中，支持飞腾、鲲鹏、海光等国产化硬件适配。（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5、★系统支持不小于8级级联部署应用，层级间可依权互联互控统一管理，组织机构和资源可并列同时呈现，便于按层级机构查看资源、设备、用户等信息。（提供具有CNAS或CMA标识的第三方检测报告复印件）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6、★系统支持AI面容识别功能扩展，可通过人脸识别登录平台，快捷安全，支持不少于100000幅面容库录入和管理且识别效率不低于99%。（提供具有CNAS或CMA标识的第三方检测报告复印件）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7、★系统可扩展OCR文字识别功能，无需在客户端电脑或者桌面信号电脑中安装插件，接入显控系统中的信号源均能进行OCR文字提取。（提供具有CNAS或CMA标识的第三方检测报告复印件）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大厅中控、网络、门禁</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8路串口扩展器</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1、串口输入：1路RS232输入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2、网口输入：1路100M网络，支持TCP/IP协议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3、串口输出：8路自定义串口输出，RS232/RS485/RS422协议</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8路导轨式电源控制器</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1、导轨式结构，可直接安装于配电箱内，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2、产品具备8个按键可对8个独立通道进行开关控制，设备ID可手动设置0-255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3、支持开关状态反馈功能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4、8路独立电源控制输出，单路最大电流10A</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5、内置抗浪涌继电器，触点最大抗浪涌电流可达120A/20ms单路瞬态峰值功率26400W</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中控主机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1、多核 CPU 速率高达1.4GHz，1G内存，支持8G Flash闪存（最大可拓展至128G）；</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2、★支持2路带供电T-NET总线信号管理，最大管理设备数量不少于255台，支持1路Ethernet接口，支持1路红外仿真输出接口，支持1路红外学习接口（提供具有CNAS或CMA标识的第三方检测报告复印件）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3、支持8路可自定义的I/O输入输出或红外输出，支持红外调制信号发送。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4、设备需具备4路触点，每路触点安装的继电器规格为支持30V/1A DC，125V/0.5A AC负载。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5、支持双电源冗余供电，可双电源同时供电，也可单电源供电，主备电源切换时设备正常运行。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6、★设备需具备端口复用功能，支持8路可自定义协议的串口，可配置RS-232、RS-485、DMX512协议，第一第五路支持24V供电输出（提供具有CNAS或CMA标识的第三方检测报告复印件）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平板电脑</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1、尺寸：≥10.9英寸；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2、分辨率：≥2560x1600；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3、运行内存：≥8GB，存储容量：≥128GB；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4、CPU类型：≥8核，≥2.8GHz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5、最高支持 120 Hz 刷新率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6、后置摄像头≥1300万像素，前置摄像头≥800 万像素</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吸顶AP</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1、采用整机双频4流设计，可同时工作在802.11a/b/g/n/ac/ax模式；与无线控制器同一品牌。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2、整机最高速率≥2.9Gbps，其中5G射频速率≥2.4G，2.4G速率≥0.5G；（提供官网技术彩页证明）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设备端口：2.5G光端口≥1个，千兆电口≥1个；；内置智能天线、支持扩展物联网能力；支持终端准入控制，控制用户终端安全接入网络，整合网络接入控制与终端安全产品，对接入网络的终端强制实施安全策略；支持支持WPA3终端接入，支持隐藏 SSID及链路完整性检测。</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AC控制器</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1、设备吞吐量≥10Gbps，支持AP管理最大数量≥144，实配AP管理授权≥10个；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2、设备提供≥8个千兆GE端口，≥2个万兆SFP+端口，≥2个2.5GE端口；（提供官网技术彩页证明）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3、支持标准IETF 5415 CAPWAP协议，AP和AC之间支持L2/L3层网络拓扑，为提高网络安全，AP与控制器之间能够支持DTLS对CAPWAP隧道进行加密处理。支持Private PSK方式的动态密码功能，可以为每终端分配独立秘钥；支持WPA3个人级方式下的终端接入；支持WPA3企业级模式下的终端接入功能；支持AC内漫游，支持跨AC间漫游，支持跨VLAN的三层漫游；支持基于802.11k/802.11v/802.11r协议的智能漫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RemoteAP功能：AC、AP支持RemoteAP功能，为提升无线网络的可靠性，AP具备逃生功能，当AC不可达造成AP离线时，AP能够继续维持原有用户不下线，新用户仍可以接入网络保证业务正常；支持认证用户和非认证用户。</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POE交换机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1、端口要求：千兆以太网端口(支持POE+)≥24个,万兆SFP+端口≥4个。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2、交换容量：≥668Gbps，包转发率：≥108Mpps。（如有两个不同大小的指标，以小的为准）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3、主机支持POE供电，配备电源模块≥2个，POE功率≥650W。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4、支持DoS（Denial of Service）类防攻击、网络的防攻击、用户的防攻击等功能。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5、支持ARP表项严格学习功能，可以防止因ARP欺骗攻击将交换机ARP表项占满， 导致正常用户无法上网。同时，支持IP Source Check 特性，防止包括MAC 欺骗、IP 欺骗、MAC/IP欺骗在内的非法地址仿冒带来的DOS攻击。</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6、支持基于端口的源MAC地址学习限制功能，有效防止用户源MAC欺骗冲击设备MAC表项，导致设备无法正常学习到用户MAC地址。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7、支持IPv4/IPv6双栈和IPv6 over IPv4隧道（包括手工Tunnel，6to4 Tunnel，ISATAP Tunnel），三层线速转发。既可以用于纯IPv4或IPv6 网络，也可以用于IPv4到IPv6共存的网络，组网方式灵活，充分满足当前网络从IPv4向 IPv6过渡的需求。</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48口千兆交换机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1、端口要求：千兆以太网端口≥48个,万兆SFP+端口≥4个。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2、交换容量：≥668Gbps，包转发率：≥154Mpps。（如有两个不同大小的指标，以小的为准）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3、主机配备电源模块≥2个。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4、支持DoS（Denial of Service）类防攻击、网络的防攻击、用户的防攻击等功能。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5、支持ARP表项严格学习功能，可以防止因ARP欺骗攻击将交换机ARP表项占满， 导致正常用户无法上网。同时，支持IP Source Check 特性，防止包括MAC 欺骗、IP 欺骗、MAC/IP欺骗在内的非法地址仿冒带来的DOS攻击。</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6、支持基于端口的源MAC地址学习限制功能，有效防止用户源MAC欺骗冲击设备MAC表项，导致设备无法正常学习到用户MAC地址。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7、支持IPv4/IPv6双栈和IPv6 over IPv4隧道（包括手工Tunnel，6to4 Tunnel，ISATAP Tunnel），三层线速转发。既可以用于纯IPv4或IPv6 网络，也可以用于IPv4到IPv6共存的网络，组网方式灵活，充分满足当前网络从IPv4向 IPv6过渡的需求。</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65寸广告屏</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1、屏幕尺寸：≥65寸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2、CPU架构：不低于四核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3、WIFI频段：支持2.4G&amp;5G</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4、存储内存：≥32GB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5、运行内存/RAM：≥3GB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6、屏占比：≥97%</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7、USB接口数：≥1个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8、HDMI接口数：≥2个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9、屏幕比例：支持16:9</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10、发声单元个数：≥2个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或者抽样文件校验，无法通过校验的素材不会进行播放，防止播放素材的篡改。（提供具有CNAS或CMA标识的第三方检测报告复印件）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人脸门禁（含磁力锁、电源）</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1、≥7英寸LCD触摸显示屏，600*1024分辨率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2、≥200万双目摄像头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3、≥存储1000人脸、1000张卡、1000枚指纹、5万条事件记录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4、外壳防护等级满足IP66，结构后壳防破坏能力应满足IK07的要求；屏幕防破坏能力应满足IK04的要求</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应支持人脸在画面内持续动态监测；应支持人脸验证功能，现场抓拍人脸照片与本地人脸库照片进行比对，进行人员身份核验；应支持联网与后端平台对接，实现人脸比对功能；应支持在0.001lux低照度无补光环境下正常实现人脸验证，适应强光、逆光、暗光等条件的人脸验证；应支持侧脸，遮挡，模糊，表情，戴眼镜及帽子等实际场景识别；应支持用户人脸数据下发及人脸验证双线程同步工作；设备垂直及水平区域人脸验证范围应能设置；人脸在各角度偏转±45°，应能进行人脸验证，并且该识别角度应能支持设置；人脸验证应支持多阈值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设备本地的比对结果、身份信息及抓拍人脸照片应采用非明文存储方式；上传比对结果、身份信息及抓拍人脸照片等至管理中心时应采用非明文方式；设备应支持断网续传离线非明文记录功能；通过USB端口从设备导出用户数据及比对记录时采用非明文方式；用户数据及比对记录采用非明文方式处理。</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大厅音频</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专业线性音柱</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1、出色的人声表现：12 × 2.25"钕磁单元设计，覆盖100 Hz~18 KHz频宽，专为人声进行调优，倒相式低音辐射声场，适当增强低音效果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2、线性阵列设计：12个喇叭单元构成线性阵列，排布紧凑，形成垂直指向性声场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3、极佳的语音清晰度：直达波束更多，有效减少来自天花、地面不必要的声音反射，减少混响，语音更加突出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4、声压均匀性：每倍程衰减能量更少，波束声场相对更加均匀，较好的一致性听感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5、波束可调：波束支持两档模式调节，Normal模式下人声更清晰，垂直指向性更强；Wide模式下低音更多，声音更浑厚，垂直覆盖角度更大，满足不同场景听音需求</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6、环境融入：音柱通过自身较好的机身比例和不同的配色，可以很好的融入各种不同风格的室内场所以及装修环境</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吸顶音箱</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1、采用6.5英寸中低音喇叭单元和1英寸球顶高音单元的同轴设计方案，提供绝佳音质。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2、92dB高灵敏度，展现出非凡的细腻度，同时拥有高达100W的强劲输出功率，高声乐级输出和大动态的响应；</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3、自带金属后壳箱体，配合专业的导向孔设计，提升低频的量感与响应力度；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4、网罩配备了连接安全绳的销钉设计，并结合8颗N42高强磁铁装置，带磁性涂层网罩便于快捷安装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5、能够在吊顶狭窄的环境下安装，适合绝大多数聆听环境；</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调音台</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1、2路主输出，2路REC输出，1路效果输出，1路monitor输出，1路立体声耳机输出；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2、8路单声道输入通道；</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3、DSP效果模块可供选择，一种为可调时间的21种效果模式，一种为全参数可调的和可提供参数固化的效果模式。</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数字音频处理器</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1、96KHz采样频率，32-bit DSP处理器，24-bit A/D及D/A转换；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2、有2路输入4路输出多种型号选择，可灵活组合多种分频模式，高、低通分频点均可达20Hz～20KHz；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3、提供USB2.0、USB3.0和RS485连接电脑，其中RS485接口可最多连接250台设备和超过1500米的距离外用电脑来控制；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4、直接用面板的功能键和拔轮进行功能设置或是连接电脑通过PC控制软件来控制，均十分方便、直观和简洁；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5、单机最多可存储30组用户程序；</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反馈抑制器</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1、采用双DSP设计，内置18段A、B双通道高精度数字陷波器，可精准找到啸叫的频率点而将其消除，同时兼具自动移相移频功能；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2、支持双12段参量均衡，高低通分频；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3、支持密码锁定功能，防止参数被误触修改；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4、输入输出支持双XLR接口和双6.35mm接口；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5、具备一个TYPE B接口，可进行软件升级和设备控制；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6、具备1块液晶显示屏，直观显示调试参数；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7、频率响应80 Hz~15 kHz，± 2 dB；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8、谐波失真≤ 0.5 %；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9、信噪比≥ 105 dB；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10、移频:4± 1 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11、高温试验：温度 50℃；持续时间2h.试验后，音柱外观结构应完好，应能正常工作；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12、低温试验：温度-10摄氏度，持续时间2h.试验后，拾音器外观接口应完好，应能正常工作。</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8路时序电源器</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1、支持8路时序电源输出以及2路直通输出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2、支持RS232串口，支持外部中控设备控制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3、支持多台设备级联顺序控制，级联自动检测设置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4、设备内置时钟芯片，可根据日期时间定时设置自动开关机</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功放</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1、产品为D类数字音频功率放大器，功率效率90%，功率范围，支持负载阻抗8Ω-2Ω，支持立体声，并接，桥接模式，各通道音频独立控制，扶持宽增益选择26-41dB。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2、1U机身，小巧、轻便、结构稳固，模块化设计，维护方便。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3、IU设计带PFC全桥超宽带开关电源,满足90V-260VAC范围电网使用，电源转换效率90%以上，电源超大功率储备, 高可靠性兼具性价比优势，为数字功放提供电池级干净电源。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4、采用高精度片式元件的大量使用，精巧的布局设计下，产品具备体积小，重量轻，适合多场景使用移动安装特别方便轻松。</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数字功放采用极高频率载波的转换开关电路来放大音频信号，具有效率高、失真小、噪音低、动态范围大等优点，在音质的透明度、冷暖度，解析力，背景的宁静、低频的震撼力度方面是传统功放不可比拟的。</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天线分配器（含天线2根）</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1、可以在多频道系统中导引天线讯号从一对天线到数个接收机。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2、内建直流电配电器，可提供四组12V 直流电给接收机。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3、单一台可支持最多四台无线接收机。多台串联使用可支持更多接收机。一个额外BNC座可提供多台天线分配器串接使用。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4、频率响应: 470-960 MHz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5、发射讯号强度(gain): 3 dB ± 2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6、Cascade output level: 0dB ~ +2dB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7、连接输出阻抗: ≥ 25 dB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8、三阶交调截取点: 24 dBm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9、阻抗: 50 Ω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9、Power Consumption: 60W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10、天线增幅器电压: 12V</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无线短柄话筒</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1、配套有≥1台接收主机和≥2个无线手持话筒。采用分集式接收技术，信号更稳定， 接收距离更远，适用更广；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2、采用1.5U标准机箱，系统菜单彩色大屏显示，内容更清楚，每通道射频与音频工作状态由独立的LED灯显示，更直观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3、双通道音量独立可调，</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SQ独立可调， IR红外对频独立控制. 提供2+1音频输出模式，极大方便了用户日常使用；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4、发射器电池电量实时监控，</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系统菜单内存了3组叠机频率可以调取使用，发射器会议/手持/领夹可以混搭使用；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5、系统工作频率设定为4 X 50频点. 每个通道均设有50个频点可调 . 系统频率范围默认为640-690 MHZ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6、专业演出级别的相位锁定电路，配合杂讯锁定静噪控制与数码导频技术，当发射器关闭时，导频控制将AF信号静音以抑制噪声，同时将对应的接收机静音，保证了对干忧信号的有效阻隔；</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接收机规格：</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7、振荡模式：PLL相位锁定频率合成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8、射频稳定度：±0.005%（-10~50℃）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9、载波频率：UHF640~690MHz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10、频率宽度：50MHz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11、信道：200CH（以250KHz步进）</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12、灵敏度：在偏移度等于25KHz。输入–95dBm时，S/N＞80Db</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无线手持话筒</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1、配套有≥1台接收主机和≥2个无线手持话筒。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2、频率震荡模式 锁相环回路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3、载波频率范围 470~960 MHz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4、讯号噪声比 &gt; 105dB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5、总失真率 &lt;0.6%@1KHz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6、带 LCD / 液晶显示器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7、音频输出准位 -12dB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8、音频输出阻抗 600Ω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9、输出插头型式 2 个平衡式XLR接头/2 个非平衡式φ6.3mm接头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10、频率震荡模式 锁相环回路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11、载波频率范围 470-960 MHz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12、稳定度 &lt;±10KHz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13、频率漂移 ±48KHz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14、谐波辐射 &lt;-50 dBC</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15、音频响应 50Hz~18k Hz</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大厅办公区</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3席位操作控制台</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1、长度不小于3694mm,深度1000mm，具体以现场为准;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控制台采用钢木结合模块化拼接结构，框架结构中各部件使用一级冷轧钢钢板冲压折弯成型，附件框架使用不低于1.5mm厚的一级冷轧钢板加工，主要框架使用不低于2mm厚的一级冷轧钢板加工，承重梁部件使用不低于3mm厚的一级冷轧钢板加工，外表面静电塑粉喷涂，控制台面板采用具有耐高温.耐烟灼.耐撞击.耐潮湿.防水.耐腐蚀的高强度高压耐磨板HPL加工；控制台灯带控制器通过高低温-8度——25度的24h测试。（控制器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3、★控制台的传导发射、辐射骚扰测试结果应检测合格，符合GB/T 17743-2021标准要求；控制台静电放电抗扰度、射频电磁场辐射抗扰度、电快速瞬变脉冲群抗扰度、浪涌（冲击）抗扰度、射频场感应的传导骚扰抗扰度的测试结果应符合GB/T 18595-2014、GB/T 17626-2018 标准要求，结果判定为A级。（提供具有CNAS或CMA标识的第三方检测报告复印件）。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4、前后门板使用实木颗粒板双帖防火板，整体厚度为20mm，使用铰链连接到框架上，保证其200000次无障碍开启，可实现快速安装和拆卸。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5、控制台要求符合人体工程学。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6、★台面板：面板使用刨花板，面板整体厚度为27mm，面板前侧采用39mm鸭嘴封边手枕。其中控制台所使用的刨花板通过GB/T</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39600-2021的检测，甲醛释放量未检出，符合Enf级要求（甲醛释放量需提供具有CNAS或CMA标识的第三方检测报告复印件）。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7、控制台符合GB/T10357.1-2013标准，满足主桌面垂直静载荷试验采用2000N的力无损坏；桌面持续垂直静载荷800kg，均匀布载7天；。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8、★控制台通过YD 5083-2005设备抗地震测试，在200kg负载状况下，应能达到九烈度最高强度。（提供具有CNAS或CMA标识的第三方检测报告复印件）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2席位操作控制台</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1、长度不小于2490mm,深度1000mm，具体以现场为准;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控制台采用钢木结合模块化拼接结构，框架结构中各部件使用一级冷轧钢钢板冲压折弯成型，附件框架使用不低于1.5mm厚的一级冷轧钢板加工，主要框架使用不低于2mm厚的一级冷轧钢板加工，承重梁部件使用不低于3mm厚的一级冷轧钢板加工，外表面静电塑粉喷涂，控制台面板采用具有耐高温.耐烟灼.耐撞击.耐潮湿.防水.耐腐蚀的高强度高压耐磨板HPL加工；控制台灯带控制器通过高低温-8度——25度的24h测试。（控制器提供带cnas标识检测报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3、★控制台的传导发射、辐射骚扰测试结果应检测合格，符合GB/T 17743-2021标准要求；控制台静电放电抗扰度、射频电磁场辐射抗扰度、电快速瞬变脉冲群抗扰度、浪涌（冲击）抗扰度、射频场感应的传导骚扰抗扰度的测试结果应符合GB/T 18595-2014、GB/T 17626-2018 标准要求，结果判定为A级。（需提供含有CNAS、CMA认证标识的检测报告）。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4、前后门板使用实木颗粒板双帖防火板，整体厚度为20mm，使用铰链连接到框架上，保证其200000次无障碍开启，可实现快速安装和拆卸。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5、控制台要求符合人体工程学。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6、★台面板：面板使用刨花板，面板整体厚度为27mm，面板前侧采用39mm鸭嘴封边手枕。其中控制台所使用的刨花板通过GB/T</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39600-2021的检测，甲醛释放量未检出，符合Enf级要求ü（甲醛释放量需提供相关带有CNAS、CMA认证的检测报告）。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7、控制台符合GB/T10357.1-2013标准，满足主桌面垂直静载荷试验采用2000N的力无损坏；桌面持续垂直静载荷800kg，均匀布载7天；。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8、★控制台通过YD 5083-2005设备抗地震测试，在200kg负载状况下，应能达到九烈度最高强度。（提供具有CNAS或CMA标识的第三方检测报告复印件）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themeColor="text1"/>
                <w:kern w:val="0"/>
                <w:sz w:val="24"/>
                <w:szCs w:val="24"/>
                <w14:textFill>
                  <w14:solidFill>
                    <w14:schemeClr w14:val="tx1"/>
                  </w14:solidFill>
                </w14:textFill>
              </w:rPr>
              <w:t>（需提供第三方检测报告</w:t>
            </w:r>
            <w:r>
              <w:rPr>
                <w:rFonts w:hint="eastAsia" w:ascii="仿宋" w:hAnsi="仿宋" w:eastAsia="仿宋" w:cs="宋体"/>
                <w:kern w:val="0"/>
                <w:sz w:val="24"/>
                <w:szCs w:val="24"/>
              </w:rPr>
              <w:t>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3席位控制台</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1、整体横向长度不小于900mm，总延米数不小于5400mm,深度不小于800mm,具体以现场为准;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控制台采用钢木结合模块化拼接结构，框架结构中各部件使用一级冷轧钢钢板冲压折弯成型，附件框架使用不低于1.5mm厚的一级冷轧钢板加工，主要框架使用不低于2mm厚的一级冷轧钢板加工，承重梁部件使用不低于3mm厚的一级冷轧钢板加工，外表面静电塑粉喷涂，控制台面板采用具有耐高温.耐烟灼.耐撞击.耐潮湿.防水.耐腐蚀的高强度高压耐磨板HPL加工；控制台灯带控制器通过高低温-8度——25度的24h测试。（控制器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3、★控制台的传导发射、辐射骚扰测试结果应检测合格，符合GB/T 17743-2021标准要求；控制台静电放电抗扰度、射频电磁场辐射抗扰度、电快速瞬变脉冲群抗扰度、浪涌（冲击）抗扰度、射频场感应的传导骚扰抗扰度的测试结果应符合GB/T 18595-2014、GB/T 17626-2018 标准要求，结果判定为A级。（提供具有CNAS或CMA标识的第三方检测报告复印件）。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4、前后门板使用实木颗粒板双帖防火板，整体厚度为20mm，使用铰链连接到框架上，保证其200000次无障碍开启，可实现快速安装和拆卸。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5、控制台要求符合人体工程学。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6、★台面板：面板使用刨花板，面板整体厚度为27mm，面板前侧采用39mm鸭嘴封边手枕。其中控制台所使用的刨花板通过GB/T</w:t>
            </w:r>
            <w:r>
              <w:rPr>
                <w:rFonts w:ascii="Calibri" w:hAnsi="Calibri" w:eastAsia="仿宋" w:cs="Calibri"/>
                <w:color w:val="000000"/>
                <w:kern w:val="0"/>
                <w:sz w:val="24"/>
                <w:szCs w:val="24"/>
              </w:rPr>
              <w:t> </w:t>
            </w:r>
            <w:r>
              <w:rPr>
                <w:rFonts w:hint="eastAsia" w:ascii="仿宋" w:hAnsi="仿宋" w:eastAsia="仿宋" w:cs="宋体"/>
                <w:color w:val="000000"/>
                <w:kern w:val="0"/>
                <w:sz w:val="24"/>
                <w:szCs w:val="24"/>
              </w:rPr>
              <w:t>39600-2021的检测，甲醛释放量未检出，符合Enf级要求ü（甲醛释放量提供具有CNAS或CMA标识的第三方检测报告复印件）。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7、控制台符合GB/T10357.1-2013标准，满足主桌面垂直静载荷试验采用2000N的力无损坏；桌面持续垂直静载荷800kg，均匀布载7天；。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8、★控制台通过YD 5083-2005设备抗地震测试，在200kg负载状况下，应能达到九烈度最高强度。（提供具有CNAS或CMA标识的第三方检测报告复印件）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9、2组可链接在一起。</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专业调度椅</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1、采用优质网面材质，耐磨性强，经防污处理，甲醛零释放量；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2、烤漆U形扶手，采用pu成型发泡高密度阻燃海绵，持久不变形；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3、表面有一层保护面，可防氧化，防碎永不变形，无刺激性气味；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4、铝合金精铸地盘，带倾仰功能；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5、100标三级气竿升降自如，320尼龙烤漆五星脚，采用优质静音滑轮，人体工程学设计；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6、带滚轮，后背不超过头颈高度。</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把</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1、尺寸：≥23.8寸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2、分辨率：≥2560*1440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3、响应时间：≤1ms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4、刷新率：≥75Hz</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电脑主机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bookmarkStart w:id="415" w:name="_Hlk177317898"/>
            <w:r>
              <w:rPr>
                <w:rFonts w:hint="eastAsia" w:ascii="仿宋" w:hAnsi="仿宋" w:eastAsia="仿宋" w:cs="宋体"/>
                <w:color w:val="000000"/>
                <w:kern w:val="0"/>
                <w:sz w:val="24"/>
                <w:szCs w:val="24"/>
              </w:rPr>
              <w:t>详见（二）电脑主机技术要求，同时配套正版授权的操作系统及办公软件WPS。操作系统详见（三）操作系统技术要求</w:t>
            </w:r>
            <w:bookmarkEnd w:id="415"/>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显示器支臂</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1、显示器尺寸：≤27"；</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2、单臂承重范围：1～5KG；</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3、符合VESA国际安装标准孔位：75×75mm和100×100mm；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4、手臂最大可延伸≤614mm；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5、手臂可折叠的最小尺寸为≥138mm；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6、可调倾斜范围：±90°；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7、左右摆动：±90°，旋转角度：360°；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8、调整高度范围300mm；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9、快拆式定位安装结构，最大限度节省安装时间；</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PDU</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1、产品类型：19英寸标准安装；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2、插座孔形及数量：八位国标五孔；</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3、输出线长度：2米线缆，端头为标准三孔插头；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4、额定电压/额定电流：220V/10A；</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5、外壳材质：黑色铝合金。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6、带电源开关</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键盘托</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1、钢制滑轨，可抽拉式，外置配置扶手，对手腕有一个自然的托举，符合人体工程学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2、工艺：冲孔.焊接.打磨.喷塑</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主机托盘</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1、安装在底框架上方；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2、移动托盘上方放置处理器；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3、托盘上开有散热孔，方便冷空气进入。</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氛围灯带</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1、支持本地触摸控制按钮改变6种常用氛围颜色（蓝、红、绿、紫、黄、冰蓝）切换，也支持6种特定颜色（三原色任意调整RGB值的组合颜色）切换；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2、支持RGB任意颜色（三原色任意调整RGB值的组合颜色）调整；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3、支持常亮、闪烁两种常用氛围状态（及通用和报警功能划分）；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4、支持485通信协议组网，确保远距离传输的稳定可靠性的同时，兼具了更丰富的控制方式；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5、支持智能微调色彩功能，手动还原功能；</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米</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手机数据专业化采集软件升级</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1、提供对现有手机数据采集软件换代功能升级，支持手机数据采集固证模式，含3年软件免费续期服务。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1、支持使用专用登陆用户名密码登录，上传数据可以与分析平台涉案人员信息、反恐查稽数据、涉案模型信息进行碰撞并进行预警提示；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2、支持AppleiOS、Android智能手机平台，Win7-Win10系统，64位操作系统；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3、支持越狱与未越狱、各个iOS版本、各种型号的iPhone手机数据采集；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4、支持Root与未Root、各个OS版本、各种品牌、型号的Android手机数据采集；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5、详细图文引导界面，操作简单，更易上手；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6、支持快速提取模式，默认采集微信、QQ、支付宝、短信、通话记录、通讯录、钉钉等常见应用数据，数据精简而高效；且支持云端个性化配置服务。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7、支持深度提取模式，默认采集手机的全部应用数据，采集数据完整且全面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8、支持自定义提取模式，可以根据需要个性化选择待采集的应用数据，并可通过高频应用选择按钮，一键选择高频应用；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9、内置华为高级备份、华为手机助手备份、安卓备份、oppo搬家、vivo直传、小米备份、加密备份、加密逻辑镜像等多种方法，提取备份方式无需人工干预，根据不同的自动选择最优方案；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10、支持Android6.0~9.0及以上华为、小米、三星、LG安卓手机AndroidLive逻辑镜像，无需ROOT权限采集系统数据和应用数据，支持获取恢复短信、电话簿、通话记录、QQ、微信数据；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11、支持提取记录展示，各个软件的获取数据条数，嫌疑人详细信息，提取手机型号，数据采集完成时间，数据包上传状态、数据包打包状态、并且可修改填写信息无需再次打包；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12、支持直接使用扫码方式精准提取数据，可自定义提取所需要的聊天记录；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13、支持机身数据采集，包括手机品牌、型号、系统版本、IMEI、IMSI、MAC地址；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14、支持社交通讯工具数据采集，包括：短信、电话簿、通话记录、QQ、微信、支付宝、陌陌、微博、探探、Blued、旺信、Telegram、拼多多、今日头条等数百种社交应用；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15、支持浏览器数据采集，包括：搜狗浏览器、手机浏览器、手机百度、QQ浏览器、UC浏览、搜狗浏览器极速版、vivo浏览器等；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16、支持地图导航数据采集，包括高德地图、谷歌地图、腾讯地图等；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17、支持办公软件采集，包括Excel、word、WPSOffice、QQ邮箱、189邮箱、网易邮箱大师、新浪邮箱等；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18、支持生活工具数据采集，包括日历、美团、铁路12306、记事本、大众点评、携程旅行、时钟等；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19、支持隐私保管数据采集，包括文件保险柜等；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20、支持系统信息采集，包括sim卡、蓝牙、锁屏密码等；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21、支持网络硬盘信息采集，包括百度网盘、360云盘、Dropbox等；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22、支持各类应用中的语音、图片、视频、压缩包、文档等多媒体和非结构化数据提取，同步采集多媒体数据中的时间和定位等数据；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23、支持Android、iOS微信全版本（含6.0以上）、QQ、微信、支付宝、短信等社交应用删除数据恢复；</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24、支持自定义数据缓存路径和本地文件导出路径，支持自定义是否开启风险降级和提取完成后是否自动删除缓存数据；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25、可无缝扩展多路采集功能，支持至少5部智能手机同时采集数据；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26、FTP配置上云，无需用户手动操作，支持多个FTP配置；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27、数据备份完成后，支持检材与计算机相互分离，大大节省扣留检材时间；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28、嫌疑人信息填写异常，无需重新采集，支持修改填写数据，重新生成数据包；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29、采集过程中实时检测数据备份文件夹大小变化情况；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30、计算机剩余空间检测，当空间不足时，支持跳出弹窗提醒清理缓存空间，支持批量删除检材数据或自主更换存放数据位置；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31、支持通过姓名快速检索目标嫌疑人检材数据；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32、支持数据证据固定模式，即支持高拍仪设备记录采集过程，实时进行手机采集过程拍照。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33、支持录屏功能，并允许调节录屏录像的画面质量、帧率等指标。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34、采集完成后支持重复打包，二次上传，无需手机接入。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35、支持批量上传功能，可选择性将未上传检材批量上传。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36、支持定时上传功能，用户可以设定时间，将在固定时间对所有未上传的检材进行自动上传，也可以通过批量上传功能中的定时上传功能将选好的检材进行特定时间的上传。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37、支持采集附带云取证功能。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38、支持本地配置恢复功能，即自动恢复微信、QQ等被删除的数据。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39、支持SIM卡采集，快速采集SIM卡相关信息，并支持打包上传。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40、支持部分方式打出的备份，逻辑镜像等文件可通过其他相关软件进行解析。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41、支持按照一周内、一月内、全部时间的范围来展示历史检材。</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手机数据专业化采集配套高拍仪设备</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1、最大幅面：≥A3</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2、像素：≥1000万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3、接口类型：USB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4、光源：自然光+LED补光灯</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证据分析专用一体机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硬件参数：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需配套支持软件流畅运行的硬件。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仿真取证软件功能：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1、支持无痕仿真启动装有多种操作系统的硬盘和镜像文件；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2、支持自动识别设备中的操作系统类型，也可进行手工设置；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3、支持32位、64位操作系统的仿真；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4、支持对DD、E01、QCOW/QCOW2/QCOW3、VHD、VHDX、RAW、ZVHD2、XVA、VMDK等不同格式的磁盘镜像的仿真；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5、支持选择网络驱动器中的镜像仿真；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6、支持多硬盘的系统仿真；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7、支持tgz、xb格式的仿真取证；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8、支持Bitlocker加密的系统盘仿真并重置开机密码；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9、支持Debian、Ubuntu、Centos等操作系统的BIOS启动类型的单分区镜像仿真，并自动修复引导分区；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10、支持Debian、Ubuntu、macOS等操作系统的UEFI启动类型的单分区镜像仿真，并自动修复引导分区；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11、支持对Parallels Desktop虚拟机磁盘的仿真，且支持差分快照；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12、支持对 ESXi、RouterOS的操作系统识别，系统的仿真及重置密码；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13、支持intel+T2芯片的macOS脱密镜像的仿真，macOS 4K扇区的仿真；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14、在取证过程中不改变物理磁盘或镜像文件的原始状态；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15、在分析过程中，支持原始磁盘镜像存储位置的移动和更新；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16、支持多仿真历史的配置管理和直接启动，无需重建虚拟机；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17、支持创建共享目录，方便虚拟机和本机之间的文件传输；</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18、支持自动修复Linux启动故障，并重置系统密码；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19、支持禁用网卡功能；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20、支持国产操作系统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证据分析软件-介质：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1、支持Linux等操作系统解析；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2、支持FAT16/32、NTFS、Ext2/Ext3、HFS+、APFS、ExFAT、XFS等常见文件系统的磁盘、镜像识别和分析；支持APFS解密加载分析；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3、支持VHD、VHDX、VMDK、VDI等虚拟机镜像/快照解析；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4、支持添加镜像文件、内存镜像、物理磁盘、文件集合等多种形式检材解析、单个检材支持添加多个磁盘镜像解析、支持批量添加检材；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5、支持QCOW2、RAW等多种云服务器镜像解析；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6、支持NTFS文件系统操作日志解析；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7、支持磁盘、镜像加密分区识别；支持EFS、rar、zip、doc、xls等加密文件识别；支持TC、VC等加密容器识别、Bitlocker分区识别及加密已用磁盘空间密码、密钥、密钥文件解密；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8、支持磁盘、镜像中删除文件、目录恢复、内容十六进制查看；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9、支持文件签名恢复；</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10、支持文件系统中按文件名、文件时间、文件大小、文件属性等进行多条件组合智能筛选；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11、支持文件全显，枚举显示当前目录下所有文件、文件夹，并提供多条件组合智能筛选；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12、支持从文件中搜索BitLocker密钥；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13、支持邮件Eml、Outlook导出文件Msg识别和解析；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14、支持解析skype、telegram、百度网盘等应用凭证并支持与雷电云联动固定云数据；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15、支持银河麒麟应用程序、系统回收站、最近访问、麒麟通知、WPS最近访问文档、便签等解析；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16、支持Linux操作系统LVM磁盘管理程序中磁盘卷、分区数据的自动重组和解析无需新增证据；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17、支持linux LAMPP解析；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18、支持Linux操作系统基本信息的分析，包括日志、软件、bash、服务、登录、开关机、系统信息等；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19、支持Linux操作系统中常见Web服务配置、日志和用户数据的分析，含Nginx配置与日志、Apache配置、docker历史命令解析等；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20、支持Linux操作系统宝塔面板、MySQL等解析；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21、支持Linux操作系统主流浏览器分析，包括以下：Chrome浏览器、Edge浏览器、Firefox浏览器；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22、支持图片分类，将所有图片格式文件进行预处理，分析图片EXIF信息，并提供图库视图展示，图库提供按照大小、时间、文件名等多条件组合智能筛选；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23、支持Linux操作系统中extFS文件系统最后挂载点解析；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24、支持对所有包含色情、二维码等信息的文件进行分类识别；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25、支持对所有图片文件进行分析，进行人脸检测；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26、支持哈希集功能，通过自建哈希集（黑白名单）分析后，快速在文件系统中区分目标文件；支持导入第三方哈希集进行对比；</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27、支持视频分析，对视频文件进行快速分帧，可快速浏览视频内容；支持切换视图预览视频；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28、提供磁盘、镜像可视化分区信息展示，支持交互式地查看分区信息和分区文件；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29、支持添加、编辑检材照片，可按照送检/预检、未拆封、已拆封、二次封存、其它等类型对检材照片进行管理，用户可手动添加照片描述；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30、文件、记录详情信息支持下、右、独立窗口三种方式进行查看预览，适用于多种场景；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31、地理位置支持点、路线聚合展示，路线轨迹可进行自动回放，地理位置数据可按照来源检材、标记、来源应用、时间范围等多条件组合智能筛选；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32、支持检材中所有数据（应用分析结果、文件系统）以时间线的形式进行展示，可以自定义时间、数据来源进行针对性的筛选；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33、时间线提供数据可视化数据轴，支持快速切换年、月、日、小时等时间维度；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34、支持对文档建立索引，时间过滤搜索、秒级查询，快速响应搜索结果，索引搜索结果支持导出报告；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35、支持全局搜索并可以根据搜索对象、编码范围、其他等方式进行搜索；支持搜索office文档内容；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36、支持对文件系统、分析结果中的内容进行快速标记并可以在文件系统、分析结果中进行过滤；</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37、支持对文件系统、分析结果中的内容进行快速标记和生成案件笔记，案件笔记按照数据自动生成推荐的批注，可导出专业的Word文书内容；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38、取证结果支持三种格式生成，含支持搜索关键词的网页格式报告、通过自带笔录工具导出部标准格式的电子检查记录/笔录 、带有右键导出文件/索引搜索/时间线功能（能按照检材、应用过滤）的移动案件报告，其中移动案件报告支持设置打开密码；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39、支持案件列表显示数据包、报告导出状态；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40、导出报告支持按检材持有人拆分，导出到ZIP压缩包的功能；导出报告支持同时导出笔记内容，支持多检材导出到同一个笔录；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41、支持磁盘阵列（RAID）类型检材信息检测、重组及解析；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42、内置数据库取证工具（支持Mysql &amp; qp文件解析、数据预览），无需在本地搭建Mysql环境即可直接查看数据库结构，对数据库进行表恢复、解析预览；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43、内置哈希计算工具，支持文件MD5、SHA-1、SHA-256、SM3、CRC32五种哈希计算方式；支持批量计算文件哈希值、文件哈希去重；支持加盐哈希批量计算；支持比对哈希、支持菜单右键计算哈希；支持复制和导出哈希计算结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44、支持证据嵌套识别，可识别iOS备份、Android备份、Vmware/等虚拟机证据，支持同一案件内嵌套证据的直接加载分析，无需导出；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45、支持定制脚本功能，可通过编写脚本处理证据信息，对取证功能进行扩展；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46、支持哈希校验，计算检材或文件的哈希确保符合司法鉴定要求；</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47、支持软件多开功能，可同时对多个案件检材进行分析；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48、支持主从机模式，主机模式下允许从机电脑中取证软件直接访问主机的案件数据（不是采用远程桌面、远程协助工具，确保案件数据安全），主从机协同办案；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49、支持大字体模式，可在正常、大、超大三种字体大小切换；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50、支持对证据列表中的镜像进行一键仿真，支持对数据库文件一键深度分析；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51、可以单独使用完成介质取证分析功能，也可以集成手机分析模块，使得一个案件中的存储介质/手机证据等可以集中分析；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52、提供查询服务，包括ip、域名、银行卡、身份证等各类信息查询；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53、支持生成、上传部标格式数据包；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54、耗时任务：支持支持图片深度恢复、图片文本识别；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55、支持jpg、png格式图片隐写识别解析；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56、支持研判模块，实现持有人通联分析和共同群聊分析，支持聊天会话词云、资金以及群聊活跃度分析；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57、支持国产操作系统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取证录像功能：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1、支持设置开始以及结束时间的定时录制任务;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2、支持保存视频到流媒体rtmp服务器上;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3、支持添加摄像头，若有外接摄像头，会将摄像画面同步至桌面;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4、支持多屏幕的取证和屏幕录像工作：支持选择要录制的屏幕，或同时录制所有屏幕；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5、支持选择屏幕中的指定区域进行录制；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6、支持到达制定时长后自动停止录制;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7、支持自动滚动窗口，录像时可以选择带滚动条的窗口进行自动滚动，录制窗口的完整内容；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8、支持操作过程中的快捷屏幕截图，截图可复制到剪贴板或保存在磁盘上；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9、支持屏幕录像的同时可录制电脑声卡声音、外置麦克声音和line in的声音；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10、支持暂停/恢复录像，对关键步骤进行录像，减小录像体积；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11、支持设置录像的帧率、质量、水印等；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12、支持根据文件大小自动切割录像文件，控制单个录像文件的大小；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13、支持录像输出文件格式为MKV、MP4、FLV;</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14、支持截图、停止录制、区域录制、录制整块屏幕的功能自定义快捷键设置;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15、支持录像完成后自动计算录像文件的哈希；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16、支持国产操作系统</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75寸广告屏</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1、屏幕尺寸：≥75寸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2、CPU架构：不低于四核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3、WIFI频段：支持2.4G&amp;5G</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4、存储内存：≥32GB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5、运行内存/RAM：≥3GB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6、屏占比：≥97%</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7、USB接口数：≥1个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8、HDMI接口数：≥2个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9、屏幕比例：支持16:9</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10、发声单元个数：≥2个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提供具有CNAS或CMA标识的第三方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或者抽样文件校验，无法通过校验的素材不会进行播放，防止播放素材的篡改。（提供具有CNAS或CMA标识的第三方检测报告复印件）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100寸电视</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1、显示尺寸：≥100寸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2、分辨率：≥3840×2160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3、刷新率：≥144Hz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4、CPU不低于四核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5、内存≥4GB，闪存≥64GB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6、支持WiFi6、红外、蓝牙5.0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7、接口至少3个 HDMI，1个AV，1个ATV/DTMB，1个以太网，2个USB，1个S/PDIF</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8、含壁挂支架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空调</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1、一拖二天井式空调</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2、功率≥5匹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3、含四面出风板、遥控器及其他安装材料</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小计</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云上融洽中心</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1、尺寸：≥23.8寸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2、分辨率：≥2560*1440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3、响应时间：≤1ms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4、刷新率：≥75Hz</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电脑主机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详见（二）电脑主机技术要求，同时配套正版授权的操作系统及办公软件WPS。操作系统详见（三）操作系统技术要求</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显示器支臂</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1、显示器推荐尺寸：≤27"；</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2、单臂承重范围：1～5KG；</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3、符合VESA国际安装标准孔位：75×75mm和100×100mm；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4、手臂最大可延伸≤614mm；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5、手臂可折叠的最小尺寸为≥138mm；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6、可调倾斜范围：±90°；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7、左右摆动：±90°，旋转角度：360°；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8、调整高度范围300mm；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9、快拆式定位安装结构，最大限度节省安装时间；</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复印机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1、支持有线网络功能，自动双面打印，支持PC端打印状态监视等功能，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2、支持彩色复印/打印/扫描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3、打印速度≥24ppm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4、处理器≥800MHz</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5、内存≥4GB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6、打印分辨率≥1200x1200dpi</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7、纸张尺寸最大297x432mm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8、适配国产芯片平台和国产化操作系统</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碎纸机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1、碎纸方式粒状；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2、碎纸效果4×40mm；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3、碎纸能力16张/次；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4、碎纸箱容积25L；</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5、连续碎纸时间≥35min；</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6、其它特性可碎介质：A4纸，光盘，卡；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7、智能功能：过热停机保护，拉桶停机，自动进纸，一键退纸。</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75寸广告屏</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1、屏幕尺寸：≥75寸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2、CPU架构：不低于四核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3、WIFI频段：支持2.4G&amp;5G</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4、存储内存：≥32GB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5、运行内存/RAM：≥3GB</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6、屏占比：≥97%</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7、USB接口数：≥1个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8、HDMI接口数：≥2个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9、屏幕比例：支持16:9</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10、发声单元个数：≥2个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提供具有CNAS标识的国家权威检测机构出具的检测报告复印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或者抽样文件校验，无法通过校验的素材不会进行播放，防止播放素材的篡改。（提供具有CNAS标识的国家权威检测机构出具的检测报告复印件）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小计</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办公室（3间）</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1、尺寸：≥23.8寸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2、分辨率：≥2560*1440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3、响应时间：≤1ms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4、刷新率：≥75Hz</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电脑主机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详见（二）电脑主机技术要求，同时配套正版授权的操作系统及办公软件WPS。操作系统详见（三）操作系统技术要求</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显示器支臂</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1、显示器推荐尺寸：≤27"；</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2、单臂承重范围：1～5KG；</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3、符合VESA国际安装标准孔位：75×75mm和100×100mm；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4、手臂最大可延伸≤614mm；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5、手臂可折叠的最小尺寸为≥138mm；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6、可调倾斜范围：±90°；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7、左右摆动：±90°，旋转角度：360°；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8、调整高度范围300mm；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9、快拆式定位安装结构，最大限度节省安装时间；</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套</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黑白打印机</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1、适配国产芯片平台和国产化操作系统。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2、支持授权管理、白名单、加密传输、内存清零。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3、平均一分钟打印≥26页。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4、处理器主频≥525MHz。内存≥256M。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5、接口支持USB、RJ45接口。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6、黑白激光打印。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7、支持自动双面打印。</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台</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更衣室（2间）</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机柜</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1、容量42U</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2、含8位PDU、固定板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3、配套柜体固定配件、机柜接地配件</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个</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小计</w:t>
            </w:r>
          </w:p>
        </w:tc>
      </w:tr>
      <w:tr>
        <w:tblPrEx>
          <w:tblCellMar>
            <w:top w:w="0" w:type="dxa"/>
            <w:left w:w="108" w:type="dxa"/>
            <w:bottom w:w="0" w:type="dxa"/>
            <w:right w:w="108" w:type="dxa"/>
          </w:tblCellMar>
        </w:tblPrEx>
        <w:trPr>
          <w:trHeight w:val="279" w:hRule="atLeast"/>
        </w:trPr>
        <w:tc>
          <w:tcPr>
            <w:tcW w:w="9470"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集成施工费</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辅材</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包括但不限于设备安装时需要的多媒体系统管线（预埋金属管、电缆、高清线、音频线），各类辅材等</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批</w:t>
            </w:r>
          </w:p>
        </w:tc>
      </w:tr>
      <w:tr>
        <w:tblPrEx>
          <w:tblCellMar>
            <w:top w:w="0" w:type="dxa"/>
            <w:left w:w="108" w:type="dxa"/>
            <w:bottom w:w="0" w:type="dxa"/>
            <w:right w:w="108" w:type="dxa"/>
          </w:tblCellMar>
        </w:tblPrEx>
        <w:trPr>
          <w:trHeight w:val="2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集成施工费</w:t>
            </w:r>
          </w:p>
        </w:tc>
        <w:tc>
          <w:tcPr>
            <w:tcW w:w="57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本项目为交钥匙工程，中标人负责设备的集成安装、调试、使用培训及维护保养工作，主要内容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1、项目涉及的新设备安装，利旧设备的迁移、拆装（云上融洽中心的激光电视、音频系统）。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2、项目系统对接调试、电路迁移、系统对接、总平台对接、各业务单位对接等。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3、项目系统割接后系统测试等，各类故障处理、平台调优、系统培训等。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4、所有新设备及系统三年运维。</w:t>
            </w:r>
          </w:p>
        </w:tc>
        <w:tc>
          <w:tcPr>
            <w:tcW w:w="9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w:t>
            </w:r>
          </w:p>
        </w:tc>
      </w:tr>
    </w:tbl>
    <w:p/>
    <w:p>
      <w:pPr>
        <w:spacing w:line="56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（二）电脑主机技术要求</w:t>
      </w:r>
    </w:p>
    <w:tbl>
      <w:tblPr>
        <w:tblStyle w:val="64"/>
        <w:tblW w:w="5000" w:type="pct"/>
        <w:tblInd w:w="0" w:type="dxa"/>
        <w:tblLayout w:type="autofit"/>
        <w:tblCellMar>
          <w:top w:w="0" w:type="dxa"/>
          <w:left w:w="108" w:type="dxa"/>
          <w:bottom w:w="0" w:type="dxa"/>
          <w:right w:w="108" w:type="dxa"/>
        </w:tblCellMar>
      </w:tblPr>
      <w:tblGrid>
        <w:gridCol w:w="681"/>
        <w:gridCol w:w="911"/>
        <w:gridCol w:w="2467"/>
        <w:gridCol w:w="4436"/>
      </w:tblGrid>
      <w:tr>
        <w:tblPrEx>
          <w:tblCellMar>
            <w:top w:w="0" w:type="dxa"/>
            <w:left w:w="108" w:type="dxa"/>
            <w:bottom w:w="0" w:type="dxa"/>
            <w:right w:w="108" w:type="dxa"/>
          </w:tblCellMar>
        </w:tblPrEx>
        <w:trPr>
          <w:trHeight w:val="279"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5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一级指标</w:t>
            </w:r>
          </w:p>
        </w:tc>
        <w:tc>
          <w:tcPr>
            <w:tcW w:w="14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二级指标</w:t>
            </w:r>
          </w:p>
        </w:tc>
        <w:tc>
          <w:tcPr>
            <w:tcW w:w="261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详细技术参数（“</w:t>
            </w:r>
            <w:r>
              <w:rPr>
                <w:rFonts w:hint="eastAsia" w:ascii="仿宋" w:hAnsi="仿宋" w:eastAsia="仿宋" w:cs="宋体"/>
                <w:color w:val="000000"/>
                <w:kern w:val="0"/>
                <w:sz w:val="24"/>
                <w:szCs w:val="24"/>
              </w:rPr>
              <w:t>▲</w:t>
            </w:r>
            <w:r>
              <w:rPr>
                <w:rFonts w:hint="eastAsia" w:ascii="仿宋" w:hAnsi="仿宋" w:eastAsia="仿宋" w:cs="宋体"/>
                <w:b/>
                <w:bCs/>
                <w:color w:val="000000"/>
                <w:kern w:val="0"/>
                <w:sz w:val="24"/>
                <w:szCs w:val="24"/>
              </w:rPr>
              <w:t>”项为实质性响应要求，不允许负偏离）</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CPU规格</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▲CPU信息</w:t>
            </w:r>
          </w:p>
        </w:tc>
        <w:tc>
          <w:tcPr>
            <w:tcW w:w="261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供应商给出 CPU 信息，包含 CPU 型号、 物理核心数、主频、末级缓存容量、线程数、热设计功耗及内存的最高速率、通道数和位宽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内存规格</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▲内存配置容量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≥8GB DDR4内存条</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▲内存类型</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支持DDR4内存类型</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▲内存条配置数量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主板规格</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▲主板集成模块</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集成PCIE、SATA接口资源扩展模块、计算处理模块、 音频扩展模块等，主板的互联拓扑可通过处理器或交换电路实现</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▲主板支持的CPU和内存情况</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供应商给出主板支持的 CPU 和内存型 号和数量</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▲主板其他内置接口</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供应商给出相关 SATA、M.2、USB 接口 数量及占用状态</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▲单内存插槽最大可支持容量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≥32GB</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▲内存插槽满配时提供的最高内存总容量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≥128GB</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存储设备规格</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▲固态盘数量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≥1个</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▲固态存储容量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≥256GB</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▲机械硬盘转速</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≥5400rpm</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▲机械硬盘形态</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 英寸或 3.5 英寸等</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bookmarkStart w:id="416" w:name="RANGE!C16"/>
            <w:r>
              <w:rPr>
                <w:rFonts w:hint="eastAsia" w:ascii="仿宋" w:hAnsi="仿宋" w:eastAsia="仿宋" w:cs="宋体"/>
                <w:color w:val="000000"/>
                <w:kern w:val="0"/>
                <w:sz w:val="24"/>
                <w:szCs w:val="24"/>
              </w:rPr>
              <w:t>▲固态存储形态</w:t>
            </w:r>
            <w:bookmarkEnd w:id="416"/>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M.2形态</w:t>
            </w:r>
          </w:p>
        </w:tc>
      </w:tr>
      <w:tr>
        <w:tblPrEx>
          <w:tblCellMar>
            <w:top w:w="0" w:type="dxa"/>
            <w:left w:w="108" w:type="dxa"/>
            <w:bottom w:w="0" w:type="dxa"/>
            <w:right w:w="108" w:type="dxa"/>
          </w:tblCellMar>
        </w:tblPrEx>
        <w:trPr>
          <w:trHeight w:val="279" w:hRule="atLeast"/>
        </w:trPr>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bookmarkStart w:id="417" w:name="RANGE!C17"/>
            <w:r>
              <w:rPr>
                <w:rFonts w:hint="eastAsia" w:ascii="仿宋" w:hAnsi="仿宋" w:eastAsia="仿宋" w:cs="宋体"/>
                <w:color w:val="000000"/>
                <w:kern w:val="0"/>
                <w:sz w:val="24"/>
                <w:szCs w:val="24"/>
              </w:rPr>
              <w:t>▲存储设备其他参数要求</w:t>
            </w:r>
            <w:bookmarkEnd w:id="417"/>
          </w:p>
        </w:tc>
        <w:tc>
          <w:tcPr>
            <w:tcW w:w="261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a)固态盘应符合 SJ/T 11654 相关规定；</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b)机械硬盘准备时间应不大于 30s；侧 面固定螺丝孔数量可为 4 孔或 6 孔；</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工作状态环境温度应满足 5℃~55℃ ; 其它参数应符合 GB/T 12628 相关规定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显卡规格</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▲显卡类型</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独立显卡</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▲独立显卡显存类型</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DDR4、LPDDR4</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▲独立显卡显存位宽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显存位宽≥64位</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▲独立显卡显存容量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≥1GB</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外设规格</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▲鼠标数量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≥1个</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▲键盘数量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≥1个</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▲键盘按键数目</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61 键/86 键/101 键/104 键等</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▲键盘连接方式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有线或无线</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▲键盘键程</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2.3mm ~ 4.0mm</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▲键盘按键压力</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按键压力应在 0.54 N±0.14N</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▲有线键盘连接线</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 米</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▲键盘颜色</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黑色/白色/银色等商务色系</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▲鼠标连接方式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有线或无线</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▲有线鼠标连接线</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 米</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▲鼠标DPI分辨率</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800 ~1600</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▲鼠标颜色</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黑色/银色/白色等商务色系</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▲鼠标其他要求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其它参数应符合 GB/T 26245 的相关规定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网络设备规格</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▲有线网卡数量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1个</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外部接口规格</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▲USB 接口数量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前置4个USB（其中2个USB3.0）</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▲视频接口数量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2（1个HDMI接口和1个VGA接口）</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▲音频接口数量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音频：前置2个，后置3个</w:t>
            </w:r>
          </w:p>
        </w:tc>
      </w:tr>
      <w:tr>
        <w:tblPrEx>
          <w:tblCellMar>
            <w:top w:w="0" w:type="dxa"/>
            <w:left w:w="108" w:type="dxa"/>
            <w:bottom w:w="0" w:type="dxa"/>
            <w:right w:w="108" w:type="dxa"/>
          </w:tblCellMar>
        </w:tblPrEx>
        <w:trPr>
          <w:trHeight w:val="279" w:hRule="atLeast"/>
        </w:trPr>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整机基础规格</w:t>
            </w:r>
          </w:p>
        </w:tc>
        <w:tc>
          <w:tcPr>
            <w:tcW w:w="14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▲整机外观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 产品表面没有凹痕、划伤、裂缝、变形和污染等。表面涂层均匀，不起泡、龟裂、脱落和磨损，金属零部件无锈蚀及其它机械损伤；</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 产品表面说明功能的文字、符号、标志，应清晰、端正、牢固</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▲状态指示灯</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机箱前面板有电源状态灯和硬盘指示灯</w:t>
            </w:r>
          </w:p>
        </w:tc>
      </w:tr>
      <w:tr>
        <w:tblPrEx>
          <w:tblCellMar>
            <w:top w:w="0" w:type="dxa"/>
            <w:left w:w="108" w:type="dxa"/>
            <w:bottom w:w="0" w:type="dxa"/>
            <w:right w:w="108" w:type="dxa"/>
          </w:tblCellMar>
        </w:tblPrEx>
        <w:trPr>
          <w:trHeight w:val="279" w:hRule="atLeast"/>
        </w:trPr>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▲整机结构</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 机箱符合 GB/T 4208、GB/T 26246的相关规定；</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 产品内部结构符合通用部件的安装需求；</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 所有输入输出接口符合相关国家或行业标准；</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d) 产品零部件紧固无松动，可插拔部件应可靠连接，开关、按钮和其它控制部件应灵活可靠，布局方便使用；</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e) 所有 I/O 连接器及需插接线缆的部位预留采购人操作空间，方便插拔解锁与插拔线缆；</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f) 可插拔板卡插槽部位预留安装、拆卸或更换板卡空间；</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g) 拆装可能接触到的金属剪口或金属尖角部位做防划伤处理，以保证安全；</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h) 整机内部走线应规整，固线结构和位置要合理可靠并做防割线处理，需便于理线和插拔操作，走线不影响系统各主要部件组装和拆卸；</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i) 如需通过孔走线，过线孔应做防割线处理；</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j) 各插头位置和插拔方向应合理，做到插拔无障碍设计，具备防呆设计，有效避免误操作；</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k) 各主要部件拆装无障碍，使用常规工具拆装，无特殊拆装工具需求；</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 各主要部件拆装步骤要少，各自拆装需避免相互干扰；</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m) 对于整机或零部件外表面为高亮面的，粘贴保护膜，保护膜需粘贴牢固，运输、组装等过程不易脱落，撕下无残留；</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n) 其它要求符合 GB/T 9813.1 的相关规定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▲机箱防护要求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机箱满足IP2X标准。</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▲整机噪音</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产品的声功率级为2.97 Bel</w:t>
            </w:r>
          </w:p>
        </w:tc>
      </w:tr>
      <w:tr>
        <w:tblPrEx>
          <w:tblCellMar>
            <w:top w:w="0" w:type="dxa"/>
            <w:left w:w="108" w:type="dxa"/>
            <w:bottom w:w="0" w:type="dxa"/>
            <w:right w:w="108" w:type="dxa"/>
          </w:tblCellMar>
        </w:tblPrEx>
        <w:trPr>
          <w:trHeight w:val="279" w:hRule="atLeast"/>
        </w:trPr>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▲整机散热</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在环境温度 25℃及处理器满载情况下，产品表面温度符合如下要求：</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 出风口在机箱后面板情况下，出风口温度不高于 55℃ ;</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 可触及面温度不高于 45℃ ;</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 显示器表面温度：显示屏不高于38℃，显示屏上下灯带位置温度（如涉及）不高于40℃,出风口温度不高于45℃</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▲整机能效限定值</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产品能效等级为1级</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▲机身材质</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前面板为塑胶件材质ABS，机箱为金属件材质SGCC</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▲机身颜色</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黑色</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▲机箱尺寸容量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机箱体积应不大于 30L</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CPU性能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物理核数</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物理核数为8核</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主频</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主频为2.8GHz</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末级缓存容量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末级缓存容量16MB</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支持的内存最高速率</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支持的内存最高速率2666MT/s</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内存性能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▲内存读写速率</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内存条最大读写速率3200MT/s</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显卡性能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▲显示分辨率</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≥1920x1080</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▲显卡显示芯片核心频率</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≥780MHz</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▲显存等效频率</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≥1600MT/s</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▲显卡可支持多屏同时显示数量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支持2块屏幕同时显示，分辨率1920*1080</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网络设备性能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▲有线网卡速率</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最高速率1000Mbps，支持10/100/1000速率自适应</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主板功能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▲内存扩展接口(板载内存不涉及)</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≥2个</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▲主板 USB瞬间过流保护</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usb接口供电芯片支持过流保护。</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▲主板防静电保护</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主板上所有对外接口都有TVS防静电管，支持防静电保护功能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▲I/O 接口功能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提供基于标准USB接口外设连接功能、基于音频输入输出接口的音频扩展功能、基于PCle接口板卡扩展功能、基于HDMI或VGA接口外接显示器扩展功能、基于存储接口对产品进行增容功能等。产品I/O接口具备外接标准USB设备、显示器、音频设备等内外部设备能力。</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显卡功能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▲显卡外接显示接口</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显卡支持 VGA、HDMI显示接口，并与显示器接口相匹配</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显示设备功能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▲显示器接口</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显示器应与显卡外接显示接口匹配</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▲显示器支架</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显示器提供显示器支架</w:t>
            </w:r>
          </w:p>
        </w:tc>
      </w:tr>
      <w:tr>
        <w:tblPrEx>
          <w:tblCellMar>
            <w:top w:w="0" w:type="dxa"/>
            <w:left w:w="108" w:type="dxa"/>
            <w:bottom w:w="0" w:type="dxa"/>
            <w:right w:w="108" w:type="dxa"/>
          </w:tblCellMar>
        </w:tblPrEx>
        <w:trPr>
          <w:trHeight w:val="279" w:hRule="atLeast"/>
        </w:trPr>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▲显示器参数调节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a)提供 OSD 选单按钮用于调节色彩、模式等；</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b)支持色温、亮度、对比度调节</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存储功能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▲存储功能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通过M.2 NVME固态存储提供存储</w:t>
            </w:r>
          </w:p>
        </w:tc>
      </w:tr>
      <w:tr>
        <w:tblPrEx>
          <w:tblCellMar>
            <w:top w:w="0" w:type="dxa"/>
            <w:left w:w="108" w:type="dxa"/>
            <w:bottom w:w="0" w:type="dxa"/>
            <w:right w:w="108" w:type="dxa"/>
          </w:tblCellMar>
        </w:tblPrEx>
        <w:trPr>
          <w:trHeight w:val="279" w:hRule="atLeast"/>
        </w:trPr>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网络设备功能</w:t>
            </w:r>
          </w:p>
        </w:tc>
        <w:tc>
          <w:tcPr>
            <w:tcW w:w="14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▲网络功能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a)支持网络连接、网络开启/关闭功能；</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b)支持访问网络和数据交换功能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67</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▲数据传输</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支持数据传输能力，并提供数据流量和异常日志记录功能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68</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▲有线网卡接口类型</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 RJ45 接口</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69</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▲网络设备拆装</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网络设备支持物理拆装，包括无线网卡和蓝牙模块等</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外部接口功能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▲音频接口类型</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3.5mm孔径3段式</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71</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▲视频接口类型</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支持1个HDMI接口和1个VGA接口</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72</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▲HDMI、DP、Type-C 显示接口要求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HDMI支持音频和视频同步输出</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73</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电源功能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▲电源线适配能力</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电线组件具有CCC认证</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74</w:t>
            </w:r>
          </w:p>
        </w:tc>
        <w:tc>
          <w:tcPr>
            <w:tcW w:w="536"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操作系统</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▲中文信息处理要求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 GB 18030 的相关规定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75</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及软件功能</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▲操作系统备份及还原功能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支持操作系统备份及还原功能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76</w:t>
            </w:r>
          </w:p>
        </w:tc>
        <w:tc>
          <w:tcPr>
            <w:tcW w:w="536"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rPr>
            </w:pPr>
            <w:r>
              <w:rPr>
                <w:rFonts w:hint="eastAsia" w:ascii="等线" w:hAnsi="等线" w:eastAsia="等线" w:cs="宋体"/>
                <w:color w:val="000000"/>
                <w:kern w:val="0"/>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▲固件备份还原能力</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支持备份及还原固件的功能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77</w:t>
            </w:r>
          </w:p>
        </w:tc>
        <w:tc>
          <w:tcPr>
            <w:tcW w:w="536"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rPr>
            </w:pPr>
            <w:r>
              <w:rPr>
                <w:rFonts w:hint="eastAsia" w:ascii="等线" w:hAnsi="等线" w:eastAsia="等线" w:cs="宋体"/>
                <w:color w:val="000000"/>
                <w:kern w:val="0"/>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▲操作系统及驱动升级</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支持通过网络、闪存盘等方式对操作 系统、驱动进行升级</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78</w:t>
            </w:r>
          </w:p>
        </w:tc>
        <w:tc>
          <w:tcPr>
            <w:tcW w:w="536"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rPr>
            </w:pPr>
            <w:r>
              <w:rPr>
                <w:rFonts w:hint="eastAsia" w:ascii="等线" w:hAnsi="等线" w:eastAsia="等线" w:cs="宋体"/>
                <w:color w:val="000000"/>
                <w:kern w:val="0"/>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▲固件升级</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支持通过网络、闪存盘等方式对固件 进行升级</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79</w:t>
            </w:r>
          </w:p>
        </w:tc>
        <w:tc>
          <w:tcPr>
            <w:tcW w:w="536"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rPr>
            </w:pPr>
            <w:r>
              <w:rPr>
                <w:rFonts w:hint="eastAsia" w:ascii="等线" w:hAnsi="等线" w:eastAsia="等线" w:cs="宋体"/>
                <w:color w:val="000000"/>
                <w:kern w:val="0"/>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▲BIOS支持关闭通讯接口</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 BIOS 关闭以太网及 USB 接口</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536"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rPr>
            </w:pPr>
            <w:r>
              <w:rPr>
                <w:rFonts w:hint="eastAsia" w:ascii="等线" w:hAnsi="等线" w:eastAsia="等线" w:cs="宋体"/>
                <w:color w:val="000000"/>
                <w:kern w:val="0"/>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▲固件查看信息</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支持查看固件版本、内存信息、主板 信息、处理器信息和系统时间信息等 功能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81</w:t>
            </w:r>
          </w:p>
        </w:tc>
        <w:tc>
          <w:tcPr>
            <w:tcW w:w="536"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rPr>
            </w:pPr>
            <w:r>
              <w:rPr>
                <w:rFonts w:hint="eastAsia" w:ascii="等线" w:hAnsi="等线" w:eastAsia="等线" w:cs="宋体"/>
                <w:color w:val="000000"/>
                <w:kern w:val="0"/>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▲固件设置启动顺序</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支持设置启动顺序功能，并按照设置 的启动顺序启动</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82</w:t>
            </w:r>
          </w:p>
        </w:tc>
        <w:tc>
          <w:tcPr>
            <w:tcW w:w="536"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rPr>
            </w:pPr>
            <w:r>
              <w:rPr>
                <w:rFonts w:hint="eastAsia" w:ascii="等线" w:hAnsi="等线" w:eastAsia="等线" w:cs="宋体"/>
                <w:color w:val="000000"/>
                <w:kern w:val="0"/>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▲固件设置口令</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支持设置口令、修改口令、验证口令 功能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83</w:t>
            </w:r>
          </w:p>
        </w:tc>
        <w:tc>
          <w:tcPr>
            <w:tcW w:w="536"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rPr>
            </w:pPr>
            <w:r>
              <w:rPr>
                <w:rFonts w:hint="eastAsia" w:ascii="等线" w:hAnsi="等线" w:eastAsia="等线" w:cs="宋体"/>
                <w:color w:val="000000"/>
                <w:kern w:val="0"/>
              </w:rPr>
              <w:t>　</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▲固件设置网络引导</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支持网络引导启动和关闭功能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84</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存储设备可靠性</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▲固态存储寿命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TBW≥80TB</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▲机械硬盘寿命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通电时间≥5万小时</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86</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显示设备可靠性</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▲显示屏屏幕失效点</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符合GB/T 9813.2 的要求</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87</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外设可靠性</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▲键盘按键寿命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≥1000万次</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88</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▲鼠标按键寿命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≥500万次</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89</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▲键盘鼠标线材寿命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键盘鼠标所用线材经±60 °弯折不低 于 3000 次，功能、外观完好</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▲风扇寿命</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 万小时</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91</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整机可靠性要求</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▲电磁兼容性要求的抗扰度</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 GB/T 9254.2 的规定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92</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▲环境条件要求的气候环境适应性</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 GB/T 9813.1 中规定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93</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▲环境条件要求的振动适应性</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 GB/T 9813.1 中规定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94</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▲环境条件要求的冲击适应性</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 GB/T 9813.1 中规定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▲环境条件要求的碰撞适应性</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 GB/T 9813.1 中规定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96</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▲环境条件要求的运输包装件跌落适应性</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 GB/T 9813.1 中规定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▲MTBF 测试</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bookmarkStart w:id="418" w:name="RANGE!D120"/>
            <w:r>
              <w:rPr>
                <w:rFonts w:hint="eastAsia" w:ascii="仿宋" w:hAnsi="仿宋" w:eastAsia="仿宋" w:cs="宋体"/>
                <w:color w:val="000000"/>
                <w:kern w:val="0"/>
                <w:sz w:val="24"/>
                <w:szCs w:val="24"/>
              </w:rPr>
              <w:t>MTBF(m1)≥20 万小时</w:t>
            </w:r>
            <w:bookmarkEnd w:id="418"/>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98</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兼容要求</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▲常用软件兼容</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支持流式软件、版式软件、浏览器、邮件采购人端、解压软件、多媒体、图形图像处理等常用软件</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99</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▲数据库兼容</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兼容3个及以上厂商的数据库产品</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▲中间件兼容</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兼容3个及以上厂商中间件产品</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▲平台软件兼容</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兼容3个及以上厂商云计算及大数据平台</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102</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包装及运输要求</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▲标志、包装、运输和贮存</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 GB/T 9813.1 和商品包装政府采购需求标准的相关规定</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103</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服务要求</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▲配置检查工具</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配置检查工具。</w:t>
            </w:r>
          </w:p>
        </w:tc>
      </w:tr>
      <w:tr>
        <w:tblPrEx>
          <w:tblCellMar>
            <w:top w:w="0" w:type="dxa"/>
            <w:left w:w="108" w:type="dxa"/>
            <w:bottom w:w="0" w:type="dxa"/>
            <w:right w:w="108" w:type="dxa"/>
          </w:tblCellMar>
        </w:tblPrEx>
        <w:trPr>
          <w:trHeight w:val="279" w:hRule="atLeast"/>
        </w:trPr>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104</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▲服务响应</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a)供应商提供电话、电子邮件、远程连接等多种形式服务；</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b)供应商提供同城 4h、异地 12h 技术响应服务，2个工作日解决问题，对于未能解决的问题和故障提供可行的升级方案，并提供周转设备或更换设备；</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c)建立全国技术服务体系和服务团体，符合专业服务体系标准要求，提供原厂中文服务；</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d)服务周期内提供产品的维修、换件和升级服务</w:t>
            </w:r>
          </w:p>
        </w:tc>
      </w:tr>
      <w:tr>
        <w:tblPrEx>
          <w:tblCellMar>
            <w:top w:w="0" w:type="dxa"/>
            <w:left w:w="108" w:type="dxa"/>
            <w:bottom w:w="0" w:type="dxa"/>
            <w:right w:w="108" w:type="dxa"/>
          </w:tblCellMar>
        </w:tblPrEx>
        <w:trPr>
          <w:trHeight w:val="279" w:hRule="atLeast"/>
        </w:trPr>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105</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▲服务周期</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 设备停产后应继续提供质量保障服务（含备品备件），服务终止时间与最后一批设备交付时间间隔不低于6年；</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 产品停止服务时间提前 1 年告知；</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 明确产品发布日期</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106</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▲预装操作系统</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预装符合桌面操作系统政府采购需求标准的正版操作系统，免费3年升级服务</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107</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▲培训服务</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供应商提供培训材料、产品手册、培训视频等培训相关内容</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108</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▲典型问题解决手册</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供应商提供典型问题解决说明文档或视频</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109</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▲厂家升级软件与扩容服务</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供应商提供上门升级部件/软件与扩容的增值服务</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110</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▲整机质量服务要求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免费服务周期（含换件和维修）不小于 3 年</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111</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▲合格证书要求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供应商提供产品合格证</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112</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▲开箱组装/使用指导要求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供应商提供开箱组装/使用指导</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113</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▲驱动下载服务要求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供应商提供驱动光盘或下载方式</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114</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▲兼容适配软件下载服务要求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供应商提供兼容适配软件下载渠道（光盘、网站）</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115</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供应链合规性</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▲产品部件保障</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供应商保障产品主要部件，提供 6年的备件服务能力（自购买之日起），或提供可兼容原设备的升级换代产品</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116</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供应链质量</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▲抗干扰性</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当产品部件出现供应风险时，供应商通知采购人并提供风险应对方案确保产品的服务保障</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117</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▲供应能力证明</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供应商提供供应链稳定承诺书，确保产品的部件在产品服务周期内稳定供货</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118</w:t>
            </w:r>
          </w:p>
        </w:tc>
        <w:tc>
          <w:tcPr>
            <w:tcW w:w="536"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关键部件安全要求</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▲关键部件安全要求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和操作系统等关键部件应当符合安全可靠测评要求</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119</w:t>
            </w:r>
          </w:p>
        </w:tc>
        <w:tc>
          <w:tcPr>
            <w:tcW w:w="5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整机安全性要求</w:t>
            </w: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▲密码算法实现</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CPU 芯片应符合 GM/T 0008 的相关规定，或芯片密码模块应符合 GB/T 37092 或 GM/T 0028 的相关规定</w:t>
            </w:r>
          </w:p>
        </w:tc>
      </w:tr>
      <w:tr>
        <w:tblPrEx>
          <w:tblCellMar>
            <w:top w:w="0" w:type="dxa"/>
            <w:left w:w="108" w:type="dxa"/>
            <w:bottom w:w="0" w:type="dxa"/>
            <w:right w:w="108" w:type="dxa"/>
          </w:tblCellMar>
        </w:tblPrEx>
        <w:trPr>
          <w:trHeight w:val="279" w:hRule="atLeast"/>
        </w:trPr>
        <w:tc>
          <w:tcPr>
            <w:tcW w:w="40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120</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▲信息安全基本要求</w:t>
            </w:r>
          </w:p>
        </w:tc>
        <w:tc>
          <w:tcPr>
            <w:tcW w:w="261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 产品应符合 GB/T 39276 的 5.2 的 规定；</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b) 生产厂商应建立漏洞跟踪表，保证 产品版本涉及到的漏洞(如驱动程序等)可查看；</w:t>
            </w:r>
          </w:p>
        </w:tc>
      </w:tr>
      <w:tr>
        <w:tblPrEx>
          <w:tblCellMar>
            <w:top w:w="0" w:type="dxa"/>
            <w:left w:w="108" w:type="dxa"/>
            <w:bottom w:w="0" w:type="dxa"/>
            <w:right w:w="108" w:type="dxa"/>
          </w:tblCellMar>
        </w:tblPrEx>
        <w:trPr>
          <w:trHeight w:val="279" w:hRule="atLeast"/>
        </w:trPr>
        <w:tc>
          <w:tcPr>
            <w:tcW w:w="401"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 产品不得包含已知的恶意代码或 漏洞，不存在未声明的指令、功能、 接口</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121</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▲固件安全启动</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支持固件安全启动功能，固件启动过程中只有通过启动校验才能正常启动。提供BIOS操作手册</w:t>
            </w:r>
          </w:p>
        </w:tc>
      </w:tr>
      <w:tr>
        <w:tblPrEx>
          <w:tblCellMar>
            <w:top w:w="0" w:type="dxa"/>
            <w:left w:w="108" w:type="dxa"/>
            <w:bottom w:w="0" w:type="dxa"/>
            <w:right w:w="108" w:type="dxa"/>
          </w:tblCellMar>
        </w:tblPrEx>
        <w:trPr>
          <w:trHeight w:val="279" w:hRule="atLeast"/>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122</w:t>
            </w:r>
          </w:p>
        </w:tc>
        <w:tc>
          <w:tcPr>
            <w:tcW w:w="53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szCs w:val="24"/>
              </w:rPr>
            </w:pPr>
          </w:p>
        </w:tc>
        <w:tc>
          <w:tcPr>
            <w:tcW w:w="145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▲限用物质的限量要求</w:t>
            </w:r>
          </w:p>
        </w:tc>
        <w:tc>
          <w:tcPr>
            <w:tcW w:w="261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符合 GB/T 26572 中规定</w:t>
            </w:r>
          </w:p>
        </w:tc>
      </w:tr>
    </w:tbl>
    <w:p>
      <w:pPr>
        <w:spacing w:line="560" w:lineRule="exact"/>
        <w:ind w:firstLine="482" w:firstLineChars="200"/>
        <w:jc w:val="left"/>
        <w:rPr>
          <w:rFonts w:hint="eastAsia" w:ascii="仿宋" w:hAnsi="仿宋" w:eastAsia="仿宋" w:cs="仿宋"/>
          <w:b/>
          <w:bCs/>
          <w:sz w:val="24"/>
          <w:szCs w:val="24"/>
        </w:rPr>
      </w:pPr>
    </w:p>
    <w:p>
      <w:pPr>
        <w:spacing w:line="56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（三）操作系统技术要求</w:t>
      </w:r>
    </w:p>
    <w:tbl>
      <w:tblPr>
        <w:tblStyle w:val="64"/>
        <w:tblW w:w="5000" w:type="pct"/>
        <w:tblInd w:w="0" w:type="dxa"/>
        <w:tblLayout w:type="autofit"/>
        <w:tblCellMar>
          <w:top w:w="0" w:type="dxa"/>
          <w:left w:w="108" w:type="dxa"/>
          <w:bottom w:w="0" w:type="dxa"/>
          <w:right w:w="108" w:type="dxa"/>
        </w:tblCellMar>
      </w:tblPr>
      <w:tblGrid>
        <w:gridCol w:w="719"/>
        <w:gridCol w:w="940"/>
        <w:gridCol w:w="1425"/>
        <w:gridCol w:w="1505"/>
        <w:gridCol w:w="3906"/>
      </w:tblGrid>
      <w:tr>
        <w:tblPrEx>
          <w:tblCellMar>
            <w:top w:w="0" w:type="dxa"/>
            <w:left w:w="108" w:type="dxa"/>
            <w:bottom w:w="0" w:type="dxa"/>
            <w:right w:w="108" w:type="dxa"/>
          </w:tblCellMar>
        </w:tblPrEx>
        <w:trPr>
          <w:trHeight w:val="495"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b/>
                <w:bCs/>
                <w:kern w:val="0"/>
                <w:sz w:val="24"/>
                <w:szCs w:val="24"/>
              </w:rPr>
            </w:pPr>
            <w:bookmarkStart w:id="419" w:name="_Hlk177742618"/>
            <w:r>
              <w:rPr>
                <w:rFonts w:hint="eastAsia" w:ascii="仿宋" w:hAnsi="仿宋" w:eastAsia="仿宋" w:cstheme="minorEastAsia"/>
                <w:b/>
                <w:bCs/>
                <w:kern w:val="0"/>
                <w:sz w:val="24"/>
                <w:szCs w:val="24"/>
              </w:rPr>
              <w:t>序号</w:t>
            </w:r>
          </w:p>
        </w:tc>
        <w:tc>
          <w:tcPr>
            <w:tcW w:w="55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b/>
                <w:bCs/>
                <w:kern w:val="0"/>
                <w:sz w:val="24"/>
                <w:szCs w:val="24"/>
              </w:rPr>
            </w:pPr>
            <w:r>
              <w:rPr>
                <w:rFonts w:hint="eastAsia" w:ascii="仿宋" w:hAnsi="仿宋" w:eastAsia="仿宋" w:cstheme="minorEastAsia"/>
                <w:b/>
                <w:bCs/>
                <w:kern w:val="0"/>
                <w:sz w:val="24"/>
                <w:szCs w:val="24"/>
              </w:rPr>
              <w:t>指标</w:t>
            </w:r>
          </w:p>
          <w:p>
            <w:pPr>
              <w:widowControl/>
              <w:jc w:val="center"/>
              <w:rPr>
                <w:rFonts w:hint="eastAsia" w:ascii="仿宋" w:hAnsi="仿宋" w:eastAsia="仿宋" w:cstheme="minorEastAsia"/>
                <w:b/>
                <w:bCs/>
                <w:kern w:val="0"/>
                <w:sz w:val="24"/>
                <w:szCs w:val="24"/>
              </w:rPr>
            </w:pPr>
            <w:r>
              <w:rPr>
                <w:rFonts w:hint="eastAsia" w:ascii="仿宋" w:hAnsi="仿宋" w:eastAsia="仿宋" w:cstheme="minorEastAsia"/>
                <w:b/>
                <w:bCs/>
                <w:kern w:val="0"/>
                <w:sz w:val="24"/>
                <w:szCs w:val="24"/>
              </w:rPr>
              <w:t>分类</w:t>
            </w:r>
          </w:p>
        </w:tc>
        <w:tc>
          <w:tcPr>
            <w:tcW w:w="83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b/>
                <w:bCs/>
                <w:kern w:val="0"/>
                <w:sz w:val="24"/>
                <w:szCs w:val="24"/>
              </w:rPr>
            </w:pPr>
            <w:r>
              <w:fldChar w:fldCharType="begin"/>
            </w:r>
            <w:r>
              <w:instrText xml:space="preserve"> HYPERLINK "file:///C:\\Users\\72958\\Desktop\\桌面内容\\新城公安云桌面\\招标\\计算机、服务器、操作系统等政府采购需求标准（2023年版）\\操作系统政府采购需求标准-需求.xlsx" \l "RANGE!A6" </w:instrText>
            </w:r>
            <w:r>
              <w:fldChar w:fldCharType="separate"/>
            </w:r>
            <w:r>
              <w:rPr>
                <w:rFonts w:hint="eastAsia" w:ascii="仿宋" w:hAnsi="仿宋" w:eastAsia="仿宋" w:cstheme="minorEastAsia"/>
                <w:b/>
                <w:bCs/>
                <w:kern w:val="0"/>
                <w:sz w:val="24"/>
                <w:szCs w:val="24"/>
              </w:rPr>
              <w:t>一级指标1</w:t>
            </w:r>
            <w:r>
              <w:rPr>
                <w:rFonts w:hint="eastAsia" w:ascii="仿宋" w:hAnsi="仿宋" w:eastAsia="仿宋" w:cstheme="minorEastAsia"/>
                <w:b/>
                <w:bCs/>
                <w:kern w:val="0"/>
                <w:sz w:val="24"/>
                <w:szCs w:val="24"/>
              </w:rPr>
              <w:fldChar w:fldCharType="end"/>
            </w:r>
          </w:p>
        </w:tc>
        <w:tc>
          <w:tcPr>
            <w:tcW w:w="88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b/>
                <w:bCs/>
                <w:kern w:val="0"/>
                <w:sz w:val="24"/>
                <w:szCs w:val="24"/>
              </w:rPr>
            </w:pPr>
            <w:r>
              <w:rPr>
                <w:rFonts w:hint="eastAsia" w:ascii="仿宋" w:hAnsi="仿宋" w:eastAsia="仿宋" w:cstheme="minorEastAsia"/>
                <w:b/>
                <w:bCs/>
                <w:kern w:val="0"/>
                <w:sz w:val="24"/>
                <w:szCs w:val="24"/>
              </w:rPr>
              <w:t>二级指标</w:t>
            </w:r>
            <w:r>
              <w:rPr>
                <w:rFonts w:hint="eastAsia" w:ascii="仿宋" w:hAnsi="仿宋" w:eastAsia="仿宋" w:cstheme="minorEastAsia"/>
                <w:kern w:val="0"/>
                <w:sz w:val="24"/>
                <w:szCs w:val="24"/>
              </w:rPr>
              <w:t xml:space="preserve"> </w:t>
            </w:r>
            <w:r>
              <w:rPr>
                <w:rFonts w:hint="eastAsia" w:ascii="仿宋" w:hAnsi="仿宋" w:eastAsia="仿宋" w:cstheme="minorEastAsia"/>
                <w:b/>
                <w:bCs/>
                <w:kern w:val="0"/>
                <w:sz w:val="24"/>
                <w:szCs w:val="24"/>
              </w:rPr>
              <w:t>1</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b/>
                <w:bCs/>
                <w:kern w:val="0"/>
                <w:sz w:val="24"/>
                <w:szCs w:val="24"/>
              </w:rPr>
            </w:pPr>
            <w:r>
              <w:rPr>
                <w:rFonts w:hint="eastAsia" w:ascii="仿宋" w:hAnsi="仿宋" w:eastAsia="仿宋" w:cstheme="minorEastAsia"/>
                <w:b/>
                <w:bCs/>
                <w:kern w:val="0"/>
                <w:sz w:val="24"/>
                <w:szCs w:val="24"/>
              </w:rPr>
              <w:t>指标要求</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w:t>
            </w:r>
          </w:p>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多 CPU 架构</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▲同源兼容多</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CPU 平台架构</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操作系统同源兼容 ARM、LoongArch、MIPS、SW64、x86 等平台架构的 CPU</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w:t>
            </w:r>
          </w:p>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CPU 内置功能</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▲多核支持</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操作系统支持双核及多核处理器，支持核间负载均衡、线程绑定，并提供系统多核访问及调度接口</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▲CPU 虚拟化支持</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 CPU 虚拟化技术</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▲动态调节 CPU运行频率</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操作系统根据负载情况，自动调节 CPU的运行频率</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 CPU 运行时低功耗状态切换</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操作系统根据负载的情况，自动切换CPU 的低功耗状态</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 CPU 内置安全功能</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 CPU 硬件密码运算与随机数生成等功能，并提供标准接口供应用程序调用</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▲安装部署</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▲安装方式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操作系统支持光盘、USB 闪存盘和网络等安装方式</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▲安装过程配置</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操作系统支持安装界面文种设置，默认为简化汉字方式显示，提供时区设置、计算机名设置等</w:t>
            </w:r>
          </w:p>
        </w:tc>
      </w:tr>
      <w:tr>
        <w:tblPrEx>
          <w:tblCellMar>
            <w:top w:w="0" w:type="dxa"/>
            <w:left w:w="108" w:type="dxa"/>
            <w:bottom w:w="0" w:type="dxa"/>
            <w:right w:w="108" w:type="dxa"/>
          </w:tblCellMar>
        </w:tblPrEx>
        <w:trPr>
          <w:trHeight w:val="12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▲硬盘分区</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操作系统支持整个硬盘自动分区、自定义分区，支持逻辑分区配置（如 LVM），支持创建备份分区；自定义分区时能自动检测分区设置的合规性，删除已有分区或格式化硬盘提示告警信息</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▲双硬盘安装</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当计算机同时存在固态硬盘和机械硬盘时，自动分区优先将系统盘（或分区）设置在固态硬盘，优先将数据盘（或分区）设置在机械硬盘</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▲多系统安装</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操作系统能够识别已安装的其他系统，可自动复用引导分区等，并实现多系统引导</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▲加密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操作系统应提供基于分区的用户数据加密功能，保护用户存储区数据安全</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▲初始化备份</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操作系统应提供用户备份初始系统环境的功能</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▲保留用户数据</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用户重装操作系统时提供保留用户数据的功能</w:t>
            </w:r>
          </w:p>
        </w:tc>
      </w:tr>
      <w:tr>
        <w:tblPrEx>
          <w:tblCellMar>
            <w:top w:w="0" w:type="dxa"/>
            <w:left w:w="108" w:type="dxa"/>
            <w:bottom w:w="0" w:type="dxa"/>
            <w:right w:w="108" w:type="dxa"/>
          </w:tblCellMar>
        </w:tblPrEx>
        <w:trPr>
          <w:trHeight w:val="2430"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▲系统引导</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▲引导模式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操作系统应支持UEFI2.0 及以上规范固件引导：</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a）当计算机以 UEFI模式启动安装时，安装程序应分配 ESP，并在 ESP 中放置启动引导文件，使操作系统能以UEFI模式引导；</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b)当计算机固件不支持UEFI模式时，安装程序根据计算机固件提供的引导方式，安装系统引导代码或配置系统引导选单，使安装完的系统可以正常引导</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▲引导修复</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安装程序提供系统引导修复功能，当已安装的操作系统引导被破坏时，可重建系统引导</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▲其他安装要求</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▲图形化显示</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操作系统应提供安装过程图形化显示</w:t>
            </w:r>
          </w:p>
        </w:tc>
      </w:tr>
      <w:tr>
        <w:tblPrEx>
          <w:tblCellMar>
            <w:top w:w="0" w:type="dxa"/>
            <w:left w:w="108" w:type="dxa"/>
            <w:bottom w:w="0" w:type="dxa"/>
            <w:right w:w="108" w:type="dxa"/>
          </w:tblCellMar>
        </w:tblPrEx>
        <w:trPr>
          <w:trHeight w:val="1704"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▲安装提示</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操作系统在安装执行前明确提示用户可能会删除已有数据，并提供退出或取消功能；</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当用户取消安装时，不改变硬盘上已有数据；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如用户自定义的某些配置可能会影响后续的正常使用，予以明确提示</w:t>
            </w:r>
          </w:p>
        </w:tc>
      </w:tr>
      <w:tr>
        <w:tblPrEx>
          <w:tblCellMar>
            <w:top w:w="0" w:type="dxa"/>
            <w:left w:w="108" w:type="dxa"/>
            <w:bottom w:w="0" w:type="dxa"/>
            <w:right w:w="108" w:type="dxa"/>
          </w:tblCellMar>
        </w:tblPrEx>
        <w:trPr>
          <w:trHeight w:val="49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▲分辨率自适应</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操作系统安装完成后自动适配显示器最佳分辨率</w:t>
            </w:r>
          </w:p>
        </w:tc>
      </w:tr>
      <w:tr>
        <w:tblPrEx>
          <w:tblCellMar>
            <w:top w:w="0" w:type="dxa"/>
            <w:left w:w="108" w:type="dxa"/>
            <w:bottom w:w="0" w:type="dxa"/>
            <w:right w:w="108" w:type="dxa"/>
          </w:tblCellMar>
        </w:tblPrEx>
        <w:trPr>
          <w:trHeight w:val="24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▲系统内核</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▲内核要求</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a)若操作系统是基于 Linux 内核的微型计算机操作系统应兼容 5.4 版内核主要功能，包括进程管理、内存管理、任务调度、中断处理、并发与同步处理等；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b)若操作系统属于其他类型内核不做要求</w:t>
            </w:r>
          </w:p>
        </w:tc>
      </w:tr>
      <w:tr>
        <w:tblPrEx>
          <w:tblCellMar>
            <w:top w:w="0" w:type="dxa"/>
            <w:left w:w="108" w:type="dxa"/>
            <w:bottom w:w="0" w:type="dxa"/>
            <w:right w:w="108" w:type="dxa"/>
          </w:tblCellMar>
        </w:tblPrEx>
        <w:trPr>
          <w:trHeight w:val="49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▲进程管理</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▲进程调度</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操作系统支持进程创建、分组、删除及进程信息获取</w:t>
            </w:r>
          </w:p>
        </w:tc>
      </w:tr>
      <w:tr>
        <w:tblPrEx>
          <w:tblCellMar>
            <w:top w:w="0" w:type="dxa"/>
            <w:left w:w="108" w:type="dxa"/>
            <w:bottom w:w="0" w:type="dxa"/>
            <w:right w:w="108" w:type="dxa"/>
          </w:tblCellMar>
        </w:tblPrEx>
        <w:trPr>
          <w:trHeight w:val="49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▲优先级设置</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操作系统支持进程优先级设置，包括优先级范围设置、优先级调度策略设置等</w:t>
            </w:r>
          </w:p>
        </w:tc>
      </w:tr>
      <w:tr>
        <w:tblPrEx>
          <w:tblCellMar>
            <w:top w:w="0" w:type="dxa"/>
            <w:left w:w="108" w:type="dxa"/>
            <w:bottom w:w="0" w:type="dxa"/>
            <w:right w:w="108" w:type="dxa"/>
          </w:tblCellMar>
        </w:tblPrEx>
        <w:trPr>
          <w:trHeight w:val="49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▲地址映射</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操作系统支持进程内存地址的正向映射和反向映射</w:t>
            </w:r>
          </w:p>
        </w:tc>
      </w:tr>
      <w:tr>
        <w:tblPrEx>
          <w:tblCellMar>
            <w:top w:w="0" w:type="dxa"/>
            <w:left w:w="108" w:type="dxa"/>
            <w:bottom w:w="0" w:type="dxa"/>
            <w:right w:w="108" w:type="dxa"/>
          </w:tblCellMar>
        </w:tblPrEx>
        <w:trPr>
          <w:trHeight w:val="49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▲内存管理</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▲内存地址管理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操作系统支持基础连续虚拟地址、连续物理地址的申请、回收和释放</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▲内存管理单元</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操作系统支持内存管理单元，通过页表映射实现虚拟地址和物理地址的映射关系</w:t>
            </w:r>
          </w:p>
        </w:tc>
      </w:tr>
      <w:tr>
        <w:tblPrEx>
          <w:tblCellMar>
            <w:top w:w="0" w:type="dxa"/>
            <w:left w:w="108" w:type="dxa"/>
            <w:bottom w:w="0" w:type="dxa"/>
            <w:right w:w="108" w:type="dxa"/>
          </w:tblCellMar>
        </w:tblPrEx>
        <w:trPr>
          <w:trHeight w:val="1221"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▲buddy 分配器</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a)若操作系统基于Linux 内核，支持buddy 分配器，支持 slob、s lub 或 slab分配器；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b)若操作系统属于其他类型内核不做要求</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▲DMA 内存</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 DMA 内存的申请和释放，包括流式 DMA、一致性 DMA 以及大内存DMA</w:t>
            </w:r>
          </w:p>
        </w:tc>
      </w:tr>
      <w:tr>
        <w:tblPrEx>
          <w:tblCellMar>
            <w:top w:w="0" w:type="dxa"/>
            <w:left w:w="108" w:type="dxa"/>
            <w:bottom w:w="0" w:type="dxa"/>
            <w:right w:w="108" w:type="dxa"/>
          </w:tblCellMar>
        </w:tblPrEx>
        <w:trPr>
          <w:trHeight w:val="97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▲内存 zone 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a)若操作系统基于Linux 内核，操作系统支持内存 zone 管理；</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b)若操作系统属于其他类型内核不做要求</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29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▲内存分配方式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操作系统支持不交换硬盘的内存分配方式</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调用接口</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操作系统提供非文件形式的内存动态函数库调用接口，以满足敏感内存动态库的非文件形式调用需求</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▲任务调度</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▲上下文切换</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操作系统支持进程上下文切换</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▲进程负载均衡</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操作系统支持进程负载均衡调度方式</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▲调度方式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操作系统支持进程基于时间片的调度方式</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▲抢占调度方式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操作系统支持进程抢占调度方式</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▲中断处理</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▲中断处理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操作系统支持硬件中断号和软件中断号的映射、注册和处理；支持高精度时钟中断、类软中断和类tasklet 下半部中断处理；支持中断使能、屏蔽、亲和力处理以及中断抢占；支持中断工作队列处理，包括工作队列创建、初始化、调度和回收等</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▲并发与同步处</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      理</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▲并发同步处理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操作系统支持自旋锁、信号量、互斥体等原子操作；支持读写锁、类 RCU 原子操作；支持内存屏障操作</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▲中文支持要求</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▲字符编码</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操作系统符合 GB 18030 的要求</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▲字库</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操作系统提供符合 GB 18030 标准的字库，至少包括宋体、仿宋体、黑体、楷体及小标宋体在内的 5 种字库；支持曲线字库，可无级放缩字形大小，以适应不同分辨率的输出设备，输出字形应字形正确，字体规范；</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支持用户扩展安装字库</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39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▲输入法</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操作系统应内置输入法框架；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至少提供一种音码和一种型码输入法；支持 GB 18030 中已编码的语言文字输入法的安装使用</w:t>
            </w:r>
          </w:p>
        </w:tc>
      </w:tr>
      <w:tr>
        <w:tblPrEx>
          <w:tblCellMar>
            <w:top w:w="0" w:type="dxa"/>
            <w:left w:w="108" w:type="dxa"/>
            <w:bottom w:w="0" w:type="dxa"/>
            <w:right w:w="108" w:type="dxa"/>
          </w:tblCellMar>
        </w:tblPrEx>
        <w:trPr>
          <w:trHeight w:val="144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▲输入法标准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操作系统提供的通用键盘输入法应符合 GB/T 19246—2003 要求；</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如提供手写输入法，应符合 GB/T 18790—2010 要求；</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如提供语音输入法，应符合 GB/T 21023—2007 要求</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互联网输入法</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操作系统支持主流互联网输入法，支持输入法词库在线更新</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▲输出</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系统配置的字库能被工具或软件正常调用打印和显示</w:t>
            </w:r>
          </w:p>
        </w:tc>
      </w:tr>
      <w:tr>
        <w:tblPrEx>
          <w:tblCellMar>
            <w:top w:w="0" w:type="dxa"/>
            <w:left w:w="108" w:type="dxa"/>
            <w:bottom w:w="0" w:type="dxa"/>
            <w:right w:w="108" w:type="dxa"/>
          </w:tblCellMar>
        </w:tblPrEx>
        <w:trPr>
          <w:trHeight w:val="39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▲表示</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操作系统提供中文界面显示，提供符合要求的日期、星期、上下午、时间、货币、数字等显示及表示方式</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▲系统管理要求</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▲系统信息</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操作系统提供系统信息查看工具，支持用户查看系统版本、内核版本、内存容量、CPU 型号等信息</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▲系统资源管理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操作系统提供系统资源管理工具并图形化显示进程信息、资源信息、文件资源信息等</w:t>
            </w:r>
          </w:p>
        </w:tc>
      </w:tr>
      <w:tr>
        <w:tblPrEx>
          <w:tblCellMar>
            <w:top w:w="0" w:type="dxa"/>
            <w:left w:w="108" w:type="dxa"/>
            <w:bottom w:w="0" w:type="dxa"/>
            <w:right w:w="108" w:type="dxa"/>
          </w:tblCellMar>
        </w:tblPrEx>
        <w:trPr>
          <w:trHeight w:val="49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▲硬盘管理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操作系统提供硬盘管理工具，显示硬盘容量及硬盘信息，支持新建和删除硬盘分区，分区支持 EXT3、EXT4、FAT32、NTFS、XFS、exFAT、Btrfs 等文件系统格式</w:t>
            </w:r>
          </w:p>
        </w:tc>
      </w:tr>
      <w:tr>
        <w:tblPrEx>
          <w:tblCellMar>
            <w:top w:w="0" w:type="dxa"/>
            <w:left w:w="108" w:type="dxa"/>
            <w:bottom w:w="0" w:type="dxa"/>
            <w:right w:w="108" w:type="dxa"/>
          </w:tblCellMar>
        </w:tblPrEx>
        <w:trPr>
          <w:trHeight w:val="144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▲设备信息</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操作系统提供设备信息工具，显示 CPU、内存、主板、存储、网卡、声卡、电源、USB、蓝牙等参数信息，显示硬件信息、计算机型号和操作系统信息、设备驱动状态（启用或禁用），并支持设备启用、禁用状态设置</w:t>
            </w:r>
          </w:p>
        </w:tc>
      </w:tr>
      <w:tr>
        <w:tblPrEx>
          <w:tblCellMar>
            <w:top w:w="0" w:type="dxa"/>
            <w:left w:w="108" w:type="dxa"/>
            <w:bottom w:w="0" w:type="dxa"/>
            <w:right w:w="108" w:type="dxa"/>
          </w:tblCellMar>
        </w:tblPrEx>
        <w:trPr>
          <w:trHeight w:val="4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▲文件管理器</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操作系统支持按文件名、文件类型、文件修改时间、文件大小排序显示文件；支持文本文件、图片文件和视频文件首帧的预览；</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显示当前用户的主目录、桌面、文档、下载、回收站等文件资源；</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支持对光驱、闪存盘的访问；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支持对网络资源的访问，包括 SMB、FTP、NFS 等协议下的网络资源；</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支持通过地址栏输入绝对路径定位文件夹；</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支持文件按照列表显示或网格图标显示；</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支持新建文件、文件夹和快捷方式，并支持扩展新建的文件类型；</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支持全选当前文件夹所有文件，支持文件多选、反选；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支持复制、粘贴、删除、剪切、重命名、压缩等文件操作；</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支持选择文件打开方式，可以使用默认用程序打开，并支持修改默认用程序；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支持按文件名、修改时间、文件大小等搜索</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49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全文搜索</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操作系统支持全文搜索，文件类型包括OFD、UOF、PDF、OOXML、纯文本、网页、XML、sh 脚本等</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▲本地帐户管理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操作系统提供图形管理界面，支持帐户和用户组管理，支持口令、头像、权限设置，支持口令修改，支持重设管理帐户口令</w:t>
            </w:r>
          </w:p>
        </w:tc>
      </w:tr>
      <w:tr>
        <w:tblPrEx>
          <w:tblCellMar>
            <w:top w:w="0" w:type="dxa"/>
            <w:left w:w="108" w:type="dxa"/>
            <w:bottom w:w="0" w:type="dxa"/>
            <w:right w:w="108" w:type="dxa"/>
          </w:tblCellMar>
        </w:tblPrEx>
        <w:trPr>
          <w:trHeight w:val="90"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▲登录管理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操作系统支持本地帐户、LDAP 帐户鉴别登录，提供口令、指纹、人脸、U-Key等多种鉴别方式登录，支持本地帐户免口令登录和自动登录</w:t>
            </w:r>
          </w:p>
        </w:tc>
      </w:tr>
      <w:tr>
        <w:tblPrEx>
          <w:tblCellMar>
            <w:top w:w="0" w:type="dxa"/>
            <w:left w:w="108" w:type="dxa"/>
            <w:bottom w:w="0" w:type="dxa"/>
            <w:right w:w="108" w:type="dxa"/>
          </w:tblCellMar>
        </w:tblPrEx>
        <w:trPr>
          <w:trHeight w:val="23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▲鼠标管理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操作系统提供图形化鼠标管理工具；</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支持鼠标灵敏度、滚轮方向的设置与测试；</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支持左右手习惯设置；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对于带触控板的微型计算机，应具有触控板管理功能，包括启动与禁止及相应的防误触等功能</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▲键盘管理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操作系统提供键盘图形化管理工具；</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支持重复键延时及速度设置；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支持数字键盘、大写锁定提示</w:t>
            </w:r>
          </w:p>
        </w:tc>
      </w:tr>
      <w:tr>
        <w:tblPrEx>
          <w:tblCellMar>
            <w:top w:w="0" w:type="dxa"/>
            <w:left w:w="108" w:type="dxa"/>
            <w:bottom w:w="0" w:type="dxa"/>
            <w:right w:w="108" w:type="dxa"/>
          </w:tblCellMar>
        </w:tblPrEx>
        <w:trPr>
          <w:trHeight w:val="73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▲显示管理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操作系统支持屏幕分辨率设置；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支持屏幕刷新率设置；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支持屏幕亮度设置；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支持屏幕显示冷暖色温手动、自动调节；</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支持多个屏幕以复制、扩展、单独方式输出显示，支持多个屏幕显示位置设置，支持各屏幕显示方向独立设置；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 4K 高分辨率屏幕显示，支持手动和自适应匹配设置窗口等比缩放显示；</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支持超宽屏显示，如：21:9、32:9 的显示器；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支持触屏功能，包括选择、点击、双击、滚动等操作；</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支持登录界面、锁屏界面、系统桌面的背景图片设置；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支持屏幕保护定时设置和帐户口令鉴权恢复</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▲声音管理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操作系统支持输出音量大小设置、静音设置；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支持系统默认音效配置；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支持输入输出设备配置；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支持输入噪音抑制开关设置；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支持输出音量增强开关设置；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支持输出声道左右平衡设置</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▲快捷键管理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操作系统支持预先定义系统快捷键；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支持自定义快捷键</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▲时间日期管理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操作系统支持图形化显示；</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支持系统日期、时间设置；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支持时区设置；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支持网络时钟同步设置</w:t>
            </w:r>
          </w:p>
        </w:tc>
      </w:tr>
      <w:tr>
        <w:tblPrEx>
          <w:tblCellMar>
            <w:top w:w="0" w:type="dxa"/>
            <w:left w:w="108" w:type="dxa"/>
            <w:bottom w:w="0" w:type="dxa"/>
            <w:right w:w="108" w:type="dxa"/>
          </w:tblCellMar>
        </w:tblPrEx>
        <w:trPr>
          <w:trHeight w:val="67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▲电源管理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操作系统支持空闲时显示器转入待机的时间设置；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支持空闲时计算机转入屏幕保护的时间设置；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支持屏幕显示亮度设置；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便携式计算机使用时支持高性能、平衡、节能等模式设置</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59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▲输入法管理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操作系统支持添加和删除输入法；</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支持快捷键设置，包括输入法启动、输入法激活/非激活切换、顺序切换等；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支持多种输入法共存</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▲默认登录语言</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按照安装时选择的文种类型作为初次登录系统文种</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多语言图形界面</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 GB18030 规定的文种的语言环境，支持已安装文种切换显示设置</w:t>
            </w:r>
          </w:p>
        </w:tc>
      </w:tr>
      <w:tr>
        <w:tblPrEx>
          <w:tblCellMar>
            <w:top w:w="0" w:type="dxa"/>
            <w:left w:w="108" w:type="dxa"/>
            <w:bottom w:w="0" w:type="dxa"/>
            <w:right w:w="108" w:type="dxa"/>
          </w:tblCellMar>
        </w:tblPrEx>
        <w:trPr>
          <w:trHeight w:val="264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▲打印机管理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操作系统支持添加和删除打印机；</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支持添加本地打印机、网络打印机及共享打印机；</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支持打印机共享；</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支持查看打印机列表；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支持任务队列管理，包括取消、暂停、挂起；</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支持页面设置；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提供接口查询打印机打印状态，包括指定文件打印成功的页数、份数、页码及打印失败的文件名和页码等信息</w:t>
            </w:r>
          </w:p>
        </w:tc>
      </w:tr>
      <w:tr>
        <w:tblPrEx>
          <w:tblCellMar>
            <w:top w:w="0" w:type="dxa"/>
            <w:left w:w="108" w:type="dxa"/>
            <w:bottom w:w="0" w:type="dxa"/>
            <w:right w:w="108" w:type="dxa"/>
          </w:tblCellMar>
        </w:tblPrEx>
        <w:trPr>
          <w:trHeight w:val="73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▲外设管控</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操作系统支持动态显示未授权设备信息；</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支持接口控制、设备控制、权限控制等（接口包括 USB、蓝牙、网络接口等；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设备包括打印机、摄录设备、USB 存储设备等；权限包括读、写、执行等）；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支持按设备类型、设备 ID、接口等配置设备接入黑白名单策略；</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提供完整的连接记录，记录可追溯</w:t>
            </w:r>
          </w:p>
        </w:tc>
      </w:tr>
      <w:tr>
        <w:tblPrEx>
          <w:tblCellMar>
            <w:top w:w="0" w:type="dxa"/>
            <w:left w:w="108" w:type="dxa"/>
            <w:bottom w:w="0" w:type="dxa"/>
            <w:right w:w="108" w:type="dxa"/>
          </w:tblCellMar>
        </w:tblPrEx>
        <w:trPr>
          <w:trHeight w:val="144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▲隐私文件保护</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操作系统提供基于独立口令和密钥保护的文件保险箱；</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支持口令和透明加解密鉴权访问文件保险箱内的文件和文件夹；</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支持手动上锁文件保险箱；</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支持通过密钥找回口令</w:t>
            </w:r>
          </w:p>
        </w:tc>
      </w:tr>
      <w:tr>
        <w:tblPrEx>
          <w:tblCellMar>
            <w:top w:w="0" w:type="dxa"/>
            <w:left w:w="108" w:type="dxa"/>
            <w:bottom w:w="0" w:type="dxa"/>
            <w:right w:w="108" w:type="dxa"/>
          </w:tblCellMar>
        </w:tblPrEx>
        <w:trPr>
          <w:trHeight w:val="40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▲网络管理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支持图形化显示；</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 DNS 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 IPV4/IPV6 地址配置；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支持自动获取网络地址；</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支持网关设置；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支持手动/自动设置网络代理服务器，支持 HTTP、HTTPS、FTP、SOCKS 等多种协议；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支持无线网络管理，包括连接或断开网络、配置口令、手动刷新无线热点列表等；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支持个人热点共享，包括有线、无线网络生成的网络热点；</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 L2TP、PPTP、OpenVPN、StrongSwan类型的 VPN 连接，支持新增、导入、编辑和删除连接配置，支持启用或禁用VPN 自动连接</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▲默认应用程序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操作系统提供默认用程序管理工具，支持预先定义和修改指定用类型的默认程序，包括图片、文本、音视频、网页、邮件</w:t>
            </w:r>
          </w:p>
        </w:tc>
      </w:tr>
      <w:tr>
        <w:tblPrEx>
          <w:tblCellMar>
            <w:top w:w="0" w:type="dxa"/>
            <w:left w:w="108" w:type="dxa"/>
            <w:bottom w:w="0" w:type="dxa"/>
            <w:right w:w="108" w:type="dxa"/>
          </w:tblCellMar>
        </w:tblPrEx>
        <w:trPr>
          <w:trHeight w:val="3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应用商店</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支持应用软件可视化管理；</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支持按日常办公、网络应用、多媒体、安全软件、应用开发、游戏娱乐等分类显示；</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支持应用软件搜索功能；</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支持应用软件推荐、下载、安装、卸载和升级</w:t>
            </w:r>
          </w:p>
        </w:tc>
      </w:tr>
      <w:tr>
        <w:tblPrEx>
          <w:tblCellMar>
            <w:top w:w="0" w:type="dxa"/>
            <w:left w:w="108" w:type="dxa"/>
            <w:bottom w:w="0" w:type="dxa"/>
            <w:right w:w="108" w:type="dxa"/>
          </w:tblCellMar>
        </w:tblPrEx>
        <w:trPr>
          <w:trHeight w:val="144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▲通知管理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操作系统任务栏提供通知中心图标，并显示消息提醒；</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系统和应用使用通知接口发送通知消息；</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支持对通知消息的管理，包括显示、删除、清理等</w:t>
            </w:r>
          </w:p>
        </w:tc>
      </w:tr>
      <w:tr>
        <w:tblPrEx>
          <w:tblCellMar>
            <w:top w:w="0" w:type="dxa"/>
            <w:left w:w="108" w:type="dxa"/>
            <w:bottom w:w="0" w:type="dxa"/>
            <w:right w:w="108" w:type="dxa"/>
          </w:tblCellMar>
        </w:tblPrEx>
        <w:trPr>
          <w:trHeight w:val="144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69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▲主题管理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操作系统提供图形化主题管理工具；</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支持以深色、浅色和昼夜切换自动配色方式显示系统图形化界面；</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支持系统主题颜色设置；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支持系统图标主题设置；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支持系统光标主题设置</w:t>
            </w:r>
          </w:p>
        </w:tc>
      </w:tr>
      <w:tr>
        <w:tblPrEx>
          <w:tblCellMar>
            <w:top w:w="0" w:type="dxa"/>
            <w:left w:w="108" w:type="dxa"/>
            <w:bottom w:w="0" w:type="dxa"/>
            <w:right w:w="108" w:type="dxa"/>
          </w:tblCellMar>
        </w:tblPrEx>
        <w:trPr>
          <w:trHeight w:val="12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产品许可机制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a)操作系统支持序列号授权、批量激活服务、场地授权等未激活期间，系统不得频繁提示干扰用户正常使用；未激活系统不得影响用户数据安全与完整性；</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b)免激活的系统不适用</w:t>
            </w:r>
          </w:p>
        </w:tc>
      </w:tr>
      <w:tr>
        <w:tblPrEx>
          <w:tblCellMar>
            <w:top w:w="0" w:type="dxa"/>
            <w:left w:w="108" w:type="dxa"/>
            <w:bottom w:w="0" w:type="dxa"/>
            <w:right w:w="108" w:type="dxa"/>
          </w:tblCellMar>
        </w:tblPrEx>
        <w:trPr>
          <w:trHeight w:val="25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▲图形化要求</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▲用户操作界面</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操作系统提供图形化操作界面</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▲桌面图标</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操作系统默认提供我的系统、个人文档、回收站等图标</w:t>
            </w:r>
          </w:p>
        </w:tc>
      </w:tr>
      <w:tr>
        <w:tblPrEx>
          <w:tblCellMar>
            <w:top w:w="0" w:type="dxa"/>
            <w:left w:w="108" w:type="dxa"/>
            <w:bottom w:w="0" w:type="dxa"/>
            <w:right w:w="108" w:type="dxa"/>
          </w:tblCellMar>
        </w:tblPrEx>
        <w:trPr>
          <w:trHeight w:val="21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▲桌面图标管理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操作系统提供回收站工具，可收集要删除的文件和文件夹，并支持右键清空操作；</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支持应用程序快捷方式与文件共存；</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支持右键选单进行复制、剪切和粘贴文件操作；</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支持文件图标拖拽、摆放；</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支持图标名称修改；</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支持按照文件类别显示文件图标</w:t>
            </w:r>
          </w:p>
        </w:tc>
      </w:tr>
      <w:tr>
        <w:tblPrEx>
          <w:tblCellMar>
            <w:top w:w="0" w:type="dxa"/>
            <w:left w:w="108" w:type="dxa"/>
            <w:bottom w:w="0" w:type="dxa"/>
            <w:right w:w="108" w:type="dxa"/>
          </w:tblCellMar>
        </w:tblPrEx>
        <w:trPr>
          <w:trHeight w:val="12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▲桌面快捷选单</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操作系统支持桌面图标按照网格排列；</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支持右键选单新建纯文本；</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支持右键选单新建文件夹；</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支持右键选单选择图标排列顺序，排序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可按名称、类型、修改时间、文件大小</w:t>
            </w:r>
          </w:p>
        </w:tc>
      </w:tr>
      <w:tr>
        <w:tblPrEx>
          <w:tblCellMar>
            <w:top w:w="0" w:type="dxa"/>
            <w:left w:w="108" w:type="dxa"/>
            <w:bottom w:w="0" w:type="dxa"/>
            <w:right w:w="108" w:type="dxa"/>
          </w:tblCellMar>
        </w:tblPrEx>
        <w:trPr>
          <w:trHeight w:val="31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▲起始选单</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操作系统支持分类显示系统已安装应用；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支持创建应用的快捷方式到桌面；</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支持添加应用访问快捷方式到任务栏；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支持多种方式搜索内容，支持拼音搜索、模糊搜索快捷查找系统应用；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支持新安装应用与应用列表中其他应用以明显方式区分，包括突出显示、增加标识或单独分类；</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包含电源操作按钮，并可触发系统退出界面；</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包含直接进入控制系统或配置系统的功能入口或应用图标</w:t>
            </w:r>
          </w:p>
        </w:tc>
      </w:tr>
      <w:tr>
        <w:tblPrEx>
          <w:tblCellMar>
            <w:top w:w="0" w:type="dxa"/>
            <w:left w:w="108" w:type="dxa"/>
            <w:bottom w:w="0" w:type="dxa"/>
            <w:right w:w="108" w:type="dxa"/>
          </w:tblCellMar>
        </w:tblPrEx>
        <w:trPr>
          <w:trHeight w:val="40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▲任务栏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操作系统应提供图形化任务管理工具栏，任务栏中应该包括快速启动栏、通知栏；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提供快速启动应用程序区，可以添加或删除应用启动快捷方式；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提供系统通知栏，显示网络、声音、电源、USB 设备等，支持应用程序（如输入法等）的状态信息；</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提供显示桌面功能，支持最小化当前所有窗口，在有活动窗口的情况下快速切换成只显示用户桌面；对已切换成只显示用户桌面的状态，可以快速切换回活动窗口状态；</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直观区分任务栏应用运行与未运行的状态；</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支持任务栏隐藏；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支持任务栏位置调整</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▲桌面工作区</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操作系统支持多工作区，支持应用跨工作区移动；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可配置工作区数量；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可通过快捷键切换工作区</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▲系统退出</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操作系统退出界面应为模态或全屏界面，提供选择关机、重启、锁定、注销、休眠、待机等六种操作</w:t>
            </w:r>
          </w:p>
        </w:tc>
      </w:tr>
      <w:tr>
        <w:tblPrEx>
          <w:tblCellMar>
            <w:top w:w="0" w:type="dxa"/>
            <w:left w:w="108" w:type="dxa"/>
            <w:bottom w:w="0" w:type="dxa"/>
            <w:right w:w="108" w:type="dxa"/>
          </w:tblCellMar>
        </w:tblPrEx>
        <w:trPr>
          <w:trHeight w:val="97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79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▲窗口管理器</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操作系统支持对窗口的操作，如最小化、最大化、移动、改变大小、总是置顶或在最前端、关闭；</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提供窗口显示最小化、最大化和关闭按钮；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提供窗口标题，显示窗口名称，并区别显示选中和未选中窗口；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窗口可以在不同工作区中移动；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提供窗口防呆功能，防止窗口完全移出桌面范围内；</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提供窗口切换功能，通过快捷键可在打开的窗口中按一定顺序进行快速切换；</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提供多任务视图功能，可以预览当前工作区内已打开的所有窗口；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支持一键操作移开桌面所有窗口，显示桌面；</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提供多窗口分屏功能，支持屏幕分割显示各窗口，支持同时调整窗口尺寸</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tcBorders>
              <w:top w:val="nil"/>
              <w:left w:val="nil"/>
              <w:bottom w:val="single" w:color="000000" w:sz="4" w:space="0"/>
              <w:right w:val="single" w:color="000000" w:sz="4" w:space="0"/>
            </w:tcBorders>
            <w:shd w:val="clear" w:color="auto" w:fill="auto"/>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　</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▲图形特效</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操作系统窗口显示支持模糊透明特效，当支持透明效果的窗口与其他窗口重叠时，前置窗口颜色能随背景窗口颜色的融合发生变化；</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提供窗口外观装饰效果设置，如边框、阴影、模糊、透明度、圆角等，且透明度可调节</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▲常用软件支持</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▲应用软件安全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要求</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操作系统预装应用软件应进行签名认证，确保应用软件的安全性、稳定性、可靠性</w:t>
            </w:r>
          </w:p>
        </w:tc>
      </w:tr>
      <w:tr>
        <w:tblPrEx>
          <w:tblCellMar>
            <w:top w:w="0" w:type="dxa"/>
            <w:left w:w="108" w:type="dxa"/>
            <w:bottom w:w="0" w:type="dxa"/>
            <w:right w:w="108" w:type="dxa"/>
          </w:tblCellMar>
        </w:tblPrEx>
        <w:trPr>
          <w:trHeight w:val="90"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▲压缩工具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操作系统提供压缩解压缩工具，支持zip、7z、tar、tar.7z、tar.bz2、tar.gz等压缩格式新建、打开、解压操作，以及对压缩文件中所含文件进行添加、删除、重命名等操作；</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支持解压 rar 格式文件；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支持对压缩包进行加解密</w:t>
            </w:r>
          </w:p>
        </w:tc>
      </w:tr>
      <w:tr>
        <w:tblPrEx>
          <w:tblCellMar>
            <w:top w:w="0" w:type="dxa"/>
            <w:left w:w="108" w:type="dxa"/>
            <w:bottom w:w="0" w:type="dxa"/>
            <w:right w:w="108" w:type="dxa"/>
          </w:tblCellMar>
        </w:tblPrEx>
        <w:trPr>
          <w:trHeight w:val="12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▲音频播放工具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操作系统提供音频播放工具，支持 MP3、OGG、WAV 等音频格式文件；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支持播放本地音频文件；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支持本地音乐文件搜索功能；</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支持播放控制，可设置播放模式</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▲音频录制工具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操作系统提供音频录制工具，支持系统播放和传声器输入的音频录制为文件；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支持录制音频过程中的录制、暂停、续录和停止等操作</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▲视频播放工具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操作系统提供视频播放工具，支持 MKV、</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OGG 等封装格式的视频文件；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支持播放本地视频文件；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支持自动加载本地字幕；</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支持播放控制功能；</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提供软件解码与硬件编解码切换选项，</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如硬件支持编解码，应优先使用</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▲视频录制工具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操作系统提供视频录制工具，支持通过摄像头等设备拍摄图片和录制音视频文件；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拍摄照片时，支持设置构图网格、快门音效、多张连拍、延时拍摄、镜像拍摄和图像分辨率；</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录制音视频时，支持延时录制</w:t>
            </w:r>
          </w:p>
        </w:tc>
      </w:tr>
      <w:tr>
        <w:tblPrEx>
          <w:tblCellMar>
            <w:top w:w="0" w:type="dxa"/>
            <w:left w:w="108" w:type="dxa"/>
            <w:bottom w:w="0" w:type="dxa"/>
            <w:right w:w="108" w:type="dxa"/>
          </w:tblCellMar>
        </w:tblPrEx>
        <w:trPr>
          <w:trHeight w:val="62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▲光盘刻录管理</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操作系统提供光盘刻录管理工具，支持CD-R、CD-RW、DVD-R、DVD-RW、DVD+R、DVD+RW 格式的光盘；</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支持将光盘复制为镜像文件保存到另一张光盘；</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支持将光盘镜像文件刻录到光盘；</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 ISO9660、UDF 格式光盘挂载、读取；</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 ISO9660 格式光盘追加刻录；</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支持检查光盘数据完整性</w:t>
            </w:r>
          </w:p>
        </w:tc>
      </w:tr>
      <w:tr>
        <w:tblPrEx>
          <w:tblCellMar>
            <w:top w:w="0" w:type="dxa"/>
            <w:left w:w="108" w:type="dxa"/>
            <w:bottom w:w="0" w:type="dxa"/>
            <w:right w:w="108" w:type="dxa"/>
          </w:tblCellMar>
        </w:tblPrEx>
        <w:trPr>
          <w:trHeight w:val="33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　</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▲截图录屏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操作系统提供截图录屏工具，支持系统截图和录屏；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支持延时捕捉屏幕图像设置；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支持录制光标移动、鼠标点击、键盘操作痕迹、系统音频、传声器输入、摄像头画中画内容；</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支持多种截图区域，包括全屏、程序窗口和自选区域；</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支持多种保存选项，包括保存到系统默认文件夹、桌面、指定存储路径、剪贴板；</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系统截图支持保存为 PNG、JPG、BMP 等格式，录屏支持保存为 GIF、MP4、MKV等格式</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89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▲图像查看工具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操作系统提供图像查看工具，支持查看图像文件，支持 PNG、JPEG、TIFF、GIF、BMP 等图像格式；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支持显示图像文件的基本信息，包括文件大小、图像格式、宽度和高度等；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支持对图像文件的操作，包括放大、缩小、旋转、打印等</w:t>
            </w:r>
          </w:p>
        </w:tc>
      </w:tr>
      <w:tr>
        <w:tblPrEx>
          <w:tblCellMar>
            <w:top w:w="0" w:type="dxa"/>
            <w:left w:w="108" w:type="dxa"/>
            <w:bottom w:w="0" w:type="dxa"/>
            <w:right w:w="108" w:type="dxa"/>
          </w:tblCellMar>
        </w:tblPrEx>
        <w:trPr>
          <w:trHeight w:val="12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▲文件扫描工具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操作系统提供文件扫描工具，支持扫描文件类型设置，包括 PNG、JPEG、TIFF、BMP、PDF 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支持扫描颜色设置，包括彩色、灰度；</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支持扫描分辨率、幅面设置</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▲浏览器</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操作系统提供浏览器，支持 HTML4、HTML5、ECMAScript、CSS 等标准；</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支持符合国家密码管理要求的商用密码算法；</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支持国家电子认证根 CA 签发的符合相关要求的CA 机构证书；</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支持符合 GB/T 38636—2020 的 TLCP</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远程协助工具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操作系统提供远程协助工具，支持本地桌面被远程控制和对远程桌面的控制</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▲文件共享</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操作系统提供文件共享工具，支持按用户身份进行读写权限设置</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远程桌面支持</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操作系统提供支持 SSH、SFTP 的网络客户端工具</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▲开发环境</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▲开发环境</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操作系统通过内置、软件仓库或附加光盘等方式提供如 Qt、Eclipse、VSCode等集成开发环境</w:t>
            </w:r>
          </w:p>
        </w:tc>
      </w:tr>
      <w:tr>
        <w:tblPrEx>
          <w:tblCellMar>
            <w:top w:w="0" w:type="dxa"/>
            <w:left w:w="108" w:type="dxa"/>
            <w:bottom w:w="0" w:type="dxa"/>
            <w:right w:w="108" w:type="dxa"/>
          </w:tblCellMar>
        </w:tblPrEx>
        <w:trPr>
          <w:trHeight w:val="12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▲开发库</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操作系统通过内置、软件仓库或附加光盘等方式提供如 GNU C、GNU C++、Java、Qt 、Gtk+、Cairo、OpenGL、Perl、Python、Ruby、Rust、Golang、JS 等开发库</w:t>
            </w:r>
          </w:p>
        </w:tc>
      </w:tr>
      <w:tr>
        <w:tblPrEx>
          <w:tblCellMar>
            <w:top w:w="0" w:type="dxa"/>
            <w:left w:w="108" w:type="dxa"/>
            <w:bottom w:w="0" w:type="dxa"/>
            <w:right w:w="108" w:type="dxa"/>
          </w:tblCellMar>
        </w:tblPrEx>
        <w:trPr>
          <w:trHeight w:val="90"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▲编译开发工具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操作系统通过内置、软件仓库或附加光盘等方式提供如 GCC、G++、Binutils、GDB、Make、CMake 等语言编译器</w:t>
            </w:r>
          </w:p>
        </w:tc>
      </w:tr>
      <w:tr>
        <w:tblPrEx>
          <w:tblCellMar>
            <w:top w:w="0" w:type="dxa"/>
            <w:left w:w="108" w:type="dxa"/>
            <w:bottom w:w="0" w:type="dxa"/>
            <w:right w:w="108" w:type="dxa"/>
          </w:tblCellMar>
        </w:tblPrEx>
        <w:trPr>
          <w:trHeight w:val="49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▲文本编辑工具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操作系统通过内置、软件仓库或附加光盘等方式提供如 Emacs、Vim 等。</w:t>
            </w:r>
          </w:p>
        </w:tc>
      </w:tr>
      <w:tr>
        <w:tblPrEx>
          <w:tblCellMar>
            <w:top w:w="0" w:type="dxa"/>
            <w:left w:w="108" w:type="dxa"/>
            <w:bottom w:w="0" w:type="dxa"/>
            <w:right w:w="108" w:type="dxa"/>
          </w:tblCellMar>
        </w:tblPrEx>
        <w:trPr>
          <w:trHeight w:val="69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99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功能要求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▲开发支持</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▲开发文档</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操作系统应内置或通过官方网站、社区等提供中文开发文档，包括：</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软件开发参考文档；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驱动开发参考文档；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应用移植开发文档；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API 文档</w:t>
            </w:r>
          </w:p>
        </w:tc>
      </w:tr>
      <w:tr>
        <w:tblPrEx>
          <w:tblCellMar>
            <w:top w:w="0" w:type="dxa"/>
            <w:left w:w="108" w:type="dxa"/>
            <w:bottom w:w="0" w:type="dxa"/>
            <w:right w:w="108" w:type="dxa"/>
          </w:tblCellMar>
        </w:tblPrEx>
        <w:trPr>
          <w:trHeight w:val="1944"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▲运行环境兼容</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▲版本兼容</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操作系统基础运行库或开发环境向后（向下）兼容，即系统版本升级后，能兼容上一版本所运行的软件与设备；</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系统主版本兼容维护时间自发布之日起不低于 5 年，包括但不限于安全修复、功能升级、新硬件支持等；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支持以增量升级包的方式实现版本更新</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▲文件系统层次结构</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供应商应给出长期兼容支持的文件系统层次结构</w:t>
            </w:r>
          </w:p>
        </w:tc>
      </w:tr>
      <w:tr>
        <w:tblPrEx>
          <w:tblCellMar>
            <w:top w:w="0" w:type="dxa"/>
            <w:left w:w="108" w:type="dxa"/>
            <w:bottom w:w="0" w:type="dxa"/>
            <w:right w:w="108" w:type="dxa"/>
          </w:tblCellMar>
        </w:tblPrEx>
        <w:trPr>
          <w:trHeight w:val="67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▲运行库</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供应商应给出长期兼容支持的运行库</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▲命令</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供应商应给出长期兼容支持的常用命令</w:t>
            </w:r>
          </w:p>
        </w:tc>
      </w:tr>
      <w:tr>
        <w:tblPrEx>
          <w:tblCellMar>
            <w:top w:w="0" w:type="dxa"/>
            <w:left w:w="108" w:type="dxa"/>
            <w:bottom w:w="0" w:type="dxa"/>
            <w:right w:w="108" w:type="dxa"/>
          </w:tblCellMar>
        </w:tblPrEx>
        <w:trPr>
          <w:trHeight w:val="1461"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▲软件包</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软件包格式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操作系统是Linux 内核的操作系统时，支持安装 RPM 与 DEB 格式的软件包，当系统默认不支持 RPM 或 DEB 格式的软件包时，提供工具对软件包格式进行转换，软件包格式转换不影响软件对环境依赖关系</w:t>
            </w:r>
          </w:p>
        </w:tc>
      </w:tr>
      <w:tr>
        <w:tblPrEx>
          <w:tblCellMar>
            <w:top w:w="0" w:type="dxa"/>
            <w:left w:w="108" w:type="dxa"/>
            <w:bottom w:w="0" w:type="dxa"/>
            <w:right w:w="108" w:type="dxa"/>
          </w:tblCellMar>
        </w:tblPrEx>
        <w:trPr>
          <w:trHeight w:val="2673"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▲软件包管理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操作系统支持图形化方式下载、安装和卸载软件包；</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显示已安装软件包的描述和包含的文件；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支持安装时优先自动进行缺失依赖软件包的下载和安装；</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自动检测本地安装包，当发现安装包未经签名认证时自动告警；</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在连接软件仓库/应用商店时（含局域网、广域网）能自动搜索并下载依赖的软件包</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▲硬件兼容（整机）</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▲微型计算机兼容清单</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供应商提供兼容的台式微型计算机品牌及型号清单，且至少兼容一款产品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▲便携式微型计算机兼容清单</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供应商提供兼容的便携式微型计算机品牌及型号清单，且至少兼容一款产品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▲硬件兼容（部件）</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▲固件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供应商提供兼容的固件品牌及型号清单，且至少兼容一款产品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109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▲显卡</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供应商提供兼容的显卡品牌及型号清单，且至少兼容一款产品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▲网卡</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供应商提供兼容的有线、无线网卡品牌及型号清单，且至少兼容一款产品</w:t>
            </w:r>
          </w:p>
        </w:tc>
      </w:tr>
      <w:tr>
        <w:tblPrEx>
          <w:tblCellMar>
            <w:top w:w="0" w:type="dxa"/>
            <w:left w:w="108" w:type="dxa"/>
            <w:bottom w:w="0" w:type="dxa"/>
            <w:right w:w="108" w:type="dxa"/>
          </w:tblCellMar>
        </w:tblPrEx>
        <w:trPr>
          <w:trHeight w:val="49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▲蓝牙</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供应商提供兼容的蓝牙设备品牌及型号清单，且至少兼容一款产品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▲显示设备</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供应商提供兼容的显示设备品牌及型号清单，且至少兼容一款产品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▲生物特征</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供应商提供兼容的生物识别设备（指纹、人脸）品牌及型号清单，且至少兼容一款产品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▲硬件兼容（外设）</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▲打印机</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供应商提供兼容的打印机品牌及型号清单，且至少兼容一款产品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▲扫描仪</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供应商提供兼容的扫描仪品牌及型号清单，且至少兼容一款产品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▲摄录设备</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供应商提供兼容的摄录设备品牌及型号清单，且至少兼容一款产品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▲存储设备</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 USB2.0，3.0，3.1 的 U盘和移动硬盘品牌及型号清单，且至少兼容一款产品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▲主流蓝牙设备</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供应商提供兼容的蓝牙鼠标、键盘、音响等品牌及型号清单，且至少兼容一款产品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119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▲主流 USB 外设</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供应商提供兼容的USB 设备，如 USB 鼠标、键盘、音响、网卡等品牌及型号清单，且至少兼容一款产品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▲软件兼容（日常办公）</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▲办公软件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供应商提供兼容的办公软件品牌及版本清单，且至少兼容一款产品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▲版式软件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供应商提供兼容的版式软件品牌及版本清单，且至少兼容一款产品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▲签名软件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供应商提供兼容的电子签名、电子签章、云签章、key 签署等签名软件的品牌及版本清单，且至少兼容一款产品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▲软件兼容（安全防护）</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▲杀毒软件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供应商提供兼容的杀毒软件的品牌及版本清单，且至少兼容一款产品</w:t>
            </w:r>
          </w:p>
        </w:tc>
      </w:tr>
      <w:tr>
        <w:tblPrEx>
          <w:tblCellMar>
            <w:top w:w="0" w:type="dxa"/>
            <w:left w:w="108" w:type="dxa"/>
            <w:bottom w:w="0" w:type="dxa"/>
            <w:right w:w="108" w:type="dxa"/>
          </w:tblCellMar>
        </w:tblPrEx>
        <w:trPr>
          <w:trHeight w:val="978"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▲身份鉴别系统</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供应商提供兼容的通过指纹、人脸识别、Ukey 等方式对使用者身份进行验证的系统品牌及版本清单，且至少兼容一款产品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 日志管理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供应商提供兼容的日志管理软件品牌及版本清单，且至少兼容一款产品</w:t>
            </w:r>
          </w:p>
        </w:tc>
      </w:tr>
      <w:tr>
        <w:tblPrEx>
          <w:tblCellMar>
            <w:top w:w="0" w:type="dxa"/>
            <w:left w:w="108" w:type="dxa"/>
            <w:bottom w:w="0" w:type="dxa"/>
            <w:right w:w="108" w:type="dxa"/>
          </w:tblCellMar>
        </w:tblPrEx>
        <w:trPr>
          <w:trHeight w:val="735"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▲防火墙</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供应商提供兼容的网络防护、安全管理等软件的品牌及版本清单，且至少兼容一款产品</w:t>
            </w:r>
          </w:p>
        </w:tc>
      </w:tr>
      <w:tr>
        <w:tblPrEx>
          <w:tblCellMar>
            <w:top w:w="0" w:type="dxa"/>
            <w:left w:w="108" w:type="dxa"/>
            <w:bottom w:w="0" w:type="dxa"/>
            <w:right w:w="108" w:type="dxa"/>
          </w:tblCellMar>
        </w:tblPrEx>
        <w:trPr>
          <w:trHeight w:val="720"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▲软件兼容（网络应用）</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▲网络会议</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供应商提供兼容的网络会议软件的品牌及版本清单，且至少兼容一款产品</w:t>
            </w:r>
          </w:p>
        </w:tc>
      </w:tr>
      <w:tr>
        <w:tblPrEx>
          <w:tblCellMar>
            <w:top w:w="0" w:type="dxa"/>
            <w:left w:w="108" w:type="dxa"/>
            <w:bottom w:w="0" w:type="dxa"/>
            <w:right w:w="108" w:type="dxa"/>
          </w:tblCellMar>
        </w:tblPrEx>
        <w:trPr>
          <w:trHeight w:val="720"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▲浏览器</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供应商提供兼容的浏览器的品牌及版本清单，且至少兼容一款产品</w:t>
            </w:r>
          </w:p>
        </w:tc>
      </w:tr>
      <w:tr>
        <w:tblPrEx>
          <w:tblCellMar>
            <w:top w:w="0" w:type="dxa"/>
            <w:left w:w="108" w:type="dxa"/>
            <w:bottom w:w="0" w:type="dxa"/>
            <w:right w:w="108" w:type="dxa"/>
          </w:tblCellMar>
        </w:tblPrEx>
        <w:trPr>
          <w:trHeight w:val="720"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129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▲新闻信息</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供应商提供兼容的新闻信息类软件的品牌及版本清单，且至少兼容一款产品</w:t>
            </w:r>
          </w:p>
        </w:tc>
      </w:tr>
      <w:tr>
        <w:tblPrEx>
          <w:tblCellMar>
            <w:top w:w="0" w:type="dxa"/>
            <w:left w:w="108" w:type="dxa"/>
            <w:bottom w:w="0" w:type="dxa"/>
            <w:right w:w="108" w:type="dxa"/>
          </w:tblCellMar>
        </w:tblPrEx>
        <w:trPr>
          <w:trHeight w:val="25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▲社交软件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供应商提供兼容的社交软件的品牌及版本清单，且至少兼容一款产品</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▲软件兼容（多 媒体）</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▲图形图像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供应商提供兼容的图像查看、图像编辑的品牌及版本清单，且至少兼容一款产品</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▲媒体播放</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供应商提供兼容的媒体播放类软件品牌及版本清单，且至少兼容一款产品</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兼容性要求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▲音乐电台</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供应商提供兼容的多媒体类软件品牌及版本清单，且至少兼容一款产品</w:t>
            </w:r>
          </w:p>
        </w:tc>
      </w:tr>
      <w:tr>
        <w:tblPrEx>
          <w:tblCellMar>
            <w:top w:w="0" w:type="dxa"/>
            <w:left w:w="108" w:type="dxa"/>
            <w:bottom w:w="0" w:type="dxa"/>
            <w:right w:w="108" w:type="dxa"/>
          </w:tblCellMar>
        </w:tblPrEx>
        <w:trPr>
          <w:trHeight w:val="12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易用性要求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▲便捷使用</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▲帮助提示</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操作系统提供内置系统和应用中文图文用户手册，包括使用说明、示例、常见故障处理等；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对需要补充解释的部分，以合适方式提供中文提示</w:t>
            </w:r>
          </w:p>
        </w:tc>
      </w:tr>
      <w:tr>
        <w:tblPrEx>
          <w:tblCellMar>
            <w:top w:w="0" w:type="dxa"/>
            <w:left w:w="108" w:type="dxa"/>
            <w:bottom w:w="0" w:type="dxa"/>
            <w:right w:w="108" w:type="dxa"/>
          </w:tblCellMar>
        </w:tblPrEx>
        <w:trPr>
          <w:trHeight w:val="360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易用性要求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▲快捷键</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操作系统支持以下快捷键：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&lt;Super&gt; 开始选单</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&lt;Alt&gt;+&lt;Tab&gt; 遍历窗口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&lt;Shift&gt;+&lt;Alt&gt;+&lt;Tab&gt; 反向遍历窗口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&lt;Alt&gt;+&lt;F4&gt; 关闭当前窗口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&lt;Ctrl&gt;+&lt;A&gt; 全选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&lt;Ctrl&gt;+&lt;X&gt; 剪切</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&lt;Ctrl&gt;+&lt;C&gt; 复制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&lt;Ctrl&gt;+&lt;V&gt; 粘贴</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&lt;Ctrl&gt;+&lt;Space&gt; 开启/关闭输入法</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&lt;Ctrl&gt;+&lt;Shift&gt; 切换输入法</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&lt;Super&gt;+&lt;L&gt; 桌面锁定</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&lt;Super&gt;+&lt;D&gt; 显示桌面</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&lt;Super&gt;+&lt;E&gt; 打开文件管理器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&lt;Ctrl&gt;+&lt;Alt&gt;+&lt;Delete&gt; 退出界面</w:t>
            </w:r>
          </w:p>
        </w:tc>
      </w:tr>
      <w:tr>
        <w:tblPrEx>
          <w:tblCellMar>
            <w:top w:w="0" w:type="dxa"/>
            <w:left w:w="108" w:type="dxa"/>
            <w:bottom w:w="0" w:type="dxa"/>
            <w:right w:w="108" w:type="dxa"/>
          </w:tblCellMar>
        </w:tblPrEx>
        <w:trPr>
          <w:trHeight w:val="384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易用性要求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语音助手</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语音助手工具支持开启关闭系统应用，如应用商店、音视频播放、记事本、计算器等；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支持显示控制，如调高调低屏幕亮度、开启关闭投影仪等；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支持网络控制，如开启关闭无线局域网、开启关闭蓝牙等；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支持语音播报，以语音方式播报当前窗口所显示的文字内容；</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支持语音听写，使用语音方式通过输入设备，以文字内容显示在当前可编辑窗口；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支持语音翻译，支持语音方式通过输入设备，将内容进行中英文互译；</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支持音乐播放控制，如上一首、下一首、快进等</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可靠性要求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▲系统稳定性</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▲操作系统连续运行 72 小时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操作系统在 CPU 占用大于等于80%，或内存占用大于等于 80%压力情况下，连续运行 72 小时无故障</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可靠性要求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▲检查修复</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▲系统修复</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操作系统提供文件系统检查与修复功能，能自动修复文件系统错误或以显式方式提示用户进行手动文件系统修复</w:t>
            </w:r>
          </w:p>
        </w:tc>
      </w:tr>
      <w:tr>
        <w:tblPrEx>
          <w:tblCellMar>
            <w:top w:w="0" w:type="dxa"/>
            <w:left w:w="108" w:type="dxa"/>
            <w:bottom w:w="0" w:type="dxa"/>
            <w:right w:w="108" w:type="dxa"/>
          </w:tblCellMar>
        </w:tblPrEx>
        <w:trPr>
          <w:trHeight w:val="121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139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可靠性要求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▲备份恢复</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▲备份还原</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操作系统提供备份还原功能：</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支持系统的备份和还原；</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支持全盘备份到外部存储设备；</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支持还原到指定备份点；</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支持保留用户数据的系统还原；</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支持系统无法正常进入状态时，可对系统进行还原</w:t>
            </w:r>
          </w:p>
        </w:tc>
      </w:tr>
      <w:tr>
        <w:tblPrEx>
          <w:tblCellMar>
            <w:top w:w="0" w:type="dxa"/>
            <w:left w:w="108" w:type="dxa"/>
            <w:bottom w:w="0" w:type="dxa"/>
            <w:right w:w="108" w:type="dxa"/>
          </w:tblCellMar>
        </w:tblPrEx>
        <w:trPr>
          <w:trHeight w:val="144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可维护性要求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▲系统维护</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 日志管理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操作系统提供日志管理工具：</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支持图形化显示；</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支持对系统日志信息的显示和刷新；</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支持对日志文件的查找和导出；</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支持对特定时间段内的日志进行筛选；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支持系统日志定期清除功能</w:t>
            </w:r>
          </w:p>
        </w:tc>
      </w:tr>
      <w:tr>
        <w:tblPrEx>
          <w:tblCellMar>
            <w:top w:w="0" w:type="dxa"/>
            <w:left w:w="108" w:type="dxa"/>
            <w:bottom w:w="0" w:type="dxa"/>
            <w:right w:w="108" w:type="dxa"/>
          </w:tblCellMar>
        </w:tblPrEx>
        <w:trPr>
          <w:trHeight w:val="21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可维护性要求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▲系统升级</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操作系统支持系统增量升级功能，对系统部件、安全补丁等升级；</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支持在线升级和离线升级；</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升级不得修改破坏用户数据；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升级不得影响原有软硬件兼容性；</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提供升级回退机制，能卸载已升级的软件包，恢复系统原有状态；</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如升级为不可回退，则系统升级前以显式的提示告知用户</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▲交付方式</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▲交付方式</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操作系统支持光盘、USB 闪存盘、镜像文件（下载）等交付方式</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▲产品维护服务周期</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▲产品维护周期</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产品自发布之日起至产品停止功能升级（包含不限于新特性、新硬件支持、问题修复、安全补丁等）之日止≥5 年</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▲产品延伸服务周期</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产品停止功能升级之日起至产品停止功能维护（包括问题修复、安全补丁等）之日止≥4 年</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▲产品延伸安全服务周期</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产品功能维护停止之日起至产品停止安全维护（包括中高风险漏洞修复）之日止≥2 年</w:t>
            </w:r>
          </w:p>
        </w:tc>
      </w:tr>
      <w:tr>
        <w:tblPrEx>
          <w:tblCellMar>
            <w:top w:w="0" w:type="dxa"/>
            <w:left w:w="108" w:type="dxa"/>
            <w:bottom w:w="0" w:type="dxa"/>
            <w:right w:w="108" w:type="dxa"/>
          </w:tblCellMar>
        </w:tblPrEx>
        <w:trPr>
          <w:trHeight w:val="794"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▲产品售后服务周期</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≥6 年</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▲售后服务</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▲原厂服务</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服务由操作系统厂商的正式员工提供，不由代理商提供</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▲服务热线电话</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操作系统厂商为最终用户提供工作日每日不少于8h（应覆盖一般工作时间，具体时间由企业标准给出）中文技术服务热线</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149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▲技术服务标准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操作系统厂商提供工作日每日不少于8h 技术支持服务</w:t>
            </w:r>
          </w:p>
        </w:tc>
      </w:tr>
      <w:tr>
        <w:tblPrEx>
          <w:tblCellMar>
            <w:top w:w="0" w:type="dxa"/>
            <w:left w:w="108" w:type="dxa"/>
            <w:bottom w:w="0" w:type="dxa"/>
            <w:right w:w="108" w:type="dxa"/>
          </w:tblCellMar>
        </w:tblPrEx>
        <w:trPr>
          <w:trHeight w:val="90"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定制优化增值服务</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操作系统厂商提供代码级定制优化服务</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▲技术服务时效</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操作系统厂商满足同城 4h、异地 12h 响应要求，两个工作日解决问题，对于未能解决的问题和故障提供可行的升级方案</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▲技术服务保障</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发生非人为因素故障，在七日内由操作系统厂商原厂人员免费对产品进行补充或更换</w:t>
            </w:r>
          </w:p>
        </w:tc>
      </w:tr>
      <w:tr>
        <w:tblPrEx>
          <w:tblCellMar>
            <w:top w:w="0" w:type="dxa"/>
            <w:left w:w="108" w:type="dxa"/>
            <w:bottom w:w="0" w:type="dxa"/>
            <w:right w:w="108" w:type="dxa"/>
          </w:tblCellMar>
        </w:tblPrEx>
        <w:trPr>
          <w:trHeight w:val="25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▲交付与安装调</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现场服务</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单次采购 500 套及以上时提供原厂团队驻场服务</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▲配套资料</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操作系统厂商交付产品时提供配套的技术资料，包括但不限于系统说明文件、用户手册（用户安装、操作、维护、故障排除）等</w:t>
            </w:r>
          </w:p>
        </w:tc>
      </w:tr>
      <w:tr>
        <w:tblPrEx>
          <w:tblCellMar>
            <w:top w:w="0" w:type="dxa"/>
            <w:left w:w="108" w:type="dxa"/>
            <w:bottom w:w="0" w:type="dxa"/>
            <w:right w:w="108" w:type="dxa"/>
          </w:tblCellMar>
        </w:tblPrEx>
        <w:trPr>
          <w:trHeight w:val="11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▲系统更换</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▲系统更换</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服务期内，操作系统厂商支持版本免费更换（注：更换后不延长服务期）</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▲厂商能力要求</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▲服务团队</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操作系统厂商建立全国技术服务体系和服务团队，为客户提供专业的原厂中文服务</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供应保障要求</w:t>
            </w: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▲数据上行安全保障</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▲数据收集安全保障</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除用户授权采集的信息外不采集其他数据，相关信息采集无安全风险，相关数据存储在大陆境内</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供应保障要求</w:t>
            </w:r>
          </w:p>
        </w:tc>
        <w:tc>
          <w:tcPr>
            <w:tcW w:w="839"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▲数据下行安全保障</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▲数据供给安全保障</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数据供给安全保障：涉及数据下载的线上服务物理服务器不出境，包括代码仓库、系统补丁、安全补丁、服务网站等</w:t>
            </w:r>
          </w:p>
        </w:tc>
      </w:tr>
      <w:tr>
        <w:tblPrEx>
          <w:tblCellMar>
            <w:top w:w="0" w:type="dxa"/>
            <w:left w:w="108" w:type="dxa"/>
            <w:bottom w:w="0" w:type="dxa"/>
            <w:right w:w="108" w:type="dxa"/>
          </w:tblCellMar>
        </w:tblPrEx>
        <w:trPr>
          <w:trHeight w:val="306"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159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供应保障要求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▲代码无风险</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▲代码无风险</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操作系统厂商可提供源代码，源代码可供第三方机构审查，开源许可合规，代码知识产权无风险，无恶意安全漏洞或后门，代码可追溯、可重构</w:t>
            </w:r>
          </w:p>
        </w:tc>
      </w:tr>
      <w:tr>
        <w:tblPrEx>
          <w:tblCellMar>
            <w:top w:w="0" w:type="dxa"/>
            <w:left w:w="108" w:type="dxa"/>
            <w:bottom w:w="0" w:type="dxa"/>
            <w:right w:w="108" w:type="dxa"/>
          </w:tblCellMar>
        </w:tblPrEx>
        <w:trPr>
          <w:trHeight w:val="734"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▲基本要求</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▲基本要求3</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操作系统应当符合安全可靠测评要求</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▲密码算法支持</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▲密码算法实现</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 GM/T 0002 、GM/T 0003和 GM/T 0004 规定的密码算法运算</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▲随机数生成</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随机数质量符合GM/T 0005《随机性检测规范》或 GB/T32915《信息安全技术二元序列随机性检测方法》</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163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▲内置数字证书</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操作系统内置国家电子认证根 CA 的根证书</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164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▲密码协议实现</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操作系统支持符合 GB/T 38636—2020的 TLCP</w:t>
            </w:r>
          </w:p>
        </w:tc>
      </w:tr>
      <w:tr>
        <w:tblPrEx>
          <w:tblCellMar>
            <w:top w:w="0" w:type="dxa"/>
            <w:left w:w="108" w:type="dxa"/>
            <w:bottom w:w="0" w:type="dxa"/>
            <w:right w:w="108" w:type="dxa"/>
          </w:tblCellMar>
        </w:tblPrEx>
        <w:trPr>
          <w:trHeight w:val="72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165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▲安全管理工具</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▲安全管理工具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操作系统提供安全管理工具，包括帐户安全、网络防护、病毒防护、应用程序</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执行控制</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166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▲身份鉴别</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▲生物特征识别管理</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操作系统支持两种及以上的生物特征类型鉴别，如指纹、人脸；</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支持使用生物特征进行命令行、图形化提权操作的身份鉴别；</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支持使用生物特征进行系统登录操作的身份鉴别；</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支持用户管理自己的生物特征信息</w:t>
            </w:r>
          </w:p>
        </w:tc>
      </w:tr>
      <w:tr>
        <w:tblPrEx>
          <w:tblCellMar>
            <w:top w:w="0" w:type="dxa"/>
            <w:left w:w="108" w:type="dxa"/>
            <w:bottom w:w="0" w:type="dxa"/>
            <w:right w:w="108" w:type="dxa"/>
          </w:tblCellMar>
        </w:tblPrEx>
        <w:trPr>
          <w:trHeight w:val="97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167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▲身份鉴别服务</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操作系统用户标识使用帐户名和帐户ID，在操作系统的整个生存周期内帐户标识具有唯一性；</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支持配置帐户口令复杂度校验及强口令管理；</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支持帐户口令有效期配置；</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支持口令鉴别失败控制；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支持口令加密算法配置，帐户口令进行加密后以不可逆的密文形式保存；</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支持禁止根帐户(root)远程登录设置</w:t>
            </w:r>
          </w:p>
        </w:tc>
      </w:tr>
      <w:tr>
        <w:tblPrEx>
          <w:tblCellMar>
            <w:top w:w="0" w:type="dxa"/>
            <w:left w:w="108" w:type="dxa"/>
            <w:bottom w:w="0" w:type="dxa"/>
            <w:right w:w="108" w:type="dxa"/>
          </w:tblCellMar>
        </w:tblPrEx>
        <w:trPr>
          <w:trHeight w:val="562"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168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▲访问控制</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▲自主访问控制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允许客体拥有者以普通帐户决定并控制对客体的访问，并阻止非授权帐户对客体的访问普通用户缺省拥有新建、读写和删除私有目录下文件的权限；</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细粒度的自主访问控制，将访问控制的粒度控制在指定帐户，对系统中的每一个客体，实现由客体拥有者以指定帐户方式确定其对该客体的访问权限，而其他同组帐户或非同组的帐户和用户组对该客体的访问权则由客体拥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者授予</w:t>
            </w:r>
          </w:p>
        </w:tc>
      </w:tr>
      <w:tr>
        <w:tblPrEx>
          <w:tblCellMar>
            <w:top w:w="0" w:type="dxa"/>
            <w:left w:w="108" w:type="dxa"/>
            <w:bottom w:w="0" w:type="dxa"/>
            <w:right w:w="108" w:type="dxa"/>
          </w:tblCellMar>
        </w:tblPrEx>
        <w:trPr>
          <w:trHeight w:val="96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169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▲强制访问控制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操作系统支持对应用程序的访问控制与资源限制，包括对文件、网络等客体的访问控制；</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支持应用安装控制、应用执行控制</w:t>
            </w:r>
          </w:p>
        </w:tc>
      </w:tr>
      <w:tr>
        <w:tblPrEx>
          <w:tblCellMar>
            <w:top w:w="0" w:type="dxa"/>
            <w:left w:w="108" w:type="dxa"/>
            <w:bottom w:w="0" w:type="dxa"/>
            <w:right w:w="108" w:type="dxa"/>
          </w:tblCellMar>
        </w:tblPrEx>
        <w:trPr>
          <w:trHeight w:val="16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170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▲安全审计</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操作系统能对身份鉴别的使用、自主访问控制、标记和强制访问控制策略的修改等生成审计日志；</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审计记录包括事件类型、事件发生的日期、触发事件的帐户、事件成功或失败等字段；</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支持审计日志查询和导出功能设置</w:t>
            </w:r>
          </w:p>
        </w:tc>
      </w:tr>
      <w:tr>
        <w:tblPrEx>
          <w:tblCellMar>
            <w:top w:w="0" w:type="dxa"/>
            <w:left w:w="108" w:type="dxa"/>
            <w:bottom w:w="0" w:type="dxa"/>
            <w:right w:w="108" w:type="dxa"/>
          </w:tblCellMar>
        </w:tblPrEx>
        <w:trPr>
          <w:trHeight w:val="144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171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▲防火墙工具</w:t>
            </w: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▲基本要求</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操作系统支持开启或关闭防火墙；</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支持添加防火墙规则，至少包括名称、协议、地址和端口；</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提供不同场景下的缺省防火墙配置，如公共、专用和自定义；</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支持不同的访问策略，包括允许、拒绝</w:t>
            </w:r>
          </w:p>
        </w:tc>
      </w:tr>
      <w:tr>
        <w:tblPrEx>
          <w:tblCellMar>
            <w:top w:w="0" w:type="dxa"/>
            <w:left w:w="108" w:type="dxa"/>
            <w:bottom w:w="0" w:type="dxa"/>
            <w:right w:w="108" w:type="dxa"/>
          </w:tblCellMar>
        </w:tblPrEx>
        <w:trPr>
          <w:trHeight w:val="489"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172 </w:t>
            </w:r>
          </w:p>
        </w:tc>
        <w:tc>
          <w:tcPr>
            <w:tcW w:w="55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 w:hAnsi="仿宋" w:eastAsia="仿宋" w:cstheme="minorEastAsia"/>
                <w:kern w:val="0"/>
                <w:sz w:val="24"/>
                <w:szCs w:val="24"/>
              </w:rPr>
            </w:pPr>
          </w:p>
        </w:tc>
        <w:tc>
          <w:tcPr>
            <w:tcW w:w="885" w:type="pct"/>
            <w:tcBorders>
              <w:top w:val="nil"/>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扩展要求</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提供一键关闭远程访问功能</w:t>
            </w:r>
          </w:p>
        </w:tc>
      </w:tr>
      <w:tr>
        <w:tblPrEx>
          <w:tblCellMar>
            <w:top w:w="0" w:type="dxa"/>
            <w:left w:w="108" w:type="dxa"/>
            <w:bottom w:w="0" w:type="dxa"/>
            <w:right w:w="108" w:type="dxa"/>
          </w:tblCellMar>
        </w:tblPrEx>
        <w:trPr>
          <w:trHeight w:val="1408" w:hRule="atLeast"/>
        </w:trPr>
        <w:tc>
          <w:tcPr>
            <w:tcW w:w="423" w:type="pct"/>
            <w:tcBorders>
              <w:top w:val="nil"/>
              <w:left w:val="single" w:color="000000" w:sz="4" w:space="0"/>
              <w:bottom w:val="single" w:color="auto"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 xml:space="preserve">173 </w:t>
            </w:r>
          </w:p>
        </w:tc>
        <w:tc>
          <w:tcPr>
            <w:tcW w:w="553" w:type="pct"/>
            <w:tcBorders>
              <w:top w:val="nil"/>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安全要求</w:t>
            </w:r>
          </w:p>
        </w:tc>
        <w:tc>
          <w:tcPr>
            <w:tcW w:w="839" w:type="pct"/>
            <w:tcBorders>
              <w:top w:val="nil"/>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▲漏洞管理</w:t>
            </w:r>
          </w:p>
        </w:tc>
        <w:tc>
          <w:tcPr>
            <w:tcW w:w="885" w:type="pct"/>
            <w:tcBorders>
              <w:top w:val="nil"/>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▲漏洞编号</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操作系统支持漏洞编号，每个漏洞独立编号，可直接使用 NVDB、CNVD 或 CVE编号；</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漏洞提醒，发现或获悉漏洞信息时，通过系统推送、电子邮件或官方网站等方式通知用户；</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漏洞修复，对已发现的安全漏洞通过补丁等方式对系统漏洞进行修复；</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漏洞列表，提供每个版本已修复的漏洞列表，并提供命令或网页等方式方便用</w:t>
            </w:r>
          </w:p>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户查询漏洞及其修复情况</w:t>
            </w:r>
          </w:p>
        </w:tc>
      </w:tr>
      <w:tr>
        <w:tblPrEx>
          <w:tblCellMar>
            <w:top w:w="0" w:type="dxa"/>
            <w:left w:w="108" w:type="dxa"/>
            <w:bottom w:w="0" w:type="dxa"/>
            <w:right w:w="108" w:type="dxa"/>
          </w:tblCellMar>
        </w:tblPrEx>
        <w:trPr>
          <w:trHeight w:val="805" w:hRule="atLeast"/>
        </w:trPr>
        <w:tc>
          <w:tcPr>
            <w:tcW w:w="42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174</w:t>
            </w:r>
          </w:p>
        </w:tc>
        <w:tc>
          <w:tcPr>
            <w:tcW w:w="227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▲证明文件</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w:t>
            </w:r>
            <w:r>
              <w:rPr>
                <w:rFonts w:hint="eastAsia" w:ascii="仿宋" w:hAnsi="仿宋" w:eastAsia="仿宋"/>
                <w:sz w:val="24"/>
                <w:szCs w:val="24"/>
              </w:rPr>
              <w:t>需通过中国信息安全测评中心的官网测评，提供结果公告链接截图及链接。</w:t>
            </w:r>
          </w:p>
        </w:tc>
      </w:tr>
      <w:tr>
        <w:tblPrEx>
          <w:tblCellMar>
            <w:top w:w="0" w:type="dxa"/>
            <w:left w:w="108" w:type="dxa"/>
            <w:bottom w:w="0" w:type="dxa"/>
            <w:right w:w="108" w:type="dxa"/>
          </w:tblCellMar>
        </w:tblPrEx>
        <w:trPr>
          <w:trHeight w:val="627" w:hRule="atLeast"/>
        </w:trPr>
        <w:tc>
          <w:tcPr>
            <w:tcW w:w="42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仿宋" w:hAnsi="仿宋" w:eastAsia="仿宋" w:cstheme="minorEastAsia"/>
                <w:kern w:val="0"/>
                <w:sz w:val="24"/>
                <w:szCs w:val="24"/>
              </w:rPr>
            </w:pPr>
            <w:r>
              <w:rPr>
                <w:rFonts w:hint="eastAsia" w:ascii="仿宋" w:hAnsi="仿宋" w:eastAsia="仿宋" w:cstheme="minorEastAsia"/>
                <w:kern w:val="0"/>
                <w:sz w:val="24"/>
                <w:szCs w:val="24"/>
              </w:rPr>
              <w:t>175</w:t>
            </w:r>
          </w:p>
        </w:tc>
        <w:tc>
          <w:tcPr>
            <w:tcW w:w="227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theme="minorEastAsia"/>
                <w:kern w:val="0"/>
                <w:sz w:val="24"/>
                <w:szCs w:val="24"/>
              </w:rPr>
            </w:pPr>
            <w:r>
              <w:rPr>
                <w:rFonts w:hint="eastAsia" w:ascii="仿宋" w:hAnsi="仿宋" w:eastAsia="仿宋" w:cstheme="minorEastAsia"/>
                <w:kern w:val="0"/>
                <w:sz w:val="24"/>
                <w:szCs w:val="24"/>
              </w:rPr>
              <w:t>▲授权时间</w:t>
            </w:r>
          </w:p>
        </w:tc>
        <w:tc>
          <w:tcPr>
            <w:tcW w:w="2299"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 w:hAnsi="仿宋" w:eastAsia="仿宋"/>
                <w:sz w:val="24"/>
                <w:szCs w:val="24"/>
              </w:rPr>
            </w:pPr>
            <w:r>
              <w:rPr>
                <w:rFonts w:hint="eastAsia" w:ascii="仿宋" w:hAnsi="仿宋" w:eastAsia="仿宋" w:cstheme="minorEastAsia"/>
                <w:kern w:val="0"/>
                <w:sz w:val="24"/>
                <w:szCs w:val="24"/>
              </w:rPr>
              <w:t>▲</w:t>
            </w:r>
            <w:r>
              <w:rPr>
                <w:rFonts w:hint="eastAsia" w:ascii="仿宋" w:hAnsi="仿宋" w:eastAsia="仿宋"/>
                <w:sz w:val="24"/>
                <w:szCs w:val="24"/>
              </w:rPr>
              <w:t>永久性授权</w:t>
            </w:r>
          </w:p>
        </w:tc>
      </w:tr>
      <w:bookmarkEnd w:id="419"/>
    </w:tbl>
    <w:p/>
    <w:p/>
    <w:p>
      <w:pPr>
        <w:spacing w:line="56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（四）其他技术要求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1.投标人应提供所代表品牌厂商原装、全新的、符合国家及用户提出的有关质量标准的设备和产品。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2.如果因为所代表品牌厂商无法提供的原因而提供其他品牌的设备/部件，投标人应明确说明并提出质量保证承诺。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3.所有设备、器材在开箱检验时必须完好，无破损，配置与装箱单相符。数量、质量及性能不低于本方案中提出的指标要求。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4.所建议的设备的性能应达到或超过指标要求表中所列技术指标。投标人应注意该表的值仅列出了最低限度。投标人在响应建议中必须列出具体数值。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5.投标人在投标文件中建议提供的设备能反映投标人在设备配置技术要求中建议的指标。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6.投标人投标时所提供的设备如在实际供货时已经废型（不列入该厂家当时的产品系统），如果未能按原价提供更高配置的设备，则按违约处理。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7.现场勘察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7.1采购人不统一组织现场勘察，投标人可自行决定是否需要对项目所在场地及周围环境进行现场勘察，现场勘察所发生的费用由投标供应商自行承担。勘察联系人：胡先生；联系方式：0580-3664521，18358085262。</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7.2现场勘察完毕，将认为供应商已了解现场情况，并充分理解了为之所承担的风险、义务和责任。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7.3在现场勘察过程中，投标供应商应承担在此期间所造成的人身伤害、财产损失或损坏的责任，无论何种原因所造成，采购人均不负责，如由此导致采购人承担责任的，采购人有权向该供应商行使追偿权。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8.投标人投标时应提供设备技术偏离情况、企业实力、业绩、质保期、响应能力、项目团队、对项目的理解、整体建设方案、施工组织方案、售后服务方案等材料。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9.▲中标人需完成所有设备的安装、调试，确保交付时采购人能够直接正常使用。如中标人提供的设备无法正常使用或者兼容系统，需无条件进行整改，直至正常使用为止。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10.▲中标人免费提供后期相关建设项目的参考方案以及与其它相关系统设备的提供商合作，包括软硬件数据协议接口。</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五、商务要求：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实施要求：中标人应负责按合同中规定的建设项目内容完成硬件设计部署，并保证按合同相关要求按时完成硬件及后台相关系统设备安装、调试、运行等工作；施工期间，中标人应遵守有关部门的管理，并遵照相关的规定。系统设备安装（包括所使用的设备、材料、布线方法、安装工艺、调试开通等）必须符合国家、行业法规和规范要求。在施工中应做好对其他设施的保护，凡造成人员受伤、设施及设备损坏的，一律由施工单位负责赔偿；提供的设备、配件必须提供随机资料（说明书、合格证、图纸、保修单及操作保养等资料），其他附件及材料必须符合国家有关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2.测试要求：中标人应按照合同要求测试所有硬件，负责合同中所有软硬件的现场部署、现场验收测试。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3.验收要求：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3.1本项目要求在合同签订后1个月内完成全部相关硬件设备的安装调试并通过项目初验，试运行3个月后系统稳定无故障，可申请项目终验。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3.2通过测试判断产品质量是否符合产品需求、功能实现是否正确，性能方面是否符合运行要求，并且产品可以最终上线。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3.3采购人负责组织验收小组及第三方监理单位共同参与项目验收。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3.5免费提供后期相关建设项目的参考方案以及与其它相关系统设备的提供商合作，包括软硬件数据协议接口。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如中标人无法如期完成设备安装调试、系统配置、项目验收等情况的，逾期每日向采购人支付合同额的万分之五作为违约金。中标人超过约定日期30个工作日仍不能完成相关服务的，采购人可解除本合同。中标人因未能如期提供相关服务或其他违约行为导致采购人解除合同的，中标人应向采购人支付合同额的10%作为违约金，如造成采购人损失超过违约金的，超出部分由中标人继续承担赔付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4.报价要求：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投标人应自行勘察现场，如认为有本表未列明的其他必须设备、材料，清单数量不足或需要其他相关费用，由各投标人自行列明并报价，计入投标总价；在项目实施中，由于投标人漏项、错项造成需要增加项目或数量的，由投标人承担，招标人不接受投标人以该项目未列入以上清单或数量不足而要求招标人增加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4.2投标人应根据招标文件报出合同总价。合同总价一旦核实确认，不得再做更改。对投标人漏报致使系统未能达到需求的功能和效果，其费用和后果由投标人自行负责。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4.3在符合总体要求的前提下，投标人可对招标文件中没有提及的内容，按自己的理解适当增加，但有关价格及费用必须在报价文件中单独列出，并说明理由。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4.4所有报价均应已包含国家规定的所有税费、项目采购委托费、第三方质量检测费等。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4.5投标总报价应等于“报价明细表”的设备、系统集成费、保修期内售后服务培训费用等实施本项目所需的一切费用之和。不能在投标总报价之外还有其他费用出现。“报价明细表”中投标人对所投价的投标报价必须按项目分别报价。投标人提供的部件必须包含在投标报价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▲4.6本项目为交钥匙工程，投标人需充分考虑项目风险及建筑物破坏的赔偿费用等不可预见性费用。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4.7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▲5.质保要求：本项目要求至少三年整体质保（项目终验通过之日起计算），原厂质保期高于投标人质保承诺的按原厂执行。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6.其他要求：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6.1要求投标人提供的服务不得低于标准服务，即与投标设备制造厂商通过网站等对外公布的有效服务标准相一致（投标人不得另行制作网页）。在标准服务基础上，投标人还应达到以下标准：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投标货物制造厂商应具有完善的服务保障体系（在最终供货地有直接设立或授权的售后服务机构，配备有足够的、有相应资质的专业技术人员）；供应商也应就投标货物的品质和服务对采购机构和采购单位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6.3投标人应明确说明此次投标的服务策略，提供此次投标货物的服务计划（售后服务内容、等级、相关服务指标、售后服务组织机构及人员安排情况及其联络信息）。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6.4在投标货物质保期内，供应商应提供不低于三年7*24小时的现场质保和技术支持服务，对故障能即时响应，1小时以内到现场，4小时以内解决问题；不能当场修复的，必须采取提供备品、备件或备机等措施，以保证采购人的正常使用。如果逾期未作出响应，供应商应承担由于故障所造成的全部损失。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6.5当投标货物发生非人为因素严重故障时，供应商应当免费在七日内将补充或者更换的货物运抵发生故障的货物所在地，由此产生的一切相关费用由供应商负担。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6.6质保期内所有因更换或修理设备或部件而导致设备停止运行的时间应从其质保期内扣除。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6.7供应商在质保期内安装的任何零配件，必须是其投标设备制造厂商原产的或是经其认可的。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6.8所有的替代零配件必须是新的未使用和未经修复的，除非最终用户提供书面许可，否则不可使用此范围外的其他（非新的）配件。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6.9供应商必须为维修和技术支持所未能解决的问题和故障提供正式的升级方案。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6.10在质保期内，供应商有责任解决所提供的投标设备和软件系统的任何问题，在质保期满后，当需要时，供应商仍须对因投标设备本身的固有缺陷和瑕疵承担相应责任。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6.11▲免费运维服务（等同于质保期）：系统调试开通移交后，甲方（采购人）组织人员在设备乙方（供应商）的指导下上岗操作，乙方进行系统维护；运维期同质保期。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设立专业的运行维护服务队伍：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6.12提供7*24小时电话技术支持。1小时现场响应，对于4小时内不能排除系统、设备故障的，应提供必要的备机备件，以确保各系统的正常运行。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6.13定期、日常维护巡检。每一季度进行一次系统设备的状态和运行情况、对专用设备进行清洁维护保养等工作。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6.14如遇重大活动，接到甲方通知后，必须无条件派工程师实行现场技术保障，确保系统在活动期间正常运行。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6.15免费提供后期相关建设项目的参考方案以及与其它相关系统设备的提供商合作，包括软硬件数据协议接口。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7.工期要求：合同签订后1个月内完成项目施工并通过初步验收，试运行3个月后完成项目终验。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8.交货地点要求：使用单位指定地点，投标人须派专业人员将产品送到指定地点并安装调试完毕，其所有费用由投标人承担。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9.中标人应免费提供技术培训服务（包括授课费、资料费、参加培训人员的差旅食宿费）。投标人需在投标文件中列出详细的技术培训计划，包括培训课程、参加培训的人数、培训时间、培训地点等。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培训目的：使甲方对系统布局、各子系统之间的关系以及系统整体构成有清晰、完整的认识，提高甲方自主分析问题和解决问题的能力，确保系统日常故障能在第一时间内由用户自行解决，从而提高设备和系统的有效性。同时，通过培训可提高用户使用、维护和管理整个系统的能力，从而提高用户技术人员的业务水平，确保整个系统可靠、稳定的运行，提高系统的可用性和可维护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培训方式：包括但不仅限于现场培训及集中培训。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①现场培训：在设备系统到位时，将有针对性的对于不同的人员进行现场‎的实际培训，主要包括所安装的各项系统的基本安装步骤、维护、性能调试的数据指标；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②集中培训：准备好培训相关培训资料和教材，对日常操作人员和系统维护人员进行集中培训，培训次数不少于3次（以甲方实际要求为准）。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③中标人为甲方提供的培训包括系统培训和设备培训，其中中标人需负责协调各设备供应商提供相关设备培训，整个培训由中标人召集和组织，由各设备‎供应商协助举办，期间所产生的相关费用由中标人承担。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④投标人须专门设立一个培训组（不少于2人）负责本次项目的培训任务，所有培训人员由资深管理人员和技术人员担当，所有主要培训人员都具有三年以上的实际教学经验。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⑤在项目正式实施前，中标人现场施工技术人员需对用户相关子系统的技术人员进行简单的培训，实施过程中，进行全程项目同步培训，培训人数根据项目的实际情况，‎每次培训的人员数量将以甲方的需求为准。</w:t>
      </w:r>
    </w:p>
    <w:p>
      <w:pPr>
        <w:spacing w:line="360" w:lineRule="auto"/>
        <w:rPr>
          <w:rFonts w:hint="eastAsia" w:ascii="仿宋" w:hAnsi="仿宋" w:eastAsia="仿宋" w:cs="仿宋"/>
          <w:sz w:val="24"/>
          <w:szCs w:val="24"/>
        </w:rPr>
      </w:pPr>
      <w:r>
        <w:rPr>
          <w:rFonts w:hint="eastAsia" w:ascii="仿宋" w:hAnsi="仿宋" w:eastAsia="仿宋" w:cs="仿宋"/>
          <w:sz w:val="24"/>
          <w:szCs w:val="24"/>
        </w:rPr>
        <w:t>培训时间及地点：</w:t>
      </w:r>
    </w:p>
    <w:p>
      <w:pPr>
        <w:spacing w:line="360" w:lineRule="auto"/>
        <w:rPr>
          <w:rFonts w:hint="eastAsia" w:ascii="仿宋" w:hAnsi="仿宋" w:eastAsia="仿宋" w:cs="仿宋"/>
          <w:sz w:val="24"/>
          <w:szCs w:val="24"/>
        </w:rPr>
      </w:pPr>
      <w:r>
        <w:rPr>
          <w:rFonts w:hint="eastAsia" w:ascii="仿宋" w:hAnsi="仿宋" w:eastAsia="仿宋" w:cs="仿宋"/>
          <w:sz w:val="24"/>
          <w:szCs w:val="24"/>
        </w:rPr>
        <w:t>‎    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①现场培训随项目实施在现场进行培训；</w:t>
      </w:r>
    </w:p>
    <w:p>
      <w:pPr>
        <w:spacing w:line="360" w:lineRule="auto"/>
        <w:rPr>
          <w:rFonts w:hint="eastAsia" w:ascii="仿宋" w:hAnsi="仿宋" w:eastAsia="仿宋" w:cs="仿宋"/>
          <w:sz w:val="24"/>
          <w:szCs w:val="24"/>
        </w:rPr>
      </w:pPr>
      <w:r>
        <w:rPr>
          <w:rFonts w:hint="eastAsia" w:ascii="仿宋" w:hAnsi="仿宋" w:eastAsia="仿宋" w:cs="仿宋"/>
          <w:sz w:val="24"/>
          <w:szCs w:val="24"/>
        </w:rPr>
        <w:t>‎ ②集中系统的培训，时间定于试运行完成前开始，培训时间双方根据项目情况、用户技术人员技术基础情况协商。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①在项目实施期在施工现场作为培训地点予以手把手的培训‎；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②集中培训地点由双方协商安排培训会址‎。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10.其他：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10.1投标人应对招标、实施、操作等过程中采取保密和安全措施，因投标人造成的不良影响和损失，投标人应承担相应责任。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10.2招标人认为投标人提供的产品和服务不能满足需求，可否决、终止本次采购。</w:t>
      </w:r>
    </w:p>
    <w:p>
      <w:pPr>
        <w:spacing w:line="360" w:lineRule="exact"/>
        <w:jc w:val="center"/>
        <w:rPr>
          <w:rFonts w:hint="eastAsia" w:ascii="仿宋" w:hAnsi="仿宋" w:eastAsia="仿宋" w:cs="仿宋"/>
          <w:b/>
          <w:sz w:val="24"/>
          <w:szCs w:val="24"/>
        </w:rPr>
      </w:pPr>
    </w:p>
    <w:p>
      <w:pPr>
        <w:spacing w:line="360" w:lineRule="exact"/>
        <w:jc w:val="center"/>
        <w:rPr>
          <w:rFonts w:hint="eastAsia" w:ascii="仿宋" w:hAnsi="仿宋" w:eastAsia="仿宋" w:cs="仿宋"/>
          <w:b/>
          <w:sz w:val="24"/>
          <w:szCs w:val="24"/>
        </w:rPr>
      </w:pPr>
    </w:p>
    <w:p>
      <w:pPr>
        <w:pStyle w:val="75"/>
        <w:ind w:firstLine="462"/>
        <w:rPr>
          <w:rFonts w:hint="eastAsia" w:ascii="仿宋" w:hAnsi="仿宋" w:eastAsia="仿宋" w:cs="仿宋"/>
          <w:b/>
          <w:szCs w:val="24"/>
        </w:rPr>
      </w:pPr>
    </w:p>
    <w:p>
      <w:pPr>
        <w:widowControl/>
        <w:jc w:val="left"/>
        <w:rPr>
          <w:rFonts w:ascii="仿宋" w:eastAsia="仿宋" w:cs="仿宋"/>
        </w:rPr>
      </w:pPr>
      <w:r>
        <w:rPr>
          <w:rFonts w:hint="eastAsia" w:ascii="仿宋" w:eastAsia="仿宋" w:cs="仿宋"/>
        </w:rPr>
        <w:br w:type="page"/>
      </w:r>
    </w:p>
    <w:p>
      <w:pPr>
        <w:spacing w:line="360" w:lineRule="auto"/>
        <w:ind w:firstLine="2877" w:firstLineChars="796"/>
        <w:outlineLvl w:val="0"/>
        <w:rPr>
          <w:rFonts w:hint="eastAsia" w:ascii="仿宋" w:hAnsi="仿宋" w:eastAsia="仿宋" w:cs="仿宋"/>
          <w:b/>
          <w:sz w:val="36"/>
          <w:szCs w:val="36"/>
        </w:rPr>
      </w:pPr>
      <w:r>
        <w:rPr>
          <w:rFonts w:hint="eastAsia" w:ascii="仿宋" w:hAnsi="仿宋" w:eastAsia="仿宋" w:cs="仿宋"/>
          <w:b/>
          <w:sz w:val="36"/>
          <w:szCs w:val="36"/>
        </w:rPr>
        <w:t>第四部分</w:t>
      </w:r>
      <w:bookmarkStart w:id="420" w:name="_Toc302396102"/>
      <w:bookmarkStart w:id="421" w:name="_Toc18363"/>
      <w:bookmarkStart w:id="422" w:name="_Toc13823"/>
      <w:bookmarkStart w:id="423" w:name="_Toc8240"/>
      <w:bookmarkStart w:id="424" w:name="_Toc30830"/>
      <w:bookmarkStart w:id="425" w:name="_Toc11082"/>
      <w:r>
        <w:rPr>
          <w:rFonts w:hint="eastAsia" w:ascii="仿宋" w:hAnsi="仿宋" w:eastAsia="仿宋" w:cs="仿宋"/>
          <w:b/>
          <w:sz w:val="36"/>
          <w:szCs w:val="36"/>
        </w:rPr>
        <w:t xml:space="preserve">  评标办法</w:t>
      </w:r>
      <w:bookmarkEnd w:id="420"/>
      <w:bookmarkEnd w:id="421"/>
      <w:bookmarkEnd w:id="422"/>
      <w:bookmarkEnd w:id="423"/>
      <w:bookmarkEnd w:id="424"/>
      <w:bookmarkEnd w:id="425"/>
    </w:p>
    <w:p>
      <w:pPr>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521"/>
        <w:gridCol w:w="6170"/>
        <w:gridCol w:w="56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ind w:right="3"/>
              <w:jc w:val="center"/>
              <w:rPr>
                <w:rFonts w:hint="eastAsia" w:ascii="仿宋" w:hAnsi="仿宋" w:eastAsia="仿宋" w:cs="仿宋"/>
                <w:b/>
                <w:spacing w:val="4"/>
                <w:szCs w:val="21"/>
              </w:rPr>
            </w:pPr>
            <w:r>
              <w:rPr>
                <w:rFonts w:hint="eastAsia" w:ascii="仿宋" w:hAnsi="仿宋" w:eastAsia="仿宋" w:cs="仿宋"/>
                <w:b/>
                <w:spacing w:val="4"/>
                <w:szCs w:val="21"/>
              </w:rPr>
              <w:t>类目</w:t>
            </w:r>
          </w:p>
        </w:tc>
        <w:tc>
          <w:tcPr>
            <w:tcW w:w="521" w:type="dxa"/>
            <w:tcBorders>
              <w:top w:val="single" w:color="auto" w:sz="4" w:space="0"/>
              <w:left w:val="single" w:color="auto" w:sz="4" w:space="0"/>
              <w:bottom w:val="single" w:color="auto" w:sz="4" w:space="0"/>
              <w:right w:val="single" w:color="auto" w:sz="4" w:space="0"/>
            </w:tcBorders>
            <w:vAlign w:val="center"/>
          </w:tcPr>
          <w:p>
            <w:pPr>
              <w:ind w:right="3"/>
              <w:jc w:val="center"/>
              <w:rPr>
                <w:rFonts w:hint="eastAsia" w:ascii="仿宋" w:hAnsi="仿宋" w:eastAsia="仿宋" w:cs="仿宋"/>
                <w:b/>
                <w:spacing w:val="4"/>
                <w:szCs w:val="21"/>
              </w:rPr>
            </w:pPr>
            <w:r>
              <w:rPr>
                <w:rFonts w:hint="eastAsia" w:ascii="仿宋" w:hAnsi="仿宋" w:eastAsia="仿宋" w:cs="仿宋"/>
                <w:b/>
                <w:spacing w:val="4"/>
                <w:szCs w:val="21"/>
              </w:rPr>
              <w:t>序号</w:t>
            </w:r>
          </w:p>
        </w:tc>
        <w:tc>
          <w:tcPr>
            <w:tcW w:w="6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b/>
                <w:spacing w:val="4"/>
                <w:szCs w:val="21"/>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pPr>
              <w:ind w:right="3"/>
              <w:jc w:val="center"/>
              <w:rPr>
                <w:rFonts w:hint="eastAsia" w:ascii="仿宋" w:hAnsi="仿宋" w:eastAsia="仿宋" w:cs="仿宋"/>
                <w:b/>
                <w:spacing w:val="4"/>
                <w:szCs w:val="21"/>
              </w:rPr>
            </w:pPr>
            <w:r>
              <w:rPr>
                <w:rFonts w:hint="eastAsia" w:ascii="仿宋" w:hAnsi="仿宋" w:eastAsia="仿宋" w:cs="仿宋"/>
                <w:b/>
                <w:spacing w:val="4"/>
                <w:szCs w:val="21"/>
              </w:rPr>
              <w:t>权重</w:t>
            </w:r>
          </w:p>
        </w:tc>
        <w:tc>
          <w:tcPr>
            <w:tcW w:w="1291" w:type="dxa"/>
            <w:tcBorders>
              <w:top w:val="single" w:color="auto" w:sz="4" w:space="0"/>
              <w:left w:val="single" w:color="auto" w:sz="4" w:space="0"/>
              <w:bottom w:val="single" w:color="auto" w:sz="4" w:space="0"/>
              <w:right w:val="single" w:color="auto" w:sz="4" w:space="0"/>
            </w:tcBorders>
          </w:tcPr>
          <w:p>
            <w:pPr>
              <w:spacing w:line="240" w:lineRule="exact"/>
              <w:jc w:val="center"/>
              <w:rPr>
                <w:rFonts w:hint="eastAsia" w:ascii="仿宋" w:hAnsi="仿宋" w:eastAsia="仿宋" w:cs="仿宋"/>
                <w:b/>
                <w:spacing w:val="4"/>
                <w:szCs w:val="21"/>
              </w:rPr>
            </w:pPr>
            <w:r>
              <w:rPr>
                <w:rFonts w:hint="eastAsia" w:ascii="仿宋" w:hAnsi="仿宋" w:eastAsia="仿宋" w:cs="仿宋"/>
                <w:b/>
                <w:spacing w:val="4"/>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restart"/>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商务部分（15分）</w:t>
            </w: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6170" w:type="dxa"/>
            <w:tcBorders>
              <w:left w:val="single" w:color="auto" w:sz="4" w:space="0"/>
              <w:right w:val="single" w:color="auto" w:sz="4" w:space="0"/>
            </w:tcBorders>
            <w:vAlign w:val="center"/>
          </w:tcPr>
          <w:p>
            <w:pPr>
              <w:adjustRightInd w:val="0"/>
              <w:snapToGrid w:val="0"/>
              <w:spacing w:line="320" w:lineRule="exact"/>
              <w:rPr>
                <w:rFonts w:hint="eastAsia" w:ascii="仿宋" w:hAnsi="仿宋" w:eastAsia="仿宋" w:cs="仿宋"/>
                <w:bCs/>
                <w:kern w:val="0"/>
                <w:szCs w:val="21"/>
              </w:rPr>
            </w:pPr>
            <w:bookmarkStart w:id="426" w:name="OLE_LINK5"/>
            <w:r>
              <w:rPr>
                <w:rFonts w:hint="eastAsia" w:ascii="仿宋" w:hAnsi="仿宋" w:eastAsia="仿宋" w:cs="仿宋"/>
                <w:bCs/>
                <w:kern w:val="0"/>
                <w:szCs w:val="21"/>
              </w:rPr>
              <w:t>1、投标人具有有效期内的信息技术服务管理体系认证的，得2分。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2、投标人具有有效期内的信息安全管理体系认证的，得2分。</w:t>
            </w:r>
            <w:bookmarkEnd w:id="426"/>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4分</w:t>
            </w:r>
          </w:p>
        </w:tc>
        <w:tc>
          <w:tcPr>
            <w:tcW w:w="1291" w:type="dxa"/>
            <w:tcBorders>
              <w:left w:val="single" w:color="auto" w:sz="4" w:space="0"/>
              <w:right w:val="single" w:color="auto" w:sz="4" w:space="0"/>
            </w:tcBorders>
            <w:vAlign w:val="center"/>
          </w:tcPr>
          <w:p>
            <w:pPr>
              <w:jc w:val="center"/>
              <w:rPr>
                <w:rFonts w:hint="eastAsia" w:ascii="仿宋" w:hAnsi="仿宋" w:eastAsia="仿宋" w:cs="仿宋"/>
                <w:szCs w:val="21"/>
              </w:rPr>
            </w:pPr>
            <w:bookmarkStart w:id="427" w:name="OLE_LINK4"/>
            <w:r>
              <w:rPr>
                <w:rFonts w:hint="eastAsia" w:ascii="仿宋" w:hAnsi="仿宋" w:eastAsia="仿宋" w:cs="仿宋"/>
                <w:bCs/>
                <w:kern w:val="0"/>
                <w:szCs w:val="21"/>
              </w:rPr>
              <w:t>企业资质</w:t>
            </w:r>
            <w:bookmarkEnd w:id="4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pPr>
              <w:jc w:val="center"/>
              <w:rPr>
                <w:rFonts w:hint="eastAsia" w:ascii="仿宋" w:hAnsi="仿宋" w:eastAsia="仿宋" w:cs="仿宋"/>
                <w:szCs w:val="21"/>
              </w:rPr>
            </w:pP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6170" w:type="dxa"/>
            <w:tcBorders>
              <w:left w:val="single" w:color="auto" w:sz="4" w:space="0"/>
              <w:right w:val="single" w:color="auto" w:sz="4" w:space="0"/>
            </w:tcBorders>
            <w:vAlign w:val="center"/>
          </w:tcPr>
          <w:p>
            <w:pPr>
              <w:adjustRightInd w:val="0"/>
              <w:snapToGrid w:val="0"/>
              <w:spacing w:line="320" w:lineRule="exact"/>
              <w:rPr>
                <w:rFonts w:hint="eastAsia" w:ascii="仿宋" w:hAnsi="仿宋" w:eastAsia="仿宋" w:cs="仿宋"/>
                <w:bCs/>
                <w:kern w:val="0"/>
                <w:szCs w:val="21"/>
              </w:rPr>
            </w:pPr>
            <w:bookmarkStart w:id="428" w:name="OLE_LINK7"/>
            <w:r>
              <w:rPr>
                <w:rFonts w:hint="eastAsia" w:ascii="仿宋" w:hAnsi="仿宋" w:eastAsia="仿宋" w:cs="仿宋"/>
                <w:bCs/>
                <w:kern w:val="0"/>
                <w:szCs w:val="21"/>
              </w:rPr>
              <w:t>投标人具有类似案例业绩（每提供一份采购合同，得1分，最多得3分。）</w:t>
            </w:r>
          </w:p>
          <w:p>
            <w:pPr>
              <w:adjustRightInd w:val="0"/>
              <w:snapToGrid w:val="0"/>
              <w:spacing w:line="320" w:lineRule="exact"/>
              <w:rPr>
                <w:rFonts w:hint="eastAsia" w:ascii="仿宋" w:hAnsi="仿宋" w:eastAsia="仿宋" w:cs="仿宋"/>
                <w:b/>
                <w:kern w:val="0"/>
                <w:szCs w:val="21"/>
              </w:rPr>
            </w:pPr>
            <w:r>
              <w:rPr>
                <w:rFonts w:hint="eastAsia" w:ascii="仿宋" w:hAnsi="仿宋" w:eastAsia="仿宋" w:cs="仿宋"/>
                <w:b/>
                <w:kern w:val="0"/>
                <w:szCs w:val="21"/>
              </w:rPr>
              <w:t>注：1、合同签订时间为 2021年1月1日（含）至开标截止时间的时间段内，合同由投标人签订，否则不得分。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
                <w:kern w:val="0"/>
                <w:szCs w:val="21"/>
              </w:rPr>
              <w:t>2、类似案例业绩是指合同内容必须包含LED大屏，否则不得分。</w:t>
            </w:r>
            <w:bookmarkEnd w:id="428"/>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3分</w:t>
            </w:r>
          </w:p>
        </w:tc>
        <w:tc>
          <w:tcPr>
            <w:tcW w:w="1291" w:type="dxa"/>
            <w:tcBorders>
              <w:left w:val="single" w:color="auto" w:sz="4" w:space="0"/>
              <w:right w:val="single" w:color="auto" w:sz="4" w:space="0"/>
            </w:tcBorders>
            <w:vAlign w:val="center"/>
          </w:tcPr>
          <w:p>
            <w:pPr>
              <w:jc w:val="center"/>
              <w:rPr>
                <w:rFonts w:hint="eastAsia" w:ascii="仿宋" w:hAnsi="仿宋" w:eastAsia="仿宋" w:cs="仿宋"/>
                <w:szCs w:val="21"/>
              </w:rPr>
            </w:pPr>
            <w:bookmarkStart w:id="429" w:name="OLE_LINK6"/>
            <w:r>
              <w:rPr>
                <w:rFonts w:hint="eastAsia" w:ascii="仿宋" w:hAnsi="仿宋" w:eastAsia="仿宋" w:cs="仿宋"/>
                <w:szCs w:val="21"/>
              </w:rPr>
              <w:t>类似业绩</w:t>
            </w:r>
            <w:bookmarkEnd w:id="4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pPr>
              <w:jc w:val="center"/>
              <w:rPr>
                <w:rFonts w:hint="eastAsia" w:ascii="仿宋" w:hAnsi="仿宋" w:eastAsia="仿宋" w:cs="仿宋"/>
                <w:szCs w:val="21"/>
              </w:rPr>
            </w:pP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6170" w:type="dxa"/>
            <w:tcBorders>
              <w:left w:val="single" w:color="auto" w:sz="4" w:space="0"/>
              <w:right w:val="single" w:color="auto" w:sz="4" w:space="0"/>
            </w:tcBorders>
            <w:vAlign w:val="center"/>
          </w:tcPr>
          <w:p>
            <w:pPr>
              <w:widowControl/>
              <w:textAlignment w:val="center"/>
              <w:rPr>
                <w:rFonts w:hint="eastAsia" w:ascii="仿宋" w:hAnsi="仿宋" w:eastAsia="仿宋" w:cs="仿宋"/>
                <w:bCs/>
                <w:kern w:val="0"/>
                <w:szCs w:val="21"/>
              </w:rPr>
            </w:pPr>
            <w:bookmarkStart w:id="430" w:name="OLE_LINK9"/>
            <w:r>
              <w:rPr>
                <w:rFonts w:hint="eastAsia" w:ascii="仿宋" w:hAnsi="仿宋" w:eastAsia="仿宋" w:cs="仿宋"/>
                <w:bCs/>
                <w:kern w:val="0"/>
                <w:szCs w:val="21"/>
              </w:rPr>
              <w:t>项目负责人（1名）：</w:t>
            </w:r>
          </w:p>
          <w:p>
            <w:pPr>
              <w:adjustRightInd w:val="0"/>
              <w:snapToGrid w:val="0"/>
              <w:spacing w:line="320" w:lineRule="exact"/>
              <w:rPr>
                <w:rFonts w:hint="eastAsia" w:ascii="仿宋" w:hAnsi="仿宋" w:eastAsia="仿宋" w:cs="仿宋"/>
                <w:szCs w:val="21"/>
              </w:rPr>
            </w:pPr>
            <w:r>
              <w:rPr>
                <w:rFonts w:hint="eastAsia" w:ascii="仿宋" w:hAnsi="仿宋" w:eastAsia="仿宋" w:cs="仿宋"/>
                <w:szCs w:val="21"/>
              </w:rPr>
              <w:t>具有人社部门颁发的信息系统项目管理师证书、系统集成项目管理工程师、信息安全工程师、软件设计师证书的，得3分，具备其中2本的得2分，具备其中1本的得1分。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
                <w:kern w:val="0"/>
                <w:szCs w:val="21"/>
              </w:rPr>
              <w:t>注:须提供上述证书及上述人员社保证明（2024年7月、8月、9月中的任意一个月），否则不得分。</w:t>
            </w:r>
            <w:bookmarkEnd w:id="430"/>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3分</w:t>
            </w:r>
          </w:p>
        </w:tc>
        <w:tc>
          <w:tcPr>
            <w:tcW w:w="1291" w:type="dxa"/>
            <w:tcBorders>
              <w:left w:val="single" w:color="auto" w:sz="4" w:space="0"/>
              <w:right w:val="single" w:color="auto" w:sz="4" w:space="0"/>
            </w:tcBorders>
            <w:vAlign w:val="center"/>
          </w:tcPr>
          <w:p>
            <w:pPr>
              <w:jc w:val="center"/>
              <w:rPr>
                <w:rFonts w:hint="eastAsia" w:ascii="仿宋" w:hAnsi="仿宋" w:eastAsia="仿宋" w:cs="仿宋"/>
                <w:szCs w:val="21"/>
              </w:rPr>
            </w:pPr>
            <w:bookmarkStart w:id="431" w:name="OLE_LINK8"/>
            <w:r>
              <w:rPr>
                <w:rFonts w:hint="eastAsia" w:ascii="仿宋" w:hAnsi="仿宋" w:eastAsia="仿宋" w:cs="仿宋"/>
                <w:szCs w:val="21"/>
              </w:rPr>
              <w:t>项目负责人</w:t>
            </w:r>
            <w:bookmarkEnd w:id="4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pPr>
              <w:jc w:val="center"/>
              <w:rPr>
                <w:rFonts w:hint="eastAsia" w:ascii="仿宋" w:hAnsi="仿宋" w:eastAsia="仿宋" w:cs="仿宋"/>
                <w:szCs w:val="21"/>
              </w:rPr>
            </w:pP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6170" w:type="dxa"/>
            <w:tcBorders>
              <w:left w:val="single" w:color="auto" w:sz="4" w:space="0"/>
              <w:right w:val="single" w:color="auto" w:sz="4" w:space="0"/>
            </w:tcBorders>
            <w:vAlign w:val="center"/>
          </w:tcPr>
          <w:p>
            <w:pPr>
              <w:adjustRightInd w:val="0"/>
              <w:snapToGrid w:val="0"/>
              <w:spacing w:line="320" w:lineRule="exact"/>
              <w:rPr>
                <w:rFonts w:hint="eastAsia" w:ascii="仿宋" w:hAnsi="仿宋" w:eastAsia="仿宋" w:cs="仿宋"/>
                <w:bCs/>
                <w:kern w:val="0"/>
                <w:szCs w:val="21"/>
              </w:rPr>
            </w:pPr>
            <w:bookmarkStart w:id="432" w:name="OLE_LINK11"/>
            <w:r>
              <w:rPr>
                <w:rFonts w:hint="eastAsia" w:ascii="仿宋" w:hAnsi="仿宋" w:eastAsia="仿宋" w:cs="仿宋"/>
                <w:bCs/>
                <w:kern w:val="0"/>
                <w:szCs w:val="21"/>
              </w:rPr>
              <w:t>项目技术负责人（1名）：</w:t>
            </w:r>
          </w:p>
          <w:p>
            <w:pPr>
              <w:numPr>
                <w:ilvl w:val="0"/>
                <w:numId w:val="2"/>
              </w:num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具有人社部门颁发的信息安全工程师证书得1分；</w:t>
            </w:r>
          </w:p>
          <w:p>
            <w:pPr>
              <w:numPr>
                <w:ilvl w:val="0"/>
                <w:numId w:val="2"/>
              </w:num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具有人社部门颁发的网络工程师证书的得1分</w:t>
            </w:r>
            <w:r>
              <w:rPr>
                <w:rFonts w:hint="eastAsia" w:ascii="仿宋" w:hAnsi="仿宋" w:eastAsia="仿宋" w:cs="仿宋"/>
                <w:szCs w:val="21"/>
              </w:rPr>
              <w:t>；</w:t>
            </w:r>
          </w:p>
          <w:p>
            <w:pPr>
              <w:adjustRightInd w:val="0"/>
              <w:snapToGrid w:val="0"/>
              <w:spacing w:line="320" w:lineRule="exact"/>
              <w:rPr>
                <w:rFonts w:hint="eastAsia" w:ascii="仿宋" w:hAnsi="仿宋" w:eastAsia="仿宋" w:cs="仿宋"/>
                <w:b/>
                <w:kern w:val="0"/>
                <w:szCs w:val="21"/>
              </w:rPr>
            </w:pPr>
            <w:r>
              <w:rPr>
                <w:rFonts w:hint="eastAsia" w:ascii="仿宋" w:hAnsi="仿宋" w:eastAsia="仿宋" w:cs="仿宋"/>
                <w:b/>
                <w:kern w:val="0"/>
                <w:szCs w:val="21"/>
              </w:rPr>
              <w:t>注:须提供上述证书及上述人员社保证明（2024年7月、8月、9月中的任意一个月），否则不得分。</w:t>
            </w:r>
            <w:bookmarkEnd w:id="432"/>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2分</w:t>
            </w:r>
          </w:p>
        </w:tc>
        <w:tc>
          <w:tcPr>
            <w:tcW w:w="1291" w:type="dxa"/>
            <w:tcBorders>
              <w:left w:val="single" w:color="auto" w:sz="4" w:space="0"/>
              <w:right w:val="single" w:color="auto" w:sz="4" w:space="0"/>
            </w:tcBorders>
            <w:vAlign w:val="center"/>
          </w:tcPr>
          <w:p>
            <w:pPr>
              <w:jc w:val="center"/>
              <w:rPr>
                <w:rFonts w:hint="eastAsia" w:ascii="仿宋" w:hAnsi="仿宋" w:eastAsia="仿宋" w:cs="仿宋"/>
                <w:szCs w:val="21"/>
              </w:rPr>
            </w:pPr>
            <w:bookmarkStart w:id="433" w:name="OLE_LINK10"/>
            <w:r>
              <w:rPr>
                <w:rFonts w:hint="eastAsia" w:ascii="仿宋" w:hAnsi="仿宋" w:eastAsia="仿宋" w:cs="仿宋"/>
                <w:szCs w:val="21"/>
              </w:rPr>
              <w:t>项目技术负责人</w:t>
            </w:r>
            <w:bookmarkEnd w:id="4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1" w:type="dxa"/>
            <w:vMerge w:val="continue"/>
            <w:tcBorders>
              <w:left w:val="single" w:color="auto" w:sz="4" w:space="0"/>
              <w:right w:val="single" w:color="auto" w:sz="4" w:space="0"/>
            </w:tcBorders>
            <w:vAlign w:val="center"/>
          </w:tcPr>
          <w:p>
            <w:pPr>
              <w:jc w:val="left"/>
              <w:rPr>
                <w:rFonts w:hint="eastAsia" w:ascii="仿宋" w:hAnsi="仿宋" w:eastAsia="仿宋" w:cs="仿宋"/>
                <w:szCs w:val="21"/>
              </w:rPr>
            </w:pP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6170" w:type="dxa"/>
            <w:tcBorders>
              <w:left w:val="single" w:color="auto" w:sz="4" w:space="0"/>
              <w:right w:val="single" w:color="auto" w:sz="4" w:space="0"/>
            </w:tcBorders>
            <w:vAlign w:val="center"/>
          </w:tcPr>
          <w:p>
            <w:pPr>
              <w:adjustRightInd w:val="0"/>
              <w:snapToGrid w:val="0"/>
              <w:spacing w:line="320" w:lineRule="exact"/>
              <w:rPr>
                <w:rFonts w:hint="eastAsia" w:ascii="仿宋" w:hAnsi="仿宋" w:eastAsia="仿宋" w:cs="仿宋"/>
                <w:bCs/>
                <w:kern w:val="0"/>
                <w:szCs w:val="21"/>
              </w:rPr>
            </w:pPr>
            <w:bookmarkStart w:id="434" w:name="OLE_LINK15"/>
            <w:r>
              <w:rPr>
                <w:rFonts w:hint="eastAsia" w:ascii="仿宋" w:hAnsi="仿宋" w:eastAsia="仿宋" w:cs="仿宋"/>
                <w:bCs/>
                <w:kern w:val="0"/>
                <w:szCs w:val="21"/>
              </w:rPr>
              <w:t>投标人为本项目配备的技术成员（除项目负责人和技术负责人）：</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1、具有人社部门颁发的网络工程师证书的，得1分；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2、具有人社部门颁发的系统集成项目管理工程师证书的，得1分；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3、具有人社部门颁发的电子信息工程师的，得1分；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
                <w:kern w:val="0"/>
                <w:szCs w:val="21"/>
              </w:rPr>
              <w:t>注:须提供上述证书及上述人员社保证明（2024年7月、8月、9月中的任意一个月），否则不得分。</w:t>
            </w:r>
            <w:bookmarkEnd w:id="434"/>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3分</w:t>
            </w:r>
          </w:p>
        </w:tc>
        <w:tc>
          <w:tcPr>
            <w:tcW w:w="1291" w:type="dxa"/>
            <w:tcBorders>
              <w:left w:val="single" w:color="auto" w:sz="4" w:space="0"/>
              <w:right w:val="single" w:color="auto" w:sz="4" w:space="0"/>
            </w:tcBorders>
            <w:vAlign w:val="center"/>
          </w:tcPr>
          <w:p>
            <w:pPr>
              <w:jc w:val="center"/>
              <w:rPr>
                <w:rFonts w:hint="eastAsia" w:ascii="仿宋" w:hAnsi="仿宋" w:eastAsia="仿宋" w:cs="仿宋"/>
                <w:szCs w:val="21"/>
              </w:rPr>
            </w:pPr>
            <w:bookmarkStart w:id="435" w:name="OLE_LINK12"/>
            <w:r>
              <w:rPr>
                <w:rFonts w:hint="eastAsia" w:ascii="仿宋" w:hAnsi="仿宋" w:eastAsia="仿宋" w:cs="仿宋"/>
                <w:bCs/>
                <w:kern w:val="0"/>
                <w:szCs w:val="21"/>
              </w:rPr>
              <w:t>项目成员证书</w:t>
            </w:r>
            <w:bookmarkEnd w:id="4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restart"/>
            <w:tcBorders>
              <w:left w:val="single" w:color="auto" w:sz="4" w:space="0"/>
              <w:right w:val="single" w:color="auto" w:sz="4" w:space="0"/>
            </w:tcBorders>
            <w:vAlign w:val="center"/>
          </w:tcPr>
          <w:p>
            <w:pPr>
              <w:rPr>
                <w:rFonts w:hint="eastAsia" w:ascii="仿宋" w:hAnsi="仿宋" w:eastAsia="仿宋" w:cs="仿宋"/>
                <w:spacing w:val="4"/>
                <w:szCs w:val="21"/>
              </w:rPr>
            </w:pPr>
            <w:r>
              <w:rPr>
                <w:rFonts w:hint="eastAsia" w:ascii="仿宋" w:hAnsi="仿宋" w:eastAsia="仿宋" w:cs="仿宋"/>
                <w:spacing w:val="4"/>
                <w:szCs w:val="21"/>
              </w:rPr>
              <w:t>技术部分（55分）</w:t>
            </w: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6170" w:type="dxa"/>
            <w:tcBorders>
              <w:left w:val="single" w:color="auto" w:sz="4" w:space="0"/>
              <w:right w:val="single" w:color="auto" w:sz="4" w:space="0"/>
            </w:tcBorders>
            <w:vAlign w:val="center"/>
          </w:tcPr>
          <w:p>
            <w:pPr>
              <w:adjustRightInd w:val="0"/>
              <w:snapToGrid w:val="0"/>
              <w:spacing w:line="320" w:lineRule="exact"/>
              <w:rPr>
                <w:rFonts w:hint="eastAsia" w:ascii="仿宋" w:hAnsi="仿宋" w:eastAsia="仿宋" w:cs="仿宋"/>
                <w:bCs/>
                <w:kern w:val="0"/>
                <w:szCs w:val="21"/>
              </w:rPr>
            </w:pPr>
            <w:bookmarkStart w:id="436" w:name="OLE_LINK17"/>
            <w:r>
              <w:rPr>
                <w:rFonts w:hint="eastAsia" w:ascii="仿宋" w:hAnsi="仿宋" w:eastAsia="仿宋" w:cs="仿宋"/>
                <w:bCs/>
                <w:kern w:val="0"/>
                <w:szCs w:val="21"/>
              </w:rPr>
              <w:t>根据招标文件招标需求中的技术指标偏离情况进行打分，基础分30分。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1、标“★”参数每负偏离一项扣1分，扣完为止。</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2、标“▲”的指标不允许负偏离，有一项则做无效标处理。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3、其他参数每负偏离一项扣0.5分，扣完为止。</w:t>
            </w:r>
            <w:bookmarkEnd w:id="436"/>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pacing w:val="4"/>
                <w:szCs w:val="21"/>
              </w:rPr>
            </w:pPr>
            <w:r>
              <w:rPr>
                <w:rFonts w:hint="eastAsia" w:ascii="仿宋" w:hAnsi="仿宋" w:eastAsia="仿宋" w:cs="仿宋"/>
                <w:szCs w:val="21"/>
              </w:rPr>
              <w:t>30分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eastAsia" w:ascii="仿宋" w:hAnsi="仿宋" w:eastAsia="仿宋" w:cs="仿宋"/>
                <w:spacing w:val="4"/>
                <w:szCs w:val="21"/>
              </w:rPr>
            </w:pPr>
            <w:bookmarkStart w:id="437" w:name="OLE_LINK16"/>
            <w:r>
              <w:rPr>
                <w:rFonts w:hint="eastAsia" w:ascii="仿宋" w:hAnsi="仿宋" w:eastAsia="仿宋" w:cs="仿宋"/>
                <w:szCs w:val="20"/>
              </w:rPr>
              <w:t>技术参数响应</w:t>
            </w:r>
            <w:bookmarkEnd w:id="4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pPr>
              <w:rPr>
                <w:rFonts w:hint="eastAsia" w:ascii="仿宋" w:hAnsi="仿宋" w:eastAsia="仿宋" w:cs="仿宋"/>
                <w:spacing w:val="4"/>
                <w:szCs w:val="21"/>
              </w:rPr>
            </w:pP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6170" w:type="dxa"/>
            <w:tcBorders>
              <w:left w:val="single" w:color="auto" w:sz="4" w:space="0"/>
              <w:right w:val="single" w:color="auto" w:sz="4" w:space="0"/>
            </w:tcBorders>
            <w:vAlign w:val="center"/>
          </w:tcPr>
          <w:p>
            <w:pPr>
              <w:spacing w:line="320" w:lineRule="exact"/>
              <w:rPr>
                <w:rFonts w:hint="eastAsia" w:ascii="仿宋" w:hAnsi="仿宋" w:eastAsia="仿宋" w:cs="仿宋"/>
                <w:szCs w:val="21"/>
              </w:rPr>
            </w:pPr>
            <w:bookmarkStart w:id="438" w:name="OLE_LINK19"/>
            <w:r>
              <w:rPr>
                <w:rFonts w:hint="eastAsia" w:ascii="仿宋" w:hAnsi="仿宋" w:eastAsia="仿宋" w:cs="仿宋"/>
                <w:szCs w:val="21"/>
              </w:rPr>
              <w:t>投标人需依据项目实际情况提供整体建设方案，根据投标人对项目总体建设需求的理解、整体布局、设计效果、功能设计的描述，是否符合本项目当前的要求进行打分：</w:t>
            </w:r>
          </w:p>
          <w:p>
            <w:pPr>
              <w:spacing w:line="320" w:lineRule="exact"/>
              <w:rPr>
                <w:rFonts w:hint="eastAsia" w:ascii="仿宋" w:hAnsi="仿宋" w:eastAsia="仿宋" w:cs="仿宋"/>
                <w:szCs w:val="21"/>
              </w:rPr>
            </w:pPr>
            <w:r>
              <w:rPr>
                <w:rFonts w:hint="eastAsia" w:ascii="仿宋" w:hAnsi="仿宋" w:eastAsia="仿宋" w:cs="仿宋"/>
                <w:szCs w:val="21"/>
              </w:rPr>
              <w:t>1、设计较为合理，功能设计完善，内容齐全，技术方案充分考虑易用性、可扩展性等得7.1-10分；</w:t>
            </w:r>
          </w:p>
          <w:p>
            <w:pPr>
              <w:spacing w:line="320" w:lineRule="exact"/>
              <w:rPr>
                <w:rFonts w:hint="eastAsia" w:ascii="仿宋" w:hAnsi="仿宋" w:eastAsia="仿宋" w:cs="仿宋"/>
                <w:szCs w:val="21"/>
              </w:rPr>
            </w:pPr>
            <w:r>
              <w:rPr>
                <w:rFonts w:hint="eastAsia" w:ascii="仿宋" w:hAnsi="仿宋" w:eastAsia="仿宋" w:cs="仿宋"/>
                <w:szCs w:val="21"/>
              </w:rPr>
              <w:t>2、设计基本合理，功能设计基本完善，内容较齐全，技术方案基本考虑了易用性，可扩展性等得4.1-7分；</w:t>
            </w:r>
          </w:p>
          <w:p>
            <w:pPr>
              <w:spacing w:line="320" w:lineRule="exact"/>
              <w:rPr>
                <w:rFonts w:hint="eastAsia" w:ascii="仿宋" w:hAnsi="仿宋" w:eastAsia="仿宋" w:cs="仿宋"/>
                <w:szCs w:val="21"/>
              </w:rPr>
            </w:pPr>
            <w:r>
              <w:rPr>
                <w:rFonts w:hint="eastAsia" w:ascii="仿宋" w:hAnsi="仿宋" w:eastAsia="仿宋" w:cs="仿宋"/>
                <w:szCs w:val="21"/>
              </w:rPr>
              <w:t>3、对项目总体建设需求及内容描述了解不全，相关技术方案不合理得0.1-4分；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szCs w:val="21"/>
              </w:rPr>
              <w:t>4、未做相关描述的不得分。</w:t>
            </w:r>
            <w:bookmarkEnd w:id="438"/>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10分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eastAsia" w:ascii="仿宋" w:hAnsi="仿宋" w:eastAsia="仿宋" w:cs="仿宋"/>
                <w:szCs w:val="21"/>
              </w:rPr>
            </w:pPr>
            <w:bookmarkStart w:id="439" w:name="OLE_LINK18"/>
            <w:r>
              <w:rPr>
                <w:rFonts w:hint="eastAsia" w:ascii="仿宋" w:hAnsi="仿宋" w:eastAsia="仿宋" w:cs="仿宋"/>
                <w:szCs w:val="21"/>
              </w:rPr>
              <w:t>建设方案</w:t>
            </w:r>
            <w:bookmarkEnd w:id="4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pPr>
              <w:rPr>
                <w:rFonts w:hint="eastAsia" w:ascii="仿宋" w:hAnsi="仿宋" w:eastAsia="仿宋" w:cs="仿宋"/>
                <w:spacing w:val="4"/>
                <w:szCs w:val="21"/>
              </w:rPr>
            </w:pP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6170" w:type="dxa"/>
            <w:tcBorders>
              <w:left w:val="single" w:color="auto" w:sz="4" w:space="0"/>
              <w:right w:val="single" w:color="auto" w:sz="4" w:space="0"/>
            </w:tcBorders>
            <w:vAlign w:val="center"/>
          </w:tcPr>
          <w:p>
            <w:pPr>
              <w:adjustRightInd w:val="0"/>
              <w:snapToGrid w:val="0"/>
              <w:spacing w:line="320" w:lineRule="exact"/>
              <w:rPr>
                <w:rFonts w:hint="eastAsia" w:ascii="仿宋" w:hAnsi="仿宋" w:eastAsia="仿宋" w:cs="仿宋"/>
                <w:bCs/>
                <w:kern w:val="0"/>
                <w:szCs w:val="21"/>
              </w:rPr>
            </w:pPr>
            <w:bookmarkStart w:id="440" w:name="OLE_LINK21"/>
            <w:r>
              <w:rPr>
                <w:rFonts w:hint="eastAsia" w:ascii="仿宋" w:hAnsi="仿宋" w:eastAsia="仿宋" w:cs="仿宋"/>
                <w:bCs/>
                <w:kern w:val="0"/>
                <w:szCs w:val="21"/>
              </w:rPr>
              <w:t>根据投标人针对本项目的实施方案是否具有合理性、可行性，是否针对本项目具有完整的流程和服务方式等综合打分。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1、进度安排合理、流程和服务方式完整合理的得3.1-5分；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2、进度安排较合理、流程和服务方式较完整合理的得1.1-3分；</w:t>
            </w:r>
          </w:p>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3、进度安排一般、流程和服务方式一般的得0-1分。</w:t>
            </w:r>
            <w:bookmarkEnd w:id="440"/>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5分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eastAsia" w:ascii="仿宋" w:hAnsi="仿宋" w:eastAsia="仿宋" w:cs="仿宋"/>
                <w:szCs w:val="21"/>
              </w:rPr>
            </w:pPr>
            <w:bookmarkStart w:id="441" w:name="OLE_LINK20"/>
            <w:r>
              <w:rPr>
                <w:rFonts w:hint="eastAsia" w:ascii="仿宋" w:hAnsi="仿宋" w:eastAsia="仿宋" w:cs="仿宋"/>
                <w:szCs w:val="21"/>
              </w:rPr>
              <w:t>实施方案</w:t>
            </w:r>
            <w:bookmarkEnd w:id="4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pPr>
              <w:rPr>
                <w:rFonts w:hint="eastAsia" w:ascii="仿宋" w:hAnsi="仿宋" w:eastAsia="仿宋" w:cs="仿宋"/>
                <w:spacing w:val="4"/>
                <w:szCs w:val="21"/>
              </w:rPr>
            </w:pP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6170" w:type="dxa"/>
            <w:tcBorders>
              <w:left w:val="single" w:color="auto" w:sz="4" w:space="0"/>
              <w:right w:val="single" w:color="auto" w:sz="4" w:space="0"/>
            </w:tcBorders>
            <w:vAlign w:val="center"/>
          </w:tcPr>
          <w:p>
            <w:pPr>
              <w:spacing w:line="320" w:lineRule="exact"/>
              <w:rPr>
                <w:rFonts w:hint="eastAsia" w:ascii="仿宋" w:hAnsi="仿宋" w:eastAsia="仿宋" w:cs="仿宋"/>
                <w:szCs w:val="21"/>
              </w:rPr>
            </w:pPr>
            <w:bookmarkStart w:id="442" w:name="OLE_LINK23"/>
            <w:r>
              <w:rPr>
                <w:rFonts w:hint="eastAsia" w:ascii="仿宋" w:hAnsi="仿宋" w:eastAsia="仿宋" w:cs="仿宋"/>
                <w:szCs w:val="21"/>
              </w:rPr>
              <w:t>投标人是否建立服务保障应急预案，对维护工作中可能遇到的问题及应对措施的情况是否具有时效性、科学性，在服务期间故障处理的组织合理性、有效性等进行综合打分。根据投标人针对此项目提供的应急预案酌情打分：</w:t>
            </w:r>
          </w:p>
          <w:p>
            <w:pPr>
              <w:spacing w:line="320" w:lineRule="exact"/>
              <w:rPr>
                <w:rFonts w:hint="eastAsia" w:ascii="仿宋" w:hAnsi="仿宋" w:eastAsia="仿宋" w:cs="仿宋"/>
                <w:szCs w:val="21"/>
              </w:rPr>
            </w:pPr>
            <w:r>
              <w:rPr>
                <w:rFonts w:hint="eastAsia" w:ascii="仿宋" w:hAnsi="仿宋" w:eastAsia="仿宋" w:cs="仿宋"/>
                <w:szCs w:val="21"/>
              </w:rPr>
              <w:t>1、具有应急预案，且应急预案科学、合理、全面，2.1-4分；</w:t>
            </w:r>
          </w:p>
          <w:p>
            <w:pPr>
              <w:spacing w:line="320" w:lineRule="exact"/>
              <w:rPr>
                <w:rFonts w:hint="eastAsia" w:ascii="仿宋" w:hAnsi="仿宋" w:eastAsia="仿宋" w:cs="仿宋"/>
                <w:szCs w:val="21"/>
              </w:rPr>
            </w:pPr>
            <w:r>
              <w:rPr>
                <w:rFonts w:hint="eastAsia" w:ascii="仿宋" w:hAnsi="仿宋" w:eastAsia="仿宋" w:cs="仿宋"/>
                <w:szCs w:val="21"/>
              </w:rPr>
              <w:t>2、具有应急预案，且应急预案方案较科学、合理、全面，1.1-2分；</w:t>
            </w:r>
          </w:p>
          <w:p>
            <w:pPr>
              <w:spacing w:line="320" w:lineRule="exact"/>
              <w:rPr>
                <w:rFonts w:hint="eastAsia" w:ascii="仿宋" w:hAnsi="仿宋" w:eastAsia="仿宋" w:cs="仿宋"/>
                <w:bCs/>
                <w:kern w:val="0"/>
                <w:szCs w:val="21"/>
              </w:rPr>
            </w:pPr>
            <w:r>
              <w:rPr>
                <w:rFonts w:hint="eastAsia" w:ascii="仿宋" w:hAnsi="仿宋" w:eastAsia="仿宋" w:cs="仿宋"/>
                <w:szCs w:val="21"/>
              </w:rPr>
              <w:t>3、应急预案一般，0-1分。</w:t>
            </w:r>
            <w:bookmarkEnd w:id="442"/>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4分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eastAsia" w:ascii="仿宋" w:hAnsi="仿宋" w:eastAsia="仿宋" w:cs="仿宋"/>
                <w:szCs w:val="21"/>
              </w:rPr>
            </w:pPr>
            <w:bookmarkStart w:id="443" w:name="OLE_LINK22"/>
            <w:r>
              <w:rPr>
                <w:rFonts w:hint="eastAsia" w:ascii="仿宋" w:hAnsi="仿宋" w:eastAsia="仿宋" w:cs="仿宋"/>
                <w:szCs w:val="21"/>
              </w:rPr>
              <w:t>应急预案</w:t>
            </w:r>
            <w:bookmarkEnd w:id="4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pPr>
              <w:rPr>
                <w:rFonts w:hint="eastAsia" w:ascii="仿宋" w:hAnsi="仿宋" w:eastAsia="仿宋" w:cs="仿宋"/>
                <w:spacing w:val="4"/>
                <w:szCs w:val="21"/>
              </w:rPr>
            </w:pP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10</w:t>
            </w:r>
          </w:p>
        </w:tc>
        <w:tc>
          <w:tcPr>
            <w:tcW w:w="6170" w:type="dxa"/>
            <w:tcBorders>
              <w:left w:val="single" w:color="auto" w:sz="4" w:space="0"/>
              <w:right w:val="single" w:color="auto" w:sz="4" w:space="0"/>
            </w:tcBorders>
            <w:vAlign w:val="center"/>
          </w:tcPr>
          <w:p>
            <w:pPr>
              <w:spacing w:line="320" w:lineRule="exact"/>
              <w:rPr>
                <w:rFonts w:hint="eastAsia" w:ascii="仿宋" w:hAnsi="仿宋" w:eastAsia="仿宋" w:cs="仿宋"/>
                <w:szCs w:val="21"/>
              </w:rPr>
            </w:pPr>
            <w:bookmarkStart w:id="444" w:name="OLE_LINK25"/>
            <w:r>
              <w:rPr>
                <w:rFonts w:hint="eastAsia" w:ascii="仿宋" w:hAnsi="仿宋" w:eastAsia="仿宋" w:cs="仿宋"/>
                <w:szCs w:val="21"/>
              </w:rPr>
              <w:t>根据投标人提出的培训计划详细具体，提供业务人员培训，对于培训地点、组织、人员配备等内容完整、培训方案安排科学合理针对性进行综合评分：</w:t>
            </w:r>
          </w:p>
          <w:p>
            <w:pPr>
              <w:spacing w:line="320" w:lineRule="exact"/>
              <w:rPr>
                <w:rFonts w:hint="eastAsia" w:ascii="仿宋" w:hAnsi="仿宋" w:eastAsia="仿宋" w:cs="仿宋"/>
                <w:szCs w:val="21"/>
              </w:rPr>
            </w:pPr>
            <w:r>
              <w:rPr>
                <w:rFonts w:hint="eastAsia" w:ascii="仿宋" w:hAnsi="仿宋" w:eastAsia="仿宋" w:cs="仿宋"/>
                <w:szCs w:val="21"/>
              </w:rPr>
              <w:t>1、培训方案完善内容丰富，可实施性强得1.1-2分；</w:t>
            </w:r>
          </w:p>
          <w:p>
            <w:pPr>
              <w:spacing w:line="320" w:lineRule="exact"/>
              <w:rPr>
                <w:rFonts w:hint="eastAsia" w:ascii="仿宋" w:hAnsi="仿宋" w:eastAsia="仿宋" w:cs="仿宋"/>
                <w:bCs/>
                <w:kern w:val="0"/>
                <w:szCs w:val="21"/>
              </w:rPr>
            </w:pPr>
            <w:r>
              <w:rPr>
                <w:rFonts w:hint="eastAsia" w:ascii="仿宋" w:hAnsi="仿宋" w:eastAsia="仿宋" w:cs="仿宋"/>
                <w:szCs w:val="21"/>
              </w:rPr>
              <w:t>2、培训方案较为简单不满足采购需求的0-1分。</w:t>
            </w:r>
            <w:bookmarkEnd w:id="444"/>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2分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eastAsia" w:ascii="仿宋" w:hAnsi="仿宋" w:eastAsia="仿宋" w:cs="仿宋"/>
                <w:szCs w:val="21"/>
              </w:rPr>
            </w:pPr>
            <w:bookmarkStart w:id="445" w:name="OLE_LINK24"/>
            <w:r>
              <w:rPr>
                <w:rFonts w:hint="eastAsia" w:ascii="仿宋" w:hAnsi="仿宋" w:eastAsia="仿宋" w:cs="仿宋"/>
                <w:szCs w:val="21"/>
              </w:rPr>
              <w:t>培训计划</w:t>
            </w:r>
            <w:bookmarkEnd w:id="4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pPr>
              <w:rPr>
                <w:rFonts w:hint="eastAsia" w:ascii="仿宋" w:hAnsi="仿宋" w:eastAsia="仿宋" w:cs="仿宋"/>
                <w:spacing w:val="4"/>
                <w:szCs w:val="21"/>
              </w:rPr>
            </w:pPr>
          </w:p>
        </w:tc>
        <w:tc>
          <w:tcPr>
            <w:tcW w:w="52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11</w:t>
            </w:r>
          </w:p>
        </w:tc>
        <w:tc>
          <w:tcPr>
            <w:tcW w:w="6170" w:type="dxa"/>
            <w:tcBorders>
              <w:left w:val="single" w:color="auto" w:sz="4" w:space="0"/>
              <w:right w:val="single" w:color="auto" w:sz="4" w:space="0"/>
            </w:tcBorders>
            <w:vAlign w:val="center"/>
          </w:tcPr>
          <w:p>
            <w:pPr>
              <w:spacing w:line="320" w:lineRule="exact"/>
              <w:rPr>
                <w:rFonts w:hint="eastAsia" w:ascii="仿宋" w:hAnsi="仿宋" w:eastAsia="仿宋" w:cs="仿宋"/>
                <w:szCs w:val="21"/>
              </w:rPr>
            </w:pPr>
            <w:r>
              <w:rPr>
                <w:rFonts w:hint="eastAsia" w:ascii="仿宋" w:hAnsi="仿宋" w:eastAsia="仿宋" w:cs="仿宋"/>
                <w:szCs w:val="21"/>
              </w:rPr>
              <w:t>根据投标人提供售后服务方案的完整性、可行性，包含免费运维服务期限、响应时间、运维内容、备品备件、免费运维服务期外的服务方案等方面内容：</w:t>
            </w:r>
          </w:p>
          <w:p>
            <w:pPr>
              <w:spacing w:line="320" w:lineRule="exact"/>
              <w:rPr>
                <w:rFonts w:hint="eastAsia" w:ascii="仿宋" w:hAnsi="仿宋" w:eastAsia="仿宋" w:cs="仿宋"/>
                <w:szCs w:val="21"/>
              </w:rPr>
            </w:pPr>
            <w:r>
              <w:rPr>
                <w:rFonts w:hint="eastAsia" w:ascii="仿宋" w:hAnsi="仿宋" w:eastAsia="仿宋" w:cs="仿宋"/>
                <w:szCs w:val="21"/>
              </w:rPr>
              <w:t>1、售后服务方案完整、可行性强得2.1-4分；</w:t>
            </w:r>
          </w:p>
          <w:p>
            <w:pPr>
              <w:spacing w:line="320" w:lineRule="exact"/>
              <w:rPr>
                <w:rFonts w:hint="eastAsia" w:ascii="仿宋" w:hAnsi="仿宋" w:eastAsia="仿宋" w:cs="仿宋"/>
                <w:szCs w:val="21"/>
              </w:rPr>
            </w:pPr>
            <w:r>
              <w:rPr>
                <w:rFonts w:hint="eastAsia" w:ascii="仿宋" w:hAnsi="仿宋" w:eastAsia="仿宋" w:cs="仿宋"/>
                <w:szCs w:val="21"/>
              </w:rPr>
              <w:t>2、售后服务方案较完整、可行性较强得1.1-2分；</w:t>
            </w:r>
          </w:p>
          <w:p>
            <w:pPr>
              <w:spacing w:line="320" w:lineRule="exact"/>
              <w:rPr>
                <w:rFonts w:hint="eastAsia" w:ascii="仿宋" w:hAnsi="仿宋" w:eastAsia="仿宋" w:cs="仿宋"/>
                <w:bCs/>
                <w:kern w:val="0"/>
                <w:szCs w:val="21"/>
              </w:rPr>
            </w:pPr>
            <w:r>
              <w:rPr>
                <w:rFonts w:hint="eastAsia" w:ascii="仿宋" w:hAnsi="仿宋" w:eastAsia="仿宋" w:cs="仿宋"/>
                <w:szCs w:val="21"/>
              </w:rPr>
              <w:t>3、售后服务方案基本完整、可行性一般得0-1分。</w:t>
            </w:r>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4分</w:t>
            </w:r>
          </w:p>
        </w:tc>
        <w:tc>
          <w:tcPr>
            <w:tcW w:w="1291" w:type="dxa"/>
            <w:tcBorders>
              <w:top w:val="single" w:color="auto" w:sz="4" w:space="0"/>
              <w:left w:val="single" w:color="auto" w:sz="4" w:space="0"/>
              <w:right w:val="single" w:color="auto" w:sz="4" w:space="0"/>
            </w:tcBorders>
            <w:vAlign w:val="center"/>
          </w:tcPr>
          <w:p>
            <w:pPr>
              <w:spacing w:line="320" w:lineRule="exact"/>
              <w:jc w:val="center"/>
              <w:rPr>
                <w:rFonts w:hint="eastAsia" w:ascii="仿宋" w:hAnsi="仿宋" w:eastAsia="仿宋" w:cs="仿宋"/>
                <w:szCs w:val="21"/>
              </w:rPr>
            </w:pPr>
            <w:bookmarkStart w:id="446" w:name="OLE_LINK26"/>
            <w:r>
              <w:rPr>
                <w:rFonts w:hint="eastAsia" w:ascii="仿宋" w:hAnsi="仿宋" w:eastAsia="仿宋" w:cs="仿宋"/>
                <w:szCs w:val="21"/>
              </w:rPr>
              <w:t>售后服务方案</w:t>
            </w:r>
            <w:bookmarkEnd w:id="4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报价部分（30分）</w:t>
            </w:r>
          </w:p>
        </w:tc>
        <w:tc>
          <w:tcPr>
            <w:tcW w:w="521" w:type="dxa"/>
            <w:tcBorders>
              <w:left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Cs w:val="21"/>
              </w:rPr>
              <w:t>12</w:t>
            </w:r>
          </w:p>
        </w:tc>
        <w:tc>
          <w:tcPr>
            <w:tcW w:w="6170" w:type="dxa"/>
            <w:tcBorders>
              <w:left w:val="single" w:color="auto" w:sz="4" w:space="0"/>
              <w:right w:val="single" w:color="auto" w:sz="4" w:space="0"/>
            </w:tcBorders>
            <w:vAlign w:val="center"/>
          </w:tcPr>
          <w:p>
            <w:pPr>
              <w:adjustRightInd w:val="0"/>
              <w:snapToGrid w:val="0"/>
              <w:spacing w:line="320" w:lineRule="exact"/>
              <w:rPr>
                <w:rFonts w:hint="eastAsia" w:ascii="仿宋" w:hAnsi="仿宋" w:eastAsia="仿宋" w:cs="仿宋"/>
                <w:bCs/>
                <w:kern w:val="0"/>
                <w:szCs w:val="21"/>
              </w:rPr>
            </w:pPr>
            <w:r>
              <w:rPr>
                <w:rFonts w:hint="eastAsia" w:ascii="仿宋" w:hAnsi="仿宋" w:eastAsia="仿宋" w:cs="仿宋"/>
                <w:bCs/>
                <w:kern w:val="0"/>
                <w:szCs w:val="21"/>
              </w:rPr>
              <w:t>有效投标报价的最低价作为评标基准价，其最低报价为满分；按［投标报价得分=（评标基准价/投标报价）*30］的计算公式计算。</w:t>
            </w:r>
          </w:p>
          <w:p>
            <w:pPr>
              <w:adjustRightInd w:val="0"/>
              <w:snapToGrid w:val="0"/>
              <w:spacing w:line="320" w:lineRule="exact"/>
              <w:rPr>
                <w:rFonts w:hint="eastAsia" w:ascii="仿宋" w:hAnsi="仿宋" w:eastAsia="仿宋" w:cs="仿宋"/>
                <w:sz w:val="24"/>
                <w:szCs w:val="24"/>
              </w:rPr>
            </w:pPr>
            <w:r>
              <w:rPr>
                <w:rFonts w:hint="eastAsia" w:ascii="仿宋" w:hAnsi="仿宋" w:eastAsia="仿宋" w:cs="仿宋"/>
                <w:bCs/>
                <w:kern w:val="0"/>
                <w:szCs w:val="21"/>
              </w:rPr>
              <w:t>评标过程中，不得去掉报价中的最高报价和最低报价。</w:t>
            </w:r>
          </w:p>
        </w:tc>
        <w:tc>
          <w:tcPr>
            <w:tcW w:w="567" w:type="dxa"/>
            <w:tcBorders>
              <w:left w:val="single" w:color="auto" w:sz="4" w:space="0"/>
              <w:right w:val="single" w:color="auto" w:sz="4" w:space="0"/>
            </w:tcBorders>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Cs w:val="21"/>
              </w:rPr>
              <w:t>30分</w:t>
            </w:r>
          </w:p>
        </w:tc>
        <w:tc>
          <w:tcPr>
            <w:tcW w:w="1291" w:type="dxa"/>
            <w:tcBorders>
              <w:left w:val="single" w:color="auto" w:sz="4" w:space="0"/>
              <w:right w:val="single" w:color="auto" w:sz="4" w:space="0"/>
            </w:tcBorders>
            <w:vAlign w:val="center"/>
          </w:tcPr>
          <w:p>
            <w:pPr>
              <w:widowControl/>
              <w:jc w:val="center"/>
              <w:rPr>
                <w:rFonts w:hint="eastAsia" w:ascii="仿宋" w:hAnsi="仿宋" w:eastAsia="仿宋" w:cs="仿宋"/>
                <w:szCs w:val="21"/>
              </w:rPr>
            </w:pPr>
          </w:p>
        </w:tc>
      </w:tr>
    </w:tbl>
    <w:p>
      <w:pPr>
        <w:rPr>
          <w:rFonts w:hint="eastAsia" w:ascii="仿宋" w:hAnsi="仿宋" w:eastAsia="仿宋" w:cs="仿宋"/>
        </w:rPr>
      </w:pPr>
    </w:p>
    <w:p>
      <w:pPr>
        <w:snapToGrid w:val="0"/>
        <w:spacing w:line="360" w:lineRule="auto"/>
        <w:rPr>
          <w:rFonts w:hint="eastAsia" w:ascii="仿宋" w:hAnsi="仿宋" w:eastAsia="仿宋" w:cs="仿宋"/>
          <w:b/>
          <w:sz w:val="24"/>
        </w:rPr>
      </w:pPr>
      <w:r>
        <w:rPr>
          <w:rFonts w:hint="eastAsia" w:ascii="仿宋" w:hAnsi="仿宋" w:eastAsia="仿宋" w:cs="仿宋"/>
          <w:sz w:val="24"/>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一、评标办法</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综合评分法，是指投标文件满足招标文件全部实质性要求，且按照评审因素的量化指标评审得分最高的投标人为中标候选人的评标办法。评分过程中采用四舍五入法，并保留小数2位。</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sz w:val="24"/>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评标委员会应当按照招标文件中规定的评标办法和标准，对符合性审查合格的投标文件进行商务和技术评估，综合比较与评价。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49"/>
        <w:spacing w:before="0"/>
        <w:ind w:firstLine="508" w:firstLineChars="212"/>
        <w:rPr>
          <w:rFonts w:hint="eastAsia" w:ascii="仿宋" w:hAnsi="仿宋" w:eastAsia="仿宋" w:cs="仿宋"/>
          <w:kern w:val="0"/>
          <w:szCs w:val="24"/>
        </w:rPr>
      </w:pPr>
      <w:r>
        <w:rPr>
          <w:rFonts w:hint="eastAsia" w:ascii="仿宋" w:hAnsi="仿宋" w:eastAsia="仿宋" w:cs="仿宋"/>
          <w:kern w:val="0"/>
          <w:szCs w:val="24"/>
        </w:rPr>
        <w:t>3.4.1投标文件报价出现前后不一致的，按照下列规定修正：</w:t>
      </w:r>
    </w:p>
    <w:p>
      <w:pPr>
        <w:pStyle w:val="149"/>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3.4.1.1投标文件中开标一览表(报价表)内容与投标文件中相应内容不一致的，以开标一览表(报价表)为准（政采云系统开启报价若与报价文件不一致以报价文件为准）;</w:t>
      </w:r>
    </w:p>
    <w:p>
      <w:pPr>
        <w:pStyle w:val="149"/>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49"/>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49"/>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49"/>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49"/>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四、评标中的</w:t>
      </w:r>
      <w:r>
        <w:rPr>
          <w:rFonts w:hint="eastAsia" w:ascii="仿宋" w:hAnsi="仿宋" w:eastAsia="仿宋" w:cs="仿宋"/>
          <w:b/>
          <w:kern w:val="0"/>
          <w:sz w:val="24"/>
        </w:rPr>
        <w:t>其他</w:t>
      </w:r>
      <w:r>
        <w:rPr>
          <w:rFonts w:hint="eastAsia" w:ascii="仿宋" w:hAnsi="仿宋" w:eastAsia="仿宋" w:cs="仿宋"/>
          <w:b/>
          <w:sz w:val="24"/>
        </w:rPr>
        <w:t>事项</w:t>
      </w:r>
    </w:p>
    <w:p>
      <w:pPr>
        <w:pStyle w:val="149"/>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b/>
        </w:rPr>
      </w:pPr>
      <w:r>
        <w:rPr>
          <w:rFonts w:hint="eastAsia" w:ascii="仿宋" w:hAnsi="仿宋" w:eastAsia="仿宋" w:cs="仿宋"/>
          <w:b/>
          <w:kern w:val="0"/>
        </w:rPr>
        <w:t>4.2投标无效。</w:t>
      </w:r>
      <w:r>
        <w:rPr>
          <w:rFonts w:hint="eastAsia" w:ascii="仿宋" w:hAnsi="仿宋" w:eastAsia="仿宋" w:cs="仿宋"/>
          <w:b/>
        </w:rPr>
        <w:t>有下列情况之一的，投标无效：</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4.2.1单位负责人为同一人或者存在直接控股、管理关系的不同供应商参加同一合同项下的政府采购活动的（均无效）；</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 xml:space="preserve">4.2.2为采购项目提供整体设计、规范编制或者项目管理、监理、检测等服务的供应商再参加该采购项目的其他采购活动的； </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4.2.3投标人不具备招标文件中规定的资格要求的（投标人未提供有效的资格证明文件的，视为投标人不具备招标文件中规定的资格要求）；</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4.2.4如以联合体形式参加政府采购活动的，联合体协议不符合招标文件规定的联合体协议要求的；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4.2.5投标文件未按招标文件的澄清、修改的内容编制，又不符合实质性要求的；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4.2.6投标文件组成不全或内容字迹模糊辨认不清的而导致评标无法正常进行（经评标委员会认定并允许其当场更正的笔误除外的）；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4.2.7投标文件中法人授权书所载内容与本项目内容有异的；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4.2.8投标文件未按照招标文件要求签署、盖章的；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4.2.9采购人拟采购的产品属于政府强制采购的节能产品品目清单范围的，投标人未按招标文件要求提供国家确定的认证机构出具的、处于有效期之内的节能产品认证证书的；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4.2.10投标文件含有采购人不能接受的附加条件的；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4.2.11投标文件中承诺的投标有效期少于招标文件中载明的投标有效期的；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4.2.12投标人所投内容不符合招标文件中实质性要求的；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4.2.13投标文件出现不是唯一的、有选择性投标报价的;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4.2.14投标报价高于本项目采购预算或者最高限价的;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4.2.15报价明显低于其他通过符合性审查投标人的报价，有可能影响产品质量或者不能诚信履约的，未能按要求提供书面说明或者提交相关证明材料，不能证明其报价合理性的;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4.2.16开标一览表（报价表）填写不完整或字迹不能辨认或有漏项的；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4.2.17在投标文件的资格、商务技术部分中出现投标报价信息的；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4.2.18投标人对根据修正原则修正后的报价不确认的；</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4.2.19投标人提供虚假材料投标的（包括但不限于以下情节）；</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4.2.19.1使用伪造、变造的许可证件；</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4.2.19.2提供虚假的财务状况或者业绩；</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4.2.19.3提供虚假的项目负责人或者主要技术人员简历、劳动关系证明；</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4.2.19.4提供虚假的信用状况；</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4.2.19.5其他弄虚作假的行为。</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4.2.20投标人有恶意串通、妨碍其他投标人的竞争行为、损害采购人或者其他投标人的合法权益情形的；有下列情形之一的，属于或视为恶意串通，其投标无效：</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4.2.20.1供应商直接或者间接从采购人或者采购代理机构处获得其他供应商的相关情况并修改其投标文件或者响应文件；</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4.2.20.2供应商按照采购人或者采购代理机构的授意撤换、修改投标文件或者响应文件；</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4.2.20.3供应商之间协商报价、技术方案等投标文件或者响应文件的实质性内容；</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4.2.20.4属于同一集团、协会、商会等组织成员的供应商按照该组织要求协同参加政府采购活动；</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4.2.20.5供应商之间事先约定由某一特定供应商中标、成交；</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4.2.20.6供应商之间商定部分供应商放弃参加政府采购活动或者放弃中标、成交；</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4.2.20.7供应商与采购人或者采购代理机构之间、供应商相互之间，为谋求特定供应商中标、成交或者排斥其他供应商的其他串通行为。</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4.2.20.8不同投标人的投标文件由同一单位或者个人编制；</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4.2.20.9不同投标人委托同一单位或者个人办理投标事宜；</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4.2.20.10不同投标人的投标文件载明的项目管理成员或者联系人员为同一人；</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4.2.20.11不同投标人的投标文件异常一致或者投标报价呈规律性差异；</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4.2.20.12不同投标人的投标文件相互混装；</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4.2.21投标人仅提交备份投标文件，没有在电子交易平台传输递交投标文件的，投标无效；</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4.2.22以联合体形式投标的，在资格文件和商务技术文件中均未提供联合协议的，投标无效；</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4.2.23以分包方式履行合同的，在资格文件和商务技术文件中均未提供分包意向协议的，投标无效；</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4.2.24专门面向中小企业采购的，在资格文件和商务技术文件中均未提供中小企业声明函的，投标无效；</w:t>
      </w:r>
    </w:p>
    <w:p>
      <w:pPr>
        <w:pStyle w:val="25"/>
        <w:snapToGrid w:val="0"/>
        <w:spacing w:line="360" w:lineRule="auto"/>
        <w:ind w:firstLine="470" w:firstLineChars="196"/>
        <w:rPr>
          <w:rFonts w:hint="eastAsia" w:ascii="仿宋" w:hAnsi="仿宋" w:eastAsia="仿宋" w:cs="仿宋"/>
          <w:kern w:val="0"/>
          <w:szCs w:val="22"/>
        </w:rPr>
      </w:pPr>
      <w:r>
        <w:rPr>
          <w:rFonts w:hint="eastAsia" w:ascii="仿宋" w:hAnsi="仿宋" w:eastAsia="仿宋" w:cs="仿宋"/>
          <w:kern w:val="0"/>
          <w:szCs w:val="22"/>
        </w:rPr>
        <w:t>4.2.25法律、法规、规章（适用本市的）及省级以上规范性文件（适用本市的）规定的其他无效情形。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pPr>
        <w:pStyle w:val="25"/>
        <w:snapToGrid w:val="0"/>
        <w:spacing w:line="360" w:lineRule="auto"/>
        <w:ind w:firstLine="482"/>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rPr>
          <w:rFonts w:hint="eastAsia" w:ascii="仿宋" w:hAnsi="仿宋" w:eastAsia="仿宋" w:cs="仿宋"/>
        </w:rPr>
      </w:pPr>
      <w:r>
        <w:rPr>
          <w:rFonts w:hint="eastAsia" w:ascii="仿宋" w:hAnsi="仿宋" w:eastAsia="仿宋" w:cs="仿宋"/>
        </w:rPr>
        <w:t>7.1未确定中标或者成交供应商的，终止本次政府采购活动，重新开展政府采购活动。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7.5政府采购当事人有其他违反政府采购法或者政府采购法实施条例等法律法规规定的行为，经改正后仍然影响或者可能影响中标、成交结果或者依法被认定为中标、成交无效的，依照7.1-7.4规定处理。</w:t>
      </w:r>
    </w:p>
    <w:p>
      <w:pPr>
        <w:pStyle w:val="25"/>
        <w:snapToGrid w:val="0"/>
        <w:spacing w:line="360" w:lineRule="auto"/>
        <w:ind w:firstLine="482"/>
        <w:rPr>
          <w:rFonts w:hint="eastAsia" w:ascii="仿宋" w:hAnsi="仿宋" w:eastAsia="仿宋" w:cs="仿宋"/>
          <w:b/>
        </w:rPr>
      </w:pPr>
      <w:r>
        <w:rPr>
          <w:rFonts w:hint="eastAsia" w:ascii="仿宋" w:hAnsi="仿宋" w:eastAsia="仿宋" w:cs="仿宋"/>
          <w:b/>
        </w:rPr>
        <w:t>8.评审过程的保密与录像</w:t>
      </w:r>
    </w:p>
    <w:p>
      <w:pPr>
        <w:pStyle w:val="25"/>
        <w:snapToGrid w:val="0"/>
        <w:spacing w:line="360" w:lineRule="auto"/>
        <w:rPr>
          <w:rFonts w:hint="eastAsia" w:ascii="仿宋" w:hAnsi="仿宋" w:eastAsia="仿宋" w:cs="仿宋"/>
        </w:rPr>
      </w:pPr>
      <w:r>
        <w:rPr>
          <w:rFonts w:hint="eastAsia" w:ascii="仿宋" w:hAnsi="仿宋" w:eastAsia="仿宋" w:cs="仿宋"/>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pPr>
        <w:pStyle w:val="25"/>
        <w:snapToGrid w:val="0"/>
        <w:spacing w:line="360" w:lineRule="auto"/>
        <w:ind w:firstLine="482"/>
        <w:rPr>
          <w:rFonts w:hint="eastAsia" w:ascii="仿宋" w:hAnsi="仿宋" w:eastAsia="仿宋" w:cs="仿宋"/>
        </w:rPr>
      </w:pPr>
      <w:r>
        <w:rPr>
          <w:rFonts w:hint="eastAsia" w:ascii="仿宋" w:hAnsi="仿宋" w:eastAsia="仿宋" w:cs="仿宋"/>
          <w:b/>
        </w:rPr>
        <w:t>9.录音录像。</w:t>
      </w:r>
      <w:r>
        <w:rPr>
          <w:rFonts w:hint="eastAsia" w:ascii="仿宋" w:hAnsi="仿宋" w:eastAsia="仿宋" w:cs="仿宋"/>
        </w:rPr>
        <w:t>采购代理机构对评审工作现场进行全过程录音录像。</w:t>
      </w:r>
    </w:p>
    <w:p>
      <w:pPr>
        <w:pStyle w:val="25"/>
        <w:snapToGrid w:val="0"/>
        <w:spacing w:line="360" w:lineRule="auto"/>
        <w:rPr>
          <w:rFonts w:hint="eastAsia" w:ascii="仿宋" w:hAnsi="仿宋" w:eastAsia="仿宋" w:cs="仿宋"/>
        </w:rPr>
      </w:pPr>
      <w:r>
        <w:rPr>
          <w:rFonts w:hint="eastAsia" w:ascii="仿宋" w:hAnsi="仿宋" w:eastAsia="仿宋" w:cs="仿宋"/>
        </w:rPr>
        <w:br w:type="page"/>
      </w:r>
    </w:p>
    <w:p>
      <w:pPr>
        <w:pStyle w:val="25"/>
        <w:snapToGrid w:val="0"/>
        <w:spacing w:line="360" w:lineRule="auto"/>
        <w:ind w:right="-512" w:firstLine="0" w:firstLineChars="0"/>
        <w:jc w:val="center"/>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pStyle w:val="25"/>
        <w:snapToGrid w:val="0"/>
        <w:spacing w:line="360" w:lineRule="auto"/>
        <w:ind w:right="-512" w:firstLine="0" w:firstLineChars="0"/>
        <w:jc w:val="center"/>
        <w:rPr>
          <w:rFonts w:hint="eastAsia" w:ascii="仿宋" w:hAnsi="仿宋" w:eastAsia="仿宋" w:cs="仿宋"/>
          <w:b/>
        </w:rPr>
      </w:pPr>
    </w:p>
    <w:p>
      <w:pPr>
        <w:spacing w:line="560" w:lineRule="exact"/>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560" w:lineRule="exact"/>
        <w:jc w:val="center"/>
        <w:rPr>
          <w:rFonts w:hint="eastAsia" w:ascii="仿宋" w:hAnsi="仿宋" w:eastAsia="仿宋" w:cs="仿宋"/>
          <w:b/>
          <w:sz w:val="28"/>
          <w:szCs w:val="28"/>
        </w:rPr>
      </w:pPr>
    </w:p>
    <w:p>
      <w:pPr>
        <w:spacing w:line="560" w:lineRule="exact"/>
        <w:jc w:val="center"/>
        <w:rPr>
          <w:rFonts w:hint="eastAsia" w:ascii="仿宋" w:hAnsi="仿宋" w:eastAsia="仿宋" w:cs="仿宋"/>
          <w:b/>
          <w:sz w:val="28"/>
          <w:szCs w:val="28"/>
        </w:rPr>
      </w:pPr>
    </w:p>
    <w:p>
      <w:pPr>
        <w:spacing w:line="560" w:lineRule="exact"/>
        <w:jc w:val="center"/>
        <w:rPr>
          <w:rFonts w:hint="eastAsia" w:ascii="仿宋" w:hAnsi="仿宋" w:eastAsia="仿宋" w:cs="仿宋"/>
          <w:b/>
          <w:sz w:val="28"/>
          <w:szCs w:val="28"/>
        </w:rPr>
      </w:pPr>
    </w:p>
    <w:p>
      <w:pPr>
        <w:pStyle w:val="63"/>
        <w:spacing w:line="56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第一部分 合同书</w:t>
      </w:r>
    </w:p>
    <w:p>
      <w:pPr>
        <w:spacing w:before="120" w:line="560" w:lineRule="exact"/>
        <w:rPr>
          <w:rFonts w:hint="eastAsia" w:ascii="仿宋" w:hAnsi="仿宋" w:eastAsia="仿宋" w:cs="仿宋"/>
          <w:sz w:val="28"/>
          <w:szCs w:val="28"/>
        </w:rPr>
      </w:pPr>
    </w:p>
    <w:p>
      <w:pPr>
        <w:pStyle w:val="2"/>
        <w:spacing w:line="560" w:lineRule="exact"/>
        <w:rPr>
          <w:rFonts w:hint="eastAsia" w:ascii="仿宋" w:eastAsia="仿宋" w:cs="仿宋"/>
          <w:sz w:val="28"/>
        </w:rPr>
      </w:pPr>
    </w:p>
    <w:p>
      <w:pPr>
        <w:spacing w:before="120" w:line="560" w:lineRule="exact"/>
        <w:ind w:left="960"/>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pStyle w:val="745"/>
        <w:spacing w:before="120"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rPr>
      </w:pPr>
    </w:p>
    <w:p>
      <w:pPr>
        <w:spacing w:before="120" w:line="560" w:lineRule="exact"/>
        <w:ind w:left="960"/>
        <w:rPr>
          <w:rFonts w:hint="eastAsia" w:ascii="仿宋" w:hAnsi="仿宋" w:eastAsia="仿宋" w:cs="仿宋"/>
          <w:sz w:val="28"/>
          <w:szCs w:val="28"/>
          <w:u w:val="single"/>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                                       </w:t>
      </w:r>
    </w:p>
    <w:p>
      <w:pPr>
        <w:spacing w:before="120" w:line="560" w:lineRule="exact"/>
        <w:rPr>
          <w:rFonts w:hint="eastAsia" w:ascii="仿宋" w:hAnsi="仿宋" w:eastAsia="仿宋" w:cs="仿宋"/>
          <w:sz w:val="28"/>
          <w:szCs w:val="28"/>
        </w:rPr>
      </w:pPr>
    </w:p>
    <w:p>
      <w:pPr>
        <w:spacing w:before="120" w:line="560" w:lineRule="exact"/>
        <w:ind w:left="960"/>
        <w:rPr>
          <w:rFonts w:hint="eastAsia" w:ascii="仿宋" w:hAnsi="仿宋" w:eastAsia="仿宋" w:cs="仿宋"/>
          <w:sz w:val="28"/>
          <w:szCs w:val="28"/>
          <w:u w:val="single"/>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p>
    <w:p>
      <w:pPr>
        <w:spacing w:before="120" w:line="560" w:lineRule="exact"/>
        <w:rPr>
          <w:rFonts w:hint="eastAsia" w:ascii="仿宋" w:hAnsi="仿宋" w:eastAsia="仿宋" w:cs="仿宋"/>
          <w:sz w:val="28"/>
          <w:szCs w:val="28"/>
        </w:rPr>
      </w:pPr>
    </w:p>
    <w:p>
      <w:pPr>
        <w:spacing w:before="120" w:line="560" w:lineRule="exact"/>
        <w:ind w:firstLine="980" w:firstLineChars="350"/>
        <w:rPr>
          <w:rFonts w:hint="eastAsia" w:ascii="仿宋" w:hAnsi="仿宋" w:eastAsia="仿宋" w:cs="仿宋"/>
          <w:sz w:val="28"/>
          <w:szCs w:val="28"/>
          <w:u w:val="single"/>
        </w:rPr>
      </w:pPr>
      <w:r>
        <w:rPr>
          <w:rFonts w:hint="eastAsia" w:ascii="仿宋" w:hAnsi="仿宋" w:eastAsia="仿宋" w:cs="仿宋"/>
          <w:sz w:val="28"/>
          <w:szCs w:val="28"/>
        </w:rPr>
        <w:t>签订地：</w:t>
      </w:r>
      <w:r>
        <w:rPr>
          <w:rFonts w:hint="eastAsia" w:ascii="仿宋" w:hAnsi="仿宋" w:eastAsia="仿宋" w:cs="仿宋"/>
          <w:sz w:val="28"/>
          <w:szCs w:val="28"/>
          <w:u w:val="single"/>
        </w:rPr>
        <w:t xml:space="preserve">                                     </w:t>
      </w:r>
    </w:p>
    <w:p>
      <w:pPr>
        <w:spacing w:before="120" w:line="560" w:lineRule="exact"/>
        <w:rPr>
          <w:rFonts w:hint="eastAsia" w:ascii="仿宋" w:hAnsi="仿宋" w:eastAsia="仿宋" w:cs="仿宋"/>
          <w:sz w:val="28"/>
          <w:szCs w:val="28"/>
        </w:rPr>
      </w:pPr>
    </w:p>
    <w:p>
      <w:pPr>
        <w:spacing w:before="120" w:line="560" w:lineRule="exact"/>
        <w:ind w:firstLine="1120" w:firstLineChars="400"/>
        <w:rPr>
          <w:rFonts w:hint="eastAsia" w:ascii="仿宋" w:hAnsi="仿宋" w:eastAsia="仿宋" w:cs="仿宋"/>
          <w:sz w:val="28"/>
          <w:szCs w:val="28"/>
          <w:u w:val="single"/>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560" w:lineRule="exact"/>
        <w:jc w:val="left"/>
        <w:rPr>
          <w:rFonts w:hint="eastAsia" w:ascii="仿宋" w:hAnsi="仿宋" w:eastAsia="仿宋" w:cs="仿宋"/>
          <w:kern w:val="0"/>
          <w:sz w:val="28"/>
          <w:szCs w:val="28"/>
        </w:rPr>
        <w:sectPr>
          <w:pgSz w:w="11907" w:h="16840"/>
          <w:pgMar w:top="1474" w:right="1814" w:bottom="1474" w:left="1814" w:header="851" w:footer="851" w:gutter="0"/>
          <w:cols w:space="720" w:num="1"/>
        </w:sectPr>
      </w:pP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年</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日</w:t>
      </w:r>
      <w:r>
        <w:rPr>
          <w:rFonts w:hint="eastAsia" w:ascii="仿宋" w:hAnsi="仿宋" w:eastAsia="仿宋" w:cs="仿宋"/>
          <w:sz w:val="28"/>
          <w:szCs w:val="28"/>
        </w:rPr>
        <w:t>，</w:t>
      </w:r>
      <w:r>
        <w:rPr>
          <w:rFonts w:hint="eastAsia" w:ascii="仿宋" w:hAnsi="仿宋" w:eastAsia="仿宋" w:cs="仿宋"/>
          <w:sz w:val="28"/>
          <w:szCs w:val="28"/>
          <w:u w:val="single"/>
        </w:rPr>
        <w:t xml:space="preserve">   （采购人）   </w:t>
      </w:r>
      <w:r>
        <w:rPr>
          <w:rFonts w:hint="eastAsia" w:ascii="仿宋" w:hAnsi="仿宋" w:eastAsia="仿宋" w:cs="仿宋"/>
          <w:sz w:val="28"/>
          <w:szCs w:val="28"/>
        </w:rPr>
        <w:t>以</w:t>
      </w:r>
      <w:r>
        <w:rPr>
          <w:rFonts w:hint="eastAsia" w:ascii="仿宋" w:hAnsi="仿宋" w:eastAsia="仿宋" w:cs="仿宋"/>
          <w:sz w:val="28"/>
          <w:szCs w:val="28"/>
          <w:u w:val="single"/>
        </w:rPr>
        <w:t xml:space="preserve">   （政府采购方式）  </w:t>
      </w:r>
      <w:r>
        <w:rPr>
          <w:rFonts w:hint="eastAsia" w:ascii="仿宋" w:hAnsi="仿宋" w:eastAsia="仿宋" w:cs="仿宋"/>
          <w:sz w:val="28"/>
          <w:szCs w:val="28"/>
        </w:rPr>
        <w:t>对</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项目进行了采购。经</w:t>
      </w:r>
      <w:r>
        <w:rPr>
          <w:rFonts w:hint="eastAsia" w:ascii="仿宋" w:hAnsi="仿宋" w:eastAsia="仿宋" w:cs="仿宋"/>
          <w:sz w:val="28"/>
          <w:szCs w:val="28"/>
          <w:u w:val="single"/>
        </w:rPr>
        <w:t xml:space="preserve">   （相关评定主体名称）   </w:t>
      </w:r>
      <w:r>
        <w:rPr>
          <w:rFonts w:hint="eastAsia" w:ascii="仿宋" w:hAnsi="仿宋" w:eastAsia="仿宋" w:cs="仿宋"/>
          <w:sz w:val="28"/>
          <w:szCs w:val="28"/>
        </w:rPr>
        <w:t>评定，</w:t>
      </w:r>
      <w:r>
        <w:rPr>
          <w:rFonts w:hint="eastAsia" w:ascii="仿宋" w:hAnsi="仿宋" w:eastAsia="仿宋" w:cs="仿宋"/>
          <w:sz w:val="28"/>
          <w:szCs w:val="28"/>
          <w:u w:val="single"/>
        </w:rPr>
        <w:t xml:space="preserve">   （中标或者成交供应商名称） </w:t>
      </w:r>
      <w:r>
        <w:rPr>
          <w:rFonts w:hint="eastAsia" w:ascii="仿宋" w:hAnsi="仿宋" w:eastAsia="仿宋" w:cs="仿宋"/>
          <w:sz w:val="28"/>
          <w:szCs w:val="28"/>
        </w:rPr>
        <w:t>为该项目中标或者成交供应商。现于中标或者成交通知书发出之日起   个工作日内，按照采购文件确定的事项签订本合同。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根据《中华人民共和国民法典》《中华人民共和国政府采购法》等相关法律法规之规定，按照平等、自愿、公平和诚实信用的原则，经</w:t>
      </w:r>
      <w:r>
        <w:rPr>
          <w:rFonts w:hint="eastAsia" w:ascii="仿宋" w:hAnsi="仿宋" w:eastAsia="仿宋" w:cs="仿宋"/>
          <w:sz w:val="28"/>
          <w:szCs w:val="28"/>
          <w:u w:val="single"/>
        </w:rPr>
        <w:t xml:space="preserve">   （采购人）   </w:t>
      </w:r>
      <w:r>
        <w:rPr>
          <w:rFonts w:hint="eastAsia" w:ascii="仿宋" w:hAnsi="仿宋" w:eastAsia="仿宋" w:cs="仿宋"/>
          <w:sz w:val="28"/>
          <w:szCs w:val="28"/>
          <w:lang w:val="zh-CN"/>
        </w:rPr>
        <w:t>(以下简称：甲方)和</w:t>
      </w:r>
      <w:r>
        <w:rPr>
          <w:rFonts w:hint="eastAsia" w:ascii="仿宋" w:hAnsi="仿宋" w:eastAsia="仿宋" w:cs="仿宋"/>
          <w:sz w:val="28"/>
          <w:szCs w:val="28"/>
          <w:u w:val="single"/>
        </w:rPr>
        <w:t xml:space="preserve">   （中或者成交标供应商名称）   </w:t>
      </w:r>
      <w:r>
        <w:rPr>
          <w:rFonts w:hint="eastAsia" w:ascii="仿宋" w:hAnsi="仿宋" w:eastAsia="仿宋" w:cs="仿宋"/>
          <w:sz w:val="28"/>
          <w:szCs w:val="28"/>
          <w:lang w:val="zh-CN"/>
        </w:rPr>
        <w:t>(以下简称：乙方)协商一致，约定以下合同</w:t>
      </w:r>
      <w:r>
        <w:rPr>
          <w:rFonts w:hint="eastAsia" w:ascii="仿宋" w:hAnsi="仿宋" w:eastAsia="仿宋" w:cs="仿宋"/>
          <w:sz w:val="28"/>
          <w:szCs w:val="28"/>
        </w:rPr>
        <w:t>条款，以兹共同遵守、全面履行。</w:t>
      </w:r>
    </w:p>
    <w:p>
      <w:pPr>
        <w:spacing w:line="560" w:lineRule="exact"/>
        <w:ind w:firstLine="562" w:firstLineChars="200"/>
        <w:outlineLvl w:val="0"/>
        <w:rPr>
          <w:rFonts w:hint="eastAsia" w:ascii="仿宋" w:hAnsi="仿宋" w:eastAsia="仿宋" w:cs="仿宋"/>
          <w:sz w:val="28"/>
          <w:szCs w:val="28"/>
        </w:rPr>
      </w:pPr>
      <w:bookmarkStart w:id="447" w:name="_Toc15367"/>
      <w:bookmarkStart w:id="448" w:name="_Toc28855"/>
      <w:bookmarkStart w:id="449" w:name="_Toc22967"/>
      <w:bookmarkStart w:id="450" w:name="_Toc19273"/>
      <w:bookmarkStart w:id="451" w:name="_Toc20421"/>
      <w:r>
        <w:rPr>
          <w:rFonts w:hint="eastAsia" w:ascii="仿宋" w:hAnsi="仿宋" w:eastAsia="仿宋" w:cs="仿宋"/>
          <w:b/>
          <w:sz w:val="28"/>
          <w:szCs w:val="28"/>
        </w:rPr>
        <w:t>1.1 合同组成部分</w:t>
      </w:r>
      <w:bookmarkEnd w:id="447"/>
      <w:bookmarkEnd w:id="448"/>
      <w:bookmarkEnd w:id="449"/>
      <w:bookmarkEnd w:id="450"/>
      <w:bookmarkEnd w:id="451"/>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 本合同及其补充合同、变更协议；</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1.1.2 中标或者成交通知书；</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1.1.3 投标或者响应文件（含澄清或者说明文件）；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1.1.4 采购文件（含澄清或者修改文件）；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1.1.5 其他相关采购文件。</w:t>
      </w:r>
    </w:p>
    <w:p>
      <w:pPr>
        <w:spacing w:line="560" w:lineRule="exact"/>
        <w:ind w:firstLine="562" w:firstLineChars="200"/>
        <w:outlineLvl w:val="0"/>
        <w:rPr>
          <w:rFonts w:hint="eastAsia" w:ascii="仿宋" w:hAnsi="仿宋" w:eastAsia="仿宋" w:cs="仿宋"/>
          <w:b/>
          <w:sz w:val="28"/>
          <w:szCs w:val="28"/>
        </w:rPr>
      </w:pPr>
      <w:bookmarkStart w:id="452" w:name="_Toc6773"/>
      <w:bookmarkStart w:id="453" w:name="_Toc2918"/>
      <w:bookmarkStart w:id="454" w:name="_Toc18585"/>
      <w:bookmarkStart w:id="455" w:name="_Toc6311"/>
      <w:bookmarkStart w:id="456" w:name="_Toc22185"/>
      <w:r>
        <w:rPr>
          <w:rFonts w:hint="eastAsia" w:ascii="仿宋" w:hAnsi="仿宋" w:eastAsia="仿宋" w:cs="仿宋"/>
          <w:b/>
          <w:sz w:val="28"/>
          <w:szCs w:val="28"/>
        </w:rPr>
        <w:t>1.2 标的</w:t>
      </w:r>
      <w:bookmarkEnd w:id="452"/>
      <w:bookmarkEnd w:id="453"/>
      <w:bookmarkEnd w:id="454"/>
      <w:bookmarkEnd w:id="455"/>
      <w:bookmarkEnd w:id="456"/>
    </w:p>
    <w:p>
      <w:pPr>
        <w:spacing w:line="560" w:lineRule="exact"/>
        <w:ind w:firstLine="560" w:firstLineChars="200"/>
        <w:outlineLvl w:val="0"/>
        <w:rPr>
          <w:rFonts w:hint="eastAsia" w:ascii="仿宋" w:hAnsi="仿宋" w:eastAsia="仿宋" w:cs="仿宋"/>
          <w:b/>
          <w:sz w:val="28"/>
          <w:szCs w:val="28"/>
        </w:rPr>
      </w:pPr>
      <w:r>
        <w:rPr>
          <w:rFonts w:hint="eastAsia" w:ascii="仿宋" w:hAnsi="仿宋" w:eastAsia="仿宋" w:cs="仿宋"/>
          <w:sz w:val="28"/>
          <w:szCs w:val="28"/>
        </w:rPr>
        <w:t>1.2.1 服务内容：</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1.2.2 服务标准：</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outlineLvl w:val="0"/>
        <w:rPr>
          <w:rFonts w:hint="eastAsia" w:ascii="仿宋" w:hAnsi="仿宋" w:eastAsia="仿宋" w:cs="仿宋"/>
          <w:b/>
          <w:sz w:val="28"/>
          <w:szCs w:val="28"/>
        </w:rPr>
      </w:pPr>
      <w:r>
        <w:rPr>
          <w:rFonts w:hint="eastAsia" w:ascii="仿宋" w:hAnsi="仿宋" w:eastAsia="仿宋" w:cs="仿宋"/>
          <w:sz w:val="28"/>
          <w:szCs w:val="28"/>
        </w:rPr>
        <w:t>1.2.3 技术保障：</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1.2.4 服务人员组成：</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1.2.5合同</w:t>
      </w:r>
      <w:r>
        <w:rPr>
          <w:rFonts w:hint="eastAsia" w:ascii="仿宋" w:hAnsi="仿宋" w:eastAsia="仿宋" w:cs="仿宋"/>
          <w:sz w:val="28"/>
          <w:szCs w:val="28"/>
          <w:u w:val="single"/>
        </w:rPr>
        <w:t xml:space="preserve">     </w:t>
      </w:r>
      <w:r>
        <w:rPr>
          <w:rFonts w:hint="eastAsia" w:ascii="仿宋" w:hAnsi="仿宋" w:eastAsia="仿宋" w:cs="仿宋"/>
          <w:sz w:val="28"/>
          <w:szCs w:val="28"/>
        </w:rPr>
        <w:t>（是/否）涉及货物。若涉及货物的，则：</w:t>
      </w:r>
    </w:p>
    <w:p>
      <w:pPr>
        <w:spacing w:line="560" w:lineRule="exact"/>
        <w:ind w:firstLine="560" w:firstLineChars="200"/>
        <w:rPr>
          <w:rFonts w:hint="eastAsia" w:ascii="仿宋" w:hAnsi="仿宋" w:eastAsia="仿宋" w:cs="仿宋"/>
          <w:sz w:val="28"/>
          <w:szCs w:val="28"/>
          <w:u w:val="single"/>
        </w:rPr>
      </w:pPr>
      <w:bookmarkStart w:id="457" w:name="_Toc4929"/>
      <w:bookmarkStart w:id="458" w:name="_Toc21124"/>
      <w:bookmarkStart w:id="459" w:name="_Toc5635"/>
      <w:bookmarkStart w:id="460" w:name="_Toc1386"/>
      <w:bookmarkStart w:id="461" w:name="_Toc13918"/>
      <w:r>
        <w:rPr>
          <w:rFonts w:hint="eastAsia" w:ascii="仿宋" w:hAnsi="仿宋" w:eastAsia="仿宋" w:cs="仿宋"/>
          <w:sz w:val="28"/>
          <w:szCs w:val="28"/>
        </w:rPr>
        <w:t>1.2.5.1 货物名称、品牌、规格型号、花色：</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1.2.5.2 货物数量：</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1.2.5.3 货物质量：</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60" w:lineRule="exact"/>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1.3 价款</w:t>
      </w:r>
      <w:bookmarkEnd w:id="457"/>
      <w:bookmarkEnd w:id="458"/>
      <w:bookmarkEnd w:id="459"/>
      <w:bookmarkEnd w:id="460"/>
      <w:bookmarkEnd w:id="461"/>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1.3.1总价合同，本合同总价（含税）为：￥</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w:t>
      </w:r>
    </w:p>
    <w:p>
      <w:pPr>
        <w:spacing w:line="5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3402" w:type="dxa"/>
            <w:vAlign w:val="center"/>
          </w:tcPr>
          <w:p>
            <w:pPr>
              <w:pStyle w:val="253"/>
              <w:spacing w:line="560" w:lineRule="exact"/>
              <w:ind w:firstLine="200"/>
              <w:jc w:val="center"/>
              <w:rPr>
                <w:rFonts w:hint="eastAsia" w:ascii="仿宋" w:hAnsi="仿宋" w:eastAsia="仿宋" w:cs="仿宋"/>
                <w:color w:val="auto"/>
                <w:sz w:val="28"/>
                <w:szCs w:val="28"/>
              </w:rPr>
            </w:pPr>
            <w:r>
              <w:rPr>
                <w:rFonts w:hint="eastAsia" w:ascii="仿宋" w:hAnsi="仿宋" w:eastAsia="仿宋" w:cs="仿宋"/>
                <w:color w:val="auto"/>
                <w:sz w:val="28"/>
                <w:szCs w:val="28"/>
              </w:rPr>
              <w:t>分项名称</w:t>
            </w:r>
          </w:p>
        </w:tc>
        <w:tc>
          <w:tcPr>
            <w:tcW w:w="2552" w:type="dxa"/>
            <w:vAlign w:val="center"/>
          </w:tcPr>
          <w:p>
            <w:pPr>
              <w:pStyle w:val="253"/>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hint="eastAsia" w:ascii="仿宋" w:hAnsi="仿宋" w:eastAsia="仿宋" w:cs="仿宋"/>
                <w:color w:val="auto"/>
                <w:sz w:val="28"/>
                <w:szCs w:val="28"/>
              </w:rPr>
            </w:pPr>
          </w:p>
        </w:tc>
        <w:tc>
          <w:tcPr>
            <w:tcW w:w="3402" w:type="dxa"/>
            <w:vAlign w:val="center"/>
          </w:tcPr>
          <w:p>
            <w:pPr>
              <w:pStyle w:val="253"/>
              <w:spacing w:line="560" w:lineRule="exact"/>
              <w:ind w:firstLine="200"/>
              <w:jc w:val="center"/>
              <w:rPr>
                <w:rFonts w:hint="eastAsia" w:ascii="仿宋" w:hAnsi="仿宋" w:eastAsia="仿宋" w:cs="仿宋"/>
                <w:color w:val="auto"/>
                <w:sz w:val="28"/>
                <w:szCs w:val="28"/>
              </w:rPr>
            </w:pPr>
          </w:p>
        </w:tc>
        <w:tc>
          <w:tcPr>
            <w:tcW w:w="2552" w:type="dxa"/>
            <w:vAlign w:val="center"/>
          </w:tcPr>
          <w:p>
            <w:pPr>
              <w:pStyle w:val="253"/>
              <w:spacing w:line="560" w:lineRule="exact"/>
              <w:ind w:firstLine="20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hint="eastAsia" w:ascii="仿宋" w:hAnsi="仿宋" w:eastAsia="仿宋" w:cs="仿宋"/>
                <w:color w:val="auto"/>
                <w:sz w:val="28"/>
                <w:szCs w:val="28"/>
              </w:rPr>
            </w:pPr>
          </w:p>
        </w:tc>
        <w:tc>
          <w:tcPr>
            <w:tcW w:w="3402" w:type="dxa"/>
            <w:vAlign w:val="center"/>
          </w:tcPr>
          <w:p>
            <w:pPr>
              <w:pStyle w:val="253"/>
              <w:spacing w:line="560" w:lineRule="exact"/>
              <w:ind w:firstLine="200"/>
              <w:jc w:val="center"/>
              <w:rPr>
                <w:rFonts w:hint="eastAsia" w:ascii="仿宋" w:hAnsi="仿宋" w:eastAsia="仿宋" w:cs="仿宋"/>
                <w:color w:val="auto"/>
                <w:sz w:val="28"/>
                <w:szCs w:val="28"/>
              </w:rPr>
            </w:pPr>
          </w:p>
        </w:tc>
        <w:tc>
          <w:tcPr>
            <w:tcW w:w="2552" w:type="dxa"/>
            <w:vAlign w:val="center"/>
          </w:tcPr>
          <w:p>
            <w:pPr>
              <w:pStyle w:val="253"/>
              <w:spacing w:line="560" w:lineRule="exact"/>
              <w:ind w:firstLine="20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hint="eastAsia" w:ascii="仿宋" w:hAnsi="仿宋" w:eastAsia="仿宋" w:cs="仿宋"/>
                <w:color w:val="auto"/>
                <w:sz w:val="28"/>
                <w:szCs w:val="28"/>
              </w:rPr>
            </w:pPr>
          </w:p>
        </w:tc>
        <w:tc>
          <w:tcPr>
            <w:tcW w:w="3402" w:type="dxa"/>
            <w:vAlign w:val="center"/>
          </w:tcPr>
          <w:p>
            <w:pPr>
              <w:pStyle w:val="253"/>
              <w:spacing w:line="560" w:lineRule="exact"/>
              <w:ind w:firstLine="200"/>
              <w:jc w:val="center"/>
              <w:rPr>
                <w:rFonts w:hint="eastAsia" w:ascii="仿宋" w:hAnsi="仿宋" w:eastAsia="仿宋" w:cs="仿宋"/>
                <w:color w:val="auto"/>
                <w:sz w:val="28"/>
                <w:szCs w:val="28"/>
              </w:rPr>
            </w:pPr>
          </w:p>
        </w:tc>
        <w:tc>
          <w:tcPr>
            <w:tcW w:w="2552" w:type="dxa"/>
            <w:vAlign w:val="center"/>
          </w:tcPr>
          <w:p>
            <w:pPr>
              <w:pStyle w:val="253"/>
              <w:spacing w:line="560" w:lineRule="exact"/>
              <w:ind w:firstLine="20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3"/>
              <w:spacing w:line="560" w:lineRule="exact"/>
              <w:ind w:firstLine="200"/>
              <w:jc w:val="center"/>
              <w:rPr>
                <w:rFonts w:hint="eastAsia" w:ascii="仿宋" w:hAnsi="仿宋" w:eastAsia="仿宋" w:cs="仿宋"/>
                <w:color w:val="auto"/>
                <w:sz w:val="28"/>
                <w:szCs w:val="28"/>
              </w:rPr>
            </w:pPr>
          </w:p>
        </w:tc>
        <w:tc>
          <w:tcPr>
            <w:tcW w:w="3402" w:type="dxa"/>
            <w:vAlign w:val="center"/>
          </w:tcPr>
          <w:p>
            <w:pPr>
              <w:pStyle w:val="253"/>
              <w:spacing w:line="560" w:lineRule="exact"/>
              <w:ind w:firstLine="200"/>
              <w:jc w:val="center"/>
              <w:rPr>
                <w:rFonts w:hint="eastAsia" w:ascii="仿宋" w:hAnsi="仿宋" w:eastAsia="仿宋" w:cs="仿宋"/>
                <w:color w:val="auto"/>
                <w:sz w:val="28"/>
                <w:szCs w:val="28"/>
              </w:rPr>
            </w:pPr>
          </w:p>
        </w:tc>
        <w:tc>
          <w:tcPr>
            <w:tcW w:w="2552" w:type="dxa"/>
            <w:vAlign w:val="center"/>
          </w:tcPr>
          <w:p>
            <w:pPr>
              <w:pStyle w:val="253"/>
              <w:spacing w:line="560" w:lineRule="exact"/>
              <w:ind w:firstLine="20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53"/>
              <w:spacing w:line="560" w:lineRule="exact"/>
              <w:ind w:firstLine="200"/>
              <w:jc w:val="center"/>
              <w:rPr>
                <w:rFonts w:hint="eastAsia" w:ascii="仿宋" w:hAnsi="仿宋" w:eastAsia="仿宋" w:cs="仿宋"/>
                <w:color w:val="auto"/>
                <w:sz w:val="28"/>
                <w:szCs w:val="28"/>
              </w:rPr>
            </w:pPr>
            <w:r>
              <w:rPr>
                <w:rFonts w:hint="eastAsia" w:ascii="仿宋" w:hAnsi="仿宋" w:eastAsia="仿宋" w:cs="仿宋"/>
                <w:color w:val="auto"/>
                <w:sz w:val="28"/>
                <w:szCs w:val="28"/>
              </w:rPr>
              <w:t>总价</w:t>
            </w:r>
          </w:p>
        </w:tc>
        <w:tc>
          <w:tcPr>
            <w:tcW w:w="2552" w:type="dxa"/>
            <w:vAlign w:val="center"/>
          </w:tcPr>
          <w:p>
            <w:pPr>
              <w:pStyle w:val="253"/>
              <w:spacing w:line="560" w:lineRule="exact"/>
              <w:ind w:firstLine="200"/>
              <w:jc w:val="center"/>
              <w:rPr>
                <w:rFonts w:hint="eastAsia" w:ascii="仿宋" w:hAnsi="仿宋" w:eastAsia="仿宋" w:cs="仿宋"/>
                <w:color w:val="auto"/>
                <w:sz w:val="28"/>
                <w:szCs w:val="28"/>
              </w:rPr>
            </w:pPr>
          </w:p>
        </w:tc>
      </w:tr>
    </w:tbl>
    <w:p>
      <w:pPr>
        <w:pStyle w:val="792"/>
        <w:spacing w:before="0" w:beforeAutospacing="0" w:after="0" w:afterAutospacing="0" w:line="560" w:lineRule="exact"/>
        <w:ind w:firstLine="480"/>
        <w:rPr>
          <w:rFonts w:hint="eastAsia" w:ascii="仿宋" w:hAnsi="仿宋" w:eastAsia="仿宋" w:cs="仿宋"/>
          <w:b/>
          <w:sz w:val="28"/>
          <w:szCs w:val="28"/>
        </w:rPr>
      </w:pPr>
      <w:bookmarkStart w:id="462" w:name="_Toc10340"/>
      <w:bookmarkStart w:id="463" w:name="_Toc22618"/>
      <w:bookmarkStart w:id="464" w:name="_Toc1814"/>
      <w:bookmarkStart w:id="465" w:name="_Toc8772"/>
      <w:bookmarkStart w:id="466" w:name="_Toc11108"/>
      <w:bookmarkStart w:id="467" w:name="_Toc31421"/>
      <w:bookmarkStart w:id="468" w:name="_Toc4760"/>
      <w:bookmarkStart w:id="469" w:name="_Toc3625"/>
      <w:r>
        <w:rPr>
          <w:rFonts w:hint="eastAsia" w:ascii="仿宋" w:hAnsi="仿宋" w:eastAsia="仿宋" w:cs="仿宋"/>
          <w:b/>
          <w:sz w:val="28"/>
          <w:szCs w:val="28"/>
        </w:rPr>
        <w:t>1.4履约保证金</w:t>
      </w:r>
    </w:p>
    <w:p>
      <w:pPr>
        <w:pStyle w:val="792"/>
        <w:spacing w:before="0" w:beforeAutospacing="0" w:after="0" w:afterAutospacing="0" w:line="560" w:lineRule="exact"/>
        <w:ind w:firstLine="48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否 </w:t>
      </w:r>
      <w:r>
        <w:rPr>
          <w:rFonts w:hint="eastAsia" w:ascii="仿宋" w:hAnsi="仿宋" w:eastAsia="仿宋" w:cs="仿宋"/>
          <w:sz w:val="28"/>
          <w:szCs w:val="28"/>
        </w:rPr>
        <w:t>（是/否）需要支付履约保证金。若需要支付履约保证金的，则：</w:t>
      </w:r>
    </w:p>
    <w:p>
      <w:pPr>
        <w:spacing w:line="560" w:lineRule="exact"/>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1.5</w:t>
      </w:r>
      <w:bookmarkEnd w:id="462"/>
      <w:bookmarkEnd w:id="463"/>
      <w:bookmarkEnd w:id="464"/>
      <w:r>
        <w:rPr>
          <w:rFonts w:hint="eastAsia" w:ascii="仿宋" w:hAnsi="仿宋" w:eastAsia="仿宋" w:cs="仿宋"/>
          <w:b/>
          <w:sz w:val="28"/>
          <w:szCs w:val="28"/>
        </w:rPr>
        <w:t>预付款</w:t>
      </w:r>
    </w:p>
    <w:p>
      <w:pPr>
        <w:pStyle w:val="792"/>
        <w:spacing w:before="0" w:beforeAutospacing="0" w:after="0" w:afterAutospacing="0" w:line="560" w:lineRule="exact"/>
        <w:ind w:firstLine="48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     </w:t>
      </w:r>
      <w:r>
        <w:rPr>
          <w:rFonts w:hint="eastAsia" w:ascii="仿宋" w:hAnsi="仿宋" w:eastAsia="仿宋" w:cs="仿宋"/>
          <w:sz w:val="28"/>
          <w:szCs w:val="28"/>
        </w:rPr>
        <w:t>（是/否）需要支付预付款。若需要支付预付款的，则：</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1.5.1预付款比例、支付方式、时间详见</w:t>
      </w:r>
      <w:r>
        <w:rPr>
          <w:rFonts w:hint="eastAsia" w:ascii="仿宋" w:hAnsi="仿宋" w:eastAsia="仿宋" w:cs="仿宋"/>
          <w:kern w:val="0"/>
          <w:sz w:val="28"/>
          <w:szCs w:val="28"/>
          <w:u w:val="single"/>
        </w:rPr>
        <w:t xml:space="preserve">    </w:t>
      </w:r>
      <w:r>
        <w:rPr>
          <w:rFonts w:hint="eastAsia" w:ascii="仿宋" w:hAnsi="仿宋" w:eastAsia="仿宋" w:cs="仿宋"/>
          <w:b/>
          <w:i/>
          <w:sz w:val="28"/>
          <w:szCs w:val="28"/>
          <w:u w:val="single"/>
        </w:rPr>
        <w:t>合同专用条款</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pStyle w:val="792"/>
        <w:spacing w:before="0" w:beforeAutospacing="0" w:after="0" w:afterAutospacing="0" w:line="560" w:lineRule="exact"/>
        <w:ind w:firstLine="480"/>
        <w:rPr>
          <w:rFonts w:hint="eastAsia" w:ascii="仿宋" w:hAnsi="仿宋" w:eastAsia="仿宋" w:cs="仿宋"/>
          <w:sz w:val="28"/>
          <w:szCs w:val="28"/>
          <w:u w:val="single"/>
        </w:rPr>
      </w:pPr>
      <w:r>
        <w:rPr>
          <w:rFonts w:hint="eastAsia" w:ascii="仿宋" w:hAnsi="仿宋" w:eastAsia="仿宋" w:cs="仿宋"/>
          <w:sz w:val="28"/>
          <w:szCs w:val="28"/>
        </w:rPr>
        <w:t>1.5.2预付款的担保措施详见</w:t>
      </w:r>
      <w:r>
        <w:rPr>
          <w:rFonts w:hint="eastAsia" w:ascii="仿宋" w:hAnsi="仿宋" w:eastAsia="仿宋" w:cs="仿宋"/>
          <w:sz w:val="28"/>
          <w:szCs w:val="28"/>
          <w:u w:val="single"/>
        </w:rPr>
        <w:t xml:space="preserve">    </w:t>
      </w:r>
      <w:r>
        <w:rPr>
          <w:rFonts w:hint="eastAsia" w:ascii="仿宋" w:hAnsi="仿宋" w:eastAsia="仿宋" w:cs="仿宋"/>
          <w:b/>
          <w:i/>
          <w:sz w:val="28"/>
          <w:szCs w:val="28"/>
          <w:u w:val="single"/>
        </w:rPr>
        <w:t>合同专用条款</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792"/>
        <w:spacing w:before="0" w:beforeAutospacing="0" w:after="0" w:afterAutospacing="0" w:line="560" w:lineRule="exact"/>
        <w:ind w:firstLine="480"/>
        <w:rPr>
          <w:rFonts w:hint="eastAsia" w:ascii="仿宋" w:hAnsi="仿宋" w:eastAsia="仿宋" w:cs="仿宋"/>
          <w:b/>
          <w:bCs/>
          <w:sz w:val="28"/>
          <w:szCs w:val="28"/>
        </w:rPr>
      </w:pPr>
      <w:r>
        <w:rPr>
          <w:rFonts w:hint="eastAsia" w:ascii="仿宋" w:hAnsi="仿宋" w:eastAsia="仿宋" w:cs="仿宋"/>
          <w:b/>
          <w:bCs/>
          <w:sz w:val="28"/>
          <w:szCs w:val="28"/>
        </w:rPr>
        <w:t>1.6资金支付</w:t>
      </w:r>
    </w:p>
    <w:p>
      <w:pPr>
        <w:pStyle w:val="792"/>
        <w:spacing w:before="0" w:beforeAutospacing="0" w:after="0" w:afterAutospacing="0" w:line="560" w:lineRule="exact"/>
        <w:ind w:firstLine="480"/>
        <w:rPr>
          <w:rFonts w:hint="eastAsia" w:ascii="仿宋" w:hAnsi="仿宋" w:eastAsia="仿宋" w:cs="仿宋"/>
          <w:sz w:val="28"/>
          <w:szCs w:val="28"/>
        </w:rPr>
      </w:pPr>
      <w:r>
        <w:rPr>
          <w:rFonts w:hint="eastAsia" w:ascii="仿宋" w:hAnsi="仿宋" w:eastAsia="仿宋" w:cs="仿宋"/>
          <w:sz w:val="28"/>
          <w:szCs w:val="28"/>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1.6.2资金支付的方式、时间和条件详见</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1.7 履行期限、地点和方式</w:t>
      </w:r>
      <w:bookmarkEnd w:id="465"/>
      <w:bookmarkEnd w:id="466"/>
      <w:bookmarkEnd w:id="467"/>
      <w:bookmarkEnd w:id="468"/>
      <w:bookmarkEnd w:id="469"/>
    </w:p>
    <w:p>
      <w:pPr>
        <w:spacing w:line="5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1.7.1 货物交付（实施）的时间（期限）：</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1.7.2 货物交付（实施）的地点（地域范围）：</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rPr>
      </w:pPr>
      <w:r>
        <w:rPr>
          <w:rFonts w:hint="eastAsia" w:ascii="仿宋" w:hAnsi="仿宋" w:eastAsia="仿宋" w:cs="仿宋"/>
          <w:sz w:val="28"/>
          <w:szCs w:val="28"/>
        </w:rPr>
        <w:t>1.7.3 货物交付（实施）的方式：</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2" w:firstLineChars="200"/>
        <w:outlineLvl w:val="0"/>
        <w:rPr>
          <w:rFonts w:hint="eastAsia" w:ascii="仿宋" w:hAnsi="仿宋" w:eastAsia="仿宋" w:cs="仿宋"/>
          <w:sz w:val="28"/>
          <w:szCs w:val="28"/>
          <w:u w:val="single"/>
        </w:rPr>
      </w:pPr>
      <w:bookmarkStart w:id="470" w:name="_Toc3079"/>
      <w:bookmarkStart w:id="471" w:name="_Toc8586"/>
      <w:bookmarkStart w:id="472" w:name="_Toc2375"/>
      <w:bookmarkStart w:id="473" w:name="_Toc5698"/>
      <w:bookmarkStart w:id="474" w:name="_Toc24662"/>
      <w:r>
        <w:rPr>
          <w:rFonts w:hint="eastAsia" w:ascii="仿宋" w:hAnsi="仿宋" w:eastAsia="仿宋" w:cs="仿宋"/>
          <w:b/>
          <w:sz w:val="28"/>
          <w:szCs w:val="28"/>
        </w:rPr>
        <w:t>1.8违约责任</w:t>
      </w:r>
      <w:bookmarkEnd w:id="470"/>
      <w:bookmarkEnd w:id="471"/>
      <w:bookmarkEnd w:id="472"/>
      <w:bookmarkEnd w:id="473"/>
      <w:bookmarkEnd w:id="474"/>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%计算，最高限额为本合同总价的</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%；迟延履行的违约金计算数额达到前述最高限额之日起，甲方有权在要求乙方支付违约金的同时，书面通知乙方解除本合同；</w:t>
      </w:r>
    </w:p>
    <w:p>
      <w:pPr>
        <w:pStyle w:val="2"/>
        <w:spacing w:line="560" w:lineRule="exact"/>
        <w:ind w:firstLine="560" w:firstLineChars="200"/>
        <w:rPr>
          <w:rFonts w:hint="eastAsia" w:ascii="仿宋" w:eastAsia="仿宋" w:cs="仿宋"/>
          <w:b w:val="0"/>
          <w:sz w:val="28"/>
        </w:rPr>
      </w:pPr>
      <w:r>
        <w:rPr>
          <w:rFonts w:hint="eastAsia" w:ascii="仿宋" w:eastAsia="仿宋" w:cs="仿宋"/>
          <w:b w:val="0"/>
          <w:sz w:val="28"/>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kern w:val="0"/>
          <w:sz w:val="28"/>
          <w:u w:val="single"/>
        </w:rPr>
        <w:t xml:space="preserve">    </w:t>
      </w:r>
      <w:r>
        <w:rPr>
          <w:rFonts w:hint="eastAsia" w:ascii="仿宋" w:eastAsia="仿宋" w:cs="仿宋"/>
          <w:b w:val="0"/>
          <w:sz w:val="28"/>
        </w:rPr>
        <w:t>%计算，最高限额为本合同总价的</w:t>
      </w:r>
      <w:r>
        <w:rPr>
          <w:rFonts w:hint="eastAsia" w:ascii="仿宋" w:eastAsia="仿宋" w:cs="仿宋"/>
          <w:kern w:val="0"/>
          <w:sz w:val="28"/>
          <w:u w:val="single"/>
        </w:rPr>
        <w:t xml:space="preserve">    </w:t>
      </w:r>
      <w:r>
        <w:rPr>
          <w:rFonts w:hint="eastAsia" w:ascii="仿宋" w:eastAsia="仿宋" w:cs="仿宋"/>
          <w:b w:val="0"/>
          <w:sz w:val="28"/>
        </w:rPr>
        <w:t>%；迟延交付货物的违约金计算数额达到前述最高限额之日起，甲方有权在要求乙方支付违约金的同时，书面通知乙方解除本合同；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1.8.3除不可抗力外，如果甲方没有按照本合同约定的付款方式付款，那么乙方可要求甲方支付违约金，违约金按每迟延付款一日的应付而未付款的</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%计算，最高限额为本合同总价的</w:t>
      </w:r>
      <w:r>
        <w:rPr>
          <w:rFonts w:hint="eastAsia" w:ascii="仿宋" w:hAnsi="仿宋" w:eastAsia="仿宋" w:cs="仿宋"/>
          <w:kern w:val="0"/>
          <w:sz w:val="28"/>
          <w:szCs w:val="28"/>
          <w:u w:val="single"/>
        </w:rPr>
        <w:t xml:space="preserve">    </w:t>
      </w:r>
      <w:r>
        <w:rPr>
          <w:rFonts w:hint="eastAsia" w:ascii="仿宋" w:hAnsi="仿宋" w:eastAsia="仿宋" w:cs="仿宋"/>
          <w:sz w:val="28"/>
          <w:szCs w:val="28"/>
        </w:rPr>
        <w:t>%；迟延付款的违约金计算数额达到前述最高限额之日起，乙方有权在要求甲方支付违约金的同时，书面通知甲方解除本合同；</w:t>
      </w:r>
    </w:p>
    <w:p>
      <w:pPr>
        <w:spacing w:line="560" w:lineRule="exact"/>
        <w:ind w:firstLine="560" w:firstLineChars="200"/>
        <w:rPr>
          <w:rFonts w:hint="eastAsia" w:ascii="仿宋" w:hAnsi="仿宋" w:eastAsia="仿宋" w:cs="仿宋"/>
          <w:sz w:val="28"/>
          <w:szCs w:val="28"/>
        </w:rPr>
      </w:pPr>
      <w:bookmarkStart w:id="475" w:name="_Toc9497"/>
      <w:bookmarkStart w:id="476" w:name="_Toc30329"/>
      <w:bookmarkStart w:id="477" w:name="_Toc26807"/>
      <w:bookmarkStart w:id="478" w:name="_Toc32454"/>
      <w:bookmarkStart w:id="479" w:name="_Toc18683"/>
      <w:r>
        <w:rPr>
          <w:rFonts w:hint="eastAsia" w:ascii="仿宋" w:hAnsi="仿宋" w:eastAsia="仿宋" w:cs="仿宋"/>
          <w:sz w:val="28"/>
          <w:szCs w:val="28"/>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560" w:firstLineChars="200"/>
        <w:rPr>
          <w:rFonts w:hint="eastAsia" w:ascii="仿宋" w:hAnsi="仿宋" w:eastAsia="仿宋" w:cs="仿宋"/>
          <w:sz w:val="28"/>
          <w:szCs w:val="28"/>
        </w:rPr>
      </w:pPr>
      <w:r>
        <w:rPr>
          <w:rFonts w:hint="eastAsia" w:ascii="仿宋" w:hAnsi="仿宋" w:eastAsia="仿宋" w:cs="仿宋"/>
          <w:sz w:val="28"/>
          <w:szCs w:val="28"/>
        </w:rPr>
        <w:t>1.8.7违约责任</w:t>
      </w:r>
      <w:r>
        <w:rPr>
          <w:rFonts w:hint="eastAsia" w:ascii="仿宋" w:hAnsi="仿宋" w:eastAsia="仿宋" w:cs="仿宋"/>
          <w:b/>
          <w:i/>
          <w:sz w:val="28"/>
          <w:szCs w:val="28"/>
          <w:u w:val="single"/>
        </w:rPr>
        <w:t>合同专用条款</w:t>
      </w:r>
      <w:r>
        <w:rPr>
          <w:rFonts w:hint="eastAsia" w:ascii="仿宋" w:hAnsi="仿宋" w:eastAsia="仿宋" w:cs="仿宋"/>
          <w:sz w:val="28"/>
          <w:szCs w:val="28"/>
        </w:rPr>
        <w:t>另有约定的，从其约定。</w:t>
      </w:r>
    </w:p>
    <w:bookmarkEnd w:id="475"/>
    <w:bookmarkEnd w:id="476"/>
    <w:bookmarkEnd w:id="477"/>
    <w:bookmarkEnd w:id="478"/>
    <w:bookmarkEnd w:id="479"/>
    <w:p>
      <w:pPr>
        <w:spacing w:line="560" w:lineRule="exact"/>
        <w:ind w:firstLine="562" w:firstLineChars="200"/>
        <w:outlineLvl w:val="0"/>
        <w:rPr>
          <w:rFonts w:hint="eastAsia" w:ascii="仿宋" w:hAnsi="仿宋" w:eastAsia="仿宋" w:cs="仿宋"/>
          <w:b/>
          <w:sz w:val="28"/>
          <w:szCs w:val="28"/>
        </w:rPr>
      </w:pPr>
      <w:bookmarkStart w:id="480" w:name="_Toc16021"/>
      <w:bookmarkStart w:id="481" w:name="_Toc28375"/>
      <w:bookmarkStart w:id="482" w:name="_Toc15583"/>
      <w:r>
        <w:rPr>
          <w:rFonts w:hint="eastAsia" w:ascii="仿宋" w:hAnsi="仿宋" w:eastAsia="仿宋" w:cs="仿宋"/>
          <w:b/>
          <w:sz w:val="28"/>
          <w:szCs w:val="28"/>
        </w:rPr>
        <w:t>1.9合同争议的解决</w:t>
      </w:r>
      <w:bookmarkEnd w:id="480"/>
      <w:bookmarkEnd w:id="481"/>
      <w:bookmarkEnd w:id="482"/>
    </w:p>
    <w:p>
      <w:pPr>
        <w:spacing w:line="560" w:lineRule="exact"/>
        <w:ind w:left="-61" w:leftChars="-29" w:right="-420" w:rightChars="-200" w:firstLine="280" w:firstLineChars="100"/>
        <w:rPr>
          <w:rFonts w:hint="eastAsia" w:ascii="仿宋" w:hAnsi="仿宋" w:eastAsia="仿宋" w:cs="仿宋"/>
          <w:sz w:val="28"/>
          <w:szCs w:val="28"/>
        </w:rPr>
      </w:pPr>
      <w:r>
        <w:rPr>
          <w:rFonts w:hint="eastAsia" w:ascii="仿宋" w:hAnsi="仿宋" w:eastAsia="仿宋" w:cs="仿宋"/>
          <w:sz w:val="28"/>
          <w:szCs w:val="28"/>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8"/>
          <w:szCs w:val="28"/>
          <w:u w:val="single"/>
        </w:rPr>
        <w:t xml:space="preserve">      </w:t>
      </w:r>
      <w:r>
        <w:rPr>
          <w:rFonts w:hint="eastAsia" w:ascii="仿宋" w:hAnsi="仿宋" w:eastAsia="仿宋" w:cs="仿宋"/>
          <w:sz w:val="28"/>
          <w:szCs w:val="28"/>
        </w:rPr>
        <w:t>条款规定的方式解决：</w:t>
      </w:r>
    </w:p>
    <w:p>
      <w:pPr>
        <w:spacing w:line="560" w:lineRule="exact"/>
        <w:ind w:left="-420" w:leftChars="-200" w:right="-420" w:rightChars="-200" w:firstLine="700" w:firstLineChars="250"/>
        <w:rPr>
          <w:rFonts w:hint="eastAsia" w:ascii="仿宋" w:hAnsi="仿宋" w:eastAsia="仿宋" w:cs="仿宋"/>
          <w:sz w:val="28"/>
          <w:szCs w:val="28"/>
        </w:rPr>
      </w:pPr>
      <w:r>
        <w:rPr>
          <w:rFonts w:hint="eastAsia" w:ascii="仿宋" w:hAnsi="仿宋" w:eastAsia="仿宋" w:cs="仿宋"/>
          <w:sz w:val="28"/>
          <w:szCs w:val="28"/>
        </w:rPr>
        <w:t>1.9.1 将争议提交舟山仲裁委员会依申请仲裁时其现行有效的仲裁规则裁决；</w:t>
      </w:r>
    </w:p>
    <w:p>
      <w:pPr>
        <w:spacing w:line="560" w:lineRule="exact"/>
        <w:ind w:left="-420" w:leftChars="-200" w:right="-420" w:rightChars="-200" w:firstLine="700" w:firstLineChars="250"/>
        <w:rPr>
          <w:rFonts w:hint="eastAsia" w:ascii="仿宋" w:hAnsi="仿宋" w:eastAsia="仿宋" w:cs="仿宋"/>
          <w:sz w:val="28"/>
          <w:szCs w:val="28"/>
        </w:rPr>
      </w:pPr>
      <w:r>
        <w:rPr>
          <w:rFonts w:hint="eastAsia" w:ascii="仿宋" w:hAnsi="仿宋" w:eastAsia="仿宋" w:cs="仿宋"/>
          <w:sz w:val="28"/>
          <w:szCs w:val="28"/>
        </w:rPr>
        <w:t>1.9.2 向</w:t>
      </w:r>
      <w:r>
        <w:rPr>
          <w:rFonts w:hint="eastAsia" w:ascii="仿宋" w:hAnsi="仿宋" w:eastAsia="仿宋" w:cs="仿宋"/>
          <w:b/>
          <w:i/>
          <w:sz w:val="28"/>
          <w:szCs w:val="28"/>
          <w:u w:val="single"/>
        </w:rPr>
        <w:t>合同专用条款</w:t>
      </w:r>
      <w:r>
        <w:rPr>
          <w:rFonts w:hint="eastAsia" w:ascii="仿宋" w:hAnsi="仿宋" w:eastAsia="仿宋" w:cs="仿宋"/>
          <w:sz w:val="28"/>
          <w:szCs w:val="28"/>
        </w:rPr>
        <w:t>人民法院起诉。</w:t>
      </w:r>
    </w:p>
    <w:p>
      <w:pPr>
        <w:spacing w:line="560" w:lineRule="exact"/>
        <w:ind w:firstLine="562" w:firstLineChars="200"/>
        <w:outlineLvl w:val="0"/>
        <w:rPr>
          <w:rFonts w:hint="eastAsia" w:ascii="仿宋" w:hAnsi="仿宋" w:eastAsia="仿宋" w:cs="仿宋"/>
          <w:b/>
          <w:sz w:val="28"/>
          <w:szCs w:val="28"/>
        </w:rPr>
      </w:pPr>
      <w:bookmarkStart w:id="483" w:name="_Toc15322"/>
      <w:bookmarkStart w:id="484" w:name="_Toc11173"/>
      <w:bookmarkStart w:id="485" w:name="_Toc7245"/>
      <w:r>
        <w:rPr>
          <w:rFonts w:hint="eastAsia" w:ascii="仿宋" w:hAnsi="仿宋" w:eastAsia="仿宋" w:cs="仿宋"/>
          <w:b/>
          <w:sz w:val="28"/>
          <w:szCs w:val="28"/>
        </w:rPr>
        <w:t>2.0 合同生效</w:t>
      </w:r>
      <w:bookmarkEnd w:id="483"/>
      <w:bookmarkEnd w:id="484"/>
      <w:bookmarkEnd w:id="485"/>
    </w:p>
    <w:p>
      <w:pPr>
        <w:spacing w:line="56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本合同自双方当事人盖章签字时生效。</w:t>
      </w:r>
    </w:p>
    <w:p>
      <w:pPr>
        <w:autoSpaceDE w:val="0"/>
        <w:autoSpaceDN w:val="0"/>
        <w:spacing w:line="560" w:lineRule="exact"/>
        <w:rPr>
          <w:rFonts w:hint="eastAsia" w:ascii="仿宋" w:hAnsi="仿宋" w:eastAsia="仿宋" w:cs="仿宋"/>
          <w:sz w:val="28"/>
          <w:szCs w:val="28"/>
          <w:lang w:val="zh-CN"/>
        </w:rPr>
      </w:pP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b/>
          <w:sz w:val="28"/>
          <w:szCs w:val="28"/>
          <w:lang w:val="zh-CN"/>
        </w:rPr>
        <w:t>甲方</w:t>
      </w:r>
      <w:r>
        <w:rPr>
          <w:rFonts w:hint="eastAsia" w:ascii="仿宋" w:hAnsi="仿宋" w:eastAsia="仿宋" w:cs="仿宋"/>
          <w:sz w:val="28"/>
          <w:szCs w:val="28"/>
          <w:lang w:val="zh-CN"/>
        </w:rPr>
        <w:t xml:space="preserve">：                             </w:t>
      </w:r>
      <w:r>
        <w:rPr>
          <w:rFonts w:hint="eastAsia" w:ascii="仿宋" w:hAnsi="仿宋" w:eastAsia="仿宋" w:cs="仿宋"/>
          <w:b/>
          <w:sz w:val="28"/>
          <w:szCs w:val="28"/>
          <w:lang w:val="zh-CN"/>
        </w:rPr>
        <w:t xml:space="preserve">      乙方</w:t>
      </w:r>
      <w:r>
        <w:rPr>
          <w:rFonts w:hint="eastAsia" w:ascii="仿宋" w:hAnsi="仿宋" w:eastAsia="仿宋" w:cs="仿宋"/>
          <w:sz w:val="28"/>
          <w:szCs w:val="28"/>
          <w:lang w:val="zh-CN"/>
        </w:rPr>
        <w:t>：</w:t>
      </w: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统一社会信用代码：                        统一社会信用代码或身份证号码：</w:t>
      </w:r>
    </w:p>
    <w:p>
      <w:pPr>
        <w:autoSpaceDE w:val="0"/>
        <w:autoSpaceDN w:val="0"/>
        <w:spacing w:line="560" w:lineRule="exact"/>
        <w:rPr>
          <w:rFonts w:hint="eastAsia" w:ascii="仿宋" w:hAnsi="仿宋" w:eastAsia="仿宋" w:cs="仿宋"/>
          <w:sz w:val="28"/>
          <w:szCs w:val="28"/>
          <w:lang w:val="zh-CN"/>
        </w:rPr>
      </w:pP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住所：                                   住所：</w:t>
      </w: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法定代表人或                             法定代表人或</w:t>
      </w: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 xml:space="preserve">授权代表（签字）：                       授权代表（签字）: </w:t>
      </w: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联系人：                                 联系人：</w:t>
      </w: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约定送达地址：                           约定送达地址：</w:t>
      </w: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邮政编码：                               邮政编码：</w:t>
      </w: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 xml:space="preserve">电话:                                    电话: </w:t>
      </w:r>
    </w:p>
    <w:p>
      <w:pPr>
        <w:autoSpaceDE w:val="0"/>
        <w:autoSpaceDN w:val="0"/>
        <w:spacing w:line="560" w:lineRule="exact"/>
        <w:rPr>
          <w:rFonts w:hint="eastAsia" w:ascii="仿宋" w:hAnsi="仿宋" w:eastAsia="仿宋" w:cs="仿宋"/>
          <w:sz w:val="28"/>
          <w:szCs w:val="28"/>
          <w:lang w:val="zh-CN"/>
        </w:rPr>
      </w:pPr>
      <w:r>
        <w:rPr>
          <w:rFonts w:hint="eastAsia" w:ascii="仿宋" w:hAnsi="仿宋" w:eastAsia="仿宋" w:cs="仿宋"/>
          <w:sz w:val="28"/>
          <w:szCs w:val="28"/>
          <w:lang w:val="zh-CN"/>
        </w:rPr>
        <w:t>传真:                                    传真:</w:t>
      </w:r>
    </w:p>
    <w:p>
      <w:pPr>
        <w:autoSpaceDE w:val="0"/>
        <w:autoSpaceDN w:val="0"/>
        <w:spacing w:line="560" w:lineRule="exact"/>
        <w:rPr>
          <w:rFonts w:hint="eastAsia" w:ascii="仿宋" w:hAnsi="仿宋" w:eastAsia="仿宋" w:cs="仿宋"/>
          <w:sz w:val="28"/>
          <w:szCs w:val="28"/>
        </w:rPr>
      </w:pPr>
      <w:r>
        <w:rPr>
          <w:rFonts w:hint="eastAsia" w:ascii="仿宋" w:hAnsi="仿宋" w:eastAsia="仿宋" w:cs="仿宋"/>
          <w:sz w:val="28"/>
          <w:szCs w:val="28"/>
          <w:lang w:val="zh-CN"/>
        </w:rPr>
        <w:t>电子邮箱：                               电子邮箱：</w:t>
      </w:r>
    </w:p>
    <w:p>
      <w:pPr>
        <w:autoSpaceDE w:val="0"/>
        <w:autoSpaceDN w:val="0"/>
        <w:spacing w:line="560" w:lineRule="exact"/>
        <w:rPr>
          <w:rFonts w:hint="eastAsia" w:ascii="仿宋" w:hAnsi="仿宋" w:eastAsia="仿宋" w:cs="仿宋"/>
          <w:sz w:val="28"/>
          <w:szCs w:val="28"/>
        </w:rPr>
      </w:pPr>
      <w:r>
        <w:rPr>
          <w:rFonts w:hint="eastAsia" w:ascii="仿宋" w:hAnsi="仿宋" w:eastAsia="仿宋" w:cs="仿宋"/>
          <w:sz w:val="28"/>
          <w:szCs w:val="28"/>
        </w:rPr>
        <w:t xml:space="preserve">开户银行：                               开户银行： </w:t>
      </w:r>
    </w:p>
    <w:p>
      <w:pPr>
        <w:autoSpaceDE w:val="0"/>
        <w:autoSpaceDN w:val="0"/>
        <w:spacing w:line="560" w:lineRule="exact"/>
        <w:rPr>
          <w:rFonts w:hint="eastAsia" w:ascii="仿宋" w:hAnsi="仿宋" w:eastAsia="仿宋" w:cs="仿宋"/>
          <w:sz w:val="28"/>
          <w:szCs w:val="28"/>
        </w:rPr>
      </w:pPr>
      <w:r>
        <w:rPr>
          <w:rFonts w:hint="eastAsia" w:ascii="仿宋" w:hAnsi="仿宋" w:eastAsia="仿宋" w:cs="仿宋"/>
          <w:sz w:val="28"/>
          <w:szCs w:val="28"/>
        </w:rPr>
        <w:t xml:space="preserve">开户名称：                               开户名称： </w:t>
      </w:r>
    </w:p>
    <w:p>
      <w:pPr>
        <w:autoSpaceDE w:val="0"/>
        <w:autoSpaceDN w:val="0"/>
        <w:spacing w:line="560" w:lineRule="exact"/>
        <w:rPr>
          <w:rFonts w:hint="eastAsia" w:ascii="仿宋" w:hAnsi="仿宋" w:eastAsia="仿宋" w:cs="仿宋"/>
          <w:sz w:val="28"/>
          <w:szCs w:val="28"/>
        </w:rPr>
      </w:pPr>
      <w:r>
        <w:rPr>
          <w:rFonts w:hint="eastAsia" w:ascii="仿宋" w:hAnsi="仿宋" w:eastAsia="仿宋" w:cs="仿宋"/>
          <w:sz w:val="28"/>
          <w:szCs w:val="28"/>
        </w:rPr>
        <w:t>开户账号：</w:t>
      </w:r>
      <w:r>
        <w:rPr>
          <w:rFonts w:hint="eastAsia" w:ascii="仿宋" w:hAnsi="仿宋" w:eastAsia="仿宋" w:cs="仿宋"/>
          <w:sz w:val="28"/>
          <w:szCs w:val="28"/>
          <w:lang w:val="zh-CN"/>
        </w:rPr>
        <w:t xml:space="preserve">                               </w:t>
      </w:r>
      <w:r>
        <w:rPr>
          <w:rFonts w:hint="eastAsia" w:ascii="仿宋" w:hAnsi="仿宋" w:eastAsia="仿宋" w:cs="仿宋"/>
          <w:sz w:val="28"/>
          <w:szCs w:val="28"/>
        </w:rPr>
        <w:t>开户账号：</w:t>
      </w:r>
    </w:p>
    <w:p>
      <w:pPr>
        <w:widowControl/>
        <w:spacing w:line="560" w:lineRule="exact"/>
        <w:jc w:val="left"/>
        <w:rPr>
          <w:rFonts w:hint="eastAsia" w:ascii="仿宋" w:hAnsi="仿宋" w:eastAsia="仿宋" w:cs="仿宋"/>
          <w:b/>
          <w:sz w:val="28"/>
          <w:szCs w:val="28"/>
        </w:rPr>
      </w:pPr>
    </w:p>
    <w:p>
      <w:pPr>
        <w:widowControl/>
        <w:spacing w:line="560" w:lineRule="exact"/>
        <w:jc w:val="left"/>
        <w:rPr>
          <w:rFonts w:hint="eastAsia" w:ascii="仿宋" w:hAnsi="仿宋" w:eastAsia="仿宋" w:cs="仿宋"/>
          <w:b/>
          <w:sz w:val="28"/>
          <w:szCs w:val="28"/>
        </w:rPr>
      </w:pPr>
      <w:r>
        <w:rPr>
          <w:rFonts w:hint="eastAsia" w:ascii="仿宋" w:hAnsi="仿宋" w:eastAsia="仿宋" w:cs="仿宋"/>
          <w:b/>
          <w:sz w:val="28"/>
          <w:szCs w:val="28"/>
        </w:rPr>
        <w:br w:type="page"/>
      </w:r>
    </w:p>
    <w:p>
      <w:pPr>
        <w:pStyle w:val="63"/>
        <w:spacing w:line="56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第二部分 合同一般条款</w:t>
      </w:r>
    </w:p>
    <w:p>
      <w:pPr>
        <w:spacing w:line="560" w:lineRule="exact"/>
        <w:ind w:firstLine="562" w:firstLineChars="200"/>
        <w:outlineLvl w:val="0"/>
        <w:rPr>
          <w:rFonts w:hint="eastAsia" w:ascii="仿宋" w:hAnsi="仿宋" w:eastAsia="仿宋" w:cs="仿宋"/>
          <w:b/>
          <w:sz w:val="28"/>
          <w:szCs w:val="28"/>
        </w:rPr>
      </w:pPr>
      <w:bookmarkStart w:id="486" w:name="_Toc19680"/>
      <w:bookmarkStart w:id="487" w:name="_Toc31297"/>
      <w:bookmarkStart w:id="488" w:name="_Toc25079"/>
      <w:bookmarkStart w:id="489" w:name="_Toc5228"/>
      <w:bookmarkStart w:id="490" w:name="_Toc14021"/>
      <w:r>
        <w:rPr>
          <w:rFonts w:hint="eastAsia" w:ascii="仿宋" w:hAnsi="仿宋" w:eastAsia="仿宋" w:cs="仿宋"/>
          <w:b/>
          <w:sz w:val="28"/>
          <w:szCs w:val="28"/>
        </w:rPr>
        <w:t>2.1 定义</w:t>
      </w:r>
      <w:bookmarkEnd w:id="486"/>
      <w:bookmarkEnd w:id="487"/>
      <w:bookmarkEnd w:id="488"/>
      <w:bookmarkEnd w:id="489"/>
      <w:bookmarkEnd w:id="490"/>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本合同中的下列词语应按以下内容进行解释：</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 “合同”系指采购人和中标或成交供应商签订的载明双方当事人所达成的协议，并包括所有的附件、附录和构成合同的其他文件。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2.1.2 “合同价”系指根据合同约定，中标或成交供应商在完全履行合同义务后，采购人应支付给中标或成交供应商的价格。</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2.1.4 “甲方”系指与中标或成交供应商签署合同的采购人；采购人委托采购代理机构代表其与乙方签订合同的，采购人的授权委托书作为合同附件。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2.1.6 “现场”系指合同约定提供服务的地点。</w:t>
      </w:r>
    </w:p>
    <w:p>
      <w:pPr>
        <w:spacing w:line="560" w:lineRule="exact"/>
        <w:ind w:firstLine="562" w:firstLineChars="200"/>
        <w:outlineLvl w:val="0"/>
        <w:rPr>
          <w:rFonts w:hint="eastAsia" w:ascii="仿宋" w:hAnsi="仿宋" w:eastAsia="仿宋" w:cs="仿宋"/>
          <w:b/>
          <w:sz w:val="28"/>
          <w:szCs w:val="28"/>
        </w:rPr>
      </w:pPr>
      <w:bookmarkStart w:id="491" w:name="_Toc31402"/>
      <w:bookmarkStart w:id="492" w:name="_Toc16752"/>
      <w:bookmarkStart w:id="493" w:name="_Toc19539"/>
      <w:bookmarkStart w:id="494" w:name="_Toc23289"/>
      <w:bookmarkStart w:id="495" w:name="_Toc3769"/>
      <w:r>
        <w:rPr>
          <w:rFonts w:hint="eastAsia" w:ascii="仿宋" w:hAnsi="仿宋" w:eastAsia="仿宋" w:cs="仿宋"/>
          <w:b/>
          <w:sz w:val="28"/>
          <w:szCs w:val="28"/>
        </w:rPr>
        <w:t>2.2 技术规范</w:t>
      </w:r>
      <w:bookmarkEnd w:id="491"/>
      <w:bookmarkEnd w:id="492"/>
      <w:bookmarkEnd w:id="493"/>
      <w:bookmarkEnd w:id="494"/>
      <w:bookmarkEnd w:id="495"/>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562" w:firstLineChars="200"/>
        <w:outlineLvl w:val="0"/>
        <w:rPr>
          <w:rFonts w:hint="eastAsia" w:ascii="仿宋" w:hAnsi="仿宋" w:eastAsia="仿宋" w:cs="仿宋"/>
          <w:b/>
          <w:sz w:val="28"/>
          <w:szCs w:val="28"/>
        </w:rPr>
      </w:pPr>
      <w:bookmarkStart w:id="496" w:name="_Toc9161"/>
      <w:bookmarkStart w:id="497" w:name="_Toc4133"/>
      <w:bookmarkStart w:id="498" w:name="_Toc12412"/>
      <w:bookmarkStart w:id="499" w:name="_Toc27945"/>
      <w:bookmarkStart w:id="500" w:name="_Toc13673"/>
      <w:r>
        <w:rPr>
          <w:rFonts w:hint="eastAsia" w:ascii="仿宋" w:hAnsi="仿宋" w:eastAsia="仿宋" w:cs="仿宋"/>
          <w:b/>
          <w:sz w:val="28"/>
          <w:szCs w:val="28"/>
        </w:rPr>
        <w:t>2.3 知识产权</w:t>
      </w:r>
      <w:bookmarkEnd w:id="496"/>
      <w:bookmarkEnd w:id="497"/>
      <w:bookmarkEnd w:id="498"/>
      <w:bookmarkEnd w:id="499"/>
      <w:bookmarkEnd w:id="500"/>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 合同涉及技术成果的归属和收益的分成办法的，详见</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2.4 履约检查和问题反馈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2.4.2 合同履行期间，甲方有权将履行过程中出现的问题反馈给乙方，双方当事人应以书面形式约定需要完善和改进的内容。</w:t>
      </w:r>
    </w:p>
    <w:p>
      <w:pPr>
        <w:spacing w:line="560" w:lineRule="exact"/>
        <w:ind w:firstLine="562" w:firstLineChars="200"/>
        <w:outlineLvl w:val="0"/>
        <w:rPr>
          <w:rFonts w:hint="eastAsia" w:ascii="仿宋" w:hAnsi="仿宋" w:eastAsia="仿宋" w:cs="仿宋"/>
          <w:b/>
          <w:sz w:val="28"/>
          <w:szCs w:val="28"/>
        </w:rPr>
      </w:pPr>
      <w:bookmarkStart w:id="501" w:name="_Toc32670"/>
      <w:bookmarkStart w:id="502" w:name="_Toc31233"/>
      <w:bookmarkStart w:id="503" w:name="_Toc15447"/>
      <w:bookmarkStart w:id="504" w:name="_Toc26555"/>
      <w:bookmarkStart w:id="505" w:name="_Toc22011"/>
      <w:r>
        <w:rPr>
          <w:rFonts w:hint="eastAsia" w:ascii="仿宋" w:hAnsi="仿宋" w:eastAsia="仿宋" w:cs="仿宋"/>
          <w:b/>
          <w:sz w:val="28"/>
          <w:szCs w:val="28"/>
        </w:rPr>
        <w:t>2.5 结算方式和付款条件</w:t>
      </w:r>
      <w:bookmarkEnd w:id="501"/>
      <w:bookmarkEnd w:id="502"/>
      <w:bookmarkEnd w:id="503"/>
      <w:bookmarkEnd w:id="504"/>
      <w:bookmarkEnd w:id="505"/>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详见</w:t>
      </w:r>
      <w:r>
        <w:rPr>
          <w:rFonts w:hint="eastAsia" w:ascii="仿宋" w:hAnsi="仿宋" w:eastAsia="仿宋" w:cs="仿宋"/>
          <w:b/>
          <w:i/>
          <w:sz w:val="28"/>
          <w:szCs w:val="28"/>
          <w:u w:val="single"/>
        </w:rPr>
        <w:t>合同专用条款</w:t>
      </w:r>
      <w:r>
        <w:rPr>
          <w:rFonts w:hint="eastAsia" w:ascii="仿宋" w:hAnsi="仿宋" w:eastAsia="仿宋" w:cs="仿宋"/>
          <w:sz w:val="28"/>
          <w:szCs w:val="28"/>
        </w:rPr>
        <w:t>。</w:t>
      </w:r>
    </w:p>
    <w:p>
      <w:pPr>
        <w:spacing w:line="560" w:lineRule="exact"/>
        <w:ind w:firstLine="562" w:firstLineChars="200"/>
        <w:outlineLvl w:val="0"/>
        <w:rPr>
          <w:rFonts w:hint="eastAsia" w:ascii="仿宋" w:hAnsi="仿宋" w:eastAsia="仿宋" w:cs="仿宋"/>
          <w:b/>
          <w:sz w:val="28"/>
          <w:szCs w:val="28"/>
        </w:rPr>
      </w:pPr>
      <w:bookmarkStart w:id="506" w:name="_Toc18990"/>
      <w:bookmarkStart w:id="507" w:name="_Toc30507"/>
      <w:bookmarkStart w:id="508" w:name="_Toc16163"/>
      <w:bookmarkStart w:id="509" w:name="_Toc13467"/>
      <w:bookmarkStart w:id="510" w:name="_Toc13154"/>
      <w:r>
        <w:rPr>
          <w:rFonts w:hint="eastAsia" w:ascii="仿宋" w:hAnsi="仿宋" w:eastAsia="仿宋" w:cs="仿宋"/>
          <w:b/>
          <w:sz w:val="28"/>
          <w:szCs w:val="28"/>
        </w:rPr>
        <w:t>2.6 技术资料和保密义务</w:t>
      </w:r>
      <w:bookmarkEnd w:id="506"/>
      <w:bookmarkEnd w:id="507"/>
      <w:bookmarkEnd w:id="508"/>
      <w:bookmarkEnd w:id="509"/>
      <w:bookmarkEnd w:id="510"/>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2.6.1 乙方有权依据合同约定和项目需要，向甲方了解有关情况，调阅有关资料等，甲方应予积极配合；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2.6.2 乙方有义务妥善保管和保护由甲方提供的前款信息和资料等；</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562" w:firstLineChars="200"/>
        <w:outlineLvl w:val="0"/>
        <w:rPr>
          <w:rFonts w:hint="eastAsia" w:ascii="仿宋" w:hAnsi="仿宋" w:eastAsia="仿宋" w:cs="仿宋"/>
          <w:b/>
          <w:sz w:val="28"/>
          <w:szCs w:val="28"/>
        </w:rPr>
      </w:pPr>
      <w:bookmarkStart w:id="511" w:name="_Toc19069"/>
      <w:r>
        <w:rPr>
          <w:rFonts w:hint="eastAsia" w:ascii="仿宋" w:hAnsi="仿宋" w:eastAsia="仿宋" w:cs="仿宋"/>
          <w:b/>
          <w:sz w:val="28"/>
          <w:szCs w:val="28"/>
        </w:rPr>
        <w:t>2.7 质量保证</w:t>
      </w:r>
      <w:bookmarkEnd w:id="511"/>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2.7.1 乙方应建立和完善履行合同的内部质量保证体系，并提供相关内部规章制度给甲方，以便甲方进行监督检查；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2.7.2 乙方应保证履行合同的人员数量和素质、软件和硬件设备的配置、场地、环境和设施等满足全面履行合同的要求，并应接受甲方的监督检查。</w:t>
      </w:r>
    </w:p>
    <w:p>
      <w:pPr>
        <w:spacing w:line="560" w:lineRule="exact"/>
        <w:ind w:firstLine="562" w:firstLineChars="200"/>
        <w:outlineLvl w:val="0"/>
        <w:rPr>
          <w:rFonts w:hint="eastAsia" w:ascii="仿宋" w:hAnsi="仿宋" w:eastAsia="仿宋" w:cs="仿宋"/>
          <w:b/>
          <w:sz w:val="28"/>
          <w:szCs w:val="28"/>
        </w:rPr>
      </w:pPr>
      <w:bookmarkStart w:id="512" w:name="_Toc22267"/>
      <w:r>
        <w:rPr>
          <w:rFonts w:hint="eastAsia" w:ascii="仿宋" w:hAnsi="仿宋" w:eastAsia="仿宋" w:cs="仿宋"/>
          <w:b/>
          <w:sz w:val="28"/>
          <w:szCs w:val="28"/>
        </w:rPr>
        <w:t>2.8 延迟履行</w:t>
      </w:r>
      <w:bookmarkEnd w:id="512"/>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562" w:firstLineChars="200"/>
        <w:outlineLvl w:val="0"/>
        <w:rPr>
          <w:rFonts w:hint="eastAsia" w:ascii="仿宋" w:hAnsi="仿宋" w:eastAsia="仿宋" w:cs="仿宋"/>
          <w:b/>
          <w:sz w:val="28"/>
          <w:szCs w:val="28"/>
        </w:rPr>
      </w:pPr>
      <w:bookmarkStart w:id="513" w:name="_Toc10611"/>
      <w:r>
        <w:rPr>
          <w:rFonts w:hint="eastAsia" w:ascii="仿宋" w:hAnsi="仿宋" w:eastAsia="仿宋" w:cs="仿宋"/>
          <w:b/>
          <w:sz w:val="28"/>
          <w:szCs w:val="28"/>
        </w:rPr>
        <w:t>2.9 合同变更</w:t>
      </w:r>
      <w:bookmarkEnd w:id="513"/>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562" w:firstLineChars="200"/>
        <w:outlineLvl w:val="0"/>
        <w:rPr>
          <w:rFonts w:hint="eastAsia" w:ascii="仿宋" w:hAnsi="仿宋" w:eastAsia="仿宋" w:cs="仿宋"/>
          <w:b/>
          <w:sz w:val="28"/>
          <w:szCs w:val="28"/>
        </w:rPr>
      </w:pPr>
      <w:bookmarkStart w:id="514" w:name="_Toc10663"/>
      <w:bookmarkStart w:id="515" w:name="_Toc26689"/>
      <w:bookmarkStart w:id="516" w:name="_Toc23368"/>
      <w:bookmarkStart w:id="517" w:name="_Toc21830"/>
      <w:bookmarkStart w:id="518" w:name="_Toc42"/>
      <w:r>
        <w:rPr>
          <w:rFonts w:hint="eastAsia" w:ascii="仿宋" w:hAnsi="仿宋" w:eastAsia="仿宋" w:cs="仿宋"/>
          <w:b/>
          <w:sz w:val="28"/>
          <w:szCs w:val="28"/>
        </w:rPr>
        <w:t>2.10 合同转让和分包</w:t>
      </w:r>
      <w:bookmarkEnd w:id="514"/>
      <w:bookmarkEnd w:id="515"/>
      <w:bookmarkEnd w:id="516"/>
      <w:bookmarkEnd w:id="517"/>
      <w:bookmarkEnd w:id="518"/>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562" w:firstLineChars="200"/>
        <w:outlineLvl w:val="0"/>
        <w:rPr>
          <w:rFonts w:hint="eastAsia" w:ascii="仿宋" w:hAnsi="仿宋" w:eastAsia="仿宋" w:cs="仿宋"/>
          <w:b/>
          <w:sz w:val="28"/>
          <w:szCs w:val="28"/>
        </w:rPr>
      </w:pPr>
      <w:bookmarkStart w:id="519" w:name="_Toc14371"/>
      <w:bookmarkStart w:id="520" w:name="_Toc4720"/>
      <w:bookmarkStart w:id="521" w:name="_Toc32494"/>
      <w:bookmarkStart w:id="522" w:name="_Toc25571"/>
      <w:bookmarkStart w:id="523" w:name="_Toc26633"/>
      <w:r>
        <w:rPr>
          <w:rFonts w:hint="eastAsia" w:ascii="仿宋" w:hAnsi="仿宋" w:eastAsia="仿宋" w:cs="仿宋"/>
          <w:b/>
          <w:sz w:val="28"/>
          <w:szCs w:val="28"/>
        </w:rPr>
        <w:t>2.11 不可抗力</w:t>
      </w:r>
      <w:bookmarkEnd w:id="519"/>
      <w:bookmarkEnd w:id="520"/>
      <w:bookmarkEnd w:id="521"/>
      <w:bookmarkEnd w:id="522"/>
      <w:bookmarkEnd w:id="523"/>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2.11.1如果任何一方遭遇法律规定的不可抗力，致使合同履行受阻时，履行合同的期限应予延长，延长的期限应相当于不可抗力所影响的时间；</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2.11.2 因不可抗力致使不能实现合同目的的，当事人可以解除合同；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2.11.3 因不可抗力致使合同有变更必要的，双方当事人应在</w:t>
      </w:r>
      <w:r>
        <w:rPr>
          <w:rFonts w:hint="eastAsia" w:ascii="仿宋" w:hAnsi="仿宋" w:eastAsia="仿宋" w:cs="仿宋"/>
          <w:b/>
          <w:i/>
          <w:sz w:val="28"/>
          <w:szCs w:val="28"/>
          <w:u w:val="single"/>
        </w:rPr>
        <w:t>合同专用条款</w:t>
      </w:r>
      <w:r>
        <w:rPr>
          <w:rFonts w:hint="eastAsia" w:ascii="仿宋" w:hAnsi="仿宋" w:eastAsia="仿宋" w:cs="仿宋"/>
          <w:sz w:val="28"/>
          <w:szCs w:val="28"/>
        </w:rPr>
        <w:t>约定时间内以书面形式变更合同；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2.11.4受不可抗力影响的一方在不可抗力发生后，应在</w:t>
      </w:r>
      <w:r>
        <w:rPr>
          <w:rFonts w:hint="eastAsia" w:ascii="仿宋" w:hAnsi="仿宋" w:eastAsia="仿宋" w:cs="仿宋"/>
          <w:b/>
          <w:i/>
          <w:sz w:val="28"/>
          <w:szCs w:val="28"/>
          <w:u w:val="single"/>
        </w:rPr>
        <w:t>合同专用条款</w:t>
      </w:r>
      <w:r>
        <w:rPr>
          <w:rFonts w:hint="eastAsia" w:ascii="仿宋" w:hAnsi="仿宋" w:eastAsia="仿宋" w:cs="仿宋"/>
          <w:sz w:val="28"/>
          <w:szCs w:val="28"/>
        </w:rPr>
        <w:t>约定时间内以书面形式通知对方当事人，并在</w:t>
      </w:r>
      <w:r>
        <w:rPr>
          <w:rFonts w:hint="eastAsia" w:ascii="仿宋" w:hAnsi="仿宋" w:eastAsia="仿宋" w:cs="仿宋"/>
          <w:b/>
          <w:i/>
          <w:sz w:val="28"/>
          <w:szCs w:val="28"/>
          <w:u w:val="single"/>
        </w:rPr>
        <w:t>合同专用条款</w:t>
      </w:r>
      <w:r>
        <w:rPr>
          <w:rFonts w:hint="eastAsia" w:ascii="仿宋" w:hAnsi="仿宋" w:eastAsia="仿宋" w:cs="仿宋"/>
          <w:sz w:val="28"/>
          <w:szCs w:val="28"/>
        </w:rPr>
        <w:t>约定时间内，将有关部门出具的证明文件送达对方当事人。</w:t>
      </w:r>
    </w:p>
    <w:p>
      <w:pPr>
        <w:spacing w:line="560" w:lineRule="exact"/>
        <w:ind w:firstLine="562" w:firstLineChars="200"/>
        <w:outlineLvl w:val="0"/>
        <w:rPr>
          <w:rFonts w:hint="eastAsia" w:ascii="仿宋" w:hAnsi="仿宋" w:eastAsia="仿宋" w:cs="仿宋"/>
          <w:b/>
          <w:sz w:val="28"/>
          <w:szCs w:val="28"/>
        </w:rPr>
      </w:pPr>
      <w:bookmarkStart w:id="524" w:name="_Toc3638"/>
      <w:bookmarkStart w:id="525" w:name="_Toc25783"/>
      <w:bookmarkStart w:id="526" w:name="_Toc24465"/>
      <w:bookmarkStart w:id="527" w:name="_Toc14115"/>
      <w:bookmarkStart w:id="528" w:name="_Toc23854"/>
      <w:r>
        <w:rPr>
          <w:rFonts w:hint="eastAsia" w:ascii="仿宋" w:hAnsi="仿宋" w:eastAsia="仿宋" w:cs="仿宋"/>
          <w:b/>
          <w:sz w:val="28"/>
          <w:szCs w:val="28"/>
        </w:rPr>
        <w:t>2.12 税费</w:t>
      </w:r>
      <w:bookmarkEnd w:id="524"/>
      <w:bookmarkEnd w:id="525"/>
      <w:bookmarkEnd w:id="526"/>
      <w:bookmarkEnd w:id="527"/>
      <w:bookmarkEnd w:id="528"/>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与合同有关的一切税费，均按照中华人民共和国法律的相关规定缴纳。</w:t>
      </w:r>
    </w:p>
    <w:p>
      <w:pPr>
        <w:spacing w:line="560" w:lineRule="exact"/>
        <w:ind w:firstLine="562" w:firstLineChars="200"/>
        <w:outlineLvl w:val="0"/>
        <w:rPr>
          <w:rFonts w:hint="eastAsia" w:ascii="仿宋" w:hAnsi="仿宋" w:eastAsia="仿宋" w:cs="仿宋"/>
          <w:b/>
          <w:sz w:val="28"/>
          <w:szCs w:val="28"/>
        </w:rPr>
      </w:pPr>
      <w:bookmarkStart w:id="529" w:name="_Toc26883"/>
      <w:bookmarkStart w:id="530" w:name="_Toc25525"/>
      <w:bookmarkStart w:id="531" w:name="_Toc30105"/>
      <w:bookmarkStart w:id="532" w:name="_Toc7315"/>
      <w:bookmarkStart w:id="533" w:name="_Toc14814"/>
      <w:r>
        <w:rPr>
          <w:rFonts w:hint="eastAsia" w:ascii="仿宋" w:hAnsi="仿宋" w:eastAsia="仿宋" w:cs="仿宋"/>
          <w:b/>
          <w:sz w:val="28"/>
          <w:szCs w:val="28"/>
        </w:rPr>
        <w:t>2.13 乙方破产</w:t>
      </w:r>
      <w:bookmarkEnd w:id="529"/>
      <w:bookmarkEnd w:id="530"/>
      <w:bookmarkEnd w:id="531"/>
      <w:bookmarkEnd w:id="532"/>
      <w:bookmarkEnd w:id="533"/>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562" w:firstLineChars="200"/>
        <w:outlineLvl w:val="0"/>
        <w:rPr>
          <w:rFonts w:hint="eastAsia" w:ascii="仿宋" w:hAnsi="仿宋" w:eastAsia="仿宋" w:cs="仿宋"/>
          <w:b/>
          <w:sz w:val="28"/>
          <w:szCs w:val="28"/>
        </w:rPr>
      </w:pPr>
      <w:bookmarkStart w:id="534" w:name="_Toc2016"/>
      <w:bookmarkStart w:id="535" w:name="_Toc1123"/>
      <w:bookmarkStart w:id="536" w:name="_Toc23323"/>
      <w:r>
        <w:rPr>
          <w:rFonts w:hint="eastAsia" w:ascii="仿宋" w:hAnsi="仿宋" w:eastAsia="仿宋" w:cs="仿宋"/>
          <w:b/>
          <w:sz w:val="28"/>
          <w:szCs w:val="28"/>
        </w:rPr>
        <w:t>2.14 合同中止、终止</w:t>
      </w:r>
      <w:bookmarkEnd w:id="534"/>
      <w:bookmarkEnd w:id="535"/>
      <w:bookmarkEnd w:id="536"/>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2.14.1 双方当事人不得擅自中止或者终止合同；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562" w:firstLineChars="200"/>
        <w:outlineLvl w:val="0"/>
        <w:rPr>
          <w:rFonts w:hint="eastAsia" w:ascii="仿宋" w:hAnsi="仿宋" w:eastAsia="仿宋" w:cs="仿宋"/>
          <w:b/>
          <w:sz w:val="28"/>
          <w:szCs w:val="28"/>
        </w:rPr>
      </w:pPr>
      <w:bookmarkStart w:id="537" w:name="_Toc17363"/>
      <w:bookmarkStart w:id="538" w:name="_Toc1969"/>
      <w:bookmarkStart w:id="539" w:name="_Toc14525"/>
      <w:r>
        <w:rPr>
          <w:rFonts w:hint="eastAsia" w:ascii="仿宋" w:hAnsi="仿宋" w:eastAsia="仿宋" w:cs="仿宋"/>
          <w:b/>
          <w:sz w:val="28"/>
          <w:szCs w:val="28"/>
        </w:rPr>
        <w:t>2.15 检验和验收</w:t>
      </w:r>
      <w:bookmarkEnd w:id="537"/>
      <w:bookmarkEnd w:id="538"/>
      <w:bookmarkEnd w:id="539"/>
    </w:p>
    <w:p>
      <w:pPr>
        <w:tabs>
          <w:tab w:val="left" w:pos="360"/>
          <w:tab w:val="left" w:pos="540"/>
          <w:tab w:val="left" w:pos="108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2.15.1 货物交付前，乙方应对货物的质量、数量等方面进行详细、全面的检验，并向甲方出具证明货物符合合同约定的文件；货物交付时，甲方在规定时间内组织验收，并可依法邀请相关方参加，验收应出具验收书；</w:t>
      </w:r>
    </w:p>
    <w:p>
      <w:pPr>
        <w:tabs>
          <w:tab w:val="left" w:pos="360"/>
          <w:tab w:val="left" w:pos="540"/>
          <w:tab w:val="left" w:pos="108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560" w:lineRule="exact"/>
        <w:ind w:firstLine="562" w:firstLineChars="200"/>
        <w:outlineLvl w:val="0"/>
        <w:rPr>
          <w:rFonts w:hint="eastAsia" w:ascii="仿宋" w:hAnsi="仿宋" w:eastAsia="仿宋" w:cs="仿宋"/>
          <w:b/>
          <w:sz w:val="28"/>
          <w:szCs w:val="28"/>
        </w:rPr>
      </w:pPr>
      <w:bookmarkStart w:id="540" w:name="_Toc9808"/>
      <w:bookmarkStart w:id="541" w:name="_Toc31892"/>
      <w:bookmarkStart w:id="542" w:name="_Toc12666"/>
      <w:bookmarkStart w:id="543" w:name="_Toc25198"/>
      <w:bookmarkStart w:id="544" w:name="_Toc2308"/>
      <w:r>
        <w:rPr>
          <w:rFonts w:hint="eastAsia" w:ascii="仿宋" w:hAnsi="仿宋" w:eastAsia="仿宋" w:cs="仿宋"/>
          <w:b/>
          <w:sz w:val="28"/>
          <w:szCs w:val="28"/>
        </w:rPr>
        <w:t>2.16 通知和送达</w:t>
      </w:r>
      <w:bookmarkEnd w:id="540"/>
      <w:bookmarkEnd w:id="541"/>
      <w:bookmarkEnd w:id="542"/>
      <w:bookmarkEnd w:id="543"/>
      <w:bookmarkEnd w:id="544"/>
    </w:p>
    <w:p>
      <w:pPr>
        <w:spacing w:line="560" w:lineRule="exact"/>
        <w:ind w:firstLine="560" w:firstLineChars="200"/>
        <w:rPr>
          <w:rFonts w:hint="eastAsia" w:ascii="仿宋" w:hAnsi="仿宋" w:eastAsia="仿宋" w:cs="仿宋"/>
          <w:sz w:val="28"/>
          <w:szCs w:val="28"/>
        </w:rPr>
      </w:pPr>
      <w:bookmarkStart w:id="545" w:name="_Toc27674"/>
      <w:bookmarkStart w:id="546" w:name="_Toc18401"/>
      <w:r>
        <w:rPr>
          <w:rFonts w:hint="eastAsia" w:ascii="仿宋" w:hAnsi="仿宋" w:eastAsia="仿宋" w:cs="仿宋"/>
          <w:sz w:val="28"/>
          <w:szCs w:val="28"/>
        </w:rPr>
        <w:t xml:space="preserve">2.17.1任何一方因履行合同而以合同第一部分尾部所列明的传真或电子邮件 </w:t>
      </w:r>
      <w:r>
        <w:rPr>
          <w:rFonts w:hint="eastAsia" w:ascii="仿宋" w:hAnsi="仿宋" w:eastAsia="仿宋" w:cs="仿宋"/>
          <w:sz w:val="28"/>
          <w:szCs w:val="28"/>
          <w:u w:val="single"/>
        </w:rPr>
        <w:t xml:space="preserve">       </w:t>
      </w:r>
      <w:r>
        <w:rPr>
          <w:rFonts w:hint="eastAsia" w:ascii="仿宋" w:hAnsi="仿宋" w:eastAsia="仿宋" w:cs="仿宋"/>
          <w:sz w:val="28"/>
          <w:szCs w:val="28"/>
        </w:rPr>
        <w:t>发出的所有通知、文件、材料，均视为已向对方当事人送达；任何一方变更上述送达方式或者地址的，应于</w:t>
      </w:r>
      <w:r>
        <w:rPr>
          <w:rFonts w:hint="eastAsia" w:ascii="仿宋" w:hAnsi="仿宋" w:eastAsia="仿宋" w:cs="仿宋"/>
          <w:sz w:val="28"/>
          <w:szCs w:val="28"/>
          <w:u w:val="single"/>
        </w:rPr>
        <w:t>3</w:t>
      </w:r>
      <w:r>
        <w:rPr>
          <w:rFonts w:hint="eastAsia" w:ascii="仿宋" w:hAnsi="仿宋" w:eastAsia="仿宋" w:cs="仿宋"/>
          <w:sz w:val="28"/>
          <w:szCs w:val="28"/>
        </w:rPr>
        <w:t>个工作日内书面通知对方当事人，在对方当事人收到有关变更通知之前，变更前的约定送达方式或者地址仍视为有效。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5"/>
      <w:bookmarkEnd w:id="546"/>
    </w:p>
    <w:p>
      <w:pPr>
        <w:spacing w:line="560" w:lineRule="exact"/>
        <w:ind w:firstLine="562" w:firstLineChars="200"/>
        <w:outlineLvl w:val="0"/>
        <w:rPr>
          <w:rFonts w:hint="eastAsia" w:ascii="仿宋" w:hAnsi="仿宋" w:eastAsia="仿宋" w:cs="仿宋"/>
          <w:b/>
          <w:sz w:val="28"/>
          <w:szCs w:val="28"/>
        </w:rPr>
      </w:pPr>
      <w:bookmarkStart w:id="547" w:name="_Toc27644"/>
      <w:bookmarkStart w:id="548" w:name="_Toc12254"/>
      <w:bookmarkStart w:id="549" w:name="_Toc5063"/>
      <w:bookmarkStart w:id="550" w:name="_Toc20808"/>
      <w:bookmarkStart w:id="551" w:name="_Toc28906"/>
      <w:r>
        <w:rPr>
          <w:rFonts w:hint="eastAsia" w:ascii="仿宋" w:hAnsi="仿宋" w:eastAsia="仿宋" w:cs="仿宋"/>
          <w:b/>
          <w:sz w:val="28"/>
          <w:szCs w:val="28"/>
        </w:rPr>
        <w:t>2.17 合同使用的文字和适用的法律</w:t>
      </w:r>
      <w:bookmarkEnd w:id="547"/>
      <w:bookmarkEnd w:id="548"/>
      <w:bookmarkEnd w:id="549"/>
      <w:bookmarkEnd w:id="550"/>
      <w:bookmarkEnd w:id="551"/>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2.17.1 合同使用汉语书就、变更和解释；</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2.17.2 合同适用中华人民共和国法律。</w:t>
      </w:r>
    </w:p>
    <w:p>
      <w:pPr>
        <w:spacing w:line="560" w:lineRule="exact"/>
        <w:ind w:firstLine="562" w:firstLineChars="200"/>
        <w:outlineLvl w:val="0"/>
        <w:rPr>
          <w:rFonts w:hint="eastAsia" w:ascii="仿宋" w:hAnsi="仿宋" w:eastAsia="仿宋" w:cs="仿宋"/>
          <w:b/>
          <w:sz w:val="28"/>
          <w:szCs w:val="28"/>
        </w:rPr>
      </w:pPr>
      <w:bookmarkStart w:id="552" w:name="_Toc30599"/>
      <w:bookmarkStart w:id="553" w:name="_Toc18540"/>
      <w:bookmarkStart w:id="554" w:name="_Toc4355"/>
      <w:r>
        <w:rPr>
          <w:rFonts w:hint="eastAsia" w:ascii="仿宋" w:hAnsi="仿宋" w:eastAsia="仿宋" w:cs="仿宋"/>
          <w:b/>
          <w:sz w:val="28"/>
          <w:szCs w:val="28"/>
        </w:rPr>
        <w:t>2.18 计量单位</w:t>
      </w:r>
      <w:bookmarkEnd w:id="552"/>
      <w:bookmarkEnd w:id="553"/>
      <w:bookmarkEnd w:id="554"/>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除技术规范中另有规定外,合同的计量单位均使用国家法定计量单位。</w:t>
      </w:r>
    </w:p>
    <w:p>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2.19合同份数</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合同份数按</w:t>
      </w:r>
      <w:r>
        <w:rPr>
          <w:rFonts w:hint="eastAsia" w:ascii="仿宋" w:hAnsi="仿宋" w:eastAsia="仿宋" w:cs="仿宋"/>
          <w:b/>
          <w:i/>
          <w:sz w:val="28"/>
          <w:szCs w:val="28"/>
          <w:u w:val="single"/>
        </w:rPr>
        <w:t>合同专用条款</w:t>
      </w:r>
      <w:r>
        <w:rPr>
          <w:rFonts w:hint="eastAsia" w:ascii="仿宋" w:hAnsi="仿宋" w:eastAsia="仿宋" w:cs="仿宋"/>
          <w:sz w:val="28"/>
          <w:szCs w:val="28"/>
        </w:rPr>
        <w:t>规定，每份均具有同等法律效力。</w:t>
      </w:r>
    </w:p>
    <w:p>
      <w:pPr>
        <w:spacing w:line="560" w:lineRule="exact"/>
        <w:outlineLvl w:val="0"/>
        <w:rPr>
          <w:rFonts w:hint="eastAsia" w:ascii="仿宋" w:hAnsi="仿宋" w:eastAsia="仿宋" w:cs="仿宋"/>
          <w:kern w:val="0"/>
          <w:sz w:val="28"/>
          <w:szCs w:val="28"/>
        </w:rPr>
      </w:pPr>
    </w:p>
    <w:p>
      <w:pPr>
        <w:spacing w:line="560" w:lineRule="exact"/>
        <w:outlineLvl w:val="0"/>
        <w:rPr>
          <w:rFonts w:hint="eastAsia" w:ascii="仿宋" w:hAnsi="仿宋" w:eastAsia="仿宋" w:cs="仿宋"/>
          <w:kern w:val="0"/>
          <w:sz w:val="28"/>
          <w:szCs w:val="28"/>
        </w:rPr>
      </w:pPr>
    </w:p>
    <w:p>
      <w:pPr>
        <w:spacing w:line="560" w:lineRule="exact"/>
        <w:outlineLvl w:val="0"/>
        <w:rPr>
          <w:rFonts w:hint="eastAsia" w:ascii="仿宋" w:hAnsi="仿宋" w:eastAsia="仿宋" w:cs="仿宋"/>
          <w:kern w:val="0"/>
          <w:sz w:val="28"/>
          <w:szCs w:val="28"/>
        </w:rPr>
      </w:pPr>
    </w:p>
    <w:p>
      <w:pPr>
        <w:pStyle w:val="23"/>
        <w:rPr>
          <w:rFonts w:hint="eastAsia" w:ascii="仿宋" w:hAnsi="仿宋" w:eastAsia="仿宋" w:cs="仿宋"/>
        </w:rPr>
      </w:pPr>
    </w:p>
    <w:p>
      <w:pPr>
        <w:pStyle w:val="47"/>
        <w:rPr>
          <w:rFonts w:hint="eastAsia" w:ascii="仿宋" w:hAnsi="仿宋" w:eastAsia="仿宋" w:cs="仿宋"/>
        </w:rPr>
      </w:pPr>
    </w:p>
    <w:p>
      <w:pPr>
        <w:rPr>
          <w:rFonts w:hint="eastAsia" w:ascii="仿宋" w:hAnsi="仿宋" w:eastAsia="仿宋" w:cs="仿宋"/>
        </w:rPr>
      </w:pPr>
    </w:p>
    <w:p>
      <w:pPr>
        <w:pStyle w:val="2"/>
        <w:rPr>
          <w:rFonts w:hint="eastAsia" w:ascii="仿宋" w:eastAsia="仿宋" w:cs="仿宋"/>
        </w:rPr>
      </w:pPr>
    </w:p>
    <w:p>
      <w:pPr>
        <w:rPr>
          <w:rFonts w:hint="eastAsia" w:ascii="仿宋" w:hAnsi="仿宋" w:eastAsia="仿宋" w:cs="仿宋"/>
        </w:rPr>
      </w:pPr>
    </w:p>
    <w:p>
      <w:pPr>
        <w:pStyle w:val="2"/>
        <w:rPr>
          <w:rFonts w:hint="eastAsia" w:ascii="仿宋" w:eastAsia="仿宋" w:cs="仿宋"/>
        </w:rPr>
      </w:pPr>
    </w:p>
    <w:p>
      <w:pPr>
        <w:rPr>
          <w:rFonts w:hint="eastAsia" w:ascii="仿宋" w:hAnsi="仿宋" w:eastAsia="仿宋" w:cs="仿宋"/>
        </w:rPr>
      </w:pPr>
    </w:p>
    <w:p>
      <w:pPr>
        <w:pStyle w:val="2"/>
        <w:rPr>
          <w:rFonts w:hint="eastAsia" w:ascii="仿宋" w:eastAsia="仿宋" w:cs="仿宋"/>
        </w:rPr>
      </w:pPr>
    </w:p>
    <w:p>
      <w:pPr>
        <w:rPr>
          <w:rFonts w:hint="eastAsia" w:ascii="仿宋" w:hAnsi="仿宋" w:eastAsia="仿宋" w:cs="仿宋"/>
        </w:rPr>
      </w:pPr>
    </w:p>
    <w:p>
      <w:pPr>
        <w:pStyle w:val="2"/>
        <w:rPr>
          <w:rFonts w:hint="eastAsia" w:ascii="仿宋" w:eastAsia="仿宋" w:cs="仿宋"/>
        </w:rPr>
      </w:pPr>
    </w:p>
    <w:p>
      <w:pPr>
        <w:rPr>
          <w:rFonts w:hint="eastAsia" w:ascii="仿宋" w:hAnsi="仿宋" w:eastAsia="仿宋" w:cs="仿宋"/>
        </w:rPr>
      </w:pPr>
    </w:p>
    <w:p>
      <w:pPr>
        <w:pStyle w:val="23"/>
        <w:rPr>
          <w:rFonts w:hint="eastAsia" w:ascii="仿宋" w:hAnsi="仿宋" w:eastAsia="仿宋" w:cs="仿宋"/>
        </w:rPr>
      </w:pPr>
    </w:p>
    <w:p>
      <w:pPr>
        <w:spacing w:line="560" w:lineRule="exact"/>
        <w:jc w:val="center"/>
        <w:outlineLvl w:val="0"/>
        <w:rPr>
          <w:rFonts w:hint="eastAsia" w:ascii="仿宋" w:hAnsi="仿宋" w:eastAsia="仿宋" w:cs="仿宋"/>
          <w:b/>
          <w:sz w:val="28"/>
          <w:szCs w:val="28"/>
        </w:rPr>
      </w:pPr>
      <w:r>
        <w:rPr>
          <w:rFonts w:hint="eastAsia" w:ascii="仿宋" w:hAnsi="仿宋" w:eastAsia="仿宋" w:cs="仿宋"/>
          <w:b/>
          <w:sz w:val="28"/>
          <w:szCs w:val="28"/>
        </w:rPr>
        <w:t>第三部分  合同专用条款</w:t>
      </w:r>
    </w:p>
    <w:p>
      <w:pPr>
        <w:spacing w:line="560" w:lineRule="exact"/>
        <w:ind w:left="-420" w:leftChars="-200" w:right="-420" w:rightChars="-200" w:firstLine="560" w:firstLineChars="200"/>
        <w:rPr>
          <w:rFonts w:hint="eastAsia" w:ascii="仿宋" w:hAnsi="仿宋" w:eastAsia="仿宋" w:cs="仿宋"/>
          <w:sz w:val="28"/>
          <w:szCs w:val="28"/>
        </w:rPr>
      </w:pPr>
      <w:r>
        <w:rPr>
          <w:rFonts w:hint="eastAsia" w:ascii="仿宋" w:hAnsi="仿宋" w:eastAsia="仿宋" w:cs="仿宋"/>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497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71"/>
        <w:gridCol w:w="79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b/>
                <w:sz w:val="24"/>
                <w:szCs w:val="24"/>
              </w:rPr>
            </w:pPr>
            <w:r>
              <w:rPr>
                <w:rFonts w:hint="eastAsia" w:ascii="仿宋" w:hAnsi="仿宋" w:eastAsia="仿宋" w:cs="仿宋"/>
                <w:b/>
                <w:sz w:val="24"/>
                <w:szCs w:val="24"/>
              </w:rPr>
              <w:t>条款号</w:t>
            </w:r>
          </w:p>
        </w:tc>
        <w:tc>
          <w:tcPr>
            <w:tcW w:w="4355" w:type="pct"/>
            <w:vAlign w:val="center"/>
          </w:tcPr>
          <w:p>
            <w:pPr>
              <w:wordWrap w:val="0"/>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 xml:space="preserve">1.5.1 </w:t>
            </w:r>
          </w:p>
        </w:tc>
        <w:tc>
          <w:tcPr>
            <w:tcW w:w="4355" w:type="pct"/>
            <w:vAlign w:val="center"/>
          </w:tcPr>
          <w:p>
            <w:pPr>
              <w:wordWrap w:val="0"/>
              <w:spacing w:line="360" w:lineRule="auto"/>
              <w:jc w:val="left"/>
              <w:rPr>
                <w:rFonts w:hint="eastAsia" w:ascii="仿宋" w:hAnsi="仿宋" w:eastAsia="仿宋" w:cs="仿宋"/>
                <w:sz w:val="24"/>
                <w:szCs w:val="24"/>
              </w:rPr>
            </w:pPr>
            <w:r>
              <w:rPr>
                <w:rFonts w:hint="eastAsia" w:ascii="仿宋" w:hAnsi="仿宋" w:eastAsia="仿宋" w:cs="仿宋"/>
                <w:sz w:val="24"/>
                <w:szCs w:val="24"/>
              </w:rPr>
              <w:t>预付款：合同签订后，在合同生效后以及具备实施条件后的7个工作日内，采购单位根据供应商提供的等额正规发票，按财政部门规定的支付方式向供应商支付合同总额的40%到合同约定的供应商账户。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1.5.2</w:t>
            </w:r>
          </w:p>
        </w:tc>
        <w:tc>
          <w:tcPr>
            <w:tcW w:w="4355" w:type="pct"/>
            <w:vAlign w:val="center"/>
          </w:tcPr>
          <w:p>
            <w:pPr>
              <w:wordWrap w:val="0"/>
              <w:spacing w:line="360" w:lineRule="auto"/>
              <w:jc w:val="left"/>
              <w:rPr>
                <w:rFonts w:hint="eastAsia" w:ascii="仿宋" w:hAnsi="仿宋" w:eastAsia="仿宋" w:cs="仿宋"/>
                <w:sz w:val="24"/>
                <w:szCs w:val="24"/>
              </w:rPr>
            </w:pPr>
            <w:r>
              <w:rPr>
                <w:rFonts w:hint="eastAsia" w:ascii="仿宋" w:hAnsi="仿宋" w:eastAsia="仿宋" w:cs="仿宋"/>
                <w:sz w:val="24"/>
                <w:szCs w:val="24"/>
              </w:rPr>
              <w:t>甲方要求乙方提供预付款担保的，乙方应在甲方支付预付款7天前提供预付款担保。</w:t>
            </w:r>
          </w:p>
          <w:p>
            <w:pPr>
              <w:wordWrap w:val="0"/>
              <w:spacing w:line="360" w:lineRule="auto"/>
              <w:jc w:val="left"/>
              <w:rPr>
                <w:rFonts w:hint="eastAsia" w:ascii="仿宋" w:hAnsi="仿宋" w:eastAsia="仿宋" w:cs="仿宋"/>
                <w:sz w:val="24"/>
                <w:szCs w:val="24"/>
              </w:rPr>
            </w:pPr>
            <w:r>
              <w:rPr>
                <w:rFonts w:hint="eastAsia" w:ascii="仿宋" w:hAnsi="仿宋" w:eastAsia="仿宋" w:cs="仿宋"/>
                <w:sz w:val="24"/>
                <w:szCs w:val="24"/>
              </w:rPr>
              <w:t>预付款担保的形式应当以支票、汇票、本票或者金融机构、担保机构出具的保函等非现金形式提交，鼓励和支持供应商以银行、保险公司出具的保函形式提供预付款担保。采购人不得拒收预付款担保函。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1.6.2</w:t>
            </w:r>
          </w:p>
        </w:tc>
        <w:tc>
          <w:tcPr>
            <w:tcW w:w="4355" w:type="pct"/>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完成所有设备到货安装调试并初验通过，设备正常运行3个月并终验合格后7个工作日内，按财政部门规定的支付方式支付60%合同款。最终费用以审计为准。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1.7.1</w:t>
            </w:r>
          </w:p>
        </w:tc>
        <w:tc>
          <w:tcPr>
            <w:tcW w:w="4355" w:type="pct"/>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货物或服务的交付（实施）时间（期限）：自2024年  月    日至2024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644" w:type="pct"/>
            <w:tcBorders>
              <w:left w:val="single" w:color="auto" w:sz="4" w:space="0"/>
              <w:bottom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1.7.2</w:t>
            </w:r>
          </w:p>
        </w:tc>
        <w:tc>
          <w:tcPr>
            <w:tcW w:w="4355" w:type="pct"/>
            <w:tcBorders>
              <w:bottom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货物或服务的交付（实施）地点（地域范围）：</w:t>
            </w:r>
            <w:r>
              <w:rPr>
                <w:rFonts w:hint="eastAsia" w:ascii="仿宋" w:hAnsi="仿宋" w:eastAsia="仿宋" w:cs="仿宋"/>
                <w:sz w:val="24"/>
                <w:szCs w:val="24"/>
                <w:u w:val="single"/>
              </w:rPr>
              <w:t xml:space="preserve"> 舟山市公安局普陀区分局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644" w:type="pct"/>
            <w:tcBorders>
              <w:top w:val="single" w:color="auto" w:sz="4" w:space="0"/>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1.7.3</w:t>
            </w:r>
          </w:p>
        </w:tc>
        <w:tc>
          <w:tcPr>
            <w:tcW w:w="4355" w:type="pct"/>
            <w:tcBorders>
              <w:top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送货上门，乙方负责安装调试，经履约验收合格后交付甲方使用。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1.8.7</w:t>
            </w:r>
          </w:p>
        </w:tc>
        <w:tc>
          <w:tcPr>
            <w:tcW w:w="4355" w:type="pct"/>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1．合同签订后，任何一方不履行或不完全履行本合同约定条款的，即构成违约。任何一方违约时，守约方有权要求违约方继续履行本合同，同时有权要求违约方支付违约金。</w:t>
            </w:r>
          </w:p>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4．乙方逾期履行合同的，自逾期之日起，向甲方每日偿付合同总价千分之零点五（0.5‰）的违约金。</w:t>
            </w:r>
          </w:p>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6．上述第6项应退回或更换的货物，由乙方在一周内运离安装地点，所需费用由乙方承担。如乙方在二周内不处理（搬走）的，视为乙方放弃，甲方有权自行处置（包括废物处理）。</w:t>
            </w:r>
          </w:p>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7．乙方未按采购文件及合同约定履行</w:t>
            </w:r>
            <w:bookmarkStart w:id="561" w:name="_GoBack"/>
            <w:bookmarkEnd w:id="561"/>
            <w:r>
              <w:rPr>
                <w:rFonts w:hint="eastAsia" w:ascii="仿宋" w:hAnsi="仿宋" w:eastAsia="仿宋" w:cs="仿宋"/>
                <w:sz w:val="24"/>
                <w:szCs w:val="24"/>
              </w:rPr>
              <w:t>质保义务的，每次应向甲方偿付</w:t>
            </w:r>
            <w:r>
              <w:rPr>
                <w:rFonts w:hint="eastAsia" w:ascii="仿宋" w:hAnsi="仿宋" w:eastAsia="仿宋" w:cs="仿宋"/>
                <w:sz w:val="24"/>
                <w:szCs w:val="24"/>
                <w:u w:val="single"/>
              </w:rPr>
              <w:t xml:space="preserve">2000 </w:t>
            </w:r>
            <w:r>
              <w:rPr>
                <w:rFonts w:hint="eastAsia" w:ascii="仿宋" w:hAnsi="仿宋" w:eastAsia="仿宋" w:cs="仿宋"/>
                <w:sz w:val="24"/>
                <w:szCs w:val="24"/>
              </w:rPr>
              <w:t>元的违约金，并赔偿甲方的损失；同时，乙方应继续履行质保义务。</w:t>
            </w:r>
          </w:p>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1.9.2</w:t>
            </w:r>
          </w:p>
        </w:tc>
        <w:tc>
          <w:tcPr>
            <w:tcW w:w="4355" w:type="pct"/>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2.3.2</w:t>
            </w:r>
          </w:p>
        </w:tc>
        <w:tc>
          <w:tcPr>
            <w:tcW w:w="4355" w:type="pct"/>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2.5</w:t>
            </w:r>
          </w:p>
        </w:tc>
        <w:tc>
          <w:tcPr>
            <w:tcW w:w="4355" w:type="pct"/>
            <w:vAlign w:val="center"/>
          </w:tcPr>
          <w:p>
            <w:pPr>
              <w:wordWrap w:val="0"/>
              <w:spacing w:line="560" w:lineRule="exact"/>
              <w:ind w:right="59" w:rightChars="28"/>
              <w:jc w:val="left"/>
              <w:rPr>
                <w:rFonts w:hint="eastAsia" w:ascii="仿宋" w:hAnsi="仿宋" w:eastAsia="仿宋" w:cs="仿宋"/>
                <w:sz w:val="24"/>
                <w:szCs w:val="24"/>
              </w:rPr>
            </w:pPr>
            <w:r>
              <w:rPr>
                <w:rFonts w:hint="eastAsia" w:ascii="仿宋" w:hAnsi="仿宋" w:eastAsia="仿宋" w:cs="仿宋"/>
                <w:sz w:val="24"/>
                <w:szCs w:val="24"/>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2.11.3</w:t>
            </w:r>
          </w:p>
        </w:tc>
        <w:tc>
          <w:tcPr>
            <w:tcW w:w="4355" w:type="pct"/>
            <w:vAlign w:val="center"/>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因不可抗力致使合同有变更必要的，双方当事人应在不可抗力事件发生后30日内以书面形式变更合同。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 xml:space="preserve">2.11.4 </w:t>
            </w:r>
          </w:p>
        </w:tc>
        <w:tc>
          <w:tcPr>
            <w:tcW w:w="4355" w:type="pct"/>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受不可抗力影响的一方在不可抗力发生后，应在不可抗力事件发生后1天内以书面形式通知对方当事人，并在不可抗力事件发生后7天内，将有关部门出具的证明文件送达对方当事人。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44" w:type="pct"/>
            <w:tcBorders>
              <w:left w:val="single" w:color="auto" w:sz="4" w:space="0"/>
            </w:tcBorders>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2.19</w:t>
            </w:r>
          </w:p>
        </w:tc>
        <w:tc>
          <w:tcPr>
            <w:tcW w:w="4355" w:type="pct"/>
          </w:tcPr>
          <w:p>
            <w:pPr>
              <w:wordWrap w:val="0"/>
              <w:spacing w:line="560" w:lineRule="exact"/>
              <w:jc w:val="left"/>
              <w:rPr>
                <w:rFonts w:hint="eastAsia" w:ascii="仿宋" w:hAnsi="仿宋" w:eastAsia="仿宋" w:cs="仿宋"/>
                <w:sz w:val="24"/>
                <w:szCs w:val="24"/>
              </w:rPr>
            </w:pPr>
            <w:r>
              <w:rPr>
                <w:rFonts w:hint="eastAsia" w:ascii="仿宋" w:hAnsi="仿宋" w:eastAsia="仿宋" w:cs="仿宋"/>
                <w:sz w:val="24"/>
                <w:szCs w:val="24"/>
              </w:rPr>
              <w:t>合同份数按甲方执陆份，乙方执贰份规定，每份均具有同等法律效力。</w:t>
            </w:r>
          </w:p>
        </w:tc>
      </w:tr>
    </w:tbl>
    <w:p>
      <w:pPr>
        <w:wordWrap w:val="0"/>
        <w:spacing w:line="360" w:lineRule="auto"/>
        <w:ind w:left="-420" w:leftChars="-200" w:right="-420" w:rightChars="-200" w:firstLine="480" w:firstLineChars="200"/>
        <w:jc w:val="left"/>
        <w:rPr>
          <w:rFonts w:hint="eastAsia" w:ascii="仿宋" w:hAnsi="仿宋" w:eastAsia="仿宋" w:cs="仿宋"/>
          <w:sz w:val="24"/>
        </w:rPr>
      </w:pPr>
    </w:p>
    <w:p>
      <w:pPr>
        <w:wordWrap w:val="0"/>
        <w:jc w:val="left"/>
        <w:rPr>
          <w:rFonts w:hint="eastAsia" w:ascii="仿宋" w:hAnsi="仿宋" w:eastAsia="仿宋" w:cs="仿宋"/>
        </w:rPr>
      </w:pPr>
    </w:p>
    <w:p>
      <w:pPr>
        <w:spacing w:line="540" w:lineRule="exact"/>
        <w:contextualSpacing/>
        <w:jc w:val="center"/>
        <w:rPr>
          <w:rFonts w:hint="eastAsia" w:ascii="仿宋" w:hAnsi="仿宋" w:eastAsia="仿宋" w:cs="仿宋"/>
          <w:b/>
          <w:sz w:val="28"/>
          <w:szCs w:val="28"/>
        </w:rPr>
      </w:pPr>
    </w:p>
    <w:p>
      <w:pPr>
        <w:spacing w:line="540" w:lineRule="exact"/>
        <w:contextualSpacing/>
        <w:jc w:val="center"/>
        <w:rPr>
          <w:rFonts w:hint="eastAsia" w:ascii="仿宋" w:hAnsi="仿宋" w:eastAsia="仿宋" w:cs="仿宋"/>
          <w:b/>
          <w:sz w:val="28"/>
          <w:szCs w:val="28"/>
        </w:rPr>
      </w:pPr>
    </w:p>
    <w:p>
      <w:pPr>
        <w:spacing w:line="540" w:lineRule="exact"/>
        <w:contextualSpacing/>
        <w:jc w:val="center"/>
        <w:rPr>
          <w:rFonts w:hint="eastAsia" w:ascii="仿宋" w:hAnsi="仿宋" w:eastAsia="仿宋" w:cs="仿宋"/>
          <w:b/>
          <w:sz w:val="28"/>
          <w:szCs w:val="28"/>
        </w:rPr>
      </w:pPr>
    </w:p>
    <w:p>
      <w:pPr>
        <w:rPr>
          <w:rFonts w:hint="eastAsia" w:ascii="仿宋" w:hAnsi="仿宋" w:eastAsia="仿宋" w:cs="仿宋"/>
        </w:rPr>
      </w:pPr>
    </w:p>
    <w:p>
      <w:pPr>
        <w:pStyle w:val="758"/>
        <w:rPr>
          <w:rFonts w:hint="eastAsia" w:ascii="仿宋" w:hAnsi="仿宋" w:eastAsia="仿宋" w:cs="仿宋"/>
          <w:sz w:val="21"/>
          <w:szCs w:val="21"/>
        </w:rPr>
      </w:pPr>
    </w:p>
    <w:p>
      <w:pPr>
        <w:pStyle w:val="26"/>
        <w:ind w:firstLine="0" w:firstLineChars="0"/>
        <w:rPr>
          <w:rFonts w:hint="eastAsia" w:ascii="仿宋" w:hAnsi="仿宋" w:cs="仿宋"/>
        </w:rPr>
      </w:pPr>
    </w:p>
    <w:p>
      <w:pPr>
        <w:pStyle w:val="26"/>
        <w:ind w:firstLine="402"/>
        <w:rPr>
          <w:rFonts w:hint="eastAsia" w:ascii="仿宋" w:hAnsi="仿宋" w:cs="仿宋"/>
        </w:rPr>
      </w:pPr>
    </w:p>
    <w:p>
      <w:pPr>
        <w:pStyle w:val="26"/>
        <w:ind w:firstLine="402"/>
        <w:rPr>
          <w:rFonts w:hint="eastAsia" w:ascii="仿宋" w:hAnsi="仿宋" w:cs="仿宋"/>
        </w:rPr>
      </w:pPr>
    </w:p>
    <w:p>
      <w:pPr>
        <w:pStyle w:val="26"/>
        <w:ind w:firstLine="402"/>
        <w:rPr>
          <w:rFonts w:hint="eastAsia" w:ascii="仿宋" w:hAnsi="仿宋" w:cs="仿宋"/>
        </w:rPr>
      </w:pPr>
    </w:p>
    <w:p>
      <w:pPr>
        <w:pStyle w:val="26"/>
        <w:ind w:firstLine="402"/>
        <w:rPr>
          <w:rFonts w:hint="eastAsia" w:ascii="仿宋" w:hAnsi="仿宋" w:cs="仿宋"/>
        </w:rPr>
      </w:pPr>
    </w:p>
    <w:p>
      <w:pPr>
        <w:widowControl/>
        <w:jc w:val="left"/>
        <w:rPr>
          <w:rFonts w:hint="eastAsia" w:ascii="仿宋" w:hAnsi="仿宋" w:eastAsia="仿宋" w:cs="仿宋"/>
          <w:sz w:val="24"/>
          <w:szCs w:val="24"/>
        </w:rPr>
      </w:pPr>
    </w:p>
    <w:p>
      <w:pPr>
        <w:snapToGrid w:val="0"/>
        <w:spacing w:line="360" w:lineRule="auto"/>
        <w:jc w:val="center"/>
        <w:rPr>
          <w:rFonts w:hint="eastAsia" w:ascii="仿宋" w:hAnsi="仿宋" w:eastAsia="仿宋" w:cs="仿宋"/>
          <w:b/>
          <w:sz w:val="36"/>
        </w:rPr>
      </w:pPr>
      <w:r>
        <w:rPr>
          <w:rFonts w:hint="eastAsia" w:ascii="仿宋" w:hAnsi="仿宋" w:eastAsia="仿宋" w:cs="仿宋"/>
          <w:b/>
          <w:sz w:val="36"/>
        </w:rPr>
        <w:t>第六部分  应提交的有关格式范例</w:t>
      </w:r>
    </w:p>
    <w:p>
      <w:pPr>
        <w:spacing w:line="360" w:lineRule="auto"/>
        <w:outlineLvl w:val="0"/>
        <w:rPr>
          <w:rFonts w:hint="eastAsia" w:ascii="仿宋" w:hAnsi="仿宋" w:eastAsia="仿宋" w:cs="仿宋"/>
          <w:sz w:val="24"/>
        </w:rPr>
      </w:pPr>
    </w:p>
    <w:p>
      <w:pPr>
        <w:spacing w:line="360" w:lineRule="auto"/>
        <w:outlineLvl w:val="0"/>
        <w:rPr>
          <w:rFonts w:hint="eastAsia" w:ascii="仿宋" w:hAnsi="仿宋" w:eastAsia="仿宋" w:cs="仿宋"/>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（2）联合协议（若有）……………………………………………………（页码）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（3）落实政府采购政策需满足的资格要求（若有）……………………（页码）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（4）本项目的特定资格要求（若有）……………………………………（页码）</w:t>
      </w:r>
    </w:p>
    <w:p>
      <w:pPr>
        <w:snapToGrid w:val="0"/>
        <w:spacing w:line="360" w:lineRule="auto"/>
        <w:rPr>
          <w:rFonts w:hint="eastAsia" w:ascii="仿宋" w:hAnsi="仿宋" w:eastAsia="仿宋" w:cs="仿宋"/>
          <w:kern w:val="0"/>
          <w:sz w:val="24"/>
        </w:rPr>
      </w:pPr>
    </w:p>
    <w:p>
      <w:pPr>
        <w:pStyle w:val="25"/>
        <w:snapToGrid w:val="0"/>
        <w:spacing w:line="360" w:lineRule="auto"/>
        <w:ind w:right="-512" w:firstLine="0" w:firstLineChars="0"/>
        <w:rPr>
          <w:rFonts w:hint="eastAsia" w:ascii="仿宋" w:hAnsi="仿宋" w:eastAsia="仿宋" w:cs="仿宋"/>
        </w:rPr>
      </w:pPr>
    </w:p>
    <w:p>
      <w:pPr>
        <w:spacing w:line="360" w:lineRule="auto"/>
        <w:outlineLvl w:val="0"/>
        <w:rPr>
          <w:rFonts w:hint="eastAsia" w:ascii="仿宋" w:hAnsi="仿宋" w:eastAsia="仿宋" w:cs="仿宋"/>
          <w:sz w:val="24"/>
        </w:rPr>
        <w:sectPr>
          <w:headerReference r:id="rId6" w:type="default"/>
          <w:pgSz w:w="11906" w:h="16838"/>
          <w:pgMar w:top="777" w:right="1418" w:bottom="471" w:left="1418" w:header="851" w:footer="567" w:gutter="0"/>
          <w:cols w:space="720" w:num="1"/>
        </w:sectPr>
      </w:pPr>
    </w:p>
    <w:bookmarkEnd w:id="412"/>
    <w:bookmarkEnd w:id="413"/>
    <w:bookmarkEnd w:id="414"/>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5、参加本次政府采购活动前三年内，在经营活动中没有重大违法记录；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p>
    <w:p>
      <w:pPr>
        <w:snapToGrid w:val="0"/>
        <w:spacing w:line="360" w:lineRule="auto"/>
        <w:ind w:firstLine="5760" w:firstLineChars="24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ind w:firstLine="5640" w:firstLineChars="2350"/>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二、联合协议（若有）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[以联合体形式投标的，提供联合协议（附件2）；本项目不接受联合体投标或者投标人不以联合体形式投标的，则不需要提供]</w:t>
      </w:r>
    </w:p>
    <w:p>
      <w:pPr>
        <w:rPr>
          <w:rFonts w:hint="eastAsia" w:ascii="仿宋" w:hAnsi="仿宋" w:eastAsia="仿宋" w:cs="仿宋"/>
        </w:rPr>
      </w:pPr>
    </w:p>
    <w:p>
      <w:pPr>
        <w:snapToGrid w:val="0"/>
        <w:spacing w:line="360" w:lineRule="auto"/>
        <w:ind w:right="480"/>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widowControl/>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专门面向中小企业，货物全部由符合政策要求的中小企业（或小微企业）制造的，提供相应的中小企业声明函（附件3）。</w:t>
      </w:r>
    </w:p>
    <w:p>
      <w:pPr>
        <w:widowControl/>
        <w:spacing w:line="360" w:lineRule="auto"/>
        <w:ind w:firstLine="480"/>
        <w:jc w:val="left"/>
        <w:rPr>
          <w:rFonts w:hint="eastAsia" w:ascii="仿宋" w:hAnsi="仿宋" w:eastAsia="仿宋" w:cs="仿宋"/>
          <w:sz w:val="24"/>
        </w:rPr>
      </w:pPr>
    </w:p>
    <w:p>
      <w:pPr>
        <w:widowControl/>
        <w:spacing w:line="360" w:lineRule="auto"/>
        <w:ind w:firstLine="470" w:firstLineChars="196"/>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b/>
          <w:sz w:val="24"/>
        </w:rPr>
      </w:pPr>
    </w:p>
    <w:p>
      <w:pPr>
        <w:rPr>
          <w:rFonts w:hint="eastAsia" w:ascii="仿宋" w:hAnsi="仿宋" w:eastAsia="仿宋" w:cs="仿宋"/>
        </w:rPr>
      </w:pPr>
    </w:p>
    <w:p>
      <w:pPr>
        <w:snapToGrid w:val="0"/>
        <w:spacing w:before="50" w:after="50" w:line="360" w:lineRule="auto"/>
        <w:jc w:val="center"/>
        <w:rPr>
          <w:rFonts w:hint="eastAsia" w:ascii="仿宋" w:hAnsi="仿宋" w:eastAsia="仿宋" w:cs="仿宋"/>
          <w:b/>
          <w:kern w:val="0"/>
          <w:sz w:val="32"/>
          <w:szCs w:val="32"/>
          <w:lang w:val="zh-CN"/>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napToGrid w:val="0"/>
        <w:spacing w:line="360" w:lineRule="auto"/>
        <w:rPr>
          <w:rFonts w:hint="eastAsia" w:ascii="仿宋" w:hAnsi="仿宋" w:eastAsia="仿宋" w:cs="仿宋"/>
          <w:b/>
          <w:sz w:val="36"/>
          <w:szCs w:val="20"/>
        </w:rPr>
      </w:pPr>
    </w:p>
    <w:p>
      <w:pPr>
        <w:snapToGrid w:val="0"/>
        <w:spacing w:line="360" w:lineRule="auto"/>
        <w:rPr>
          <w:rFonts w:hint="eastAsia" w:ascii="仿宋" w:hAnsi="仿宋" w:eastAsia="仿宋" w:cs="仿宋"/>
          <w:b/>
          <w:sz w:val="36"/>
          <w:szCs w:val="20"/>
        </w:rPr>
      </w:pPr>
    </w:p>
    <w:p>
      <w:pPr>
        <w:snapToGrid w:val="0"/>
        <w:spacing w:line="360" w:lineRule="auto"/>
        <w:rPr>
          <w:rFonts w:hint="eastAsia" w:ascii="仿宋" w:hAnsi="仿宋" w:eastAsia="仿宋" w:cs="仿宋"/>
          <w:b/>
          <w:sz w:val="36"/>
          <w:szCs w:val="20"/>
        </w:rPr>
      </w:pPr>
    </w:p>
    <w:p>
      <w:pPr>
        <w:widowControl/>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widowControl/>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2.1.2联合协议（若有)；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2.1.3落实政府采购政策需满足的资格要求（若有）；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2.1.4本项目的特定资格要求（若有）。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4、我方已详细审查了招标文件的全部内容及其相关补充文件（若有），并完全清晰理解全部内容及相关的补充文件（若有），不存在任何误解之处，同意放弃提出异议和质疑的权利。</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5、如我方中标，我方承诺：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5.1在收到中标通知书后，在中标通知书规定的期限内与你方签订合同；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5.2在签订合同时不向你方提出附加条件；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5.3按照招标文件要求提交履约保证金；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5.4在合同约定的期限内完成合同规定的全部义务。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6、其他补充说明:                                        。</w:t>
      </w: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投标人名称（电子签名）：</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jc w:val="center"/>
        <w:rPr>
          <w:rFonts w:hint="eastAsia" w:ascii="仿宋" w:hAnsi="仿宋" w:eastAsia="仿宋" w:cs="仿宋"/>
          <w:b/>
          <w:kern w:val="0"/>
          <w:sz w:val="32"/>
          <w:szCs w:val="32"/>
          <w:lang w:val="zh-CN"/>
        </w:rPr>
      </w:pPr>
    </w:p>
    <w:p>
      <w:pPr>
        <w:snapToGrid w:val="0"/>
        <w:spacing w:line="360" w:lineRule="auto"/>
        <w:ind w:firstLine="420" w:firstLineChars="200"/>
        <w:rPr>
          <w:rFonts w:hint="eastAsia" w:ascii="仿宋" w:hAnsi="仿宋" w:eastAsia="仿宋" w:cs="仿宋"/>
        </w:rPr>
      </w:pPr>
    </w:p>
    <w:p>
      <w:pPr>
        <w:widowControl/>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p>
    <w:p>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，手机：</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年</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月</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日起至</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年</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月</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日止。</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特此告知。</w:t>
      </w:r>
    </w:p>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rPr>
          <w:rFonts w:hint="eastAsia" w:ascii="仿宋" w:hAnsi="仿宋" w:eastAsia="仿宋" w:cs="仿宋"/>
          <w:kern w:val="0"/>
          <w:sz w:val="24"/>
        </w:rPr>
      </w:pP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74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748"/>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widowControl/>
        <w:jc w:val="center"/>
        <w:rPr>
          <w:rFonts w:hint="eastAsia" w:ascii="仿宋" w:hAnsi="仿宋" w:eastAsia="仿宋" w:cs="仿宋"/>
          <w:sz w:val="24"/>
        </w:rPr>
      </w:pPr>
      <w:r>
        <w:rPr>
          <w:rFonts w:hint="eastAsia" w:ascii="仿宋" w:hAnsi="仿宋" w:eastAsia="仿宋" w:cs="仿宋"/>
          <w:kern w:val="0"/>
          <w:sz w:val="24"/>
          <w:lang w:val="zh-CN"/>
        </w:rPr>
        <w:t xml:space="preserve">                   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，手机：</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年</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月</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日起至</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年</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月</w:t>
      </w:r>
      <w:r>
        <w:rPr>
          <w:rFonts w:hint="eastAsia" w:ascii="仿宋" w:hAnsi="仿宋" w:eastAsia="仿宋" w:cs="仿宋"/>
          <w:sz w:val="24"/>
          <w:szCs w:val="24"/>
          <w:u w:val="single"/>
        </w:rPr>
        <w:t xml:space="preserve">     </w:t>
      </w:r>
      <w:r>
        <w:rPr>
          <w:rFonts w:hint="eastAsia" w:ascii="仿宋" w:hAnsi="仿宋" w:eastAsia="仿宋" w:cs="仿宋"/>
          <w:kern w:val="0"/>
          <w:sz w:val="24"/>
          <w:lang w:val="zh-CN"/>
        </w:rPr>
        <w:t>日止。</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特此告知。</w:t>
      </w: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74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748"/>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widowControl/>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三、符合性审查资料</w:t>
      </w:r>
    </w:p>
    <w:p>
      <w:pPr>
        <w:jc w:val="center"/>
        <w:rPr>
          <w:rFonts w:hint="eastAsia" w:ascii="仿宋" w:hAnsi="仿宋" w:eastAsia="仿宋" w:cs="仿宋"/>
          <w:b/>
          <w:kern w:val="0"/>
          <w:sz w:val="32"/>
          <w:szCs w:val="32"/>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559"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jc w:val="cente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559" w:type="dxa"/>
            <w:vAlign w:val="center"/>
          </w:tcPr>
          <w:p>
            <w:pPr>
              <w:jc w:val="center"/>
              <w:rPr>
                <w:rFonts w:hint="eastAsia" w:ascii="仿宋" w:hAnsi="仿宋" w:eastAsia="仿宋" w:cs="仿宋"/>
                <w:sz w:val="24"/>
              </w:rPr>
            </w:pPr>
            <w:r>
              <w:rPr>
                <w:rFonts w:hint="eastAsia" w:ascii="仿宋" w:hAnsi="仿宋" w:eastAsia="仿宋" w:cs="仿宋"/>
                <w:sz w:val="24"/>
              </w:rPr>
              <w:t>见投标文件</w:t>
            </w:r>
          </w:p>
          <w:p>
            <w:pPr>
              <w:jc w:val="center"/>
              <w:rPr>
                <w:rFonts w:hint="eastAsia" w:ascii="仿宋" w:hAnsi="仿宋" w:eastAsia="仿宋" w:cs="仿宋"/>
              </w:rPr>
            </w:pPr>
            <w:r>
              <w:rPr>
                <w:rFonts w:hint="eastAsia" w:ascii="仿宋" w:hAnsi="仿宋" w:eastAsia="仿宋" w:cs="仿宋"/>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559" w:type="dxa"/>
            <w:vAlign w:val="center"/>
          </w:tcPr>
          <w:p>
            <w:pPr>
              <w:jc w:val="center"/>
              <w:rPr>
                <w:rFonts w:hint="eastAsia" w:ascii="仿宋" w:hAnsi="仿宋" w:eastAsia="仿宋" w:cs="仿宋"/>
                <w:sz w:val="24"/>
              </w:rPr>
            </w:pPr>
            <w:r>
              <w:rPr>
                <w:rFonts w:hint="eastAsia" w:ascii="仿宋" w:hAnsi="仿宋" w:eastAsia="仿宋" w:cs="仿宋"/>
                <w:sz w:val="24"/>
              </w:rPr>
              <w:t>见投标文件</w:t>
            </w:r>
          </w:p>
          <w:p>
            <w:pPr>
              <w:pStyle w:val="2"/>
              <w:jc w:val="center"/>
              <w:rPr>
                <w:rFonts w:hint="eastAsia" w:ascii="仿宋" w:eastAsia="仿宋" w:cs="仿宋"/>
                <w:lang w:val="en-US"/>
              </w:rPr>
            </w:pPr>
            <w:r>
              <w:rPr>
                <w:rFonts w:hint="eastAsia" w:ascii="仿宋" w:eastAsia="仿宋" w:cs="仿宋"/>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jc w:val="center"/>
              <w:rPr>
                <w:rFonts w:hint="eastAsia" w:ascii="仿宋" w:hAnsi="仿宋" w:eastAsia="仿宋" w:cs="仿宋"/>
                <w:sz w:val="24"/>
              </w:rPr>
            </w:pPr>
            <w:r>
              <w:rPr>
                <w:rFonts w:hint="eastAsia" w:ascii="仿宋" w:hAnsi="仿宋" w:eastAsia="仿宋" w:cs="仿宋"/>
                <w:sz w:val="24"/>
              </w:rPr>
              <w:t>投标函</w:t>
            </w:r>
          </w:p>
        </w:tc>
        <w:tc>
          <w:tcPr>
            <w:tcW w:w="1559" w:type="dxa"/>
            <w:vAlign w:val="center"/>
          </w:tcPr>
          <w:p>
            <w:pPr>
              <w:jc w:val="center"/>
              <w:rPr>
                <w:rFonts w:hint="eastAsia" w:ascii="仿宋" w:hAnsi="仿宋" w:eastAsia="仿宋" w:cs="仿宋"/>
              </w:rPr>
            </w:pPr>
            <w:r>
              <w:rPr>
                <w:rFonts w:hint="eastAsia" w:ascii="仿宋" w:hAnsi="仿宋" w:eastAsia="仿宋" w:cs="仿宋"/>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jc w:val="center"/>
              <w:rPr>
                <w:rFonts w:hint="eastAsia"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559" w:type="dxa"/>
            <w:vAlign w:val="center"/>
          </w:tcPr>
          <w:p>
            <w:pPr>
              <w:jc w:val="center"/>
              <w:rPr>
                <w:rFonts w:hint="eastAsia" w:ascii="仿宋" w:hAnsi="仿宋" w:eastAsia="仿宋" w:cs="仿宋"/>
              </w:rPr>
            </w:pPr>
            <w:r>
              <w:rPr>
                <w:rFonts w:hint="eastAsia" w:ascii="仿宋" w:hAnsi="仿宋" w:eastAsia="仿宋" w:cs="仿宋"/>
                <w:sz w:val="24"/>
              </w:rPr>
              <w:t>见投标文件第  页</w:t>
            </w:r>
          </w:p>
        </w:tc>
      </w:tr>
    </w:tbl>
    <w:p>
      <w:pPr>
        <w:rPr>
          <w:rFonts w:hint="eastAsia" w:ascii="仿宋" w:hAnsi="仿宋" w:eastAsia="仿宋" w:cs="仿宋"/>
          <w:b/>
          <w:kern w:val="0"/>
          <w:sz w:val="32"/>
          <w:szCs w:val="32"/>
        </w:rPr>
      </w:pPr>
    </w:p>
    <w:p>
      <w:pPr>
        <w:widowControl/>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hint="eastAsia" w:ascii="仿宋" w:hAnsi="仿宋" w:eastAsia="仿宋" w:cs="仿宋"/>
        </w:rPr>
      </w:pPr>
      <w:r>
        <w:rPr>
          <w:rFonts w:hint="eastAsia" w:ascii="仿宋" w:hAnsi="仿宋" w:eastAsia="仿宋" w:cs="仿宋"/>
          <w:b/>
          <w:kern w:val="0"/>
          <w:sz w:val="32"/>
          <w:szCs w:val="32"/>
        </w:rPr>
        <w:t>四、评标标准相应的商务技术资料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（按招标文件第四部分评标办法前附表中“投标文件中评标标准相应的商务技术资料目录”提供资料，除以下投标文件格式外其他相关资料由供应商自拟。）</w:t>
      </w:r>
    </w:p>
    <w:p>
      <w:pPr>
        <w:snapToGrid w:val="0"/>
        <w:spacing w:line="360" w:lineRule="auto"/>
        <w:jc w:val="left"/>
        <w:rPr>
          <w:rFonts w:hint="eastAsia" w:ascii="仿宋" w:hAnsi="仿宋" w:eastAsia="仿宋" w:cs="仿宋"/>
          <w:b/>
          <w:kern w:val="0"/>
          <w:sz w:val="32"/>
          <w:szCs w:val="32"/>
        </w:rPr>
      </w:pPr>
      <w:r>
        <w:rPr>
          <w:rFonts w:hint="eastAsia" w:ascii="仿宋" w:hAnsi="仿宋" w:eastAsia="仿宋" w:cs="仿宋"/>
          <w:sz w:val="24"/>
          <w:szCs w:val="24"/>
        </w:rPr>
        <w:t>（格式仅供参考）</w:t>
      </w:r>
    </w:p>
    <w:p>
      <w:pPr>
        <w:snapToGrid w:val="0"/>
        <w:spacing w:line="360" w:lineRule="auto"/>
        <w:jc w:val="center"/>
        <w:rPr>
          <w:rFonts w:hint="eastAsia" w:ascii="仿宋" w:hAnsi="仿宋" w:eastAsia="仿宋" w:cs="仿宋"/>
          <w:b/>
          <w:sz w:val="24"/>
        </w:rPr>
      </w:pPr>
      <w:r>
        <w:rPr>
          <w:rFonts w:hint="eastAsia" w:ascii="仿宋" w:hAnsi="仿宋" w:eastAsia="仿宋" w:cs="仿宋"/>
          <w:b/>
          <w:kern w:val="0"/>
          <w:sz w:val="32"/>
          <w:szCs w:val="32"/>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20" w:lineRule="exact"/>
              <w:rPr>
                <w:rFonts w:hint="eastAsia" w:ascii="仿宋" w:hAnsi="仿宋" w:eastAsia="仿宋" w:cs="仿宋"/>
                <w:b/>
                <w:sz w:val="24"/>
              </w:rPr>
            </w:pPr>
            <w:r>
              <w:rPr>
                <w:rFonts w:hint="eastAsia" w:ascii="仿宋" w:hAnsi="仿宋" w:eastAsia="仿宋" w:cs="仿宋"/>
                <w:b/>
                <w:sz w:val="24"/>
              </w:rPr>
              <w:t>序号</w:t>
            </w:r>
          </w:p>
        </w:tc>
        <w:tc>
          <w:tcPr>
            <w:tcW w:w="1831"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业主名称</w:t>
            </w:r>
          </w:p>
        </w:tc>
        <w:tc>
          <w:tcPr>
            <w:tcW w:w="2422"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项目名称</w:t>
            </w:r>
          </w:p>
        </w:tc>
        <w:tc>
          <w:tcPr>
            <w:tcW w:w="1547"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合同</w:t>
            </w:r>
          </w:p>
          <w:p>
            <w:pPr>
              <w:spacing w:line="320" w:lineRule="exact"/>
              <w:jc w:val="center"/>
              <w:rPr>
                <w:rFonts w:hint="eastAsia" w:ascii="仿宋" w:hAnsi="仿宋" w:eastAsia="仿宋" w:cs="仿宋"/>
                <w:b/>
                <w:sz w:val="24"/>
              </w:rPr>
            </w:pPr>
            <w:r>
              <w:rPr>
                <w:rFonts w:hint="eastAsia" w:ascii="仿宋" w:hAnsi="仿宋" w:eastAsia="仿宋" w:cs="仿宋"/>
                <w:b/>
                <w:sz w:val="24"/>
              </w:rPr>
              <w:t>签订时间</w:t>
            </w:r>
          </w:p>
        </w:tc>
        <w:tc>
          <w:tcPr>
            <w:tcW w:w="1313"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业主</w:t>
            </w:r>
          </w:p>
          <w:p>
            <w:pPr>
              <w:spacing w:line="320" w:lineRule="exact"/>
              <w:jc w:val="center"/>
              <w:rPr>
                <w:rFonts w:hint="eastAsia" w:ascii="仿宋" w:hAnsi="仿宋" w:eastAsia="仿宋" w:cs="仿宋"/>
                <w:b/>
                <w:sz w:val="24"/>
              </w:rPr>
            </w:pPr>
            <w:r>
              <w:rPr>
                <w:rFonts w:hint="eastAsia" w:ascii="仿宋" w:hAnsi="仿宋" w:eastAsia="仿宋" w:cs="仿宋"/>
                <w:b/>
                <w:sz w:val="24"/>
              </w:rPr>
              <w:t>联系人</w:t>
            </w:r>
          </w:p>
        </w:tc>
        <w:tc>
          <w:tcPr>
            <w:tcW w:w="1818"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联系电话</w:t>
            </w:r>
          </w:p>
        </w:tc>
        <w:tc>
          <w:tcPr>
            <w:tcW w:w="850"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附件</w:t>
            </w:r>
          </w:p>
          <w:p>
            <w:pPr>
              <w:snapToGrid w:val="0"/>
              <w:jc w:val="center"/>
              <w:rPr>
                <w:rFonts w:hint="eastAsia" w:ascii="仿宋" w:hAnsi="仿宋" w:eastAsia="仿宋" w:cs="仿宋"/>
                <w:b/>
                <w:sz w:val="24"/>
              </w:rPr>
            </w:pPr>
            <w:r>
              <w:rPr>
                <w:rFonts w:hint="eastAsia" w:ascii="仿宋" w:hAnsi="仿宋" w:eastAsia="仿宋" w:cs="仿宋"/>
                <w:b/>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hint="eastAsia" w:ascii="仿宋" w:hAnsi="仿宋" w:eastAsia="仿宋" w:cs="仿宋"/>
                <w:b/>
                <w:sz w:val="24"/>
              </w:rPr>
            </w:pPr>
          </w:p>
        </w:tc>
        <w:tc>
          <w:tcPr>
            <w:tcW w:w="1831" w:type="dxa"/>
            <w:vAlign w:val="center"/>
          </w:tcPr>
          <w:p>
            <w:pPr>
              <w:spacing w:line="360" w:lineRule="auto"/>
              <w:jc w:val="center"/>
              <w:rPr>
                <w:rFonts w:hint="eastAsia" w:ascii="仿宋" w:hAnsi="仿宋" w:eastAsia="仿宋" w:cs="仿宋"/>
                <w:b/>
                <w:sz w:val="24"/>
              </w:rPr>
            </w:pPr>
          </w:p>
        </w:tc>
        <w:tc>
          <w:tcPr>
            <w:tcW w:w="2422" w:type="dxa"/>
            <w:vAlign w:val="center"/>
          </w:tcPr>
          <w:p>
            <w:pPr>
              <w:spacing w:line="360" w:lineRule="auto"/>
              <w:jc w:val="center"/>
              <w:rPr>
                <w:rFonts w:hint="eastAsia" w:ascii="仿宋" w:hAnsi="仿宋" w:eastAsia="仿宋" w:cs="仿宋"/>
                <w:b/>
                <w:sz w:val="24"/>
              </w:rPr>
            </w:pPr>
          </w:p>
        </w:tc>
        <w:tc>
          <w:tcPr>
            <w:tcW w:w="1547" w:type="dxa"/>
            <w:vAlign w:val="center"/>
          </w:tcPr>
          <w:p>
            <w:pPr>
              <w:spacing w:line="360" w:lineRule="auto"/>
              <w:jc w:val="center"/>
              <w:rPr>
                <w:rFonts w:hint="eastAsia" w:ascii="仿宋" w:hAnsi="仿宋" w:eastAsia="仿宋" w:cs="仿宋"/>
                <w:b/>
                <w:sz w:val="24"/>
              </w:rPr>
            </w:pPr>
          </w:p>
        </w:tc>
        <w:tc>
          <w:tcPr>
            <w:tcW w:w="1313" w:type="dxa"/>
            <w:vAlign w:val="center"/>
          </w:tcPr>
          <w:p>
            <w:pPr>
              <w:spacing w:line="360" w:lineRule="auto"/>
              <w:jc w:val="center"/>
              <w:rPr>
                <w:rFonts w:hint="eastAsia" w:ascii="仿宋" w:hAnsi="仿宋" w:eastAsia="仿宋" w:cs="仿宋"/>
                <w:b/>
                <w:sz w:val="24"/>
              </w:rPr>
            </w:pPr>
          </w:p>
        </w:tc>
        <w:tc>
          <w:tcPr>
            <w:tcW w:w="1818" w:type="dxa"/>
            <w:vAlign w:val="center"/>
          </w:tcPr>
          <w:p>
            <w:pPr>
              <w:spacing w:line="360" w:lineRule="auto"/>
              <w:jc w:val="center"/>
              <w:rPr>
                <w:rFonts w:hint="eastAsia" w:ascii="仿宋" w:hAnsi="仿宋" w:eastAsia="仿宋" w:cs="仿宋"/>
                <w:b/>
                <w:sz w:val="24"/>
              </w:rPr>
            </w:pPr>
          </w:p>
        </w:tc>
        <w:tc>
          <w:tcPr>
            <w:tcW w:w="850" w:type="dxa"/>
            <w:vAlign w:val="center"/>
          </w:tcPr>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hint="eastAsia" w:ascii="仿宋" w:hAnsi="仿宋" w:eastAsia="仿宋" w:cs="仿宋"/>
                <w:b/>
                <w:sz w:val="24"/>
              </w:rPr>
            </w:pPr>
          </w:p>
        </w:tc>
        <w:tc>
          <w:tcPr>
            <w:tcW w:w="1831" w:type="dxa"/>
            <w:vAlign w:val="center"/>
          </w:tcPr>
          <w:p>
            <w:pPr>
              <w:spacing w:line="360" w:lineRule="auto"/>
              <w:jc w:val="center"/>
              <w:rPr>
                <w:rFonts w:hint="eastAsia" w:ascii="仿宋" w:hAnsi="仿宋" w:eastAsia="仿宋" w:cs="仿宋"/>
                <w:b/>
                <w:sz w:val="24"/>
              </w:rPr>
            </w:pPr>
          </w:p>
        </w:tc>
        <w:tc>
          <w:tcPr>
            <w:tcW w:w="2422" w:type="dxa"/>
            <w:vAlign w:val="center"/>
          </w:tcPr>
          <w:p>
            <w:pPr>
              <w:spacing w:line="360" w:lineRule="auto"/>
              <w:jc w:val="center"/>
              <w:rPr>
                <w:rFonts w:hint="eastAsia" w:ascii="仿宋" w:hAnsi="仿宋" w:eastAsia="仿宋" w:cs="仿宋"/>
                <w:b/>
                <w:sz w:val="24"/>
              </w:rPr>
            </w:pPr>
          </w:p>
        </w:tc>
        <w:tc>
          <w:tcPr>
            <w:tcW w:w="1547" w:type="dxa"/>
            <w:vAlign w:val="center"/>
          </w:tcPr>
          <w:p>
            <w:pPr>
              <w:spacing w:line="360" w:lineRule="auto"/>
              <w:jc w:val="center"/>
              <w:rPr>
                <w:rFonts w:hint="eastAsia" w:ascii="仿宋" w:hAnsi="仿宋" w:eastAsia="仿宋" w:cs="仿宋"/>
                <w:b/>
                <w:sz w:val="24"/>
              </w:rPr>
            </w:pPr>
          </w:p>
        </w:tc>
        <w:tc>
          <w:tcPr>
            <w:tcW w:w="1313" w:type="dxa"/>
            <w:vAlign w:val="center"/>
          </w:tcPr>
          <w:p>
            <w:pPr>
              <w:spacing w:line="360" w:lineRule="auto"/>
              <w:jc w:val="center"/>
              <w:rPr>
                <w:rFonts w:hint="eastAsia" w:ascii="仿宋" w:hAnsi="仿宋" w:eastAsia="仿宋" w:cs="仿宋"/>
                <w:b/>
                <w:sz w:val="24"/>
              </w:rPr>
            </w:pPr>
          </w:p>
        </w:tc>
        <w:tc>
          <w:tcPr>
            <w:tcW w:w="1818" w:type="dxa"/>
            <w:vAlign w:val="center"/>
          </w:tcPr>
          <w:p>
            <w:pPr>
              <w:spacing w:line="360" w:lineRule="auto"/>
              <w:jc w:val="center"/>
              <w:rPr>
                <w:rFonts w:hint="eastAsia" w:ascii="仿宋" w:hAnsi="仿宋" w:eastAsia="仿宋" w:cs="仿宋"/>
                <w:b/>
                <w:sz w:val="24"/>
              </w:rPr>
            </w:pPr>
          </w:p>
        </w:tc>
        <w:tc>
          <w:tcPr>
            <w:tcW w:w="850" w:type="dxa"/>
            <w:vAlign w:val="center"/>
          </w:tcPr>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hint="eastAsia" w:ascii="仿宋" w:hAnsi="仿宋" w:eastAsia="仿宋" w:cs="仿宋"/>
                <w:b/>
                <w:sz w:val="24"/>
              </w:rPr>
            </w:pPr>
          </w:p>
        </w:tc>
        <w:tc>
          <w:tcPr>
            <w:tcW w:w="1831" w:type="dxa"/>
            <w:vAlign w:val="center"/>
          </w:tcPr>
          <w:p>
            <w:pPr>
              <w:spacing w:line="360" w:lineRule="auto"/>
              <w:jc w:val="center"/>
              <w:rPr>
                <w:rFonts w:hint="eastAsia" w:ascii="仿宋" w:hAnsi="仿宋" w:eastAsia="仿宋" w:cs="仿宋"/>
                <w:b/>
                <w:sz w:val="24"/>
              </w:rPr>
            </w:pPr>
          </w:p>
        </w:tc>
        <w:tc>
          <w:tcPr>
            <w:tcW w:w="2422" w:type="dxa"/>
            <w:vAlign w:val="center"/>
          </w:tcPr>
          <w:p>
            <w:pPr>
              <w:spacing w:line="360" w:lineRule="auto"/>
              <w:jc w:val="center"/>
              <w:rPr>
                <w:rFonts w:hint="eastAsia" w:ascii="仿宋" w:hAnsi="仿宋" w:eastAsia="仿宋" w:cs="仿宋"/>
                <w:b/>
                <w:sz w:val="24"/>
              </w:rPr>
            </w:pPr>
          </w:p>
        </w:tc>
        <w:tc>
          <w:tcPr>
            <w:tcW w:w="1547" w:type="dxa"/>
            <w:vAlign w:val="center"/>
          </w:tcPr>
          <w:p>
            <w:pPr>
              <w:spacing w:line="360" w:lineRule="auto"/>
              <w:jc w:val="center"/>
              <w:rPr>
                <w:rFonts w:hint="eastAsia" w:ascii="仿宋" w:hAnsi="仿宋" w:eastAsia="仿宋" w:cs="仿宋"/>
                <w:b/>
                <w:sz w:val="24"/>
              </w:rPr>
            </w:pPr>
          </w:p>
        </w:tc>
        <w:tc>
          <w:tcPr>
            <w:tcW w:w="1313" w:type="dxa"/>
            <w:vAlign w:val="center"/>
          </w:tcPr>
          <w:p>
            <w:pPr>
              <w:spacing w:line="360" w:lineRule="auto"/>
              <w:jc w:val="center"/>
              <w:rPr>
                <w:rFonts w:hint="eastAsia" w:ascii="仿宋" w:hAnsi="仿宋" w:eastAsia="仿宋" w:cs="仿宋"/>
                <w:b/>
                <w:sz w:val="24"/>
              </w:rPr>
            </w:pPr>
          </w:p>
        </w:tc>
        <w:tc>
          <w:tcPr>
            <w:tcW w:w="1818" w:type="dxa"/>
            <w:vAlign w:val="center"/>
          </w:tcPr>
          <w:p>
            <w:pPr>
              <w:spacing w:line="360" w:lineRule="auto"/>
              <w:jc w:val="center"/>
              <w:rPr>
                <w:rFonts w:hint="eastAsia" w:ascii="仿宋" w:hAnsi="仿宋" w:eastAsia="仿宋" w:cs="仿宋"/>
                <w:b/>
                <w:sz w:val="24"/>
              </w:rPr>
            </w:pPr>
          </w:p>
        </w:tc>
        <w:tc>
          <w:tcPr>
            <w:tcW w:w="850" w:type="dxa"/>
            <w:vAlign w:val="center"/>
          </w:tcPr>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hint="eastAsia" w:ascii="仿宋" w:hAnsi="仿宋" w:eastAsia="仿宋" w:cs="仿宋"/>
                <w:b/>
                <w:sz w:val="24"/>
              </w:rPr>
            </w:pPr>
          </w:p>
        </w:tc>
        <w:tc>
          <w:tcPr>
            <w:tcW w:w="1831" w:type="dxa"/>
            <w:vAlign w:val="center"/>
          </w:tcPr>
          <w:p>
            <w:pPr>
              <w:spacing w:line="360" w:lineRule="auto"/>
              <w:jc w:val="center"/>
              <w:rPr>
                <w:rFonts w:hint="eastAsia" w:ascii="仿宋" w:hAnsi="仿宋" w:eastAsia="仿宋" w:cs="仿宋"/>
                <w:b/>
                <w:sz w:val="24"/>
              </w:rPr>
            </w:pPr>
          </w:p>
        </w:tc>
        <w:tc>
          <w:tcPr>
            <w:tcW w:w="2422" w:type="dxa"/>
            <w:vAlign w:val="center"/>
          </w:tcPr>
          <w:p>
            <w:pPr>
              <w:spacing w:line="360" w:lineRule="auto"/>
              <w:jc w:val="center"/>
              <w:rPr>
                <w:rFonts w:hint="eastAsia" w:ascii="仿宋" w:hAnsi="仿宋" w:eastAsia="仿宋" w:cs="仿宋"/>
                <w:b/>
                <w:sz w:val="24"/>
              </w:rPr>
            </w:pPr>
          </w:p>
        </w:tc>
        <w:tc>
          <w:tcPr>
            <w:tcW w:w="1547" w:type="dxa"/>
            <w:vAlign w:val="center"/>
          </w:tcPr>
          <w:p>
            <w:pPr>
              <w:spacing w:line="360" w:lineRule="auto"/>
              <w:jc w:val="center"/>
              <w:rPr>
                <w:rFonts w:hint="eastAsia" w:ascii="仿宋" w:hAnsi="仿宋" w:eastAsia="仿宋" w:cs="仿宋"/>
                <w:b/>
                <w:sz w:val="24"/>
              </w:rPr>
            </w:pPr>
          </w:p>
        </w:tc>
        <w:tc>
          <w:tcPr>
            <w:tcW w:w="1313" w:type="dxa"/>
            <w:vAlign w:val="center"/>
          </w:tcPr>
          <w:p>
            <w:pPr>
              <w:spacing w:line="360" w:lineRule="auto"/>
              <w:jc w:val="center"/>
              <w:rPr>
                <w:rFonts w:hint="eastAsia" w:ascii="仿宋" w:hAnsi="仿宋" w:eastAsia="仿宋" w:cs="仿宋"/>
                <w:b/>
                <w:sz w:val="24"/>
              </w:rPr>
            </w:pPr>
          </w:p>
        </w:tc>
        <w:tc>
          <w:tcPr>
            <w:tcW w:w="1818" w:type="dxa"/>
            <w:vAlign w:val="center"/>
          </w:tcPr>
          <w:p>
            <w:pPr>
              <w:spacing w:line="360" w:lineRule="auto"/>
              <w:jc w:val="center"/>
              <w:rPr>
                <w:rFonts w:hint="eastAsia" w:ascii="仿宋" w:hAnsi="仿宋" w:eastAsia="仿宋" w:cs="仿宋"/>
                <w:b/>
                <w:sz w:val="24"/>
              </w:rPr>
            </w:pPr>
          </w:p>
        </w:tc>
        <w:tc>
          <w:tcPr>
            <w:tcW w:w="850" w:type="dxa"/>
            <w:vAlign w:val="center"/>
          </w:tcPr>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hint="eastAsia" w:ascii="仿宋" w:hAnsi="仿宋" w:eastAsia="仿宋" w:cs="仿宋"/>
                <w:b/>
                <w:sz w:val="24"/>
              </w:rPr>
            </w:pPr>
          </w:p>
        </w:tc>
        <w:tc>
          <w:tcPr>
            <w:tcW w:w="1831" w:type="dxa"/>
            <w:vAlign w:val="center"/>
          </w:tcPr>
          <w:p>
            <w:pPr>
              <w:spacing w:line="360" w:lineRule="auto"/>
              <w:jc w:val="center"/>
              <w:rPr>
                <w:rFonts w:hint="eastAsia" w:ascii="仿宋" w:hAnsi="仿宋" w:eastAsia="仿宋" w:cs="仿宋"/>
                <w:b/>
                <w:sz w:val="24"/>
              </w:rPr>
            </w:pPr>
          </w:p>
        </w:tc>
        <w:tc>
          <w:tcPr>
            <w:tcW w:w="2422" w:type="dxa"/>
            <w:vAlign w:val="center"/>
          </w:tcPr>
          <w:p>
            <w:pPr>
              <w:spacing w:line="360" w:lineRule="auto"/>
              <w:jc w:val="center"/>
              <w:rPr>
                <w:rFonts w:hint="eastAsia" w:ascii="仿宋" w:hAnsi="仿宋" w:eastAsia="仿宋" w:cs="仿宋"/>
                <w:b/>
                <w:sz w:val="24"/>
              </w:rPr>
            </w:pPr>
          </w:p>
        </w:tc>
        <w:tc>
          <w:tcPr>
            <w:tcW w:w="1547" w:type="dxa"/>
            <w:vAlign w:val="center"/>
          </w:tcPr>
          <w:p>
            <w:pPr>
              <w:spacing w:line="360" w:lineRule="auto"/>
              <w:jc w:val="center"/>
              <w:rPr>
                <w:rFonts w:hint="eastAsia" w:ascii="仿宋" w:hAnsi="仿宋" w:eastAsia="仿宋" w:cs="仿宋"/>
                <w:b/>
                <w:sz w:val="22"/>
              </w:rPr>
            </w:pPr>
          </w:p>
        </w:tc>
        <w:tc>
          <w:tcPr>
            <w:tcW w:w="1313" w:type="dxa"/>
            <w:vAlign w:val="center"/>
          </w:tcPr>
          <w:p>
            <w:pPr>
              <w:spacing w:line="360" w:lineRule="auto"/>
              <w:jc w:val="center"/>
              <w:rPr>
                <w:rFonts w:hint="eastAsia" w:ascii="仿宋" w:hAnsi="仿宋" w:eastAsia="仿宋" w:cs="仿宋"/>
                <w:b/>
                <w:sz w:val="24"/>
              </w:rPr>
            </w:pPr>
          </w:p>
        </w:tc>
        <w:tc>
          <w:tcPr>
            <w:tcW w:w="1818" w:type="dxa"/>
            <w:vAlign w:val="center"/>
          </w:tcPr>
          <w:p>
            <w:pPr>
              <w:spacing w:line="360" w:lineRule="auto"/>
              <w:jc w:val="center"/>
              <w:rPr>
                <w:rFonts w:hint="eastAsia" w:ascii="仿宋" w:hAnsi="仿宋" w:eastAsia="仿宋" w:cs="仿宋"/>
                <w:b/>
                <w:sz w:val="24"/>
              </w:rPr>
            </w:pPr>
          </w:p>
        </w:tc>
        <w:tc>
          <w:tcPr>
            <w:tcW w:w="850" w:type="dxa"/>
            <w:vAlign w:val="center"/>
          </w:tcPr>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spacing w:line="360" w:lineRule="auto"/>
              <w:jc w:val="center"/>
              <w:rPr>
                <w:rFonts w:hint="eastAsia" w:ascii="仿宋" w:hAnsi="仿宋" w:eastAsia="仿宋" w:cs="仿宋"/>
                <w:b/>
                <w:sz w:val="24"/>
              </w:rPr>
            </w:pPr>
            <w:r>
              <w:rPr>
                <w:rFonts w:hint="eastAsia" w:ascii="仿宋" w:hAnsi="仿宋" w:eastAsia="仿宋" w:cs="仿宋"/>
                <w:sz w:val="24"/>
              </w:rPr>
              <w:t>……</w:t>
            </w:r>
          </w:p>
        </w:tc>
        <w:tc>
          <w:tcPr>
            <w:tcW w:w="1831" w:type="dxa"/>
            <w:vAlign w:val="center"/>
          </w:tcPr>
          <w:p>
            <w:pPr>
              <w:spacing w:line="360" w:lineRule="auto"/>
              <w:jc w:val="center"/>
              <w:rPr>
                <w:rFonts w:hint="eastAsia" w:ascii="仿宋" w:hAnsi="仿宋" w:eastAsia="仿宋" w:cs="仿宋"/>
                <w:b/>
                <w:sz w:val="24"/>
              </w:rPr>
            </w:pPr>
          </w:p>
        </w:tc>
        <w:tc>
          <w:tcPr>
            <w:tcW w:w="2422" w:type="dxa"/>
            <w:vAlign w:val="center"/>
          </w:tcPr>
          <w:p>
            <w:pPr>
              <w:spacing w:line="360" w:lineRule="auto"/>
              <w:jc w:val="center"/>
              <w:rPr>
                <w:rFonts w:hint="eastAsia" w:ascii="仿宋" w:hAnsi="仿宋" w:eastAsia="仿宋" w:cs="仿宋"/>
                <w:b/>
                <w:sz w:val="24"/>
              </w:rPr>
            </w:pPr>
          </w:p>
        </w:tc>
        <w:tc>
          <w:tcPr>
            <w:tcW w:w="1547" w:type="dxa"/>
            <w:vAlign w:val="center"/>
          </w:tcPr>
          <w:p>
            <w:pPr>
              <w:spacing w:line="360" w:lineRule="auto"/>
              <w:jc w:val="center"/>
              <w:rPr>
                <w:rFonts w:hint="eastAsia" w:ascii="仿宋" w:hAnsi="仿宋" w:eastAsia="仿宋" w:cs="仿宋"/>
                <w:b/>
                <w:sz w:val="24"/>
              </w:rPr>
            </w:pPr>
          </w:p>
        </w:tc>
        <w:tc>
          <w:tcPr>
            <w:tcW w:w="1313" w:type="dxa"/>
            <w:vAlign w:val="center"/>
          </w:tcPr>
          <w:p>
            <w:pPr>
              <w:spacing w:line="360" w:lineRule="auto"/>
              <w:jc w:val="center"/>
              <w:rPr>
                <w:rFonts w:hint="eastAsia" w:ascii="仿宋" w:hAnsi="仿宋" w:eastAsia="仿宋" w:cs="仿宋"/>
                <w:b/>
                <w:sz w:val="24"/>
              </w:rPr>
            </w:pPr>
          </w:p>
        </w:tc>
        <w:tc>
          <w:tcPr>
            <w:tcW w:w="1818" w:type="dxa"/>
            <w:vAlign w:val="center"/>
          </w:tcPr>
          <w:p>
            <w:pPr>
              <w:spacing w:line="360" w:lineRule="auto"/>
              <w:jc w:val="center"/>
              <w:rPr>
                <w:rFonts w:hint="eastAsia" w:ascii="仿宋" w:hAnsi="仿宋" w:eastAsia="仿宋" w:cs="仿宋"/>
                <w:b/>
                <w:sz w:val="24"/>
              </w:rPr>
            </w:pPr>
          </w:p>
        </w:tc>
        <w:tc>
          <w:tcPr>
            <w:tcW w:w="850" w:type="dxa"/>
            <w:vAlign w:val="center"/>
          </w:tcPr>
          <w:p>
            <w:pPr>
              <w:spacing w:line="360" w:lineRule="auto"/>
              <w:jc w:val="center"/>
              <w:rPr>
                <w:rFonts w:hint="eastAsia" w:ascii="仿宋" w:hAnsi="仿宋" w:eastAsia="仿宋" w:cs="仿宋"/>
                <w:b/>
                <w:sz w:val="24"/>
              </w:rPr>
            </w:pPr>
          </w:p>
        </w:tc>
      </w:tr>
    </w:tbl>
    <w:p>
      <w:pPr>
        <w:spacing w:line="360" w:lineRule="auto"/>
        <w:rPr>
          <w:rFonts w:hint="eastAsia" w:ascii="仿宋" w:hAnsi="仿宋" w:eastAsia="仿宋" w:cs="仿宋"/>
          <w:kern w:val="0"/>
          <w:szCs w:val="21"/>
        </w:rPr>
      </w:pPr>
      <w:r>
        <w:rPr>
          <w:rFonts w:hint="eastAsia" w:ascii="仿宋" w:hAnsi="仿宋" w:eastAsia="仿宋" w:cs="仿宋"/>
          <w:sz w:val="24"/>
        </w:rPr>
        <w:t>注：附相关业绩合同复印件。</w:t>
      </w: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五、商务技术偏离表</w:t>
      </w:r>
    </w:p>
    <w:p>
      <w:pPr>
        <w:jc w:val="center"/>
        <w:rPr>
          <w:rFonts w:hint="eastAsia" w:ascii="仿宋" w:hAnsi="仿宋" w:eastAsia="仿宋" w:cs="仿宋"/>
          <w:b/>
          <w:kern w:val="0"/>
          <w:sz w:val="32"/>
          <w:szCs w:val="32"/>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kern w:val="0"/>
                <w:sz w:val="24"/>
                <w:szCs w:val="20"/>
              </w:rPr>
            </w:pPr>
            <w:r>
              <w:rPr>
                <w:rFonts w:hint="eastAsia" w:ascii="仿宋" w:hAnsi="仿宋" w:eastAsia="仿宋" w:cs="仿宋"/>
                <w:b/>
                <w:bCs/>
                <w:kern w:val="0"/>
                <w:sz w:val="24"/>
                <w:szCs w:val="20"/>
              </w:rPr>
              <w:t>序号</w:t>
            </w:r>
          </w:p>
        </w:tc>
        <w:tc>
          <w:tcPr>
            <w:tcW w:w="3683" w:type="dxa"/>
          </w:tcPr>
          <w:p>
            <w:pPr>
              <w:jc w:val="center"/>
              <w:rPr>
                <w:rFonts w:hint="eastAsia" w:ascii="仿宋" w:hAnsi="仿宋" w:eastAsia="仿宋" w:cs="仿宋"/>
                <w:b/>
                <w:bCs/>
                <w:kern w:val="0"/>
                <w:sz w:val="24"/>
                <w:szCs w:val="20"/>
              </w:rPr>
            </w:pPr>
            <w:r>
              <w:rPr>
                <w:rFonts w:hint="eastAsia" w:ascii="仿宋" w:hAnsi="仿宋" w:eastAsia="仿宋" w:cs="仿宋"/>
                <w:b/>
                <w:bCs/>
                <w:kern w:val="0"/>
                <w:sz w:val="24"/>
                <w:szCs w:val="20"/>
              </w:rPr>
              <w:t>招标文件章节及具体内容</w:t>
            </w:r>
          </w:p>
        </w:tc>
        <w:tc>
          <w:tcPr>
            <w:tcW w:w="3546" w:type="dxa"/>
          </w:tcPr>
          <w:p>
            <w:pPr>
              <w:jc w:val="center"/>
              <w:rPr>
                <w:rFonts w:hint="eastAsia" w:ascii="仿宋" w:hAnsi="仿宋" w:eastAsia="仿宋" w:cs="仿宋"/>
                <w:b/>
                <w:bCs/>
                <w:kern w:val="0"/>
                <w:sz w:val="24"/>
                <w:szCs w:val="20"/>
              </w:rPr>
            </w:pPr>
            <w:r>
              <w:rPr>
                <w:rFonts w:hint="eastAsia" w:ascii="仿宋" w:hAnsi="仿宋" w:eastAsia="仿宋" w:cs="仿宋"/>
                <w:b/>
                <w:bCs/>
                <w:kern w:val="0"/>
                <w:sz w:val="24"/>
                <w:szCs w:val="20"/>
              </w:rPr>
              <w:t>投标文件章节及具体内容</w:t>
            </w:r>
          </w:p>
        </w:tc>
        <w:tc>
          <w:tcPr>
            <w:tcW w:w="1276" w:type="dxa"/>
          </w:tcPr>
          <w:p>
            <w:pPr>
              <w:jc w:val="center"/>
              <w:rPr>
                <w:rFonts w:hint="eastAsia" w:ascii="仿宋" w:hAnsi="仿宋" w:eastAsia="仿宋" w:cs="仿宋"/>
                <w:b/>
                <w:bCs/>
                <w:kern w:val="0"/>
                <w:sz w:val="24"/>
                <w:szCs w:val="20"/>
              </w:rPr>
            </w:pPr>
            <w:r>
              <w:rPr>
                <w:rFonts w:hint="eastAsia" w:ascii="仿宋" w:hAnsi="仿宋" w:eastAsia="仿宋" w:cs="仿宋"/>
                <w:b/>
                <w:bCs/>
                <w:kern w:val="0"/>
                <w:sz w:val="24"/>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szCs w:val="20"/>
              </w:rPr>
            </w:pPr>
            <w:r>
              <w:rPr>
                <w:rFonts w:hint="eastAsia" w:ascii="仿宋" w:hAnsi="仿宋" w:eastAsia="仿宋" w:cs="仿宋"/>
                <w:kern w:val="0"/>
                <w:sz w:val="24"/>
                <w:szCs w:val="20"/>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szCs w:val="20"/>
              </w:rPr>
            </w:pPr>
            <w:r>
              <w:rPr>
                <w:rFonts w:hint="eastAsia" w:ascii="仿宋" w:hAnsi="仿宋" w:eastAsia="仿宋" w:cs="仿宋"/>
                <w:kern w:val="0"/>
                <w:sz w:val="24"/>
                <w:szCs w:val="20"/>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szCs w:val="20"/>
              </w:rPr>
            </w:pPr>
            <w:r>
              <w:rPr>
                <w:rFonts w:hint="eastAsia" w:ascii="仿宋" w:hAnsi="仿宋" w:eastAsia="仿宋" w:cs="仿宋"/>
                <w:kern w:val="0"/>
                <w:sz w:val="24"/>
                <w:szCs w:val="20"/>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widowControl/>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六、</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招标投标法》《中华人民共和国民法典》等法律法规，诚实守信，合法经营，坚决抵制各种违法违纪行为。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p>
    <w:p>
      <w:pPr>
        <w:widowControl/>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napToGrid w:val="0"/>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szCs w:val="24"/>
        </w:rPr>
        <w:t>开标一览表（报价表）</w:t>
      </w:r>
      <w:r>
        <w:rPr>
          <w:rFonts w:hint="eastAsia" w:ascii="仿宋" w:hAnsi="仿宋" w:eastAsia="仿宋" w:cs="仿宋"/>
          <w:kern w:val="0"/>
          <w:sz w:val="24"/>
        </w:rPr>
        <w:t>………………………………………（页码）</w:t>
      </w:r>
    </w:p>
    <w:p>
      <w:pPr>
        <w:spacing w:line="360" w:lineRule="auto"/>
        <w:outlineLvl w:val="0"/>
        <w:rPr>
          <w:rFonts w:hint="eastAsia" w:ascii="仿宋" w:hAnsi="仿宋" w:eastAsia="仿宋" w:cs="仿宋"/>
          <w:kern w:val="0"/>
          <w:sz w:val="24"/>
        </w:rPr>
      </w:pPr>
      <w:r>
        <w:rPr>
          <w:rFonts w:hint="eastAsia" w:ascii="仿宋" w:hAnsi="仿宋" w:eastAsia="仿宋" w:cs="仿宋"/>
          <w:kern w:val="0"/>
          <w:sz w:val="24"/>
        </w:rPr>
        <w:t>（2）中小企业声明函………………………………………………（页码）</w:t>
      </w: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spacing w:line="360" w:lineRule="auto"/>
        <w:ind w:left="2" w:firstLine="480" w:firstLineChars="200"/>
        <w:rPr>
          <w:rFonts w:hint="eastAsia" w:ascii="仿宋" w:hAnsi="仿宋" w:eastAsia="仿宋" w:cs="仿宋"/>
          <w:sz w:val="24"/>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snapToGrid w:val="0"/>
        <w:spacing w:line="360" w:lineRule="auto"/>
        <w:jc w:val="center"/>
        <w:rPr>
          <w:rFonts w:hint="eastAsia" w:ascii="仿宋" w:hAnsi="仿宋" w:eastAsia="仿宋" w:cs="仿宋"/>
          <w:sz w:val="24"/>
        </w:rPr>
        <w:sectPr>
          <w:pgSz w:w="11906" w:h="16838"/>
          <w:pgMar w:top="777" w:right="1418" w:bottom="471" w:left="1418" w:header="851" w:footer="992" w:gutter="0"/>
          <w:cols w:space="720" w:num="1"/>
          <w:docGrid w:linePitch="312" w:charSpace="0"/>
        </w:sectPr>
      </w:pPr>
    </w:p>
    <w:p>
      <w:pPr>
        <w:snapToGrid w:val="0"/>
        <w:spacing w:line="360" w:lineRule="auto"/>
        <w:rPr>
          <w:rFonts w:hint="eastAsia" w:ascii="仿宋" w:hAnsi="仿宋" w:eastAsia="仿宋" w:cs="仿宋"/>
          <w:sz w:val="24"/>
        </w:rPr>
      </w:pPr>
    </w:p>
    <w:p>
      <w:pPr>
        <w:pStyle w:val="697"/>
        <w:keepNext w:val="0"/>
        <w:pageBreakBefore w:val="0"/>
        <w:tabs>
          <w:tab w:val="clear" w:pos="720"/>
        </w:tabs>
        <w:snapToGrid w:val="0"/>
        <w:spacing w:before="120" w:after="120"/>
        <w:ind w:firstLine="640"/>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exact"/>
              <w:contextualSpacing/>
              <w:jc w:val="center"/>
              <w:rPr>
                <w:rFonts w:hint="eastAsia" w:ascii="仿宋" w:hAnsi="仿宋" w:eastAsia="仿宋" w:cs="仿宋"/>
                <w:sz w:val="24"/>
                <w:szCs w:val="24"/>
              </w:rPr>
            </w:pPr>
            <w:r>
              <w:rPr>
                <w:rFonts w:hint="eastAsia" w:ascii="仿宋" w:hAnsi="仿宋" w:eastAsia="仿宋" w:cs="仿宋"/>
                <w:sz w:val="24"/>
                <w:szCs w:val="24"/>
              </w:rPr>
              <w:t>序号</w:t>
            </w:r>
          </w:p>
        </w:tc>
        <w:tc>
          <w:tcPr>
            <w:tcW w:w="3119" w:type="dxa"/>
            <w:vAlign w:val="center"/>
          </w:tcPr>
          <w:p>
            <w:pPr>
              <w:spacing w:line="360" w:lineRule="exact"/>
              <w:contextualSpacing/>
              <w:jc w:val="center"/>
              <w:rPr>
                <w:rFonts w:hint="eastAsia" w:ascii="仿宋" w:hAnsi="仿宋" w:eastAsia="仿宋" w:cs="仿宋"/>
                <w:sz w:val="24"/>
                <w:szCs w:val="24"/>
              </w:rPr>
            </w:pPr>
            <w:r>
              <w:rPr>
                <w:rFonts w:hint="eastAsia" w:ascii="仿宋" w:hAnsi="仿宋" w:eastAsia="仿宋" w:cs="仿宋"/>
                <w:sz w:val="24"/>
                <w:szCs w:val="24"/>
              </w:rPr>
              <w:t>名称</w:t>
            </w:r>
          </w:p>
        </w:tc>
        <w:tc>
          <w:tcPr>
            <w:tcW w:w="1417" w:type="dxa"/>
            <w:vAlign w:val="center"/>
          </w:tcPr>
          <w:p>
            <w:pPr>
              <w:spacing w:line="360" w:lineRule="exact"/>
              <w:contextualSpacing/>
              <w:jc w:val="center"/>
              <w:rPr>
                <w:rFonts w:hint="eastAsia" w:ascii="仿宋" w:hAnsi="仿宋" w:eastAsia="仿宋" w:cs="仿宋"/>
                <w:sz w:val="24"/>
                <w:szCs w:val="24"/>
              </w:rPr>
            </w:pPr>
            <w:r>
              <w:rPr>
                <w:rFonts w:hint="eastAsia" w:ascii="仿宋" w:hAnsi="仿宋" w:eastAsia="仿宋" w:cs="仿宋"/>
                <w:sz w:val="24"/>
                <w:szCs w:val="24"/>
              </w:rPr>
              <w:t>单价</w:t>
            </w:r>
          </w:p>
        </w:tc>
        <w:tc>
          <w:tcPr>
            <w:tcW w:w="851" w:type="dxa"/>
            <w:vAlign w:val="center"/>
          </w:tcPr>
          <w:p>
            <w:pPr>
              <w:spacing w:line="360" w:lineRule="exact"/>
              <w:contextualSpacing/>
              <w:jc w:val="center"/>
              <w:rPr>
                <w:rFonts w:hint="eastAsia" w:ascii="仿宋" w:hAnsi="仿宋" w:eastAsia="仿宋" w:cs="仿宋"/>
                <w:sz w:val="24"/>
                <w:szCs w:val="24"/>
              </w:rPr>
            </w:pPr>
            <w:r>
              <w:rPr>
                <w:rFonts w:hint="eastAsia" w:ascii="仿宋" w:hAnsi="仿宋" w:eastAsia="仿宋" w:cs="仿宋"/>
                <w:sz w:val="24"/>
                <w:szCs w:val="24"/>
              </w:rPr>
              <w:t>数量</w:t>
            </w:r>
          </w:p>
        </w:tc>
        <w:tc>
          <w:tcPr>
            <w:tcW w:w="1417" w:type="dxa"/>
            <w:vAlign w:val="center"/>
          </w:tcPr>
          <w:p>
            <w:pPr>
              <w:spacing w:line="360" w:lineRule="exact"/>
              <w:contextualSpacing/>
              <w:jc w:val="center"/>
              <w:rPr>
                <w:rFonts w:hint="eastAsia" w:ascii="仿宋" w:hAnsi="仿宋" w:eastAsia="仿宋" w:cs="仿宋"/>
                <w:sz w:val="24"/>
                <w:szCs w:val="24"/>
              </w:rPr>
            </w:pPr>
            <w:r>
              <w:rPr>
                <w:rFonts w:hint="eastAsia" w:ascii="仿宋" w:hAnsi="仿宋" w:eastAsia="仿宋" w:cs="仿宋"/>
                <w:sz w:val="24"/>
                <w:szCs w:val="24"/>
              </w:rPr>
              <w:t>总价</w:t>
            </w:r>
          </w:p>
        </w:tc>
        <w:tc>
          <w:tcPr>
            <w:tcW w:w="965" w:type="dxa"/>
            <w:vAlign w:val="center"/>
          </w:tcPr>
          <w:p>
            <w:pPr>
              <w:spacing w:line="360" w:lineRule="exact"/>
              <w:contextualSpacing/>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1</w:t>
            </w:r>
          </w:p>
        </w:tc>
        <w:tc>
          <w:tcPr>
            <w:tcW w:w="3119" w:type="dxa"/>
            <w:vAlign w:val="bottom"/>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851"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965" w:type="dxa"/>
            <w:vAlign w:val="center"/>
          </w:tcPr>
          <w:p>
            <w:pPr>
              <w:spacing w:line="540" w:lineRule="exact"/>
              <w:contextualSpacing/>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2</w:t>
            </w:r>
          </w:p>
        </w:tc>
        <w:tc>
          <w:tcPr>
            <w:tcW w:w="3119" w:type="dxa"/>
            <w:vAlign w:val="bottom"/>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851"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965" w:type="dxa"/>
            <w:vAlign w:val="center"/>
          </w:tcPr>
          <w:p>
            <w:pPr>
              <w:spacing w:line="540" w:lineRule="exact"/>
              <w:contextualSpacing/>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3</w:t>
            </w:r>
          </w:p>
        </w:tc>
        <w:tc>
          <w:tcPr>
            <w:tcW w:w="3119" w:type="dxa"/>
            <w:vAlign w:val="bottom"/>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851"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965" w:type="dxa"/>
            <w:vAlign w:val="center"/>
          </w:tcPr>
          <w:p>
            <w:pPr>
              <w:spacing w:line="540" w:lineRule="exact"/>
              <w:contextualSpacing/>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4</w:t>
            </w:r>
          </w:p>
        </w:tc>
        <w:tc>
          <w:tcPr>
            <w:tcW w:w="3119" w:type="dxa"/>
            <w:vAlign w:val="bottom"/>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851"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965" w:type="dxa"/>
            <w:vAlign w:val="center"/>
          </w:tcPr>
          <w:p>
            <w:pPr>
              <w:spacing w:line="540" w:lineRule="exact"/>
              <w:contextualSpacing/>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5</w:t>
            </w:r>
          </w:p>
        </w:tc>
        <w:tc>
          <w:tcPr>
            <w:tcW w:w="3119" w:type="dxa"/>
            <w:vAlign w:val="bottom"/>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851"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965" w:type="dxa"/>
            <w:vAlign w:val="center"/>
          </w:tcPr>
          <w:p>
            <w:pPr>
              <w:spacing w:line="540" w:lineRule="exact"/>
              <w:contextualSpacing/>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6</w:t>
            </w:r>
          </w:p>
        </w:tc>
        <w:tc>
          <w:tcPr>
            <w:tcW w:w="3119" w:type="dxa"/>
            <w:vAlign w:val="bottom"/>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851"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965" w:type="dxa"/>
            <w:vAlign w:val="center"/>
          </w:tcPr>
          <w:p>
            <w:pPr>
              <w:spacing w:line="540" w:lineRule="exact"/>
              <w:contextualSpacing/>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7</w:t>
            </w:r>
          </w:p>
        </w:tc>
        <w:tc>
          <w:tcPr>
            <w:tcW w:w="3119"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851"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965" w:type="dxa"/>
            <w:vAlign w:val="center"/>
          </w:tcPr>
          <w:p>
            <w:pPr>
              <w:spacing w:line="540" w:lineRule="exact"/>
              <w:contextualSpacing/>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8</w:t>
            </w:r>
          </w:p>
        </w:tc>
        <w:tc>
          <w:tcPr>
            <w:tcW w:w="3119"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其他</w:t>
            </w:r>
          </w:p>
        </w:tc>
        <w:tc>
          <w:tcPr>
            <w:tcW w:w="1417" w:type="dxa"/>
            <w:vAlign w:val="center"/>
          </w:tcPr>
          <w:p>
            <w:pPr>
              <w:spacing w:line="540" w:lineRule="exact"/>
              <w:contextualSpacing/>
              <w:jc w:val="center"/>
              <w:rPr>
                <w:rFonts w:hint="eastAsia" w:ascii="仿宋" w:hAnsi="仿宋" w:eastAsia="仿宋" w:cs="仿宋"/>
                <w:sz w:val="24"/>
                <w:szCs w:val="24"/>
              </w:rPr>
            </w:pPr>
          </w:p>
        </w:tc>
        <w:tc>
          <w:tcPr>
            <w:tcW w:w="851"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965" w:type="dxa"/>
            <w:vAlign w:val="center"/>
          </w:tcPr>
          <w:p>
            <w:pPr>
              <w:spacing w:line="540" w:lineRule="exact"/>
              <w:contextualSpacing/>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w:t>
            </w:r>
          </w:p>
        </w:tc>
        <w:tc>
          <w:tcPr>
            <w:tcW w:w="3119" w:type="dxa"/>
            <w:vAlign w:val="center"/>
          </w:tcPr>
          <w:p>
            <w:pPr>
              <w:spacing w:line="540" w:lineRule="exact"/>
              <w:contextualSpacing/>
              <w:jc w:val="center"/>
              <w:rPr>
                <w:rFonts w:hint="eastAsia" w:ascii="仿宋" w:hAnsi="仿宋" w:eastAsia="仿宋" w:cs="仿宋"/>
                <w:sz w:val="24"/>
                <w:szCs w:val="24"/>
              </w:rPr>
            </w:pPr>
            <w:r>
              <w:rPr>
                <w:rFonts w:hint="eastAsia" w:ascii="仿宋" w:hAnsi="仿宋" w:eastAsia="仿宋" w:cs="仿宋"/>
                <w:sz w:val="24"/>
                <w:szCs w:val="24"/>
              </w:rPr>
              <w:t>……</w:t>
            </w:r>
          </w:p>
        </w:tc>
        <w:tc>
          <w:tcPr>
            <w:tcW w:w="1417" w:type="dxa"/>
            <w:vAlign w:val="center"/>
          </w:tcPr>
          <w:p>
            <w:pPr>
              <w:spacing w:line="540" w:lineRule="exact"/>
              <w:contextualSpacing/>
              <w:jc w:val="center"/>
              <w:rPr>
                <w:rFonts w:hint="eastAsia" w:ascii="仿宋" w:hAnsi="仿宋" w:eastAsia="仿宋" w:cs="仿宋"/>
                <w:sz w:val="24"/>
                <w:szCs w:val="24"/>
              </w:rPr>
            </w:pPr>
          </w:p>
        </w:tc>
        <w:tc>
          <w:tcPr>
            <w:tcW w:w="851" w:type="dxa"/>
            <w:vAlign w:val="center"/>
          </w:tcPr>
          <w:p>
            <w:pPr>
              <w:spacing w:line="540" w:lineRule="exact"/>
              <w:contextualSpacing/>
              <w:jc w:val="center"/>
              <w:rPr>
                <w:rFonts w:hint="eastAsia" w:ascii="仿宋" w:hAnsi="仿宋" w:eastAsia="仿宋" w:cs="仿宋"/>
                <w:sz w:val="24"/>
                <w:szCs w:val="24"/>
              </w:rPr>
            </w:pPr>
          </w:p>
        </w:tc>
        <w:tc>
          <w:tcPr>
            <w:tcW w:w="1417" w:type="dxa"/>
            <w:vAlign w:val="center"/>
          </w:tcPr>
          <w:p>
            <w:pPr>
              <w:spacing w:line="540" w:lineRule="exact"/>
              <w:contextualSpacing/>
              <w:jc w:val="center"/>
              <w:rPr>
                <w:rFonts w:hint="eastAsia" w:ascii="仿宋" w:hAnsi="仿宋" w:eastAsia="仿宋" w:cs="仿宋"/>
                <w:sz w:val="24"/>
                <w:szCs w:val="24"/>
              </w:rPr>
            </w:pPr>
          </w:p>
        </w:tc>
        <w:tc>
          <w:tcPr>
            <w:tcW w:w="965" w:type="dxa"/>
            <w:vAlign w:val="center"/>
          </w:tcPr>
          <w:p>
            <w:pPr>
              <w:spacing w:line="540" w:lineRule="exact"/>
              <w:contextualSpacing/>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pPr>
              <w:spacing w:line="540" w:lineRule="exact"/>
              <w:contextualSpacing/>
              <w:rPr>
                <w:rFonts w:hint="eastAsia" w:ascii="仿宋" w:hAnsi="仿宋" w:eastAsia="仿宋" w:cs="仿宋"/>
                <w:sz w:val="24"/>
                <w:szCs w:val="24"/>
              </w:rPr>
            </w:pPr>
            <w:r>
              <w:rPr>
                <w:rFonts w:hint="eastAsia" w:ascii="仿宋" w:hAnsi="仿宋" w:eastAsia="仿宋" w:cs="仿宋"/>
                <w:sz w:val="24"/>
                <w:szCs w:val="24"/>
              </w:rPr>
              <w:t>投标报价（小写）</w:t>
            </w:r>
          </w:p>
        </w:tc>
        <w:tc>
          <w:tcPr>
            <w:tcW w:w="2382" w:type="dxa"/>
            <w:gridSpan w:val="2"/>
            <w:shd w:val="clear" w:color="auto" w:fill="auto"/>
          </w:tcPr>
          <w:p>
            <w:pPr>
              <w:spacing w:line="540" w:lineRule="exact"/>
              <w:contextualSpacing/>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pPr>
              <w:spacing w:line="540" w:lineRule="exact"/>
              <w:contextualSpacing/>
              <w:rPr>
                <w:rFonts w:hint="eastAsia" w:ascii="仿宋" w:hAnsi="仿宋" w:eastAsia="仿宋" w:cs="仿宋"/>
                <w:sz w:val="24"/>
                <w:szCs w:val="24"/>
              </w:rPr>
            </w:pPr>
            <w:r>
              <w:rPr>
                <w:rFonts w:hint="eastAsia" w:ascii="仿宋" w:hAnsi="仿宋" w:eastAsia="仿宋" w:cs="仿宋"/>
                <w:sz w:val="24"/>
                <w:szCs w:val="24"/>
              </w:rPr>
              <w:t>投标报价（大写）</w:t>
            </w:r>
          </w:p>
        </w:tc>
        <w:tc>
          <w:tcPr>
            <w:tcW w:w="2382" w:type="dxa"/>
            <w:gridSpan w:val="2"/>
            <w:shd w:val="clear" w:color="auto" w:fill="auto"/>
          </w:tcPr>
          <w:p>
            <w:pPr>
              <w:spacing w:line="540" w:lineRule="exact"/>
              <w:contextualSpacing/>
              <w:rPr>
                <w:rFonts w:hint="eastAsia" w:ascii="仿宋" w:hAnsi="仿宋" w:eastAsia="仿宋" w:cs="仿宋"/>
                <w:sz w:val="24"/>
                <w:szCs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napToGrid w:val="0"/>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2、特别提示：采购代理机构将对项目名称和项目编号，中标供应商名称、地址和中标金额，主要中标标的的名称、规格型号、数量、单价、服务要求等予以公示。</w:t>
      </w:r>
    </w:p>
    <w:p>
      <w:pPr>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4、投标报价一经涂改，应在涂改处加盖单位公章或投标人代表签字（或盖章），否则其投标作无效标处理。</w:t>
      </w:r>
    </w:p>
    <w:p>
      <w:pPr>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5、投标报价应包括产品、产品标准配件、备品备件、专用工具、包装、工时、运输、装卸、保险、税金、设备保护、安装、调试与试运行、培训、保修、售后服务费、工程配套费、以及实施本项目所需的其他一切费用。</w:t>
      </w:r>
    </w:p>
    <w:p>
      <w:pPr>
        <w:spacing w:line="540" w:lineRule="exact"/>
        <w:contextualSpacing/>
        <w:rPr>
          <w:rFonts w:hint="eastAsia" w:ascii="仿宋" w:hAnsi="仿宋" w:eastAsia="仿宋" w:cs="仿宋"/>
          <w:sz w:val="24"/>
          <w:szCs w:val="24"/>
        </w:rPr>
      </w:pPr>
    </w:p>
    <w:p>
      <w:pPr>
        <w:spacing w:line="540" w:lineRule="exact"/>
        <w:ind w:right="960"/>
        <w:contextualSpacing/>
        <w:jc w:val="right"/>
        <w:rPr>
          <w:rFonts w:hint="eastAsia" w:ascii="仿宋" w:hAnsi="仿宋" w:eastAsia="仿宋" w:cs="仿宋"/>
          <w:sz w:val="24"/>
          <w:szCs w:val="24"/>
        </w:rPr>
      </w:pPr>
      <w:r>
        <w:rPr>
          <w:rFonts w:hint="eastAsia" w:ascii="仿宋" w:hAnsi="仿宋" w:eastAsia="仿宋" w:cs="仿宋"/>
          <w:sz w:val="24"/>
          <w:szCs w:val="24"/>
        </w:rPr>
        <w:t>投标人名称(电子签名)：</w:t>
      </w:r>
    </w:p>
    <w:p>
      <w:pPr>
        <w:pStyle w:val="697"/>
        <w:keepNext w:val="0"/>
        <w:pageBreakBefore w:val="0"/>
        <w:tabs>
          <w:tab w:val="clear" w:pos="720"/>
        </w:tabs>
        <w:snapToGrid w:val="0"/>
        <w:spacing w:before="120" w:after="120"/>
        <w:ind w:firstLine="643"/>
        <w:outlineLvl w:val="9"/>
        <w:rPr>
          <w:rFonts w:hint="eastAsia" w:ascii="仿宋" w:hAnsi="仿宋" w:eastAsia="仿宋" w:cs="仿宋"/>
          <w:b w:val="0"/>
          <w:kern w:val="2"/>
          <w:sz w:val="32"/>
          <w:szCs w:val="32"/>
        </w:rPr>
      </w:pPr>
      <w:r>
        <w:rPr>
          <w:rFonts w:hint="eastAsia" w:ascii="仿宋" w:hAnsi="仿宋" w:eastAsia="仿宋" w:cs="仿宋"/>
          <w:b w:val="0"/>
          <w:sz w:val="24"/>
          <w:szCs w:val="24"/>
        </w:rPr>
        <w:t xml:space="preserve">                               日期：   年   月   日</w:t>
      </w: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7"/>
        <w:keepNext w:val="0"/>
        <w:pageBreakBefore w:val="0"/>
        <w:tabs>
          <w:tab w:val="clear" w:pos="720"/>
        </w:tabs>
        <w:snapToGrid w:val="0"/>
        <w:spacing w:before="120" w:after="120"/>
        <w:jc w:val="both"/>
        <w:outlineLvl w:val="9"/>
        <w:rPr>
          <w:rFonts w:hint="eastAsia" w:ascii="仿宋" w:hAnsi="仿宋" w:eastAsia="仿宋" w:cs="仿宋"/>
          <w:kern w:val="2"/>
          <w:sz w:val="32"/>
          <w:szCs w:val="32"/>
        </w:rPr>
      </w:pPr>
    </w:p>
    <w:p>
      <w:pPr>
        <w:widowControl/>
        <w:jc w:val="left"/>
        <w:rPr>
          <w:rFonts w:hint="eastAsia" w:ascii="仿宋" w:hAnsi="仿宋" w:eastAsia="仿宋" w:cs="仿宋"/>
          <w:b/>
          <w:sz w:val="32"/>
          <w:szCs w:val="32"/>
        </w:rPr>
      </w:pPr>
      <w:r>
        <w:rPr>
          <w:rFonts w:hint="eastAsia" w:ascii="仿宋" w:hAnsi="仿宋" w:eastAsia="仿宋" w:cs="仿宋"/>
          <w:sz w:val="32"/>
          <w:szCs w:val="32"/>
        </w:rPr>
        <w:br w:type="page"/>
      </w:r>
    </w:p>
    <w:p>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765" w:right="1418" w:bottom="471" w:left="1418" w:header="851" w:footer="992" w:gutter="0"/>
          <w:cols w:space="720" w:num="1"/>
          <w:docGrid w:linePitch="312" w:charSpace="0"/>
        </w:sectPr>
      </w:pPr>
    </w:p>
    <w:p>
      <w:pPr>
        <w:pStyle w:val="697"/>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szCs w:val="24"/>
        </w:rPr>
        <w:t>货物全部由符合政策要求的中小企业（或小微企业）制造的，提供相应的中小企业声明函</w:t>
      </w:r>
      <w:r>
        <w:rPr>
          <w:rFonts w:hint="eastAsia" w:ascii="仿宋" w:hAnsi="仿宋" w:eastAsia="仿宋" w:cs="仿宋"/>
          <w:b/>
          <w:sz w:val="24"/>
        </w:rPr>
        <w:t>（附件3）。</w:t>
      </w:r>
    </w:p>
    <w:p>
      <w:pPr>
        <w:spacing w:line="360" w:lineRule="auto"/>
        <w:jc w:val="center"/>
        <w:outlineLvl w:val="0"/>
        <w:rPr>
          <w:rFonts w:hint="eastAsia" w:ascii="仿宋" w:hAnsi="仿宋" w:eastAsia="仿宋" w:cs="仿宋"/>
          <w:sz w:val="24"/>
        </w:rPr>
      </w:pPr>
    </w:p>
    <w:p>
      <w:pPr>
        <w:spacing w:line="360" w:lineRule="auto"/>
        <w:outlineLvl w:val="0"/>
        <w:rPr>
          <w:rFonts w:hint="eastAsia" w:ascii="仿宋" w:hAnsi="仿宋" w:eastAsia="仿宋" w:cs="仿宋"/>
          <w:sz w:val="24"/>
        </w:rPr>
      </w:pPr>
    </w:p>
    <w:p>
      <w:pPr>
        <w:spacing w:line="360" w:lineRule="auto"/>
        <w:jc w:val="center"/>
        <w:rPr>
          <w:rFonts w:hint="eastAsia" w:ascii="仿宋" w:hAnsi="仿宋" w:eastAsia="仿宋" w:cs="仿宋"/>
          <w:b/>
          <w:bCs/>
          <w:sz w:val="24"/>
        </w:rPr>
        <w:sectPr>
          <w:pgSz w:w="11906" w:h="16838"/>
          <w:pgMar w:top="765" w:right="1418" w:bottom="471" w:left="1418" w:header="851" w:footer="992" w:gutter="0"/>
          <w:cols w:space="720" w:num="1"/>
          <w:titlePg/>
          <w:docGrid w:linePitch="312" w:charSpace="0"/>
        </w:sectPr>
      </w:pPr>
    </w:p>
    <w:p>
      <w:pPr>
        <w:spacing w:line="360" w:lineRule="auto"/>
        <w:jc w:val="center"/>
        <w:rPr>
          <w:rFonts w:hint="eastAsia" w:ascii="仿宋" w:hAnsi="仿宋" w:eastAsia="仿宋" w:cs="仿宋"/>
          <w:b/>
          <w:spacing w:val="6"/>
          <w:sz w:val="44"/>
          <w:szCs w:val="44"/>
        </w:rPr>
      </w:pPr>
      <w:bookmarkStart w:id="555" w:name="_Toc465665161"/>
      <w:r>
        <w:rPr>
          <w:rFonts w:hint="eastAsia" w:ascii="仿宋" w:hAnsi="仿宋" w:eastAsia="仿宋" w:cs="仿宋"/>
          <w:b/>
          <w:spacing w:val="6"/>
          <w:sz w:val="44"/>
          <w:szCs w:val="44"/>
        </w:rPr>
        <w:t>附件</w:t>
      </w:r>
      <w:bookmarkEnd w:id="555"/>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56" w:name="OLE_LINK14"/>
      <w:bookmarkStart w:id="557" w:name="OLE_LINK13"/>
      <w:r>
        <w:rPr>
          <w:rFonts w:hint="eastAsia" w:ascii="仿宋" w:hAnsi="仿宋" w:eastAsia="仿宋" w:cs="仿宋"/>
          <w:b/>
          <w:spacing w:val="6"/>
          <w:sz w:val="32"/>
          <w:szCs w:val="32"/>
        </w:rPr>
        <w:t>残疾人福利性单位声明函</w:t>
      </w:r>
    </w:p>
    <w:bookmarkEnd w:id="556"/>
    <w:bookmarkEnd w:id="557"/>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 xml:space="preserve">                             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widowControl/>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附件2：</w:t>
      </w:r>
      <w:r>
        <w:rPr>
          <w:rFonts w:hint="eastAsia" w:ascii="仿宋" w:hAnsi="仿宋" w:eastAsia="仿宋" w:cs="仿宋"/>
          <w:b/>
          <w:kern w:val="0"/>
          <w:sz w:val="32"/>
          <w:szCs w:val="32"/>
          <w:lang w:val="zh-CN"/>
        </w:rPr>
        <w:t>联合协议（若有）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bookmarkStart w:id="558"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8"/>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中小企业合同金额达到  %，小微企业合同金额达到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rPr>
          <w:rFonts w:hint="eastAsia"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widowControl/>
        <w:spacing w:before="100" w:beforeAutospacing="1" w:after="100" w:afterAutospacing="1" w:line="420" w:lineRule="atLeas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中小企业声明函</w:t>
      </w:r>
    </w:p>
    <w:p>
      <w:pPr>
        <w:spacing w:line="360" w:lineRule="auto"/>
        <w:ind w:firstLine="420" w:firstLineChars="200"/>
        <w:rPr>
          <w:rFonts w:hint="eastAsia" w:ascii="仿宋" w:hAnsi="仿宋" w:eastAsia="仿宋" w:cs="仿宋"/>
          <w:szCs w:val="21"/>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w:t>
      </w:r>
      <w:r>
        <w:rPr>
          <w:rFonts w:hint="eastAsia" w:ascii="仿宋" w:hAnsi="仿宋" w:eastAsia="仿宋" w:cs="仿宋"/>
          <w:sz w:val="24"/>
        </w:rPr>
        <w:t>（联合体）</w:t>
      </w:r>
      <w:r>
        <w:rPr>
          <w:rFonts w:hint="eastAsia" w:ascii="仿宋" w:hAnsi="仿宋" w:eastAsia="仿宋" w:cs="仿宋"/>
          <w:sz w:val="24"/>
          <w:szCs w:val="24"/>
        </w:rPr>
        <w:t>郑重声明，根据《政府采购促进中小企业发展管理办法》（财库﹝2020﹞46 号）的规定，本公司参加</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采购活动，提供的货物全部由符合政策要求的中小企业制造。相关企业</w:t>
      </w:r>
      <w:r>
        <w:rPr>
          <w:rFonts w:hint="eastAsia" w:ascii="仿宋" w:hAnsi="仿宋" w:eastAsia="仿宋" w:cs="仿宋"/>
          <w:sz w:val="24"/>
        </w:rPr>
        <w:t>（含联合体中的中小企业）</w:t>
      </w:r>
      <w:r>
        <w:rPr>
          <w:rFonts w:hint="eastAsia" w:ascii="仿宋" w:hAnsi="仿宋" w:eastAsia="仿宋" w:cs="仿宋"/>
          <w:sz w:val="24"/>
          <w:szCs w:val="24"/>
        </w:rPr>
        <w:t>的具体情况如下：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sz w:val="24"/>
          <w:szCs w:val="24"/>
          <w:vertAlign w:val="superscript"/>
        </w:rPr>
        <w:t xml:space="preserve"> </w:t>
      </w:r>
      <w:r>
        <w:rPr>
          <w:rFonts w:hint="eastAsia" w:ascii="仿宋" w:hAnsi="仿宋" w:eastAsia="仿宋" w:cs="仿宋"/>
          <w:sz w:val="24"/>
          <w:szCs w:val="24"/>
        </w:rPr>
        <w:t>，属于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以上企业，不属于大企业的分支机构，不存在控股股东为大企业的情形，也不存在与大企业的负责人为同一人的情形。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pacing w:before="100" w:beforeAutospacing="1" w:after="100" w:afterAutospacing="1" w:line="420" w:lineRule="atLeast"/>
        <w:rPr>
          <w:rFonts w:hint="eastAsia" w:ascii="仿宋" w:hAnsi="仿宋" w:eastAsia="仿宋" w:cs="仿宋"/>
          <w:szCs w:val="21"/>
        </w:rPr>
      </w:pPr>
    </w:p>
    <w:p>
      <w:pPr>
        <w:spacing w:line="360" w:lineRule="auto"/>
        <w:ind w:right="1760"/>
        <w:jc w:val="right"/>
        <w:rPr>
          <w:rFonts w:hint="eastAsia" w:ascii="仿宋" w:hAnsi="仿宋" w:eastAsia="仿宋" w:cs="仿宋"/>
          <w:sz w:val="24"/>
        </w:rPr>
      </w:pP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rPr>
          <w:rFonts w:hint="eastAsia" w:ascii="仿宋" w:hAnsi="仿宋" w:eastAsia="仿宋" w:cs="仿宋"/>
          <w:sz w:val="24"/>
        </w:rPr>
      </w:pPr>
    </w:p>
    <w:p>
      <w:pPr>
        <w:widowControl/>
        <w:jc w:val="left"/>
        <w:rPr>
          <w:rFonts w:hint="eastAsia" w:ascii="仿宋" w:hAnsi="仿宋" w:eastAsia="仿宋" w:cs="仿宋"/>
        </w:rPr>
      </w:pPr>
      <w:r>
        <w:rPr>
          <w:rFonts w:hint="eastAsia" w:ascii="仿宋" w:hAnsi="仿宋" w:eastAsia="仿宋" w:cs="仿宋"/>
        </w:rPr>
        <w:br w:type="page"/>
      </w:r>
    </w:p>
    <w:p>
      <w:pPr>
        <w:autoSpaceDE w:val="0"/>
        <w:autoSpaceDN w:val="0"/>
        <w:jc w:val="left"/>
        <w:rPr>
          <w:rFonts w:hint="eastAsia" w:ascii="仿宋" w:hAnsi="仿宋" w:eastAsia="仿宋" w:cs="仿宋"/>
          <w:b/>
          <w:sz w:val="32"/>
          <w:szCs w:val="32"/>
        </w:rPr>
      </w:pPr>
      <w:bookmarkStart w:id="559" w:name="_Toc25802"/>
      <w:bookmarkStart w:id="560" w:name="_Toc18323"/>
      <w:r>
        <w:rPr>
          <w:rFonts w:hint="eastAsia" w:ascii="仿宋" w:hAnsi="仿宋" w:eastAsia="仿宋" w:cs="仿宋"/>
          <w:b/>
          <w:spacing w:val="6"/>
          <w:sz w:val="32"/>
          <w:szCs w:val="32"/>
        </w:rPr>
        <w:t>附件4：</w:t>
      </w:r>
      <w:r>
        <w:rPr>
          <w:rFonts w:hint="eastAsia" w:ascii="仿宋" w:hAnsi="仿宋" w:eastAsia="仿宋" w:cs="仿宋"/>
          <w:b/>
          <w:sz w:val="32"/>
          <w:szCs w:val="32"/>
        </w:rPr>
        <w:t>业务专用章使用说明函</w:t>
      </w:r>
    </w:p>
    <w:p>
      <w:pPr>
        <w:spacing w:line="360" w:lineRule="auto"/>
        <w:rPr>
          <w:rFonts w:hint="eastAsia" w:ascii="仿宋" w:hAnsi="仿宋" w:eastAsia="仿宋" w:cs="仿宋"/>
          <w:b/>
          <w:sz w:val="32"/>
          <w:szCs w:val="32"/>
        </w:rPr>
      </w:pPr>
    </w:p>
    <w:p>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业务专用章使用说明函</w:t>
      </w:r>
    </w:p>
    <w:p>
      <w:pPr>
        <w:spacing w:line="540" w:lineRule="exact"/>
        <w:contextualSpacing/>
        <w:rPr>
          <w:rFonts w:hint="eastAsia" w:ascii="仿宋" w:hAnsi="仿宋" w:eastAsia="仿宋" w:cs="仿宋"/>
          <w:sz w:val="24"/>
          <w:szCs w:val="24"/>
        </w:rPr>
      </w:pPr>
    </w:p>
    <w:p>
      <w:pPr>
        <w:spacing w:line="540" w:lineRule="exact"/>
        <w:contextualSpacing/>
        <w:rPr>
          <w:rFonts w:hint="eastAsia" w:ascii="仿宋" w:hAnsi="仿宋" w:eastAsia="仿宋" w:cs="仿宋"/>
          <w:sz w:val="24"/>
          <w:szCs w:val="24"/>
        </w:rPr>
      </w:pPr>
      <w:r>
        <w:rPr>
          <w:rFonts w:hint="eastAsia" w:ascii="仿宋" w:hAnsi="仿宋" w:eastAsia="仿宋" w:cs="仿宋"/>
          <w:sz w:val="24"/>
          <w:szCs w:val="24"/>
        </w:rPr>
        <w:t>（采购人）、（采购代理机构）：</w:t>
      </w:r>
    </w:p>
    <w:p>
      <w:pPr>
        <w:spacing w:line="54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540" w:lineRule="exact"/>
        <w:contextualSpacing/>
        <w:rPr>
          <w:rFonts w:hint="eastAsia" w:ascii="仿宋" w:hAnsi="仿宋" w:eastAsia="仿宋" w:cs="仿宋"/>
          <w:sz w:val="24"/>
          <w:szCs w:val="24"/>
        </w:rPr>
      </w:pPr>
      <w:r>
        <w:rPr>
          <w:rFonts w:hint="eastAsia" w:ascii="仿宋" w:hAnsi="仿宋" w:eastAsia="仿宋" w:cs="仿宋"/>
          <w:sz w:val="24"/>
          <w:szCs w:val="24"/>
        </w:rPr>
        <w:t>特此说明。</w:t>
      </w:r>
    </w:p>
    <w:p>
      <w:pPr>
        <w:spacing w:line="540" w:lineRule="exact"/>
        <w:contextualSpacing/>
        <w:rPr>
          <w:rFonts w:hint="eastAsia" w:ascii="仿宋" w:hAnsi="仿宋" w:eastAsia="仿宋" w:cs="仿宋"/>
          <w:sz w:val="24"/>
          <w:szCs w:val="24"/>
        </w:rPr>
      </w:pPr>
    </w:p>
    <w:p>
      <w:pPr>
        <w:spacing w:line="540" w:lineRule="exact"/>
        <w:contextualSpacing/>
        <w:rPr>
          <w:rFonts w:hint="eastAsia" w:ascii="仿宋" w:hAnsi="仿宋" w:eastAsia="仿宋" w:cs="仿宋"/>
          <w:sz w:val="24"/>
          <w:szCs w:val="24"/>
        </w:rPr>
      </w:pPr>
    </w:p>
    <w:p>
      <w:pPr>
        <w:spacing w:line="540" w:lineRule="exact"/>
        <w:ind w:firstLine="3600" w:firstLineChars="1500"/>
        <w:contextualSpacing/>
        <w:rPr>
          <w:rFonts w:hint="eastAsia" w:ascii="仿宋" w:hAnsi="仿宋" w:eastAsia="仿宋" w:cs="仿宋"/>
          <w:sz w:val="24"/>
          <w:szCs w:val="24"/>
        </w:rPr>
      </w:pPr>
      <w:r>
        <w:rPr>
          <w:rFonts w:hint="eastAsia" w:ascii="仿宋" w:hAnsi="仿宋" w:eastAsia="仿宋" w:cs="仿宋"/>
          <w:sz w:val="24"/>
          <w:szCs w:val="24"/>
        </w:rPr>
        <w:t>投标单位（法定名称章）：</w:t>
      </w:r>
    </w:p>
    <w:p>
      <w:pPr>
        <w:spacing w:line="540" w:lineRule="exact"/>
        <w:contextualSpacing/>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spacing w:line="540" w:lineRule="exact"/>
        <w:contextualSpacing/>
        <w:rPr>
          <w:rFonts w:hint="eastAsia" w:ascii="仿宋" w:hAnsi="仿宋" w:eastAsia="仿宋" w:cs="仿宋"/>
          <w:sz w:val="24"/>
          <w:szCs w:val="24"/>
        </w:rPr>
      </w:pPr>
      <w:r>
        <w:rPr>
          <w:rFonts w:hint="eastAsia" w:ascii="仿宋" w:hAnsi="仿宋" w:eastAsia="仿宋" w:cs="仿宋"/>
          <w:sz w:val="24"/>
          <w:szCs w:val="24"/>
        </w:rPr>
        <w:t>附：</w:t>
      </w:r>
    </w:p>
    <w:p>
      <w:pPr>
        <w:spacing w:line="540" w:lineRule="exact"/>
        <w:contextualSpacing/>
        <w:rPr>
          <w:rFonts w:hint="eastAsia" w:ascii="仿宋" w:hAnsi="仿宋" w:eastAsia="仿宋" w:cs="仿宋"/>
          <w:sz w:val="24"/>
          <w:szCs w:val="24"/>
        </w:rPr>
      </w:pPr>
      <w:r>
        <w:rPr>
          <w:rFonts w:hint="eastAsia" w:ascii="仿宋" w:hAnsi="仿宋" w:eastAsia="仿宋" w:cs="仿宋"/>
          <w:sz w:val="24"/>
          <w:szCs w:val="24"/>
        </w:rPr>
        <w:t>投标单位法定名称章（印模）                投标单位“XX专用章”（印模）</w:t>
      </w:r>
    </w:p>
    <w:p>
      <w:pPr>
        <w:spacing w:line="540" w:lineRule="exact"/>
        <w:contextualSpacing/>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0" t="0" r="635" b="6350"/>
                <wp:wrapNone/>
                <wp:docPr id="3" name="矩形 4"/>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kzKQ9cAAAAJAQAADwAAAAAAAAABACAAAAAiAAAAZHJzL2Rvd25yZXYu&#10;eG1sUEsBAhQAFAAAAAgAh07iQD6Vkb81AgAAcAQAAA4AAAAAAAAAAQAgAAAAJg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0" t="0" r="0" b="6350"/>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6VNQP1gAAAAgBAAAPAAAAAAAAAAEAIAAAACIAAABkcnMvZG93bnJldi54bWxQ&#10;SwECFAAUAAAACACHTuJAeCiDxjICAABwBAAADgAAAAAAAAABACAAAAAlAQAAZHJzL2Uyb0RvYy54&#10;bWxQSwUGAAAAAAYABgBZAQAAyQUAAAAA&#10;">
                <v:fill on="t" focussize="0,0"/>
                <v:stroke color="#000000" miterlimit="2" joinstyle="miter"/>
                <v:imagedata o:title=""/>
                <o:lock v:ext="edit" aspectratio="f"/>
              </v:rect>
            </w:pict>
          </mc:Fallback>
        </mc:AlternateContent>
      </w:r>
    </w:p>
    <w:p>
      <w:pPr>
        <w:spacing w:line="540" w:lineRule="exact"/>
        <w:contextualSpacing/>
        <w:rPr>
          <w:rFonts w:hint="eastAsia" w:ascii="仿宋" w:hAnsi="仿宋" w:eastAsia="仿宋" w:cs="仿宋"/>
          <w:sz w:val="24"/>
          <w:szCs w:val="24"/>
        </w:rPr>
      </w:pPr>
    </w:p>
    <w:p>
      <w:pPr>
        <w:spacing w:line="540" w:lineRule="exact"/>
        <w:contextualSpacing/>
        <w:rPr>
          <w:rFonts w:hint="eastAsia" w:ascii="仿宋" w:hAnsi="仿宋" w:eastAsia="仿宋" w:cs="仿宋"/>
          <w:sz w:val="24"/>
          <w:szCs w:val="24"/>
        </w:rPr>
      </w:pPr>
    </w:p>
    <w:p>
      <w:pPr>
        <w:spacing w:line="540" w:lineRule="exact"/>
        <w:contextualSpacing/>
        <w:rPr>
          <w:rFonts w:hint="eastAsia" w:ascii="仿宋" w:hAnsi="仿宋" w:eastAsia="仿宋" w:cs="仿宋"/>
          <w:sz w:val="24"/>
          <w:szCs w:val="24"/>
        </w:rPr>
      </w:pPr>
    </w:p>
    <w:p>
      <w:pPr>
        <w:spacing w:line="540" w:lineRule="exact"/>
        <w:contextualSpacing/>
        <w:rPr>
          <w:rFonts w:hint="eastAsia" w:ascii="仿宋" w:hAnsi="仿宋" w:eastAsia="仿宋" w:cs="仿宋"/>
          <w:sz w:val="24"/>
          <w:szCs w:val="24"/>
        </w:rPr>
      </w:pPr>
    </w:p>
    <w:p>
      <w:pPr>
        <w:spacing w:line="540" w:lineRule="exact"/>
        <w:contextualSpacing/>
        <w:rPr>
          <w:rFonts w:hint="eastAsia" w:ascii="仿宋" w:hAnsi="仿宋" w:eastAsia="仿宋" w:cs="仿宋"/>
          <w:sz w:val="24"/>
          <w:szCs w:val="24"/>
        </w:rPr>
      </w:pPr>
    </w:p>
    <w:p>
      <w:pPr>
        <w:spacing w:line="540" w:lineRule="exact"/>
        <w:contextualSpacing/>
        <w:rPr>
          <w:rFonts w:hint="eastAsia" w:ascii="仿宋" w:hAnsi="仿宋" w:eastAsia="仿宋" w:cs="仿宋"/>
          <w:sz w:val="24"/>
          <w:szCs w:val="24"/>
        </w:rPr>
      </w:pPr>
    </w:p>
    <w:p>
      <w:pPr>
        <w:spacing w:line="540" w:lineRule="exact"/>
        <w:contextualSpacing/>
        <w:rPr>
          <w:rFonts w:hint="eastAsia" w:ascii="仿宋" w:hAnsi="仿宋" w:eastAsia="仿宋" w:cs="仿宋"/>
          <w:sz w:val="24"/>
          <w:szCs w:val="24"/>
        </w:rPr>
      </w:pPr>
    </w:p>
    <w:p>
      <w:pPr>
        <w:spacing w:line="360" w:lineRule="auto"/>
        <w:rPr>
          <w:rFonts w:hint="eastAsia" w:ascii="仿宋" w:hAnsi="仿宋" w:eastAsia="仿宋" w:cs="仿宋"/>
          <w:b/>
          <w:spacing w:val="6"/>
          <w:sz w:val="32"/>
          <w:szCs w:val="32"/>
        </w:rPr>
      </w:pPr>
    </w:p>
    <w:p>
      <w:pPr>
        <w:widowControl/>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spacing w:line="360" w:lineRule="auto"/>
        <w:rPr>
          <w:rFonts w:hint="eastAsia" w:ascii="仿宋" w:hAnsi="仿宋" w:eastAsia="仿宋" w:cs="仿宋"/>
          <w:b/>
          <w:sz w:val="32"/>
          <w:szCs w:val="32"/>
        </w:rPr>
      </w:pPr>
      <w:r>
        <w:rPr>
          <w:rFonts w:hint="eastAsia" w:ascii="仿宋" w:hAnsi="仿宋" w:eastAsia="仿宋" w:cs="仿宋"/>
          <w:b/>
          <w:spacing w:val="6"/>
          <w:sz w:val="32"/>
          <w:szCs w:val="32"/>
        </w:rPr>
        <w:t>附件5：</w:t>
      </w:r>
    </w:p>
    <w:bookmarkEnd w:id="559"/>
    <w:bookmarkEnd w:id="560"/>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政  采  贷</w:t>
      </w:r>
    </w:p>
    <w:p>
      <w:pPr>
        <w:spacing w:line="54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银行名称</w:t>
            </w:r>
          </w:p>
        </w:tc>
        <w:tc>
          <w:tcPr>
            <w:tcW w:w="3975"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各银行介绍的产品特点</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经办人</w:t>
            </w:r>
          </w:p>
        </w:tc>
        <w:tc>
          <w:tcPr>
            <w:tcW w:w="1908"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中国工商银行股份有限公司舟山分行</w:t>
            </w:r>
          </w:p>
        </w:tc>
        <w:tc>
          <w:tcPr>
            <w:tcW w:w="3975" w:type="dxa"/>
          </w:tcPr>
          <w:p>
            <w:pPr>
              <w:numPr>
                <w:ilvl w:val="0"/>
                <w:numId w:val="3"/>
              </w:numPr>
              <w:spacing w:line="400" w:lineRule="exact"/>
              <w:contextualSpacing/>
              <w:rPr>
                <w:rFonts w:hint="eastAsia" w:ascii="仿宋" w:hAnsi="仿宋" w:eastAsia="仿宋" w:cs="仿宋"/>
                <w:sz w:val="24"/>
                <w:szCs w:val="24"/>
              </w:rPr>
            </w:pPr>
            <w:r>
              <w:rPr>
                <w:rFonts w:hint="eastAsia" w:ascii="仿宋" w:hAnsi="仿宋" w:eastAsia="仿宋" w:cs="仿宋"/>
                <w:sz w:val="24"/>
                <w:szCs w:val="24"/>
              </w:rPr>
              <w:t>融资额度高，融资金额最高可至订单金额70%，线上申请，随借随还。2.融资利率低，最低可至当期LPR利率。</w:t>
            </w:r>
          </w:p>
          <w:p>
            <w:pPr>
              <w:spacing w:line="400" w:lineRule="exact"/>
              <w:contextualSpacing/>
              <w:rPr>
                <w:rFonts w:hint="eastAsia" w:ascii="仿宋" w:hAnsi="仿宋" w:eastAsia="仿宋" w:cs="仿宋"/>
                <w:sz w:val="24"/>
              </w:rPr>
            </w:pPr>
            <w:r>
              <w:rPr>
                <w:rFonts w:hint="eastAsia" w:ascii="仿宋" w:hAnsi="仿宋" w:eastAsia="仿宋" w:cs="仿宋"/>
                <w:sz w:val="24"/>
                <w:szCs w:val="24"/>
              </w:rPr>
              <w:t>3.担保方式灵活，以政府采购合同进行融资，无需另外抵押。</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柳超颖</w:t>
            </w:r>
          </w:p>
        </w:tc>
        <w:tc>
          <w:tcPr>
            <w:tcW w:w="1908"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中国建设银行股份有限公司舟山分行</w:t>
            </w:r>
          </w:p>
        </w:tc>
        <w:tc>
          <w:tcPr>
            <w:tcW w:w="3975" w:type="dxa"/>
          </w:tcPr>
          <w:p>
            <w:pPr>
              <w:numPr>
                <w:ilvl w:val="0"/>
                <w:numId w:val="4"/>
              </w:numPr>
              <w:spacing w:line="400" w:lineRule="exact"/>
              <w:contextualSpacing/>
              <w:rPr>
                <w:rFonts w:hint="eastAsia" w:ascii="仿宋" w:hAnsi="仿宋" w:eastAsia="仿宋" w:cs="仿宋"/>
                <w:sz w:val="24"/>
              </w:rPr>
            </w:pPr>
            <w:r>
              <w:rPr>
                <w:rFonts w:hint="eastAsia" w:ascii="仿宋" w:hAnsi="仿宋" w:eastAsia="仿宋" w:cs="仿宋"/>
                <w:sz w:val="24"/>
              </w:rPr>
              <w:t>快速便捷：全流程线上操作，通过浙江省政府采购网数据审核信用额度，建行供应链平台快速放款。</w:t>
            </w:r>
          </w:p>
          <w:p>
            <w:pPr>
              <w:numPr>
                <w:ilvl w:val="0"/>
                <w:numId w:val="4"/>
              </w:numPr>
              <w:spacing w:line="400" w:lineRule="exact"/>
              <w:contextualSpacing/>
              <w:rPr>
                <w:rFonts w:hint="eastAsia" w:ascii="仿宋" w:hAnsi="仿宋" w:eastAsia="仿宋" w:cs="仿宋"/>
                <w:sz w:val="24"/>
              </w:rPr>
            </w:pPr>
            <w:r>
              <w:rPr>
                <w:rFonts w:hint="eastAsia" w:ascii="仿宋" w:hAnsi="仿宋" w:eastAsia="仿宋" w:cs="仿宋"/>
                <w:sz w:val="24"/>
              </w:rPr>
              <w:t>申请额度高：单笔融资额度最高可达政府采购合同金额的90%，单户额度最高可达3000万。</w:t>
            </w:r>
          </w:p>
          <w:p>
            <w:pPr>
              <w:numPr>
                <w:ilvl w:val="0"/>
                <w:numId w:val="4"/>
              </w:numPr>
              <w:spacing w:line="400" w:lineRule="exact"/>
              <w:contextualSpacing/>
              <w:rPr>
                <w:rFonts w:hint="eastAsia" w:ascii="仿宋" w:hAnsi="仿宋" w:eastAsia="仿宋" w:cs="仿宋"/>
                <w:sz w:val="24"/>
              </w:rPr>
            </w:pPr>
            <w:r>
              <w:rPr>
                <w:rFonts w:hint="eastAsia" w:ascii="仿宋" w:hAnsi="仿宋" w:eastAsia="仿宋" w:cs="仿宋"/>
                <w:sz w:val="24"/>
              </w:rPr>
              <w:t>无需额外抵押：以浙江省政府采购网备案公示的政府采购合同进行融资，无需额外抵押担保。</w:t>
            </w:r>
          </w:p>
          <w:p>
            <w:pPr>
              <w:numPr>
                <w:ilvl w:val="0"/>
                <w:numId w:val="4"/>
              </w:numPr>
              <w:spacing w:line="400" w:lineRule="exact"/>
              <w:contextualSpacing/>
              <w:rPr>
                <w:rFonts w:hint="eastAsia" w:ascii="仿宋" w:hAnsi="仿宋" w:eastAsia="仿宋" w:cs="仿宋"/>
                <w:sz w:val="24"/>
              </w:rPr>
            </w:pPr>
            <w:r>
              <w:rPr>
                <w:rFonts w:hint="eastAsia" w:ascii="仿宋" w:hAnsi="仿宋" w:eastAsia="仿宋" w:cs="仿宋"/>
                <w:sz w:val="24"/>
              </w:rPr>
              <w:t>利率优惠：给予流动资金贷款最优惠利率。</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普陀片区：蔡妮妮</w:t>
            </w:r>
          </w:p>
          <w:p>
            <w:pPr>
              <w:spacing w:line="400" w:lineRule="exact"/>
              <w:contextualSpacing/>
              <w:jc w:val="center"/>
              <w:rPr>
                <w:rFonts w:hint="eastAsia" w:ascii="仿宋" w:hAnsi="仿宋" w:eastAsia="仿宋" w:cs="仿宋"/>
                <w:sz w:val="24"/>
              </w:rPr>
            </w:pPr>
            <w:r>
              <w:rPr>
                <w:rFonts w:hint="eastAsia" w:ascii="仿宋" w:hAnsi="仿宋" w:eastAsia="仿宋" w:cs="仿宋"/>
                <w:sz w:val="24"/>
              </w:rPr>
              <w:t>定海片区：杨莹</w:t>
            </w:r>
          </w:p>
          <w:p>
            <w:pPr>
              <w:spacing w:line="400" w:lineRule="exact"/>
              <w:contextualSpacing/>
              <w:jc w:val="center"/>
              <w:rPr>
                <w:rFonts w:hint="eastAsia" w:ascii="仿宋" w:hAnsi="仿宋" w:eastAsia="仿宋" w:cs="仿宋"/>
                <w:sz w:val="24"/>
              </w:rPr>
            </w:pPr>
            <w:r>
              <w:rPr>
                <w:rFonts w:hint="eastAsia" w:ascii="仿宋" w:hAnsi="仿宋" w:eastAsia="仿宋" w:cs="仿宋"/>
                <w:sz w:val="24"/>
              </w:rPr>
              <w:t>自贸区片区：方晓</w:t>
            </w:r>
          </w:p>
        </w:tc>
        <w:tc>
          <w:tcPr>
            <w:tcW w:w="1908"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普陀片区：13957201791</w:t>
            </w:r>
          </w:p>
          <w:p>
            <w:pPr>
              <w:spacing w:line="400" w:lineRule="exact"/>
              <w:contextualSpacing/>
              <w:rPr>
                <w:rFonts w:hint="eastAsia" w:ascii="仿宋" w:hAnsi="仿宋" w:eastAsia="仿宋" w:cs="仿宋"/>
                <w:sz w:val="24"/>
              </w:rPr>
            </w:pPr>
            <w:r>
              <w:rPr>
                <w:rFonts w:hint="eastAsia" w:ascii="仿宋" w:hAnsi="仿宋" w:eastAsia="仿宋" w:cs="仿宋"/>
                <w:sz w:val="24"/>
              </w:rPr>
              <w:t>定海片区：13655803997</w:t>
            </w:r>
          </w:p>
          <w:p>
            <w:pPr>
              <w:spacing w:line="400" w:lineRule="exact"/>
              <w:contextualSpacing/>
              <w:rPr>
                <w:rFonts w:hint="eastAsia" w:ascii="仿宋" w:hAnsi="仿宋" w:eastAsia="仿宋" w:cs="仿宋"/>
                <w:sz w:val="24"/>
              </w:rPr>
            </w:pPr>
            <w:r>
              <w:rPr>
                <w:rFonts w:hint="eastAsia" w:ascii="仿宋" w:hAnsi="仿宋" w:eastAsia="仿宋" w:cs="仿宋"/>
                <w:sz w:val="24"/>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杭州银行股份有限公司舟山市分行</w:t>
            </w:r>
          </w:p>
        </w:tc>
        <w:tc>
          <w:tcPr>
            <w:tcW w:w="3975" w:type="dxa"/>
          </w:tcPr>
          <w:p>
            <w:pPr>
              <w:spacing w:line="400" w:lineRule="exact"/>
              <w:contextualSpacing/>
              <w:rPr>
                <w:rFonts w:hint="eastAsia" w:ascii="仿宋" w:hAnsi="仿宋" w:eastAsia="仿宋" w:cs="仿宋"/>
                <w:sz w:val="24"/>
              </w:rPr>
            </w:pPr>
            <w:r>
              <w:rPr>
                <w:rFonts w:hint="eastAsia" w:ascii="仿宋" w:hAnsi="仿宋" w:eastAsia="仿宋" w:cs="仿宋"/>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方经理</w:t>
            </w:r>
          </w:p>
        </w:tc>
        <w:tc>
          <w:tcPr>
            <w:tcW w:w="1908"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招商银行股份有限公司浙江自贸试验区舟山分行</w:t>
            </w:r>
          </w:p>
        </w:tc>
        <w:tc>
          <w:tcPr>
            <w:tcW w:w="3975" w:type="dxa"/>
          </w:tcPr>
          <w:p>
            <w:pPr>
              <w:spacing w:line="400" w:lineRule="exact"/>
              <w:rPr>
                <w:rFonts w:hint="eastAsia" w:ascii="仿宋" w:hAnsi="仿宋" w:eastAsia="仿宋" w:cs="仿宋"/>
              </w:rPr>
            </w:pPr>
            <w:r>
              <w:rPr>
                <w:rFonts w:hint="eastAsia" w:ascii="仿宋" w:hAnsi="仿宋" w:eastAsia="仿宋" w:cs="仿宋"/>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李玲</w:t>
            </w:r>
          </w:p>
        </w:tc>
        <w:tc>
          <w:tcPr>
            <w:tcW w:w="1908"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温州银行股份有限公司舟山市分行</w:t>
            </w:r>
          </w:p>
        </w:tc>
        <w:tc>
          <w:tcPr>
            <w:tcW w:w="3975" w:type="dxa"/>
          </w:tcPr>
          <w:p>
            <w:pPr>
              <w:numPr>
                <w:ilvl w:val="0"/>
                <w:numId w:val="5"/>
              </w:numPr>
              <w:spacing w:line="400" w:lineRule="exact"/>
              <w:contextualSpacing/>
              <w:rPr>
                <w:rFonts w:hint="eastAsia" w:ascii="仿宋" w:hAnsi="仿宋" w:eastAsia="仿宋" w:cs="仿宋"/>
                <w:sz w:val="24"/>
              </w:rPr>
            </w:pPr>
            <w:r>
              <w:rPr>
                <w:rFonts w:hint="eastAsia" w:ascii="仿宋" w:hAnsi="仿宋" w:eastAsia="仿宋" w:cs="仿宋"/>
                <w:sz w:val="24"/>
              </w:rPr>
              <w:t>单户授信敞口最高不超过1000万元，且最高额度核定一般不超过借款人（含实际控制人控制的其他经营实体）最近13个月合计有效中标合同金额的70%。</w:t>
            </w:r>
          </w:p>
          <w:p>
            <w:pPr>
              <w:numPr>
                <w:ilvl w:val="0"/>
                <w:numId w:val="5"/>
              </w:numPr>
              <w:spacing w:line="400" w:lineRule="exact"/>
              <w:contextualSpacing/>
              <w:rPr>
                <w:rFonts w:hint="eastAsia" w:ascii="仿宋" w:hAnsi="仿宋" w:eastAsia="仿宋" w:cs="仿宋"/>
                <w:sz w:val="24"/>
              </w:rPr>
            </w:pPr>
            <w:r>
              <w:rPr>
                <w:rFonts w:hint="eastAsia" w:ascii="仿宋" w:hAnsi="仿宋" w:eastAsia="仿宋" w:cs="仿宋"/>
                <w:sz w:val="24"/>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5"/>
              </w:numPr>
              <w:spacing w:line="400" w:lineRule="exact"/>
              <w:contextualSpacing/>
              <w:rPr>
                <w:rFonts w:hint="eastAsia" w:ascii="仿宋" w:hAnsi="仿宋" w:eastAsia="仿宋" w:cs="仿宋"/>
                <w:sz w:val="24"/>
              </w:rPr>
            </w:pPr>
            <w:r>
              <w:rPr>
                <w:rFonts w:hint="eastAsia" w:ascii="仿宋" w:hAnsi="仿宋" w:eastAsia="仿宋" w:cs="仿宋"/>
                <w:sz w:val="24"/>
              </w:rPr>
              <w:t>借款人中标采购人自行采购项目并向我行发起授信申请的，单笔业务授信敞口不超500万元，且不超过借款人中标通知书承载的中标金额或本次申请授信提供的采购合同的80%。</w:t>
            </w:r>
          </w:p>
          <w:p>
            <w:pPr>
              <w:numPr>
                <w:ilvl w:val="0"/>
                <w:numId w:val="5"/>
              </w:numPr>
              <w:spacing w:line="400" w:lineRule="exact"/>
              <w:contextualSpacing/>
              <w:rPr>
                <w:rFonts w:hint="eastAsia" w:ascii="仿宋" w:hAnsi="仿宋" w:eastAsia="仿宋" w:cs="仿宋"/>
                <w:sz w:val="24"/>
              </w:rPr>
            </w:pPr>
            <w:r>
              <w:rPr>
                <w:rFonts w:hint="eastAsia" w:ascii="仿宋" w:hAnsi="仿宋" w:eastAsia="仿宋" w:cs="仿宋"/>
                <w:sz w:val="24"/>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郑贤栋</w:t>
            </w:r>
          </w:p>
        </w:tc>
        <w:tc>
          <w:tcPr>
            <w:tcW w:w="1908"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交通银行股份有限公司舟山分行</w:t>
            </w:r>
          </w:p>
        </w:tc>
        <w:tc>
          <w:tcPr>
            <w:tcW w:w="3975" w:type="dxa"/>
          </w:tcPr>
          <w:p>
            <w:pPr>
              <w:spacing w:line="400" w:lineRule="exact"/>
              <w:contextualSpacing/>
              <w:rPr>
                <w:rFonts w:hint="eastAsia" w:ascii="仿宋" w:hAnsi="仿宋" w:eastAsia="仿宋" w:cs="仿宋"/>
                <w:sz w:val="24"/>
              </w:rPr>
            </w:pPr>
            <w:r>
              <w:rPr>
                <w:rFonts w:hint="eastAsia" w:ascii="仿宋" w:hAnsi="仿宋" w:eastAsia="仿宋" w:cs="仿宋"/>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rPr>
              <w:t>PR。</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赵争艳</w:t>
            </w:r>
          </w:p>
        </w:tc>
        <w:tc>
          <w:tcPr>
            <w:tcW w:w="1908"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0580-2260728</w:t>
            </w:r>
          </w:p>
          <w:p>
            <w:pPr>
              <w:spacing w:line="400" w:lineRule="exact"/>
              <w:contextualSpacing/>
              <w:rPr>
                <w:rFonts w:hint="eastAsia" w:ascii="仿宋" w:hAnsi="仿宋" w:eastAsia="仿宋" w:cs="仿宋"/>
                <w:sz w:val="24"/>
              </w:rPr>
            </w:pPr>
            <w:r>
              <w:rPr>
                <w:rFonts w:hint="eastAsia" w:ascii="仿宋" w:hAnsi="仿宋" w:eastAsia="仿宋" w:cs="仿宋"/>
                <w:sz w:val="24"/>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中信银行股份有限公司舟山分行</w:t>
            </w:r>
          </w:p>
        </w:tc>
        <w:tc>
          <w:tcPr>
            <w:tcW w:w="3975" w:type="dxa"/>
          </w:tcPr>
          <w:p>
            <w:pPr>
              <w:spacing w:line="400" w:lineRule="exact"/>
              <w:contextualSpacing/>
              <w:rPr>
                <w:rFonts w:hint="eastAsia" w:ascii="仿宋" w:hAnsi="仿宋" w:eastAsia="仿宋" w:cs="仿宋"/>
                <w:sz w:val="24"/>
              </w:rPr>
            </w:pPr>
            <w:r>
              <w:rPr>
                <w:rFonts w:hint="eastAsia" w:ascii="仿宋" w:hAnsi="仿宋" w:eastAsia="仿宋" w:cs="仿宋"/>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黄丽</w:t>
            </w:r>
          </w:p>
        </w:tc>
        <w:tc>
          <w:tcPr>
            <w:tcW w:w="1908"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泰隆银行舟山市分行</w:t>
            </w:r>
          </w:p>
        </w:tc>
        <w:tc>
          <w:tcPr>
            <w:tcW w:w="3975" w:type="dxa"/>
          </w:tcPr>
          <w:p>
            <w:pPr>
              <w:spacing w:line="400" w:lineRule="exact"/>
              <w:contextualSpacing/>
              <w:rPr>
                <w:rFonts w:hint="eastAsia" w:ascii="仿宋" w:hAnsi="仿宋" w:eastAsia="仿宋" w:cs="仿宋"/>
                <w:sz w:val="24"/>
              </w:rPr>
            </w:pPr>
            <w:r>
              <w:rPr>
                <w:rFonts w:hint="eastAsia" w:ascii="仿宋" w:hAnsi="仿宋" w:eastAsia="仿宋" w:cs="仿宋"/>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胡亢宇</w:t>
            </w:r>
          </w:p>
        </w:tc>
        <w:tc>
          <w:tcPr>
            <w:tcW w:w="1908"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中国农业银行股份有限公司舟山分行</w:t>
            </w:r>
          </w:p>
        </w:tc>
        <w:tc>
          <w:tcPr>
            <w:tcW w:w="3975" w:type="dxa"/>
          </w:tcPr>
          <w:p>
            <w:pPr>
              <w:spacing w:line="400" w:lineRule="exact"/>
              <w:contextualSpacing/>
              <w:rPr>
                <w:rFonts w:hint="eastAsia" w:ascii="仿宋" w:hAnsi="仿宋" w:eastAsia="仿宋" w:cs="仿宋"/>
                <w:sz w:val="24"/>
              </w:rPr>
            </w:pPr>
            <w:r>
              <w:rPr>
                <w:rFonts w:hint="eastAsia" w:ascii="仿宋" w:hAnsi="仿宋" w:eastAsia="仿宋" w:cs="仿宋"/>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苏华瞻</w:t>
            </w:r>
          </w:p>
        </w:tc>
        <w:tc>
          <w:tcPr>
            <w:tcW w:w="1908"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中国邮政储蓄银行股份有限公司舟山市分行</w:t>
            </w:r>
          </w:p>
        </w:tc>
        <w:tc>
          <w:tcPr>
            <w:tcW w:w="3975" w:type="dxa"/>
          </w:tcPr>
          <w:p>
            <w:pPr>
              <w:tabs>
                <w:tab w:val="left" w:pos="0"/>
              </w:tabs>
              <w:spacing w:line="400" w:lineRule="exact"/>
              <w:rPr>
                <w:rFonts w:hint="eastAsia" w:ascii="仿宋" w:hAnsi="仿宋" w:eastAsia="仿宋" w:cs="仿宋"/>
                <w:sz w:val="24"/>
              </w:rPr>
            </w:pPr>
            <w:r>
              <w:rPr>
                <w:rFonts w:hint="eastAsia" w:ascii="仿宋" w:hAnsi="仿宋" w:eastAsia="仿宋" w:cs="仿宋"/>
                <w:sz w:val="24"/>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pPr>
              <w:spacing w:line="400" w:lineRule="exact"/>
              <w:contextualSpacing/>
              <w:jc w:val="center"/>
              <w:rPr>
                <w:rFonts w:hint="eastAsia" w:ascii="仿宋" w:hAnsi="仿宋" w:eastAsia="仿宋" w:cs="仿宋"/>
                <w:sz w:val="24"/>
              </w:rPr>
            </w:pPr>
            <w:r>
              <w:rPr>
                <w:rFonts w:hint="eastAsia" w:ascii="仿宋" w:hAnsi="仿宋" w:eastAsia="仿宋" w:cs="仿宋"/>
                <w:sz w:val="24"/>
              </w:rPr>
              <w:t>蒋志燕</w:t>
            </w:r>
          </w:p>
        </w:tc>
        <w:tc>
          <w:tcPr>
            <w:tcW w:w="1908" w:type="dxa"/>
            <w:vAlign w:val="center"/>
          </w:tcPr>
          <w:p>
            <w:pPr>
              <w:spacing w:line="400" w:lineRule="exact"/>
              <w:contextualSpacing/>
              <w:rPr>
                <w:rFonts w:hint="eastAsia" w:ascii="仿宋" w:hAnsi="仿宋" w:eastAsia="仿宋" w:cs="仿宋"/>
                <w:sz w:val="24"/>
              </w:rPr>
            </w:pPr>
            <w:r>
              <w:rPr>
                <w:rFonts w:hint="eastAsia" w:ascii="仿宋" w:hAnsi="仿宋" w:eastAsia="仿宋" w:cs="仿宋"/>
                <w:sz w:val="24"/>
              </w:rPr>
              <w:t>13732527321</w:t>
            </w:r>
          </w:p>
        </w:tc>
      </w:tr>
    </w:tbl>
    <w:p>
      <w:pPr>
        <w:spacing w:line="360" w:lineRule="auto"/>
        <w:contextualSpacing/>
        <w:rPr>
          <w:rFonts w:hint="eastAsia" w:ascii="仿宋" w:hAnsi="仿宋" w:eastAsia="仿宋" w:cs="仿宋"/>
          <w:sz w:val="24"/>
        </w:rPr>
      </w:pPr>
      <w:r>
        <w:rPr>
          <w:rFonts w:hint="eastAsia" w:ascii="仿宋" w:hAnsi="仿宋" w:eastAsia="仿宋" w:cs="仿宋"/>
          <w:sz w:val="24"/>
        </w:rPr>
        <w:t>1. 一般步骤</w:t>
      </w:r>
    </w:p>
    <w:p>
      <w:pPr>
        <w:spacing w:line="360" w:lineRule="auto"/>
        <w:contextualSpacing/>
        <w:rPr>
          <w:rFonts w:hint="eastAsia" w:ascii="仿宋" w:hAnsi="仿宋" w:eastAsia="仿宋" w:cs="仿宋"/>
          <w:sz w:val="24"/>
        </w:rPr>
      </w:pPr>
      <w:r>
        <w:rPr>
          <w:rFonts w:hint="eastAsia" w:ascii="仿宋" w:hAnsi="仿宋" w:eastAsia="仿宋" w:cs="仿宋"/>
          <w:sz w:val="24"/>
        </w:rPr>
        <w:t>（1）供应商先与银行对接，办理融资前期手续；</w:t>
      </w:r>
    </w:p>
    <w:p>
      <w:pPr>
        <w:spacing w:line="360" w:lineRule="auto"/>
        <w:contextualSpacing/>
        <w:rPr>
          <w:rFonts w:hint="eastAsia" w:ascii="仿宋" w:hAnsi="仿宋" w:eastAsia="仿宋" w:cs="仿宋"/>
          <w:sz w:val="24"/>
        </w:rPr>
      </w:pPr>
      <w:r>
        <w:rPr>
          <w:rFonts w:hint="eastAsia" w:ascii="仿宋" w:hAnsi="仿宋" w:eastAsia="仿宋" w:cs="仿宋"/>
          <w:sz w:val="24"/>
        </w:rPr>
        <w:t>（2）供应商成交后，凭成交通知书等材料，向相关合作银行发出融资申请；</w:t>
      </w:r>
    </w:p>
    <w:p>
      <w:pPr>
        <w:spacing w:line="360" w:lineRule="auto"/>
        <w:contextualSpacing/>
        <w:rPr>
          <w:rFonts w:hint="eastAsia" w:ascii="仿宋" w:hAnsi="仿宋" w:eastAsia="仿宋" w:cs="仿宋"/>
          <w:sz w:val="24"/>
        </w:rPr>
      </w:pPr>
      <w:r>
        <w:rPr>
          <w:rFonts w:hint="eastAsia" w:ascii="仿宋" w:hAnsi="仿宋" w:eastAsia="仿宋" w:cs="仿宋"/>
          <w:sz w:val="24"/>
        </w:rPr>
        <w:t>（3）银行、供应商线上办理审批、放贷事宜。</w:t>
      </w:r>
    </w:p>
    <w:p>
      <w:pPr>
        <w:spacing w:line="360" w:lineRule="auto"/>
        <w:contextualSpacing/>
        <w:rPr>
          <w:rFonts w:hint="eastAsia" w:ascii="仿宋" w:hAnsi="仿宋" w:eastAsia="仿宋" w:cs="仿宋"/>
          <w:sz w:val="24"/>
        </w:rPr>
      </w:pPr>
      <w:r>
        <w:rPr>
          <w:rFonts w:hint="eastAsia" w:ascii="仿宋" w:hAnsi="仿宋" w:eastAsia="仿宋" w:cs="仿宋"/>
          <w:sz w:val="24"/>
        </w:rPr>
        <w:t>2. 注意事项</w:t>
      </w:r>
    </w:p>
    <w:p>
      <w:pPr>
        <w:spacing w:line="360" w:lineRule="auto"/>
        <w:contextualSpacing/>
        <w:rPr>
          <w:rFonts w:hint="eastAsia" w:ascii="仿宋" w:hAnsi="仿宋" w:eastAsia="仿宋" w:cs="仿宋"/>
          <w:sz w:val="24"/>
        </w:rPr>
      </w:pPr>
      <w:r>
        <w:rPr>
          <w:rFonts w:hint="eastAsia" w:ascii="仿宋" w:hAnsi="仿宋" w:eastAsia="仿宋" w:cs="仿宋"/>
          <w:sz w:val="24"/>
        </w:rPr>
        <w:t>（1）成交供应商需确保政府采购合同的收款账户与融资银行开户账户一致。</w:t>
      </w:r>
    </w:p>
    <w:p>
      <w:pPr>
        <w:spacing w:line="360" w:lineRule="auto"/>
        <w:contextualSpacing/>
        <w:rPr>
          <w:rFonts w:hint="eastAsia" w:ascii="仿宋" w:hAnsi="仿宋" w:eastAsia="仿宋" w:cs="仿宋"/>
          <w:sz w:val="24"/>
        </w:rPr>
      </w:pPr>
      <w:r>
        <w:rPr>
          <w:rFonts w:hint="eastAsia" w:ascii="仿宋" w:hAnsi="仿宋" w:eastAsia="仿宋" w:cs="仿宋"/>
          <w:sz w:val="24"/>
        </w:rPr>
        <w:t>（2）用于政府采购信用融资的政府采购合同，应当包含如下条款：“第   条：</w:t>
      </w:r>
    </w:p>
    <w:p>
      <w:pPr>
        <w:spacing w:line="360" w:lineRule="auto"/>
        <w:contextualSpacing/>
        <w:rPr>
          <w:rFonts w:hint="eastAsia" w:ascii="仿宋" w:hAnsi="仿宋" w:eastAsia="仿宋" w:cs="仿宋"/>
          <w:sz w:val="24"/>
        </w:rPr>
      </w:pPr>
      <w:r>
        <w:rPr>
          <w:rFonts w:hint="eastAsia" w:ascii="仿宋" w:hAnsi="仿宋" w:eastAsia="仿宋" w:cs="仿宋"/>
          <w:sz w:val="24"/>
        </w:rPr>
        <w:t>政府采购合同贷款  本合同同时用于乙方向</w:t>
      </w:r>
      <w:r>
        <w:rPr>
          <w:rFonts w:hint="eastAsia" w:ascii="仿宋" w:hAnsi="仿宋" w:eastAsia="仿宋" w:cs="仿宋"/>
          <w:sz w:val="24"/>
          <w:szCs w:val="24"/>
          <w:u w:val="single"/>
        </w:rPr>
        <w:t xml:space="preserve">           </w:t>
      </w:r>
      <w:r>
        <w:rPr>
          <w:rFonts w:hint="eastAsia" w:ascii="仿宋" w:hAnsi="仿宋" w:eastAsia="仿宋" w:cs="仿宋"/>
          <w:sz w:val="24"/>
        </w:rPr>
        <w:t>银行（金融机构）申请政府采购信用贷款。本合同一经签订，原则上不得更改乙方收款账户信息。确须更改的，乙方应取得原合同收款账户开户银行书面同意，否则修改后的合同不予备案，采购资金不予支付。”</w:t>
      </w:r>
    </w:p>
    <w:p>
      <w:pPr>
        <w:spacing w:line="360" w:lineRule="auto"/>
        <w:jc w:val="left"/>
        <w:rPr>
          <w:rFonts w:hint="eastAsia" w:ascii="仿宋" w:hAnsi="仿宋" w:eastAsia="仿宋" w:cs="仿宋"/>
          <w:b/>
          <w:sz w:val="24"/>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667839"/>
    </w:sdtPr>
    <w:sdtContent>
      <w:p>
        <w:pPr>
          <w:pStyle w:val="40"/>
          <w:jc w:val="center"/>
        </w:pPr>
        <w:r>
          <w:fldChar w:fldCharType="begin"/>
        </w:r>
        <w:r>
          <w:instrText xml:space="preserve">PAGE   \* MERGEFORMAT</w:instrText>
        </w:r>
        <w:r>
          <w:fldChar w:fldCharType="separate"/>
        </w:r>
        <w:r>
          <w:rPr>
            <w:lang w:val="zh-CN"/>
          </w:rPr>
          <w:t>44</w:t>
        </w:r>
        <w:r>
          <w:fldChar w:fldCharType="end"/>
        </w:r>
      </w:p>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8"/>
      </w:rPr>
    </w:pPr>
    <w:r>
      <w:fldChar w:fldCharType="begin"/>
    </w:r>
    <w:r>
      <w:rPr>
        <w:rStyle w:val="68"/>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A12A3"/>
    <w:multiLevelType w:val="singleLevel"/>
    <w:tmpl w:val="C41A12A3"/>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iMTY4MWExZWMwOWI2OGU4YzRkYmZjZGM2ZWU3NjgifQ=="/>
  </w:docVars>
  <w:rsids>
    <w:rsidRoot w:val="006571E3"/>
    <w:rsid w:val="00001D63"/>
    <w:rsid w:val="00007726"/>
    <w:rsid w:val="00011228"/>
    <w:rsid w:val="0001166C"/>
    <w:rsid w:val="00017D91"/>
    <w:rsid w:val="00026951"/>
    <w:rsid w:val="000449CF"/>
    <w:rsid w:val="00050CE3"/>
    <w:rsid w:val="00051E94"/>
    <w:rsid w:val="00051F74"/>
    <w:rsid w:val="00061191"/>
    <w:rsid w:val="00061598"/>
    <w:rsid w:val="000616EE"/>
    <w:rsid w:val="00066C9A"/>
    <w:rsid w:val="000671FB"/>
    <w:rsid w:val="000710A6"/>
    <w:rsid w:val="000834EF"/>
    <w:rsid w:val="00083756"/>
    <w:rsid w:val="00085CB0"/>
    <w:rsid w:val="00086165"/>
    <w:rsid w:val="000905CB"/>
    <w:rsid w:val="00090CDC"/>
    <w:rsid w:val="00092590"/>
    <w:rsid w:val="00096A8A"/>
    <w:rsid w:val="000A2C12"/>
    <w:rsid w:val="000B1ACD"/>
    <w:rsid w:val="000B2340"/>
    <w:rsid w:val="000B2B62"/>
    <w:rsid w:val="000B42E8"/>
    <w:rsid w:val="000C1D91"/>
    <w:rsid w:val="000C2CDF"/>
    <w:rsid w:val="000C7414"/>
    <w:rsid w:val="000F0979"/>
    <w:rsid w:val="001159B3"/>
    <w:rsid w:val="0012057F"/>
    <w:rsid w:val="00124944"/>
    <w:rsid w:val="001251AF"/>
    <w:rsid w:val="00126C4D"/>
    <w:rsid w:val="00127CCE"/>
    <w:rsid w:val="00130301"/>
    <w:rsid w:val="00133B03"/>
    <w:rsid w:val="001365B2"/>
    <w:rsid w:val="00137DB0"/>
    <w:rsid w:val="001407EB"/>
    <w:rsid w:val="00143F05"/>
    <w:rsid w:val="00150077"/>
    <w:rsid w:val="00150C0D"/>
    <w:rsid w:val="001516F2"/>
    <w:rsid w:val="001601F8"/>
    <w:rsid w:val="00160AF5"/>
    <w:rsid w:val="00163F78"/>
    <w:rsid w:val="00165FF8"/>
    <w:rsid w:val="0016773A"/>
    <w:rsid w:val="00170987"/>
    <w:rsid w:val="00183EF8"/>
    <w:rsid w:val="00186876"/>
    <w:rsid w:val="00187625"/>
    <w:rsid w:val="00187DAD"/>
    <w:rsid w:val="001951E0"/>
    <w:rsid w:val="001A1DB3"/>
    <w:rsid w:val="001C697C"/>
    <w:rsid w:val="001D2710"/>
    <w:rsid w:val="001D2D8C"/>
    <w:rsid w:val="001E33B5"/>
    <w:rsid w:val="001E7FA8"/>
    <w:rsid w:val="00205F2A"/>
    <w:rsid w:val="00207F22"/>
    <w:rsid w:val="00210A70"/>
    <w:rsid w:val="00214466"/>
    <w:rsid w:val="002149BA"/>
    <w:rsid w:val="0022703C"/>
    <w:rsid w:val="002315D3"/>
    <w:rsid w:val="002329E4"/>
    <w:rsid w:val="00233283"/>
    <w:rsid w:val="0023614D"/>
    <w:rsid w:val="00240304"/>
    <w:rsid w:val="002418A5"/>
    <w:rsid w:val="00244748"/>
    <w:rsid w:val="002448B9"/>
    <w:rsid w:val="00245470"/>
    <w:rsid w:val="00246FFD"/>
    <w:rsid w:val="002573C9"/>
    <w:rsid w:val="00263730"/>
    <w:rsid w:val="00265AB9"/>
    <w:rsid w:val="00265FA3"/>
    <w:rsid w:val="00274487"/>
    <w:rsid w:val="002802B8"/>
    <w:rsid w:val="002816A7"/>
    <w:rsid w:val="002829CF"/>
    <w:rsid w:val="00285C06"/>
    <w:rsid w:val="002A46DC"/>
    <w:rsid w:val="002B117C"/>
    <w:rsid w:val="002B5149"/>
    <w:rsid w:val="002B6D85"/>
    <w:rsid w:val="002C151E"/>
    <w:rsid w:val="002C4C30"/>
    <w:rsid w:val="002C4D50"/>
    <w:rsid w:val="002D36CE"/>
    <w:rsid w:val="002D749B"/>
    <w:rsid w:val="002E125B"/>
    <w:rsid w:val="002E78C9"/>
    <w:rsid w:val="002F23B8"/>
    <w:rsid w:val="002F3F53"/>
    <w:rsid w:val="002F6506"/>
    <w:rsid w:val="002F68FE"/>
    <w:rsid w:val="00303A40"/>
    <w:rsid w:val="003067A8"/>
    <w:rsid w:val="00320A01"/>
    <w:rsid w:val="00322370"/>
    <w:rsid w:val="003366C3"/>
    <w:rsid w:val="00337F89"/>
    <w:rsid w:val="003412C7"/>
    <w:rsid w:val="00343FCF"/>
    <w:rsid w:val="00344079"/>
    <w:rsid w:val="00355764"/>
    <w:rsid w:val="00366182"/>
    <w:rsid w:val="0036652B"/>
    <w:rsid w:val="00370C36"/>
    <w:rsid w:val="00381072"/>
    <w:rsid w:val="0038418D"/>
    <w:rsid w:val="00387156"/>
    <w:rsid w:val="00387DAB"/>
    <w:rsid w:val="00390FBD"/>
    <w:rsid w:val="003958D1"/>
    <w:rsid w:val="00395ED4"/>
    <w:rsid w:val="003A7BDE"/>
    <w:rsid w:val="003B37CE"/>
    <w:rsid w:val="003B60D1"/>
    <w:rsid w:val="003C349A"/>
    <w:rsid w:val="003D3106"/>
    <w:rsid w:val="003D3B22"/>
    <w:rsid w:val="003D665F"/>
    <w:rsid w:val="003E3F71"/>
    <w:rsid w:val="003F2D00"/>
    <w:rsid w:val="00403A5C"/>
    <w:rsid w:val="00405595"/>
    <w:rsid w:val="004113E4"/>
    <w:rsid w:val="004150B2"/>
    <w:rsid w:val="00415109"/>
    <w:rsid w:val="0043439D"/>
    <w:rsid w:val="0044119B"/>
    <w:rsid w:val="004502F3"/>
    <w:rsid w:val="00454FE0"/>
    <w:rsid w:val="0046066E"/>
    <w:rsid w:val="00465766"/>
    <w:rsid w:val="00471259"/>
    <w:rsid w:val="00481F23"/>
    <w:rsid w:val="00483802"/>
    <w:rsid w:val="00484208"/>
    <w:rsid w:val="00484DC0"/>
    <w:rsid w:val="004857FA"/>
    <w:rsid w:val="004866CE"/>
    <w:rsid w:val="00486D09"/>
    <w:rsid w:val="00492600"/>
    <w:rsid w:val="004A0A81"/>
    <w:rsid w:val="004A76DB"/>
    <w:rsid w:val="004B12C8"/>
    <w:rsid w:val="004B3040"/>
    <w:rsid w:val="004C69F4"/>
    <w:rsid w:val="004D25BD"/>
    <w:rsid w:val="004D4B3D"/>
    <w:rsid w:val="004E1D9F"/>
    <w:rsid w:val="004E2BB9"/>
    <w:rsid w:val="004F1F0C"/>
    <w:rsid w:val="005007B5"/>
    <w:rsid w:val="00502182"/>
    <w:rsid w:val="0050729F"/>
    <w:rsid w:val="0051053D"/>
    <w:rsid w:val="00511284"/>
    <w:rsid w:val="00515D8B"/>
    <w:rsid w:val="00522B79"/>
    <w:rsid w:val="00523765"/>
    <w:rsid w:val="00523933"/>
    <w:rsid w:val="00530C44"/>
    <w:rsid w:val="005537A2"/>
    <w:rsid w:val="00553C6E"/>
    <w:rsid w:val="00553D08"/>
    <w:rsid w:val="00562060"/>
    <w:rsid w:val="00573B26"/>
    <w:rsid w:val="0057746F"/>
    <w:rsid w:val="00594026"/>
    <w:rsid w:val="00594AF0"/>
    <w:rsid w:val="005A3CAF"/>
    <w:rsid w:val="005A51E2"/>
    <w:rsid w:val="005A51F8"/>
    <w:rsid w:val="005B739F"/>
    <w:rsid w:val="005C3394"/>
    <w:rsid w:val="005C6D3D"/>
    <w:rsid w:val="005E158F"/>
    <w:rsid w:val="005E26A4"/>
    <w:rsid w:val="005E3CF8"/>
    <w:rsid w:val="005F491F"/>
    <w:rsid w:val="00600B07"/>
    <w:rsid w:val="00615FF1"/>
    <w:rsid w:val="006246A2"/>
    <w:rsid w:val="00637742"/>
    <w:rsid w:val="00637EE5"/>
    <w:rsid w:val="006408BF"/>
    <w:rsid w:val="00642639"/>
    <w:rsid w:val="006457FE"/>
    <w:rsid w:val="006529F6"/>
    <w:rsid w:val="006571E3"/>
    <w:rsid w:val="00662472"/>
    <w:rsid w:val="00667B64"/>
    <w:rsid w:val="0067176E"/>
    <w:rsid w:val="00676B19"/>
    <w:rsid w:val="00685956"/>
    <w:rsid w:val="00686F13"/>
    <w:rsid w:val="006A0706"/>
    <w:rsid w:val="006A4577"/>
    <w:rsid w:val="006A46E5"/>
    <w:rsid w:val="006B1310"/>
    <w:rsid w:val="006B1B08"/>
    <w:rsid w:val="006B1B67"/>
    <w:rsid w:val="006B4123"/>
    <w:rsid w:val="006C229A"/>
    <w:rsid w:val="006C687E"/>
    <w:rsid w:val="006D246D"/>
    <w:rsid w:val="006D5C02"/>
    <w:rsid w:val="006E089B"/>
    <w:rsid w:val="006E41A9"/>
    <w:rsid w:val="006E5AD5"/>
    <w:rsid w:val="006E7DA3"/>
    <w:rsid w:val="006F56B0"/>
    <w:rsid w:val="006F7F6F"/>
    <w:rsid w:val="00702B78"/>
    <w:rsid w:val="00711F2D"/>
    <w:rsid w:val="00715DDA"/>
    <w:rsid w:val="0071761B"/>
    <w:rsid w:val="007205DA"/>
    <w:rsid w:val="007437C7"/>
    <w:rsid w:val="00744812"/>
    <w:rsid w:val="00756571"/>
    <w:rsid w:val="00757869"/>
    <w:rsid w:val="007753D4"/>
    <w:rsid w:val="0079107F"/>
    <w:rsid w:val="00792308"/>
    <w:rsid w:val="00794951"/>
    <w:rsid w:val="00795949"/>
    <w:rsid w:val="007B59D9"/>
    <w:rsid w:val="007B609E"/>
    <w:rsid w:val="007B7A0B"/>
    <w:rsid w:val="007C5564"/>
    <w:rsid w:val="007C6563"/>
    <w:rsid w:val="007D0340"/>
    <w:rsid w:val="007D051D"/>
    <w:rsid w:val="007D14A7"/>
    <w:rsid w:val="007D272A"/>
    <w:rsid w:val="007E376D"/>
    <w:rsid w:val="007E4D7E"/>
    <w:rsid w:val="007E4EFD"/>
    <w:rsid w:val="007E5E00"/>
    <w:rsid w:val="007E7EAD"/>
    <w:rsid w:val="007F1990"/>
    <w:rsid w:val="007F74D8"/>
    <w:rsid w:val="00802072"/>
    <w:rsid w:val="0080208C"/>
    <w:rsid w:val="0080433A"/>
    <w:rsid w:val="00805283"/>
    <w:rsid w:val="008070CE"/>
    <w:rsid w:val="00814564"/>
    <w:rsid w:val="0081771E"/>
    <w:rsid w:val="008206E5"/>
    <w:rsid w:val="00823B08"/>
    <w:rsid w:val="00827333"/>
    <w:rsid w:val="00833C74"/>
    <w:rsid w:val="00846E18"/>
    <w:rsid w:val="00852D00"/>
    <w:rsid w:val="00854970"/>
    <w:rsid w:val="00857540"/>
    <w:rsid w:val="00857F92"/>
    <w:rsid w:val="0086384C"/>
    <w:rsid w:val="00872907"/>
    <w:rsid w:val="00884CBF"/>
    <w:rsid w:val="008856F2"/>
    <w:rsid w:val="00891193"/>
    <w:rsid w:val="008918EE"/>
    <w:rsid w:val="00893A7D"/>
    <w:rsid w:val="008966E7"/>
    <w:rsid w:val="008A2400"/>
    <w:rsid w:val="008A25C8"/>
    <w:rsid w:val="008B526F"/>
    <w:rsid w:val="008C07EE"/>
    <w:rsid w:val="008C18AE"/>
    <w:rsid w:val="008C6409"/>
    <w:rsid w:val="008C79AA"/>
    <w:rsid w:val="008D308C"/>
    <w:rsid w:val="008E7B36"/>
    <w:rsid w:val="008F20DF"/>
    <w:rsid w:val="00903AF4"/>
    <w:rsid w:val="00905AA3"/>
    <w:rsid w:val="009232C7"/>
    <w:rsid w:val="0092597C"/>
    <w:rsid w:val="00927AB2"/>
    <w:rsid w:val="00940326"/>
    <w:rsid w:val="00944C75"/>
    <w:rsid w:val="009463C5"/>
    <w:rsid w:val="00950BF8"/>
    <w:rsid w:val="009541DF"/>
    <w:rsid w:val="00961BDB"/>
    <w:rsid w:val="00964DCA"/>
    <w:rsid w:val="00970157"/>
    <w:rsid w:val="009711E6"/>
    <w:rsid w:val="00973A9D"/>
    <w:rsid w:val="00973BC0"/>
    <w:rsid w:val="009777C0"/>
    <w:rsid w:val="00980A01"/>
    <w:rsid w:val="00983930"/>
    <w:rsid w:val="00992921"/>
    <w:rsid w:val="00993F30"/>
    <w:rsid w:val="0099435B"/>
    <w:rsid w:val="009A2EE8"/>
    <w:rsid w:val="009A3DCA"/>
    <w:rsid w:val="009B57BB"/>
    <w:rsid w:val="009C199E"/>
    <w:rsid w:val="009C7C94"/>
    <w:rsid w:val="009D282F"/>
    <w:rsid w:val="009E16B7"/>
    <w:rsid w:val="009E21CB"/>
    <w:rsid w:val="009E3EF1"/>
    <w:rsid w:val="009F0C97"/>
    <w:rsid w:val="009F2E4A"/>
    <w:rsid w:val="009F5089"/>
    <w:rsid w:val="009F5A4A"/>
    <w:rsid w:val="00A0167F"/>
    <w:rsid w:val="00A053CE"/>
    <w:rsid w:val="00A05F3C"/>
    <w:rsid w:val="00A15FF7"/>
    <w:rsid w:val="00A178C5"/>
    <w:rsid w:val="00A23DDC"/>
    <w:rsid w:val="00A24CE4"/>
    <w:rsid w:val="00A3670B"/>
    <w:rsid w:val="00A404F5"/>
    <w:rsid w:val="00A4427B"/>
    <w:rsid w:val="00A45105"/>
    <w:rsid w:val="00A47562"/>
    <w:rsid w:val="00A50695"/>
    <w:rsid w:val="00A51C5B"/>
    <w:rsid w:val="00A52B13"/>
    <w:rsid w:val="00A538BF"/>
    <w:rsid w:val="00A54CDC"/>
    <w:rsid w:val="00A575E2"/>
    <w:rsid w:val="00A6162F"/>
    <w:rsid w:val="00A66775"/>
    <w:rsid w:val="00A67EBA"/>
    <w:rsid w:val="00A7034F"/>
    <w:rsid w:val="00A71778"/>
    <w:rsid w:val="00A71AB9"/>
    <w:rsid w:val="00A74A6A"/>
    <w:rsid w:val="00A75C5E"/>
    <w:rsid w:val="00A75CC8"/>
    <w:rsid w:val="00A81CDF"/>
    <w:rsid w:val="00A864C6"/>
    <w:rsid w:val="00A8652A"/>
    <w:rsid w:val="00A868D2"/>
    <w:rsid w:val="00A906D0"/>
    <w:rsid w:val="00A93532"/>
    <w:rsid w:val="00A96432"/>
    <w:rsid w:val="00AA67A8"/>
    <w:rsid w:val="00AA776D"/>
    <w:rsid w:val="00AB1B6E"/>
    <w:rsid w:val="00AB33EB"/>
    <w:rsid w:val="00AB68BE"/>
    <w:rsid w:val="00AB75F4"/>
    <w:rsid w:val="00AC39B8"/>
    <w:rsid w:val="00AC551C"/>
    <w:rsid w:val="00AD0A86"/>
    <w:rsid w:val="00AD0EB4"/>
    <w:rsid w:val="00AE5DFB"/>
    <w:rsid w:val="00AF3951"/>
    <w:rsid w:val="00B1073E"/>
    <w:rsid w:val="00B169EE"/>
    <w:rsid w:val="00B24DD6"/>
    <w:rsid w:val="00B26B68"/>
    <w:rsid w:val="00B30ED8"/>
    <w:rsid w:val="00B41E67"/>
    <w:rsid w:val="00B4452D"/>
    <w:rsid w:val="00B508F5"/>
    <w:rsid w:val="00B50B25"/>
    <w:rsid w:val="00B531BB"/>
    <w:rsid w:val="00B553AC"/>
    <w:rsid w:val="00B559C0"/>
    <w:rsid w:val="00B57540"/>
    <w:rsid w:val="00B636E7"/>
    <w:rsid w:val="00B721A3"/>
    <w:rsid w:val="00B742D2"/>
    <w:rsid w:val="00B82929"/>
    <w:rsid w:val="00B82CCD"/>
    <w:rsid w:val="00B84311"/>
    <w:rsid w:val="00BA27E4"/>
    <w:rsid w:val="00BA3C0D"/>
    <w:rsid w:val="00BA4B25"/>
    <w:rsid w:val="00BB233A"/>
    <w:rsid w:val="00BC0C4D"/>
    <w:rsid w:val="00BC7759"/>
    <w:rsid w:val="00BD547A"/>
    <w:rsid w:val="00BD6A73"/>
    <w:rsid w:val="00BD7BE9"/>
    <w:rsid w:val="00BE0DC3"/>
    <w:rsid w:val="00BE19E5"/>
    <w:rsid w:val="00C00338"/>
    <w:rsid w:val="00C01743"/>
    <w:rsid w:val="00C05041"/>
    <w:rsid w:val="00C0572E"/>
    <w:rsid w:val="00C11A5D"/>
    <w:rsid w:val="00C12014"/>
    <w:rsid w:val="00C32379"/>
    <w:rsid w:val="00C36986"/>
    <w:rsid w:val="00C40455"/>
    <w:rsid w:val="00C4200C"/>
    <w:rsid w:val="00C4518D"/>
    <w:rsid w:val="00C5780C"/>
    <w:rsid w:val="00C704FE"/>
    <w:rsid w:val="00C70D46"/>
    <w:rsid w:val="00C755E5"/>
    <w:rsid w:val="00C759EC"/>
    <w:rsid w:val="00C75DE5"/>
    <w:rsid w:val="00C8107D"/>
    <w:rsid w:val="00C87DAD"/>
    <w:rsid w:val="00CA0B12"/>
    <w:rsid w:val="00CA1987"/>
    <w:rsid w:val="00CA273A"/>
    <w:rsid w:val="00CA420F"/>
    <w:rsid w:val="00CA6908"/>
    <w:rsid w:val="00CB265C"/>
    <w:rsid w:val="00CB4C97"/>
    <w:rsid w:val="00CC1711"/>
    <w:rsid w:val="00CC7739"/>
    <w:rsid w:val="00CC78BF"/>
    <w:rsid w:val="00CD048D"/>
    <w:rsid w:val="00CD14F7"/>
    <w:rsid w:val="00CD36C8"/>
    <w:rsid w:val="00D1731C"/>
    <w:rsid w:val="00D21A3D"/>
    <w:rsid w:val="00D247C6"/>
    <w:rsid w:val="00D24B6A"/>
    <w:rsid w:val="00D26A09"/>
    <w:rsid w:val="00D308D3"/>
    <w:rsid w:val="00D34AB1"/>
    <w:rsid w:val="00D44611"/>
    <w:rsid w:val="00D50C66"/>
    <w:rsid w:val="00D52BCF"/>
    <w:rsid w:val="00D62402"/>
    <w:rsid w:val="00D63F05"/>
    <w:rsid w:val="00D6760B"/>
    <w:rsid w:val="00D7267D"/>
    <w:rsid w:val="00D80597"/>
    <w:rsid w:val="00D81E0A"/>
    <w:rsid w:val="00D850F4"/>
    <w:rsid w:val="00D9027C"/>
    <w:rsid w:val="00DA025A"/>
    <w:rsid w:val="00DA0EDE"/>
    <w:rsid w:val="00DA508D"/>
    <w:rsid w:val="00DA50D2"/>
    <w:rsid w:val="00DB4BA2"/>
    <w:rsid w:val="00DB6FB4"/>
    <w:rsid w:val="00DC2FCC"/>
    <w:rsid w:val="00DC3340"/>
    <w:rsid w:val="00DC5A62"/>
    <w:rsid w:val="00DD2552"/>
    <w:rsid w:val="00DD567C"/>
    <w:rsid w:val="00DD6824"/>
    <w:rsid w:val="00DE3667"/>
    <w:rsid w:val="00DF3F29"/>
    <w:rsid w:val="00DF42C6"/>
    <w:rsid w:val="00E03191"/>
    <w:rsid w:val="00E04FFD"/>
    <w:rsid w:val="00E12240"/>
    <w:rsid w:val="00E3328B"/>
    <w:rsid w:val="00E422F8"/>
    <w:rsid w:val="00E435F9"/>
    <w:rsid w:val="00E46AE0"/>
    <w:rsid w:val="00E51E04"/>
    <w:rsid w:val="00E54E52"/>
    <w:rsid w:val="00E62236"/>
    <w:rsid w:val="00E6646C"/>
    <w:rsid w:val="00E77F00"/>
    <w:rsid w:val="00E80B33"/>
    <w:rsid w:val="00E854DE"/>
    <w:rsid w:val="00E8696A"/>
    <w:rsid w:val="00E9204D"/>
    <w:rsid w:val="00EA58BF"/>
    <w:rsid w:val="00EB288E"/>
    <w:rsid w:val="00EC2388"/>
    <w:rsid w:val="00EC705E"/>
    <w:rsid w:val="00ED51CB"/>
    <w:rsid w:val="00ED7BEC"/>
    <w:rsid w:val="00EF2CD5"/>
    <w:rsid w:val="00EF300C"/>
    <w:rsid w:val="00F00417"/>
    <w:rsid w:val="00F06696"/>
    <w:rsid w:val="00F10320"/>
    <w:rsid w:val="00F21526"/>
    <w:rsid w:val="00F23268"/>
    <w:rsid w:val="00F24BFD"/>
    <w:rsid w:val="00F25734"/>
    <w:rsid w:val="00F3022A"/>
    <w:rsid w:val="00F33E90"/>
    <w:rsid w:val="00F34E11"/>
    <w:rsid w:val="00F4555F"/>
    <w:rsid w:val="00F51F65"/>
    <w:rsid w:val="00F53FBB"/>
    <w:rsid w:val="00F56A40"/>
    <w:rsid w:val="00F74039"/>
    <w:rsid w:val="00F74F9C"/>
    <w:rsid w:val="00F8381A"/>
    <w:rsid w:val="00F85061"/>
    <w:rsid w:val="00F9221F"/>
    <w:rsid w:val="00F93324"/>
    <w:rsid w:val="00F94A19"/>
    <w:rsid w:val="00F9748E"/>
    <w:rsid w:val="00FA691A"/>
    <w:rsid w:val="00FC7497"/>
    <w:rsid w:val="00FD05E4"/>
    <w:rsid w:val="00FE10E4"/>
    <w:rsid w:val="00FF5C50"/>
    <w:rsid w:val="01672708"/>
    <w:rsid w:val="01821055"/>
    <w:rsid w:val="01BC4D39"/>
    <w:rsid w:val="028425F7"/>
    <w:rsid w:val="02E90ACF"/>
    <w:rsid w:val="03260269"/>
    <w:rsid w:val="0369026B"/>
    <w:rsid w:val="036D2DAF"/>
    <w:rsid w:val="03CA302C"/>
    <w:rsid w:val="03E66513"/>
    <w:rsid w:val="04247911"/>
    <w:rsid w:val="0496681F"/>
    <w:rsid w:val="04DA0918"/>
    <w:rsid w:val="04E706A5"/>
    <w:rsid w:val="06017DFA"/>
    <w:rsid w:val="078E1A0D"/>
    <w:rsid w:val="079C24F6"/>
    <w:rsid w:val="07C260B0"/>
    <w:rsid w:val="07FA1C98"/>
    <w:rsid w:val="095F31B7"/>
    <w:rsid w:val="097B53EF"/>
    <w:rsid w:val="09C45814"/>
    <w:rsid w:val="0A6F1B02"/>
    <w:rsid w:val="0C845FC6"/>
    <w:rsid w:val="0CAF01B1"/>
    <w:rsid w:val="0DF923CA"/>
    <w:rsid w:val="0E0236FD"/>
    <w:rsid w:val="0E7A48BB"/>
    <w:rsid w:val="0EAF2A15"/>
    <w:rsid w:val="0F96234D"/>
    <w:rsid w:val="0FD91EF8"/>
    <w:rsid w:val="10F1501F"/>
    <w:rsid w:val="119744F9"/>
    <w:rsid w:val="11B32189"/>
    <w:rsid w:val="12405BB0"/>
    <w:rsid w:val="126D4B79"/>
    <w:rsid w:val="12975259"/>
    <w:rsid w:val="140D522E"/>
    <w:rsid w:val="142C76F4"/>
    <w:rsid w:val="17D738EF"/>
    <w:rsid w:val="17E21395"/>
    <w:rsid w:val="182E6B2B"/>
    <w:rsid w:val="188E665D"/>
    <w:rsid w:val="18DF7E53"/>
    <w:rsid w:val="194B6F15"/>
    <w:rsid w:val="19CD414F"/>
    <w:rsid w:val="1A642D06"/>
    <w:rsid w:val="1A7F1521"/>
    <w:rsid w:val="1A936AD4"/>
    <w:rsid w:val="1C526BEF"/>
    <w:rsid w:val="1D4B25D1"/>
    <w:rsid w:val="1D7A6B89"/>
    <w:rsid w:val="1E4D747A"/>
    <w:rsid w:val="1E986143"/>
    <w:rsid w:val="1E991E54"/>
    <w:rsid w:val="202C1374"/>
    <w:rsid w:val="215E3246"/>
    <w:rsid w:val="21E464DA"/>
    <w:rsid w:val="226513C9"/>
    <w:rsid w:val="23657EC0"/>
    <w:rsid w:val="24BF6485"/>
    <w:rsid w:val="2519649B"/>
    <w:rsid w:val="25613EAC"/>
    <w:rsid w:val="26CF35A7"/>
    <w:rsid w:val="272D29AE"/>
    <w:rsid w:val="275C6E6A"/>
    <w:rsid w:val="27B24DAA"/>
    <w:rsid w:val="28160D83"/>
    <w:rsid w:val="281F28F0"/>
    <w:rsid w:val="285B7A26"/>
    <w:rsid w:val="29466B6D"/>
    <w:rsid w:val="29B323CB"/>
    <w:rsid w:val="2A1E2B96"/>
    <w:rsid w:val="2A7A3297"/>
    <w:rsid w:val="2C0F0554"/>
    <w:rsid w:val="2C434D3F"/>
    <w:rsid w:val="2C5A3A83"/>
    <w:rsid w:val="2D236108"/>
    <w:rsid w:val="2E393663"/>
    <w:rsid w:val="2E7C6418"/>
    <w:rsid w:val="2FEA115F"/>
    <w:rsid w:val="30265399"/>
    <w:rsid w:val="30EE0D85"/>
    <w:rsid w:val="311C6E35"/>
    <w:rsid w:val="312D4563"/>
    <w:rsid w:val="3168004A"/>
    <w:rsid w:val="31B62796"/>
    <w:rsid w:val="323100F1"/>
    <w:rsid w:val="323F039F"/>
    <w:rsid w:val="324F44D1"/>
    <w:rsid w:val="32750788"/>
    <w:rsid w:val="32BE2CA3"/>
    <w:rsid w:val="3338028B"/>
    <w:rsid w:val="335E5947"/>
    <w:rsid w:val="3376291B"/>
    <w:rsid w:val="3424010F"/>
    <w:rsid w:val="34645B59"/>
    <w:rsid w:val="35574B92"/>
    <w:rsid w:val="363B0545"/>
    <w:rsid w:val="375E7B2F"/>
    <w:rsid w:val="37A3519E"/>
    <w:rsid w:val="383B5C11"/>
    <w:rsid w:val="38BA0DFF"/>
    <w:rsid w:val="3919456D"/>
    <w:rsid w:val="3959139F"/>
    <w:rsid w:val="398C52D9"/>
    <w:rsid w:val="39A87223"/>
    <w:rsid w:val="39FC60AC"/>
    <w:rsid w:val="3AD924FC"/>
    <w:rsid w:val="3B1321A4"/>
    <w:rsid w:val="3B3746C7"/>
    <w:rsid w:val="3B4F2433"/>
    <w:rsid w:val="3D1D0127"/>
    <w:rsid w:val="3D702B6D"/>
    <w:rsid w:val="3E1A4C4F"/>
    <w:rsid w:val="3EEE21C1"/>
    <w:rsid w:val="3FC2208A"/>
    <w:rsid w:val="3FF83425"/>
    <w:rsid w:val="40624077"/>
    <w:rsid w:val="409805E1"/>
    <w:rsid w:val="40FE4BFE"/>
    <w:rsid w:val="41A8482B"/>
    <w:rsid w:val="41C63AE5"/>
    <w:rsid w:val="42E25BFC"/>
    <w:rsid w:val="436257B1"/>
    <w:rsid w:val="43944D00"/>
    <w:rsid w:val="439A4112"/>
    <w:rsid w:val="43DF71B1"/>
    <w:rsid w:val="45461CC2"/>
    <w:rsid w:val="49311309"/>
    <w:rsid w:val="499D4D20"/>
    <w:rsid w:val="4A3E68EF"/>
    <w:rsid w:val="4A6A33F9"/>
    <w:rsid w:val="4A8626E8"/>
    <w:rsid w:val="4B280C7F"/>
    <w:rsid w:val="4B406D17"/>
    <w:rsid w:val="4B422E20"/>
    <w:rsid w:val="4B933E41"/>
    <w:rsid w:val="4C7239B7"/>
    <w:rsid w:val="4C7664D1"/>
    <w:rsid w:val="4C7D5884"/>
    <w:rsid w:val="4D39542F"/>
    <w:rsid w:val="4DCD7411"/>
    <w:rsid w:val="4E745331"/>
    <w:rsid w:val="4F0C452D"/>
    <w:rsid w:val="4F652D3E"/>
    <w:rsid w:val="4FE757E7"/>
    <w:rsid w:val="504E5525"/>
    <w:rsid w:val="50D17B82"/>
    <w:rsid w:val="50DB3513"/>
    <w:rsid w:val="51123A3B"/>
    <w:rsid w:val="514522B7"/>
    <w:rsid w:val="521F2C78"/>
    <w:rsid w:val="52D92893"/>
    <w:rsid w:val="53B13BC3"/>
    <w:rsid w:val="54FC5FD4"/>
    <w:rsid w:val="55547BA0"/>
    <w:rsid w:val="55A55DD5"/>
    <w:rsid w:val="56AD2101"/>
    <w:rsid w:val="56D27B00"/>
    <w:rsid w:val="574C6325"/>
    <w:rsid w:val="579E445A"/>
    <w:rsid w:val="588167E6"/>
    <w:rsid w:val="58EB6DCC"/>
    <w:rsid w:val="59123351"/>
    <w:rsid w:val="59545759"/>
    <w:rsid w:val="59B60FF6"/>
    <w:rsid w:val="5A367487"/>
    <w:rsid w:val="5A4070E5"/>
    <w:rsid w:val="5C5B4608"/>
    <w:rsid w:val="5CD21F3C"/>
    <w:rsid w:val="5CE34F0F"/>
    <w:rsid w:val="5D1740FC"/>
    <w:rsid w:val="5D3549FD"/>
    <w:rsid w:val="5D5F06D3"/>
    <w:rsid w:val="5DAC0917"/>
    <w:rsid w:val="5DC021E2"/>
    <w:rsid w:val="5EA83642"/>
    <w:rsid w:val="5EDD7F5D"/>
    <w:rsid w:val="5EE86951"/>
    <w:rsid w:val="5F4C314D"/>
    <w:rsid w:val="5F9F5213"/>
    <w:rsid w:val="5FBD47EC"/>
    <w:rsid w:val="600038A5"/>
    <w:rsid w:val="60890ADC"/>
    <w:rsid w:val="61474A22"/>
    <w:rsid w:val="61DA7CFF"/>
    <w:rsid w:val="61FE19A0"/>
    <w:rsid w:val="62A97813"/>
    <w:rsid w:val="62D97473"/>
    <w:rsid w:val="63173018"/>
    <w:rsid w:val="638C3D00"/>
    <w:rsid w:val="64777776"/>
    <w:rsid w:val="6490467F"/>
    <w:rsid w:val="66245681"/>
    <w:rsid w:val="667967BE"/>
    <w:rsid w:val="66950DF7"/>
    <w:rsid w:val="6718604C"/>
    <w:rsid w:val="672506F4"/>
    <w:rsid w:val="67254250"/>
    <w:rsid w:val="67B8771A"/>
    <w:rsid w:val="67C654E3"/>
    <w:rsid w:val="68354DFF"/>
    <w:rsid w:val="68431C3F"/>
    <w:rsid w:val="68A9069F"/>
    <w:rsid w:val="69E118B1"/>
    <w:rsid w:val="6A7A0D56"/>
    <w:rsid w:val="6A835E5D"/>
    <w:rsid w:val="6AEF53C9"/>
    <w:rsid w:val="6AFC57D5"/>
    <w:rsid w:val="6B580DA5"/>
    <w:rsid w:val="6B855C05"/>
    <w:rsid w:val="6C7B60CA"/>
    <w:rsid w:val="6D1825C0"/>
    <w:rsid w:val="6D463082"/>
    <w:rsid w:val="6E0274D7"/>
    <w:rsid w:val="6E5C1623"/>
    <w:rsid w:val="6EB94D15"/>
    <w:rsid w:val="6FE61B3E"/>
    <w:rsid w:val="70371DF8"/>
    <w:rsid w:val="704F65CC"/>
    <w:rsid w:val="70DA6E93"/>
    <w:rsid w:val="738D38A8"/>
    <w:rsid w:val="745E2F55"/>
    <w:rsid w:val="74654825"/>
    <w:rsid w:val="74D474BB"/>
    <w:rsid w:val="756D573F"/>
    <w:rsid w:val="756F0752"/>
    <w:rsid w:val="757C383E"/>
    <w:rsid w:val="75F75D27"/>
    <w:rsid w:val="764E700C"/>
    <w:rsid w:val="77536274"/>
    <w:rsid w:val="77883A76"/>
    <w:rsid w:val="78644F16"/>
    <w:rsid w:val="78C24771"/>
    <w:rsid w:val="7A61345E"/>
    <w:rsid w:val="7A9078C0"/>
    <w:rsid w:val="7B9F2DEE"/>
    <w:rsid w:val="7BA95CEC"/>
    <w:rsid w:val="7C0861C2"/>
    <w:rsid w:val="7C673675"/>
    <w:rsid w:val="7CB4087B"/>
    <w:rsid w:val="7CBF7AC1"/>
    <w:rsid w:val="7CF21E7E"/>
    <w:rsid w:val="7D197F5B"/>
    <w:rsid w:val="7D776FBE"/>
    <w:rsid w:val="7D850B9F"/>
    <w:rsid w:val="7DCA23FD"/>
    <w:rsid w:val="7E35352A"/>
    <w:rsid w:val="7E504B1C"/>
    <w:rsid w:val="7EB111FE"/>
    <w:rsid w:val="7ED26010"/>
    <w:rsid w:val="7EF549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6"/>
    <w:autoRedefine/>
    <w:qFormat/>
    <w:uiPriority w:val="9"/>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2">
    <w:name w:val="heading 2"/>
    <w:basedOn w:val="1"/>
    <w:next w:val="1"/>
    <w:link w:val="77"/>
    <w:autoRedefine/>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4">
    <w:name w:val="heading 3"/>
    <w:basedOn w:val="1"/>
    <w:next w:val="1"/>
    <w:link w:val="78"/>
    <w:autoRedefine/>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9"/>
    <w:autoRedefine/>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6">
    <w:name w:val="heading 5"/>
    <w:basedOn w:val="1"/>
    <w:next w:val="1"/>
    <w:link w:val="80"/>
    <w:autoRedefine/>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81"/>
    <w:autoRedefine/>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82"/>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83"/>
    <w:autoRedefine/>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84"/>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semiHidden/>
    <w:unhideWhenUsed/>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adjustRightInd w:val="0"/>
      <w:ind w:left="2520" w:leftChars="1200"/>
    </w:pPr>
    <w:rPr>
      <w:rFonts w:ascii="Times New Roman" w:hAnsi="Times New Roman" w:eastAsia="宋体" w:cs="Times New Roman"/>
      <w:szCs w:val="24"/>
    </w:rPr>
  </w:style>
  <w:style w:type="paragraph" w:styleId="12">
    <w:name w:val="List Number 2"/>
    <w:basedOn w:val="1"/>
    <w:autoRedefine/>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3">
    <w:name w:val="List Bullet 4"/>
    <w:basedOn w:val="1"/>
    <w:autoRedefine/>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autoRedefine/>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5">
    <w:name w:val="Normal Indent"/>
    <w:basedOn w:val="1"/>
    <w:link w:val="86"/>
    <w:autoRedefine/>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6">
    <w:name w:val="caption"/>
    <w:basedOn w:val="1"/>
    <w:next w:val="1"/>
    <w:link w:val="87"/>
    <w:autoRedefine/>
    <w:qFormat/>
    <w:uiPriority w:val="0"/>
    <w:pPr>
      <w:adjustRightInd w:val="0"/>
    </w:pPr>
    <w:rPr>
      <w:rFonts w:ascii="Times New Roman" w:hAnsi="Times New Roman" w:eastAsia="宋体" w:cs="Times New Roman"/>
      <w:b/>
      <w:sz w:val="28"/>
      <w:szCs w:val="20"/>
    </w:rPr>
  </w:style>
  <w:style w:type="paragraph" w:styleId="17">
    <w:name w:val="index 5"/>
    <w:basedOn w:val="1"/>
    <w:next w:val="1"/>
    <w:autoRedefine/>
    <w:qFormat/>
    <w:uiPriority w:val="0"/>
    <w:pPr>
      <w:ind w:left="800" w:leftChars="800" w:firstLine="200" w:firstLineChars="200"/>
    </w:pPr>
    <w:rPr>
      <w:rFonts w:ascii="Times New Roman" w:hAnsi="Times New Roman" w:eastAsia="宋体" w:cs="Times New Roman"/>
      <w:szCs w:val="24"/>
    </w:rPr>
  </w:style>
  <w:style w:type="paragraph" w:styleId="18">
    <w:name w:val="Document Map"/>
    <w:basedOn w:val="1"/>
    <w:link w:val="88"/>
    <w:qFormat/>
    <w:uiPriority w:val="99"/>
    <w:pPr>
      <w:shd w:val="clear" w:color="auto" w:fill="000080"/>
      <w:adjustRightInd w:val="0"/>
    </w:pPr>
    <w:rPr>
      <w:rFonts w:ascii="Arial" w:hAnsi="Arial" w:eastAsia="黑体" w:cs="Times New Roman"/>
      <w:snapToGrid w:val="0"/>
      <w:szCs w:val="24"/>
    </w:rPr>
  </w:style>
  <w:style w:type="paragraph" w:styleId="19">
    <w:name w:val="annotation text"/>
    <w:basedOn w:val="1"/>
    <w:link w:val="91"/>
    <w:autoRedefine/>
    <w:qFormat/>
    <w:uiPriority w:val="0"/>
    <w:pPr>
      <w:adjustRightInd w:val="0"/>
      <w:jc w:val="left"/>
    </w:pPr>
    <w:rPr>
      <w:rFonts w:ascii="Times New Roman" w:hAnsi="Times New Roman" w:eastAsia="宋体" w:cs="Times New Roman"/>
      <w:szCs w:val="24"/>
    </w:rPr>
  </w:style>
  <w:style w:type="paragraph" w:styleId="20">
    <w:name w:val="Salutation"/>
    <w:basedOn w:val="1"/>
    <w:next w:val="1"/>
    <w:link w:val="93"/>
    <w:autoRedefine/>
    <w:qFormat/>
    <w:uiPriority w:val="0"/>
    <w:pPr>
      <w:adjustRightInd w:val="0"/>
    </w:pPr>
    <w:rPr>
      <w:rFonts w:ascii="仿宋_GB2312" w:hAnsi="Times New Roman" w:eastAsia="仿宋_GB2312" w:cs="Times New Roman"/>
      <w:sz w:val="28"/>
      <w:szCs w:val="20"/>
    </w:rPr>
  </w:style>
  <w:style w:type="paragraph" w:styleId="21">
    <w:name w:val="Body Text 3"/>
    <w:basedOn w:val="1"/>
    <w:link w:val="94"/>
    <w:autoRedefine/>
    <w:qFormat/>
    <w:uiPriority w:val="0"/>
    <w:pPr>
      <w:adjustRightInd w:val="0"/>
      <w:jc w:val="center"/>
    </w:pPr>
    <w:rPr>
      <w:rFonts w:ascii="Times New Roman" w:hAnsi="Times New Roman" w:eastAsia="宋体" w:cs="Times New Roman"/>
      <w:szCs w:val="20"/>
    </w:rPr>
  </w:style>
  <w:style w:type="paragraph" w:styleId="22">
    <w:name w:val="List Bullet 3"/>
    <w:basedOn w:val="1"/>
    <w:autoRedefine/>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3">
    <w:name w:val="Body Text"/>
    <w:basedOn w:val="1"/>
    <w:next w:val="24"/>
    <w:link w:val="95"/>
    <w:autoRedefine/>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24">
    <w:name w:val="Body Text First Indent"/>
    <w:basedOn w:val="23"/>
    <w:next w:val="1"/>
    <w:link w:val="119"/>
    <w:autoRedefine/>
    <w:qFormat/>
    <w:uiPriority w:val="0"/>
    <w:pPr>
      <w:ind w:firstLine="420"/>
    </w:pPr>
    <w:rPr>
      <w:rFonts w:hAnsi="Calibri" w:eastAsia="宋体"/>
      <w:snapToGrid/>
      <w:kern w:val="0"/>
      <w:szCs w:val="20"/>
    </w:rPr>
  </w:style>
  <w:style w:type="paragraph" w:styleId="25">
    <w:name w:val="Body Text Indent"/>
    <w:basedOn w:val="1"/>
    <w:next w:val="26"/>
    <w:link w:val="97"/>
    <w:autoRedefine/>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6">
    <w:name w:val="样式 正文文本缩进 + 首行缩进:  2 字符 行距: 1.5 倍行距"/>
    <w:basedOn w:val="25"/>
    <w:autoRedefine/>
    <w:qFormat/>
    <w:uiPriority w:val="0"/>
    <w:pPr>
      <w:spacing w:before="156" w:line="360" w:lineRule="auto"/>
      <w:ind w:firstLine="482"/>
    </w:pPr>
    <w:rPr>
      <w:rFonts w:eastAsia="仿宋" w:cs="宋体"/>
      <w:b/>
      <w:sz w:val="20"/>
      <w:szCs w:val="20"/>
    </w:rPr>
  </w:style>
  <w:style w:type="paragraph" w:styleId="27">
    <w:name w:val="List Number 3"/>
    <w:basedOn w:val="1"/>
    <w:autoRedefine/>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autoRedefine/>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autoRedefine/>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autoRedefine/>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8"/>
    <w:autoRedefine/>
    <w:qFormat/>
    <w:uiPriority w:val="0"/>
    <w:pPr>
      <w:widowControl/>
      <w:ind w:firstLine="200" w:firstLineChars="200"/>
      <w:jc w:val="left"/>
    </w:pPr>
    <w:rPr>
      <w:rFonts w:ascii="宋体" w:hAnsi="宋体" w:eastAsia="宋体" w:cs="Times New Roman"/>
      <w:i/>
      <w:iCs/>
      <w:kern w:val="0"/>
      <w:sz w:val="24"/>
      <w:szCs w:val="24"/>
    </w:rPr>
  </w:style>
  <w:style w:type="paragraph" w:styleId="32">
    <w:name w:val="toc 5"/>
    <w:basedOn w:val="1"/>
    <w:next w:val="1"/>
    <w:autoRedefine/>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autoRedefine/>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next w:val="1"/>
    <w:link w:val="99"/>
    <w:autoRedefine/>
    <w:qFormat/>
    <w:uiPriority w:val="0"/>
    <w:pPr>
      <w:adjustRightInd w:val="0"/>
    </w:pPr>
    <w:rPr>
      <w:rFonts w:ascii="宋体" w:hAnsi="Courier New" w:eastAsia="黑体" w:cs="Times New Roman"/>
      <w:snapToGrid w:val="0"/>
      <w:szCs w:val="21"/>
    </w:r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autoRedefine/>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1"/>
    <w:autoRedefine/>
    <w:qFormat/>
    <w:uiPriority w:val="99"/>
    <w:pPr>
      <w:adjustRightInd w:val="0"/>
      <w:ind w:left="100" w:leftChars="2500"/>
    </w:pPr>
    <w:rPr>
      <w:rFonts w:ascii="宋体" w:hAnsi="Times New Roman" w:eastAsia="宋体" w:cs="Times New Roman"/>
      <w:sz w:val="24"/>
      <w:szCs w:val="21"/>
      <w:lang w:val="zh-CN"/>
    </w:rPr>
  </w:style>
  <w:style w:type="paragraph" w:styleId="38">
    <w:name w:val="Body Text Indent 2"/>
    <w:basedOn w:val="1"/>
    <w:link w:val="102"/>
    <w:autoRedefine/>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39">
    <w:name w:val="Balloon Text"/>
    <w:basedOn w:val="1"/>
    <w:link w:val="103"/>
    <w:autoRedefine/>
    <w:qFormat/>
    <w:uiPriority w:val="99"/>
    <w:pPr>
      <w:adjustRightInd w:val="0"/>
    </w:pPr>
    <w:rPr>
      <w:rFonts w:ascii="Times New Roman" w:hAnsi="Times New Roman" w:eastAsia="宋体" w:cs="Times New Roman"/>
      <w:sz w:val="18"/>
      <w:szCs w:val="18"/>
    </w:rPr>
  </w:style>
  <w:style w:type="paragraph" w:styleId="40">
    <w:name w:val="footer"/>
    <w:basedOn w:val="1"/>
    <w:link w:val="104"/>
    <w:autoRedefine/>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1">
    <w:name w:val="header"/>
    <w:basedOn w:val="1"/>
    <w:link w:val="106"/>
    <w:autoRedefine/>
    <w:qFormat/>
    <w:uiPriority w:val="99"/>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2">
    <w:name w:val="Signature"/>
    <w:basedOn w:val="1"/>
    <w:link w:val="108"/>
    <w:autoRedefine/>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autoRedefine/>
    <w:qFormat/>
    <w:uiPriority w:val="0"/>
    <w:pPr>
      <w:adjustRightInd w:val="0"/>
    </w:pPr>
    <w:rPr>
      <w:rFonts w:ascii="Times New Roman" w:hAnsi="Times New Roman" w:eastAsia="宋体" w:cs="Times New Roman"/>
      <w:szCs w:val="24"/>
    </w:rPr>
  </w:style>
  <w:style w:type="paragraph" w:styleId="44">
    <w:name w:val="toc 4"/>
    <w:basedOn w:val="1"/>
    <w:next w:val="1"/>
    <w:autoRedefine/>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autoRedefine/>
    <w:qFormat/>
    <w:uiPriority w:val="0"/>
    <w:pPr>
      <w:ind w:firstLine="200" w:firstLineChars="200"/>
    </w:pPr>
    <w:rPr>
      <w:rFonts w:ascii="Times New Roman" w:hAnsi="Times New Roman" w:eastAsia="宋体" w:cs="Times New Roman"/>
      <w:szCs w:val="24"/>
    </w:rPr>
  </w:style>
  <w:style w:type="paragraph" w:styleId="46">
    <w:name w:val="index 1"/>
    <w:basedOn w:val="1"/>
    <w:next w:val="1"/>
    <w:autoRedefine/>
    <w:unhideWhenUsed/>
    <w:qFormat/>
    <w:uiPriority w:val="0"/>
  </w:style>
  <w:style w:type="paragraph" w:styleId="47">
    <w:name w:val="Subtitle"/>
    <w:basedOn w:val="1"/>
    <w:next w:val="1"/>
    <w:link w:val="109"/>
    <w:autoRedefine/>
    <w:qFormat/>
    <w:uiPriority w:val="11"/>
    <w:pPr>
      <w:adjustRightInd w:val="0"/>
      <w:snapToGrid w:val="0"/>
      <w:spacing w:before="240" w:after="480"/>
      <w:jc w:val="center"/>
    </w:pPr>
    <w:rPr>
      <w:rFonts w:ascii="Arial" w:hAnsi="Arial" w:eastAsia="隶书" w:cs="Times New Roman"/>
      <w:b/>
      <w:bCs/>
      <w:kern w:val="28"/>
      <w:sz w:val="44"/>
      <w:szCs w:val="32"/>
    </w:rPr>
  </w:style>
  <w:style w:type="paragraph" w:styleId="48">
    <w:name w:val="List Number 5"/>
    <w:basedOn w:val="1"/>
    <w:autoRedefine/>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autoRedefine/>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15"/>
    <w:link w:val="110"/>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autoRedefine/>
    <w:qFormat/>
    <w:uiPriority w:val="0"/>
    <w:pPr>
      <w:adjustRightInd w:val="0"/>
      <w:ind w:left="2100" w:leftChars="1000"/>
    </w:pPr>
    <w:rPr>
      <w:rFonts w:ascii="Times New Roman" w:hAnsi="Times New Roman" w:eastAsia="宋体" w:cs="Times New Roman"/>
      <w:szCs w:val="24"/>
    </w:rPr>
  </w:style>
  <w:style w:type="paragraph" w:styleId="52">
    <w:name w:val="List 5"/>
    <w:basedOn w:val="1"/>
    <w:autoRedefine/>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11"/>
    <w:autoRedefine/>
    <w:qFormat/>
    <w:uiPriority w:val="0"/>
    <w:pPr>
      <w:adjustRightInd w:val="0"/>
      <w:spacing w:line="360" w:lineRule="auto"/>
      <w:ind w:firstLine="420"/>
    </w:pPr>
    <w:rPr>
      <w:rFonts w:ascii="Times New Roman" w:hAnsi="Times New Roman" w:eastAsia="宋体" w:cs="Times New Roman"/>
      <w:sz w:val="24"/>
      <w:szCs w:val="20"/>
    </w:rPr>
  </w:style>
  <w:style w:type="paragraph" w:styleId="54">
    <w:name w:val="toc 2"/>
    <w:basedOn w:val="1"/>
    <w:next w:val="1"/>
    <w:autoRedefine/>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autoRedefine/>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112"/>
    <w:autoRedefine/>
    <w:qFormat/>
    <w:uiPriority w:val="0"/>
    <w:pPr>
      <w:adjustRightInd w:val="0"/>
      <w:spacing w:after="120" w:line="480" w:lineRule="auto"/>
    </w:pPr>
    <w:rPr>
      <w:rFonts w:ascii="Arial" w:hAnsi="Arial" w:eastAsia="黑体" w:cs="Times New Roman"/>
      <w:snapToGrid w:val="0"/>
      <w:szCs w:val="24"/>
    </w:rPr>
  </w:style>
  <w:style w:type="paragraph" w:styleId="57">
    <w:name w:val="List 4"/>
    <w:basedOn w:val="1"/>
    <w:autoRedefine/>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1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autoRedefine/>
    <w:qFormat/>
    <w:uiPriority w:val="99"/>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115"/>
    <w:autoRedefine/>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1">
    <w:name w:val="annotation subject"/>
    <w:basedOn w:val="19"/>
    <w:next w:val="19"/>
    <w:link w:val="117"/>
    <w:autoRedefine/>
    <w:qFormat/>
    <w:uiPriority w:val="99"/>
    <w:rPr>
      <w:b/>
      <w:bCs/>
      <w:snapToGrid w:val="0"/>
    </w:rPr>
  </w:style>
  <w:style w:type="paragraph" w:styleId="62">
    <w:name w:val="Body Text First Indent 2"/>
    <w:basedOn w:val="63"/>
    <w:next w:val="1"/>
    <w:link w:val="120"/>
    <w:autoRedefine/>
    <w:qFormat/>
    <w:uiPriority w:val="99"/>
    <w:pPr>
      <w:ind w:firstLine="210"/>
    </w:pPr>
    <w:rPr>
      <w:kern w:val="0"/>
      <w:sz w:val="20"/>
    </w:rPr>
  </w:style>
  <w:style w:type="paragraph" w:customStyle="1" w:styleId="63">
    <w:name w:val="正文缩进1"/>
    <w:basedOn w:val="1"/>
    <w:next w:val="2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autoRedefine/>
    <w:qFormat/>
    <w:uiPriority w:val="0"/>
    <w:rPr>
      <w:b/>
      <w:bCs/>
    </w:rPr>
  </w:style>
  <w:style w:type="character" w:styleId="68">
    <w:name w:val="page number"/>
    <w:basedOn w:val="66"/>
    <w:autoRedefine/>
    <w:qFormat/>
    <w:uiPriority w:val="0"/>
  </w:style>
  <w:style w:type="character" w:styleId="69">
    <w:name w:val="FollowedHyperlink"/>
    <w:basedOn w:val="66"/>
    <w:autoRedefine/>
    <w:qFormat/>
    <w:uiPriority w:val="99"/>
    <w:rPr>
      <w:color w:val="800080"/>
      <w:u w:val="single"/>
    </w:rPr>
  </w:style>
  <w:style w:type="character" w:styleId="70">
    <w:name w:val="Emphasis"/>
    <w:autoRedefine/>
    <w:qFormat/>
    <w:uiPriority w:val="0"/>
    <w:rPr>
      <w:color w:val="CC0033"/>
    </w:rPr>
  </w:style>
  <w:style w:type="character" w:styleId="71">
    <w:name w:val="line number"/>
    <w:basedOn w:val="66"/>
    <w:autoRedefine/>
    <w:qFormat/>
    <w:uiPriority w:val="0"/>
  </w:style>
  <w:style w:type="character" w:styleId="72">
    <w:name w:val="Hyperlink"/>
    <w:autoRedefine/>
    <w:qFormat/>
    <w:uiPriority w:val="99"/>
    <w:rPr>
      <w:color w:val="0000FF"/>
      <w:u w:val="single"/>
    </w:rPr>
  </w:style>
  <w:style w:type="character" w:styleId="73">
    <w:name w:val="HTML Code"/>
    <w:autoRedefine/>
    <w:qFormat/>
    <w:uiPriority w:val="0"/>
    <w:rPr>
      <w:rFonts w:ascii="黑体" w:hAnsi="Courier New" w:eastAsia="黑体" w:cs="楷体_GB2312"/>
      <w:sz w:val="20"/>
      <w:szCs w:val="20"/>
    </w:rPr>
  </w:style>
  <w:style w:type="character" w:styleId="74">
    <w:name w:val="annotation reference"/>
    <w:autoRedefine/>
    <w:qFormat/>
    <w:uiPriority w:val="0"/>
    <w:rPr>
      <w:sz w:val="21"/>
      <w:szCs w:val="21"/>
    </w:rPr>
  </w:style>
  <w:style w:type="paragraph" w:customStyle="1" w:styleId="75">
    <w:name w:val="表格文字"/>
    <w:basedOn w:val="1"/>
    <w:next w:val="23"/>
    <w:autoRedefine/>
    <w:qFormat/>
    <w:uiPriority w:val="0"/>
    <w:pPr>
      <w:ind w:firstLine="200" w:firstLineChars="200"/>
    </w:pPr>
    <w:rPr>
      <w:rFonts w:ascii="Arial" w:hAnsi="Arial" w:eastAsia="宋体" w:cs="Times New Roman"/>
      <w:spacing w:val="-5"/>
      <w:kern w:val="0"/>
      <w:sz w:val="24"/>
      <w:szCs w:val="20"/>
    </w:rPr>
  </w:style>
  <w:style w:type="character" w:customStyle="1" w:styleId="76">
    <w:name w:val="标题 1 字符1"/>
    <w:link w:val="3"/>
    <w:autoRedefine/>
    <w:qFormat/>
    <w:uiPriority w:val="0"/>
    <w:rPr>
      <w:rFonts w:ascii="Times New Roman" w:hAnsi="Times New Roman" w:eastAsia="宋体" w:cs="Times New Roman"/>
      <w:b/>
      <w:bCs/>
      <w:kern w:val="44"/>
      <w:sz w:val="44"/>
      <w:szCs w:val="44"/>
    </w:rPr>
  </w:style>
  <w:style w:type="character" w:customStyle="1" w:styleId="77">
    <w:name w:val="标题 2 字符1"/>
    <w:basedOn w:val="66"/>
    <w:link w:val="2"/>
    <w:autoRedefine/>
    <w:qFormat/>
    <w:uiPriority w:val="0"/>
    <w:rPr>
      <w:rFonts w:ascii="仿宋_GB2312" w:hAnsi="仿宋" w:eastAsia="仿宋_GB2312" w:cs="Times New Roman"/>
      <w:b/>
      <w:bCs/>
      <w:sz w:val="32"/>
      <w:szCs w:val="32"/>
      <w:lang w:val="zh-CN"/>
    </w:rPr>
  </w:style>
  <w:style w:type="character" w:customStyle="1" w:styleId="78">
    <w:name w:val="标题 3 字符1"/>
    <w:basedOn w:val="66"/>
    <w:link w:val="4"/>
    <w:autoRedefine/>
    <w:qFormat/>
    <w:uiPriority w:val="0"/>
    <w:rPr>
      <w:rFonts w:ascii="Times New Roman" w:hAnsi="Times New Roman" w:eastAsia="宋体" w:cs="Times New Roman"/>
      <w:b/>
      <w:bCs/>
      <w:sz w:val="32"/>
      <w:szCs w:val="32"/>
    </w:rPr>
  </w:style>
  <w:style w:type="character" w:customStyle="1" w:styleId="79">
    <w:name w:val="标题 4 字符1"/>
    <w:basedOn w:val="66"/>
    <w:link w:val="5"/>
    <w:autoRedefine/>
    <w:qFormat/>
    <w:uiPriority w:val="0"/>
    <w:rPr>
      <w:rFonts w:ascii="Arial" w:hAnsi="Arial" w:eastAsia="黑体" w:cs="Times New Roman"/>
      <w:b/>
      <w:bCs/>
      <w:sz w:val="28"/>
      <w:szCs w:val="28"/>
      <w:lang w:val="zh-CN"/>
    </w:rPr>
  </w:style>
  <w:style w:type="character" w:customStyle="1" w:styleId="80">
    <w:name w:val="标题 5 字符"/>
    <w:basedOn w:val="66"/>
    <w:link w:val="6"/>
    <w:autoRedefine/>
    <w:qFormat/>
    <w:uiPriority w:val="0"/>
    <w:rPr>
      <w:rFonts w:ascii="Times New Roman" w:hAnsi="Times New Roman" w:eastAsia="宋体" w:cs="Times New Roman"/>
      <w:b/>
      <w:bCs/>
      <w:sz w:val="28"/>
      <w:szCs w:val="28"/>
    </w:rPr>
  </w:style>
  <w:style w:type="character" w:customStyle="1" w:styleId="81">
    <w:name w:val="标题 6 字符"/>
    <w:basedOn w:val="66"/>
    <w:link w:val="7"/>
    <w:autoRedefine/>
    <w:qFormat/>
    <w:uiPriority w:val="0"/>
    <w:rPr>
      <w:rFonts w:ascii="Arial" w:hAnsi="Arial" w:eastAsia="黑体" w:cs="Times New Roman"/>
      <w:b/>
      <w:bCs/>
      <w:sz w:val="24"/>
      <w:szCs w:val="24"/>
    </w:rPr>
  </w:style>
  <w:style w:type="character" w:customStyle="1" w:styleId="82">
    <w:name w:val="标题 7 字符"/>
    <w:basedOn w:val="66"/>
    <w:link w:val="8"/>
    <w:autoRedefine/>
    <w:qFormat/>
    <w:uiPriority w:val="0"/>
    <w:rPr>
      <w:rFonts w:ascii="Times New Roman" w:hAnsi="Times New Roman" w:eastAsia="宋体" w:cs="Times New Roman"/>
      <w:b/>
      <w:bCs/>
      <w:sz w:val="24"/>
      <w:szCs w:val="24"/>
    </w:rPr>
  </w:style>
  <w:style w:type="character" w:customStyle="1" w:styleId="83">
    <w:name w:val="标题 8 字符"/>
    <w:basedOn w:val="66"/>
    <w:link w:val="9"/>
    <w:autoRedefine/>
    <w:qFormat/>
    <w:uiPriority w:val="0"/>
    <w:rPr>
      <w:rFonts w:ascii="Arial" w:hAnsi="Arial" w:eastAsia="黑体" w:cs="Times New Roman"/>
      <w:sz w:val="24"/>
      <w:szCs w:val="24"/>
    </w:rPr>
  </w:style>
  <w:style w:type="character" w:customStyle="1" w:styleId="84">
    <w:name w:val="标题 9 字符"/>
    <w:basedOn w:val="66"/>
    <w:link w:val="10"/>
    <w:autoRedefine/>
    <w:qFormat/>
    <w:uiPriority w:val="0"/>
    <w:rPr>
      <w:rFonts w:ascii="Arial" w:hAnsi="Arial" w:eastAsia="黑体" w:cs="Times New Roman"/>
      <w:szCs w:val="21"/>
    </w:rPr>
  </w:style>
  <w:style w:type="character" w:customStyle="1" w:styleId="85">
    <w:name w:val="标题 1 Char"/>
    <w:basedOn w:val="66"/>
    <w:autoRedefine/>
    <w:qFormat/>
    <w:uiPriority w:val="0"/>
    <w:rPr>
      <w:b/>
      <w:bCs/>
      <w:kern w:val="44"/>
      <w:sz w:val="44"/>
      <w:szCs w:val="44"/>
    </w:rPr>
  </w:style>
  <w:style w:type="character" w:customStyle="1" w:styleId="86">
    <w:name w:val="正文缩进 字符1"/>
    <w:link w:val="15"/>
    <w:autoRedefine/>
    <w:qFormat/>
    <w:uiPriority w:val="0"/>
    <w:rPr>
      <w:rFonts w:ascii="宋体" w:hAnsi="Times New Roman" w:eastAsia="宋体" w:cs="Times New Roman"/>
      <w:snapToGrid w:val="0"/>
      <w:color w:val="000000"/>
      <w:kern w:val="28"/>
      <w:sz w:val="28"/>
      <w:szCs w:val="20"/>
    </w:rPr>
  </w:style>
  <w:style w:type="character" w:customStyle="1" w:styleId="87">
    <w:name w:val="题注 字符"/>
    <w:link w:val="16"/>
    <w:autoRedefine/>
    <w:qFormat/>
    <w:uiPriority w:val="0"/>
    <w:rPr>
      <w:rFonts w:ascii="Times New Roman" w:hAnsi="Times New Roman" w:eastAsia="宋体" w:cs="Times New Roman"/>
      <w:b/>
      <w:sz w:val="28"/>
      <w:szCs w:val="20"/>
    </w:rPr>
  </w:style>
  <w:style w:type="character" w:customStyle="1" w:styleId="88">
    <w:name w:val="文档结构图 字符"/>
    <w:link w:val="18"/>
    <w:autoRedefine/>
    <w:qFormat/>
    <w:uiPriority w:val="99"/>
    <w:rPr>
      <w:rFonts w:ascii="Arial" w:hAnsi="Arial" w:eastAsia="黑体" w:cs="Times New Roman"/>
      <w:snapToGrid w:val="0"/>
      <w:szCs w:val="24"/>
      <w:shd w:val="clear" w:color="auto" w:fill="000080"/>
    </w:rPr>
  </w:style>
  <w:style w:type="character" w:customStyle="1" w:styleId="89">
    <w:name w:val="文档结构图 Char"/>
    <w:basedOn w:val="66"/>
    <w:link w:val="90"/>
    <w:autoRedefine/>
    <w:qFormat/>
    <w:uiPriority w:val="0"/>
    <w:rPr>
      <w:rFonts w:ascii="宋体" w:eastAsia="宋体"/>
      <w:sz w:val="18"/>
      <w:szCs w:val="18"/>
    </w:rPr>
  </w:style>
  <w:style w:type="paragraph" w:customStyle="1" w:styleId="90">
    <w:name w:val="文档结构图1"/>
    <w:basedOn w:val="1"/>
    <w:link w:val="89"/>
    <w:autoRedefine/>
    <w:qFormat/>
    <w:uiPriority w:val="0"/>
    <w:pPr>
      <w:shd w:val="clear" w:color="auto" w:fill="000080"/>
    </w:pPr>
    <w:rPr>
      <w:rFonts w:ascii="宋体" w:eastAsia="宋体"/>
      <w:sz w:val="18"/>
      <w:szCs w:val="18"/>
    </w:rPr>
  </w:style>
  <w:style w:type="character" w:customStyle="1" w:styleId="91">
    <w:name w:val="批注文字 字符1"/>
    <w:link w:val="19"/>
    <w:autoRedefine/>
    <w:qFormat/>
    <w:uiPriority w:val="0"/>
    <w:rPr>
      <w:rFonts w:ascii="Times New Roman" w:hAnsi="Times New Roman" w:eastAsia="宋体" w:cs="Times New Roman"/>
      <w:szCs w:val="24"/>
    </w:rPr>
  </w:style>
  <w:style w:type="character" w:customStyle="1" w:styleId="92">
    <w:name w:val="批注文字 Char"/>
    <w:basedOn w:val="66"/>
    <w:autoRedefine/>
    <w:qFormat/>
    <w:uiPriority w:val="0"/>
  </w:style>
  <w:style w:type="character" w:customStyle="1" w:styleId="93">
    <w:name w:val="称呼 字符"/>
    <w:basedOn w:val="66"/>
    <w:link w:val="20"/>
    <w:autoRedefine/>
    <w:qFormat/>
    <w:uiPriority w:val="0"/>
    <w:rPr>
      <w:rFonts w:ascii="仿宋_GB2312" w:hAnsi="Times New Roman" w:eastAsia="仿宋_GB2312" w:cs="Times New Roman"/>
      <w:sz w:val="28"/>
      <w:szCs w:val="20"/>
    </w:rPr>
  </w:style>
  <w:style w:type="character" w:customStyle="1" w:styleId="94">
    <w:name w:val="正文文本 3 字符"/>
    <w:basedOn w:val="66"/>
    <w:link w:val="21"/>
    <w:autoRedefine/>
    <w:qFormat/>
    <w:uiPriority w:val="0"/>
    <w:rPr>
      <w:rFonts w:ascii="Times New Roman" w:hAnsi="Times New Roman" w:eastAsia="宋体" w:cs="Times New Roman"/>
      <w:szCs w:val="20"/>
    </w:rPr>
  </w:style>
  <w:style w:type="character" w:customStyle="1" w:styleId="95">
    <w:name w:val="正文文本 字符"/>
    <w:link w:val="23"/>
    <w:autoRedefine/>
    <w:qFormat/>
    <w:uiPriority w:val="0"/>
    <w:rPr>
      <w:rFonts w:ascii="宋体" w:hAnsi="Arial" w:eastAsia="黑体" w:cs="Times New Roman"/>
      <w:snapToGrid w:val="0"/>
      <w:sz w:val="24"/>
      <w:szCs w:val="21"/>
      <w:lang w:val="zh-CN"/>
    </w:rPr>
  </w:style>
  <w:style w:type="character" w:customStyle="1" w:styleId="96">
    <w:name w:val="正文文本 Char"/>
    <w:basedOn w:val="66"/>
    <w:autoRedefine/>
    <w:qFormat/>
    <w:uiPriority w:val="0"/>
  </w:style>
  <w:style w:type="character" w:customStyle="1" w:styleId="97">
    <w:name w:val="正文文本缩进 字符"/>
    <w:basedOn w:val="66"/>
    <w:link w:val="25"/>
    <w:autoRedefine/>
    <w:qFormat/>
    <w:uiPriority w:val="0"/>
    <w:rPr>
      <w:rFonts w:ascii="宋体" w:hAnsi="宋体" w:eastAsia="宋体" w:cs="Times New Roman"/>
      <w:sz w:val="24"/>
      <w:szCs w:val="24"/>
    </w:rPr>
  </w:style>
  <w:style w:type="character" w:customStyle="1" w:styleId="98">
    <w:name w:val="HTML 地址 字符"/>
    <w:basedOn w:val="66"/>
    <w:link w:val="31"/>
    <w:autoRedefine/>
    <w:qFormat/>
    <w:uiPriority w:val="0"/>
    <w:rPr>
      <w:rFonts w:ascii="宋体" w:hAnsi="宋体" w:eastAsia="宋体" w:cs="Times New Roman"/>
      <w:i/>
      <w:iCs/>
      <w:kern w:val="0"/>
      <w:sz w:val="24"/>
      <w:szCs w:val="24"/>
    </w:rPr>
  </w:style>
  <w:style w:type="character" w:customStyle="1" w:styleId="99">
    <w:name w:val="纯文本 字符1"/>
    <w:link w:val="34"/>
    <w:autoRedefine/>
    <w:qFormat/>
    <w:uiPriority w:val="99"/>
    <w:rPr>
      <w:rFonts w:ascii="宋体" w:hAnsi="Courier New" w:eastAsia="黑体" w:cs="Times New Roman"/>
      <w:snapToGrid w:val="0"/>
      <w:szCs w:val="21"/>
    </w:rPr>
  </w:style>
  <w:style w:type="character" w:customStyle="1" w:styleId="100">
    <w:name w:val="纯文本 Char"/>
    <w:basedOn w:val="66"/>
    <w:autoRedefine/>
    <w:qFormat/>
    <w:uiPriority w:val="0"/>
    <w:rPr>
      <w:rFonts w:ascii="宋体" w:hAnsi="Courier New" w:eastAsia="宋体" w:cs="Courier New"/>
      <w:szCs w:val="21"/>
    </w:rPr>
  </w:style>
  <w:style w:type="character" w:customStyle="1" w:styleId="101">
    <w:name w:val="日期 字符"/>
    <w:basedOn w:val="66"/>
    <w:link w:val="37"/>
    <w:autoRedefine/>
    <w:qFormat/>
    <w:uiPriority w:val="99"/>
    <w:rPr>
      <w:rFonts w:ascii="宋体" w:hAnsi="Times New Roman" w:eastAsia="宋体" w:cs="Times New Roman"/>
      <w:sz w:val="24"/>
      <w:szCs w:val="21"/>
      <w:lang w:val="zh-CN"/>
    </w:rPr>
  </w:style>
  <w:style w:type="character" w:customStyle="1" w:styleId="102">
    <w:name w:val="正文文本缩进 2 字符"/>
    <w:basedOn w:val="66"/>
    <w:link w:val="38"/>
    <w:autoRedefine/>
    <w:qFormat/>
    <w:uiPriority w:val="0"/>
    <w:rPr>
      <w:rFonts w:ascii="宋体" w:hAnsi="Times New Roman" w:eastAsia="宋体" w:cs="Times New Roman"/>
      <w:kern w:val="0"/>
      <w:sz w:val="28"/>
      <w:szCs w:val="20"/>
    </w:rPr>
  </w:style>
  <w:style w:type="character" w:customStyle="1" w:styleId="103">
    <w:name w:val="批注框文本 字符"/>
    <w:basedOn w:val="66"/>
    <w:link w:val="39"/>
    <w:autoRedefine/>
    <w:qFormat/>
    <w:uiPriority w:val="99"/>
    <w:rPr>
      <w:rFonts w:ascii="Times New Roman" w:hAnsi="Times New Roman" w:eastAsia="宋体" w:cs="Times New Roman"/>
      <w:sz w:val="18"/>
      <w:szCs w:val="18"/>
    </w:rPr>
  </w:style>
  <w:style w:type="character" w:customStyle="1" w:styleId="104">
    <w:name w:val="页脚 字符1"/>
    <w:link w:val="40"/>
    <w:autoRedefine/>
    <w:qFormat/>
    <w:uiPriority w:val="0"/>
    <w:rPr>
      <w:rFonts w:ascii="Times New Roman" w:hAnsi="Times New Roman" w:eastAsia="宋体" w:cs="Times New Roman"/>
      <w:sz w:val="18"/>
      <w:szCs w:val="18"/>
    </w:rPr>
  </w:style>
  <w:style w:type="character" w:customStyle="1" w:styleId="105">
    <w:name w:val="页脚 Char"/>
    <w:basedOn w:val="66"/>
    <w:autoRedefine/>
    <w:qFormat/>
    <w:uiPriority w:val="99"/>
    <w:rPr>
      <w:sz w:val="18"/>
      <w:szCs w:val="18"/>
    </w:rPr>
  </w:style>
  <w:style w:type="character" w:customStyle="1" w:styleId="106">
    <w:name w:val="页眉 字符1"/>
    <w:link w:val="41"/>
    <w:autoRedefine/>
    <w:qFormat/>
    <w:uiPriority w:val="0"/>
    <w:rPr>
      <w:rFonts w:ascii="仿宋" w:hAnsi="仿宋" w:eastAsia="仿宋" w:cs="Times New Roman"/>
      <w:i/>
      <w:snapToGrid w:val="0"/>
      <w:sz w:val="18"/>
      <w:szCs w:val="18"/>
      <w:u w:val="single"/>
      <w:lang w:val="en-GB"/>
    </w:rPr>
  </w:style>
  <w:style w:type="character" w:customStyle="1" w:styleId="107">
    <w:name w:val="页眉 Char"/>
    <w:basedOn w:val="66"/>
    <w:autoRedefine/>
    <w:qFormat/>
    <w:uiPriority w:val="0"/>
    <w:rPr>
      <w:sz w:val="18"/>
      <w:szCs w:val="18"/>
    </w:rPr>
  </w:style>
  <w:style w:type="character" w:customStyle="1" w:styleId="108">
    <w:name w:val="签名 字符"/>
    <w:basedOn w:val="66"/>
    <w:link w:val="42"/>
    <w:autoRedefine/>
    <w:qFormat/>
    <w:uiPriority w:val="0"/>
    <w:rPr>
      <w:rFonts w:ascii="Times New Roman" w:hAnsi="Times New Roman" w:eastAsia="仿宋_GB2312" w:cs="Times New Roman"/>
      <w:kern w:val="0"/>
      <w:sz w:val="24"/>
      <w:szCs w:val="20"/>
    </w:rPr>
  </w:style>
  <w:style w:type="character" w:customStyle="1" w:styleId="109">
    <w:name w:val="副标题 字符"/>
    <w:basedOn w:val="66"/>
    <w:link w:val="47"/>
    <w:autoRedefine/>
    <w:qFormat/>
    <w:uiPriority w:val="11"/>
    <w:rPr>
      <w:rFonts w:ascii="Arial" w:hAnsi="Arial" w:eastAsia="隶书" w:cs="Times New Roman"/>
      <w:b/>
      <w:bCs/>
      <w:kern w:val="28"/>
      <w:sz w:val="44"/>
      <w:szCs w:val="32"/>
    </w:rPr>
  </w:style>
  <w:style w:type="character" w:customStyle="1" w:styleId="110">
    <w:name w:val="脚注文本 字符"/>
    <w:basedOn w:val="66"/>
    <w:link w:val="50"/>
    <w:autoRedefine/>
    <w:qFormat/>
    <w:uiPriority w:val="0"/>
    <w:rPr>
      <w:rFonts w:ascii="Times New Roman" w:hAnsi="Times New Roman" w:eastAsia="宋体" w:cs="Times New Roman"/>
      <w:color w:val="0000FF"/>
      <w:kern w:val="0"/>
      <w:szCs w:val="20"/>
    </w:rPr>
  </w:style>
  <w:style w:type="character" w:customStyle="1" w:styleId="111">
    <w:name w:val="正文文本缩进 3 字符"/>
    <w:basedOn w:val="66"/>
    <w:link w:val="53"/>
    <w:autoRedefine/>
    <w:qFormat/>
    <w:uiPriority w:val="0"/>
    <w:rPr>
      <w:rFonts w:ascii="Times New Roman" w:hAnsi="Times New Roman" w:eastAsia="宋体" w:cs="Times New Roman"/>
      <w:sz w:val="24"/>
      <w:szCs w:val="20"/>
    </w:rPr>
  </w:style>
  <w:style w:type="character" w:customStyle="1" w:styleId="112">
    <w:name w:val="正文文本 2 字符"/>
    <w:link w:val="56"/>
    <w:autoRedefine/>
    <w:qFormat/>
    <w:uiPriority w:val="0"/>
    <w:rPr>
      <w:rFonts w:ascii="Arial" w:hAnsi="Arial" w:eastAsia="黑体" w:cs="Times New Roman"/>
      <w:snapToGrid w:val="0"/>
      <w:szCs w:val="24"/>
    </w:rPr>
  </w:style>
  <w:style w:type="character" w:customStyle="1" w:styleId="113">
    <w:name w:val="正文文本 2 Char"/>
    <w:basedOn w:val="66"/>
    <w:autoRedefine/>
    <w:qFormat/>
    <w:uiPriority w:val="0"/>
  </w:style>
  <w:style w:type="character" w:customStyle="1" w:styleId="114">
    <w:name w:val="HTML 预设格式 字符"/>
    <w:basedOn w:val="66"/>
    <w:link w:val="58"/>
    <w:autoRedefine/>
    <w:qFormat/>
    <w:uiPriority w:val="0"/>
    <w:rPr>
      <w:rFonts w:ascii="黑体" w:hAnsi="Courier New" w:eastAsia="黑体" w:cs="Times New Roman"/>
      <w:kern w:val="0"/>
      <w:sz w:val="20"/>
      <w:szCs w:val="20"/>
    </w:rPr>
  </w:style>
  <w:style w:type="character" w:customStyle="1" w:styleId="115">
    <w:name w:val="标题 字符"/>
    <w:link w:val="60"/>
    <w:autoRedefine/>
    <w:qFormat/>
    <w:uiPriority w:val="0"/>
    <w:rPr>
      <w:rFonts w:ascii="Arial" w:hAnsi="Arial" w:eastAsia="黑体" w:cs="Times New Roman"/>
      <w:b/>
      <w:snapToGrid w:val="0"/>
      <w:kern w:val="0"/>
      <w:sz w:val="24"/>
      <w:szCs w:val="21"/>
      <w:lang w:val="en-GB"/>
    </w:rPr>
  </w:style>
  <w:style w:type="character" w:customStyle="1" w:styleId="116">
    <w:name w:val="标题 Char"/>
    <w:basedOn w:val="66"/>
    <w:autoRedefine/>
    <w:qFormat/>
    <w:uiPriority w:val="0"/>
    <w:rPr>
      <w:rFonts w:eastAsia="宋体" w:asciiTheme="majorHAnsi" w:hAnsiTheme="majorHAnsi" w:cstheme="majorBidi"/>
      <w:b/>
      <w:bCs/>
      <w:sz w:val="32"/>
      <w:szCs w:val="32"/>
    </w:rPr>
  </w:style>
  <w:style w:type="character" w:customStyle="1" w:styleId="117">
    <w:name w:val="批注主题 字符"/>
    <w:link w:val="61"/>
    <w:autoRedefine/>
    <w:qFormat/>
    <w:uiPriority w:val="99"/>
    <w:rPr>
      <w:rFonts w:ascii="Times New Roman" w:hAnsi="Times New Roman" w:eastAsia="宋体" w:cs="Times New Roman"/>
      <w:b/>
      <w:bCs/>
      <w:snapToGrid w:val="0"/>
      <w:szCs w:val="24"/>
    </w:rPr>
  </w:style>
  <w:style w:type="character" w:customStyle="1" w:styleId="118">
    <w:name w:val="批注主题 Char"/>
    <w:basedOn w:val="92"/>
    <w:autoRedefine/>
    <w:qFormat/>
    <w:uiPriority w:val="99"/>
    <w:rPr>
      <w:b/>
      <w:bCs/>
    </w:rPr>
  </w:style>
  <w:style w:type="character" w:customStyle="1" w:styleId="119">
    <w:name w:val="正文文本首行缩进 字符1"/>
    <w:basedOn w:val="96"/>
    <w:link w:val="24"/>
    <w:autoRedefine/>
    <w:qFormat/>
    <w:uiPriority w:val="0"/>
    <w:rPr>
      <w:rFonts w:ascii="宋体" w:hAnsi="Calibri" w:eastAsia="宋体" w:cs="Times New Roman"/>
      <w:kern w:val="0"/>
      <w:sz w:val="24"/>
      <w:szCs w:val="20"/>
      <w:lang w:val="zh-CN"/>
    </w:rPr>
  </w:style>
  <w:style w:type="character" w:customStyle="1" w:styleId="120">
    <w:name w:val="正文文本首行缩进 2 字符1"/>
    <w:basedOn w:val="97"/>
    <w:link w:val="62"/>
    <w:autoRedefine/>
    <w:qFormat/>
    <w:uiPriority w:val="0"/>
    <w:rPr>
      <w:rFonts w:ascii="宋体" w:hAnsi="宋体" w:eastAsia="宋体" w:cs="Times New Roman"/>
      <w:kern w:val="0"/>
      <w:sz w:val="20"/>
      <w:szCs w:val="24"/>
    </w:rPr>
  </w:style>
  <w:style w:type="character" w:customStyle="1" w:styleId="121">
    <w:name w:val="访问过的超链接1"/>
    <w:autoRedefine/>
    <w:qFormat/>
    <w:uiPriority w:val="99"/>
    <w:rPr>
      <w:color w:val="800080"/>
      <w:u w:val="single"/>
    </w:rPr>
  </w:style>
  <w:style w:type="character" w:customStyle="1" w:styleId="122">
    <w:name w:val="dectext1"/>
    <w:autoRedefine/>
    <w:qFormat/>
    <w:uiPriority w:val="0"/>
    <w:rPr>
      <w:rFonts w:ascii="宋体" w:hAnsi="宋体" w:eastAsia="宋体"/>
      <w:color w:val="333333"/>
      <w:sz w:val="21"/>
      <w:szCs w:val="21"/>
      <w:u w:val="none"/>
    </w:rPr>
  </w:style>
  <w:style w:type="character" w:customStyle="1" w:styleId="123">
    <w:name w:val="FA正文 Char Char"/>
    <w:autoRedefine/>
    <w:qFormat/>
    <w:uiPriority w:val="0"/>
    <w:rPr>
      <w:rFonts w:hAnsi="宋体"/>
      <w:kern w:val="2"/>
      <w:sz w:val="24"/>
      <w:lang w:bidi="ar-SA"/>
    </w:rPr>
  </w:style>
  <w:style w:type="character" w:customStyle="1" w:styleId="124">
    <w:name w:val="样式 宋体"/>
    <w:autoRedefine/>
    <w:qFormat/>
    <w:uiPriority w:val="0"/>
    <w:rPr>
      <w:rFonts w:ascii="宋体" w:hAnsi="宋体"/>
      <w:sz w:val="24"/>
    </w:rPr>
  </w:style>
  <w:style w:type="character" w:customStyle="1" w:styleId="125">
    <w:name w:val="zbggmain style9"/>
    <w:autoRedefine/>
    <w:qFormat/>
    <w:uiPriority w:val="0"/>
  </w:style>
  <w:style w:type="character" w:customStyle="1" w:styleId="12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autoRedefine/>
    <w:qFormat/>
    <w:uiPriority w:val="0"/>
    <w:rPr>
      <w:sz w:val="21"/>
    </w:rPr>
  </w:style>
  <w:style w:type="character" w:customStyle="1" w:styleId="128">
    <w:name w:val="插图说明 Char"/>
    <w:autoRedefine/>
    <w:qFormat/>
    <w:uiPriority w:val="0"/>
    <w:rPr>
      <w:rFonts w:eastAsia="黑体"/>
      <w:sz w:val="24"/>
      <w:lang w:val="en-US" w:eastAsia="zh-CN"/>
    </w:rPr>
  </w:style>
  <w:style w:type="character" w:customStyle="1" w:styleId="129">
    <w:name w:val="font21"/>
    <w:basedOn w:val="66"/>
    <w:autoRedefine/>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autoRedefine/>
    <w:qFormat/>
    <w:uiPriority w:val="0"/>
    <w:rPr>
      <w:rFonts w:ascii="仿宋_GB2312" w:eastAsia="仿宋_GB2312"/>
      <w:b/>
      <w:sz w:val="32"/>
      <w:szCs w:val="32"/>
    </w:rPr>
  </w:style>
  <w:style w:type="paragraph" w:customStyle="1" w:styleId="131">
    <w:name w:val="Char"/>
    <w:basedOn w:val="1"/>
    <w:link w:val="130"/>
    <w:autoRedefine/>
    <w:qFormat/>
    <w:uiPriority w:val="0"/>
    <w:pPr>
      <w:adjustRightInd w:val="0"/>
    </w:pPr>
    <w:rPr>
      <w:rFonts w:ascii="仿宋_GB2312" w:eastAsia="仿宋_GB2312"/>
      <w:b/>
      <w:sz w:val="32"/>
      <w:szCs w:val="32"/>
    </w:rPr>
  </w:style>
  <w:style w:type="character" w:customStyle="1" w:styleId="132">
    <w:name w:val="样式3 Char"/>
    <w:basedOn w:val="133"/>
    <w:autoRedefine/>
    <w:qFormat/>
    <w:uiPriority w:val="0"/>
    <w:rPr>
      <w:rFonts w:ascii="仿宋_GB2312" w:hAnsi="仿宋" w:eastAsia="仿宋_GB2312" w:cs="仿宋_GB2312"/>
      <w:sz w:val="32"/>
      <w:szCs w:val="30"/>
      <w:lang w:val="zh-CN"/>
    </w:rPr>
  </w:style>
  <w:style w:type="character" w:customStyle="1" w:styleId="133">
    <w:name w:val="样式2 Char"/>
    <w:autoRedefine/>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autoRedefine/>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autoRedefine/>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5"/>
    <w:link w:val="137"/>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autoRedefine/>
    <w:qFormat/>
    <w:uiPriority w:val="0"/>
    <w:rPr>
      <w:rFonts w:ascii="微软雅黑" w:hAnsi="微软雅黑" w:eastAsia="微软雅黑" w:cs="Times New Roman"/>
      <w:b/>
      <w:bCs/>
      <w:sz w:val="24"/>
      <w:szCs w:val="28"/>
      <w:lang w:val="zh-CN"/>
    </w:rPr>
  </w:style>
  <w:style w:type="character" w:customStyle="1" w:styleId="138">
    <w:name w:val="表正文 Char"/>
    <w:autoRedefine/>
    <w:qFormat/>
    <w:uiPriority w:val="0"/>
    <w:rPr>
      <w:rFonts w:ascii="宋体" w:eastAsia="宋体"/>
      <w:snapToGrid w:val="0"/>
      <w:color w:val="000000"/>
      <w:kern w:val="28"/>
      <w:sz w:val="28"/>
      <w:lang w:val="en-US" w:eastAsia="zh-CN" w:bidi="ar-SA"/>
    </w:rPr>
  </w:style>
  <w:style w:type="character" w:customStyle="1" w:styleId="139">
    <w:name w:val="列出段落 Char"/>
    <w:autoRedefine/>
    <w:qFormat/>
    <w:uiPriority w:val="99"/>
    <w:rPr>
      <w:rFonts w:eastAsia="楷体_GB2312" w:cs="Lucida Sans"/>
      <w:kern w:val="2"/>
      <w:sz w:val="24"/>
      <w:szCs w:val="24"/>
      <w:lang w:val="en-US" w:eastAsia="zh-CN" w:bidi="ar-SA"/>
    </w:rPr>
  </w:style>
  <w:style w:type="character" w:customStyle="1" w:styleId="140">
    <w:name w:val="Normal Indent Char Char"/>
    <w:autoRedefine/>
    <w:qFormat/>
    <w:uiPriority w:val="0"/>
    <w:rPr>
      <w:rFonts w:eastAsia="宋体"/>
      <w:kern w:val="2"/>
      <w:sz w:val="21"/>
      <w:lang w:val="en-US" w:eastAsia="zh-CN" w:bidi="ar-SA"/>
    </w:rPr>
  </w:style>
  <w:style w:type="character" w:customStyle="1" w:styleId="141">
    <w:name w:val="Char Char12"/>
    <w:autoRedefine/>
    <w:qFormat/>
    <w:uiPriority w:val="0"/>
    <w:rPr>
      <w:rFonts w:ascii="仿宋_GB2312" w:eastAsia="仿宋_GB2312"/>
      <w:b/>
      <w:bCs/>
      <w:kern w:val="2"/>
      <w:sz w:val="24"/>
      <w:szCs w:val="24"/>
      <w:lang w:val="zh-CN" w:eastAsia="zh-CN" w:bidi="ar-SA"/>
    </w:rPr>
  </w:style>
  <w:style w:type="character" w:customStyle="1" w:styleId="142">
    <w:name w:val="正文缩进 Char"/>
    <w:autoRedefine/>
    <w:qFormat/>
    <w:uiPriority w:val="0"/>
    <w:rPr>
      <w:rFonts w:eastAsia="宋体"/>
      <w:kern w:val="2"/>
      <w:sz w:val="21"/>
      <w:lang w:val="en-US" w:eastAsia="zh-CN"/>
    </w:rPr>
  </w:style>
  <w:style w:type="character" w:customStyle="1" w:styleId="143">
    <w:name w:val="Char Char41"/>
    <w:autoRedefine/>
    <w:qFormat/>
    <w:uiPriority w:val="0"/>
    <w:rPr>
      <w:rFonts w:eastAsia="宋体"/>
      <w:b/>
      <w:sz w:val="24"/>
      <w:lang w:val="en-GB" w:eastAsia="zh-CN" w:bidi="ar-SA"/>
    </w:rPr>
  </w:style>
  <w:style w:type="character" w:customStyle="1" w:styleId="14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45">
    <w:name w:val="Document Map Char"/>
    <w:autoRedefine/>
    <w:qFormat/>
    <w:uiPriority w:val="0"/>
    <w:rPr>
      <w:rFonts w:eastAsia="宋体"/>
      <w:kern w:val="2"/>
      <w:sz w:val="21"/>
      <w:szCs w:val="24"/>
      <w:lang w:val="en-US" w:eastAsia="zh-CN" w:bidi="ar-SA"/>
    </w:rPr>
  </w:style>
  <w:style w:type="character" w:customStyle="1" w:styleId="146">
    <w:name w:val="正文首行缩进两字 Char"/>
    <w:autoRedefine/>
    <w:qFormat/>
    <w:uiPriority w:val="0"/>
    <w:rPr>
      <w:sz w:val="24"/>
      <w:szCs w:val="24"/>
      <w:lang w:val="en-US" w:eastAsia="zh-CN" w:bidi="ar-SA"/>
    </w:rPr>
  </w:style>
  <w:style w:type="character" w:customStyle="1" w:styleId="147">
    <w:name w:val="HTML 地址 Char1"/>
    <w:autoRedefine/>
    <w:qFormat/>
    <w:uiPriority w:val="99"/>
    <w:rPr>
      <w:rFonts w:ascii="Times New Roman" w:hAnsi="Times New Roman" w:eastAsia="宋体" w:cs="Times New Roman"/>
      <w:i/>
      <w:iCs/>
      <w:szCs w:val="24"/>
    </w:rPr>
  </w:style>
  <w:style w:type="character" w:customStyle="1" w:styleId="148">
    <w:name w:val="正文2 Char Char"/>
    <w:link w:val="149"/>
    <w:autoRedefine/>
    <w:qFormat/>
    <w:uiPriority w:val="0"/>
    <w:rPr>
      <w:rFonts w:eastAsia="宋体"/>
      <w:sz w:val="24"/>
    </w:rPr>
  </w:style>
  <w:style w:type="paragraph" w:customStyle="1" w:styleId="149">
    <w:name w:val="正文2"/>
    <w:basedOn w:val="1"/>
    <w:link w:val="148"/>
    <w:autoRedefine/>
    <w:qFormat/>
    <w:uiPriority w:val="0"/>
    <w:pPr>
      <w:adjustRightInd w:val="0"/>
      <w:spacing w:before="156" w:line="360" w:lineRule="auto"/>
      <w:ind w:firstLine="510" w:firstLineChars="200"/>
    </w:pPr>
    <w:rPr>
      <w:rFonts w:eastAsia="宋体"/>
      <w:sz w:val="24"/>
    </w:rPr>
  </w:style>
  <w:style w:type="character" w:customStyle="1" w:styleId="150">
    <w:name w:val="日期 Char1"/>
    <w:autoRedefine/>
    <w:qFormat/>
    <w:uiPriority w:val="99"/>
    <w:rPr>
      <w:rFonts w:ascii="Times New Roman" w:hAnsi="Times New Roman" w:eastAsia="宋体" w:cs="Times New Roman"/>
      <w:szCs w:val="24"/>
    </w:rPr>
  </w:style>
  <w:style w:type="character" w:customStyle="1" w:styleId="151">
    <w:name w:val="哈哈正文 Char"/>
    <w:link w:val="152"/>
    <w:autoRedefine/>
    <w:qFormat/>
    <w:uiPriority w:val="0"/>
    <w:rPr>
      <w:rFonts w:ascii="宋体" w:hAnsi="宋体" w:eastAsia="宋体"/>
      <w:sz w:val="24"/>
    </w:rPr>
  </w:style>
  <w:style w:type="paragraph" w:customStyle="1" w:styleId="152">
    <w:name w:val="哈哈正文"/>
    <w:basedOn w:val="1"/>
    <w:link w:val="151"/>
    <w:autoRedefine/>
    <w:qFormat/>
    <w:uiPriority w:val="0"/>
    <w:pPr>
      <w:spacing w:line="360" w:lineRule="auto"/>
      <w:ind w:firstLine="200" w:firstLineChars="200"/>
    </w:pPr>
    <w:rPr>
      <w:rFonts w:ascii="宋体" w:hAnsi="宋体" w:eastAsia="宋体"/>
      <w:sz w:val="24"/>
    </w:rPr>
  </w:style>
  <w:style w:type="character" w:customStyle="1" w:styleId="153">
    <w:name w:val="HTML 预设格式 Char1"/>
    <w:autoRedefine/>
    <w:qFormat/>
    <w:uiPriority w:val="99"/>
    <w:rPr>
      <w:rFonts w:ascii="Courier New" w:hAnsi="Courier New" w:eastAsia="宋体" w:cs="Courier New"/>
      <w:sz w:val="20"/>
      <w:szCs w:val="20"/>
    </w:rPr>
  </w:style>
  <w:style w:type="character" w:customStyle="1" w:styleId="154">
    <w:name w:val="tw4winJump"/>
    <w:autoRedefine/>
    <w:qFormat/>
    <w:uiPriority w:val="0"/>
    <w:rPr>
      <w:rFonts w:ascii="Courier New" w:hAnsi="Courier New" w:cs="Courier New"/>
      <w:color w:val="008080"/>
      <w:lang w:val="en-US" w:eastAsia="zh-CN"/>
    </w:rPr>
  </w:style>
  <w:style w:type="character" w:customStyle="1" w:styleId="155">
    <w:name w:val="称呼 Char1"/>
    <w:autoRedefine/>
    <w:qFormat/>
    <w:uiPriority w:val="99"/>
    <w:rPr>
      <w:rFonts w:ascii="Times New Roman" w:hAnsi="Times New Roman" w:eastAsia="宋体" w:cs="Times New Roman"/>
      <w:szCs w:val="24"/>
    </w:rPr>
  </w:style>
  <w:style w:type="character" w:customStyle="1" w:styleId="156">
    <w:name w:val="Char Char26"/>
    <w:autoRedefine/>
    <w:qFormat/>
    <w:uiPriority w:val="6"/>
    <w:rPr>
      <w:kern w:val="1"/>
      <w:sz w:val="21"/>
      <w:szCs w:val="24"/>
    </w:rPr>
  </w:style>
  <w:style w:type="character" w:customStyle="1" w:styleId="157">
    <w:name w:val="正文段 Char"/>
    <w:link w:val="158"/>
    <w:autoRedefine/>
    <w:qFormat/>
    <w:uiPriority w:val="0"/>
    <w:rPr>
      <w:sz w:val="24"/>
    </w:rPr>
  </w:style>
  <w:style w:type="paragraph" w:customStyle="1" w:styleId="158">
    <w:name w:val="正文段"/>
    <w:basedOn w:val="1"/>
    <w:link w:val="157"/>
    <w:autoRedefine/>
    <w:qFormat/>
    <w:uiPriority w:val="0"/>
    <w:pPr>
      <w:widowControl/>
      <w:adjustRightInd w:val="0"/>
      <w:snapToGrid w:val="0"/>
      <w:spacing w:afterLines="50"/>
      <w:ind w:firstLine="200" w:firstLineChars="200"/>
    </w:pPr>
    <w:rPr>
      <w:sz w:val="24"/>
    </w:rPr>
  </w:style>
  <w:style w:type="character" w:customStyle="1" w:styleId="159">
    <w:name w:val="仿宋正文 Char"/>
    <w:link w:val="160"/>
    <w:autoRedefine/>
    <w:qFormat/>
    <w:uiPriority w:val="0"/>
    <w:rPr>
      <w:rFonts w:ascii="仿宋_GB2312" w:eastAsia="仿宋_GB2312"/>
      <w:sz w:val="24"/>
    </w:rPr>
  </w:style>
  <w:style w:type="paragraph" w:customStyle="1" w:styleId="160">
    <w:name w:val="仿宋正文"/>
    <w:basedOn w:val="1"/>
    <w:link w:val="159"/>
    <w:autoRedefine/>
    <w:qFormat/>
    <w:uiPriority w:val="0"/>
    <w:pPr>
      <w:spacing w:line="360" w:lineRule="auto"/>
      <w:ind w:firstLine="480" w:firstLineChars="200"/>
    </w:pPr>
    <w:rPr>
      <w:rFonts w:ascii="仿宋_GB2312" w:eastAsia="仿宋_GB2312"/>
      <w:sz w:val="24"/>
    </w:rPr>
  </w:style>
  <w:style w:type="character" w:customStyle="1" w:styleId="161">
    <w:name w:val="Char Char14"/>
    <w:autoRedefine/>
    <w:qFormat/>
    <w:uiPriority w:val="6"/>
    <w:rPr>
      <w:rFonts w:ascii="黑体" w:hAnsi="黑体" w:eastAsia="黑体"/>
    </w:rPr>
  </w:style>
  <w:style w:type="character" w:customStyle="1" w:styleId="162">
    <w:name w:val="Char Char30"/>
    <w:autoRedefine/>
    <w:qFormat/>
    <w:uiPriority w:val="6"/>
    <w:rPr>
      <w:rFonts w:ascii="Arial" w:hAnsi="Arial" w:eastAsia="黑体"/>
      <w:kern w:val="1"/>
      <w:sz w:val="21"/>
      <w:szCs w:val="21"/>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myp1111"/>
    <w:autoRedefine/>
    <w:qFormat/>
    <w:uiPriority w:val="0"/>
    <w:rPr>
      <w:rFonts w:hint="default" w:ascii="ˎ̥" w:hAnsi="ˎ̥"/>
      <w:color w:val="000000"/>
      <w:sz w:val="20"/>
      <w:szCs w:val="20"/>
      <w:u w:val="none"/>
    </w:rPr>
  </w:style>
  <w:style w:type="character" w:customStyle="1" w:styleId="166">
    <w:name w:val="正文首行缩进 Char Char Char Char Char Char"/>
    <w:autoRedefine/>
    <w:qFormat/>
    <w:uiPriority w:val="0"/>
    <w:rPr>
      <w:rFonts w:ascii="宋体" w:eastAsia="宋体"/>
      <w:kern w:val="2"/>
      <w:sz w:val="24"/>
      <w:lang w:val="zh-CN" w:bidi="ar-SA"/>
    </w:rPr>
  </w:style>
  <w:style w:type="character" w:customStyle="1" w:styleId="167">
    <w:name w:val="tw4winMark"/>
    <w:autoRedefine/>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autoRedefine/>
    <w:qFormat/>
    <w:uiPriority w:val="99"/>
    <w:rPr>
      <w:rFonts w:ascii="宋体" w:hAnsi="宋体"/>
      <w:szCs w:val="24"/>
    </w:rPr>
  </w:style>
  <w:style w:type="paragraph" w:customStyle="1" w:styleId="169">
    <w:name w:val="正文文本首行缩进 21"/>
    <w:basedOn w:val="25"/>
    <w:link w:val="168"/>
    <w:autoRedefine/>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autoRedefine/>
    <w:qFormat/>
    <w:uiPriority w:val="0"/>
    <w:rPr>
      <w:rFonts w:ascii="宋体" w:hAnsi="Courier New" w:eastAsia="宋体"/>
      <w:kern w:val="2"/>
      <w:sz w:val="21"/>
      <w:lang w:val="en-US" w:eastAsia="zh-CN"/>
    </w:rPr>
  </w:style>
  <w:style w:type="character" w:customStyle="1" w:styleId="171">
    <w:name w:val="样式4 Char"/>
    <w:autoRedefine/>
    <w:qFormat/>
    <w:uiPriority w:val="0"/>
    <w:rPr>
      <w:rFonts w:ascii="仿宋_GB2312" w:hAnsi="仿宋" w:eastAsia="仿宋_GB2312"/>
      <w:b/>
      <w:kern w:val="2"/>
      <w:sz w:val="32"/>
      <w:szCs w:val="32"/>
      <w:lang w:bidi="ar-SA"/>
    </w:rPr>
  </w:style>
  <w:style w:type="character" w:customStyle="1" w:styleId="172">
    <w:name w:val="b11_01b Char"/>
    <w:link w:val="173"/>
    <w:autoRedefine/>
    <w:qFormat/>
    <w:uiPriority w:val="0"/>
    <w:rPr>
      <w:rFonts w:ascii="Verdana" w:hAnsi="Verdana"/>
      <w:b/>
      <w:bCs/>
      <w:color w:val="4A82CA"/>
      <w:sz w:val="17"/>
      <w:szCs w:val="17"/>
    </w:rPr>
  </w:style>
  <w:style w:type="paragraph" w:customStyle="1" w:styleId="173">
    <w:name w:val="b11_01b"/>
    <w:basedOn w:val="1"/>
    <w:next w:val="1"/>
    <w:link w:val="172"/>
    <w:autoRedefine/>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autoRedefine/>
    <w:qFormat/>
    <w:uiPriority w:val="0"/>
    <w:rPr>
      <w:rFonts w:ascii="仿宋_GB2312" w:eastAsia="微软雅黑"/>
      <w:b/>
      <w:kern w:val="2"/>
      <w:sz w:val="23"/>
      <w:szCs w:val="23"/>
      <w:lang w:val="en-US" w:eastAsia="zh-CN" w:bidi="ar-SA"/>
    </w:rPr>
  </w:style>
  <w:style w:type="character" w:customStyle="1" w:styleId="175">
    <w:name w:val="正文缩进 Char1"/>
    <w:autoRedefine/>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autoRedefine/>
    <w:qFormat/>
    <w:uiPriority w:val="0"/>
    <w:rPr>
      <w:rFonts w:ascii="宋体"/>
      <w:sz w:val="24"/>
      <w:lang w:val="zh-CN"/>
    </w:rPr>
  </w:style>
  <w:style w:type="paragraph" w:customStyle="1" w:styleId="177">
    <w:name w:val="正文文本首行缩进1"/>
    <w:basedOn w:val="23"/>
    <w:link w:val="176"/>
    <w:autoRedefine/>
    <w:qFormat/>
    <w:uiPriority w:val="0"/>
    <w:pPr>
      <w:ind w:firstLine="420"/>
    </w:pPr>
    <w:rPr>
      <w:rFonts w:hAnsiTheme="minorHAnsi" w:eastAsiaTheme="minorEastAsia" w:cstheme="minorBidi"/>
      <w:snapToGrid/>
      <w:szCs w:val="22"/>
    </w:rPr>
  </w:style>
  <w:style w:type="character" w:customStyle="1" w:styleId="178">
    <w:name w:val="Char Char311"/>
    <w:autoRedefine/>
    <w:qFormat/>
    <w:uiPriority w:val="0"/>
    <w:rPr>
      <w:rFonts w:eastAsia="宋体"/>
      <w:kern w:val="2"/>
      <w:sz w:val="21"/>
      <w:szCs w:val="24"/>
      <w:lang w:val="en-US" w:eastAsia="zh-CN" w:bidi="ar-SA"/>
    </w:rPr>
  </w:style>
  <w:style w:type="character" w:customStyle="1" w:styleId="179">
    <w:name w:val="Used by Word for text of Help footnotes Char Char"/>
    <w:autoRedefine/>
    <w:qFormat/>
    <w:uiPriority w:val="0"/>
    <w:rPr>
      <w:rFonts w:ascii="Times New Roman" w:hAnsi="Times New Roman" w:eastAsia="宋体" w:cs="Times New Roman"/>
      <w:sz w:val="20"/>
      <w:szCs w:val="20"/>
    </w:rPr>
  </w:style>
  <w:style w:type="character" w:customStyle="1" w:styleId="180">
    <w:name w:val="普通文字 Char1 Char"/>
    <w:autoRedefine/>
    <w:qFormat/>
    <w:uiPriority w:val="0"/>
    <w:rPr>
      <w:rFonts w:ascii="宋体" w:hAnsi="Courier New" w:eastAsia="宋体"/>
      <w:kern w:val="2"/>
      <w:sz w:val="21"/>
      <w:szCs w:val="24"/>
      <w:lang w:val="en-US" w:eastAsia="zh-CN" w:bidi="ar-SA"/>
    </w:rPr>
  </w:style>
  <w:style w:type="character" w:customStyle="1" w:styleId="181">
    <w:name w:val="Char Char33"/>
    <w:autoRedefine/>
    <w:qFormat/>
    <w:uiPriority w:val="6"/>
    <w:rPr>
      <w:rFonts w:ascii="Arial" w:hAnsi="Arial" w:eastAsia="黑体"/>
      <w:b/>
      <w:kern w:val="1"/>
      <w:sz w:val="24"/>
      <w:szCs w:val="24"/>
    </w:rPr>
  </w:style>
  <w:style w:type="character" w:customStyle="1" w:styleId="182">
    <w:name w:val="Bold"/>
    <w:autoRedefine/>
    <w:qFormat/>
    <w:uiPriority w:val="0"/>
    <w:rPr>
      <w:rFonts w:ascii="Arial" w:hAnsi="Arial" w:eastAsia="黑体" w:cs="Times New Roman"/>
      <w:b/>
      <w:kern w:val="2"/>
      <w:sz w:val="32"/>
      <w:szCs w:val="32"/>
      <w:lang w:val="en-US" w:eastAsia="zh-CN" w:bidi="ar-SA"/>
    </w:rPr>
  </w:style>
  <w:style w:type="character" w:customStyle="1" w:styleId="183">
    <w:name w:val="批注文字 Char1"/>
    <w:autoRedefine/>
    <w:qFormat/>
    <w:uiPriority w:val="99"/>
    <w:rPr>
      <w:rFonts w:ascii="Times New Roman" w:hAnsi="Times New Roman" w:eastAsia="宋体" w:cs="Times New Roman"/>
      <w:snapToGrid w:val="0"/>
      <w:kern w:val="0"/>
      <w:szCs w:val="24"/>
    </w:rPr>
  </w:style>
  <w:style w:type="character" w:customStyle="1" w:styleId="184">
    <w:name w:val="Ò³Ã¼ Char Char1"/>
    <w:qFormat/>
    <w:uiPriority w:val="0"/>
    <w:rPr>
      <w:rFonts w:eastAsia="宋体"/>
      <w:kern w:val="2"/>
      <w:sz w:val="18"/>
      <w:szCs w:val="18"/>
      <w:lang w:val="en-US" w:eastAsia="zh-CN" w:bidi="ar-SA"/>
    </w:rPr>
  </w:style>
  <w:style w:type="character" w:customStyle="1" w:styleId="185">
    <w:name w:val="md"/>
    <w:basedOn w:val="66"/>
    <w:qFormat/>
    <w:uiPriority w:val="0"/>
  </w:style>
  <w:style w:type="character" w:customStyle="1" w:styleId="186">
    <w:name w:val="Char Char37"/>
    <w:qFormat/>
    <w:uiPriority w:val="6"/>
    <w:rPr>
      <w:b/>
      <w:kern w:val="1"/>
      <w:sz w:val="44"/>
      <w:szCs w:val="44"/>
    </w:rPr>
  </w:style>
  <w:style w:type="character" w:customStyle="1" w:styleId="187">
    <w:name w:val="样式6 Char"/>
    <w:qFormat/>
    <w:uiPriority w:val="0"/>
    <w:rPr>
      <w:rFonts w:ascii="仿宋_GB2312" w:hAnsi="宋体" w:eastAsia="仿宋_GB2312"/>
      <w:b/>
      <w:bCs/>
      <w:kern w:val="2"/>
      <w:sz w:val="24"/>
      <w:szCs w:val="24"/>
      <w:lang w:val="en-US" w:eastAsia="zh-CN" w:bidi="ar-SA"/>
    </w:rPr>
  </w:style>
  <w:style w:type="character" w:customStyle="1" w:styleId="188">
    <w:name w:val="样式8 Char"/>
    <w:autoRedefine/>
    <w:qFormat/>
    <w:uiPriority w:val="0"/>
    <w:rPr>
      <w:rFonts w:ascii="仿宋_GB2312" w:hAnsi="宋体" w:eastAsia="仿宋_GB2312"/>
      <w:b/>
      <w:bCs/>
      <w:kern w:val="2"/>
      <w:sz w:val="24"/>
      <w:szCs w:val="24"/>
    </w:rPr>
  </w:style>
  <w:style w:type="character" w:customStyle="1" w:styleId="189">
    <w:name w:val="c7 style3"/>
    <w:qFormat/>
    <w:uiPriority w:val="0"/>
  </w:style>
  <w:style w:type="character" w:customStyle="1" w:styleId="190">
    <w:name w:val="Char Char5"/>
    <w:qFormat/>
    <w:uiPriority w:val="0"/>
    <w:rPr>
      <w:rFonts w:ascii="宋体" w:hAnsi="Courier New" w:eastAsia="宋体"/>
      <w:kern w:val="2"/>
      <w:sz w:val="21"/>
      <w:lang w:val="en-US" w:eastAsia="zh-CN"/>
    </w:rPr>
  </w:style>
  <w:style w:type="character" w:customStyle="1" w:styleId="191">
    <w:name w:val="Font Style82"/>
    <w:qFormat/>
    <w:uiPriority w:val="99"/>
    <w:rPr>
      <w:rFonts w:ascii="宋体" w:eastAsia="宋体" w:cs="宋体"/>
      <w:color w:val="000000"/>
      <w:sz w:val="14"/>
      <w:szCs w:val="14"/>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shadow11"/>
    <w:qFormat/>
    <w:uiPriority w:val="0"/>
    <w:rPr>
      <w:color w:val="000000"/>
      <w:sz w:val="21"/>
    </w:rPr>
  </w:style>
  <w:style w:type="character" w:customStyle="1" w:styleId="195">
    <w:name w:val="Char Char71"/>
    <w:autoRedefine/>
    <w:qFormat/>
    <w:uiPriority w:val="0"/>
    <w:rPr>
      <w:rFonts w:eastAsia="宋体"/>
      <w:kern w:val="2"/>
      <w:sz w:val="21"/>
      <w:szCs w:val="24"/>
      <w:lang w:val="en-US" w:eastAsia="zh-CN" w:bidi="ar-SA"/>
    </w:rPr>
  </w:style>
  <w:style w:type="character" w:customStyle="1" w:styleId="196">
    <w:name w:val="tw4winError"/>
    <w:autoRedefine/>
    <w:qFormat/>
    <w:uiPriority w:val="0"/>
    <w:rPr>
      <w:rFonts w:ascii="Courier New" w:hAnsi="Courier New" w:cs="Courier New"/>
      <w:color w:val="00FF00"/>
      <w:sz w:val="40"/>
      <w:szCs w:val="40"/>
    </w:rPr>
  </w:style>
  <w:style w:type="character" w:customStyle="1" w:styleId="197">
    <w:name w:val="标书1 Char"/>
    <w:autoRedefine/>
    <w:qFormat/>
    <w:uiPriority w:val="0"/>
    <w:rPr>
      <w:rFonts w:eastAsia="宋体"/>
      <w:b/>
      <w:bCs/>
      <w:kern w:val="44"/>
      <w:sz w:val="44"/>
      <w:szCs w:val="44"/>
      <w:lang w:val="en-US" w:eastAsia="zh-CN" w:bidi="ar-SA"/>
    </w:rPr>
  </w:style>
  <w:style w:type="character" w:customStyle="1" w:styleId="198">
    <w:name w:val="Char Char19"/>
    <w:autoRedefine/>
    <w:qFormat/>
    <w:uiPriority w:val="0"/>
    <w:rPr>
      <w:rFonts w:ascii="宋体" w:hAnsi="宋体"/>
      <w:i/>
      <w:sz w:val="24"/>
      <w:szCs w:val="24"/>
    </w:rPr>
  </w:style>
  <w:style w:type="character" w:customStyle="1" w:styleId="199">
    <w:name w:val="Char Char28"/>
    <w:autoRedefine/>
    <w:qFormat/>
    <w:uiPriority w:val="6"/>
    <w:rPr>
      <w:rFonts w:ascii="仿宋_GB2312" w:hAnsi="仿宋_GB2312" w:eastAsia="仿宋_GB2312"/>
      <w:kern w:val="1"/>
      <w:sz w:val="28"/>
    </w:rPr>
  </w:style>
  <w:style w:type="character" w:customStyle="1" w:styleId="200">
    <w:name w:val="pt9"/>
    <w:autoRedefine/>
    <w:qFormat/>
    <w:uiPriority w:val="0"/>
    <w:rPr>
      <w:rFonts w:ascii="仿宋_GB2312" w:eastAsia="微软雅黑"/>
      <w:b/>
      <w:kern w:val="2"/>
      <w:sz w:val="32"/>
      <w:szCs w:val="32"/>
      <w:lang w:val="en-US" w:eastAsia="zh-CN" w:bidi="ar-SA"/>
    </w:rPr>
  </w:style>
  <w:style w:type="character" w:customStyle="1" w:styleId="201">
    <w:name w:val="正文2 Char"/>
    <w:autoRedefine/>
    <w:qFormat/>
    <w:uiPriority w:val="0"/>
    <w:rPr>
      <w:rFonts w:eastAsia="宋体"/>
      <w:kern w:val="2"/>
      <w:sz w:val="24"/>
      <w:lang w:val="en-US" w:eastAsia="zh-CN" w:bidi="ar-SA"/>
    </w:rPr>
  </w:style>
  <w:style w:type="character" w:customStyle="1" w:styleId="202">
    <w:name w:val="普通文字 Char3"/>
    <w:autoRedefine/>
    <w:qFormat/>
    <w:uiPriority w:val="0"/>
    <w:rPr>
      <w:rFonts w:ascii="宋体" w:hAnsi="Courier New" w:eastAsia="宋体"/>
      <w:kern w:val="2"/>
      <w:sz w:val="21"/>
      <w:lang w:val="en-US" w:eastAsia="zh-CN" w:bidi="ar-SA"/>
    </w:rPr>
  </w:style>
  <w:style w:type="character" w:customStyle="1" w:styleId="203">
    <w:name w:val="h Char Char"/>
    <w:autoRedefine/>
    <w:qFormat/>
    <w:uiPriority w:val="0"/>
    <w:rPr>
      <w:rFonts w:eastAsia="宋体"/>
      <w:kern w:val="2"/>
      <w:sz w:val="18"/>
      <w:lang w:val="en-US" w:eastAsia="zh-CN" w:bidi="ar-SA"/>
    </w:rPr>
  </w:style>
  <w:style w:type="character" w:customStyle="1" w:styleId="204">
    <w:name w:val="mdeck"/>
    <w:autoRedefine/>
    <w:qFormat/>
    <w:uiPriority w:val="0"/>
    <w:rPr>
      <w:rFonts w:ascii="仿宋_GB2312" w:eastAsia="微软雅黑"/>
      <w:b/>
      <w:kern w:val="2"/>
      <w:sz w:val="32"/>
      <w:szCs w:val="32"/>
      <w:lang w:val="en-US" w:eastAsia="zh-CN" w:bidi="ar-SA"/>
    </w:rPr>
  </w:style>
  <w:style w:type="character" w:customStyle="1" w:styleId="205">
    <w:name w:val="标题4-dyf Char"/>
    <w:link w:val="206"/>
    <w:autoRedefine/>
    <w:qFormat/>
    <w:uiPriority w:val="0"/>
    <w:rPr>
      <w:rFonts w:ascii="Cambria" w:hAnsi="Cambria"/>
      <w:b/>
      <w:bCs/>
      <w:color w:val="000000"/>
      <w:szCs w:val="21"/>
    </w:rPr>
  </w:style>
  <w:style w:type="paragraph" w:customStyle="1" w:styleId="206">
    <w:name w:val="标题4-dyf"/>
    <w:basedOn w:val="5"/>
    <w:link w:val="205"/>
    <w:autoRedefine/>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autoRedefine/>
    <w:qFormat/>
    <w:uiPriority w:val="0"/>
    <w:rPr>
      <w:color w:val="333333"/>
    </w:rPr>
  </w:style>
  <w:style w:type="character" w:customStyle="1" w:styleId="208">
    <w:name w:val="公文正文 Char"/>
    <w:autoRedefine/>
    <w:qFormat/>
    <w:uiPriority w:val="0"/>
    <w:rPr>
      <w:rFonts w:ascii="仿宋_GB2312" w:eastAsia="仿宋_GB2312"/>
      <w:kern w:val="2"/>
      <w:sz w:val="24"/>
      <w:szCs w:val="24"/>
      <w:lang w:val="en-US" w:eastAsia="zh-CN" w:bidi="ar-SA"/>
    </w:rPr>
  </w:style>
  <w:style w:type="character" w:customStyle="1" w:styleId="209">
    <w:name w:val="正文 项目 Char"/>
    <w:autoRedefine/>
    <w:qFormat/>
    <w:uiPriority w:val="0"/>
    <w:rPr>
      <w:rFonts w:ascii="仿宋_GB2312" w:hAnsi="仿宋_GB2312" w:eastAsia="仿宋_GB2312"/>
      <w:kern w:val="2"/>
      <w:sz w:val="24"/>
      <w:lang w:bidi="ar-SA"/>
    </w:rPr>
  </w:style>
  <w:style w:type="character" w:customStyle="1" w:styleId="210">
    <w:name w:val="f141"/>
    <w:autoRedefine/>
    <w:qFormat/>
    <w:uiPriority w:val="0"/>
    <w:rPr>
      <w:rFonts w:ascii="Tahoma" w:hAnsi="Tahoma" w:eastAsia="宋体"/>
      <w:b/>
      <w:kern w:val="2"/>
      <w:sz w:val="21"/>
      <w:szCs w:val="21"/>
      <w:lang w:val="en-US" w:eastAsia="zh-CN" w:bidi="ar-SA"/>
    </w:rPr>
  </w:style>
  <w:style w:type="character" w:customStyle="1" w:styleId="211">
    <w:name w:val="No Spacing Char"/>
    <w:link w:val="212"/>
    <w:autoRedefine/>
    <w:qFormat/>
    <w:uiPriority w:val="1"/>
    <w:rPr>
      <w:sz w:val="22"/>
    </w:rPr>
  </w:style>
  <w:style w:type="paragraph" w:customStyle="1" w:styleId="212">
    <w:name w:val="无间隔1"/>
    <w:link w:val="211"/>
    <w:autoRedefine/>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autoRedefine/>
    <w:qFormat/>
    <w:uiPriority w:val="0"/>
    <w:rPr>
      <w:rFonts w:eastAsia="仿宋_GB2312"/>
      <w:sz w:val="24"/>
    </w:rPr>
  </w:style>
  <w:style w:type="character" w:customStyle="1" w:styleId="214">
    <w:name w:val="Header Char_d4b1c253-a30e-432c-adeb-63682d892f75"/>
    <w:autoRedefine/>
    <w:qFormat/>
    <w:uiPriority w:val="0"/>
    <w:rPr>
      <w:rFonts w:eastAsia="宋体"/>
      <w:kern w:val="2"/>
      <w:sz w:val="18"/>
      <w:szCs w:val="18"/>
      <w:lang w:val="en-US" w:eastAsia="zh-CN" w:bidi="ar-SA"/>
    </w:rPr>
  </w:style>
  <w:style w:type="character" w:customStyle="1" w:styleId="215">
    <w:name w:val="Char Char18"/>
    <w:autoRedefine/>
    <w:qFormat/>
    <w:uiPriority w:val="0"/>
    <w:rPr>
      <w:rFonts w:ascii="宋体" w:hAnsi="宋体"/>
      <w:sz w:val="28"/>
    </w:rPr>
  </w:style>
  <w:style w:type="character" w:customStyle="1" w:styleId="216">
    <w:name w:val="Char Char16"/>
    <w:autoRedefine/>
    <w:qFormat/>
    <w:uiPriority w:val="6"/>
    <w:rPr>
      <w:kern w:val="1"/>
      <w:sz w:val="18"/>
      <w:szCs w:val="18"/>
    </w:rPr>
  </w:style>
  <w:style w:type="character" w:customStyle="1" w:styleId="217">
    <w:name w:val="标准正文格式 Char"/>
    <w:autoRedefine/>
    <w:qFormat/>
    <w:uiPriority w:val="0"/>
    <w:rPr>
      <w:rFonts w:ascii="宋体" w:eastAsia="仿宋_GB2312" w:cs="宋体"/>
      <w:color w:val="000000"/>
      <w:sz w:val="24"/>
      <w:lang w:val="en-US" w:eastAsia="zh-CN" w:bidi="ar-SA"/>
    </w:rPr>
  </w:style>
  <w:style w:type="character" w:customStyle="1" w:styleId="218">
    <w:name w:val="tw4winTerm"/>
    <w:autoRedefine/>
    <w:qFormat/>
    <w:uiPriority w:val="0"/>
    <w:rPr>
      <w:color w:val="0000FF"/>
    </w:rPr>
  </w:style>
  <w:style w:type="character" w:customStyle="1" w:styleId="219">
    <w:name w:val="h3 Char"/>
    <w:autoRedefine/>
    <w:qFormat/>
    <w:uiPriority w:val="0"/>
    <w:rPr>
      <w:rFonts w:eastAsia="宋体"/>
      <w:b/>
      <w:kern w:val="2"/>
      <w:sz w:val="32"/>
      <w:lang w:val="en-US" w:eastAsia="zh-CN" w:bidi="ar-SA"/>
    </w:rPr>
  </w:style>
  <w:style w:type="character" w:customStyle="1" w:styleId="220">
    <w:name w:val="Balloon Text Char"/>
    <w:autoRedefine/>
    <w:qFormat/>
    <w:uiPriority w:val="0"/>
    <w:rPr>
      <w:rFonts w:eastAsia="宋体"/>
      <w:kern w:val="2"/>
      <w:sz w:val="18"/>
      <w:szCs w:val="18"/>
      <w:lang w:val="en-US" w:eastAsia="zh-CN" w:bidi="ar-SA"/>
    </w:rPr>
  </w:style>
  <w:style w:type="character" w:customStyle="1" w:styleId="221">
    <w:name w:val="unnamed11"/>
    <w:autoRedefine/>
    <w:qFormat/>
    <w:uiPriority w:val="0"/>
    <w:rPr>
      <w:sz w:val="20"/>
      <w:szCs w:val="20"/>
    </w:rPr>
  </w:style>
  <w:style w:type="character" w:customStyle="1" w:styleId="222">
    <w:name w:val="样式 正文缩进 + 首行缩进:  2 字符 Char Char"/>
    <w:link w:val="223"/>
    <w:autoRedefine/>
    <w:qFormat/>
    <w:uiPriority w:val="0"/>
    <w:rPr>
      <w:rFonts w:ascii="Arial" w:hAnsi="Arial" w:eastAsia="黑体" w:cs="宋体"/>
      <w:snapToGrid w:val="0"/>
      <w:sz w:val="24"/>
      <w:szCs w:val="21"/>
    </w:rPr>
  </w:style>
  <w:style w:type="paragraph" w:customStyle="1" w:styleId="223">
    <w:name w:val="样式 正文缩进 + 首行缩进:  2 字符"/>
    <w:basedOn w:val="15"/>
    <w:link w:val="222"/>
    <w:autoRedefine/>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autoRedefine/>
    <w:qFormat/>
    <w:uiPriority w:val="0"/>
    <w:rPr>
      <w:rFonts w:ascii="仿宋_GB2312" w:eastAsia="仿宋_GB2312"/>
      <w:color w:val="000000"/>
      <w:sz w:val="24"/>
      <w:lang w:bidi="ar-SA"/>
    </w:rPr>
  </w:style>
  <w:style w:type="character" w:customStyle="1" w:styleId="225">
    <w:name w:val="Footer-Even Char"/>
    <w:autoRedefine/>
    <w:qFormat/>
    <w:uiPriority w:val="0"/>
    <w:rPr>
      <w:rFonts w:eastAsia="宋体"/>
      <w:kern w:val="2"/>
      <w:sz w:val="18"/>
      <w:lang w:val="en-US" w:eastAsia="zh-CN" w:bidi="ar-SA"/>
    </w:rPr>
  </w:style>
  <w:style w:type="character" w:customStyle="1" w:styleId="226">
    <w:name w:val="Char Char31"/>
    <w:autoRedefine/>
    <w:qFormat/>
    <w:uiPriority w:val="6"/>
    <w:rPr>
      <w:rFonts w:ascii="Arial" w:hAnsi="Arial" w:eastAsia="黑体"/>
      <w:kern w:val="1"/>
      <w:sz w:val="24"/>
      <w:szCs w:val="24"/>
    </w:rPr>
  </w:style>
  <w:style w:type="character" w:customStyle="1" w:styleId="227">
    <w:name w:val="链接"/>
    <w:qFormat/>
    <w:uiPriority w:val="0"/>
    <w:rPr>
      <w:color w:val="0000FF"/>
      <w:sz w:val="21"/>
      <w:szCs w:val="21"/>
      <w:u w:val="single"/>
    </w:rPr>
  </w:style>
  <w:style w:type="character" w:customStyle="1" w:styleId="228">
    <w:name w:val="style36"/>
    <w:basedOn w:val="66"/>
    <w:qFormat/>
    <w:uiPriority w:val="0"/>
  </w:style>
  <w:style w:type="character" w:customStyle="1" w:styleId="229">
    <w:name w:val="标题 4 Char1"/>
    <w:qFormat/>
    <w:uiPriority w:val="0"/>
    <w:rPr>
      <w:rFonts w:ascii="Cambria" w:hAnsi="Cambria" w:eastAsia="宋体" w:cs="Times New Roman"/>
      <w:b/>
      <w:bCs/>
      <w:kern w:val="2"/>
      <w:sz w:val="28"/>
      <w:szCs w:val="28"/>
    </w:rPr>
  </w:style>
  <w:style w:type="character" w:customStyle="1" w:styleId="230">
    <w:name w:val="首行缩进 Char"/>
    <w:qFormat/>
    <w:uiPriority w:val="0"/>
    <w:rPr>
      <w:rFonts w:ascii="宋体" w:eastAsia="宋体"/>
      <w:kern w:val="2"/>
      <w:sz w:val="24"/>
      <w:lang w:val="en-US" w:eastAsia="zh-CN" w:bidi="ar-SA"/>
    </w:rPr>
  </w:style>
  <w:style w:type="character" w:customStyle="1" w:styleId="231">
    <w:name w:val="unnamed31"/>
    <w:qFormat/>
    <w:uiPriority w:val="0"/>
    <w:rPr>
      <w:rFonts w:ascii="Tahoma" w:hAnsi="Tahoma" w:eastAsia="宋体"/>
      <w:b/>
      <w:kern w:val="2"/>
      <w:sz w:val="24"/>
      <w:szCs w:val="32"/>
      <w:u w:val="none"/>
      <w:lang w:val="en-US" w:eastAsia="zh-CN" w:bidi="ar-SA"/>
    </w:rPr>
  </w:style>
  <w:style w:type="character" w:customStyle="1" w:styleId="232">
    <w:name w:val="dandyren_title1"/>
    <w:qFormat/>
    <w:uiPriority w:val="0"/>
    <w:rPr>
      <w:b/>
      <w:bCs/>
      <w:color w:val="FF6633"/>
      <w:sz w:val="18"/>
      <w:szCs w:val="18"/>
    </w:rPr>
  </w:style>
  <w:style w:type="character" w:customStyle="1" w:styleId="233">
    <w:name w:val="Char Char61"/>
    <w:qFormat/>
    <w:uiPriority w:val="6"/>
    <w:rPr>
      <w:rFonts w:eastAsia="宋体"/>
      <w:kern w:val="2"/>
      <w:sz w:val="21"/>
      <w:szCs w:val="24"/>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文本正文 Char Char"/>
    <w:qFormat/>
    <w:uiPriority w:val="0"/>
    <w:rPr>
      <w:sz w:val="24"/>
      <w:lang w:bidi="ar-SA"/>
    </w:rPr>
  </w:style>
  <w:style w:type="character" w:customStyle="1" w:styleId="236">
    <w:name w:val="DO_NOT_TRANSLATE"/>
    <w:qFormat/>
    <w:uiPriority w:val="0"/>
    <w:rPr>
      <w:rFonts w:ascii="Courier New" w:hAnsi="Courier New" w:cs="Courier New"/>
      <w:color w:val="800000"/>
      <w:lang w:val="en-US" w:eastAsia="zh-CN"/>
    </w:rPr>
  </w:style>
  <w:style w:type="character" w:customStyle="1" w:styleId="237">
    <w:name w:val="hui"/>
    <w:basedOn w:val="66"/>
    <w:qFormat/>
    <w:uiPriority w:val="0"/>
  </w:style>
  <w:style w:type="character" w:customStyle="1" w:styleId="238">
    <w:name w:val="Heading 1 Char_39036d89-f680-4e07-9d9e-aef03a1fa893"/>
    <w:qFormat/>
    <w:uiPriority w:val="6"/>
    <w:rPr>
      <w:rFonts w:ascii="Times New Roman" w:hAnsi="Times New Roman" w:eastAsia="黑体" w:cs="Times New Roman"/>
      <w:b/>
      <w:kern w:val="0"/>
      <w:sz w:val="24"/>
      <w:szCs w:val="24"/>
    </w:rPr>
  </w:style>
  <w:style w:type="character" w:customStyle="1" w:styleId="239">
    <w:name w:val="gray6"/>
    <w:basedOn w:val="66"/>
    <w:qFormat/>
    <w:uiPriority w:val="0"/>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apple-converted-space"/>
    <w:qFormat/>
    <w:uiPriority w:val="0"/>
  </w:style>
  <w:style w:type="character" w:customStyle="1" w:styleId="242">
    <w:name w:val="Char Char211"/>
    <w:qFormat/>
    <w:uiPriority w:val="0"/>
    <w:rPr>
      <w:rFonts w:eastAsia="宋体"/>
      <w:b/>
      <w:bCs/>
      <w:kern w:val="2"/>
      <w:sz w:val="21"/>
      <w:szCs w:val="24"/>
      <w:lang w:val="en-US" w:eastAsia="zh-CN" w:bidi="ar-SA"/>
    </w:rPr>
  </w:style>
  <w:style w:type="character" w:customStyle="1" w:styleId="243">
    <w:name w:val="标书表格字体格式 Char"/>
    <w:qFormat/>
    <w:uiPriority w:val="0"/>
    <w:rPr>
      <w:kern w:val="2"/>
      <w:sz w:val="21"/>
      <w:szCs w:val="24"/>
      <w:lang w:bidi="ar-SA"/>
    </w:rPr>
  </w:style>
  <w:style w:type="character" w:customStyle="1" w:styleId="244">
    <w:name w:val="正文1 Char1"/>
    <w:qFormat/>
    <w:uiPriority w:val="0"/>
    <w:rPr>
      <w:rFonts w:ascii="仿宋_GB2312" w:hAnsi="Courier New" w:eastAsia="仿宋_GB2312"/>
      <w:kern w:val="28"/>
      <w:sz w:val="24"/>
      <w:szCs w:val="24"/>
      <w:lang w:val="en-US" w:eastAsia="zh-CN"/>
    </w:rPr>
  </w:style>
  <w:style w:type="character" w:customStyle="1" w:styleId="245">
    <w:name w:val="h Char Char1"/>
    <w:qFormat/>
    <w:uiPriority w:val="0"/>
    <w:rPr>
      <w:rFonts w:eastAsia="宋体"/>
      <w:kern w:val="2"/>
      <w:sz w:val="18"/>
      <w:szCs w:val="18"/>
      <w:lang w:val="en-US" w:eastAsia="zh-CN" w:bidi="ar-SA"/>
    </w:rPr>
  </w:style>
  <w:style w:type="character" w:customStyle="1" w:styleId="246">
    <w:name w:val="表格 Char Char"/>
    <w:qFormat/>
    <w:uiPriority w:val="0"/>
    <w:rPr>
      <w:rFonts w:ascii="宋体" w:hAnsi="宋体" w:eastAsia="宋体"/>
      <w:lang w:bidi="ar-SA"/>
    </w:rPr>
  </w:style>
  <w:style w:type="character" w:customStyle="1" w:styleId="247">
    <w:name w:val="highlight1"/>
    <w:qFormat/>
    <w:uiPriority w:val="0"/>
    <w:rPr>
      <w:rFonts w:ascii="仿宋_GB2312" w:eastAsia="微软雅黑"/>
      <w:b/>
      <w:kern w:val="2"/>
      <w:sz w:val="23"/>
      <w:szCs w:val="23"/>
      <w:lang w:val="en-US" w:eastAsia="zh-CN" w:bidi="ar-SA"/>
    </w:rPr>
  </w:style>
  <w:style w:type="character" w:customStyle="1" w:styleId="248">
    <w:name w:val="Char Char91"/>
    <w:qFormat/>
    <w:uiPriority w:val="0"/>
    <w:rPr>
      <w:rFonts w:eastAsia="宋体"/>
      <w:kern w:val="2"/>
      <w:sz w:val="18"/>
      <w:szCs w:val="18"/>
      <w:lang w:val="en-US" w:eastAsia="zh-CN" w:bidi="ar-SA"/>
    </w:rPr>
  </w:style>
  <w:style w:type="character" w:customStyle="1" w:styleId="249">
    <w:name w:val="Char Char4"/>
    <w:qFormat/>
    <w:uiPriority w:val="0"/>
    <w:rPr>
      <w:rFonts w:eastAsia="宋体"/>
      <w:b/>
      <w:sz w:val="24"/>
      <w:lang w:val="en-GB"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Char Char81"/>
    <w:qFormat/>
    <w:uiPriority w:val="6"/>
    <w:rPr>
      <w:rFonts w:eastAsia="宋体"/>
      <w:b/>
      <w:sz w:val="24"/>
      <w:lang w:val="en-GB" w:eastAsia="zh-CN"/>
    </w:rPr>
  </w:style>
  <w:style w:type="character" w:customStyle="1" w:styleId="252">
    <w:name w:val="纯文本 Char1"/>
    <w:link w:val="253"/>
    <w:qFormat/>
    <w:uiPriority w:val="0"/>
    <w:rPr>
      <w:rFonts w:ascii="宋体" w:hAnsi="宋体" w:cs="Courier New"/>
      <w:color w:val="000000"/>
      <w:kern w:val="1"/>
    </w:rPr>
  </w:style>
  <w:style w:type="paragraph" w:customStyle="1" w:styleId="253">
    <w:name w:val="纯文本1"/>
    <w:basedOn w:val="1"/>
    <w:link w:val="252"/>
    <w:qFormat/>
    <w:uiPriority w:val="0"/>
    <w:rPr>
      <w:rFonts w:ascii="宋体" w:hAnsi="宋体" w:cs="Courier New"/>
      <w:color w:val="000000"/>
      <w:kern w:val="1"/>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标题 3 Char2"/>
    <w:qFormat/>
    <w:uiPriority w:val="0"/>
    <w:rPr>
      <w:rFonts w:eastAsia="宋体"/>
      <w:b/>
      <w:bCs/>
      <w:kern w:val="2"/>
      <w:sz w:val="32"/>
      <w:szCs w:val="32"/>
      <w:lang w:val="en-US" w:eastAsia="zh-CN" w:bidi="ar-SA"/>
    </w:rPr>
  </w:style>
  <w:style w:type="character" w:customStyle="1" w:styleId="256">
    <w:name w:val="样式5 Char"/>
    <w:qFormat/>
    <w:uiPriority w:val="0"/>
    <w:rPr>
      <w:rFonts w:ascii="仿宋_GB2312" w:hAnsi="仿宋" w:eastAsia="仿宋_GB2312"/>
      <w:kern w:val="2"/>
      <w:sz w:val="24"/>
      <w:szCs w:val="24"/>
    </w:rPr>
  </w:style>
  <w:style w:type="character" w:customStyle="1" w:styleId="257">
    <w:name w:val="Char Char11"/>
    <w:qFormat/>
    <w:uiPriority w:val="0"/>
    <w:rPr>
      <w:rFonts w:ascii="宋体" w:hAnsi="宋体" w:eastAsia="宋体"/>
      <w:b/>
      <w:kern w:val="2"/>
      <w:sz w:val="24"/>
      <w:szCs w:val="24"/>
      <w:lang w:val="en-US" w:eastAsia="zh-CN" w:bidi="ar-SA"/>
    </w:rPr>
  </w:style>
  <w:style w:type="character" w:customStyle="1" w:styleId="258">
    <w:name w:val="Char Char7"/>
    <w:qFormat/>
    <w:uiPriority w:val="0"/>
    <w:rPr>
      <w:rFonts w:eastAsia="宋体"/>
      <w:kern w:val="2"/>
      <w:sz w:val="21"/>
      <w:szCs w:val="24"/>
      <w:lang w:val="en-US" w:eastAsia="zh-CN" w:bidi="ar-SA"/>
    </w:rPr>
  </w:style>
  <w:style w:type="character" w:customStyle="1" w:styleId="259">
    <w:name w:val="Body Text(ch) Char Char"/>
    <w:qFormat/>
    <w:uiPriority w:val="0"/>
    <w:rPr>
      <w:rFonts w:ascii="宋体"/>
      <w:kern w:val="2"/>
      <w:sz w:val="24"/>
      <w:szCs w:val="21"/>
      <w:lang w:val="zh-CN"/>
    </w:rPr>
  </w:style>
  <w:style w:type="character" w:customStyle="1" w:styleId="260">
    <w:name w:val="Footer Char_f5b9630e-b41e-4b5d-8a12-31c7e071b29f"/>
    <w:qFormat/>
    <w:uiPriority w:val="0"/>
    <w:rPr>
      <w:rFonts w:eastAsia="宋体"/>
      <w:kern w:val="2"/>
      <w:sz w:val="18"/>
      <w:lang w:val="en-US" w:eastAsia="zh-CN" w:bidi="ar-SA"/>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message1"/>
    <w:qFormat/>
    <w:uiPriority w:val="0"/>
    <w:rPr>
      <w:rFonts w:hint="default" w:ascii="Tahoma" w:hAnsi="Tahoma" w:cs="Tahoma"/>
      <w:sz w:val="18"/>
      <w:szCs w:val="18"/>
    </w:rPr>
  </w:style>
  <w:style w:type="character" w:customStyle="1" w:styleId="263">
    <w:name w:val="myp11"/>
    <w:qFormat/>
    <w:uiPriority w:val="0"/>
    <w:rPr>
      <w:rFonts w:ascii="仿宋_GB2312" w:eastAsia="微软雅黑"/>
      <w:b/>
      <w:kern w:val="2"/>
      <w:sz w:val="32"/>
      <w:szCs w:val="32"/>
      <w:lang w:val="en-US" w:eastAsia="zh-CN" w:bidi="ar-SA"/>
    </w:rPr>
  </w:style>
  <w:style w:type="character" w:customStyle="1" w:styleId="264">
    <w:name w:val="pt141"/>
    <w:qFormat/>
    <w:uiPriority w:val="0"/>
    <w:rPr>
      <w:color w:val="330066"/>
      <w:sz w:val="22"/>
      <w:szCs w:val="22"/>
    </w:rPr>
  </w:style>
  <w:style w:type="character" w:customStyle="1" w:styleId="265">
    <w:name w:val="Char Char101"/>
    <w:qFormat/>
    <w:uiPriority w:val="6"/>
    <w:rPr>
      <w:rFonts w:ascii="宋体" w:hAnsi="宋体"/>
      <w:kern w:val="2"/>
      <w:sz w:val="21"/>
      <w:szCs w:val="24"/>
      <w:lang w:val="en-US" w:eastAsia="zh-CN"/>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solutionfonts"/>
    <w:qFormat/>
    <w:uiPriority w:val="0"/>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标题 2 Char Char"/>
    <w:qFormat/>
    <w:uiPriority w:val="0"/>
    <w:rPr>
      <w:rFonts w:ascii="楷体_GB2312" w:hAnsi="Arial" w:eastAsia="楷体_GB2312"/>
      <w:b/>
      <w:bCs/>
      <w:kern w:val="2"/>
      <w:sz w:val="24"/>
      <w:szCs w:val="32"/>
      <w:lang w:val="en-US" w:eastAsia="zh-CN" w:bidi="ar-SA"/>
    </w:rPr>
  </w:style>
  <w:style w:type="character" w:customStyle="1" w:styleId="270">
    <w:name w:val="Char Char10"/>
    <w:qFormat/>
    <w:uiPriority w:val="0"/>
    <w:rPr>
      <w:rFonts w:ascii="宋体" w:hAnsi="宋体"/>
      <w:kern w:val="2"/>
      <w:sz w:val="21"/>
      <w:szCs w:val="24"/>
      <w:lang w:val="en-US" w:eastAsia="zh-CN"/>
    </w:rPr>
  </w:style>
  <w:style w:type="character" w:customStyle="1" w:styleId="271">
    <w:name w:val="blue1"/>
    <w:basedOn w:val="66"/>
    <w:qFormat/>
    <w:uiPriority w:val="0"/>
  </w:style>
  <w:style w:type="character" w:customStyle="1" w:styleId="272">
    <w:name w:val="large1"/>
    <w:qFormat/>
    <w:uiPriority w:val="0"/>
    <w:rPr>
      <w:rFonts w:hint="eastAsia" w:ascii="宋体" w:hAnsi="宋体" w:eastAsia="宋体"/>
      <w:sz w:val="21"/>
      <w:szCs w:val="21"/>
    </w:rPr>
  </w:style>
  <w:style w:type="character" w:customStyle="1" w:styleId="273">
    <w:name w:val="tw4winPopup"/>
    <w:qFormat/>
    <w:uiPriority w:val="0"/>
    <w:rPr>
      <w:rFonts w:ascii="Courier New" w:hAnsi="Courier New" w:cs="Courier New"/>
      <w:color w:val="008000"/>
      <w:lang w:val="en-US" w:eastAsia="zh-CN"/>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表格名称{858D7CFB-ED40-4347-BF05-701D383B685F}"/>
    <w:link w:val="276"/>
    <w:qFormat/>
    <w:uiPriority w:val="0"/>
    <w:rPr>
      <w:sz w:val="32"/>
    </w:rPr>
  </w:style>
  <w:style w:type="paragraph" w:customStyle="1" w:styleId="276">
    <w:name w:val="表格名称"/>
    <w:basedOn w:val="2"/>
    <w:link w:val="27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qFormat/>
    <w:uiPriority w:val="6"/>
    <w:rPr>
      <w:rFonts w:ascii="Arial" w:hAnsi="Arial" w:eastAsia="黑体"/>
      <w:b/>
      <w:kern w:val="1"/>
      <w:sz w:val="28"/>
      <w:szCs w:val="28"/>
      <w:lang w:val="zh-CN"/>
    </w:rPr>
  </w:style>
  <w:style w:type="character" w:customStyle="1" w:styleId="279">
    <w:name w:val="h3 Char1"/>
    <w:qFormat/>
    <w:uiPriority w:val="0"/>
    <w:rPr>
      <w:rFonts w:eastAsia="宋体"/>
      <w:b/>
      <w:bCs/>
      <w:kern w:val="2"/>
      <w:sz w:val="32"/>
      <w:szCs w:val="32"/>
      <w:lang w:bidi="ar-SA"/>
    </w:rPr>
  </w:style>
  <w:style w:type="character" w:customStyle="1" w:styleId="280">
    <w:name w:val="正文说明 Char"/>
    <w:link w:val="281"/>
    <w:qFormat/>
    <w:uiPriority w:val="0"/>
    <w:rPr>
      <w:sz w:val="24"/>
      <w:szCs w:val="24"/>
    </w:rPr>
  </w:style>
  <w:style w:type="paragraph" w:customStyle="1" w:styleId="281">
    <w:name w:val="正文说明"/>
    <w:basedOn w:val="1"/>
    <w:link w:val="280"/>
    <w:qFormat/>
    <w:uiPriority w:val="0"/>
    <w:pPr>
      <w:spacing w:line="360" w:lineRule="auto"/>
    </w:pPr>
    <w:rPr>
      <w:sz w:val="24"/>
      <w:szCs w:val="24"/>
    </w:rPr>
  </w:style>
  <w:style w:type="character" w:customStyle="1" w:styleId="282">
    <w:name w:val="正文 编号 Char"/>
    <w:qFormat/>
    <w:uiPriority w:val="0"/>
    <w:rPr>
      <w:rFonts w:ascii="仿宋_GB2312" w:hAnsi="仿宋_GB2312" w:eastAsia="仿宋_GB2312"/>
      <w:kern w:val="2"/>
      <w:sz w:val="24"/>
      <w:lang w:bidi="ar-SA"/>
    </w:rPr>
  </w:style>
  <w:style w:type="character" w:customStyle="1" w:styleId="283">
    <w:name w:val="页眉 Char1"/>
    <w:qFormat/>
    <w:uiPriority w:val="0"/>
    <w:rPr>
      <w:rFonts w:eastAsia="宋体"/>
      <w:kern w:val="2"/>
      <w:sz w:val="18"/>
      <w:szCs w:val="18"/>
      <w:lang w:val="en-US" w:eastAsia="zh-CN" w:bidi="ar-SA"/>
    </w:rPr>
  </w:style>
  <w:style w:type="character" w:customStyle="1" w:styleId="28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javascript"/>
    <w:autoRedefine/>
    <w:qFormat/>
    <w:uiPriority w:val="0"/>
  </w:style>
  <w:style w:type="character" w:customStyle="1" w:styleId="287">
    <w:name w:val="冯广丽 Char"/>
    <w:link w:val="288"/>
    <w:qFormat/>
    <w:uiPriority w:val="0"/>
    <w:rPr>
      <w:rFonts w:ascii="宋体" w:hAnsi="宋体"/>
      <w:sz w:val="24"/>
    </w:rPr>
  </w:style>
  <w:style w:type="paragraph" w:customStyle="1" w:styleId="288">
    <w:name w:val="冯广丽"/>
    <w:basedOn w:val="1"/>
    <w:link w:val="287"/>
    <w:qFormat/>
    <w:uiPriority w:val="0"/>
    <w:pPr>
      <w:spacing w:line="360" w:lineRule="auto"/>
      <w:ind w:firstLine="480" w:firstLineChars="200"/>
    </w:pPr>
    <w:rPr>
      <w:rFonts w:ascii="宋体" w:hAnsi="宋体"/>
      <w:sz w:val="24"/>
    </w:rPr>
  </w:style>
  <w:style w:type="character" w:customStyle="1" w:styleId="289">
    <w:name w:val="Char Char6"/>
    <w:qFormat/>
    <w:uiPriority w:val="0"/>
    <w:rPr>
      <w:rFonts w:eastAsia="宋体"/>
      <w:kern w:val="2"/>
      <w:sz w:val="21"/>
      <w:szCs w:val="24"/>
      <w:lang w:val="en-US" w:eastAsia="zh-CN" w:bidi="ar-SA"/>
    </w:rPr>
  </w:style>
  <w:style w:type="character" w:customStyle="1" w:styleId="290">
    <w:name w:val="Comment Text Char"/>
    <w:qFormat/>
    <w:uiPriority w:val="0"/>
    <w:rPr>
      <w:rFonts w:ascii="宋体" w:hAnsi="宋体" w:eastAsia="宋体"/>
      <w:kern w:val="2"/>
      <w:sz w:val="24"/>
      <w:lang w:val="en-US" w:eastAsia="zh-CN" w:bidi="ar-SA"/>
    </w:rPr>
  </w:style>
  <w:style w:type="character" w:customStyle="1" w:styleId="291">
    <w:name w:val="Char Char8"/>
    <w:qFormat/>
    <w:uiPriority w:val="0"/>
    <w:rPr>
      <w:rFonts w:eastAsia="宋体"/>
      <w:b/>
      <w:sz w:val="24"/>
      <w:lang w:val="en-GB" w:eastAsia="zh-CN"/>
    </w:rPr>
  </w:style>
  <w:style w:type="character" w:customStyle="1" w:styleId="292">
    <w:name w:val="正文（缩进2汉字） Char"/>
    <w:link w:val="293"/>
    <w:qFormat/>
    <w:uiPriority w:val="0"/>
    <w:rPr>
      <w:rFonts w:ascii="宋体"/>
    </w:rPr>
  </w:style>
  <w:style w:type="paragraph" w:customStyle="1" w:styleId="293">
    <w:name w:val="正文（缩进2汉字）"/>
    <w:basedOn w:val="1"/>
    <w:link w:val="29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qFormat/>
    <w:uiPriority w:val="0"/>
    <w:rPr>
      <w:rFonts w:ascii="宋体" w:hAnsi="宋体" w:eastAsia="宋体" w:cs="宋体"/>
      <w:kern w:val="2"/>
      <w:sz w:val="24"/>
      <w:szCs w:val="24"/>
      <w:lang w:val="en-US" w:eastAsia="zh-CN" w:bidi="ar-SA"/>
    </w:rPr>
  </w:style>
  <w:style w:type="character" w:customStyle="1" w:styleId="295">
    <w:name w:val="Footer-Even Char1"/>
    <w:qFormat/>
    <w:uiPriority w:val="0"/>
    <w:rPr>
      <w:rFonts w:eastAsia="宋体"/>
      <w:kern w:val="2"/>
      <w:sz w:val="18"/>
      <w:szCs w:val="18"/>
      <w:lang w:val="en-US" w:eastAsia="zh-CN" w:bidi="ar-SA"/>
    </w:rPr>
  </w:style>
  <w:style w:type="character" w:customStyle="1" w:styleId="296">
    <w:name w:val="big1"/>
    <w:qFormat/>
    <w:uiPriority w:val="0"/>
    <w:rPr>
      <w:rFonts w:hint="eastAsia" w:ascii="宋体" w:hAnsi="宋体" w:eastAsia="宋体"/>
      <w:color w:val="333333"/>
      <w:sz w:val="22"/>
      <w:szCs w:val="22"/>
    </w:rPr>
  </w:style>
  <w:style w:type="character" w:customStyle="1" w:styleId="297">
    <w:name w:val="正文 项目2 Char"/>
    <w:basedOn w:val="209"/>
    <w:qFormat/>
    <w:uiPriority w:val="0"/>
    <w:rPr>
      <w:rFonts w:ascii="仿宋_GB2312" w:hAnsi="仿宋_GB2312" w:eastAsia="仿宋_GB2312"/>
      <w:kern w:val="2"/>
      <w:sz w:val="24"/>
      <w:lang w:bidi="ar-SA"/>
    </w:rPr>
  </w:style>
  <w:style w:type="character" w:customStyle="1" w:styleId="298">
    <w:name w:val="冯 Char"/>
    <w:link w:val="299"/>
    <w:qFormat/>
    <w:uiPriority w:val="0"/>
    <w:rPr>
      <w:rFonts w:ascii="宋体" w:hAnsi="宋体"/>
      <w:color w:val="000000"/>
      <w:sz w:val="24"/>
      <w:szCs w:val="24"/>
    </w:rPr>
  </w:style>
  <w:style w:type="paragraph" w:customStyle="1" w:styleId="299">
    <w:name w:val="冯"/>
    <w:basedOn w:val="1"/>
    <w:link w:val="298"/>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qFormat/>
    <w:uiPriority w:val="0"/>
    <w:rPr>
      <w:rFonts w:eastAsia="宋体"/>
      <w:kern w:val="2"/>
      <w:sz w:val="18"/>
      <w:szCs w:val="18"/>
      <w:lang w:val="en-US" w:eastAsia="zh-CN" w:bidi="ar-SA"/>
    </w:rPr>
  </w:style>
  <w:style w:type="character" w:customStyle="1" w:styleId="301">
    <w:name w:val="Char Char23"/>
    <w:qFormat/>
    <w:uiPriority w:val="6"/>
    <w:rPr>
      <w:color w:val="0000FF"/>
      <w:sz w:val="21"/>
    </w:rPr>
  </w:style>
  <w:style w:type="character" w:customStyle="1" w:styleId="302">
    <w:name w:val="Item List Char"/>
    <w:link w:val="303"/>
    <w:qFormat/>
    <w:uiPriority w:val="0"/>
    <w:rPr>
      <w:rFonts w:ascii="Arial"/>
      <w:bCs/>
      <w:szCs w:val="21"/>
    </w:rPr>
  </w:style>
  <w:style w:type="paragraph" w:customStyle="1" w:styleId="303">
    <w:name w:val="Item List"/>
    <w:link w:val="302"/>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qFormat/>
    <w:uiPriority w:val="6"/>
    <w:rPr>
      <w:rFonts w:ascii="宋体" w:hAnsi="宋体"/>
      <w:kern w:val="1"/>
      <w:sz w:val="24"/>
      <w:lang w:val="zh-CN"/>
    </w:rPr>
  </w:style>
  <w:style w:type="character" w:customStyle="1" w:styleId="3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qFormat/>
    <w:uiPriority w:val="0"/>
    <w:rPr>
      <w:rFonts w:eastAsia="宋体"/>
      <w:kern w:val="2"/>
      <w:sz w:val="18"/>
      <w:lang w:val="en-US" w:eastAsia="zh-CN" w:bidi="ar-SA"/>
    </w:rPr>
  </w:style>
  <w:style w:type="character" w:customStyle="1" w:styleId="307">
    <w:name w:val="此正文 Char"/>
    <w:link w:val="308"/>
    <w:qFormat/>
    <w:uiPriority w:val="0"/>
    <w:rPr>
      <w:sz w:val="24"/>
      <w:szCs w:val="24"/>
    </w:rPr>
  </w:style>
  <w:style w:type="paragraph" w:customStyle="1" w:styleId="308">
    <w:name w:val="此正文"/>
    <w:basedOn w:val="1"/>
    <w:link w:val="307"/>
    <w:qFormat/>
    <w:uiPriority w:val="0"/>
    <w:pPr>
      <w:spacing w:line="360" w:lineRule="auto"/>
      <w:ind w:firstLine="200" w:firstLineChars="200"/>
    </w:pPr>
    <w:rPr>
      <w:sz w:val="24"/>
      <w:szCs w:val="24"/>
    </w:rPr>
  </w:style>
  <w:style w:type="character" w:customStyle="1" w:styleId="309">
    <w:name w:val="Heading 2 Hidden Char"/>
    <w:qFormat/>
    <w:uiPriority w:val="0"/>
    <w:rPr>
      <w:rFonts w:ascii="仿宋_GB2312" w:eastAsia="仿宋_GB2312"/>
      <w:b/>
      <w:bCs/>
      <w:kern w:val="2"/>
      <w:sz w:val="24"/>
      <w:szCs w:val="24"/>
      <w:lang w:val="zh-CN" w:eastAsia="zh-CN" w:bidi="ar-SA"/>
    </w:rPr>
  </w:style>
  <w:style w:type="character" w:customStyle="1" w:styleId="310">
    <w:name w:val="PI Char"/>
    <w:qFormat/>
    <w:uiPriority w:val="0"/>
    <w:rPr>
      <w:rFonts w:ascii="宋体" w:hAnsi="宋体" w:eastAsia="宋体"/>
      <w:kern w:val="2"/>
      <w:sz w:val="24"/>
      <w:szCs w:val="24"/>
      <w:lang w:val="en-US" w:eastAsia="zh-CN" w:bidi="ar-SA"/>
    </w:rPr>
  </w:style>
  <w:style w:type="character" w:customStyle="1" w:styleId="311">
    <w:name w:val="content"/>
    <w:qFormat/>
    <w:uiPriority w:val="0"/>
  </w:style>
  <w:style w:type="character" w:customStyle="1" w:styleId="312">
    <w:name w:val="普通文字 Char Char1"/>
    <w:qFormat/>
    <w:uiPriority w:val="0"/>
    <w:rPr>
      <w:rFonts w:ascii="宋体" w:hAnsi="Courier New"/>
      <w:kern w:val="2"/>
      <w:sz w:val="21"/>
    </w:rPr>
  </w:style>
  <w:style w:type="character" w:customStyle="1" w:styleId="313">
    <w:name w:val="Char Char24"/>
    <w:qFormat/>
    <w:uiPriority w:val="6"/>
    <w:rPr>
      <w:kern w:val="1"/>
      <w:sz w:val="21"/>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Char Char34"/>
    <w:qFormat/>
    <w:uiPriority w:val="6"/>
    <w:rPr>
      <w:b/>
      <w:kern w:val="1"/>
      <w:sz w:val="28"/>
      <w:szCs w:val="28"/>
    </w:rPr>
  </w:style>
  <w:style w:type="character" w:customStyle="1" w:styleId="316">
    <w:name w:val="Table Text Char1"/>
    <w:qFormat/>
    <w:uiPriority w:val="0"/>
    <w:rPr>
      <w:rFonts w:eastAsia="宋体"/>
      <w:sz w:val="24"/>
      <w:szCs w:val="24"/>
      <w:lang w:val="en-US" w:eastAsia="zh-CN" w:bidi="ar-SA"/>
    </w:rPr>
  </w:style>
  <w:style w:type="character" w:customStyle="1" w:styleId="317">
    <w:name w:val="标题 1 Char Char"/>
    <w:qFormat/>
    <w:uiPriority w:val="0"/>
    <w:rPr>
      <w:rFonts w:hint="eastAsia" w:ascii="宋体" w:hAnsi="宋体" w:eastAsia="宋体"/>
      <w:b/>
      <w:spacing w:val="-2"/>
      <w:sz w:val="24"/>
      <w:lang w:val="en-US" w:eastAsia="zh-CN" w:bidi="ar-SA"/>
    </w:rPr>
  </w:style>
  <w:style w:type="character" w:customStyle="1" w:styleId="318">
    <w:name w:val="Char Char121"/>
    <w:qFormat/>
    <w:uiPriority w:val="6"/>
    <w:rPr>
      <w:rFonts w:ascii="仿宋_GB2312" w:eastAsia="仿宋_GB2312"/>
      <w:b/>
      <w:bCs/>
      <w:kern w:val="2"/>
      <w:sz w:val="24"/>
      <w:szCs w:val="24"/>
      <w:lang w:val="zh-CN" w:eastAsia="zh-CN" w:bidi="ar-SA"/>
    </w:rPr>
  </w:style>
  <w:style w:type="character" w:customStyle="1" w:styleId="319">
    <w:name w:val="hui3"/>
    <w:qFormat/>
    <w:uiPriority w:val="0"/>
    <w:rPr>
      <w:color w:val="333333"/>
    </w:rPr>
  </w:style>
  <w:style w:type="character" w:customStyle="1" w:styleId="320">
    <w:name w:val="Char Char27"/>
    <w:qFormat/>
    <w:uiPriority w:val="6"/>
    <w:rPr>
      <w:rFonts w:ascii="宋体" w:hAnsi="宋体" w:eastAsia="宋体"/>
      <w:color w:val="000000"/>
      <w:kern w:val="1"/>
      <w:sz w:val="28"/>
      <w:lang w:val="en-US" w:eastAsia="zh-CN" w:bidi="ar-SA"/>
    </w:rPr>
  </w:style>
  <w:style w:type="character" w:customStyle="1" w:styleId="3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qFormat/>
    <w:uiPriority w:val="6"/>
    <w:rPr>
      <w:rFonts w:ascii="宋体" w:hAnsi="宋体"/>
      <w:kern w:val="1"/>
      <w:sz w:val="21"/>
      <w:szCs w:val="24"/>
    </w:rPr>
  </w:style>
  <w:style w:type="character" w:customStyle="1" w:styleId="323">
    <w:name w:val="纯文本 Char Char Char"/>
    <w:qFormat/>
    <w:uiPriority w:val="0"/>
    <w:rPr>
      <w:rFonts w:ascii="宋体" w:hAnsi="Courier New" w:eastAsia="宋体"/>
      <w:kern w:val="2"/>
      <w:sz w:val="21"/>
      <w:lang w:val="en-US" w:eastAsia="zh-CN" w:bidi="ar-SA"/>
    </w:rPr>
  </w:style>
  <w:style w:type="character" w:customStyle="1" w:styleId="324">
    <w:name w:val="Char Char20"/>
    <w:qFormat/>
    <w:uiPriority w:val="6"/>
    <w:rPr>
      <w:kern w:val="1"/>
      <w:sz w:val="24"/>
    </w:rPr>
  </w:style>
  <w:style w:type="character" w:customStyle="1" w:styleId="325">
    <w:name w:val="hei16b1"/>
    <w:qFormat/>
    <w:uiPriority w:val="0"/>
    <w:rPr>
      <w:rFonts w:hint="default" w:ascii="Arial" w:hAnsi="Arial" w:cs="Arial"/>
      <w:b/>
      <w:bCs/>
      <w:color w:val="000000"/>
      <w:sz w:val="24"/>
      <w:szCs w:val="24"/>
    </w:rPr>
  </w:style>
  <w:style w:type="character" w:customStyle="1" w:styleId="326">
    <w:name w:val="Char Char29"/>
    <w:qFormat/>
    <w:uiPriority w:val="6"/>
    <w:rPr>
      <w:rFonts w:ascii="Arial" w:hAnsi="Arial" w:eastAsia="微软雅黑"/>
      <w:b/>
      <w:kern w:val="1"/>
      <w:sz w:val="44"/>
      <w:szCs w:val="32"/>
      <w:lang w:val="en-US" w:eastAsia="zh-CN" w:bidi="ar-SA"/>
    </w:rPr>
  </w:style>
  <w:style w:type="character" w:customStyle="1" w:styleId="327">
    <w:name w:val="Char Char36"/>
    <w:qFormat/>
    <w:uiPriority w:val="6"/>
    <w:rPr>
      <w:rFonts w:ascii="仿宋_GB2312" w:hAnsi="仿宋_GB2312" w:eastAsia="仿宋_GB2312" w:cs="Arial"/>
      <w:b/>
      <w:kern w:val="1"/>
      <w:sz w:val="32"/>
      <w:szCs w:val="32"/>
      <w:lang w:val="zh-CN" w:eastAsia="zh-CN" w:bidi="ar-SA"/>
    </w:rPr>
  </w:style>
  <w:style w:type="character" w:customStyle="1" w:styleId="328">
    <w:name w:val="Char Char32"/>
    <w:qFormat/>
    <w:uiPriority w:val="6"/>
    <w:rPr>
      <w:b/>
      <w:kern w:val="1"/>
      <w:sz w:val="24"/>
      <w:szCs w:val="24"/>
    </w:rPr>
  </w:style>
  <w:style w:type="character" w:customStyle="1" w:styleId="329">
    <w:name w:val="Char Char15"/>
    <w:qFormat/>
    <w:uiPriority w:val="0"/>
    <w:rPr>
      <w:rFonts w:ascii="宋体" w:hAnsi="宋体"/>
      <w:kern w:val="1"/>
      <w:sz w:val="21"/>
    </w:rPr>
  </w:style>
  <w:style w:type="character" w:customStyle="1" w:styleId="330">
    <w:name w:val="Char Char21"/>
    <w:qFormat/>
    <w:uiPriority w:val="6"/>
    <w:rPr>
      <w:rFonts w:ascii="宋体" w:hAnsi="宋体"/>
      <w:kern w:val="1"/>
      <w:sz w:val="24"/>
      <w:szCs w:val="21"/>
      <w:lang w:val="zh-CN"/>
    </w:rPr>
  </w:style>
  <w:style w:type="character" w:customStyle="1" w:styleId="331">
    <w:name w:val="Char Char22"/>
    <w:qFormat/>
    <w:uiPriority w:val="6"/>
    <w:rPr>
      <w:rFonts w:ascii="宋体" w:hAnsi="宋体"/>
      <w:kern w:val="1"/>
      <w:sz w:val="24"/>
      <w:szCs w:val="24"/>
    </w:rPr>
  </w:style>
  <w:style w:type="character" w:customStyle="1" w:styleId="332">
    <w:name w:val="question-title2"/>
    <w:basedOn w:val="66"/>
    <w:qFormat/>
    <w:uiPriority w:val="6"/>
  </w:style>
  <w:style w:type="character" w:customStyle="1" w:styleId="333">
    <w:name w:val="param-name"/>
    <w:basedOn w:val="66"/>
    <w:qFormat/>
    <w:uiPriority w:val="99"/>
  </w:style>
  <w:style w:type="character" w:customStyle="1" w:styleId="334">
    <w:name w:val="脚注文本 Char1"/>
    <w:qFormat/>
    <w:uiPriority w:val="99"/>
    <w:rPr>
      <w:rFonts w:ascii="Times New Roman" w:hAnsi="Times New Roman" w:eastAsia="宋体" w:cs="Times New Roman"/>
      <w:sz w:val="18"/>
      <w:szCs w:val="18"/>
    </w:rPr>
  </w:style>
  <w:style w:type="character" w:customStyle="1" w:styleId="335">
    <w:name w:val="正文文本缩进 Char1"/>
    <w:qFormat/>
    <w:uiPriority w:val="0"/>
    <w:rPr>
      <w:rFonts w:ascii="Times New Roman" w:hAnsi="Times New Roman" w:eastAsia="宋体" w:cs="Times New Roman"/>
      <w:szCs w:val="24"/>
    </w:rPr>
  </w:style>
  <w:style w:type="character" w:customStyle="1" w:styleId="336">
    <w:name w:val="正文文本缩进 2 Char1"/>
    <w:qFormat/>
    <w:uiPriority w:val="99"/>
    <w:rPr>
      <w:rFonts w:ascii="Times New Roman" w:hAnsi="Times New Roman" w:eastAsia="宋体" w:cs="Times New Roman"/>
      <w:szCs w:val="24"/>
    </w:rPr>
  </w:style>
  <w:style w:type="character" w:customStyle="1" w:styleId="337">
    <w:name w:val="正文文本 3 Char1"/>
    <w:qFormat/>
    <w:uiPriority w:val="99"/>
    <w:rPr>
      <w:rFonts w:ascii="Times New Roman" w:hAnsi="Times New Roman" w:eastAsia="宋体" w:cs="Times New Roman"/>
      <w:sz w:val="16"/>
      <w:szCs w:val="16"/>
    </w:rPr>
  </w:style>
  <w:style w:type="character" w:customStyle="1" w:styleId="338">
    <w:name w:val="签名 Char1"/>
    <w:qFormat/>
    <w:uiPriority w:val="99"/>
    <w:rPr>
      <w:rFonts w:ascii="Times New Roman" w:hAnsi="Times New Roman" w:eastAsia="宋体" w:cs="Times New Roman"/>
      <w:szCs w:val="24"/>
    </w:rPr>
  </w:style>
  <w:style w:type="character" w:customStyle="1" w:styleId="339">
    <w:name w:val="正文首行缩进 2 Char1"/>
    <w:basedOn w:val="335"/>
    <w:qFormat/>
    <w:uiPriority w:val="99"/>
    <w:rPr>
      <w:rFonts w:ascii="Times New Roman" w:hAnsi="Times New Roman" w:eastAsia="宋体" w:cs="Times New Roman"/>
      <w:szCs w:val="24"/>
    </w:rPr>
  </w:style>
  <w:style w:type="character" w:customStyle="1" w:styleId="340">
    <w:name w:val="纯文本 Char2"/>
    <w:qFormat/>
    <w:uiPriority w:val="99"/>
    <w:rPr>
      <w:rFonts w:ascii="宋体" w:hAnsi="Courier New" w:eastAsia="宋体" w:cs="Courier New"/>
    </w:rPr>
  </w:style>
  <w:style w:type="character" w:customStyle="1" w:styleId="341">
    <w:name w:val="批注框文本 Char1"/>
    <w:qFormat/>
    <w:uiPriority w:val="99"/>
    <w:rPr>
      <w:rFonts w:ascii="Times New Roman" w:hAnsi="Times New Roman" w:eastAsia="宋体" w:cs="Times New Roman"/>
      <w:sz w:val="18"/>
      <w:szCs w:val="18"/>
    </w:rPr>
  </w:style>
  <w:style w:type="character" w:customStyle="1" w:styleId="342">
    <w:name w:val="正文文本缩进 3 Char1"/>
    <w:qFormat/>
    <w:uiPriority w:val="99"/>
    <w:rPr>
      <w:rFonts w:ascii="Times New Roman" w:hAnsi="Times New Roman" w:eastAsia="宋体" w:cs="Times New Roman"/>
      <w:sz w:val="16"/>
      <w:szCs w:val="16"/>
    </w:rPr>
  </w:style>
  <w:style w:type="character" w:customStyle="1" w:styleId="343">
    <w:name w:val="正文首行缩进 Char1"/>
    <w:qFormat/>
    <w:uiPriority w:val="99"/>
    <w:rPr>
      <w:rFonts w:ascii="宋体" w:hAnsi="Times New Roman" w:eastAsia="宋体" w:cs="Times New Roman"/>
      <w:snapToGrid w:val="0"/>
      <w:kern w:val="2"/>
      <w:sz w:val="24"/>
      <w:szCs w:val="21"/>
      <w:lang w:val="zh-CN"/>
    </w:rPr>
  </w:style>
  <w:style w:type="character" w:customStyle="1" w:styleId="344">
    <w:name w:val="副标题 Char1"/>
    <w:qFormat/>
    <w:uiPriority w:val="11"/>
    <w:rPr>
      <w:rFonts w:ascii="Cambria" w:hAnsi="Cambria" w:eastAsia="宋体" w:cs="Times New Roman"/>
      <w:b/>
      <w:bCs/>
      <w:kern w:val="28"/>
      <w:sz w:val="32"/>
      <w:szCs w:val="32"/>
    </w:rPr>
  </w:style>
  <w:style w:type="character" w:customStyle="1" w:styleId="345">
    <w:name w:val="font71"/>
    <w:qFormat/>
    <w:uiPriority w:val="0"/>
    <w:rPr>
      <w:rFonts w:hint="eastAsia" w:ascii="宋体" w:hAnsi="宋体" w:eastAsia="宋体" w:cs="宋体"/>
      <w:b/>
      <w:color w:val="000000"/>
      <w:sz w:val="20"/>
      <w:szCs w:val="20"/>
      <w:u w:val="none"/>
    </w:rPr>
  </w:style>
  <w:style w:type="character" w:customStyle="1" w:styleId="34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qFormat/>
    <w:uiPriority w:val="0"/>
    <w:rPr>
      <w:rFonts w:hint="eastAsia" w:ascii="宋体" w:hAnsi="宋体" w:eastAsia="宋体" w:cs="宋体"/>
      <w:b/>
      <w:snapToGrid w:val="0"/>
      <w:color w:val="000000"/>
      <w:kern w:val="0"/>
      <w:sz w:val="20"/>
      <w:szCs w:val="20"/>
      <w:u w:val="none"/>
    </w:rPr>
  </w:style>
  <w:style w:type="character" w:customStyle="1" w:styleId="348">
    <w:name w:val="font41"/>
    <w:qFormat/>
    <w:uiPriority w:val="0"/>
    <w:rPr>
      <w:rFonts w:hint="eastAsia" w:ascii="宋体" w:hAnsi="宋体" w:eastAsia="宋体" w:cs="宋体"/>
      <w:snapToGrid w:val="0"/>
      <w:color w:val="000000"/>
      <w:kern w:val="0"/>
      <w:sz w:val="19"/>
      <w:szCs w:val="19"/>
      <w:u w:val="none"/>
    </w:rPr>
  </w:style>
  <w:style w:type="character" w:customStyle="1" w:styleId="349">
    <w:name w:val="font161"/>
    <w:qFormat/>
    <w:uiPriority w:val="0"/>
    <w:rPr>
      <w:rFonts w:hint="eastAsia" w:ascii="宋体" w:hAnsi="宋体" w:eastAsia="宋体" w:cs="宋体"/>
      <w:snapToGrid w:val="0"/>
      <w:color w:val="000000"/>
      <w:kern w:val="0"/>
      <w:sz w:val="19"/>
      <w:szCs w:val="19"/>
      <w:u w:val="none"/>
    </w:rPr>
  </w:style>
  <w:style w:type="character" w:customStyle="1" w:styleId="350">
    <w:name w:val="font31"/>
    <w:qFormat/>
    <w:uiPriority w:val="0"/>
    <w:rPr>
      <w:rFonts w:hint="eastAsia" w:ascii="宋体" w:hAnsi="宋体" w:eastAsia="宋体" w:cs="宋体"/>
      <w:b/>
      <w:snapToGrid w:val="0"/>
      <w:color w:val="000000"/>
      <w:kern w:val="0"/>
      <w:sz w:val="20"/>
      <w:szCs w:val="20"/>
      <w:u w:val="none"/>
    </w:rPr>
  </w:style>
  <w:style w:type="character" w:customStyle="1" w:styleId="351">
    <w:name w:val="font11"/>
    <w:basedOn w:val="66"/>
    <w:qFormat/>
    <w:uiPriority w:val="0"/>
    <w:rPr>
      <w:rFonts w:ascii="Arial" w:hAnsi="Arial" w:cs="Arial"/>
      <w:color w:val="000000"/>
      <w:sz w:val="20"/>
      <w:szCs w:val="20"/>
      <w:u w:val="none"/>
    </w:rPr>
  </w:style>
  <w:style w:type="character" w:customStyle="1" w:styleId="352">
    <w:name w:val="content1"/>
    <w:qFormat/>
    <w:uiPriority w:val="0"/>
    <w:rPr>
      <w:color w:val="0066FF"/>
      <w:sz w:val="21"/>
      <w:szCs w:val="21"/>
    </w:rPr>
  </w:style>
  <w:style w:type="character" w:customStyle="1" w:styleId="353">
    <w:name w:val="font81"/>
    <w:qFormat/>
    <w:uiPriority w:val="0"/>
    <w:rPr>
      <w:rFonts w:hint="eastAsia" w:ascii="宋体" w:hAnsi="宋体" w:eastAsia="宋体" w:cs="宋体"/>
      <w:b/>
      <w:snapToGrid w:val="0"/>
      <w:color w:val="000000"/>
      <w:kern w:val="0"/>
      <w:sz w:val="20"/>
      <w:szCs w:val="20"/>
      <w:u w:val="none"/>
    </w:rPr>
  </w:style>
  <w:style w:type="character" w:customStyle="1" w:styleId="354">
    <w:name w:val="font61"/>
    <w:qFormat/>
    <w:uiPriority w:val="0"/>
    <w:rPr>
      <w:rFonts w:hint="eastAsia" w:ascii="宋体" w:hAnsi="宋体" w:eastAsia="宋体" w:cs="宋体"/>
      <w:snapToGrid w:val="0"/>
      <w:color w:val="000000"/>
      <w:kern w:val="0"/>
      <w:sz w:val="20"/>
      <w:szCs w:val="20"/>
      <w:u w:val="none"/>
    </w:rPr>
  </w:style>
  <w:style w:type="character" w:customStyle="1" w:styleId="355">
    <w:name w:val="Char Char341"/>
    <w:qFormat/>
    <w:uiPriority w:val="0"/>
    <w:rPr>
      <w:rFonts w:eastAsia="宋体"/>
      <w:kern w:val="2"/>
      <w:sz w:val="21"/>
      <w:szCs w:val="24"/>
      <w:lang w:val="en-US" w:eastAsia="zh-CN" w:bidi="ar-SA"/>
    </w:rPr>
  </w:style>
  <w:style w:type="character" w:customStyle="1" w:styleId="356">
    <w:name w:val="font01"/>
    <w:qFormat/>
    <w:uiPriority w:val="0"/>
    <w:rPr>
      <w:rFonts w:hint="eastAsia" w:ascii="宋体" w:hAnsi="宋体" w:eastAsia="宋体" w:cs="宋体"/>
      <w:snapToGrid w:val="0"/>
      <w:color w:val="000000"/>
      <w:kern w:val="0"/>
      <w:sz w:val="20"/>
      <w:szCs w:val="20"/>
      <w:u w:val="none"/>
    </w:rPr>
  </w:style>
  <w:style w:type="character" w:customStyle="1" w:styleId="357">
    <w:name w:val="c11"/>
    <w:qFormat/>
    <w:uiPriority w:val="0"/>
    <w:rPr>
      <w:rFonts w:hint="default" w:ascii="Arial" w:hAnsi="Arial" w:cs="Arial"/>
      <w:color w:val="333333"/>
      <w:sz w:val="22"/>
      <w:szCs w:val="22"/>
    </w:rPr>
  </w:style>
  <w:style w:type="character" w:customStyle="1" w:styleId="358">
    <w:name w:val="编号，小四 Char"/>
    <w:link w:val="359"/>
    <w:qFormat/>
    <w:uiPriority w:val="0"/>
    <w:rPr>
      <w:rFonts w:ascii="Arial" w:hAnsi="Arial"/>
      <w:sz w:val="24"/>
    </w:rPr>
  </w:style>
  <w:style w:type="paragraph" w:customStyle="1" w:styleId="359">
    <w:name w:val="编号，小四"/>
    <w:basedOn w:val="1"/>
    <w:link w:val="358"/>
    <w:qFormat/>
    <w:uiPriority w:val="0"/>
    <w:pPr>
      <w:spacing w:line="360" w:lineRule="auto"/>
      <w:ind w:left="420"/>
    </w:pPr>
    <w:rPr>
      <w:rFonts w:ascii="Arial" w:hAnsi="Arial"/>
      <w:sz w:val="24"/>
    </w:rPr>
  </w:style>
  <w:style w:type="character" w:customStyle="1" w:styleId="360">
    <w:name w:val="内容文本 Char"/>
    <w:link w:val="361"/>
    <w:qFormat/>
    <w:uiPriority w:val="0"/>
    <w:rPr>
      <w:rFonts w:ascii="宋体" w:hAnsi="宋体"/>
      <w:sz w:val="24"/>
      <w:szCs w:val="24"/>
      <w:lang w:eastAsia="en-US" w:bidi="en-US"/>
    </w:rPr>
  </w:style>
  <w:style w:type="paragraph" w:customStyle="1" w:styleId="361">
    <w:name w:val="内容文本"/>
    <w:basedOn w:val="362"/>
    <w:link w:val="360"/>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qFormat/>
    <w:uiPriority w:val="0"/>
    <w:pPr>
      <w:adjustRightInd w:val="0"/>
      <w:ind w:firstLine="420" w:firstLineChars="200"/>
    </w:pPr>
    <w:rPr>
      <w:rFonts w:ascii="Times New Roman" w:hAnsi="Times New Roman" w:eastAsia="宋体" w:cs="Times New Roman"/>
      <w:szCs w:val="24"/>
    </w:rPr>
  </w:style>
  <w:style w:type="character" w:customStyle="1" w:styleId="363">
    <w:name w:val="*正文 Char"/>
    <w:link w:val="364"/>
    <w:qFormat/>
    <w:uiPriority w:val="0"/>
    <w:rPr>
      <w:rFonts w:ascii="宋体" w:hAnsi="宋体"/>
      <w:sz w:val="24"/>
      <w:szCs w:val="24"/>
    </w:rPr>
  </w:style>
  <w:style w:type="paragraph" w:customStyle="1" w:styleId="364">
    <w:name w:val="*正文"/>
    <w:basedOn w:val="1"/>
    <w:link w:val="363"/>
    <w:qFormat/>
    <w:uiPriority w:val="0"/>
    <w:pPr>
      <w:spacing w:line="360" w:lineRule="auto"/>
    </w:pPr>
    <w:rPr>
      <w:rFonts w:ascii="宋体" w:hAnsi="宋体"/>
      <w:sz w:val="24"/>
      <w:szCs w:val="24"/>
    </w:rPr>
  </w:style>
  <w:style w:type="character" w:customStyle="1" w:styleId="365">
    <w:name w:val="样式 首行缩进:  0 字符 Char"/>
    <w:link w:val="366"/>
    <w:qFormat/>
    <w:uiPriority w:val="0"/>
    <w:rPr>
      <w:rFonts w:ascii="Arial" w:hAnsi="Arial" w:cs="宋体"/>
      <w:sz w:val="24"/>
    </w:rPr>
  </w:style>
  <w:style w:type="paragraph" w:customStyle="1" w:styleId="366">
    <w:name w:val="样式 首行缩进:  0 字符"/>
    <w:basedOn w:val="1"/>
    <w:link w:val="365"/>
    <w:qFormat/>
    <w:uiPriority w:val="0"/>
    <w:pPr>
      <w:spacing w:line="360" w:lineRule="auto"/>
      <w:ind w:firstLine="200" w:firstLineChars="200"/>
    </w:pPr>
    <w:rPr>
      <w:rFonts w:ascii="Arial" w:hAnsi="Arial" w:cs="宋体"/>
      <w:sz w:val="24"/>
    </w:rPr>
  </w:style>
  <w:style w:type="character" w:customStyle="1" w:styleId="367">
    <w:name w:val="text1"/>
    <w:qFormat/>
    <w:uiPriority w:val="0"/>
    <w:rPr>
      <w:sz w:val="21"/>
      <w:szCs w:val="21"/>
    </w:rPr>
  </w:style>
  <w:style w:type="character" w:customStyle="1" w:styleId="368">
    <w:name w:val="未处理的提及1"/>
    <w:qFormat/>
    <w:uiPriority w:val="99"/>
    <w:rPr>
      <w:color w:val="605E5C"/>
      <w:shd w:val="clear" w:color="auto" w:fill="E1DFDD"/>
    </w:rPr>
  </w:style>
  <w:style w:type="character" w:customStyle="1" w:styleId="369">
    <w:name w:val="纯文本 字符"/>
    <w:qFormat/>
    <w:uiPriority w:val="0"/>
    <w:rPr>
      <w:rFonts w:ascii="宋体" w:hAnsi="Courier New" w:eastAsia="黑体" w:cs="Arial"/>
      <w:kern w:val="2"/>
      <w:sz w:val="21"/>
      <w:szCs w:val="21"/>
    </w:rPr>
  </w:style>
  <w:style w:type="character" w:customStyle="1" w:styleId="370">
    <w:name w:val="批注文字 字符"/>
    <w:qFormat/>
    <w:uiPriority w:val="0"/>
    <w:rPr>
      <w:szCs w:val="24"/>
    </w:rPr>
  </w:style>
  <w:style w:type="character" w:customStyle="1" w:styleId="371">
    <w:name w:val="正文缩进 Char2"/>
    <w:autoRedefine/>
    <w:qFormat/>
    <w:uiPriority w:val="0"/>
    <w:rPr>
      <w:rFonts w:ascii="宋体" w:eastAsia="宋体"/>
      <w:snapToGrid w:val="0"/>
      <w:color w:val="000000"/>
      <w:kern w:val="28"/>
      <w:sz w:val="28"/>
      <w:lang w:val="en-US" w:eastAsia="zh-CN" w:bidi="ar-SA"/>
    </w:rPr>
  </w:style>
  <w:style w:type="paragraph" w:customStyle="1" w:styleId="37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3">
    <w:name w:val="表格标题2"/>
    <w:basedOn w:val="374"/>
    <w:autoRedefine/>
    <w:qFormat/>
    <w:uiPriority w:val="0"/>
    <w:rPr>
      <w:b/>
    </w:rPr>
  </w:style>
  <w:style w:type="paragraph" w:customStyle="1" w:styleId="374">
    <w:name w:val="表格内文"/>
    <w:basedOn w:val="1"/>
    <w:autoRedefine/>
    <w:qFormat/>
    <w:uiPriority w:val="0"/>
    <w:pPr>
      <w:spacing w:line="360" w:lineRule="auto"/>
    </w:pPr>
    <w:rPr>
      <w:rFonts w:ascii="宋体" w:hAnsi="宋体" w:eastAsia="宋体" w:cs="宋体"/>
      <w:color w:val="000000"/>
      <w:szCs w:val="20"/>
    </w:rPr>
  </w:style>
  <w:style w:type="paragraph" w:customStyle="1" w:styleId="37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autoRedefine/>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autoRedefine/>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autoRedefine/>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3"/>
    <w:next w:val="1"/>
    <w:qFormat/>
    <w:uiPriority w:val="0"/>
    <w:pPr>
      <w:tabs>
        <w:tab w:val="left" w:pos="480"/>
      </w:tabs>
      <w:ind w:left="480" w:hanging="480"/>
    </w:pPr>
  </w:style>
  <w:style w:type="paragraph" w:customStyle="1" w:styleId="386">
    <w:name w:val="四级条标题"/>
    <w:basedOn w:val="387"/>
    <w:next w:val="391"/>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autoRedefine/>
    <w:qFormat/>
    <w:uiPriority w:val="0"/>
    <w:pPr>
      <w:tabs>
        <w:tab w:val="left" w:pos="360"/>
        <w:tab w:val="left" w:pos="1260"/>
        <w:tab w:val="left" w:pos="1680"/>
        <w:tab w:val="left" w:pos="2100"/>
      </w:tabs>
      <w:outlineLvl w:val="3"/>
    </w:pPr>
  </w:style>
  <w:style w:type="paragraph" w:customStyle="1" w:styleId="389">
    <w:name w:val="一级条标题"/>
    <w:basedOn w:val="390"/>
    <w:next w:val="391"/>
    <w:qFormat/>
    <w:uiPriority w:val="0"/>
    <w:pPr>
      <w:tabs>
        <w:tab w:val="left" w:pos="360"/>
        <w:tab w:val="left" w:pos="1260"/>
        <w:tab w:val="left" w:pos="1680"/>
      </w:tabs>
      <w:ind w:left="1680" w:hanging="420"/>
      <w:outlineLvl w:val="2"/>
    </w:pPr>
  </w:style>
  <w:style w:type="paragraph" w:customStyle="1" w:styleId="390">
    <w:name w:val="章标题"/>
    <w:next w:val="391"/>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91">
    <w:name w:val="段"/>
    <w:link w:val="39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2">
    <w:name w:val="段 Char"/>
    <w:link w:val="391"/>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autoRedefine/>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6"/>
    <w:next w:val="1"/>
    <w:qFormat/>
    <w:uiPriority w:val="0"/>
    <w:pPr>
      <w:tabs>
        <w:tab w:val="left" w:pos="480"/>
        <w:tab w:val="left" w:pos="1080"/>
      </w:tabs>
      <w:ind w:left="480" w:hanging="480"/>
    </w:pPr>
  </w:style>
  <w:style w:type="paragraph" w:customStyle="1" w:styleId="398">
    <w:name w:val="目录 51"/>
    <w:basedOn w:val="1"/>
    <w:next w:val="1"/>
    <w:autoRedefine/>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autoRedefine/>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402">
    <w:name w:val="Char11"/>
    <w:basedOn w:val="1"/>
    <w:autoRedefine/>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autoRedefine/>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5"/>
    <w:autoRedefine/>
    <w:qFormat/>
    <w:uiPriority w:val="0"/>
    <w:pPr>
      <w:widowControl/>
      <w:jc w:val="left"/>
    </w:pPr>
    <w:rPr>
      <w:rFonts w:cs="宋体"/>
      <w:sz w:val="24"/>
      <w:szCs w:val="20"/>
    </w:rPr>
  </w:style>
  <w:style w:type="paragraph" w:customStyle="1" w:styleId="405">
    <w:name w:val="样式1"/>
    <w:basedOn w:val="1"/>
    <w:link w:val="406"/>
    <w:autoRedefine/>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qFormat/>
    <w:locked/>
    <w:uiPriority w:val="0"/>
    <w:rPr>
      <w:rFonts w:ascii="宋体" w:hAnsi="宋体" w:eastAsia="宋体" w:cs="Times New Roman"/>
      <w:kern w:val="0"/>
      <w:sz w:val="24"/>
      <w:szCs w:val="20"/>
    </w:rPr>
  </w:style>
  <w:style w:type="paragraph" w:customStyle="1" w:styleId="407">
    <w:name w:val="目录 31"/>
    <w:basedOn w:val="1"/>
    <w:next w:val="1"/>
    <w:autoRedefine/>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autoRedefine/>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autoRedefine/>
    <w:qFormat/>
    <w:uiPriority w:val="0"/>
    <w:pPr>
      <w:ind w:firstLine="200" w:firstLineChars="200"/>
    </w:pPr>
    <w:rPr>
      <w:rFonts w:ascii="Tahoma" w:hAnsi="Tahoma" w:eastAsia="宋体" w:cs="Times New Roman"/>
      <w:sz w:val="24"/>
      <w:szCs w:val="20"/>
    </w:rPr>
  </w:style>
  <w:style w:type="paragraph" w:customStyle="1" w:styleId="41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autoRedefine/>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autoRedefine/>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autoRedefine/>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0">
    <w:name w:val="Char1 Char Char Char Char Char Char Char Char Char Char Char1 Char Char Char Char Char Char Char Char Char Char Char Char Char Char1 Char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autoRedefine/>
    <w:qFormat/>
    <w:uiPriority w:val="99"/>
    <w:pPr>
      <w:ind w:firstLine="420" w:firstLineChars="200"/>
    </w:pPr>
    <w:rPr>
      <w:rFonts w:ascii="Calibri" w:hAnsi="Calibri" w:eastAsia="宋体" w:cs="Times New Roman"/>
    </w:rPr>
  </w:style>
  <w:style w:type="paragraph" w:customStyle="1" w:styleId="423">
    <w:name w:val="font6"/>
    <w:basedOn w:val="1"/>
    <w:autoRedefine/>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26">
    <w:name w:val="±íÑùÊ½"/>
    <w:basedOn w:val="1"/>
    <w:autoRedefine/>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7">
    <w:name w:val="Body Copy"/>
    <w:basedOn w:val="1"/>
    <w:autoRedefine/>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8">
    <w:name w:val="样式 左侧:  0.85 厘米 首行缩进:  0.85 厘米"/>
    <w:basedOn w:val="1"/>
    <w:autoRedefine/>
    <w:qFormat/>
    <w:uiPriority w:val="0"/>
    <w:pPr>
      <w:spacing w:line="360" w:lineRule="auto"/>
      <w:ind w:firstLine="482"/>
    </w:pPr>
    <w:rPr>
      <w:rFonts w:ascii="Times New Roman" w:hAnsi="Times New Roman" w:eastAsia="宋体" w:cs="宋体"/>
      <w:sz w:val="24"/>
      <w:szCs w:val="20"/>
    </w:rPr>
  </w:style>
  <w:style w:type="paragraph" w:customStyle="1" w:styleId="429">
    <w:name w:val="zTableCellBody"/>
    <w:basedOn w:val="1"/>
    <w:autoRedefine/>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0">
    <w:name w:val="表格文字（大）"/>
    <w:basedOn w:val="1"/>
    <w:autoRedefine/>
    <w:qFormat/>
    <w:uiPriority w:val="0"/>
    <w:pPr>
      <w:spacing w:before="20" w:after="20"/>
      <w:ind w:firstLine="200" w:firstLineChars="200"/>
    </w:pPr>
    <w:rPr>
      <w:rFonts w:ascii="Century Gothic" w:hAnsi="Century Gothic" w:eastAsia="宋体" w:cs="Times New Roman"/>
      <w:sz w:val="24"/>
      <w:szCs w:val="20"/>
    </w:rPr>
  </w:style>
  <w:style w:type="paragraph" w:customStyle="1" w:styleId="43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2">
    <w:name w:val="缺省文本"/>
    <w:basedOn w:val="1"/>
    <w:autoRedefine/>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3">
    <w:name w:val="小标题"/>
    <w:basedOn w:val="1"/>
    <w:autoRedefine/>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4">
    <w:name w:val="目录4"/>
    <w:basedOn w:val="1"/>
    <w:autoRedefine/>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5">
    <w:name w:val="五级条标题"/>
    <w:basedOn w:val="386"/>
    <w:next w:val="391"/>
    <w:autoRedefine/>
    <w:qFormat/>
    <w:uiPriority w:val="0"/>
    <w:pPr>
      <w:tabs>
        <w:tab w:val="clear" w:pos="2940"/>
      </w:tabs>
      <w:outlineLvl w:val="6"/>
    </w:pPr>
  </w:style>
  <w:style w:type="paragraph" w:customStyle="1" w:styleId="436">
    <w:name w:val="列表内容"/>
    <w:basedOn w:val="1"/>
    <w:next w:val="1"/>
    <w:autoRedefine/>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38">
    <w:name w:val="Char Char1 Char1"/>
    <w:basedOn w:val="1"/>
    <w:autoRedefine/>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39">
    <w:name w:val="Char19"/>
    <w:basedOn w:val="1"/>
    <w:autoRedefine/>
    <w:qFormat/>
    <w:uiPriority w:val="0"/>
    <w:rPr>
      <w:rFonts w:ascii="Times New Roman" w:hAnsi="Times New Roman" w:eastAsia="宋体" w:cs="Times New Roman"/>
      <w:szCs w:val="20"/>
    </w:rPr>
  </w:style>
  <w:style w:type="paragraph" w:customStyle="1" w:styleId="440">
    <w:name w:val="正文缩进一"/>
    <w:basedOn w:val="1"/>
    <w:next w:val="1"/>
    <w:autoRedefine/>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1">
    <w:name w:val="方形箭头"/>
    <w:basedOn w:val="1"/>
    <w:autoRedefine/>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2">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443">
    <w:name w:val="文本正文 Char"/>
    <w:basedOn w:val="1"/>
    <w:autoRedefine/>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4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46">
    <w:name w:val="列出段落11"/>
    <w:basedOn w:val="1"/>
    <w:autoRedefine/>
    <w:qFormat/>
    <w:uiPriority w:val="34"/>
    <w:pPr>
      <w:ind w:firstLine="420" w:firstLineChars="200"/>
    </w:pPr>
    <w:rPr>
      <w:rFonts w:ascii="Calibri" w:hAnsi="Calibri" w:eastAsia="宋体" w:cs="Times New Roman"/>
    </w:rPr>
  </w:style>
  <w:style w:type="paragraph" w:customStyle="1" w:styleId="447">
    <w:name w:val="Char Char11 Char Char Char Char Char Char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448">
    <w:name w:val="Z5"/>
    <w:basedOn w:val="1"/>
    <w:next w:val="1"/>
    <w:autoRedefine/>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49">
    <w:name w:val="正文 编号"/>
    <w:basedOn w:val="1"/>
    <w:autoRedefine/>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0">
    <w:name w:val="封面表格文本"/>
    <w:basedOn w:val="1"/>
    <w:autoRedefine/>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1">
    <w:name w:val="Char Char Char1 Char"/>
    <w:basedOn w:val="1"/>
    <w:autoRedefine/>
    <w:qFormat/>
    <w:uiPriority w:val="0"/>
    <w:pPr>
      <w:adjustRightInd w:val="0"/>
    </w:pPr>
    <w:rPr>
      <w:rFonts w:ascii="Times New Roman" w:hAnsi="Times New Roman" w:eastAsia="宋体" w:cs="Times New Roman"/>
      <w:szCs w:val="20"/>
    </w:rPr>
  </w:style>
  <w:style w:type="paragraph" w:customStyle="1" w:styleId="452">
    <w:name w:val="tabletext"/>
    <w:basedOn w:val="1"/>
    <w:autoRedefine/>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3">
    <w:name w:val="Char1 Char Char Char Char Char Char Char Char Char"/>
    <w:basedOn w:val="1"/>
    <w:autoRedefine/>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4">
    <w:name w:val="Char Char Char Char Char Char Char Char Char Char1"/>
    <w:basedOn w:val="1"/>
    <w:autoRedefine/>
    <w:qFormat/>
    <w:uiPriority w:val="0"/>
    <w:pPr>
      <w:adjustRightInd w:val="0"/>
    </w:pPr>
    <w:rPr>
      <w:rFonts w:ascii="仿宋_GB2312" w:hAnsi="Times New Roman" w:eastAsia="仿宋_GB2312" w:cs="Times New Roman"/>
      <w:b/>
      <w:sz w:val="32"/>
      <w:szCs w:val="32"/>
    </w:rPr>
  </w:style>
  <w:style w:type="paragraph" w:customStyle="1" w:styleId="455">
    <w:name w:val="Char Char Char Char"/>
    <w:basedOn w:val="1"/>
    <w:autoRedefine/>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7">
    <w:name w:val="TOC 标题1"/>
    <w:basedOn w:val="3"/>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3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59">
    <w:name w:val="默认段落字体 Para Char Char Char Char Char Char Char Char Char Char"/>
    <w:basedOn w:val="1"/>
    <w:autoRedefine/>
    <w:qFormat/>
    <w:uiPriority w:val="0"/>
    <w:rPr>
      <w:rFonts w:ascii="Tahoma" w:hAnsi="Tahoma" w:eastAsia="宋体" w:cs="Times New Roman"/>
      <w:color w:val="000000"/>
      <w:sz w:val="24"/>
      <w:szCs w:val="20"/>
    </w:rPr>
  </w:style>
  <w:style w:type="paragraph" w:customStyle="1" w:styleId="460">
    <w:name w:val="EB_表格"/>
    <w:basedOn w:val="1"/>
    <w:autoRedefine/>
    <w:qFormat/>
    <w:uiPriority w:val="0"/>
    <w:pPr>
      <w:spacing w:line="300" w:lineRule="auto"/>
      <w:jc w:val="center"/>
    </w:pPr>
    <w:rPr>
      <w:rFonts w:ascii="Times New Roman" w:hAnsi="Times New Roman" w:eastAsia="宋体" w:cs="Times New Roman"/>
      <w:szCs w:val="24"/>
    </w:rPr>
  </w:style>
  <w:style w:type="paragraph" w:customStyle="1" w:styleId="4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3">
    <w:name w:val="Char Char Char Char Char Char Char Char Char Char Char Char1 Char"/>
    <w:basedOn w:val="1"/>
    <w:autoRedefine/>
    <w:qFormat/>
    <w:uiPriority w:val="0"/>
    <w:pPr>
      <w:adjustRightInd w:val="0"/>
    </w:pPr>
    <w:rPr>
      <w:rFonts w:ascii="Tahoma" w:hAnsi="Tahoma" w:eastAsia="宋体" w:cs="仿宋_GB2312"/>
      <w:sz w:val="24"/>
      <w:szCs w:val="20"/>
    </w:rPr>
  </w:style>
  <w:style w:type="paragraph" w:customStyle="1" w:styleId="464">
    <w:name w:val="Thf"/>
    <w:basedOn w:val="465"/>
    <w:autoRedefine/>
    <w:qFormat/>
    <w:uiPriority w:val="0"/>
    <w:pPr>
      <w:ind w:left="0"/>
    </w:pPr>
  </w:style>
  <w:style w:type="paragraph" w:customStyle="1" w:styleId="4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66">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7">
    <w:name w:val="Char Char1 Char Char Char Char Char Char"/>
    <w:basedOn w:val="1"/>
    <w:autoRedefine/>
    <w:qFormat/>
    <w:uiPriority w:val="0"/>
    <w:pPr>
      <w:adjustRightInd w:val="0"/>
    </w:pPr>
    <w:rPr>
      <w:rFonts w:ascii="仿宋_GB2312" w:hAnsi="Times New Roman" w:eastAsia="仿宋_GB2312" w:cs="Times New Roman"/>
      <w:b/>
      <w:sz w:val="32"/>
      <w:szCs w:val="20"/>
    </w:rPr>
  </w:style>
  <w:style w:type="paragraph" w:customStyle="1" w:styleId="46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469">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471">
    <w:name w:val="Char Char Char Char Char Char Char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472">
    <w:name w:val="封面"/>
    <w:basedOn w:val="1"/>
    <w:autoRedefine/>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3">
    <w:name w:val="font9"/>
    <w:basedOn w:val="1"/>
    <w:autoRedefine/>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4">
    <w:name w:val="标题4_自定义"/>
    <w:basedOn w:val="5"/>
    <w:autoRedefine/>
    <w:qFormat/>
    <w:uiPriority w:val="0"/>
    <w:pPr>
      <w:adjustRightInd/>
      <w:spacing w:before="0" w:after="0" w:line="360" w:lineRule="auto"/>
      <w:ind w:left="0" w:firstLine="0"/>
    </w:pPr>
    <w:rPr>
      <w:rFonts w:ascii="Verdana" w:eastAsia="Verdana"/>
      <w:sz w:val="21"/>
      <w:lang w:val="en-US"/>
    </w:rPr>
  </w:style>
  <w:style w:type="paragraph" w:customStyle="1" w:styleId="475">
    <w:name w:val="样式 仿宋_GB2312 小三 左侧:  1.06 厘米"/>
    <w:basedOn w:val="1"/>
    <w:autoRedefine/>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6">
    <w:name w:val="标书标题4"/>
    <w:basedOn w:val="5"/>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7">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8">
    <w:name w:val="chart text"/>
    <w:basedOn w:val="1"/>
    <w:autoRedefine/>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79">
    <w:name w:val="Char22"/>
    <w:basedOn w:val="1"/>
    <w:autoRedefine/>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0">
    <w:name w:val="公文正文"/>
    <w:basedOn w:val="1"/>
    <w:link w:val="481"/>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1">
    <w:name w:val="公文正文 Char Char"/>
    <w:link w:val="480"/>
    <w:autoRedefine/>
    <w:qFormat/>
    <w:uiPriority w:val="0"/>
    <w:rPr>
      <w:rFonts w:ascii="仿宋_GB2312" w:hAnsi="Times New Roman" w:eastAsia="仿宋_GB2312" w:cs="Times New Roman"/>
      <w:sz w:val="24"/>
      <w:szCs w:val="24"/>
    </w:rPr>
  </w:style>
  <w:style w:type="paragraph" w:customStyle="1" w:styleId="482">
    <w:name w:val="样式4"/>
    <w:basedOn w:val="1"/>
    <w:autoRedefine/>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3">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484">
    <w:name w:val="trademark"/>
    <w:autoRedefine/>
    <w:qFormat/>
    <w:uiPriority w:val="0"/>
    <w:pPr>
      <w:spacing w:after="60"/>
    </w:pPr>
    <w:rPr>
      <w:rFonts w:ascii="Futura Bk" w:hAnsi="Futura Bk" w:eastAsia="宋体" w:cs="Times New Roman"/>
      <w:sz w:val="15"/>
      <w:lang w:val="en-US" w:eastAsia="en-US" w:bidi="ar-SA"/>
    </w:rPr>
  </w:style>
  <w:style w:type="paragraph" w:customStyle="1" w:styleId="485">
    <w:name w:val="Char31"/>
    <w:basedOn w:val="1"/>
    <w:autoRedefine/>
    <w:qFormat/>
    <w:uiPriority w:val="0"/>
    <w:rPr>
      <w:rFonts w:ascii="仿宋_GB2312" w:hAnsi="Times New Roman" w:eastAsia="仿宋_GB2312" w:cs="Times New Roman"/>
      <w:b/>
      <w:sz w:val="32"/>
      <w:szCs w:val="32"/>
    </w:rPr>
  </w:style>
  <w:style w:type="paragraph" w:customStyle="1" w:styleId="486">
    <w:name w:val="Char Char Char Char Char Char Char Char Char Char Char1 Char"/>
    <w:basedOn w:val="1"/>
    <w:autoRedefine/>
    <w:qFormat/>
    <w:uiPriority w:val="0"/>
    <w:rPr>
      <w:rFonts w:ascii="Tahoma" w:hAnsi="Tahoma" w:eastAsia="宋体" w:cs="Times New Roman"/>
      <w:sz w:val="24"/>
      <w:szCs w:val="24"/>
    </w:rPr>
  </w:style>
  <w:style w:type="paragraph" w:customStyle="1" w:styleId="48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488">
    <w:name w:val="正文表标题"/>
    <w:next w:val="39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89">
    <w:name w:val="标准正文"/>
    <w:basedOn w:val="1"/>
    <w:link w:val="490"/>
    <w:autoRedefine/>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0">
    <w:name w:val="标准正文 Char"/>
    <w:link w:val="489"/>
    <w:autoRedefine/>
    <w:qFormat/>
    <w:uiPriority w:val="0"/>
    <w:rPr>
      <w:rFonts w:ascii="Times New Roman" w:hAnsi="Times New Roman" w:eastAsia="宋体" w:cs="Times New Roman"/>
      <w:sz w:val="24"/>
      <w:szCs w:val="24"/>
    </w:rPr>
  </w:style>
  <w:style w:type="paragraph" w:customStyle="1" w:styleId="491">
    <w:name w:val="ÕýÎÄÊ×ÐÐËõ½ø"/>
    <w:basedOn w:val="1"/>
    <w:autoRedefine/>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2">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3">
    <w:name w:val="目录1"/>
    <w:basedOn w:val="1"/>
    <w:autoRedefine/>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4">
    <w:name w:val="Char1 Char Char Char"/>
    <w:basedOn w:val="1"/>
    <w:autoRedefine/>
    <w:qFormat/>
    <w:uiPriority w:val="0"/>
    <w:pPr>
      <w:adjustRightInd w:val="0"/>
    </w:pPr>
    <w:rPr>
      <w:rFonts w:ascii="Tahoma" w:hAnsi="Tahoma" w:eastAsia="宋体" w:cs="Times New Roman"/>
      <w:sz w:val="24"/>
      <w:szCs w:val="20"/>
    </w:rPr>
  </w:style>
  <w:style w:type="paragraph" w:customStyle="1" w:styleId="495">
    <w:name w:val="MM Topic 3"/>
    <w:basedOn w:val="4"/>
    <w:autoRedefine/>
    <w:qFormat/>
    <w:uiPriority w:val="0"/>
    <w:pPr>
      <w:numPr>
        <w:ilvl w:val="0"/>
        <w:numId w:val="0"/>
      </w:numPr>
      <w:tabs>
        <w:tab w:val="left" w:pos="840"/>
        <w:tab w:val="left" w:pos="1680"/>
      </w:tabs>
      <w:adjustRightInd/>
      <w:ind w:left="1680" w:hanging="420"/>
    </w:pPr>
  </w:style>
  <w:style w:type="paragraph" w:customStyle="1" w:styleId="496">
    <w:name w:val="Char Char Char Char1"/>
    <w:basedOn w:val="1"/>
    <w:autoRedefine/>
    <w:qFormat/>
    <w:uiPriority w:val="0"/>
    <w:pPr>
      <w:tabs>
        <w:tab w:val="left" w:pos="0"/>
      </w:tabs>
      <w:ind w:firstLine="200" w:firstLineChars="200"/>
    </w:pPr>
    <w:rPr>
      <w:rFonts w:ascii="宋体" w:hAnsi="宋体" w:eastAsia="仿宋_GB2312" w:cs="Times New Roman"/>
      <w:sz w:val="28"/>
      <w:szCs w:val="24"/>
    </w:rPr>
  </w:style>
  <w:style w:type="paragraph" w:customStyle="1" w:styleId="497">
    <w:name w:val="正文文字缩进"/>
    <w:basedOn w:val="1"/>
    <w:autoRedefine/>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8">
    <w:name w:val="Default"/>
    <w:link w:val="49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99">
    <w:name w:val="Default Char"/>
    <w:link w:val="498"/>
    <w:autoRedefine/>
    <w:qFormat/>
    <w:uiPriority w:val="0"/>
    <w:rPr>
      <w:rFonts w:ascii="仿宋_GB2312" w:hAnsi="Times New Roman" w:eastAsia="仿宋_GB2312" w:cs="仿宋_GB2312"/>
      <w:color w:val="000000"/>
      <w:kern w:val="0"/>
      <w:sz w:val="24"/>
      <w:szCs w:val="24"/>
    </w:rPr>
  </w:style>
  <w:style w:type="paragraph" w:customStyle="1" w:styleId="500">
    <w:name w:val="a1"/>
    <w:basedOn w:val="1"/>
    <w:autoRedefine/>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1">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2">
    <w:name w:val="Char Char110"/>
    <w:basedOn w:val="1"/>
    <w:autoRedefine/>
    <w:qFormat/>
    <w:uiPriority w:val="6"/>
    <w:pPr>
      <w:adjustRightInd w:val="0"/>
      <w:spacing w:line="360" w:lineRule="auto"/>
    </w:pPr>
    <w:rPr>
      <w:rFonts w:ascii="Tahoma" w:hAnsi="Tahoma" w:eastAsia="宋体" w:cs="Times New Roman"/>
      <w:sz w:val="24"/>
      <w:szCs w:val="20"/>
    </w:rPr>
  </w:style>
  <w:style w:type="paragraph" w:customStyle="1" w:styleId="50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05">
    <w:name w:val="style25"/>
    <w:basedOn w:val="1"/>
    <w:autoRedefine/>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6">
    <w:name w:val="正文文字表格居中"/>
    <w:basedOn w:val="1"/>
    <w:next w:val="56"/>
    <w:autoRedefine/>
    <w:qFormat/>
    <w:uiPriority w:val="0"/>
    <w:pPr>
      <w:adjustRightInd w:val="0"/>
      <w:snapToGrid w:val="0"/>
      <w:spacing w:line="360" w:lineRule="auto"/>
    </w:pPr>
    <w:rPr>
      <w:rFonts w:ascii="宋体" w:hAnsi="Times New Roman" w:eastAsia="宋体" w:cs="Times New Roman"/>
      <w:b/>
      <w:sz w:val="24"/>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09">
    <w:name w:val="Preformatted Text"/>
    <w:basedOn w:val="1"/>
    <w:autoRedefine/>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0">
    <w:name w:val="Char Char Char Char Char Char1 Char1"/>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1">
    <w:name w:val="正文 项目2"/>
    <w:basedOn w:val="512"/>
    <w:autoRedefine/>
    <w:qFormat/>
    <w:uiPriority w:val="0"/>
    <w:pPr>
      <w:tabs>
        <w:tab w:val="left" w:pos="840"/>
      </w:tabs>
      <w:spacing w:after="0"/>
      <w:ind w:left="900"/>
    </w:pPr>
  </w:style>
  <w:style w:type="paragraph" w:customStyle="1" w:styleId="512">
    <w:name w:val="正文 项目"/>
    <w:basedOn w:val="1"/>
    <w:autoRedefine/>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3">
    <w:name w:val="左对齐表格文字"/>
    <w:basedOn w:val="1"/>
    <w:autoRedefine/>
    <w:qFormat/>
    <w:uiPriority w:val="0"/>
    <w:pPr>
      <w:ind w:firstLine="200" w:firstLineChars="200"/>
      <w:jc w:val="right"/>
    </w:pPr>
    <w:rPr>
      <w:rFonts w:ascii="Times New Roman" w:hAnsi="Times New Roman" w:eastAsia="宋体" w:cs="Times New Roman"/>
      <w:szCs w:val="24"/>
    </w:rPr>
  </w:style>
  <w:style w:type="paragraph" w:customStyle="1" w:styleId="514">
    <w:name w:val="Bullet"/>
    <w:basedOn w:val="1"/>
    <w:autoRedefine/>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5">
    <w:name w:val="4"/>
    <w:basedOn w:val="1"/>
    <w:next w:val="38"/>
    <w:autoRedefine/>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6">
    <w:name w:val="0"/>
    <w:basedOn w:val="1"/>
    <w:autoRedefine/>
    <w:qFormat/>
    <w:uiPriority w:val="0"/>
    <w:pPr>
      <w:widowControl/>
      <w:adjustRightInd w:val="0"/>
    </w:pPr>
    <w:rPr>
      <w:rFonts w:ascii="Times New Roman" w:hAnsi="Times New Roman" w:eastAsia="宋体" w:cs="Times New Roman"/>
      <w:kern w:val="0"/>
      <w:sz w:val="24"/>
      <w:szCs w:val="20"/>
    </w:rPr>
  </w:style>
  <w:style w:type="paragraph" w:customStyle="1" w:styleId="51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518">
    <w:name w:val="MM Empty"/>
    <w:basedOn w:val="1"/>
    <w:autoRedefine/>
    <w:qFormat/>
    <w:uiPriority w:val="0"/>
    <w:rPr>
      <w:rFonts w:ascii="Times New Roman" w:hAnsi="Times New Roman" w:eastAsia="宋体" w:cs="Times New Roman"/>
      <w:szCs w:val="24"/>
    </w:rPr>
  </w:style>
  <w:style w:type="paragraph" w:customStyle="1" w:styleId="519">
    <w:name w:val="Char Char Char Char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520">
    <w:name w:val="默认段落字体 Para Char"/>
    <w:basedOn w:val="1"/>
    <w:autoRedefine/>
    <w:qFormat/>
    <w:uiPriority w:val="0"/>
    <w:pPr>
      <w:adjustRightInd w:val="0"/>
    </w:pPr>
    <w:rPr>
      <w:rFonts w:ascii="Tahoma" w:hAnsi="Tahoma" w:eastAsia="宋体" w:cs="Times New Roman"/>
      <w:sz w:val="24"/>
      <w:szCs w:val="20"/>
    </w:rPr>
  </w:style>
  <w:style w:type="paragraph" w:customStyle="1" w:styleId="5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2">
    <w:name w:val="f9a style88 f9a"/>
    <w:basedOn w:val="1"/>
    <w:autoRedefine/>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3">
    <w:name w:val="Char2 Char Char"/>
    <w:basedOn w:val="1"/>
    <w:autoRedefine/>
    <w:qFormat/>
    <w:uiPriority w:val="0"/>
    <w:rPr>
      <w:rFonts w:ascii="Tahoma" w:hAnsi="Tahoma" w:eastAsia="宋体" w:cs="Times New Roman"/>
      <w:sz w:val="24"/>
      <w:szCs w:val="20"/>
    </w:rPr>
  </w:style>
  <w:style w:type="paragraph" w:customStyle="1" w:styleId="524">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25">
    <w:name w:val="Table Text"/>
    <w:basedOn w:val="1"/>
    <w:link w:val="526"/>
    <w:autoRedefine/>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6">
    <w:name w:val="Table Text Char"/>
    <w:link w:val="525"/>
    <w:autoRedefine/>
    <w:qFormat/>
    <w:uiPriority w:val="0"/>
    <w:rPr>
      <w:rFonts w:ascii="Times New Roman" w:hAnsi="Times New Roman" w:eastAsia="宋体" w:cs="Times New Roman"/>
      <w:kern w:val="0"/>
      <w:sz w:val="24"/>
      <w:szCs w:val="24"/>
    </w:rPr>
  </w:style>
  <w:style w:type="paragraph" w:customStyle="1" w:styleId="527">
    <w:name w:val="Body Text 2*"/>
    <w:basedOn w:val="1"/>
    <w:autoRedefine/>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8">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29">
    <w:name w:val="Char1 Char Char Char1"/>
    <w:basedOn w:val="1"/>
    <w:autoRedefine/>
    <w:qFormat/>
    <w:uiPriority w:val="0"/>
    <w:pPr>
      <w:ind w:firstLine="200" w:firstLineChars="200"/>
    </w:pPr>
    <w:rPr>
      <w:rFonts w:ascii="Tahoma" w:hAnsi="Tahoma" w:eastAsia="宋体" w:cs="Times New Roman"/>
      <w:sz w:val="24"/>
      <w:szCs w:val="20"/>
    </w:rPr>
  </w:style>
  <w:style w:type="paragraph" w:customStyle="1" w:styleId="530">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样式1 + (中宋体"/>
    <w:basedOn w:val="40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2">
    <w:name w:val="规划正文"/>
    <w:basedOn w:val="1"/>
    <w:autoRedefine/>
    <w:qFormat/>
    <w:uiPriority w:val="0"/>
    <w:pPr>
      <w:spacing w:beforeLines="100" w:line="360" w:lineRule="auto"/>
      <w:jc w:val="left"/>
    </w:pPr>
    <w:rPr>
      <w:rFonts w:ascii="Arial" w:hAnsi="Arial" w:eastAsia="仿宋_GB2312" w:cs="Times New Roman"/>
      <w:bCs/>
      <w:sz w:val="28"/>
      <w:szCs w:val="24"/>
    </w:rPr>
  </w:style>
  <w:style w:type="paragraph" w:customStyle="1" w:styleId="533">
    <w:name w:val="Char Char Char Char Char Char Char Char"/>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6">
    <w:name w:val="Char Char Char1 Char1"/>
    <w:basedOn w:val="1"/>
    <w:autoRedefine/>
    <w:qFormat/>
    <w:uiPriority w:val="6"/>
    <w:pPr>
      <w:adjustRightInd w:val="0"/>
    </w:pPr>
    <w:rPr>
      <w:rFonts w:ascii="Times New Roman" w:hAnsi="Times New Roman" w:eastAsia="宋体" w:cs="Times New Roman"/>
      <w:szCs w:val="20"/>
    </w:rPr>
  </w:style>
  <w:style w:type="paragraph" w:customStyle="1" w:styleId="537">
    <w:name w:val="数字标题6"/>
    <w:basedOn w:val="7"/>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3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9">
    <w:name w:val="规范正文"/>
    <w:basedOn w:val="1"/>
    <w:autoRedefine/>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0">
    <w:name w:val="RFI Heading 2nd Level"/>
    <w:basedOn w:val="1"/>
    <w:autoRedefine/>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1">
    <w:name w:val="Char1 Char Char Char4"/>
    <w:basedOn w:val="1"/>
    <w:autoRedefine/>
    <w:qFormat/>
    <w:uiPriority w:val="0"/>
    <w:pPr>
      <w:ind w:firstLine="200" w:firstLineChars="200"/>
    </w:pPr>
    <w:rPr>
      <w:rFonts w:ascii="Tahoma" w:hAnsi="Tahoma" w:eastAsia="宋体" w:cs="Times New Roman"/>
      <w:sz w:val="24"/>
      <w:szCs w:val="20"/>
    </w:rPr>
  </w:style>
  <w:style w:type="paragraph" w:customStyle="1" w:styleId="542">
    <w:name w:val="正文文字格式"/>
    <w:basedOn w:val="1"/>
    <w:autoRedefine/>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4">
    <w:name w:val="RFI Heading 3rd Level"/>
    <w:basedOn w:val="1"/>
    <w:autoRedefine/>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5">
    <w:name w:val="Char Char11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546">
    <w:name w:val="标书标题2"/>
    <w:basedOn w:val="2"/>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8">
    <w:name w:val="样式 样式2 + 左侧:  1 字符 右侧:  1 字符"/>
    <w:basedOn w:val="549"/>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9">
    <w:name w:val="样式2"/>
    <w:basedOn w:val="1"/>
    <w:autoRedefine/>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0">
    <w:name w:val="封面华为技术"/>
    <w:basedOn w:val="1"/>
    <w:autoRedefine/>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52">
    <w:name w:val="正文2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3">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4">
    <w:name w:val="MM Topic 2"/>
    <w:basedOn w:val="2"/>
    <w:autoRedefine/>
    <w:qFormat/>
    <w:uiPriority w:val="0"/>
    <w:pPr>
      <w:tabs>
        <w:tab w:val="left" w:pos="1260"/>
      </w:tabs>
      <w:ind w:left="1260" w:hanging="420"/>
    </w:pPr>
    <w:rPr>
      <w:rFonts w:ascii="Arial" w:hAnsi="Arial" w:eastAsia="黑体"/>
      <w:lang w:val="en-US"/>
    </w:rPr>
  </w:style>
  <w:style w:type="paragraph" w:customStyle="1" w:styleId="555">
    <w:name w:val="Char2 Char Char Char1"/>
    <w:basedOn w:val="1"/>
    <w:autoRedefine/>
    <w:qFormat/>
    <w:uiPriority w:val="6"/>
    <w:pPr>
      <w:adjustRightInd w:val="0"/>
    </w:pPr>
    <w:rPr>
      <w:rFonts w:ascii="仿宋_GB2312" w:hAnsi="Times New Roman" w:eastAsia="仿宋_GB2312" w:cs="Times New Roman"/>
      <w:b/>
      <w:sz w:val="32"/>
      <w:szCs w:val="32"/>
    </w:rPr>
  </w:style>
  <w:style w:type="paragraph" w:customStyle="1" w:styleId="556">
    <w:name w:val="样式3"/>
    <w:basedOn w:val="549"/>
    <w:autoRedefine/>
    <w:qFormat/>
    <w:uiPriority w:val="0"/>
    <w:pPr>
      <w:spacing w:beforeLines="100"/>
      <w:jc w:val="left"/>
    </w:pPr>
  </w:style>
  <w:style w:type="paragraph" w:customStyle="1" w:styleId="557">
    <w:name w:val="目录2"/>
    <w:basedOn w:val="1"/>
    <w:autoRedefine/>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8">
    <w:name w:val="文章总标题"/>
    <w:basedOn w:val="1"/>
    <w:autoRedefine/>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9">
    <w:name w:val="Bulleting First Indent 1"/>
    <w:basedOn w:val="17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0">
    <w:name w:val="Plain Text1"/>
    <w:basedOn w:val="1"/>
    <w:autoRedefine/>
    <w:qFormat/>
    <w:uiPriority w:val="7"/>
    <w:rPr>
      <w:rFonts w:ascii="宋体" w:hAnsi="Courier New" w:eastAsia="宋体" w:cs="Times New Roman"/>
      <w:szCs w:val="24"/>
    </w:rPr>
  </w:style>
  <w:style w:type="paragraph" w:customStyle="1" w:styleId="561">
    <w:name w:val="button"/>
    <w:basedOn w:val="1"/>
    <w:autoRedefine/>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2">
    <w:name w:val="正文 首行缩进:  2 字符 Char"/>
    <w:basedOn w:val="1"/>
    <w:autoRedefine/>
    <w:qFormat/>
    <w:uiPriority w:val="0"/>
    <w:pPr>
      <w:spacing w:line="360" w:lineRule="auto"/>
      <w:ind w:firstLine="480"/>
    </w:pPr>
    <w:rPr>
      <w:rFonts w:ascii="Times New Roman" w:hAnsi="Times New Roman" w:eastAsia="宋体" w:cs="宋体"/>
      <w:sz w:val="24"/>
      <w:szCs w:val="20"/>
    </w:rPr>
  </w:style>
  <w:style w:type="paragraph" w:customStyle="1" w:styleId="563">
    <w:name w:val="Char Char1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4">
    <w:name w:val="Char111"/>
    <w:basedOn w:val="1"/>
    <w:autoRedefine/>
    <w:qFormat/>
    <w:uiPriority w:val="0"/>
    <w:pPr>
      <w:adjustRightInd w:val="0"/>
    </w:pPr>
    <w:rPr>
      <w:rFonts w:ascii="仿宋_GB2312" w:hAnsi="Times New Roman" w:eastAsia="仿宋_GB2312" w:cs="Times New Roman"/>
      <w:b/>
      <w:sz w:val="32"/>
      <w:szCs w:val="32"/>
    </w:rPr>
  </w:style>
  <w:style w:type="paragraph" w:customStyle="1" w:styleId="565">
    <w:name w:val="小节标题"/>
    <w:basedOn w:val="1"/>
    <w:autoRedefine/>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6">
    <w:name w:val="彩色列表 - 强调文字颜色 11"/>
    <w:basedOn w:val="1"/>
    <w:autoRedefine/>
    <w:qFormat/>
    <w:uiPriority w:val="0"/>
    <w:pPr>
      <w:ind w:firstLine="420" w:firstLineChars="200"/>
    </w:pPr>
    <w:rPr>
      <w:rFonts w:ascii="Calibri" w:hAnsi="Calibri" w:eastAsia="宋体" w:cs="Times New Roman"/>
    </w:rPr>
  </w:style>
  <w:style w:type="paragraph" w:customStyle="1" w:styleId="567">
    <w:name w:val="gf正文1"/>
    <w:basedOn w:val="1"/>
    <w:link w:val="568"/>
    <w:autoRedefine/>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8">
    <w:name w:val="gf正文1 Char Char"/>
    <w:link w:val="567"/>
    <w:autoRedefine/>
    <w:qFormat/>
    <w:uiPriority w:val="0"/>
    <w:rPr>
      <w:rFonts w:ascii="宋体" w:hAnsi="宋体" w:eastAsia="宋体" w:cs="宋体"/>
      <w:sz w:val="24"/>
      <w:szCs w:val="24"/>
    </w:rPr>
  </w:style>
  <w:style w:type="paragraph" w:customStyle="1" w:styleId="569">
    <w:name w:val="P1"/>
    <w:basedOn w:val="1"/>
    <w:autoRedefine/>
    <w:qFormat/>
    <w:uiPriority w:val="0"/>
    <w:pPr>
      <w:spacing w:line="288" w:lineRule="auto"/>
      <w:ind w:firstLine="425" w:firstLineChars="200"/>
    </w:pPr>
    <w:rPr>
      <w:rFonts w:ascii="Times New Roman" w:hAnsi="Times New Roman" w:eastAsia="宋体" w:cs="Times New Roman"/>
      <w:szCs w:val="24"/>
    </w:rPr>
  </w:style>
  <w:style w:type="paragraph" w:customStyle="1" w:styleId="570">
    <w:name w:val="数字标题4"/>
    <w:basedOn w:val="5"/>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1">
    <w:name w:val="样式 宋体 三号 加粗 居中"/>
    <w:basedOn w:val="1"/>
    <w:autoRedefine/>
    <w:qFormat/>
    <w:uiPriority w:val="0"/>
    <w:pPr>
      <w:spacing w:line="360" w:lineRule="auto"/>
      <w:jc w:val="center"/>
    </w:pPr>
    <w:rPr>
      <w:rFonts w:ascii="宋体" w:hAnsi="宋体" w:eastAsia="宋体" w:cs="宋体"/>
      <w:b/>
      <w:bCs/>
      <w:sz w:val="24"/>
      <w:szCs w:val="20"/>
    </w:rPr>
  </w:style>
  <w:style w:type="paragraph" w:customStyle="1" w:styleId="572">
    <w:name w:val="正文文本 22"/>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3">
    <w:name w:val="默认段落样式"/>
    <w:basedOn w:val="149"/>
    <w:autoRedefine/>
    <w:qFormat/>
    <w:uiPriority w:val="0"/>
    <w:pPr>
      <w:spacing w:before="0"/>
      <w:ind w:firstLine="480"/>
      <w:outlineLvl w:val="2"/>
    </w:pPr>
    <w:rPr>
      <w:rFonts w:ascii="仿宋_GB2312" w:hAnsi="宋体" w:eastAsia="仿宋_GB2312"/>
      <w:color w:val="000000"/>
      <w:szCs w:val="24"/>
    </w:rPr>
  </w:style>
  <w:style w:type="paragraph" w:customStyle="1" w:styleId="574">
    <w:name w:val="Bullet with text 4"/>
    <w:basedOn w:val="1"/>
    <w:autoRedefine/>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5">
    <w:name w:val="Char Char1 Char Char1 Char Char1"/>
    <w:basedOn w:val="1"/>
    <w:autoRedefine/>
    <w:qFormat/>
    <w:uiPriority w:val="0"/>
    <w:pPr>
      <w:tabs>
        <w:tab w:val="left" w:pos="840"/>
      </w:tabs>
      <w:adjustRightInd w:val="0"/>
      <w:ind w:left="840" w:hanging="420"/>
    </w:pPr>
    <w:rPr>
      <w:rFonts w:ascii="Tahoma" w:hAnsi="Tahoma" w:eastAsia="宋体" w:cs="Times New Roman"/>
      <w:sz w:val="24"/>
      <w:szCs w:val="24"/>
    </w:rPr>
  </w:style>
  <w:style w:type="paragraph" w:customStyle="1" w:styleId="57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577">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8">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加粗正文"/>
    <w:basedOn w:val="1"/>
    <w:autoRedefine/>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3">
    <w:name w:val="xl3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4">
    <w:name w:val="表格（小）"/>
    <w:basedOn w:val="1"/>
    <w:autoRedefine/>
    <w:qFormat/>
    <w:uiPriority w:val="0"/>
    <w:pPr>
      <w:snapToGrid w:val="0"/>
      <w:spacing w:line="300" w:lineRule="auto"/>
    </w:pPr>
    <w:rPr>
      <w:rFonts w:ascii="Times New Roman" w:hAnsi="Times New Roman" w:eastAsia="仿宋" w:cs="Times New Roman"/>
      <w:szCs w:val="21"/>
    </w:rPr>
  </w:style>
  <w:style w:type="paragraph" w:customStyle="1" w:styleId="585">
    <w:name w:val="文档正文"/>
    <w:basedOn w:val="1"/>
    <w:autoRedefine/>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6">
    <w:name w:val="注释"/>
    <w:basedOn w:val="1"/>
    <w:autoRedefine/>
    <w:qFormat/>
    <w:uiPriority w:val="0"/>
    <w:pPr>
      <w:spacing w:line="360" w:lineRule="auto"/>
      <w:ind w:firstLine="480"/>
    </w:pPr>
    <w:rPr>
      <w:rFonts w:ascii="Times New Roman" w:hAnsi="Times New Roman" w:eastAsia="宋体" w:cs="Times New Roman"/>
      <w:sz w:val="24"/>
      <w:szCs w:val="24"/>
    </w:rPr>
  </w:style>
  <w:style w:type="paragraph" w:customStyle="1" w:styleId="587">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8">
    <w:name w:val="Char1 Char Char Char2"/>
    <w:basedOn w:val="1"/>
    <w:qFormat/>
    <w:uiPriority w:val="0"/>
    <w:pPr>
      <w:ind w:firstLine="200" w:firstLineChars="200"/>
    </w:pPr>
    <w:rPr>
      <w:rFonts w:ascii="Tahoma" w:hAnsi="Tahoma" w:eastAsia="宋体" w:cs="Times New Roman"/>
      <w:sz w:val="24"/>
      <w:szCs w:val="20"/>
    </w:rPr>
  </w:style>
  <w:style w:type="paragraph" w:customStyle="1" w:styleId="589">
    <w:name w:val="Char Char11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590">
    <w:name w:val="Char Char11 Char Char Char Char Char Char Char Char Char Char Char1"/>
    <w:basedOn w:val="1"/>
    <w:autoRedefine/>
    <w:qFormat/>
    <w:uiPriority w:val="6"/>
    <w:pPr>
      <w:spacing w:line="360" w:lineRule="auto"/>
    </w:pPr>
    <w:rPr>
      <w:rFonts w:ascii="Arial" w:hAnsi="Arial" w:eastAsia="黑体" w:cs="Arial"/>
      <w:snapToGrid w:val="0"/>
      <w:kern w:val="0"/>
      <w:szCs w:val="21"/>
    </w:rPr>
  </w:style>
  <w:style w:type="paragraph" w:customStyle="1" w:styleId="591">
    <w:name w:val="四号　首行缩进"/>
    <w:basedOn w:val="1"/>
    <w:autoRedefine/>
    <w:qFormat/>
    <w:uiPriority w:val="0"/>
    <w:pPr>
      <w:spacing w:line="360" w:lineRule="auto"/>
    </w:pPr>
    <w:rPr>
      <w:rFonts w:ascii="宋体" w:hAnsi="宋体" w:eastAsia="宋体" w:cs="Times New Roman"/>
      <w:szCs w:val="20"/>
    </w:rPr>
  </w:style>
  <w:style w:type="paragraph" w:customStyle="1" w:styleId="592">
    <w:name w:val="Char21"/>
    <w:basedOn w:val="1"/>
    <w:autoRedefine/>
    <w:qFormat/>
    <w:uiPriority w:val="0"/>
    <w:pPr>
      <w:ind w:firstLine="200" w:firstLineChars="200"/>
    </w:pPr>
    <w:rPr>
      <w:rFonts w:ascii="仿宋_GB2312" w:hAnsi="Times New Roman" w:eastAsia="仿宋_GB2312" w:cs="Times New Roman"/>
      <w:b/>
      <w:sz w:val="32"/>
      <w:szCs w:val="32"/>
    </w:rPr>
  </w:style>
  <w:style w:type="paragraph" w:customStyle="1" w:styleId="593">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4">
    <w:name w:val="main"/>
    <w:basedOn w:val="1"/>
    <w:autoRedefine/>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5">
    <w:name w:val="Char1 Char Char Char Char Char Char Char Char Char Char Char1 Char Char Char Char Char Char Char Char Char Char Char Char Char Char1 Char Char Char Char1"/>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596">
    <w:name w:val="Char Char Char Char Char Char Char1"/>
    <w:basedOn w:val="1"/>
    <w:autoRedefine/>
    <w:qFormat/>
    <w:uiPriority w:val="6"/>
    <w:pPr>
      <w:adjustRightInd w:val="0"/>
    </w:pPr>
    <w:rPr>
      <w:rFonts w:ascii="仿宋_GB2312" w:hAnsi="Times New Roman" w:eastAsia="仿宋_GB2312" w:cs="Times New Roman"/>
      <w:b/>
      <w:sz w:val="32"/>
      <w:szCs w:val="32"/>
    </w:rPr>
  </w:style>
  <w:style w:type="paragraph" w:customStyle="1" w:styleId="597">
    <w:name w:val="有符号正文"/>
    <w:basedOn w:val="1"/>
    <w:autoRedefine/>
    <w:qFormat/>
    <w:uiPriority w:val="0"/>
    <w:pPr>
      <w:spacing w:line="400" w:lineRule="exact"/>
      <w:ind w:firstLine="200" w:firstLineChars="200"/>
    </w:pPr>
    <w:rPr>
      <w:rFonts w:ascii="Arial" w:hAnsi="Arial" w:eastAsia="宋体" w:cs="Times New Roman"/>
      <w:szCs w:val="24"/>
    </w:rPr>
  </w:style>
  <w:style w:type="paragraph" w:customStyle="1" w:styleId="598">
    <w:name w:val="小项目标题"/>
    <w:basedOn w:val="1"/>
    <w:autoRedefine/>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59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0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1">
    <w:name w:val="带编号样式"/>
    <w:basedOn w:val="443"/>
    <w:autoRedefine/>
    <w:qFormat/>
    <w:uiPriority w:val="0"/>
    <w:pPr>
      <w:tabs>
        <w:tab w:val="left" w:pos="840"/>
      </w:tabs>
      <w:snapToGrid w:val="0"/>
      <w:ind w:left="840" w:firstLine="0" w:firstLineChars="0"/>
    </w:pPr>
    <w:rPr>
      <w:rFonts w:ascii="仿宋_GB2312" w:eastAsia="仿宋_GB2312"/>
      <w:color w:val="000000"/>
    </w:rPr>
  </w:style>
  <w:style w:type="paragraph" w:customStyle="1" w:styleId="602">
    <w:name w:val="彩色列表 - 强调文字颜色 12"/>
    <w:basedOn w:val="1"/>
    <w:autoRedefine/>
    <w:qFormat/>
    <w:uiPriority w:val="0"/>
    <w:pPr>
      <w:ind w:firstLine="420" w:firstLineChars="200"/>
    </w:pPr>
    <w:rPr>
      <w:rFonts w:ascii="Calibri" w:hAnsi="Calibri" w:eastAsia="宋体" w:cs="Times New Roman"/>
    </w:rPr>
  </w:style>
  <w:style w:type="paragraph" w:customStyle="1" w:styleId="603">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4">
    <w:name w:val="font7"/>
    <w:basedOn w:val="1"/>
    <w:autoRedefine/>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5">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Char1 Char Char Char6"/>
    <w:basedOn w:val="1"/>
    <w:autoRedefine/>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8">
    <w:name w:val="WW-正文文字缩进 2"/>
    <w:basedOn w:val="1"/>
    <w:autoRedefine/>
    <w:qFormat/>
    <w:uiPriority w:val="0"/>
    <w:pPr>
      <w:suppressAutoHyphens/>
      <w:ind w:firstLine="420"/>
    </w:pPr>
    <w:rPr>
      <w:rFonts w:ascii="Times New Roman" w:hAnsi="Times New Roman" w:eastAsia="宋体" w:cs="Times New Roman"/>
      <w:kern w:val="1"/>
      <w:szCs w:val="20"/>
    </w:rPr>
  </w:style>
  <w:style w:type="paragraph" w:customStyle="1" w:styleId="609">
    <w:name w:val="金宏发行正文 Char"/>
    <w:basedOn w:val="1"/>
    <w:autoRedefine/>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1">
    <w:name w:val="Body"/>
    <w:basedOn w:val="1"/>
    <w:autoRedefine/>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2">
    <w:name w:val="样式 仿宋_GB2312 三号 加粗 黑色 居中 行距: 1.5 倍行距"/>
    <w:basedOn w:val="1"/>
    <w:autoRedefine/>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3">
    <w:name w:val="La0b"/>
    <w:basedOn w:val="1"/>
    <w:autoRedefine/>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4">
    <w:name w:val="正文（标题三）"/>
    <w:basedOn w:val="1"/>
    <w:autoRedefine/>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5">
    <w:name w:val="标1"/>
    <w:basedOn w:val="1"/>
    <w:autoRedefine/>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6">
    <w:name w:val="xl23"/>
    <w:basedOn w:val="1"/>
    <w:autoRedefine/>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7">
    <w:name w:val="数字标题3"/>
    <w:basedOn w:val="4"/>
    <w:next w:val="1"/>
    <w:qFormat/>
    <w:uiPriority w:val="0"/>
    <w:pPr>
      <w:numPr>
        <w:ilvl w:val="0"/>
        <w:numId w:val="0"/>
      </w:numPr>
      <w:spacing w:line="240" w:lineRule="auto"/>
    </w:pPr>
    <w:rPr>
      <w:sz w:val="28"/>
      <w:szCs w:val="28"/>
    </w:rPr>
  </w:style>
  <w:style w:type="paragraph" w:customStyle="1" w:styleId="618">
    <w:name w:val="目录标题"/>
    <w:basedOn w:val="1"/>
    <w:autoRedefine/>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19">
    <w:name w:val="标题 41"/>
    <w:basedOn w:val="1"/>
    <w:next w:val="1"/>
    <w:autoRedefine/>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0">
    <w:name w:val="标书表格字体格式"/>
    <w:next w:val="607"/>
    <w:autoRedefine/>
    <w:qFormat/>
    <w:uiPriority w:val="0"/>
    <w:rPr>
      <w:rFonts w:ascii="Times New Roman" w:hAnsi="Times New Roman" w:eastAsia="宋体" w:cs="Times New Roman"/>
      <w:kern w:val="2"/>
      <w:sz w:val="21"/>
      <w:szCs w:val="24"/>
      <w:lang w:val="en-US" w:eastAsia="zh-CN" w:bidi="ar-SA"/>
    </w:rPr>
  </w:style>
  <w:style w:type="paragraph" w:customStyle="1" w:styleId="621">
    <w:name w:val="bullet"/>
    <w:basedOn w:val="1"/>
    <w:autoRedefine/>
    <w:qFormat/>
    <w:uiPriority w:val="0"/>
    <w:pPr>
      <w:tabs>
        <w:tab w:val="left" w:pos="840"/>
      </w:tabs>
      <w:ind w:left="840" w:hanging="420"/>
    </w:pPr>
    <w:rPr>
      <w:rFonts w:ascii="Times New Roman" w:hAnsi="Times New Roman" w:eastAsia="宋体" w:cs="Times New Roman"/>
      <w:szCs w:val="24"/>
    </w:rPr>
  </w:style>
  <w:style w:type="paragraph" w:customStyle="1" w:styleId="62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3">
    <w:name w:val="FA正文"/>
    <w:basedOn w:val="1"/>
    <w:autoRedefine/>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4">
    <w:name w:val="列出段落1"/>
    <w:basedOn w:val="1"/>
    <w:autoRedefine/>
    <w:qFormat/>
    <w:uiPriority w:val="34"/>
    <w:pPr>
      <w:widowControl/>
      <w:adjustRightInd w:val="0"/>
      <w:ind w:firstLine="420" w:firstLineChars="200"/>
      <w:jc w:val="left"/>
    </w:pPr>
    <w:rPr>
      <w:rFonts w:ascii="宋体" w:hAnsi="宋体" w:eastAsia="宋体" w:cs="宋体"/>
      <w:kern w:val="0"/>
      <w:sz w:val="24"/>
      <w:szCs w:val="24"/>
    </w:rPr>
  </w:style>
  <w:style w:type="paragraph" w:customStyle="1" w:styleId="625">
    <w:name w:val="文章附标题"/>
    <w:basedOn w:val="1"/>
    <w:autoRedefine/>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627">
    <w:name w:val="正文样式 首行缩进:  0.74 厘米"/>
    <w:basedOn w:val="1"/>
    <w:autoRedefine/>
    <w:qFormat/>
    <w:uiPriority w:val="0"/>
    <w:pPr>
      <w:spacing w:beforeLines="50" w:line="360" w:lineRule="auto"/>
      <w:ind w:firstLine="420"/>
    </w:pPr>
    <w:rPr>
      <w:rFonts w:ascii="Times New Roman" w:hAnsi="Times New Roman" w:eastAsia="宋体" w:cs="宋体"/>
      <w:sz w:val="24"/>
      <w:szCs w:val="20"/>
    </w:rPr>
  </w:style>
  <w:style w:type="paragraph" w:customStyle="1" w:styleId="628">
    <w:name w:val="Char Char1 Char Char Char Char Char Char1"/>
    <w:basedOn w:val="1"/>
    <w:autoRedefine/>
    <w:qFormat/>
    <w:uiPriority w:val="0"/>
    <w:pPr>
      <w:adjustRightInd w:val="0"/>
    </w:pPr>
    <w:rPr>
      <w:rFonts w:ascii="仿宋_GB2312" w:hAnsi="Times New Roman" w:eastAsia="仿宋_GB2312" w:cs="Times New Roman"/>
      <w:b/>
      <w:sz w:val="32"/>
      <w:szCs w:val="20"/>
    </w:rPr>
  </w:style>
  <w:style w:type="paragraph" w:customStyle="1" w:styleId="629">
    <w:name w:val="正文4"/>
    <w:basedOn w:val="1"/>
    <w:autoRedefine/>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0">
    <w:name w:val="中等深浅网格 1 - 强调文字颜色 21"/>
    <w:basedOn w:val="1"/>
    <w:autoRedefine/>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1">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2">
    <w:name w:val="正文3"/>
    <w:basedOn w:val="1"/>
    <w:autoRedefine/>
    <w:qFormat/>
    <w:uiPriority w:val="0"/>
    <w:pPr>
      <w:spacing w:beforeLines="50" w:afterLines="50" w:line="360" w:lineRule="auto"/>
      <w:outlineLvl w:val="8"/>
    </w:pPr>
    <w:rPr>
      <w:rFonts w:ascii="Segoe UI" w:hAnsi="宋体" w:eastAsia="楷体_GB2312" w:cs="Latha"/>
      <w:sz w:val="24"/>
      <w:szCs w:val="21"/>
    </w:rPr>
  </w:style>
  <w:style w:type="paragraph" w:customStyle="1" w:styleId="63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34">
    <w:name w:val="Char Char1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63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638">
    <w:name w:val="Char3 Char Char1"/>
    <w:basedOn w:val="1"/>
    <w:autoRedefine/>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9">
    <w:name w:val="表格标题1"/>
    <w:basedOn w:val="1"/>
    <w:autoRedefine/>
    <w:qFormat/>
    <w:uiPriority w:val="0"/>
    <w:pPr>
      <w:spacing w:line="360" w:lineRule="auto"/>
      <w:jc w:val="center"/>
    </w:pPr>
    <w:rPr>
      <w:rFonts w:ascii="宋体" w:hAnsi="宋体" w:eastAsia="宋体" w:cs="宋体"/>
      <w:b/>
      <w:bCs/>
      <w:color w:val="000000"/>
      <w:sz w:val="24"/>
      <w:szCs w:val="21"/>
    </w:rPr>
  </w:style>
  <w:style w:type="paragraph" w:customStyle="1" w:styleId="640">
    <w:name w:val="Char2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641">
    <w:name w:val="Char1"/>
    <w:basedOn w:val="1"/>
    <w:autoRedefine/>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2">
    <w:name w:val="图中文字"/>
    <w:basedOn w:val="1"/>
    <w:autoRedefine/>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44">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5">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6">
    <w:name w:val="插图说明"/>
    <w:basedOn w:val="1"/>
    <w:autoRedefine/>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7">
    <w:name w:val="正文（首行缩进2字符）"/>
    <w:basedOn w:val="1"/>
    <w:autoRedefine/>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8">
    <w:name w:val="样式 标题 22h2L1 Heading 2H2sect 1.2H21sect 1.21H22sect 1.2..."/>
    <w:basedOn w:val="2"/>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49">
    <w:name w:val="节标题"/>
    <w:basedOn w:val="1"/>
    <w:autoRedefine/>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0">
    <w:name w:val="修订2"/>
    <w:autoRedefine/>
    <w:qFormat/>
    <w:uiPriority w:val="0"/>
    <w:rPr>
      <w:rFonts w:ascii="Times New Roman" w:hAnsi="Times New Roman" w:eastAsia="宋体" w:cs="Times New Roman"/>
      <w:kern w:val="2"/>
      <w:sz w:val="21"/>
      <w:lang w:val="en-US" w:eastAsia="zh-CN" w:bidi="ar-SA"/>
    </w:rPr>
  </w:style>
  <w:style w:type="paragraph" w:customStyle="1" w:styleId="651">
    <w:name w:val="样式 正文文本缩进 + 段前: 2 字符"/>
    <w:basedOn w:val="1"/>
    <w:autoRedefine/>
    <w:qFormat/>
    <w:uiPriority w:val="0"/>
    <w:pPr>
      <w:ind w:left="420" w:leftChars="200"/>
      <w:jc w:val="left"/>
    </w:pPr>
    <w:rPr>
      <w:rFonts w:ascii="Times New Roman" w:hAnsi="Times New Roman" w:eastAsia="宋体" w:cs="Times New Roman"/>
      <w:sz w:val="28"/>
      <w:szCs w:val="20"/>
      <w:lang w:eastAsia="zh-TW"/>
    </w:rPr>
  </w:style>
  <w:style w:type="paragraph" w:customStyle="1" w:styleId="652">
    <w:name w:val="xl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5">
    <w:name w:val="Char Char11 Char Char Char Char Char Char Char Char Char1"/>
    <w:basedOn w:val="1"/>
    <w:autoRedefine/>
    <w:qFormat/>
    <w:uiPriority w:val="6"/>
    <w:pPr>
      <w:adjustRightInd w:val="0"/>
      <w:spacing w:line="360" w:lineRule="auto"/>
    </w:pPr>
    <w:rPr>
      <w:rFonts w:ascii="Times New Roman" w:hAnsi="Times New Roman" w:eastAsia="宋体" w:cs="Times New Roman"/>
      <w:szCs w:val="20"/>
    </w:rPr>
  </w:style>
  <w:style w:type="paragraph" w:customStyle="1" w:styleId="656">
    <w:name w:val="表内文字"/>
    <w:basedOn w:val="1"/>
    <w:autoRedefine/>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7">
    <w:name w:val="Char2 Char Char1"/>
    <w:basedOn w:val="1"/>
    <w:autoRedefine/>
    <w:qFormat/>
    <w:uiPriority w:val="6"/>
    <w:rPr>
      <w:rFonts w:ascii="Tahoma" w:hAnsi="Tahoma" w:eastAsia="宋体" w:cs="Times New Roman"/>
      <w:sz w:val="24"/>
      <w:szCs w:val="20"/>
    </w:rPr>
  </w:style>
  <w:style w:type="paragraph" w:customStyle="1" w:styleId="658">
    <w:name w:val="正文文字 2"/>
    <w:basedOn w:val="498"/>
    <w:next w:val="498"/>
    <w:autoRedefine/>
    <w:qFormat/>
    <w:uiPriority w:val="0"/>
    <w:rPr>
      <w:rFonts w:ascii="宋体" w:eastAsia="宋体" w:cs="Times New Roman"/>
      <w:color w:val="auto"/>
    </w:rPr>
  </w:style>
  <w:style w:type="paragraph" w:customStyle="1" w:styleId="659">
    <w:name w:val="Char1 Char Char Char3"/>
    <w:basedOn w:val="1"/>
    <w:autoRedefine/>
    <w:qFormat/>
    <w:uiPriority w:val="0"/>
    <w:pPr>
      <w:ind w:firstLine="200" w:firstLineChars="200"/>
    </w:pPr>
    <w:rPr>
      <w:rFonts w:ascii="Tahoma" w:hAnsi="Tahoma" w:eastAsia="宋体" w:cs="Times New Roman"/>
      <w:sz w:val="24"/>
      <w:szCs w:val="20"/>
    </w:rPr>
  </w:style>
  <w:style w:type="paragraph" w:customStyle="1" w:styleId="660">
    <w:name w:val="样式7"/>
    <w:basedOn w:val="482"/>
    <w:next w:val="1"/>
    <w:autoRedefine/>
    <w:qFormat/>
    <w:uiPriority w:val="0"/>
    <w:pPr>
      <w:spacing w:afterLines="50"/>
      <w:jc w:val="left"/>
      <w:outlineLvl w:val="3"/>
    </w:pPr>
    <w:rPr>
      <w:sz w:val="24"/>
      <w:szCs w:val="24"/>
    </w:rPr>
  </w:style>
  <w:style w:type="paragraph" w:customStyle="1" w:styleId="661">
    <w:name w:val="默认段落字体 Para Char Char Char Char Char Char Char"/>
    <w:basedOn w:val="1"/>
    <w:autoRedefine/>
    <w:qFormat/>
    <w:uiPriority w:val="0"/>
    <w:pPr>
      <w:adjustRightInd w:val="0"/>
    </w:pPr>
    <w:rPr>
      <w:rFonts w:ascii="Times New Roman" w:hAnsi="Times New Roman" w:eastAsia="仿宋_GB2312" w:cs="Times New Roman"/>
      <w:sz w:val="28"/>
      <w:szCs w:val="20"/>
    </w:rPr>
  </w:style>
  <w:style w:type="paragraph" w:customStyle="1" w:styleId="662">
    <w:name w:val="Picture"/>
    <w:basedOn w:val="1"/>
    <w:next w:val="16"/>
    <w:autoRedefine/>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3">
    <w:name w:val="首行缩进"/>
    <w:basedOn w:val="1"/>
    <w:autoRedefine/>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4">
    <w:name w:val="Char2"/>
    <w:basedOn w:val="1"/>
    <w:autoRedefine/>
    <w:qFormat/>
    <w:uiPriority w:val="0"/>
    <w:pPr>
      <w:adjustRightInd w:val="0"/>
    </w:pPr>
    <w:rPr>
      <w:rFonts w:ascii="仿宋_GB2312" w:hAnsi="Times New Roman" w:eastAsia="仿宋_GB2312" w:cs="Times New Roman"/>
      <w:b/>
      <w:sz w:val="32"/>
      <w:szCs w:val="32"/>
    </w:rPr>
  </w:style>
  <w:style w:type="paragraph" w:customStyle="1" w:styleId="6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67">
    <w:name w:val="封面文档标题"/>
    <w:basedOn w:val="1"/>
    <w:autoRedefine/>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8">
    <w:name w:val="方案正文"/>
    <w:basedOn w:val="1"/>
    <w:autoRedefine/>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69">
    <w:name w:val="Char3 Char Char Char Char Char Char1"/>
    <w:basedOn w:val="1"/>
    <w:autoRedefine/>
    <w:qFormat/>
    <w:uiPriority w:val="6"/>
    <w:pPr>
      <w:spacing w:line="360" w:lineRule="auto"/>
    </w:pPr>
    <w:rPr>
      <w:rFonts w:ascii="Arial" w:hAnsi="Arial" w:eastAsia="黑体" w:cs="Arial"/>
      <w:snapToGrid w:val="0"/>
      <w:kern w:val="0"/>
      <w:szCs w:val="21"/>
    </w:rPr>
  </w:style>
  <w:style w:type="paragraph" w:customStyle="1" w:styleId="670">
    <w:name w:val="默认段落字体 Para Char Char Char Char Char Char Char Char Char Char Char Char Char Char Char Char Char Char Char"/>
    <w:basedOn w:val="1"/>
    <w:autoRedefine/>
    <w:qFormat/>
    <w:uiPriority w:val="0"/>
    <w:pPr>
      <w:adjustRightInd w:val="0"/>
    </w:pPr>
    <w:rPr>
      <w:rFonts w:ascii="Tahoma" w:hAnsi="Tahoma" w:eastAsia="宋体" w:cs="Times New Roman"/>
      <w:sz w:val="24"/>
      <w:szCs w:val="20"/>
    </w:rPr>
  </w:style>
  <w:style w:type="paragraph" w:customStyle="1" w:styleId="671">
    <w:name w:val="深色列表 - 强调文字颜色 51"/>
    <w:basedOn w:val="1"/>
    <w:autoRedefine/>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3">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674">
    <w:name w:val="p0"/>
    <w:basedOn w:val="1"/>
    <w:autoRedefine/>
    <w:qFormat/>
    <w:uiPriority w:val="0"/>
    <w:pPr>
      <w:widowControl/>
    </w:pPr>
    <w:rPr>
      <w:rFonts w:ascii="Times New Roman" w:hAnsi="Times New Roman" w:eastAsia="宋体" w:cs="Times New Roman"/>
      <w:kern w:val="0"/>
      <w:szCs w:val="21"/>
    </w:rPr>
  </w:style>
  <w:style w:type="paragraph" w:customStyle="1" w:styleId="675">
    <w:name w:val="目录3"/>
    <w:basedOn w:val="1"/>
    <w:autoRedefine/>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6">
    <w:name w:val="单元格居中"/>
    <w:basedOn w:val="1"/>
    <w:autoRedefine/>
    <w:qFormat/>
    <w:uiPriority w:val="0"/>
    <w:pPr>
      <w:spacing w:line="360" w:lineRule="auto"/>
      <w:jc w:val="center"/>
    </w:pPr>
    <w:rPr>
      <w:rFonts w:ascii="Times New Roman" w:hAnsi="Times New Roman" w:eastAsia="宋体" w:cs="Times New Roman"/>
      <w:sz w:val="24"/>
      <w:szCs w:val="24"/>
    </w:rPr>
  </w:style>
  <w:style w:type="paragraph" w:customStyle="1" w:styleId="677">
    <w:name w:val="CM14"/>
    <w:basedOn w:val="498"/>
    <w:next w:val="498"/>
    <w:autoRedefine/>
    <w:qFormat/>
    <w:uiPriority w:val="0"/>
    <w:pPr>
      <w:spacing w:after="68"/>
    </w:pPr>
    <w:rPr>
      <w:rFonts w:ascii="FHLHE E+ Futura Bk" w:eastAsia="FHLHE E+ Futura Bk" w:cs="Times New Roman"/>
      <w:color w:val="auto"/>
    </w:rPr>
  </w:style>
  <w:style w:type="paragraph" w:customStyle="1" w:styleId="678">
    <w:name w:val="Char Char Char"/>
    <w:basedOn w:val="1"/>
    <w:autoRedefine/>
    <w:qFormat/>
    <w:uiPriority w:val="0"/>
    <w:pPr>
      <w:adjustRightInd w:val="0"/>
    </w:pPr>
    <w:rPr>
      <w:rFonts w:ascii="Tahoma" w:hAnsi="Tahoma" w:eastAsia="宋体" w:cs="Times New Roman"/>
      <w:sz w:val="24"/>
      <w:szCs w:val="20"/>
    </w:rPr>
  </w:style>
  <w:style w:type="paragraph" w:customStyle="1" w:styleId="679">
    <w:name w:val="金宏发行正文"/>
    <w:basedOn w:val="1"/>
    <w:autoRedefine/>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0">
    <w:name w:val="_Style 3"/>
    <w:autoRedefine/>
    <w:qFormat/>
    <w:uiPriority w:val="34"/>
    <w:rPr>
      <w:rFonts w:ascii="Times New Roman" w:hAnsi="Times New Roman" w:eastAsia="宋体" w:cs="Times New Roman"/>
      <w:sz w:val="22"/>
      <w:szCs w:val="22"/>
      <w:lang w:val="en-US" w:eastAsia="zh-CN" w:bidi="ar-SA"/>
    </w:rPr>
  </w:style>
  <w:style w:type="paragraph" w:customStyle="1" w:styleId="681">
    <w:name w:val="样式 微软雅黑 行距: 1.5 倍行距"/>
    <w:basedOn w:val="1"/>
    <w:autoRedefine/>
    <w:qFormat/>
    <w:uiPriority w:val="0"/>
    <w:pPr>
      <w:spacing w:line="360" w:lineRule="auto"/>
      <w:ind w:firstLine="480" w:firstLineChars="200"/>
    </w:pPr>
    <w:rPr>
      <w:rFonts w:ascii="微软雅黑" w:hAnsi="宋体" w:eastAsia="微软雅黑" w:cs="宋体"/>
      <w:sz w:val="24"/>
      <w:szCs w:val="20"/>
    </w:rPr>
  </w:style>
  <w:style w:type="paragraph" w:customStyle="1" w:styleId="68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3">
    <w:name w:val="Char Char Char Char Char Char Char Char Char Char Char Char1 Char1"/>
    <w:basedOn w:val="1"/>
    <w:autoRedefine/>
    <w:qFormat/>
    <w:uiPriority w:val="6"/>
    <w:pPr>
      <w:adjustRightInd w:val="0"/>
    </w:pPr>
    <w:rPr>
      <w:rFonts w:ascii="Tahoma" w:hAnsi="Tahoma" w:eastAsia="宋体" w:cs="仿宋_GB2312"/>
      <w:sz w:val="24"/>
      <w:szCs w:val="20"/>
    </w:rPr>
  </w:style>
  <w:style w:type="paragraph" w:customStyle="1" w:styleId="684">
    <w:name w:val="xl25"/>
    <w:basedOn w:val="1"/>
    <w:autoRedefine/>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5">
    <w:name w:val="样式8"/>
    <w:basedOn w:val="1"/>
    <w:autoRedefine/>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6">
    <w:name w:val="GP正文(无首行缩进)"/>
    <w:basedOn w:val="1"/>
    <w:autoRedefine/>
    <w:qFormat/>
    <w:uiPriority w:val="0"/>
    <w:pPr>
      <w:spacing w:line="360" w:lineRule="auto"/>
      <w:ind w:firstLine="480" w:firstLineChars="200"/>
      <w:jc w:val="left"/>
    </w:pPr>
    <w:rPr>
      <w:rFonts w:ascii="Arial" w:hAnsi="宋体" w:eastAsia="宋体" w:cs="宋体"/>
      <w:sz w:val="24"/>
      <w:szCs w:val="20"/>
    </w:rPr>
  </w:style>
  <w:style w:type="paragraph" w:customStyle="1" w:styleId="687">
    <w:name w:val="Char Char1 Char Char Char1"/>
    <w:basedOn w:val="1"/>
    <w:autoRedefine/>
    <w:qFormat/>
    <w:uiPriority w:val="6"/>
    <w:pPr>
      <w:adjustRightInd w:val="0"/>
    </w:pPr>
    <w:rPr>
      <w:rFonts w:ascii="仿宋_GB2312" w:hAnsi="Times New Roman" w:eastAsia="仿宋_GB2312" w:cs="Times New Roman"/>
      <w:b/>
      <w:sz w:val="32"/>
      <w:szCs w:val="20"/>
    </w:rPr>
  </w:style>
  <w:style w:type="paragraph" w:customStyle="1" w:styleId="688">
    <w:name w:val="标准小四"/>
    <w:basedOn w:val="1"/>
    <w:autoRedefine/>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89">
    <w:name w:val="表文字"/>
    <w:autoRedefine/>
    <w:qFormat/>
    <w:uiPriority w:val="0"/>
    <w:rPr>
      <w:rFonts w:ascii="宋体" w:hAnsi="Times New Roman" w:eastAsia="宋体" w:cs="Times New Roman"/>
      <w:kern w:val="2"/>
      <w:lang w:val="en-US" w:eastAsia="zh-CN" w:bidi="ar-SA"/>
    </w:rPr>
  </w:style>
  <w:style w:type="paragraph" w:customStyle="1" w:styleId="69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91">
    <w:name w:val="批注框文本1"/>
    <w:basedOn w:val="1"/>
    <w:autoRedefine/>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2">
    <w:name w:val="a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3">
    <w:name w:val="Char Char11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694">
    <w:name w:val="样式 正1 + 首行缩进:  2 字符"/>
    <w:basedOn w:val="1"/>
    <w:autoRedefine/>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5">
    <w:name w:val="font5"/>
    <w:basedOn w:val="1"/>
    <w:autoRedefine/>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6">
    <w:name w:val="xl41"/>
    <w:basedOn w:val="1"/>
    <w:autoRedefine/>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7">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8">
    <w:name w:val="正文文本 2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99">
    <w:name w:val="legal"/>
    <w:basedOn w:val="1"/>
    <w:autoRedefine/>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0">
    <w:name w:val="MM Title"/>
    <w:basedOn w:val="60"/>
    <w:autoRedefine/>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1">
    <w:name w:val="Char Char1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702">
    <w:name w:val="Char23"/>
    <w:basedOn w:val="1"/>
    <w:autoRedefine/>
    <w:qFormat/>
    <w:uiPriority w:val="0"/>
    <w:pPr>
      <w:adjustRightInd w:val="0"/>
    </w:pPr>
    <w:rPr>
      <w:rFonts w:ascii="仿宋_GB2312" w:hAnsi="Times New Roman" w:eastAsia="仿宋_GB2312" w:cs="Times New Roman"/>
      <w:b/>
      <w:sz w:val="32"/>
      <w:szCs w:val="32"/>
    </w:rPr>
  </w:style>
  <w:style w:type="paragraph" w:customStyle="1" w:styleId="703">
    <w:name w:val="GP正文(首行缩进)"/>
    <w:basedOn w:val="1"/>
    <w:autoRedefine/>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4">
    <w:name w:val="样式 样式 正文文本缩进 + 仿宋_GB2312 小四 首行缩进:  0 厘米 行距: 1.5 倍行距 + (中文) 仿宋_GB... Char Char"/>
    <w:basedOn w:val="1"/>
    <w:autoRedefine/>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6">
    <w:name w:val="正文1"/>
    <w:basedOn w:val="33"/>
    <w:next w:val="1"/>
    <w:link w:val="707"/>
    <w:autoRedefine/>
    <w:qFormat/>
    <w:uiPriority w:val="0"/>
    <w:pPr>
      <w:ind w:left="0" w:leftChars="0" w:firstLine="480" w:firstLineChars="200"/>
    </w:pPr>
    <w:rPr>
      <w:rFonts w:ascii="仿宋_GB2312" w:hAnsi="Courier New" w:eastAsia="仿宋_GB2312"/>
      <w:kern w:val="28"/>
      <w:sz w:val="24"/>
    </w:rPr>
  </w:style>
  <w:style w:type="character" w:customStyle="1" w:styleId="707">
    <w:name w:val="正文1 Char Char"/>
    <w:link w:val="706"/>
    <w:autoRedefine/>
    <w:qFormat/>
    <w:locked/>
    <w:uiPriority w:val="0"/>
    <w:rPr>
      <w:rFonts w:ascii="仿宋_GB2312" w:hAnsi="Courier New" w:eastAsia="仿宋_GB2312" w:cs="Times New Roman"/>
      <w:kern w:val="28"/>
      <w:sz w:val="24"/>
      <w:szCs w:val="24"/>
    </w:rPr>
  </w:style>
  <w:style w:type="paragraph" w:customStyle="1" w:styleId="708">
    <w:name w:val="说明"/>
    <w:basedOn w:val="1"/>
    <w:autoRedefine/>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09">
    <w:name w:val="列出段落4"/>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710">
    <w:name w:val="Char5"/>
    <w:basedOn w:val="1"/>
    <w:autoRedefine/>
    <w:qFormat/>
    <w:uiPriority w:val="0"/>
    <w:pPr>
      <w:adjustRightInd w:val="0"/>
    </w:pPr>
    <w:rPr>
      <w:rFonts w:ascii="仿宋_GB2312" w:hAnsi="Times New Roman" w:eastAsia="仿宋_GB2312" w:cs="Times New Roman"/>
      <w:b/>
      <w:sz w:val="32"/>
      <w:szCs w:val="32"/>
    </w:rPr>
  </w:style>
  <w:style w:type="paragraph" w:customStyle="1" w:styleId="711">
    <w:name w:val="style82 f9a f9a f9a"/>
    <w:basedOn w:val="1"/>
    <w:autoRedefine/>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2">
    <w:name w:val="Char Char Char Char11"/>
    <w:basedOn w:val="1"/>
    <w:autoRedefine/>
    <w:qFormat/>
    <w:uiPriority w:val="0"/>
    <w:pPr>
      <w:adjustRightInd w:val="0"/>
    </w:pPr>
    <w:rPr>
      <w:rFonts w:ascii="Tahoma" w:hAnsi="Tahoma" w:eastAsia="宋体" w:cs="Times New Roman"/>
      <w:sz w:val="24"/>
      <w:szCs w:val="20"/>
    </w:rPr>
  </w:style>
  <w:style w:type="paragraph" w:customStyle="1" w:styleId="713">
    <w:name w:val="MM Topic 5"/>
    <w:basedOn w:val="6"/>
    <w:qFormat/>
    <w:uiPriority w:val="0"/>
    <w:pPr>
      <w:tabs>
        <w:tab w:val="left" w:pos="2520"/>
      </w:tabs>
      <w:adjustRightInd/>
      <w:ind w:left="2520" w:hanging="420"/>
    </w:pPr>
  </w:style>
  <w:style w:type="paragraph" w:customStyle="1" w:styleId="714">
    <w:name w:val="普通正文"/>
    <w:basedOn w:val="1"/>
    <w:link w:val="715"/>
    <w:autoRedefine/>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5">
    <w:name w:val="普通正文 Char Char"/>
    <w:link w:val="714"/>
    <w:autoRedefine/>
    <w:qFormat/>
    <w:locked/>
    <w:uiPriority w:val="0"/>
    <w:rPr>
      <w:rFonts w:ascii="Arial" w:hAnsi="Arial" w:eastAsia="宋体" w:cs="Times New Roman"/>
      <w:kern w:val="0"/>
      <w:sz w:val="24"/>
      <w:szCs w:val="24"/>
    </w:rPr>
  </w:style>
  <w:style w:type="paragraph" w:customStyle="1" w:styleId="716">
    <w:name w:val="表格"/>
    <w:basedOn w:val="1"/>
    <w:autoRedefine/>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7">
    <w:name w:val="Char Char1"/>
    <w:basedOn w:val="1"/>
    <w:autoRedefine/>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8">
    <w:name w:val="MM Topic 1"/>
    <w:basedOn w:val="3"/>
    <w:autoRedefine/>
    <w:qFormat/>
    <w:uiPriority w:val="0"/>
    <w:pPr>
      <w:tabs>
        <w:tab w:val="left" w:pos="840"/>
      </w:tabs>
      <w:adjustRightInd/>
      <w:ind w:left="840" w:hanging="420"/>
    </w:pPr>
  </w:style>
  <w:style w:type="paragraph" w:customStyle="1" w:styleId="719">
    <w:name w:val="Char1 Char Char Char5"/>
    <w:basedOn w:val="1"/>
    <w:autoRedefine/>
    <w:qFormat/>
    <w:uiPriority w:val="0"/>
    <w:pPr>
      <w:ind w:firstLine="200" w:firstLineChars="200"/>
    </w:pPr>
    <w:rPr>
      <w:rFonts w:ascii="Tahoma" w:hAnsi="Tahoma" w:eastAsia="宋体" w:cs="Times New Roman"/>
      <w:sz w:val="24"/>
      <w:szCs w:val="20"/>
    </w:rPr>
  </w:style>
  <w:style w:type="paragraph" w:customStyle="1" w:styleId="720">
    <w:name w:val="Char3 Char Char Char1"/>
    <w:basedOn w:val="1"/>
    <w:autoRedefine/>
    <w:qFormat/>
    <w:uiPriority w:val="6"/>
    <w:pPr>
      <w:widowControl/>
      <w:spacing w:after="160" w:line="240" w:lineRule="exact"/>
      <w:jc w:val="left"/>
    </w:pPr>
    <w:rPr>
      <w:rFonts w:ascii="Times New Roman" w:hAnsi="Times New Roman" w:eastAsia="宋体" w:cs="Times New Roman"/>
      <w:szCs w:val="20"/>
    </w:rPr>
  </w:style>
  <w:style w:type="paragraph" w:customStyle="1" w:styleId="721">
    <w:name w:val="_Style 12"/>
    <w:basedOn w:val="18"/>
    <w:autoRedefine/>
    <w:qFormat/>
    <w:uiPriority w:val="0"/>
    <w:pPr>
      <w:snapToGrid w:val="0"/>
      <w:spacing w:line="360" w:lineRule="auto"/>
    </w:pPr>
  </w:style>
  <w:style w:type="paragraph" w:customStyle="1" w:styleId="722">
    <w:name w:val="Char Char11 Char Char Char Char Char Char Char Char Char Char Char Char Char11"/>
    <w:basedOn w:val="1"/>
    <w:autoRedefine/>
    <w:qFormat/>
    <w:uiPriority w:val="6"/>
    <w:pPr>
      <w:spacing w:line="360" w:lineRule="auto"/>
    </w:pPr>
    <w:rPr>
      <w:rFonts w:ascii="Arial" w:hAnsi="Arial" w:eastAsia="黑体" w:cs="Arial"/>
      <w:snapToGrid w:val="0"/>
      <w:kern w:val="0"/>
      <w:szCs w:val="21"/>
    </w:rPr>
  </w:style>
  <w:style w:type="paragraph" w:customStyle="1" w:styleId="723">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724">
    <w:name w:val="样式 左侧:  0.85 厘米"/>
    <w:basedOn w:val="1"/>
    <w:autoRedefine/>
    <w:qFormat/>
    <w:uiPriority w:val="2"/>
    <w:pPr>
      <w:spacing w:line="360" w:lineRule="auto"/>
    </w:pPr>
    <w:rPr>
      <w:rFonts w:ascii="Times New Roman" w:hAnsi="Times New Roman" w:eastAsia="宋体" w:cs="宋体"/>
      <w:sz w:val="24"/>
      <w:szCs w:val="20"/>
    </w:rPr>
  </w:style>
  <w:style w:type="paragraph" w:customStyle="1" w:styleId="725">
    <w:name w:val="Bulleted List"/>
    <w:basedOn w:val="1"/>
    <w:autoRedefine/>
    <w:qFormat/>
    <w:uiPriority w:val="0"/>
    <w:pPr>
      <w:tabs>
        <w:tab w:val="left" w:pos="1260"/>
      </w:tabs>
      <w:ind w:left="1260" w:hanging="420"/>
    </w:pPr>
    <w:rPr>
      <w:rFonts w:ascii="Times New Roman" w:hAnsi="Times New Roman" w:eastAsia="宋体" w:cs="Times New Roman"/>
      <w:szCs w:val="24"/>
    </w:rPr>
  </w:style>
  <w:style w:type="paragraph" w:customStyle="1" w:styleId="726">
    <w:name w:val="Normal0"/>
    <w:autoRedefine/>
    <w:qFormat/>
    <w:uiPriority w:val="0"/>
    <w:rPr>
      <w:rFonts w:ascii="Times New Roman" w:hAnsi="Times New Roman" w:eastAsia="宋体" w:cs="Times New Roman"/>
      <w:lang w:val="en-US" w:eastAsia="en-US" w:bidi="ar-SA"/>
    </w:rPr>
  </w:style>
  <w:style w:type="paragraph" w:customStyle="1" w:styleId="72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样式"/>
    <w:basedOn w:val="1"/>
    <w:autoRedefine/>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2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0">
    <w:name w:val="style3"/>
    <w:basedOn w:val="1"/>
    <w:autoRedefine/>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1">
    <w:name w:val="MM Topic 4"/>
    <w:basedOn w:val="5"/>
    <w:autoRedefine/>
    <w:qFormat/>
    <w:uiPriority w:val="0"/>
    <w:pPr>
      <w:tabs>
        <w:tab w:val="left" w:pos="2100"/>
      </w:tabs>
      <w:adjustRightInd/>
      <w:ind w:left="2100" w:hanging="420"/>
    </w:pPr>
    <w:rPr>
      <w:lang w:val="en-US"/>
    </w:rPr>
  </w:style>
  <w:style w:type="paragraph" w:customStyle="1" w:styleId="732">
    <w:name w:val="列出段落*"/>
    <w:basedOn w:val="1"/>
    <w:autoRedefine/>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3">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5">
    <w:name w:val="正文 New New New New"/>
    <w:autoRedefine/>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36">
    <w:name w:val="Char Char Char1"/>
    <w:basedOn w:val="1"/>
    <w:autoRedefine/>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7">
    <w:name w:val="Char Char Char Char Char Char"/>
    <w:basedOn w:val="1"/>
    <w:autoRedefine/>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8">
    <w:name w:val="Char3"/>
    <w:basedOn w:val="1"/>
    <w:qFormat/>
    <w:uiPriority w:val="0"/>
    <w:pPr>
      <w:ind w:firstLine="200" w:firstLineChars="200"/>
    </w:pPr>
    <w:rPr>
      <w:rFonts w:ascii="Tahoma" w:hAnsi="Tahoma" w:eastAsia="宋体" w:cs="Times New Roman"/>
      <w:sz w:val="24"/>
      <w:szCs w:val="20"/>
    </w:rPr>
  </w:style>
  <w:style w:type="paragraph" w:customStyle="1" w:styleId="739">
    <w:name w:val="bt_content"/>
    <w:basedOn w:val="1"/>
    <w:autoRedefine/>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0">
    <w:name w:val="Char3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741">
    <w:name w:val="Default Text"/>
    <w:basedOn w:val="1"/>
    <w:autoRedefine/>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3">
    <w:name w:val="文章标题"/>
    <w:next w:val="51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44">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索引 11"/>
    <w:basedOn w:val="1"/>
    <w:next w:val="1"/>
    <w:autoRedefine/>
    <w:qFormat/>
    <w:uiPriority w:val="99"/>
    <w:pPr>
      <w:spacing w:line="360" w:lineRule="auto"/>
    </w:pPr>
    <w:rPr>
      <w:rFonts w:ascii="仿宋_GB2312" w:hAnsi="Times New Roman" w:eastAsia="仿宋_GB2312" w:cs="Times New Roman"/>
      <w:sz w:val="24"/>
      <w:szCs w:val="20"/>
    </w:rPr>
  </w:style>
  <w:style w:type="character" w:customStyle="1" w:styleId="746">
    <w:name w:val="页眉 Char2"/>
    <w:autoRedefine/>
    <w:qFormat/>
    <w:uiPriority w:val="0"/>
    <w:rPr>
      <w:kern w:val="2"/>
      <w:sz w:val="18"/>
      <w:szCs w:val="18"/>
    </w:rPr>
  </w:style>
  <w:style w:type="character" w:customStyle="1" w:styleId="747">
    <w:name w:val="页脚 Char2"/>
    <w:autoRedefine/>
    <w:qFormat/>
    <w:uiPriority w:val="0"/>
    <w:rPr>
      <w:kern w:val="2"/>
      <w:sz w:val="18"/>
      <w:szCs w:val="18"/>
    </w:rPr>
  </w:style>
  <w:style w:type="paragraph" w:customStyle="1" w:styleId="748">
    <w:name w:val="纯文本_0_0"/>
    <w:basedOn w:val="1"/>
    <w:link w:val="749"/>
    <w:autoRedefine/>
    <w:qFormat/>
    <w:uiPriority w:val="0"/>
    <w:rPr>
      <w:rFonts w:ascii="宋体" w:hAnsi="Courier New" w:eastAsia="宋体" w:cs="Times New Roman"/>
      <w:szCs w:val="21"/>
    </w:rPr>
  </w:style>
  <w:style w:type="character" w:customStyle="1" w:styleId="749">
    <w:name w:val="纯文本 Char_0"/>
    <w:link w:val="748"/>
    <w:autoRedefine/>
    <w:qFormat/>
    <w:uiPriority w:val="0"/>
    <w:rPr>
      <w:rFonts w:ascii="宋体" w:hAnsi="Courier New" w:eastAsia="宋体" w:cs="Times New Roman"/>
      <w:szCs w:val="21"/>
    </w:rPr>
  </w:style>
  <w:style w:type="paragraph" w:customStyle="1" w:styleId="750">
    <w:name w:val="样式9"/>
    <w:basedOn w:val="41"/>
    <w:link w:val="751"/>
    <w:autoRedefine/>
    <w:qFormat/>
    <w:uiPriority w:val="0"/>
    <w:pPr>
      <w:pBdr>
        <w:bottom w:val="none" w:color="auto" w:sz="0" w:space="0"/>
      </w:pBdr>
    </w:pPr>
  </w:style>
  <w:style w:type="character" w:customStyle="1" w:styleId="751">
    <w:name w:val="样式9 Char"/>
    <w:basedOn w:val="106"/>
    <w:link w:val="750"/>
    <w:autoRedefine/>
    <w:qFormat/>
    <w:uiPriority w:val="0"/>
    <w:rPr>
      <w:rFonts w:ascii="仿宋" w:hAnsi="仿宋" w:eastAsia="仿宋" w:cs="Times New Roman"/>
      <w:snapToGrid w:val="0"/>
      <w:sz w:val="18"/>
      <w:szCs w:val="18"/>
      <w:u w:val="single"/>
      <w:lang w:val="en-GB"/>
    </w:rPr>
  </w:style>
  <w:style w:type="paragraph" w:customStyle="1" w:styleId="752">
    <w:name w:val="样式10"/>
    <w:basedOn w:val="41"/>
    <w:link w:val="753"/>
    <w:autoRedefine/>
    <w:qFormat/>
    <w:uiPriority w:val="0"/>
    <w:pPr>
      <w:pBdr>
        <w:bottom w:val="none" w:color="auto" w:sz="0" w:space="0"/>
      </w:pBdr>
    </w:pPr>
  </w:style>
  <w:style w:type="character" w:customStyle="1" w:styleId="753">
    <w:name w:val="样式10 Char"/>
    <w:basedOn w:val="106"/>
    <w:link w:val="752"/>
    <w:autoRedefine/>
    <w:qFormat/>
    <w:uiPriority w:val="0"/>
    <w:rPr>
      <w:rFonts w:ascii="仿宋" w:hAnsi="仿宋" w:eastAsia="仿宋" w:cs="Times New Roman"/>
      <w:snapToGrid w:val="0"/>
      <w:sz w:val="18"/>
      <w:szCs w:val="18"/>
      <w:u w:val="single"/>
      <w:lang w:val="en-GB"/>
    </w:rPr>
  </w:style>
  <w:style w:type="paragraph" w:customStyle="1" w:styleId="754">
    <w:name w:val="样式11"/>
    <w:basedOn w:val="41"/>
    <w:link w:val="755"/>
    <w:autoRedefine/>
    <w:qFormat/>
    <w:uiPriority w:val="0"/>
    <w:pPr>
      <w:pBdr>
        <w:bottom w:val="none" w:color="auto" w:sz="0" w:space="0"/>
      </w:pBdr>
    </w:pPr>
  </w:style>
  <w:style w:type="character" w:customStyle="1" w:styleId="755">
    <w:name w:val="样式11 Char"/>
    <w:basedOn w:val="106"/>
    <w:link w:val="754"/>
    <w:autoRedefine/>
    <w:qFormat/>
    <w:uiPriority w:val="0"/>
    <w:rPr>
      <w:rFonts w:ascii="仿宋" w:hAnsi="仿宋" w:eastAsia="仿宋" w:cs="Times New Roman"/>
      <w:snapToGrid w:val="0"/>
      <w:sz w:val="18"/>
      <w:szCs w:val="18"/>
      <w:u w:val="single"/>
      <w:lang w:val="en-GB"/>
    </w:rPr>
  </w:style>
  <w:style w:type="paragraph" w:customStyle="1" w:styleId="756">
    <w:name w:val="列出段落6"/>
    <w:basedOn w:val="1"/>
    <w:autoRedefine/>
    <w:qFormat/>
    <w:uiPriority w:val="0"/>
    <w:pPr>
      <w:adjustRightInd w:val="0"/>
      <w:ind w:firstLine="420" w:firstLineChars="200"/>
    </w:pPr>
    <w:rPr>
      <w:rFonts w:ascii="Calibri" w:hAnsi="Calibri" w:eastAsia="宋体" w:cs="Times New Roman"/>
      <w:szCs w:val="24"/>
    </w:rPr>
  </w:style>
  <w:style w:type="paragraph" w:styleId="757">
    <w:name w:val="List Paragraph"/>
    <w:basedOn w:val="1"/>
    <w:autoRedefine/>
    <w:qFormat/>
    <w:uiPriority w:val="0"/>
    <w:pPr>
      <w:ind w:firstLine="420" w:firstLineChars="200"/>
    </w:pPr>
    <w:rPr>
      <w:rFonts w:ascii="Calibri" w:hAnsi="Calibri" w:eastAsia="宋体" w:cs="Times New Roman"/>
    </w:rPr>
  </w:style>
  <w:style w:type="paragraph" w:customStyle="1" w:styleId="758">
    <w:name w:val="[Normal]"/>
    <w:autoRedefine/>
    <w:qFormat/>
    <w:uiPriority w:val="0"/>
    <w:rPr>
      <w:rFonts w:ascii="宋体" w:hAnsi="宋体" w:eastAsia="宋体" w:cs="Times New Roman"/>
      <w:sz w:val="24"/>
      <w:szCs w:val="22"/>
      <w:lang w:val="zh-CN" w:eastAsia="zh-CN" w:bidi="ar-SA"/>
    </w:rPr>
  </w:style>
  <w:style w:type="paragraph" w:customStyle="1" w:styleId="759">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character" w:customStyle="1" w:styleId="760">
    <w:name w:val="font91"/>
    <w:basedOn w:val="66"/>
    <w:autoRedefine/>
    <w:qFormat/>
    <w:uiPriority w:val="0"/>
    <w:rPr>
      <w:rFonts w:hint="eastAsia" w:ascii="宋体" w:hAnsi="宋体" w:eastAsia="宋体" w:cs="宋体"/>
      <w:color w:val="000000"/>
      <w:sz w:val="18"/>
      <w:szCs w:val="18"/>
      <w:u w:val="none"/>
    </w:rPr>
  </w:style>
  <w:style w:type="paragraph" w:styleId="76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2">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3">
    <w:name w:val="xl63"/>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4">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6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1">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2">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3">
    <w:name w:val="xl7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7">
    <w:name w:val="xl77"/>
    <w:basedOn w:val="1"/>
    <w:autoRedefine/>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0">
    <w:name w:val="xl8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1"/>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3">
    <w:name w:val="xl83"/>
    <w:basedOn w:val="1"/>
    <w:autoRedefine/>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4">
    <w:name w:val="xl84"/>
    <w:basedOn w:val="1"/>
    <w:autoRedefine/>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5"/>
    <w:basedOn w:val="1"/>
    <w:autoRedefine/>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正文首行缩进 21"/>
    <w:basedOn w:val="1"/>
    <w:autoRedefine/>
    <w:qFormat/>
    <w:uiPriority w:val="0"/>
    <w:pPr>
      <w:spacing w:after="120"/>
      <w:ind w:left="420" w:leftChars="200" w:firstLine="420"/>
    </w:pPr>
    <w:rPr>
      <w:rFonts w:ascii="Times New Roman" w:hAnsi="Times New Roman" w:eastAsia="宋体" w:cs="宋体"/>
      <w:color w:val="000000"/>
      <w:szCs w:val="21"/>
    </w:rPr>
  </w:style>
  <w:style w:type="paragraph" w:customStyle="1" w:styleId="788">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89">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90">
    <w:name w:val="author-p-144115210953314684"/>
    <w:basedOn w:val="66"/>
    <w:autoRedefine/>
    <w:qFormat/>
    <w:uiPriority w:val="0"/>
  </w:style>
  <w:style w:type="character" w:customStyle="1" w:styleId="791">
    <w:name w:val="fontstyle01"/>
    <w:basedOn w:val="66"/>
    <w:autoRedefine/>
    <w:qFormat/>
    <w:uiPriority w:val="0"/>
    <w:rPr>
      <w:rFonts w:hint="eastAsia" w:ascii="黑体" w:hAnsi="黑体" w:eastAsia="黑体"/>
      <w:color w:val="000000"/>
      <w:sz w:val="52"/>
      <w:szCs w:val="52"/>
    </w:rPr>
  </w:style>
  <w:style w:type="paragraph" w:customStyle="1" w:styleId="792">
    <w:name w:val="text-tag"/>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3">
    <w:name w:val="正文文本缩进 Char3"/>
    <w:autoRedefine/>
    <w:qFormat/>
    <w:uiPriority w:val="0"/>
    <w:rPr>
      <w:rFonts w:ascii="宋体" w:hAnsi="宋体"/>
      <w:kern w:val="2"/>
      <w:sz w:val="24"/>
      <w:szCs w:val="24"/>
    </w:rPr>
  </w:style>
  <w:style w:type="character" w:customStyle="1" w:styleId="794">
    <w:name w:val="font51"/>
    <w:basedOn w:val="66"/>
    <w:autoRedefine/>
    <w:qFormat/>
    <w:uiPriority w:val="0"/>
    <w:rPr>
      <w:rFonts w:ascii="宋体" w:hAnsi="宋体" w:eastAsia="宋体" w:cs="宋体"/>
      <w:color w:val="000000"/>
      <w:sz w:val="14"/>
      <w:szCs w:val="14"/>
      <w:u w:val="none"/>
    </w:rPr>
  </w:style>
  <w:style w:type="character" w:customStyle="1" w:styleId="795">
    <w:name w:val="font112"/>
    <w:basedOn w:val="66"/>
    <w:autoRedefine/>
    <w:qFormat/>
    <w:uiPriority w:val="0"/>
    <w:rPr>
      <w:rFonts w:ascii="Calibri" w:hAnsi="Calibri" w:cs="Calibri"/>
      <w:color w:val="000000"/>
      <w:sz w:val="14"/>
      <w:szCs w:val="14"/>
      <w:u w:val="none"/>
    </w:rPr>
  </w:style>
  <w:style w:type="character" w:customStyle="1" w:styleId="796">
    <w:name w:val="bookmark-item"/>
    <w:basedOn w:val="66"/>
    <w:autoRedefine/>
    <w:qFormat/>
    <w:uiPriority w:val="0"/>
  </w:style>
  <w:style w:type="character" w:customStyle="1" w:styleId="797">
    <w:name w:val="表格名称[858D7CFB-ED40-4347-BF05-701D383B685F]1"/>
    <w:autoRedefine/>
    <w:qFormat/>
    <w:uiPriority w:val="0"/>
    <w:rPr>
      <w:sz w:val="32"/>
    </w:rPr>
  </w:style>
  <w:style w:type="character" w:customStyle="1" w:styleId="798">
    <w:name w:val="正文文本缩进 Char2"/>
    <w:autoRedefine/>
    <w:qFormat/>
    <w:uiPriority w:val="0"/>
    <w:rPr>
      <w:rFonts w:ascii="Times New Roman" w:hAnsi="Times New Roman"/>
      <w:szCs w:val="24"/>
    </w:rPr>
  </w:style>
  <w:style w:type="paragraph" w:customStyle="1" w:styleId="799">
    <w:name w:val="_Style 789"/>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0">
    <w:name w:val="Heading 7 Char"/>
    <w:autoRedefine/>
    <w:qFormat/>
    <w:locked/>
    <w:uiPriority w:val="0"/>
    <w:rPr>
      <w:rFonts w:ascii="宋体" w:hAnsi="宋体" w:eastAsia="宋体"/>
      <w:b/>
      <w:bCs/>
      <w:kern w:val="2"/>
      <w:sz w:val="24"/>
      <w:szCs w:val="24"/>
      <w:lang w:val="en-US" w:eastAsia="zh-CN" w:bidi="ar-SA"/>
    </w:rPr>
  </w:style>
  <w:style w:type="character" w:customStyle="1" w:styleId="801">
    <w:name w:val="Header Char"/>
    <w:autoRedefine/>
    <w:qFormat/>
    <w:locked/>
    <w:uiPriority w:val="0"/>
    <w:rPr>
      <w:rFonts w:eastAsia="宋体"/>
      <w:kern w:val="2"/>
      <w:sz w:val="18"/>
      <w:szCs w:val="18"/>
      <w:lang w:val="en-US" w:eastAsia="zh-CN" w:bidi="ar-SA"/>
    </w:rPr>
  </w:style>
  <w:style w:type="character" w:customStyle="1" w:styleId="802">
    <w:name w:val="Char Char811"/>
    <w:autoRedefine/>
    <w:qFormat/>
    <w:uiPriority w:val="0"/>
    <w:rPr>
      <w:rFonts w:eastAsia="宋体"/>
      <w:b/>
      <w:sz w:val="24"/>
      <w:lang w:val="en-GB" w:eastAsia="zh-CN"/>
    </w:rPr>
  </w:style>
  <w:style w:type="character" w:customStyle="1" w:styleId="803">
    <w:name w:val="Char Char511"/>
    <w:autoRedefine/>
    <w:qFormat/>
    <w:uiPriority w:val="0"/>
    <w:rPr>
      <w:rFonts w:ascii="宋体" w:hAnsi="Courier New" w:eastAsia="宋体"/>
      <w:kern w:val="2"/>
      <w:sz w:val="21"/>
      <w:lang w:val="en-US" w:eastAsia="zh-CN"/>
    </w:rPr>
  </w:style>
  <w:style w:type="character" w:customStyle="1" w:styleId="804">
    <w:name w:val="Char Char212"/>
    <w:autoRedefine/>
    <w:qFormat/>
    <w:uiPriority w:val="0"/>
    <w:rPr>
      <w:rFonts w:eastAsia="宋体"/>
      <w:b/>
      <w:bCs/>
      <w:kern w:val="2"/>
      <w:sz w:val="21"/>
      <w:szCs w:val="24"/>
      <w:lang w:val="en-US" w:eastAsia="zh-CN" w:bidi="ar-SA"/>
    </w:rPr>
  </w:style>
  <w:style w:type="character" w:customStyle="1" w:styleId="805">
    <w:name w:val="Char Char611"/>
    <w:autoRedefine/>
    <w:qFormat/>
    <w:uiPriority w:val="0"/>
    <w:rPr>
      <w:rFonts w:eastAsia="宋体"/>
      <w:kern w:val="2"/>
      <w:sz w:val="21"/>
      <w:szCs w:val="24"/>
      <w:lang w:val="en-US" w:eastAsia="zh-CN" w:bidi="ar-SA"/>
    </w:rPr>
  </w:style>
  <w:style w:type="character" w:customStyle="1" w:styleId="806">
    <w:name w:val="正文非缩进 Char3"/>
    <w:qFormat/>
    <w:uiPriority w:val="0"/>
    <w:rPr>
      <w:rFonts w:ascii="宋体" w:eastAsia="宋体"/>
      <w:snapToGrid w:val="0"/>
      <w:color w:val="000000"/>
      <w:kern w:val="28"/>
      <w:sz w:val="28"/>
      <w:lang w:val="en-US" w:eastAsia="zh-CN" w:bidi="ar-SA"/>
    </w:rPr>
  </w:style>
  <w:style w:type="character" w:customStyle="1" w:styleId="807">
    <w:name w:val="Char Char3111"/>
    <w:qFormat/>
    <w:uiPriority w:val="0"/>
    <w:rPr>
      <w:rFonts w:ascii="Times New Roman" w:hAnsi="Times New Roman" w:eastAsia="宋体" w:cs="Times New Roman"/>
      <w:b/>
      <w:kern w:val="2"/>
      <w:sz w:val="32"/>
      <w:szCs w:val="24"/>
      <w:lang w:val="en-US" w:eastAsia="zh-CN" w:bidi="ar-SA"/>
    </w:rPr>
  </w:style>
  <w:style w:type="character" w:customStyle="1" w:styleId="808">
    <w:name w:val="表正文 Char1"/>
    <w:qFormat/>
    <w:uiPriority w:val="0"/>
    <w:rPr>
      <w:rFonts w:ascii="宋体" w:eastAsia="宋体"/>
      <w:snapToGrid w:val="0"/>
      <w:color w:val="000000"/>
      <w:kern w:val="28"/>
      <w:sz w:val="28"/>
    </w:rPr>
  </w:style>
  <w:style w:type="character" w:customStyle="1" w:styleId="809">
    <w:name w:val="Footer Char"/>
    <w:qFormat/>
    <w:locked/>
    <w:uiPriority w:val="0"/>
    <w:rPr>
      <w:rFonts w:eastAsia="宋体"/>
      <w:kern w:val="2"/>
      <w:sz w:val="18"/>
      <w:lang w:val="en-US" w:eastAsia="zh-CN" w:bidi="ar-SA"/>
    </w:rPr>
  </w:style>
  <w:style w:type="character" w:customStyle="1" w:styleId="810">
    <w:name w:val="Char Char411"/>
    <w:qFormat/>
    <w:uiPriority w:val="0"/>
    <w:rPr>
      <w:rFonts w:eastAsia="宋体"/>
      <w:b/>
      <w:sz w:val="24"/>
      <w:lang w:val="en-GB" w:eastAsia="zh-CN" w:bidi="ar-SA"/>
    </w:rPr>
  </w:style>
  <w:style w:type="character" w:customStyle="1" w:styleId="811">
    <w:name w:val="Char Char911"/>
    <w:qFormat/>
    <w:uiPriority w:val="0"/>
    <w:rPr>
      <w:rFonts w:eastAsia="宋体"/>
      <w:kern w:val="2"/>
      <w:sz w:val="18"/>
      <w:szCs w:val="18"/>
      <w:lang w:val="en-US" w:eastAsia="zh-CN" w:bidi="ar-SA"/>
    </w:rPr>
  </w:style>
  <w:style w:type="character" w:customStyle="1" w:styleId="812">
    <w:name w:val="Char Char1211"/>
    <w:qFormat/>
    <w:uiPriority w:val="0"/>
    <w:rPr>
      <w:rFonts w:ascii="仿宋_GB2312" w:eastAsia="仿宋_GB2312"/>
      <w:b/>
      <w:bCs/>
      <w:kern w:val="2"/>
      <w:sz w:val="24"/>
      <w:szCs w:val="24"/>
      <w:lang w:val="zh-CN" w:eastAsia="zh-CN" w:bidi="ar-SA"/>
    </w:rPr>
  </w:style>
  <w:style w:type="character" w:customStyle="1" w:styleId="813">
    <w:name w:val="副标题 Char2"/>
    <w:qFormat/>
    <w:uiPriority w:val="0"/>
    <w:rPr>
      <w:rFonts w:ascii="Cambria" w:hAnsi="Cambria" w:eastAsia="宋体" w:cs="Times New Roman"/>
      <w:b/>
      <w:bCs/>
      <w:kern w:val="28"/>
      <w:sz w:val="32"/>
      <w:szCs w:val="32"/>
    </w:rPr>
  </w:style>
  <w:style w:type="paragraph" w:customStyle="1" w:styleId="814">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15">
    <w:name w:val="Char311"/>
    <w:basedOn w:val="1"/>
    <w:qFormat/>
    <w:uiPriority w:val="0"/>
    <w:pPr>
      <w:ind w:firstLine="200" w:firstLineChars="200"/>
    </w:pPr>
    <w:rPr>
      <w:rFonts w:ascii="Tahoma" w:hAnsi="Tahoma" w:eastAsia="宋体" w:cs="Times New Roman"/>
      <w:sz w:val="24"/>
      <w:szCs w:val="20"/>
    </w:rPr>
  </w:style>
  <w:style w:type="paragraph" w:customStyle="1" w:styleId="816">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17">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818">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819">
    <w:name w:val="Char1111"/>
    <w:basedOn w:val="1"/>
    <w:qFormat/>
    <w:uiPriority w:val="0"/>
    <w:pPr>
      <w:adjustRightInd w:val="0"/>
    </w:pPr>
    <w:rPr>
      <w:rFonts w:ascii="仿宋_GB2312" w:hAnsi="Times New Roman" w:eastAsia="仿宋_GB2312" w:cs="Times New Roman"/>
      <w:b/>
      <w:sz w:val="32"/>
      <w:szCs w:val="32"/>
    </w:rPr>
  </w:style>
  <w:style w:type="paragraph" w:customStyle="1" w:styleId="820">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1">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822">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23">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824">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825">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2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27">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829">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0">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31">
    <w:name w:val="Char2 Char Char11"/>
    <w:basedOn w:val="1"/>
    <w:qFormat/>
    <w:uiPriority w:val="0"/>
    <w:rPr>
      <w:rFonts w:ascii="Tahoma" w:hAnsi="Tahoma" w:eastAsia="宋体" w:cs="Times New Roman"/>
      <w:sz w:val="24"/>
      <w:szCs w:val="20"/>
    </w:rPr>
  </w:style>
  <w:style w:type="paragraph" w:customStyle="1" w:styleId="832">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833">
    <w:name w:val="Char Char Char1 Char11"/>
    <w:basedOn w:val="1"/>
    <w:qFormat/>
    <w:uiPriority w:val="0"/>
    <w:pPr>
      <w:adjustRightInd w:val="0"/>
    </w:pPr>
    <w:rPr>
      <w:rFonts w:ascii="Times New Roman" w:hAnsi="Times New Roman" w:eastAsia="宋体" w:cs="Times New Roman"/>
      <w:szCs w:val="20"/>
    </w:rPr>
  </w:style>
  <w:style w:type="paragraph" w:customStyle="1" w:styleId="834">
    <w:name w:val="TOC 标题2"/>
    <w:basedOn w:val="3"/>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5">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36">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837">
    <w:name w:val="Char231"/>
    <w:basedOn w:val="1"/>
    <w:qFormat/>
    <w:uiPriority w:val="0"/>
    <w:pPr>
      <w:adjustRightInd w:val="0"/>
    </w:pPr>
    <w:rPr>
      <w:rFonts w:ascii="仿宋_GB2312" w:hAnsi="Times New Roman" w:eastAsia="仿宋_GB2312" w:cs="Times New Roman"/>
      <w:b/>
      <w:sz w:val="32"/>
      <w:szCs w:val="32"/>
    </w:rPr>
  </w:style>
  <w:style w:type="paragraph" w:customStyle="1" w:styleId="838">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839">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840">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1">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842">
    <w:name w:val="Char41"/>
    <w:basedOn w:val="1"/>
    <w:qFormat/>
    <w:uiPriority w:val="0"/>
    <w:pPr>
      <w:adjustRightInd w:val="0"/>
    </w:pPr>
    <w:rPr>
      <w:rFonts w:ascii="仿宋_GB2312" w:hAnsi="Times New Roman" w:eastAsia="仿宋_GB2312" w:cs="Times New Roman"/>
      <w:b/>
      <w:sz w:val="32"/>
      <w:szCs w:val="32"/>
    </w:rPr>
  </w:style>
  <w:style w:type="paragraph" w:customStyle="1" w:styleId="843">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44">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45">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84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har Char Char Char2"/>
    <w:basedOn w:val="1"/>
    <w:qFormat/>
    <w:uiPriority w:val="0"/>
    <w:pPr>
      <w:adjustRightInd w:val="0"/>
    </w:pPr>
    <w:rPr>
      <w:rFonts w:ascii="Tahoma" w:hAnsi="Tahoma" w:eastAsia="宋体" w:cs="Times New Roman"/>
      <w:sz w:val="24"/>
      <w:szCs w:val="20"/>
    </w:rPr>
  </w:style>
  <w:style w:type="paragraph" w:customStyle="1" w:styleId="849">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50">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3">
    <w:name w:val="Char Char141"/>
    <w:qFormat/>
    <w:uiPriority w:val="0"/>
    <w:rPr>
      <w:rFonts w:ascii="黑体" w:hAnsi="黑体" w:eastAsia="黑体"/>
    </w:rPr>
  </w:style>
  <w:style w:type="character" w:customStyle="1" w:styleId="854">
    <w:name w:val="Heading 1 Char"/>
    <w:qFormat/>
    <w:uiPriority w:val="6"/>
    <w:rPr>
      <w:rFonts w:ascii="Times New Roman" w:hAnsi="Times New Roman" w:eastAsia="黑体" w:cs="Times New Roman"/>
      <w:b/>
      <w:kern w:val="0"/>
      <w:sz w:val="24"/>
      <w:szCs w:val="24"/>
    </w:rPr>
  </w:style>
  <w:style w:type="character" w:customStyle="1" w:styleId="855">
    <w:name w:val="表格名称[858D7CFB-ED40-4347-BF05-701D383B685F]"/>
    <w:qFormat/>
    <w:uiPriority w:val="0"/>
    <w:rPr>
      <w:sz w:val="32"/>
    </w:rPr>
  </w:style>
  <w:style w:type="character" w:customStyle="1" w:styleId="856">
    <w:name w:val="Char Char131"/>
    <w:qFormat/>
    <w:uiPriority w:val="0"/>
    <w:rPr>
      <w:rFonts w:ascii="宋体" w:hAnsi="宋体"/>
      <w:kern w:val="1"/>
      <w:sz w:val="21"/>
      <w:szCs w:val="24"/>
    </w:rPr>
  </w:style>
  <w:style w:type="character" w:customStyle="1" w:styleId="857">
    <w:name w:val="Char Char711"/>
    <w:qFormat/>
    <w:uiPriority w:val="0"/>
    <w:rPr>
      <w:rFonts w:eastAsia="宋体"/>
      <w:kern w:val="2"/>
      <w:sz w:val="21"/>
      <w:szCs w:val="24"/>
      <w:lang w:val="en-US" w:eastAsia="zh-CN" w:bidi="ar-SA"/>
    </w:rPr>
  </w:style>
  <w:style w:type="character" w:customStyle="1" w:styleId="858">
    <w:name w:val="Char Char281"/>
    <w:qFormat/>
    <w:uiPriority w:val="6"/>
    <w:rPr>
      <w:rFonts w:ascii="仿宋_GB2312" w:hAnsi="仿宋_GB2312" w:eastAsia="仿宋_GB2312"/>
      <w:kern w:val="1"/>
      <w:sz w:val="28"/>
    </w:rPr>
  </w:style>
  <w:style w:type="paragraph" w:customStyle="1" w:styleId="85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2">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870">
    <w:name w:val="正文样式 Char"/>
    <w:link w:val="871"/>
    <w:qFormat/>
    <w:uiPriority w:val="0"/>
    <w:rPr>
      <w:sz w:val="24"/>
      <w:szCs w:val="24"/>
    </w:rPr>
  </w:style>
  <w:style w:type="paragraph" w:customStyle="1" w:styleId="871">
    <w:name w:val="正文样式"/>
    <w:basedOn w:val="1"/>
    <w:link w:val="870"/>
    <w:qFormat/>
    <w:uiPriority w:val="0"/>
    <w:pPr>
      <w:spacing w:line="360" w:lineRule="auto"/>
      <w:ind w:firstLine="480" w:firstLineChars="200"/>
    </w:pPr>
    <w:rPr>
      <w:sz w:val="24"/>
      <w:szCs w:val="24"/>
    </w:rPr>
  </w:style>
  <w:style w:type="character" w:customStyle="1" w:styleId="872">
    <w:name w:val="表正文 Char3"/>
    <w:qFormat/>
    <w:uiPriority w:val="0"/>
    <w:rPr>
      <w:rFonts w:eastAsia="宋体"/>
    </w:rPr>
  </w:style>
  <w:style w:type="character" w:customStyle="1" w:styleId="873">
    <w:name w:val="h Char1"/>
    <w:qFormat/>
    <w:uiPriority w:val="0"/>
    <w:rPr>
      <w:sz w:val="18"/>
      <w:szCs w:val="18"/>
    </w:rPr>
  </w:style>
  <w:style w:type="character" w:customStyle="1" w:styleId="874">
    <w:name w:val="Char Char161"/>
    <w:qFormat/>
    <w:uiPriority w:val="0"/>
    <w:rPr>
      <w:rFonts w:eastAsia="宋体"/>
      <w:b/>
      <w:kern w:val="2"/>
      <w:sz w:val="32"/>
      <w:lang w:val="en-US" w:eastAsia="zh-CN"/>
    </w:rPr>
  </w:style>
  <w:style w:type="character" w:customStyle="1" w:styleId="875">
    <w:name w:val="段落 Char Char"/>
    <w:link w:val="876"/>
    <w:qFormat/>
    <w:uiPriority w:val="0"/>
    <w:rPr>
      <w:rFonts w:ascii="宋体" w:hAnsi="宋体"/>
      <w:sz w:val="24"/>
    </w:rPr>
  </w:style>
  <w:style w:type="paragraph" w:customStyle="1" w:styleId="876">
    <w:name w:val="段落"/>
    <w:basedOn w:val="1"/>
    <w:link w:val="875"/>
    <w:qFormat/>
    <w:uiPriority w:val="0"/>
    <w:pPr>
      <w:spacing w:line="360" w:lineRule="auto"/>
      <w:ind w:firstLine="480" w:firstLineChars="200"/>
    </w:pPr>
    <w:rPr>
      <w:rFonts w:ascii="宋体" w:hAnsi="宋体"/>
      <w:sz w:val="24"/>
    </w:rPr>
  </w:style>
  <w:style w:type="character" w:customStyle="1" w:styleId="877">
    <w:name w:val="maywed421"/>
    <w:qFormat/>
    <w:uiPriority w:val="0"/>
    <w:rPr>
      <w:color w:val="366FB6"/>
      <w:u w:val="none"/>
    </w:rPr>
  </w:style>
  <w:style w:type="character" w:customStyle="1" w:styleId="878">
    <w:name w:val="哈哈正文 Char Char"/>
    <w:qFormat/>
    <w:uiPriority w:val="0"/>
    <w:rPr>
      <w:rFonts w:ascii="宋体" w:hAnsi="宋体" w:eastAsia="宋体" w:cs="宋体"/>
      <w:kern w:val="2"/>
      <w:sz w:val="24"/>
      <w:lang w:val="en-US" w:eastAsia="zh-CN" w:bidi="ar-SA"/>
    </w:rPr>
  </w:style>
  <w:style w:type="character" w:customStyle="1" w:styleId="879">
    <w:name w:val="5正文 Char"/>
    <w:link w:val="880"/>
    <w:qFormat/>
    <w:uiPriority w:val="0"/>
    <w:rPr>
      <w:rFonts w:ascii="仿宋_GB2312" w:hAnsi="微软雅黑" w:eastAsia="仿宋_GB2312"/>
      <w:sz w:val="28"/>
      <w:szCs w:val="21"/>
    </w:rPr>
  </w:style>
  <w:style w:type="paragraph" w:customStyle="1" w:styleId="880">
    <w:name w:val="5正文"/>
    <w:basedOn w:val="1"/>
    <w:link w:val="879"/>
    <w:qFormat/>
    <w:uiPriority w:val="0"/>
    <w:pPr>
      <w:spacing w:line="360" w:lineRule="auto"/>
      <w:ind w:firstLine="566" w:firstLineChars="202"/>
      <w:jc w:val="left"/>
    </w:pPr>
    <w:rPr>
      <w:rFonts w:ascii="仿宋_GB2312" w:hAnsi="微软雅黑" w:eastAsia="仿宋_GB2312"/>
      <w:sz w:val="28"/>
      <w:szCs w:val="21"/>
    </w:rPr>
  </w:style>
  <w:style w:type="character" w:customStyle="1" w:styleId="881">
    <w:name w:val="正文缩进 字符"/>
    <w:qFormat/>
    <w:uiPriority w:val="0"/>
    <w:rPr>
      <w:rFonts w:ascii="宋体" w:eastAsia="宋体"/>
      <w:snapToGrid w:val="0"/>
      <w:color w:val="000000"/>
      <w:kern w:val="28"/>
      <w:sz w:val="28"/>
      <w:lang w:val="en-US" w:eastAsia="zh-CN" w:bidi="ar-SA"/>
    </w:rPr>
  </w:style>
  <w:style w:type="character" w:customStyle="1" w:styleId="882">
    <w:name w:val="U_正文 Char"/>
    <w:link w:val="883"/>
    <w:qFormat/>
    <w:uiPriority w:val="0"/>
    <w:rPr>
      <w:sz w:val="24"/>
      <w:szCs w:val="24"/>
    </w:rPr>
  </w:style>
  <w:style w:type="paragraph" w:customStyle="1" w:styleId="883">
    <w:name w:val="U_正文"/>
    <w:basedOn w:val="1"/>
    <w:link w:val="882"/>
    <w:qFormat/>
    <w:uiPriority w:val="0"/>
    <w:pPr>
      <w:spacing w:beforeLines="20" w:afterLines="20" w:line="300" w:lineRule="auto"/>
      <w:ind w:firstLine="200" w:firstLineChars="200"/>
    </w:pPr>
    <w:rPr>
      <w:sz w:val="24"/>
      <w:szCs w:val="24"/>
    </w:rPr>
  </w:style>
  <w:style w:type="paragraph" w:customStyle="1" w:styleId="884">
    <w:name w:val="标题2"/>
    <w:basedOn w:val="2"/>
    <w:next w:val="1"/>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5">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8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87">
    <w:name w:val="批注框文本 Char Char"/>
    <w:basedOn w:val="1"/>
    <w:qFormat/>
    <w:uiPriority w:val="0"/>
    <w:rPr>
      <w:rFonts w:ascii="Times New Roman" w:hAnsi="Times New Roman" w:eastAsia="宋体" w:cs="Times New Roman"/>
      <w:sz w:val="18"/>
      <w:szCs w:val="20"/>
    </w:rPr>
  </w:style>
  <w:style w:type="paragraph" w:customStyle="1" w:styleId="88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8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90">
    <w:name w:val="标题3"/>
    <w:basedOn w:val="4"/>
    <w:next w:val="53"/>
    <w:qFormat/>
    <w:uiPriority w:val="0"/>
    <w:pPr>
      <w:tabs>
        <w:tab w:val="clear" w:pos="900"/>
      </w:tabs>
      <w:spacing w:after="0" w:line="360" w:lineRule="auto"/>
    </w:pPr>
    <w:rPr>
      <w:rFonts w:ascii="仿宋" w:hAnsi="仿宋" w:eastAsia="仿宋" w:cs="仿宋"/>
      <w:kern w:val="0"/>
    </w:rPr>
  </w:style>
  <w:style w:type="paragraph" w:customStyle="1" w:styleId="891">
    <w:name w:val="_正文段落"/>
    <w:basedOn w:val="1"/>
    <w:qFormat/>
    <w:uiPriority w:val="0"/>
    <w:pPr>
      <w:ind w:firstLine="560"/>
    </w:pPr>
    <w:rPr>
      <w:rFonts w:ascii="仿宋_GB2312" w:hAnsi="仿宋" w:eastAsia="仿宋_GB2312" w:cs="Times New Roman"/>
      <w:kern w:val="0"/>
      <w:sz w:val="28"/>
      <w:szCs w:val="28"/>
    </w:rPr>
  </w:style>
  <w:style w:type="paragraph" w:customStyle="1" w:styleId="89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9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94">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95">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9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897">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8">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99">
    <w:name w:val="U_编号2"/>
    <w:basedOn w:val="1"/>
    <w:autoRedefine/>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0">
    <w:name w:val="列表1"/>
    <w:basedOn w:val="1"/>
    <w:next w:val="757"/>
    <w:link w:val="901"/>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1">
    <w:name w:val="列出段落 Char1"/>
    <w:link w:val="900"/>
    <w:qFormat/>
    <w:uiPriority w:val="0"/>
    <w:rPr>
      <w:rFonts w:ascii="Calibri" w:hAnsi="Calibri" w:eastAsia="宋体" w:cs="Times New Roman"/>
      <w:kern w:val="0"/>
      <w:sz w:val="24"/>
      <w:szCs w:val="20"/>
      <w:lang w:val="zh-CN" w:eastAsia="en-US"/>
    </w:rPr>
  </w:style>
  <w:style w:type="character" w:customStyle="1" w:styleId="902">
    <w:name w:val="正文首行缩进 Char Char Char Char Char Char1"/>
    <w:qFormat/>
    <w:uiPriority w:val="0"/>
    <w:rPr>
      <w:rFonts w:ascii="宋体" w:eastAsia="宋体"/>
      <w:kern w:val="2"/>
      <w:sz w:val="24"/>
      <w:szCs w:val="24"/>
      <w:lang w:val="zh-CN" w:bidi="ar-SA"/>
    </w:rPr>
  </w:style>
  <w:style w:type="character" w:customStyle="1" w:styleId="903">
    <w:name w:val="正文首行缩进 Char Char Char Char Char"/>
    <w:qFormat/>
    <w:uiPriority w:val="0"/>
    <w:rPr>
      <w:rFonts w:ascii="宋体"/>
      <w:kern w:val="2"/>
      <w:sz w:val="24"/>
      <w:lang w:val="zh-CN"/>
    </w:rPr>
  </w:style>
  <w:style w:type="character" w:customStyle="1" w:styleId="904">
    <w:name w:val="Used by Word for text of Help footnotes Char Char1"/>
    <w:qFormat/>
    <w:uiPriority w:val="0"/>
    <w:rPr>
      <w:color w:val="0000FF"/>
      <w:sz w:val="21"/>
    </w:rPr>
  </w:style>
  <w:style w:type="character" w:customStyle="1" w:styleId="905">
    <w:name w:val="H5 Char"/>
    <w:qFormat/>
    <w:uiPriority w:val="0"/>
    <w:rPr>
      <w:b/>
      <w:bCs/>
      <w:kern w:val="2"/>
      <w:sz w:val="28"/>
      <w:szCs w:val="28"/>
    </w:rPr>
  </w:style>
  <w:style w:type="character" w:customStyle="1" w:styleId="906">
    <w:name w:val="表名 Char"/>
    <w:qFormat/>
    <w:uiPriority w:val="0"/>
    <w:rPr>
      <w:rFonts w:eastAsia="宋体"/>
      <w:b/>
      <w:bCs/>
      <w:kern w:val="2"/>
      <w:sz w:val="24"/>
      <w:szCs w:val="24"/>
      <w:lang w:val="en-US" w:eastAsia="zh-CN" w:bidi="ar-SA"/>
    </w:rPr>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PI Char1"/>
    <w:qFormat/>
    <w:uiPriority w:val="0"/>
    <w:rPr>
      <w:rFonts w:ascii="宋体" w:hAnsi="宋体"/>
      <w:kern w:val="2"/>
      <w:sz w:val="24"/>
      <w:szCs w:val="24"/>
    </w:rPr>
  </w:style>
  <w:style w:type="character" w:customStyle="1" w:styleId="909">
    <w:name w:val="H6 Char"/>
    <w:qFormat/>
    <w:uiPriority w:val="0"/>
    <w:rPr>
      <w:rFonts w:ascii="Arial" w:hAnsi="Arial" w:eastAsia="黑体"/>
      <w:b/>
      <w:bCs/>
      <w:kern w:val="2"/>
      <w:sz w:val="24"/>
      <w:szCs w:val="24"/>
    </w:rPr>
  </w:style>
  <w:style w:type="character" w:customStyle="1" w:styleId="910">
    <w:name w:val="标书1 Char1"/>
    <w:qFormat/>
    <w:uiPriority w:val="0"/>
    <w:rPr>
      <w:rFonts w:eastAsia="宋体"/>
      <w:b/>
      <w:bCs/>
      <w:kern w:val="44"/>
      <w:sz w:val="44"/>
      <w:szCs w:val="44"/>
      <w:lang w:val="en-US" w:eastAsia="zh-CN" w:bidi="ar-SA"/>
    </w:rPr>
  </w:style>
  <w:style w:type="character" w:customStyle="1" w:styleId="911">
    <w:name w:val="h4 Char"/>
    <w:qFormat/>
    <w:uiPriority w:val="0"/>
    <w:rPr>
      <w:rFonts w:ascii="Arial" w:hAnsi="Arial" w:eastAsia="黑体"/>
      <w:b/>
      <w:bCs/>
      <w:kern w:val="2"/>
      <w:sz w:val="28"/>
      <w:szCs w:val="28"/>
      <w:lang w:val="zh-CN" w:eastAsia="zh-CN" w:bidi="ar-SA"/>
    </w:rPr>
  </w:style>
  <w:style w:type="character" w:customStyle="1" w:styleId="91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正文文字缩进 2 Char Char"/>
    <w:qFormat/>
    <w:uiPriority w:val="0"/>
    <w:rPr>
      <w:rFonts w:ascii="宋体"/>
      <w:sz w:val="28"/>
    </w:rPr>
  </w:style>
  <w:style w:type="paragraph" w:customStyle="1" w:styleId="9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6">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917">
    <w:name w:val="五级无标题条"/>
    <w:basedOn w:val="1"/>
    <w:qFormat/>
    <w:uiPriority w:val="0"/>
    <w:rPr>
      <w:rFonts w:ascii="Times New Roman" w:hAnsi="Times New Roman" w:eastAsia="宋体" w:cs="Times New Roman"/>
      <w:szCs w:val="24"/>
    </w:rPr>
  </w:style>
  <w:style w:type="paragraph" w:customStyle="1" w:styleId="9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1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0">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1">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922">
    <w:name w:val="表格非标题文字"/>
    <w:link w:val="923"/>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923">
    <w:name w:val="表格非标题文字 Char"/>
    <w:link w:val="922"/>
    <w:qFormat/>
    <w:uiPriority w:val="0"/>
    <w:rPr>
      <w:rFonts w:ascii="Futura Bk" w:hAnsi="Futura Bk" w:eastAsia="宋体" w:cs="Times New Roman"/>
      <w:kern w:val="0"/>
      <w:sz w:val="18"/>
      <w:szCs w:val="21"/>
    </w:rPr>
  </w:style>
  <w:style w:type="character" w:customStyle="1" w:styleId="924">
    <w:name w:val="页眉 字符"/>
    <w:qFormat/>
    <w:uiPriority w:val="99"/>
    <w:rPr>
      <w:kern w:val="2"/>
      <w:sz w:val="18"/>
      <w:szCs w:val="18"/>
    </w:rPr>
  </w:style>
  <w:style w:type="character" w:customStyle="1" w:styleId="925">
    <w:name w:val="页脚 字符"/>
    <w:qFormat/>
    <w:uiPriority w:val="99"/>
    <w:rPr>
      <w:kern w:val="2"/>
      <w:sz w:val="18"/>
      <w:szCs w:val="18"/>
    </w:rPr>
  </w:style>
  <w:style w:type="character" w:customStyle="1" w:styleId="926">
    <w:name w:val="列表段落 字符"/>
    <w:qFormat/>
    <w:uiPriority w:val="34"/>
  </w:style>
  <w:style w:type="character" w:customStyle="1" w:styleId="927">
    <w:name w:val="标题 2 字符"/>
    <w:qFormat/>
    <w:uiPriority w:val="0"/>
    <w:rPr>
      <w:rFonts w:ascii="仿宋_GB2312" w:hAnsi="Times New Roman" w:eastAsia="仿宋_GB2312" w:cs="Times New Roman"/>
      <w:b/>
      <w:kern w:val="2"/>
      <w:sz w:val="24"/>
      <w:lang w:val="zh-CN"/>
    </w:rPr>
  </w:style>
  <w:style w:type="paragraph" w:customStyle="1" w:styleId="928">
    <w:name w:val="样式 标题 3h33rd level3BOD 0H3l3CTHeading 3 - oldLevel 3 He..."/>
    <w:basedOn w:val="4"/>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29">
    <w:name w:val="4级标题"/>
    <w:basedOn w:val="757"/>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0">
    <w:name w:val="3级"/>
    <w:basedOn w:val="928"/>
    <w:link w:val="931"/>
    <w:qFormat/>
    <w:uiPriority w:val="0"/>
    <w:pPr>
      <w:ind w:left="0" w:right="466" w:firstLine="288"/>
    </w:pPr>
    <w:rPr>
      <w:rFonts w:hAnsi="宋体"/>
    </w:rPr>
  </w:style>
  <w:style w:type="character" w:customStyle="1" w:styleId="931">
    <w:name w:val="3级 Char"/>
    <w:link w:val="930"/>
    <w:qFormat/>
    <w:uiPriority w:val="0"/>
    <w:rPr>
      <w:rFonts w:ascii="宋体" w:hAnsi="宋体" w:eastAsia="宋体" w:cs="Times New Roman"/>
      <w:b/>
      <w:bCs/>
      <w:snapToGrid w:val="0"/>
      <w:kern w:val="0"/>
      <w:sz w:val="28"/>
      <w:szCs w:val="20"/>
      <w:lang w:val="zh-CN"/>
    </w:rPr>
  </w:style>
  <w:style w:type="character" w:customStyle="1" w:styleId="932">
    <w:name w:val="标题 3 字符"/>
    <w:qFormat/>
    <w:uiPriority w:val="9"/>
    <w:rPr>
      <w:b/>
      <w:bCs/>
      <w:kern w:val="2"/>
      <w:sz w:val="32"/>
      <w:szCs w:val="32"/>
    </w:rPr>
  </w:style>
  <w:style w:type="character" w:customStyle="1" w:styleId="933">
    <w:name w:val="标题 4 字符"/>
    <w:qFormat/>
    <w:uiPriority w:val="9"/>
    <w:rPr>
      <w:rFonts w:ascii="等线 Light" w:hAnsi="等线 Light" w:eastAsia="等线 Light" w:cs="Times New Roman"/>
      <w:b/>
      <w:bCs/>
      <w:snapToGrid/>
      <w:kern w:val="0"/>
      <w:sz w:val="28"/>
      <w:szCs w:val="28"/>
    </w:rPr>
  </w:style>
  <w:style w:type="character" w:customStyle="1" w:styleId="934">
    <w:name w:val="标题 1 字符"/>
    <w:qFormat/>
    <w:uiPriority w:val="9"/>
    <w:rPr>
      <w:rFonts w:ascii="Arial" w:hAnsi="Arial" w:eastAsia="黑体" w:cs="Arial"/>
      <w:b/>
      <w:bCs/>
      <w:snapToGrid/>
      <w:kern w:val="44"/>
      <w:sz w:val="44"/>
      <w:szCs w:val="44"/>
    </w:rPr>
  </w:style>
  <w:style w:type="paragraph" w:customStyle="1" w:styleId="93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6">
    <w:name w:val="_标题2"/>
    <w:basedOn w:val="937"/>
    <w:next w:val="937"/>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7">
    <w:name w:val="__正文"/>
    <w:link w:val="938"/>
    <w:qFormat/>
    <w:uiPriority w:val="0"/>
    <w:pPr>
      <w:spacing w:line="360" w:lineRule="auto"/>
      <w:ind w:firstLine="200" w:firstLineChars="200"/>
    </w:pPr>
    <w:rPr>
      <w:rFonts w:ascii="Calibri" w:hAnsi="Calibri" w:eastAsia="等线" w:cs="Times New Roman"/>
      <w:sz w:val="24"/>
      <w:szCs w:val="21"/>
      <w:lang w:val="en-US" w:eastAsia="zh-CN" w:bidi="ar-SA"/>
    </w:rPr>
  </w:style>
  <w:style w:type="character" w:customStyle="1" w:styleId="938">
    <w:name w:val="__正文 Char"/>
    <w:link w:val="937"/>
    <w:qFormat/>
    <w:uiPriority w:val="0"/>
    <w:rPr>
      <w:rFonts w:ascii="Calibri" w:hAnsi="Calibri" w:eastAsia="等线" w:cs="Times New Roman"/>
      <w:kern w:val="0"/>
      <w:sz w:val="24"/>
      <w:szCs w:val="21"/>
    </w:rPr>
  </w:style>
  <w:style w:type="paragraph" w:customStyle="1" w:styleId="93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0">
    <w:name w:val="_标题3"/>
    <w:basedOn w:val="937"/>
    <w:next w:val="937"/>
    <w:qFormat/>
    <w:uiPriority w:val="0"/>
    <w:pPr>
      <w:widowControl w:val="0"/>
      <w:spacing w:beforeLines="50" w:afterLines="50"/>
      <w:ind w:firstLine="0" w:firstLineChars="0"/>
      <w:outlineLvl w:val="2"/>
    </w:pPr>
    <w:rPr>
      <w:rFonts w:eastAsia="宋体"/>
      <w:b/>
      <w:sz w:val="32"/>
    </w:rPr>
  </w:style>
  <w:style w:type="paragraph" w:customStyle="1" w:styleId="941">
    <w:name w:val="_标题1"/>
    <w:basedOn w:val="937"/>
    <w:next w:val="937"/>
    <w:qFormat/>
    <w:uiPriority w:val="0"/>
    <w:pPr>
      <w:widowControl w:val="0"/>
      <w:spacing w:beforeLines="50" w:afterLines="50"/>
      <w:ind w:firstLine="0" w:firstLineChars="0"/>
      <w:outlineLvl w:val="0"/>
    </w:pPr>
    <w:rPr>
      <w:rFonts w:eastAsia="黑体"/>
      <w:b/>
      <w:sz w:val="32"/>
    </w:rPr>
  </w:style>
  <w:style w:type="paragraph" w:customStyle="1" w:styleId="942">
    <w:name w:val="_标题5"/>
    <w:basedOn w:val="937"/>
    <w:next w:val="937"/>
    <w:qFormat/>
    <w:uiPriority w:val="0"/>
    <w:pPr>
      <w:spacing w:before="120" w:after="120"/>
      <w:ind w:left="4679" w:firstLine="0" w:firstLineChars="0"/>
      <w:outlineLvl w:val="4"/>
    </w:pPr>
    <w:rPr>
      <w:rFonts w:ascii="仿宋" w:hAnsi="仿宋" w:eastAsia="仿宋"/>
      <w:b/>
      <w:sz w:val="28"/>
    </w:rPr>
  </w:style>
  <w:style w:type="paragraph" w:customStyle="1" w:styleId="943">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944">
    <w:name w:val="！正文（四号字）"/>
    <w:link w:val="945"/>
    <w:qFormat/>
    <w:uiPriority w:val="0"/>
    <w:pPr>
      <w:snapToGrid w:val="0"/>
      <w:spacing w:beforeLines="50" w:line="360" w:lineRule="auto"/>
      <w:ind w:firstLine="480" w:firstLineChars="200"/>
      <w:jc w:val="both"/>
    </w:pPr>
    <w:rPr>
      <w:rFonts w:ascii="等线" w:hAnsi="等线" w:eastAsia="仿宋_GB2312" w:cs="Times New Roman"/>
      <w:sz w:val="24"/>
      <w:szCs w:val="28"/>
      <w:lang w:val="en-US" w:eastAsia="zh-CN" w:bidi="ar-SA"/>
    </w:rPr>
  </w:style>
  <w:style w:type="character" w:customStyle="1" w:styleId="945">
    <w:name w:val="！正文（四号字） Char"/>
    <w:link w:val="944"/>
    <w:qFormat/>
    <w:uiPriority w:val="0"/>
    <w:rPr>
      <w:rFonts w:ascii="等线" w:hAnsi="等线" w:eastAsia="仿宋_GB2312" w:cs="Times New Roman"/>
      <w:kern w:val="0"/>
      <w:sz w:val="24"/>
      <w:szCs w:val="28"/>
    </w:rPr>
  </w:style>
  <w:style w:type="paragraph" w:customStyle="1" w:styleId="946">
    <w:name w:val="Char Char Char Char Char Char2 Char Char Char Char"/>
    <w:basedOn w:val="1"/>
    <w:qFormat/>
    <w:uiPriority w:val="0"/>
    <w:rPr>
      <w:rFonts w:ascii="Times New Roman" w:hAnsi="Times New Roman" w:eastAsia="宋体" w:cs="Times New Roman"/>
      <w:szCs w:val="24"/>
    </w:rPr>
  </w:style>
  <w:style w:type="character" w:customStyle="1" w:styleId="947">
    <w:name w:val="正文(首行缩进) Char"/>
    <w:link w:val="948"/>
    <w:qFormat/>
    <w:locked/>
    <w:uiPriority w:val="0"/>
    <w:rPr>
      <w:rFonts w:ascii="Arial" w:hAnsi="Arial" w:cs="Arial"/>
      <w:szCs w:val="24"/>
    </w:rPr>
  </w:style>
  <w:style w:type="paragraph" w:customStyle="1" w:styleId="948">
    <w:name w:val="正文(首行缩进)"/>
    <w:basedOn w:val="1"/>
    <w:next w:val="1"/>
    <w:link w:val="947"/>
    <w:qFormat/>
    <w:uiPriority w:val="0"/>
    <w:pPr>
      <w:snapToGrid w:val="0"/>
      <w:spacing w:before="10" w:line="360" w:lineRule="auto"/>
      <w:ind w:firstLine="482"/>
    </w:pPr>
    <w:rPr>
      <w:rFonts w:ascii="Arial" w:hAnsi="Arial" w:cs="Arial"/>
      <w:szCs w:val="24"/>
    </w:rPr>
  </w:style>
  <w:style w:type="paragraph" w:customStyle="1" w:styleId="949">
    <w:name w:val="条目2"/>
    <w:basedOn w:val="34"/>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0">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951">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95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4">
    <w:name w:val="Char Char Char Char Char Char Char Char Char Char Char"/>
    <w:basedOn w:val="1"/>
    <w:qFormat/>
    <w:uiPriority w:val="0"/>
    <w:rPr>
      <w:rFonts w:ascii="Tahoma" w:hAnsi="Tahoma" w:eastAsia="宋体" w:cs="Times New Roman"/>
      <w:sz w:val="24"/>
      <w:szCs w:val="20"/>
    </w:rPr>
  </w:style>
  <w:style w:type="paragraph" w:customStyle="1" w:styleId="955">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956">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7">
    <w:name w:val="条目3"/>
    <w:basedOn w:val="34"/>
    <w:qFormat/>
    <w:uiPriority w:val="0"/>
    <w:pPr>
      <w:adjustRightInd/>
      <w:spacing w:line="360" w:lineRule="auto"/>
    </w:pPr>
    <w:rPr>
      <w:rFonts w:eastAsia="宋体" w:cs="Courier New"/>
      <w:snapToGrid/>
      <w:color w:val="000000"/>
      <w:kern w:val="0"/>
      <w:sz w:val="24"/>
    </w:rPr>
  </w:style>
  <w:style w:type="paragraph" w:customStyle="1" w:styleId="958">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5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0">
    <w:name w:val="DN-正文 Char"/>
    <w:link w:val="961"/>
    <w:qFormat/>
    <w:locked/>
    <w:uiPriority w:val="0"/>
    <w:rPr>
      <w:rFonts w:ascii="Arial" w:hAnsi="Arial" w:cs="Arial"/>
      <w:szCs w:val="24"/>
    </w:rPr>
  </w:style>
  <w:style w:type="paragraph" w:customStyle="1" w:styleId="961">
    <w:name w:val="DN-正文"/>
    <w:basedOn w:val="15"/>
    <w:link w:val="960"/>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2">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3">
    <w:name w:val="文字列表"/>
    <w:basedOn w:val="24"/>
    <w:qFormat/>
    <w:uiPriority w:val="0"/>
    <w:pPr>
      <w:tabs>
        <w:tab w:val="left" w:pos="840"/>
      </w:tabs>
      <w:autoSpaceDE/>
      <w:autoSpaceDN/>
      <w:adjustRightInd/>
      <w:ind w:left="900" w:leftChars="200" w:hanging="432"/>
    </w:pPr>
    <w:rPr>
      <w:rFonts w:hAnsi="宋体" w:cs="Arial"/>
      <w:szCs w:val="24"/>
      <w:lang w:val="en-US"/>
    </w:rPr>
  </w:style>
  <w:style w:type="paragraph" w:customStyle="1" w:styleId="964">
    <w:name w:val="批注主题 Char Char"/>
    <w:basedOn w:val="19"/>
    <w:next w:val="19"/>
    <w:qFormat/>
    <w:uiPriority w:val="0"/>
    <w:pPr>
      <w:adjustRightInd/>
    </w:pPr>
    <w:rPr>
      <w:rFonts w:ascii="仿宋_GB2312"/>
      <w:b/>
      <w:bCs/>
      <w:kern w:val="0"/>
      <w:sz w:val="32"/>
      <w:szCs w:val="32"/>
    </w:rPr>
  </w:style>
  <w:style w:type="paragraph" w:customStyle="1" w:styleId="965">
    <w:name w:val="无间隔3"/>
    <w:qFormat/>
    <w:uiPriority w:val="0"/>
    <w:rPr>
      <w:rFonts w:ascii="Calibri" w:hAnsi="Calibri" w:eastAsia="宋体" w:cs="Times New Roman"/>
      <w:sz w:val="22"/>
      <w:szCs w:val="22"/>
      <w:lang w:val="en-US" w:eastAsia="en-US" w:bidi="ar-SA"/>
    </w:rPr>
  </w:style>
  <w:style w:type="character" w:customStyle="1" w:styleId="96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67">
    <w:name w:val="c1"/>
    <w:qFormat/>
    <w:uiPriority w:val="0"/>
    <w:rPr>
      <w:rFonts w:hint="eastAsia" w:ascii="仿宋_GB2312" w:hAnsi="Arial" w:eastAsia="宋体" w:cs="Arial"/>
      <w:b/>
      <w:snapToGrid w:val="0"/>
      <w:kern w:val="2"/>
      <w:sz w:val="21"/>
      <w:szCs w:val="21"/>
      <w:lang w:val="en-US" w:eastAsia="zh-CN" w:bidi="ar-SA"/>
    </w:rPr>
  </w:style>
  <w:style w:type="character" w:customStyle="1" w:styleId="96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6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7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71">
    <w:name w:val="标题 8 Char1"/>
    <w:qFormat/>
    <w:uiPriority w:val="0"/>
    <w:rPr>
      <w:rFonts w:hint="default" w:ascii="Cambria" w:hAnsi="Cambria" w:eastAsia="宋体" w:cs="Times New Roman"/>
      <w:snapToGrid w:val="0"/>
      <w:kern w:val="2"/>
      <w:sz w:val="24"/>
      <w:szCs w:val="24"/>
    </w:rPr>
  </w:style>
  <w:style w:type="character" w:customStyle="1" w:styleId="972">
    <w:name w:val="标题 7 Char1"/>
    <w:qFormat/>
    <w:uiPriority w:val="0"/>
    <w:rPr>
      <w:rFonts w:hint="default" w:ascii="Times New Roman" w:hAnsi="Times New Roman" w:eastAsia="黑体" w:cs="Arial"/>
      <w:b/>
      <w:bCs/>
      <w:snapToGrid w:val="0"/>
      <w:kern w:val="2"/>
      <w:sz w:val="24"/>
      <w:szCs w:val="24"/>
    </w:rPr>
  </w:style>
  <w:style w:type="character" w:customStyle="1" w:styleId="97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74">
    <w:name w:val="标题 9 Char1"/>
    <w:qFormat/>
    <w:uiPriority w:val="0"/>
    <w:rPr>
      <w:rFonts w:hint="default" w:ascii="Cambria" w:hAnsi="Cambria" w:eastAsia="宋体" w:cs="Times New Roman"/>
      <w:snapToGrid w:val="0"/>
      <w:kern w:val="2"/>
      <w:sz w:val="21"/>
      <w:szCs w:val="21"/>
    </w:rPr>
  </w:style>
  <w:style w:type="character" w:customStyle="1" w:styleId="97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7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77">
    <w:name w:val="标题 5 Char1"/>
    <w:qFormat/>
    <w:uiPriority w:val="0"/>
    <w:rPr>
      <w:rFonts w:hint="default" w:ascii="Times New Roman" w:hAnsi="Times New Roman" w:eastAsia="黑体" w:cs="Arial"/>
      <w:b/>
      <w:bCs/>
      <w:snapToGrid w:val="0"/>
      <w:kern w:val="2"/>
      <w:sz w:val="28"/>
      <w:szCs w:val="28"/>
    </w:rPr>
  </w:style>
  <w:style w:type="character" w:customStyle="1" w:styleId="978">
    <w:name w:val="未用 Char3"/>
    <w:qFormat/>
    <w:uiPriority w:val="0"/>
    <w:rPr>
      <w:rFonts w:hint="default" w:ascii="Arial" w:hAnsi="Arial" w:eastAsia="黑体" w:cs="Arial"/>
      <w:kern w:val="2"/>
      <w:sz w:val="21"/>
      <w:szCs w:val="21"/>
      <w:lang w:bidi="ar-SA"/>
    </w:rPr>
  </w:style>
  <w:style w:type="character" w:customStyle="1" w:styleId="979">
    <w:name w:val="PI Char3"/>
    <w:qFormat/>
    <w:uiPriority w:val="0"/>
    <w:rPr>
      <w:rFonts w:hint="eastAsia" w:ascii="宋体" w:hAnsi="宋体" w:eastAsia="宋体"/>
      <w:kern w:val="2"/>
      <w:sz w:val="24"/>
      <w:szCs w:val="24"/>
    </w:rPr>
  </w:style>
  <w:style w:type="character" w:customStyle="1" w:styleId="980">
    <w:name w:val="图名 Char3"/>
    <w:qFormat/>
    <w:uiPriority w:val="0"/>
    <w:rPr>
      <w:rFonts w:hint="default" w:ascii="Arial" w:hAnsi="Arial" w:eastAsia="黑体" w:cs="Arial"/>
      <w:kern w:val="2"/>
      <w:sz w:val="24"/>
      <w:szCs w:val="24"/>
      <w:lang w:bidi="ar-SA"/>
    </w:rPr>
  </w:style>
  <w:style w:type="character" w:customStyle="1" w:styleId="981">
    <w:name w:val="表名 Char3"/>
    <w:qFormat/>
    <w:uiPriority w:val="0"/>
    <w:rPr>
      <w:rFonts w:hint="eastAsia" w:ascii="宋体" w:hAnsi="宋体" w:eastAsia="宋体"/>
      <w:b/>
      <w:bCs/>
      <w:kern w:val="2"/>
      <w:sz w:val="24"/>
      <w:szCs w:val="24"/>
      <w:lang w:bidi="ar-SA"/>
    </w:rPr>
  </w:style>
  <w:style w:type="character" w:customStyle="1" w:styleId="982">
    <w:name w:val="Heading sql Char3"/>
    <w:qFormat/>
    <w:uiPriority w:val="0"/>
    <w:rPr>
      <w:rFonts w:hint="default" w:ascii="Arial" w:hAnsi="Arial" w:eastAsia="黑体" w:cs="Arial"/>
      <w:b/>
      <w:bCs/>
      <w:kern w:val="2"/>
      <w:sz w:val="28"/>
      <w:szCs w:val="28"/>
      <w:lang w:val="zh-CN" w:bidi="ar-SA"/>
    </w:rPr>
  </w:style>
  <w:style w:type="character" w:customStyle="1" w:styleId="983">
    <w:name w:val="H6 Char3"/>
    <w:qFormat/>
    <w:uiPriority w:val="0"/>
    <w:rPr>
      <w:rFonts w:hint="default" w:ascii="Arial" w:hAnsi="Arial" w:eastAsia="黑体" w:cs="Arial"/>
      <w:b/>
      <w:bCs/>
      <w:kern w:val="2"/>
      <w:sz w:val="24"/>
      <w:szCs w:val="24"/>
      <w:lang w:bidi="ar-SA"/>
    </w:rPr>
  </w:style>
  <w:style w:type="character" w:customStyle="1" w:styleId="984">
    <w:name w:val="正文首行缩进 Char Char"/>
    <w:qFormat/>
    <w:uiPriority w:val="0"/>
    <w:rPr>
      <w:rFonts w:hint="eastAsia" w:ascii="宋体" w:hAnsi="宋体" w:eastAsia="宋体"/>
      <w:kern w:val="2"/>
      <w:sz w:val="21"/>
      <w:szCs w:val="24"/>
      <w:lang w:val="en-US" w:eastAsia="zh-CN" w:bidi="ar-SA"/>
    </w:rPr>
  </w:style>
  <w:style w:type="character" w:customStyle="1" w:styleId="985">
    <w:name w:val="签名 Char Char"/>
    <w:qFormat/>
    <w:uiPriority w:val="0"/>
    <w:rPr>
      <w:rFonts w:hint="default" w:ascii="Arial" w:hAnsi="Arial" w:eastAsia="宋体" w:cs="Arial"/>
      <w:snapToGrid w:val="0"/>
      <w:kern w:val="0"/>
      <w:szCs w:val="24"/>
      <w:lang w:bidi="ar-SA"/>
    </w:rPr>
  </w:style>
  <w:style w:type="character" w:customStyle="1" w:styleId="98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8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88">
    <w:name w:val="称呼 Char Char"/>
    <w:qFormat/>
    <w:uiPriority w:val="0"/>
    <w:rPr>
      <w:rFonts w:hint="default" w:ascii="Arial" w:hAnsi="Arial" w:eastAsia="宋体" w:cs="Arial"/>
      <w:b/>
      <w:bCs/>
      <w:snapToGrid w:val="0"/>
      <w:kern w:val="0"/>
      <w:szCs w:val="24"/>
      <w:lang w:bidi="ar-SA"/>
    </w:rPr>
  </w:style>
  <w:style w:type="character" w:customStyle="1" w:styleId="989">
    <w:name w:val="标题 Char2"/>
    <w:qFormat/>
    <w:uiPriority w:val="10"/>
    <w:rPr>
      <w:rFonts w:hint="default" w:ascii="Cambria" w:hAnsi="Cambria" w:eastAsia="黑体" w:cs="Times New Roman"/>
      <w:b/>
      <w:bCs/>
      <w:snapToGrid w:val="0"/>
      <w:kern w:val="2"/>
      <w:sz w:val="32"/>
      <w:szCs w:val="32"/>
    </w:rPr>
  </w:style>
  <w:style w:type="character" w:customStyle="1" w:styleId="990">
    <w:name w:val="列表段落 字符1"/>
    <w:qFormat/>
    <w:locked/>
    <w:uiPriority w:val="99"/>
    <w:rPr>
      <w:rFonts w:ascii="Calibri" w:hAnsi="Calibri" w:eastAsia="宋体" w:cs="Times New Roman"/>
      <w:kern w:val="0"/>
      <w:sz w:val="22"/>
      <w:lang w:eastAsia="en-US" w:bidi="en-US"/>
    </w:rPr>
  </w:style>
  <w:style w:type="paragraph" w:customStyle="1" w:styleId="991">
    <w:name w:val="p3"/>
    <w:basedOn w:val="1"/>
    <w:qFormat/>
    <w:uiPriority w:val="0"/>
    <w:pPr>
      <w:adjustRightInd w:val="0"/>
      <w:jc w:val="left"/>
    </w:pPr>
    <w:rPr>
      <w:rFonts w:ascii=".pingfang sc" w:hAnsi=".pingfang sc" w:eastAsia=".pingfang sc" w:cs="Times New Roman"/>
      <w:kern w:val="0"/>
      <w:sz w:val="24"/>
      <w:szCs w:val="24"/>
    </w:rPr>
  </w:style>
  <w:style w:type="paragraph" w:customStyle="1" w:styleId="992">
    <w:name w:val="p4"/>
    <w:basedOn w:val="1"/>
    <w:qFormat/>
    <w:uiPriority w:val="0"/>
    <w:pPr>
      <w:adjustRightInd w:val="0"/>
      <w:jc w:val="left"/>
    </w:pPr>
    <w:rPr>
      <w:rFonts w:ascii="Helvetica Neue" w:hAnsi="Helvetica Neue" w:eastAsia="Helvetica Neue" w:cs="Times New Roman"/>
      <w:kern w:val="0"/>
      <w:sz w:val="24"/>
      <w:szCs w:val="24"/>
    </w:rPr>
  </w:style>
  <w:style w:type="paragraph" w:customStyle="1" w:styleId="993">
    <w:name w:val="_Style 99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4">
    <w:name w:val="TOC 标题3"/>
    <w:basedOn w:val="3"/>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5">
    <w:name w:val="修订4"/>
    <w:qFormat/>
    <w:uiPriority w:val="0"/>
    <w:rPr>
      <w:rFonts w:ascii="Times New Roman" w:hAnsi="Times New Roman" w:eastAsia="宋体" w:cs="Times New Roman"/>
      <w:kern w:val="2"/>
      <w:sz w:val="21"/>
      <w:lang w:val="en-US" w:eastAsia="zh-CN" w:bidi="ar-SA"/>
    </w:rPr>
  </w:style>
  <w:style w:type="paragraph" w:customStyle="1" w:styleId="996">
    <w:name w:val="列出段落7"/>
    <w:basedOn w:val="1"/>
    <w:qFormat/>
    <w:uiPriority w:val="99"/>
    <w:pPr>
      <w:ind w:firstLine="420" w:firstLineChars="200"/>
    </w:pPr>
    <w:rPr>
      <w:rFonts w:ascii="Calibri" w:hAnsi="Calibri" w:eastAsia="宋体" w:cs="Times New Roman"/>
    </w:rPr>
  </w:style>
  <w:style w:type="paragraph" w:customStyle="1" w:styleId="997">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99">
    <w:name w:val="Other|1"/>
    <w:basedOn w:val="1"/>
    <w:qFormat/>
    <w:uiPriority w:val="0"/>
    <w:pPr>
      <w:spacing w:line="408" w:lineRule="auto"/>
      <w:ind w:firstLine="400"/>
    </w:pPr>
    <w:rPr>
      <w:rFonts w:ascii="宋体" w:hAnsi="宋体" w:eastAsia="宋体" w:cs="宋体"/>
      <w:sz w:val="28"/>
      <w:szCs w:val="28"/>
      <w:lang w:val="zh-TW" w:eastAsia="zh-TW" w:bidi="zh-TW"/>
    </w:rPr>
  </w:style>
  <w:style w:type="paragraph" w:customStyle="1" w:styleId="1000">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1">
    <w:name w:val="日期 Char"/>
    <w:basedOn w:val="66"/>
    <w:autoRedefine/>
    <w:semiHidden/>
    <w:qFormat/>
    <w:uiPriority w:val="99"/>
  </w:style>
  <w:style w:type="paragraph" w:customStyle="1" w:styleId="1002">
    <w:name w:val="纯文本111"/>
    <w:basedOn w:val="1"/>
    <w:qFormat/>
    <w:uiPriority w:val="0"/>
    <w:pPr>
      <w:adjustRightInd w:val="0"/>
    </w:pPr>
    <w:rPr>
      <w:rFonts w:hint="eastAsia" w:ascii="宋体" w:hAnsi="Courier New" w:eastAsia="楷体_GB2312" w:cs="Times New Roman"/>
      <w:sz w:val="28"/>
      <w:szCs w:val="20"/>
    </w:rPr>
  </w:style>
  <w:style w:type="character" w:customStyle="1" w:styleId="1003">
    <w:name w:val="纯文本 Char3"/>
    <w:qFormat/>
    <w:uiPriority w:val="99"/>
    <w:rPr>
      <w:rFonts w:ascii="宋体" w:hAnsi="Courier New" w:eastAsia="黑体" w:cs="Times New Roman"/>
      <w:snapToGrid w:val="0"/>
      <w:szCs w:val="21"/>
    </w:rPr>
  </w:style>
  <w:style w:type="paragraph" w:customStyle="1" w:styleId="1004">
    <w:name w:val="标题1"/>
    <w:basedOn w:val="3"/>
    <w:qFormat/>
    <w:uiPriority w:val="0"/>
    <w:pPr>
      <w:keepLines w:val="0"/>
      <w:tabs>
        <w:tab w:val="left" w:pos="1247"/>
        <w:tab w:val="clear" w:pos="432"/>
      </w:tabs>
      <w:adjustRightInd/>
      <w:spacing w:before="720" w:after="240" w:line="240" w:lineRule="auto"/>
      <w:ind w:left="1247" w:hanging="1247"/>
    </w:pPr>
    <w:rPr>
      <w:rFonts w:ascii="Arial" w:hAnsi="Arial"/>
      <w:bCs w:val="0"/>
      <w:spacing w:val="20"/>
      <w:kern w:val="20"/>
      <w:sz w:val="36"/>
      <w:szCs w:val="24"/>
    </w:rPr>
  </w:style>
  <w:style w:type="paragraph" w:customStyle="1" w:styleId="1005">
    <w:name w:val="form"/>
    <w:basedOn w:val="1"/>
    <w:qFormat/>
    <w:uiPriority w:val="0"/>
    <w:pPr>
      <w:snapToGrid w:val="0"/>
      <w:jc w:val="center"/>
    </w:pPr>
    <w:rPr>
      <w:rFonts w:ascii="仿宋_GB2312" w:hAnsi="Times New Roman" w:eastAsia="仿宋_GB2312" w:cs="Times New Roman"/>
      <w:sz w:val="24"/>
      <w:szCs w:val="24"/>
    </w:rPr>
  </w:style>
  <w:style w:type="character" w:customStyle="1" w:styleId="1006">
    <w:name w:val="font141"/>
    <w:basedOn w:val="66"/>
    <w:qFormat/>
    <w:uiPriority w:val="0"/>
    <w:rPr>
      <w:rFonts w:hint="eastAsia" w:ascii="宋体" w:hAnsi="宋体" w:eastAsia="宋体" w:cs="宋体"/>
      <w:color w:val="FF0000"/>
      <w:sz w:val="20"/>
      <w:szCs w:val="20"/>
      <w:u w:val="none"/>
    </w:rPr>
  </w:style>
  <w:style w:type="paragraph" w:customStyle="1" w:styleId="1007">
    <w:name w:val="_Style 37"/>
    <w:basedOn w:val="25"/>
    <w:next w:val="23"/>
    <w:qFormat/>
    <w:uiPriority w:val="0"/>
    <w:pPr>
      <w:adjustRightInd/>
      <w:ind w:firstLine="420"/>
    </w:pPr>
    <w:rPr>
      <w:rFonts w:ascii="Times New Roman" w:hAnsi="Times New Roman" w:eastAsia="方正书宋简体"/>
      <w:szCs w:val="21"/>
    </w:rPr>
  </w:style>
  <w:style w:type="paragraph" w:customStyle="1" w:styleId="1008">
    <w:name w:val="图表洛"/>
    <w:basedOn w:val="1"/>
    <w:qFormat/>
    <w:uiPriority w:val="0"/>
    <w:pPr>
      <w:widowControl/>
      <w:spacing w:before="40" w:after="40"/>
      <w:jc w:val="center"/>
    </w:pPr>
    <w:rPr>
      <w:rFonts w:ascii="Arial" w:hAnsi="Arial" w:eastAsia="宋体" w:cs="Arial"/>
      <w:sz w:val="1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0B216-308F-4A56-8E65-8ABB37D4359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130</Pages>
  <Words>13076</Words>
  <Characters>74538</Characters>
  <Lines>621</Lines>
  <Paragraphs>174</Paragraphs>
  <TotalTime>6</TotalTime>
  <ScaleCrop>false</ScaleCrop>
  <LinksUpToDate>false</LinksUpToDate>
  <CharactersWithSpaces>87440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2024-09-23T06:58:00Z</dcterms:created>
  <dc:creator>Microsoft</dc:creator>
  <cp:lastModifiedBy>HP</cp:lastModifiedBy>
  <cp:lastPrinted>2023-02-03T07:01:00Z</cp:lastPrinted>
  <dcterms:modified xsi:type="dcterms:W3CDTF">2024-09-30T03:18:19Z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80B57D4AD1B549D89FA5B055316CABEB_13</vt:lpwstr>
  </property>
</Properties>
</file>