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BCE810">
      <w:pPr>
        <w:pStyle w:val="12"/>
      </w:pPr>
    </w:p>
    <w:p w14:paraId="6EA80CE6"/>
    <w:p w14:paraId="7F56D37A">
      <w:pPr>
        <w:spacing w:beforeLines="50"/>
        <w:rPr>
          <w:rFonts w:ascii="宋体" w:hAnsi="宋体"/>
          <w:b/>
          <w:color w:val="000000" w:themeColor="text1"/>
          <w:spacing w:val="-15"/>
          <w:sz w:val="48"/>
          <w:szCs w:val="48"/>
          <w14:textFill>
            <w14:solidFill>
              <w14:schemeClr w14:val="tx1"/>
            </w14:solidFill>
          </w14:textFill>
        </w:rPr>
      </w:pPr>
    </w:p>
    <w:p w14:paraId="0363D949">
      <w:pPr>
        <w:spacing w:beforeLines="50"/>
        <w:jc w:val="center"/>
        <w:rPr>
          <w:rFonts w:hint="eastAsia" w:ascii="宋体" w:hAnsi="宋体" w:eastAsia="宋体"/>
          <w:b/>
          <w:color w:val="auto"/>
          <w:spacing w:val="-15"/>
          <w:sz w:val="52"/>
          <w:szCs w:val="52"/>
          <w:lang w:eastAsia="zh-CN"/>
        </w:rPr>
      </w:pPr>
      <w:r>
        <w:rPr>
          <w:rFonts w:hint="eastAsia" w:ascii="宋体" w:hAnsi="宋体"/>
          <w:b/>
          <w:color w:val="auto"/>
          <w:spacing w:val="-15"/>
          <w:sz w:val="52"/>
          <w:szCs w:val="52"/>
          <w:lang w:eastAsia="zh-CN"/>
        </w:rPr>
        <w:t>嵊泗县医康养联合体综合设备采购项目</w:t>
      </w:r>
    </w:p>
    <w:p w14:paraId="5A7D639E">
      <w:pPr>
        <w:rPr>
          <w:color w:val="000000" w:themeColor="text1"/>
          <w:highlight w:val="yellow"/>
          <w14:textFill>
            <w14:solidFill>
              <w14:schemeClr w14:val="tx1"/>
            </w14:solidFill>
          </w14:textFill>
        </w:rPr>
      </w:pPr>
    </w:p>
    <w:p w14:paraId="1D1718CD">
      <w:pPr>
        <w:rPr>
          <w:color w:val="000000" w:themeColor="text1"/>
          <w14:textFill>
            <w14:solidFill>
              <w14:schemeClr w14:val="tx1"/>
            </w14:solidFill>
          </w14:textFill>
        </w:rPr>
      </w:pPr>
    </w:p>
    <w:p w14:paraId="423A9463">
      <w:pPr>
        <w:rPr>
          <w:color w:val="000000" w:themeColor="text1"/>
          <w14:textFill>
            <w14:solidFill>
              <w14:schemeClr w14:val="tx1"/>
            </w14:solidFill>
          </w14:textFill>
        </w:rPr>
      </w:pPr>
    </w:p>
    <w:p w14:paraId="069E8E84">
      <w:pPr>
        <w:pStyle w:val="12"/>
        <w:rPr>
          <w:rFonts w:eastAsiaTheme="minorEastAsia"/>
          <w:color w:val="000000" w:themeColor="text1"/>
          <w14:textFill>
            <w14:solidFill>
              <w14:schemeClr w14:val="tx1"/>
            </w14:solidFill>
          </w14:textFill>
        </w:rPr>
      </w:pPr>
    </w:p>
    <w:p w14:paraId="12C9EBBF">
      <w:pPr>
        <w:rPr>
          <w:color w:val="000000" w:themeColor="text1"/>
          <w:sz w:val="72"/>
          <w:szCs w:val="72"/>
          <w14:textFill>
            <w14:solidFill>
              <w14:schemeClr w14:val="tx1"/>
            </w14:solidFill>
          </w14:textFill>
        </w:rPr>
      </w:pPr>
    </w:p>
    <w:p w14:paraId="6D97508A">
      <w:pPr>
        <w:spacing w:beforeLines="50"/>
        <w:jc w:val="center"/>
        <w:rPr>
          <w:rFonts w:hint="eastAsia" w:ascii="宋体" w:hAnsi="宋体" w:cs="宋体"/>
          <w:b/>
          <w:color w:val="000000" w:themeColor="text1"/>
          <w:sz w:val="84"/>
          <w:szCs w:val="84"/>
          <w14:textFill>
            <w14:solidFill>
              <w14:schemeClr w14:val="tx1"/>
            </w14:solidFill>
          </w14:textFill>
        </w:rPr>
      </w:pPr>
      <w:r>
        <w:rPr>
          <w:rFonts w:hint="eastAsia" w:ascii="宋体" w:hAnsi="宋体" w:cs="宋体"/>
          <w:b/>
          <w:color w:val="000000" w:themeColor="text1"/>
          <w:sz w:val="84"/>
          <w:szCs w:val="84"/>
          <w14:textFill>
            <w14:solidFill>
              <w14:schemeClr w14:val="tx1"/>
            </w14:solidFill>
          </w14:textFill>
        </w:rPr>
        <w:t>公开招标</w:t>
      </w:r>
    </w:p>
    <w:p w14:paraId="460C398E">
      <w:pPr>
        <w:pStyle w:val="12"/>
      </w:pPr>
    </w:p>
    <w:p w14:paraId="260DDF12">
      <w:pPr>
        <w:rPr>
          <w:color w:val="000000" w:themeColor="text1"/>
          <w14:textFill>
            <w14:solidFill>
              <w14:schemeClr w14:val="tx1"/>
            </w14:solidFill>
          </w14:textFill>
        </w:rPr>
      </w:pPr>
    </w:p>
    <w:p w14:paraId="6A837CB9">
      <w:pPr>
        <w:rPr>
          <w:color w:val="000000" w:themeColor="text1"/>
          <w14:textFill>
            <w14:solidFill>
              <w14:schemeClr w14:val="tx1"/>
            </w14:solidFill>
          </w14:textFill>
        </w:rPr>
      </w:pPr>
    </w:p>
    <w:p w14:paraId="29B8846E">
      <w:pPr>
        <w:pStyle w:val="12"/>
        <w:rPr>
          <w:color w:val="000000" w:themeColor="text1"/>
          <w14:textFill>
            <w14:solidFill>
              <w14:schemeClr w14:val="tx1"/>
            </w14:solidFill>
          </w14:textFill>
        </w:rPr>
      </w:pPr>
    </w:p>
    <w:p w14:paraId="4D102607">
      <w:pPr>
        <w:rPr>
          <w:color w:val="000000" w:themeColor="text1"/>
          <w14:textFill>
            <w14:solidFill>
              <w14:schemeClr w14:val="tx1"/>
            </w14:solidFill>
          </w14:textFill>
        </w:rPr>
      </w:pPr>
    </w:p>
    <w:p w14:paraId="6B1BD7DF">
      <w:pPr>
        <w:rPr>
          <w:rFonts w:eastAsiaTheme="minorEastAsia"/>
          <w:color w:val="000000" w:themeColor="text1"/>
          <w14:textFill>
            <w14:solidFill>
              <w14:schemeClr w14:val="tx1"/>
            </w14:solidFill>
          </w14:textFill>
        </w:rPr>
      </w:pPr>
    </w:p>
    <w:p w14:paraId="202F506F">
      <w:pPr>
        <w:pStyle w:val="2"/>
        <w:snapToGrid w:val="0"/>
        <w:spacing w:before="120" w:after="120" w:line="480" w:lineRule="auto"/>
        <w:ind w:firstLine="456" w:firstLineChars="150"/>
        <w:rPr>
          <w:rFonts w:hint="eastAsia" w:asciiTheme="minorEastAsia" w:hAnsiTheme="minorEastAsia" w:eastAsiaTheme="minorEastAsia"/>
          <w:color w:val="000000" w:themeColor="text1"/>
          <w:w w:val="95"/>
          <w:sz w:val="32"/>
          <w:szCs w:val="32"/>
          <w:lang w:eastAsia="zh-CN"/>
          <w14:textFill>
            <w14:solidFill>
              <w14:schemeClr w14:val="tx1"/>
            </w14:solidFill>
          </w14:textFill>
        </w:rPr>
      </w:pPr>
      <w:r>
        <w:rPr>
          <w:rFonts w:hint="eastAsia" w:asciiTheme="minorEastAsia" w:hAnsiTheme="minorEastAsia" w:eastAsiaTheme="minorEastAsia"/>
          <w:color w:val="000000" w:themeColor="text1"/>
          <w:w w:val="95"/>
          <w:sz w:val="32"/>
          <w:szCs w:val="32"/>
          <w14:textFill>
            <w14:solidFill>
              <w14:schemeClr w14:val="tx1"/>
            </w14:solidFill>
          </w14:textFill>
        </w:rPr>
        <w:t>项目编号：</w:t>
      </w:r>
      <w:r>
        <w:rPr>
          <w:rFonts w:hint="eastAsia" w:asciiTheme="minorEastAsia" w:hAnsiTheme="minorEastAsia" w:eastAsiaTheme="minorEastAsia"/>
          <w:color w:val="000000" w:themeColor="text1"/>
          <w:w w:val="95"/>
          <w:sz w:val="32"/>
          <w:szCs w:val="32"/>
          <w:lang w:eastAsia="zh-CN"/>
          <w14:textFill>
            <w14:solidFill>
              <w14:schemeClr w14:val="tx1"/>
            </w14:solidFill>
          </w14:textFill>
        </w:rPr>
        <w:t>ZSJYCG2025-002</w:t>
      </w:r>
    </w:p>
    <w:p w14:paraId="4DA43C86">
      <w:pPr>
        <w:spacing w:beforeLines="50" w:line="480" w:lineRule="auto"/>
        <w:ind w:left="2118" w:hanging="2128" w:hangingChars="700"/>
        <w:jc w:val="left"/>
        <w:rPr>
          <w:rFonts w:hint="eastAsia" w:asciiTheme="minorEastAsia" w:hAnsiTheme="minorEastAsia" w:eastAsiaTheme="minorEastAsia"/>
          <w:color w:val="auto"/>
          <w:sz w:val="32"/>
          <w:szCs w:val="32"/>
          <w:highlight w:val="none"/>
          <w:lang w:eastAsia="zh-CN"/>
        </w:rPr>
      </w:pPr>
      <w:r>
        <w:rPr>
          <w:rFonts w:hint="eastAsia" w:asciiTheme="minorEastAsia" w:hAnsiTheme="minorEastAsia" w:eastAsiaTheme="minorEastAsia"/>
          <w:color w:val="000000" w:themeColor="text1"/>
          <w:w w:val="95"/>
          <w:sz w:val="32"/>
          <w:szCs w:val="32"/>
          <w14:textFill>
            <w14:solidFill>
              <w14:schemeClr w14:val="tx1"/>
            </w14:solidFill>
          </w14:textFill>
        </w:rPr>
        <w:t xml:space="preserve">   项目名称：</w:t>
      </w:r>
      <w:r>
        <w:rPr>
          <w:rFonts w:hint="eastAsia" w:asciiTheme="minorEastAsia" w:hAnsiTheme="minorEastAsia" w:eastAsiaTheme="minorEastAsia"/>
          <w:color w:val="000000" w:themeColor="text1"/>
          <w:w w:val="95"/>
          <w:sz w:val="32"/>
          <w:szCs w:val="32"/>
          <w:lang w:eastAsia="zh-CN"/>
          <w14:textFill>
            <w14:solidFill>
              <w14:schemeClr w14:val="tx1"/>
            </w14:solidFill>
          </w14:textFill>
        </w:rPr>
        <w:t>嵊泗县医康养联合体综合设备采购项目</w:t>
      </w:r>
    </w:p>
    <w:p w14:paraId="61C6C2B7">
      <w:pPr>
        <w:pStyle w:val="2"/>
        <w:snapToGrid w:val="0"/>
        <w:spacing w:before="120" w:after="120" w:line="480" w:lineRule="auto"/>
        <w:ind w:firstLine="456" w:firstLineChars="150"/>
        <w:rPr>
          <w:rFonts w:hint="default" w:asciiTheme="minorEastAsia" w:hAnsiTheme="minorEastAsia" w:eastAsiaTheme="minorEastAsia"/>
          <w:color w:val="auto"/>
          <w:w w:val="95"/>
          <w:sz w:val="32"/>
          <w:szCs w:val="32"/>
          <w:highlight w:val="none"/>
          <w:lang w:val="en-US" w:eastAsia="zh-CN"/>
        </w:rPr>
      </w:pPr>
      <w:r>
        <w:rPr>
          <w:rFonts w:asciiTheme="minorEastAsia" w:hAnsiTheme="minorEastAsia" w:eastAsiaTheme="minorEastAsia"/>
          <w:color w:val="auto"/>
          <w:w w:val="95"/>
          <w:sz w:val="32"/>
          <w:szCs w:val="32"/>
          <w:highlight w:val="none"/>
        </w:rPr>
        <w:t>采购单位：</w:t>
      </w:r>
      <w:r>
        <w:rPr>
          <w:rFonts w:hint="eastAsia" w:asciiTheme="minorEastAsia" w:hAnsiTheme="minorEastAsia" w:eastAsiaTheme="minorEastAsia"/>
          <w:color w:val="auto"/>
          <w:w w:val="95"/>
          <w:sz w:val="32"/>
          <w:szCs w:val="32"/>
          <w:highlight w:val="none"/>
          <w:lang w:val="en-US" w:eastAsia="zh-CN"/>
        </w:rPr>
        <w:t>嵊泗县残疾人联合会</w:t>
      </w:r>
    </w:p>
    <w:p w14:paraId="32E9ADA5">
      <w:pPr>
        <w:pStyle w:val="2"/>
        <w:snapToGrid w:val="0"/>
        <w:spacing w:before="120" w:after="120" w:line="480" w:lineRule="auto"/>
        <w:ind w:firstLine="456" w:firstLineChars="150"/>
        <w:rPr>
          <w:rFonts w:hint="eastAsia" w:asciiTheme="minorEastAsia" w:hAnsiTheme="minorEastAsia" w:eastAsiaTheme="minorEastAsia"/>
          <w:color w:val="000000"/>
          <w:w w:val="95"/>
          <w:sz w:val="32"/>
          <w:szCs w:val="32"/>
          <w:lang w:eastAsia="zh-CN"/>
        </w:rPr>
      </w:pPr>
      <w:r>
        <w:rPr>
          <w:rFonts w:asciiTheme="minorEastAsia" w:hAnsiTheme="minorEastAsia" w:eastAsiaTheme="minorEastAsia"/>
          <w:color w:val="000000"/>
          <w:w w:val="95"/>
          <w:sz w:val="32"/>
          <w:szCs w:val="32"/>
        </w:rPr>
        <w:t>代理机构：</w:t>
      </w:r>
      <w:r>
        <w:rPr>
          <w:rFonts w:hint="eastAsia" w:asciiTheme="minorEastAsia" w:hAnsiTheme="minorEastAsia" w:eastAsiaTheme="minorEastAsia"/>
          <w:color w:val="000000"/>
          <w:w w:val="95"/>
          <w:sz w:val="32"/>
          <w:szCs w:val="32"/>
          <w:lang w:eastAsia="zh-CN"/>
        </w:rPr>
        <w:t>舟山市佳誉工程管理有限公司</w:t>
      </w:r>
    </w:p>
    <w:p w14:paraId="680FF80E">
      <w:pPr>
        <w:snapToGrid w:val="0"/>
        <w:spacing w:beforeLines="50" w:line="360" w:lineRule="auto"/>
        <w:ind w:left="384" w:leftChars="183" w:firstLine="4599" w:firstLineChars="1607"/>
        <w:rPr>
          <w:rFonts w:asciiTheme="minorEastAsia" w:hAnsiTheme="minorEastAsia" w:eastAsiaTheme="minorEastAsia"/>
          <w:b/>
          <w:bCs/>
          <w:color w:val="000000"/>
          <w:w w:val="95"/>
          <w:sz w:val="30"/>
          <w:szCs w:val="30"/>
        </w:rPr>
      </w:pPr>
    </w:p>
    <w:p w14:paraId="4F652A99">
      <w:pPr>
        <w:snapToGrid w:val="0"/>
        <w:spacing w:beforeLines="50" w:line="360" w:lineRule="auto"/>
        <w:jc w:val="center"/>
        <w:rPr>
          <w:rFonts w:asciiTheme="minorEastAsia" w:hAnsiTheme="minorEastAsia" w:eastAsiaTheme="minorEastAsia"/>
          <w:b/>
          <w:bCs/>
          <w:color w:val="000000"/>
          <w:w w:val="95"/>
          <w:sz w:val="30"/>
          <w:szCs w:val="30"/>
        </w:rPr>
      </w:pPr>
      <w:r>
        <w:rPr>
          <w:rFonts w:hint="eastAsia" w:asciiTheme="minorEastAsia" w:hAnsiTheme="minorEastAsia" w:eastAsiaTheme="minorEastAsia"/>
          <w:b/>
          <w:bCs/>
          <w:color w:val="000000"/>
          <w:w w:val="95"/>
          <w:sz w:val="30"/>
          <w:szCs w:val="30"/>
        </w:rPr>
        <w:t>二〇二</w:t>
      </w:r>
      <w:r>
        <w:rPr>
          <w:rFonts w:hint="eastAsia" w:asciiTheme="minorEastAsia" w:hAnsiTheme="minorEastAsia" w:eastAsiaTheme="minorEastAsia"/>
          <w:b/>
          <w:bCs/>
          <w:color w:val="000000"/>
          <w:w w:val="95"/>
          <w:sz w:val="30"/>
          <w:szCs w:val="30"/>
          <w:lang w:val="en-US" w:eastAsia="zh-CN"/>
        </w:rPr>
        <w:t>五</w:t>
      </w:r>
      <w:r>
        <w:rPr>
          <w:rFonts w:hint="eastAsia" w:asciiTheme="minorEastAsia" w:hAnsiTheme="minorEastAsia" w:eastAsiaTheme="minorEastAsia"/>
          <w:b/>
          <w:bCs/>
          <w:color w:val="000000"/>
          <w:w w:val="95"/>
          <w:sz w:val="30"/>
          <w:szCs w:val="30"/>
        </w:rPr>
        <w:t>年</w:t>
      </w:r>
      <w:r>
        <w:rPr>
          <w:rFonts w:hint="eastAsia" w:asciiTheme="minorEastAsia" w:hAnsiTheme="minorEastAsia" w:eastAsiaTheme="minorEastAsia"/>
          <w:b/>
          <w:bCs/>
          <w:color w:val="000000"/>
          <w:w w:val="95"/>
          <w:sz w:val="30"/>
          <w:szCs w:val="30"/>
          <w:lang w:val="en-US" w:eastAsia="zh-CN"/>
        </w:rPr>
        <w:t>三</w:t>
      </w:r>
      <w:r>
        <w:rPr>
          <w:rFonts w:hint="eastAsia" w:asciiTheme="minorEastAsia" w:hAnsiTheme="minorEastAsia" w:eastAsiaTheme="minorEastAsia"/>
          <w:b/>
          <w:bCs/>
          <w:color w:val="000000"/>
          <w:w w:val="95"/>
          <w:sz w:val="30"/>
          <w:szCs w:val="30"/>
        </w:rPr>
        <w:t>月</w:t>
      </w:r>
    </w:p>
    <w:p w14:paraId="0F652F4B">
      <w:pPr>
        <w:pStyle w:val="50"/>
        <w:spacing w:before="120" w:after="120" w:line="360" w:lineRule="auto"/>
        <w:jc w:val="center"/>
        <w:sectPr>
          <w:pgSz w:w="11906" w:h="16838"/>
          <w:pgMar w:top="1304" w:right="1106" w:bottom="1304" w:left="1531" w:header="1304" w:footer="1304" w:gutter="0"/>
          <w:pgNumType w:start="1"/>
          <w:cols w:space="720" w:num="1"/>
        </w:sectPr>
      </w:pPr>
    </w:p>
    <w:p w14:paraId="741576FC">
      <w:pPr>
        <w:pStyle w:val="50"/>
        <w:spacing w:before="120" w:after="120" w:line="360" w:lineRule="auto"/>
        <w:jc w:val="center"/>
        <w:rPr>
          <w:rFonts w:hAnsi="宋体" w:eastAsia="宋体"/>
          <w:sz w:val="44"/>
          <w:szCs w:val="44"/>
        </w:rPr>
      </w:pPr>
    </w:p>
    <w:p w14:paraId="0D695E53">
      <w:pPr>
        <w:pStyle w:val="50"/>
        <w:spacing w:before="120" w:after="120" w:line="360" w:lineRule="auto"/>
        <w:jc w:val="center"/>
        <w:rPr>
          <w:rFonts w:hAnsi="宋体" w:eastAsia="宋体"/>
          <w:sz w:val="44"/>
          <w:szCs w:val="44"/>
        </w:rPr>
      </w:pPr>
      <w:r>
        <w:rPr>
          <w:rFonts w:hAnsi="宋体" w:eastAsia="宋体"/>
          <w:sz w:val="44"/>
          <w:szCs w:val="44"/>
        </w:rPr>
        <w:t>目    录</w:t>
      </w:r>
    </w:p>
    <w:p w14:paraId="3914BEB8">
      <w:pPr>
        <w:spacing w:line="360" w:lineRule="auto"/>
        <w:rPr>
          <w:rFonts w:ascii="宋体" w:hAnsi="宋体"/>
          <w:sz w:val="28"/>
          <w:szCs w:val="28"/>
        </w:rPr>
      </w:pPr>
      <w:r>
        <w:rPr>
          <w:rFonts w:ascii="宋体" w:hAnsi="宋体"/>
          <w:sz w:val="28"/>
          <w:szCs w:val="28"/>
        </w:rPr>
        <w:t xml:space="preserve">第一章  </w:t>
      </w:r>
      <w:r>
        <w:rPr>
          <w:rFonts w:hint="eastAsia" w:ascii="宋体" w:hAnsi="宋体"/>
          <w:sz w:val="28"/>
          <w:szCs w:val="28"/>
        </w:rPr>
        <w:t>采购</w:t>
      </w:r>
      <w:r>
        <w:rPr>
          <w:rFonts w:ascii="宋体" w:hAnsi="宋体"/>
          <w:sz w:val="28"/>
          <w:szCs w:val="28"/>
        </w:rPr>
        <w:t>公告</w:t>
      </w:r>
    </w:p>
    <w:p w14:paraId="4932ED6B">
      <w:pPr>
        <w:spacing w:line="360" w:lineRule="auto"/>
        <w:rPr>
          <w:rFonts w:ascii="宋体" w:hAnsi="宋体"/>
          <w:sz w:val="28"/>
          <w:szCs w:val="28"/>
        </w:rPr>
      </w:pPr>
      <w:r>
        <w:rPr>
          <w:rFonts w:ascii="宋体" w:hAnsi="宋体"/>
          <w:sz w:val="28"/>
          <w:szCs w:val="28"/>
        </w:rPr>
        <w:t>第二章  采购需求</w:t>
      </w:r>
    </w:p>
    <w:p w14:paraId="447024CC">
      <w:pPr>
        <w:spacing w:line="360" w:lineRule="auto"/>
        <w:rPr>
          <w:rFonts w:ascii="宋体" w:hAnsi="宋体"/>
          <w:sz w:val="28"/>
          <w:szCs w:val="28"/>
        </w:rPr>
      </w:pPr>
      <w:r>
        <w:rPr>
          <w:rFonts w:ascii="宋体" w:hAnsi="宋体"/>
          <w:sz w:val="28"/>
          <w:szCs w:val="28"/>
        </w:rPr>
        <w:t xml:space="preserve">第三章  </w:t>
      </w:r>
      <w:r>
        <w:rPr>
          <w:rFonts w:hint="eastAsia" w:ascii="宋体" w:hAnsi="宋体"/>
          <w:sz w:val="28"/>
          <w:szCs w:val="28"/>
        </w:rPr>
        <w:t>投标人</w:t>
      </w:r>
      <w:r>
        <w:rPr>
          <w:rFonts w:ascii="宋体" w:hAnsi="宋体"/>
          <w:sz w:val="28"/>
          <w:szCs w:val="28"/>
        </w:rPr>
        <w:t>须知</w:t>
      </w:r>
    </w:p>
    <w:p w14:paraId="29440B62">
      <w:pPr>
        <w:spacing w:before="120" w:line="360" w:lineRule="auto"/>
        <w:ind w:firstLine="1120" w:firstLineChars="400"/>
        <w:rPr>
          <w:rFonts w:ascii="宋体" w:hAnsi="宋体"/>
          <w:sz w:val="28"/>
          <w:szCs w:val="28"/>
        </w:rPr>
      </w:pPr>
      <w:r>
        <w:rPr>
          <w:rFonts w:ascii="宋体" w:hAnsi="宋体"/>
          <w:sz w:val="28"/>
          <w:szCs w:val="28"/>
        </w:rPr>
        <w:t>前附表</w:t>
      </w:r>
    </w:p>
    <w:p w14:paraId="1BB64DEF">
      <w:pPr>
        <w:spacing w:before="120" w:line="360" w:lineRule="auto"/>
        <w:ind w:firstLine="560" w:firstLineChars="200"/>
        <w:rPr>
          <w:rFonts w:ascii="宋体" w:hAnsi="宋体"/>
          <w:sz w:val="28"/>
          <w:szCs w:val="28"/>
        </w:rPr>
      </w:pPr>
      <w:r>
        <w:rPr>
          <w:rFonts w:ascii="宋体" w:hAnsi="宋体"/>
          <w:sz w:val="28"/>
          <w:szCs w:val="28"/>
        </w:rPr>
        <w:t>一、总则</w:t>
      </w:r>
    </w:p>
    <w:p w14:paraId="6CF0CD16">
      <w:pPr>
        <w:spacing w:before="120" w:line="360" w:lineRule="auto"/>
        <w:ind w:firstLine="560" w:firstLineChars="200"/>
        <w:rPr>
          <w:rFonts w:ascii="宋体" w:hAnsi="宋体"/>
          <w:sz w:val="28"/>
          <w:szCs w:val="28"/>
        </w:rPr>
      </w:pPr>
      <w:r>
        <w:rPr>
          <w:rFonts w:ascii="宋体" w:hAnsi="宋体"/>
          <w:sz w:val="28"/>
          <w:szCs w:val="28"/>
        </w:rPr>
        <w:t>二、</w:t>
      </w:r>
      <w:r>
        <w:rPr>
          <w:rFonts w:hint="eastAsia" w:ascii="宋体" w:hAnsi="宋体"/>
          <w:sz w:val="28"/>
          <w:szCs w:val="28"/>
        </w:rPr>
        <w:t>投标</w:t>
      </w:r>
      <w:r>
        <w:rPr>
          <w:rFonts w:ascii="宋体" w:hAnsi="宋体"/>
          <w:sz w:val="28"/>
          <w:szCs w:val="28"/>
        </w:rPr>
        <w:t>文件</w:t>
      </w:r>
    </w:p>
    <w:p w14:paraId="3E7CD06A">
      <w:pPr>
        <w:spacing w:before="120" w:line="360" w:lineRule="auto"/>
        <w:ind w:firstLine="560" w:firstLineChars="200"/>
        <w:rPr>
          <w:rFonts w:ascii="宋体" w:hAnsi="宋体"/>
          <w:sz w:val="28"/>
          <w:szCs w:val="28"/>
        </w:rPr>
      </w:pPr>
      <w:r>
        <w:rPr>
          <w:rFonts w:ascii="宋体" w:hAnsi="宋体"/>
          <w:sz w:val="28"/>
          <w:szCs w:val="28"/>
        </w:rPr>
        <w:t>三、</w:t>
      </w:r>
      <w:r>
        <w:rPr>
          <w:rFonts w:hint="eastAsia" w:ascii="宋体" w:hAnsi="宋体"/>
          <w:sz w:val="28"/>
          <w:szCs w:val="28"/>
        </w:rPr>
        <w:t>投标</w:t>
      </w:r>
      <w:r>
        <w:rPr>
          <w:rFonts w:ascii="宋体" w:hAnsi="宋体"/>
          <w:sz w:val="28"/>
          <w:szCs w:val="28"/>
        </w:rPr>
        <w:t>文件的编制</w:t>
      </w:r>
    </w:p>
    <w:p w14:paraId="47B9ECDF">
      <w:pPr>
        <w:spacing w:before="120" w:line="360" w:lineRule="auto"/>
        <w:ind w:firstLine="560" w:firstLineChars="200"/>
        <w:rPr>
          <w:rFonts w:ascii="宋体" w:hAnsi="宋体"/>
          <w:sz w:val="28"/>
          <w:szCs w:val="28"/>
        </w:rPr>
      </w:pPr>
      <w:r>
        <w:rPr>
          <w:rFonts w:ascii="宋体" w:hAnsi="宋体"/>
          <w:sz w:val="28"/>
          <w:szCs w:val="28"/>
        </w:rPr>
        <w:t>四、</w:t>
      </w:r>
      <w:r>
        <w:rPr>
          <w:rFonts w:hint="eastAsia" w:ascii="宋体" w:hAnsi="宋体"/>
          <w:sz w:val="28"/>
          <w:szCs w:val="28"/>
        </w:rPr>
        <w:t>开标</w:t>
      </w:r>
    </w:p>
    <w:p w14:paraId="4CB6A4A1">
      <w:pPr>
        <w:spacing w:before="120" w:line="360" w:lineRule="auto"/>
        <w:ind w:firstLine="560" w:firstLineChars="200"/>
        <w:rPr>
          <w:rFonts w:ascii="宋体" w:hAnsi="宋体"/>
        </w:rPr>
      </w:pPr>
      <w:r>
        <w:rPr>
          <w:rFonts w:ascii="宋体" w:hAnsi="宋体"/>
          <w:sz w:val="28"/>
          <w:szCs w:val="28"/>
        </w:rPr>
        <w:t>五、评</w:t>
      </w:r>
      <w:r>
        <w:rPr>
          <w:rFonts w:hint="eastAsia" w:ascii="宋体" w:hAnsi="宋体"/>
          <w:sz w:val="28"/>
          <w:szCs w:val="28"/>
        </w:rPr>
        <w:t>标</w:t>
      </w:r>
    </w:p>
    <w:p w14:paraId="59DE813C">
      <w:pPr>
        <w:spacing w:before="120" w:line="360" w:lineRule="auto"/>
        <w:ind w:firstLine="560" w:firstLineChars="200"/>
        <w:rPr>
          <w:rFonts w:ascii="宋体" w:hAnsi="宋体"/>
          <w:sz w:val="28"/>
          <w:szCs w:val="28"/>
        </w:rPr>
      </w:pPr>
      <w:r>
        <w:rPr>
          <w:rFonts w:ascii="宋体" w:hAnsi="宋体"/>
          <w:sz w:val="28"/>
          <w:szCs w:val="28"/>
        </w:rPr>
        <w:t>六、定标</w:t>
      </w:r>
    </w:p>
    <w:p w14:paraId="5E43BF06">
      <w:pPr>
        <w:spacing w:before="120" w:line="360" w:lineRule="auto"/>
        <w:ind w:firstLine="560" w:firstLineChars="200"/>
        <w:rPr>
          <w:rFonts w:ascii="宋体" w:hAnsi="宋体"/>
          <w:sz w:val="28"/>
          <w:szCs w:val="28"/>
        </w:rPr>
      </w:pPr>
      <w:r>
        <w:rPr>
          <w:rFonts w:ascii="宋体" w:hAnsi="宋体"/>
          <w:sz w:val="28"/>
          <w:szCs w:val="28"/>
        </w:rPr>
        <w:t>七、合同授予</w:t>
      </w:r>
    </w:p>
    <w:p w14:paraId="6E668DBF">
      <w:pPr>
        <w:spacing w:before="120" w:line="360" w:lineRule="auto"/>
        <w:ind w:firstLine="560" w:firstLineChars="200"/>
        <w:rPr>
          <w:rFonts w:ascii="宋体" w:hAnsi="宋体"/>
          <w:sz w:val="28"/>
          <w:szCs w:val="28"/>
        </w:rPr>
      </w:pPr>
      <w:r>
        <w:rPr>
          <w:rFonts w:hint="eastAsia" w:ascii="宋体" w:hAnsi="宋体"/>
          <w:sz w:val="28"/>
          <w:szCs w:val="28"/>
        </w:rPr>
        <w:t>八、招标代理费</w:t>
      </w:r>
    </w:p>
    <w:p w14:paraId="7BF919A5">
      <w:pPr>
        <w:spacing w:before="120" w:line="360" w:lineRule="auto"/>
        <w:ind w:firstLine="560" w:firstLineChars="200"/>
        <w:rPr>
          <w:rFonts w:ascii="宋体" w:hAnsi="宋体"/>
          <w:sz w:val="28"/>
          <w:szCs w:val="28"/>
        </w:rPr>
      </w:pPr>
      <w:r>
        <w:rPr>
          <w:rFonts w:hint="eastAsia" w:ascii="宋体" w:hAnsi="宋体"/>
          <w:sz w:val="28"/>
          <w:szCs w:val="28"/>
        </w:rPr>
        <w:t>九、政府采购政策</w:t>
      </w:r>
    </w:p>
    <w:p w14:paraId="1F873A08">
      <w:pPr>
        <w:spacing w:before="120" w:line="360" w:lineRule="auto"/>
        <w:ind w:firstLine="560" w:firstLineChars="200"/>
        <w:rPr>
          <w:rFonts w:ascii="宋体" w:hAnsi="宋体"/>
          <w:sz w:val="28"/>
          <w:szCs w:val="28"/>
        </w:rPr>
      </w:pPr>
      <w:r>
        <w:rPr>
          <w:rFonts w:hint="eastAsia" w:ascii="宋体" w:hAnsi="宋体"/>
          <w:sz w:val="28"/>
          <w:szCs w:val="28"/>
        </w:rPr>
        <w:t>十、解释权</w:t>
      </w:r>
    </w:p>
    <w:p w14:paraId="567419BE">
      <w:pPr>
        <w:spacing w:line="360" w:lineRule="auto"/>
        <w:rPr>
          <w:rFonts w:ascii="宋体" w:hAnsi="宋体"/>
          <w:sz w:val="28"/>
          <w:szCs w:val="28"/>
        </w:rPr>
      </w:pPr>
      <w:r>
        <w:rPr>
          <w:rFonts w:ascii="宋体" w:hAnsi="宋体"/>
          <w:sz w:val="28"/>
          <w:szCs w:val="28"/>
        </w:rPr>
        <w:t xml:space="preserve">第四章  </w:t>
      </w:r>
      <w:r>
        <w:rPr>
          <w:rFonts w:hint="eastAsia" w:ascii="宋体" w:hAnsi="宋体"/>
          <w:sz w:val="28"/>
          <w:szCs w:val="28"/>
        </w:rPr>
        <w:t>评分</w:t>
      </w:r>
      <w:r>
        <w:rPr>
          <w:rFonts w:ascii="宋体" w:hAnsi="宋体"/>
          <w:sz w:val="28"/>
          <w:szCs w:val="28"/>
        </w:rPr>
        <w:t>办法及</w:t>
      </w:r>
      <w:r>
        <w:rPr>
          <w:rFonts w:hint="eastAsia" w:ascii="宋体" w:hAnsi="宋体"/>
          <w:sz w:val="28"/>
          <w:szCs w:val="28"/>
        </w:rPr>
        <w:t>评分</w:t>
      </w:r>
      <w:r>
        <w:rPr>
          <w:rFonts w:ascii="宋体" w:hAnsi="宋体"/>
          <w:sz w:val="28"/>
          <w:szCs w:val="28"/>
        </w:rPr>
        <w:t>标准</w:t>
      </w:r>
    </w:p>
    <w:p w14:paraId="513C1E16">
      <w:pPr>
        <w:spacing w:line="360" w:lineRule="auto"/>
        <w:rPr>
          <w:rFonts w:ascii="宋体" w:hAnsi="宋体"/>
          <w:sz w:val="28"/>
          <w:szCs w:val="28"/>
        </w:rPr>
      </w:pPr>
      <w:r>
        <w:rPr>
          <w:rFonts w:ascii="宋体" w:hAnsi="宋体"/>
          <w:sz w:val="28"/>
          <w:szCs w:val="28"/>
        </w:rPr>
        <w:t>第五章  合同主要条款</w:t>
      </w:r>
    </w:p>
    <w:p w14:paraId="473465C1">
      <w:pPr>
        <w:spacing w:line="360" w:lineRule="auto"/>
        <w:rPr>
          <w:rFonts w:ascii="宋体" w:hAnsi="宋体"/>
          <w:sz w:val="28"/>
          <w:szCs w:val="28"/>
        </w:rPr>
      </w:pPr>
      <w:r>
        <w:rPr>
          <w:rFonts w:ascii="宋体" w:hAnsi="宋体"/>
          <w:sz w:val="28"/>
          <w:szCs w:val="28"/>
        </w:rPr>
        <w:t xml:space="preserve">第六章  </w:t>
      </w:r>
      <w:r>
        <w:rPr>
          <w:rFonts w:hint="eastAsia" w:ascii="宋体" w:hAnsi="宋体"/>
          <w:sz w:val="28"/>
          <w:szCs w:val="28"/>
        </w:rPr>
        <w:t>投标</w:t>
      </w:r>
      <w:r>
        <w:rPr>
          <w:rFonts w:ascii="宋体" w:hAnsi="宋体"/>
          <w:sz w:val="28"/>
          <w:szCs w:val="28"/>
        </w:rPr>
        <w:t>文件</w:t>
      </w:r>
      <w:r>
        <w:rPr>
          <w:rFonts w:hint="eastAsia" w:ascii="宋体" w:hAnsi="宋体"/>
          <w:sz w:val="28"/>
          <w:szCs w:val="28"/>
        </w:rPr>
        <w:t>相关</w:t>
      </w:r>
      <w:r>
        <w:rPr>
          <w:rFonts w:ascii="宋体" w:hAnsi="宋体"/>
          <w:sz w:val="28"/>
          <w:szCs w:val="28"/>
        </w:rPr>
        <w:t>格式</w:t>
      </w:r>
    </w:p>
    <w:p w14:paraId="75846889">
      <w:pPr>
        <w:pStyle w:val="12"/>
      </w:pPr>
    </w:p>
    <w:p w14:paraId="040F6787">
      <w:pPr>
        <w:pStyle w:val="2"/>
        <w:pageBreakBefore/>
        <w:snapToGrid w:val="0"/>
        <w:spacing w:before="120" w:line="336" w:lineRule="auto"/>
        <w:jc w:val="center"/>
        <w:outlineLvl w:val="0"/>
        <w:rPr>
          <w:rFonts w:ascii="黑体" w:hAnsi="宋体" w:eastAsia="黑体"/>
        </w:rPr>
      </w:pPr>
      <w:bookmarkStart w:id="0" w:name="OLE_LINK1"/>
      <w:r>
        <w:rPr>
          <w:rFonts w:hint="eastAsia" w:ascii="黑体" w:hAnsi="宋体" w:eastAsia="黑体"/>
        </w:rPr>
        <w:t xml:space="preserve">第一章 </w:t>
      </w:r>
      <w:r>
        <w:rPr>
          <w:rFonts w:ascii="黑体" w:hAnsi="宋体" w:eastAsia="黑体"/>
        </w:rPr>
        <w:t>采购公告</w:t>
      </w:r>
      <w:bookmarkEnd w:id="0"/>
    </w:p>
    <w:p w14:paraId="4E95D26B">
      <w:pPr>
        <w:pBdr>
          <w:top w:val="single" w:color="auto" w:sz="4" w:space="1"/>
          <w:left w:val="single" w:color="auto" w:sz="4" w:space="4"/>
          <w:bottom w:val="single" w:color="auto" w:sz="4" w:space="1"/>
          <w:right w:val="single" w:color="auto" w:sz="4" w:space="4"/>
        </w:pBdr>
        <w:spacing w:line="336" w:lineRule="auto"/>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项目概况</w:t>
      </w:r>
    </w:p>
    <w:p w14:paraId="6314D33C">
      <w:pPr>
        <w:pBdr>
          <w:top w:val="single" w:color="auto" w:sz="4" w:space="1"/>
          <w:left w:val="single" w:color="auto" w:sz="4" w:space="4"/>
          <w:bottom w:val="single" w:color="auto" w:sz="4" w:space="1"/>
          <w:right w:val="single" w:color="auto" w:sz="4" w:space="4"/>
        </w:pBdr>
        <w:spacing w:line="336" w:lineRule="auto"/>
        <w:ind w:firstLine="420" w:firstLineChars="200"/>
        <w:rPr>
          <w:rFonts w:asciiTheme="minorEastAsia" w:hAnsiTheme="minorEastAsia" w:eastAsiaTheme="minorEastAsia"/>
          <w:kern w:val="0"/>
          <w:szCs w:val="21"/>
          <w:shd w:val="clear" w:color="auto" w:fill="FFFFFF"/>
        </w:rPr>
      </w:pPr>
      <w:r>
        <w:rPr>
          <w:rFonts w:hint="eastAsia" w:cs="宋体" w:asciiTheme="minorEastAsia" w:hAnsiTheme="minorEastAsia" w:eastAsiaTheme="minorEastAsia"/>
          <w:szCs w:val="21"/>
        </w:rPr>
        <w:t> </w:t>
      </w:r>
      <w:r>
        <w:rPr>
          <w:rFonts w:hint="eastAsia" w:cs="宋体" w:asciiTheme="minorEastAsia" w:hAnsiTheme="minorEastAsia" w:eastAsiaTheme="minorEastAsia"/>
          <w:szCs w:val="21"/>
          <w:lang w:eastAsia="zh-CN"/>
        </w:rPr>
        <w:t>嵊泗县医康养联合体综合设备采购项目</w:t>
      </w:r>
      <w:r>
        <w:rPr>
          <w:rFonts w:hint="eastAsia" w:cs="宋体" w:asciiTheme="minorEastAsia" w:hAnsiTheme="minorEastAsia" w:eastAsiaTheme="minorEastAsia"/>
          <w:szCs w:val="21"/>
        </w:rPr>
        <w:t>招标项目的潜在投标人应在政采云平台线上获取获取（下载）招标文件，并于202</w:t>
      </w:r>
      <w:r>
        <w:rPr>
          <w:rFonts w:hint="eastAsia" w:cs="宋体" w:asciiTheme="minorEastAsia" w:hAnsiTheme="minorEastAsia" w:eastAsiaTheme="minorEastAsia"/>
          <w:szCs w:val="21"/>
          <w:lang w:val="en-US" w:eastAsia="zh-CN"/>
        </w:rPr>
        <w:t>5</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3</w:t>
      </w:r>
      <w:r>
        <w:rPr>
          <w:rFonts w:hint="eastAsia" w:cs="宋体" w:asciiTheme="minorEastAsia" w:hAnsiTheme="minorEastAsia" w:eastAsiaTheme="minorEastAsia"/>
          <w:szCs w:val="21"/>
        </w:rPr>
        <w:t>月</w:t>
      </w:r>
      <w:r>
        <w:rPr>
          <w:rFonts w:hint="eastAsia" w:cs="宋体" w:asciiTheme="minorEastAsia" w:hAnsiTheme="minorEastAsia" w:eastAsiaTheme="minorEastAsia"/>
          <w:szCs w:val="21"/>
          <w:lang w:val="en-US" w:eastAsia="zh-CN"/>
        </w:rPr>
        <w:t>27</w:t>
      </w:r>
      <w:r>
        <w:rPr>
          <w:rFonts w:hint="eastAsia" w:cs="宋体" w:asciiTheme="minorEastAsia" w:hAnsiTheme="minorEastAsia" w:eastAsiaTheme="minorEastAsia"/>
          <w:szCs w:val="21"/>
        </w:rPr>
        <w:t>日 14:30（北京时间）前递交（上传）投标文件。</w:t>
      </w:r>
      <w:r>
        <w:rPr>
          <w:rFonts w:hint="eastAsia" w:asciiTheme="minorEastAsia" w:hAnsiTheme="minorEastAsia" w:eastAsiaTheme="minorEastAsia"/>
          <w:kern w:val="0"/>
          <w:szCs w:val="21"/>
          <w:shd w:val="clear" w:color="auto" w:fill="FFFFFF"/>
        </w:rPr>
        <w:t> </w:t>
      </w:r>
    </w:p>
    <w:p w14:paraId="042E23B3">
      <w:pPr>
        <w:pStyle w:val="4"/>
        <w:keepNext w:val="0"/>
        <w:keepLines w:val="0"/>
        <w:widowControl/>
        <w:spacing w:line="336" w:lineRule="auto"/>
        <w:rPr>
          <w:rFonts w:hint="eastAsia" w:cs="宋体" w:asciiTheme="minorEastAsia" w:hAnsiTheme="minorEastAsia" w:eastAsiaTheme="minorEastAsia"/>
          <w:b w:val="0"/>
          <w:color w:val="000000" w:themeColor="text1"/>
          <w:sz w:val="21"/>
          <w:szCs w:val="21"/>
          <w14:textFill>
            <w14:solidFill>
              <w14:schemeClr w14:val="tx1"/>
            </w14:solidFill>
          </w14:textFill>
        </w:rPr>
      </w:pPr>
    </w:p>
    <w:p w14:paraId="682AEB15">
      <w:pPr>
        <w:pStyle w:val="24"/>
        <w:keepNext w:val="0"/>
        <w:keepLines w:val="0"/>
        <w:widowControl/>
        <w:suppressLineNumbers w:val="0"/>
        <w:spacing w:before="300" w:beforeAutospacing="0" w:after="0" w:afterAutospacing="0"/>
        <w:ind w:left="0" w:right="0"/>
        <w:rPr>
          <w:b/>
          <w:bCs/>
          <w:sz w:val="21"/>
          <w:szCs w:val="21"/>
        </w:rPr>
      </w:pPr>
      <w:bookmarkStart w:id="1" w:name="_Hlk20310579"/>
      <w:r>
        <w:rPr>
          <w:rFonts w:ascii="微软雅黑" w:hAnsi="微软雅黑" w:eastAsia="微软雅黑" w:cs="微软雅黑"/>
          <w:b/>
          <w:bCs/>
          <w:i w:val="0"/>
          <w:iCs w:val="0"/>
          <w:caps w:val="0"/>
          <w:color w:val="000000"/>
          <w:spacing w:val="0"/>
          <w:sz w:val="21"/>
          <w:szCs w:val="21"/>
        </w:rPr>
        <w:t>一、项目基本情况</w:t>
      </w:r>
    </w:p>
    <w:p w14:paraId="0B42A18C">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项目编号：ZSJYCG2025-002</w:t>
      </w:r>
    </w:p>
    <w:p w14:paraId="2163F7B6">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项目名称：嵊泗县医康养联合体综合设备采购项目</w:t>
      </w:r>
    </w:p>
    <w:p w14:paraId="36100B93">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预算金额（元）：600000</w:t>
      </w:r>
    </w:p>
    <w:p w14:paraId="5FF2C906">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最高限价（元）：600000</w:t>
      </w:r>
    </w:p>
    <w:p w14:paraId="44C70719">
      <w:pPr>
        <w:keepNext w:val="0"/>
        <w:keepLines w:val="0"/>
        <w:widowControl/>
        <w:suppressLineNumbers w:val="0"/>
        <w:ind w:left="0" w:firstLine="42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采购需求：  </w:t>
      </w:r>
    </w:p>
    <w:p w14:paraId="7E787064">
      <w:pPr>
        <w:pStyle w:val="24"/>
        <w:keepNext w:val="0"/>
        <w:keepLines w:val="0"/>
        <w:widowControl/>
        <w:suppressLineNumbers w:val="0"/>
        <w:spacing w:before="300" w:beforeAutospacing="0" w:after="300" w:afterAutospacing="0" w:line="30" w:lineRule="atLeast"/>
        <w:ind w:left="0" w:right="0"/>
        <w:rPr>
          <w:sz w:val="21"/>
          <w:szCs w:val="21"/>
        </w:rPr>
      </w:pPr>
      <w:r>
        <w:rPr>
          <w:rFonts w:hint="eastAsia" w:ascii="微软雅黑" w:hAnsi="微软雅黑" w:eastAsia="微软雅黑" w:cs="微软雅黑"/>
          <w:i w:val="0"/>
          <w:iCs w:val="0"/>
          <w:caps w:val="0"/>
          <w:color w:val="000000"/>
          <w:spacing w:val="0"/>
          <w:sz w:val="21"/>
          <w:szCs w:val="21"/>
          <w:shd w:val="clear" w:fill="F7F7F7"/>
        </w:rPr>
        <w:t>标项名称：</w:t>
      </w:r>
      <w:r>
        <w:rPr>
          <w:rFonts w:hint="eastAsia" w:ascii="微软雅黑" w:hAnsi="微软雅黑" w:eastAsia="微软雅黑" w:cs="微软雅黑"/>
          <w:b w:val="0"/>
          <w:bCs w:val="0"/>
          <w:i w:val="0"/>
          <w:iCs w:val="0"/>
          <w:caps w:val="0"/>
          <w:color w:val="000000"/>
          <w:spacing w:val="0"/>
          <w:sz w:val="21"/>
          <w:szCs w:val="21"/>
          <w:shd w:val="clear" w:fill="F7F7F7"/>
        </w:rPr>
        <w:t>嵊泗县医康养联合体综合设备采购项目</w:t>
      </w:r>
      <w:r>
        <w:rPr>
          <w:rFonts w:hint="eastAsia" w:ascii="微软雅黑" w:hAnsi="微软雅黑" w:eastAsia="微软雅黑" w:cs="微软雅黑"/>
          <w:i w:val="0"/>
          <w:iCs w:val="0"/>
          <w:caps w:val="0"/>
          <w:color w:val="000000"/>
          <w:spacing w:val="0"/>
          <w:sz w:val="21"/>
          <w:szCs w:val="21"/>
          <w:shd w:val="clear" w:fill="F7F7F7"/>
        </w:rPr>
        <w:t>    </w:t>
      </w:r>
      <w:bookmarkStart w:id="3" w:name="_GoBack"/>
      <w:bookmarkEnd w:id="3"/>
    </w:p>
    <w:p w14:paraId="4466D05C">
      <w:pPr>
        <w:pStyle w:val="24"/>
        <w:keepNext w:val="0"/>
        <w:keepLines w:val="0"/>
        <w:widowControl/>
        <w:suppressLineNumbers w:val="0"/>
        <w:spacing w:before="300" w:beforeAutospacing="0" w:after="300" w:afterAutospacing="0" w:line="30" w:lineRule="atLeast"/>
        <w:ind w:left="0" w:right="0"/>
        <w:rPr>
          <w:sz w:val="21"/>
          <w:szCs w:val="21"/>
        </w:rPr>
      </w:pPr>
      <w:r>
        <w:rPr>
          <w:rFonts w:hint="eastAsia" w:ascii="微软雅黑" w:hAnsi="微软雅黑" w:eastAsia="微软雅黑" w:cs="微软雅黑"/>
          <w:i w:val="0"/>
          <w:iCs w:val="0"/>
          <w:caps w:val="0"/>
          <w:color w:val="000000"/>
          <w:spacing w:val="0"/>
          <w:sz w:val="21"/>
          <w:szCs w:val="21"/>
          <w:shd w:val="clear" w:fill="F7F7F7"/>
        </w:rPr>
        <w:t>数量：</w:t>
      </w:r>
      <w:r>
        <w:rPr>
          <w:rFonts w:hint="eastAsia" w:ascii="微软雅黑" w:hAnsi="微软雅黑" w:eastAsia="微软雅黑" w:cs="微软雅黑"/>
          <w:b w:val="0"/>
          <w:bCs w:val="0"/>
          <w:i w:val="0"/>
          <w:iCs w:val="0"/>
          <w:caps w:val="0"/>
          <w:color w:val="000000"/>
          <w:spacing w:val="0"/>
          <w:sz w:val="21"/>
          <w:szCs w:val="21"/>
          <w:shd w:val="clear" w:fill="F7F7F7"/>
        </w:rPr>
        <w:t>不限</w:t>
      </w:r>
      <w:r>
        <w:rPr>
          <w:rFonts w:hint="eastAsia" w:ascii="微软雅黑" w:hAnsi="微软雅黑" w:eastAsia="微软雅黑" w:cs="微软雅黑"/>
          <w:i w:val="0"/>
          <w:iCs w:val="0"/>
          <w:caps w:val="0"/>
          <w:color w:val="000000"/>
          <w:spacing w:val="0"/>
          <w:sz w:val="21"/>
          <w:szCs w:val="21"/>
          <w:shd w:val="clear" w:fill="F7F7F7"/>
        </w:rPr>
        <w:t>    </w:t>
      </w:r>
    </w:p>
    <w:p w14:paraId="48D5D7FC">
      <w:pPr>
        <w:pStyle w:val="24"/>
        <w:keepNext w:val="0"/>
        <w:keepLines w:val="0"/>
        <w:widowControl/>
        <w:suppressLineNumbers w:val="0"/>
        <w:spacing w:before="300" w:beforeAutospacing="0" w:after="300" w:afterAutospacing="0" w:line="30" w:lineRule="atLeast"/>
        <w:ind w:left="0" w:right="0"/>
        <w:rPr>
          <w:sz w:val="21"/>
          <w:szCs w:val="21"/>
        </w:rPr>
      </w:pPr>
      <w:r>
        <w:rPr>
          <w:rFonts w:hint="eastAsia" w:ascii="微软雅黑" w:hAnsi="微软雅黑" w:eastAsia="微软雅黑" w:cs="微软雅黑"/>
          <w:i w:val="0"/>
          <w:iCs w:val="0"/>
          <w:caps w:val="0"/>
          <w:color w:val="000000"/>
          <w:spacing w:val="0"/>
          <w:sz w:val="21"/>
          <w:szCs w:val="21"/>
          <w:shd w:val="clear" w:fill="F7F7F7"/>
        </w:rPr>
        <w:t>预算金额（元）：</w:t>
      </w:r>
      <w:r>
        <w:rPr>
          <w:rFonts w:hint="eastAsia" w:ascii="微软雅黑" w:hAnsi="微软雅黑" w:eastAsia="微软雅黑" w:cs="微软雅黑"/>
          <w:b w:val="0"/>
          <w:bCs w:val="0"/>
          <w:i w:val="0"/>
          <w:iCs w:val="0"/>
          <w:caps w:val="0"/>
          <w:color w:val="000000"/>
          <w:spacing w:val="0"/>
          <w:sz w:val="21"/>
          <w:szCs w:val="21"/>
          <w:shd w:val="clear" w:fill="F7F7F7"/>
        </w:rPr>
        <w:t>600000</w:t>
      </w:r>
      <w:r>
        <w:rPr>
          <w:rFonts w:hint="eastAsia" w:ascii="微软雅黑" w:hAnsi="微软雅黑" w:eastAsia="微软雅黑" w:cs="微软雅黑"/>
          <w:i w:val="0"/>
          <w:iCs w:val="0"/>
          <w:caps w:val="0"/>
          <w:color w:val="000000"/>
          <w:spacing w:val="0"/>
          <w:sz w:val="21"/>
          <w:szCs w:val="21"/>
          <w:shd w:val="clear" w:fill="F7F7F7"/>
        </w:rPr>
        <w:t>    </w:t>
      </w:r>
    </w:p>
    <w:p w14:paraId="7921E17F">
      <w:pPr>
        <w:pStyle w:val="24"/>
        <w:keepNext w:val="0"/>
        <w:keepLines w:val="0"/>
        <w:widowControl/>
        <w:suppressLineNumbers w:val="0"/>
        <w:spacing w:before="300" w:beforeAutospacing="0" w:after="300" w:afterAutospacing="0" w:line="30" w:lineRule="atLeast"/>
        <w:ind w:left="0" w:right="0"/>
        <w:rPr>
          <w:sz w:val="21"/>
          <w:szCs w:val="21"/>
        </w:rPr>
      </w:pPr>
      <w:r>
        <w:rPr>
          <w:rFonts w:hint="eastAsia" w:ascii="微软雅黑" w:hAnsi="微软雅黑" w:eastAsia="微软雅黑" w:cs="微软雅黑"/>
          <w:i w:val="0"/>
          <w:iCs w:val="0"/>
          <w:caps w:val="0"/>
          <w:color w:val="000000"/>
          <w:spacing w:val="0"/>
          <w:sz w:val="21"/>
          <w:szCs w:val="21"/>
          <w:shd w:val="clear" w:fill="F7F7F7"/>
        </w:rPr>
        <w:t>简要规格描述或项目基本概况介绍、用途：</w:t>
      </w:r>
      <w:r>
        <w:rPr>
          <w:rFonts w:hint="eastAsia" w:ascii="微软雅黑" w:hAnsi="微软雅黑" w:eastAsia="微软雅黑" w:cs="微软雅黑"/>
          <w:b w:val="0"/>
          <w:bCs w:val="0"/>
          <w:i w:val="0"/>
          <w:iCs w:val="0"/>
          <w:caps w:val="0"/>
          <w:color w:val="000000"/>
          <w:spacing w:val="0"/>
          <w:sz w:val="21"/>
          <w:szCs w:val="21"/>
          <w:shd w:val="clear" w:fill="F7F7F7"/>
        </w:rPr>
        <w:t>详见采购文件</w:t>
      </w:r>
      <w:r>
        <w:rPr>
          <w:rFonts w:hint="eastAsia" w:ascii="微软雅黑" w:hAnsi="微软雅黑" w:eastAsia="微软雅黑" w:cs="微软雅黑"/>
          <w:i w:val="0"/>
          <w:iCs w:val="0"/>
          <w:caps w:val="0"/>
          <w:color w:val="000000"/>
          <w:spacing w:val="0"/>
          <w:sz w:val="21"/>
          <w:szCs w:val="21"/>
          <w:shd w:val="clear" w:fill="F7F7F7"/>
        </w:rPr>
        <w:t>    </w:t>
      </w:r>
    </w:p>
    <w:p w14:paraId="1C949232">
      <w:pPr>
        <w:pStyle w:val="24"/>
        <w:keepNext w:val="0"/>
        <w:keepLines w:val="0"/>
        <w:widowControl/>
        <w:suppressLineNumbers w:val="0"/>
        <w:spacing w:before="300" w:beforeAutospacing="0" w:after="300" w:afterAutospacing="0" w:line="30" w:lineRule="atLeast"/>
        <w:ind w:left="0" w:right="0"/>
        <w:rPr>
          <w:sz w:val="21"/>
          <w:szCs w:val="21"/>
        </w:rPr>
      </w:pPr>
      <w:r>
        <w:rPr>
          <w:rFonts w:hint="eastAsia" w:ascii="微软雅黑" w:hAnsi="微软雅黑" w:eastAsia="微软雅黑" w:cs="微软雅黑"/>
          <w:i w:val="0"/>
          <w:iCs w:val="0"/>
          <w:caps w:val="0"/>
          <w:color w:val="000000"/>
          <w:spacing w:val="0"/>
          <w:sz w:val="21"/>
          <w:szCs w:val="21"/>
          <w:shd w:val="clear" w:fill="F7F7F7"/>
        </w:rPr>
        <w:t>备注：    </w:t>
      </w:r>
    </w:p>
    <w:p w14:paraId="7F6A3382">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合同履约期限：标项 1，详见采购文件</w:t>
      </w:r>
    </w:p>
    <w:p w14:paraId="3DE22EF1">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本项目（否）接受联合体投标。</w:t>
      </w:r>
    </w:p>
    <w:p w14:paraId="6927C1E4">
      <w:pPr>
        <w:pStyle w:val="24"/>
        <w:keepNext w:val="0"/>
        <w:keepLines w:val="0"/>
        <w:widowControl/>
        <w:suppressLineNumbers w:val="0"/>
        <w:spacing w:before="300" w:beforeAutospacing="0" w:after="0" w:afterAutospacing="0"/>
        <w:ind w:left="0" w:right="0"/>
        <w:rPr>
          <w:b/>
          <w:bCs/>
          <w:sz w:val="21"/>
          <w:szCs w:val="21"/>
        </w:rPr>
      </w:pPr>
      <w:r>
        <w:rPr>
          <w:rFonts w:hint="eastAsia" w:ascii="微软雅黑" w:hAnsi="微软雅黑" w:eastAsia="微软雅黑" w:cs="微软雅黑"/>
          <w:b/>
          <w:bCs/>
          <w:i w:val="0"/>
          <w:iCs w:val="0"/>
          <w:caps w:val="0"/>
          <w:color w:val="000000"/>
          <w:spacing w:val="0"/>
          <w:sz w:val="21"/>
          <w:szCs w:val="21"/>
        </w:rPr>
        <w:t>二、申请人的资格要求：</w:t>
      </w:r>
    </w:p>
    <w:p w14:paraId="23E43596">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1.满足《中华人民共和国政府采购法》第二十二条规定；未被“信用中国”（www.creditchina.gov.cn)、中国政府采购网（www.ccgp.gov.cn）列入失信被执行人、重大税收违法失信主体、政府采购严重违法失信行为记录名单。</w:t>
      </w:r>
    </w:p>
    <w:p w14:paraId="2F5F2B8A">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2.落实政府采购政策需满足的资格要求：标项1：本项目专门面向中小企业采购，供应商应为中小企业（监狱企业、残疾人福利性单位视同小型、微型企业）。</w:t>
      </w:r>
    </w:p>
    <w:p w14:paraId="79123D26">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3.本项目的特定资格要求：无</w:t>
      </w:r>
    </w:p>
    <w:p w14:paraId="74AC3A1F">
      <w:pPr>
        <w:pStyle w:val="24"/>
        <w:keepNext w:val="0"/>
        <w:keepLines w:val="0"/>
        <w:widowControl/>
        <w:suppressLineNumbers w:val="0"/>
        <w:spacing w:before="300" w:beforeAutospacing="0" w:after="0" w:afterAutospacing="0"/>
        <w:ind w:left="0" w:right="0"/>
        <w:rPr>
          <w:b/>
          <w:bCs/>
          <w:sz w:val="21"/>
          <w:szCs w:val="21"/>
        </w:rPr>
      </w:pPr>
      <w:r>
        <w:rPr>
          <w:rFonts w:hint="eastAsia" w:ascii="微软雅黑" w:hAnsi="微软雅黑" w:eastAsia="微软雅黑" w:cs="微软雅黑"/>
          <w:b/>
          <w:bCs/>
          <w:i w:val="0"/>
          <w:iCs w:val="0"/>
          <w:caps w:val="0"/>
          <w:color w:val="000000"/>
          <w:spacing w:val="0"/>
          <w:sz w:val="21"/>
          <w:szCs w:val="21"/>
        </w:rPr>
        <w:t>三、获取招标文件</w:t>
      </w:r>
    </w:p>
    <w:p w14:paraId="1DF56BE4">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时间：/至2025年03月27日 ，每天上午00:00至12:00 ，下午12:00至23:59（北京时间，线上获取法定节假日均可，线下获取文件法定节假日除外）</w:t>
      </w:r>
    </w:p>
    <w:p w14:paraId="5BF42325">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地点（网址）：政采云平台线上获取</w:t>
      </w:r>
    </w:p>
    <w:p w14:paraId="6508C0C0">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方式：供应商登录政采云平台https://www.zcygov.cn/在线申请获取采购文件（进入“项目采购”应用，在获取采购文件菜单中选择项目，申请获取采购文件）</w:t>
      </w:r>
    </w:p>
    <w:p w14:paraId="2127B1B2">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售价（元）：0</w:t>
      </w:r>
    </w:p>
    <w:p w14:paraId="4D81BFFD">
      <w:pPr>
        <w:pStyle w:val="24"/>
        <w:keepNext w:val="0"/>
        <w:keepLines w:val="0"/>
        <w:widowControl/>
        <w:suppressLineNumbers w:val="0"/>
        <w:spacing w:before="300" w:beforeAutospacing="0" w:after="0" w:afterAutospacing="0"/>
        <w:ind w:left="0" w:right="0"/>
        <w:rPr>
          <w:b/>
          <w:bCs/>
          <w:sz w:val="21"/>
          <w:szCs w:val="21"/>
        </w:rPr>
      </w:pPr>
      <w:r>
        <w:rPr>
          <w:rFonts w:hint="eastAsia" w:ascii="微软雅黑" w:hAnsi="微软雅黑" w:eastAsia="微软雅黑" w:cs="微软雅黑"/>
          <w:b/>
          <w:bCs/>
          <w:i w:val="0"/>
          <w:iCs w:val="0"/>
          <w:caps w:val="0"/>
          <w:color w:val="000000"/>
          <w:spacing w:val="0"/>
          <w:sz w:val="21"/>
          <w:szCs w:val="21"/>
        </w:rPr>
        <w:t>四、提交投标文件截止时间、开标时间和地点</w:t>
      </w:r>
    </w:p>
    <w:p w14:paraId="42A6259D">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提交投标文件截止时间：2025年03月27日 14:30（北京时间）</w:t>
      </w:r>
    </w:p>
    <w:p w14:paraId="7E4FFAD8">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投标地点（网址）：请登录政采云投标客户端投标</w:t>
      </w:r>
    </w:p>
    <w:p w14:paraId="4DF4F267">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开标时间：2025年03月27日 14:30</w:t>
      </w:r>
    </w:p>
    <w:p w14:paraId="0BDA790D">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开标地点（网址）：政采云</w:t>
      </w:r>
    </w:p>
    <w:p w14:paraId="167E4FD0">
      <w:pPr>
        <w:pStyle w:val="24"/>
        <w:keepNext w:val="0"/>
        <w:keepLines w:val="0"/>
        <w:widowControl/>
        <w:suppressLineNumbers w:val="0"/>
        <w:spacing w:before="300" w:beforeAutospacing="0" w:after="0" w:afterAutospacing="0"/>
        <w:ind w:left="0" w:right="0"/>
        <w:rPr>
          <w:b/>
          <w:bCs/>
          <w:sz w:val="21"/>
          <w:szCs w:val="21"/>
        </w:rPr>
      </w:pPr>
      <w:r>
        <w:rPr>
          <w:rFonts w:hint="eastAsia" w:ascii="微软雅黑" w:hAnsi="微软雅黑" w:eastAsia="微软雅黑" w:cs="微软雅黑"/>
          <w:b/>
          <w:bCs/>
          <w:i w:val="0"/>
          <w:iCs w:val="0"/>
          <w:caps w:val="0"/>
          <w:color w:val="000000"/>
          <w:spacing w:val="0"/>
          <w:sz w:val="21"/>
          <w:szCs w:val="21"/>
        </w:rPr>
        <w:t>五、公告期限</w:t>
      </w:r>
    </w:p>
    <w:p w14:paraId="33A9C500">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自本公告发布之日起5个工作日。</w:t>
      </w:r>
    </w:p>
    <w:p w14:paraId="715530BB">
      <w:pPr>
        <w:pStyle w:val="24"/>
        <w:keepNext w:val="0"/>
        <w:keepLines w:val="0"/>
        <w:widowControl/>
        <w:suppressLineNumbers w:val="0"/>
        <w:spacing w:before="300" w:beforeAutospacing="0" w:after="0" w:afterAutospacing="0"/>
        <w:ind w:left="0" w:right="0"/>
        <w:rPr>
          <w:b/>
          <w:bCs/>
          <w:sz w:val="21"/>
          <w:szCs w:val="21"/>
        </w:rPr>
      </w:pPr>
      <w:r>
        <w:rPr>
          <w:rFonts w:hint="eastAsia" w:ascii="微软雅黑" w:hAnsi="微软雅黑" w:eastAsia="微软雅黑" w:cs="微软雅黑"/>
          <w:b/>
          <w:bCs/>
          <w:i w:val="0"/>
          <w:iCs w:val="0"/>
          <w:caps w:val="0"/>
          <w:color w:val="000000"/>
          <w:spacing w:val="0"/>
          <w:sz w:val="21"/>
          <w:szCs w:val="21"/>
        </w:rPr>
        <w:t>六、其他补充事宜</w:t>
      </w:r>
    </w:p>
    <w:p w14:paraId="48C67191">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5C898E49">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1538D0A">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5E95B09">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4.其他事项：（1）响应文件的制作及递交：1）响应人须在线获取CA数字证书（完成CA数字证书办理预计一周左右，建议各响应人自行把握时间），并登录“浙江政府采购网”（ http://zfcg.czt.zj.gov.cn/），进入“下载专区”下载“电子交易客户端”，制作响应文件。2）具体的响应文件加密上传等操作详见政采云平台操作指南（https://edu.zcygov.cn/luban/e-biding?utm=a0004.2ef5001f.0001.0109.da8b35e0da8611e98d8937b7ef8a3544）。3）根据《浙江省政府采购项目电子交易管理暂行办法》第二十条规定，本次响应允许响应人递交备份响应文件，仅提交备份响应文件的，响应无效。（2）响应人应在合同签订前成为浙江政府采购网正式注册供应商。</w:t>
      </w:r>
    </w:p>
    <w:p w14:paraId="37CA0F8B">
      <w:pPr>
        <w:pStyle w:val="24"/>
        <w:keepNext w:val="0"/>
        <w:keepLines w:val="0"/>
        <w:widowControl/>
        <w:suppressLineNumbers w:val="0"/>
        <w:spacing w:before="300" w:beforeAutospacing="0" w:after="0" w:afterAutospacing="0"/>
        <w:ind w:left="0" w:right="0"/>
        <w:rPr>
          <w:b/>
          <w:bCs/>
          <w:sz w:val="21"/>
          <w:szCs w:val="21"/>
        </w:rPr>
      </w:pPr>
      <w:r>
        <w:rPr>
          <w:rFonts w:hint="eastAsia" w:ascii="微软雅黑" w:hAnsi="微软雅黑" w:eastAsia="微软雅黑" w:cs="微软雅黑"/>
          <w:b/>
          <w:bCs/>
          <w:i w:val="0"/>
          <w:iCs w:val="0"/>
          <w:caps w:val="0"/>
          <w:color w:val="000000"/>
          <w:spacing w:val="0"/>
          <w:sz w:val="21"/>
          <w:szCs w:val="21"/>
        </w:rPr>
        <w:t>七、对本次采购提出询问、质疑、投诉，请按以下方式联系</w:t>
      </w:r>
    </w:p>
    <w:p w14:paraId="0C3C0E1C">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1.采购人信息</w:t>
      </w:r>
    </w:p>
    <w:p w14:paraId="0925BD9F">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名    称：嵊泗县残疾人联合会</w:t>
      </w:r>
    </w:p>
    <w:p w14:paraId="3B6F50B7">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地    址：浙江省舟山市嵊泗县菜园镇望海路265号海景大厦2楼</w:t>
      </w:r>
    </w:p>
    <w:p w14:paraId="34F30007">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传    真：</w:t>
      </w:r>
    </w:p>
    <w:p w14:paraId="24370495">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项目联系人（询问）：单豪威</w:t>
      </w:r>
    </w:p>
    <w:p w14:paraId="4BBF04E8">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项目联系方式（询问）：0580-5085415</w:t>
      </w:r>
    </w:p>
    <w:p w14:paraId="37929789">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质疑联系人：毛依儿</w:t>
      </w:r>
    </w:p>
    <w:p w14:paraId="46950EC5">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质疑联系方式：0580-5085415</w:t>
      </w:r>
    </w:p>
    <w:p w14:paraId="6932EDE2">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2.采购代理机构信息</w:t>
      </w:r>
    </w:p>
    <w:p w14:paraId="0053D62F">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名    称：舟山市佳誉工程管理有限公司</w:t>
      </w:r>
    </w:p>
    <w:p w14:paraId="38CC8CEB">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地    址：浙江省舟山市定海区中浪国际B座2102-3</w:t>
      </w:r>
    </w:p>
    <w:p w14:paraId="49DFDF94">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传    真：</w:t>
      </w:r>
    </w:p>
    <w:p w14:paraId="4B5BE0A5">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项目联系人（询问）：陈耿</w:t>
      </w:r>
    </w:p>
    <w:p w14:paraId="7EA51102">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项目联系方式（询问）：0580-2580281</w:t>
      </w:r>
    </w:p>
    <w:p w14:paraId="19D6B3C9">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质疑联系人：柯璐</w:t>
      </w:r>
    </w:p>
    <w:p w14:paraId="6CC1CEE7">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质疑联系方式：0580-2580281</w:t>
      </w:r>
    </w:p>
    <w:p w14:paraId="5DC0B585">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3.</w:t>
      </w:r>
      <w:r>
        <w:rPr>
          <w:rStyle w:val="43"/>
          <w:rFonts w:hint="eastAsia" w:ascii="微软雅黑" w:hAnsi="微软雅黑" w:eastAsia="微软雅黑" w:cs="微软雅黑"/>
          <w:i w:val="0"/>
          <w:iCs w:val="0"/>
          <w:caps w:val="0"/>
          <w:color w:val="000000"/>
          <w:spacing w:val="0"/>
          <w:sz w:val="21"/>
          <w:szCs w:val="21"/>
        </w:rPr>
        <w:t>同级政府采购监督管理部门</w:t>
      </w:r>
    </w:p>
    <w:p w14:paraId="35C21D47">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名    称：嵊泗县财政局政府采购监管科</w:t>
      </w:r>
    </w:p>
    <w:p w14:paraId="05AEDBBB">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地    址：嵊泗县菜园镇海滨中路136号</w:t>
      </w:r>
    </w:p>
    <w:p w14:paraId="2FB9E601">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传    真：0580-5084056</w:t>
      </w:r>
    </w:p>
    <w:p w14:paraId="2F5B4721">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联 系 人：张伟</w:t>
      </w:r>
    </w:p>
    <w:p w14:paraId="6B31B9D3">
      <w:pPr>
        <w:pStyle w:val="24"/>
        <w:keepNext w:val="0"/>
        <w:keepLines w:val="0"/>
        <w:widowControl/>
        <w:suppressLineNumbers w:val="0"/>
        <w:spacing w:before="0" w:beforeAutospacing="0" w:after="0" w:afterAutospacing="0"/>
        <w:ind w:left="0" w:right="0" w:firstLine="420"/>
        <w:rPr>
          <w:sz w:val="21"/>
          <w:szCs w:val="21"/>
        </w:rPr>
      </w:pPr>
      <w:r>
        <w:rPr>
          <w:rFonts w:hint="eastAsia" w:ascii="微软雅黑" w:hAnsi="微软雅黑" w:eastAsia="微软雅黑" w:cs="微软雅黑"/>
          <w:i w:val="0"/>
          <w:iCs w:val="0"/>
          <w:caps w:val="0"/>
          <w:color w:val="000000"/>
          <w:spacing w:val="0"/>
          <w:sz w:val="21"/>
          <w:szCs w:val="21"/>
        </w:rPr>
        <w:t>监督投诉电话：0580-5087363</w:t>
      </w:r>
    </w:p>
    <w:p w14:paraId="0454D50B">
      <w:pPr>
        <w:keepNext w:val="0"/>
        <w:keepLines w:val="0"/>
        <w:widowControl/>
        <w:suppressLineNumbers w:val="0"/>
        <w:ind w:lef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lang w:val="en-US" w:eastAsia="zh-CN" w:bidi="ar"/>
        </w:rPr>
        <w:t> </w:t>
      </w:r>
    </w:p>
    <w:p w14:paraId="1E7CC23B">
      <w:pPr>
        <w:pStyle w:val="24"/>
        <w:keepNext w:val="0"/>
        <w:keepLines w:val="0"/>
        <w:widowControl/>
        <w:suppressLineNumbers w:val="0"/>
        <w:spacing w:before="600" w:beforeAutospacing="0" w:after="0" w:afterAutospacing="0"/>
        <w:ind w:left="0" w:right="0"/>
        <w:rPr>
          <w:sz w:val="21"/>
          <w:szCs w:val="21"/>
        </w:rPr>
      </w:pPr>
      <w:r>
        <w:rPr>
          <w:rFonts w:hint="eastAsia" w:ascii="微软雅黑" w:hAnsi="微软雅黑" w:eastAsia="微软雅黑" w:cs="微软雅黑"/>
          <w:i w:val="0"/>
          <w:iCs w:val="0"/>
          <w:caps w:val="0"/>
          <w:color w:val="000000"/>
          <w:spacing w:val="0"/>
          <w:sz w:val="21"/>
          <w:szCs w:val="21"/>
        </w:rPr>
        <w:t>若对项目采购电子交易系统操作有疑问，可登录政采云（https://www.zcygov.cn/），点击右侧咨询小采，获取采小蜜智能服务管家帮助，或拨打政采云服务热线95763获取热线服务帮助。</w:t>
      </w:r>
    </w:p>
    <w:p w14:paraId="0DF0D597">
      <w:pPr>
        <w:pStyle w:val="24"/>
        <w:keepNext w:val="0"/>
        <w:keepLines w:val="0"/>
        <w:widowControl/>
        <w:suppressLineNumbers w:val="0"/>
        <w:spacing w:before="0" w:beforeAutospacing="0" w:after="0" w:afterAutospacing="0"/>
        <w:ind w:left="0" w:right="0"/>
        <w:rPr>
          <w:sz w:val="21"/>
          <w:szCs w:val="21"/>
        </w:rPr>
      </w:pPr>
      <w:r>
        <w:rPr>
          <w:rFonts w:hint="eastAsia" w:ascii="微软雅黑" w:hAnsi="微软雅黑" w:eastAsia="微软雅黑" w:cs="微软雅黑"/>
          <w:i w:val="0"/>
          <w:iCs w:val="0"/>
          <w:caps w:val="0"/>
          <w:color w:val="000000"/>
          <w:spacing w:val="0"/>
          <w:sz w:val="21"/>
          <w:szCs w:val="21"/>
        </w:rPr>
        <w:t>CA问题联系电话（人工）：汇信CA 400-888-4636；天谷CA 400-087-8198。</w:t>
      </w:r>
    </w:p>
    <w:p w14:paraId="2C0A9C55">
      <w:pPr>
        <w:pStyle w:val="2"/>
        <w:pageBreakBefore/>
        <w:numPr>
          <w:ilvl w:val="0"/>
          <w:numId w:val="3"/>
        </w:numPr>
        <w:snapToGrid w:val="0"/>
        <w:spacing w:before="120" w:line="336" w:lineRule="auto"/>
        <w:jc w:val="center"/>
        <w:outlineLvl w:val="0"/>
        <w:rPr>
          <w:rFonts w:ascii="黑体" w:hAnsi="宋体" w:eastAsia="黑体"/>
        </w:rPr>
      </w:pPr>
      <w:r>
        <w:rPr>
          <w:rFonts w:hint="eastAsia" w:ascii="黑体" w:hAnsi="宋体" w:eastAsia="黑体"/>
        </w:rPr>
        <w:t xml:space="preserve"> 采购需求</w:t>
      </w:r>
    </w:p>
    <w:p w14:paraId="19CC6D4B"/>
    <w:p w14:paraId="020A4711">
      <w:pPr>
        <w:spacing w:line="336" w:lineRule="auto"/>
        <w:rPr>
          <w:rFonts w:ascii="宋体" w:hAnsi="宋体"/>
          <w:b/>
          <w:sz w:val="22"/>
          <w:szCs w:val="22"/>
        </w:rPr>
      </w:pPr>
      <w:r>
        <w:rPr>
          <w:rFonts w:hint="eastAsia" w:ascii="宋体" w:hAnsi="宋体"/>
          <w:b/>
          <w:sz w:val="22"/>
          <w:szCs w:val="22"/>
        </w:rPr>
        <w:t>一、响应人必须响应并承诺下列要求：</w:t>
      </w:r>
    </w:p>
    <w:p w14:paraId="5FB3E9A6">
      <w:pPr>
        <w:spacing w:line="336" w:lineRule="auto"/>
        <w:ind w:firstLine="480" w:firstLineChars="200"/>
        <w:rPr>
          <w:rFonts w:ascii="宋体" w:hAnsi="宋体"/>
          <w:sz w:val="24"/>
          <w:szCs w:val="24"/>
        </w:rPr>
      </w:pPr>
      <w:r>
        <w:rPr>
          <w:rFonts w:hint="eastAsia" w:ascii="宋体" w:hAnsi="宋体"/>
          <w:sz w:val="24"/>
          <w:szCs w:val="24"/>
        </w:rPr>
        <w:t>1、响应人应提供所投标品牌厂商原装、全新的、符合国家及用户提出的有关质量标准的产品和产品。</w:t>
      </w:r>
    </w:p>
    <w:p w14:paraId="47BF093A">
      <w:pPr>
        <w:spacing w:line="336" w:lineRule="auto"/>
        <w:ind w:firstLine="480" w:firstLineChars="200"/>
        <w:rPr>
          <w:rFonts w:ascii="宋体" w:hAnsi="宋体"/>
          <w:sz w:val="24"/>
          <w:szCs w:val="24"/>
        </w:rPr>
      </w:pPr>
      <w:r>
        <w:rPr>
          <w:rFonts w:hint="eastAsia" w:ascii="宋体" w:hAnsi="宋体"/>
          <w:sz w:val="24"/>
          <w:szCs w:val="24"/>
        </w:rPr>
        <w:t>2、所有产品在开箱检验时必须完好，无破损，配置与装箱单相符。</w:t>
      </w:r>
    </w:p>
    <w:p w14:paraId="4643645E">
      <w:pPr>
        <w:spacing w:line="336" w:lineRule="auto"/>
        <w:ind w:firstLine="480" w:firstLineChars="200"/>
        <w:rPr>
          <w:rFonts w:hint="eastAsia" w:ascii="宋体" w:hAnsi="宋体"/>
          <w:sz w:val="24"/>
          <w:szCs w:val="24"/>
        </w:rPr>
      </w:pPr>
      <w:r>
        <w:rPr>
          <w:rFonts w:hint="eastAsia" w:ascii="宋体" w:hAnsi="宋体"/>
          <w:sz w:val="24"/>
          <w:szCs w:val="24"/>
        </w:rPr>
        <w:t>3、响应人投标时所提供的产品如在实际供货时已经废型，如果未能按原价提供更高配置的产品，则按违约处理。</w:t>
      </w:r>
    </w:p>
    <w:p w14:paraId="711BC2E8">
      <w:pPr>
        <w:spacing w:line="336" w:lineRule="auto"/>
        <w:ind w:firstLine="480" w:firstLineChars="200"/>
        <w:rPr>
          <w:rFonts w:hint="default" w:ascii="宋体" w:hAnsi="宋体" w:cs="Times New Roman"/>
          <w:sz w:val="24"/>
          <w:szCs w:val="24"/>
          <w:lang w:eastAsia="zh-CN"/>
        </w:rPr>
      </w:pPr>
      <w:r>
        <w:rPr>
          <w:rFonts w:hint="eastAsia" w:ascii="宋体" w:hAnsi="宋体" w:cs="Times New Roman"/>
          <w:sz w:val="24"/>
          <w:szCs w:val="24"/>
          <w:lang w:val="en-US" w:eastAsia="zh-CN"/>
        </w:rPr>
        <w:t>4、</w:t>
      </w:r>
      <w:r>
        <w:rPr>
          <w:rFonts w:hint="default" w:ascii="宋体" w:hAnsi="宋体" w:cs="Times New Roman"/>
          <w:sz w:val="24"/>
          <w:szCs w:val="24"/>
        </w:rPr>
        <w:t>投标总报价按照</w:t>
      </w:r>
      <w:r>
        <w:rPr>
          <w:rFonts w:hint="eastAsia" w:ascii="宋体" w:hAnsi="宋体" w:cs="Times New Roman"/>
          <w:sz w:val="24"/>
          <w:szCs w:val="24"/>
          <w:lang w:val="en-US" w:eastAsia="zh-CN"/>
        </w:rPr>
        <w:t>招标</w:t>
      </w:r>
      <w:r>
        <w:rPr>
          <w:rFonts w:hint="eastAsia" w:ascii="宋体" w:hAnsi="宋体" w:cs="Times New Roman"/>
          <w:sz w:val="24"/>
          <w:szCs w:val="24"/>
          <w:lang w:eastAsia="zh-CN"/>
        </w:rPr>
        <w:t>文件</w:t>
      </w:r>
      <w:r>
        <w:rPr>
          <w:rFonts w:hint="default" w:ascii="宋体" w:hAnsi="宋体" w:cs="Times New Roman"/>
          <w:sz w:val="24"/>
          <w:szCs w:val="24"/>
        </w:rPr>
        <w:t>提供的工程量清单数量报价，不得减少</w:t>
      </w:r>
      <w:r>
        <w:rPr>
          <w:rFonts w:hint="eastAsia" w:ascii="宋体" w:hAnsi="宋体" w:cs="Times New Roman"/>
          <w:sz w:val="24"/>
          <w:szCs w:val="24"/>
          <w:lang w:eastAsia="zh-CN"/>
        </w:rPr>
        <w:t>，</w:t>
      </w:r>
      <w:r>
        <w:rPr>
          <w:rFonts w:hint="eastAsia" w:ascii="宋体" w:hAnsi="宋体" w:cs="Times New Roman"/>
          <w:sz w:val="24"/>
          <w:szCs w:val="24"/>
        </w:rPr>
        <w:t>清单中所列设备参数为本次采购的基本要求，供应商所投设备货物的技术参数不应低于本项目的技术要求和档次。</w:t>
      </w:r>
    </w:p>
    <w:p w14:paraId="50783F32">
      <w:pPr>
        <w:spacing w:line="336" w:lineRule="auto"/>
        <w:ind w:firstLine="480" w:firstLineChars="200"/>
        <w:rPr>
          <w:rFonts w:hint="eastAsia" w:ascii="宋体" w:hAnsi="宋体" w:cs="Times New Roman"/>
          <w:color w:val="auto"/>
          <w:sz w:val="24"/>
          <w:szCs w:val="24"/>
          <w:lang w:val="en-US" w:eastAsia="zh-CN"/>
        </w:rPr>
      </w:pPr>
      <w:r>
        <w:rPr>
          <w:rFonts w:hint="eastAsia" w:ascii="宋体" w:hAnsi="宋体" w:cs="Times New Roman"/>
          <w:color w:val="auto"/>
          <w:sz w:val="24"/>
          <w:szCs w:val="24"/>
          <w:lang w:val="en-US" w:eastAsia="zh-CN"/>
        </w:rPr>
        <w:t>5、标注“★”参数描述为关键指标，采购需求中★条款要求提供佐证资料的，投标文件中如有要求须按要求提供相关资料复印件并加盖原厂公章，否则视为负偏离。</w:t>
      </w:r>
    </w:p>
    <w:p w14:paraId="702D4A5F">
      <w:pPr>
        <w:pStyle w:val="20"/>
        <w:rPr>
          <w:rFonts w:hint="eastAsia"/>
        </w:rPr>
      </w:pPr>
    </w:p>
    <w:p w14:paraId="6C4858C0">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14B2A198">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49AD8689">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35D03E45">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5DFF8A29">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321F3CE1">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332B59B0">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050AB0BE">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73305FA6">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0739CEB2">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00313C91">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3E052C38">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17D54716">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52A81EF1">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60D0B118">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2E65D407">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224176F5">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4B899FCE">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15A53D42">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pPr>
    </w:p>
    <w:p w14:paraId="59CC81DD">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lang w:val="en-US" w:eastAsia="zh-CN"/>
        </w:rPr>
        <w:sectPr>
          <w:footerReference r:id="rId3" w:type="default"/>
          <w:pgSz w:w="11906" w:h="16838"/>
          <w:pgMar w:top="1104" w:right="1531" w:bottom="1304" w:left="1531" w:header="1304" w:footer="1304" w:gutter="0"/>
          <w:cols w:space="720" w:num="1"/>
        </w:sectPr>
      </w:pPr>
    </w:p>
    <w:p w14:paraId="5989106E">
      <w:pPr>
        <w:pStyle w:val="121"/>
        <w:keepNext w:val="0"/>
        <w:keepLines w:val="0"/>
        <w:pageBreakBefore w:val="0"/>
        <w:kinsoku/>
        <w:wordWrap/>
        <w:overflowPunct/>
        <w:topLinePunct w:val="0"/>
        <w:autoSpaceDE/>
        <w:autoSpaceDN/>
        <w:bidi w:val="0"/>
        <w:adjustRightInd/>
        <w:snapToGrid/>
        <w:spacing w:line="340" w:lineRule="exact"/>
        <w:ind w:left="0" w:leftChars="0" w:firstLine="0" w:firstLineChars="0"/>
        <w:rPr>
          <w:rFonts w:hint="eastAsia"/>
          <w:b/>
          <w:bCs/>
          <w:color w:val="auto"/>
          <w:lang w:val="en-US" w:eastAsia="zh-CN"/>
        </w:rPr>
      </w:pPr>
      <w:r>
        <w:rPr>
          <w:rFonts w:hint="eastAsia"/>
          <w:b/>
          <w:bCs/>
          <w:lang w:val="en-US" w:eastAsia="zh-CN"/>
        </w:rPr>
        <w:t>二、采购项目需求及技术规范和要求</w:t>
      </w:r>
    </w:p>
    <w:tbl>
      <w:tblPr>
        <w:tblStyle w:val="28"/>
        <w:tblW w:w="1430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1"/>
        <w:gridCol w:w="2025"/>
        <w:gridCol w:w="765"/>
        <w:gridCol w:w="825"/>
        <w:gridCol w:w="6802"/>
        <w:gridCol w:w="1002"/>
        <w:gridCol w:w="942"/>
        <w:gridCol w:w="1205"/>
      </w:tblGrid>
      <w:tr w14:paraId="16ED0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4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2589E">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p>
          <w:p w14:paraId="723C4D8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10D58">
            <w:pPr>
              <w:keepNext w:val="0"/>
              <w:keepLines w:val="0"/>
              <w:widowControl/>
              <w:suppressLineNumbers w:val="0"/>
              <w:jc w:val="left"/>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60325</wp:posOffset>
                  </wp:positionH>
                  <wp:positionV relativeFrom="paragraph">
                    <wp:posOffset>-1033145</wp:posOffset>
                  </wp:positionV>
                  <wp:extent cx="1149350" cy="580390"/>
                  <wp:effectExtent l="0" t="0" r="12700" b="10160"/>
                  <wp:wrapNone/>
                  <wp:docPr id="23" name="图片_1"/>
                  <wp:cNvGraphicFramePr/>
                  <a:graphic xmlns:a="http://schemas.openxmlformats.org/drawingml/2006/main">
                    <a:graphicData uri="http://schemas.openxmlformats.org/drawingml/2006/picture">
                      <pic:pic xmlns:pic="http://schemas.openxmlformats.org/drawingml/2006/picture">
                        <pic:nvPicPr>
                          <pic:cNvPr id="23" name="图片_1"/>
                          <pic:cNvPicPr/>
                        </pic:nvPicPr>
                        <pic:blipFill>
                          <a:blip r:embed="rId7"/>
                          <a:stretch>
                            <a:fillRect/>
                          </a:stretch>
                        </pic:blipFill>
                        <pic:spPr>
                          <a:xfrm>
                            <a:off x="0" y="0"/>
                            <a:ext cx="1149350" cy="580390"/>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16" name="AutoShape_1211"/>
                  <wp:cNvGraphicFramePr/>
                  <a:graphic xmlns:a="http://schemas.openxmlformats.org/drawingml/2006/main">
                    <a:graphicData uri="http://schemas.openxmlformats.org/drawingml/2006/picture">
                      <pic:pic xmlns:pic="http://schemas.openxmlformats.org/drawingml/2006/picture">
                        <pic:nvPicPr>
                          <pic:cNvPr id="16" name="AutoShape_1211"/>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36" name="AutoShape_1211_SpCnt_1"/>
                  <wp:cNvGraphicFramePr/>
                  <a:graphic xmlns:a="http://schemas.openxmlformats.org/drawingml/2006/main">
                    <a:graphicData uri="http://schemas.openxmlformats.org/drawingml/2006/picture">
                      <pic:pic xmlns:pic="http://schemas.openxmlformats.org/drawingml/2006/picture">
                        <pic:nvPicPr>
                          <pic:cNvPr id="36" name="AutoShape_1211_SpCnt_1"/>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20" name="AutoShape_1211_SpCnt_2"/>
                  <wp:cNvGraphicFramePr/>
                  <a:graphic xmlns:a="http://schemas.openxmlformats.org/drawingml/2006/main">
                    <a:graphicData uri="http://schemas.openxmlformats.org/drawingml/2006/picture">
                      <pic:pic xmlns:pic="http://schemas.openxmlformats.org/drawingml/2006/picture">
                        <pic:nvPicPr>
                          <pic:cNvPr id="20" name="AutoShape_1211_SpCnt_2"/>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30" name="AutoShape_1211_SpCnt_3"/>
                  <wp:cNvGraphicFramePr/>
                  <a:graphic xmlns:a="http://schemas.openxmlformats.org/drawingml/2006/main">
                    <a:graphicData uri="http://schemas.openxmlformats.org/drawingml/2006/picture">
                      <pic:pic xmlns:pic="http://schemas.openxmlformats.org/drawingml/2006/picture">
                        <pic:nvPicPr>
                          <pic:cNvPr id="30" name="AutoShape_1211_SpCnt_3"/>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17" name="AutoShape_1211_SpCnt_4"/>
                  <wp:cNvGraphicFramePr/>
                  <a:graphic xmlns:a="http://schemas.openxmlformats.org/drawingml/2006/main">
                    <a:graphicData uri="http://schemas.openxmlformats.org/drawingml/2006/picture">
                      <pic:pic xmlns:pic="http://schemas.openxmlformats.org/drawingml/2006/picture">
                        <pic:nvPicPr>
                          <pic:cNvPr id="17" name="AutoShape_1211_SpCnt_4"/>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18" name="AutoShape_1211_SpCnt_5"/>
                  <wp:cNvGraphicFramePr/>
                  <a:graphic xmlns:a="http://schemas.openxmlformats.org/drawingml/2006/main">
                    <a:graphicData uri="http://schemas.openxmlformats.org/drawingml/2006/picture">
                      <pic:pic xmlns:pic="http://schemas.openxmlformats.org/drawingml/2006/picture">
                        <pic:nvPicPr>
                          <pic:cNvPr id="18" name="AutoShape_1211_SpCnt_5"/>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34" name="AutoShape_1211_SpCnt_6"/>
                  <wp:cNvGraphicFramePr/>
                  <a:graphic xmlns:a="http://schemas.openxmlformats.org/drawingml/2006/main">
                    <a:graphicData uri="http://schemas.openxmlformats.org/drawingml/2006/picture">
                      <pic:pic xmlns:pic="http://schemas.openxmlformats.org/drawingml/2006/picture">
                        <pic:nvPicPr>
                          <pic:cNvPr id="34" name="AutoShape_1211_SpCnt_6"/>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19" name="AutoShape_1211_SpCnt_7"/>
                  <wp:cNvGraphicFramePr/>
                  <a:graphic xmlns:a="http://schemas.openxmlformats.org/drawingml/2006/main">
                    <a:graphicData uri="http://schemas.openxmlformats.org/drawingml/2006/picture">
                      <pic:pic xmlns:pic="http://schemas.openxmlformats.org/drawingml/2006/picture">
                        <pic:nvPicPr>
                          <pic:cNvPr id="19" name="AutoShape_1211_SpCnt_7"/>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28" name="AutoShape_1211_SpCnt_8"/>
                  <wp:cNvGraphicFramePr/>
                  <a:graphic xmlns:a="http://schemas.openxmlformats.org/drawingml/2006/main">
                    <a:graphicData uri="http://schemas.openxmlformats.org/drawingml/2006/picture">
                      <pic:pic xmlns:pic="http://schemas.openxmlformats.org/drawingml/2006/picture">
                        <pic:nvPicPr>
                          <pic:cNvPr id="28" name="AutoShape_1211_SpCnt_8"/>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37" name="AutoShape_1211_SpCnt_9"/>
                  <wp:cNvGraphicFramePr/>
                  <a:graphic xmlns:a="http://schemas.openxmlformats.org/drawingml/2006/main">
                    <a:graphicData uri="http://schemas.openxmlformats.org/drawingml/2006/picture">
                      <pic:pic xmlns:pic="http://schemas.openxmlformats.org/drawingml/2006/picture">
                        <pic:nvPicPr>
                          <pic:cNvPr id="37" name="AutoShape_1211_SpCnt_9"/>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21" name="AutoShape_1211_SpCnt_10"/>
                  <wp:cNvGraphicFramePr/>
                  <a:graphic xmlns:a="http://schemas.openxmlformats.org/drawingml/2006/main">
                    <a:graphicData uri="http://schemas.openxmlformats.org/drawingml/2006/picture">
                      <pic:pic xmlns:pic="http://schemas.openxmlformats.org/drawingml/2006/picture">
                        <pic:nvPicPr>
                          <pic:cNvPr id="21" name="AutoShape_1211_SpCnt_10"/>
                          <pic:cNvPicPr/>
                        </pic:nvPicPr>
                        <pic:blipFill>
                          <a:blip r:embed="rId8"/>
                          <a:stretch>
                            <a:fillRect/>
                          </a:stretch>
                        </pic:blipFill>
                        <pic:spPr>
                          <a:xfrm>
                            <a:off x="0" y="0"/>
                            <a:ext cx="255270" cy="189865"/>
                          </a:xfrm>
                          <a:prstGeom prst="rect">
                            <a:avLst/>
                          </a:prstGeom>
                          <a:noFill/>
                          <a:ln>
                            <a:noFill/>
                          </a:ln>
                        </pic:spPr>
                      </pic:pic>
                    </a:graphicData>
                  </a:graphic>
                </wp:anchor>
              </w:drawing>
            </w: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-1730375</wp:posOffset>
                  </wp:positionV>
                  <wp:extent cx="255270" cy="189865"/>
                  <wp:effectExtent l="0" t="0" r="0" b="0"/>
                  <wp:wrapNone/>
                  <wp:docPr id="22" name="AutoShape_1211_SpCnt_11"/>
                  <wp:cNvGraphicFramePr/>
                  <a:graphic xmlns:a="http://schemas.openxmlformats.org/drawingml/2006/main">
                    <a:graphicData uri="http://schemas.openxmlformats.org/drawingml/2006/picture">
                      <pic:pic xmlns:pic="http://schemas.openxmlformats.org/drawingml/2006/picture">
                        <pic:nvPicPr>
                          <pic:cNvPr id="22" name="AutoShape_1211_SpCnt_11"/>
                          <pic:cNvPicPr/>
                        </pic:nvPicPr>
                        <pic:blipFill>
                          <a:blip r:embed="rId8"/>
                          <a:stretch>
                            <a:fillRect/>
                          </a:stretch>
                        </pic:blipFill>
                        <pic:spPr>
                          <a:xfrm>
                            <a:off x="0" y="0"/>
                            <a:ext cx="255270" cy="18986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2D7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办公桌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8E81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1400*1400*750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9A6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1、基材采用实木多层板，</w:t>
            </w:r>
            <w:r>
              <w:rPr>
                <w:rFonts w:hint="eastAsia" w:ascii="宋体" w:hAnsi="宋体" w:cs="Times New Roman"/>
                <w:color w:val="auto"/>
                <w:sz w:val="24"/>
                <w:szCs w:val="24"/>
                <w:lang w:val="en-US" w:eastAsia="zh-CN"/>
              </w:rPr>
              <w:t>★</w:t>
            </w:r>
            <w:r>
              <w:rPr>
                <w:rStyle w:val="133"/>
                <w:sz w:val="21"/>
                <w:szCs w:val="21"/>
                <w:lang w:val="en-US" w:eastAsia="zh-CN" w:bidi="ar"/>
              </w:rPr>
              <w:t>实木多层板符合：GB/T 17657-2022-试件尺寸测量：厚度≥18mm；</w:t>
            </w:r>
            <w:r>
              <w:rPr>
                <w:rStyle w:val="133"/>
                <w:sz w:val="21"/>
                <w:szCs w:val="21"/>
                <w:lang w:val="en-US" w:eastAsia="zh-CN" w:bidi="ar"/>
              </w:rPr>
              <w:br w:type="textWrapping"/>
            </w:r>
            <w:r>
              <w:rPr>
                <w:rStyle w:val="133"/>
                <w:sz w:val="21"/>
                <w:szCs w:val="21"/>
                <w:lang w:val="en-US" w:eastAsia="zh-CN" w:bidi="ar"/>
              </w:rPr>
              <w:t>GB/T 39600-2021-甲醛释放量(气候箱法）E0级≤0.05mg/m³；</w:t>
            </w:r>
            <w:r>
              <w:rPr>
                <w:rStyle w:val="133"/>
                <w:sz w:val="21"/>
                <w:szCs w:val="21"/>
                <w:lang w:val="en-US" w:eastAsia="zh-CN" w:bidi="ar"/>
              </w:rPr>
              <w:br w:type="textWrapping"/>
            </w:r>
            <w:r>
              <w:rPr>
                <w:rStyle w:val="133"/>
                <w:sz w:val="21"/>
                <w:szCs w:val="21"/>
                <w:lang w:val="en-US" w:eastAsia="zh-CN" w:bidi="ar"/>
              </w:rPr>
              <w:t xml:space="preserve">GB/T 9846-2015（阔叶树材Ⅲ类）-含水率≤9.9%；胶合强度≥1.5MPa；静曲强度（顺纹≥50MPa，横纹）；弹性模量（顺纹≥6000MPa，横纹）；GB/T 35601-2017-挥发性有机化合物（72h）：苯≤1μg/m³；甲苯≤4μg/m³；二甲苯≤3μg/m³；总挥发性有机化合物（TVOC）未检出；GB 8624-2012-平板状建筑材料及制品的燃烧性能等级：B1(C)级：单体燃烧试验：燃烧增长速率指数FIGRA0.4MJ（W/s）&lt;215W/s；600s的总放热量THR600(MJ)&lt;8MJ；可燃性：60s内焰尖高度＜150mm；60s内无燃烧滴落物引燃滤纸现象；QB/T 4371-2012-抗菌性能：枯草芽孢杆菌、乙型副伤寒沙门氏菌 、表皮葡萄球菌、鼠伤寒沙门氏菌 、痤疮丙酸杆菌、金黄色葡萄球菌、肺炎克雷伯氏菌、铜绿假单胞菌、产气肠杆菌 、福氏志贺氏菌，抑菌率均&gt;99%；JC/T 2039-2010-抗菌防霉性能（防霉性能）：绳状青霉、宛氏拟青霉、绿色木霉、出芽短梗霉、球毛壳、巴西曲霉、可可球二孢、变幻青霉、桔灰青霉、链格孢，防霉菌等级均0级； 提供具有CMA或CNAS资质的检测机构出具的检测报告。  </w:t>
            </w:r>
            <w:r>
              <w:rPr>
                <w:rStyle w:val="147"/>
                <w:sz w:val="21"/>
                <w:szCs w:val="21"/>
                <w:lang w:val="en-US" w:eastAsia="zh-CN" w:bidi="ar"/>
              </w:rPr>
              <w:t xml:space="preserve">                                                                             2、面材：三聚氰胺双面饰面,质量符合GB/T 34722-2017《浸渍胶膜纸饰面胶合板和细木工板》、GB 18580-2017《室内装饰装修材料 人造板及其制品中甲醛释放限量》、GB/T 35601-2017《绿色产品评价 人造板和木质地板》标准。</w:t>
            </w:r>
            <w:r>
              <w:rPr>
                <w:rStyle w:val="147"/>
                <w:sz w:val="21"/>
                <w:szCs w:val="21"/>
                <w:lang w:val="en-US" w:eastAsia="zh-CN" w:bidi="ar"/>
              </w:rPr>
              <w:br w:type="textWrapping"/>
            </w:r>
            <w:r>
              <w:rPr>
                <w:rStyle w:val="147"/>
                <w:sz w:val="21"/>
                <w:szCs w:val="21"/>
                <w:lang w:val="en-US" w:eastAsia="zh-CN" w:bidi="ar"/>
              </w:rPr>
              <w:t>3、封边：优质优质PVC条纹封边，厚度2mm，符合QB/T 4463-2013。</w:t>
            </w:r>
            <w:r>
              <w:rPr>
                <w:rStyle w:val="147"/>
                <w:sz w:val="21"/>
                <w:szCs w:val="21"/>
                <w:lang w:val="en-US" w:eastAsia="zh-CN" w:bidi="ar"/>
              </w:rPr>
              <w:br w:type="textWrapping"/>
            </w:r>
            <w:r>
              <w:rPr>
                <w:rStyle w:val="147"/>
                <w:sz w:val="21"/>
                <w:szCs w:val="21"/>
                <w:lang w:val="en-US" w:eastAsia="zh-CN" w:bidi="ar"/>
              </w:rPr>
              <w:t>4、五金配件：采用不锈钢抗盐雾五金配件。钢制脚。台面离墙部位挂出。</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592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C3E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B5E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r>
      <w:tr w14:paraId="4B5FF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3DB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6B3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-611505</wp:posOffset>
                  </wp:positionV>
                  <wp:extent cx="865505" cy="1462405"/>
                  <wp:effectExtent l="0" t="0" r="0" b="4445"/>
                  <wp:wrapNone/>
                  <wp:docPr id="32" name="图片_3"/>
                  <wp:cNvGraphicFramePr/>
                  <a:graphic xmlns:a="http://schemas.openxmlformats.org/drawingml/2006/main">
                    <a:graphicData uri="http://schemas.openxmlformats.org/drawingml/2006/picture">
                      <pic:pic xmlns:pic="http://schemas.openxmlformats.org/drawingml/2006/picture">
                        <pic:nvPicPr>
                          <pic:cNvPr id="32" name="图片_3"/>
                          <pic:cNvPicPr/>
                        </pic:nvPicPr>
                        <pic:blipFill>
                          <a:blip r:embed="rId9"/>
                          <a:stretch>
                            <a:fillRect/>
                          </a:stretch>
                        </pic:blipFill>
                        <pic:spPr>
                          <a:xfrm>
                            <a:off x="0" y="0"/>
                            <a:ext cx="865505" cy="146240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952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办公椅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725D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座椅宽度：670</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座椅深度：650</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座椅高度：1020-1100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708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·黑色尼龙加玻纤背架，带活动腰靠</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·座定型海绵</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·PP固定扶手</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·低配固定座胶（黑色）</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·小曲6孔底盘（一级锁定）</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·采用10cm缩管10cm黑色烤漆气压棒</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·343H耐纤椅脚（黑色）</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·N60-4万向轮，尼龙加纤</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面料：椅背采用优质高弹性透气网，确保5年不变形。椅座采用优质面料。布料均采用3M防污处理及防火处理（即不助燃处理）。3M包括放油污，防泼水，防磨损。布料已通过色牢度，耐磨擦，甲醛，阻燃等多项专业检测。</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78B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ADC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42A2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r>
      <w:tr w14:paraId="4835B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6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DC0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A1C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-1264285</wp:posOffset>
                  </wp:positionV>
                  <wp:extent cx="1060450" cy="2358390"/>
                  <wp:effectExtent l="0" t="0" r="6350" b="3810"/>
                  <wp:wrapNone/>
                  <wp:docPr id="24" name="图片_73"/>
                  <wp:cNvGraphicFramePr/>
                  <a:graphic xmlns:a="http://schemas.openxmlformats.org/drawingml/2006/main">
                    <a:graphicData uri="http://schemas.openxmlformats.org/drawingml/2006/picture">
                      <pic:pic xmlns:pic="http://schemas.openxmlformats.org/drawingml/2006/picture">
                        <pic:nvPicPr>
                          <pic:cNvPr id="24" name="图片_73"/>
                          <pic:cNvPicPr/>
                        </pic:nvPicPr>
                        <pic:blipFill>
                          <a:blip r:embed="rId10"/>
                          <a:stretch>
                            <a:fillRect/>
                          </a:stretch>
                        </pic:blipFill>
                        <pic:spPr>
                          <a:xfrm>
                            <a:off x="0" y="0"/>
                            <a:ext cx="1060450" cy="235839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67F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文件柜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41C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800*400*2000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2E0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1、基材采用实木多层板，实木多层板符合：GB/T 17657-2022-试件尺寸测量：厚度≥18mm；</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39600-2021-甲醛释放量(气候箱法）E0级≤0.05mg/m³；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9846-2015（阔叶树材Ⅲ类）-含水率≤9.9%；胶合强度≥1.5MPa；静曲强度（顺纹≥50MPa，横纹）；弹性模量（顺纹≥6000MPa，横纹）；GB/T 35601-2017-挥发性有机化合物（72h）：苯≤1μg/m³；甲苯≤4μg/m³；二甲苯≤3μg/m³；总挥发性有机化合物（TVOC）未检出；GB 8624-2012-平板状建筑材料及制品的燃烧性能等级：B1(C)级：单体燃烧试验：燃烧增长速率指数FIGRA0.4MJ（W/s）&lt;215W/s；600s的总放热量THR600(MJ)&lt;8MJ；可燃性：60s内焰尖高度＜150mm；60s内无燃烧滴落物引燃滤纸现象；QB/T 4371-2012-抗菌性能：枯草芽孢杆菌、乙型副伤寒沙门氏菌 、表皮葡萄球菌、鼠伤寒沙门氏菌 、痤疮丙酸杆菌、金黄色葡萄球菌、肺炎克雷伯氏菌、铜绿假单胞菌、产气肠杆菌 、福氏志贺氏菌，抑菌率均&gt;99%；JC/T 2039-2010-抗菌防霉性能（防霉性能）：绳状青霉、宛氏拟青霉、绿色木霉、出芽短梗霉、球毛壳、巴西曲霉、可可球二孢、变幻青霉、桔灰青霉、链格孢，防霉菌等级均0级；                                                                                2、面材：三聚氰胺双面饰面,质量符合GB/T 34722-2017《浸渍胶膜纸饰面胶合板和细木工板》、GB 18580-2017《室内装饰装修材料 人造板及其制品中甲醛释放限量》、GB/T 35601-2017《绿色产品评价 人造板和木质地板》标准。</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3、封边：优质优质PVC条纹封边，厚度2mm，符合QB/T 4463-2013。</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4、五金配件：采用不锈钢抗盐雾五金配件。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2F1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C71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组</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596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r>
      <w:tr w14:paraId="4EF81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39BA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39E7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157480</wp:posOffset>
                  </wp:positionH>
                  <wp:positionV relativeFrom="paragraph">
                    <wp:posOffset>177165</wp:posOffset>
                  </wp:positionV>
                  <wp:extent cx="909320" cy="878205"/>
                  <wp:effectExtent l="0" t="0" r="5080" b="17145"/>
                  <wp:wrapNone/>
                  <wp:docPr id="26" name="图片_30"/>
                  <wp:cNvGraphicFramePr/>
                  <a:graphic xmlns:a="http://schemas.openxmlformats.org/drawingml/2006/main">
                    <a:graphicData uri="http://schemas.openxmlformats.org/drawingml/2006/picture">
                      <pic:pic xmlns:pic="http://schemas.openxmlformats.org/drawingml/2006/picture">
                        <pic:nvPicPr>
                          <pic:cNvPr id="26" name="图片_30"/>
                          <pic:cNvPicPr/>
                        </pic:nvPicPr>
                        <pic:blipFill>
                          <a:blip r:embed="rId11"/>
                          <a:stretch>
                            <a:fillRect/>
                          </a:stretch>
                        </pic:blipFill>
                        <pic:spPr>
                          <a:xfrm>
                            <a:off x="0" y="0"/>
                            <a:ext cx="909320" cy="87820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A30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653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1200*2000*1000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9A8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w:t>
            </w:r>
            <w:r>
              <w:rPr>
                <w:rFonts w:hint="eastAsia" w:ascii="宋体" w:hAnsi="宋体" w:cs="Times New Roman"/>
                <w:color w:val="auto"/>
                <w:sz w:val="24"/>
                <w:szCs w:val="24"/>
                <w:lang w:val="en-US" w:eastAsia="zh-CN"/>
              </w:rPr>
              <w:t>★</w:t>
            </w:r>
            <w:r>
              <w:rPr>
                <w:rStyle w:val="133"/>
                <w:sz w:val="21"/>
                <w:szCs w:val="21"/>
                <w:lang w:val="en-US" w:eastAsia="zh-CN" w:bidi="ar"/>
              </w:rPr>
              <w:t>采用E0级浸渍胶膜纸饰面胶合板：GB/T9846-2015 含水率 5-14%，</w:t>
            </w:r>
            <w:r>
              <w:rPr>
                <w:rStyle w:val="133"/>
                <w:sz w:val="21"/>
                <w:szCs w:val="21"/>
                <w:lang w:val="en-US" w:eastAsia="zh-CN" w:bidi="ar"/>
              </w:rPr>
              <w:br w:type="textWrapping"/>
            </w:r>
            <w:r>
              <w:rPr>
                <w:rStyle w:val="133"/>
                <w:sz w:val="21"/>
                <w:szCs w:val="21"/>
                <w:lang w:val="en-US" w:eastAsia="zh-CN" w:bidi="ar"/>
              </w:rPr>
              <w:t>GB18580-2017 GB/T 39600-2021 甲醛释放量≤0.05mg/m³，</w:t>
            </w:r>
            <w:r>
              <w:rPr>
                <w:rStyle w:val="133"/>
                <w:sz w:val="21"/>
                <w:szCs w:val="21"/>
                <w:lang w:val="en-US" w:eastAsia="zh-CN" w:bidi="ar"/>
              </w:rPr>
              <w:br w:type="textWrapping"/>
            </w:r>
            <w:r>
              <w:rPr>
                <w:rStyle w:val="133"/>
                <w:sz w:val="21"/>
                <w:szCs w:val="21"/>
                <w:lang w:val="en-US" w:eastAsia="zh-CN" w:bidi="ar"/>
              </w:rPr>
              <w:t>GB/T 40493-2021 人造板饰面中有害物质限量重金属元素含量：铅镉铬汞未检出，</w:t>
            </w:r>
            <w:r>
              <w:rPr>
                <w:rStyle w:val="133"/>
                <w:sz w:val="21"/>
                <w:szCs w:val="21"/>
                <w:lang w:val="en-US" w:eastAsia="zh-CN" w:bidi="ar"/>
              </w:rPr>
              <w:br w:type="textWrapping"/>
            </w:r>
            <w:r>
              <w:rPr>
                <w:rStyle w:val="133"/>
                <w:sz w:val="21"/>
                <w:szCs w:val="21"/>
                <w:lang w:val="en-US" w:eastAsia="zh-CN" w:bidi="ar"/>
              </w:rPr>
              <w:t xml:space="preserve">GB/T42898-2023 总半挥发性有机化合物(SVOC)释放量未检出；提供具有CMA或CNAS资质的检测机构出具的检测报告。       </w:t>
            </w:r>
            <w:r>
              <w:rPr>
                <w:rStyle w:val="147"/>
                <w:sz w:val="21"/>
                <w:szCs w:val="21"/>
                <w:lang w:val="en-US" w:eastAsia="zh-CN" w:bidi="ar"/>
              </w:rPr>
              <w:t xml:space="preserve">                                    面材：E1级三聚氰胺板,质量符合GB/T 3324-2017标准；                                                      封边：优质PVC条纹封边，厚度2mm，                                                                      五金配件：采用不锈钢抗盐雾五金配件。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710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93C7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F8D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r>
      <w:tr w14:paraId="10F05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843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5C9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92075</wp:posOffset>
                  </wp:positionH>
                  <wp:positionV relativeFrom="paragraph">
                    <wp:posOffset>317500</wp:posOffset>
                  </wp:positionV>
                  <wp:extent cx="982980" cy="925195"/>
                  <wp:effectExtent l="0" t="0" r="7620" b="8255"/>
                  <wp:wrapNone/>
                  <wp:docPr id="31" name="图片_1_SpCnt_1"/>
                  <wp:cNvGraphicFramePr/>
                  <a:graphic xmlns:a="http://schemas.openxmlformats.org/drawingml/2006/main">
                    <a:graphicData uri="http://schemas.openxmlformats.org/drawingml/2006/picture">
                      <pic:pic xmlns:pic="http://schemas.openxmlformats.org/drawingml/2006/picture">
                        <pic:nvPicPr>
                          <pic:cNvPr id="31" name="图片_1_SpCnt_1"/>
                          <pic:cNvPicPr/>
                        </pic:nvPicPr>
                        <pic:blipFill>
                          <a:blip r:embed="rId12"/>
                          <a:stretch>
                            <a:fillRect/>
                          </a:stretch>
                        </pic:blipFill>
                        <pic:spPr>
                          <a:xfrm>
                            <a:off x="0" y="0"/>
                            <a:ext cx="982980" cy="92519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244D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床垫</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059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1200*2000*8公分</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732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3E椰棕芯床垫：无胶水，天然棕，软硬适中，8公分厚；▲3E椰棕芯床垫符合：GB/T24253-2009 防螨驱避率≥80%。</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GB/T20944.1-2007 具有抑菌带宽度-大肠埃希氏菌(大肠杆菌）。</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24346-2009 防霉性能等级-黑曲霉0级。</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35607-2017 产品有害物质-纺织品中五氯苯酚(PCP)-其他≤0.05mg/kg。提供具有CMA或CNAS资质的检测机构出具的检测报告。</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ACCD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911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9D0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w:t>
            </w:r>
          </w:p>
        </w:tc>
      </w:tr>
      <w:tr w14:paraId="2B43E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7AA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A34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drawing>
                <wp:inline distT="0" distB="0" distL="114300" distR="114300">
                  <wp:extent cx="1178560" cy="982345"/>
                  <wp:effectExtent l="0" t="0" r="2540" b="8255"/>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13"/>
                          <a:stretch>
                            <a:fillRect/>
                          </a:stretch>
                        </pic:blipFill>
                        <pic:spPr>
                          <a:xfrm>
                            <a:off x="0" y="0"/>
                            <a:ext cx="1178560" cy="982345"/>
                          </a:xfrm>
                          <a:prstGeom prst="rect">
                            <a:avLst/>
                          </a:prstGeom>
                          <a:noFill/>
                          <a:ln w="9525">
                            <a:noFill/>
                          </a:ln>
                        </pic:spPr>
                      </pic:pic>
                    </a:graphicData>
                  </a:graphic>
                </wp:inline>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335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书桌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D8E7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1200*600*750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1E9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基材:采用E0级浸渍胶膜纸饰面胶合板：GB/T9846-2015 含水率 5-14%，</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GB18580-2017 GB/T 39600-2021 甲醛释放量≤0.05mg/m³，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40493-2021 人造板饰面中有害物质限量重金属元素含量：铅镉铬汞未检出，</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GB/T42898-2023 总半挥发性有机化合物(SVOC)释放量未检出；                 面材：E1级三聚氰胺板,质量符合GB/T 3324-2017标准；                                                      封边：优质PVC条纹封边，厚度2mm，                                                                      五金配件：采用不锈钢抗盐雾五金配件。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EDC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1A7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9F8A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w:t>
            </w:r>
          </w:p>
        </w:tc>
      </w:tr>
      <w:tr w14:paraId="6D935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688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31A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drawing>
                <wp:inline distT="0" distB="0" distL="114300" distR="114300">
                  <wp:extent cx="1223645" cy="1019810"/>
                  <wp:effectExtent l="0" t="0" r="14605" b="8890"/>
                  <wp:docPr id="3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IMG_257"/>
                          <pic:cNvPicPr>
                            <a:picLocks noChangeAspect="1"/>
                          </pic:cNvPicPr>
                        </pic:nvPicPr>
                        <pic:blipFill>
                          <a:blip r:embed="rId13"/>
                          <a:stretch>
                            <a:fillRect/>
                          </a:stretch>
                        </pic:blipFill>
                        <pic:spPr>
                          <a:xfrm>
                            <a:off x="0" y="0"/>
                            <a:ext cx="1223645" cy="1019810"/>
                          </a:xfrm>
                          <a:prstGeom prst="rect">
                            <a:avLst/>
                          </a:prstGeom>
                          <a:noFill/>
                          <a:ln w="9525">
                            <a:noFill/>
                          </a:ln>
                        </pic:spPr>
                      </pic:pic>
                    </a:graphicData>
                  </a:graphic>
                </wp:inline>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367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书桌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74B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1000*600*750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E833">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基材:采用E0级浸渍胶膜纸饰面胶合板：GB/T9846-2015 含水率 5-14%，</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GB18580-2017 GB/T 39600-2021 甲醛释放量≤0.05mg/m³，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40493-2021 人造板饰面中有害物质限量重金属元素含量：铅镉铬汞未检出，</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GB/T42898-2023 总半挥发性有机化合物(SVOC)释放量未检出；                 面材：E1级三聚氰胺板,质量符合GB/T 3324-2017标准；                                                      封边：优质PVC条纹封边，厚度2mm，                                                                      五金配件：采用不锈钢抗盐雾五金配件。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132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5E6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926C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r>
      <w:tr w14:paraId="19596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750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F615">
            <w:pPr>
              <w:keepNext w:val="0"/>
              <w:keepLines w:val="0"/>
              <w:widowControl/>
              <w:suppressLineNumbers w:val="0"/>
              <w:jc w:val="center"/>
              <w:textAlignment w:val="center"/>
              <w:rPr>
                <w:rFonts w:ascii="楷体" w:hAnsi="楷体" w:eastAsia="楷体" w:cs="楷体"/>
                <w:b/>
                <w:bCs/>
                <w:i w:val="0"/>
                <w:iCs w:val="0"/>
                <w:color w:val="000000"/>
                <w:sz w:val="21"/>
                <w:szCs w:val="21"/>
                <w:u w:val="none"/>
              </w:rPr>
            </w:pPr>
            <w:r>
              <w:rPr>
                <w:rFonts w:hint="eastAsia" w:ascii="楷体" w:hAnsi="楷体" w:eastAsia="楷体" w:cs="楷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156210</wp:posOffset>
                  </wp:positionH>
                  <wp:positionV relativeFrom="paragraph">
                    <wp:posOffset>31115</wp:posOffset>
                  </wp:positionV>
                  <wp:extent cx="563880" cy="1582420"/>
                  <wp:effectExtent l="0" t="0" r="7620" b="17780"/>
                  <wp:wrapNone/>
                  <wp:docPr id="27" name="图片_15"/>
                  <wp:cNvGraphicFramePr/>
                  <a:graphic xmlns:a="http://schemas.openxmlformats.org/drawingml/2006/main">
                    <a:graphicData uri="http://schemas.openxmlformats.org/drawingml/2006/picture">
                      <pic:pic xmlns:pic="http://schemas.openxmlformats.org/drawingml/2006/picture">
                        <pic:nvPicPr>
                          <pic:cNvPr id="27" name="图片_15"/>
                          <pic:cNvPicPr/>
                        </pic:nvPicPr>
                        <pic:blipFill>
                          <a:blip r:embed="rId14"/>
                          <a:stretch>
                            <a:fillRect/>
                          </a:stretch>
                        </pic:blipFill>
                        <pic:spPr>
                          <a:xfrm>
                            <a:off x="0" y="0"/>
                            <a:ext cx="563880" cy="158242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567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衣柜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7BD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900*600*2000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794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基材:采用E0级浸渍胶膜纸饰面胶合板：GB/T9846-2015 含水率 5-14%，</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GB18580-2017 GB/T 39600-2021 甲醛释放量≤0.05mg/m³，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40493-2021 人造板饰面中有害物质限量重金属元素含量：铅镉铬汞未检出，</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GB/T42898-2023 总半挥发性有机化合物(SVOC)释放量未检出；                 面材：E1级三聚氰胺板,质量符合GB/T 3324-2017标准；                                                      封边：优质PVC条纹封边，厚度2mm，                                                                      五金配件：采用不锈钢抗盐雾五金配件。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C51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64E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件</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7FC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r>
      <w:tr w14:paraId="2A827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317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384175</wp:posOffset>
                  </wp:positionH>
                  <wp:positionV relativeFrom="paragraph">
                    <wp:posOffset>91440</wp:posOffset>
                  </wp:positionV>
                  <wp:extent cx="1337310" cy="651510"/>
                  <wp:effectExtent l="0" t="0" r="15240" b="15240"/>
                  <wp:wrapNone/>
                  <wp:docPr id="29" name="图片_1_SpCnt_2"/>
                  <wp:cNvGraphicFramePr/>
                  <a:graphic xmlns:a="http://schemas.openxmlformats.org/drawingml/2006/main">
                    <a:graphicData uri="http://schemas.openxmlformats.org/drawingml/2006/picture">
                      <pic:pic xmlns:pic="http://schemas.openxmlformats.org/drawingml/2006/picture">
                        <pic:nvPicPr>
                          <pic:cNvPr id="29" name="图片_1_SpCnt_2"/>
                          <pic:cNvPicPr/>
                        </pic:nvPicPr>
                        <pic:blipFill>
                          <a:blip r:embed="rId15"/>
                          <a:stretch>
                            <a:fillRect/>
                          </a:stretch>
                        </pic:blipFill>
                        <pic:spPr>
                          <a:xfrm>
                            <a:off x="0" y="0"/>
                            <a:ext cx="1337310" cy="651510"/>
                          </a:xfrm>
                          <a:prstGeom prst="rect">
                            <a:avLst/>
                          </a:prstGeom>
                          <a:noFill/>
                          <a:ln>
                            <a:noFill/>
                          </a:ln>
                        </pic:spPr>
                      </pic:pic>
                    </a:graphicData>
                  </a:graphic>
                </wp:anchor>
              </w:drawing>
            </w:r>
            <w:r>
              <w:rPr>
                <w:rFonts w:hint="eastAsia" w:ascii="宋体" w:hAnsi="宋体" w:eastAsia="宋体" w:cs="宋体"/>
                <w:b/>
                <w:bCs/>
                <w:i w:val="0"/>
                <w:iCs w:val="0"/>
                <w:color w:val="000000"/>
                <w:kern w:val="0"/>
                <w:sz w:val="21"/>
                <w:szCs w:val="21"/>
                <w:u w:val="none"/>
                <w:lang w:val="en-US" w:eastAsia="zh-CN" w:bidi="ar"/>
              </w:rPr>
              <w:t>9</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F95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218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护理床</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890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2150*960*500mm</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EF3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1、规格：2150*960*500mm</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床头床尾：床头床尾采用优质ABS高级工程塑料注塑而成,要求两片注塑成型后粘接，内置30*20*1.2mm镀锌钢管与挂勾相连接，以此增加抗拉强度延长使用期限。床头尺寸960*490*66mm,单个床头的总重量不少于4.5kg，外形美观，表面光滑平整，装卸自如，坚固可靠，耐腐蚀抗老化便于清洁；床头两侧设有自动锁紧装置防止床头脱落。床头尾板拆卸方便可兼做CPR急救功能；床尾板外侧设有注塑成型的透明工程塑料患者信息卡插槽，要求用透明材料注塑成型尺寸：160*90*20mm，中间一个大卡槽，右侧两个小卡槽，便于识别病人信息。</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床面：要求采用冷轧钢板一次冲压成型四角为圆角R25，R角不能带工艺孔，板材厚度≥1.0mm。床面拉伸R角光滑平整具有多孔设计，便于透气，要有并有凹凸防滑功能，床面为四片设计，尼龙垫片以减少噪音，背部床板为双支撑结构钢管尺寸为：25*25*1.2mm，与双支撑钢管连接的横向钢管要求φ32*3mm厚，均匀分散压力,起放平稳可靠；</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床架：要求采用30*60*1.2mm优质矩型钢管焊接而成，对角各设一个输液架插孔,床框两侧底部各设一个双头尼龙注塑成型或钢制引流勾，承载重量≥8kg，采用全自动焊接机器人群组，焊点均匀，规范标准，无开焊漏焊现象。</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5、整床调节功能：背部最大升降角度0º-75º之间可任意升降，腿部最大升降角度0º-45º之间可任意升降；床体承载重量≥240kg；</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6、金属表面处理：要求钢砂除锈工艺具有内外防锈处理工艺，表面静电粉末喷塑，全自动喷涂流水线作业，抗冲击不生锈。</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7、护栏：铝合金折叠护栏：护栏上横管为1.2mm厚航天铝型材，六支不锈钢支柱，上下支住固定座为2.0厚冷轧钢板冲压成型。下横管为30X30*1.5mm方管，上下支柱与上下横管连接用专制的空心铆钉固定而成，转动灵活，坚固耐用。手按单按键快速定位,操作简便；不使用时可轻松放下，具有防夹手功能，钢管表面采用钢砂除锈新工艺表面静电粉末喷塑，抗冲击不生锈</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8、摇杆：摇把套管采用φ32*1.2mm不锈钢管经特种工艺加工成型，升降固定器为增强尼龙一次注塑成型，前后各置放一个8102压力轴承保证升降起落平稳轻盈。升降丝杠为双螺纹45#钢挤压成型，表面光泽，坚固耐用。升降推力钢管要求φ32*1.2mm钢管喷塑，要求设定升降限位保护装置，防止过摇后损坏，最新双向到位保护功能，万向节连轴结构，牢固灵活，要求设有防尘保护罩，操作轻松自如，可灵活调节患者背部、腿部体位；安全可靠，使用轻松无噪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9、脚轮：脚轮采用Ф125橡塑静音包轮，内镶202轴承，脚轮固定夹板要求为2.5厚的冷轧钢板冲压拉伸一次成型，表面光滑平整坚固可靠承载力大，单轮承载150kg不变型。要求脚踩刹车部位内置锰钢弹簧片一次冲压成型。单个刹车制动，承载力大，防缠绕，转动灵活。 </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10、床下设有盆鞋架，材质选用优质钢管焊接而成，方便实用，美观大方。</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9CA9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3031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C40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75</w:t>
            </w:r>
          </w:p>
        </w:tc>
      </w:tr>
      <w:tr w14:paraId="753CB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5B9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88C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17780</wp:posOffset>
                  </wp:positionH>
                  <wp:positionV relativeFrom="paragraph">
                    <wp:posOffset>-469265</wp:posOffset>
                  </wp:positionV>
                  <wp:extent cx="1133475" cy="1224915"/>
                  <wp:effectExtent l="0" t="0" r="9525" b="13335"/>
                  <wp:wrapNone/>
                  <wp:docPr id="33" name="图片_8"/>
                  <wp:cNvGraphicFramePr/>
                  <a:graphic xmlns:a="http://schemas.openxmlformats.org/drawingml/2006/main">
                    <a:graphicData uri="http://schemas.openxmlformats.org/drawingml/2006/picture">
                      <pic:pic xmlns:pic="http://schemas.openxmlformats.org/drawingml/2006/picture">
                        <pic:nvPicPr>
                          <pic:cNvPr id="33" name="图片_8"/>
                          <pic:cNvPicPr/>
                        </pic:nvPicPr>
                        <pic:blipFill>
                          <a:blip r:embed="rId16"/>
                          <a:stretch>
                            <a:fillRect/>
                          </a:stretch>
                        </pic:blipFill>
                        <pic:spPr>
                          <a:xfrm>
                            <a:off x="0" y="0"/>
                            <a:ext cx="1133475" cy="122491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C7B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床头柜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5043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420*400*720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DB74">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基材:采用E0级浸渍胶膜纸饰面胶合板：GB/T9846-2015 含水率 5-14%，</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GB18580-2017 GB/T 39600-2021 甲醛释放量≤0.05mg/m³，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40493-2021 人造板饰面中有害物质限量重金属元素含量：铅镉铬汞未检出，</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GB/T42898-2023 总半挥发性有机化合物(SVOC)释放量未检出；                 面材：E1级三聚氰胺板,质量符合GB/T 3324-2017标准；                                                      封边：优质PVC条纹封边，厚度2mm，                                                                      五金配件：采用不锈钢抗盐雾五金配件。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231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B33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只</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577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75</w:t>
            </w:r>
          </w:p>
        </w:tc>
      </w:tr>
      <w:tr w14:paraId="1B623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6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52E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F95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-10795</wp:posOffset>
                  </wp:positionH>
                  <wp:positionV relativeFrom="paragraph">
                    <wp:posOffset>801370</wp:posOffset>
                  </wp:positionV>
                  <wp:extent cx="1111250" cy="651510"/>
                  <wp:effectExtent l="0" t="0" r="12700" b="15240"/>
                  <wp:wrapNone/>
                  <wp:docPr id="44" name="图片_21"/>
                  <wp:cNvGraphicFramePr/>
                  <a:graphic xmlns:a="http://schemas.openxmlformats.org/drawingml/2006/main">
                    <a:graphicData uri="http://schemas.openxmlformats.org/drawingml/2006/picture">
                      <pic:pic xmlns:pic="http://schemas.openxmlformats.org/drawingml/2006/picture">
                        <pic:nvPicPr>
                          <pic:cNvPr id="44" name="图片_21"/>
                          <pic:cNvPicPr/>
                        </pic:nvPicPr>
                        <pic:blipFill>
                          <a:blip r:embed="rId17"/>
                          <a:stretch>
                            <a:fillRect/>
                          </a:stretch>
                        </pic:blipFill>
                        <pic:spPr>
                          <a:xfrm>
                            <a:off x="0" y="0"/>
                            <a:ext cx="1111250" cy="65151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4A0D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自理床</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E47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W2000*D1000*H450/1100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D86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基材：选用优质白蜡木实木拼接板作为基材，经烘干、打磨、砂光等严格的工艺处理，含水量低，无虫眼、表面光滑平整；</w:t>
            </w:r>
            <w:r>
              <w:rPr>
                <w:rFonts w:hint="eastAsia" w:ascii="宋体" w:hAnsi="宋体" w:cs="Times New Roman"/>
                <w:color w:val="auto"/>
                <w:sz w:val="24"/>
                <w:szCs w:val="24"/>
                <w:lang w:val="en-US" w:eastAsia="zh-CN"/>
              </w:rPr>
              <w:t>★</w:t>
            </w:r>
            <w:r>
              <w:rPr>
                <w:rStyle w:val="133"/>
                <w:sz w:val="21"/>
                <w:szCs w:val="21"/>
                <w:lang w:val="en-US" w:eastAsia="zh-CN" w:bidi="ar"/>
              </w:rPr>
              <w:t>白蜡木实木拼接板符合：GB/T 35601-2017《绿色产品评价人造板和木质地板》GB18580-2017《室内装饰装修材料人造板及其制品中甲醛释放限量》GB/T 39600-2021《人造板及其制品甲醛释放量分级》LY/T 2488-2015《实木拼接板》：外观质量{活节、死节、贯通裂缝、</w:t>
            </w:r>
            <w:r>
              <w:rPr>
                <w:rStyle w:val="133"/>
                <w:sz w:val="21"/>
                <w:szCs w:val="21"/>
                <w:lang w:val="en-US" w:eastAsia="zh-CN" w:bidi="ar"/>
              </w:rPr>
              <w:br w:type="textWrapping"/>
            </w:r>
            <w:r>
              <w:rPr>
                <w:rStyle w:val="133"/>
                <w:sz w:val="21"/>
                <w:szCs w:val="21"/>
                <w:lang w:val="en-US" w:eastAsia="zh-CN" w:bidi="ar"/>
              </w:rPr>
              <w:t>裂纹(除贯通裂缝）、腐朽、髓心、孔洞(含虫眼）、边角缺损、夹皮、</w:t>
            </w:r>
            <w:r>
              <w:rPr>
                <w:rStyle w:val="133"/>
                <w:sz w:val="21"/>
                <w:szCs w:val="21"/>
                <w:lang w:val="en-US" w:eastAsia="zh-CN" w:bidi="ar"/>
              </w:rPr>
              <w:br w:type="textWrapping"/>
            </w:r>
            <w:r>
              <w:rPr>
                <w:rStyle w:val="133"/>
                <w:sz w:val="21"/>
                <w:szCs w:val="21"/>
                <w:lang w:val="en-US" w:eastAsia="zh-CN" w:bidi="ar"/>
              </w:rPr>
              <w:t xml:space="preserve">树脂道、色差、拼接缝隙、胶缝、指接残损（齿缺、指接间隙）、修补、均未见缺陷}；含水率9%、气干密度平均值9MPa、最小值8MPa、侧拼胶层浸渍剥离未剥离、苯≤5μg/m3、甲苯≤5μg/m3、二甲苯≤5μg/m3、总挥发性有机化合物（TV0C)≤70μg/m3、甲醛释放量ENF级≤0.05mg/m³；提供具有CMA或CNAS资质的检测机构出具的检测报告。                          </w:t>
            </w:r>
            <w:r>
              <w:rPr>
                <w:rStyle w:val="147"/>
                <w:sz w:val="21"/>
                <w:szCs w:val="21"/>
                <w:lang w:val="en-US" w:eastAsia="zh-CN" w:bidi="ar"/>
              </w:rPr>
              <w:br w:type="textWrapping"/>
            </w:r>
            <w:r>
              <w:rPr>
                <w:rStyle w:val="147"/>
                <w:sz w:val="21"/>
                <w:szCs w:val="21"/>
                <w:lang w:val="en-US" w:eastAsia="zh-CN" w:bidi="ar"/>
              </w:rPr>
              <w:t>油漆工艺：采用PU底漆，光泽丰满，附着力强，PE面漆，耐腐蚀性，耐水耐磨，引用先进油漆工艺“五底三面”，光泽均匀，硬度高达3H，抗刮性强，不褪色，绿色环保；</w:t>
            </w:r>
            <w:r>
              <w:rPr>
                <w:rStyle w:val="147"/>
                <w:sz w:val="21"/>
                <w:szCs w:val="21"/>
                <w:lang w:val="en-US" w:eastAsia="zh-CN" w:bidi="ar"/>
              </w:rPr>
              <w:br w:type="textWrapping"/>
            </w:r>
            <w:r>
              <w:rPr>
                <w:rStyle w:val="147"/>
                <w:sz w:val="21"/>
                <w:szCs w:val="21"/>
                <w:lang w:val="en-US" w:eastAsia="zh-CN" w:bidi="ar"/>
              </w:rPr>
              <w:t>结构说明：采用榫卯结构实现连接；高度多层板护帮，更具家居风格。</w:t>
            </w:r>
            <w:r>
              <w:rPr>
                <w:rStyle w:val="147"/>
                <w:sz w:val="21"/>
                <w:szCs w:val="21"/>
                <w:lang w:val="en-US" w:eastAsia="zh-CN" w:bidi="ar"/>
              </w:rPr>
              <w:br w:type="textWrapping"/>
            </w:r>
            <w:r>
              <w:rPr>
                <w:rStyle w:val="147"/>
                <w:sz w:val="21"/>
                <w:szCs w:val="21"/>
                <w:lang w:val="en-US" w:eastAsia="zh-CN" w:bidi="ar"/>
              </w:rPr>
              <w:t>床面方管设计，增强透气性。</w:t>
            </w:r>
            <w:r>
              <w:rPr>
                <w:rStyle w:val="147"/>
                <w:sz w:val="21"/>
                <w:szCs w:val="21"/>
                <w:lang w:val="en-US" w:eastAsia="zh-CN" w:bidi="ar"/>
              </w:rPr>
              <w:br w:type="textWrapping"/>
            </w:r>
            <w:r>
              <w:rPr>
                <w:rStyle w:val="147"/>
                <w:sz w:val="21"/>
                <w:szCs w:val="21"/>
                <w:lang w:val="en-US" w:eastAsia="zh-CN" w:bidi="ar"/>
              </w:rPr>
              <w:t>床帮连体护栏，操作方便。</w:t>
            </w:r>
            <w:r>
              <w:rPr>
                <w:rStyle w:val="147"/>
                <w:sz w:val="21"/>
                <w:szCs w:val="21"/>
                <w:lang w:val="en-US" w:eastAsia="zh-CN" w:bidi="ar"/>
              </w:rPr>
              <w:br w:type="textWrapping"/>
            </w:r>
            <w:r>
              <w:rPr>
                <w:rStyle w:val="147"/>
                <w:sz w:val="21"/>
                <w:szCs w:val="21"/>
                <w:lang w:val="en-US" w:eastAsia="zh-CN" w:bidi="ar"/>
              </w:rPr>
              <w:t>最大承重：240kg  单扶手；</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5DF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DE3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6A5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r>
      <w:tr w14:paraId="0A8C8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60D5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AB29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261620</wp:posOffset>
                  </wp:positionV>
                  <wp:extent cx="1068705" cy="925195"/>
                  <wp:effectExtent l="0" t="0" r="17145" b="8255"/>
                  <wp:wrapNone/>
                  <wp:docPr id="43" name="图片_2"/>
                  <wp:cNvGraphicFramePr/>
                  <a:graphic xmlns:a="http://schemas.openxmlformats.org/drawingml/2006/main">
                    <a:graphicData uri="http://schemas.openxmlformats.org/drawingml/2006/picture">
                      <pic:pic xmlns:pic="http://schemas.openxmlformats.org/drawingml/2006/picture">
                        <pic:nvPicPr>
                          <pic:cNvPr id="43" name="图片_2"/>
                          <pic:cNvPicPr/>
                        </pic:nvPicPr>
                        <pic:blipFill>
                          <a:blip r:embed="rId12"/>
                          <a:stretch>
                            <a:fillRect/>
                          </a:stretch>
                        </pic:blipFill>
                        <pic:spPr>
                          <a:xfrm>
                            <a:off x="0" y="0"/>
                            <a:ext cx="1068705" cy="92519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910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床垫</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94A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1000*2000*8公分</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97B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3E椰棕芯床垫：无胶水，天然棕，软硬适中，8公分厚；3E椰棕芯床垫符合：GB/T24253-2009 防螨驱避率≥80%。</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GB/T20944.1-2007 具有抑菌带宽度-大肠埃希氏菌(大肠杆菌）。</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24346-2009 防霉性能等级-黑曲霉0级。</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35607-2017 产品有害物质-纺织品中五氯苯酚(PCP)-其他≤0.05mg/kg。</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2DC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540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B118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r>
      <w:tr w14:paraId="4100A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F03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63FEE">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259080</wp:posOffset>
                  </wp:positionV>
                  <wp:extent cx="829310" cy="847725"/>
                  <wp:effectExtent l="0" t="0" r="8890" b="9525"/>
                  <wp:wrapNone/>
                  <wp:docPr id="45" name="图片_8_SpCnt_1"/>
                  <wp:cNvGraphicFramePr/>
                  <a:graphic xmlns:a="http://schemas.openxmlformats.org/drawingml/2006/main">
                    <a:graphicData uri="http://schemas.openxmlformats.org/drawingml/2006/picture">
                      <pic:pic xmlns:pic="http://schemas.openxmlformats.org/drawingml/2006/picture">
                        <pic:nvPicPr>
                          <pic:cNvPr id="45" name="图片_8_SpCnt_1"/>
                          <pic:cNvPicPr/>
                        </pic:nvPicPr>
                        <pic:blipFill>
                          <a:blip r:embed="rId18"/>
                          <a:stretch>
                            <a:fillRect/>
                          </a:stretch>
                        </pic:blipFill>
                        <pic:spPr>
                          <a:xfrm>
                            <a:off x="0" y="0"/>
                            <a:ext cx="829310" cy="84772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0E96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床头柜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49E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420*400*600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0CFA">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基材:采用E0级浸渍胶膜纸饰面胶合板：GB/T9846-2015 含水率 5-14%，</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GB18580-2017 GB/T 39600-2021 甲醛释放量≤0.05mg/m³，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40493-2021 人造板饰面中有害物质限量重金属元素含量：铅镉铬汞未检出，</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GB/T42898-2023 总半挥发性有机化合物(SVOC)释放量未检出；                 面材：E1级三聚氰胺板,质量符合GB/T 3324-2017标准；                                                      封边：优质PVC条纹封边，厚度2mm，                                                                      五金配件：采用不锈钢抗盐雾五金配件。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A32A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BD4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只</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20C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23</w:t>
            </w:r>
          </w:p>
        </w:tc>
      </w:tr>
      <w:tr w14:paraId="08658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059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DF4A">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drawing>
                <wp:inline distT="0" distB="0" distL="114300" distR="114300">
                  <wp:extent cx="1042035" cy="1219835"/>
                  <wp:effectExtent l="0" t="0" r="5715" b="18415"/>
                  <wp:docPr id="4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IMG_258"/>
                          <pic:cNvPicPr>
                            <a:picLocks noChangeAspect="1"/>
                          </pic:cNvPicPr>
                        </pic:nvPicPr>
                        <pic:blipFill>
                          <a:blip r:embed="rId19"/>
                          <a:stretch>
                            <a:fillRect/>
                          </a:stretch>
                        </pic:blipFill>
                        <pic:spPr>
                          <a:xfrm>
                            <a:off x="0" y="0"/>
                            <a:ext cx="1042035" cy="1219835"/>
                          </a:xfrm>
                          <a:prstGeom prst="rect">
                            <a:avLst/>
                          </a:prstGeom>
                          <a:noFill/>
                          <a:ln w="9525">
                            <a:noFill/>
                          </a:ln>
                        </pic:spPr>
                      </pic:pic>
                    </a:graphicData>
                  </a:graphic>
                </wp:inline>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D87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前台椅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B3D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780*650*530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030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1、基材：采用全白蜡木实木</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2、油漆：采用PU底漆，光泽丰满，附着力强，PE面漆，耐腐蚀性，耐水耐磨，引用先进油漆工艺“五底三面”，光泽均匀，硬度高达3H，抗刮性强，不褪色，绿色环保；                                                                                                                    3、皮质：采用优质牛皮；</w:t>
            </w:r>
            <w:r>
              <w:rPr>
                <w:rFonts w:hint="eastAsia" w:ascii="宋体" w:hAnsi="宋体" w:cs="Times New Roman"/>
                <w:color w:val="auto"/>
                <w:sz w:val="24"/>
                <w:szCs w:val="24"/>
                <w:lang w:val="en-US" w:eastAsia="zh-CN"/>
              </w:rPr>
              <w:t>★</w:t>
            </w:r>
            <w:r>
              <w:rPr>
                <w:rStyle w:val="133"/>
                <w:sz w:val="21"/>
                <w:szCs w:val="21"/>
                <w:lang w:val="en-US" w:eastAsia="zh-CN" w:bidi="ar"/>
              </w:rPr>
              <w:t xml:space="preserve">牛皮：符合WS/T 650-2019《抗菌和抑菌效果评价方法》、QB/T 4199-2011《皮革防霉性能测试方法》标准，①白色念珠菌：抗菌活性值≥5，抗菌率≥99%；②铜绿假单胞菌：抗菌活性值≥5，抗菌率≥99%； ③大肠杆菌：抗菌活性值≥5，抗菌率≥99%；④肺炎克雷伯氏菌抗菌活性值≥5，抗菌率≥99%；⑤金黄色葡萄球菌抗菌活性值≥5，抗菌率≥99%；⑥鼠伤寒沙门氏菌抗菌活性值≥5，抗菌率≥99%；⑦乙型溶血性链球菌抗菌活性值≥5，抗菌率≥99%；⑧抗霉菌性能1级。（菌种包括黄曲霉ATCC 10836、黑曲霉ATCC 6275、大毛霉ATCC 48559、产黄青霉ATCC 9179、桔灰青霉ATCC 16025、变幻青霉ATCC 32333、马氏拟青霉ATCC 10525、绿色木霉IFO 31137）提供具有CMA或CNAS资质的检测机构出具的检测报告。                          </w:t>
            </w:r>
            <w:r>
              <w:rPr>
                <w:rStyle w:val="149"/>
                <w:sz w:val="21"/>
                <w:szCs w:val="21"/>
                <w:lang w:val="en-US" w:eastAsia="zh-CN" w:bidi="ar"/>
              </w:rPr>
              <w:t xml:space="preserve">                                                                    4、防撞圆角设计，符合适老人体工学的靠背倾斜角。整体适老化处理。                                                                         5、结构说明：采用榫卯结构实现连接；防撞圆角设计，防跌落突边（工艺槽）。   </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6877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56C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1E2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26</w:t>
            </w:r>
          </w:p>
        </w:tc>
      </w:tr>
      <w:tr w14:paraId="3DBBF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26B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w:t>
            </w:r>
          </w:p>
        </w:tc>
        <w:tc>
          <w:tcPr>
            <w:tcW w:w="20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925DF6">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drawing>
                <wp:inline distT="0" distB="0" distL="114300" distR="114300">
                  <wp:extent cx="1109345" cy="616585"/>
                  <wp:effectExtent l="0" t="0" r="14605" b="12065"/>
                  <wp:docPr id="4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IMG_259"/>
                          <pic:cNvPicPr>
                            <a:picLocks noChangeAspect="1"/>
                          </pic:cNvPicPr>
                        </pic:nvPicPr>
                        <pic:blipFill>
                          <a:blip r:embed="rId20"/>
                          <a:stretch>
                            <a:fillRect/>
                          </a:stretch>
                        </pic:blipFill>
                        <pic:spPr>
                          <a:xfrm>
                            <a:off x="0" y="0"/>
                            <a:ext cx="1109345" cy="616585"/>
                          </a:xfrm>
                          <a:prstGeom prst="rect">
                            <a:avLst/>
                          </a:prstGeom>
                          <a:noFill/>
                          <a:ln w="9525">
                            <a:noFill/>
                          </a:ln>
                        </pic:spPr>
                      </pic:pic>
                    </a:graphicData>
                  </a:graphic>
                </wp:inline>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90B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电动餐桌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1FD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直径2200*760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C32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1、基材：采用白蜡木实木，木质细腻、硬度高，具有较良好的强度性能，良好的抗震力；</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2、油漆工艺：采用PU底漆，光泽丰满，附着力强，PE面漆，耐腐蚀性，耐水耐磨，引用先进油漆工艺“五底三面”，光泽均匀，硬度高达3H，抗刮性强，不褪色，绿色环保；</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3、结构说明：采用榫卯结构实现连接；防撞圆角设计，防跌落突边（工艺槽）。                                                         </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DE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912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套</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7E4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r>
      <w:tr w14:paraId="217DD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B28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16</w:t>
            </w:r>
          </w:p>
        </w:tc>
        <w:tc>
          <w:tcPr>
            <w:tcW w:w="20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0E4C5">
            <w:pPr>
              <w:jc w:val="center"/>
              <w:rPr>
                <w:rFonts w:hint="eastAsia" w:ascii="仿宋" w:hAnsi="仿宋" w:eastAsia="仿宋" w:cs="仿宋"/>
                <w:b/>
                <w:bCs/>
                <w:i w:val="0"/>
                <w:iCs w:val="0"/>
                <w:color w:val="000000"/>
                <w:sz w:val="21"/>
                <w:szCs w:val="21"/>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ABB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餐椅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89A7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常规</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B49D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1、基材：采用全白蜡木实木</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2、油漆：采用PU底漆，光泽丰满，附着力强，PE面漆，耐腐蚀性，耐水耐磨，引用先进油漆工艺“五底三面”，光泽均匀，硬度高达3H，抗刮性强，不褪色，绿色环保；                                                                                                                   3、皮质：采用优质牛皮                                                                                                                                       4、防撞圆角设计，符合适老人体工学的靠背倾斜角。整体适老化处理。                                                                         5、结构说明：采用榫卯结构实现连接；防撞圆角设计，防跌落突边（工艺槽）。   </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4E5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A1A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597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p>
        </w:tc>
      </w:tr>
      <w:tr w14:paraId="0FE9F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954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8DC1">
            <w:pPr>
              <w:keepNext w:val="0"/>
              <w:keepLines w:val="0"/>
              <w:widowControl/>
              <w:suppressLineNumbers w:val="0"/>
              <w:jc w:val="center"/>
              <w:textAlignment w:val="center"/>
              <w:rPr>
                <w:rFonts w:hint="eastAsia" w:ascii="仿宋" w:hAnsi="仿宋" w:eastAsia="仿宋" w:cs="仿宋"/>
                <w:b/>
                <w:bCs/>
                <w:i w:val="0"/>
                <w:iCs w:val="0"/>
                <w:color w:val="FFFFFF"/>
                <w:sz w:val="21"/>
                <w:szCs w:val="21"/>
                <w:u w:val="none"/>
              </w:rPr>
            </w:pPr>
            <w:r>
              <w:rPr>
                <w:rFonts w:hint="eastAsia" w:ascii="仿宋" w:hAnsi="仿宋" w:eastAsia="仿宋" w:cs="仿宋"/>
                <w:b/>
                <w:bCs/>
                <w:i w:val="0"/>
                <w:iCs w:val="0"/>
                <w:color w:val="FFFFFF"/>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60960</wp:posOffset>
                  </wp:positionH>
                  <wp:positionV relativeFrom="paragraph">
                    <wp:posOffset>265430</wp:posOffset>
                  </wp:positionV>
                  <wp:extent cx="906780" cy="935355"/>
                  <wp:effectExtent l="0" t="0" r="7620" b="17145"/>
                  <wp:wrapNone/>
                  <wp:docPr id="38" name="图片_14"/>
                  <wp:cNvGraphicFramePr/>
                  <a:graphic xmlns:a="http://schemas.openxmlformats.org/drawingml/2006/main">
                    <a:graphicData uri="http://schemas.openxmlformats.org/drawingml/2006/picture">
                      <pic:pic xmlns:pic="http://schemas.openxmlformats.org/drawingml/2006/picture">
                        <pic:nvPicPr>
                          <pic:cNvPr id="38" name="图片_14"/>
                          <pic:cNvPicPr/>
                        </pic:nvPicPr>
                        <pic:blipFill>
                          <a:blip r:embed="rId21"/>
                          <a:stretch>
                            <a:fillRect/>
                          </a:stretch>
                        </pic:blipFill>
                        <pic:spPr>
                          <a:xfrm>
                            <a:off x="0" y="0"/>
                            <a:ext cx="906780" cy="93535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EA0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餐桌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5F1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1000*1000*750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DC6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1、基材：采用白蜡木实木，木质细腻、硬度高，具有较良好的强度性能，良好的抗震力；</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2、油漆工艺：采用PU底漆，光泽丰满，附着力强，PE面漆，耐腐蚀性，耐水耐磨，引用先进油漆工艺“五底三面”，光泽均匀，硬度高达3H，抗刮性强，不褪色，绿色环保；</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3、结构说明：采用榫卯结构实现连接；防撞圆角设计，防跌落突边（工艺槽）。                                                         </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984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A65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F2B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w:t>
            </w:r>
          </w:p>
        </w:tc>
      </w:tr>
      <w:tr w14:paraId="75EEA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088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3427">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175895</wp:posOffset>
                  </wp:positionH>
                  <wp:positionV relativeFrom="paragraph">
                    <wp:posOffset>217805</wp:posOffset>
                  </wp:positionV>
                  <wp:extent cx="962025" cy="1277620"/>
                  <wp:effectExtent l="0" t="0" r="9525" b="17780"/>
                  <wp:wrapNone/>
                  <wp:docPr id="39" name="图片_36"/>
                  <wp:cNvGraphicFramePr/>
                  <a:graphic xmlns:a="http://schemas.openxmlformats.org/drawingml/2006/main">
                    <a:graphicData uri="http://schemas.openxmlformats.org/drawingml/2006/picture">
                      <pic:pic xmlns:pic="http://schemas.openxmlformats.org/drawingml/2006/picture">
                        <pic:nvPicPr>
                          <pic:cNvPr id="39" name="图片_36"/>
                          <pic:cNvPicPr/>
                        </pic:nvPicPr>
                        <pic:blipFill>
                          <a:blip r:embed="rId22"/>
                          <a:stretch>
                            <a:fillRect/>
                          </a:stretch>
                        </pic:blipFill>
                        <pic:spPr>
                          <a:xfrm>
                            <a:off x="0" y="0"/>
                            <a:ext cx="962025" cy="127762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2B7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餐椅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D94D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830*520*450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1FC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1、基材：采用白蜡木实木，木质细腻、硬度高，具有较良好的强度性能，良好的抗震力；</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2、扶手：弯曲半扶手设计，高度620mm，扶手前端弯弧R55，下部弯弧R75，与腿部连接处倒圆R34；</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3、海绵：采用阻燃、高密度、高弹海绵，可有效防止褥疮。</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4、面料：采用具有耐磨防水、抗菌防霉、防火阻燃、耐医疗消毒剂特性的PU皮；</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5、油漆：采用“大宝”品牌油漆，成品纹理清晰、表层饱满、光泽润亮。                                                       6、防撞圆角设计，符合适老人体工学的靠背倾斜角。隐藏式多功能拐杖放置架                                                                                                              7、结构说明：采用榫卯结构实现连接；</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9F13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157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5289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48</w:t>
            </w:r>
          </w:p>
        </w:tc>
      </w:tr>
      <w:tr w14:paraId="00336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8F70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19</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7DD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147955</wp:posOffset>
                  </wp:positionH>
                  <wp:positionV relativeFrom="paragraph">
                    <wp:posOffset>177165</wp:posOffset>
                  </wp:positionV>
                  <wp:extent cx="986155" cy="1201420"/>
                  <wp:effectExtent l="0" t="0" r="4445" b="17780"/>
                  <wp:wrapNone/>
                  <wp:docPr id="40" name="图片_30_SpCnt_1"/>
                  <wp:cNvGraphicFramePr/>
                  <a:graphic xmlns:a="http://schemas.openxmlformats.org/drawingml/2006/main">
                    <a:graphicData uri="http://schemas.openxmlformats.org/drawingml/2006/picture">
                      <pic:pic xmlns:pic="http://schemas.openxmlformats.org/drawingml/2006/picture">
                        <pic:nvPicPr>
                          <pic:cNvPr id="40" name="图片_30_SpCnt_1"/>
                          <pic:cNvPicPr/>
                        </pic:nvPicPr>
                        <pic:blipFill>
                          <a:blip r:embed="rId11"/>
                          <a:stretch>
                            <a:fillRect/>
                          </a:stretch>
                        </pic:blipFill>
                        <pic:spPr>
                          <a:xfrm>
                            <a:off x="0" y="0"/>
                            <a:ext cx="986155" cy="120142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50AD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6F9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850*2000*1000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937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基材:采用E0级浸渍胶膜纸饰面胶合板：GB/T9846-2015 含水率 5-14%，</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GB18580-2017 GB/T 39600-2021 甲醛释放量≤0.05mg/m³，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40493-2021 人造板饰面中有害物质限量重金属元素含量：铅镉铬汞未检出，</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GB/T42898-2023 总半挥发性有机化合物(SVOC)释放量未检出；               面材：E1级三聚氰胺板,质量符合GB/T 3324-2017标准；                                                      封边：优质PVC条纹封边，厚度2mm，                                                                      五金配件：采用不锈钢抗盐雾五金配件。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5F4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C7E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116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r>
      <w:tr w14:paraId="11C83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FF8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952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244475</wp:posOffset>
                  </wp:positionH>
                  <wp:positionV relativeFrom="paragraph">
                    <wp:posOffset>317500</wp:posOffset>
                  </wp:positionV>
                  <wp:extent cx="629920" cy="1096645"/>
                  <wp:effectExtent l="0" t="0" r="17780" b="8255"/>
                  <wp:wrapNone/>
                  <wp:docPr id="11" name="图片_1_SpCnt_3"/>
                  <wp:cNvGraphicFramePr/>
                  <a:graphic xmlns:a="http://schemas.openxmlformats.org/drawingml/2006/main">
                    <a:graphicData uri="http://schemas.openxmlformats.org/drawingml/2006/picture">
                      <pic:pic xmlns:pic="http://schemas.openxmlformats.org/drawingml/2006/picture">
                        <pic:nvPicPr>
                          <pic:cNvPr id="11" name="图片_1_SpCnt_3"/>
                          <pic:cNvPicPr/>
                        </pic:nvPicPr>
                        <pic:blipFill>
                          <a:blip r:embed="rId12"/>
                          <a:stretch>
                            <a:fillRect/>
                          </a:stretch>
                        </pic:blipFill>
                        <pic:spPr>
                          <a:xfrm>
                            <a:off x="0" y="0"/>
                            <a:ext cx="629920" cy="109664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99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床垫</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958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850*2000*8公分</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636C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3E椰棕芯床垫：无胶水，天然棕，软硬适中，8公分厚；3E椰棕芯床垫符合：GB/T24253-2009 防螨驱避率≥80%。</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GB/T20944.1-2007 具有抑菌带宽度-大肠埃希氏菌(大肠杆菌）。</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24346-2009 防霉性能等级-黑曲霉0级。</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35607-2017 产品有害物质-纺织品中五氯苯酚(PCP)-其他≤0.05mg/kg。</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119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F6B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E31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r>
      <w:tr w14:paraId="71BE6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CD8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21</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6504">
            <w:pPr>
              <w:keepNext w:val="0"/>
              <w:keepLines w:val="0"/>
              <w:widowControl/>
              <w:suppressLineNumbers w:val="0"/>
              <w:jc w:val="center"/>
              <w:textAlignment w:val="center"/>
              <w:rPr>
                <w:rFonts w:hint="eastAsia" w:ascii="楷体" w:hAnsi="楷体" w:eastAsia="楷体" w:cs="楷体"/>
                <w:b/>
                <w:bCs/>
                <w:i w:val="0"/>
                <w:iCs w:val="0"/>
                <w:color w:val="000000"/>
                <w:sz w:val="21"/>
                <w:szCs w:val="21"/>
                <w:u w:val="none"/>
              </w:rPr>
            </w:pPr>
            <w:r>
              <w:rPr>
                <w:rFonts w:hint="eastAsia" w:ascii="楷体" w:hAnsi="楷体" w:eastAsia="楷体" w:cs="楷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wp:posOffset>
                  </wp:positionH>
                  <wp:positionV relativeFrom="paragraph">
                    <wp:posOffset>-763905</wp:posOffset>
                  </wp:positionV>
                  <wp:extent cx="1196975" cy="1269365"/>
                  <wp:effectExtent l="0" t="0" r="3175" b="6985"/>
                  <wp:wrapNone/>
                  <wp:docPr id="12" name="图片_25"/>
                  <wp:cNvGraphicFramePr/>
                  <a:graphic xmlns:a="http://schemas.openxmlformats.org/drawingml/2006/main">
                    <a:graphicData uri="http://schemas.openxmlformats.org/drawingml/2006/picture">
                      <pic:pic xmlns:pic="http://schemas.openxmlformats.org/drawingml/2006/picture">
                        <pic:nvPicPr>
                          <pic:cNvPr id="12" name="图片_25"/>
                          <pic:cNvPicPr/>
                        </pic:nvPicPr>
                        <pic:blipFill>
                          <a:blip r:embed="rId23"/>
                          <a:stretch>
                            <a:fillRect/>
                          </a:stretch>
                        </pic:blipFill>
                        <pic:spPr>
                          <a:xfrm>
                            <a:off x="0" y="0"/>
                            <a:ext cx="1196975" cy="126936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FE2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洽谈桌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C157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Φ700*600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AB1C7">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1．实木：白蜡实木支撑脚架；                                                                                  2．基材：贴面基材为E1级多层实木板，见光面贴木皮                                                                              3．油漆：采用环保油漆，成品纹理清晰、表层饱满、光泽润亮。涂装要求无桔皮、发白、流挂、泪油现象。结实耐用，耐磨损，耐腐蚀；                                                                                             4．适老化设计：桌面四角倒圆角。</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B1D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A12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只</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3DA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r>
      <w:tr w14:paraId="2DBF3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D9A8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BE20">
            <w:pPr>
              <w:keepNext w:val="0"/>
              <w:keepLines w:val="0"/>
              <w:widowControl/>
              <w:suppressLineNumbers w:val="0"/>
              <w:jc w:val="center"/>
              <w:textAlignment w:val="center"/>
              <w:rPr>
                <w:rFonts w:hint="eastAsia" w:ascii="楷体" w:hAnsi="楷体" w:eastAsia="楷体" w:cs="楷体"/>
                <w:b/>
                <w:bCs/>
                <w:i w:val="0"/>
                <w:iCs w:val="0"/>
                <w:color w:val="000000"/>
                <w:sz w:val="21"/>
                <w:szCs w:val="21"/>
                <w:u w:val="none"/>
              </w:rPr>
            </w:pPr>
            <w:r>
              <w:rPr>
                <w:rFonts w:hint="eastAsia" w:ascii="楷体" w:hAnsi="楷体" w:eastAsia="楷体" w:cs="楷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-422275</wp:posOffset>
                  </wp:positionV>
                  <wp:extent cx="1163955" cy="1109345"/>
                  <wp:effectExtent l="0" t="0" r="17145" b="14605"/>
                  <wp:wrapNone/>
                  <wp:docPr id="13" name="图片_32"/>
                  <wp:cNvGraphicFramePr/>
                  <a:graphic xmlns:a="http://schemas.openxmlformats.org/drawingml/2006/main">
                    <a:graphicData uri="http://schemas.openxmlformats.org/drawingml/2006/picture">
                      <pic:pic xmlns:pic="http://schemas.openxmlformats.org/drawingml/2006/picture">
                        <pic:nvPicPr>
                          <pic:cNvPr id="13" name="图片_32"/>
                          <pic:cNvPicPr/>
                        </pic:nvPicPr>
                        <pic:blipFill>
                          <a:blip r:embed="rId24"/>
                          <a:stretch>
                            <a:fillRect/>
                          </a:stretch>
                        </pic:blipFill>
                        <pic:spPr>
                          <a:xfrm>
                            <a:off x="0" y="0"/>
                            <a:ext cx="1163955" cy="110934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626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单人沙发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A8D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780*820*950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148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1．实木：白蜡实木框架。</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2．软包：采用回弹性好的PU高密度泡绵材料制作而成的软包，面料采用耐磨皮革，防水、耐磨、易清洁。</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3．油漆：采用环保油漆，成品纹理清晰、表层饱满、光泽润亮。涂装要求无桔皮、发白、流挂、泪油现象。结实耐用，耐磨损，耐腐蚀；</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4．适老化设计：根据人体工学进行设计，使得老人体位坐姿更为舒适</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5．安全圆角：接触面均采用圆角处理，减少磕碰。</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6．配套1个抱枕。</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F5D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5B49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3ED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p>
        </w:tc>
      </w:tr>
      <w:tr w14:paraId="3920A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6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FD43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D61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302260</wp:posOffset>
                  </wp:positionV>
                  <wp:extent cx="988695" cy="801370"/>
                  <wp:effectExtent l="0" t="0" r="1905" b="17780"/>
                  <wp:wrapNone/>
                  <wp:docPr id="14" name="图片_48"/>
                  <wp:cNvGraphicFramePr/>
                  <a:graphic xmlns:a="http://schemas.openxmlformats.org/drawingml/2006/main">
                    <a:graphicData uri="http://schemas.openxmlformats.org/drawingml/2006/picture">
                      <pic:pic xmlns:pic="http://schemas.openxmlformats.org/drawingml/2006/picture">
                        <pic:nvPicPr>
                          <pic:cNvPr id="14" name="图片_48"/>
                          <pic:cNvPicPr/>
                        </pic:nvPicPr>
                        <pic:blipFill>
                          <a:blip r:embed="rId25"/>
                          <a:stretch>
                            <a:fillRect/>
                          </a:stretch>
                        </pic:blipFill>
                        <pic:spPr>
                          <a:xfrm>
                            <a:off x="0" y="0"/>
                            <a:ext cx="988695" cy="80137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A65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会议桌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E74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1800*1400*760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50B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基材：采用优质中密度板基材（均符合E1级环保要求）；</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贴面：采用优质0.6MM胡桃木木皮贴面，纹理均匀清晰；                                  </w:t>
            </w:r>
            <w:r>
              <w:rPr>
                <w:rFonts w:hint="eastAsia" w:ascii="宋体" w:hAnsi="宋体" w:cs="Times New Roman"/>
                <w:color w:val="auto"/>
                <w:sz w:val="24"/>
                <w:szCs w:val="24"/>
                <w:lang w:val="en-US" w:eastAsia="zh-CN"/>
              </w:rPr>
              <w:t>★</w:t>
            </w:r>
            <w:r>
              <w:rPr>
                <w:rStyle w:val="133"/>
                <w:sz w:val="21"/>
                <w:szCs w:val="21"/>
                <w:lang w:val="en-US" w:eastAsia="zh-CN" w:bidi="ar"/>
              </w:rPr>
              <w:t xml:space="preserve">胡桃木皮贴面密度板检验依据符合:GB/T 15104-2021《装饰单板贴面人造板》、GB 18580-2017《室内装饰装修材料 人造板及其制品中甲醛释放限量》、GB/T 35601-2017《绿色产品评价 人造板和木质地板》标准检测，甲醛释放量≤0.05mg/m³、苯≤5μg/m3、甲苯≤5μg/m3、二甲苯≤5μg/m3、总挥发性有机化合物72h（TVOC）≤30μg/m3、含水率6~8%、浸渍剥离性能符合要求、表面胶合强度≥1.10MPa、表面耐冷热循环无裂纹、鼓泡、变色、起皱等。提供具有CMA或CNAS资质的检测机构出具的检测报告。 </w:t>
            </w:r>
            <w:r>
              <w:rPr>
                <w:rStyle w:val="147"/>
                <w:sz w:val="21"/>
                <w:szCs w:val="21"/>
                <w:lang w:val="en-US" w:eastAsia="zh-CN" w:bidi="ar"/>
              </w:rPr>
              <w:br w:type="textWrapping"/>
            </w:r>
            <w:r>
              <w:rPr>
                <w:rStyle w:val="147"/>
                <w:sz w:val="21"/>
                <w:szCs w:val="21"/>
                <w:lang w:val="en-US" w:eastAsia="zh-CN" w:bidi="ar"/>
              </w:rPr>
              <w:t>油漆：采用PU底漆，光泽丰满，附着力强，PE面漆，耐腐蚀性，耐水耐磨，引用先进油漆工艺“五底三面”，光泽均匀，硬度高达3H，抗刮性强，不褪色，绿色环保；</w:t>
            </w:r>
            <w:r>
              <w:rPr>
                <w:rStyle w:val="147"/>
                <w:sz w:val="21"/>
                <w:szCs w:val="21"/>
                <w:lang w:val="en-US" w:eastAsia="zh-CN" w:bidi="ar"/>
              </w:rPr>
              <w:br w:type="textWrapping"/>
            </w:r>
            <w:r>
              <w:rPr>
                <w:rStyle w:val="147"/>
                <w:sz w:val="21"/>
                <w:szCs w:val="21"/>
                <w:lang w:val="en-US" w:eastAsia="zh-CN" w:bidi="ar"/>
              </w:rPr>
              <w:t>五金配件：优质五金配件。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8FB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425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A05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r>
      <w:tr w14:paraId="2ADAB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8D5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p>
        </w:tc>
        <w:tc>
          <w:tcPr>
            <w:tcW w:w="2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97E5">
            <w:pPr>
              <w:keepNext w:val="0"/>
              <w:keepLines w:val="0"/>
              <w:widowControl/>
              <w:suppressLineNumbers w:val="0"/>
              <w:jc w:val="center"/>
              <w:textAlignment w:val="center"/>
              <w:rPr>
                <w:rFonts w:hint="eastAsia" w:ascii="楷体" w:hAnsi="楷体" w:eastAsia="楷体" w:cs="楷体"/>
                <w:b/>
                <w:bCs/>
                <w:i w:val="0"/>
                <w:iCs w:val="0"/>
                <w:color w:val="FFFFFF"/>
                <w:sz w:val="21"/>
                <w:szCs w:val="21"/>
                <w:u w:val="none"/>
              </w:rPr>
            </w:pPr>
            <w:r>
              <w:rPr>
                <w:rFonts w:hint="eastAsia" w:ascii="楷体" w:hAnsi="楷体" w:eastAsia="楷体" w:cs="楷体"/>
                <w:b/>
                <w:bCs/>
                <w:i w:val="0"/>
                <w:iCs w:val="0"/>
                <w:color w:val="FFFFFF"/>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103505</wp:posOffset>
                  </wp:positionV>
                  <wp:extent cx="1214120" cy="1341755"/>
                  <wp:effectExtent l="0" t="0" r="5080" b="10795"/>
                  <wp:wrapNone/>
                  <wp:docPr id="10" name="图片_13"/>
                  <wp:cNvGraphicFramePr/>
                  <a:graphic xmlns:a="http://schemas.openxmlformats.org/drawingml/2006/main">
                    <a:graphicData uri="http://schemas.openxmlformats.org/drawingml/2006/picture">
                      <pic:pic xmlns:pic="http://schemas.openxmlformats.org/drawingml/2006/picture">
                        <pic:nvPicPr>
                          <pic:cNvPr id="10" name="图片_13"/>
                          <pic:cNvPicPr/>
                        </pic:nvPicPr>
                        <pic:blipFill>
                          <a:blip r:embed="rId26"/>
                          <a:stretch>
                            <a:fillRect/>
                          </a:stretch>
                        </pic:blipFill>
                        <pic:spPr>
                          <a:xfrm>
                            <a:off x="0" y="0"/>
                            <a:ext cx="1214120" cy="134175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C64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茶水柜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72FB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1300*400*900mm</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690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1．实木：白蜡实木支撑脚架：                                                                                   2．基材：贴面基材为E1级多层实木板，见光面贴木皮；                                                                 3．油漆：采用环保油漆，成品纹理清晰、表层饱满、光泽润亮。涂装要求无桔皮、发白、流挂、泪油现象。结实耐用，耐磨损，耐腐蚀；                                                                                              4．三合一偏心连接件偏心体抗压强度，采用阻尼铰链，暗拉手。5．适老化设计：桌面安全圆角。</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627F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6551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套</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625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r>
      <w:tr w14:paraId="62FD7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6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FB9E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A8E3">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drawing>
                <wp:inline distT="0" distB="0" distL="114300" distR="114300">
                  <wp:extent cx="942340" cy="514350"/>
                  <wp:effectExtent l="0" t="0" r="10160" b="0"/>
                  <wp:docPr id="5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descr="IMG_260"/>
                          <pic:cNvPicPr>
                            <a:picLocks noChangeAspect="1"/>
                          </pic:cNvPicPr>
                        </pic:nvPicPr>
                        <pic:blipFill>
                          <a:blip r:embed="rId27"/>
                          <a:stretch>
                            <a:fillRect/>
                          </a:stretch>
                        </pic:blipFill>
                        <pic:spPr>
                          <a:xfrm>
                            <a:off x="0" y="0"/>
                            <a:ext cx="942340" cy="514350"/>
                          </a:xfrm>
                          <a:prstGeom prst="rect">
                            <a:avLst/>
                          </a:prstGeom>
                          <a:noFill/>
                          <a:ln w="9525">
                            <a:noFill/>
                          </a:ln>
                        </pic:spPr>
                      </pic:pic>
                    </a:graphicData>
                  </a:graphic>
                </wp:inline>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1F1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理疗床</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E8D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1900*600*730MM</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2C69">
            <w:pPr>
              <w:keepNext w:val="0"/>
              <w:keepLines w:val="0"/>
              <w:widowControl/>
              <w:suppressLineNumbers w:val="0"/>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 xml:space="preserve">全钢电喷脚架，优质西皮饰面，钢架：采用上海宝钢产SPCC方管支架钢板厚度达到1.0标准优质冷轧钢，采用Ф50*1.2MM和40*20*1.2MM优质钢管焊接而成，带置物架。床面采用木板及高回弹采用45KG/立方米发泡高密度高回弹定型海绵和耐刮西皮钉制而成，木板厚度1.2cm。头部带有枕头。                  </w:t>
            </w:r>
          </w:p>
          <w:p w14:paraId="1DB4747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cs="Times New Roman"/>
                <w:color w:val="auto"/>
                <w:sz w:val="24"/>
                <w:szCs w:val="24"/>
                <w:lang w:val="en-US" w:eastAsia="zh-CN"/>
              </w:rPr>
              <w:t>★</w:t>
            </w:r>
            <w:r>
              <w:rPr>
                <w:rStyle w:val="135"/>
                <w:sz w:val="21"/>
                <w:szCs w:val="21"/>
                <w:lang w:val="en-US" w:eastAsia="zh-CN" w:bidi="ar"/>
              </w:rPr>
              <w:t xml:space="preserve">钢脚：符合WS/T650-2019《抗菌和抑菌效果评价方法》标准，①白色念珠菌：抗菌活性值≥5，抗菌率≥99%；②铜绿假单胞菌：抗菌活性值≥5，抗菌率≥99%。③大肠杆菌：抗菌活性值≥5，抗菌率≥99%；④肺炎克雷伯氏菌：抗菌活性值≥5，抗菌率≥99%。⑤金黄色葡萄球菌抗菌活性值≥5，抗菌率≥99%。⑥鼠伤寒沙门氏菌抗菌活性值≥5，抗菌率≥99%。⑦乙型溶血性链球菌抗菌活性值≥5，抗菌率≥99%；提供具有CMA或CNAS资质的检测机构出具的检测报告。 </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3A0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油漆色问厂长+水性防抓皮-106</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AB8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A0C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r>
      <w:tr w14:paraId="36CF2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9DC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26</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1A9E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50165</wp:posOffset>
                  </wp:positionH>
                  <wp:positionV relativeFrom="paragraph">
                    <wp:posOffset>137160</wp:posOffset>
                  </wp:positionV>
                  <wp:extent cx="972185" cy="1592580"/>
                  <wp:effectExtent l="0" t="0" r="18415" b="7620"/>
                  <wp:wrapNone/>
                  <wp:docPr id="15" name="图片_16"/>
                  <wp:cNvGraphicFramePr/>
                  <a:graphic xmlns:a="http://schemas.openxmlformats.org/drawingml/2006/main">
                    <a:graphicData uri="http://schemas.openxmlformats.org/drawingml/2006/picture">
                      <pic:pic xmlns:pic="http://schemas.openxmlformats.org/drawingml/2006/picture">
                        <pic:nvPicPr>
                          <pic:cNvPr id="15" name="图片_16"/>
                          <pic:cNvPicPr/>
                        </pic:nvPicPr>
                        <pic:blipFill>
                          <a:blip r:embed="rId28"/>
                          <a:stretch>
                            <a:fillRect/>
                          </a:stretch>
                        </pic:blipFill>
                        <pic:spPr>
                          <a:xfrm>
                            <a:off x="0" y="0"/>
                            <a:ext cx="972185" cy="159258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E27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书架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D66F">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800*400*2000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9000">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基材:采用E0级浸渍胶膜纸饰面胶合板：GB/T9846-2015 含水率 5-14%，</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GB18580-2017 GB/T 39600-2021 甲醛释放量≤0.05mg/m³，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 40493-2021 人造板饰面中有害物质限量重金属元素含量：铅镉铬汞未检出，</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GB/T42898-2023 总半挥发性有机化合物(SVOC)释放量未检出；                 面材：E1级三聚氰胺板,质量符合GB/T 3324-2017标准；                                                      封边：优质PVC条纹封边，厚度2mm，                                                                      五金配件：采用不锈钢抗盐雾五金配件。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708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81A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组</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795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r>
      <w:tr w14:paraId="46E0D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C571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31E97">
            <w:pPr>
              <w:keepNext w:val="0"/>
              <w:keepLines w:val="0"/>
              <w:widowControl/>
              <w:suppressLineNumbers w:val="0"/>
              <w:jc w:val="center"/>
              <w:textAlignment w:val="center"/>
              <w:rPr>
                <w:rFonts w:hint="eastAsia" w:ascii="仿宋" w:hAnsi="仿宋" w:eastAsia="仿宋" w:cs="仿宋"/>
                <w:b/>
                <w:bCs/>
                <w:i w:val="0"/>
                <w:iCs w:val="0"/>
                <w:color w:val="FFFFFF"/>
                <w:sz w:val="21"/>
                <w:szCs w:val="21"/>
                <w:u w:val="none"/>
              </w:rPr>
            </w:pPr>
            <w:r>
              <w:rPr>
                <w:rFonts w:hint="eastAsia" w:ascii="仿宋" w:hAnsi="仿宋" w:eastAsia="仿宋" w:cs="仿宋"/>
                <w:b/>
                <w:bCs/>
                <w:i w:val="0"/>
                <w:iCs w:val="0"/>
                <w:color w:val="FFFFFF"/>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109220</wp:posOffset>
                  </wp:positionH>
                  <wp:positionV relativeFrom="paragraph">
                    <wp:posOffset>208280</wp:posOffset>
                  </wp:positionV>
                  <wp:extent cx="1109345" cy="1021715"/>
                  <wp:effectExtent l="0" t="0" r="14605" b="6985"/>
                  <wp:wrapNone/>
                  <wp:docPr id="3" name="图片_57"/>
                  <wp:cNvGraphicFramePr/>
                  <a:graphic xmlns:a="http://schemas.openxmlformats.org/drawingml/2006/main">
                    <a:graphicData uri="http://schemas.openxmlformats.org/drawingml/2006/picture">
                      <pic:pic xmlns:pic="http://schemas.openxmlformats.org/drawingml/2006/picture">
                        <pic:nvPicPr>
                          <pic:cNvPr id="3" name="图片_57"/>
                          <pic:cNvPicPr/>
                        </pic:nvPicPr>
                        <pic:blipFill>
                          <a:blip r:embed="rId29"/>
                          <a:stretch>
                            <a:fillRect/>
                          </a:stretch>
                        </pic:blipFill>
                        <pic:spPr>
                          <a:xfrm>
                            <a:off x="0" y="0"/>
                            <a:ext cx="1109345" cy="102171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10FA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麻将桌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AF4C">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一桌四椅</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605B">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1、基材：采用全白蜡木实木拼接板；</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2、油漆工艺：采用</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3、结构说明：采用榫卯结构实现连接；防撞圆角设计，防跌落突边（工艺槽）。                          4、五金配件：优质五金配件                                                                                          5、桌面绒布采用绒布面料。 整体适老化处理。                                               </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AF9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A5C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套</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FF68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6</w:t>
            </w:r>
          </w:p>
        </w:tc>
      </w:tr>
      <w:tr w14:paraId="126E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431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28</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4481">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386715</wp:posOffset>
                  </wp:positionV>
                  <wp:extent cx="1198880" cy="868680"/>
                  <wp:effectExtent l="0" t="0" r="1270" b="7620"/>
                  <wp:wrapNone/>
                  <wp:docPr id="5" name="图片_22"/>
                  <wp:cNvGraphicFramePr/>
                  <a:graphic xmlns:a="http://schemas.openxmlformats.org/drawingml/2006/main">
                    <a:graphicData uri="http://schemas.openxmlformats.org/drawingml/2006/picture">
                      <pic:pic xmlns:pic="http://schemas.openxmlformats.org/drawingml/2006/picture">
                        <pic:nvPicPr>
                          <pic:cNvPr id="5" name="图片_22"/>
                          <pic:cNvPicPr/>
                        </pic:nvPicPr>
                        <pic:blipFill>
                          <a:blip r:embed="rId30"/>
                          <a:stretch>
                            <a:fillRect/>
                          </a:stretch>
                        </pic:blipFill>
                        <pic:spPr>
                          <a:xfrm>
                            <a:off x="0" y="0"/>
                            <a:ext cx="1198880" cy="86868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799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桌子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0A4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1400*800*750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D93C">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1、基材：采用白蜡木实木，木质细腻、硬度高，具有较良好的强度性能，良好的抗震力；</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2、油漆工艺：采用PU底漆，光泽丰满，附着力强，PE面漆，耐腐蚀性，耐水耐磨，引用先进油漆工艺“五底三面”，光泽均匀，硬度高达3H，抗刮性强，不褪色，绿色环保；</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3、结构说明：采用榫卯结构实现连接；防撞圆角设计，防跌落突边（工艺槽）。                                                         </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553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260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F63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r>
      <w:tr w14:paraId="66F7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7B7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29</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EFDC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6985</wp:posOffset>
                  </wp:positionH>
                  <wp:positionV relativeFrom="paragraph">
                    <wp:posOffset>373380</wp:posOffset>
                  </wp:positionV>
                  <wp:extent cx="1054735" cy="1323975"/>
                  <wp:effectExtent l="0" t="0" r="12065" b="9525"/>
                  <wp:wrapNone/>
                  <wp:docPr id="2" name="图片_14_SpCnt_1"/>
                  <wp:cNvGraphicFramePr/>
                  <a:graphic xmlns:a="http://schemas.openxmlformats.org/drawingml/2006/main">
                    <a:graphicData uri="http://schemas.openxmlformats.org/drawingml/2006/picture">
                      <pic:pic xmlns:pic="http://schemas.openxmlformats.org/drawingml/2006/picture">
                        <pic:nvPicPr>
                          <pic:cNvPr id="2" name="图片_14_SpCnt_1"/>
                          <pic:cNvPicPr/>
                        </pic:nvPicPr>
                        <pic:blipFill>
                          <a:blip r:embed="rId31"/>
                          <a:stretch>
                            <a:fillRect/>
                          </a:stretch>
                        </pic:blipFill>
                        <pic:spPr>
                          <a:xfrm>
                            <a:off x="0" y="0"/>
                            <a:ext cx="1054735" cy="132397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F0C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椅子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88A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W555*D580*H810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2EF9">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饰面：采用医用级抑菌仿布皮，10年耐水解，防水去污；触感柔和、细嫩、真皮感强；耐磨耐刮，威士博（wyzenbeek）测试超过10万次无明显破损；干湿色牢度性能优，不掉色，色牢度4级以上，表面耐高温性能佳；</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海绵：采用优质发泡棉，密度为40KG/m³，软硬适中，久坐不变形，拉伸强度≥90kPa，伸长率≥130%，回弹率≥35%，撕裂强度≥2.0N/cm，干热老化后拉伸强度≥55kPa，甲醛释放≤0.120mg/m2h,TVOC≤0.5mg/m2h，所检项目符合检验依据要求。</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3、内框架：白蜡木实木刨方，无树皮、无明显结疤，干湿度控制在16°以下，不易生虫，结实牢靠；</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4、底框架：采用优质白蜡木经过五底三面油漆工艺处理，表面                                                                                                                          5、防撞圆角设计，符合适老人体工学的靠背倾斜角。隐藏式多功能拐杖放置架光滑无气泡。油漆采用“大宝”牌环保木器漆，甲醛释放量达到国家标准，安全无害。</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916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B20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140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37</w:t>
            </w:r>
          </w:p>
        </w:tc>
      </w:tr>
      <w:tr w14:paraId="71487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A9B0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1064">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119380</wp:posOffset>
                  </wp:positionH>
                  <wp:positionV relativeFrom="paragraph">
                    <wp:posOffset>276860</wp:posOffset>
                  </wp:positionV>
                  <wp:extent cx="941705" cy="1115060"/>
                  <wp:effectExtent l="0" t="0" r="10795" b="8890"/>
                  <wp:wrapNone/>
                  <wp:docPr id="4" name="图片_76"/>
                  <wp:cNvGraphicFramePr/>
                  <a:graphic xmlns:a="http://schemas.openxmlformats.org/drawingml/2006/main">
                    <a:graphicData uri="http://schemas.openxmlformats.org/drawingml/2006/picture">
                      <pic:pic xmlns:pic="http://schemas.openxmlformats.org/drawingml/2006/picture">
                        <pic:nvPicPr>
                          <pic:cNvPr id="4" name="图片_76"/>
                          <pic:cNvPicPr/>
                        </pic:nvPicPr>
                        <pic:blipFill>
                          <a:blip r:embed="rId32"/>
                          <a:stretch>
                            <a:fillRect/>
                          </a:stretch>
                        </pic:blipFill>
                        <pic:spPr>
                          <a:xfrm>
                            <a:off x="0" y="0"/>
                            <a:ext cx="941705" cy="111506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F66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治疗柜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1E4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2000*600*2000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A92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1、基材采用实木多层板，具备长效持久的防霉性能（符合JC/T 2039检测依据，黑曲霉AS 3.4463、土曲霉AS 3.3935、符合WS/T 650检测标准，单位时间内抗菌：大肠杆菌，金黄色葡萄球菌，白色念珠菌，鼠伤寒沙门氏菌，溶血性乙型链球菌）</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2、面材：E1级三聚氰胺板,质量符合GB/T 34722-2017、GB 18580-2017、GB/T 35601-2017标准                                                                           三聚氰胺双饰面实木多层板依据GB/T 34722-2017、GB 18580-2017、GB/T 35601-2017标准的检测报告，检测项目至少包括含水率、表面胶合强度、胶合强度、表面耐划痕、表面耐磨、表面耐香烟灼烧、表面耐干热、表面耐污染腐蚀 、表面耐冷热循环、表面耐龟裂、表面耐水蒸气、耐光色牢度、甲醛释放量、总挥发性有机化合物（TVOC）≤60ug/m³、苯≤5ug/m³、甲苯≤12ug/m³、二甲苯≤5ug/m³  </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3、封边：优质PVC条纹封边，厚度2mm，符合QB/T 4463-2013。</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4、五金配件：采用不锈钢抗盐雾五金配件。钢制脚。台面离墙部位挂出。</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368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153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组</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EBC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r>
      <w:tr w14:paraId="044CD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272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31</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0BF5">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83820</wp:posOffset>
                  </wp:positionH>
                  <wp:positionV relativeFrom="paragraph">
                    <wp:posOffset>764540</wp:posOffset>
                  </wp:positionV>
                  <wp:extent cx="1008380" cy="1326515"/>
                  <wp:effectExtent l="0" t="0" r="1270" b="6985"/>
                  <wp:wrapNone/>
                  <wp:docPr id="1" name="PA-图片_10"/>
                  <wp:cNvGraphicFramePr/>
                  <a:graphic xmlns:a="http://schemas.openxmlformats.org/drawingml/2006/main">
                    <a:graphicData uri="http://schemas.openxmlformats.org/drawingml/2006/picture">
                      <pic:pic xmlns:pic="http://schemas.openxmlformats.org/drawingml/2006/picture">
                        <pic:nvPicPr>
                          <pic:cNvPr id="1" name="PA-图片_10"/>
                          <pic:cNvPicPr/>
                        </pic:nvPicPr>
                        <pic:blipFill>
                          <a:blip r:embed="rId33"/>
                          <a:stretch>
                            <a:fillRect/>
                          </a:stretch>
                        </pic:blipFill>
                        <pic:spPr>
                          <a:xfrm>
                            <a:off x="0" y="0"/>
                            <a:ext cx="1008380" cy="132651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CB9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椅子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6D1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φ320*450-H530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898A">
            <w:pPr>
              <w:keepNext w:val="0"/>
              <w:keepLines w:val="0"/>
              <w:widowControl/>
              <w:suppressLineNumbers w:val="0"/>
              <w:spacing w:after="320" w:afterAutospacing="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①、饰面：采用医用级抑菌医疗皮，</w:t>
            </w:r>
            <w:r>
              <w:rPr>
                <w:rFonts w:hint="eastAsia" w:ascii="宋体" w:hAnsi="宋体" w:cs="Times New Roman"/>
                <w:color w:val="auto"/>
                <w:sz w:val="24"/>
                <w:szCs w:val="24"/>
                <w:lang w:val="en-US" w:eastAsia="zh-CN"/>
              </w:rPr>
              <w:t>★</w:t>
            </w:r>
            <w:r>
              <w:rPr>
                <w:rStyle w:val="133"/>
                <w:sz w:val="21"/>
                <w:szCs w:val="21"/>
                <w:lang w:val="en-US" w:eastAsia="zh-CN" w:bidi="ar"/>
              </w:rPr>
              <w:t xml:space="preserve">医疗皮依据：GB/T 16799-2018-摩擦色牢度：干擦，湿擦，碱性汗液，均合格；游离甲醛未检出；GB17927.1-2011-抗引燃特性：未观察到试样表面或内部出现任何续燃、阴燃现象，评定该试样为阻燃I级，通过香烟抗引燃试验；QB/T4341-2012-抗细菌性能(培养24h)：白色念珠菌，藤黄微球菌，抗菌率≥99.8%；抗霉菌性能（耐霉菌性）：桔青霉，防霉等级（耐霉菌性等级）0级（不长，即显微镜（放大50倍）下观察未见生长）；提供具有CMA或CNAS资质的检测机构出具的检测报告。 </w:t>
            </w:r>
            <w:r>
              <w:rPr>
                <w:rStyle w:val="147"/>
                <w:sz w:val="21"/>
                <w:szCs w:val="21"/>
                <w:lang w:val="en-US" w:eastAsia="zh-CN" w:bidi="ar"/>
              </w:rPr>
              <w:br w:type="textWrapping"/>
            </w:r>
            <w:r>
              <w:rPr>
                <w:rStyle w:val="147"/>
                <w:sz w:val="21"/>
                <w:szCs w:val="21"/>
                <w:lang w:val="en-US" w:eastAsia="zh-CN" w:bidi="ar"/>
              </w:rPr>
              <w:t>②海绵：采用优质发泡棉，密度为40KG/m³，软硬适中，久坐不变形，拉伸强度≥90kPa，伸长率≥130%，回弹率≥35%，撕裂强度≥2.0N/cm，干热老化后拉伸强度≥55kPa，甲醛释放≤0.120mg/m2h,TVOC≤0.5mg/m2h，所检项目符合检验依据要求。</w:t>
            </w:r>
            <w:r>
              <w:rPr>
                <w:rStyle w:val="147"/>
                <w:sz w:val="21"/>
                <w:szCs w:val="21"/>
                <w:lang w:val="en-US" w:eastAsia="zh-CN" w:bidi="ar"/>
              </w:rPr>
              <w:br w:type="textWrapping"/>
            </w:r>
            <w:r>
              <w:rPr>
                <w:rStyle w:val="147"/>
                <w:sz w:val="21"/>
                <w:szCs w:val="21"/>
                <w:lang w:val="en-US" w:eastAsia="zh-CN" w:bidi="ar"/>
              </w:rPr>
              <w:t>③、汽压杆：采用“协强”牌汽压杆。耐高低温性能，气弹簧经 -30℃和60℃高低温。储存后，公称力Fa衰减量应不大于5%　。检验依据：GB/T　29525-2013</w:t>
            </w:r>
            <w:r>
              <w:rPr>
                <w:rStyle w:val="147"/>
                <w:sz w:val="21"/>
                <w:szCs w:val="21"/>
                <w:lang w:val="en-US" w:eastAsia="zh-CN" w:bidi="ar"/>
              </w:rPr>
              <w:br w:type="textWrapping"/>
            </w:r>
            <w:r>
              <w:rPr>
                <w:rStyle w:val="147"/>
                <w:sz w:val="21"/>
                <w:szCs w:val="21"/>
                <w:lang w:val="en-US" w:eastAsia="zh-CN" w:bidi="ar"/>
              </w:rPr>
              <w:t>④、脚架：采用优质铝合金基材一次压铸成型，无需焊接，美观大方且结实耐用；</w:t>
            </w:r>
            <w:r>
              <w:rPr>
                <w:rStyle w:val="147"/>
                <w:sz w:val="21"/>
                <w:szCs w:val="21"/>
                <w:lang w:val="en-US" w:eastAsia="zh-CN" w:bidi="ar"/>
              </w:rPr>
              <w:br w:type="textWrapping"/>
            </w:r>
            <w:r>
              <w:rPr>
                <w:rStyle w:val="147"/>
                <w:sz w:val="21"/>
                <w:szCs w:val="21"/>
                <w:lang w:val="en-US" w:eastAsia="zh-CN" w:bidi="ar"/>
              </w:rPr>
              <w:t>⑤、脚轮：采用优质PU静音轮，移动时无明显噪音，且不会划伤地板。</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D42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DBC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把</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3B3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r>
      <w:tr w14:paraId="72157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1D8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5D8D">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407035</wp:posOffset>
                  </wp:positionV>
                  <wp:extent cx="975360" cy="471170"/>
                  <wp:effectExtent l="0" t="0" r="15240" b="5080"/>
                  <wp:wrapNone/>
                  <wp:docPr id="49" name="图片_1_SpCnt_4"/>
                  <wp:cNvGraphicFramePr/>
                  <a:graphic xmlns:a="http://schemas.openxmlformats.org/drawingml/2006/main">
                    <a:graphicData uri="http://schemas.openxmlformats.org/drawingml/2006/picture">
                      <pic:pic xmlns:pic="http://schemas.openxmlformats.org/drawingml/2006/picture">
                        <pic:nvPicPr>
                          <pic:cNvPr id="49" name="图片_1_SpCnt_4"/>
                          <pic:cNvPicPr/>
                        </pic:nvPicPr>
                        <pic:blipFill>
                          <a:blip r:embed="rId34"/>
                          <a:stretch>
                            <a:fillRect/>
                          </a:stretch>
                        </pic:blipFill>
                        <pic:spPr>
                          <a:xfrm>
                            <a:off x="0" y="0"/>
                            <a:ext cx="975360" cy="47117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CD1E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诊疗床</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22E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1900*700*730MM</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2B06">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全钢电喷脚架，防污抗菌西皮饰面，（具备长效持久的抑菌功能符合WS/T 650检测依据，单位时间内大肠杆菌，金黄色葡萄球菌，白色念珠菌，铜绿假单胞菌）高回弹海绵；钢架：采用上海宝钢产SPCC方管支架钢板厚度达到1.0标准优质冷轧钢，采用Ф50*1.2MM和40*20*1.2MM优质钢管焊接而成，带置物架。床面采用木板及高回弹采用45KG/立方米发泡高密度高回弹定型海绵和耐刮西皮钉制而成，木板厚度1.2cm。头部带有枕头。可选配带刹车锁高承重万向轮</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05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DED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EC53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r>
      <w:tr w14:paraId="040D9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56B3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6D1F">
            <w:pPr>
              <w:keepNext w:val="0"/>
              <w:keepLines w:val="0"/>
              <w:widowControl/>
              <w:suppressLineNumbers w:val="0"/>
              <w:jc w:val="center"/>
              <w:textAlignment w:val="center"/>
              <w:rPr>
                <w:rFonts w:hint="eastAsia" w:ascii="楷体" w:hAnsi="楷体" w:eastAsia="楷体" w:cs="楷体"/>
                <w:b/>
                <w:bCs/>
                <w:i w:val="0"/>
                <w:iCs w:val="0"/>
                <w:color w:val="000000"/>
                <w:sz w:val="21"/>
                <w:szCs w:val="21"/>
                <w:u w:val="none"/>
              </w:rPr>
            </w:pPr>
            <w:r>
              <w:rPr>
                <w:rFonts w:hint="eastAsia" w:ascii="楷体" w:hAnsi="楷体" w:eastAsia="楷体" w:cs="楷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184785</wp:posOffset>
                  </wp:positionH>
                  <wp:positionV relativeFrom="paragraph">
                    <wp:posOffset>73660</wp:posOffset>
                  </wp:positionV>
                  <wp:extent cx="838835" cy="570865"/>
                  <wp:effectExtent l="0" t="0" r="18415" b="635"/>
                  <wp:wrapNone/>
                  <wp:docPr id="46" name="图片_36_SpCnt_1"/>
                  <wp:cNvGraphicFramePr/>
                  <a:graphic xmlns:a="http://schemas.openxmlformats.org/drawingml/2006/main">
                    <a:graphicData uri="http://schemas.openxmlformats.org/drawingml/2006/picture">
                      <pic:pic xmlns:pic="http://schemas.openxmlformats.org/drawingml/2006/picture">
                        <pic:nvPicPr>
                          <pic:cNvPr id="46" name="图片_36_SpCnt_1"/>
                          <pic:cNvPicPr/>
                        </pic:nvPicPr>
                        <pic:blipFill>
                          <a:blip r:embed="rId35"/>
                          <a:stretch>
                            <a:fillRect/>
                          </a:stretch>
                        </pic:blipFill>
                        <pic:spPr>
                          <a:xfrm>
                            <a:off x="0" y="0"/>
                            <a:ext cx="838835" cy="57086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ED3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AEA4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1500*2000*1050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F6418">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1．实木：白蜡实木框架。</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2．软包：采用回弹性好的PU高密度泡绵材料制作而成的软包，面料采用耐磨皮革，防水、耐磨、易清洁。</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3．油漆：采用环保油漆，成品纹理清晰、表层饱满、光泽润亮。涂装要求无桔皮、发白、流挂、泪油现象。结实耐用，耐磨损，耐腐蚀；</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4．适老化设计：根据人体工学进行设计，使得老人体位坐姿更为舒适</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5．镂空把手：方便移动椅子和老人借力行走，实用人性化。                                                                6．安全圆角：接触面均采用圆角处理，减少磕碰。</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70F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8EE8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件</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F18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r>
      <w:tr w14:paraId="30DE5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66C8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BF14">
            <w:pPr>
              <w:keepNext w:val="0"/>
              <w:keepLines w:val="0"/>
              <w:widowControl/>
              <w:suppressLineNumbers w:val="0"/>
              <w:jc w:val="center"/>
              <w:textAlignment w:val="center"/>
              <w:rPr>
                <w:rFonts w:hint="eastAsia" w:ascii="楷体" w:hAnsi="楷体" w:eastAsia="楷体" w:cs="楷体"/>
                <w:b/>
                <w:bCs/>
                <w:i w:val="0"/>
                <w:iCs w:val="0"/>
                <w:color w:val="000000"/>
                <w:sz w:val="21"/>
                <w:szCs w:val="21"/>
                <w:u w:val="none"/>
              </w:rPr>
            </w:pPr>
            <w:r>
              <w:rPr>
                <w:rFonts w:hint="eastAsia" w:ascii="楷体" w:hAnsi="楷体" w:eastAsia="楷体" w:cs="楷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378460</wp:posOffset>
                  </wp:positionV>
                  <wp:extent cx="1040130" cy="1094105"/>
                  <wp:effectExtent l="0" t="0" r="7620" b="10795"/>
                  <wp:wrapNone/>
                  <wp:docPr id="47" name="图片_20"/>
                  <wp:cNvGraphicFramePr/>
                  <a:graphic xmlns:a="http://schemas.openxmlformats.org/drawingml/2006/main">
                    <a:graphicData uri="http://schemas.openxmlformats.org/drawingml/2006/picture">
                      <pic:pic xmlns:pic="http://schemas.openxmlformats.org/drawingml/2006/picture">
                        <pic:nvPicPr>
                          <pic:cNvPr id="47" name="图片_20"/>
                          <pic:cNvPicPr/>
                        </pic:nvPicPr>
                        <pic:blipFill>
                          <a:blip r:embed="rId36"/>
                          <a:stretch>
                            <a:fillRect/>
                          </a:stretch>
                        </pic:blipFill>
                        <pic:spPr>
                          <a:xfrm>
                            <a:off x="0" y="0"/>
                            <a:ext cx="1040130" cy="109410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22C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床头柜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A72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450*400*630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B6D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1．基材：采用符合国家E1级环保标准多层实木板，板材厚度18mm；</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2．面材：采用纯三胺胶浸渍纸油墨、耐污、抗划、耐高温；</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3．封边：近色PVC封边条；</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4．五金：三合一偏心连接件偏心体抗压强度，采用静音滑轨，五金拉手；</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5．安全圆角：接触面均采用圆角处理，减少磕碰，柜面三面凸出30-50mm。配置：DTC五金配件。</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8B7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956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件</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CA7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4</w:t>
            </w:r>
          </w:p>
        </w:tc>
      </w:tr>
      <w:tr w14:paraId="4D972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0C3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F3B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53975</wp:posOffset>
                  </wp:positionH>
                  <wp:positionV relativeFrom="paragraph">
                    <wp:posOffset>222250</wp:posOffset>
                  </wp:positionV>
                  <wp:extent cx="1087120" cy="972820"/>
                  <wp:effectExtent l="0" t="0" r="17780" b="17780"/>
                  <wp:wrapNone/>
                  <wp:docPr id="48" name="图片_3_SpCnt_1"/>
                  <wp:cNvGraphicFramePr/>
                  <a:graphic xmlns:a="http://schemas.openxmlformats.org/drawingml/2006/main">
                    <a:graphicData uri="http://schemas.openxmlformats.org/drawingml/2006/picture">
                      <pic:pic xmlns:pic="http://schemas.openxmlformats.org/drawingml/2006/picture">
                        <pic:nvPicPr>
                          <pic:cNvPr id="48" name="图片_3_SpCnt_1"/>
                          <pic:cNvPicPr/>
                        </pic:nvPicPr>
                        <pic:blipFill>
                          <a:blip r:embed="rId12"/>
                          <a:stretch>
                            <a:fillRect/>
                          </a:stretch>
                        </pic:blipFill>
                        <pic:spPr>
                          <a:xfrm>
                            <a:off x="0" y="0"/>
                            <a:ext cx="1087120" cy="97282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582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床垫</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0D6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1500*2000*20公分</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DCC9D">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席梦思20公分厚；</w:t>
            </w:r>
            <w:r>
              <w:rPr>
                <w:rFonts w:hint="eastAsia" w:ascii="宋体" w:hAnsi="宋体" w:cs="Times New Roman"/>
                <w:color w:val="auto"/>
                <w:sz w:val="24"/>
                <w:szCs w:val="24"/>
                <w:lang w:val="en-US" w:eastAsia="zh-CN"/>
              </w:rPr>
              <w:t>★</w:t>
            </w:r>
            <w:r>
              <w:rPr>
                <w:rStyle w:val="133"/>
                <w:sz w:val="21"/>
                <w:szCs w:val="21"/>
                <w:lang w:val="en-US" w:eastAsia="zh-CN" w:bidi="ar"/>
              </w:rPr>
              <w:t xml:space="preserve">面料依据判定依据GB/T 17591-2006《阻燃织物》、检测依据GB/T5455-2014《纺织品 燃烧性能垂直方向 损毁长度、阴燃和续燃时间的测定》达到燃烧性能B1级标准，损毁长度mm≤150，横向：≤30纵向：≤40，续燃时间S≤2，阴燃时间S≤2；提供具有CMA或CNAS资质的检测机构出具的检测报告。 </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AF3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EFC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张</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D9D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18</w:t>
            </w:r>
          </w:p>
        </w:tc>
      </w:tr>
      <w:tr w14:paraId="70918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A027">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36</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E272">
            <w:pPr>
              <w:keepNext w:val="0"/>
              <w:keepLines w:val="0"/>
              <w:widowControl/>
              <w:suppressLineNumbers w:val="0"/>
              <w:jc w:val="center"/>
              <w:textAlignment w:val="center"/>
              <w:rPr>
                <w:rFonts w:hint="eastAsia" w:ascii="楷体" w:hAnsi="楷体" w:eastAsia="楷体" w:cs="楷体"/>
                <w:b/>
                <w:bCs/>
                <w:i w:val="0"/>
                <w:iCs w:val="0"/>
                <w:color w:val="000000"/>
                <w:sz w:val="21"/>
                <w:szCs w:val="21"/>
                <w:u w:val="none"/>
              </w:rPr>
            </w:pPr>
            <w:r>
              <w:rPr>
                <w:rFonts w:hint="eastAsia" w:ascii="楷体" w:hAnsi="楷体" w:eastAsia="楷体" w:cs="楷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wp:posOffset>
                  </wp:positionH>
                  <wp:positionV relativeFrom="paragraph">
                    <wp:posOffset>164465</wp:posOffset>
                  </wp:positionV>
                  <wp:extent cx="954405" cy="1668145"/>
                  <wp:effectExtent l="0" t="0" r="17145" b="8255"/>
                  <wp:wrapNone/>
                  <wp:docPr id="50" name="图片_15_SpCnt_1"/>
                  <wp:cNvGraphicFramePr/>
                  <a:graphic xmlns:a="http://schemas.openxmlformats.org/drawingml/2006/main">
                    <a:graphicData uri="http://schemas.openxmlformats.org/drawingml/2006/picture">
                      <pic:pic xmlns:pic="http://schemas.openxmlformats.org/drawingml/2006/picture">
                        <pic:nvPicPr>
                          <pic:cNvPr id="50" name="图片_15_SpCnt_1"/>
                          <pic:cNvPicPr/>
                        </pic:nvPicPr>
                        <pic:blipFill>
                          <a:blip r:embed="rId14"/>
                          <a:stretch>
                            <a:fillRect/>
                          </a:stretch>
                        </pic:blipFill>
                        <pic:spPr>
                          <a:xfrm>
                            <a:off x="0" y="0"/>
                            <a:ext cx="954405" cy="166814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CE5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衣柜</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F20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1200*600*2000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EB2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1．基材：采用符合国家E1级环保标准多层实木板，板材厚度18mm；                                                                   2．面材：采用纯三胺胶浸渍纸油墨、耐污、抗划、耐高温；                                                               3．封边：近色PVC封边条；                                                                                         4．五金：三合一偏心连接件偏心体抗压强度，采用静音滑轨、阻尼铰链，五金拉手。</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056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CAA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件</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D284">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r>
      <w:tr w14:paraId="4679F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1E8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37</w:t>
            </w:r>
          </w:p>
        </w:tc>
        <w:tc>
          <w:tcPr>
            <w:tcW w:w="20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EE2C8">
            <w:pPr>
              <w:keepNext w:val="0"/>
              <w:keepLines w:val="0"/>
              <w:widowControl/>
              <w:suppressLineNumbers w:val="0"/>
              <w:jc w:val="center"/>
              <w:textAlignment w:val="center"/>
              <w:rPr>
                <w:rFonts w:hint="eastAsia" w:ascii="楷体" w:hAnsi="楷体" w:eastAsia="楷体" w:cs="楷体"/>
                <w:b/>
                <w:bCs/>
                <w:i w:val="0"/>
                <w:iCs w:val="0"/>
                <w:color w:val="000000"/>
                <w:sz w:val="21"/>
                <w:szCs w:val="21"/>
                <w:u w:val="none"/>
              </w:rPr>
            </w:pPr>
            <w:r>
              <w:rPr>
                <w:rFonts w:hint="eastAsia" w:ascii="楷体" w:hAnsi="楷体" w:eastAsia="楷体" w:cs="楷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-48895</wp:posOffset>
                  </wp:positionH>
                  <wp:positionV relativeFrom="paragraph">
                    <wp:posOffset>248285</wp:posOffset>
                  </wp:positionV>
                  <wp:extent cx="1155065" cy="918210"/>
                  <wp:effectExtent l="0" t="0" r="6985" b="15240"/>
                  <wp:wrapNone/>
                  <wp:docPr id="54" name="图片_21_SpCnt_1"/>
                  <wp:cNvGraphicFramePr/>
                  <a:graphic xmlns:a="http://schemas.openxmlformats.org/drawingml/2006/main">
                    <a:graphicData uri="http://schemas.openxmlformats.org/drawingml/2006/picture">
                      <pic:pic xmlns:pic="http://schemas.openxmlformats.org/drawingml/2006/picture">
                        <pic:nvPicPr>
                          <pic:cNvPr id="54" name="图片_21_SpCnt_1"/>
                          <pic:cNvPicPr/>
                        </pic:nvPicPr>
                        <pic:blipFill>
                          <a:blip r:embed="rId37"/>
                          <a:stretch>
                            <a:fillRect/>
                          </a:stretch>
                        </pic:blipFill>
                        <pic:spPr>
                          <a:xfrm>
                            <a:off x="0" y="0"/>
                            <a:ext cx="1155065" cy="91821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A1B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书桌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860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1200*500*760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4B9E">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1．基材：采用符合国家E1级环保标准多层实木板，板材厚度18mm：</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2．面材：采用纯三胺胶浸溃纸油墨、耐污、抗划、耐高温：</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3．封边：近色PVC封边条；</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4．五金：三合一偏心连接件偏心体抗压强度，采用静音滑轨，五金拉手：</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5．安全圆角：接触面均采用圆角处理，减少磕碰，桌面三面凸出30-50mm。</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6．单侧设置两个可抓握起立的助力孔。</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C20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B338">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件</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7582">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r>
      <w:tr w14:paraId="63335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6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D0F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38</w:t>
            </w:r>
          </w:p>
        </w:tc>
        <w:tc>
          <w:tcPr>
            <w:tcW w:w="20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13A9A6">
            <w:pPr>
              <w:keepNext w:val="0"/>
              <w:keepLines w:val="0"/>
              <w:widowControl/>
              <w:suppressLineNumbers w:val="0"/>
              <w:jc w:val="center"/>
              <w:textAlignment w:val="center"/>
              <w:rPr>
                <w:rFonts w:hint="eastAsia" w:ascii="楷体" w:hAnsi="楷体" w:eastAsia="楷体" w:cs="楷体"/>
                <w:b/>
                <w:bCs/>
                <w:i w:val="0"/>
                <w:iCs w:val="0"/>
                <w:color w:val="000000"/>
                <w:sz w:val="21"/>
                <w:szCs w:val="21"/>
                <w:u w:val="none"/>
              </w:rPr>
            </w:pPr>
            <w:r>
              <w:rPr>
                <w:rFonts w:hint="eastAsia" w:ascii="楷体" w:hAnsi="楷体" w:eastAsia="楷体" w:cs="楷体"/>
                <w:b/>
                <w:bCs/>
                <w:i w:val="0"/>
                <w:iCs w:val="0"/>
                <w:color w:val="000000"/>
                <w:kern w:val="0"/>
                <w:sz w:val="21"/>
                <w:szCs w:val="21"/>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777240</wp:posOffset>
                  </wp:positionV>
                  <wp:extent cx="1051560" cy="1156970"/>
                  <wp:effectExtent l="0" t="0" r="15240" b="5080"/>
                  <wp:wrapNone/>
                  <wp:docPr id="6" name="图片_22_SpCnt_1"/>
                  <wp:cNvGraphicFramePr/>
                  <a:graphic xmlns:a="http://schemas.openxmlformats.org/drawingml/2006/main">
                    <a:graphicData uri="http://schemas.openxmlformats.org/drawingml/2006/picture">
                      <pic:pic xmlns:pic="http://schemas.openxmlformats.org/drawingml/2006/picture">
                        <pic:nvPicPr>
                          <pic:cNvPr id="6" name="图片_22_SpCnt_1"/>
                          <pic:cNvPicPr/>
                        </pic:nvPicPr>
                        <pic:blipFill>
                          <a:blip r:embed="rId38"/>
                          <a:stretch>
                            <a:fillRect/>
                          </a:stretch>
                        </pic:blipFill>
                        <pic:spPr>
                          <a:xfrm>
                            <a:off x="0" y="0"/>
                            <a:ext cx="1051560" cy="1156970"/>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4FAB">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书椅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776C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565*595*960</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A58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1．实木：白蜡实木框架。</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2．软包：采用回弹性好的PU高密度海绵材料制作而成的软包，面料采用耐磨皮革，防水、耐磨、易清洁。海绵：依据GB/T 10802-2006《通用软质聚醚型聚氨酷泡沫塑料》、QB/T 2280-2016《办公家具办公椅》标准，其中：</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（1）.25%压陷硬度为≥130N；</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（2）.65%/25%压陷比为≥2.5；75%压缩永久变形≤5.0；</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（3）.拉伸强度为≥130kPa；</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（4）.拉伸率≥137%；</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（5）.撕裂强度≥2.7N/cm；</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（6）.泡沫塑料要求：表观密度座面≥35kg/m3 其他:/，回弹性能≥40%；</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（7）.甲醛释放量≤0.05mg/㎡h；</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3．油漆：采用环保油漆，成品纹理清晰、表层饱满、光泽润亮。涂装要求无桔皮、发白、流挂、泪油现象。结实耐用，耐磨损，耐腐蚀；</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4．适老化设计：根据人体工学进行设计，使得老人体位坐姿更为舒适</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5．镂空把手：方便移动椅子和老人借力行走，实用人性化。                                                                6．安全圆角：接触面均采用圆角处理，减少磕碰。</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D25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87A7F">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件</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0B1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r>
      <w:tr w14:paraId="1F2A6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0"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106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39</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23D8">
            <w:pPr>
              <w:keepNext w:val="0"/>
              <w:keepLines w:val="0"/>
              <w:widowControl/>
              <w:suppressLineNumbers w:val="0"/>
              <w:jc w:val="center"/>
              <w:textAlignment w:val="center"/>
              <w:rPr>
                <w:rFonts w:hint="eastAsia" w:ascii="楷体" w:hAnsi="楷体" w:eastAsia="楷体" w:cs="楷体"/>
                <w:b/>
                <w:bCs/>
                <w:i w:val="0"/>
                <w:iCs w:val="0"/>
                <w:color w:val="000000"/>
                <w:sz w:val="21"/>
                <w:szCs w:val="21"/>
                <w:u w:val="none"/>
              </w:rPr>
            </w:pPr>
            <w:r>
              <w:rPr>
                <w:rFonts w:hint="eastAsia" w:ascii="楷体" w:hAnsi="楷体" w:eastAsia="楷体" w:cs="楷体"/>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-208280</wp:posOffset>
                  </wp:positionV>
                  <wp:extent cx="1214755" cy="582295"/>
                  <wp:effectExtent l="0" t="0" r="4445" b="8255"/>
                  <wp:wrapNone/>
                  <wp:docPr id="7" name="图片_28"/>
                  <wp:cNvGraphicFramePr/>
                  <a:graphic xmlns:a="http://schemas.openxmlformats.org/drawingml/2006/main">
                    <a:graphicData uri="http://schemas.openxmlformats.org/drawingml/2006/picture">
                      <pic:pic xmlns:pic="http://schemas.openxmlformats.org/drawingml/2006/picture">
                        <pic:nvPicPr>
                          <pic:cNvPr id="7" name="图片_28"/>
                          <pic:cNvPicPr/>
                        </pic:nvPicPr>
                        <pic:blipFill>
                          <a:blip r:embed="rId39"/>
                          <a:stretch>
                            <a:fillRect/>
                          </a:stretch>
                        </pic:blipFill>
                        <pic:spPr>
                          <a:xfrm>
                            <a:off x="0" y="0"/>
                            <a:ext cx="1214755" cy="582295"/>
                          </a:xfrm>
                          <a:prstGeom prst="rect">
                            <a:avLst/>
                          </a:prstGeom>
                          <a:noFill/>
                          <a:ln>
                            <a:noFill/>
                          </a:ln>
                        </pic:spPr>
                      </pic:pic>
                    </a:graphicData>
                  </a:graphic>
                </wp:anchor>
              </w:drawing>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74F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沙发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BBDC">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1740*700*710mm</w:t>
            </w:r>
          </w:p>
        </w:tc>
        <w:tc>
          <w:tcPr>
            <w:tcW w:w="6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E9C2">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1．框架：实木框架</w:t>
            </w:r>
            <w:r>
              <w:rPr>
                <w:rFonts w:hint="eastAsia" w:ascii="宋体" w:hAnsi="宋体" w:eastAsia="宋体" w:cs="宋体"/>
                <w:b/>
                <w:bCs/>
                <w:i w:val="0"/>
                <w:iCs w:val="0"/>
                <w:color w:val="000000"/>
                <w:kern w:val="0"/>
                <w:sz w:val="21"/>
                <w:szCs w:val="21"/>
                <w:u w:val="none"/>
                <w:lang w:val="en-US" w:eastAsia="zh-CN" w:bidi="ar"/>
              </w:rPr>
              <w:br w:type="textWrapping"/>
            </w:r>
            <w:r>
              <w:rPr>
                <w:rFonts w:hint="eastAsia" w:ascii="宋体" w:hAnsi="宋体" w:eastAsia="宋体" w:cs="宋体"/>
                <w:b/>
                <w:bCs/>
                <w:i w:val="0"/>
                <w:iCs w:val="0"/>
                <w:color w:val="000000"/>
                <w:kern w:val="0"/>
                <w:sz w:val="21"/>
                <w:szCs w:val="21"/>
                <w:u w:val="none"/>
                <w:lang w:val="en-US" w:eastAsia="zh-CN" w:bidi="ar"/>
              </w:rPr>
              <w:t xml:space="preserve">2．软包：采用回弹性好的PU高密度海绵材料制作而成的软包，面料采用PU皮，防水、耐磨、易清洁。                                                              </w:t>
            </w:r>
            <w:r>
              <w:rPr>
                <w:rFonts w:hint="eastAsia" w:ascii="宋体" w:hAnsi="宋体" w:cs="Times New Roman"/>
                <w:color w:val="auto"/>
                <w:sz w:val="24"/>
                <w:szCs w:val="24"/>
                <w:lang w:val="en-US" w:eastAsia="zh-CN"/>
              </w:rPr>
              <w:t>★</w:t>
            </w:r>
            <w:r>
              <w:rPr>
                <w:rStyle w:val="133"/>
                <w:sz w:val="21"/>
                <w:szCs w:val="21"/>
                <w:lang w:val="en-US" w:eastAsia="zh-CN" w:bidi="ar"/>
              </w:rPr>
              <w:t>海绵：依据GB/T 10802-2006《通用软质聚醚型聚氨酷泡沫塑料》、QB/T 2280-2016《办公家具办公椅》标准，其中：</w:t>
            </w:r>
            <w:r>
              <w:rPr>
                <w:rStyle w:val="133"/>
                <w:sz w:val="21"/>
                <w:szCs w:val="21"/>
                <w:lang w:val="en-US" w:eastAsia="zh-CN" w:bidi="ar"/>
              </w:rPr>
              <w:br w:type="textWrapping"/>
            </w:r>
            <w:r>
              <w:rPr>
                <w:rStyle w:val="133"/>
                <w:sz w:val="21"/>
                <w:szCs w:val="21"/>
                <w:lang w:val="en-US" w:eastAsia="zh-CN" w:bidi="ar"/>
              </w:rPr>
              <w:t>（1）.25%压陷硬度为≥130N；</w:t>
            </w:r>
            <w:r>
              <w:rPr>
                <w:rStyle w:val="133"/>
                <w:sz w:val="21"/>
                <w:szCs w:val="21"/>
                <w:lang w:val="en-US" w:eastAsia="zh-CN" w:bidi="ar"/>
              </w:rPr>
              <w:br w:type="textWrapping"/>
            </w:r>
            <w:r>
              <w:rPr>
                <w:rStyle w:val="133"/>
                <w:sz w:val="21"/>
                <w:szCs w:val="21"/>
                <w:lang w:val="en-US" w:eastAsia="zh-CN" w:bidi="ar"/>
              </w:rPr>
              <w:t>（2）.65%/25%压陷比为≥2.5；75%压缩永久变形≤5.0；</w:t>
            </w:r>
            <w:r>
              <w:rPr>
                <w:rStyle w:val="133"/>
                <w:sz w:val="21"/>
                <w:szCs w:val="21"/>
                <w:lang w:val="en-US" w:eastAsia="zh-CN" w:bidi="ar"/>
              </w:rPr>
              <w:br w:type="textWrapping"/>
            </w:r>
            <w:r>
              <w:rPr>
                <w:rStyle w:val="133"/>
                <w:sz w:val="21"/>
                <w:szCs w:val="21"/>
                <w:lang w:val="en-US" w:eastAsia="zh-CN" w:bidi="ar"/>
              </w:rPr>
              <w:t>（3）.拉伸强度为≥130kPa；</w:t>
            </w:r>
            <w:r>
              <w:rPr>
                <w:rStyle w:val="133"/>
                <w:sz w:val="21"/>
                <w:szCs w:val="21"/>
                <w:lang w:val="en-US" w:eastAsia="zh-CN" w:bidi="ar"/>
              </w:rPr>
              <w:br w:type="textWrapping"/>
            </w:r>
            <w:r>
              <w:rPr>
                <w:rStyle w:val="133"/>
                <w:sz w:val="21"/>
                <w:szCs w:val="21"/>
                <w:lang w:val="en-US" w:eastAsia="zh-CN" w:bidi="ar"/>
              </w:rPr>
              <w:t>（4）.拉伸率≥137%；</w:t>
            </w:r>
            <w:r>
              <w:rPr>
                <w:rStyle w:val="133"/>
                <w:sz w:val="21"/>
                <w:szCs w:val="21"/>
                <w:lang w:val="en-US" w:eastAsia="zh-CN" w:bidi="ar"/>
              </w:rPr>
              <w:br w:type="textWrapping"/>
            </w:r>
            <w:r>
              <w:rPr>
                <w:rStyle w:val="133"/>
                <w:sz w:val="21"/>
                <w:szCs w:val="21"/>
                <w:lang w:val="en-US" w:eastAsia="zh-CN" w:bidi="ar"/>
              </w:rPr>
              <w:t>（5）.撕裂强度≥2.7N/cm；</w:t>
            </w:r>
            <w:r>
              <w:rPr>
                <w:rStyle w:val="133"/>
                <w:sz w:val="21"/>
                <w:szCs w:val="21"/>
                <w:lang w:val="en-US" w:eastAsia="zh-CN" w:bidi="ar"/>
              </w:rPr>
              <w:br w:type="textWrapping"/>
            </w:r>
            <w:r>
              <w:rPr>
                <w:rStyle w:val="133"/>
                <w:sz w:val="21"/>
                <w:szCs w:val="21"/>
                <w:lang w:val="en-US" w:eastAsia="zh-CN" w:bidi="ar"/>
              </w:rPr>
              <w:t>（6）.泡沫塑料要求：表观密度座面≥35kg/m3 其他:/，回弹性能≥40%；</w:t>
            </w:r>
            <w:r>
              <w:rPr>
                <w:rStyle w:val="133"/>
                <w:sz w:val="21"/>
                <w:szCs w:val="21"/>
                <w:lang w:val="en-US" w:eastAsia="zh-CN" w:bidi="ar"/>
              </w:rPr>
              <w:br w:type="textWrapping"/>
            </w:r>
            <w:r>
              <w:rPr>
                <w:rStyle w:val="133"/>
                <w:sz w:val="21"/>
                <w:szCs w:val="21"/>
                <w:lang w:val="en-US" w:eastAsia="zh-CN" w:bidi="ar"/>
              </w:rPr>
              <w:t xml:space="preserve">（7）.甲醛释放量≤0.05mg/㎡h；提供具有CMA或CNAS资质的检测机构出具的检测报告。 </w:t>
            </w:r>
            <w:r>
              <w:rPr>
                <w:rStyle w:val="147"/>
                <w:sz w:val="21"/>
                <w:szCs w:val="21"/>
                <w:lang w:val="en-US" w:eastAsia="zh-CN" w:bidi="ar"/>
              </w:rPr>
              <w:br w:type="textWrapping"/>
            </w:r>
            <w:r>
              <w:rPr>
                <w:rStyle w:val="147"/>
                <w:sz w:val="21"/>
                <w:szCs w:val="21"/>
                <w:lang w:val="en-US" w:eastAsia="zh-CN" w:bidi="ar"/>
              </w:rPr>
              <w:t>3．安全圆角：接触面均采用圆角处理，减少磕碰。</w:t>
            </w:r>
          </w:p>
        </w:tc>
        <w:tc>
          <w:tcPr>
            <w:tcW w:w="10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BF40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可选</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89F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件</w:t>
            </w:r>
          </w:p>
        </w:tc>
        <w:tc>
          <w:tcPr>
            <w:tcW w:w="12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B3DF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r>
    </w:tbl>
    <w:p w14:paraId="03C03E54">
      <w:pPr>
        <w:rPr>
          <w:sz w:val="21"/>
          <w:szCs w:val="21"/>
        </w:rPr>
      </w:pPr>
    </w:p>
    <w:p w14:paraId="5D202EA8"/>
    <w:p w14:paraId="543EF64C">
      <w:pPr>
        <w:pStyle w:val="4"/>
      </w:pPr>
    </w:p>
    <w:p w14:paraId="2E19FB68"/>
    <w:p w14:paraId="2F36200B">
      <w:pPr>
        <w:pStyle w:val="4"/>
      </w:pPr>
    </w:p>
    <w:p w14:paraId="01C51DDC"/>
    <w:p w14:paraId="0188A7CE">
      <w:pPr>
        <w:pStyle w:val="4"/>
      </w:pPr>
    </w:p>
    <w:p w14:paraId="0B00D4E6"/>
    <w:p w14:paraId="286BCDFE">
      <w:pPr>
        <w:pStyle w:val="4"/>
      </w:pPr>
    </w:p>
    <w:p w14:paraId="1BD9126C"/>
    <w:p w14:paraId="3B498974">
      <w:pPr>
        <w:widowControl/>
        <w:autoSpaceDE w:val="0"/>
        <w:autoSpaceDN w:val="0"/>
        <w:spacing w:line="336" w:lineRule="auto"/>
        <w:ind w:right="-53" w:rightChars="-25"/>
        <w:textAlignment w:val="bottom"/>
        <w:rPr>
          <w:rFonts w:hint="eastAsia" w:ascii="宋体" w:hAnsi="宋体" w:cs="宋体"/>
          <w:color w:val="auto"/>
          <w:szCs w:val="21"/>
        </w:rPr>
      </w:pPr>
      <w:r>
        <w:rPr>
          <w:rFonts w:hint="eastAsia" w:ascii="宋体" w:hAnsi="宋体" w:cs="宋体"/>
          <w:b/>
          <w:color w:val="auto"/>
          <w:szCs w:val="21"/>
        </w:rPr>
        <w:t>备注：</w:t>
      </w:r>
      <w:r>
        <w:rPr>
          <w:rFonts w:hint="eastAsia" w:ascii="宋体" w:hAnsi="宋体" w:cs="宋体"/>
          <w:color w:val="auto"/>
          <w:szCs w:val="21"/>
        </w:rPr>
        <w:t>投标人可根据规格参数及作用要求</w:t>
      </w:r>
      <w:r>
        <w:rPr>
          <w:rFonts w:hint="eastAsia" w:ascii="宋体" w:hAnsi="宋体" w:cs="宋体"/>
          <w:bCs/>
          <w:color w:val="auto"/>
          <w:szCs w:val="21"/>
        </w:rPr>
        <w:t>选择同档次或更优秀的合适设备进行投标</w:t>
      </w:r>
      <w:r>
        <w:rPr>
          <w:rFonts w:hint="eastAsia" w:ascii="宋体" w:hAnsi="宋体" w:cs="宋体"/>
          <w:color w:val="auto"/>
          <w:szCs w:val="21"/>
        </w:rPr>
        <w:t>。规格参数与采购清单有偏离的，须在偏离表中进行说明。</w:t>
      </w:r>
    </w:p>
    <w:p w14:paraId="35BDC529">
      <w:pPr>
        <w:widowControl/>
        <w:autoSpaceDE w:val="0"/>
        <w:autoSpaceDN w:val="0"/>
        <w:spacing w:line="336" w:lineRule="auto"/>
        <w:ind w:right="-53" w:rightChars="-25"/>
        <w:textAlignment w:val="bottom"/>
        <w:rPr>
          <w:rFonts w:ascii="宋体" w:hAnsi="宋体"/>
          <w:b/>
          <w:color w:val="auto"/>
          <w:sz w:val="22"/>
          <w:szCs w:val="22"/>
        </w:rPr>
      </w:pPr>
      <w:r>
        <w:rPr>
          <w:rFonts w:hint="eastAsia" w:ascii="宋体" w:hAnsi="宋体"/>
          <w:b/>
          <w:color w:val="auto"/>
          <w:sz w:val="22"/>
          <w:szCs w:val="22"/>
          <w:lang w:val="en-US" w:eastAsia="zh-CN"/>
        </w:rPr>
        <w:t>三</w:t>
      </w:r>
      <w:r>
        <w:rPr>
          <w:rFonts w:hint="eastAsia" w:ascii="宋体" w:hAnsi="宋体"/>
          <w:b/>
          <w:color w:val="auto"/>
          <w:sz w:val="22"/>
          <w:szCs w:val="22"/>
        </w:rPr>
        <w:t>、到货、安装、测试与验收要求</w:t>
      </w:r>
    </w:p>
    <w:p w14:paraId="5E72173E">
      <w:pPr>
        <w:spacing w:line="336" w:lineRule="auto"/>
        <w:ind w:firstLine="433" w:firstLineChars="196"/>
        <w:rPr>
          <w:rFonts w:ascii="宋体" w:hAnsi="宋体"/>
          <w:b/>
          <w:color w:val="auto"/>
          <w:sz w:val="22"/>
          <w:szCs w:val="22"/>
        </w:rPr>
      </w:pPr>
      <w:r>
        <w:rPr>
          <w:rFonts w:hint="eastAsia" w:ascii="宋体" w:hAnsi="宋体"/>
          <w:b/>
          <w:color w:val="auto"/>
          <w:sz w:val="22"/>
          <w:szCs w:val="22"/>
        </w:rPr>
        <w:t>1、到货要求</w:t>
      </w:r>
    </w:p>
    <w:p w14:paraId="13562B4F">
      <w:pPr>
        <w:autoSpaceDE w:val="0"/>
        <w:autoSpaceDN w:val="0"/>
        <w:adjustRightInd w:val="0"/>
        <w:spacing w:line="336" w:lineRule="auto"/>
        <w:ind w:firstLine="440" w:firstLineChars="200"/>
        <w:rPr>
          <w:rFonts w:ascii="宋体" w:hAnsi="宋体"/>
          <w:color w:val="auto"/>
          <w:sz w:val="22"/>
          <w:szCs w:val="22"/>
          <w:highlight w:val="none"/>
        </w:rPr>
      </w:pPr>
      <w:r>
        <w:rPr>
          <w:rFonts w:hint="eastAsia" w:ascii="宋体" w:hAnsi="宋体"/>
          <w:color w:val="auto"/>
          <w:sz w:val="22"/>
          <w:szCs w:val="22"/>
          <w:highlight w:val="none"/>
        </w:rPr>
        <w:t>1.1交付使用期限</w:t>
      </w:r>
      <w:r>
        <w:rPr>
          <w:rFonts w:hint="eastAsia" w:ascii="宋体" w:hAnsi="宋体"/>
          <w:color w:val="auto"/>
          <w:sz w:val="22"/>
          <w:szCs w:val="22"/>
          <w:highlight w:val="none"/>
          <w:lang w:eastAsia="zh-CN"/>
        </w:rPr>
        <w:t>：</w:t>
      </w:r>
      <w:r>
        <w:rPr>
          <w:rFonts w:hint="eastAsia" w:ascii="宋体" w:hAnsi="宋体"/>
          <w:color w:val="auto"/>
          <w:sz w:val="22"/>
          <w:szCs w:val="22"/>
          <w:highlight w:val="none"/>
        </w:rPr>
        <w:t>合同签署生效并收到采购人交货通知后</w:t>
      </w:r>
      <w:r>
        <w:rPr>
          <w:rFonts w:hint="eastAsia" w:ascii="宋体" w:hAnsi="宋体"/>
          <w:color w:val="auto"/>
          <w:sz w:val="22"/>
          <w:szCs w:val="22"/>
          <w:highlight w:val="none"/>
          <w:lang w:val="en-US" w:eastAsia="zh-CN"/>
        </w:rPr>
        <w:t>30</w:t>
      </w:r>
      <w:r>
        <w:rPr>
          <w:rFonts w:hint="eastAsia" w:ascii="宋体" w:hAnsi="宋体"/>
          <w:color w:val="auto"/>
          <w:sz w:val="22"/>
          <w:szCs w:val="22"/>
          <w:highlight w:val="none"/>
        </w:rPr>
        <w:t>日内交付全部货物</w:t>
      </w:r>
      <w:r>
        <w:rPr>
          <w:rFonts w:hint="eastAsia" w:ascii="宋体" w:hAnsi="宋体"/>
          <w:color w:val="auto"/>
          <w:sz w:val="22"/>
          <w:szCs w:val="22"/>
          <w:highlight w:val="none"/>
          <w:lang w:val="en-US" w:eastAsia="zh-CN"/>
        </w:rPr>
        <w:t>并安装完毕</w:t>
      </w:r>
      <w:r>
        <w:rPr>
          <w:rFonts w:hint="eastAsia" w:ascii="宋体" w:hAnsi="宋体"/>
          <w:color w:val="auto"/>
          <w:sz w:val="22"/>
          <w:szCs w:val="22"/>
          <w:highlight w:val="none"/>
        </w:rPr>
        <w:t>。</w:t>
      </w:r>
    </w:p>
    <w:p w14:paraId="3CA053EE">
      <w:pPr>
        <w:autoSpaceDE w:val="0"/>
        <w:autoSpaceDN w:val="0"/>
        <w:adjustRightInd w:val="0"/>
        <w:spacing w:line="336" w:lineRule="auto"/>
        <w:ind w:firstLine="440" w:firstLineChars="200"/>
        <w:rPr>
          <w:rFonts w:ascii="宋体" w:hAnsi="宋体"/>
          <w:color w:val="000000" w:themeColor="text1"/>
          <w:sz w:val="22"/>
          <w:szCs w:val="22"/>
          <w14:textFill>
            <w14:solidFill>
              <w14:schemeClr w14:val="tx1"/>
            </w14:solidFill>
          </w14:textFill>
        </w:rPr>
      </w:pPr>
      <w:r>
        <w:rPr>
          <w:rFonts w:hint="eastAsia" w:ascii="宋体" w:hAnsi="宋体"/>
          <w:color w:val="auto"/>
          <w:sz w:val="22"/>
          <w:szCs w:val="22"/>
        </w:rPr>
        <w:t>1.2交货地点：使用单位</w:t>
      </w:r>
      <w:r>
        <w:rPr>
          <w:rFonts w:hint="eastAsia" w:ascii="宋体" w:hAnsi="宋体"/>
          <w:color w:val="000000" w:themeColor="text1"/>
          <w:sz w:val="22"/>
          <w:szCs w:val="22"/>
          <w14:textFill>
            <w14:solidFill>
              <w14:schemeClr w14:val="tx1"/>
            </w14:solidFill>
          </w14:textFill>
        </w:rPr>
        <w:t>指定地点。</w:t>
      </w:r>
    </w:p>
    <w:p w14:paraId="6474021A">
      <w:pPr>
        <w:autoSpaceDE w:val="0"/>
        <w:autoSpaceDN w:val="0"/>
        <w:adjustRightInd w:val="0"/>
        <w:spacing w:line="336" w:lineRule="auto"/>
        <w:ind w:firstLine="440" w:firstLineChars="200"/>
        <w:rPr>
          <w:rFonts w:ascii="宋体" w:hAnsi="宋体"/>
          <w:sz w:val="22"/>
          <w:szCs w:val="22"/>
        </w:rPr>
      </w:pPr>
      <w:r>
        <w:rPr>
          <w:rFonts w:hint="eastAsia" w:ascii="宋体" w:hAnsi="宋体"/>
          <w:sz w:val="22"/>
          <w:szCs w:val="22"/>
        </w:rPr>
        <w:t>1.3响应人须派专业人员将产品送到指定地点，其所有费用由响应人承担。</w:t>
      </w:r>
    </w:p>
    <w:p w14:paraId="39E429FE">
      <w:pPr>
        <w:spacing w:line="336" w:lineRule="auto"/>
        <w:ind w:firstLine="433" w:firstLineChars="196"/>
        <w:rPr>
          <w:rFonts w:ascii="宋体" w:hAnsi="宋体"/>
          <w:b/>
          <w:sz w:val="22"/>
          <w:szCs w:val="22"/>
        </w:rPr>
      </w:pPr>
      <w:r>
        <w:rPr>
          <w:rFonts w:hint="eastAsia" w:ascii="宋体" w:hAnsi="宋体"/>
          <w:b/>
          <w:sz w:val="22"/>
          <w:szCs w:val="22"/>
        </w:rPr>
        <w:t>2、安装、验收标准</w:t>
      </w:r>
    </w:p>
    <w:p w14:paraId="6C48FAFD">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2.1响应人必须派技术人员到现场安装调试，安装完毕响应人派专业人员检查安装质量并进行设备调试。</w:t>
      </w:r>
    </w:p>
    <w:p w14:paraId="6E74E105">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 xml:space="preserve">2.2响应人必须为使用单位设计、安装、调试、维修、使用提供足够的技术资料和技术保障。提供有关证明，如产地、出厂合格证、质量保证书和测试合格证等。 </w:t>
      </w:r>
    </w:p>
    <w:p w14:paraId="03B8B0D2">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2.3若产品验收时有关技术参数不能满足招标文件技术要求，使用单位有权要求更换，同时有权要求索赔，所产生的一切费用（含所有检验费用）由成交人全部承担。</w:t>
      </w:r>
    </w:p>
    <w:p w14:paraId="39359674">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2.4装备测试</w:t>
      </w:r>
    </w:p>
    <w:p w14:paraId="20C30258">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相关装备到货后，由采购人进行产品自身性能的测试，响应人必须给予充分的配合。</w:t>
      </w:r>
    </w:p>
    <w:p w14:paraId="5AB6C93A">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2.5设备测试</w:t>
      </w:r>
    </w:p>
    <w:p w14:paraId="41DCD3C0">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由响应人协助采购人进行相关设备的安装，设备安装完成后，由采购人进行产品自身性能的测试。</w:t>
      </w:r>
    </w:p>
    <w:p w14:paraId="44C765BD">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2.6响应人应提供所有产品详细的中文操作手册，详细的产品操作和维护手册。</w:t>
      </w:r>
    </w:p>
    <w:p w14:paraId="2EE56A7A">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2.7响应人应提供完整的专用工具，以便维护、维修所供产品。</w:t>
      </w:r>
    </w:p>
    <w:p w14:paraId="0D4283A4">
      <w:pPr>
        <w:widowControl/>
        <w:autoSpaceDE w:val="0"/>
        <w:autoSpaceDN w:val="0"/>
        <w:spacing w:line="336" w:lineRule="auto"/>
        <w:ind w:right="-53" w:rightChars="-25"/>
        <w:textAlignment w:val="bottom"/>
        <w:rPr>
          <w:rFonts w:ascii="宋体" w:hAnsi="宋体"/>
          <w:b/>
          <w:sz w:val="22"/>
          <w:szCs w:val="22"/>
        </w:rPr>
      </w:pPr>
      <w:r>
        <w:rPr>
          <w:rFonts w:hint="eastAsia" w:ascii="宋体" w:hAnsi="宋体"/>
          <w:b/>
          <w:sz w:val="22"/>
          <w:szCs w:val="22"/>
        </w:rPr>
        <w:t>四、售后服务与培训要求</w:t>
      </w:r>
    </w:p>
    <w:p w14:paraId="3F429F39">
      <w:pPr>
        <w:spacing w:line="336" w:lineRule="auto"/>
        <w:ind w:firstLine="220" w:firstLineChars="100"/>
        <w:rPr>
          <w:rFonts w:ascii="宋体" w:hAnsi="宋体"/>
          <w:sz w:val="22"/>
          <w:szCs w:val="22"/>
          <w:u w:val="single"/>
        </w:rPr>
      </w:pPr>
      <w:r>
        <w:rPr>
          <w:rFonts w:hint="eastAsia" w:ascii="宋体" w:hAnsi="宋体"/>
          <w:sz w:val="22"/>
          <w:szCs w:val="22"/>
          <w:u w:val="single"/>
        </w:rPr>
        <w:t>1、</w:t>
      </w:r>
      <w:r>
        <w:rPr>
          <w:rFonts w:hint="eastAsia" w:ascii="宋体" w:hAnsi="宋体"/>
          <w:sz w:val="22"/>
          <w:szCs w:val="22"/>
          <w:u w:val="single"/>
          <w:lang w:val="en-US" w:eastAsia="zh-CN"/>
        </w:rPr>
        <w:t>本项目</w:t>
      </w:r>
      <w:r>
        <w:rPr>
          <w:rFonts w:hint="eastAsia" w:ascii="宋体" w:hAnsi="宋体"/>
          <w:sz w:val="22"/>
          <w:szCs w:val="22"/>
          <w:u w:val="single"/>
        </w:rPr>
        <w:t>质量保证期</w:t>
      </w:r>
      <w:r>
        <w:rPr>
          <w:rFonts w:hint="eastAsia" w:ascii="宋体" w:hAnsi="宋体"/>
          <w:sz w:val="22"/>
          <w:szCs w:val="22"/>
          <w:u w:val="single"/>
          <w:lang w:val="en-US" w:eastAsia="zh-CN"/>
        </w:rPr>
        <w:t>为五年。</w:t>
      </w:r>
    </w:p>
    <w:p w14:paraId="30B2D6B9">
      <w:pPr>
        <w:autoSpaceDE w:val="0"/>
        <w:autoSpaceDN w:val="0"/>
        <w:adjustRightInd w:val="0"/>
        <w:spacing w:line="336" w:lineRule="auto"/>
        <w:ind w:firstLine="440" w:firstLineChars="200"/>
        <w:rPr>
          <w:rFonts w:hint="eastAsia" w:ascii="宋体" w:hAnsi="宋体"/>
          <w:sz w:val="22"/>
          <w:szCs w:val="22"/>
        </w:rPr>
      </w:pPr>
      <w:r>
        <w:rPr>
          <w:rFonts w:hint="eastAsia" w:ascii="宋体" w:hAnsi="宋体"/>
          <w:sz w:val="22"/>
          <w:szCs w:val="22"/>
        </w:rPr>
        <w:t>1）自产品最终验收合格之日起，响应人应保证本次招标采购的全部商品售后服务（包括正品和厂制品）均由响应人负责，保证提供本次招标采购整体设备</w:t>
      </w:r>
      <w:r>
        <w:rPr>
          <w:rFonts w:hint="eastAsia" w:ascii="宋体" w:hAnsi="宋体"/>
          <w:sz w:val="22"/>
          <w:szCs w:val="22"/>
          <w:lang w:val="en-US" w:eastAsia="zh-CN"/>
        </w:rPr>
        <w:t>5</w:t>
      </w:r>
      <w:r>
        <w:rPr>
          <w:rFonts w:hint="eastAsia" w:ascii="宋体" w:hAnsi="宋体"/>
          <w:sz w:val="22"/>
          <w:szCs w:val="22"/>
        </w:rPr>
        <w:t>年的免费保修服务（除特殊说明外）。</w:t>
      </w:r>
    </w:p>
    <w:p w14:paraId="73F8BC12">
      <w:pPr>
        <w:autoSpaceDE w:val="0"/>
        <w:autoSpaceDN w:val="0"/>
        <w:adjustRightInd w:val="0"/>
        <w:spacing w:line="336" w:lineRule="auto"/>
        <w:ind w:firstLine="440" w:firstLineChars="200"/>
        <w:rPr>
          <w:rFonts w:ascii="宋体" w:hAnsi="宋体"/>
          <w:sz w:val="22"/>
          <w:szCs w:val="22"/>
        </w:rPr>
      </w:pPr>
      <w:r>
        <w:rPr>
          <w:rFonts w:hint="eastAsia" w:ascii="宋体" w:hAnsi="宋体"/>
          <w:sz w:val="22"/>
          <w:szCs w:val="22"/>
        </w:rPr>
        <w:t>2）响应人应保证提供后续相应备品备件供应。</w:t>
      </w:r>
    </w:p>
    <w:p w14:paraId="03A50E1E">
      <w:pPr>
        <w:spacing w:line="336" w:lineRule="auto"/>
        <w:ind w:firstLine="442" w:firstLineChars="200"/>
        <w:rPr>
          <w:rFonts w:ascii="宋体" w:hAnsi="宋体"/>
          <w:b/>
          <w:sz w:val="22"/>
          <w:szCs w:val="22"/>
        </w:rPr>
      </w:pPr>
      <w:r>
        <w:rPr>
          <w:rFonts w:hint="eastAsia" w:ascii="宋体" w:hAnsi="宋体"/>
          <w:b/>
          <w:sz w:val="22"/>
          <w:szCs w:val="22"/>
        </w:rPr>
        <w:t>2、售后服务</w:t>
      </w:r>
    </w:p>
    <w:p w14:paraId="55C0CD7F">
      <w:pPr>
        <w:spacing w:line="336" w:lineRule="auto"/>
        <w:ind w:firstLine="440" w:firstLineChars="200"/>
        <w:rPr>
          <w:rFonts w:ascii="宋体" w:hAnsi="宋体"/>
          <w:sz w:val="22"/>
          <w:szCs w:val="22"/>
        </w:rPr>
      </w:pPr>
      <w:r>
        <w:rPr>
          <w:rFonts w:hint="eastAsia" w:ascii="宋体" w:hAnsi="宋体"/>
          <w:sz w:val="22"/>
          <w:szCs w:val="22"/>
        </w:rPr>
        <w:t>1）响应人提供的产品应满足稳定性、先进性、实用性和易用性，要确保质量和安全。</w:t>
      </w:r>
    </w:p>
    <w:p w14:paraId="3EA22FA9">
      <w:pPr>
        <w:spacing w:line="336" w:lineRule="auto"/>
        <w:ind w:firstLine="440" w:firstLineChars="200"/>
        <w:rPr>
          <w:rFonts w:ascii="宋体" w:hAnsi="宋体"/>
          <w:sz w:val="22"/>
          <w:szCs w:val="22"/>
        </w:rPr>
      </w:pPr>
      <w:r>
        <w:rPr>
          <w:rFonts w:hint="eastAsia" w:ascii="宋体" w:hAnsi="宋体"/>
          <w:sz w:val="22"/>
          <w:szCs w:val="22"/>
        </w:rPr>
        <w:t>2）响应人应提供快捷、周到、规范的技术服务，需提供7*24小时电话技术支持，接到甲方故障通知后，技术人员应立即响应，并于</w:t>
      </w:r>
      <w:r>
        <w:rPr>
          <w:rFonts w:hint="eastAsia" w:ascii="宋体" w:hAnsi="宋体"/>
          <w:sz w:val="22"/>
          <w:szCs w:val="22"/>
          <w:lang w:val="en-US" w:eastAsia="zh-CN"/>
        </w:rPr>
        <w:t>5</w:t>
      </w:r>
      <w:r>
        <w:rPr>
          <w:rFonts w:hint="eastAsia" w:ascii="宋体" w:hAnsi="宋体"/>
          <w:sz w:val="22"/>
          <w:szCs w:val="22"/>
        </w:rPr>
        <w:t>小时内到达现场进行故障排除和抢修。</w:t>
      </w:r>
    </w:p>
    <w:p w14:paraId="21263CD0">
      <w:pPr>
        <w:spacing w:line="336" w:lineRule="auto"/>
        <w:ind w:firstLine="440" w:firstLineChars="200"/>
        <w:rPr>
          <w:rFonts w:ascii="宋体" w:hAnsi="宋体"/>
          <w:sz w:val="22"/>
          <w:szCs w:val="22"/>
        </w:rPr>
      </w:pPr>
      <w:r>
        <w:rPr>
          <w:rFonts w:hint="eastAsia" w:ascii="宋体" w:hAnsi="宋体"/>
          <w:sz w:val="22"/>
          <w:szCs w:val="22"/>
        </w:rPr>
        <w:t>3）</w:t>
      </w:r>
      <w:r>
        <w:rPr>
          <w:rFonts w:hint="default" w:ascii="宋体" w:hAnsi="宋体"/>
          <w:sz w:val="22"/>
          <w:szCs w:val="22"/>
        </w:rPr>
        <w:t>采购人</w:t>
      </w:r>
      <w:r>
        <w:rPr>
          <w:rFonts w:hint="eastAsia" w:ascii="宋体" w:hAnsi="宋体"/>
          <w:sz w:val="22"/>
          <w:szCs w:val="22"/>
        </w:rPr>
        <w:t>在试运行和初次使用时，响应方应指派技术人员到现场进行技术指导。</w:t>
      </w:r>
    </w:p>
    <w:p w14:paraId="3A29142F">
      <w:pPr>
        <w:spacing w:line="336" w:lineRule="auto"/>
        <w:ind w:firstLine="440" w:firstLineChars="200"/>
        <w:rPr>
          <w:rFonts w:ascii="宋体" w:hAnsi="宋体"/>
          <w:sz w:val="22"/>
          <w:szCs w:val="22"/>
        </w:rPr>
      </w:pPr>
      <w:r>
        <w:rPr>
          <w:rFonts w:hint="eastAsia" w:ascii="宋体" w:hAnsi="宋体"/>
          <w:sz w:val="22"/>
          <w:szCs w:val="22"/>
        </w:rPr>
        <w:t>4）响应人提供的产品在质保期内因产品本身质量问题发生故障，应负责免费更换。</w:t>
      </w:r>
    </w:p>
    <w:p w14:paraId="3F930CE0">
      <w:pPr>
        <w:spacing w:line="336" w:lineRule="auto"/>
        <w:ind w:firstLine="442" w:firstLineChars="200"/>
        <w:rPr>
          <w:rFonts w:ascii="宋体" w:hAnsi="宋体"/>
          <w:b/>
          <w:sz w:val="22"/>
          <w:szCs w:val="22"/>
        </w:rPr>
      </w:pPr>
      <w:r>
        <w:rPr>
          <w:rFonts w:hint="eastAsia" w:ascii="宋体" w:hAnsi="宋体"/>
          <w:b/>
          <w:sz w:val="22"/>
          <w:szCs w:val="22"/>
        </w:rPr>
        <w:t>3、培训要求</w:t>
      </w:r>
    </w:p>
    <w:p w14:paraId="6FD1A5FA">
      <w:pPr>
        <w:autoSpaceDE w:val="0"/>
        <w:autoSpaceDN w:val="0"/>
        <w:adjustRightInd w:val="0"/>
        <w:spacing w:line="336" w:lineRule="auto"/>
        <w:ind w:firstLine="440" w:firstLineChars="200"/>
        <w:rPr>
          <w:rFonts w:ascii="宋体" w:hAnsi="宋体"/>
          <w:sz w:val="22"/>
          <w:szCs w:val="22"/>
        </w:rPr>
      </w:pPr>
      <w:r>
        <w:rPr>
          <w:rFonts w:hint="eastAsia" w:ascii="宋体" w:hAnsi="宋体"/>
          <w:sz w:val="22"/>
          <w:szCs w:val="22"/>
        </w:rPr>
        <w:t>1）响应方要根据餐厨器具特征和厨师等使用人员实际情况，制订针对性培训方案。</w:t>
      </w:r>
    </w:p>
    <w:p w14:paraId="1FED6AEC">
      <w:pPr>
        <w:autoSpaceDE w:val="0"/>
        <w:autoSpaceDN w:val="0"/>
        <w:adjustRightInd w:val="0"/>
        <w:spacing w:line="336" w:lineRule="auto"/>
        <w:ind w:firstLine="440" w:firstLineChars="200"/>
        <w:rPr>
          <w:rFonts w:ascii="宋体" w:hAnsi="宋体"/>
          <w:sz w:val="22"/>
          <w:szCs w:val="22"/>
        </w:rPr>
      </w:pPr>
      <w:r>
        <w:rPr>
          <w:rFonts w:hint="eastAsia" w:ascii="宋体" w:hAnsi="宋体"/>
          <w:sz w:val="22"/>
          <w:szCs w:val="22"/>
        </w:rPr>
        <w:t>2）响应方应在设备安装调试完成后和甲方正式使用前，分别进行一次技术、安全和实操培训，培训组织由采购方负责，授课和技术指导由响应方负责，培训形式、培训时间、培训场地等由双方协商决定。</w:t>
      </w:r>
    </w:p>
    <w:p w14:paraId="100CAF28">
      <w:pPr>
        <w:autoSpaceDE w:val="0"/>
        <w:autoSpaceDN w:val="0"/>
        <w:adjustRightInd w:val="0"/>
        <w:spacing w:line="336" w:lineRule="auto"/>
        <w:ind w:firstLine="440" w:firstLineChars="200"/>
        <w:rPr>
          <w:rFonts w:ascii="宋体" w:hAnsi="宋体"/>
          <w:sz w:val="22"/>
          <w:szCs w:val="22"/>
        </w:rPr>
      </w:pPr>
      <w:r>
        <w:rPr>
          <w:rFonts w:hint="eastAsia" w:ascii="宋体" w:hAnsi="宋体"/>
          <w:sz w:val="22"/>
          <w:szCs w:val="22"/>
        </w:rPr>
        <w:t>3)后期根据采购方要求适时组织培训，响应方必须无条件配合，不得以任何理由或借口推诿。</w:t>
      </w:r>
    </w:p>
    <w:p w14:paraId="00B7BEFF">
      <w:pPr>
        <w:spacing w:line="336" w:lineRule="auto"/>
        <w:rPr>
          <w:rFonts w:ascii="宋体" w:hAnsi="宋体"/>
          <w:b/>
          <w:sz w:val="22"/>
          <w:szCs w:val="22"/>
          <w:highlight w:val="none"/>
        </w:rPr>
      </w:pPr>
      <w:r>
        <w:rPr>
          <w:rFonts w:hint="eastAsia" w:ascii="宋体" w:hAnsi="宋体"/>
          <w:b/>
          <w:sz w:val="22"/>
          <w:szCs w:val="22"/>
        </w:rPr>
        <w:t>五</w:t>
      </w:r>
      <w:r>
        <w:rPr>
          <w:rFonts w:hint="eastAsia" w:ascii="宋体" w:hAnsi="宋体"/>
          <w:b/>
          <w:sz w:val="22"/>
          <w:szCs w:val="22"/>
          <w:highlight w:val="none"/>
        </w:rPr>
        <w:t>、资金结算方式</w:t>
      </w:r>
    </w:p>
    <w:p w14:paraId="4F5D54A1">
      <w:pPr>
        <w:spacing w:line="336" w:lineRule="auto"/>
        <w:ind w:firstLine="440" w:firstLineChars="200"/>
        <w:rPr>
          <w:rFonts w:ascii="宋体" w:hAnsi="宋体"/>
          <w:color w:val="000000" w:themeColor="text1"/>
          <w:sz w:val="22"/>
          <w:szCs w:val="22"/>
          <w:highlight w:val="non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本项目合同签订后7个工作日内预付合同金额的40%，设备完成安装后待验收合格并提交相关资料由</w:t>
      </w:r>
      <w:r>
        <w:rPr>
          <w:rFonts w:hint="eastAsia" w:ascii="宋体" w:hAnsi="宋体"/>
          <w:color w:val="000000" w:themeColor="text1"/>
          <w:sz w:val="22"/>
          <w:szCs w:val="22"/>
          <w:highlight w:val="none"/>
          <w:lang w:val="en-US" w:eastAsia="zh-CN"/>
          <w14:textFill>
            <w14:solidFill>
              <w14:schemeClr w14:val="tx1"/>
            </w14:solidFill>
          </w14:textFill>
        </w:rPr>
        <w:t>采购人</w:t>
      </w:r>
      <w:r>
        <w:rPr>
          <w:rFonts w:hint="eastAsia" w:ascii="宋体" w:hAnsi="宋体"/>
          <w:color w:val="000000" w:themeColor="text1"/>
          <w:sz w:val="22"/>
          <w:szCs w:val="22"/>
          <w:highlight w:val="none"/>
          <w14:textFill>
            <w14:solidFill>
              <w14:schemeClr w14:val="tx1"/>
            </w14:solidFill>
          </w14:textFill>
        </w:rPr>
        <w:t>确认后，收到响应人正式发票后，15个工作日内一次性支付余额款项。</w:t>
      </w:r>
    </w:p>
    <w:p w14:paraId="1ACD3795">
      <w:pPr>
        <w:pStyle w:val="119"/>
        <w:numPr>
          <w:ilvl w:val="0"/>
          <w:numId w:val="0"/>
        </w:numPr>
        <w:rPr>
          <w:rFonts w:hint="eastAsia" w:ascii="宋体" w:hAnsi="宋体" w:eastAsia="宋体" w:cs="Times New Roman"/>
          <w:b/>
          <w:kern w:val="2"/>
          <w:sz w:val="22"/>
          <w:szCs w:val="22"/>
          <w:highlight w:val="none"/>
          <w:lang w:val="en-US" w:eastAsia="zh-CN" w:bidi="ar-SA"/>
        </w:rPr>
      </w:pPr>
      <w:r>
        <w:rPr>
          <w:rFonts w:hint="eastAsia" w:cs="Times New Roman"/>
          <w:b/>
          <w:kern w:val="2"/>
          <w:sz w:val="22"/>
          <w:szCs w:val="22"/>
          <w:highlight w:val="none"/>
          <w:lang w:val="en-US" w:eastAsia="zh-CN" w:bidi="ar-SA"/>
        </w:rPr>
        <w:t>六、</w:t>
      </w:r>
      <w:r>
        <w:rPr>
          <w:rFonts w:hint="eastAsia" w:ascii="宋体" w:hAnsi="宋体" w:eastAsia="宋体" w:cs="Times New Roman"/>
          <w:b/>
          <w:kern w:val="2"/>
          <w:sz w:val="22"/>
          <w:szCs w:val="22"/>
          <w:highlight w:val="none"/>
          <w:lang w:val="en-US" w:eastAsia="zh-CN" w:bidi="ar-SA"/>
        </w:rPr>
        <w:t>样品</w:t>
      </w:r>
    </w:p>
    <w:p w14:paraId="2B5A39B4">
      <w:pPr>
        <w:pStyle w:val="119"/>
        <w:numPr>
          <w:ilvl w:val="0"/>
          <w:numId w:val="0"/>
        </w:numPr>
        <w:rPr>
          <w:rFonts w:hint="eastAsia" w:ascii="Times New Roman" w:hAnsi="Times New Roman"/>
          <w:b/>
          <w:bCs/>
          <w:color w:val="000000" w:themeColor="text1"/>
          <w:kern w:val="2"/>
          <w:sz w:val="21"/>
          <w:szCs w:val="24"/>
          <w:highlight w:val="yellow"/>
          <w:lang w:val="en-US"/>
          <w14:textFill>
            <w14:solidFill>
              <w14:schemeClr w14:val="tx1"/>
            </w14:solidFill>
          </w14:textFill>
        </w:rPr>
      </w:pPr>
    </w:p>
    <w:tbl>
      <w:tblPr>
        <w:tblStyle w:val="29"/>
        <w:tblW w:w="14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2874"/>
        <w:gridCol w:w="5864"/>
        <w:gridCol w:w="4755"/>
      </w:tblGrid>
      <w:tr w14:paraId="78D5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noWrap w:val="0"/>
            <w:vAlign w:val="center"/>
          </w:tcPr>
          <w:p w14:paraId="00804958">
            <w:pPr>
              <w:spacing w:line="336" w:lineRule="auto"/>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eastAsia="zh-CN"/>
                <w14:textFill>
                  <w14:solidFill>
                    <w14:schemeClr w14:val="tx1"/>
                  </w14:solidFill>
                </w14:textFill>
              </w:rPr>
              <w:t>序号</w:t>
            </w:r>
          </w:p>
        </w:tc>
        <w:tc>
          <w:tcPr>
            <w:tcW w:w="2874" w:type="dxa"/>
            <w:noWrap w:val="0"/>
            <w:vAlign w:val="center"/>
          </w:tcPr>
          <w:p w14:paraId="6895F91D">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eastAsia="zh-CN"/>
                <w14:textFill>
                  <w14:solidFill>
                    <w14:schemeClr w14:val="tx1"/>
                  </w14:solidFill>
                </w14:textFill>
              </w:rPr>
              <w:t>样品名称</w:t>
            </w:r>
          </w:p>
        </w:tc>
        <w:tc>
          <w:tcPr>
            <w:tcW w:w="5864" w:type="dxa"/>
            <w:noWrap w:val="0"/>
            <w:vAlign w:val="center"/>
          </w:tcPr>
          <w:p w14:paraId="09ECCAEB">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技术参数</w:t>
            </w:r>
          </w:p>
        </w:tc>
        <w:tc>
          <w:tcPr>
            <w:tcW w:w="4755" w:type="dxa"/>
            <w:noWrap w:val="0"/>
            <w:vAlign w:val="center"/>
          </w:tcPr>
          <w:p w14:paraId="19221E5D">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eastAsia="zh-CN"/>
                <w14:textFill>
                  <w14:solidFill>
                    <w14:schemeClr w14:val="tx1"/>
                  </w14:solidFill>
                </w14:textFill>
              </w:rPr>
              <w:t>数量</w:t>
            </w:r>
          </w:p>
        </w:tc>
      </w:tr>
      <w:tr w14:paraId="554B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noWrap w:val="0"/>
            <w:vAlign w:val="center"/>
          </w:tcPr>
          <w:p w14:paraId="1499CC81">
            <w:pPr>
              <w:spacing w:line="336" w:lineRule="auto"/>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1</w:t>
            </w:r>
          </w:p>
        </w:tc>
        <w:tc>
          <w:tcPr>
            <w:tcW w:w="2874" w:type="dxa"/>
            <w:noWrap w:val="0"/>
            <w:vAlign w:val="center"/>
          </w:tcPr>
          <w:p w14:paraId="0DA37B86">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护理床</w:t>
            </w:r>
          </w:p>
        </w:tc>
        <w:tc>
          <w:tcPr>
            <w:tcW w:w="5864" w:type="dxa"/>
            <w:noWrap w:val="0"/>
            <w:vAlign w:val="center"/>
          </w:tcPr>
          <w:p w14:paraId="28BCB9E8">
            <w:pPr>
              <w:spacing w:line="336" w:lineRule="auto"/>
              <w:ind w:firstLine="400" w:firstLineChars="200"/>
              <w:jc w:val="center"/>
              <w:rPr>
                <w:rFonts w:hint="default"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详见第二章采购需求</w:t>
            </w:r>
          </w:p>
        </w:tc>
        <w:tc>
          <w:tcPr>
            <w:tcW w:w="4755" w:type="dxa"/>
            <w:noWrap w:val="0"/>
            <w:vAlign w:val="center"/>
          </w:tcPr>
          <w:p w14:paraId="024E113B">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1</w:t>
            </w:r>
          </w:p>
        </w:tc>
      </w:tr>
      <w:tr w14:paraId="3D8A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623" w:type="dxa"/>
            <w:noWrap w:val="0"/>
            <w:vAlign w:val="center"/>
          </w:tcPr>
          <w:p w14:paraId="592C30E7">
            <w:pPr>
              <w:spacing w:line="336" w:lineRule="auto"/>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2</w:t>
            </w:r>
          </w:p>
        </w:tc>
        <w:tc>
          <w:tcPr>
            <w:tcW w:w="2874" w:type="dxa"/>
            <w:noWrap w:val="0"/>
            <w:vAlign w:val="center"/>
          </w:tcPr>
          <w:p w14:paraId="4C03A979">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办公椅</w:t>
            </w:r>
          </w:p>
        </w:tc>
        <w:tc>
          <w:tcPr>
            <w:tcW w:w="5864" w:type="dxa"/>
            <w:noWrap w:val="0"/>
            <w:vAlign w:val="center"/>
          </w:tcPr>
          <w:p w14:paraId="2797E4BD">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详见第二章采购需求</w:t>
            </w:r>
          </w:p>
        </w:tc>
        <w:tc>
          <w:tcPr>
            <w:tcW w:w="4755" w:type="dxa"/>
            <w:noWrap w:val="0"/>
            <w:vAlign w:val="center"/>
          </w:tcPr>
          <w:p w14:paraId="04DCAE96">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1</w:t>
            </w:r>
          </w:p>
        </w:tc>
      </w:tr>
      <w:tr w14:paraId="089D2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noWrap w:val="0"/>
            <w:vAlign w:val="center"/>
          </w:tcPr>
          <w:p w14:paraId="5E9C7F20">
            <w:pPr>
              <w:spacing w:line="336" w:lineRule="auto"/>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3</w:t>
            </w:r>
          </w:p>
        </w:tc>
        <w:tc>
          <w:tcPr>
            <w:tcW w:w="2874" w:type="dxa"/>
            <w:noWrap w:val="0"/>
            <w:vAlign w:val="center"/>
          </w:tcPr>
          <w:p w14:paraId="71A971E1">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床头柜</w:t>
            </w:r>
          </w:p>
        </w:tc>
        <w:tc>
          <w:tcPr>
            <w:tcW w:w="5864" w:type="dxa"/>
            <w:noWrap w:val="0"/>
            <w:vAlign w:val="center"/>
          </w:tcPr>
          <w:p w14:paraId="2597A013">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详见第二章采购需求</w:t>
            </w:r>
          </w:p>
        </w:tc>
        <w:tc>
          <w:tcPr>
            <w:tcW w:w="4755" w:type="dxa"/>
            <w:noWrap w:val="0"/>
            <w:vAlign w:val="center"/>
          </w:tcPr>
          <w:p w14:paraId="6EA1BF35">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1</w:t>
            </w:r>
          </w:p>
        </w:tc>
      </w:tr>
      <w:tr w14:paraId="6597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noWrap w:val="0"/>
            <w:vAlign w:val="center"/>
          </w:tcPr>
          <w:p w14:paraId="64C81BEC">
            <w:pPr>
              <w:spacing w:line="336" w:lineRule="auto"/>
              <w:jc w:val="center"/>
              <w:rPr>
                <w:rFonts w:hint="default"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4</w:t>
            </w:r>
          </w:p>
        </w:tc>
        <w:tc>
          <w:tcPr>
            <w:tcW w:w="2874" w:type="dxa"/>
            <w:noWrap w:val="0"/>
            <w:vAlign w:val="center"/>
          </w:tcPr>
          <w:p w14:paraId="718F1FDC">
            <w:pPr>
              <w:spacing w:line="336" w:lineRule="auto"/>
              <w:ind w:firstLine="400" w:firstLineChars="200"/>
              <w:jc w:val="center"/>
              <w:rPr>
                <w:rFonts w:hint="default"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材料小样</w:t>
            </w:r>
          </w:p>
        </w:tc>
        <w:tc>
          <w:tcPr>
            <w:tcW w:w="5864" w:type="dxa"/>
            <w:noWrap w:val="0"/>
            <w:vAlign w:val="center"/>
          </w:tcPr>
          <w:p w14:paraId="2D00D539">
            <w:pPr>
              <w:spacing w:line="336" w:lineRule="auto"/>
              <w:ind w:firstLine="400" w:firstLineChars="200"/>
              <w:jc w:val="center"/>
              <w:rPr>
                <w:rFonts w:hint="eastAsia" w:ascii="宋体" w:hAnsi="宋体"/>
                <w:color w:val="000000" w:themeColor="text1"/>
                <w:sz w:val="20"/>
                <w:szCs w:val="20"/>
                <w:highlight w:val="none"/>
                <w:lang w:val="en-US" w:eastAsia="zh-CN"/>
                <w14:textFill>
                  <w14:solidFill>
                    <w14:schemeClr w14:val="tx1"/>
                  </w14:solidFill>
                </w14:textFill>
              </w:rPr>
            </w:pPr>
          </w:p>
        </w:tc>
        <w:tc>
          <w:tcPr>
            <w:tcW w:w="4755" w:type="dxa"/>
            <w:noWrap w:val="0"/>
            <w:vAlign w:val="center"/>
          </w:tcPr>
          <w:p w14:paraId="68D003D4">
            <w:pPr>
              <w:spacing w:line="336" w:lineRule="auto"/>
              <w:ind w:firstLine="400" w:firstLineChars="200"/>
              <w:jc w:val="center"/>
              <w:rPr>
                <w:rFonts w:hint="default" w:ascii="宋体" w:hAnsi="宋体"/>
                <w:color w:val="000000" w:themeColor="text1"/>
                <w:sz w:val="20"/>
                <w:szCs w:val="20"/>
                <w:highlight w:val="none"/>
                <w:lang w:val="en-US" w:eastAsia="zh-CN"/>
                <w14:textFill>
                  <w14:solidFill>
                    <w14:schemeClr w14:val="tx1"/>
                  </w14:solidFill>
                </w14:textFill>
              </w:rPr>
            </w:pPr>
            <w:r>
              <w:rPr>
                <w:rFonts w:hint="eastAsia" w:ascii="宋体" w:hAnsi="宋体"/>
                <w:color w:val="000000" w:themeColor="text1"/>
                <w:sz w:val="20"/>
                <w:szCs w:val="20"/>
                <w:highlight w:val="none"/>
                <w:lang w:val="en-US" w:eastAsia="zh-CN"/>
                <w14:textFill>
                  <w14:solidFill>
                    <w14:schemeClr w14:val="tx1"/>
                  </w14:solidFill>
                </w14:textFill>
              </w:rPr>
              <w:t>1</w:t>
            </w:r>
          </w:p>
        </w:tc>
      </w:tr>
    </w:tbl>
    <w:p w14:paraId="1B16A8DF">
      <w:pPr>
        <w:pStyle w:val="119"/>
        <w:numPr>
          <w:ilvl w:val="0"/>
          <w:numId w:val="0"/>
        </w:numPr>
        <w:rPr>
          <w:rFonts w:hint="eastAsia" w:ascii="Times New Roman" w:hAnsi="Times New Roman"/>
          <w:b/>
          <w:bCs/>
          <w:color w:val="000000" w:themeColor="text1"/>
          <w:kern w:val="2"/>
          <w:sz w:val="21"/>
          <w:szCs w:val="24"/>
          <w:highlight w:val="none"/>
          <w:lang w:val="en-US"/>
          <w14:textFill>
            <w14:solidFill>
              <w14:schemeClr w14:val="tx1"/>
            </w14:solidFill>
          </w14:textFill>
        </w:rPr>
      </w:pPr>
    </w:p>
    <w:p w14:paraId="0F7A2DC8">
      <w:pPr>
        <w:spacing w:line="360" w:lineRule="exact"/>
        <w:rPr>
          <w:b/>
          <w:bCs/>
          <w:color w:val="auto"/>
          <w:szCs w:val="21"/>
          <w:highlight w:val="none"/>
        </w:rPr>
      </w:pPr>
      <w:r>
        <w:rPr>
          <w:rFonts w:hint="eastAsia"/>
          <w:b/>
          <w:bCs/>
          <w:color w:val="auto"/>
          <w:szCs w:val="21"/>
          <w:highlight w:val="none"/>
        </w:rPr>
        <w:t>注:根据规定的样品及第四章“评标办法及标准”样品评审项的评分标准要求录制样品展示视频(mp4格式；时间控制在10分钟以内)，样品展示视频电子文件用U盘拷贝，与数据电子备份响应文件一起，于</w:t>
      </w:r>
      <w:r>
        <w:rPr>
          <w:rFonts w:hint="eastAsia"/>
          <w:b/>
          <w:bCs/>
          <w:color w:val="auto"/>
          <w:szCs w:val="21"/>
          <w:highlight w:val="none"/>
          <w:lang w:eastAsia="zh-CN"/>
        </w:rPr>
        <w:t>202</w:t>
      </w:r>
      <w:r>
        <w:rPr>
          <w:rFonts w:hint="eastAsia"/>
          <w:b/>
          <w:bCs/>
          <w:color w:val="auto"/>
          <w:szCs w:val="21"/>
          <w:highlight w:val="none"/>
          <w:lang w:val="en-US" w:eastAsia="zh-CN"/>
        </w:rPr>
        <w:t>5</w:t>
      </w:r>
      <w:r>
        <w:rPr>
          <w:rFonts w:hint="eastAsia"/>
          <w:b/>
          <w:bCs/>
          <w:color w:val="auto"/>
          <w:szCs w:val="21"/>
          <w:highlight w:val="none"/>
        </w:rPr>
        <w:t>年</w:t>
      </w:r>
      <w:r>
        <w:rPr>
          <w:rFonts w:hint="eastAsia"/>
          <w:b/>
          <w:bCs/>
          <w:color w:val="auto"/>
          <w:szCs w:val="21"/>
          <w:highlight w:val="none"/>
          <w:lang w:val="en-US" w:eastAsia="zh-CN"/>
        </w:rPr>
        <w:t>3</w:t>
      </w:r>
      <w:r>
        <w:rPr>
          <w:rFonts w:hint="eastAsia"/>
          <w:b/>
          <w:bCs/>
          <w:color w:val="auto"/>
          <w:szCs w:val="21"/>
          <w:highlight w:val="none"/>
        </w:rPr>
        <w:t>月</w:t>
      </w:r>
      <w:r>
        <w:rPr>
          <w:rFonts w:hint="eastAsia"/>
          <w:b/>
          <w:bCs/>
          <w:color w:val="auto"/>
          <w:szCs w:val="21"/>
          <w:highlight w:val="none"/>
          <w:lang w:val="en-US" w:eastAsia="zh-CN"/>
        </w:rPr>
        <w:t>26</w:t>
      </w:r>
      <w:r>
        <w:rPr>
          <w:rFonts w:hint="eastAsia"/>
          <w:b/>
          <w:bCs/>
          <w:color w:val="auto"/>
          <w:szCs w:val="21"/>
          <w:highlight w:val="none"/>
        </w:rPr>
        <w:t>日</w:t>
      </w:r>
      <w:r>
        <w:rPr>
          <w:rFonts w:hint="eastAsia"/>
          <w:b/>
          <w:bCs/>
          <w:color w:val="auto"/>
          <w:szCs w:val="21"/>
          <w:highlight w:val="none"/>
          <w:lang w:val="en-US" w:eastAsia="zh-CN"/>
        </w:rPr>
        <w:t>16</w:t>
      </w:r>
      <w:r>
        <w:rPr>
          <w:rFonts w:hint="eastAsia"/>
          <w:b/>
          <w:bCs/>
          <w:color w:val="auto"/>
          <w:szCs w:val="21"/>
          <w:highlight w:val="none"/>
        </w:rPr>
        <w:t>：00（北京时间）前通过邮寄（以签收时间为准）或派人递送的方式送交到招标代理机构处（</w:t>
      </w:r>
      <w:r>
        <w:rPr>
          <w:rFonts w:hint="eastAsia"/>
          <w:b/>
          <w:bCs/>
          <w:color w:val="auto"/>
          <w:szCs w:val="21"/>
          <w:highlight w:val="none"/>
          <w:lang w:val="en-US" w:eastAsia="zh-CN"/>
        </w:rPr>
        <w:t xml:space="preserve">浙江省舟山市定海区临城街道中浪国际大厦A座6楼  陈工 13777165053 </w:t>
      </w:r>
      <w:r>
        <w:rPr>
          <w:rFonts w:hint="eastAsia"/>
          <w:b/>
          <w:bCs/>
          <w:color w:val="auto"/>
          <w:szCs w:val="21"/>
          <w:highlight w:val="none"/>
        </w:rPr>
        <w:t>），也可以于开标当天投标截止时间前开标现场递交。须密封完好，并注明投标人单位名称，逾期送达或未密封的将被拒收。未提供的不得分。</w:t>
      </w:r>
    </w:p>
    <w:p w14:paraId="5757DEEB">
      <w:pPr>
        <w:spacing w:line="336" w:lineRule="auto"/>
        <w:jc w:val="left"/>
        <w:rPr>
          <w:rFonts w:ascii="宋体" w:hAnsi="宋体"/>
          <w:b/>
          <w:sz w:val="22"/>
          <w:szCs w:val="22"/>
        </w:rPr>
      </w:pPr>
      <w:r>
        <w:rPr>
          <w:rFonts w:hint="eastAsia" w:ascii="宋体" w:hAnsi="宋体"/>
          <w:b/>
          <w:color w:val="000000"/>
          <w:sz w:val="22"/>
          <w:szCs w:val="22"/>
        </w:rPr>
        <w:t>七、</w:t>
      </w:r>
      <w:r>
        <w:rPr>
          <w:rFonts w:hint="eastAsia" w:ascii="宋体" w:hAnsi="宋体"/>
          <w:b/>
          <w:sz w:val="22"/>
          <w:szCs w:val="22"/>
        </w:rPr>
        <w:t>其他</w:t>
      </w:r>
    </w:p>
    <w:p w14:paraId="561C51B5">
      <w:pPr>
        <w:autoSpaceDE w:val="0"/>
        <w:autoSpaceDN w:val="0"/>
        <w:adjustRightInd w:val="0"/>
        <w:spacing w:line="336" w:lineRule="auto"/>
        <w:ind w:firstLine="440" w:firstLineChars="200"/>
        <w:rPr>
          <w:rFonts w:ascii="宋体" w:hAnsi="宋体"/>
          <w:sz w:val="22"/>
          <w:szCs w:val="22"/>
        </w:rPr>
      </w:pPr>
      <w:r>
        <w:rPr>
          <w:rFonts w:hint="eastAsia" w:ascii="宋体" w:hAnsi="宋体"/>
          <w:sz w:val="22"/>
          <w:szCs w:val="22"/>
        </w:rPr>
        <w:t>1、响应人应对招标、实施、操作等过程中采取安全和保密措施，因此造成的不良影响和损失，响应人应承担相应责任。</w:t>
      </w:r>
    </w:p>
    <w:p w14:paraId="76257E1B">
      <w:pPr>
        <w:autoSpaceDE w:val="0"/>
        <w:autoSpaceDN w:val="0"/>
        <w:adjustRightInd w:val="0"/>
        <w:spacing w:line="336" w:lineRule="auto"/>
        <w:ind w:firstLine="440" w:firstLineChars="200"/>
        <w:rPr>
          <w:rFonts w:hint="eastAsia" w:ascii="宋体" w:hAnsi="宋体"/>
        </w:rPr>
      </w:pPr>
      <w:r>
        <w:rPr>
          <w:rFonts w:hint="eastAsia" w:ascii="宋体" w:hAnsi="宋体"/>
          <w:sz w:val="22"/>
          <w:szCs w:val="22"/>
        </w:rPr>
        <w:t>2、采购人认为响应人提供的产品和服务不能满足需求，可否决、终止本次采购。</w:t>
      </w:r>
      <w:r>
        <w:rPr>
          <w:rFonts w:hint="eastAsia" w:ascii="宋体" w:hAnsi="宋体"/>
        </w:rPr>
        <w:br w:type="page"/>
      </w:r>
    </w:p>
    <w:p w14:paraId="32DE9EAC">
      <w:pPr>
        <w:bidi w:val="0"/>
        <w:jc w:val="left"/>
        <w:rPr>
          <w:rFonts w:ascii="Calibri" w:hAnsi="Calibri" w:eastAsia="宋体" w:cs="Times New Roman"/>
          <w:kern w:val="2"/>
          <w:sz w:val="21"/>
          <w:szCs w:val="24"/>
          <w:lang w:val="en-US" w:eastAsia="zh-CN" w:bidi="ar-SA"/>
        </w:rPr>
        <w:sectPr>
          <w:pgSz w:w="16838" w:h="11906" w:orient="landscape"/>
          <w:pgMar w:top="1531" w:right="1104" w:bottom="1531" w:left="1304" w:header="1304" w:footer="1304" w:gutter="0"/>
          <w:cols w:space="720" w:num="1"/>
        </w:sectPr>
      </w:pPr>
    </w:p>
    <w:bookmarkEnd w:id="1"/>
    <w:p w14:paraId="4C3A24EA">
      <w:pPr>
        <w:pStyle w:val="2"/>
        <w:pageBreakBefore/>
        <w:snapToGrid w:val="0"/>
        <w:spacing w:before="120" w:line="360" w:lineRule="auto"/>
        <w:ind w:firstLine="3000" w:firstLineChars="1000"/>
        <w:jc w:val="both"/>
        <w:outlineLvl w:val="0"/>
        <w:rPr>
          <w:rFonts w:ascii="黑体" w:hAnsi="宋体" w:eastAsia="黑体"/>
        </w:rPr>
      </w:pPr>
      <w:r>
        <w:rPr>
          <w:rFonts w:ascii="黑体" w:hAnsi="宋体" w:eastAsia="黑体"/>
        </w:rPr>
        <w:t xml:space="preserve">第三章 </w:t>
      </w:r>
      <w:r>
        <w:rPr>
          <w:rFonts w:hint="eastAsia" w:ascii="黑体" w:hAnsi="宋体" w:eastAsia="黑体"/>
        </w:rPr>
        <w:t>投标人</w:t>
      </w:r>
      <w:r>
        <w:rPr>
          <w:rFonts w:ascii="黑体" w:hAnsi="宋体" w:eastAsia="黑体"/>
        </w:rPr>
        <w:t>须知</w:t>
      </w:r>
    </w:p>
    <w:p w14:paraId="497CEA8F">
      <w:pPr>
        <w:spacing w:line="360" w:lineRule="auto"/>
        <w:jc w:val="center"/>
        <w:rPr>
          <w:rFonts w:ascii="宋体" w:hAnsi="宋体"/>
          <w:b/>
          <w:sz w:val="30"/>
          <w:szCs w:val="30"/>
        </w:rPr>
      </w:pPr>
      <w:r>
        <w:rPr>
          <w:rFonts w:ascii="宋体" w:hAnsi="宋体"/>
          <w:b/>
          <w:sz w:val="30"/>
          <w:szCs w:val="30"/>
        </w:rPr>
        <w:t>前附表</w:t>
      </w:r>
    </w:p>
    <w:tbl>
      <w:tblPr>
        <w:tblStyle w:val="28"/>
        <w:tblW w:w="10406"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19"/>
        <w:gridCol w:w="1525"/>
        <w:gridCol w:w="4284"/>
        <w:gridCol w:w="1230"/>
        <w:gridCol w:w="2748"/>
      </w:tblGrid>
      <w:tr w14:paraId="0A1B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6AB9565A">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序号</w:t>
            </w:r>
          </w:p>
        </w:tc>
        <w:tc>
          <w:tcPr>
            <w:tcW w:w="9766" w:type="dxa"/>
            <w:gridSpan w:val="4"/>
            <w:shd w:val="clear" w:color="auto" w:fill="E0E0E0"/>
            <w:vAlign w:val="center"/>
          </w:tcPr>
          <w:p w14:paraId="1769BC0D">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内容说明及要求</w:t>
            </w:r>
          </w:p>
        </w:tc>
      </w:tr>
      <w:tr w14:paraId="6608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92" w:hRule="atLeast"/>
          <w:tblCellSpacing w:w="7" w:type="dxa"/>
          <w:jc w:val="center"/>
        </w:trPr>
        <w:tc>
          <w:tcPr>
            <w:tcW w:w="598" w:type="dxa"/>
            <w:shd w:val="clear" w:color="auto" w:fill="E0E0E0"/>
            <w:vAlign w:val="center"/>
          </w:tcPr>
          <w:p w14:paraId="29E4E753">
            <w:pPr>
              <w:jc w:val="center"/>
              <w:rPr>
                <w:rFonts w:asciiTheme="minorEastAsia" w:hAnsiTheme="minorEastAsia" w:eastAsiaTheme="minorEastAsia"/>
                <w:b/>
                <w:szCs w:val="21"/>
              </w:rPr>
            </w:pPr>
            <w:r>
              <w:rPr>
                <w:rFonts w:asciiTheme="minorEastAsia" w:hAnsiTheme="minorEastAsia" w:eastAsiaTheme="minorEastAsia"/>
                <w:b/>
                <w:szCs w:val="21"/>
              </w:rPr>
              <w:t>1</w:t>
            </w:r>
          </w:p>
        </w:tc>
        <w:tc>
          <w:tcPr>
            <w:tcW w:w="1511" w:type="dxa"/>
            <w:shd w:val="clear" w:color="auto" w:fill="E0E0E0"/>
            <w:vAlign w:val="center"/>
          </w:tcPr>
          <w:p w14:paraId="2B7C6F7C">
            <w:pPr>
              <w:jc w:val="center"/>
              <w:rPr>
                <w:rFonts w:asciiTheme="minorEastAsia" w:hAnsiTheme="minorEastAsia" w:eastAsiaTheme="minorEastAsia"/>
                <w:b/>
                <w:szCs w:val="21"/>
              </w:rPr>
            </w:pPr>
            <w:r>
              <w:rPr>
                <w:rFonts w:asciiTheme="minorEastAsia" w:hAnsiTheme="minorEastAsia" w:eastAsiaTheme="minorEastAsia"/>
                <w:b/>
                <w:szCs w:val="21"/>
              </w:rPr>
              <w:t>项目名称</w:t>
            </w:r>
          </w:p>
        </w:tc>
        <w:tc>
          <w:tcPr>
            <w:tcW w:w="4270" w:type="dxa"/>
            <w:shd w:val="clear" w:color="auto" w:fill="FFFFFF"/>
            <w:vAlign w:val="center"/>
          </w:tcPr>
          <w:p w14:paraId="15012BE4">
            <w:pPr>
              <w:pStyle w:val="24"/>
              <w:widowControl/>
              <w:spacing w:before="75" w:beforeAutospacing="0" w:after="75" w:afterAutospacing="0" w:line="300" w:lineRule="atLeast"/>
              <w:rPr>
                <w:rFonts w:hint="eastAsia" w:asciiTheme="minorEastAsia" w:hAnsiTheme="minorEastAsia" w:eastAsiaTheme="minorEastAsia"/>
                <w:color w:val="000000" w:themeColor="text1"/>
                <w:szCs w:val="21"/>
                <w:lang w:eastAsia="zh-CN"/>
                <w14:textFill>
                  <w14:solidFill>
                    <w14:schemeClr w14:val="tx1"/>
                  </w14:solidFill>
                </w14:textFill>
              </w:rPr>
            </w:pPr>
            <w:r>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t>嵊泗县医康养联合体综合设备采购项目</w:t>
            </w:r>
          </w:p>
        </w:tc>
        <w:tc>
          <w:tcPr>
            <w:tcW w:w="1216" w:type="dxa"/>
            <w:shd w:val="clear" w:color="auto" w:fill="E0E0E0"/>
            <w:vAlign w:val="center"/>
          </w:tcPr>
          <w:p w14:paraId="7930219B">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采购编号</w:t>
            </w:r>
          </w:p>
        </w:tc>
        <w:tc>
          <w:tcPr>
            <w:tcW w:w="2727" w:type="dxa"/>
            <w:shd w:val="clear" w:color="auto" w:fill="FFFFFF"/>
            <w:vAlign w:val="center"/>
          </w:tcPr>
          <w:p w14:paraId="00EAE406">
            <w:pPr>
              <w:rPr>
                <w:rFonts w:hint="eastAsia" w:asciiTheme="minorEastAsia" w:hAnsiTheme="minorEastAsia" w:eastAsiaTheme="minorEastAsia"/>
                <w:color w:val="000000" w:themeColor="text1"/>
                <w:szCs w:val="21"/>
                <w:lang w:val="en-GB" w:eastAsia="zh-CN"/>
                <w14:textFill>
                  <w14:solidFill>
                    <w14:schemeClr w14:val="tx1"/>
                  </w14:solidFill>
                </w14:textFill>
              </w:rPr>
            </w:pPr>
            <w:r>
              <w:rPr>
                <w:rFonts w:hint="eastAsia" w:asciiTheme="minorEastAsia" w:hAnsiTheme="minorEastAsia" w:eastAsiaTheme="minorEastAsia"/>
                <w:color w:val="000000" w:themeColor="text1"/>
                <w:kern w:val="0"/>
                <w:szCs w:val="21"/>
                <w:shd w:val="clear" w:color="auto" w:fill="FFFFFF"/>
                <w:lang w:eastAsia="zh-CN"/>
                <w14:textFill>
                  <w14:solidFill>
                    <w14:schemeClr w14:val="tx1"/>
                  </w14:solidFill>
                </w14:textFill>
              </w:rPr>
              <w:t>ZSJYCG2025-002</w:t>
            </w:r>
          </w:p>
        </w:tc>
      </w:tr>
      <w:tr w14:paraId="41BA4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1467DA5F">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2</w:t>
            </w:r>
          </w:p>
        </w:tc>
        <w:tc>
          <w:tcPr>
            <w:tcW w:w="1511" w:type="dxa"/>
            <w:shd w:val="clear" w:color="auto" w:fill="E0E0E0"/>
            <w:vAlign w:val="center"/>
          </w:tcPr>
          <w:p w14:paraId="7EE64091">
            <w:pPr>
              <w:spacing w:line="360" w:lineRule="auto"/>
              <w:jc w:val="center"/>
              <w:rPr>
                <w:rFonts w:asciiTheme="minorEastAsia" w:hAnsiTheme="minorEastAsia" w:eastAsiaTheme="minorEastAsia"/>
                <w:b/>
                <w:szCs w:val="21"/>
              </w:rPr>
            </w:pPr>
            <w:r>
              <w:rPr>
                <w:rFonts w:asciiTheme="minorEastAsia" w:hAnsiTheme="minorEastAsia" w:eastAsiaTheme="minorEastAsia"/>
                <w:b/>
                <w:szCs w:val="21"/>
              </w:rPr>
              <w:t>采购内容</w:t>
            </w:r>
          </w:p>
        </w:tc>
        <w:tc>
          <w:tcPr>
            <w:tcW w:w="4270" w:type="dxa"/>
            <w:tcBorders>
              <w:right w:val="single" w:color="auto" w:sz="4" w:space="0"/>
            </w:tcBorders>
            <w:shd w:val="clear" w:color="auto" w:fill="FFFFFF"/>
            <w:vAlign w:val="center"/>
          </w:tcPr>
          <w:p w14:paraId="67B20D27">
            <w:pPr>
              <w:spacing w:line="276" w:lineRule="auto"/>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详见第二章采购需求</w:t>
            </w:r>
          </w:p>
        </w:tc>
        <w:tc>
          <w:tcPr>
            <w:tcW w:w="1216" w:type="dxa"/>
            <w:tcBorders>
              <w:left w:val="single" w:color="auto" w:sz="4" w:space="0"/>
              <w:right w:val="single" w:color="auto" w:sz="4" w:space="0"/>
            </w:tcBorders>
            <w:shd w:val="clear" w:color="auto" w:fill="FFFFFF"/>
            <w:vAlign w:val="center"/>
          </w:tcPr>
          <w:p w14:paraId="36D748F3">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资金来源</w:t>
            </w:r>
          </w:p>
        </w:tc>
        <w:tc>
          <w:tcPr>
            <w:tcW w:w="2727" w:type="dxa"/>
            <w:tcBorders>
              <w:left w:val="single" w:color="auto" w:sz="4" w:space="0"/>
            </w:tcBorders>
            <w:shd w:val="clear" w:color="auto" w:fill="FFFFFF"/>
            <w:vAlign w:val="center"/>
          </w:tcPr>
          <w:p w14:paraId="710F603F">
            <w:pPr>
              <w:spacing w:line="276" w:lineRule="auto"/>
              <w:rPr>
                <w:rFonts w:asciiTheme="minorEastAsia" w:hAnsiTheme="minorEastAsia" w:eastAsiaTheme="minorEastAsia"/>
                <w:color w:val="000000" w:themeColor="text1"/>
                <w:szCs w:val="21"/>
                <w:shd w:val="clear" w:color="auto" w:fill="FFFFFF"/>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财政性资金</w:t>
            </w:r>
          </w:p>
        </w:tc>
      </w:tr>
      <w:tr w14:paraId="54E0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7AE82E5B">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3</w:t>
            </w:r>
          </w:p>
        </w:tc>
        <w:tc>
          <w:tcPr>
            <w:tcW w:w="1511" w:type="dxa"/>
            <w:shd w:val="clear" w:color="auto" w:fill="E0E0E0"/>
            <w:vAlign w:val="center"/>
          </w:tcPr>
          <w:p w14:paraId="774A9010">
            <w:pPr>
              <w:jc w:val="center"/>
              <w:rPr>
                <w:rFonts w:asciiTheme="minorEastAsia" w:hAnsiTheme="minorEastAsia" w:eastAsiaTheme="minorEastAsia"/>
                <w:b/>
                <w:color w:val="auto"/>
                <w:szCs w:val="21"/>
              </w:rPr>
            </w:pPr>
            <w:r>
              <w:rPr>
                <w:rFonts w:asciiTheme="minorEastAsia" w:hAnsiTheme="minorEastAsia" w:eastAsiaTheme="minorEastAsia"/>
                <w:b/>
                <w:color w:val="auto"/>
                <w:szCs w:val="21"/>
              </w:rPr>
              <w:t>项目预算</w:t>
            </w:r>
          </w:p>
        </w:tc>
        <w:tc>
          <w:tcPr>
            <w:tcW w:w="8241" w:type="dxa"/>
            <w:gridSpan w:val="3"/>
            <w:shd w:val="clear" w:color="auto" w:fill="FFFFFF"/>
            <w:vAlign w:val="center"/>
          </w:tcPr>
          <w:p w14:paraId="179CA5CF">
            <w:pPr>
              <w:spacing w:line="320" w:lineRule="exact"/>
              <w:rPr>
                <w:rFonts w:cs="宋体" w:asciiTheme="minorEastAsia" w:hAnsiTheme="minorEastAsia" w:eastAsiaTheme="minorEastAsia"/>
                <w:color w:val="auto"/>
                <w:kern w:val="0"/>
                <w:szCs w:val="21"/>
              </w:rPr>
            </w:pPr>
            <w:r>
              <w:rPr>
                <w:rFonts w:hint="eastAsia" w:cs="Times New Roman" w:asciiTheme="minorEastAsia" w:hAnsiTheme="minorEastAsia" w:eastAsiaTheme="minorEastAsia"/>
                <w:color w:val="auto"/>
                <w:kern w:val="2"/>
                <w:sz w:val="21"/>
                <w:szCs w:val="21"/>
                <w:u w:val="none"/>
                <w:lang w:val="en-US" w:eastAsia="zh-CN" w:bidi="ar-SA"/>
              </w:rPr>
              <w:t>600000元</w:t>
            </w:r>
          </w:p>
        </w:tc>
      </w:tr>
      <w:tr w14:paraId="1E4F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2CD13731">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4</w:t>
            </w:r>
          </w:p>
        </w:tc>
        <w:tc>
          <w:tcPr>
            <w:tcW w:w="1511" w:type="dxa"/>
            <w:shd w:val="clear" w:color="auto" w:fill="E0E0E0"/>
            <w:vAlign w:val="center"/>
          </w:tcPr>
          <w:p w14:paraId="32061595">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踏勘现场</w:t>
            </w:r>
          </w:p>
        </w:tc>
        <w:tc>
          <w:tcPr>
            <w:tcW w:w="8241" w:type="dxa"/>
            <w:gridSpan w:val="3"/>
            <w:shd w:val="clear" w:color="auto" w:fill="FFFFFF"/>
            <w:vAlign w:val="center"/>
          </w:tcPr>
          <w:p w14:paraId="17871E9F">
            <w:pPr>
              <w:spacing w:line="32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代理机构不组织踏勘，如</w:t>
            </w:r>
            <w:r>
              <w:rPr>
                <w:rFonts w:hint="eastAsia" w:asciiTheme="minorEastAsia" w:hAnsiTheme="minorEastAsia" w:eastAsiaTheme="minorEastAsia"/>
                <w:color w:val="000000" w:themeColor="text1"/>
                <w:szCs w:val="21"/>
                <w14:textFill>
                  <w14:solidFill>
                    <w14:schemeClr w14:val="tx1"/>
                  </w14:solidFill>
                </w14:textFill>
              </w:rPr>
              <w:t>投标人</w:t>
            </w:r>
            <w:r>
              <w:rPr>
                <w:rFonts w:asciiTheme="minorEastAsia" w:hAnsiTheme="minorEastAsia" w:eastAsiaTheme="minorEastAsia"/>
                <w:color w:val="000000" w:themeColor="text1"/>
                <w:szCs w:val="21"/>
                <w14:textFill>
                  <w14:solidFill>
                    <w14:schemeClr w14:val="tx1"/>
                  </w14:solidFill>
                </w14:textFill>
              </w:rPr>
              <w:t>需进行现场踏勘的，须跟</w:t>
            </w:r>
            <w:r>
              <w:rPr>
                <w:rFonts w:hint="eastAsia" w:asciiTheme="minorEastAsia" w:hAnsiTheme="minorEastAsia" w:eastAsiaTheme="minorEastAsia"/>
                <w:color w:val="000000" w:themeColor="text1"/>
                <w:szCs w:val="21"/>
                <w14:textFill>
                  <w14:solidFill>
                    <w14:schemeClr w14:val="tx1"/>
                  </w14:solidFill>
                </w14:textFill>
              </w:rPr>
              <w:t>采购人</w:t>
            </w:r>
            <w:r>
              <w:rPr>
                <w:rFonts w:asciiTheme="minorEastAsia" w:hAnsiTheme="minorEastAsia" w:eastAsiaTheme="minorEastAsia"/>
                <w:color w:val="000000" w:themeColor="text1"/>
                <w:szCs w:val="21"/>
                <w14:textFill>
                  <w14:solidFill>
                    <w14:schemeClr w14:val="tx1"/>
                  </w14:solidFill>
                </w14:textFill>
              </w:rPr>
              <w:t>进行协商。但</w:t>
            </w:r>
            <w:r>
              <w:rPr>
                <w:rFonts w:hint="eastAsia" w:asciiTheme="minorEastAsia" w:hAnsiTheme="minorEastAsia" w:eastAsiaTheme="minorEastAsia"/>
                <w:color w:val="000000" w:themeColor="text1"/>
                <w:szCs w:val="21"/>
                <w14:textFill>
                  <w14:solidFill>
                    <w14:schemeClr w14:val="tx1"/>
                  </w14:solidFill>
                </w14:textFill>
              </w:rPr>
              <w:t>投标人</w:t>
            </w:r>
            <w:r>
              <w:rPr>
                <w:rFonts w:asciiTheme="minorEastAsia" w:hAnsiTheme="minorEastAsia" w:eastAsiaTheme="minorEastAsia"/>
                <w:color w:val="000000" w:themeColor="text1"/>
                <w:szCs w:val="21"/>
                <w14:textFill>
                  <w14:solidFill>
                    <w14:schemeClr w14:val="tx1"/>
                  </w14:solidFill>
                </w14:textFill>
              </w:rPr>
              <w:t>不得因此使</w:t>
            </w:r>
            <w:r>
              <w:rPr>
                <w:rFonts w:hint="eastAsia" w:asciiTheme="minorEastAsia" w:hAnsiTheme="minorEastAsia" w:eastAsiaTheme="minorEastAsia"/>
                <w:color w:val="000000" w:themeColor="text1"/>
                <w:szCs w:val="21"/>
                <w14:textFill>
                  <w14:solidFill>
                    <w14:schemeClr w14:val="tx1"/>
                  </w14:solidFill>
                </w14:textFill>
              </w:rPr>
              <w:t>采购人</w:t>
            </w:r>
            <w:r>
              <w:rPr>
                <w:rFonts w:asciiTheme="minorEastAsia" w:hAnsiTheme="minorEastAsia" w:eastAsiaTheme="minorEastAsia"/>
                <w:color w:val="000000" w:themeColor="text1"/>
                <w:szCs w:val="21"/>
                <w14:textFill>
                  <w14:solidFill>
                    <w14:schemeClr w14:val="tx1"/>
                  </w14:solidFill>
                </w14:textFill>
              </w:rPr>
              <w:t>承担有关责任和蒙受损失，</w:t>
            </w:r>
            <w:r>
              <w:rPr>
                <w:rFonts w:hint="eastAsia" w:asciiTheme="minorEastAsia" w:hAnsiTheme="minorEastAsia" w:eastAsiaTheme="minorEastAsia"/>
                <w:color w:val="000000" w:themeColor="text1"/>
                <w:szCs w:val="21"/>
                <w14:textFill>
                  <w14:solidFill>
                    <w14:schemeClr w14:val="tx1"/>
                  </w14:solidFill>
                </w14:textFill>
              </w:rPr>
              <w:t>投标人</w:t>
            </w:r>
            <w:r>
              <w:rPr>
                <w:rFonts w:asciiTheme="minorEastAsia" w:hAnsiTheme="minorEastAsia" w:eastAsiaTheme="minorEastAsia"/>
                <w:color w:val="000000" w:themeColor="text1"/>
                <w:szCs w:val="21"/>
                <w14:textFill>
                  <w14:solidFill>
                    <w14:schemeClr w14:val="tx1"/>
                  </w14:solidFill>
                </w14:textFill>
              </w:rPr>
              <w:t>应承担踏勘现场的责任和风险。</w:t>
            </w:r>
          </w:p>
        </w:tc>
      </w:tr>
      <w:tr w14:paraId="7B91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436C37B5">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5</w:t>
            </w:r>
          </w:p>
        </w:tc>
        <w:tc>
          <w:tcPr>
            <w:tcW w:w="1511" w:type="dxa"/>
            <w:shd w:val="clear" w:color="auto" w:fill="E0E0E0"/>
            <w:vAlign w:val="center"/>
          </w:tcPr>
          <w:p w14:paraId="7EA8DB85">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供货期</w:t>
            </w:r>
          </w:p>
        </w:tc>
        <w:tc>
          <w:tcPr>
            <w:tcW w:w="8241" w:type="dxa"/>
            <w:gridSpan w:val="3"/>
            <w:shd w:val="clear" w:color="auto" w:fill="FFFFFF"/>
            <w:vAlign w:val="center"/>
          </w:tcPr>
          <w:p w14:paraId="2C13506B">
            <w:pPr>
              <w:spacing w:line="32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详见第二章采购需求</w:t>
            </w:r>
          </w:p>
        </w:tc>
      </w:tr>
      <w:tr w14:paraId="790DC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37596870">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6</w:t>
            </w:r>
          </w:p>
        </w:tc>
        <w:tc>
          <w:tcPr>
            <w:tcW w:w="1511" w:type="dxa"/>
            <w:shd w:val="clear" w:color="auto" w:fill="E0E0E0"/>
            <w:vAlign w:val="center"/>
          </w:tcPr>
          <w:p w14:paraId="0C807D4D">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lang w:val="en-US" w:eastAsia="zh-CN"/>
                <w14:textFill>
                  <w14:solidFill>
                    <w14:schemeClr w14:val="tx1"/>
                  </w14:solidFill>
                </w14:textFill>
              </w:rPr>
              <w:t>质保</w:t>
            </w:r>
            <w:r>
              <w:rPr>
                <w:rFonts w:hint="eastAsia" w:asciiTheme="minorEastAsia" w:hAnsiTheme="minorEastAsia" w:eastAsiaTheme="minorEastAsia"/>
                <w:b/>
                <w:color w:val="000000" w:themeColor="text1"/>
                <w:szCs w:val="21"/>
                <w14:textFill>
                  <w14:solidFill>
                    <w14:schemeClr w14:val="tx1"/>
                  </w14:solidFill>
                </w14:textFill>
              </w:rPr>
              <w:t>期</w:t>
            </w:r>
          </w:p>
        </w:tc>
        <w:tc>
          <w:tcPr>
            <w:tcW w:w="8241" w:type="dxa"/>
            <w:gridSpan w:val="3"/>
            <w:shd w:val="clear" w:color="auto" w:fill="FFFFFF"/>
            <w:vAlign w:val="center"/>
          </w:tcPr>
          <w:p w14:paraId="0FDAA5C4">
            <w:pPr>
              <w:spacing w:line="320" w:lineRule="exact"/>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详见第二章采购需求</w:t>
            </w:r>
          </w:p>
        </w:tc>
      </w:tr>
      <w:tr w14:paraId="2D73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09305CA1">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7</w:t>
            </w:r>
          </w:p>
        </w:tc>
        <w:tc>
          <w:tcPr>
            <w:tcW w:w="1511" w:type="dxa"/>
            <w:shd w:val="clear" w:color="auto" w:fill="E0E0E0"/>
            <w:vAlign w:val="center"/>
          </w:tcPr>
          <w:p w14:paraId="05F20130">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投标有效期</w:t>
            </w:r>
          </w:p>
        </w:tc>
        <w:tc>
          <w:tcPr>
            <w:tcW w:w="8241" w:type="dxa"/>
            <w:gridSpan w:val="3"/>
            <w:shd w:val="clear" w:color="auto" w:fill="FFFFFF"/>
            <w:vAlign w:val="center"/>
          </w:tcPr>
          <w:p w14:paraId="73C4E0E8">
            <w:pPr>
              <w:spacing w:line="276" w:lineRule="auto"/>
              <w:rPr>
                <w:rFonts w:asciiTheme="minorEastAsia" w:hAnsiTheme="minorEastAsia" w:eastAsiaTheme="minorEastAsia"/>
                <w:color w:val="000000" w:themeColor="text1"/>
                <w:szCs w:val="21"/>
                <w14:textFill>
                  <w14:solidFill>
                    <w14:schemeClr w14:val="tx1"/>
                  </w14:solidFill>
                </w14:textFill>
              </w:rPr>
            </w:pPr>
            <w:r>
              <w:rPr>
                <w:rFonts w:asciiTheme="minorEastAsia" w:hAnsiTheme="minorEastAsia" w:eastAsiaTheme="minorEastAsia"/>
                <w:color w:val="000000" w:themeColor="text1"/>
                <w:szCs w:val="21"/>
                <w14:textFill>
                  <w14:solidFill>
                    <w14:schemeClr w14:val="tx1"/>
                  </w14:solidFill>
                </w14:textFill>
              </w:rPr>
              <w:t>90日历天。（从开标截止之日起）。</w:t>
            </w:r>
          </w:p>
        </w:tc>
      </w:tr>
      <w:tr w14:paraId="0D18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26D5D42C">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8</w:t>
            </w:r>
          </w:p>
        </w:tc>
        <w:tc>
          <w:tcPr>
            <w:tcW w:w="1511" w:type="dxa"/>
            <w:shd w:val="clear" w:color="auto" w:fill="E0E0E0"/>
            <w:vAlign w:val="center"/>
          </w:tcPr>
          <w:p w14:paraId="692F015A">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评标办法</w:t>
            </w:r>
          </w:p>
        </w:tc>
        <w:tc>
          <w:tcPr>
            <w:tcW w:w="8241" w:type="dxa"/>
            <w:gridSpan w:val="3"/>
            <w:shd w:val="clear" w:color="auto" w:fill="FFFFFF"/>
            <w:vAlign w:val="center"/>
          </w:tcPr>
          <w:p w14:paraId="19C81C4D">
            <w:pPr>
              <w:spacing w:line="276" w:lineRule="auto"/>
              <w:rPr>
                <w:rFonts w:asciiTheme="minorEastAsia" w:hAnsiTheme="minorEastAsia" w:eastAsiaTheme="minorEastAsia"/>
                <w:szCs w:val="21"/>
              </w:rPr>
            </w:pPr>
            <w:r>
              <w:rPr>
                <w:rFonts w:asciiTheme="minorEastAsia" w:hAnsiTheme="minorEastAsia" w:eastAsiaTheme="minorEastAsia"/>
                <w:szCs w:val="21"/>
              </w:rPr>
              <w:t>综合评分法</w:t>
            </w:r>
          </w:p>
        </w:tc>
      </w:tr>
      <w:tr w14:paraId="021A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25" w:hRule="atLeast"/>
          <w:tblCellSpacing w:w="7" w:type="dxa"/>
          <w:jc w:val="center"/>
        </w:trPr>
        <w:tc>
          <w:tcPr>
            <w:tcW w:w="598" w:type="dxa"/>
            <w:shd w:val="clear" w:color="auto" w:fill="E0E0E0"/>
            <w:vAlign w:val="center"/>
          </w:tcPr>
          <w:p w14:paraId="565A4F2E">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9</w:t>
            </w:r>
          </w:p>
        </w:tc>
        <w:tc>
          <w:tcPr>
            <w:tcW w:w="1511" w:type="dxa"/>
            <w:shd w:val="clear" w:color="auto" w:fill="E0E0E0"/>
            <w:vAlign w:val="center"/>
          </w:tcPr>
          <w:p w14:paraId="07BE9914">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签订合同</w:t>
            </w:r>
          </w:p>
        </w:tc>
        <w:tc>
          <w:tcPr>
            <w:tcW w:w="8241" w:type="dxa"/>
            <w:gridSpan w:val="3"/>
            <w:shd w:val="clear" w:color="auto" w:fill="FFFFFF"/>
            <w:vAlign w:val="center"/>
          </w:tcPr>
          <w:p w14:paraId="411C8CFB">
            <w:pPr>
              <w:spacing w:line="276" w:lineRule="auto"/>
              <w:rPr>
                <w:rFonts w:asciiTheme="minorEastAsia" w:hAnsiTheme="minorEastAsia" w:eastAsiaTheme="minorEastAsia"/>
                <w:szCs w:val="21"/>
              </w:rPr>
            </w:pPr>
            <w:r>
              <w:rPr>
                <w:rFonts w:asciiTheme="minorEastAsia" w:hAnsiTheme="minorEastAsia" w:eastAsiaTheme="minorEastAsia"/>
                <w:szCs w:val="21"/>
              </w:rPr>
              <w:t>中标通知书发出后</w:t>
            </w:r>
            <w:r>
              <w:rPr>
                <w:rFonts w:asciiTheme="minorEastAsia" w:hAnsiTheme="minorEastAsia" w:eastAsiaTheme="minorEastAsia"/>
                <w:szCs w:val="21"/>
                <w:u w:val="single"/>
              </w:rPr>
              <w:t xml:space="preserve"> 30 </w:t>
            </w:r>
            <w:r>
              <w:rPr>
                <w:rFonts w:asciiTheme="minorEastAsia" w:hAnsiTheme="minorEastAsia" w:eastAsiaTheme="minorEastAsia"/>
                <w:szCs w:val="21"/>
              </w:rPr>
              <w:t>天内。</w:t>
            </w:r>
          </w:p>
        </w:tc>
      </w:tr>
      <w:tr w14:paraId="1F81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6" w:hRule="atLeast"/>
          <w:tblCellSpacing w:w="7" w:type="dxa"/>
          <w:jc w:val="center"/>
        </w:trPr>
        <w:tc>
          <w:tcPr>
            <w:tcW w:w="598" w:type="dxa"/>
            <w:shd w:val="clear" w:color="auto" w:fill="E0E0E0"/>
            <w:vAlign w:val="center"/>
          </w:tcPr>
          <w:p w14:paraId="56F674BE">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10</w:t>
            </w:r>
          </w:p>
        </w:tc>
        <w:tc>
          <w:tcPr>
            <w:tcW w:w="1511" w:type="dxa"/>
            <w:shd w:val="clear" w:color="auto" w:fill="E0E0E0"/>
            <w:vAlign w:val="center"/>
          </w:tcPr>
          <w:p w14:paraId="66C24938">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资金结算</w:t>
            </w:r>
          </w:p>
        </w:tc>
        <w:tc>
          <w:tcPr>
            <w:tcW w:w="8241" w:type="dxa"/>
            <w:gridSpan w:val="3"/>
            <w:shd w:val="clear" w:color="auto" w:fill="FFFFFF"/>
            <w:vAlign w:val="center"/>
          </w:tcPr>
          <w:p w14:paraId="25D1977F">
            <w:pPr>
              <w:rPr>
                <w:rFonts w:asciiTheme="minorEastAsia" w:hAnsiTheme="minorEastAsia" w:eastAsiaTheme="minorEastAsia"/>
              </w:rPr>
            </w:pPr>
            <w:r>
              <w:rPr>
                <w:rFonts w:hint="eastAsia" w:asciiTheme="minorEastAsia" w:hAnsiTheme="minorEastAsia" w:eastAsiaTheme="minorEastAsia"/>
                <w:color w:val="000000" w:themeColor="text1"/>
                <w:szCs w:val="21"/>
                <w14:textFill>
                  <w14:solidFill>
                    <w14:schemeClr w14:val="tx1"/>
                  </w14:solidFill>
                </w14:textFill>
              </w:rPr>
              <w:t>详见第二章采购需求</w:t>
            </w:r>
          </w:p>
        </w:tc>
      </w:tr>
      <w:tr w14:paraId="7AD39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5" w:hRule="atLeast"/>
          <w:tblCellSpacing w:w="7" w:type="dxa"/>
          <w:jc w:val="center"/>
        </w:trPr>
        <w:tc>
          <w:tcPr>
            <w:tcW w:w="598" w:type="dxa"/>
            <w:shd w:val="clear" w:color="auto" w:fill="E0E0E0"/>
            <w:vAlign w:val="center"/>
          </w:tcPr>
          <w:p w14:paraId="273E9ADA">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11</w:t>
            </w:r>
          </w:p>
        </w:tc>
        <w:tc>
          <w:tcPr>
            <w:tcW w:w="1511" w:type="dxa"/>
            <w:shd w:val="clear" w:color="auto" w:fill="E0E0E0"/>
            <w:vAlign w:val="center"/>
          </w:tcPr>
          <w:p w14:paraId="5EE06ADE">
            <w:pPr>
              <w:spacing w:line="276" w:lineRule="auto"/>
              <w:jc w:val="center"/>
              <w:rPr>
                <w:rFonts w:asciiTheme="minorEastAsia" w:hAnsiTheme="minorEastAsia" w:eastAsiaTheme="minorEastAsia"/>
                <w:b/>
                <w:color w:val="auto"/>
                <w:szCs w:val="21"/>
              </w:rPr>
            </w:pPr>
            <w:r>
              <w:rPr>
                <w:rFonts w:asciiTheme="minorEastAsia" w:hAnsiTheme="minorEastAsia" w:eastAsiaTheme="minorEastAsia"/>
                <w:b/>
                <w:color w:val="auto"/>
                <w:szCs w:val="21"/>
              </w:rPr>
              <w:t>投标报价</w:t>
            </w:r>
          </w:p>
          <w:p w14:paraId="237D4D71">
            <w:pPr>
              <w:spacing w:line="276" w:lineRule="auto"/>
              <w:jc w:val="center"/>
              <w:rPr>
                <w:rFonts w:asciiTheme="minorEastAsia" w:hAnsiTheme="minorEastAsia" w:eastAsiaTheme="minorEastAsia"/>
                <w:b/>
                <w:color w:val="auto"/>
                <w:szCs w:val="21"/>
              </w:rPr>
            </w:pPr>
            <w:r>
              <w:rPr>
                <w:rFonts w:asciiTheme="minorEastAsia" w:hAnsiTheme="minorEastAsia" w:eastAsiaTheme="minorEastAsia"/>
                <w:b/>
                <w:color w:val="auto"/>
                <w:szCs w:val="21"/>
              </w:rPr>
              <w:t>与费用</w:t>
            </w:r>
          </w:p>
        </w:tc>
        <w:tc>
          <w:tcPr>
            <w:tcW w:w="8241" w:type="dxa"/>
            <w:gridSpan w:val="3"/>
            <w:shd w:val="clear" w:color="auto" w:fill="FFFFFF"/>
            <w:vAlign w:val="center"/>
          </w:tcPr>
          <w:p w14:paraId="0384920D">
            <w:pPr>
              <w:keepNext w:val="0"/>
              <w:keepLines w:val="0"/>
              <w:pageBreakBefore w:val="0"/>
              <w:widowControl w:val="0"/>
              <w:kinsoku/>
              <w:wordWrap/>
              <w:overflowPunct/>
              <w:topLinePunct w:val="0"/>
              <w:autoSpaceDE/>
              <w:autoSpaceDN/>
              <w:bidi w:val="0"/>
              <w:adjustRightInd/>
              <w:spacing w:line="360" w:lineRule="exact"/>
              <w:textAlignment w:val="auto"/>
              <w:rPr>
                <w:rFonts w:hint="eastAsia" w:cs="Times New Roman" w:asciiTheme="minorEastAsia" w:hAnsiTheme="minorEastAsia" w:eastAsiaTheme="minorEastAsia"/>
                <w:color w:val="auto"/>
                <w:kern w:val="2"/>
                <w:sz w:val="21"/>
                <w:szCs w:val="21"/>
                <w:u w:val="none"/>
                <w:lang w:val="en-US" w:eastAsia="zh-CN" w:bidi="ar-SA"/>
              </w:rPr>
            </w:pPr>
            <w:r>
              <w:rPr>
                <w:rFonts w:hint="eastAsia" w:cs="Times New Roman" w:asciiTheme="minorEastAsia" w:hAnsiTheme="minorEastAsia" w:eastAsiaTheme="minorEastAsia"/>
                <w:color w:val="auto"/>
                <w:kern w:val="2"/>
                <w:sz w:val="21"/>
                <w:szCs w:val="21"/>
                <w:u w:val="none"/>
                <w:lang w:val="en-US" w:eastAsia="zh-CN" w:bidi="ar-SA"/>
              </w:rPr>
              <w:t>1、投标人所投报的投标报价为投标人所能承受的整个项目的一次性最终最低合同总价，包括完成本项目工作内容所需的一切费用。合同总价不得超过本项目对应的预算金额。</w:t>
            </w:r>
          </w:p>
          <w:p w14:paraId="4F39D7DF">
            <w:pPr>
              <w:keepNext w:val="0"/>
              <w:keepLines w:val="0"/>
              <w:pageBreakBefore w:val="0"/>
              <w:widowControl w:val="0"/>
              <w:kinsoku/>
              <w:wordWrap/>
              <w:overflowPunct/>
              <w:topLinePunct w:val="0"/>
              <w:autoSpaceDE/>
              <w:autoSpaceDN/>
              <w:bidi w:val="0"/>
              <w:adjustRightInd/>
              <w:spacing w:line="360" w:lineRule="exact"/>
              <w:textAlignment w:val="auto"/>
              <w:rPr>
                <w:rFonts w:hint="eastAsia" w:cs="Times New Roman" w:asciiTheme="minorEastAsia" w:hAnsiTheme="minorEastAsia" w:eastAsiaTheme="minorEastAsia"/>
                <w:color w:val="auto"/>
                <w:kern w:val="2"/>
                <w:sz w:val="21"/>
                <w:szCs w:val="21"/>
                <w:u w:val="none"/>
                <w:lang w:val="en-US" w:eastAsia="zh-CN" w:bidi="ar-SA"/>
              </w:rPr>
            </w:pPr>
            <w:r>
              <w:rPr>
                <w:rFonts w:hint="eastAsia" w:cs="Times New Roman" w:asciiTheme="minorEastAsia" w:hAnsiTheme="minorEastAsia" w:eastAsiaTheme="minorEastAsia"/>
                <w:color w:val="auto"/>
                <w:kern w:val="2"/>
                <w:sz w:val="21"/>
                <w:szCs w:val="21"/>
                <w:u w:val="none"/>
                <w:lang w:val="en-US" w:eastAsia="zh-CN" w:bidi="ar-SA"/>
              </w:rPr>
              <w:t>2、按国家规定由中标人缴纳的各种税收已包含在投标总价内，由中标人向税务机关缴纳相关费用。</w:t>
            </w:r>
          </w:p>
          <w:p w14:paraId="4EE7E4C5">
            <w:pPr>
              <w:keepNext w:val="0"/>
              <w:keepLines w:val="0"/>
              <w:pageBreakBefore w:val="0"/>
              <w:widowControl w:val="0"/>
              <w:kinsoku/>
              <w:wordWrap/>
              <w:overflowPunct/>
              <w:topLinePunct w:val="0"/>
              <w:autoSpaceDE/>
              <w:autoSpaceDN/>
              <w:bidi w:val="0"/>
              <w:adjustRightInd/>
              <w:spacing w:line="360" w:lineRule="exact"/>
              <w:textAlignment w:val="auto"/>
              <w:rPr>
                <w:rFonts w:hint="eastAsia" w:cs="Times New Roman" w:asciiTheme="minorEastAsia" w:hAnsiTheme="minorEastAsia" w:eastAsiaTheme="minorEastAsia"/>
                <w:color w:val="auto"/>
                <w:kern w:val="2"/>
                <w:sz w:val="21"/>
                <w:szCs w:val="21"/>
                <w:u w:val="none"/>
                <w:lang w:val="en-US" w:eastAsia="zh-CN" w:bidi="ar-SA"/>
              </w:rPr>
            </w:pPr>
            <w:r>
              <w:rPr>
                <w:rFonts w:hint="eastAsia" w:cs="Times New Roman" w:asciiTheme="minorEastAsia" w:hAnsiTheme="minorEastAsia" w:eastAsiaTheme="minorEastAsia"/>
                <w:color w:val="auto"/>
                <w:kern w:val="2"/>
                <w:sz w:val="21"/>
                <w:szCs w:val="21"/>
                <w:u w:val="none"/>
                <w:lang w:val="en-US" w:eastAsia="zh-CN" w:bidi="ar-SA"/>
              </w:rPr>
              <w:t>3、投标人应承担其参加本招标活动自身所发生的费用。</w:t>
            </w:r>
          </w:p>
          <w:p w14:paraId="46875467">
            <w:pPr>
              <w:keepNext w:val="0"/>
              <w:keepLines w:val="0"/>
              <w:pageBreakBefore w:val="0"/>
              <w:widowControl w:val="0"/>
              <w:kinsoku/>
              <w:wordWrap/>
              <w:overflowPunct/>
              <w:topLinePunct w:val="0"/>
              <w:autoSpaceDE/>
              <w:autoSpaceDN/>
              <w:bidi w:val="0"/>
              <w:adjustRightInd/>
              <w:spacing w:line="360" w:lineRule="exact"/>
              <w:textAlignment w:val="auto"/>
              <w:rPr>
                <w:rFonts w:hint="eastAsia" w:cs="Times New Roman" w:asciiTheme="minorEastAsia" w:hAnsiTheme="minorEastAsia" w:eastAsiaTheme="minorEastAsia"/>
                <w:color w:val="auto"/>
                <w:kern w:val="2"/>
                <w:sz w:val="21"/>
                <w:szCs w:val="21"/>
                <w:u w:val="none"/>
                <w:lang w:val="zh-CN" w:eastAsia="zh-CN" w:bidi="ar-SA"/>
              </w:rPr>
            </w:pPr>
            <w:r>
              <w:rPr>
                <w:rFonts w:hint="eastAsia" w:cs="Times New Roman" w:asciiTheme="minorEastAsia" w:hAnsiTheme="minorEastAsia" w:eastAsiaTheme="minorEastAsia"/>
                <w:color w:val="auto"/>
                <w:kern w:val="2"/>
                <w:sz w:val="21"/>
                <w:szCs w:val="21"/>
                <w:u w:val="none"/>
                <w:lang w:val="en-US" w:eastAsia="zh-CN" w:bidi="ar-SA"/>
              </w:rPr>
              <w:t>4</w:t>
            </w:r>
            <w:r>
              <w:rPr>
                <w:rFonts w:hint="eastAsia" w:cs="Times New Roman" w:asciiTheme="minorEastAsia" w:hAnsiTheme="minorEastAsia" w:eastAsiaTheme="minorEastAsia"/>
                <w:color w:val="auto"/>
                <w:kern w:val="2"/>
                <w:sz w:val="21"/>
                <w:szCs w:val="21"/>
                <w:u w:val="none"/>
                <w:lang w:val="zh-CN" w:eastAsia="zh-CN" w:bidi="ar-SA"/>
              </w:rPr>
              <w:t>、中标人须缴纳招标代理服务费，招标代理服务收费标准金额为：</w:t>
            </w:r>
            <w:r>
              <w:rPr>
                <w:rFonts w:hint="eastAsia" w:cs="Times New Roman" w:asciiTheme="minorEastAsia" w:hAnsiTheme="minorEastAsia" w:eastAsiaTheme="minorEastAsia"/>
                <w:color w:val="auto"/>
                <w:kern w:val="2"/>
                <w:sz w:val="21"/>
                <w:szCs w:val="21"/>
                <w:u w:val="none"/>
                <w:lang w:val="en-US" w:eastAsia="zh-CN" w:bidi="ar-SA"/>
              </w:rPr>
              <w:t>一次性10000</w:t>
            </w:r>
            <w:r>
              <w:rPr>
                <w:rFonts w:hint="eastAsia" w:cs="Times New Roman" w:asciiTheme="minorEastAsia" w:hAnsiTheme="minorEastAsia" w:eastAsiaTheme="minorEastAsia"/>
                <w:color w:val="auto"/>
                <w:kern w:val="2"/>
                <w:sz w:val="21"/>
                <w:szCs w:val="21"/>
                <w:u w:val="none"/>
                <w:lang w:val="zh-CN" w:eastAsia="zh-CN" w:bidi="ar-SA"/>
              </w:rPr>
              <w:t>元。支付方式及时间为：中标通知书发出后5个工作日内一次性支付给招标代理机构。</w:t>
            </w:r>
          </w:p>
          <w:p w14:paraId="61140998">
            <w:pPr>
              <w:keepNext w:val="0"/>
              <w:keepLines w:val="0"/>
              <w:pageBreakBefore w:val="0"/>
              <w:widowControl w:val="0"/>
              <w:kinsoku/>
              <w:wordWrap/>
              <w:overflowPunct/>
              <w:topLinePunct w:val="0"/>
              <w:autoSpaceDE/>
              <w:autoSpaceDN/>
              <w:bidi w:val="0"/>
              <w:adjustRightInd/>
              <w:spacing w:line="360" w:lineRule="exact"/>
              <w:textAlignment w:val="auto"/>
              <w:rPr>
                <w:rFonts w:hint="eastAsia" w:cs="Times New Roman" w:asciiTheme="minorEastAsia" w:hAnsiTheme="minorEastAsia" w:eastAsiaTheme="minorEastAsia"/>
                <w:color w:val="auto"/>
                <w:kern w:val="2"/>
                <w:sz w:val="21"/>
                <w:szCs w:val="21"/>
                <w:u w:val="none"/>
                <w:lang w:val="en-US" w:eastAsia="zh-CN" w:bidi="ar-SA"/>
              </w:rPr>
            </w:pPr>
            <w:r>
              <w:rPr>
                <w:rFonts w:hint="eastAsia" w:cs="Times New Roman" w:asciiTheme="minorEastAsia" w:hAnsiTheme="minorEastAsia" w:eastAsiaTheme="minorEastAsia"/>
                <w:color w:val="auto"/>
                <w:kern w:val="2"/>
                <w:sz w:val="21"/>
                <w:szCs w:val="21"/>
                <w:u w:val="none"/>
                <w:lang w:val="en-US" w:eastAsia="zh-CN" w:bidi="ar-SA"/>
              </w:rPr>
              <w:t>收款单位名称：舟山市佳誉工程管理有限公司</w:t>
            </w:r>
          </w:p>
          <w:p w14:paraId="0E382F6F">
            <w:pPr>
              <w:keepNext w:val="0"/>
              <w:keepLines w:val="0"/>
              <w:pageBreakBefore w:val="0"/>
              <w:widowControl w:val="0"/>
              <w:kinsoku/>
              <w:wordWrap/>
              <w:overflowPunct/>
              <w:topLinePunct w:val="0"/>
              <w:autoSpaceDE/>
              <w:autoSpaceDN/>
              <w:bidi w:val="0"/>
              <w:adjustRightInd/>
              <w:spacing w:line="360" w:lineRule="exact"/>
              <w:textAlignment w:val="auto"/>
              <w:rPr>
                <w:rFonts w:hint="eastAsia" w:cs="Times New Roman" w:asciiTheme="minorEastAsia" w:hAnsiTheme="minorEastAsia" w:eastAsiaTheme="minorEastAsia"/>
                <w:color w:val="auto"/>
                <w:kern w:val="2"/>
                <w:sz w:val="21"/>
                <w:szCs w:val="21"/>
                <w:u w:val="none"/>
                <w:lang w:val="en-US" w:eastAsia="zh-CN" w:bidi="ar-SA"/>
              </w:rPr>
            </w:pPr>
            <w:r>
              <w:rPr>
                <w:rFonts w:hint="eastAsia" w:cs="Times New Roman" w:asciiTheme="minorEastAsia" w:hAnsiTheme="minorEastAsia" w:eastAsiaTheme="minorEastAsia"/>
                <w:color w:val="auto"/>
                <w:kern w:val="2"/>
                <w:sz w:val="21"/>
                <w:szCs w:val="21"/>
                <w:u w:val="none"/>
                <w:lang w:val="en-US" w:eastAsia="zh-CN" w:bidi="ar-SA"/>
              </w:rPr>
              <w:t>开户银行： 中国建设银行股份有限公司舟山定海支行营业部</w:t>
            </w:r>
          </w:p>
          <w:p w14:paraId="2600C04E">
            <w:pPr>
              <w:keepNext w:val="0"/>
              <w:keepLines w:val="0"/>
              <w:pageBreakBefore w:val="0"/>
              <w:widowControl w:val="0"/>
              <w:kinsoku/>
              <w:wordWrap/>
              <w:overflowPunct/>
              <w:topLinePunct w:val="0"/>
              <w:autoSpaceDE/>
              <w:autoSpaceDN/>
              <w:bidi w:val="0"/>
              <w:adjustRightInd/>
              <w:spacing w:line="360" w:lineRule="exact"/>
              <w:textAlignment w:val="auto"/>
              <w:rPr>
                <w:rFonts w:eastAsiaTheme="minorEastAsia"/>
                <w:color w:val="auto"/>
              </w:rPr>
            </w:pPr>
            <w:r>
              <w:rPr>
                <w:rFonts w:hint="eastAsia" w:cs="Times New Roman" w:asciiTheme="minorEastAsia" w:hAnsiTheme="minorEastAsia" w:eastAsiaTheme="minorEastAsia"/>
                <w:color w:val="auto"/>
                <w:kern w:val="2"/>
                <w:sz w:val="21"/>
                <w:szCs w:val="21"/>
                <w:u w:val="none"/>
                <w:lang w:val="en-US" w:eastAsia="zh-CN" w:bidi="ar-SA"/>
              </w:rPr>
              <w:t>银行账号： 33050170623500000714</w:t>
            </w:r>
          </w:p>
        </w:tc>
      </w:tr>
      <w:tr w14:paraId="014F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95" w:hRule="atLeast"/>
          <w:tblCellSpacing w:w="7" w:type="dxa"/>
          <w:jc w:val="center"/>
        </w:trPr>
        <w:tc>
          <w:tcPr>
            <w:tcW w:w="598" w:type="dxa"/>
            <w:shd w:val="clear" w:color="auto" w:fill="E0E0E0"/>
            <w:vAlign w:val="center"/>
          </w:tcPr>
          <w:p w14:paraId="0D9BD245">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12</w:t>
            </w:r>
          </w:p>
        </w:tc>
        <w:tc>
          <w:tcPr>
            <w:tcW w:w="1511" w:type="dxa"/>
            <w:shd w:val="clear" w:color="auto" w:fill="E0E0E0"/>
            <w:vAlign w:val="center"/>
          </w:tcPr>
          <w:p w14:paraId="0943DBB1">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履约保证金</w:t>
            </w:r>
          </w:p>
        </w:tc>
        <w:tc>
          <w:tcPr>
            <w:tcW w:w="8241" w:type="dxa"/>
            <w:gridSpan w:val="3"/>
            <w:shd w:val="clear" w:color="auto" w:fill="FFFFFF"/>
            <w:vAlign w:val="center"/>
          </w:tcPr>
          <w:p w14:paraId="131C2B37">
            <w:pPr>
              <w:adjustRightInd w:val="0"/>
              <w:snapToGrid w:val="0"/>
              <w:spacing w:line="276" w:lineRule="auto"/>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无</w:t>
            </w:r>
          </w:p>
        </w:tc>
      </w:tr>
      <w:tr w14:paraId="7058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1" w:hRule="atLeast"/>
          <w:tblCellSpacing w:w="7" w:type="dxa"/>
          <w:jc w:val="center"/>
        </w:trPr>
        <w:tc>
          <w:tcPr>
            <w:tcW w:w="598" w:type="dxa"/>
            <w:shd w:val="clear" w:color="auto" w:fill="E0E0E0"/>
            <w:vAlign w:val="center"/>
          </w:tcPr>
          <w:p w14:paraId="13DA4F83">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13</w:t>
            </w:r>
          </w:p>
        </w:tc>
        <w:tc>
          <w:tcPr>
            <w:tcW w:w="1511" w:type="dxa"/>
            <w:shd w:val="clear" w:color="auto" w:fill="E0E0E0"/>
            <w:vAlign w:val="center"/>
          </w:tcPr>
          <w:p w14:paraId="25E3B1DF">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投标文件</w:t>
            </w:r>
          </w:p>
          <w:p w14:paraId="738BC827">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的组成</w:t>
            </w:r>
          </w:p>
        </w:tc>
        <w:tc>
          <w:tcPr>
            <w:tcW w:w="8241" w:type="dxa"/>
            <w:gridSpan w:val="3"/>
            <w:shd w:val="clear" w:color="auto" w:fill="FFFFFF"/>
            <w:vAlign w:val="center"/>
          </w:tcPr>
          <w:p w14:paraId="0A521E0A">
            <w:pPr>
              <w:pStyle w:val="12"/>
              <w:spacing w:line="276" w:lineRule="auto"/>
              <w:rPr>
                <w:rFonts w:asciiTheme="minorEastAsia" w:hAnsiTheme="minorEastAsia" w:eastAsiaTheme="minorEastAsia"/>
                <w:sz w:val="21"/>
                <w:szCs w:val="21"/>
              </w:rPr>
            </w:pPr>
            <w:r>
              <w:rPr>
                <w:rFonts w:asciiTheme="minorEastAsia" w:hAnsiTheme="minorEastAsia" w:eastAsiaTheme="minorEastAsia"/>
                <w:sz w:val="21"/>
              </w:rPr>
              <w:t>投标文件</w:t>
            </w:r>
            <w:r>
              <w:rPr>
                <w:rFonts w:hint="eastAsia" w:asciiTheme="minorEastAsia" w:hAnsiTheme="minorEastAsia" w:eastAsiaTheme="minorEastAsia"/>
                <w:sz w:val="21"/>
              </w:rPr>
              <w:t>由资格证明文件</w:t>
            </w:r>
            <w:r>
              <w:rPr>
                <w:rFonts w:asciiTheme="minorEastAsia" w:hAnsiTheme="minorEastAsia" w:eastAsiaTheme="minorEastAsia"/>
                <w:sz w:val="21"/>
              </w:rPr>
              <w:t>、</w:t>
            </w:r>
            <w:r>
              <w:rPr>
                <w:rFonts w:hint="eastAsia" w:asciiTheme="minorEastAsia" w:hAnsiTheme="minorEastAsia" w:eastAsiaTheme="minorEastAsia"/>
                <w:sz w:val="21"/>
              </w:rPr>
              <w:t>商务及技术文件</w:t>
            </w:r>
            <w:r>
              <w:rPr>
                <w:rFonts w:asciiTheme="minorEastAsia" w:hAnsiTheme="minorEastAsia" w:eastAsiaTheme="minorEastAsia"/>
                <w:sz w:val="21"/>
              </w:rPr>
              <w:t>、</w:t>
            </w:r>
            <w:r>
              <w:rPr>
                <w:rFonts w:hint="eastAsia" w:asciiTheme="minorEastAsia" w:hAnsiTheme="minorEastAsia" w:eastAsiaTheme="minorEastAsia"/>
                <w:sz w:val="21"/>
              </w:rPr>
              <w:t>投标</w:t>
            </w:r>
            <w:r>
              <w:rPr>
                <w:rFonts w:asciiTheme="minorEastAsia" w:hAnsiTheme="minorEastAsia" w:eastAsiaTheme="minorEastAsia"/>
                <w:sz w:val="21"/>
              </w:rPr>
              <w:t>报价</w:t>
            </w:r>
            <w:r>
              <w:rPr>
                <w:rFonts w:hint="eastAsia" w:asciiTheme="minorEastAsia" w:hAnsiTheme="minorEastAsia" w:eastAsiaTheme="minorEastAsia"/>
                <w:sz w:val="21"/>
              </w:rPr>
              <w:t>文件三</w:t>
            </w:r>
            <w:r>
              <w:rPr>
                <w:rFonts w:asciiTheme="minorEastAsia" w:hAnsiTheme="minorEastAsia" w:eastAsiaTheme="minorEastAsia"/>
                <w:sz w:val="21"/>
              </w:rPr>
              <w:t>部份组成。</w:t>
            </w:r>
          </w:p>
        </w:tc>
      </w:tr>
      <w:tr w14:paraId="38F6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78" w:hRule="atLeast"/>
          <w:tblCellSpacing w:w="7" w:type="dxa"/>
          <w:jc w:val="center"/>
        </w:trPr>
        <w:tc>
          <w:tcPr>
            <w:tcW w:w="598" w:type="dxa"/>
            <w:shd w:val="clear" w:color="auto" w:fill="E0E0E0"/>
            <w:vAlign w:val="center"/>
          </w:tcPr>
          <w:p w14:paraId="160AEA0C">
            <w:pPr>
              <w:spacing w:line="276" w:lineRule="auto"/>
              <w:jc w:val="center"/>
              <w:rPr>
                <w:rFonts w:asciiTheme="minorEastAsia" w:hAnsiTheme="minorEastAsia" w:eastAsiaTheme="minorEastAsia"/>
                <w:b/>
              </w:rPr>
            </w:pPr>
            <w:r>
              <w:rPr>
                <w:rFonts w:asciiTheme="minorEastAsia" w:hAnsiTheme="minorEastAsia" w:eastAsiaTheme="minorEastAsia"/>
                <w:b/>
                <w:szCs w:val="21"/>
              </w:rPr>
              <w:t>14</w:t>
            </w:r>
          </w:p>
        </w:tc>
        <w:tc>
          <w:tcPr>
            <w:tcW w:w="1511" w:type="dxa"/>
            <w:shd w:val="clear" w:color="auto" w:fill="E0E0E0"/>
            <w:vAlign w:val="center"/>
          </w:tcPr>
          <w:p w14:paraId="03FEB5B8">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投标文件</w:t>
            </w:r>
          </w:p>
          <w:p w14:paraId="67DDDAF4">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的递交</w:t>
            </w:r>
          </w:p>
        </w:tc>
        <w:tc>
          <w:tcPr>
            <w:tcW w:w="8241" w:type="dxa"/>
            <w:gridSpan w:val="3"/>
            <w:shd w:val="clear" w:color="auto" w:fill="FFFFFF"/>
            <w:vAlign w:val="center"/>
          </w:tcPr>
          <w:p w14:paraId="1458D540">
            <w:pPr>
              <w:wordWrap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在开标截至时间前须在政采云系统里上传加密的电子版投标文件。同时还须在开标现场递交一份未加密的电子版投标文件，该电子投标文件应为政采云投标客户端生成的电子标书（后缀名为.bfbs）,投标人解密异常或未按时解密时应急使用），介质可以是U盘或DVD光盘。</w:t>
            </w:r>
          </w:p>
          <w:p w14:paraId="0DC5DEF0">
            <w:pPr>
              <w:ind w:firstLine="420" w:firstLineChars="200"/>
              <w:rPr>
                <w:rFonts w:asciiTheme="minorEastAsia" w:hAnsiTheme="minorEastAsia" w:eastAsiaTheme="minorEastAsia"/>
                <w:b/>
                <w:bCs/>
                <w:color w:val="000000" w:themeColor="text1"/>
                <w:szCs w:val="22"/>
                <w14:textFill>
                  <w14:solidFill>
                    <w14:schemeClr w14:val="tx1"/>
                  </w14:solidFill>
                </w14:textFill>
              </w:rPr>
            </w:pPr>
            <w:r>
              <w:rPr>
                <w:rFonts w:hint="eastAsia" w:asciiTheme="minorEastAsia" w:hAnsiTheme="minorEastAsia" w:eastAsiaTheme="minorEastAsia"/>
                <w:color w:val="000000" w:themeColor="text1"/>
                <w:szCs w:val="22"/>
                <w14:textFill>
                  <w14:solidFill>
                    <w14:schemeClr w14:val="tx1"/>
                  </w14:solidFill>
                </w14:textFill>
              </w:rPr>
              <w:t>投标人递交备份投标文件时，如出现下列情况之一的，</w:t>
            </w:r>
            <w:r>
              <w:rPr>
                <w:rFonts w:hint="eastAsia" w:asciiTheme="minorEastAsia" w:hAnsiTheme="minorEastAsia" w:eastAsiaTheme="minorEastAsia"/>
                <w:b/>
                <w:bCs/>
                <w:color w:val="000000" w:themeColor="text1"/>
                <w:szCs w:val="22"/>
                <w14:textFill>
                  <w14:solidFill>
                    <w14:schemeClr w14:val="tx1"/>
                  </w14:solidFill>
                </w14:textFill>
              </w:rPr>
              <w:t>将被拒收：</w:t>
            </w:r>
          </w:p>
          <w:p w14:paraId="2D4F2E7C">
            <w:pPr>
              <w:ind w:firstLine="420" w:firstLineChars="200"/>
              <w:rPr>
                <w:rFonts w:asciiTheme="minorEastAsia" w:hAnsiTheme="minorEastAsia" w:eastAsiaTheme="minorEastAsia"/>
                <w:color w:val="000000" w:themeColor="text1"/>
                <w:szCs w:val="22"/>
                <w14:textFill>
                  <w14:solidFill>
                    <w14:schemeClr w14:val="tx1"/>
                  </w14:solidFill>
                </w14:textFill>
              </w:rPr>
            </w:pPr>
            <w:r>
              <w:rPr>
                <w:rFonts w:hint="eastAsia" w:asciiTheme="minorEastAsia" w:hAnsiTheme="minorEastAsia" w:eastAsiaTheme="minorEastAsia"/>
                <w:color w:val="000000" w:themeColor="text1"/>
                <w:szCs w:val="22"/>
                <w14:textFill>
                  <w14:solidFill>
                    <w14:schemeClr w14:val="tx1"/>
                  </w14:solidFill>
                </w14:textFill>
              </w:rPr>
              <w:t>1、未按规定密封或标记的投标文件；</w:t>
            </w:r>
          </w:p>
          <w:p w14:paraId="780B8A50">
            <w:pPr>
              <w:ind w:firstLine="420" w:firstLineChars="200"/>
              <w:rPr>
                <w:rFonts w:asciiTheme="minorEastAsia" w:hAnsiTheme="minorEastAsia" w:eastAsiaTheme="minorEastAsia"/>
                <w:color w:val="000000" w:themeColor="text1"/>
                <w:szCs w:val="22"/>
                <w14:textFill>
                  <w14:solidFill>
                    <w14:schemeClr w14:val="tx1"/>
                  </w14:solidFill>
                </w14:textFill>
              </w:rPr>
            </w:pPr>
            <w:r>
              <w:rPr>
                <w:rFonts w:hint="eastAsia" w:asciiTheme="minorEastAsia" w:hAnsiTheme="minorEastAsia" w:eastAsiaTheme="minorEastAsia"/>
                <w:color w:val="000000" w:themeColor="text1"/>
                <w:szCs w:val="22"/>
                <w14:textFill>
                  <w14:solidFill>
                    <w14:schemeClr w14:val="tx1"/>
                  </w14:solidFill>
                </w14:textFill>
              </w:rPr>
              <w:t>2、由于包装不妥，在送交途中严重损坏的；</w:t>
            </w:r>
          </w:p>
          <w:p w14:paraId="794C86CF">
            <w:pPr>
              <w:ind w:firstLine="420" w:firstLineChars="200"/>
              <w:rPr>
                <w:rFonts w:asciiTheme="minorEastAsia" w:hAnsiTheme="minorEastAsia" w:eastAsiaTheme="minorEastAsia"/>
                <w:color w:val="000000" w:themeColor="text1"/>
                <w:szCs w:val="22"/>
                <w14:textFill>
                  <w14:solidFill>
                    <w14:schemeClr w14:val="tx1"/>
                  </w14:solidFill>
                </w14:textFill>
              </w:rPr>
            </w:pPr>
            <w:r>
              <w:rPr>
                <w:rFonts w:hint="eastAsia" w:asciiTheme="minorEastAsia" w:hAnsiTheme="minorEastAsia" w:eastAsiaTheme="minorEastAsia"/>
                <w:color w:val="000000" w:themeColor="text1"/>
                <w:szCs w:val="22"/>
                <w14:textFill>
                  <w14:solidFill>
                    <w14:schemeClr w14:val="tx1"/>
                  </w14:solidFill>
                </w14:textFill>
              </w:rPr>
              <w:t>3、超过规定时间送达的；</w:t>
            </w:r>
          </w:p>
          <w:p w14:paraId="4348C588">
            <w:pPr>
              <w:ind w:firstLine="420" w:firstLineChars="200"/>
              <w:rPr>
                <w:rFonts w:asciiTheme="minorEastAsia" w:hAnsiTheme="minorEastAsia" w:eastAsiaTheme="minorEastAsia"/>
                <w:color w:val="000000" w:themeColor="text1"/>
                <w:szCs w:val="22"/>
                <w14:textFill>
                  <w14:solidFill>
                    <w14:schemeClr w14:val="tx1"/>
                  </w14:solidFill>
                </w14:textFill>
              </w:rPr>
            </w:pPr>
            <w:r>
              <w:rPr>
                <w:rFonts w:hint="eastAsia" w:asciiTheme="minorEastAsia" w:hAnsiTheme="minorEastAsia" w:eastAsiaTheme="minorEastAsia"/>
                <w:color w:val="000000" w:themeColor="text1"/>
                <w:szCs w:val="22"/>
                <w14:textFill>
                  <w14:solidFill>
                    <w14:schemeClr w14:val="tx1"/>
                  </w14:solidFill>
                </w14:textFill>
              </w:rPr>
              <w:t>4、仅提供备份投标文件的，投标无效。</w:t>
            </w:r>
          </w:p>
          <w:p w14:paraId="4C0203C1">
            <w:pPr>
              <w:wordWrap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当发生解密失败或未按时解密的，如投标人未按要求提交备份电子投标文件的，造成项目开评标活动无法进行下去的，投标无效，</w:t>
            </w:r>
            <w:r>
              <w:rPr>
                <w:rFonts w:hint="eastAsia" w:asciiTheme="minorEastAsia" w:hAnsiTheme="minorEastAsia" w:eastAsiaTheme="minorEastAsia"/>
                <w:color w:val="000000" w:themeColor="text1"/>
                <w:szCs w:val="22"/>
                <w14:textFill>
                  <w14:solidFill>
                    <w14:schemeClr w14:val="tx1"/>
                  </w14:solidFill>
                </w14:textFill>
              </w:rPr>
              <w:t>相关风险由投标人自行承担。</w:t>
            </w:r>
          </w:p>
        </w:tc>
      </w:tr>
      <w:tr w14:paraId="3087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35" w:hRule="atLeast"/>
          <w:tblCellSpacing w:w="7" w:type="dxa"/>
          <w:jc w:val="center"/>
        </w:trPr>
        <w:tc>
          <w:tcPr>
            <w:tcW w:w="598" w:type="dxa"/>
            <w:shd w:val="clear" w:color="auto" w:fill="E0E0E0"/>
            <w:vAlign w:val="center"/>
          </w:tcPr>
          <w:p w14:paraId="71B0BC80">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15</w:t>
            </w:r>
          </w:p>
        </w:tc>
        <w:tc>
          <w:tcPr>
            <w:tcW w:w="1511" w:type="dxa"/>
            <w:shd w:val="clear" w:color="auto" w:fill="E0E0E0"/>
            <w:vAlign w:val="center"/>
          </w:tcPr>
          <w:p w14:paraId="438F7B30">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投标文件</w:t>
            </w:r>
          </w:p>
          <w:p w14:paraId="59F99AA4">
            <w:pPr>
              <w:spacing w:line="276" w:lineRule="auto"/>
              <w:jc w:val="center"/>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的密封要求</w:t>
            </w:r>
          </w:p>
        </w:tc>
        <w:tc>
          <w:tcPr>
            <w:tcW w:w="8241" w:type="dxa"/>
            <w:gridSpan w:val="3"/>
            <w:shd w:val="clear" w:color="auto" w:fill="FFFFFF"/>
            <w:vAlign w:val="center"/>
          </w:tcPr>
          <w:p w14:paraId="5D9D788A">
            <w:pPr>
              <w:wordWrap w:val="0"/>
              <w:spacing w:line="360" w:lineRule="exac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投标人线上制作投标文件并采用CA数字证书进行电子签章及加密。</w:t>
            </w:r>
          </w:p>
          <w:p w14:paraId="1003E45E">
            <w:pPr>
              <w:pStyle w:val="12"/>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sz w:val="21"/>
                <w:szCs w:val="21"/>
                <w14:textFill>
                  <w14:solidFill>
                    <w14:schemeClr w14:val="tx1"/>
                  </w14:solidFill>
                </w14:textFill>
              </w:rPr>
              <w:t>投标人备份投标文件应密封封装，注明投标人名称、项目名称并封口处加盖公章。</w:t>
            </w:r>
          </w:p>
        </w:tc>
      </w:tr>
      <w:tr w14:paraId="18A6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0A9B8FC2">
            <w:pPr>
              <w:spacing w:line="276" w:lineRule="auto"/>
              <w:jc w:val="center"/>
              <w:rPr>
                <w:rFonts w:asciiTheme="minorEastAsia" w:hAnsiTheme="minorEastAsia" w:eastAsiaTheme="minorEastAsia"/>
                <w:b/>
              </w:rPr>
            </w:pPr>
            <w:r>
              <w:rPr>
                <w:rFonts w:asciiTheme="minorEastAsia" w:hAnsiTheme="minorEastAsia" w:eastAsiaTheme="minorEastAsia"/>
                <w:b/>
                <w:szCs w:val="21"/>
              </w:rPr>
              <w:t>16</w:t>
            </w:r>
          </w:p>
        </w:tc>
        <w:tc>
          <w:tcPr>
            <w:tcW w:w="1511" w:type="dxa"/>
            <w:shd w:val="clear" w:color="auto" w:fill="E0E0E0"/>
            <w:vAlign w:val="center"/>
          </w:tcPr>
          <w:p w14:paraId="4884D0B8">
            <w:pPr>
              <w:spacing w:line="276" w:lineRule="auto"/>
              <w:jc w:val="center"/>
              <w:rPr>
                <w:rFonts w:asciiTheme="minorEastAsia" w:hAnsiTheme="minorEastAsia" w:eastAsiaTheme="minorEastAsia"/>
                <w:b/>
                <w:color w:val="00B0F0"/>
                <w:szCs w:val="21"/>
              </w:rPr>
            </w:pPr>
            <w:r>
              <w:rPr>
                <w:rFonts w:asciiTheme="minorEastAsia" w:hAnsiTheme="minorEastAsia" w:eastAsiaTheme="minorEastAsia"/>
                <w:b/>
                <w:szCs w:val="21"/>
              </w:rPr>
              <w:t>投标文件提交</w:t>
            </w:r>
            <w:r>
              <w:rPr>
                <w:rFonts w:hint="eastAsia" w:asciiTheme="minorEastAsia" w:hAnsiTheme="minorEastAsia" w:eastAsiaTheme="minorEastAsia"/>
                <w:b/>
                <w:szCs w:val="21"/>
              </w:rPr>
              <w:t>/开标</w:t>
            </w:r>
            <w:r>
              <w:rPr>
                <w:rFonts w:asciiTheme="minorEastAsia" w:hAnsiTheme="minorEastAsia" w:eastAsiaTheme="minorEastAsia"/>
                <w:b/>
                <w:szCs w:val="21"/>
              </w:rPr>
              <w:t>截止时间</w:t>
            </w:r>
          </w:p>
        </w:tc>
        <w:tc>
          <w:tcPr>
            <w:tcW w:w="8241" w:type="dxa"/>
            <w:gridSpan w:val="3"/>
            <w:shd w:val="clear" w:color="auto" w:fill="FFFFFF"/>
            <w:vAlign w:val="center"/>
          </w:tcPr>
          <w:p w14:paraId="2F0CDD87">
            <w:pPr>
              <w:spacing w:line="276" w:lineRule="auto"/>
              <w:rPr>
                <w:rFonts w:hint="default" w:cs="宋体" w:asciiTheme="minorEastAsia" w:hAnsiTheme="minorEastAsia" w:eastAsiaTheme="minorEastAsia"/>
                <w:szCs w:val="21"/>
                <w:lang w:val="en-US" w:eastAsia="zh-CN"/>
              </w:rPr>
            </w:pPr>
            <w:r>
              <w:rPr>
                <w:rFonts w:hint="eastAsia" w:ascii="宋体" w:hAnsi="宋体" w:cs="宋体"/>
                <w:szCs w:val="21"/>
                <w:lang w:eastAsia="zh-CN"/>
              </w:rPr>
              <w:t>202</w:t>
            </w:r>
            <w:r>
              <w:rPr>
                <w:rFonts w:hint="eastAsia" w:ascii="宋体" w:hAnsi="宋体" w:cs="宋体"/>
                <w:szCs w:val="21"/>
                <w:lang w:val="en-US" w:eastAsia="zh-CN"/>
              </w:rPr>
              <w:t>5</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cs="宋体"/>
                <w:szCs w:val="21"/>
              </w:rPr>
              <w:t>月</w:t>
            </w:r>
            <w:r>
              <w:rPr>
                <w:rFonts w:hint="eastAsia" w:ascii="宋体" w:hAnsi="宋体" w:cs="宋体"/>
                <w:szCs w:val="21"/>
                <w:lang w:val="en-US" w:eastAsia="zh-CN"/>
              </w:rPr>
              <w:t>27</w:t>
            </w:r>
            <w:r>
              <w:rPr>
                <w:rFonts w:hint="eastAsia" w:ascii="宋体" w:hAnsi="宋体" w:cs="宋体"/>
                <w:szCs w:val="21"/>
              </w:rPr>
              <w:t>日</w:t>
            </w:r>
            <w:r>
              <w:rPr>
                <w:rFonts w:hint="eastAsia" w:ascii="宋体" w:hAnsi="宋体" w:cs="宋体"/>
                <w:szCs w:val="21"/>
                <w:lang w:val="en-US" w:eastAsia="zh-CN"/>
              </w:rPr>
              <w:t>14</w:t>
            </w:r>
            <w:r>
              <w:rPr>
                <w:rFonts w:hint="eastAsia" w:ascii="宋体" w:hAnsi="宋体" w:cs="宋体"/>
                <w:szCs w:val="21"/>
              </w:rPr>
              <w:t>:</w:t>
            </w:r>
            <w:r>
              <w:rPr>
                <w:rFonts w:hint="eastAsia" w:ascii="宋体" w:hAnsi="宋体" w:cs="宋体"/>
                <w:szCs w:val="21"/>
                <w:lang w:val="en-US" w:eastAsia="zh-CN"/>
              </w:rPr>
              <w:t>30</w:t>
            </w:r>
          </w:p>
        </w:tc>
      </w:tr>
      <w:tr w14:paraId="7B82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038267AA">
            <w:pPr>
              <w:spacing w:line="276" w:lineRule="auto"/>
              <w:jc w:val="center"/>
              <w:rPr>
                <w:rFonts w:asciiTheme="minorEastAsia" w:hAnsiTheme="minorEastAsia" w:eastAsiaTheme="minorEastAsia"/>
                <w:b/>
                <w:szCs w:val="21"/>
              </w:rPr>
            </w:pPr>
            <w:r>
              <w:rPr>
                <w:rFonts w:hint="eastAsia" w:asciiTheme="minorEastAsia" w:hAnsiTheme="minorEastAsia" w:eastAsiaTheme="minorEastAsia"/>
                <w:b/>
                <w:szCs w:val="21"/>
              </w:rPr>
              <w:t>17</w:t>
            </w:r>
          </w:p>
        </w:tc>
        <w:tc>
          <w:tcPr>
            <w:tcW w:w="1511" w:type="dxa"/>
            <w:shd w:val="clear" w:color="auto" w:fill="E0E0E0"/>
            <w:vAlign w:val="center"/>
          </w:tcPr>
          <w:p w14:paraId="65DA6F2B">
            <w:pPr>
              <w:spacing w:line="276" w:lineRule="auto"/>
              <w:jc w:val="center"/>
              <w:rPr>
                <w:rFonts w:asciiTheme="minorEastAsia" w:hAnsiTheme="minorEastAsia" w:eastAsiaTheme="minorEastAsia"/>
                <w:b/>
                <w:szCs w:val="21"/>
              </w:rPr>
            </w:pPr>
            <w:r>
              <w:rPr>
                <w:rFonts w:asciiTheme="minorEastAsia" w:hAnsiTheme="minorEastAsia" w:eastAsiaTheme="minorEastAsia"/>
                <w:b/>
                <w:szCs w:val="21"/>
              </w:rPr>
              <w:t>答疑与澄清</w:t>
            </w:r>
          </w:p>
        </w:tc>
        <w:tc>
          <w:tcPr>
            <w:tcW w:w="8241" w:type="dxa"/>
            <w:gridSpan w:val="3"/>
            <w:shd w:val="clear" w:color="auto" w:fill="FFFFFF"/>
            <w:vAlign w:val="center"/>
          </w:tcPr>
          <w:p w14:paraId="0E44689D">
            <w:pPr>
              <w:spacing w:line="276" w:lineRule="auto"/>
              <w:rPr>
                <w:rFonts w:asciiTheme="minorEastAsia" w:hAnsiTheme="minorEastAsia" w:eastAsiaTheme="minorEastAsia"/>
                <w:szCs w:val="21"/>
              </w:rPr>
            </w:pPr>
            <w:r>
              <w:rPr>
                <w:rFonts w:hint="eastAsia" w:ascii="宋体" w:hAnsi="宋体" w:cs="宋体"/>
                <w:szCs w:val="21"/>
              </w:rPr>
              <w:t>投标人</w:t>
            </w:r>
            <w:r>
              <w:rPr>
                <w:rFonts w:ascii="宋体" w:hAnsi="宋体" w:cs="宋体"/>
                <w:szCs w:val="21"/>
              </w:rPr>
              <w:t>认为</w:t>
            </w:r>
            <w:r>
              <w:rPr>
                <w:rFonts w:hint="eastAsia" w:ascii="宋体" w:hAnsi="宋体" w:cs="宋体"/>
                <w:szCs w:val="21"/>
              </w:rPr>
              <w:t>采购</w:t>
            </w:r>
            <w:r>
              <w:rPr>
                <w:rFonts w:ascii="宋体" w:hAnsi="宋体" w:cs="宋体"/>
                <w:szCs w:val="21"/>
              </w:rPr>
              <w:t>文件使自己的权益受到损害的，可以自收到</w:t>
            </w:r>
            <w:r>
              <w:rPr>
                <w:rFonts w:hint="eastAsia" w:ascii="宋体" w:hAnsi="宋体" w:cs="宋体"/>
                <w:szCs w:val="21"/>
              </w:rPr>
              <w:t>采购</w:t>
            </w:r>
            <w:r>
              <w:rPr>
                <w:rFonts w:ascii="宋体" w:hAnsi="宋体" w:cs="宋体"/>
                <w:szCs w:val="21"/>
              </w:rPr>
              <w:t>文件之日（发售截止日之后收到采购文件的，以发售截止日为准）或者采购文件公告期限届满之日（招标公告为公告发布后的第6个工作日）起7个工作日内，以书面形式一次性向采购人和采购代理机构提出质疑。质疑</w:t>
            </w:r>
            <w:r>
              <w:rPr>
                <w:rFonts w:hint="eastAsia" w:ascii="宋体" w:hAnsi="宋体" w:cs="宋体"/>
                <w:szCs w:val="21"/>
              </w:rPr>
              <w:t>投标人</w:t>
            </w:r>
            <w:r>
              <w:rPr>
                <w:rFonts w:ascii="宋体" w:hAnsi="宋体" w:cs="宋体"/>
                <w:szCs w:val="21"/>
              </w:rPr>
              <w:t>对采购人、采购代理机构的答复不满意或者采购人、采购代理机构未在规定的时间内作</w:t>
            </w:r>
            <w:r>
              <w:rPr>
                <w:rFonts w:hint="eastAsia" w:ascii="宋体" w:hAnsi="宋体" w:cs="宋体"/>
                <w:szCs w:val="21"/>
              </w:rPr>
              <w:t>出答复的，可以在答复期满后十五个工作日内向监督管理部门投诉。</w:t>
            </w:r>
          </w:p>
        </w:tc>
      </w:tr>
      <w:tr w14:paraId="05DB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7D76D940">
            <w:pPr>
              <w:spacing w:line="276" w:lineRule="auto"/>
              <w:jc w:val="center"/>
              <w:rPr>
                <w:rFonts w:asciiTheme="minorEastAsia" w:hAnsiTheme="minorEastAsia" w:eastAsiaTheme="minorEastAsia"/>
                <w:b/>
                <w:szCs w:val="21"/>
              </w:rPr>
            </w:pPr>
            <w:r>
              <w:rPr>
                <w:rFonts w:hint="eastAsia" w:asciiTheme="minorEastAsia" w:hAnsiTheme="minorEastAsia" w:eastAsiaTheme="minorEastAsia"/>
                <w:b/>
                <w:szCs w:val="21"/>
              </w:rPr>
              <w:t>18</w:t>
            </w:r>
          </w:p>
        </w:tc>
        <w:tc>
          <w:tcPr>
            <w:tcW w:w="1511" w:type="dxa"/>
            <w:shd w:val="clear" w:color="auto" w:fill="E0E0E0"/>
            <w:vAlign w:val="center"/>
          </w:tcPr>
          <w:p w14:paraId="34C230F3">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投标人</w:t>
            </w:r>
            <w:r>
              <w:rPr>
                <w:rFonts w:asciiTheme="minorEastAsia" w:hAnsiTheme="minorEastAsia" w:eastAsiaTheme="minorEastAsia"/>
                <w:b/>
                <w:szCs w:val="21"/>
              </w:rPr>
              <w:t>注册</w:t>
            </w:r>
          </w:p>
        </w:tc>
        <w:tc>
          <w:tcPr>
            <w:tcW w:w="8241" w:type="dxa"/>
            <w:gridSpan w:val="3"/>
            <w:shd w:val="clear" w:color="auto" w:fill="FFFFFF"/>
            <w:vAlign w:val="center"/>
          </w:tcPr>
          <w:p w14:paraId="5360AD3A">
            <w:pPr>
              <w:spacing w:beforeLines="10" w:line="340" w:lineRule="atLeast"/>
              <w:jc w:val="left"/>
              <w:rPr>
                <w:rFonts w:asciiTheme="minorEastAsia" w:hAnsiTheme="minorEastAsia" w:eastAsiaTheme="minorEastAsia"/>
                <w:bCs/>
                <w:snapToGrid w:val="0"/>
                <w:kern w:val="0"/>
              </w:rPr>
            </w:pPr>
            <w:r>
              <w:rPr>
                <w:rFonts w:asciiTheme="minorEastAsia" w:hAnsiTheme="minorEastAsia" w:eastAsiaTheme="minorEastAsia"/>
                <w:bCs/>
                <w:snapToGrid w:val="0"/>
                <w:kern w:val="0"/>
              </w:rPr>
              <w:t>各</w:t>
            </w:r>
            <w:r>
              <w:rPr>
                <w:rFonts w:hint="eastAsia" w:asciiTheme="minorEastAsia" w:hAnsiTheme="minorEastAsia" w:eastAsiaTheme="minorEastAsia"/>
                <w:bCs/>
                <w:snapToGrid w:val="0"/>
                <w:kern w:val="0"/>
              </w:rPr>
              <w:t>投标人</w:t>
            </w:r>
            <w:r>
              <w:rPr>
                <w:rFonts w:asciiTheme="minorEastAsia" w:hAnsiTheme="minorEastAsia" w:eastAsiaTheme="minorEastAsia"/>
                <w:bCs/>
                <w:snapToGrid w:val="0"/>
                <w:kern w:val="0"/>
              </w:rPr>
              <w:t>须在投标截止时间前根据浙江省财政厅《关于开展政府采购</w:t>
            </w:r>
            <w:r>
              <w:rPr>
                <w:rFonts w:hint="eastAsia" w:asciiTheme="minorEastAsia" w:hAnsiTheme="minorEastAsia" w:eastAsiaTheme="minorEastAsia"/>
                <w:bCs/>
                <w:snapToGrid w:val="0"/>
                <w:kern w:val="0"/>
              </w:rPr>
              <w:t>投标人</w:t>
            </w:r>
            <w:r>
              <w:rPr>
                <w:rFonts w:asciiTheme="minorEastAsia" w:hAnsiTheme="minorEastAsia" w:eastAsiaTheme="minorEastAsia"/>
                <w:bCs/>
                <w:snapToGrid w:val="0"/>
                <w:kern w:val="0"/>
              </w:rPr>
              <w:t>网上注册登记和诚信管理工作的通知》（浙财采监【2010】8号文）的要求，通过浙江政府采购网申请注册加入政府采购</w:t>
            </w:r>
            <w:r>
              <w:rPr>
                <w:rFonts w:hint="eastAsia" w:asciiTheme="minorEastAsia" w:hAnsiTheme="minorEastAsia" w:eastAsiaTheme="minorEastAsia"/>
                <w:bCs/>
                <w:snapToGrid w:val="0"/>
                <w:kern w:val="0"/>
              </w:rPr>
              <w:t>投标人</w:t>
            </w:r>
            <w:r>
              <w:rPr>
                <w:rFonts w:asciiTheme="minorEastAsia" w:hAnsiTheme="minorEastAsia" w:eastAsiaTheme="minorEastAsia"/>
                <w:bCs/>
                <w:snapToGrid w:val="0"/>
                <w:kern w:val="0"/>
              </w:rPr>
              <w:t>库。以免影响享受相关政策优惠及成交后的款项支付。</w:t>
            </w:r>
          </w:p>
          <w:p w14:paraId="7254B474">
            <w:pPr>
              <w:spacing w:beforeLines="10" w:line="340" w:lineRule="atLeast"/>
              <w:jc w:val="left"/>
              <w:rPr>
                <w:rFonts w:asciiTheme="minorEastAsia" w:hAnsiTheme="minorEastAsia" w:eastAsiaTheme="minorEastAsia"/>
                <w:szCs w:val="21"/>
              </w:rPr>
            </w:pPr>
            <w:r>
              <w:rPr>
                <w:rFonts w:hint="eastAsia" w:asciiTheme="minorEastAsia" w:hAnsiTheme="minorEastAsia" w:eastAsiaTheme="minorEastAsia"/>
                <w:bCs/>
                <w:snapToGrid w:val="0"/>
                <w:kern w:val="0"/>
              </w:rPr>
              <w:t>投标人</w:t>
            </w:r>
            <w:r>
              <w:rPr>
                <w:rFonts w:asciiTheme="minorEastAsia" w:hAnsiTheme="minorEastAsia" w:eastAsiaTheme="minorEastAsia"/>
                <w:bCs/>
                <w:snapToGrid w:val="0"/>
                <w:kern w:val="0"/>
              </w:rPr>
              <w:t>在申请注册前，请认真阅读，学习《中华人民共和国政府采购法》和《浙江省政府采购</w:t>
            </w:r>
            <w:r>
              <w:rPr>
                <w:rFonts w:hint="eastAsia" w:asciiTheme="minorEastAsia" w:hAnsiTheme="minorEastAsia" w:eastAsiaTheme="minorEastAsia"/>
                <w:bCs/>
                <w:snapToGrid w:val="0"/>
                <w:kern w:val="0"/>
              </w:rPr>
              <w:t>投标人</w:t>
            </w:r>
            <w:r>
              <w:rPr>
                <w:rFonts w:asciiTheme="minorEastAsia" w:hAnsiTheme="minorEastAsia" w:eastAsiaTheme="minorEastAsia"/>
                <w:bCs/>
                <w:snapToGrid w:val="0"/>
                <w:kern w:val="0"/>
              </w:rPr>
              <w:t>注册及诚信管理暂行办法》等相关法规规定。</w:t>
            </w:r>
          </w:p>
        </w:tc>
      </w:tr>
      <w:tr w14:paraId="0672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2D95EFC3">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19</w:t>
            </w:r>
          </w:p>
        </w:tc>
        <w:tc>
          <w:tcPr>
            <w:tcW w:w="1511" w:type="dxa"/>
            <w:shd w:val="clear" w:color="auto" w:fill="E0E0E0"/>
            <w:vAlign w:val="center"/>
          </w:tcPr>
          <w:p w14:paraId="54FC7592">
            <w:pPr>
              <w:jc w:val="center"/>
              <w:rPr>
                <w:rFonts w:asciiTheme="minorEastAsia" w:hAnsiTheme="minorEastAsia" w:eastAsiaTheme="minorEastAsia"/>
                <w:b/>
                <w:szCs w:val="21"/>
              </w:rPr>
            </w:pPr>
            <w:r>
              <w:rPr>
                <w:rFonts w:asciiTheme="minorEastAsia" w:hAnsiTheme="minorEastAsia" w:eastAsiaTheme="minorEastAsia"/>
                <w:b/>
                <w:szCs w:val="21"/>
              </w:rPr>
              <w:t>不良信用记录查询</w:t>
            </w:r>
          </w:p>
        </w:tc>
        <w:tc>
          <w:tcPr>
            <w:tcW w:w="8241" w:type="dxa"/>
            <w:gridSpan w:val="3"/>
            <w:shd w:val="clear" w:color="auto" w:fill="FFFFFF"/>
            <w:vAlign w:val="center"/>
          </w:tcPr>
          <w:p w14:paraId="39636955">
            <w:pPr>
              <w:rPr>
                <w:rFonts w:cs="宋体" w:asciiTheme="minorEastAsia" w:hAnsiTheme="minorEastAsia" w:eastAsiaTheme="minorEastAsia"/>
                <w:szCs w:val="21"/>
              </w:rPr>
            </w:pPr>
            <w:r>
              <w:rPr>
                <w:rFonts w:hint="eastAsia" w:cs="宋体" w:asciiTheme="minorEastAsia" w:hAnsiTheme="minorEastAsia" w:eastAsiaTheme="minorEastAsia"/>
                <w:szCs w:val="21"/>
              </w:rPr>
              <w:t>根据财库[2016]125号文件：</w:t>
            </w:r>
          </w:p>
          <w:p w14:paraId="60502AC2">
            <w:pPr>
              <w:rPr>
                <w:rFonts w:cs="宋体" w:asciiTheme="minorEastAsia" w:hAnsiTheme="minorEastAsia" w:eastAsiaTheme="minorEastAsia"/>
                <w:szCs w:val="21"/>
              </w:rPr>
            </w:pPr>
            <w:r>
              <w:rPr>
                <w:rFonts w:hint="eastAsia" w:cs="宋体" w:asciiTheme="minorEastAsia" w:hAnsiTheme="minorEastAsia" w:eastAsiaTheme="minorEastAsia"/>
                <w:szCs w:val="21"/>
              </w:rPr>
              <w:t>1、至本项目投标截止前未被列入“信用中国”网站(www.creditchina.gov.cn)“记录失信被执行人或重大税收违法案件当事人名单”记录名单。</w:t>
            </w:r>
          </w:p>
          <w:p w14:paraId="081B2F87">
            <w:pPr>
              <w:rPr>
                <w:rFonts w:cs="宋体" w:asciiTheme="minorEastAsia" w:hAnsiTheme="minorEastAsia" w:eastAsiaTheme="minorEastAsia"/>
                <w:szCs w:val="21"/>
              </w:rPr>
            </w:pPr>
            <w:r>
              <w:rPr>
                <w:rFonts w:hint="eastAsia" w:cs="宋体" w:asciiTheme="minorEastAsia" w:hAnsiTheme="minorEastAsia" w:eastAsiaTheme="minorEastAsia"/>
                <w:szCs w:val="21"/>
              </w:rPr>
              <w:t>2、至本项目投标截止前不处于中国政府采购网(www.ccgp.gov.cn)“政府采购严重违法失信行为信息记录”中的禁止参加政府采购活动期间。</w:t>
            </w:r>
          </w:p>
          <w:p w14:paraId="7A61168E">
            <w:pPr>
              <w:rPr>
                <w:rFonts w:asciiTheme="minorEastAsia" w:hAnsiTheme="minorEastAsia" w:eastAsiaTheme="minorEastAsia"/>
              </w:rPr>
            </w:pPr>
            <w:r>
              <w:rPr>
                <w:rFonts w:hint="eastAsia" w:asciiTheme="minorEastAsia" w:hAnsiTheme="minorEastAsia" w:eastAsiaTheme="minorEastAsia"/>
              </w:rPr>
              <w:t>二</w:t>
            </w:r>
            <w:r>
              <w:rPr>
                <w:rFonts w:asciiTheme="minorEastAsia" w:hAnsiTheme="minorEastAsia" w:eastAsiaTheme="minorEastAsia"/>
              </w:rPr>
              <w:t>个渠道</w:t>
            </w:r>
            <w:r>
              <w:rPr>
                <w:rFonts w:hint="eastAsia" w:cs="宋体" w:asciiTheme="minorEastAsia" w:hAnsiTheme="minorEastAsia" w:eastAsiaTheme="minorEastAsia"/>
                <w:szCs w:val="21"/>
              </w:rPr>
              <w:t>提供</w:t>
            </w:r>
            <w:r>
              <w:rPr>
                <w:rFonts w:asciiTheme="minorEastAsia" w:hAnsiTheme="minorEastAsia" w:eastAsiaTheme="minorEastAsia"/>
                <w:b/>
              </w:rPr>
              <w:t>查询</w:t>
            </w:r>
            <w:r>
              <w:rPr>
                <w:rFonts w:hint="eastAsia" w:asciiTheme="minorEastAsia" w:hAnsiTheme="minorEastAsia" w:eastAsiaTheme="minorEastAsia"/>
                <w:b/>
              </w:rPr>
              <w:t>截图</w:t>
            </w:r>
            <w:r>
              <w:rPr>
                <w:rFonts w:asciiTheme="minorEastAsia" w:hAnsiTheme="minorEastAsia" w:eastAsiaTheme="minorEastAsia"/>
                <w:b/>
              </w:rPr>
              <w:t>，</w:t>
            </w:r>
            <w:r>
              <w:rPr>
                <w:rFonts w:hint="eastAsia" w:asciiTheme="minorEastAsia" w:hAnsiTheme="minorEastAsia" w:eastAsiaTheme="minorEastAsia"/>
                <w:b/>
              </w:rPr>
              <w:t>（截图查询网站时间须在开标截止前二个星期内）。</w:t>
            </w:r>
            <w:r>
              <w:rPr>
                <w:rFonts w:hint="eastAsia" w:cs="宋体" w:asciiTheme="minorEastAsia" w:hAnsiTheme="minorEastAsia" w:eastAsiaTheme="minorEastAsia"/>
                <w:szCs w:val="21"/>
              </w:rPr>
              <w:t>对列入失信被执行人、重大税收违法案件当事人名单、政府采购严重违法失信行为记录名单的投标人，</w:t>
            </w:r>
            <w:r>
              <w:rPr>
                <w:rFonts w:hint="eastAsia" w:cs="宋体" w:asciiTheme="minorEastAsia" w:hAnsiTheme="minorEastAsia" w:eastAsiaTheme="minorEastAsia"/>
                <w:b/>
                <w:szCs w:val="21"/>
              </w:rPr>
              <w:t>其投标将作无效标处理</w:t>
            </w:r>
            <w:r>
              <w:rPr>
                <w:rFonts w:hint="eastAsia" w:cs="宋体" w:asciiTheme="minorEastAsia" w:hAnsiTheme="minorEastAsia" w:eastAsiaTheme="minorEastAsia"/>
                <w:szCs w:val="21"/>
              </w:rPr>
              <w:t>。</w:t>
            </w:r>
          </w:p>
        </w:tc>
      </w:tr>
      <w:tr w14:paraId="2648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vMerge w:val="restart"/>
            <w:shd w:val="clear" w:color="auto" w:fill="E0E0E0"/>
            <w:vAlign w:val="center"/>
          </w:tcPr>
          <w:p w14:paraId="3A5673B2">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20</w:t>
            </w:r>
          </w:p>
        </w:tc>
        <w:tc>
          <w:tcPr>
            <w:tcW w:w="1511" w:type="dxa"/>
            <w:vMerge w:val="restart"/>
            <w:shd w:val="clear" w:color="auto" w:fill="E0E0E0"/>
            <w:vAlign w:val="center"/>
          </w:tcPr>
          <w:p w14:paraId="72FAF811">
            <w:pPr>
              <w:jc w:val="center"/>
              <w:rPr>
                <w:rFonts w:ascii="宋体" w:hAnsi="宋体"/>
                <w:b/>
                <w:szCs w:val="21"/>
              </w:rPr>
            </w:pPr>
            <w:r>
              <w:rPr>
                <w:rFonts w:ascii="宋体" w:hAnsi="宋体"/>
                <w:b/>
                <w:szCs w:val="21"/>
              </w:rPr>
              <w:t>政府采购</w:t>
            </w:r>
          </w:p>
          <w:p w14:paraId="4C53B6BB">
            <w:pPr>
              <w:jc w:val="center"/>
              <w:rPr>
                <w:rFonts w:asciiTheme="minorEastAsia" w:hAnsiTheme="minorEastAsia" w:eastAsiaTheme="minorEastAsia"/>
                <w:b/>
                <w:szCs w:val="21"/>
              </w:rPr>
            </w:pPr>
            <w:r>
              <w:rPr>
                <w:rFonts w:ascii="宋体" w:hAnsi="宋体"/>
                <w:b/>
                <w:szCs w:val="21"/>
              </w:rPr>
              <w:t>扶持政策</w:t>
            </w:r>
          </w:p>
        </w:tc>
        <w:tc>
          <w:tcPr>
            <w:tcW w:w="8241" w:type="dxa"/>
            <w:gridSpan w:val="3"/>
            <w:shd w:val="clear" w:color="auto" w:fill="FFFFFF"/>
            <w:vAlign w:val="center"/>
          </w:tcPr>
          <w:p w14:paraId="7B3667C5">
            <w:pPr>
              <w:rPr>
                <w:rFonts w:cs="宋体" w:asciiTheme="minorEastAsia" w:hAnsiTheme="minorEastAsia" w:eastAsiaTheme="minorEastAsia"/>
                <w:b/>
                <w:szCs w:val="21"/>
              </w:rPr>
            </w:pPr>
            <w:r>
              <w:rPr>
                <w:rFonts w:hint="eastAsia" w:ascii="宋体" w:hAnsi="宋体" w:cs="宋体"/>
                <w:b/>
                <w:kern w:val="0"/>
                <w:szCs w:val="21"/>
              </w:rPr>
              <w:t>本项目专门面向中小企业采购，供应商应为中小企业（监狱企业、残疾人福利性单位视同小型、微型企业）。</w:t>
            </w:r>
          </w:p>
        </w:tc>
      </w:tr>
      <w:tr w14:paraId="3B19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vMerge w:val="continue"/>
            <w:shd w:val="clear" w:color="auto" w:fill="E0E0E0"/>
            <w:vAlign w:val="center"/>
          </w:tcPr>
          <w:p w14:paraId="06DC1891">
            <w:pPr>
              <w:spacing w:line="360" w:lineRule="auto"/>
              <w:jc w:val="center"/>
              <w:rPr>
                <w:rFonts w:asciiTheme="minorEastAsia" w:hAnsiTheme="minorEastAsia" w:eastAsiaTheme="minorEastAsia"/>
                <w:b/>
                <w:szCs w:val="21"/>
              </w:rPr>
            </w:pPr>
          </w:p>
        </w:tc>
        <w:tc>
          <w:tcPr>
            <w:tcW w:w="1511" w:type="dxa"/>
            <w:vMerge w:val="continue"/>
            <w:shd w:val="clear" w:color="auto" w:fill="E0E0E0"/>
            <w:vAlign w:val="center"/>
          </w:tcPr>
          <w:p w14:paraId="6FD908BB">
            <w:pPr>
              <w:jc w:val="center"/>
              <w:rPr>
                <w:rFonts w:asciiTheme="minorEastAsia" w:hAnsiTheme="minorEastAsia" w:eastAsiaTheme="minorEastAsia"/>
                <w:b/>
                <w:szCs w:val="21"/>
              </w:rPr>
            </w:pPr>
          </w:p>
        </w:tc>
        <w:tc>
          <w:tcPr>
            <w:tcW w:w="8241" w:type="dxa"/>
            <w:gridSpan w:val="3"/>
            <w:shd w:val="clear" w:color="auto" w:fill="FFFFFF"/>
            <w:vAlign w:val="center"/>
          </w:tcPr>
          <w:p w14:paraId="6677ECD6">
            <w:pPr>
              <w:rPr>
                <w:rFonts w:cs="宋体" w:asciiTheme="minorEastAsia" w:hAnsiTheme="minorEastAsia" w:eastAsiaTheme="minorEastAsia"/>
                <w:b/>
                <w:szCs w:val="21"/>
              </w:rPr>
            </w:pPr>
            <w:r>
              <w:rPr>
                <w:rFonts w:hint="eastAsia" w:ascii="宋体" w:hAnsi="宋体" w:cs="宋体"/>
                <w:b/>
                <w:kern w:val="0"/>
                <w:szCs w:val="21"/>
              </w:rPr>
              <w:t>本项目采购标的对应的中小企业划分标准所属行业：</w:t>
            </w:r>
            <w:r>
              <w:rPr>
                <w:rFonts w:hint="eastAsia" w:ascii="宋体" w:hAnsi="宋体" w:cs="宋体"/>
                <w:b/>
                <w:color w:val="000000" w:themeColor="text1"/>
                <w:kern w:val="0"/>
                <w:szCs w:val="21"/>
                <w14:textFill>
                  <w14:solidFill>
                    <w14:schemeClr w14:val="tx1"/>
                  </w14:solidFill>
                </w14:textFill>
              </w:rPr>
              <w:t>工业。</w:t>
            </w:r>
          </w:p>
        </w:tc>
      </w:tr>
      <w:tr w14:paraId="0AE7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vMerge w:val="continue"/>
            <w:shd w:val="clear" w:color="auto" w:fill="E0E0E0"/>
            <w:vAlign w:val="center"/>
          </w:tcPr>
          <w:p w14:paraId="40EA94F0">
            <w:pPr>
              <w:spacing w:line="360" w:lineRule="auto"/>
              <w:jc w:val="center"/>
              <w:rPr>
                <w:rFonts w:asciiTheme="minorEastAsia" w:hAnsiTheme="minorEastAsia" w:eastAsiaTheme="minorEastAsia"/>
                <w:b/>
                <w:szCs w:val="21"/>
              </w:rPr>
            </w:pPr>
          </w:p>
        </w:tc>
        <w:tc>
          <w:tcPr>
            <w:tcW w:w="1511" w:type="dxa"/>
            <w:vMerge w:val="continue"/>
            <w:shd w:val="clear" w:color="auto" w:fill="E0E0E0"/>
            <w:vAlign w:val="center"/>
          </w:tcPr>
          <w:p w14:paraId="25938E6C">
            <w:pPr>
              <w:jc w:val="center"/>
              <w:rPr>
                <w:rFonts w:asciiTheme="minorEastAsia" w:hAnsiTheme="minorEastAsia" w:eastAsiaTheme="minorEastAsia"/>
                <w:b/>
                <w:szCs w:val="21"/>
              </w:rPr>
            </w:pPr>
          </w:p>
        </w:tc>
        <w:tc>
          <w:tcPr>
            <w:tcW w:w="8241" w:type="dxa"/>
            <w:gridSpan w:val="3"/>
            <w:shd w:val="clear" w:color="auto" w:fill="FFFFFF"/>
            <w:vAlign w:val="center"/>
          </w:tcPr>
          <w:p w14:paraId="4551A4A0">
            <w:pPr>
              <w:rPr>
                <w:rFonts w:cs="宋体" w:asciiTheme="minorEastAsia" w:hAnsiTheme="minorEastAsia" w:eastAsiaTheme="minorEastAsia"/>
                <w:b/>
                <w:szCs w:val="21"/>
              </w:rPr>
            </w:pPr>
            <w:r>
              <w:rPr>
                <w:rFonts w:hint="eastAsia" w:ascii="宋体" w:hAnsi="宋体" w:cs="宋体"/>
                <w:b/>
                <w:kern w:val="0"/>
                <w:szCs w:val="21"/>
              </w:rPr>
              <w:t>本项目为</w:t>
            </w:r>
            <w:r>
              <w:rPr>
                <w:rFonts w:hint="eastAsia" w:ascii="宋体" w:hAnsi="宋体" w:cs="宋体"/>
                <w:b/>
                <w:color w:val="000000" w:themeColor="text1"/>
                <w:kern w:val="0"/>
                <w:szCs w:val="21"/>
                <w14:textFill>
                  <w14:solidFill>
                    <w14:schemeClr w14:val="tx1"/>
                  </w14:solidFill>
                </w14:textFill>
              </w:rPr>
              <w:t>货物类</w:t>
            </w:r>
            <w:r>
              <w:rPr>
                <w:rFonts w:hint="eastAsia" w:ascii="宋体" w:hAnsi="宋体" w:cs="宋体"/>
                <w:b/>
                <w:kern w:val="0"/>
                <w:szCs w:val="21"/>
              </w:rPr>
              <w:t>采购项目。</w:t>
            </w:r>
          </w:p>
        </w:tc>
      </w:tr>
      <w:tr w14:paraId="073D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vMerge w:val="continue"/>
            <w:shd w:val="clear" w:color="auto" w:fill="E0E0E0"/>
            <w:vAlign w:val="center"/>
          </w:tcPr>
          <w:p w14:paraId="692CA1B0">
            <w:pPr>
              <w:spacing w:line="360" w:lineRule="auto"/>
              <w:jc w:val="center"/>
              <w:rPr>
                <w:rFonts w:asciiTheme="minorEastAsia" w:hAnsiTheme="minorEastAsia" w:eastAsiaTheme="minorEastAsia"/>
                <w:b/>
                <w:szCs w:val="21"/>
              </w:rPr>
            </w:pPr>
          </w:p>
        </w:tc>
        <w:tc>
          <w:tcPr>
            <w:tcW w:w="1511" w:type="dxa"/>
            <w:vMerge w:val="continue"/>
            <w:shd w:val="clear" w:color="auto" w:fill="E0E0E0"/>
            <w:vAlign w:val="center"/>
          </w:tcPr>
          <w:p w14:paraId="688BEEEA">
            <w:pPr>
              <w:jc w:val="center"/>
              <w:rPr>
                <w:rFonts w:ascii="宋体" w:hAnsi="宋体"/>
                <w:b/>
                <w:szCs w:val="21"/>
              </w:rPr>
            </w:pPr>
          </w:p>
        </w:tc>
        <w:tc>
          <w:tcPr>
            <w:tcW w:w="8241" w:type="dxa"/>
            <w:gridSpan w:val="3"/>
            <w:shd w:val="clear" w:color="auto" w:fill="FFFFFF"/>
            <w:vAlign w:val="center"/>
          </w:tcPr>
          <w:p w14:paraId="40DBCF89">
            <w:pPr>
              <w:spacing w:line="300" w:lineRule="auto"/>
              <w:jc w:val="left"/>
              <w:rPr>
                <w:rFonts w:ascii="宋体" w:hAnsi="宋体" w:cs="宋体"/>
                <w:bCs/>
                <w:kern w:val="0"/>
                <w:szCs w:val="21"/>
              </w:rPr>
            </w:pPr>
            <w:r>
              <w:rPr>
                <w:rFonts w:hint="eastAsia" w:ascii="宋体" w:hAnsi="宋体" w:cs="宋体"/>
                <w:bCs/>
                <w:kern w:val="0"/>
                <w:szCs w:val="21"/>
              </w:rPr>
              <w:t>根据《政府采购促进中小企业发展管理办法》（财库[2020]46号）规定：</w:t>
            </w:r>
          </w:p>
          <w:p w14:paraId="7516AC82">
            <w:pPr>
              <w:spacing w:line="300" w:lineRule="auto"/>
              <w:jc w:val="left"/>
              <w:rPr>
                <w:rFonts w:ascii="宋体" w:hAnsi="宋体" w:cs="宋体"/>
                <w:bCs/>
                <w:kern w:val="0"/>
                <w:szCs w:val="21"/>
              </w:rPr>
            </w:pPr>
            <w:r>
              <w:rPr>
                <w:rFonts w:hint="eastAsia" w:ascii="宋体" w:hAnsi="宋体" w:cs="宋体"/>
                <w:bCs/>
                <w:kern w:val="0"/>
                <w:szCs w:val="21"/>
              </w:rPr>
              <w:t xml:space="preserve">1.本办法所称中小企业，是指在中华人民共和国境内依法设立，依据国务院批准的中小企业划分标准确定的中型企业、小型企业和微型企业，但与大企业的负责人为同一人，或者与大企业存在直接控股、管理关系的除外。 </w:t>
            </w:r>
          </w:p>
          <w:p w14:paraId="28DC4971">
            <w:pPr>
              <w:spacing w:line="300" w:lineRule="auto"/>
              <w:jc w:val="left"/>
              <w:rPr>
                <w:rFonts w:ascii="宋体" w:hAnsi="宋体" w:cs="宋体"/>
                <w:bCs/>
                <w:kern w:val="0"/>
                <w:szCs w:val="21"/>
              </w:rPr>
            </w:pPr>
            <w:r>
              <w:rPr>
                <w:rFonts w:hint="eastAsia" w:ascii="宋体" w:hAnsi="宋体" w:cs="宋体"/>
                <w:bCs/>
                <w:kern w:val="0"/>
                <w:szCs w:val="21"/>
              </w:rPr>
              <w:t>符合中小企业划分标准的个体工商户，在政府采购活动中视同中小企业。</w:t>
            </w:r>
          </w:p>
          <w:p w14:paraId="27937111">
            <w:pPr>
              <w:spacing w:line="300" w:lineRule="auto"/>
              <w:jc w:val="left"/>
              <w:rPr>
                <w:rFonts w:ascii="宋体" w:hAnsi="宋体" w:cs="宋体"/>
                <w:bCs/>
                <w:kern w:val="0"/>
                <w:szCs w:val="21"/>
              </w:rPr>
            </w:pPr>
            <w:r>
              <w:rPr>
                <w:rFonts w:hint="eastAsia" w:ascii="宋体" w:hAnsi="宋体" w:cs="宋体"/>
                <w:bCs/>
                <w:kern w:val="0"/>
                <w:szCs w:val="21"/>
              </w:rPr>
              <w:t>2.在政府采购活动中，供应商提供的货物、工程或者服务符合下列情形的，享受本办法规定的中小企业扶持政策：</w:t>
            </w:r>
          </w:p>
          <w:p w14:paraId="2E8D3D84">
            <w:pPr>
              <w:spacing w:line="300" w:lineRule="auto"/>
              <w:jc w:val="left"/>
              <w:rPr>
                <w:rFonts w:ascii="宋体" w:hAnsi="宋体" w:cs="宋体"/>
                <w:bCs/>
                <w:kern w:val="0"/>
                <w:szCs w:val="21"/>
              </w:rPr>
            </w:pPr>
            <w:r>
              <w:rPr>
                <w:rFonts w:hint="eastAsia" w:ascii="宋体" w:hAnsi="宋体" w:cs="宋体"/>
                <w:bCs/>
                <w:kern w:val="0"/>
                <w:szCs w:val="21"/>
              </w:rPr>
              <w:t xml:space="preserve">（1）在货物采购项目中，货物由中小企业制造，即货物由中小企业生产且使用该中小企业商号或者注册商标； </w:t>
            </w:r>
          </w:p>
          <w:p w14:paraId="700375F9">
            <w:pPr>
              <w:spacing w:line="300" w:lineRule="auto"/>
              <w:jc w:val="left"/>
              <w:rPr>
                <w:rFonts w:ascii="宋体" w:hAnsi="宋体" w:cs="宋体"/>
                <w:bCs/>
                <w:kern w:val="0"/>
                <w:szCs w:val="21"/>
              </w:rPr>
            </w:pPr>
            <w:r>
              <w:rPr>
                <w:rFonts w:hint="eastAsia" w:ascii="宋体" w:hAnsi="宋体" w:cs="宋体"/>
                <w:bCs/>
                <w:kern w:val="0"/>
                <w:szCs w:val="21"/>
              </w:rPr>
              <w:t xml:space="preserve">（2）在工程采购项目中，工程由中小企业承建，即工程施工单位为中小企业； </w:t>
            </w:r>
          </w:p>
          <w:p w14:paraId="01609DFA">
            <w:pPr>
              <w:spacing w:line="300" w:lineRule="auto"/>
              <w:jc w:val="left"/>
              <w:rPr>
                <w:rFonts w:ascii="宋体" w:hAnsi="宋体" w:cs="宋体"/>
                <w:bCs/>
                <w:kern w:val="0"/>
                <w:szCs w:val="21"/>
              </w:rPr>
            </w:pPr>
            <w:r>
              <w:rPr>
                <w:rFonts w:hint="eastAsia" w:ascii="宋体" w:hAnsi="宋体" w:cs="宋体"/>
                <w:bCs/>
                <w:kern w:val="0"/>
                <w:szCs w:val="21"/>
              </w:rPr>
              <w:t xml:space="preserve">（3）在服务采购项目中，服务由中小企业承接，即提供服务的人员为中小企业依照《中华人民共和国劳动合同法》订立劳动合同的从业人员。 </w:t>
            </w:r>
          </w:p>
          <w:p w14:paraId="2FA03556">
            <w:pPr>
              <w:spacing w:line="300" w:lineRule="auto"/>
              <w:jc w:val="left"/>
              <w:rPr>
                <w:rFonts w:ascii="宋体" w:hAnsi="宋体" w:cs="宋体"/>
                <w:bCs/>
                <w:kern w:val="0"/>
                <w:szCs w:val="21"/>
              </w:rPr>
            </w:pPr>
            <w:r>
              <w:rPr>
                <w:rFonts w:hint="eastAsia" w:ascii="宋体" w:hAnsi="宋体" w:cs="宋体"/>
                <w:bCs/>
                <w:kern w:val="0"/>
                <w:szCs w:val="21"/>
              </w:rPr>
              <w:t>在货物采购项目中，供应商提供的货物既有中小企业制造货物，也有大型企业制造货物的，不享受本办法规定的中小企业扶持政策。</w:t>
            </w:r>
          </w:p>
          <w:p w14:paraId="22ABD474">
            <w:pPr>
              <w:spacing w:line="300" w:lineRule="auto"/>
              <w:jc w:val="left"/>
              <w:rPr>
                <w:rFonts w:ascii="宋体" w:hAnsi="宋体" w:cs="宋体"/>
                <w:bCs/>
                <w:kern w:val="0"/>
                <w:szCs w:val="21"/>
              </w:rPr>
            </w:pPr>
            <w:r>
              <w:rPr>
                <w:rFonts w:hint="eastAsia" w:ascii="宋体" w:hAnsi="宋体" w:cs="宋体"/>
                <w:bCs/>
                <w:kern w:val="0"/>
                <w:szCs w:val="21"/>
              </w:rPr>
              <w:t>3.在政府采购活动中，监狱企业、残疾人福利性单位视同小型、微型企业，享受本办法规定的中小企业扶持政策；监狱企业、残疾人福利性单位属于小型、微型企业的，不重复享受政策。</w:t>
            </w:r>
          </w:p>
          <w:p w14:paraId="02E6CA35">
            <w:pPr>
              <w:spacing w:line="300" w:lineRule="auto"/>
              <w:jc w:val="left"/>
              <w:rPr>
                <w:rFonts w:ascii="宋体" w:hAnsi="宋体" w:cs="宋体"/>
                <w:bCs/>
                <w:kern w:val="0"/>
                <w:szCs w:val="21"/>
              </w:rPr>
            </w:pPr>
            <w:r>
              <w:rPr>
                <w:rFonts w:hint="eastAsia" w:ascii="宋体" w:hAnsi="宋体" w:cs="宋体"/>
                <w:bCs/>
                <w:kern w:val="0"/>
                <w:szCs w:val="21"/>
              </w:rPr>
              <w:t>本项目中小企业扶持政策：</w:t>
            </w:r>
          </w:p>
          <w:p w14:paraId="62F64746">
            <w:pPr>
              <w:spacing w:line="300" w:lineRule="auto"/>
              <w:jc w:val="left"/>
              <w:rPr>
                <w:rFonts w:ascii="宋体" w:hAnsi="宋体" w:cs="宋体"/>
                <w:bCs/>
                <w:kern w:val="0"/>
                <w:szCs w:val="21"/>
              </w:rPr>
            </w:pPr>
            <w:r>
              <w:rPr>
                <w:rFonts w:hint="eastAsia" w:ascii="宋体" w:hAnsi="宋体" w:cs="宋体"/>
                <w:bCs/>
                <w:kern w:val="0"/>
                <w:szCs w:val="21"/>
              </w:rPr>
              <w:t>1.【预留份额政策】本项目专门面向中小企业采购，供应商应为中小企业（监狱企业、残疾人福利性单位视同小型、微型企业）：</w:t>
            </w:r>
          </w:p>
          <w:p w14:paraId="7BC7DC25">
            <w:pPr>
              <w:spacing w:line="300" w:lineRule="auto"/>
              <w:jc w:val="left"/>
              <w:rPr>
                <w:rFonts w:ascii="宋体" w:hAnsi="宋体" w:cs="宋体"/>
                <w:bCs/>
                <w:kern w:val="0"/>
                <w:szCs w:val="21"/>
              </w:rPr>
            </w:pPr>
            <w:r>
              <w:rPr>
                <w:rFonts w:hint="eastAsia" w:ascii="宋体" w:hAnsi="宋体" w:cs="宋体"/>
                <w:bCs/>
                <w:kern w:val="0"/>
                <w:szCs w:val="21"/>
              </w:rPr>
              <w:t>（1）中小企业须提供《中小企业声明函》，附在资格证明文件内，否则不享受预留份额政策；</w:t>
            </w:r>
          </w:p>
          <w:p w14:paraId="048C590F">
            <w:pPr>
              <w:spacing w:line="300" w:lineRule="auto"/>
              <w:jc w:val="left"/>
              <w:rPr>
                <w:rFonts w:ascii="宋体" w:hAnsi="宋体" w:cs="宋体"/>
                <w:bCs/>
                <w:kern w:val="0"/>
                <w:szCs w:val="21"/>
              </w:rPr>
            </w:pPr>
            <w:r>
              <w:rPr>
                <w:rFonts w:hint="eastAsia" w:ascii="宋体" w:hAnsi="宋体" w:cs="宋体"/>
                <w:bCs/>
                <w:kern w:val="0"/>
                <w:szCs w:val="21"/>
              </w:rPr>
              <w:t>（2）监狱企业须提供由省级以上监狱管理局、戒毒管理局（含新疆生产建设兵团）出具的属于监狱企业的证明文件，附在资格证明文件内，否则不享受预留份额政策；</w:t>
            </w:r>
          </w:p>
          <w:p w14:paraId="622AB02A">
            <w:pPr>
              <w:widowControl/>
              <w:shd w:val="clear" w:color="auto" w:fill="FDFAF5"/>
              <w:jc w:val="left"/>
              <w:rPr>
                <w:rFonts w:ascii="宋体" w:hAnsi="宋体"/>
              </w:rPr>
            </w:pPr>
            <w:r>
              <w:rPr>
                <w:rFonts w:hint="eastAsia" w:ascii="宋体" w:hAnsi="宋体" w:cs="宋体"/>
                <w:bCs/>
                <w:kern w:val="0"/>
                <w:szCs w:val="21"/>
              </w:rPr>
              <w:t>（3）残疾人福利性单位须提供《残疾人福利性单位声明函》，附在资格证明文件内，否则不享受预留份额政策。</w:t>
            </w:r>
          </w:p>
        </w:tc>
      </w:tr>
      <w:tr w14:paraId="127E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75" w:hRule="atLeast"/>
          <w:tblCellSpacing w:w="7" w:type="dxa"/>
          <w:jc w:val="center"/>
        </w:trPr>
        <w:tc>
          <w:tcPr>
            <w:tcW w:w="598" w:type="dxa"/>
            <w:shd w:val="clear" w:color="auto" w:fill="E0E0E0"/>
            <w:vAlign w:val="center"/>
          </w:tcPr>
          <w:p w14:paraId="4B3352C3">
            <w:pPr>
              <w:spacing w:line="360" w:lineRule="auto"/>
              <w:jc w:val="center"/>
              <w:rPr>
                <w:rFonts w:asciiTheme="minorEastAsia" w:hAnsiTheme="minorEastAsia" w:eastAsiaTheme="minorEastAsia"/>
                <w:b/>
                <w:szCs w:val="21"/>
              </w:rPr>
            </w:pPr>
            <w:r>
              <w:rPr>
                <w:rFonts w:hint="eastAsia" w:asciiTheme="minorEastAsia" w:hAnsiTheme="minorEastAsia" w:eastAsiaTheme="minorEastAsia"/>
                <w:b/>
                <w:szCs w:val="21"/>
              </w:rPr>
              <w:t>21</w:t>
            </w:r>
          </w:p>
        </w:tc>
        <w:tc>
          <w:tcPr>
            <w:tcW w:w="1511" w:type="dxa"/>
            <w:shd w:val="clear" w:color="auto" w:fill="E0E0E0"/>
            <w:vAlign w:val="center"/>
          </w:tcPr>
          <w:p w14:paraId="046177DB">
            <w:pPr>
              <w:jc w:val="center"/>
              <w:rPr>
                <w:rFonts w:asciiTheme="minorEastAsia" w:hAnsiTheme="minorEastAsia" w:eastAsiaTheme="minorEastAsia"/>
                <w:b/>
                <w:color w:val="000000" w:themeColor="text1"/>
                <w:szCs w:val="21"/>
                <w14:textFill>
                  <w14:solidFill>
                    <w14:schemeClr w14:val="tx1"/>
                  </w14:solidFill>
                </w14:textFill>
              </w:rPr>
            </w:pPr>
            <w:r>
              <w:rPr>
                <w:rFonts w:hint="eastAsia" w:cs="宋体" w:asciiTheme="minorEastAsia" w:hAnsiTheme="minorEastAsia" w:eastAsiaTheme="minorEastAsia"/>
                <w:b/>
                <w:color w:val="000000" w:themeColor="text1"/>
                <w:szCs w:val="21"/>
                <w14:textFill>
                  <w14:solidFill>
                    <w14:schemeClr w14:val="tx1"/>
                  </w14:solidFill>
                </w14:textFill>
              </w:rPr>
              <w:t>信贷政策</w:t>
            </w:r>
          </w:p>
        </w:tc>
        <w:tc>
          <w:tcPr>
            <w:tcW w:w="8241" w:type="dxa"/>
            <w:gridSpan w:val="3"/>
            <w:shd w:val="clear" w:color="auto" w:fill="FFFFFF"/>
            <w:vAlign w:val="center"/>
          </w:tcPr>
          <w:p w14:paraId="032955B2">
            <w:pPr>
              <w:pStyle w:val="87"/>
              <w:numPr>
                <w:ilvl w:val="0"/>
                <w:numId w:val="4"/>
              </w:numPr>
              <w:ind w:firstLineChars="0"/>
              <w:jc w:val="left"/>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28"/>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3126"/>
              <w:gridCol w:w="1032"/>
              <w:gridCol w:w="3342"/>
            </w:tblGrid>
            <w:tr w14:paraId="43C1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897" w:type="dxa"/>
                  <w:gridSpan w:val="4"/>
                  <w:shd w:val="clear" w:color="auto" w:fill="auto"/>
                </w:tcPr>
                <w:p w14:paraId="36378304">
                  <w:pPr>
                    <w:jc w:val="cente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舟山市政府采购信用融资合作银行</w:t>
                  </w:r>
                </w:p>
              </w:tc>
            </w:tr>
            <w:tr w14:paraId="57B7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397" w:type="dxa"/>
                  <w:shd w:val="clear" w:color="auto" w:fill="auto"/>
                  <w:vAlign w:val="center"/>
                </w:tcPr>
                <w:p w14:paraId="30B1FEA8">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银行名称</w:t>
                  </w:r>
                </w:p>
              </w:tc>
              <w:tc>
                <w:tcPr>
                  <w:tcW w:w="3126" w:type="dxa"/>
                  <w:shd w:val="clear" w:color="auto" w:fill="auto"/>
                  <w:vAlign w:val="center"/>
                </w:tcPr>
                <w:p w14:paraId="1A73B43F">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产品特点</w:t>
                  </w:r>
                </w:p>
              </w:tc>
              <w:tc>
                <w:tcPr>
                  <w:tcW w:w="1032" w:type="dxa"/>
                  <w:shd w:val="clear" w:color="auto" w:fill="auto"/>
                  <w:vAlign w:val="center"/>
                </w:tcPr>
                <w:p w14:paraId="7DC7117D">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经办人</w:t>
                  </w:r>
                </w:p>
              </w:tc>
              <w:tc>
                <w:tcPr>
                  <w:tcW w:w="3342" w:type="dxa"/>
                  <w:shd w:val="clear" w:color="auto" w:fill="auto"/>
                  <w:vAlign w:val="center"/>
                </w:tcPr>
                <w:p w14:paraId="23C99601">
                  <w:pPr>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联系方式</w:t>
                  </w:r>
                </w:p>
              </w:tc>
            </w:tr>
            <w:tr w14:paraId="46C3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shd w:val="clear" w:color="auto" w:fill="auto"/>
                  <w:vAlign w:val="center"/>
                </w:tcPr>
                <w:p w14:paraId="5F10E968">
                  <w:pPr>
                    <w:jc w:val="center"/>
                    <w:rPr>
                      <w:rFonts w:ascii="宋体" w:hAnsi="宋体"/>
                      <w:bCs/>
                      <w:szCs w:val="21"/>
                    </w:rPr>
                  </w:pPr>
                  <w:r>
                    <w:rPr>
                      <w:rFonts w:hint="eastAsia" w:ascii="宋体" w:hAnsi="宋体"/>
                      <w:bCs/>
                      <w:szCs w:val="21"/>
                    </w:rPr>
                    <w:t>中国工商银行股份有限公司舟山分行</w:t>
                  </w:r>
                </w:p>
              </w:tc>
              <w:tc>
                <w:tcPr>
                  <w:tcW w:w="3126" w:type="dxa"/>
                  <w:shd w:val="clear" w:color="auto" w:fill="auto"/>
                </w:tcPr>
                <w:p w14:paraId="0103E73E">
                  <w:pPr>
                    <w:jc w:val="center"/>
                    <w:rPr>
                      <w:rFonts w:ascii="宋体" w:hAnsi="宋体"/>
                      <w:bCs/>
                      <w:szCs w:val="21"/>
                    </w:rPr>
                  </w:pPr>
                  <w:r>
                    <w:rPr>
                      <w:rFonts w:hint="eastAsia" w:ascii="宋体" w:hAnsi="宋体"/>
                      <w:bCs/>
                      <w:szCs w:val="21"/>
                    </w:rPr>
                    <w:t>融资额度高，融资金额最高可至订单金额70%，线上申请，随借随还。2.融资利率低，最低可至当期LPR利率。</w:t>
                  </w:r>
                </w:p>
                <w:p w14:paraId="5E5ABFFD">
                  <w:pPr>
                    <w:jc w:val="center"/>
                    <w:rPr>
                      <w:rFonts w:ascii="宋体" w:hAnsi="宋体"/>
                      <w:bCs/>
                      <w:szCs w:val="21"/>
                    </w:rPr>
                  </w:pPr>
                  <w:r>
                    <w:rPr>
                      <w:rFonts w:hint="eastAsia" w:ascii="宋体" w:hAnsi="宋体"/>
                      <w:bCs/>
                      <w:szCs w:val="21"/>
                    </w:rPr>
                    <w:t>3.担保方式灵活，以政府采购合同进行融资，无需另外抵押。</w:t>
                  </w:r>
                </w:p>
              </w:tc>
              <w:tc>
                <w:tcPr>
                  <w:tcW w:w="1032" w:type="dxa"/>
                  <w:shd w:val="clear" w:color="auto" w:fill="auto"/>
                  <w:vAlign w:val="center"/>
                </w:tcPr>
                <w:p w14:paraId="4E1304BB">
                  <w:pPr>
                    <w:jc w:val="center"/>
                    <w:rPr>
                      <w:rFonts w:ascii="宋体" w:hAnsi="宋体"/>
                      <w:bCs/>
                      <w:szCs w:val="21"/>
                    </w:rPr>
                  </w:pPr>
                  <w:r>
                    <w:rPr>
                      <w:rFonts w:hint="eastAsia" w:ascii="宋体" w:hAnsi="宋体"/>
                      <w:bCs/>
                      <w:szCs w:val="21"/>
                    </w:rPr>
                    <w:t>柳超颖</w:t>
                  </w:r>
                </w:p>
              </w:tc>
              <w:tc>
                <w:tcPr>
                  <w:tcW w:w="3342" w:type="dxa"/>
                  <w:shd w:val="clear" w:color="auto" w:fill="auto"/>
                  <w:vAlign w:val="center"/>
                </w:tcPr>
                <w:p w14:paraId="03146B29">
                  <w:pPr>
                    <w:rPr>
                      <w:rFonts w:ascii="宋体" w:hAnsi="宋体"/>
                      <w:bCs/>
                      <w:szCs w:val="21"/>
                    </w:rPr>
                  </w:pPr>
                  <w:r>
                    <w:rPr>
                      <w:rFonts w:hint="eastAsia" w:ascii="宋体" w:hAnsi="宋体"/>
                      <w:bCs/>
                      <w:szCs w:val="21"/>
                    </w:rPr>
                    <w:t xml:space="preserve">0580-2166242, </w:t>
                  </w:r>
                </w:p>
                <w:p w14:paraId="07A8AA0C">
                  <w:pPr>
                    <w:rPr>
                      <w:rFonts w:ascii="宋体" w:hAnsi="宋体"/>
                      <w:bCs/>
                      <w:szCs w:val="21"/>
                    </w:rPr>
                  </w:pPr>
                  <w:r>
                    <w:rPr>
                      <w:rFonts w:hint="eastAsia" w:ascii="宋体" w:hAnsi="宋体"/>
                      <w:bCs/>
                      <w:szCs w:val="21"/>
                    </w:rPr>
                    <w:t>15858076468</w:t>
                  </w:r>
                </w:p>
              </w:tc>
            </w:tr>
            <w:tr w14:paraId="46CA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97" w:type="dxa"/>
                  <w:shd w:val="clear" w:color="auto" w:fill="auto"/>
                  <w:vAlign w:val="center"/>
                </w:tcPr>
                <w:p w14:paraId="78E1E050">
                  <w:pPr>
                    <w:jc w:val="center"/>
                    <w:rPr>
                      <w:rFonts w:ascii="宋体" w:hAnsi="宋体"/>
                      <w:bCs/>
                      <w:szCs w:val="21"/>
                    </w:rPr>
                  </w:pPr>
                  <w:r>
                    <w:rPr>
                      <w:rFonts w:hint="eastAsia" w:ascii="宋体" w:hAnsi="宋体"/>
                      <w:bCs/>
                      <w:szCs w:val="21"/>
                    </w:rPr>
                    <w:t>中国建设银行股份有限公司舟山分行</w:t>
                  </w:r>
                </w:p>
              </w:tc>
              <w:tc>
                <w:tcPr>
                  <w:tcW w:w="3126" w:type="dxa"/>
                  <w:shd w:val="clear" w:color="auto" w:fill="auto"/>
                </w:tcPr>
                <w:p w14:paraId="28DB0E08">
                  <w:pPr>
                    <w:jc w:val="center"/>
                    <w:rPr>
                      <w:rFonts w:ascii="宋体" w:hAnsi="宋体"/>
                      <w:bCs/>
                      <w:szCs w:val="21"/>
                    </w:rPr>
                  </w:pPr>
                  <w:r>
                    <w:rPr>
                      <w:rFonts w:hint="eastAsia" w:ascii="宋体" w:hAnsi="宋体"/>
                      <w:bCs/>
                      <w:szCs w:val="21"/>
                    </w:rPr>
                    <w:t>快速便捷：全流程线上操作，通过浙江省政府采购网数据审核信用额度，建行供应链平台快速放款。</w:t>
                  </w:r>
                </w:p>
                <w:p w14:paraId="3883DC60">
                  <w:pPr>
                    <w:jc w:val="center"/>
                    <w:rPr>
                      <w:rFonts w:ascii="宋体" w:hAnsi="宋体"/>
                      <w:bCs/>
                      <w:szCs w:val="21"/>
                    </w:rPr>
                  </w:pPr>
                  <w:r>
                    <w:rPr>
                      <w:rFonts w:hint="eastAsia" w:ascii="宋体" w:hAnsi="宋体"/>
                      <w:bCs/>
                      <w:szCs w:val="21"/>
                    </w:rPr>
                    <w:t>申请额度高：单笔融资额度最高可达政府采购合同金额的90%，单户额度最高可达3000万。</w:t>
                  </w:r>
                </w:p>
                <w:p w14:paraId="1C9F91AE">
                  <w:pPr>
                    <w:jc w:val="center"/>
                    <w:rPr>
                      <w:rFonts w:ascii="宋体" w:hAnsi="宋体"/>
                      <w:bCs/>
                      <w:szCs w:val="21"/>
                    </w:rPr>
                  </w:pPr>
                  <w:r>
                    <w:rPr>
                      <w:rFonts w:hint="eastAsia" w:ascii="宋体" w:hAnsi="宋体"/>
                      <w:bCs/>
                      <w:szCs w:val="21"/>
                    </w:rPr>
                    <w:t>无需额外抵押：以浙江省政府采购网备案公示的政府采购合同进行融资，无需额外抵押担保。</w:t>
                  </w:r>
                </w:p>
                <w:p w14:paraId="383F3495">
                  <w:pPr>
                    <w:jc w:val="center"/>
                    <w:rPr>
                      <w:rFonts w:ascii="宋体" w:hAnsi="宋体"/>
                      <w:bCs/>
                      <w:szCs w:val="21"/>
                    </w:rPr>
                  </w:pPr>
                  <w:r>
                    <w:rPr>
                      <w:rFonts w:hint="eastAsia" w:ascii="宋体" w:hAnsi="宋体"/>
                      <w:bCs/>
                      <w:szCs w:val="21"/>
                    </w:rPr>
                    <w:t>利率优惠：给予流动资金贷款最优惠利率。</w:t>
                  </w:r>
                </w:p>
              </w:tc>
              <w:tc>
                <w:tcPr>
                  <w:tcW w:w="1032" w:type="dxa"/>
                  <w:shd w:val="clear" w:color="auto" w:fill="auto"/>
                  <w:vAlign w:val="center"/>
                </w:tcPr>
                <w:p w14:paraId="3A5D2344">
                  <w:pPr>
                    <w:jc w:val="center"/>
                    <w:rPr>
                      <w:rFonts w:ascii="宋体" w:hAnsi="宋体"/>
                      <w:bCs/>
                      <w:szCs w:val="21"/>
                    </w:rPr>
                  </w:pPr>
                  <w:r>
                    <w:rPr>
                      <w:rFonts w:hint="eastAsia" w:ascii="宋体" w:hAnsi="宋体"/>
                      <w:bCs/>
                      <w:szCs w:val="21"/>
                    </w:rPr>
                    <w:t>普陀片区：蔡妮妮</w:t>
                  </w:r>
                </w:p>
                <w:p w14:paraId="30E9385D">
                  <w:pPr>
                    <w:jc w:val="center"/>
                    <w:rPr>
                      <w:rFonts w:ascii="宋体" w:hAnsi="宋体"/>
                      <w:bCs/>
                      <w:szCs w:val="21"/>
                    </w:rPr>
                  </w:pPr>
                  <w:r>
                    <w:rPr>
                      <w:rFonts w:hint="eastAsia" w:ascii="宋体" w:hAnsi="宋体"/>
                      <w:bCs/>
                      <w:szCs w:val="21"/>
                    </w:rPr>
                    <w:t>定海片区：杨莹</w:t>
                  </w:r>
                </w:p>
                <w:p w14:paraId="54DABC83">
                  <w:pPr>
                    <w:jc w:val="center"/>
                    <w:rPr>
                      <w:rFonts w:ascii="宋体" w:hAnsi="宋体"/>
                      <w:bCs/>
                      <w:szCs w:val="21"/>
                    </w:rPr>
                  </w:pPr>
                  <w:r>
                    <w:rPr>
                      <w:rFonts w:hint="eastAsia" w:ascii="宋体" w:hAnsi="宋体"/>
                      <w:bCs/>
                      <w:szCs w:val="21"/>
                    </w:rPr>
                    <w:t>自贸区片区：方晓</w:t>
                  </w:r>
                </w:p>
              </w:tc>
              <w:tc>
                <w:tcPr>
                  <w:tcW w:w="3342" w:type="dxa"/>
                  <w:shd w:val="clear" w:color="auto" w:fill="auto"/>
                  <w:vAlign w:val="center"/>
                </w:tcPr>
                <w:p w14:paraId="01F993F9">
                  <w:pPr>
                    <w:rPr>
                      <w:rFonts w:ascii="宋体" w:hAnsi="宋体"/>
                      <w:bCs/>
                      <w:szCs w:val="21"/>
                    </w:rPr>
                  </w:pPr>
                  <w:r>
                    <w:rPr>
                      <w:rFonts w:hint="eastAsia" w:ascii="宋体" w:hAnsi="宋体"/>
                      <w:bCs/>
                      <w:szCs w:val="21"/>
                    </w:rPr>
                    <w:t>普陀片区：13957201791</w:t>
                  </w:r>
                </w:p>
                <w:p w14:paraId="5A896151">
                  <w:pPr>
                    <w:rPr>
                      <w:rFonts w:ascii="宋体" w:hAnsi="宋体"/>
                      <w:bCs/>
                      <w:szCs w:val="21"/>
                    </w:rPr>
                  </w:pPr>
                  <w:r>
                    <w:rPr>
                      <w:rFonts w:hint="eastAsia" w:ascii="宋体" w:hAnsi="宋体"/>
                      <w:bCs/>
                      <w:szCs w:val="21"/>
                    </w:rPr>
                    <w:t>定海片区：13655803997</w:t>
                  </w:r>
                </w:p>
                <w:p w14:paraId="23BFC629">
                  <w:pPr>
                    <w:rPr>
                      <w:rFonts w:ascii="宋体" w:hAnsi="宋体"/>
                      <w:bCs/>
                      <w:szCs w:val="21"/>
                    </w:rPr>
                  </w:pPr>
                  <w:r>
                    <w:rPr>
                      <w:rFonts w:hint="eastAsia" w:ascii="宋体" w:hAnsi="宋体"/>
                      <w:bCs/>
                      <w:szCs w:val="21"/>
                    </w:rPr>
                    <w:t>自贸区片区：13587086324</w:t>
                  </w:r>
                </w:p>
              </w:tc>
            </w:tr>
            <w:tr w14:paraId="6A14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shd w:val="clear" w:color="auto" w:fill="auto"/>
                  <w:vAlign w:val="center"/>
                </w:tcPr>
                <w:p w14:paraId="33A737FB">
                  <w:pPr>
                    <w:jc w:val="center"/>
                    <w:rPr>
                      <w:rFonts w:ascii="宋体" w:hAnsi="宋体"/>
                      <w:bCs/>
                      <w:szCs w:val="21"/>
                    </w:rPr>
                  </w:pPr>
                  <w:r>
                    <w:rPr>
                      <w:rFonts w:hint="eastAsia" w:ascii="宋体" w:hAnsi="宋体"/>
                      <w:bCs/>
                      <w:szCs w:val="21"/>
                    </w:rPr>
                    <w:t>杭州银行股份有限公司舟山市分行</w:t>
                  </w:r>
                </w:p>
              </w:tc>
              <w:tc>
                <w:tcPr>
                  <w:tcW w:w="3126" w:type="dxa"/>
                  <w:shd w:val="clear" w:color="auto" w:fill="auto"/>
                </w:tcPr>
                <w:p w14:paraId="397A3182">
                  <w:pPr>
                    <w:jc w:val="center"/>
                    <w:rPr>
                      <w:rFonts w:ascii="宋体" w:hAnsi="宋体"/>
                      <w:bCs/>
                      <w:szCs w:val="21"/>
                    </w:rPr>
                  </w:pPr>
                  <w:r>
                    <w:rPr>
                      <w:rFonts w:hint="eastAsia" w:ascii="宋体" w:hAnsi="宋体"/>
                      <w:bCs/>
                      <w:szCs w:val="21"/>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1032" w:type="dxa"/>
                  <w:shd w:val="clear" w:color="auto" w:fill="auto"/>
                  <w:vAlign w:val="center"/>
                </w:tcPr>
                <w:p w14:paraId="5624D802">
                  <w:pPr>
                    <w:jc w:val="center"/>
                    <w:rPr>
                      <w:rFonts w:ascii="宋体" w:hAnsi="宋体"/>
                      <w:bCs/>
                      <w:szCs w:val="21"/>
                    </w:rPr>
                  </w:pPr>
                  <w:r>
                    <w:rPr>
                      <w:rFonts w:hint="eastAsia" w:ascii="宋体" w:hAnsi="宋体"/>
                      <w:bCs/>
                      <w:szCs w:val="21"/>
                    </w:rPr>
                    <w:t>方经理</w:t>
                  </w:r>
                </w:p>
              </w:tc>
              <w:tc>
                <w:tcPr>
                  <w:tcW w:w="3342" w:type="dxa"/>
                  <w:shd w:val="clear" w:color="auto" w:fill="auto"/>
                  <w:vAlign w:val="center"/>
                </w:tcPr>
                <w:p w14:paraId="6C7A27DD">
                  <w:pPr>
                    <w:rPr>
                      <w:rFonts w:ascii="宋体" w:hAnsi="宋体"/>
                      <w:bCs/>
                      <w:szCs w:val="21"/>
                    </w:rPr>
                  </w:pPr>
                  <w:r>
                    <w:rPr>
                      <w:rFonts w:hint="eastAsia" w:ascii="宋体" w:hAnsi="宋体"/>
                      <w:bCs/>
                      <w:szCs w:val="21"/>
                    </w:rPr>
                    <w:t>0580-2185201，</w:t>
                  </w:r>
                </w:p>
                <w:p w14:paraId="7C75F175">
                  <w:pPr>
                    <w:rPr>
                      <w:rFonts w:ascii="宋体" w:hAnsi="宋体"/>
                      <w:bCs/>
                      <w:szCs w:val="21"/>
                    </w:rPr>
                  </w:pPr>
                  <w:r>
                    <w:rPr>
                      <w:rFonts w:hint="eastAsia" w:ascii="宋体" w:hAnsi="宋体"/>
                      <w:bCs/>
                      <w:szCs w:val="21"/>
                    </w:rPr>
                    <w:t>18205800451</w:t>
                  </w:r>
                </w:p>
              </w:tc>
            </w:tr>
            <w:tr w14:paraId="4CD9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shd w:val="clear" w:color="auto" w:fill="auto"/>
                  <w:vAlign w:val="center"/>
                </w:tcPr>
                <w:p w14:paraId="33F480FF">
                  <w:pPr>
                    <w:jc w:val="center"/>
                    <w:rPr>
                      <w:rFonts w:ascii="宋体" w:hAnsi="宋体"/>
                      <w:bCs/>
                      <w:szCs w:val="21"/>
                    </w:rPr>
                  </w:pPr>
                  <w:r>
                    <w:rPr>
                      <w:rFonts w:hint="eastAsia" w:ascii="宋体" w:hAnsi="宋体"/>
                      <w:bCs/>
                      <w:szCs w:val="21"/>
                    </w:rPr>
                    <w:t>招商银行股份有限公司浙江自贸试验区舟山分行</w:t>
                  </w:r>
                </w:p>
              </w:tc>
              <w:tc>
                <w:tcPr>
                  <w:tcW w:w="3126" w:type="dxa"/>
                  <w:shd w:val="clear" w:color="auto" w:fill="auto"/>
                </w:tcPr>
                <w:p w14:paraId="5702CC7B">
                  <w:pPr>
                    <w:jc w:val="center"/>
                    <w:rPr>
                      <w:rFonts w:ascii="宋体" w:hAnsi="宋体"/>
                      <w:bCs/>
                      <w:szCs w:val="21"/>
                    </w:rPr>
                  </w:pPr>
                  <w:r>
                    <w:rPr>
                      <w:rFonts w:hint="eastAsia" w:ascii="宋体" w:hAnsi="宋体"/>
                      <w:bCs/>
                      <w:szCs w:val="21"/>
                    </w:rPr>
                    <w:t>小企业政采贷是招商银行为政府采购成交供应商提供的用于履行政府采购合同的专属融资产品。优势：一、额度高。根据企业上一年或近一年获得政府采购成交及成交通知的一定比例给予额度，最高可达3000万元，单笔提款金额最高至合同金额的90%。二、操作简便、模式丰富。客户通过我行一网通等渠道在线申请。支持线上用款，按日计息，随借随还，利率最低至当期LPR。三、担保方式灵活。实际控制人夫妇担保＋融资项下应收账款质押作为辅助，无需抵押，一次性签署合作协议。</w:t>
                  </w:r>
                </w:p>
              </w:tc>
              <w:tc>
                <w:tcPr>
                  <w:tcW w:w="1032" w:type="dxa"/>
                  <w:shd w:val="clear" w:color="auto" w:fill="auto"/>
                  <w:vAlign w:val="center"/>
                </w:tcPr>
                <w:p w14:paraId="44051C6E">
                  <w:pPr>
                    <w:jc w:val="center"/>
                    <w:rPr>
                      <w:rFonts w:ascii="宋体" w:hAnsi="宋体"/>
                      <w:bCs/>
                      <w:szCs w:val="21"/>
                    </w:rPr>
                  </w:pPr>
                  <w:r>
                    <w:rPr>
                      <w:rFonts w:hint="eastAsia" w:ascii="宋体" w:hAnsi="宋体"/>
                      <w:bCs/>
                      <w:szCs w:val="21"/>
                    </w:rPr>
                    <w:t>李玲</w:t>
                  </w:r>
                </w:p>
              </w:tc>
              <w:tc>
                <w:tcPr>
                  <w:tcW w:w="3342" w:type="dxa"/>
                  <w:shd w:val="clear" w:color="auto" w:fill="auto"/>
                  <w:vAlign w:val="center"/>
                </w:tcPr>
                <w:p w14:paraId="48A475D6">
                  <w:pPr>
                    <w:rPr>
                      <w:rFonts w:ascii="宋体" w:hAnsi="宋体"/>
                      <w:bCs/>
                      <w:szCs w:val="21"/>
                    </w:rPr>
                  </w:pPr>
                  <w:r>
                    <w:rPr>
                      <w:rFonts w:hint="eastAsia" w:ascii="宋体" w:hAnsi="宋体"/>
                      <w:bCs/>
                      <w:szCs w:val="21"/>
                    </w:rPr>
                    <w:t>0580-2061710，</w:t>
                  </w:r>
                </w:p>
                <w:p w14:paraId="1DC00F10">
                  <w:pPr>
                    <w:rPr>
                      <w:rFonts w:ascii="宋体" w:hAnsi="宋体"/>
                      <w:bCs/>
                      <w:szCs w:val="21"/>
                    </w:rPr>
                  </w:pPr>
                  <w:r>
                    <w:rPr>
                      <w:rFonts w:hint="eastAsia" w:ascii="宋体" w:hAnsi="宋体"/>
                      <w:bCs/>
                      <w:szCs w:val="21"/>
                    </w:rPr>
                    <w:t>13957227971</w:t>
                  </w:r>
                </w:p>
              </w:tc>
            </w:tr>
            <w:tr w14:paraId="5761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397" w:type="dxa"/>
                  <w:shd w:val="clear" w:color="auto" w:fill="auto"/>
                  <w:vAlign w:val="center"/>
                </w:tcPr>
                <w:p w14:paraId="3BEA5CCC">
                  <w:pPr>
                    <w:jc w:val="center"/>
                    <w:rPr>
                      <w:rFonts w:ascii="宋体" w:hAnsi="宋体"/>
                      <w:bCs/>
                      <w:szCs w:val="21"/>
                    </w:rPr>
                  </w:pPr>
                  <w:r>
                    <w:rPr>
                      <w:rFonts w:hint="eastAsia" w:ascii="宋体" w:hAnsi="宋体"/>
                      <w:bCs/>
                      <w:szCs w:val="21"/>
                    </w:rPr>
                    <w:t>温州银行股份有限公司舟山市分行</w:t>
                  </w:r>
                </w:p>
              </w:tc>
              <w:tc>
                <w:tcPr>
                  <w:tcW w:w="3126" w:type="dxa"/>
                  <w:shd w:val="clear" w:color="auto" w:fill="auto"/>
                </w:tcPr>
                <w:p w14:paraId="7201D709">
                  <w:pPr>
                    <w:jc w:val="center"/>
                    <w:rPr>
                      <w:rFonts w:ascii="宋体" w:hAnsi="宋体"/>
                      <w:bCs/>
                      <w:szCs w:val="21"/>
                    </w:rPr>
                  </w:pPr>
                  <w:r>
                    <w:rPr>
                      <w:rFonts w:hint="eastAsia" w:ascii="宋体" w:hAnsi="宋体"/>
                      <w:bCs/>
                      <w:szCs w:val="21"/>
                    </w:rPr>
                    <w:t>单户授信敞口最高不超过1000万元，且最高额度核定一般不超过借款人（含实际控制人控制的其他经营实体）最近13个月合计有效中标合同金额的70%。</w:t>
                  </w:r>
                </w:p>
                <w:p w14:paraId="59CC3733">
                  <w:pPr>
                    <w:jc w:val="center"/>
                    <w:rPr>
                      <w:rFonts w:ascii="宋体" w:hAnsi="宋体"/>
                      <w:bCs/>
                      <w:szCs w:val="21"/>
                    </w:rPr>
                  </w:pPr>
                  <w:r>
                    <w:rPr>
                      <w:rFonts w:hint="eastAsia" w:ascii="宋体" w:hAnsi="宋体"/>
                      <w:bCs/>
                      <w:szCs w:val="21"/>
                    </w:rPr>
                    <w:t>单笔借款额度最高不超过1000万元，单笔业务授信额度不超过“政采云平台”提供的中标通知书承载的中标金额或本次申请授信提供的采购合同金额的80%，且用信金额不超过采购合同未付金额的80%。</w:t>
                  </w:r>
                </w:p>
                <w:p w14:paraId="5D6E8DD5">
                  <w:pPr>
                    <w:jc w:val="center"/>
                    <w:rPr>
                      <w:rFonts w:ascii="宋体" w:hAnsi="宋体"/>
                      <w:bCs/>
                      <w:szCs w:val="21"/>
                    </w:rPr>
                  </w:pPr>
                  <w:r>
                    <w:rPr>
                      <w:rFonts w:hint="eastAsia" w:ascii="宋体" w:hAnsi="宋体"/>
                      <w:bCs/>
                      <w:szCs w:val="21"/>
                    </w:rPr>
                    <w:t>借款人中标采购人自行采购项目并向我行发起授信申请的，单笔业务授信敞口不超500万元，且不超过借款人中标通知书承载的中标金额或本次申请授信提供的采购合同的80%。</w:t>
                  </w:r>
                </w:p>
                <w:p w14:paraId="08B98AB3">
                  <w:pPr>
                    <w:jc w:val="center"/>
                    <w:rPr>
                      <w:rFonts w:ascii="宋体" w:hAnsi="宋体"/>
                      <w:bCs/>
                      <w:szCs w:val="21"/>
                    </w:rPr>
                  </w:pPr>
                  <w:r>
                    <w:rPr>
                      <w:rFonts w:hint="eastAsia" w:ascii="宋体" w:hAnsi="宋体"/>
                      <w:bCs/>
                      <w:szCs w:val="21"/>
                    </w:rPr>
                    <w:t>符合我行采购人资质的，且负债率不超75%，配合应收账款质押登记确认的，并可出具确认函，单笔借款额度可按不超过采购合同的90%办理。</w:t>
                  </w:r>
                </w:p>
              </w:tc>
              <w:tc>
                <w:tcPr>
                  <w:tcW w:w="1032" w:type="dxa"/>
                  <w:shd w:val="clear" w:color="auto" w:fill="auto"/>
                  <w:vAlign w:val="center"/>
                </w:tcPr>
                <w:p w14:paraId="1099F2B6">
                  <w:pPr>
                    <w:jc w:val="center"/>
                    <w:rPr>
                      <w:rFonts w:ascii="宋体" w:hAnsi="宋体"/>
                      <w:bCs/>
                      <w:szCs w:val="21"/>
                    </w:rPr>
                  </w:pPr>
                  <w:r>
                    <w:rPr>
                      <w:rFonts w:hint="eastAsia" w:ascii="宋体" w:hAnsi="宋体"/>
                      <w:bCs/>
                      <w:szCs w:val="21"/>
                    </w:rPr>
                    <w:t>郑贤栋</w:t>
                  </w:r>
                </w:p>
              </w:tc>
              <w:tc>
                <w:tcPr>
                  <w:tcW w:w="3342" w:type="dxa"/>
                  <w:shd w:val="clear" w:color="auto" w:fill="auto"/>
                  <w:vAlign w:val="center"/>
                </w:tcPr>
                <w:p w14:paraId="25236F43">
                  <w:pPr>
                    <w:rPr>
                      <w:rFonts w:ascii="宋体" w:hAnsi="宋体"/>
                      <w:bCs/>
                      <w:szCs w:val="21"/>
                    </w:rPr>
                  </w:pPr>
                  <w:r>
                    <w:rPr>
                      <w:rFonts w:hint="eastAsia" w:ascii="宋体" w:hAnsi="宋体"/>
                      <w:bCs/>
                      <w:szCs w:val="21"/>
                    </w:rPr>
                    <w:t>058—8866086</w:t>
                  </w:r>
                </w:p>
              </w:tc>
            </w:tr>
            <w:tr w14:paraId="250A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dxa"/>
                  <w:shd w:val="clear" w:color="auto" w:fill="auto"/>
                  <w:vAlign w:val="center"/>
                </w:tcPr>
                <w:p w14:paraId="15DEEFAF">
                  <w:pPr>
                    <w:jc w:val="center"/>
                    <w:rPr>
                      <w:rFonts w:ascii="宋体" w:hAnsi="宋体"/>
                      <w:bCs/>
                      <w:szCs w:val="21"/>
                    </w:rPr>
                  </w:pPr>
                  <w:r>
                    <w:rPr>
                      <w:rFonts w:hint="eastAsia" w:ascii="宋体" w:hAnsi="宋体"/>
                      <w:bCs/>
                      <w:szCs w:val="21"/>
                    </w:rPr>
                    <w:t>交通银行股份有限公司舟山分行</w:t>
                  </w:r>
                </w:p>
              </w:tc>
              <w:tc>
                <w:tcPr>
                  <w:tcW w:w="3126" w:type="dxa"/>
                  <w:shd w:val="clear" w:color="auto" w:fill="auto"/>
                </w:tcPr>
                <w:p w14:paraId="509A403A">
                  <w:pPr>
                    <w:jc w:val="center"/>
                    <w:rPr>
                      <w:rFonts w:ascii="宋体" w:hAnsi="宋体"/>
                      <w:bCs/>
                      <w:szCs w:val="21"/>
                    </w:rPr>
                  </w:pPr>
                  <w:r>
                    <w:rPr>
                      <w:rFonts w:hint="eastAsia" w:ascii="宋体" w:hAnsi="宋体"/>
                      <w:bCs/>
                      <w:szCs w:val="21"/>
                    </w:rPr>
                    <w:t>交通银行政采贷，线上版本最长期限1年，融资金额一般不超过1000万；线下版本期限最长两年，额度最高2,000万，单笔提款金额最高至采购合同金额的70%。担保方式为信用（附加该笔业务项下未来应收账款质押、实际控制人及配偶个人保证），随借随还，利率最低至当期LPR</w:t>
                  </w:r>
                  <w:r>
                    <w:rPr>
                      <w:rFonts w:ascii="宋体" w:hAnsi="宋体"/>
                      <w:bCs/>
                      <w:szCs w:val="21"/>
                    </w:rPr>
                    <w:t>。</w:t>
                  </w:r>
                </w:p>
              </w:tc>
              <w:tc>
                <w:tcPr>
                  <w:tcW w:w="1032" w:type="dxa"/>
                  <w:shd w:val="clear" w:color="auto" w:fill="auto"/>
                  <w:vAlign w:val="center"/>
                </w:tcPr>
                <w:p w14:paraId="3A76FB73">
                  <w:pPr>
                    <w:jc w:val="center"/>
                    <w:rPr>
                      <w:rFonts w:ascii="宋体" w:hAnsi="宋体"/>
                      <w:bCs/>
                      <w:szCs w:val="21"/>
                    </w:rPr>
                  </w:pPr>
                  <w:r>
                    <w:rPr>
                      <w:rFonts w:hint="eastAsia" w:ascii="宋体" w:hAnsi="宋体"/>
                      <w:bCs/>
                      <w:szCs w:val="21"/>
                    </w:rPr>
                    <w:t>赵争艳</w:t>
                  </w:r>
                </w:p>
              </w:tc>
              <w:tc>
                <w:tcPr>
                  <w:tcW w:w="3342" w:type="dxa"/>
                  <w:shd w:val="clear" w:color="auto" w:fill="auto"/>
                  <w:vAlign w:val="center"/>
                </w:tcPr>
                <w:p w14:paraId="392A8685">
                  <w:pPr>
                    <w:rPr>
                      <w:rFonts w:ascii="宋体" w:hAnsi="宋体"/>
                      <w:bCs/>
                      <w:szCs w:val="21"/>
                    </w:rPr>
                  </w:pPr>
                  <w:r>
                    <w:rPr>
                      <w:rFonts w:hint="eastAsia" w:ascii="宋体" w:hAnsi="宋体"/>
                      <w:bCs/>
                      <w:szCs w:val="21"/>
                    </w:rPr>
                    <w:t>0580-2260728</w:t>
                  </w:r>
                </w:p>
                <w:p w14:paraId="1248E507">
                  <w:pPr>
                    <w:rPr>
                      <w:rFonts w:ascii="宋体" w:hAnsi="宋体"/>
                      <w:bCs/>
                      <w:szCs w:val="21"/>
                    </w:rPr>
                  </w:pPr>
                  <w:r>
                    <w:rPr>
                      <w:rFonts w:hint="eastAsia" w:ascii="宋体" w:hAnsi="宋体"/>
                      <w:bCs/>
                      <w:szCs w:val="21"/>
                    </w:rPr>
                    <w:t>13758007280</w:t>
                  </w:r>
                </w:p>
              </w:tc>
            </w:tr>
            <w:tr w14:paraId="26A1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97" w:type="dxa"/>
                  <w:shd w:val="clear" w:color="auto" w:fill="auto"/>
                  <w:vAlign w:val="center"/>
                </w:tcPr>
                <w:p w14:paraId="705E8922">
                  <w:pPr>
                    <w:jc w:val="center"/>
                    <w:rPr>
                      <w:rFonts w:ascii="宋体" w:hAnsi="宋体"/>
                      <w:bCs/>
                      <w:szCs w:val="21"/>
                    </w:rPr>
                  </w:pPr>
                  <w:r>
                    <w:rPr>
                      <w:rFonts w:hint="eastAsia" w:ascii="宋体" w:hAnsi="宋体"/>
                      <w:bCs/>
                      <w:szCs w:val="21"/>
                    </w:rPr>
                    <w:t>中信银行股份有限公司舟山分行</w:t>
                  </w:r>
                </w:p>
              </w:tc>
              <w:tc>
                <w:tcPr>
                  <w:tcW w:w="3126" w:type="dxa"/>
                  <w:shd w:val="clear" w:color="auto" w:fill="auto"/>
                </w:tcPr>
                <w:p w14:paraId="7C2CCDBC">
                  <w:pPr>
                    <w:jc w:val="center"/>
                    <w:rPr>
                      <w:rFonts w:ascii="宋体" w:hAnsi="宋体"/>
                      <w:bCs/>
                      <w:szCs w:val="21"/>
                    </w:rPr>
                  </w:pPr>
                  <w:r>
                    <w:rPr>
                      <w:rFonts w:hint="eastAsia" w:ascii="宋体" w:hAnsi="宋体"/>
                      <w:bCs/>
                      <w:szCs w:val="21"/>
                    </w:rPr>
                    <w:t>中信银行“政采e贷”产品特点：根据政府采购成交通知书或合同，以政府财政支付资金为主要还款来源，为成交小微企业提供流动资金贷款。产品实现预授信、贷款申请、应收账款质押、授信审批、自助提款等环节的线上化、自动化处理，操作便利，授信额度最高不超过1000万元，贷款期限最长1年，利率低。</w:t>
                  </w:r>
                </w:p>
              </w:tc>
              <w:tc>
                <w:tcPr>
                  <w:tcW w:w="1032" w:type="dxa"/>
                  <w:shd w:val="clear" w:color="auto" w:fill="auto"/>
                  <w:vAlign w:val="center"/>
                </w:tcPr>
                <w:p w14:paraId="23813DCA">
                  <w:pPr>
                    <w:jc w:val="center"/>
                    <w:rPr>
                      <w:rFonts w:ascii="宋体" w:hAnsi="宋体"/>
                      <w:bCs/>
                      <w:szCs w:val="21"/>
                    </w:rPr>
                  </w:pPr>
                  <w:r>
                    <w:rPr>
                      <w:rFonts w:ascii="宋体" w:hAnsi="宋体"/>
                      <w:bCs/>
                      <w:szCs w:val="21"/>
                    </w:rPr>
                    <w:t>黄丽</w:t>
                  </w:r>
                </w:p>
              </w:tc>
              <w:tc>
                <w:tcPr>
                  <w:tcW w:w="3342" w:type="dxa"/>
                  <w:shd w:val="clear" w:color="auto" w:fill="auto"/>
                  <w:vAlign w:val="center"/>
                </w:tcPr>
                <w:p w14:paraId="07902795">
                  <w:pPr>
                    <w:rPr>
                      <w:rFonts w:ascii="宋体" w:hAnsi="宋体"/>
                      <w:bCs/>
                      <w:szCs w:val="21"/>
                    </w:rPr>
                  </w:pPr>
                  <w:r>
                    <w:rPr>
                      <w:rFonts w:ascii="宋体" w:hAnsi="宋体"/>
                      <w:bCs/>
                      <w:szCs w:val="21"/>
                    </w:rPr>
                    <w:t>13905808032</w:t>
                  </w:r>
                </w:p>
              </w:tc>
            </w:tr>
            <w:tr w14:paraId="7DF7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97" w:type="dxa"/>
                  <w:shd w:val="clear" w:color="auto" w:fill="auto"/>
                  <w:vAlign w:val="center"/>
                </w:tcPr>
                <w:p w14:paraId="4BA5048D">
                  <w:pPr>
                    <w:jc w:val="center"/>
                    <w:rPr>
                      <w:rFonts w:ascii="宋体" w:hAnsi="宋体"/>
                      <w:bCs/>
                      <w:szCs w:val="21"/>
                    </w:rPr>
                  </w:pPr>
                  <w:r>
                    <w:rPr>
                      <w:rFonts w:hint="eastAsia" w:ascii="宋体" w:hAnsi="宋体"/>
                      <w:bCs/>
                      <w:szCs w:val="21"/>
                    </w:rPr>
                    <w:t>泰隆银行舟山市分行</w:t>
                  </w:r>
                </w:p>
              </w:tc>
              <w:tc>
                <w:tcPr>
                  <w:tcW w:w="3126" w:type="dxa"/>
                  <w:shd w:val="clear" w:color="auto" w:fill="auto"/>
                </w:tcPr>
                <w:p w14:paraId="58023D5D">
                  <w:pPr>
                    <w:jc w:val="center"/>
                    <w:rPr>
                      <w:rFonts w:ascii="宋体" w:hAnsi="宋体"/>
                      <w:bCs/>
                      <w:szCs w:val="21"/>
                    </w:rPr>
                  </w:pPr>
                  <w:r>
                    <w:rPr>
                      <w:rFonts w:hint="eastAsia" w:ascii="宋体" w:hAnsi="宋体"/>
                      <w:bCs/>
                      <w:szCs w:val="21"/>
                    </w:rPr>
                    <w:t>符合我行基本准入，期限对照订单最长不超过1年，额度最高1000万，担保方式享受信用贷款执行，可由成交企业或其实际控制人出面申请，利率最低可至当期LPR ，对于合同期限确实超过一年的，可享受无还本续贷至合同付款日。</w:t>
                  </w:r>
                </w:p>
              </w:tc>
              <w:tc>
                <w:tcPr>
                  <w:tcW w:w="1032" w:type="dxa"/>
                  <w:shd w:val="clear" w:color="auto" w:fill="auto"/>
                  <w:vAlign w:val="center"/>
                </w:tcPr>
                <w:p w14:paraId="61A2A08D">
                  <w:pPr>
                    <w:jc w:val="center"/>
                    <w:rPr>
                      <w:rFonts w:ascii="宋体" w:hAnsi="宋体"/>
                      <w:bCs/>
                      <w:szCs w:val="21"/>
                    </w:rPr>
                  </w:pPr>
                  <w:r>
                    <w:rPr>
                      <w:rFonts w:hint="eastAsia" w:ascii="宋体" w:hAnsi="宋体"/>
                      <w:bCs/>
                      <w:szCs w:val="21"/>
                    </w:rPr>
                    <w:t>胡亢宇</w:t>
                  </w:r>
                </w:p>
              </w:tc>
              <w:tc>
                <w:tcPr>
                  <w:tcW w:w="3342" w:type="dxa"/>
                  <w:shd w:val="clear" w:color="auto" w:fill="auto"/>
                  <w:vAlign w:val="center"/>
                </w:tcPr>
                <w:p w14:paraId="56876C44">
                  <w:pPr>
                    <w:rPr>
                      <w:rFonts w:ascii="宋体" w:hAnsi="宋体"/>
                      <w:bCs/>
                      <w:szCs w:val="21"/>
                    </w:rPr>
                  </w:pPr>
                  <w:r>
                    <w:rPr>
                      <w:rFonts w:hint="eastAsia" w:ascii="宋体" w:hAnsi="宋体"/>
                      <w:bCs/>
                      <w:szCs w:val="21"/>
                    </w:rPr>
                    <w:t>17605868703</w:t>
                  </w:r>
                </w:p>
              </w:tc>
            </w:tr>
            <w:tr w14:paraId="47B9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97" w:type="dxa"/>
                  <w:shd w:val="clear" w:color="auto" w:fill="auto"/>
                  <w:vAlign w:val="center"/>
                </w:tcPr>
                <w:p w14:paraId="7C2F0453">
                  <w:pPr>
                    <w:jc w:val="center"/>
                    <w:rPr>
                      <w:rFonts w:ascii="宋体" w:hAnsi="宋体"/>
                      <w:bCs/>
                      <w:szCs w:val="21"/>
                    </w:rPr>
                  </w:pPr>
                  <w:r>
                    <w:rPr>
                      <w:rFonts w:hint="eastAsia" w:ascii="宋体" w:hAnsi="宋体"/>
                      <w:bCs/>
                      <w:szCs w:val="21"/>
                    </w:rPr>
                    <w:t>中国农业银行股份有限公司舟山分行</w:t>
                  </w:r>
                </w:p>
              </w:tc>
              <w:tc>
                <w:tcPr>
                  <w:tcW w:w="3126" w:type="dxa"/>
                  <w:shd w:val="clear" w:color="auto" w:fill="auto"/>
                </w:tcPr>
                <w:p w14:paraId="6DF3C975">
                  <w:pPr>
                    <w:jc w:val="center"/>
                    <w:rPr>
                      <w:rFonts w:ascii="宋体" w:hAnsi="宋体"/>
                      <w:bCs/>
                      <w:szCs w:val="21"/>
                    </w:rPr>
                  </w:pPr>
                  <w:r>
                    <w:rPr>
                      <w:rFonts w:hint="eastAsia" w:ascii="宋体" w:hAnsi="宋体"/>
                      <w:bCs/>
                      <w:szCs w:val="21"/>
                    </w:rPr>
                    <w:t>“政采贷”业务原则上不超过政府采购合同实有金额的80%，单户借款额度不超过500万元。借款到期日不晚于合同约定付款日后90天，原则上不超过1年，最长可放宽至2年。应收账款形成前，可采用信用方式用信并追加供应商法定代表人或实际控制人连带责任保证担保；应收账款形成后，信用方式用信需变更为应收账款质押担保。</w:t>
                  </w:r>
                </w:p>
              </w:tc>
              <w:tc>
                <w:tcPr>
                  <w:tcW w:w="1032" w:type="dxa"/>
                  <w:shd w:val="clear" w:color="auto" w:fill="auto"/>
                  <w:vAlign w:val="center"/>
                </w:tcPr>
                <w:p w14:paraId="1C1DD0E2">
                  <w:pPr>
                    <w:jc w:val="center"/>
                    <w:rPr>
                      <w:rFonts w:ascii="宋体" w:hAnsi="宋体"/>
                      <w:bCs/>
                      <w:szCs w:val="21"/>
                    </w:rPr>
                  </w:pPr>
                  <w:r>
                    <w:rPr>
                      <w:rFonts w:hint="eastAsia" w:ascii="宋体" w:hAnsi="宋体"/>
                      <w:bCs/>
                      <w:szCs w:val="21"/>
                    </w:rPr>
                    <w:t>苏华瞻</w:t>
                  </w:r>
                </w:p>
              </w:tc>
              <w:tc>
                <w:tcPr>
                  <w:tcW w:w="3342" w:type="dxa"/>
                  <w:shd w:val="clear" w:color="auto" w:fill="auto"/>
                  <w:vAlign w:val="center"/>
                </w:tcPr>
                <w:p w14:paraId="02F827BE">
                  <w:pPr>
                    <w:rPr>
                      <w:rFonts w:ascii="宋体" w:hAnsi="宋体"/>
                      <w:bCs/>
                      <w:szCs w:val="21"/>
                    </w:rPr>
                  </w:pPr>
                  <w:r>
                    <w:rPr>
                      <w:rFonts w:hint="eastAsia" w:ascii="宋体" w:hAnsi="宋体"/>
                      <w:bCs/>
                      <w:szCs w:val="21"/>
                    </w:rPr>
                    <w:t>13967228926</w:t>
                  </w:r>
                </w:p>
              </w:tc>
            </w:tr>
            <w:tr w14:paraId="009D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97" w:type="dxa"/>
                  <w:shd w:val="clear" w:color="auto" w:fill="auto"/>
                  <w:vAlign w:val="center"/>
                </w:tcPr>
                <w:p w14:paraId="7F5ADA5C">
                  <w:pPr>
                    <w:jc w:val="center"/>
                    <w:rPr>
                      <w:rFonts w:ascii="宋体" w:hAnsi="宋体"/>
                      <w:bCs/>
                      <w:szCs w:val="21"/>
                    </w:rPr>
                  </w:pPr>
                  <w:r>
                    <w:rPr>
                      <w:rFonts w:hint="eastAsia" w:ascii="宋体" w:hAnsi="宋体"/>
                      <w:bCs/>
                      <w:szCs w:val="21"/>
                    </w:rPr>
                    <w:t>中国邮政储蓄银行股份有限公司舟山市分行</w:t>
                  </w:r>
                </w:p>
              </w:tc>
              <w:tc>
                <w:tcPr>
                  <w:tcW w:w="3126" w:type="dxa"/>
                  <w:shd w:val="clear" w:color="auto" w:fill="auto"/>
                </w:tcPr>
                <w:p w14:paraId="622D76F5">
                  <w:pPr>
                    <w:jc w:val="center"/>
                    <w:rPr>
                      <w:rFonts w:ascii="宋体" w:hAnsi="宋体"/>
                      <w:bCs/>
                      <w:szCs w:val="21"/>
                    </w:rPr>
                  </w:pPr>
                  <w:r>
                    <w:rPr>
                      <w:rFonts w:hint="eastAsia" w:ascii="宋体" w:hAnsi="宋体"/>
                      <w:bCs/>
                      <w:szCs w:val="21"/>
                    </w:rPr>
                    <w:t>符合我行基本准入，授信额度使用期最高为2年，单户授信最高为500万，担保方式享受信用贷款执行，利率最低可至当期LPR ，有无还本续贷，12月份线上产品可以自主自贷。</w:t>
                  </w:r>
                </w:p>
              </w:tc>
              <w:tc>
                <w:tcPr>
                  <w:tcW w:w="1032" w:type="dxa"/>
                  <w:shd w:val="clear" w:color="auto" w:fill="auto"/>
                  <w:vAlign w:val="center"/>
                </w:tcPr>
                <w:p w14:paraId="1971AE79">
                  <w:pPr>
                    <w:jc w:val="center"/>
                    <w:rPr>
                      <w:rFonts w:ascii="宋体" w:hAnsi="宋体"/>
                      <w:bCs/>
                      <w:szCs w:val="21"/>
                    </w:rPr>
                  </w:pPr>
                  <w:r>
                    <w:rPr>
                      <w:rFonts w:hint="eastAsia" w:ascii="宋体" w:hAnsi="宋体"/>
                      <w:bCs/>
                      <w:szCs w:val="21"/>
                    </w:rPr>
                    <w:t>蒋志燕</w:t>
                  </w:r>
                </w:p>
              </w:tc>
              <w:tc>
                <w:tcPr>
                  <w:tcW w:w="3342" w:type="dxa"/>
                  <w:shd w:val="clear" w:color="auto" w:fill="auto"/>
                  <w:vAlign w:val="center"/>
                </w:tcPr>
                <w:p w14:paraId="29B85D0E">
                  <w:pPr>
                    <w:rPr>
                      <w:rFonts w:ascii="宋体" w:hAnsi="宋体"/>
                      <w:bCs/>
                      <w:szCs w:val="21"/>
                    </w:rPr>
                  </w:pPr>
                  <w:r>
                    <w:rPr>
                      <w:rFonts w:hint="eastAsia" w:ascii="宋体" w:hAnsi="宋体"/>
                      <w:bCs/>
                      <w:szCs w:val="21"/>
                    </w:rPr>
                    <w:t>13732527321</w:t>
                  </w:r>
                </w:p>
              </w:tc>
            </w:tr>
          </w:tbl>
          <w:p w14:paraId="25B5C28B">
            <w:pP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2.一般步骤</w:t>
            </w:r>
          </w:p>
          <w:p w14:paraId="0C843D60">
            <w:pP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（1）供应商先与银行对接，办理融资前期手续；</w:t>
            </w:r>
          </w:p>
          <w:p w14:paraId="0FE42A36">
            <w:pP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（2）供应商中标后，凭中标通知书等材料，向相关合作银行发出融资申请；</w:t>
            </w:r>
          </w:p>
          <w:p w14:paraId="09BE01CA">
            <w:pP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（3）银行、供应商线上办理审批、放贷事宜。</w:t>
            </w:r>
          </w:p>
          <w:p w14:paraId="5413AF5D">
            <w:pP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3.注意事项</w:t>
            </w:r>
          </w:p>
          <w:p w14:paraId="38D93454">
            <w:pP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（1）中标供应商需确保政府采购合同的收款账户与融资银行开户账户一致。</w:t>
            </w:r>
          </w:p>
          <w:p w14:paraId="55CAC23A">
            <w:pPr>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（2）用于政府采购信用融资的政府采购合同，应当包含如下条款：“第   条：政府采购合同贷款</w:t>
            </w:r>
          </w:p>
          <w:p w14:paraId="1116C28F">
            <w:pPr>
              <w:ind w:firstLine="210" w:firstLineChars="100"/>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本合同同时用于乙方向      银行（金融机构）申请政府采购信用贷款。</w:t>
            </w:r>
          </w:p>
          <w:p w14:paraId="60125A88">
            <w:pPr>
              <w:ind w:firstLine="210" w:firstLineChars="100"/>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本</w:t>
            </w:r>
            <w:r>
              <w:rPr>
                <w:rFonts w:cs="宋体" w:asciiTheme="minorEastAsia" w:hAnsiTheme="minorEastAsia" w:eastAsiaTheme="minorEastAsia"/>
                <w:color w:val="000000" w:themeColor="text1"/>
                <w:szCs w:val="21"/>
                <w14:textFill>
                  <w14:solidFill>
                    <w14:schemeClr w14:val="tx1"/>
                  </w14:solidFill>
                </w14:textFill>
              </w:rPr>
              <w:t>合同一经签订，原则上不得更改</w:t>
            </w:r>
            <w:r>
              <w:rPr>
                <w:rFonts w:hint="eastAsia" w:cs="宋体" w:asciiTheme="minorEastAsia" w:hAnsiTheme="minorEastAsia" w:eastAsiaTheme="minorEastAsia"/>
                <w:color w:val="000000" w:themeColor="text1"/>
                <w:szCs w:val="21"/>
                <w14:textFill>
                  <w14:solidFill>
                    <w14:schemeClr w14:val="tx1"/>
                  </w14:solidFill>
                </w14:textFill>
              </w:rPr>
              <w:t>乙方收</w:t>
            </w:r>
            <w:r>
              <w:rPr>
                <w:rFonts w:cs="宋体" w:asciiTheme="minorEastAsia" w:hAnsiTheme="minorEastAsia" w:eastAsiaTheme="minorEastAsia"/>
                <w:color w:val="000000" w:themeColor="text1"/>
                <w:szCs w:val="21"/>
                <w14:textFill>
                  <w14:solidFill>
                    <w14:schemeClr w14:val="tx1"/>
                  </w14:solidFill>
                </w14:textFill>
              </w:rPr>
              <w:t>款</w:t>
            </w:r>
            <w:r>
              <w:rPr>
                <w:rFonts w:hint="eastAsia" w:cs="宋体" w:asciiTheme="minorEastAsia" w:hAnsiTheme="minorEastAsia" w:eastAsiaTheme="minorEastAsia"/>
                <w:color w:val="000000" w:themeColor="text1"/>
                <w:szCs w:val="21"/>
                <w14:textFill>
                  <w14:solidFill>
                    <w14:schemeClr w14:val="tx1"/>
                  </w14:solidFill>
                </w14:textFill>
              </w:rPr>
              <w:t>账户</w:t>
            </w:r>
            <w:r>
              <w:rPr>
                <w:rFonts w:cs="宋体" w:asciiTheme="minorEastAsia" w:hAnsiTheme="minorEastAsia" w:eastAsiaTheme="minorEastAsia"/>
                <w:color w:val="000000" w:themeColor="text1"/>
                <w:szCs w:val="21"/>
                <w14:textFill>
                  <w14:solidFill>
                    <w14:schemeClr w14:val="tx1"/>
                  </w14:solidFill>
                </w14:textFill>
              </w:rPr>
              <w:t>信息</w:t>
            </w:r>
            <w:r>
              <w:rPr>
                <w:rFonts w:hint="eastAsia" w:cs="宋体" w:asciiTheme="minorEastAsia" w:hAnsiTheme="minorEastAsia" w:eastAsiaTheme="minorEastAsia"/>
                <w:color w:val="000000" w:themeColor="text1"/>
                <w:szCs w:val="21"/>
                <w14:textFill>
                  <w14:solidFill>
                    <w14:schemeClr w14:val="tx1"/>
                  </w14:solidFill>
                </w14:textFill>
              </w:rPr>
              <w:t>。确</w:t>
            </w:r>
            <w:r>
              <w:rPr>
                <w:rFonts w:cs="宋体" w:asciiTheme="minorEastAsia" w:hAnsiTheme="minorEastAsia" w:eastAsiaTheme="minorEastAsia"/>
                <w:color w:val="000000" w:themeColor="text1"/>
                <w:szCs w:val="21"/>
                <w14:textFill>
                  <w14:solidFill>
                    <w14:schemeClr w14:val="tx1"/>
                  </w14:solidFill>
                </w14:textFill>
              </w:rPr>
              <w:t>须更改的，</w:t>
            </w:r>
            <w:r>
              <w:rPr>
                <w:rFonts w:hint="eastAsia" w:cs="宋体" w:asciiTheme="minorEastAsia" w:hAnsiTheme="minorEastAsia" w:eastAsiaTheme="minorEastAsia"/>
                <w:color w:val="000000" w:themeColor="text1"/>
                <w:szCs w:val="21"/>
                <w14:textFill>
                  <w14:solidFill>
                    <w14:schemeClr w14:val="tx1"/>
                  </w14:solidFill>
                </w14:textFill>
              </w:rPr>
              <w:t>乙方应</w:t>
            </w:r>
            <w:r>
              <w:rPr>
                <w:rFonts w:cs="宋体" w:asciiTheme="minorEastAsia" w:hAnsiTheme="minorEastAsia" w:eastAsiaTheme="minorEastAsia"/>
                <w:color w:val="000000" w:themeColor="text1"/>
                <w:szCs w:val="21"/>
                <w14:textFill>
                  <w14:solidFill>
                    <w14:schemeClr w14:val="tx1"/>
                  </w14:solidFill>
                </w14:textFill>
              </w:rPr>
              <w:t>取得</w:t>
            </w:r>
            <w:r>
              <w:rPr>
                <w:rFonts w:hint="eastAsia" w:cs="宋体" w:asciiTheme="minorEastAsia" w:hAnsiTheme="minorEastAsia" w:eastAsiaTheme="minorEastAsia"/>
                <w:color w:val="000000" w:themeColor="text1"/>
                <w:szCs w:val="21"/>
                <w14:textFill>
                  <w14:solidFill>
                    <w14:schemeClr w14:val="tx1"/>
                  </w14:solidFill>
                </w14:textFill>
              </w:rPr>
              <w:t>原</w:t>
            </w:r>
            <w:r>
              <w:rPr>
                <w:rFonts w:cs="宋体" w:asciiTheme="minorEastAsia" w:hAnsiTheme="minorEastAsia" w:eastAsiaTheme="minorEastAsia"/>
                <w:color w:val="000000" w:themeColor="text1"/>
                <w:szCs w:val="21"/>
                <w14:textFill>
                  <w14:solidFill>
                    <w14:schemeClr w14:val="tx1"/>
                  </w14:solidFill>
                </w14:textFill>
              </w:rPr>
              <w:t>合同收款账户开户银行书面同意，</w:t>
            </w:r>
            <w:r>
              <w:rPr>
                <w:rFonts w:hint="eastAsia" w:cs="宋体" w:asciiTheme="minorEastAsia" w:hAnsiTheme="minorEastAsia" w:eastAsiaTheme="minorEastAsia"/>
                <w:color w:val="000000" w:themeColor="text1"/>
                <w:szCs w:val="21"/>
                <w14:textFill>
                  <w14:solidFill>
                    <w14:schemeClr w14:val="tx1"/>
                  </w14:solidFill>
                </w14:textFill>
              </w:rPr>
              <w:t>否则修改后</w:t>
            </w:r>
            <w:r>
              <w:rPr>
                <w:rFonts w:cs="宋体" w:asciiTheme="minorEastAsia" w:hAnsiTheme="minorEastAsia" w:eastAsiaTheme="minorEastAsia"/>
                <w:color w:val="000000" w:themeColor="text1"/>
                <w:szCs w:val="21"/>
                <w14:textFill>
                  <w14:solidFill>
                    <w14:schemeClr w14:val="tx1"/>
                  </w14:solidFill>
                </w14:textFill>
              </w:rPr>
              <w:t>的合同不予</w:t>
            </w:r>
            <w:r>
              <w:rPr>
                <w:rFonts w:hint="eastAsia" w:cs="宋体" w:asciiTheme="minorEastAsia" w:hAnsiTheme="minorEastAsia" w:eastAsiaTheme="minorEastAsia"/>
                <w:color w:val="000000" w:themeColor="text1"/>
                <w:szCs w:val="21"/>
                <w14:textFill>
                  <w14:solidFill>
                    <w14:schemeClr w14:val="tx1"/>
                  </w14:solidFill>
                </w14:textFill>
              </w:rPr>
              <w:t>备案</w:t>
            </w:r>
            <w:r>
              <w:rPr>
                <w:rFonts w:cs="宋体" w:asciiTheme="minorEastAsia" w:hAnsiTheme="minorEastAsia" w:eastAsiaTheme="minorEastAsia"/>
                <w:color w:val="000000" w:themeColor="text1"/>
                <w:szCs w:val="21"/>
                <w14:textFill>
                  <w14:solidFill>
                    <w14:schemeClr w14:val="tx1"/>
                  </w14:solidFill>
                </w14:textFill>
              </w:rPr>
              <w:t>，采购资金不予</w:t>
            </w:r>
            <w:r>
              <w:rPr>
                <w:rFonts w:hint="eastAsia" w:cs="宋体" w:asciiTheme="minorEastAsia" w:hAnsiTheme="minorEastAsia" w:eastAsiaTheme="minorEastAsia"/>
                <w:color w:val="000000" w:themeColor="text1"/>
                <w:szCs w:val="21"/>
                <w14:textFill>
                  <w14:solidFill>
                    <w14:schemeClr w14:val="tx1"/>
                  </w14:solidFill>
                </w14:textFill>
              </w:rPr>
              <w:t>支付。”</w:t>
            </w:r>
          </w:p>
        </w:tc>
      </w:tr>
    </w:tbl>
    <w:p w14:paraId="0DD50CED">
      <w:pPr>
        <w:pStyle w:val="50"/>
        <w:snapToGrid w:val="0"/>
        <w:spacing w:before="120" w:after="120"/>
        <w:ind w:firstLine="3626" w:firstLineChars="1290"/>
        <w:rPr>
          <w:rFonts w:asciiTheme="minorEastAsia" w:hAnsiTheme="minorEastAsia" w:eastAsiaTheme="minorEastAsia"/>
          <w:b/>
          <w:bCs/>
          <w:sz w:val="28"/>
        </w:rPr>
      </w:pPr>
      <w:r>
        <w:rPr>
          <w:rFonts w:asciiTheme="minorEastAsia" w:hAnsiTheme="minorEastAsia" w:eastAsiaTheme="minorEastAsia"/>
          <w:b/>
          <w:bCs/>
          <w:sz w:val="28"/>
        </w:rPr>
        <w:t>一</w:t>
      </w:r>
      <w:r>
        <w:rPr>
          <w:rFonts w:hint="eastAsia" w:asciiTheme="minorEastAsia" w:hAnsiTheme="minorEastAsia" w:eastAsiaTheme="minorEastAsia"/>
          <w:b/>
          <w:bCs/>
          <w:sz w:val="28"/>
        </w:rPr>
        <w:t>．</w:t>
      </w:r>
      <w:r>
        <w:rPr>
          <w:rFonts w:asciiTheme="minorEastAsia" w:hAnsiTheme="minorEastAsia" w:eastAsiaTheme="minorEastAsia"/>
          <w:b/>
          <w:bCs/>
          <w:sz w:val="28"/>
        </w:rPr>
        <w:t>总  则</w:t>
      </w:r>
    </w:p>
    <w:p w14:paraId="05CE0C8E">
      <w:pPr>
        <w:pStyle w:val="50"/>
        <w:snapToGrid w:val="0"/>
        <w:spacing w:before="120" w:after="120"/>
        <w:ind w:firstLine="422" w:firstLineChars="200"/>
        <w:rPr>
          <w:rFonts w:asciiTheme="minorEastAsia" w:hAnsiTheme="minorEastAsia" w:eastAsiaTheme="minorEastAsia"/>
          <w:b/>
          <w:bCs/>
          <w:sz w:val="21"/>
          <w:szCs w:val="21"/>
        </w:rPr>
      </w:pPr>
      <w:r>
        <w:rPr>
          <w:rFonts w:asciiTheme="minorEastAsia" w:hAnsiTheme="minorEastAsia" w:eastAsiaTheme="minorEastAsia"/>
          <w:b/>
          <w:bCs/>
          <w:sz w:val="21"/>
          <w:szCs w:val="21"/>
        </w:rPr>
        <w:t>（一）适用范围</w:t>
      </w:r>
    </w:p>
    <w:p w14:paraId="11E1D6B9">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本</w:t>
      </w:r>
      <w:r>
        <w:rPr>
          <w:rFonts w:hint="eastAsia" w:asciiTheme="minorEastAsia" w:hAnsiTheme="minorEastAsia" w:eastAsiaTheme="minorEastAsia"/>
          <w:szCs w:val="21"/>
        </w:rPr>
        <w:t>采购</w:t>
      </w:r>
      <w:r>
        <w:rPr>
          <w:rFonts w:asciiTheme="minorEastAsia" w:hAnsiTheme="minorEastAsia" w:eastAsiaTheme="minorEastAsia"/>
          <w:szCs w:val="21"/>
        </w:rPr>
        <w:t>文件适用于</w:t>
      </w:r>
      <w:r>
        <w:rPr>
          <w:rFonts w:hint="eastAsia" w:asciiTheme="minorEastAsia" w:hAnsiTheme="minorEastAsia" w:eastAsiaTheme="minorEastAsia"/>
          <w:szCs w:val="21"/>
          <w:u w:val="single"/>
          <w:lang w:val="en-US" w:eastAsia="zh-CN"/>
        </w:rPr>
        <w:t xml:space="preserve"> </w:t>
      </w:r>
      <w:r>
        <w:rPr>
          <w:rFonts w:hint="eastAsia" w:asciiTheme="minorEastAsia" w:hAnsiTheme="minorEastAsia" w:eastAsiaTheme="minorEastAsia"/>
          <w:kern w:val="0"/>
          <w:szCs w:val="21"/>
          <w:u w:val="single"/>
          <w:shd w:val="clear" w:color="auto" w:fill="FFFFFF"/>
          <w:lang w:eastAsia="zh-CN"/>
        </w:rPr>
        <w:t>嵊泗县医康养联合体综合设备采购项目</w:t>
      </w:r>
      <w:r>
        <w:rPr>
          <w:rFonts w:hint="eastAsia" w:asciiTheme="minorEastAsia" w:hAnsiTheme="minorEastAsia" w:eastAsiaTheme="minorEastAsia"/>
          <w:kern w:val="0"/>
          <w:szCs w:val="21"/>
          <w:u w:val="single"/>
          <w:shd w:val="clear" w:color="auto" w:fill="FFFFFF"/>
          <w:lang w:val="en-US" w:eastAsia="zh-CN"/>
        </w:rPr>
        <w:t xml:space="preserve"> </w:t>
      </w:r>
      <w:r>
        <w:rPr>
          <w:rFonts w:asciiTheme="minorEastAsia" w:hAnsiTheme="minorEastAsia" w:eastAsiaTheme="minorEastAsia"/>
          <w:szCs w:val="21"/>
        </w:rPr>
        <w:t>的招标、投标、评标、定标、验收、合同履约、付款等行为（法律、法规另有规定的，从其规定）。</w:t>
      </w:r>
    </w:p>
    <w:p w14:paraId="45C6D477">
      <w:pPr>
        <w:pStyle w:val="50"/>
        <w:snapToGrid w:val="0"/>
        <w:spacing w:before="120" w:after="120"/>
        <w:ind w:firstLine="422" w:firstLineChars="200"/>
        <w:rPr>
          <w:rFonts w:asciiTheme="minorEastAsia" w:hAnsiTheme="minorEastAsia" w:eastAsiaTheme="minorEastAsia"/>
          <w:b/>
          <w:bCs/>
          <w:sz w:val="21"/>
          <w:szCs w:val="21"/>
        </w:rPr>
      </w:pPr>
      <w:r>
        <w:rPr>
          <w:rFonts w:asciiTheme="minorEastAsia" w:hAnsiTheme="minorEastAsia" w:eastAsiaTheme="minorEastAsia"/>
          <w:b/>
          <w:bCs/>
          <w:sz w:val="21"/>
          <w:szCs w:val="21"/>
        </w:rPr>
        <w:t>（二）定义</w:t>
      </w:r>
    </w:p>
    <w:p w14:paraId="6DA30393">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1.招标采购单位系指组织本次招标的代理机构（“</w:t>
      </w:r>
      <w:r>
        <w:rPr>
          <w:rFonts w:hint="eastAsia" w:asciiTheme="minorEastAsia" w:hAnsiTheme="minorEastAsia" w:eastAsiaTheme="minorEastAsia"/>
          <w:szCs w:val="21"/>
        </w:rPr>
        <w:t>采购人</w:t>
      </w:r>
      <w:r>
        <w:rPr>
          <w:rFonts w:asciiTheme="minorEastAsia" w:hAnsiTheme="minorEastAsia" w:eastAsiaTheme="minorEastAsia"/>
          <w:szCs w:val="21"/>
        </w:rPr>
        <w:t>”）和采购单位。</w:t>
      </w:r>
    </w:p>
    <w:p w14:paraId="63A10DC5">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投标人</w:t>
      </w:r>
      <w:r>
        <w:rPr>
          <w:rFonts w:asciiTheme="minorEastAsia" w:hAnsiTheme="minorEastAsia" w:eastAsiaTheme="minorEastAsia"/>
          <w:szCs w:val="21"/>
        </w:rPr>
        <w:t>”系指向</w:t>
      </w:r>
      <w:r>
        <w:rPr>
          <w:rFonts w:hint="eastAsia" w:asciiTheme="minorEastAsia" w:hAnsiTheme="minorEastAsia" w:eastAsiaTheme="minorEastAsia"/>
          <w:szCs w:val="21"/>
        </w:rPr>
        <w:t>采购人</w:t>
      </w:r>
      <w:r>
        <w:rPr>
          <w:rFonts w:asciiTheme="minorEastAsia" w:hAnsiTheme="minorEastAsia" w:eastAsiaTheme="minorEastAsia"/>
          <w:szCs w:val="21"/>
        </w:rPr>
        <w:t>提交</w:t>
      </w:r>
      <w:r>
        <w:rPr>
          <w:rFonts w:hint="eastAsia" w:asciiTheme="minorEastAsia" w:hAnsiTheme="minorEastAsia" w:eastAsiaTheme="minorEastAsia"/>
          <w:szCs w:val="21"/>
        </w:rPr>
        <w:t>投标文件</w:t>
      </w:r>
      <w:r>
        <w:rPr>
          <w:rFonts w:asciiTheme="minorEastAsia" w:hAnsiTheme="minorEastAsia" w:eastAsiaTheme="minorEastAsia"/>
          <w:szCs w:val="21"/>
        </w:rPr>
        <w:t>的单位或个人。</w:t>
      </w:r>
    </w:p>
    <w:p w14:paraId="6AAA951F">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3.“产品”系指供方按</w:t>
      </w:r>
      <w:r>
        <w:rPr>
          <w:rFonts w:hint="eastAsia" w:asciiTheme="minorEastAsia" w:hAnsiTheme="minorEastAsia" w:eastAsiaTheme="minorEastAsia"/>
          <w:szCs w:val="21"/>
        </w:rPr>
        <w:t>采购文件</w:t>
      </w:r>
      <w:r>
        <w:rPr>
          <w:rFonts w:asciiTheme="minorEastAsia" w:hAnsiTheme="minorEastAsia" w:eastAsiaTheme="minorEastAsia"/>
          <w:szCs w:val="21"/>
        </w:rPr>
        <w:t>规定，须向采购人提供的一切设备、保险、税金、备品备件、工具、手册及其它有关技术资料和材料。</w:t>
      </w:r>
    </w:p>
    <w:p w14:paraId="71BE631C">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4.“服务”系指</w:t>
      </w:r>
      <w:r>
        <w:rPr>
          <w:rFonts w:hint="eastAsia" w:asciiTheme="minorEastAsia" w:hAnsiTheme="minorEastAsia" w:eastAsiaTheme="minorEastAsia"/>
          <w:szCs w:val="21"/>
        </w:rPr>
        <w:t>采购文件</w:t>
      </w:r>
      <w:r>
        <w:rPr>
          <w:rFonts w:asciiTheme="minorEastAsia" w:hAnsiTheme="minorEastAsia" w:eastAsiaTheme="minorEastAsia"/>
          <w:szCs w:val="21"/>
        </w:rPr>
        <w:t>规定</w:t>
      </w:r>
      <w:r>
        <w:rPr>
          <w:rFonts w:hint="eastAsia" w:asciiTheme="minorEastAsia" w:hAnsiTheme="minorEastAsia" w:eastAsiaTheme="minorEastAsia"/>
          <w:szCs w:val="21"/>
        </w:rPr>
        <w:t>投标人</w:t>
      </w:r>
      <w:r>
        <w:rPr>
          <w:rFonts w:asciiTheme="minorEastAsia" w:hAnsiTheme="minorEastAsia" w:eastAsiaTheme="minorEastAsia"/>
          <w:szCs w:val="21"/>
        </w:rPr>
        <w:t>须承担的安装、调试、技术协助、校准、培训、技术指导以及其他类似的义务。</w:t>
      </w:r>
    </w:p>
    <w:p w14:paraId="5D0C0EB7">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5.“项目”系指</w:t>
      </w:r>
      <w:r>
        <w:rPr>
          <w:rFonts w:hint="eastAsia" w:asciiTheme="minorEastAsia" w:hAnsiTheme="minorEastAsia" w:eastAsiaTheme="minorEastAsia"/>
          <w:szCs w:val="21"/>
        </w:rPr>
        <w:t>投标人</w:t>
      </w:r>
      <w:r>
        <w:rPr>
          <w:rFonts w:asciiTheme="minorEastAsia" w:hAnsiTheme="minorEastAsia" w:eastAsiaTheme="minorEastAsia"/>
          <w:szCs w:val="21"/>
        </w:rPr>
        <w:t>按</w:t>
      </w:r>
      <w:r>
        <w:rPr>
          <w:rFonts w:hint="eastAsia" w:asciiTheme="minorEastAsia" w:hAnsiTheme="minorEastAsia" w:eastAsiaTheme="minorEastAsia"/>
          <w:szCs w:val="21"/>
        </w:rPr>
        <w:t>采购文件</w:t>
      </w:r>
      <w:r>
        <w:rPr>
          <w:rFonts w:asciiTheme="minorEastAsia" w:hAnsiTheme="minorEastAsia" w:eastAsiaTheme="minorEastAsia"/>
          <w:szCs w:val="21"/>
        </w:rPr>
        <w:t>规定向采购人提供的产品和服务。</w:t>
      </w:r>
    </w:p>
    <w:p w14:paraId="0AD34A9E">
      <w:pPr>
        <w:snapToGrid w:val="0"/>
        <w:spacing w:line="400" w:lineRule="exact"/>
        <w:ind w:right="-506" w:rightChars="-241"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6.“中标人”是指经审查通过，并经公示无异议的投标人。</w:t>
      </w:r>
    </w:p>
    <w:p w14:paraId="0725D397">
      <w:pPr>
        <w:snapToGrid w:val="0"/>
        <w:spacing w:line="400" w:lineRule="exact"/>
        <w:ind w:right="-506" w:rightChars="-241"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7</w:t>
      </w:r>
      <w:r>
        <w:rPr>
          <w:rFonts w:asciiTheme="minorEastAsia" w:hAnsiTheme="minorEastAsia" w:eastAsiaTheme="minorEastAsia"/>
          <w:szCs w:val="21"/>
        </w:rPr>
        <w:t>.“</w:t>
      </w:r>
      <w:r>
        <w:rPr>
          <w:rFonts w:hint="eastAsia" w:asciiTheme="minorEastAsia" w:hAnsiTheme="minorEastAsia" w:eastAsiaTheme="minorEastAsia"/>
          <w:szCs w:val="21"/>
        </w:rPr>
        <w:t>投标人代表”是指投标人法定代表人或被投标人法定代表人授权委托的人。</w:t>
      </w:r>
    </w:p>
    <w:p w14:paraId="0167F9C8">
      <w:pPr>
        <w:snapToGrid w:val="0"/>
        <w:spacing w:line="400" w:lineRule="exact"/>
        <w:ind w:right="-506" w:rightChars="-241"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8</w:t>
      </w:r>
      <w:r>
        <w:rPr>
          <w:rFonts w:asciiTheme="minorEastAsia" w:hAnsiTheme="minorEastAsia" w:eastAsiaTheme="minorEastAsia"/>
          <w:szCs w:val="21"/>
        </w:rPr>
        <w:t>.“书面形式”包括信函、传真、电报、电子文档等。</w:t>
      </w:r>
    </w:p>
    <w:p w14:paraId="16EAB940">
      <w:pPr>
        <w:pStyle w:val="50"/>
        <w:snapToGrid w:val="0"/>
        <w:spacing w:before="120" w:after="120"/>
        <w:ind w:firstLine="422" w:firstLineChars="200"/>
        <w:rPr>
          <w:rFonts w:asciiTheme="minorEastAsia" w:hAnsiTheme="minorEastAsia" w:eastAsiaTheme="minorEastAsia"/>
          <w:b/>
          <w:bCs/>
          <w:sz w:val="21"/>
          <w:szCs w:val="21"/>
        </w:rPr>
      </w:pPr>
      <w:r>
        <w:rPr>
          <w:rFonts w:asciiTheme="minorEastAsia" w:hAnsiTheme="minorEastAsia" w:eastAsiaTheme="minorEastAsia"/>
          <w:b/>
          <w:bCs/>
          <w:sz w:val="21"/>
          <w:szCs w:val="21"/>
        </w:rPr>
        <w:t>（三）采购方式</w:t>
      </w:r>
    </w:p>
    <w:p w14:paraId="42DD1FC5">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本次采购采用</w:t>
      </w:r>
      <w:r>
        <w:rPr>
          <w:rFonts w:hint="eastAsia" w:asciiTheme="minorEastAsia" w:hAnsiTheme="minorEastAsia" w:eastAsiaTheme="minorEastAsia"/>
          <w:szCs w:val="21"/>
        </w:rPr>
        <w:t>公开采购方</w:t>
      </w:r>
      <w:r>
        <w:rPr>
          <w:rFonts w:asciiTheme="minorEastAsia" w:hAnsiTheme="minorEastAsia" w:eastAsiaTheme="minorEastAsia"/>
          <w:szCs w:val="21"/>
        </w:rPr>
        <w:t>式进行。</w:t>
      </w:r>
    </w:p>
    <w:p w14:paraId="52B8793B">
      <w:pPr>
        <w:pStyle w:val="50"/>
        <w:snapToGrid w:val="0"/>
        <w:spacing w:before="120" w:after="120"/>
        <w:ind w:firstLine="417" w:firstLineChars="198"/>
        <w:rPr>
          <w:rFonts w:asciiTheme="minorEastAsia" w:hAnsiTheme="minorEastAsia" w:eastAsiaTheme="minorEastAsia"/>
          <w:b/>
          <w:sz w:val="21"/>
          <w:szCs w:val="21"/>
        </w:rPr>
      </w:pPr>
      <w:r>
        <w:rPr>
          <w:rFonts w:asciiTheme="minorEastAsia" w:hAnsiTheme="minorEastAsia" w:eastAsiaTheme="minorEastAsia"/>
          <w:b/>
          <w:sz w:val="21"/>
          <w:szCs w:val="21"/>
        </w:rPr>
        <w:t>（四）采购预算</w:t>
      </w:r>
    </w:p>
    <w:p w14:paraId="361B368A">
      <w:pPr>
        <w:pStyle w:val="12"/>
        <w:spacing w:after="0" w:line="400" w:lineRule="exact"/>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本次采购以预算</w:t>
      </w:r>
      <w:r>
        <w:rPr>
          <w:rFonts w:asciiTheme="minorEastAsia" w:hAnsiTheme="minorEastAsia" w:eastAsiaTheme="minorEastAsia"/>
          <w:color w:val="auto"/>
          <w:sz w:val="21"/>
          <w:szCs w:val="21"/>
        </w:rPr>
        <w:t>价</w:t>
      </w:r>
      <w:r>
        <w:rPr>
          <w:rFonts w:hint="eastAsia" w:asciiTheme="minorEastAsia" w:hAnsiTheme="minorEastAsia" w:eastAsiaTheme="minorEastAsia"/>
          <w:color w:val="auto"/>
          <w:sz w:val="21"/>
          <w:szCs w:val="21"/>
          <w:highlight w:val="none"/>
          <w:u w:val="single"/>
          <w:shd w:val="clear" w:color="auto" w:fill="FFFFFF"/>
          <w:lang w:val="en-US" w:eastAsia="zh-CN"/>
        </w:rPr>
        <w:t>600000</w:t>
      </w:r>
      <w:r>
        <w:rPr>
          <w:rFonts w:hint="eastAsia" w:asciiTheme="minorEastAsia" w:hAnsiTheme="minorEastAsia" w:eastAsiaTheme="minorEastAsia"/>
          <w:bCs/>
          <w:color w:val="auto"/>
          <w:sz w:val="21"/>
          <w:szCs w:val="21"/>
        </w:rPr>
        <w:t>元</w:t>
      </w:r>
      <w:r>
        <w:rPr>
          <w:rFonts w:asciiTheme="minorEastAsia" w:hAnsiTheme="minorEastAsia" w:eastAsiaTheme="minorEastAsia"/>
          <w:color w:val="auto"/>
          <w:sz w:val="21"/>
          <w:szCs w:val="21"/>
        </w:rPr>
        <w:t>作为</w:t>
      </w:r>
      <w:r>
        <w:rPr>
          <w:rFonts w:asciiTheme="minorEastAsia" w:hAnsiTheme="minorEastAsia" w:eastAsiaTheme="minorEastAsia"/>
          <w:sz w:val="21"/>
          <w:szCs w:val="21"/>
        </w:rPr>
        <w:t>上限价</w:t>
      </w:r>
      <w:r>
        <w:rPr>
          <w:rFonts w:hint="eastAsia" w:asciiTheme="minorEastAsia" w:hAnsiTheme="minorEastAsia" w:eastAsiaTheme="minorEastAsia"/>
          <w:sz w:val="21"/>
          <w:szCs w:val="21"/>
        </w:rPr>
        <w:t>，超过作无效标处理</w:t>
      </w:r>
      <w:r>
        <w:rPr>
          <w:rFonts w:asciiTheme="minorEastAsia" w:hAnsiTheme="minorEastAsia" w:eastAsiaTheme="minorEastAsia"/>
          <w:sz w:val="21"/>
          <w:szCs w:val="21"/>
        </w:rPr>
        <w:t>。</w:t>
      </w:r>
    </w:p>
    <w:p w14:paraId="1C5F6B4C">
      <w:pPr>
        <w:pStyle w:val="50"/>
        <w:numPr>
          <w:ilvl w:val="0"/>
          <w:numId w:val="5"/>
        </w:numPr>
        <w:snapToGrid w:val="0"/>
        <w:spacing w:before="120" w:after="120"/>
        <w:ind w:firstLine="417" w:firstLineChars="198"/>
        <w:rPr>
          <w:rFonts w:asciiTheme="minorEastAsia" w:hAnsiTheme="minorEastAsia" w:eastAsiaTheme="minorEastAsia"/>
          <w:b/>
          <w:sz w:val="21"/>
          <w:szCs w:val="21"/>
        </w:rPr>
      </w:pPr>
      <w:r>
        <w:rPr>
          <w:rFonts w:asciiTheme="minorEastAsia" w:hAnsiTheme="minorEastAsia" w:eastAsiaTheme="minorEastAsia"/>
          <w:b/>
          <w:sz w:val="21"/>
          <w:szCs w:val="21"/>
        </w:rPr>
        <w:t>投标委托</w:t>
      </w:r>
    </w:p>
    <w:p w14:paraId="44A883EC">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如</w:t>
      </w:r>
      <w:r>
        <w:rPr>
          <w:rFonts w:hint="eastAsia" w:asciiTheme="minorEastAsia" w:hAnsiTheme="minorEastAsia" w:eastAsiaTheme="minorEastAsia"/>
          <w:szCs w:val="21"/>
        </w:rPr>
        <w:t>投标人</w:t>
      </w:r>
      <w:r>
        <w:rPr>
          <w:rFonts w:asciiTheme="minorEastAsia" w:hAnsiTheme="minorEastAsia" w:eastAsiaTheme="minorEastAsia"/>
          <w:szCs w:val="21"/>
        </w:rPr>
        <w:t>代表不是法定代表人，须有法定代表人出具的授权委托书（格式见第六章）。</w:t>
      </w:r>
    </w:p>
    <w:p w14:paraId="6B5E9931">
      <w:pPr>
        <w:pStyle w:val="50"/>
        <w:numPr>
          <w:ilvl w:val="0"/>
          <w:numId w:val="5"/>
        </w:numPr>
        <w:snapToGrid w:val="0"/>
        <w:spacing w:before="120" w:after="120"/>
        <w:ind w:firstLine="417" w:firstLineChars="198"/>
        <w:rPr>
          <w:rFonts w:asciiTheme="minorEastAsia" w:hAnsiTheme="minorEastAsia" w:eastAsiaTheme="minorEastAsia"/>
          <w:b/>
          <w:sz w:val="21"/>
          <w:szCs w:val="21"/>
        </w:rPr>
      </w:pPr>
      <w:r>
        <w:rPr>
          <w:rFonts w:asciiTheme="minorEastAsia" w:hAnsiTheme="minorEastAsia" w:eastAsiaTheme="minorEastAsia"/>
          <w:b/>
          <w:sz w:val="21"/>
          <w:szCs w:val="21"/>
        </w:rPr>
        <w:t>费用</w:t>
      </w:r>
    </w:p>
    <w:p w14:paraId="364581EE">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不论</w:t>
      </w:r>
      <w:r>
        <w:rPr>
          <w:rFonts w:hint="eastAsia" w:asciiTheme="minorEastAsia" w:hAnsiTheme="minorEastAsia" w:eastAsiaTheme="minorEastAsia"/>
          <w:szCs w:val="21"/>
        </w:rPr>
        <w:t>采购</w:t>
      </w:r>
      <w:r>
        <w:rPr>
          <w:rFonts w:asciiTheme="minorEastAsia" w:hAnsiTheme="minorEastAsia" w:eastAsiaTheme="minorEastAsia"/>
          <w:szCs w:val="21"/>
        </w:rPr>
        <w:t>结果如何，</w:t>
      </w:r>
      <w:r>
        <w:rPr>
          <w:rFonts w:hint="eastAsia" w:asciiTheme="minorEastAsia" w:hAnsiTheme="minorEastAsia" w:eastAsiaTheme="minorEastAsia"/>
          <w:szCs w:val="21"/>
        </w:rPr>
        <w:t>投标人</w:t>
      </w:r>
      <w:r>
        <w:rPr>
          <w:rFonts w:asciiTheme="minorEastAsia" w:hAnsiTheme="minorEastAsia" w:eastAsiaTheme="minorEastAsia"/>
          <w:szCs w:val="21"/>
        </w:rPr>
        <w:t>均应自行承担所有与投标有关的全部费用（</w:t>
      </w:r>
      <w:r>
        <w:rPr>
          <w:rFonts w:hint="eastAsia" w:asciiTheme="minorEastAsia" w:hAnsiTheme="minorEastAsia" w:eastAsiaTheme="minorEastAsia"/>
          <w:szCs w:val="21"/>
        </w:rPr>
        <w:t>采购</w:t>
      </w:r>
      <w:r>
        <w:rPr>
          <w:rFonts w:asciiTheme="minorEastAsia" w:hAnsiTheme="minorEastAsia" w:eastAsiaTheme="minorEastAsia"/>
          <w:szCs w:val="21"/>
        </w:rPr>
        <w:t>文件另有规定除外）。</w:t>
      </w:r>
    </w:p>
    <w:p w14:paraId="5D7AE535">
      <w:pPr>
        <w:pStyle w:val="50"/>
        <w:numPr>
          <w:ilvl w:val="0"/>
          <w:numId w:val="5"/>
        </w:numPr>
        <w:snapToGrid w:val="0"/>
        <w:spacing w:before="120" w:after="120"/>
        <w:ind w:firstLine="417" w:firstLineChars="198"/>
        <w:rPr>
          <w:rFonts w:asciiTheme="minorEastAsia" w:hAnsiTheme="minorEastAsia" w:eastAsiaTheme="minorEastAsia"/>
          <w:b/>
          <w:sz w:val="21"/>
          <w:szCs w:val="21"/>
        </w:rPr>
      </w:pPr>
      <w:r>
        <w:rPr>
          <w:rFonts w:asciiTheme="minorEastAsia" w:hAnsiTheme="minorEastAsia" w:eastAsiaTheme="minorEastAsia"/>
          <w:b/>
          <w:sz w:val="21"/>
          <w:szCs w:val="21"/>
        </w:rPr>
        <w:t>联合体投标</w:t>
      </w:r>
    </w:p>
    <w:p w14:paraId="22709583">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本项目不接受联合体投标。</w:t>
      </w:r>
    </w:p>
    <w:p w14:paraId="7664ED3E">
      <w:pPr>
        <w:pStyle w:val="50"/>
        <w:snapToGrid w:val="0"/>
        <w:spacing w:before="120" w:after="120"/>
        <w:ind w:left="416" w:leftChars="198"/>
        <w:rPr>
          <w:rFonts w:asciiTheme="minorEastAsia" w:hAnsiTheme="minorEastAsia" w:eastAsiaTheme="minorEastAsia"/>
          <w:b/>
          <w:sz w:val="21"/>
          <w:szCs w:val="21"/>
        </w:rPr>
      </w:pPr>
      <w:r>
        <w:rPr>
          <w:rFonts w:asciiTheme="minorEastAsia" w:hAnsiTheme="minorEastAsia" w:eastAsiaTheme="minorEastAsia"/>
          <w:b/>
          <w:sz w:val="21"/>
          <w:szCs w:val="21"/>
        </w:rPr>
        <w:t>（</w:t>
      </w:r>
      <w:r>
        <w:rPr>
          <w:rFonts w:hint="eastAsia" w:asciiTheme="minorEastAsia" w:hAnsiTheme="minorEastAsia" w:eastAsiaTheme="minorEastAsia"/>
          <w:b/>
          <w:sz w:val="21"/>
          <w:szCs w:val="21"/>
        </w:rPr>
        <w:t>八</w:t>
      </w:r>
      <w:r>
        <w:rPr>
          <w:rFonts w:asciiTheme="minorEastAsia" w:hAnsiTheme="minorEastAsia" w:eastAsiaTheme="minorEastAsia"/>
          <w:b/>
          <w:sz w:val="21"/>
          <w:szCs w:val="21"/>
        </w:rPr>
        <w:t>）特别说明：</w:t>
      </w:r>
    </w:p>
    <w:p w14:paraId="4077C2F0">
      <w:pPr>
        <w:pStyle w:val="12"/>
        <w:spacing w:after="0" w:line="400" w:lineRule="exact"/>
        <w:ind w:firstLine="480"/>
        <w:rPr>
          <w:rFonts w:asciiTheme="minorEastAsia" w:hAnsiTheme="minorEastAsia" w:eastAsiaTheme="minorEastAsia"/>
        </w:rPr>
      </w:pPr>
      <w:r>
        <w:rPr>
          <w:rFonts w:hint="eastAsia" w:asciiTheme="minorEastAsia" w:hAnsiTheme="minorEastAsia" w:eastAsiaTheme="minorEastAsia"/>
          <w:snapToGrid w:val="0"/>
          <w:sz w:val="21"/>
          <w:szCs w:val="21"/>
        </w:rPr>
        <w:t>1.对投标人的限制</w:t>
      </w:r>
    </w:p>
    <w:p w14:paraId="7BA2793C">
      <w:pPr>
        <w:snapToGrid w:val="0"/>
        <w:spacing w:line="400" w:lineRule="exact"/>
        <w:ind w:firstLine="422" w:firstLineChars="200"/>
        <w:jc w:val="left"/>
        <w:rPr>
          <w:rFonts w:asciiTheme="minorEastAsia" w:hAnsiTheme="minorEastAsia" w:eastAsiaTheme="minorEastAsia"/>
          <w:b/>
          <w:bCs/>
          <w:szCs w:val="21"/>
        </w:rPr>
      </w:pPr>
      <w:r>
        <w:rPr>
          <w:rFonts w:hint="eastAsia" w:asciiTheme="minorEastAsia" w:hAnsiTheme="minorEastAsia" w:eastAsiaTheme="minorEastAsia"/>
          <w:b/>
          <w:szCs w:val="21"/>
        </w:rPr>
        <w:t>▲</w:t>
      </w:r>
      <w:r>
        <w:rPr>
          <w:rFonts w:hint="eastAsia" w:asciiTheme="minorEastAsia" w:hAnsiTheme="minorEastAsia" w:eastAsiaTheme="minorEastAsia"/>
          <w:b/>
          <w:bCs/>
          <w:snapToGrid w:val="0"/>
          <w:kern w:val="0"/>
          <w:szCs w:val="21"/>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投标。</w:t>
      </w:r>
    </w:p>
    <w:p w14:paraId="560BD161">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投标人投标</w:t>
      </w:r>
      <w:r>
        <w:rPr>
          <w:rFonts w:asciiTheme="minorEastAsia" w:hAnsiTheme="minorEastAsia" w:eastAsiaTheme="minorEastAsia"/>
          <w:szCs w:val="21"/>
        </w:rPr>
        <w:t>所使用的资格、信誉、荣誉、业绩与企业认证必须为本法人所拥有。</w:t>
      </w:r>
      <w:r>
        <w:rPr>
          <w:rFonts w:hint="eastAsia" w:asciiTheme="minorEastAsia" w:hAnsiTheme="minorEastAsia" w:eastAsiaTheme="minorEastAsia"/>
          <w:szCs w:val="21"/>
        </w:rPr>
        <w:t>投标人</w:t>
      </w:r>
      <w:r>
        <w:rPr>
          <w:rFonts w:asciiTheme="minorEastAsia" w:hAnsiTheme="minorEastAsia" w:eastAsiaTheme="minorEastAsia"/>
          <w:szCs w:val="21"/>
        </w:rPr>
        <w:t>投标所使用的采购项目实施人员必须为本法人员工（或必须为本法人或控股公司正式员工）。</w:t>
      </w:r>
    </w:p>
    <w:p w14:paraId="342C1298">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投标人</w:t>
      </w:r>
      <w:r>
        <w:rPr>
          <w:rFonts w:asciiTheme="minorEastAsia" w:hAnsiTheme="minorEastAsia" w:eastAsiaTheme="minorEastAsia"/>
          <w:szCs w:val="21"/>
        </w:rPr>
        <w:t>应仔细阅读</w:t>
      </w:r>
      <w:r>
        <w:rPr>
          <w:rFonts w:hint="eastAsia" w:asciiTheme="minorEastAsia" w:hAnsiTheme="minorEastAsia" w:eastAsiaTheme="minorEastAsia"/>
          <w:szCs w:val="21"/>
        </w:rPr>
        <w:t>采购</w:t>
      </w:r>
      <w:r>
        <w:rPr>
          <w:rFonts w:asciiTheme="minorEastAsia" w:hAnsiTheme="minorEastAsia" w:eastAsiaTheme="minorEastAsia"/>
          <w:szCs w:val="21"/>
        </w:rPr>
        <w:t>文件的所有内容，按照</w:t>
      </w:r>
      <w:r>
        <w:rPr>
          <w:rFonts w:hint="eastAsia" w:asciiTheme="minorEastAsia" w:hAnsiTheme="minorEastAsia" w:eastAsiaTheme="minorEastAsia"/>
          <w:szCs w:val="21"/>
        </w:rPr>
        <w:t>采购文件</w:t>
      </w:r>
      <w:r>
        <w:rPr>
          <w:rFonts w:asciiTheme="minorEastAsia" w:hAnsiTheme="minorEastAsia" w:eastAsiaTheme="minorEastAsia"/>
          <w:szCs w:val="21"/>
        </w:rPr>
        <w:t>的要求提交</w:t>
      </w:r>
      <w:r>
        <w:rPr>
          <w:rFonts w:hint="eastAsia" w:asciiTheme="minorEastAsia" w:hAnsiTheme="minorEastAsia" w:eastAsiaTheme="minorEastAsia"/>
          <w:szCs w:val="21"/>
        </w:rPr>
        <w:t>投标投标文件</w:t>
      </w:r>
      <w:r>
        <w:rPr>
          <w:rFonts w:asciiTheme="minorEastAsia" w:hAnsiTheme="minorEastAsia" w:eastAsiaTheme="minorEastAsia"/>
          <w:szCs w:val="21"/>
        </w:rPr>
        <w:t>，并对所提供的全部资料的真实性承担法律责任。</w:t>
      </w:r>
    </w:p>
    <w:p w14:paraId="3012DE55">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投标人</w:t>
      </w:r>
      <w:r>
        <w:rPr>
          <w:rFonts w:asciiTheme="minorEastAsia" w:hAnsiTheme="minorEastAsia" w:eastAsiaTheme="minorEastAsia"/>
          <w:szCs w:val="21"/>
        </w:rPr>
        <w:t>在投标活动中提供任何虚假材料,其投标无效，并报监管部门查处；中标后发现的,中标人须依照《中华人民共和国消费者权益保护法》第49条之规定双倍赔偿采购人，且民事赔偿并不免除违法</w:t>
      </w:r>
      <w:r>
        <w:rPr>
          <w:rFonts w:hint="eastAsia" w:asciiTheme="minorEastAsia" w:hAnsiTheme="minorEastAsia" w:eastAsiaTheme="minorEastAsia"/>
          <w:szCs w:val="21"/>
        </w:rPr>
        <w:t>投标人</w:t>
      </w:r>
      <w:r>
        <w:rPr>
          <w:rFonts w:asciiTheme="minorEastAsia" w:hAnsiTheme="minorEastAsia" w:eastAsiaTheme="minorEastAsia"/>
          <w:szCs w:val="21"/>
        </w:rPr>
        <w:t>的行政与刑事责任。</w:t>
      </w:r>
    </w:p>
    <w:p w14:paraId="7413C304">
      <w:pPr>
        <w:pStyle w:val="50"/>
        <w:snapToGrid w:val="0"/>
        <w:spacing w:before="120" w:after="120"/>
        <w:ind w:left="416" w:leftChars="198"/>
        <w:rPr>
          <w:rFonts w:asciiTheme="minorEastAsia" w:hAnsiTheme="minorEastAsia" w:eastAsiaTheme="minorEastAsia"/>
          <w:b/>
          <w:sz w:val="21"/>
          <w:szCs w:val="21"/>
        </w:rPr>
      </w:pPr>
      <w:r>
        <w:rPr>
          <w:rFonts w:asciiTheme="minorEastAsia" w:hAnsiTheme="minorEastAsia" w:eastAsiaTheme="minorEastAsia"/>
          <w:b/>
          <w:sz w:val="21"/>
          <w:szCs w:val="21"/>
        </w:rPr>
        <w:t>（</w:t>
      </w:r>
      <w:r>
        <w:rPr>
          <w:rFonts w:hint="eastAsia" w:asciiTheme="minorEastAsia" w:hAnsiTheme="minorEastAsia" w:eastAsiaTheme="minorEastAsia"/>
          <w:b/>
          <w:sz w:val="21"/>
          <w:szCs w:val="21"/>
        </w:rPr>
        <w:t>九</w:t>
      </w:r>
      <w:r>
        <w:rPr>
          <w:rFonts w:asciiTheme="minorEastAsia" w:hAnsiTheme="minorEastAsia" w:eastAsiaTheme="minorEastAsia"/>
          <w:b/>
          <w:sz w:val="21"/>
          <w:szCs w:val="21"/>
        </w:rPr>
        <w:t>）质疑和投诉</w:t>
      </w:r>
    </w:p>
    <w:p w14:paraId="196764C5">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1、质疑</w:t>
      </w:r>
    </w:p>
    <w:p w14:paraId="47A508F6">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1.1根据财政部94号令（《政府采购质疑和投诉办法》）的规定，投标人认为</w:t>
      </w:r>
      <w:r>
        <w:rPr>
          <w:rFonts w:hint="eastAsia" w:asciiTheme="minorEastAsia" w:hAnsiTheme="minorEastAsia" w:eastAsiaTheme="minorEastAsia"/>
          <w:szCs w:val="21"/>
        </w:rPr>
        <w:t>采购文件</w:t>
      </w:r>
      <w:r>
        <w:rPr>
          <w:rFonts w:asciiTheme="minorEastAsia" w:hAnsiTheme="minorEastAsia" w:eastAsiaTheme="minorEastAsia"/>
          <w:szCs w:val="21"/>
        </w:rPr>
        <w:t>、招标过程和中标、成交结果使自己的权益受到损害的，可以在知道或者应知其权益受到损害之日起七个工作日内，以书面形式向招标代理机构提出质疑，</w:t>
      </w:r>
      <w:r>
        <w:rPr>
          <w:rFonts w:hint="eastAsia" w:asciiTheme="minorEastAsia" w:hAnsiTheme="minorEastAsia" w:eastAsiaTheme="minorEastAsia"/>
          <w:szCs w:val="21"/>
        </w:rPr>
        <w:t>投标人</w:t>
      </w:r>
      <w:r>
        <w:rPr>
          <w:rFonts w:asciiTheme="minorEastAsia" w:hAnsiTheme="minorEastAsia" w:eastAsiaTheme="minorEastAsia"/>
          <w:szCs w:val="21"/>
        </w:rPr>
        <w:t>在法定质疑期内一次性提出针对同一采购程序环节的质疑。</w:t>
      </w:r>
    </w:p>
    <w:p w14:paraId="0606935E">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投标人如认为招标公告信息使自身的合法权益受到损害的，应于自招标公告期限届满之日起七个工作日内以书面形式向招标代理机构提出质疑</w:t>
      </w:r>
      <w:r>
        <w:rPr>
          <w:rFonts w:asciiTheme="minorEastAsia" w:hAnsiTheme="minorEastAsia" w:eastAsiaTheme="minorEastAsia"/>
          <w:szCs w:val="21"/>
        </w:rPr>
        <w:t>；</w:t>
      </w:r>
    </w:p>
    <w:p w14:paraId="29636097">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（2）投标人如认为</w:t>
      </w:r>
      <w:r>
        <w:rPr>
          <w:rFonts w:hint="eastAsia" w:asciiTheme="minorEastAsia" w:hAnsiTheme="minorEastAsia" w:eastAsiaTheme="minorEastAsia"/>
          <w:szCs w:val="21"/>
        </w:rPr>
        <w:t>采购</w:t>
      </w:r>
      <w:r>
        <w:rPr>
          <w:rFonts w:asciiTheme="minorEastAsia" w:hAnsiTheme="minorEastAsia" w:eastAsiaTheme="minorEastAsia"/>
          <w:szCs w:val="21"/>
        </w:rPr>
        <w:t>文件使自身的合法权益受到损害的，应按投标人须知前附表中质疑一栏中规定时间内提出要求；</w:t>
      </w:r>
    </w:p>
    <w:p w14:paraId="0E22E155">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（3）对采购过程提出质疑的，为各采购程序环节结束之日；</w:t>
      </w:r>
    </w:p>
    <w:p w14:paraId="4F6E3C6C">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投标人如认为招标过程和中标结果使自身的合法权益受到损害的，应于中标结果公告期限届满之日起七个工作日内以书面形式向招标代理机构一次性提出针对同一采购程序环节的质疑。</w:t>
      </w:r>
    </w:p>
    <w:p w14:paraId="6B136E71">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1.2提出质疑的</w:t>
      </w:r>
      <w:r>
        <w:rPr>
          <w:rFonts w:hint="eastAsia" w:asciiTheme="minorEastAsia" w:hAnsiTheme="minorEastAsia" w:eastAsiaTheme="minorEastAsia"/>
          <w:szCs w:val="21"/>
        </w:rPr>
        <w:t>投标人</w:t>
      </w:r>
      <w:r>
        <w:rPr>
          <w:rFonts w:asciiTheme="minorEastAsia" w:hAnsiTheme="minorEastAsia" w:eastAsiaTheme="minorEastAsia"/>
          <w:szCs w:val="21"/>
        </w:rPr>
        <w:t>（以下简称质疑</w:t>
      </w:r>
      <w:r>
        <w:rPr>
          <w:rFonts w:hint="eastAsia" w:asciiTheme="minorEastAsia" w:hAnsiTheme="minorEastAsia" w:eastAsiaTheme="minorEastAsia"/>
          <w:szCs w:val="21"/>
        </w:rPr>
        <w:t>投标人</w:t>
      </w:r>
      <w:r>
        <w:rPr>
          <w:rFonts w:asciiTheme="minorEastAsia" w:hAnsiTheme="minorEastAsia" w:eastAsiaTheme="minorEastAsia"/>
          <w:szCs w:val="21"/>
        </w:rPr>
        <w:t>）应当是参与所质疑项目采购活动的</w:t>
      </w:r>
      <w:r>
        <w:rPr>
          <w:rFonts w:hint="eastAsia" w:asciiTheme="minorEastAsia" w:hAnsiTheme="minorEastAsia" w:eastAsiaTheme="minorEastAsia"/>
          <w:szCs w:val="21"/>
        </w:rPr>
        <w:t>投标人</w:t>
      </w:r>
      <w:r>
        <w:rPr>
          <w:rFonts w:asciiTheme="minorEastAsia" w:hAnsiTheme="minorEastAsia" w:eastAsiaTheme="minorEastAsia"/>
          <w:szCs w:val="21"/>
        </w:rPr>
        <w:t>。</w:t>
      </w:r>
    </w:p>
    <w:p w14:paraId="732653CB">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1.3</w:t>
      </w:r>
      <w:r>
        <w:rPr>
          <w:rFonts w:hint="eastAsia" w:asciiTheme="minorEastAsia" w:hAnsiTheme="minorEastAsia" w:eastAsiaTheme="minorEastAsia"/>
          <w:szCs w:val="21"/>
        </w:rPr>
        <w:t>投标人</w:t>
      </w:r>
      <w:r>
        <w:rPr>
          <w:rFonts w:asciiTheme="minorEastAsia" w:hAnsiTheme="minorEastAsia" w:eastAsiaTheme="minorEastAsia"/>
          <w:szCs w:val="21"/>
        </w:rPr>
        <w:t>为自然人的，应当由本人签字；</w:t>
      </w:r>
      <w:r>
        <w:rPr>
          <w:rFonts w:hint="eastAsia" w:asciiTheme="minorEastAsia" w:hAnsiTheme="minorEastAsia" w:eastAsiaTheme="minorEastAsia"/>
          <w:szCs w:val="21"/>
        </w:rPr>
        <w:t>投标人</w:t>
      </w:r>
      <w:r>
        <w:rPr>
          <w:rFonts w:asciiTheme="minorEastAsia" w:hAnsiTheme="minorEastAsia" w:eastAsiaTheme="minorEastAsia"/>
          <w:szCs w:val="21"/>
        </w:rPr>
        <w:t>为法人或者其他组织的，应当由法定代表人、主要负责人，或者其授权代表签字或者盖章，并加盖公章。</w:t>
      </w:r>
    </w:p>
    <w:p w14:paraId="273531E5">
      <w:pPr>
        <w:snapToGrid w:val="0"/>
        <w:spacing w:line="400" w:lineRule="exact"/>
        <w:ind w:right="-506" w:rightChars="-241"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投标人</w:t>
      </w:r>
      <w:r>
        <w:rPr>
          <w:rFonts w:asciiTheme="minorEastAsia" w:hAnsiTheme="minorEastAsia" w:eastAsiaTheme="minorEastAsia"/>
          <w:szCs w:val="21"/>
        </w:rPr>
        <w:t>可以委托代理人进行质疑和投诉。其授权委托书应当载明代理人的姓名或者名称、代理事项、具体权限、期限和相关事项。</w:t>
      </w:r>
      <w:r>
        <w:rPr>
          <w:rFonts w:hint="eastAsia" w:asciiTheme="minorEastAsia" w:hAnsiTheme="minorEastAsia" w:eastAsiaTheme="minorEastAsia"/>
          <w:szCs w:val="21"/>
        </w:rPr>
        <w:t>投标人</w:t>
      </w:r>
      <w:r>
        <w:rPr>
          <w:rFonts w:asciiTheme="minorEastAsia" w:hAnsiTheme="minorEastAsia" w:eastAsiaTheme="minorEastAsia"/>
          <w:szCs w:val="21"/>
        </w:rPr>
        <w:t>为自然人的，应当由本人签字；</w:t>
      </w:r>
      <w:r>
        <w:rPr>
          <w:rFonts w:hint="eastAsia" w:asciiTheme="minorEastAsia" w:hAnsiTheme="minorEastAsia" w:eastAsiaTheme="minorEastAsia"/>
          <w:szCs w:val="21"/>
        </w:rPr>
        <w:t>投标人</w:t>
      </w:r>
      <w:r>
        <w:rPr>
          <w:rFonts w:asciiTheme="minorEastAsia" w:hAnsiTheme="minorEastAsia" w:eastAsiaTheme="minorEastAsia"/>
          <w:szCs w:val="21"/>
        </w:rPr>
        <w:t>为法人或者其他组织的，应当由法定代表人、主要负责人签字或者盖章，并加盖公章。代理人提出质疑和投诉，应当提交</w:t>
      </w:r>
      <w:r>
        <w:rPr>
          <w:rFonts w:hint="eastAsia" w:asciiTheme="minorEastAsia" w:hAnsiTheme="minorEastAsia" w:eastAsiaTheme="minorEastAsia"/>
          <w:szCs w:val="21"/>
        </w:rPr>
        <w:t>投标人</w:t>
      </w:r>
      <w:r>
        <w:rPr>
          <w:rFonts w:asciiTheme="minorEastAsia" w:hAnsiTheme="minorEastAsia" w:eastAsiaTheme="minorEastAsia"/>
          <w:szCs w:val="21"/>
        </w:rPr>
        <w:t>签署的授权委托书。</w:t>
      </w:r>
    </w:p>
    <w:p w14:paraId="1B3261AE">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以联合体形式参加政府采购活动的，其投诉应当由组成联合体的所有</w:t>
      </w:r>
      <w:r>
        <w:rPr>
          <w:rFonts w:hint="eastAsia" w:asciiTheme="minorEastAsia" w:hAnsiTheme="minorEastAsia" w:eastAsiaTheme="minorEastAsia"/>
          <w:szCs w:val="21"/>
        </w:rPr>
        <w:t>投标人</w:t>
      </w:r>
      <w:r>
        <w:rPr>
          <w:rFonts w:asciiTheme="minorEastAsia" w:hAnsiTheme="minorEastAsia" w:eastAsiaTheme="minorEastAsia"/>
          <w:szCs w:val="21"/>
        </w:rPr>
        <w:t>共同提出。</w:t>
      </w:r>
    </w:p>
    <w:p w14:paraId="5FF23A16">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1.4投标人提交的质疑书需一式三份，质疑书至少应包括下列主要内容：</w:t>
      </w:r>
    </w:p>
    <w:p w14:paraId="6E11DA77">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（一）</w:t>
      </w:r>
      <w:r>
        <w:rPr>
          <w:rFonts w:hint="eastAsia" w:asciiTheme="minorEastAsia" w:hAnsiTheme="minorEastAsia" w:eastAsiaTheme="minorEastAsia"/>
          <w:szCs w:val="21"/>
        </w:rPr>
        <w:t>投标人</w:t>
      </w:r>
      <w:r>
        <w:rPr>
          <w:rFonts w:asciiTheme="minorEastAsia" w:hAnsiTheme="minorEastAsia" w:eastAsiaTheme="minorEastAsia"/>
          <w:szCs w:val="21"/>
        </w:rPr>
        <w:t>的姓名或者名称、地址、邮编、联系人及联系电话；</w:t>
      </w:r>
    </w:p>
    <w:p w14:paraId="30350523">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（二）质疑项目的名称、编号；</w:t>
      </w:r>
    </w:p>
    <w:p w14:paraId="47C240A6">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（三）具体、明确的质疑事项和与质疑事项相关的请求；</w:t>
      </w:r>
    </w:p>
    <w:p w14:paraId="6594F861">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（四）事实依据；</w:t>
      </w:r>
    </w:p>
    <w:p w14:paraId="26FBB1C7">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（五）必要的法律依据；</w:t>
      </w:r>
    </w:p>
    <w:p w14:paraId="65C7C73E">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（六）提出质疑的日期。</w:t>
      </w:r>
    </w:p>
    <w:p w14:paraId="4DDFB963">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1.5采购人、采购代理机构不得拒收质疑</w:t>
      </w:r>
      <w:r>
        <w:rPr>
          <w:rFonts w:hint="eastAsia" w:asciiTheme="minorEastAsia" w:hAnsiTheme="minorEastAsia" w:eastAsiaTheme="minorEastAsia"/>
          <w:szCs w:val="21"/>
        </w:rPr>
        <w:t>投标人</w:t>
      </w:r>
      <w:r>
        <w:rPr>
          <w:rFonts w:asciiTheme="minorEastAsia" w:hAnsiTheme="minorEastAsia" w:eastAsiaTheme="minorEastAsia"/>
          <w:szCs w:val="21"/>
        </w:rPr>
        <w:t>在法定质疑期内发出的质疑函，应当在收到质疑函后7个工作日内作出答复，质疑答复的内容不得涉及商业秘密，并以书面形式通知质疑</w:t>
      </w:r>
      <w:r>
        <w:rPr>
          <w:rFonts w:hint="eastAsia" w:asciiTheme="minorEastAsia" w:hAnsiTheme="minorEastAsia" w:eastAsiaTheme="minorEastAsia"/>
          <w:szCs w:val="21"/>
        </w:rPr>
        <w:t>投标人</w:t>
      </w:r>
      <w:r>
        <w:rPr>
          <w:rFonts w:asciiTheme="minorEastAsia" w:hAnsiTheme="minorEastAsia" w:eastAsiaTheme="minorEastAsia"/>
          <w:szCs w:val="21"/>
        </w:rPr>
        <w:t>和其他有关</w:t>
      </w:r>
      <w:r>
        <w:rPr>
          <w:rFonts w:hint="eastAsia" w:asciiTheme="minorEastAsia" w:hAnsiTheme="minorEastAsia" w:eastAsiaTheme="minorEastAsia"/>
          <w:szCs w:val="21"/>
        </w:rPr>
        <w:t>投标人</w:t>
      </w:r>
      <w:r>
        <w:rPr>
          <w:rFonts w:asciiTheme="minorEastAsia" w:hAnsiTheme="minorEastAsia" w:eastAsiaTheme="minorEastAsia"/>
          <w:szCs w:val="21"/>
        </w:rPr>
        <w:t>。</w:t>
      </w:r>
    </w:p>
    <w:p w14:paraId="6C9CCAD1">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2、投诉</w:t>
      </w:r>
    </w:p>
    <w:p w14:paraId="60371485">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2.1质疑</w:t>
      </w:r>
      <w:r>
        <w:rPr>
          <w:rFonts w:hint="eastAsia" w:asciiTheme="minorEastAsia" w:hAnsiTheme="minorEastAsia" w:eastAsiaTheme="minorEastAsia"/>
          <w:szCs w:val="21"/>
        </w:rPr>
        <w:t>投标人</w:t>
      </w:r>
      <w:r>
        <w:rPr>
          <w:rFonts w:asciiTheme="minorEastAsia" w:hAnsiTheme="minorEastAsia" w:eastAsiaTheme="minorEastAsia"/>
          <w:szCs w:val="21"/>
        </w:rPr>
        <w:t>对采购人、采购代理机构的答复不满意，或者采购人、采购代理机构未在规定时间内作出答复的，可以在答复期满后15个工作日内向《政府采购质疑和投诉办法》第六条规定的财政部门提起投诉。</w:t>
      </w:r>
    </w:p>
    <w:p w14:paraId="04B7B50E">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2.2</w:t>
      </w:r>
      <w:r>
        <w:rPr>
          <w:rFonts w:hint="eastAsia" w:asciiTheme="minorEastAsia" w:hAnsiTheme="minorEastAsia" w:eastAsiaTheme="minorEastAsia"/>
          <w:szCs w:val="21"/>
        </w:rPr>
        <w:t>投标人</w:t>
      </w:r>
      <w:r>
        <w:rPr>
          <w:rFonts w:asciiTheme="minorEastAsia" w:hAnsiTheme="minorEastAsia" w:eastAsiaTheme="minorEastAsia"/>
          <w:szCs w:val="21"/>
        </w:rPr>
        <w:t>投诉的事项不得超出已质疑事项的范围，但基于质疑答复内容提出的投诉事项除外。</w:t>
      </w:r>
    </w:p>
    <w:p w14:paraId="06E66614">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2.3投诉人提起投诉应当符合下列条件：</w:t>
      </w:r>
    </w:p>
    <w:p w14:paraId="280A2610">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（一）提起投诉前已依法进行质疑；</w:t>
      </w:r>
    </w:p>
    <w:p w14:paraId="43409EE9">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（二）投诉书内容符合本办法的规定；</w:t>
      </w:r>
    </w:p>
    <w:p w14:paraId="1F2D1A2C">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（三）在投诉有效期限内提起投诉；</w:t>
      </w:r>
    </w:p>
    <w:p w14:paraId="3A73A4F3">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（四）同一投诉事项未经财政部门投诉处理；</w:t>
      </w:r>
    </w:p>
    <w:p w14:paraId="2A262EAF">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（五）财政部规定的其他条件。</w:t>
      </w:r>
    </w:p>
    <w:p w14:paraId="12DED068">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2.4投诉人在全国范围12个月内三次以上投诉查无实据的，由财政部门列入不良行为记录名单。</w:t>
      </w:r>
    </w:p>
    <w:p w14:paraId="6001415D">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2.5投诉人有下列行为之一的，属于虚假、恶意投诉，由财政部门列入不良行为记录名单，禁止其1至3年内参加政府采购活动：</w:t>
      </w:r>
    </w:p>
    <w:p w14:paraId="5BEF4E33">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（一）捏造事实</w:t>
      </w:r>
      <w:r>
        <w:rPr>
          <w:rFonts w:hint="eastAsia" w:asciiTheme="minorEastAsia" w:hAnsiTheme="minorEastAsia" w:eastAsiaTheme="minorEastAsia"/>
          <w:szCs w:val="21"/>
        </w:rPr>
        <w:t>；</w:t>
      </w:r>
    </w:p>
    <w:p w14:paraId="71898BFD">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（二）提供虚假材料</w:t>
      </w:r>
      <w:r>
        <w:rPr>
          <w:rFonts w:hint="eastAsia" w:asciiTheme="minorEastAsia" w:hAnsiTheme="minorEastAsia" w:eastAsiaTheme="minorEastAsia"/>
          <w:szCs w:val="21"/>
        </w:rPr>
        <w:t>；</w:t>
      </w:r>
    </w:p>
    <w:p w14:paraId="0CE86FE2">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（三）以非法手段取得证明材料。证据来源的合法性存在明显疑问，投诉人无法证明其取得方式合法的，视为以非法手段取得证明材料。</w:t>
      </w:r>
    </w:p>
    <w:p w14:paraId="2FA606CC">
      <w:pPr>
        <w:snapToGrid w:val="0"/>
        <w:spacing w:line="400" w:lineRule="exact"/>
        <w:ind w:right="-506" w:rightChars="-241" w:firstLine="420" w:firstLineChars="200"/>
        <w:jc w:val="left"/>
        <w:rPr>
          <w:rFonts w:asciiTheme="minorEastAsia" w:hAnsiTheme="minorEastAsia" w:eastAsiaTheme="minorEastAsia"/>
          <w:szCs w:val="21"/>
        </w:rPr>
      </w:pPr>
      <w:r>
        <w:rPr>
          <w:rFonts w:asciiTheme="minorEastAsia" w:hAnsiTheme="minorEastAsia" w:eastAsiaTheme="minorEastAsia"/>
          <w:szCs w:val="21"/>
        </w:rPr>
        <w:t>2.6政府采购</w:t>
      </w:r>
      <w:r>
        <w:rPr>
          <w:rFonts w:hint="eastAsia" w:asciiTheme="minorEastAsia" w:hAnsiTheme="minorEastAsia" w:eastAsiaTheme="minorEastAsia"/>
          <w:szCs w:val="21"/>
        </w:rPr>
        <w:t>投标人</w:t>
      </w:r>
      <w:r>
        <w:rPr>
          <w:rFonts w:asciiTheme="minorEastAsia" w:hAnsiTheme="minorEastAsia" w:eastAsiaTheme="minorEastAsia"/>
          <w:szCs w:val="21"/>
        </w:rPr>
        <w:t>质疑函范本，详见附件</w:t>
      </w:r>
      <w:r>
        <w:rPr>
          <w:rFonts w:hint="eastAsia" w:asciiTheme="minorEastAsia" w:hAnsiTheme="minorEastAsia" w:eastAsiaTheme="minorEastAsia"/>
          <w:szCs w:val="21"/>
        </w:rPr>
        <w:t>。</w:t>
      </w:r>
    </w:p>
    <w:p w14:paraId="081A87A6">
      <w:pPr>
        <w:pStyle w:val="50"/>
        <w:snapToGrid w:val="0"/>
        <w:spacing w:before="120" w:after="120" w:line="360" w:lineRule="auto"/>
        <w:ind w:right="-506" w:rightChars="-241"/>
        <w:jc w:val="center"/>
        <w:rPr>
          <w:rFonts w:asciiTheme="minorEastAsia" w:hAnsiTheme="minorEastAsia" w:eastAsiaTheme="minorEastAsia"/>
          <w:b/>
          <w:sz w:val="28"/>
          <w:szCs w:val="28"/>
        </w:rPr>
      </w:pPr>
      <w:r>
        <w:rPr>
          <w:rFonts w:asciiTheme="minorEastAsia" w:hAnsiTheme="minorEastAsia" w:eastAsiaTheme="minorEastAsia"/>
          <w:b/>
          <w:sz w:val="28"/>
          <w:szCs w:val="28"/>
        </w:rPr>
        <w:t>二</w:t>
      </w:r>
      <w:r>
        <w:rPr>
          <w:rFonts w:hint="eastAsia" w:asciiTheme="minorEastAsia" w:hAnsiTheme="minorEastAsia" w:eastAsiaTheme="minorEastAsia"/>
          <w:b/>
          <w:sz w:val="28"/>
          <w:szCs w:val="28"/>
        </w:rPr>
        <w:t>．投标</w:t>
      </w:r>
      <w:r>
        <w:rPr>
          <w:rFonts w:asciiTheme="minorEastAsia" w:hAnsiTheme="minorEastAsia" w:eastAsiaTheme="minorEastAsia"/>
          <w:b/>
          <w:sz w:val="28"/>
          <w:szCs w:val="28"/>
        </w:rPr>
        <w:t>文件</w:t>
      </w:r>
    </w:p>
    <w:p w14:paraId="5FF28684">
      <w:pPr>
        <w:snapToGrid w:val="0"/>
        <w:spacing w:line="360" w:lineRule="auto"/>
        <w:ind w:right="-241"/>
        <w:jc w:val="left"/>
        <w:rPr>
          <w:rFonts w:asciiTheme="minorEastAsia" w:hAnsiTheme="minorEastAsia" w:eastAsiaTheme="minorEastAsia"/>
          <w:b/>
          <w:szCs w:val="21"/>
        </w:rPr>
      </w:pPr>
      <w:r>
        <w:rPr>
          <w:rFonts w:asciiTheme="minorEastAsia" w:hAnsiTheme="minorEastAsia" w:eastAsiaTheme="minorEastAsia"/>
          <w:b/>
          <w:szCs w:val="21"/>
        </w:rPr>
        <w:t>（一）</w:t>
      </w:r>
      <w:r>
        <w:rPr>
          <w:rFonts w:hint="eastAsia" w:asciiTheme="minorEastAsia" w:hAnsiTheme="minorEastAsia" w:eastAsiaTheme="minorEastAsia"/>
          <w:b/>
          <w:szCs w:val="21"/>
        </w:rPr>
        <w:t>采购文件</w:t>
      </w:r>
      <w:r>
        <w:rPr>
          <w:rFonts w:asciiTheme="minorEastAsia" w:hAnsiTheme="minorEastAsia" w:eastAsiaTheme="minorEastAsia"/>
          <w:b/>
          <w:szCs w:val="21"/>
        </w:rPr>
        <w:t>的构成。本</w:t>
      </w:r>
      <w:r>
        <w:rPr>
          <w:rFonts w:hint="eastAsia" w:asciiTheme="minorEastAsia" w:hAnsiTheme="minorEastAsia" w:eastAsiaTheme="minorEastAsia"/>
          <w:b/>
          <w:szCs w:val="21"/>
        </w:rPr>
        <w:t>采购文件</w:t>
      </w:r>
      <w:r>
        <w:rPr>
          <w:rFonts w:asciiTheme="minorEastAsia" w:hAnsiTheme="minorEastAsia" w:eastAsiaTheme="minorEastAsia"/>
          <w:b/>
          <w:szCs w:val="21"/>
        </w:rPr>
        <w:t>由以下部份组成：</w:t>
      </w:r>
    </w:p>
    <w:p w14:paraId="40527670">
      <w:pPr>
        <w:spacing w:line="360" w:lineRule="auto"/>
        <w:ind w:firstLine="420" w:firstLineChars="200"/>
        <w:rPr>
          <w:rFonts w:asciiTheme="minorEastAsia" w:hAnsiTheme="minorEastAsia" w:eastAsiaTheme="minorEastAsia"/>
        </w:rPr>
      </w:pPr>
      <w:r>
        <w:rPr>
          <w:rFonts w:asciiTheme="minorEastAsia" w:hAnsiTheme="minorEastAsia" w:eastAsiaTheme="minorEastAsia"/>
        </w:rPr>
        <w:t xml:space="preserve">第一章  </w:t>
      </w:r>
      <w:r>
        <w:rPr>
          <w:rFonts w:hint="eastAsia" w:asciiTheme="minorEastAsia" w:hAnsiTheme="minorEastAsia" w:eastAsiaTheme="minorEastAsia"/>
        </w:rPr>
        <w:t>采购</w:t>
      </w:r>
      <w:r>
        <w:rPr>
          <w:rFonts w:asciiTheme="minorEastAsia" w:hAnsiTheme="minorEastAsia" w:eastAsiaTheme="minorEastAsia"/>
        </w:rPr>
        <w:t>公告</w:t>
      </w:r>
    </w:p>
    <w:p w14:paraId="0FB045BF">
      <w:pPr>
        <w:spacing w:line="360" w:lineRule="auto"/>
        <w:ind w:firstLine="420" w:firstLineChars="200"/>
        <w:rPr>
          <w:rFonts w:asciiTheme="minorEastAsia" w:hAnsiTheme="minorEastAsia" w:eastAsiaTheme="minorEastAsia"/>
        </w:rPr>
      </w:pPr>
      <w:r>
        <w:rPr>
          <w:rFonts w:asciiTheme="minorEastAsia" w:hAnsiTheme="minorEastAsia" w:eastAsiaTheme="minorEastAsia"/>
        </w:rPr>
        <w:t>第二章  采购需求</w:t>
      </w:r>
    </w:p>
    <w:p w14:paraId="4F741F9A">
      <w:pPr>
        <w:spacing w:line="360" w:lineRule="auto"/>
        <w:ind w:firstLine="420" w:firstLineChars="200"/>
        <w:rPr>
          <w:rFonts w:asciiTheme="minorEastAsia" w:hAnsiTheme="minorEastAsia" w:eastAsiaTheme="minorEastAsia"/>
        </w:rPr>
      </w:pPr>
      <w:r>
        <w:rPr>
          <w:rFonts w:asciiTheme="minorEastAsia" w:hAnsiTheme="minorEastAsia" w:eastAsiaTheme="minorEastAsia"/>
        </w:rPr>
        <w:t xml:space="preserve">第三章  </w:t>
      </w:r>
      <w:r>
        <w:rPr>
          <w:rFonts w:hint="eastAsia" w:asciiTheme="minorEastAsia" w:hAnsiTheme="minorEastAsia" w:eastAsiaTheme="minorEastAsia"/>
        </w:rPr>
        <w:t>投标人</w:t>
      </w:r>
      <w:r>
        <w:rPr>
          <w:rFonts w:asciiTheme="minorEastAsia" w:hAnsiTheme="minorEastAsia" w:eastAsiaTheme="minorEastAsia"/>
        </w:rPr>
        <w:t>须知</w:t>
      </w:r>
    </w:p>
    <w:p w14:paraId="7EEF6A89">
      <w:pPr>
        <w:spacing w:line="360" w:lineRule="auto"/>
        <w:ind w:firstLine="420" w:firstLineChars="200"/>
        <w:rPr>
          <w:rFonts w:asciiTheme="minorEastAsia" w:hAnsiTheme="minorEastAsia" w:eastAsiaTheme="minorEastAsia"/>
        </w:rPr>
      </w:pPr>
      <w:r>
        <w:rPr>
          <w:rFonts w:asciiTheme="minorEastAsia" w:hAnsiTheme="minorEastAsia" w:eastAsiaTheme="minorEastAsia"/>
        </w:rPr>
        <w:t xml:space="preserve">第四章  </w:t>
      </w:r>
      <w:r>
        <w:rPr>
          <w:rFonts w:hint="eastAsia" w:asciiTheme="minorEastAsia" w:hAnsiTheme="minorEastAsia" w:eastAsiaTheme="minorEastAsia"/>
        </w:rPr>
        <w:t>评标</w:t>
      </w:r>
      <w:r>
        <w:rPr>
          <w:rFonts w:asciiTheme="minorEastAsia" w:hAnsiTheme="minorEastAsia" w:eastAsiaTheme="minorEastAsia"/>
        </w:rPr>
        <w:t>办法及标准</w:t>
      </w:r>
    </w:p>
    <w:p w14:paraId="49FC0579">
      <w:pPr>
        <w:spacing w:line="360" w:lineRule="auto"/>
        <w:ind w:firstLine="420" w:firstLineChars="200"/>
        <w:rPr>
          <w:rFonts w:asciiTheme="minorEastAsia" w:hAnsiTheme="minorEastAsia" w:eastAsiaTheme="minorEastAsia"/>
        </w:rPr>
      </w:pPr>
      <w:r>
        <w:rPr>
          <w:rFonts w:asciiTheme="minorEastAsia" w:hAnsiTheme="minorEastAsia" w:eastAsiaTheme="minorEastAsia"/>
        </w:rPr>
        <w:t>第五章  合同主要条款</w:t>
      </w:r>
    </w:p>
    <w:p w14:paraId="63C1114A">
      <w:pPr>
        <w:spacing w:line="360" w:lineRule="auto"/>
        <w:ind w:firstLine="420" w:firstLineChars="200"/>
        <w:rPr>
          <w:rFonts w:asciiTheme="minorEastAsia" w:hAnsiTheme="minorEastAsia" w:eastAsiaTheme="minorEastAsia"/>
        </w:rPr>
      </w:pPr>
      <w:r>
        <w:rPr>
          <w:rFonts w:asciiTheme="minorEastAsia" w:hAnsiTheme="minorEastAsia" w:eastAsiaTheme="minorEastAsia"/>
        </w:rPr>
        <w:t xml:space="preserve">第六章  </w:t>
      </w:r>
      <w:r>
        <w:rPr>
          <w:rFonts w:hint="eastAsia" w:asciiTheme="minorEastAsia" w:hAnsiTheme="minorEastAsia" w:eastAsiaTheme="minorEastAsia"/>
        </w:rPr>
        <w:t>投标文件相关格式</w:t>
      </w:r>
    </w:p>
    <w:p w14:paraId="65F3A327">
      <w:pPr>
        <w:snapToGrid w:val="0"/>
        <w:spacing w:line="360" w:lineRule="auto"/>
        <w:ind w:right="-238"/>
        <w:jc w:val="left"/>
        <w:rPr>
          <w:rFonts w:asciiTheme="minorEastAsia" w:hAnsiTheme="minorEastAsia" w:eastAsiaTheme="minorEastAsia"/>
          <w:b/>
          <w:szCs w:val="21"/>
        </w:rPr>
      </w:pPr>
      <w:r>
        <w:rPr>
          <w:rFonts w:asciiTheme="minorEastAsia" w:hAnsiTheme="minorEastAsia" w:eastAsiaTheme="minorEastAsia"/>
          <w:b/>
          <w:szCs w:val="21"/>
        </w:rPr>
        <w:t>（二）</w:t>
      </w:r>
      <w:r>
        <w:rPr>
          <w:rFonts w:hint="eastAsia" w:asciiTheme="minorEastAsia" w:hAnsiTheme="minorEastAsia" w:eastAsiaTheme="minorEastAsia"/>
          <w:b/>
          <w:szCs w:val="21"/>
        </w:rPr>
        <w:t>投标人</w:t>
      </w:r>
      <w:r>
        <w:rPr>
          <w:rFonts w:asciiTheme="minorEastAsia" w:hAnsiTheme="minorEastAsia" w:eastAsiaTheme="minorEastAsia"/>
          <w:b/>
          <w:szCs w:val="21"/>
        </w:rPr>
        <w:t>的风险</w:t>
      </w:r>
    </w:p>
    <w:p w14:paraId="750BE931">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投标人</w:t>
      </w:r>
      <w:r>
        <w:rPr>
          <w:rFonts w:asciiTheme="minorEastAsia" w:hAnsiTheme="minorEastAsia" w:eastAsiaTheme="minorEastAsia"/>
          <w:szCs w:val="21"/>
        </w:rPr>
        <w:t>没有按照</w:t>
      </w:r>
      <w:r>
        <w:rPr>
          <w:rFonts w:hint="eastAsia" w:asciiTheme="minorEastAsia" w:hAnsiTheme="minorEastAsia" w:eastAsiaTheme="minorEastAsia"/>
          <w:szCs w:val="21"/>
        </w:rPr>
        <w:t>采购文件</w:t>
      </w:r>
      <w:r>
        <w:rPr>
          <w:rFonts w:asciiTheme="minorEastAsia" w:hAnsiTheme="minorEastAsia" w:eastAsiaTheme="minorEastAsia"/>
          <w:szCs w:val="21"/>
        </w:rPr>
        <w:t>要求提供全部资料，或者</w:t>
      </w:r>
      <w:r>
        <w:rPr>
          <w:rFonts w:hint="eastAsia" w:asciiTheme="minorEastAsia" w:hAnsiTheme="minorEastAsia" w:eastAsiaTheme="minorEastAsia"/>
          <w:szCs w:val="21"/>
        </w:rPr>
        <w:t>投标人</w:t>
      </w:r>
      <w:r>
        <w:rPr>
          <w:rFonts w:asciiTheme="minorEastAsia" w:hAnsiTheme="minorEastAsia" w:eastAsiaTheme="minorEastAsia"/>
          <w:szCs w:val="21"/>
        </w:rPr>
        <w:t>没有对</w:t>
      </w:r>
      <w:r>
        <w:rPr>
          <w:rFonts w:hint="eastAsia" w:asciiTheme="minorEastAsia" w:hAnsiTheme="minorEastAsia" w:eastAsiaTheme="minorEastAsia"/>
          <w:szCs w:val="21"/>
        </w:rPr>
        <w:t>采购文件</w:t>
      </w:r>
      <w:r>
        <w:rPr>
          <w:rFonts w:asciiTheme="minorEastAsia" w:hAnsiTheme="minorEastAsia" w:eastAsiaTheme="minorEastAsia"/>
          <w:szCs w:val="21"/>
        </w:rPr>
        <w:t>在各方面作出实质性响应是</w:t>
      </w:r>
      <w:r>
        <w:rPr>
          <w:rFonts w:hint="eastAsia" w:asciiTheme="minorEastAsia" w:hAnsiTheme="minorEastAsia" w:eastAsiaTheme="minorEastAsia"/>
          <w:szCs w:val="21"/>
        </w:rPr>
        <w:t>投标人</w:t>
      </w:r>
      <w:r>
        <w:rPr>
          <w:rFonts w:asciiTheme="minorEastAsia" w:hAnsiTheme="minorEastAsia" w:eastAsiaTheme="minorEastAsia"/>
          <w:szCs w:val="21"/>
        </w:rPr>
        <w:t>的风险，</w:t>
      </w:r>
      <w:r>
        <w:rPr>
          <w:rFonts w:hint="eastAsia" w:cs="宋体" w:asciiTheme="minorEastAsia" w:hAnsiTheme="minorEastAsia" w:eastAsiaTheme="minorEastAsia"/>
          <w:szCs w:val="21"/>
        </w:rPr>
        <w:t>责任自负</w:t>
      </w:r>
      <w:r>
        <w:rPr>
          <w:rFonts w:asciiTheme="minorEastAsia" w:hAnsiTheme="minorEastAsia" w:eastAsiaTheme="minorEastAsia"/>
          <w:szCs w:val="21"/>
        </w:rPr>
        <w:t>。</w:t>
      </w:r>
    </w:p>
    <w:p w14:paraId="3C15E456">
      <w:pPr>
        <w:snapToGrid w:val="0"/>
        <w:spacing w:line="360" w:lineRule="auto"/>
        <w:ind w:right="-238"/>
        <w:jc w:val="left"/>
        <w:rPr>
          <w:rFonts w:asciiTheme="minorEastAsia" w:hAnsiTheme="minorEastAsia" w:eastAsiaTheme="minorEastAsia"/>
          <w:b/>
          <w:szCs w:val="21"/>
        </w:rPr>
      </w:pPr>
      <w:r>
        <w:rPr>
          <w:rFonts w:asciiTheme="minorEastAsia" w:hAnsiTheme="minorEastAsia" w:eastAsiaTheme="minorEastAsia"/>
          <w:b/>
          <w:szCs w:val="21"/>
        </w:rPr>
        <w:t>（三）</w:t>
      </w:r>
      <w:r>
        <w:rPr>
          <w:rFonts w:hint="eastAsia" w:asciiTheme="minorEastAsia" w:hAnsiTheme="minorEastAsia" w:eastAsiaTheme="minorEastAsia"/>
          <w:b/>
          <w:szCs w:val="21"/>
        </w:rPr>
        <w:t>采购文件</w:t>
      </w:r>
      <w:r>
        <w:rPr>
          <w:rFonts w:asciiTheme="minorEastAsia" w:hAnsiTheme="minorEastAsia" w:eastAsiaTheme="minorEastAsia"/>
          <w:b/>
          <w:szCs w:val="21"/>
        </w:rPr>
        <w:t xml:space="preserve">的澄清与修改 </w:t>
      </w:r>
    </w:p>
    <w:p w14:paraId="566108A6">
      <w:pPr>
        <w:pStyle w:val="12"/>
        <w:spacing w:after="0"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1.投标人应认真阅读本采购文件，发现其中有误或有要求不合理的，投标人须在采购公告期限届满之日起7个工作日内，以书面形式一次性向采购人和采购代理机构提出。招标、采购单位对已发出的采购文件进行必要澄清、答复、修改或补充的，应当在采购文件要求提交投标文件截止时间15天前，在财政部门指定的政府采购信息发布媒体上发布更正公告，并通知所有已报名的潜在投标人。</w:t>
      </w:r>
    </w:p>
    <w:p w14:paraId="0712377D">
      <w:pPr>
        <w:pStyle w:val="12"/>
        <w:spacing w:after="0"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2.采购文件的答复、澄清、修改、补充通知实质上改变采购需求相关内容，且自采购文件的答复、澄清、修改、补充通知发出之日起至投标截止时间止不足15天的，招标采购单位可视情况推迟投标截止时间和开标时间，按规定在财政部门指定的政府采购信息发布媒体上发布变更公告，并将变更后的时间通知所有已报名的潜在投标人。</w:t>
      </w:r>
    </w:p>
    <w:p w14:paraId="26266B92">
      <w:pPr>
        <w:pStyle w:val="12"/>
        <w:spacing w:after="0"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3.采购文件澄清、答复、修改、补充的内容为采购文件的组成部分。当采购文件与采购文件的答复、澄清、修改、补充通知就同一内容的表述不一致时，以最后发出的变更公告为准。</w:t>
      </w:r>
    </w:p>
    <w:p w14:paraId="3B145E02">
      <w:pPr>
        <w:pStyle w:val="12"/>
        <w:spacing w:after="0"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4.采购文件的澄清、答复、修改或补充都应该通过本代理机构以法定形式发布。</w:t>
      </w:r>
    </w:p>
    <w:p w14:paraId="24238B34">
      <w:pPr>
        <w:pStyle w:val="50"/>
        <w:snapToGrid w:val="0"/>
        <w:spacing w:before="120" w:after="120" w:line="360" w:lineRule="auto"/>
        <w:ind w:right="-506" w:rightChars="-241"/>
        <w:jc w:val="center"/>
        <w:rPr>
          <w:rFonts w:asciiTheme="minorEastAsia" w:hAnsiTheme="minorEastAsia" w:eastAsiaTheme="minorEastAsia"/>
          <w:b/>
          <w:sz w:val="28"/>
          <w:szCs w:val="28"/>
        </w:rPr>
      </w:pPr>
      <w:r>
        <w:rPr>
          <w:rFonts w:asciiTheme="minorEastAsia" w:hAnsiTheme="minorEastAsia" w:eastAsiaTheme="minorEastAsia"/>
          <w:b/>
          <w:sz w:val="28"/>
          <w:szCs w:val="28"/>
        </w:rPr>
        <w:t>三</w:t>
      </w:r>
      <w:r>
        <w:rPr>
          <w:rFonts w:hint="eastAsia" w:asciiTheme="minorEastAsia" w:hAnsiTheme="minorEastAsia" w:eastAsiaTheme="minorEastAsia"/>
          <w:b/>
          <w:sz w:val="28"/>
          <w:szCs w:val="28"/>
        </w:rPr>
        <w:t>．投标</w:t>
      </w:r>
      <w:r>
        <w:rPr>
          <w:rFonts w:asciiTheme="minorEastAsia" w:hAnsiTheme="minorEastAsia" w:eastAsiaTheme="minorEastAsia"/>
          <w:b/>
          <w:sz w:val="28"/>
          <w:szCs w:val="28"/>
        </w:rPr>
        <w:t>文件的编制</w:t>
      </w:r>
    </w:p>
    <w:p w14:paraId="7F152875">
      <w:pPr>
        <w:pStyle w:val="12"/>
        <w:spacing w:after="0" w:line="360" w:lineRule="auto"/>
        <w:ind w:firstLine="211" w:firstLineChars="100"/>
        <w:rPr>
          <w:rFonts w:asciiTheme="minorEastAsia" w:hAnsiTheme="minorEastAsia" w:eastAsiaTheme="minorEastAsia"/>
          <w:b/>
          <w:sz w:val="21"/>
          <w:szCs w:val="21"/>
        </w:rPr>
      </w:pPr>
      <w:r>
        <w:rPr>
          <w:rFonts w:hint="eastAsia" w:asciiTheme="minorEastAsia" w:hAnsiTheme="minorEastAsia" w:eastAsiaTheme="minorEastAsia"/>
          <w:b/>
          <w:sz w:val="21"/>
          <w:szCs w:val="21"/>
        </w:rPr>
        <w:t>（一）投标文件的签署</w:t>
      </w:r>
    </w:p>
    <w:p w14:paraId="7787505D">
      <w:pPr>
        <w:pStyle w:val="12"/>
        <w:spacing w:after="0" w:line="360" w:lineRule="auto"/>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1.1电子投标文件部分：</w:t>
      </w:r>
    </w:p>
    <w:p w14:paraId="276999A1">
      <w:pPr>
        <w:pStyle w:val="12"/>
        <w:spacing w:after="0"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投标人应根据“政采云投标人项目采购-电子交易操作指南”及本招标文件规定的格式和顺序编制电子投标文件并进行关联定位。</w:t>
      </w:r>
    </w:p>
    <w:p w14:paraId="3F4FA370">
      <w:pPr>
        <w:pStyle w:val="12"/>
        <w:spacing w:after="0" w:line="360" w:lineRule="auto"/>
        <w:ind w:firstLine="42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1.2备份投标文件部分：</w:t>
      </w:r>
    </w:p>
    <w:p w14:paraId="522D34A9">
      <w:pPr>
        <w:pStyle w:val="50"/>
        <w:snapToGrid w:val="0"/>
        <w:spacing w:beforeLines="0" w:afterLines="0" w:line="360" w:lineRule="auto"/>
        <w:ind w:right="-506" w:rightChars="-241" w:firstLine="420" w:firstLineChars="200"/>
        <w:rPr>
          <w:rFonts w:asciiTheme="minorEastAsia" w:hAnsiTheme="minorEastAsia" w:eastAsiaTheme="minorEastAsia"/>
          <w:b/>
          <w:sz w:val="28"/>
          <w:szCs w:val="28"/>
        </w:rPr>
      </w:pPr>
      <w:r>
        <w:rPr>
          <w:rFonts w:hint="eastAsia" w:asciiTheme="minorEastAsia" w:hAnsiTheme="minorEastAsia" w:eastAsiaTheme="minorEastAsia"/>
          <w:sz w:val="21"/>
          <w:szCs w:val="21"/>
        </w:rPr>
        <w:t>电子投标文件的备份文件，以DVD光盘或U盘形式存储，并单独密封递交。</w:t>
      </w:r>
    </w:p>
    <w:p w14:paraId="2D66BD51">
      <w:pPr>
        <w:tabs>
          <w:tab w:val="left" w:pos="0"/>
        </w:tabs>
        <w:spacing w:line="360" w:lineRule="auto"/>
        <w:ind w:firstLine="211" w:firstLineChars="100"/>
        <w:rPr>
          <w:rFonts w:asciiTheme="minorEastAsia" w:hAnsiTheme="minorEastAsia" w:eastAsiaTheme="minorEastAsia"/>
          <w:b/>
          <w:color w:val="000000" w:themeColor="text1"/>
          <w:szCs w:val="21"/>
          <w14:textFill>
            <w14:solidFill>
              <w14:schemeClr w14:val="tx1"/>
            </w14:solidFill>
          </w14:textFill>
        </w:rPr>
      </w:pPr>
      <w:r>
        <w:rPr>
          <w:rFonts w:hint="eastAsia" w:asciiTheme="minorEastAsia" w:hAnsiTheme="minorEastAsia" w:eastAsiaTheme="minorEastAsia"/>
          <w:b/>
          <w:color w:val="000000" w:themeColor="text1"/>
          <w:szCs w:val="21"/>
          <w14:textFill>
            <w14:solidFill>
              <w14:schemeClr w14:val="tx1"/>
            </w14:solidFill>
          </w14:textFill>
        </w:rPr>
        <w:t>（二）投标文件</w:t>
      </w:r>
      <w:r>
        <w:rPr>
          <w:rFonts w:asciiTheme="minorEastAsia" w:hAnsiTheme="minorEastAsia" w:eastAsiaTheme="minorEastAsia"/>
          <w:b/>
          <w:color w:val="000000" w:themeColor="text1"/>
          <w:szCs w:val="21"/>
          <w14:textFill>
            <w14:solidFill>
              <w14:schemeClr w14:val="tx1"/>
            </w14:solidFill>
          </w14:textFill>
        </w:rPr>
        <w:t>的组成</w:t>
      </w:r>
    </w:p>
    <w:p w14:paraId="0494C374">
      <w:pPr>
        <w:tabs>
          <w:tab w:val="left" w:pos="0"/>
        </w:tabs>
        <w:spacing w:line="360" w:lineRule="auto"/>
        <w:ind w:firstLine="422" w:firstLineChars="200"/>
        <w:rPr>
          <w:rFonts w:asciiTheme="minorEastAsia" w:hAnsiTheme="minorEastAsia" w:eastAsiaTheme="minorEastAsia"/>
          <w:b/>
          <w:bCs/>
          <w:color w:val="000000" w:themeColor="text1"/>
          <w:szCs w:val="21"/>
          <w14:textFill>
            <w14:solidFill>
              <w14:schemeClr w14:val="tx1"/>
            </w14:solidFill>
          </w14:textFill>
        </w:rPr>
      </w:pPr>
      <w:r>
        <w:rPr>
          <w:rFonts w:hint="eastAsia" w:asciiTheme="minorEastAsia" w:hAnsiTheme="minorEastAsia" w:eastAsiaTheme="minorEastAsia"/>
          <w:b/>
          <w:bCs/>
          <w:color w:val="000000" w:themeColor="text1"/>
          <w:szCs w:val="21"/>
          <w14:textFill>
            <w14:solidFill>
              <w14:schemeClr w14:val="tx1"/>
            </w14:solidFill>
          </w14:textFill>
        </w:rPr>
        <w:t>投标</w:t>
      </w:r>
      <w:r>
        <w:rPr>
          <w:rFonts w:asciiTheme="minorEastAsia" w:hAnsiTheme="minorEastAsia" w:eastAsiaTheme="minorEastAsia"/>
          <w:b/>
          <w:bCs/>
          <w:color w:val="000000" w:themeColor="text1"/>
          <w:szCs w:val="21"/>
          <w14:textFill>
            <w14:solidFill>
              <w14:schemeClr w14:val="tx1"/>
            </w14:solidFill>
          </w14:textFill>
        </w:rPr>
        <w:t>文件由</w:t>
      </w:r>
      <w:r>
        <w:rPr>
          <w:rFonts w:hint="eastAsia" w:asciiTheme="minorEastAsia" w:hAnsiTheme="minorEastAsia" w:eastAsiaTheme="minorEastAsia"/>
          <w:b/>
          <w:bCs/>
          <w:color w:val="000000" w:themeColor="text1"/>
          <w:szCs w:val="21"/>
          <w14:textFill>
            <w14:solidFill>
              <w14:schemeClr w14:val="tx1"/>
            </w14:solidFill>
          </w14:textFill>
        </w:rPr>
        <w:t>资格证明文件</w:t>
      </w:r>
      <w:r>
        <w:rPr>
          <w:rFonts w:asciiTheme="minorEastAsia" w:hAnsiTheme="minorEastAsia" w:eastAsiaTheme="minorEastAsia"/>
          <w:b/>
          <w:bCs/>
          <w:color w:val="000000" w:themeColor="text1"/>
          <w:szCs w:val="21"/>
          <w14:textFill>
            <w14:solidFill>
              <w14:schemeClr w14:val="tx1"/>
            </w14:solidFill>
          </w14:textFill>
        </w:rPr>
        <w:t>、</w:t>
      </w:r>
      <w:r>
        <w:rPr>
          <w:rFonts w:hint="eastAsia" w:asciiTheme="minorEastAsia" w:hAnsiTheme="minorEastAsia" w:eastAsiaTheme="minorEastAsia"/>
          <w:b/>
          <w:bCs/>
          <w:color w:val="000000" w:themeColor="text1"/>
          <w:szCs w:val="21"/>
          <w14:textFill>
            <w14:solidFill>
              <w14:schemeClr w14:val="tx1"/>
            </w14:solidFill>
          </w14:textFill>
        </w:rPr>
        <w:t>商务及技术文件</w:t>
      </w:r>
      <w:r>
        <w:rPr>
          <w:rFonts w:asciiTheme="minorEastAsia" w:hAnsiTheme="minorEastAsia" w:eastAsiaTheme="minorEastAsia"/>
          <w:b/>
          <w:bCs/>
          <w:color w:val="000000" w:themeColor="text1"/>
          <w:szCs w:val="21"/>
          <w14:textFill>
            <w14:solidFill>
              <w14:schemeClr w14:val="tx1"/>
            </w14:solidFill>
          </w14:textFill>
        </w:rPr>
        <w:t>、</w:t>
      </w:r>
      <w:r>
        <w:rPr>
          <w:rFonts w:hint="eastAsia" w:asciiTheme="minorEastAsia" w:hAnsiTheme="minorEastAsia" w:eastAsiaTheme="minorEastAsia"/>
          <w:b/>
          <w:bCs/>
          <w:color w:val="000000" w:themeColor="text1"/>
          <w:szCs w:val="21"/>
          <w14:textFill>
            <w14:solidFill>
              <w14:schemeClr w14:val="tx1"/>
            </w14:solidFill>
          </w14:textFill>
        </w:rPr>
        <w:t>投标</w:t>
      </w:r>
      <w:r>
        <w:rPr>
          <w:rFonts w:asciiTheme="minorEastAsia" w:hAnsiTheme="minorEastAsia" w:eastAsiaTheme="minorEastAsia"/>
          <w:b/>
          <w:bCs/>
          <w:color w:val="000000" w:themeColor="text1"/>
          <w:szCs w:val="21"/>
          <w14:textFill>
            <w14:solidFill>
              <w14:schemeClr w14:val="tx1"/>
            </w14:solidFill>
          </w14:textFill>
        </w:rPr>
        <w:t>报价</w:t>
      </w:r>
      <w:r>
        <w:rPr>
          <w:rFonts w:hint="eastAsia" w:asciiTheme="minorEastAsia" w:hAnsiTheme="minorEastAsia" w:eastAsiaTheme="minorEastAsia"/>
          <w:b/>
          <w:bCs/>
          <w:color w:val="000000" w:themeColor="text1"/>
          <w:szCs w:val="21"/>
          <w14:textFill>
            <w14:solidFill>
              <w14:schemeClr w14:val="tx1"/>
            </w14:solidFill>
          </w14:textFill>
        </w:rPr>
        <w:t>文件三</w:t>
      </w:r>
      <w:r>
        <w:rPr>
          <w:rFonts w:asciiTheme="minorEastAsia" w:hAnsiTheme="minorEastAsia" w:eastAsiaTheme="minorEastAsia"/>
          <w:b/>
          <w:bCs/>
          <w:color w:val="000000" w:themeColor="text1"/>
          <w:szCs w:val="21"/>
          <w14:textFill>
            <w14:solidFill>
              <w14:schemeClr w14:val="tx1"/>
            </w14:solidFill>
          </w14:textFill>
        </w:rPr>
        <w:t>部份组成。</w:t>
      </w:r>
      <w:r>
        <w:rPr>
          <w:rFonts w:hint="eastAsia" w:asciiTheme="minorEastAsia" w:hAnsiTheme="minorEastAsia" w:eastAsiaTheme="minorEastAsia"/>
          <w:color w:val="000000" w:themeColor="text1"/>
          <w:szCs w:val="21"/>
          <w14:textFill>
            <w14:solidFill>
              <w14:schemeClr w14:val="tx1"/>
            </w14:solidFill>
          </w14:textFill>
        </w:rPr>
        <w:t>电子投标文件中所须加盖公章部分均采用CA签章。</w:t>
      </w:r>
    </w:p>
    <w:p w14:paraId="38FB785F">
      <w:pPr>
        <w:pStyle w:val="2"/>
        <w:snapToGrid w:val="0"/>
        <w:spacing w:line="360" w:lineRule="auto"/>
        <w:ind w:left="417"/>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1.</w:t>
      </w:r>
      <w:r>
        <w:rPr>
          <w:rFonts w:asciiTheme="minorEastAsia" w:hAnsiTheme="minorEastAsia" w:eastAsiaTheme="minorEastAsia"/>
          <w:b/>
          <w:color w:val="000000" w:themeColor="text1"/>
          <w:sz w:val="21"/>
          <w:szCs w:val="21"/>
          <w14:textFill>
            <w14:solidFill>
              <w14:schemeClr w14:val="tx1"/>
            </w14:solidFill>
          </w14:textFill>
        </w:rPr>
        <w:t>资格</w:t>
      </w:r>
      <w:r>
        <w:rPr>
          <w:rFonts w:hint="eastAsia" w:asciiTheme="minorEastAsia" w:hAnsiTheme="minorEastAsia" w:eastAsiaTheme="minorEastAsia"/>
          <w:b/>
          <w:color w:val="000000" w:themeColor="text1"/>
          <w:sz w:val="21"/>
          <w:szCs w:val="21"/>
          <w14:textFill>
            <w14:solidFill>
              <w14:schemeClr w14:val="tx1"/>
            </w14:solidFill>
          </w14:textFill>
        </w:rPr>
        <w:t>证明文件</w:t>
      </w:r>
      <w:r>
        <w:rPr>
          <w:rFonts w:asciiTheme="minorEastAsia" w:hAnsiTheme="minorEastAsia" w:eastAsiaTheme="minorEastAsia"/>
          <w:b/>
          <w:color w:val="000000" w:themeColor="text1"/>
          <w:sz w:val="21"/>
          <w:szCs w:val="21"/>
          <w14:textFill>
            <w14:solidFill>
              <w14:schemeClr w14:val="tx1"/>
            </w14:solidFill>
          </w14:textFill>
        </w:rPr>
        <w:t>：</w:t>
      </w:r>
    </w:p>
    <w:p w14:paraId="0662D884">
      <w:pPr>
        <w:spacing w:line="360" w:lineRule="auto"/>
        <w:ind w:left="417"/>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w:t>
      </w:r>
      <w:r>
        <w:rPr>
          <w:rFonts w:hint="eastAsia" w:asciiTheme="minorEastAsia" w:hAnsiTheme="minorEastAsia" w:eastAsiaTheme="minorEastAsia"/>
          <w:color w:val="000000" w:themeColor="text1"/>
          <w14:textFill>
            <w14:solidFill>
              <w14:schemeClr w14:val="tx1"/>
            </w14:solidFill>
          </w14:textFill>
        </w:rPr>
        <w:t>基本资格条件：符合《中华人民共和国政府采购法》第二十二条的规定；</w:t>
      </w:r>
    </w:p>
    <w:p w14:paraId="0227B492">
      <w:pPr>
        <w:spacing w:line="360" w:lineRule="auto"/>
        <w:ind w:left="417"/>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（以下</w:t>
      </w:r>
      <w:r>
        <w:rPr>
          <w:rFonts w:asciiTheme="minorEastAsia" w:hAnsiTheme="minorEastAsia" w:eastAsiaTheme="minorEastAsia"/>
          <w:color w:val="000000" w:themeColor="text1"/>
          <w14:textFill>
            <w14:solidFill>
              <w14:schemeClr w14:val="tx1"/>
            </w14:solidFill>
          </w14:textFill>
        </w:rPr>
        <w:t>A~E</w:t>
      </w:r>
      <w:r>
        <w:rPr>
          <w:rFonts w:hint="eastAsia" w:asciiTheme="minorEastAsia" w:hAnsiTheme="minorEastAsia" w:eastAsiaTheme="minorEastAsia"/>
          <w:color w:val="000000" w:themeColor="text1"/>
          <w14:textFill>
            <w14:solidFill>
              <w14:schemeClr w14:val="tx1"/>
            </w14:solidFill>
          </w14:textFill>
        </w:rPr>
        <w:t>项是第二十二条要求及对应证明材料的具体内容，各投标人须在投标文件中出具对应证明材料）</w:t>
      </w:r>
    </w:p>
    <w:p w14:paraId="72C4B43F">
      <w:pPr>
        <w:spacing w:line="360" w:lineRule="auto"/>
        <w:ind w:firstLine="482" w:firstLineChars="200"/>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sz w:val="24"/>
          <w14:textFill>
            <w14:solidFill>
              <w14:schemeClr w14:val="tx1"/>
            </w14:solidFill>
          </w14:textFill>
        </w:rPr>
        <w:t>A</w:t>
      </w:r>
      <w:r>
        <w:rPr>
          <w:rFonts w:cs="宋体" w:asciiTheme="minorEastAsia" w:hAnsiTheme="minorEastAsia" w:eastAsiaTheme="minorEastAsia"/>
          <w:b/>
          <w:bCs/>
          <w:color w:val="000000" w:themeColor="text1"/>
          <w:sz w:val="24"/>
          <w14:textFill>
            <w14:solidFill>
              <w14:schemeClr w14:val="tx1"/>
            </w14:solidFill>
          </w14:textFill>
        </w:rPr>
        <w:t>.</w:t>
      </w:r>
      <w:r>
        <w:rPr>
          <w:rFonts w:hint="eastAsia" w:asciiTheme="minorEastAsia" w:hAnsiTheme="minorEastAsia" w:eastAsiaTheme="minorEastAsia"/>
          <w:b/>
          <w:bCs/>
          <w:color w:val="000000" w:themeColor="text1"/>
          <w14:textFill>
            <w14:solidFill>
              <w14:schemeClr w14:val="tx1"/>
            </w14:solidFill>
          </w14:textFill>
        </w:rPr>
        <w:t>具有独立承担民事责任的能力：</w:t>
      </w:r>
    </w:p>
    <w:p w14:paraId="139AB9FC">
      <w:pPr>
        <w:spacing w:line="360" w:lineRule="auto"/>
        <w:rPr>
          <w:rFonts w:asciiTheme="minorEastAsia" w:hAnsiTheme="minorEastAsia" w:eastAsiaTheme="minorEastAsia"/>
          <w:b/>
          <w:bCs/>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投标人须在投标文件中出具符合以下情况的证明材料复印件</w:t>
      </w:r>
      <w:r>
        <w:rPr>
          <w:rFonts w:hint="eastAsia" w:asciiTheme="minorEastAsia" w:hAnsiTheme="minorEastAsia" w:eastAsiaTheme="minorEastAsia"/>
          <w:b/>
          <w:bCs/>
          <w:color w:val="000000" w:themeColor="text1"/>
          <w14:textFill>
            <w14:solidFill>
              <w14:schemeClr w14:val="tx1"/>
            </w14:solidFill>
          </w14:textFill>
        </w:rPr>
        <w:t>（五选一）：</w:t>
      </w:r>
    </w:p>
    <w:p w14:paraId="25867694">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cs="Calibri" w:asciiTheme="minorEastAsia" w:hAnsiTheme="minorEastAsia" w:eastAsiaTheme="minorEastAsia"/>
          <w:color w:val="000000" w:themeColor="text1"/>
          <w14:textFill>
            <w14:solidFill>
              <w14:schemeClr w14:val="tx1"/>
            </w14:solidFill>
          </w14:textFill>
        </w:rPr>
        <w:fldChar w:fldCharType="begin"/>
      </w:r>
      <w:r>
        <w:rPr>
          <w:rFonts w:cs="Calibri" w:asciiTheme="minorEastAsia" w:hAnsiTheme="minorEastAsia" w:eastAsiaTheme="minorEastAsia"/>
          <w:color w:val="000000" w:themeColor="text1"/>
          <w14:textFill>
            <w14:solidFill>
              <w14:schemeClr w14:val="tx1"/>
            </w14:solidFill>
          </w14:textFill>
        </w:rPr>
        <w:instrText xml:space="preserve"> EQ \o\ac(</w:instrText>
      </w:r>
      <w:r>
        <w:rPr>
          <w:rFonts w:hint="eastAsia" w:cs="Calibri" w:asciiTheme="minorEastAsia" w:hAnsiTheme="minorEastAsia" w:eastAsiaTheme="minorEastAsia"/>
          <w:color w:val="000000" w:themeColor="text1"/>
          <w14:textFill>
            <w14:solidFill>
              <w14:schemeClr w14:val="tx1"/>
            </w14:solidFill>
          </w14:textFill>
        </w:rPr>
        <w:instrText xml:space="preserve">○</w:instrText>
      </w:r>
      <w:r>
        <w:rPr>
          <w:rFonts w:cs="Calibri" w:asciiTheme="minorEastAsia" w:hAnsiTheme="minorEastAsia" w:eastAsiaTheme="minorEastAsia"/>
          <w:color w:val="000000" w:themeColor="text1"/>
          <w14:textFill>
            <w14:solidFill>
              <w14:schemeClr w14:val="tx1"/>
            </w14:solidFill>
          </w14:textFill>
        </w:rPr>
        <w:instrText xml:space="preserve">,1)</w:instrText>
      </w:r>
      <w:r>
        <w:rPr>
          <w:rFonts w:cs="Calibri" w:asciiTheme="minorEastAsia" w:hAnsiTheme="minorEastAsia" w:eastAsiaTheme="minorEastAsia"/>
          <w:color w:val="000000" w:themeColor="text1"/>
          <w14:textFill>
            <w14:solidFill>
              <w14:schemeClr w14:val="tx1"/>
            </w14:solidFill>
          </w14:textFill>
        </w:rPr>
        <w:fldChar w:fldCharType="end"/>
      </w:r>
      <w:r>
        <w:rPr>
          <w:rFonts w:hint="eastAsia" w:asciiTheme="minorEastAsia" w:hAnsiTheme="minorEastAsia" w:eastAsiaTheme="minorEastAsia"/>
          <w:color w:val="000000" w:themeColor="text1"/>
          <w14:textFill>
            <w14:solidFill>
              <w14:schemeClr w14:val="tx1"/>
            </w14:solidFill>
          </w14:textFill>
        </w:rPr>
        <w:t>如投标人是企业（包括合伙企业），提供在工商部门注册的有效“企业法人营业执照”或“营业执照”；</w:t>
      </w:r>
    </w:p>
    <w:p w14:paraId="003B7D0E">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EQ \o\ac(</w:instrText>
      </w:r>
      <w:r>
        <w:rPr>
          <w:rFonts w:hint="eastAsia" w:asciiTheme="minorEastAsia" w:hAnsiTheme="minorEastAsia" w:eastAsiaTheme="minorEastAsia"/>
          <w:color w:val="000000" w:themeColor="text1"/>
          <w14:textFill>
            <w14:solidFill>
              <w14:schemeClr w14:val="tx1"/>
            </w14:solidFill>
          </w14:textFill>
        </w:rPr>
        <w:instrText xml:space="preserve">○</w:instrText>
      </w:r>
      <w:r>
        <w:rPr>
          <w:rFonts w:asciiTheme="minorEastAsia" w:hAnsiTheme="minorEastAsia" w:eastAsiaTheme="minorEastAsia"/>
          <w:color w:val="000000" w:themeColor="text1"/>
          <w14:textFill>
            <w14:solidFill>
              <w14:schemeClr w14:val="tx1"/>
            </w14:solidFill>
          </w14:textFill>
        </w:rPr>
        <w:instrText xml:space="preserve">,</w:instrText>
      </w:r>
      <w:r>
        <w:rPr>
          <w:rFonts w:asciiTheme="minorEastAsia" w:hAnsiTheme="minorEastAsia" w:eastAsiaTheme="minorEastAsia"/>
          <w:color w:val="000000" w:themeColor="text1"/>
          <w:position w:val="2"/>
          <w:sz w:val="14"/>
          <w14:textFill>
            <w14:solidFill>
              <w14:schemeClr w14:val="tx1"/>
            </w14:solidFill>
          </w14:textFill>
        </w:rPr>
        <w:instrText xml:space="preserve">2</w:instrText>
      </w:r>
      <w:r>
        <w:rPr>
          <w:rFonts w:asciiTheme="minorEastAsia" w:hAnsiTheme="minorEastAsia" w:eastAsiaTheme="minorEastAsia"/>
          <w:color w:val="000000" w:themeColor="text1"/>
          <w14:textFill>
            <w14:solidFill>
              <w14:schemeClr w14:val="tx1"/>
            </w14:solidFill>
          </w14:textFill>
        </w:rPr>
        <w:instrText xml:space="preserve">)</w:instrText>
      </w:r>
      <w:r>
        <w:rPr>
          <w:rFonts w:asciiTheme="minorEastAsia" w:hAnsiTheme="minorEastAsia" w:eastAsiaTheme="minorEastAsia"/>
          <w:color w:val="000000" w:themeColor="text1"/>
          <w14:textFill>
            <w14:solidFill>
              <w14:schemeClr w14:val="tx1"/>
            </w14:solidFill>
          </w14:textFill>
        </w:rPr>
        <w:fldChar w:fldCharType="end"/>
      </w:r>
      <w:r>
        <w:rPr>
          <w:rFonts w:hint="eastAsia" w:asciiTheme="minorEastAsia" w:hAnsiTheme="minorEastAsia" w:eastAsiaTheme="minorEastAsia"/>
          <w:color w:val="000000" w:themeColor="text1"/>
          <w14:textFill>
            <w14:solidFill>
              <w14:schemeClr w14:val="tx1"/>
            </w14:solidFill>
          </w14:textFill>
        </w:rPr>
        <w:t>如投标人是事业单位，提供有效的“事业单位法人证书”；</w:t>
      </w:r>
    </w:p>
    <w:p w14:paraId="7C138948">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fldChar w:fldCharType="begin"/>
      </w:r>
      <w:r>
        <w:rPr>
          <w:rFonts w:asciiTheme="minorEastAsia" w:hAnsiTheme="minorEastAsia" w:eastAsiaTheme="minorEastAsia"/>
          <w:color w:val="000000" w:themeColor="text1"/>
          <w14:textFill>
            <w14:solidFill>
              <w14:schemeClr w14:val="tx1"/>
            </w14:solidFill>
          </w14:textFill>
        </w:rPr>
        <w:instrText xml:space="preserve"> EQ \o\ac(</w:instrText>
      </w:r>
      <w:r>
        <w:rPr>
          <w:rFonts w:hint="eastAsia" w:asciiTheme="minorEastAsia" w:hAnsiTheme="minorEastAsia" w:eastAsiaTheme="minorEastAsia"/>
          <w:color w:val="000000" w:themeColor="text1"/>
          <w14:textFill>
            <w14:solidFill>
              <w14:schemeClr w14:val="tx1"/>
            </w14:solidFill>
          </w14:textFill>
        </w:rPr>
        <w:instrText xml:space="preserve">○</w:instrText>
      </w:r>
      <w:r>
        <w:rPr>
          <w:rFonts w:asciiTheme="minorEastAsia" w:hAnsiTheme="minorEastAsia" w:eastAsiaTheme="minorEastAsia"/>
          <w:color w:val="000000" w:themeColor="text1"/>
          <w14:textFill>
            <w14:solidFill>
              <w14:schemeClr w14:val="tx1"/>
            </w14:solidFill>
          </w14:textFill>
        </w:rPr>
        <w:instrText xml:space="preserve">,</w:instrText>
      </w:r>
      <w:r>
        <w:rPr>
          <w:rFonts w:asciiTheme="minorEastAsia" w:hAnsiTheme="minorEastAsia" w:eastAsiaTheme="minorEastAsia"/>
          <w:color w:val="000000" w:themeColor="text1"/>
          <w:position w:val="2"/>
          <w:sz w:val="14"/>
          <w14:textFill>
            <w14:solidFill>
              <w14:schemeClr w14:val="tx1"/>
            </w14:solidFill>
          </w14:textFill>
        </w:rPr>
        <w:instrText xml:space="preserve">3</w:instrText>
      </w:r>
      <w:r>
        <w:rPr>
          <w:rFonts w:asciiTheme="minorEastAsia" w:hAnsiTheme="minorEastAsia" w:eastAsiaTheme="minorEastAsia"/>
          <w:color w:val="000000" w:themeColor="text1"/>
          <w14:textFill>
            <w14:solidFill>
              <w14:schemeClr w14:val="tx1"/>
            </w14:solidFill>
          </w14:textFill>
        </w:rPr>
        <w:instrText xml:space="preserve">)</w:instrText>
      </w:r>
      <w:r>
        <w:rPr>
          <w:rFonts w:asciiTheme="minorEastAsia" w:hAnsiTheme="minorEastAsia" w:eastAsiaTheme="minorEastAsia"/>
          <w:color w:val="000000" w:themeColor="text1"/>
          <w14:textFill>
            <w14:solidFill>
              <w14:schemeClr w14:val="tx1"/>
            </w14:solidFill>
          </w14:textFill>
        </w:rPr>
        <w:fldChar w:fldCharType="end"/>
      </w:r>
      <w:r>
        <w:rPr>
          <w:rFonts w:hint="eastAsia" w:asciiTheme="minorEastAsia" w:hAnsiTheme="minorEastAsia" w:eastAsiaTheme="minorEastAsia"/>
          <w:color w:val="000000" w:themeColor="text1"/>
          <w14:textFill>
            <w14:solidFill>
              <w14:schemeClr w14:val="tx1"/>
            </w14:solidFill>
          </w14:textFill>
        </w:rPr>
        <w:t>如投标人是非企业专业服务机构的，提供执业许可证等证明文件等证明文件；</w:t>
      </w:r>
    </w:p>
    <w:p w14:paraId="5F0AB98D">
      <w:pPr>
        <w:spacing w:line="360" w:lineRule="auto"/>
        <w:ind w:firstLine="420" w:firstLineChars="200"/>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fldChar w:fldCharType="begin"/>
      </w:r>
      <w:r>
        <w:rPr>
          <w:rFonts w:cs="宋体" w:asciiTheme="minorEastAsia" w:hAnsiTheme="minorEastAsia" w:eastAsiaTheme="minorEastAsia"/>
          <w:color w:val="000000" w:themeColor="text1"/>
          <w14:textFill>
            <w14:solidFill>
              <w14:schemeClr w14:val="tx1"/>
            </w14:solidFill>
          </w14:textFill>
        </w:rPr>
        <w:instrText xml:space="preserve"> EQ \o\ac(</w:instrText>
      </w:r>
      <w:r>
        <w:rPr>
          <w:rFonts w:hint="eastAsia" w:cs="宋体" w:asciiTheme="minorEastAsia" w:hAnsiTheme="minorEastAsia" w:eastAsiaTheme="minorEastAsia"/>
          <w:color w:val="000000" w:themeColor="text1"/>
          <w14:textFill>
            <w14:solidFill>
              <w14:schemeClr w14:val="tx1"/>
            </w14:solidFill>
          </w14:textFill>
        </w:rPr>
        <w:instrText xml:space="preserve">○</w:instrText>
      </w:r>
      <w:r>
        <w:rPr>
          <w:rFonts w:cs="宋体" w:asciiTheme="minorEastAsia" w:hAnsiTheme="minorEastAsia" w:eastAsiaTheme="minorEastAsia"/>
          <w:color w:val="000000" w:themeColor="text1"/>
          <w14:textFill>
            <w14:solidFill>
              <w14:schemeClr w14:val="tx1"/>
            </w14:solidFill>
          </w14:textFill>
        </w:rPr>
        <w:instrText xml:space="preserve">,4)</w:instrText>
      </w:r>
      <w:r>
        <w:rPr>
          <w:rFonts w:cs="宋体" w:asciiTheme="minorEastAsia" w:hAnsiTheme="minorEastAsia" w:eastAsiaTheme="minorEastAsia"/>
          <w:color w:val="000000" w:themeColor="text1"/>
          <w14:textFill>
            <w14:solidFill>
              <w14:schemeClr w14:val="tx1"/>
            </w14:solidFill>
          </w14:textFill>
        </w:rPr>
        <w:fldChar w:fldCharType="end"/>
      </w:r>
      <w:r>
        <w:rPr>
          <w:rFonts w:hint="eastAsia" w:cs="宋体" w:asciiTheme="minorEastAsia" w:hAnsiTheme="minorEastAsia" w:eastAsiaTheme="minorEastAsia"/>
          <w:color w:val="000000" w:themeColor="text1"/>
          <w14:textFill>
            <w14:solidFill>
              <w14:schemeClr w14:val="tx1"/>
            </w14:solidFill>
          </w14:textFill>
        </w:rPr>
        <w:t>如投标人是个体工商户，提供有效的“个体工商户营业执照”；</w:t>
      </w:r>
    </w:p>
    <w:p w14:paraId="459616AF">
      <w:pPr>
        <w:spacing w:line="360" w:lineRule="auto"/>
        <w:ind w:firstLine="420" w:firstLineChars="200"/>
        <w:rPr>
          <w:rFonts w:cs="宋体"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fldChar w:fldCharType="begin"/>
      </w:r>
      <w:r>
        <w:rPr>
          <w:rFonts w:cs="宋体" w:asciiTheme="minorEastAsia" w:hAnsiTheme="minorEastAsia" w:eastAsiaTheme="minorEastAsia"/>
          <w:color w:val="000000" w:themeColor="text1"/>
          <w14:textFill>
            <w14:solidFill>
              <w14:schemeClr w14:val="tx1"/>
            </w14:solidFill>
          </w14:textFill>
        </w:rPr>
        <w:instrText xml:space="preserve"> EQ \o\ac(</w:instrText>
      </w:r>
      <w:r>
        <w:rPr>
          <w:rFonts w:hint="eastAsia" w:cs="宋体" w:asciiTheme="minorEastAsia" w:hAnsiTheme="minorEastAsia" w:eastAsiaTheme="minorEastAsia"/>
          <w:color w:val="000000" w:themeColor="text1"/>
          <w14:textFill>
            <w14:solidFill>
              <w14:schemeClr w14:val="tx1"/>
            </w14:solidFill>
          </w14:textFill>
        </w:rPr>
        <w:instrText xml:space="preserve">○</w:instrText>
      </w:r>
      <w:r>
        <w:rPr>
          <w:rFonts w:cs="宋体" w:asciiTheme="minorEastAsia" w:hAnsiTheme="minorEastAsia" w:eastAsiaTheme="minorEastAsia"/>
          <w:color w:val="000000" w:themeColor="text1"/>
          <w14:textFill>
            <w14:solidFill>
              <w14:schemeClr w14:val="tx1"/>
            </w14:solidFill>
          </w14:textFill>
        </w:rPr>
        <w:instrText xml:space="preserve">,5)</w:instrText>
      </w:r>
      <w:r>
        <w:rPr>
          <w:rFonts w:cs="宋体" w:asciiTheme="minorEastAsia" w:hAnsiTheme="minorEastAsia" w:eastAsiaTheme="minorEastAsia"/>
          <w:color w:val="000000" w:themeColor="text1"/>
          <w14:textFill>
            <w14:solidFill>
              <w14:schemeClr w14:val="tx1"/>
            </w14:solidFill>
          </w14:textFill>
        </w:rPr>
        <w:fldChar w:fldCharType="end"/>
      </w:r>
      <w:r>
        <w:rPr>
          <w:rFonts w:hint="eastAsia" w:cs="宋体" w:asciiTheme="minorEastAsia" w:hAnsiTheme="minorEastAsia" w:eastAsiaTheme="minorEastAsia"/>
          <w:color w:val="000000" w:themeColor="text1"/>
          <w14:textFill>
            <w14:solidFill>
              <w14:schemeClr w14:val="tx1"/>
            </w14:solidFill>
          </w14:textFill>
        </w:rPr>
        <w:t>如投标人是自然人，提供有效的自然人身份证明（居民身份证正反面或公安机关出具的临时居民身份证正反面或港澳台胞证或证照）。</w:t>
      </w:r>
    </w:p>
    <w:p w14:paraId="3CE40F15">
      <w:pPr>
        <w:spacing w:line="360" w:lineRule="auto"/>
        <w:ind w:firstLine="422" w:firstLineChars="200"/>
        <w:rPr>
          <w:rFonts w:cs="宋体" w:asciiTheme="minorEastAsia" w:hAnsiTheme="minorEastAsia" w:eastAsiaTheme="minorEastAsia"/>
          <w:b/>
          <w:bCs/>
          <w:color w:val="000000" w:themeColor="text1"/>
          <w14:textFill>
            <w14:solidFill>
              <w14:schemeClr w14:val="tx1"/>
            </w14:solidFill>
          </w14:textFill>
        </w:rPr>
      </w:pPr>
      <w:r>
        <w:rPr>
          <w:rFonts w:cs="宋体" w:asciiTheme="minorEastAsia" w:hAnsiTheme="minorEastAsia" w:eastAsiaTheme="minorEastAsia"/>
          <w:b/>
          <w:bCs/>
          <w:color w:val="000000" w:themeColor="text1"/>
          <w:szCs w:val="21"/>
          <w14:textFill>
            <w14:solidFill>
              <w14:schemeClr w14:val="tx1"/>
            </w14:solidFill>
          </w14:textFill>
        </w:rPr>
        <w:t>B.</w:t>
      </w:r>
      <w:r>
        <w:rPr>
          <w:rFonts w:hint="eastAsia" w:cs="宋体" w:asciiTheme="minorEastAsia" w:hAnsiTheme="minorEastAsia" w:eastAsiaTheme="minorEastAsia"/>
          <w:b/>
          <w:bCs/>
          <w:color w:val="000000" w:themeColor="text1"/>
          <w14:textFill>
            <w14:solidFill>
              <w14:schemeClr w14:val="tx1"/>
            </w14:solidFill>
          </w14:textFill>
        </w:rPr>
        <w:t>具有良好的商业信誉和健全的财务会计制度：</w:t>
      </w:r>
    </w:p>
    <w:p w14:paraId="642F17E4">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fldChar w:fldCharType="begin"/>
      </w:r>
      <w:r>
        <w:rPr>
          <w:rFonts w:cs="宋体" w:asciiTheme="minorEastAsia" w:hAnsiTheme="minorEastAsia" w:eastAsiaTheme="minorEastAsia"/>
          <w:color w:val="000000" w:themeColor="text1"/>
          <w14:textFill>
            <w14:solidFill>
              <w14:schemeClr w14:val="tx1"/>
            </w14:solidFill>
          </w14:textFill>
        </w:rPr>
        <w:instrText xml:space="preserve"> EQ \o\ac(</w:instrText>
      </w:r>
      <w:r>
        <w:rPr>
          <w:rFonts w:hint="eastAsia" w:cs="宋体" w:asciiTheme="minorEastAsia" w:hAnsiTheme="minorEastAsia" w:eastAsiaTheme="minorEastAsia"/>
          <w:color w:val="000000" w:themeColor="text1"/>
          <w14:textFill>
            <w14:solidFill>
              <w14:schemeClr w14:val="tx1"/>
            </w14:solidFill>
          </w14:textFill>
        </w:rPr>
        <w:instrText xml:space="preserve">○</w:instrText>
      </w:r>
      <w:r>
        <w:rPr>
          <w:rFonts w:cs="宋体" w:asciiTheme="minorEastAsia" w:hAnsiTheme="minorEastAsia" w:eastAsiaTheme="minorEastAsia"/>
          <w:color w:val="000000" w:themeColor="text1"/>
          <w14:textFill>
            <w14:solidFill>
              <w14:schemeClr w14:val="tx1"/>
            </w14:solidFill>
          </w14:textFill>
        </w:rPr>
        <w:instrText xml:space="preserve">,1)</w:instrText>
      </w:r>
      <w:r>
        <w:rPr>
          <w:rFonts w:cs="宋体" w:asciiTheme="minorEastAsia" w:hAnsiTheme="minorEastAsia" w:eastAsiaTheme="minorEastAsia"/>
          <w:color w:val="000000" w:themeColor="text1"/>
          <w14:textFill>
            <w14:solidFill>
              <w14:schemeClr w14:val="tx1"/>
            </w14:solidFill>
          </w14:textFill>
        </w:rPr>
        <w:fldChar w:fldCharType="end"/>
      </w:r>
      <w:r>
        <w:rPr>
          <w:rFonts w:hint="eastAsia" w:asciiTheme="minorEastAsia" w:hAnsiTheme="minorEastAsia" w:eastAsiaTheme="minorEastAsia"/>
          <w:color w:val="000000" w:themeColor="text1"/>
          <w14:textFill>
            <w14:solidFill>
              <w14:schemeClr w14:val="tx1"/>
            </w14:solidFill>
          </w14:textFill>
        </w:rPr>
        <w:t>良好的商业信誉：</w:t>
      </w:r>
    </w:p>
    <w:p w14:paraId="0E70C9B0">
      <w:pPr>
        <w:spacing w:line="360" w:lineRule="auto"/>
        <w:ind w:firstLine="420" w:firstLineChars="200"/>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至本项目投标截止时间止未列入失信被执行人、重大税收违法案件当事人名单、政府采购严重违法失信行为记录名单网页查询记录截图。</w:t>
      </w:r>
    </w:p>
    <w:p w14:paraId="06BA7872">
      <w:pPr>
        <w:spacing w:line="360" w:lineRule="auto"/>
        <w:ind w:firstLine="420" w:firstLineChars="200"/>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以代理机构在开标当日在“信用中国”（</w:t>
      </w:r>
      <w:r>
        <w:rPr>
          <w:rFonts w:cs="宋体" w:asciiTheme="minorEastAsia" w:hAnsiTheme="minorEastAsia" w:eastAsiaTheme="minorEastAsia"/>
          <w:color w:val="000000" w:themeColor="text1"/>
          <w14:textFill>
            <w14:solidFill>
              <w14:schemeClr w14:val="tx1"/>
            </w14:solidFill>
          </w14:textFill>
        </w:rPr>
        <w:t>www.creditchina.gov.cn</w:t>
      </w:r>
      <w:r>
        <w:rPr>
          <w:rFonts w:hint="eastAsia" w:cs="宋体" w:asciiTheme="minorEastAsia" w:hAnsiTheme="minorEastAsia" w:eastAsiaTheme="minorEastAsia"/>
          <w:color w:val="000000" w:themeColor="text1"/>
          <w14:textFill>
            <w14:solidFill>
              <w14:schemeClr w14:val="tx1"/>
            </w14:solidFill>
          </w14:textFill>
        </w:rPr>
        <w:t>）、中国政府采购网（</w:t>
      </w:r>
      <w:r>
        <w:rPr>
          <w:rFonts w:cs="宋体" w:asciiTheme="minorEastAsia" w:hAnsiTheme="minorEastAsia" w:eastAsiaTheme="minorEastAsia"/>
          <w:color w:val="000000" w:themeColor="text1"/>
          <w14:textFill>
            <w14:solidFill>
              <w14:schemeClr w14:val="tx1"/>
            </w14:solidFill>
          </w14:textFill>
        </w:rPr>
        <w:t>www.ccgp.gov.cn</w:t>
      </w:r>
      <w:r>
        <w:rPr>
          <w:rFonts w:hint="eastAsia" w:cs="宋体" w:asciiTheme="minorEastAsia" w:hAnsiTheme="minorEastAsia" w:eastAsiaTheme="minorEastAsia"/>
          <w:color w:val="000000" w:themeColor="text1"/>
          <w14:textFill>
            <w14:solidFill>
              <w14:schemeClr w14:val="tx1"/>
            </w14:solidFill>
          </w14:textFill>
        </w:rPr>
        <w:t>）网页查询记录为准）。</w:t>
      </w:r>
    </w:p>
    <w:p w14:paraId="44B719C1">
      <w:pPr>
        <w:spacing w:line="360" w:lineRule="auto"/>
        <w:ind w:firstLine="420" w:firstLineChars="200"/>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对</w:t>
      </w:r>
      <w:r>
        <w:rPr>
          <w:rFonts w:hint="eastAsia" w:cs="宋体" w:asciiTheme="minorEastAsia" w:hAnsiTheme="minorEastAsia" w:eastAsiaTheme="minorEastAsia"/>
          <w:color w:val="000000" w:themeColor="text1"/>
          <w14:textFill>
            <w14:solidFill>
              <w14:schemeClr w14:val="tx1"/>
            </w14:solidFill>
          </w14:textFill>
        </w:rPr>
        <w:t>列入失信被执行人、重大税收违法案件当事人名单、政府采购严重违法失信行为记录名单的投标人，其投标将作无效标处理。</w:t>
      </w:r>
    </w:p>
    <w:p w14:paraId="547D00BE">
      <w:pPr>
        <w:spacing w:line="360" w:lineRule="auto"/>
        <w:ind w:firstLine="420" w:firstLineChars="200"/>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②健全的财务会计制度：</w:t>
      </w:r>
    </w:p>
    <w:p w14:paraId="02659A86">
      <w:pPr>
        <w:spacing w:line="360" w:lineRule="auto"/>
        <w:ind w:firstLine="420" w:firstLineChars="200"/>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投标人须在投标文件中出具符合以下情况的证明材料复印件</w:t>
      </w:r>
      <w:r>
        <w:rPr>
          <w:rFonts w:hint="eastAsia" w:cs="宋体" w:asciiTheme="minorEastAsia" w:hAnsiTheme="minorEastAsia" w:eastAsiaTheme="minorEastAsia"/>
          <w:b/>
          <w:bCs/>
          <w:color w:val="000000" w:themeColor="text1"/>
          <w14:textFill>
            <w14:solidFill>
              <w14:schemeClr w14:val="tx1"/>
            </w14:solidFill>
          </w14:textFill>
        </w:rPr>
        <w:t>（三选一）</w:t>
      </w:r>
      <w:r>
        <w:rPr>
          <w:rFonts w:hint="eastAsia" w:cs="宋体" w:asciiTheme="minorEastAsia" w:hAnsiTheme="minorEastAsia" w:eastAsiaTheme="minorEastAsia"/>
          <w:color w:val="000000" w:themeColor="text1"/>
          <w14:textFill>
            <w14:solidFill>
              <w14:schemeClr w14:val="tx1"/>
            </w14:solidFill>
          </w14:textFill>
        </w:rPr>
        <w:t>：</w:t>
      </w:r>
    </w:p>
    <w:p w14:paraId="7F4C8D45">
      <w:pPr>
        <w:numPr>
          <w:ilvl w:val="0"/>
          <w:numId w:val="6"/>
        </w:numPr>
        <w:spacing w:line="360" w:lineRule="auto"/>
        <w:ind w:firstLine="420" w:firstLineChars="200"/>
        <w:rPr>
          <w:rFonts w:cs="宋体"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投标人是法人的，应提供最近一个年度经审计的财务报告，包括资产负债表、利润表、现金流量表（执行《小企业会计准则》的提供资产负债表和利润表两张基本报表），未经审计的，提供资产负债表、利润表或损益表。</w:t>
      </w:r>
    </w:p>
    <w:p w14:paraId="42EA1FC6">
      <w:pPr>
        <w:numPr>
          <w:ilvl w:val="0"/>
          <w:numId w:val="6"/>
        </w:num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其他组织和自然人如没有经审计的财务报告的，可以提供资产负债表、利润表、现金流量表。</w:t>
      </w:r>
    </w:p>
    <w:p w14:paraId="57BDA288">
      <w:pPr>
        <w:numPr>
          <w:ilvl w:val="0"/>
          <w:numId w:val="6"/>
        </w:num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新成立不足一年的公司可出具情况说明。</w:t>
      </w:r>
    </w:p>
    <w:p w14:paraId="0EAE9E15">
      <w:pPr>
        <w:pStyle w:val="87"/>
        <w:spacing w:line="360" w:lineRule="auto"/>
        <w:ind w:left="420" w:firstLine="0" w:firstLineChars="0"/>
        <w:rPr>
          <w:rFonts w:cs="宋体" w:asciiTheme="minorEastAsia" w:hAnsiTheme="minorEastAsia" w:eastAsiaTheme="minorEastAsia"/>
          <w:b/>
          <w:bCs/>
          <w:color w:val="000000" w:themeColor="text1"/>
          <w:szCs w:val="21"/>
          <w14:textFill>
            <w14:solidFill>
              <w14:schemeClr w14:val="tx1"/>
            </w14:solidFill>
          </w14:textFill>
        </w:rPr>
      </w:pPr>
      <w:r>
        <w:rPr>
          <w:rFonts w:cs="宋体" w:asciiTheme="minorEastAsia" w:hAnsiTheme="minorEastAsia" w:eastAsiaTheme="minorEastAsia"/>
          <w:b/>
          <w:bCs/>
          <w:color w:val="000000" w:themeColor="text1"/>
          <w:szCs w:val="21"/>
          <w14:textFill>
            <w14:solidFill>
              <w14:schemeClr w14:val="tx1"/>
            </w14:solidFill>
          </w14:textFill>
        </w:rPr>
        <w:t>C.</w:t>
      </w:r>
      <w:r>
        <w:rPr>
          <w:rFonts w:hint="eastAsia" w:cs="宋体" w:asciiTheme="minorEastAsia" w:hAnsiTheme="minorEastAsia" w:eastAsiaTheme="minorEastAsia"/>
          <w:b/>
          <w:bCs/>
          <w:color w:val="000000" w:themeColor="text1"/>
          <w:szCs w:val="21"/>
          <w14:textFill>
            <w14:solidFill>
              <w14:schemeClr w14:val="tx1"/>
            </w14:solidFill>
          </w14:textFill>
        </w:rPr>
        <w:t>具有履行合同所必需的设备和专业技术能力：</w:t>
      </w:r>
    </w:p>
    <w:p w14:paraId="5DF22533">
      <w:pPr>
        <w:pStyle w:val="87"/>
        <w:spacing w:line="360" w:lineRule="auto"/>
        <w:ind w:left="420" w:firstLine="0" w:firstLineChars="0"/>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投标人须在投标文件中出具具有履行合同所必需的设备和专业技术能力的《投标函</w:t>
      </w:r>
      <w:r>
        <w:rPr>
          <w:rFonts w:hint="eastAsia" w:asciiTheme="minorEastAsia" w:hAnsiTheme="minorEastAsia" w:eastAsiaTheme="minorEastAsia"/>
          <w:color w:val="000000" w:themeColor="text1"/>
          <w14:textFill>
            <w14:solidFill>
              <w14:schemeClr w14:val="tx1"/>
            </w14:solidFill>
          </w14:textFill>
        </w:rPr>
        <w:t>》（格式见附件）。</w:t>
      </w:r>
    </w:p>
    <w:p w14:paraId="2DB3F145">
      <w:pPr>
        <w:pStyle w:val="87"/>
        <w:spacing w:line="360" w:lineRule="auto"/>
        <w:ind w:left="420" w:firstLine="0" w:firstLineChars="0"/>
        <w:rPr>
          <w:rFonts w:cs="宋体" w:asciiTheme="minorEastAsia" w:hAnsiTheme="minorEastAsia" w:eastAsiaTheme="minorEastAsia"/>
          <w:b/>
          <w:bCs/>
          <w:color w:val="000000" w:themeColor="text1"/>
          <w:szCs w:val="21"/>
          <w14:textFill>
            <w14:solidFill>
              <w14:schemeClr w14:val="tx1"/>
            </w14:solidFill>
          </w14:textFill>
        </w:rPr>
      </w:pPr>
      <w:r>
        <w:rPr>
          <w:rFonts w:cs="宋体" w:asciiTheme="minorEastAsia" w:hAnsiTheme="minorEastAsia" w:eastAsiaTheme="minorEastAsia"/>
          <w:b/>
          <w:bCs/>
          <w:color w:val="000000" w:themeColor="text1"/>
          <w:szCs w:val="21"/>
          <w14:textFill>
            <w14:solidFill>
              <w14:schemeClr w14:val="tx1"/>
            </w14:solidFill>
          </w14:textFill>
        </w:rPr>
        <w:t>D.</w:t>
      </w:r>
      <w:r>
        <w:rPr>
          <w:rFonts w:hint="eastAsia" w:cs="宋体" w:asciiTheme="minorEastAsia" w:hAnsiTheme="minorEastAsia" w:eastAsiaTheme="minorEastAsia"/>
          <w:b/>
          <w:bCs/>
          <w:color w:val="000000" w:themeColor="text1"/>
          <w:szCs w:val="21"/>
          <w14:textFill>
            <w14:solidFill>
              <w14:schemeClr w14:val="tx1"/>
            </w14:solidFill>
          </w14:textFill>
        </w:rPr>
        <w:t>有依法缴纳税收和社会保障资金的良好记录：</w:t>
      </w:r>
    </w:p>
    <w:p w14:paraId="7B059C4F">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1投标人须在投标文件中同时出具满足以下要求的证明材料复印件：</w:t>
      </w:r>
    </w:p>
    <w:p w14:paraId="5291E647">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fldChar w:fldCharType="begin"/>
      </w:r>
      <w:r>
        <w:rPr>
          <w:rFonts w:cs="宋体" w:asciiTheme="minorEastAsia" w:hAnsiTheme="minorEastAsia" w:eastAsiaTheme="minorEastAsia"/>
          <w:color w:val="000000" w:themeColor="text1"/>
          <w14:textFill>
            <w14:solidFill>
              <w14:schemeClr w14:val="tx1"/>
            </w14:solidFill>
          </w14:textFill>
        </w:rPr>
        <w:instrText xml:space="preserve"> EQ \o\ac(</w:instrText>
      </w:r>
      <w:r>
        <w:rPr>
          <w:rFonts w:hint="eastAsia" w:cs="宋体" w:asciiTheme="minorEastAsia" w:hAnsiTheme="minorEastAsia" w:eastAsiaTheme="minorEastAsia"/>
          <w:color w:val="000000" w:themeColor="text1"/>
          <w14:textFill>
            <w14:solidFill>
              <w14:schemeClr w14:val="tx1"/>
            </w14:solidFill>
          </w14:textFill>
        </w:rPr>
        <w:instrText xml:space="preserve">○</w:instrText>
      </w:r>
      <w:r>
        <w:rPr>
          <w:rFonts w:cs="宋体" w:asciiTheme="minorEastAsia" w:hAnsiTheme="minorEastAsia" w:eastAsiaTheme="minorEastAsia"/>
          <w:color w:val="000000" w:themeColor="text1"/>
          <w14:textFill>
            <w14:solidFill>
              <w14:schemeClr w14:val="tx1"/>
            </w14:solidFill>
          </w14:textFill>
        </w:rPr>
        <w:instrText xml:space="preserve">,1)</w:instrText>
      </w:r>
      <w:r>
        <w:rPr>
          <w:rFonts w:cs="宋体" w:asciiTheme="minorEastAsia" w:hAnsiTheme="minorEastAsia" w:eastAsiaTheme="minorEastAsia"/>
          <w:color w:val="000000" w:themeColor="text1"/>
          <w14:textFill>
            <w14:solidFill>
              <w14:schemeClr w14:val="tx1"/>
            </w14:solidFill>
          </w14:textFill>
        </w:rPr>
        <w:fldChar w:fldCharType="end"/>
      </w:r>
      <w:r>
        <w:rPr>
          <w:rFonts w:hint="eastAsia" w:asciiTheme="minorEastAsia" w:hAnsiTheme="minorEastAsia" w:eastAsiaTheme="minorEastAsia"/>
          <w:color w:val="000000" w:themeColor="text1"/>
          <w14:textFill>
            <w14:solidFill>
              <w14:schemeClr w14:val="tx1"/>
            </w14:solidFill>
          </w14:textFill>
        </w:rPr>
        <w:t>投标人须提供由税务部门出具的最近三个月内缴纳增值税和企业所得税的纳税证明。</w:t>
      </w:r>
    </w:p>
    <w:p w14:paraId="03052851">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②投标人须提供最近三个月内缴纳社会保险的凭据（缴税付款凭证或社会保险缴纳证明）</w:t>
      </w:r>
    </w:p>
    <w:p w14:paraId="14233D0E">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依法免税或不需要缴纳社会保障资金的投标人，应提供相应文件证明其依法免税或不需要缴纳社会保障资金。</w:t>
      </w:r>
    </w:p>
    <w:p w14:paraId="47701C1D">
      <w:pPr>
        <w:pStyle w:val="13"/>
        <w:ind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注：如未交相关税，请出示情况说明。</w:t>
      </w:r>
    </w:p>
    <w:p w14:paraId="77EAA75A">
      <w:pPr>
        <w:spacing w:line="360" w:lineRule="auto"/>
        <w:ind w:firstLine="422" w:firstLineChars="200"/>
        <w:rPr>
          <w:rFonts w:asciiTheme="minorEastAsia" w:hAnsiTheme="minorEastAsia" w:eastAsiaTheme="minorEastAsia"/>
          <w:b/>
          <w:bCs/>
          <w:color w:val="000000" w:themeColor="text1"/>
          <w14:textFill>
            <w14:solidFill>
              <w14:schemeClr w14:val="tx1"/>
            </w14:solidFill>
          </w14:textFill>
        </w:rPr>
      </w:pPr>
      <w:r>
        <w:rPr>
          <w:rFonts w:asciiTheme="minorEastAsia" w:hAnsiTheme="minorEastAsia" w:eastAsiaTheme="minorEastAsia"/>
          <w:b/>
          <w:bCs/>
          <w:color w:val="000000" w:themeColor="text1"/>
          <w14:textFill>
            <w14:solidFill>
              <w14:schemeClr w14:val="tx1"/>
            </w14:solidFill>
          </w14:textFill>
        </w:rPr>
        <w:t>E.</w:t>
      </w:r>
      <w:r>
        <w:rPr>
          <w:rFonts w:hint="eastAsia" w:asciiTheme="minorEastAsia" w:hAnsiTheme="minorEastAsia" w:eastAsiaTheme="minorEastAsia"/>
          <w:b/>
          <w:bCs/>
          <w:color w:val="000000" w:themeColor="text1"/>
          <w14:textFill>
            <w14:solidFill>
              <w14:schemeClr w14:val="tx1"/>
            </w14:solidFill>
          </w14:textFill>
        </w:rPr>
        <w:t>参加政府采购活动前三年内，在经营活动中没有重大违法记录：</w:t>
      </w:r>
    </w:p>
    <w:p w14:paraId="5DE60AD4">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投标人须在投标文件中出具《声明函》。（格式见附件）</w:t>
      </w:r>
    </w:p>
    <w:p w14:paraId="68A257B2">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1.2《法定代表人授权委托书》原件，非法定代表人参加投标时用（格式见附件）；</w:t>
      </w:r>
    </w:p>
    <w:p w14:paraId="0273A4C0">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1.3投标人代表身份证复印件，非法定代表人参加投标时用；</w:t>
      </w:r>
    </w:p>
    <w:p w14:paraId="738C7B06">
      <w:pPr>
        <w:spacing w:line="360" w:lineRule="auto"/>
        <w:ind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注：证明材料均需加盖签章。</w:t>
      </w:r>
    </w:p>
    <w:p w14:paraId="2D659498">
      <w:pPr>
        <w:snapToGrid w:val="0"/>
        <w:spacing w:line="360" w:lineRule="auto"/>
        <w:ind w:firstLine="417" w:firstLineChars="198"/>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1.4中小企业身份证明文件（符合以下三个子项中的任意一项要求即可）；</w:t>
      </w:r>
    </w:p>
    <w:p w14:paraId="35090716">
      <w:pPr>
        <w:snapToGrid w:val="0"/>
        <w:spacing w:line="360" w:lineRule="auto"/>
        <w:ind w:firstLine="422" w:firstLineChars="200"/>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1</w:t>
      </w:r>
      <w:r>
        <w:rPr>
          <w:rFonts w:asciiTheme="minorEastAsia" w:hAnsiTheme="minorEastAsia" w:eastAsiaTheme="minorEastAsia"/>
          <w:b/>
          <w:color w:val="000000" w:themeColor="text1"/>
          <w14:textFill>
            <w14:solidFill>
              <w14:schemeClr w14:val="tx1"/>
            </w14:solidFill>
          </w14:textFill>
        </w:rPr>
        <w:t>.</w:t>
      </w:r>
      <w:r>
        <w:rPr>
          <w:rFonts w:hint="eastAsia" w:asciiTheme="minorEastAsia" w:hAnsiTheme="minorEastAsia" w:eastAsiaTheme="minorEastAsia"/>
          <w:b/>
          <w:color w:val="000000" w:themeColor="text1"/>
          <w14:textFill>
            <w14:solidFill>
              <w14:schemeClr w14:val="tx1"/>
            </w14:solidFill>
          </w14:textFill>
        </w:rPr>
        <w:t>4</w:t>
      </w:r>
      <w:r>
        <w:rPr>
          <w:rFonts w:asciiTheme="minorEastAsia" w:hAnsiTheme="minorEastAsia" w:eastAsiaTheme="minorEastAsia"/>
          <w:b/>
          <w:color w:val="000000" w:themeColor="text1"/>
          <w14:textFill>
            <w14:solidFill>
              <w14:schemeClr w14:val="tx1"/>
            </w14:solidFill>
          </w14:textFill>
        </w:rPr>
        <w:t>.1</w:t>
      </w:r>
      <w:r>
        <w:rPr>
          <w:rFonts w:hint="eastAsia" w:asciiTheme="minorEastAsia" w:hAnsiTheme="minorEastAsia" w:eastAsiaTheme="minorEastAsia"/>
          <w:b/>
          <w:color w:val="000000" w:themeColor="text1"/>
          <w14:textFill>
            <w14:solidFill>
              <w14:schemeClr w14:val="tx1"/>
            </w14:solidFill>
          </w14:textFill>
        </w:rPr>
        <w:t>中小企业（符合中小企业划分标准的个体工商户，在政府采购活动中视同中小企业）：《中小企业声明函》</w:t>
      </w:r>
    </w:p>
    <w:p w14:paraId="1FBCFA5F">
      <w:pPr>
        <w:snapToGrid w:val="0"/>
        <w:spacing w:line="360" w:lineRule="auto"/>
        <w:ind w:firstLine="417" w:firstLineChars="198"/>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1.4.2监狱企业（视同小微企业）：由省级以上监狱管理局、戒毒管理局（含新疆生产建设兵团）出具的属于监狱企业的证明文件；</w:t>
      </w:r>
    </w:p>
    <w:p w14:paraId="324160E6">
      <w:pPr>
        <w:snapToGrid w:val="0"/>
        <w:spacing w:line="360" w:lineRule="auto"/>
        <w:ind w:firstLine="417" w:firstLineChars="198"/>
        <w:rPr>
          <w:rFonts w:asciiTheme="minorEastAsia" w:hAnsiTheme="minorEastAsia" w:eastAsiaTheme="minorEastAsia"/>
          <w:b/>
          <w:color w:val="000000" w:themeColor="text1"/>
          <w14:textFill>
            <w14:solidFill>
              <w14:schemeClr w14:val="tx1"/>
            </w14:solidFill>
          </w14:textFill>
        </w:rPr>
      </w:pPr>
      <w:r>
        <w:rPr>
          <w:rFonts w:hint="eastAsia" w:asciiTheme="minorEastAsia" w:hAnsiTheme="minorEastAsia" w:eastAsiaTheme="minorEastAsia"/>
          <w:b/>
          <w:color w:val="000000" w:themeColor="text1"/>
          <w14:textFill>
            <w14:solidFill>
              <w14:schemeClr w14:val="tx1"/>
            </w14:solidFill>
          </w14:textFill>
        </w:rPr>
        <w:t>1.4.3残疾人福利性单位（视同小微企业）：《残疾人福利性单位声明函》；</w:t>
      </w:r>
    </w:p>
    <w:p w14:paraId="625013B6">
      <w:pPr>
        <w:pStyle w:val="50"/>
        <w:snapToGrid w:val="0"/>
        <w:spacing w:before="120" w:after="120" w:line="320" w:lineRule="exact"/>
        <w:ind w:firstLine="422" w:firstLineChars="200"/>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2.商务文件：</w:t>
      </w:r>
    </w:p>
    <w:p w14:paraId="53C5549D">
      <w:pPr>
        <w:pStyle w:val="50"/>
        <w:snapToGrid w:val="0"/>
        <w:spacing w:before="120" w:after="120" w:line="320" w:lineRule="exact"/>
        <w:ind w:firstLine="420" w:firstLineChars="200"/>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2.1评分标准页码索引；</w:t>
      </w:r>
    </w:p>
    <w:p w14:paraId="03FE6346">
      <w:pPr>
        <w:pStyle w:val="50"/>
        <w:snapToGrid w:val="0"/>
        <w:spacing w:before="120" w:after="120" w:line="320" w:lineRule="exact"/>
        <w:ind w:firstLine="420" w:firstLineChars="200"/>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2.2供应商基本情况表（格式见附件）；</w:t>
      </w:r>
    </w:p>
    <w:p w14:paraId="460A5A8F">
      <w:pPr>
        <w:pStyle w:val="50"/>
        <w:snapToGrid w:val="0"/>
        <w:spacing w:before="120" w:after="120" w:line="320" w:lineRule="exact"/>
        <w:ind w:firstLine="420" w:firstLineChars="200"/>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2.</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bCs/>
          <w:color w:val="000000" w:themeColor="text1"/>
          <w:sz w:val="21"/>
          <w:szCs w:val="21"/>
          <w14:textFill>
            <w14:solidFill>
              <w14:schemeClr w14:val="tx1"/>
            </w14:solidFill>
          </w14:textFill>
        </w:rPr>
        <w:t>投标人相关证书（如有）；</w:t>
      </w:r>
    </w:p>
    <w:p w14:paraId="74F97429">
      <w:pPr>
        <w:pStyle w:val="50"/>
        <w:snapToGrid w:val="0"/>
        <w:spacing w:before="120" w:after="120" w:line="320" w:lineRule="exact"/>
        <w:ind w:firstLine="420" w:firstLineChars="200"/>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2.</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4</w:t>
      </w:r>
      <w:r>
        <w:rPr>
          <w:rFonts w:hint="eastAsia" w:asciiTheme="minorEastAsia" w:hAnsiTheme="minorEastAsia" w:eastAsiaTheme="minorEastAsia"/>
          <w:bCs/>
          <w:color w:val="000000" w:themeColor="text1"/>
          <w:sz w:val="21"/>
          <w:szCs w:val="21"/>
          <w14:textFill>
            <w14:solidFill>
              <w14:schemeClr w14:val="tx1"/>
            </w14:solidFill>
          </w14:textFill>
        </w:rPr>
        <w:t>投标人相关业绩（如有）；</w:t>
      </w:r>
    </w:p>
    <w:p w14:paraId="2F499883">
      <w:pPr>
        <w:pStyle w:val="50"/>
        <w:snapToGrid w:val="0"/>
        <w:spacing w:before="120" w:after="120" w:line="320" w:lineRule="exact"/>
        <w:ind w:firstLine="420" w:firstLineChars="200"/>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2.</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5</w:t>
      </w:r>
      <w:r>
        <w:rPr>
          <w:rFonts w:hint="eastAsia" w:asciiTheme="minorEastAsia" w:hAnsiTheme="minorEastAsia" w:eastAsiaTheme="minorEastAsia"/>
          <w:bCs/>
          <w:color w:val="000000" w:themeColor="text1"/>
          <w:sz w:val="21"/>
          <w:szCs w:val="21"/>
          <w14:textFill>
            <w14:solidFill>
              <w14:schemeClr w14:val="tx1"/>
            </w14:solidFill>
          </w14:textFill>
        </w:rPr>
        <w:t>本采购文件要求提供的和投标人认为需要提供的其它说明和资料/文件。</w:t>
      </w:r>
    </w:p>
    <w:p w14:paraId="72308645">
      <w:pPr>
        <w:pStyle w:val="50"/>
        <w:snapToGrid w:val="0"/>
        <w:spacing w:before="120" w:after="120" w:line="320" w:lineRule="exact"/>
        <w:ind w:firstLine="422" w:firstLineChars="200"/>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3.技术文件</w:t>
      </w:r>
    </w:p>
    <w:p w14:paraId="750F0C69">
      <w:pPr>
        <w:pStyle w:val="50"/>
        <w:snapToGrid w:val="0"/>
        <w:spacing w:before="120" w:after="120" w:line="320" w:lineRule="exact"/>
        <w:ind w:firstLine="420" w:firstLineChars="200"/>
        <w:rPr>
          <w:rFonts w:hint="default" w:asciiTheme="minorEastAsia" w:hAnsiTheme="minorEastAsia" w:eastAsiaTheme="minorEastAsia"/>
          <w:bCs/>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3.1</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根据评分标准自行拟定；</w:t>
      </w:r>
    </w:p>
    <w:p w14:paraId="20E2FAF8">
      <w:pPr>
        <w:pStyle w:val="50"/>
        <w:snapToGrid w:val="0"/>
        <w:spacing w:before="120" w:after="120" w:line="320" w:lineRule="exact"/>
        <w:ind w:firstLine="420" w:firstLineChars="200"/>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3.</w:t>
      </w:r>
      <w:r>
        <w:rPr>
          <w:rFonts w:hint="eastAsia" w:asciiTheme="minorEastAsia" w:hAnsiTheme="minorEastAsia" w:eastAsiaTheme="minorEastAsia"/>
          <w:bCs/>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bCs/>
          <w:color w:val="000000" w:themeColor="text1"/>
          <w:sz w:val="21"/>
          <w:szCs w:val="21"/>
          <w14:textFill>
            <w14:solidFill>
              <w14:schemeClr w14:val="tx1"/>
            </w14:solidFill>
          </w14:textFill>
        </w:rPr>
        <w:t>投标人需要说明的其他文件和说明。</w:t>
      </w:r>
    </w:p>
    <w:p w14:paraId="12508167">
      <w:pPr>
        <w:pStyle w:val="50"/>
        <w:snapToGrid w:val="0"/>
        <w:spacing w:before="120" w:after="120" w:line="320" w:lineRule="exact"/>
        <w:ind w:firstLine="422" w:firstLineChars="200"/>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4.投标</w:t>
      </w:r>
      <w:r>
        <w:rPr>
          <w:rFonts w:asciiTheme="minorEastAsia" w:hAnsiTheme="minorEastAsia" w:eastAsiaTheme="minorEastAsia"/>
          <w:b/>
          <w:color w:val="000000" w:themeColor="text1"/>
          <w:sz w:val="21"/>
          <w:szCs w:val="21"/>
          <w14:textFill>
            <w14:solidFill>
              <w14:schemeClr w14:val="tx1"/>
            </w14:solidFill>
          </w14:textFill>
        </w:rPr>
        <w:t>报价</w:t>
      </w:r>
      <w:r>
        <w:rPr>
          <w:rFonts w:hint="eastAsia" w:asciiTheme="minorEastAsia" w:hAnsiTheme="minorEastAsia" w:eastAsiaTheme="minorEastAsia"/>
          <w:b/>
          <w:color w:val="000000" w:themeColor="text1"/>
          <w:sz w:val="21"/>
          <w:szCs w:val="21"/>
          <w14:textFill>
            <w14:solidFill>
              <w14:schemeClr w14:val="tx1"/>
            </w14:solidFill>
          </w14:textFill>
        </w:rPr>
        <w:t>文件</w:t>
      </w:r>
      <w:r>
        <w:rPr>
          <w:rFonts w:asciiTheme="minorEastAsia" w:hAnsiTheme="minorEastAsia" w:eastAsiaTheme="minorEastAsia"/>
          <w:b/>
          <w:color w:val="000000" w:themeColor="text1"/>
          <w:sz w:val="21"/>
          <w:szCs w:val="21"/>
          <w14:textFill>
            <w14:solidFill>
              <w14:schemeClr w14:val="tx1"/>
            </w14:solidFill>
          </w14:textFill>
        </w:rPr>
        <w:t>：</w:t>
      </w:r>
    </w:p>
    <w:p w14:paraId="5D328C87">
      <w:pPr>
        <w:pStyle w:val="50"/>
        <w:snapToGrid w:val="0"/>
        <w:spacing w:before="120" w:after="120" w:line="320" w:lineRule="exact"/>
        <w:ind w:firstLine="420" w:firstLineChars="200"/>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4.1投标报价一览表（格式见附件）；</w:t>
      </w:r>
    </w:p>
    <w:p w14:paraId="1B127DB7">
      <w:pPr>
        <w:pStyle w:val="50"/>
        <w:snapToGrid w:val="0"/>
        <w:spacing w:before="120" w:after="120" w:line="320" w:lineRule="exact"/>
        <w:ind w:firstLine="420" w:firstLineChars="200"/>
        <w:rPr>
          <w:rFonts w:asciiTheme="minorEastAsia" w:hAnsiTheme="minorEastAsia" w:eastAsiaTheme="minorEastAsia"/>
          <w:bCs/>
          <w:color w:val="000000" w:themeColor="text1"/>
          <w:sz w:val="21"/>
          <w:szCs w:val="21"/>
          <w14:textFill>
            <w14:solidFill>
              <w14:schemeClr w14:val="tx1"/>
            </w14:solidFill>
          </w14:textFill>
        </w:rPr>
      </w:pPr>
      <w:r>
        <w:rPr>
          <w:rFonts w:hint="eastAsia" w:asciiTheme="minorEastAsia" w:hAnsiTheme="minorEastAsia" w:eastAsiaTheme="minorEastAsia"/>
          <w:bCs/>
          <w:color w:val="000000" w:themeColor="text1"/>
          <w:sz w:val="21"/>
          <w:szCs w:val="21"/>
          <w14:textFill>
            <w14:solidFill>
              <w14:schemeClr w14:val="tx1"/>
            </w14:solidFill>
          </w14:textFill>
        </w:rPr>
        <w:t>4.2投标报价明细表（格式见附件）；</w:t>
      </w:r>
    </w:p>
    <w:p w14:paraId="2C7D0BA3">
      <w:pPr>
        <w:snapToGrid w:val="0"/>
        <w:spacing w:line="360" w:lineRule="auto"/>
        <w:ind w:firstLine="840" w:firstLineChars="4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4.3投标人针对报价需要说明的其他文件和说明（如有，格式自拟）。</w:t>
      </w:r>
    </w:p>
    <w:p w14:paraId="0C23BF07">
      <w:pPr>
        <w:tabs>
          <w:tab w:val="left" w:pos="0"/>
        </w:tabs>
        <w:spacing w:line="360" w:lineRule="auto"/>
        <w:ind w:firstLine="422" w:firstLineChars="200"/>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（二）</w:t>
      </w:r>
      <w:r>
        <w:rPr>
          <w:rFonts w:hint="eastAsia" w:asciiTheme="minorEastAsia" w:hAnsiTheme="minorEastAsia" w:eastAsiaTheme="minorEastAsia"/>
          <w:b/>
          <w:color w:val="000000" w:themeColor="text1"/>
          <w:szCs w:val="21"/>
          <w14:textFill>
            <w14:solidFill>
              <w14:schemeClr w14:val="tx1"/>
            </w14:solidFill>
          </w14:textFill>
        </w:rPr>
        <w:t>投标</w:t>
      </w:r>
      <w:r>
        <w:rPr>
          <w:rFonts w:asciiTheme="minorEastAsia" w:hAnsiTheme="minorEastAsia" w:eastAsiaTheme="minorEastAsia"/>
          <w:b/>
          <w:color w:val="000000" w:themeColor="text1"/>
          <w:szCs w:val="21"/>
          <w14:textFill>
            <w14:solidFill>
              <w14:schemeClr w14:val="tx1"/>
            </w14:solidFill>
          </w14:textFill>
        </w:rPr>
        <w:t>文件的语言及计量</w:t>
      </w:r>
    </w:p>
    <w:p w14:paraId="6BDCE5DD">
      <w:pPr>
        <w:snapToGrid w:val="0"/>
        <w:spacing w:line="360" w:lineRule="auto"/>
        <w:ind w:firstLine="420" w:firstLineChars="200"/>
        <w:jc w:val="left"/>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1.投标文件以及投标人与采购人就有关投标事宜的所有来往函电，均应以中文汉语书写。除签名、盖章、专用名称等特殊情形外，以中文汉语以外的文字表述的投标文件视同未提供。</w:t>
      </w:r>
    </w:p>
    <w:p w14:paraId="4DC29C14">
      <w:pPr>
        <w:snapToGrid w:val="0"/>
        <w:spacing w:line="360" w:lineRule="auto"/>
        <w:ind w:firstLine="420" w:firstLineChars="200"/>
        <w:jc w:val="left"/>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2.投标计量单位，采购文件已有明确规定的，使用采购文件规定的计量单位；采购文件没有规定的，应采用中华人民共和国法定计量单位（货币单位：人民币元），否则视同未响应。</w:t>
      </w:r>
    </w:p>
    <w:p w14:paraId="17490A2D">
      <w:pPr>
        <w:tabs>
          <w:tab w:val="left" w:pos="0"/>
        </w:tabs>
        <w:spacing w:line="360" w:lineRule="auto"/>
        <w:ind w:firstLine="422" w:firstLineChars="200"/>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（三）</w:t>
      </w:r>
      <w:r>
        <w:rPr>
          <w:rFonts w:hint="eastAsia" w:asciiTheme="minorEastAsia" w:hAnsiTheme="minorEastAsia" w:eastAsiaTheme="minorEastAsia"/>
          <w:b/>
          <w:color w:val="000000" w:themeColor="text1"/>
          <w:szCs w:val="21"/>
          <w14:textFill>
            <w14:solidFill>
              <w14:schemeClr w14:val="tx1"/>
            </w14:solidFill>
          </w14:textFill>
        </w:rPr>
        <w:t>投标</w:t>
      </w:r>
      <w:r>
        <w:rPr>
          <w:rFonts w:asciiTheme="minorEastAsia" w:hAnsiTheme="minorEastAsia" w:eastAsiaTheme="minorEastAsia"/>
          <w:b/>
          <w:color w:val="000000" w:themeColor="text1"/>
          <w:szCs w:val="21"/>
          <w14:textFill>
            <w14:solidFill>
              <w14:schemeClr w14:val="tx1"/>
            </w14:solidFill>
          </w14:textFill>
        </w:rPr>
        <w:t>报价</w:t>
      </w:r>
    </w:p>
    <w:p w14:paraId="41833929">
      <w:pPr>
        <w:pStyle w:val="7"/>
        <w:numPr>
          <w:ilvl w:val="0"/>
          <w:numId w:val="0"/>
        </w:numPr>
        <w:tabs>
          <w:tab w:val="left" w:pos="720"/>
          <w:tab w:val="clear" w:pos="360"/>
        </w:tabs>
        <w:snapToGrid w:val="0"/>
        <w:spacing w:line="360" w:lineRule="auto"/>
        <w:ind w:firstLine="422" w:firstLineChars="200"/>
        <w:rPr>
          <w:rFonts w:cs="宋体" w:asciiTheme="minorEastAsia" w:hAnsiTheme="minorEastAsia" w:eastAsiaTheme="minorEastAsia"/>
          <w:b/>
          <w:bCs/>
          <w:color w:val="000000" w:themeColor="text1"/>
          <w:szCs w:val="21"/>
          <w14:textFill>
            <w14:solidFill>
              <w14:schemeClr w14:val="tx1"/>
            </w14:solidFill>
          </w14:textFill>
        </w:rPr>
      </w:pPr>
      <w:r>
        <w:rPr>
          <w:rFonts w:cs="宋体" w:asciiTheme="minorEastAsia" w:hAnsiTheme="minorEastAsia" w:eastAsiaTheme="minorEastAsia"/>
          <w:b/>
          <w:bCs/>
          <w:color w:val="000000" w:themeColor="text1"/>
          <w:szCs w:val="21"/>
          <w14:textFill>
            <w14:solidFill>
              <w14:schemeClr w14:val="tx1"/>
            </w14:solidFill>
          </w14:textFill>
        </w:rPr>
        <w:t xml:space="preserve">1. </w:t>
      </w:r>
      <w:r>
        <w:rPr>
          <w:rFonts w:hint="eastAsia" w:cs="宋体" w:asciiTheme="minorEastAsia" w:hAnsiTheme="minorEastAsia" w:eastAsiaTheme="minorEastAsia"/>
          <w:b/>
          <w:bCs/>
          <w:color w:val="000000" w:themeColor="text1"/>
          <w:szCs w:val="21"/>
          <w14:textFill>
            <w14:solidFill>
              <w14:schemeClr w14:val="tx1"/>
            </w14:solidFill>
          </w14:textFill>
        </w:rPr>
        <w:t>投标报价应以人民币报价，投标人报价应是包括为完成本项目服务可能发生的全部费用及中标人的利润和应交纳的税金等一切费用。</w:t>
      </w:r>
    </w:p>
    <w:p w14:paraId="39638EC6">
      <w:pPr>
        <w:spacing w:line="360" w:lineRule="auto"/>
        <w:ind w:firstLine="420"/>
        <w:rPr>
          <w:rFonts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b/>
          <w:bCs/>
          <w:color w:val="000000" w:themeColor="text1"/>
          <w:szCs w:val="21"/>
          <w14:textFill>
            <w14:solidFill>
              <w14:schemeClr w14:val="tx1"/>
            </w14:solidFill>
          </w14:textFill>
        </w:rPr>
        <w:t>2.</w:t>
      </w:r>
      <w:r>
        <w:rPr>
          <w:rFonts w:hint="eastAsia" w:cs="宋体" w:asciiTheme="minorEastAsia" w:hAnsiTheme="minorEastAsia" w:eastAsiaTheme="minorEastAsia"/>
          <w:b/>
          <w:bCs/>
          <w:color w:val="000000" w:themeColor="text1"/>
          <w:szCs w:val="21"/>
          <w14:textFill>
            <w14:solidFill>
              <w14:schemeClr w14:val="tx1"/>
            </w14:solidFill>
          </w14:textFill>
        </w:rPr>
        <w:t>投标文件针对同一内容只允许有一个报价，有选择的或有条件的报价将不予接受。</w:t>
      </w:r>
    </w:p>
    <w:p w14:paraId="09B3FF54">
      <w:pPr>
        <w:tabs>
          <w:tab w:val="left" w:pos="0"/>
        </w:tabs>
        <w:spacing w:line="360" w:lineRule="auto"/>
        <w:ind w:firstLine="422" w:firstLineChars="200"/>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（四）</w:t>
      </w:r>
      <w:r>
        <w:rPr>
          <w:rFonts w:hint="eastAsia" w:asciiTheme="minorEastAsia" w:hAnsiTheme="minorEastAsia" w:eastAsiaTheme="minorEastAsia"/>
          <w:b/>
          <w:color w:val="000000" w:themeColor="text1"/>
          <w:szCs w:val="21"/>
          <w14:textFill>
            <w14:solidFill>
              <w14:schemeClr w14:val="tx1"/>
            </w14:solidFill>
          </w14:textFill>
        </w:rPr>
        <w:t>投标</w:t>
      </w:r>
      <w:r>
        <w:rPr>
          <w:rFonts w:asciiTheme="minorEastAsia" w:hAnsiTheme="minorEastAsia" w:eastAsiaTheme="minorEastAsia"/>
          <w:b/>
          <w:color w:val="000000" w:themeColor="text1"/>
          <w:szCs w:val="21"/>
          <w14:textFill>
            <w14:solidFill>
              <w14:schemeClr w14:val="tx1"/>
            </w14:solidFill>
          </w14:textFill>
        </w:rPr>
        <w:t>文件的有效期</w:t>
      </w:r>
    </w:p>
    <w:p w14:paraId="75F13AB7">
      <w:pPr>
        <w:pStyle w:val="7"/>
        <w:numPr>
          <w:ilvl w:val="0"/>
          <w:numId w:val="0"/>
        </w:numPr>
        <w:tabs>
          <w:tab w:val="left" w:pos="454"/>
          <w:tab w:val="left" w:pos="720"/>
          <w:tab w:val="left" w:pos="900"/>
        </w:tabs>
        <w:snapToGrid w:val="0"/>
        <w:spacing w:line="360" w:lineRule="auto"/>
        <w:ind w:right="-506" w:rightChars="-241"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1.自投标截止日起</w:t>
      </w:r>
      <w:r>
        <w:rPr>
          <w:rFonts w:hint="eastAsia" w:asciiTheme="minorEastAsia" w:hAnsiTheme="minorEastAsia" w:eastAsiaTheme="minorEastAsia"/>
          <w:b/>
          <w:color w:val="000000" w:themeColor="text1"/>
          <w:u w:val="single"/>
          <w14:textFill>
            <w14:solidFill>
              <w14:schemeClr w14:val="tx1"/>
            </w14:solidFill>
          </w14:textFill>
        </w:rPr>
        <w:t xml:space="preserve">90 </w:t>
      </w:r>
      <w:r>
        <w:rPr>
          <w:rFonts w:hint="eastAsia" w:asciiTheme="minorEastAsia" w:hAnsiTheme="minorEastAsia" w:eastAsiaTheme="minorEastAsia"/>
          <w:b/>
          <w:color w:val="000000" w:themeColor="text1"/>
          <w14:textFill>
            <w14:solidFill>
              <w14:schemeClr w14:val="tx1"/>
            </w14:solidFill>
          </w14:textFill>
        </w:rPr>
        <w:t>天</w:t>
      </w:r>
      <w:r>
        <w:rPr>
          <w:rFonts w:hint="eastAsia" w:asciiTheme="minorEastAsia" w:hAnsiTheme="minorEastAsia" w:eastAsiaTheme="minorEastAsia"/>
          <w:color w:val="000000" w:themeColor="text1"/>
          <w14:textFill>
            <w14:solidFill>
              <w14:schemeClr w14:val="tx1"/>
            </w14:solidFill>
          </w14:textFill>
        </w:rPr>
        <w:t>投标文件应保持有效。有效期不足的投标文件将被拒绝。</w:t>
      </w:r>
    </w:p>
    <w:p w14:paraId="63FD4E3D">
      <w:pPr>
        <w:pStyle w:val="7"/>
        <w:numPr>
          <w:ilvl w:val="0"/>
          <w:numId w:val="0"/>
        </w:numPr>
        <w:tabs>
          <w:tab w:val="left" w:pos="454"/>
          <w:tab w:val="left" w:pos="720"/>
          <w:tab w:val="left" w:pos="900"/>
        </w:tabs>
        <w:snapToGrid w:val="0"/>
        <w:spacing w:line="360" w:lineRule="auto"/>
        <w:ind w:right="-506" w:rightChars="-241"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2.在特殊情况下，采购人可与投标人协商延长投标书的有效期，这种要求和答复均以书面形式进行。</w:t>
      </w:r>
    </w:p>
    <w:p w14:paraId="5C295C46">
      <w:pPr>
        <w:pStyle w:val="7"/>
        <w:numPr>
          <w:ilvl w:val="0"/>
          <w:numId w:val="0"/>
        </w:numPr>
        <w:tabs>
          <w:tab w:val="left" w:pos="454"/>
          <w:tab w:val="left" w:pos="720"/>
          <w:tab w:val="left" w:pos="900"/>
        </w:tabs>
        <w:snapToGrid w:val="0"/>
        <w:spacing w:line="360" w:lineRule="auto"/>
        <w:ind w:right="-506" w:rightChars="-241" w:firstLine="42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3.中标人的投标文件自开标之日起至合同履行完毕止均应保持有效。</w:t>
      </w:r>
    </w:p>
    <w:p w14:paraId="34F9EE4E">
      <w:pPr>
        <w:snapToGrid w:val="0"/>
        <w:spacing w:line="360" w:lineRule="auto"/>
        <w:ind w:firstLine="413" w:firstLineChars="196"/>
        <w:jc w:val="left"/>
        <w:rPr>
          <w:rFonts w:asciiTheme="minorEastAsia" w:hAnsiTheme="minorEastAsia" w:eastAsiaTheme="minorEastAsia"/>
          <w:b/>
          <w:color w:val="000000" w:themeColor="text1"/>
          <w:szCs w:val="21"/>
          <w14:textFill>
            <w14:solidFill>
              <w14:schemeClr w14:val="tx1"/>
            </w14:solidFill>
          </w14:textFill>
        </w:rPr>
      </w:pPr>
      <w:r>
        <w:rPr>
          <w:rFonts w:asciiTheme="minorEastAsia" w:hAnsiTheme="minorEastAsia" w:eastAsiaTheme="minorEastAsia"/>
          <w:b/>
          <w:color w:val="000000" w:themeColor="text1"/>
          <w:szCs w:val="21"/>
          <w14:textFill>
            <w14:solidFill>
              <w14:schemeClr w14:val="tx1"/>
            </w14:solidFill>
          </w14:textFill>
        </w:rPr>
        <w:t>（</w:t>
      </w:r>
      <w:r>
        <w:rPr>
          <w:rFonts w:hint="eastAsia" w:asciiTheme="minorEastAsia" w:hAnsiTheme="minorEastAsia" w:eastAsiaTheme="minorEastAsia"/>
          <w:b/>
          <w:color w:val="000000" w:themeColor="text1"/>
          <w:szCs w:val="21"/>
          <w14:textFill>
            <w14:solidFill>
              <w14:schemeClr w14:val="tx1"/>
            </w14:solidFill>
          </w14:textFill>
        </w:rPr>
        <w:t>五</w:t>
      </w:r>
      <w:r>
        <w:rPr>
          <w:rFonts w:asciiTheme="minorEastAsia" w:hAnsiTheme="minorEastAsia" w:eastAsiaTheme="minorEastAsia"/>
          <w:b/>
          <w:color w:val="000000" w:themeColor="text1"/>
          <w:szCs w:val="21"/>
          <w14:textFill>
            <w14:solidFill>
              <w14:schemeClr w14:val="tx1"/>
            </w14:solidFill>
          </w14:textFill>
        </w:rPr>
        <w:t>）</w:t>
      </w:r>
      <w:r>
        <w:rPr>
          <w:rFonts w:hint="eastAsia" w:asciiTheme="minorEastAsia" w:hAnsiTheme="minorEastAsia" w:eastAsiaTheme="minorEastAsia"/>
          <w:b/>
          <w:color w:val="000000" w:themeColor="text1"/>
          <w:szCs w:val="21"/>
          <w14:textFill>
            <w14:solidFill>
              <w14:schemeClr w14:val="tx1"/>
            </w14:solidFill>
          </w14:textFill>
        </w:rPr>
        <w:t>投标文件的包装、递交、修改和撤回</w:t>
      </w:r>
    </w:p>
    <w:p w14:paraId="1C82F1EA">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14:paraId="28F484EE">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2、投标人应当在投标截止时间前将以介质存储的数据电文形式的备份投标文件</w:t>
      </w:r>
      <w:r>
        <w:rPr>
          <w:rFonts w:hint="eastAsia" w:cs="宋体" w:asciiTheme="minorEastAsia" w:hAnsiTheme="minorEastAsia" w:eastAsiaTheme="minorEastAsia"/>
          <w:color w:val="000000" w:themeColor="text1"/>
          <w:szCs w:val="21"/>
          <w14:textFill>
            <w14:solidFill>
              <w14:schemeClr w14:val="tx1"/>
            </w14:solidFill>
          </w14:textFill>
        </w:rPr>
        <w:t>寄到或送达采购代理公司。地址：</w:t>
      </w:r>
      <w:r>
        <w:rPr>
          <w:rFonts w:hint="eastAsia" w:cs="宋体" w:asciiTheme="minorEastAsia" w:hAnsiTheme="minorEastAsia" w:eastAsiaTheme="minorEastAsia"/>
          <w:color w:val="000000" w:themeColor="text1"/>
          <w:szCs w:val="21"/>
          <w:lang w:val="en-US" w:eastAsia="zh-CN"/>
          <w14:textFill>
            <w14:solidFill>
              <w14:schemeClr w14:val="tx1"/>
            </w14:solidFill>
          </w14:textFill>
        </w:rPr>
        <w:t>浙江省舟山市定海区临城街道中浪国际大厦A座6楼  陈工</w:t>
      </w:r>
      <w:r>
        <w:rPr>
          <w:rFonts w:hint="eastAsia"/>
          <w:b/>
          <w:bCs/>
          <w:color w:val="auto"/>
          <w:szCs w:val="21"/>
          <w:highlight w:val="none"/>
          <w:lang w:val="en-US" w:eastAsia="zh-CN"/>
        </w:rPr>
        <w:t xml:space="preserve">13777165053 </w:t>
      </w:r>
      <w:r>
        <w:rPr>
          <w:rFonts w:hint="eastAsia" w:cs="宋体" w:asciiTheme="minorEastAsia" w:hAnsiTheme="minorEastAsia" w:eastAsiaTheme="minorEastAsia"/>
          <w:color w:val="000000" w:themeColor="text1"/>
          <w:szCs w:val="21"/>
          <w14:textFill>
            <w14:solidFill>
              <w14:schemeClr w14:val="tx1"/>
            </w14:solidFill>
          </w14:textFill>
        </w:rPr>
        <w:t>。也可现场递交</w:t>
      </w:r>
      <w:r>
        <w:rPr>
          <w:rFonts w:hint="eastAsia" w:asciiTheme="minorEastAsia" w:hAnsiTheme="minorEastAsia" w:eastAsiaTheme="minorEastAsia"/>
          <w:color w:val="000000" w:themeColor="text1"/>
          <w14:textFill>
            <w14:solidFill>
              <w14:schemeClr w14:val="tx1"/>
            </w14:solidFill>
          </w14:textFill>
        </w:rPr>
        <w:t>，逾期送达或未密封将被拒收。</w:t>
      </w:r>
    </w:p>
    <w:p w14:paraId="29FC43F5">
      <w:pPr>
        <w:snapToGrid w:val="0"/>
        <w:spacing w:line="360" w:lineRule="auto"/>
        <w:ind w:right="-86" w:rightChars="-41" w:firstLine="420" w:firstLineChars="200"/>
        <w:jc w:val="left"/>
        <w:rPr>
          <w:bCs/>
          <w:color w:val="000000" w:themeColor="text1"/>
          <w14:textFill>
            <w14:solidFill>
              <w14:schemeClr w14:val="tx1"/>
            </w14:solidFill>
          </w14:textFill>
        </w:rPr>
      </w:pPr>
      <w:r>
        <w:rPr>
          <w:rFonts w:hint="eastAsia" w:cs="(使用中文字体)"/>
          <w:bCs/>
          <w:color w:val="000000" w:themeColor="text1"/>
          <w:szCs w:val="21"/>
          <w14:textFill>
            <w14:solidFill>
              <w14:schemeClr w14:val="tx1"/>
            </w14:solidFill>
          </w14:textFill>
        </w:rPr>
        <w:t>投标人可以不提供备份投标文件，造成项目开评标活动无法进行下去的，投标无效，相关风险由投标人自行承担。</w:t>
      </w:r>
    </w:p>
    <w:p w14:paraId="163830FA">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投标人递交以介质存储的数据电文形式的备份投标文件和纸质备份投标文件时，如出现下列情况之一的，将被拒收：</w:t>
      </w:r>
    </w:p>
    <w:p w14:paraId="65526B0A">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（1）未按规定密封或标记的投标文件；</w:t>
      </w:r>
    </w:p>
    <w:p w14:paraId="6C6A380A">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（2）由于包装不妥，在送交途中严重破损或失散的；</w:t>
      </w:r>
    </w:p>
    <w:p w14:paraId="623423D3">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（3）未成功办理投标人报名手续的；</w:t>
      </w:r>
    </w:p>
    <w:p w14:paraId="1A6705BE">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（4）超过投标截止时间送达的；</w:t>
      </w:r>
    </w:p>
    <w:p w14:paraId="162BA411">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仅提供备份投标文件的，投标无效。</w:t>
      </w:r>
    </w:p>
    <w:p w14:paraId="60C0ECCF">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仅提供其中一种形式的备份投标文件，造成项目开评标活动无法进行下去的，投标无效，相关风险由投标人自行承担。</w:t>
      </w:r>
    </w:p>
    <w:p w14:paraId="0887F823">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3、响应文件未按时解密，投标人提供了备份响应文件的，以备份响应文件作为依据，否则视为响应文件撤回。</w:t>
      </w:r>
    </w:p>
    <w:p w14:paraId="10F37D3E">
      <w:pPr>
        <w:snapToGrid w:val="0"/>
        <w:spacing w:line="360" w:lineRule="auto"/>
        <w:ind w:right="-86" w:rightChars="-41" w:firstLine="420" w:firstLineChars="2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4、备份投标文件须密封封装。包装封面上应注明投标人名称，封口处加盖投标人公章。</w:t>
      </w:r>
    </w:p>
    <w:p w14:paraId="07706805">
      <w:pPr>
        <w:spacing w:line="360" w:lineRule="auto"/>
        <w:ind w:firstLine="420"/>
        <w:rPr>
          <w:rFonts w:asciiTheme="minorEastAsia" w:hAnsiTheme="minorEastAsia" w:eastAsiaTheme="minorEastAsia"/>
        </w:rPr>
      </w:pPr>
      <w:r>
        <w:rPr>
          <w:rFonts w:asciiTheme="minorEastAsia" w:hAnsiTheme="minorEastAsia" w:eastAsiaTheme="minorEastAsia"/>
          <w:b/>
          <w:szCs w:val="21"/>
        </w:rPr>
        <w:t>（</w:t>
      </w:r>
      <w:r>
        <w:rPr>
          <w:rFonts w:hint="eastAsia" w:asciiTheme="minorEastAsia" w:hAnsiTheme="minorEastAsia" w:eastAsiaTheme="minorEastAsia"/>
          <w:b/>
          <w:szCs w:val="21"/>
        </w:rPr>
        <w:t>六</w:t>
      </w:r>
      <w:r>
        <w:rPr>
          <w:rFonts w:asciiTheme="minorEastAsia" w:hAnsiTheme="minorEastAsia" w:eastAsiaTheme="minorEastAsia"/>
          <w:b/>
          <w:szCs w:val="21"/>
        </w:rPr>
        <w:t>）投标无效的情形</w:t>
      </w:r>
    </w:p>
    <w:p w14:paraId="55349FA2">
      <w:pPr>
        <w:pStyle w:val="50"/>
        <w:snapToGrid w:val="0"/>
        <w:spacing w:beforeLines="0" w:afterLines="0" w:line="360" w:lineRule="auto"/>
        <w:ind w:right="-86" w:rightChars="-41" w:firstLine="415" w:firstLineChars="198"/>
        <w:rPr>
          <w:rFonts w:asciiTheme="minorEastAsia" w:hAnsiTheme="minorEastAsia" w:eastAsiaTheme="minorEastAsia"/>
          <w:sz w:val="21"/>
          <w:szCs w:val="21"/>
        </w:rPr>
      </w:pPr>
      <w:r>
        <w:rPr>
          <w:rFonts w:hint="eastAsia" w:asciiTheme="minorEastAsia" w:hAnsiTheme="minorEastAsia" w:eastAsiaTheme="minorEastAsia"/>
          <w:sz w:val="21"/>
          <w:szCs w:val="21"/>
        </w:rPr>
        <w:t>实质上没有响应采购文件要求的投标将被视为无效投标。投标人不得通过修正或撤消不合要求的偏离或保留从而使其投标成为实质上响应的投标。经评标委员会认定属于投标人疏忽、笔误所造成的差错，应当允许其在评标结束之前进行修改或者补正（评审小组和投标人通过电子交易平台交换数据电文）。修改或者补正投标文件必须以书面形式进行，并应在中标结果公告之前查核原件。限期内不补正或经补正后仍不符合采购文件要求的，应认定其投标无效。投标人修改、补正投标文件后，不影响评标委员会对其投标文件所作的评价和评分结果。</w:t>
      </w:r>
    </w:p>
    <w:p w14:paraId="0C7EB645">
      <w:pPr>
        <w:pStyle w:val="50"/>
        <w:snapToGrid w:val="0"/>
        <w:spacing w:before="120" w:after="120" w:line="360" w:lineRule="auto"/>
        <w:ind w:firstLine="417" w:firstLineChars="198"/>
        <w:rPr>
          <w:rFonts w:asciiTheme="minorEastAsia" w:hAnsiTheme="minorEastAsia" w:eastAsiaTheme="minorEastAsia"/>
          <w:sz w:val="21"/>
          <w:szCs w:val="21"/>
        </w:rPr>
      </w:pPr>
      <w:r>
        <w:rPr>
          <w:rFonts w:asciiTheme="minorEastAsia" w:hAnsiTheme="minorEastAsia" w:eastAsiaTheme="minorEastAsia"/>
          <w:b/>
          <w:bCs/>
          <w:sz w:val="21"/>
          <w:szCs w:val="21"/>
        </w:rPr>
        <w:t>1</w:t>
      </w:r>
      <w:r>
        <w:rPr>
          <w:rFonts w:hint="eastAsia" w:asciiTheme="minorEastAsia" w:hAnsiTheme="minorEastAsia" w:eastAsiaTheme="minorEastAsia"/>
          <w:b/>
          <w:bCs/>
          <w:sz w:val="21"/>
          <w:szCs w:val="21"/>
        </w:rPr>
        <w:t>.</w:t>
      </w:r>
      <w:r>
        <w:rPr>
          <w:rFonts w:asciiTheme="minorEastAsia" w:hAnsiTheme="minorEastAsia" w:eastAsiaTheme="minorEastAsia"/>
          <w:b/>
          <w:bCs/>
          <w:sz w:val="21"/>
          <w:szCs w:val="21"/>
        </w:rPr>
        <w:t>在</w:t>
      </w:r>
      <w:r>
        <w:rPr>
          <w:rFonts w:hint="eastAsia" w:asciiTheme="minorEastAsia" w:hAnsiTheme="minorEastAsia" w:eastAsiaTheme="minorEastAsia"/>
          <w:b/>
          <w:bCs/>
          <w:sz w:val="21"/>
          <w:szCs w:val="21"/>
        </w:rPr>
        <w:t>符合性审查</w:t>
      </w:r>
      <w:r>
        <w:rPr>
          <w:rFonts w:asciiTheme="minorEastAsia" w:hAnsiTheme="minorEastAsia" w:eastAsiaTheme="minorEastAsia"/>
          <w:b/>
          <w:bCs/>
          <w:sz w:val="21"/>
          <w:szCs w:val="21"/>
        </w:rPr>
        <w:t>和商务评审时，如发现下列情形之一的，</w:t>
      </w:r>
      <w:r>
        <w:rPr>
          <w:rFonts w:hint="eastAsia" w:asciiTheme="minorEastAsia" w:hAnsiTheme="minorEastAsia" w:eastAsiaTheme="minorEastAsia"/>
          <w:b/>
          <w:bCs/>
          <w:sz w:val="21"/>
          <w:szCs w:val="21"/>
        </w:rPr>
        <w:t>投标</w:t>
      </w:r>
      <w:r>
        <w:rPr>
          <w:rFonts w:asciiTheme="minorEastAsia" w:hAnsiTheme="minorEastAsia" w:eastAsiaTheme="minorEastAsia"/>
          <w:b/>
          <w:bCs/>
          <w:sz w:val="21"/>
          <w:szCs w:val="21"/>
        </w:rPr>
        <w:t>文件将被视为无效投标：</w:t>
      </w:r>
    </w:p>
    <w:p w14:paraId="45EA3AE1">
      <w:pPr>
        <w:pStyle w:val="50"/>
        <w:snapToGrid w:val="0"/>
        <w:spacing w:beforeLines="0" w:afterLines="0" w:line="360" w:lineRule="auto"/>
        <w:ind w:firstLine="415" w:firstLineChars="198"/>
        <w:rPr>
          <w:rFonts w:asciiTheme="minorEastAsia" w:hAnsiTheme="minorEastAsia" w:eastAsiaTheme="minorEastAsia"/>
          <w:bCs/>
          <w:sz w:val="21"/>
          <w:szCs w:val="21"/>
        </w:rPr>
      </w:pPr>
      <w:r>
        <w:rPr>
          <w:rFonts w:asciiTheme="minorEastAsia" w:hAnsiTheme="minorEastAsia" w:eastAsiaTheme="minorEastAsia"/>
          <w:bCs/>
          <w:sz w:val="21"/>
          <w:szCs w:val="21"/>
        </w:rPr>
        <w:t>1.</w:t>
      </w:r>
      <w:r>
        <w:rPr>
          <w:rFonts w:hint="eastAsia" w:asciiTheme="minorEastAsia" w:hAnsiTheme="minorEastAsia" w:eastAsiaTheme="minorEastAsia"/>
          <w:bCs/>
          <w:sz w:val="21"/>
          <w:szCs w:val="21"/>
        </w:rPr>
        <w:t>1投标</w:t>
      </w:r>
      <w:r>
        <w:rPr>
          <w:rFonts w:asciiTheme="minorEastAsia" w:hAnsiTheme="minorEastAsia" w:eastAsiaTheme="minorEastAsia"/>
          <w:bCs/>
          <w:sz w:val="21"/>
          <w:szCs w:val="21"/>
        </w:rPr>
        <w:t>文件未按</w:t>
      </w:r>
      <w:r>
        <w:rPr>
          <w:rFonts w:hint="eastAsia" w:asciiTheme="minorEastAsia" w:hAnsiTheme="minorEastAsia" w:eastAsiaTheme="minorEastAsia"/>
          <w:bCs/>
          <w:sz w:val="21"/>
          <w:szCs w:val="21"/>
        </w:rPr>
        <w:t>采购文件</w:t>
      </w:r>
      <w:r>
        <w:rPr>
          <w:rFonts w:asciiTheme="minorEastAsia" w:hAnsiTheme="minorEastAsia" w:eastAsiaTheme="minorEastAsia"/>
          <w:bCs/>
          <w:sz w:val="21"/>
          <w:szCs w:val="21"/>
        </w:rPr>
        <w:t>要求签字、盖章的；</w:t>
      </w:r>
    </w:p>
    <w:p w14:paraId="0683052F">
      <w:pPr>
        <w:pStyle w:val="50"/>
        <w:snapToGrid w:val="0"/>
        <w:spacing w:beforeLines="0" w:afterLines="0" w:line="360" w:lineRule="auto"/>
        <w:ind w:firstLine="415" w:firstLineChars="198"/>
        <w:rPr>
          <w:rFonts w:asciiTheme="minorEastAsia" w:hAnsiTheme="minorEastAsia" w:eastAsiaTheme="minorEastAsia"/>
          <w:bCs/>
          <w:sz w:val="21"/>
          <w:szCs w:val="21"/>
        </w:rPr>
      </w:pPr>
      <w:r>
        <w:rPr>
          <w:rFonts w:asciiTheme="minorEastAsia" w:hAnsiTheme="minorEastAsia" w:eastAsiaTheme="minorEastAsia"/>
          <w:bCs/>
          <w:sz w:val="21"/>
          <w:szCs w:val="21"/>
        </w:rPr>
        <w:t>1.</w:t>
      </w:r>
      <w:r>
        <w:rPr>
          <w:rFonts w:hint="eastAsia" w:asciiTheme="minorEastAsia" w:hAnsiTheme="minorEastAsia" w:eastAsiaTheme="minorEastAsia"/>
          <w:bCs/>
          <w:sz w:val="21"/>
          <w:szCs w:val="21"/>
        </w:rPr>
        <w:t>2</w:t>
      </w:r>
      <w:r>
        <w:rPr>
          <w:rFonts w:hint="eastAsia" w:cs="宋体" w:asciiTheme="minorEastAsia" w:hAnsiTheme="minorEastAsia" w:eastAsiaTheme="minorEastAsia"/>
          <w:sz w:val="21"/>
          <w:szCs w:val="21"/>
        </w:rPr>
        <w:t>资格证明文件不全的，或者不符合采购文件标明的资格要求的</w:t>
      </w:r>
      <w:r>
        <w:rPr>
          <w:rFonts w:asciiTheme="minorEastAsia" w:hAnsiTheme="minorEastAsia" w:eastAsiaTheme="minorEastAsia"/>
          <w:bCs/>
          <w:sz w:val="21"/>
          <w:szCs w:val="21"/>
        </w:rPr>
        <w:t>；</w:t>
      </w:r>
    </w:p>
    <w:p w14:paraId="3B86CCF5">
      <w:pPr>
        <w:pStyle w:val="2"/>
        <w:snapToGrid w:val="0"/>
        <w:spacing w:line="360" w:lineRule="auto"/>
        <w:ind w:firstLine="415" w:firstLineChars="198"/>
        <w:rPr>
          <w:rFonts w:asciiTheme="minorEastAsia" w:hAnsiTheme="minorEastAsia" w:eastAsiaTheme="minorEastAsia"/>
          <w:bCs/>
          <w:sz w:val="21"/>
          <w:szCs w:val="21"/>
        </w:rPr>
      </w:pPr>
      <w:r>
        <w:rPr>
          <w:rFonts w:asciiTheme="minorEastAsia" w:hAnsiTheme="minorEastAsia" w:eastAsiaTheme="minorEastAsia"/>
          <w:bCs/>
          <w:sz w:val="21"/>
          <w:szCs w:val="21"/>
        </w:rPr>
        <w:t>1.</w:t>
      </w:r>
      <w:r>
        <w:rPr>
          <w:rFonts w:hint="eastAsia" w:cs="宋体" w:asciiTheme="minorEastAsia" w:hAnsiTheme="minorEastAsia" w:eastAsiaTheme="minorEastAsia"/>
          <w:sz w:val="21"/>
          <w:szCs w:val="21"/>
        </w:rPr>
        <w:t>3投标文件组成不全的；</w:t>
      </w:r>
    </w:p>
    <w:p w14:paraId="4CF08688">
      <w:pPr>
        <w:pStyle w:val="50"/>
        <w:snapToGrid w:val="0"/>
        <w:spacing w:beforeLines="0" w:afterLines="0" w:line="360" w:lineRule="auto"/>
        <w:ind w:firstLine="415" w:firstLineChars="198"/>
        <w:rPr>
          <w:rFonts w:asciiTheme="minorEastAsia" w:hAnsiTheme="minorEastAsia" w:eastAsiaTheme="minorEastAsia"/>
          <w:bCs/>
          <w:sz w:val="21"/>
          <w:szCs w:val="21"/>
        </w:rPr>
      </w:pPr>
      <w:r>
        <w:rPr>
          <w:rFonts w:asciiTheme="minorEastAsia" w:hAnsiTheme="minorEastAsia" w:eastAsiaTheme="minorEastAsia"/>
          <w:bCs/>
          <w:sz w:val="21"/>
          <w:szCs w:val="21"/>
        </w:rPr>
        <w:t>1.</w:t>
      </w:r>
      <w:r>
        <w:rPr>
          <w:rFonts w:hint="eastAsia" w:asciiTheme="minorEastAsia" w:hAnsiTheme="minorEastAsia" w:eastAsiaTheme="minorEastAsia"/>
          <w:bCs/>
          <w:sz w:val="21"/>
          <w:szCs w:val="21"/>
        </w:rPr>
        <w:t>4投标</w:t>
      </w:r>
      <w:r>
        <w:rPr>
          <w:rFonts w:asciiTheme="minorEastAsia" w:hAnsiTheme="minorEastAsia" w:eastAsiaTheme="minorEastAsia"/>
          <w:bCs/>
          <w:sz w:val="21"/>
          <w:szCs w:val="21"/>
        </w:rPr>
        <w:t>文件无法定代表人或授权人签字；或未提供法定代表人授权委托书；</w:t>
      </w:r>
    </w:p>
    <w:p w14:paraId="1EE88594">
      <w:pPr>
        <w:pStyle w:val="50"/>
        <w:snapToGrid w:val="0"/>
        <w:spacing w:beforeLines="0" w:afterLines="0" w:line="360" w:lineRule="auto"/>
        <w:ind w:firstLine="415" w:firstLineChars="198"/>
        <w:rPr>
          <w:rFonts w:asciiTheme="minorEastAsia" w:hAnsiTheme="minorEastAsia" w:eastAsiaTheme="minorEastAsia"/>
          <w:bCs/>
          <w:sz w:val="21"/>
          <w:szCs w:val="21"/>
        </w:rPr>
      </w:pPr>
      <w:r>
        <w:rPr>
          <w:rFonts w:asciiTheme="minorEastAsia" w:hAnsiTheme="minorEastAsia" w:eastAsiaTheme="minorEastAsia"/>
          <w:bCs/>
          <w:sz w:val="21"/>
          <w:szCs w:val="21"/>
        </w:rPr>
        <w:t>1.</w:t>
      </w:r>
      <w:r>
        <w:rPr>
          <w:rFonts w:hint="eastAsia" w:asciiTheme="minorEastAsia" w:hAnsiTheme="minorEastAsia" w:eastAsiaTheme="minorEastAsia"/>
          <w:bCs/>
          <w:sz w:val="21"/>
          <w:szCs w:val="21"/>
        </w:rPr>
        <w:t>5</w:t>
      </w:r>
      <w:r>
        <w:rPr>
          <w:rFonts w:asciiTheme="minorEastAsia" w:hAnsiTheme="minorEastAsia" w:eastAsiaTheme="minorEastAsia"/>
          <w:bCs/>
          <w:sz w:val="21"/>
          <w:szCs w:val="21"/>
        </w:rPr>
        <w:t>投标代表人未能出具身份证明或与法定代表人授权委托人身份不符的；</w:t>
      </w:r>
    </w:p>
    <w:p w14:paraId="73E7D369">
      <w:pPr>
        <w:pStyle w:val="50"/>
        <w:snapToGrid w:val="0"/>
        <w:spacing w:beforeLines="0" w:afterLines="0" w:line="360" w:lineRule="auto"/>
        <w:ind w:firstLine="415" w:firstLineChars="198"/>
        <w:rPr>
          <w:rFonts w:asciiTheme="minorEastAsia" w:hAnsiTheme="minorEastAsia" w:eastAsiaTheme="minorEastAsia"/>
          <w:bCs/>
          <w:sz w:val="21"/>
          <w:szCs w:val="21"/>
        </w:rPr>
      </w:pPr>
      <w:r>
        <w:rPr>
          <w:rFonts w:asciiTheme="minorEastAsia" w:hAnsiTheme="minorEastAsia" w:eastAsiaTheme="minorEastAsia"/>
          <w:bCs/>
          <w:sz w:val="21"/>
          <w:szCs w:val="21"/>
        </w:rPr>
        <w:t>1.</w:t>
      </w:r>
      <w:r>
        <w:rPr>
          <w:rFonts w:hint="eastAsia" w:asciiTheme="minorEastAsia" w:hAnsiTheme="minorEastAsia" w:eastAsiaTheme="minorEastAsia"/>
          <w:bCs/>
          <w:sz w:val="21"/>
          <w:szCs w:val="21"/>
        </w:rPr>
        <w:t>6投标</w:t>
      </w:r>
      <w:r>
        <w:rPr>
          <w:rFonts w:asciiTheme="minorEastAsia" w:hAnsiTheme="minorEastAsia" w:eastAsiaTheme="minorEastAsia"/>
          <w:bCs/>
          <w:sz w:val="21"/>
          <w:szCs w:val="21"/>
        </w:rPr>
        <w:t>文件的实质性内容未使用中文表述、意思表述不明确、前后矛盾或者使用计量单位不符合</w:t>
      </w:r>
      <w:r>
        <w:rPr>
          <w:rFonts w:hint="eastAsia" w:asciiTheme="minorEastAsia" w:hAnsiTheme="minorEastAsia" w:eastAsiaTheme="minorEastAsia"/>
          <w:bCs/>
          <w:sz w:val="21"/>
          <w:szCs w:val="21"/>
        </w:rPr>
        <w:t>采购文件</w:t>
      </w:r>
      <w:r>
        <w:rPr>
          <w:rFonts w:asciiTheme="minorEastAsia" w:hAnsiTheme="minorEastAsia" w:eastAsiaTheme="minorEastAsia"/>
          <w:bCs/>
          <w:sz w:val="21"/>
          <w:szCs w:val="21"/>
        </w:rPr>
        <w:t>要求的；（</w:t>
      </w:r>
      <w:r>
        <w:rPr>
          <w:rFonts w:hint="eastAsia" w:cs="宋体" w:asciiTheme="minorEastAsia" w:hAnsiTheme="minorEastAsia" w:eastAsiaTheme="minorEastAsia"/>
          <w:sz w:val="21"/>
          <w:szCs w:val="21"/>
        </w:rPr>
        <w:t>经评审小组认定允许其在线更正的笔误除外</w:t>
      </w:r>
      <w:r>
        <w:rPr>
          <w:rFonts w:asciiTheme="minorEastAsia" w:hAnsiTheme="minorEastAsia" w:eastAsiaTheme="minorEastAsia"/>
          <w:bCs/>
          <w:sz w:val="21"/>
          <w:szCs w:val="21"/>
        </w:rPr>
        <w:t>）</w:t>
      </w:r>
    </w:p>
    <w:p w14:paraId="3436C4B4">
      <w:pPr>
        <w:pStyle w:val="50"/>
        <w:snapToGrid w:val="0"/>
        <w:spacing w:beforeLines="0" w:afterLines="0" w:line="360" w:lineRule="auto"/>
        <w:ind w:firstLine="415" w:firstLineChars="198"/>
        <w:rPr>
          <w:rFonts w:asciiTheme="minorEastAsia" w:hAnsiTheme="minorEastAsia" w:eastAsiaTheme="minorEastAsia"/>
          <w:bCs/>
          <w:sz w:val="21"/>
          <w:szCs w:val="21"/>
        </w:rPr>
      </w:pPr>
      <w:r>
        <w:rPr>
          <w:rFonts w:asciiTheme="minorEastAsia" w:hAnsiTheme="minorEastAsia" w:eastAsiaTheme="minorEastAsia"/>
          <w:bCs/>
          <w:sz w:val="21"/>
          <w:szCs w:val="21"/>
        </w:rPr>
        <w:t>1.</w:t>
      </w:r>
      <w:r>
        <w:rPr>
          <w:rFonts w:hint="eastAsia" w:asciiTheme="minorEastAsia" w:hAnsiTheme="minorEastAsia" w:eastAsiaTheme="minorEastAsia"/>
          <w:bCs/>
          <w:sz w:val="21"/>
          <w:szCs w:val="21"/>
        </w:rPr>
        <w:t>7投标</w:t>
      </w:r>
      <w:r>
        <w:rPr>
          <w:rFonts w:asciiTheme="minorEastAsia" w:hAnsiTheme="minorEastAsia" w:eastAsiaTheme="minorEastAsia"/>
          <w:bCs/>
          <w:sz w:val="21"/>
          <w:szCs w:val="21"/>
        </w:rPr>
        <w:t>文件的关键内容字迹模糊、无法辨认的，或者</w:t>
      </w:r>
      <w:r>
        <w:rPr>
          <w:rFonts w:hint="eastAsia" w:asciiTheme="minorEastAsia" w:hAnsiTheme="minorEastAsia" w:eastAsiaTheme="minorEastAsia"/>
          <w:bCs/>
          <w:sz w:val="21"/>
          <w:szCs w:val="21"/>
        </w:rPr>
        <w:t>投标</w:t>
      </w:r>
      <w:r>
        <w:rPr>
          <w:rFonts w:asciiTheme="minorEastAsia" w:hAnsiTheme="minorEastAsia" w:eastAsiaTheme="minorEastAsia"/>
          <w:bCs/>
          <w:sz w:val="21"/>
          <w:szCs w:val="21"/>
        </w:rPr>
        <w:t>文件中经修正的内容字迹模糊难以辩认或者修改处未按规定签名盖章的；</w:t>
      </w:r>
    </w:p>
    <w:p w14:paraId="32810EA1">
      <w:pPr>
        <w:pStyle w:val="50"/>
        <w:snapToGrid w:val="0"/>
        <w:spacing w:beforeLines="0" w:afterLines="0" w:line="360" w:lineRule="auto"/>
        <w:ind w:firstLine="415" w:firstLineChars="198"/>
        <w:rPr>
          <w:rFonts w:asciiTheme="minorEastAsia" w:hAnsiTheme="minorEastAsia" w:eastAsiaTheme="minorEastAsia"/>
          <w:bCs/>
          <w:sz w:val="21"/>
          <w:szCs w:val="21"/>
        </w:rPr>
      </w:pPr>
      <w:r>
        <w:rPr>
          <w:rFonts w:asciiTheme="minorEastAsia" w:hAnsiTheme="minorEastAsia" w:eastAsiaTheme="minorEastAsia"/>
          <w:bCs/>
          <w:sz w:val="21"/>
          <w:szCs w:val="21"/>
        </w:rPr>
        <w:t>1.</w:t>
      </w:r>
      <w:r>
        <w:rPr>
          <w:rFonts w:hint="eastAsia" w:asciiTheme="minorEastAsia" w:hAnsiTheme="minorEastAsia" w:eastAsiaTheme="minorEastAsia"/>
          <w:bCs/>
          <w:sz w:val="21"/>
          <w:szCs w:val="21"/>
        </w:rPr>
        <w:t>8投标有效期、交货时间、质保期等</w:t>
      </w:r>
      <w:r>
        <w:rPr>
          <w:rFonts w:asciiTheme="minorEastAsia" w:hAnsiTheme="minorEastAsia" w:eastAsiaTheme="minorEastAsia"/>
          <w:bCs/>
          <w:sz w:val="21"/>
          <w:szCs w:val="21"/>
        </w:rPr>
        <w:t>商务条款不能满足</w:t>
      </w:r>
      <w:r>
        <w:rPr>
          <w:rFonts w:hint="eastAsia" w:asciiTheme="minorEastAsia" w:hAnsiTheme="minorEastAsia" w:eastAsiaTheme="minorEastAsia"/>
          <w:bCs/>
          <w:sz w:val="21"/>
          <w:szCs w:val="21"/>
        </w:rPr>
        <w:t>采购文件</w:t>
      </w:r>
      <w:r>
        <w:rPr>
          <w:rFonts w:asciiTheme="minorEastAsia" w:hAnsiTheme="minorEastAsia" w:eastAsiaTheme="minorEastAsia"/>
          <w:bCs/>
          <w:sz w:val="21"/>
          <w:szCs w:val="21"/>
        </w:rPr>
        <w:t>要求的；</w:t>
      </w:r>
    </w:p>
    <w:p w14:paraId="33927EBE">
      <w:pPr>
        <w:pStyle w:val="50"/>
        <w:snapToGrid w:val="0"/>
        <w:spacing w:beforeLines="0" w:afterLines="0" w:line="360" w:lineRule="auto"/>
        <w:ind w:firstLine="415" w:firstLineChars="198"/>
        <w:rPr>
          <w:rFonts w:asciiTheme="minorEastAsia" w:hAnsiTheme="minorEastAsia" w:eastAsiaTheme="minorEastAsia"/>
          <w:bCs/>
          <w:sz w:val="21"/>
          <w:szCs w:val="21"/>
        </w:rPr>
      </w:pPr>
      <w:r>
        <w:rPr>
          <w:rFonts w:asciiTheme="minorEastAsia" w:hAnsiTheme="minorEastAsia" w:eastAsiaTheme="minorEastAsia"/>
          <w:bCs/>
          <w:sz w:val="21"/>
          <w:szCs w:val="21"/>
        </w:rPr>
        <w:t>1.</w:t>
      </w:r>
      <w:r>
        <w:rPr>
          <w:rFonts w:hint="eastAsia" w:asciiTheme="minorEastAsia" w:hAnsiTheme="minorEastAsia" w:eastAsiaTheme="minorEastAsia"/>
          <w:bCs/>
          <w:sz w:val="21"/>
          <w:szCs w:val="21"/>
        </w:rPr>
        <w:t>9未</w:t>
      </w:r>
      <w:r>
        <w:rPr>
          <w:rFonts w:asciiTheme="minorEastAsia" w:hAnsiTheme="minorEastAsia" w:eastAsiaTheme="minorEastAsia"/>
          <w:bCs/>
          <w:sz w:val="21"/>
          <w:szCs w:val="21"/>
        </w:rPr>
        <w:t>响应</w:t>
      </w:r>
      <w:r>
        <w:rPr>
          <w:rFonts w:hint="eastAsia" w:asciiTheme="minorEastAsia" w:hAnsiTheme="minorEastAsia" w:eastAsiaTheme="minorEastAsia"/>
          <w:bCs/>
          <w:sz w:val="21"/>
          <w:szCs w:val="21"/>
        </w:rPr>
        <w:t>采购文件</w:t>
      </w:r>
      <w:r>
        <w:rPr>
          <w:rFonts w:asciiTheme="minorEastAsia" w:hAnsiTheme="minorEastAsia" w:eastAsiaTheme="minorEastAsia"/>
          <w:bCs/>
          <w:sz w:val="21"/>
          <w:szCs w:val="21"/>
        </w:rPr>
        <w:t>实质性要求或者</w:t>
      </w:r>
      <w:r>
        <w:rPr>
          <w:rFonts w:hint="eastAsia" w:asciiTheme="minorEastAsia" w:hAnsiTheme="minorEastAsia" w:eastAsiaTheme="minorEastAsia"/>
          <w:bCs/>
          <w:sz w:val="21"/>
          <w:szCs w:val="21"/>
        </w:rPr>
        <w:t>投标文件</w:t>
      </w:r>
      <w:r>
        <w:rPr>
          <w:rFonts w:asciiTheme="minorEastAsia" w:hAnsiTheme="minorEastAsia" w:eastAsiaTheme="minorEastAsia"/>
          <w:bCs/>
          <w:sz w:val="21"/>
          <w:szCs w:val="21"/>
        </w:rPr>
        <w:t>有</w:t>
      </w:r>
      <w:r>
        <w:rPr>
          <w:rFonts w:hint="eastAsia" w:asciiTheme="minorEastAsia" w:hAnsiTheme="minorEastAsia" w:eastAsiaTheme="minorEastAsia"/>
          <w:bCs/>
          <w:sz w:val="21"/>
          <w:szCs w:val="21"/>
        </w:rPr>
        <w:t>采购人</w:t>
      </w:r>
      <w:r>
        <w:rPr>
          <w:rFonts w:asciiTheme="minorEastAsia" w:hAnsiTheme="minorEastAsia" w:eastAsiaTheme="minorEastAsia"/>
          <w:bCs/>
          <w:sz w:val="21"/>
          <w:szCs w:val="21"/>
        </w:rPr>
        <w:t>不能接受的附加条件的；</w:t>
      </w:r>
    </w:p>
    <w:p w14:paraId="5332F3E0">
      <w:pPr>
        <w:pStyle w:val="50"/>
        <w:snapToGrid w:val="0"/>
        <w:spacing w:beforeLines="0" w:afterLines="0" w:line="360" w:lineRule="auto"/>
        <w:ind w:firstLine="415" w:firstLineChars="198"/>
        <w:rPr>
          <w:rFonts w:hint="eastAsia" w:cs="Times New Roman" w:asciiTheme="minorEastAsia" w:hAnsiTheme="minorEastAsia" w:eastAsiaTheme="minorEastAsia"/>
          <w:bCs/>
          <w:sz w:val="21"/>
          <w:szCs w:val="21"/>
        </w:rPr>
      </w:pPr>
      <w:r>
        <w:rPr>
          <w:rFonts w:hint="eastAsia" w:cs="Times New Roman" w:asciiTheme="minorEastAsia" w:hAnsiTheme="minorEastAsia" w:eastAsiaTheme="minorEastAsia"/>
          <w:bCs/>
          <w:sz w:val="21"/>
          <w:szCs w:val="21"/>
        </w:rPr>
        <w:t>1.10投标文件没有按采购文件要求响应有标“▲”的条款的资料和材料的；</w:t>
      </w:r>
    </w:p>
    <w:p w14:paraId="38C88383">
      <w:pPr>
        <w:pStyle w:val="50"/>
        <w:snapToGrid w:val="0"/>
        <w:spacing w:beforeLines="0" w:afterLines="0" w:line="360" w:lineRule="auto"/>
        <w:ind w:firstLine="415" w:firstLineChars="198"/>
        <w:rPr>
          <w:rFonts w:asciiTheme="minorEastAsia" w:hAnsiTheme="minorEastAsia" w:eastAsiaTheme="minorEastAsia"/>
          <w:bCs/>
          <w:sz w:val="21"/>
          <w:szCs w:val="21"/>
        </w:rPr>
      </w:pPr>
      <w:r>
        <w:rPr>
          <w:rFonts w:hint="eastAsia" w:cs="Times New Roman" w:asciiTheme="minorEastAsia" w:hAnsiTheme="minorEastAsia" w:eastAsiaTheme="minorEastAsia"/>
          <w:bCs/>
          <w:sz w:val="21"/>
          <w:szCs w:val="21"/>
        </w:rPr>
        <w:t>1.1</w:t>
      </w:r>
      <w:r>
        <w:rPr>
          <w:rFonts w:hint="eastAsia" w:cs="Times New Roman" w:asciiTheme="minorEastAsia" w:hAnsiTheme="minorEastAsia" w:eastAsiaTheme="minorEastAsia"/>
          <w:bCs/>
          <w:sz w:val="21"/>
          <w:szCs w:val="21"/>
          <w:lang w:val="en-US" w:eastAsia="zh-CN"/>
        </w:rPr>
        <w:t>1</w:t>
      </w:r>
      <w:r>
        <w:rPr>
          <w:rFonts w:hint="eastAsia" w:cs="Times New Roman" w:asciiTheme="minorEastAsia" w:hAnsiTheme="minorEastAsia" w:eastAsiaTheme="minorEastAsia"/>
          <w:bCs/>
          <w:sz w:val="21"/>
          <w:szCs w:val="21"/>
        </w:rPr>
        <w:t>在不影响公平竞争的前提下，采购文件中参与同一标段（包）的供应商存在以下情形的，其投标文件相应无效：MAC地址相同、计算机硬盘序列号相同、采购文件细节错误一致且无合理解释的等情形。</w:t>
      </w:r>
    </w:p>
    <w:p w14:paraId="3F668841">
      <w:pPr>
        <w:spacing w:line="360" w:lineRule="auto"/>
        <w:ind w:firstLine="420"/>
        <w:rPr>
          <w:rFonts w:asciiTheme="minorEastAsia" w:hAnsiTheme="minorEastAsia" w:eastAsiaTheme="minorEastAsia"/>
          <w:szCs w:val="21"/>
        </w:rPr>
      </w:pPr>
      <w:r>
        <w:rPr>
          <w:rFonts w:asciiTheme="minorEastAsia" w:hAnsiTheme="minorEastAsia" w:eastAsiaTheme="minorEastAsia"/>
          <w:b/>
          <w:bCs/>
        </w:rPr>
        <w:t>2</w:t>
      </w:r>
      <w:r>
        <w:rPr>
          <w:rFonts w:hint="eastAsia" w:asciiTheme="minorEastAsia" w:hAnsiTheme="minorEastAsia" w:eastAsiaTheme="minorEastAsia"/>
          <w:b/>
          <w:bCs/>
        </w:rPr>
        <w:t>.</w:t>
      </w:r>
      <w:r>
        <w:rPr>
          <w:rFonts w:asciiTheme="minorEastAsia" w:hAnsiTheme="minorEastAsia" w:eastAsiaTheme="minorEastAsia"/>
          <w:b/>
          <w:bCs/>
        </w:rPr>
        <w:t>在技术评审时，如发现下列情形之一的，</w:t>
      </w:r>
      <w:r>
        <w:rPr>
          <w:rFonts w:hint="eastAsia" w:asciiTheme="minorEastAsia" w:hAnsiTheme="minorEastAsia" w:eastAsiaTheme="minorEastAsia"/>
          <w:b/>
          <w:bCs/>
        </w:rPr>
        <w:t>投标文件</w:t>
      </w:r>
      <w:r>
        <w:rPr>
          <w:rFonts w:asciiTheme="minorEastAsia" w:hAnsiTheme="minorEastAsia" w:eastAsiaTheme="minorEastAsia"/>
          <w:b/>
          <w:bCs/>
        </w:rPr>
        <w:t>将被视为无效响应：</w:t>
      </w:r>
    </w:p>
    <w:p w14:paraId="18D46C17">
      <w:pPr>
        <w:spacing w:line="360" w:lineRule="auto"/>
        <w:ind w:firstLine="420"/>
        <w:rPr>
          <w:rFonts w:asciiTheme="minorEastAsia" w:hAnsiTheme="minorEastAsia" w:eastAsiaTheme="minorEastAsia"/>
          <w:szCs w:val="21"/>
        </w:rPr>
      </w:pPr>
      <w:r>
        <w:rPr>
          <w:rFonts w:asciiTheme="minorEastAsia" w:hAnsiTheme="minorEastAsia" w:eastAsiaTheme="minorEastAsia"/>
          <w:szCs w:val="21"/>
        </w:rPr>
        <w:t>2.1</w:t>
      </w:r>
      <w:r>
        <w:rPr>
          <w:rFonts w:hint="eastAsia" w:cs="宋体" w:asciiTheme="minorEastAsia" w:hAnsiTheme="minorEastAsia" w:eastAsiaTheme="minorEastAsia"/>
          <w:szCs w:val="21"/>
        </w:rPr>
        <w:t>投标文件标明的响应或偏离与事实不符或虚假投标的</w:t>
      </w:r>
      <w:r>
        <w:rPr>
          <w:rFonts w:asciiTheme="minorEastAsia" w:hAnsiTheme="minorEastAsia" w:eastAsiaTheme="minorEastAsia"/>
          <w:szCs w:val="21"/>
        </w:rPr>
        <w:t>；</w:t>
      </w:r>
    </w:p>
    <w:p w14:paraId="19571C92">
      <w:pPr>
        <w:spacing w:line="360" w:lineRule="auto"/>
        <w:ind w:firstLine="420" w:firstLineChars="200"/>
        <w:rPr>
          <w:rFonts w:asciiTheme="minorEastAsia" w:hAnsiTheme="minorEastAsia" w:eastAsiaTheme="minorEastAsia"/>
          <w:szCs w:val="21"/>
        </w:rPr>
      </w:pPr>
      <w:r>
        <w:rPr>
          <w:rFonts w:asciiTheme="minorEastAsia" w:hAnsiTheme="minorEastAsia" w:eastAsiaTheme="minorEastAsia"/>
          <w:bCs/>
          <w:szCs w:val="21"/>
        </w:rPr>
        <w:t>2.2明显不符合采购文件标明的质量标准，</w:t>
      </w:r>
      <w:r>
        <w:rPr>
          <w:rFonts w:hint="eastAsia" w:asciiTheme="minorEastAsia" w:hAnsiTheme="minorEastAsia" w:eastAsiaTheme="minorEastAsia"/>
          <w:bCs/>
          <w:szCs w:val="21"/>
        </w:rPr>
        <w:t>或者采购文件中标“▲”的技术参数、条款（如有）发生实质性偏离的；</w:t>
      </w:r>
    </w:p>
    <w:p w14:paraId="6C77C2BC">
      <w:pPr>
        <w:spacing w:line="360" w:lineRule="auto"/>
        <w:ind w:firstLine="420"/>
        <w:rPr>
          <w:rFonts w:asciiTheme="minorEastAsia" w:hAnsiTheme="minorEastAsia" w:eastAsiaTheme="minorEastAsia"/>
        </w:rPr>
      </w:pPr>
      <w:r>
        <w:rPr>
          <w:rFonts w:hint="eastAsia" w:asciiTheme="minorEastAsia" w:hAnsiTheme="minorEastAsia" w:eastAsiaTheme="minorEastAsia"/>
          <w:szCs w:val="21"/>
        </w:rPr>
        <w:t>2.3投标技术方案不明确，存在一个或一个以上备选（替代）投标方案的；</w:t>
      </w:r>
    </w:p>
    <w:p w14:paraId="71CC5921">
      <w:pPr>
        <w:spacing w:line="360" w:lineRule="auto"/>
        <w:ind w:firstLine="420"/>
        <w:rPr>
          <w:rFonts w:asciiTheme="minorEastAsia" w:hAnsiTheme="minorEastAsia" w:eastAsiaTheme="minorEastAsia"/>
          <w:szCs w:val="21"/>
        </w:rPr>
      </w:pPr>
      <w:r>
        <w:rPr>
          <w:rFonts w:asciiTheme="minorEastAsia" w:hAnsiTheme="minorEastAsia" w:eastAsiaTheme="minorEastAsia"/>
          <w:b/>
          <w:bCs/>
        </w:rPr>
        <w:t>3</w:t>
      </w:r>
      <w:r>
        <w:rPr>
          <w:rFonts w:hint="eastAsia" w:asciiTheme="minorEastAsia" w:hAnsiTheme="minorEastAsia" w:eastAsiaTheme="minorEastAsia"/>
          <w:b/>
          <w:bCs/>
        </w:rPr>
        <w:t>.</w:t>
      </w:r>
      <w:r>
        <w:rPr>
          <w:rFonts w:hint="eastAsia" w:cs="宋体" w:asciiTheme="minorEastAsia" w:hAnsiTheme="minorEastAsia" w:eastAsiaTheme="minorEastAsia"/>
          <w:b/>
          <w:szCs w:val="21"/>
        </w:rPr>
        <w:t>在投标报价文件评审时</w:t>
      </w:r>
      <w:r>
        <w:rPr>
          <w:rFonts w:asciiTheme="minorEastAsia" w:hAnsiTheme="minorEastAsia" w:eastAsiaTheme="minorEastAsia"/>
          <w:b/>
          <w:bCs/>
        </w:rPr>
        <w:t>，如发现下列情形之一的，</w:t>
      </w:r>
      <w:r>
        <w:rPr>
          <w:rFonts w:hint="eastAsia" w:asciiTheme="minorEastAsia" w:hAnsiTheme="minorEastAsia" w:eastAsiaTheme="minorEastAsia"/>
          <w:b/>
          <w:bCs/>
        </w:rPr>
        <w:t>投标文件</w:t>
      </w:r>
      <w:r>
        <w:rPr>
          <w:rFonts w:asciiTheme="minorEastAsia" w:hAnsiTheme="minorEastAsia" w:eastAsiaTheme="minorEastAsia"/>
          <w:b/>
          <w:bCs/>
        </w:rPr>
        <w:t>将被视为无效响应：</w:t>
      </w:r>
    </w:p>
    <w:p w14:paraId="38EB6AB0">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3.1未采用人民币报价或者未按照采购文件标明的币种报价的；</w:t>
      </w:r>
    </w:p>
    <w:p w14:paraId="3142B2A3">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3.2报价超出最高限价，或者超出采购预算金额，采购人不能支付的；投标人的投标报价经评标委员会审定认为存在不合理的、恶性的低价竞争的，且投标人又不能提供出有效证明的作无效标处理。</w:t>
      </w:r>
    </w:p>
    <w:p w14:paraId="710F52D6">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3.3投标报价具有选择性，或者开标价格与投标文件承诺的优惠（折扣）价格不一致的；</w:t>
      </w:r>
    </w:p>
    <w:p w14:paraId="229729E4">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 xml:space="preserve">3.4投标报价明细表总金额与开标一览表总价不一致。  </w:t>
      </w:r>
    </w:p>
    <w:p w14:paraId="067C1B1C">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3.5投标报价文件在投标文件商务技术部分中出现投标报价信息的。</w:t>
      </w:r>
    </w:p>
    <w:p w14:paraId="5A80692B">
      <w:pPr>
        <w:pStyle w:val="59"/>
        <w:snapToGrid w:val="0"/>
        <w:spacing w:line="360" w:lineRule="auto"/>
        <w:ind w:right="-86" w:rightChars="-41" w:firstLine="441" w:firstLineChars="209"/>
        <w:rPr>
          <w:rFonts w:asciiTheme="minorEastAsia" w:hAnsiTheme="minorEastAsia" w:eastAsiaTheme="minorEastAsia"/>
        </w:rPr>
      </w:pPr>
      <w:r>
        <w:rPr>
          <w:rFonts w:hint="eastAsia" w:asciiTheme="minorEastAsia" w:hAnsiTheme="minorEastAsia" w:eastAsiaTheme="minorEastAsia"/>
          <w:b/>
          <w:bCs/>
        </w:rPr>
        <w:t>3.6.</w:t>
      </w:r>
      <w:r>
        <w:rPr>
          <w:rFonts w:hint="eastAsia" w:asciiTheme="minorEastAsia" w:hAnsiTheme="minorEastAsia" w:eastAsiaTheme="minorEastAsia"/>
        </w:rPr>
        <w:t>法律、法规和采购文件规定的其他无效情形。</w:t>
      </w:r>
    </w:p>
    <w:p w14:paraId="26CBBAD0">
      <w:pPr>
        <w:spacing w:line="360" w:lineRule="auto"/>
        <w:ind w:firstLine="420"/>
        <w:rPr>
          <w:rFonts w:asciiTheme="minorEastAsia" w:hAnsiTheme="minorEastAsia" w:eastAsiaTheme="minorEastAsia"/>
          <w:b/>
          <w:szCs w:val="21"/>
        </w:rPr>
      </w:pPr>
      <w:r>
        <w:rPr>
          <w:rFonts w:hint="eastAsia" w:asciiTheme="minorEastAsia" w:hAnsiTheme="minorEastAsia" w:eastAsiaTheme="minorEastAsia"/>
          <w:b/>
          <w:szCs w:val="21"/>
        </w:rPr>
        <w:t>（七）出现以下情形，导致电子交易平台无法正常运行，或者无法保证电子交易的公平、公正和安全时，中止电子交易活动：</w:t>
      </w:r>
    </w:p>
    <w:p w14:paraId="7CBD4D03">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1.电子交易平台发生故障而无法登录访问的；</w:t>
      </w:r>
    </w:p>
    <w:p w14:paraId="1C03945E">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2.电子交易平台应用或数据库出现错误，不能进行正常操作的；</w:t>
      </w:r>
    </w:p>
    <w:p w14:paraId="5B901BCD">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3.电子交易平台发现严重安全漏洞，有潜在泄密危险的；</w:t>
      </w:r>
    </w:p>
    <w:p w14:paraId="2AEDFAAD">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4.病毒发作导致不能进行正常操作的；</w:t>
      </w:r>
    </w:p>
    <w:p w14:paraId="421A91EF">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5.其他无法保证电子交易的公平、公正和安全的情况。</w:t>
      </w:r>
    </w:p>
    <w:p w14:paraId="1E5140E9">
      <w:pPr>
        <w:pStyle w:val="59"/>
        <w:snapToGrid w:val="0"/>
        <w:spacing w:line="360" w:lineRule="auto"/>
        <w:ind w:right="-86" w:rightChars="-41" w:firstLine="438" w:firstLineChars="209"/>
        <w:rPr>
          <w:rFonts w:asciiTheme="minorEastAsia" w:hAnsiTheme="minorEastAsia" w:eastAsiaTheme="minorEastAsia"/>
        </w:rPr>
      </w:pPr>
      <w:r>
        <w:rPr>
          <w:rFonts w:hint="eastAsia" w:asciiTheme="minorEastAsia" w:hAnsiTheme="minorEastAsia" w:eastAsiaTheme="minorEastAsia"/>
        </w:rPr>
        <w:t>出现前款规定情形，不影响采购公平、公正性的，代理机构可以待上述情形消除后继续组织电子交易活动，也可以决定某些环节以纸质形式进行；影响或可能影响采购公平、公正性的，重新采购。</w:t>
      </w:r>
    </w:p>
    <w:p w14:paraId="23DD444A">
      <w:pPr>
        <w:pStyle w:val="64"/>
        <w:snapToGrid w:val="0"/>
        <w:spacing w:before="120" w:after="120" w:line="360" w:lineRule="auto"/>
        <w:ind w:right="55" w:firstLine="470"/>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（八）被拒绝的投标文件为无效。</w:t>
      </w:r>
    </w:p>
    <w:p w14:paraId="46C7F6A3">
      <w:pPr>
        <w:pStyle w:val="50"/>
        <w:snapToGrid w:val="0"/>
        <w:spacing w:before="120" w:after="120" w:line="360" w:lineRule="auto"/>
        <w:ind w:right="-506" w:rightChars="-241"/>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四．开标</w:t>
      </w:r>
    </w:p>
    <w:p w14:paraId="52F87D11">
      <w:pPr>
        <w:pStyle w:val="12"/>
        <w:spacing w:line="360" w:lineRule="auto"/>
        <w:ind w:firstLine="422" w:firstLineChars="200"/>
        <w:jc w:val="left"/>
        <w:rPr>
          <w:rFonts w:asciiTheme="minorEastAsia" w:hAnsiTheme="minorEastAsia" w:eastAsiaTheme="minorEastAsia"/>
          <w:b/>
          <w:sz w:val="21"/>
          <w:szCs w:val="21"/>
        </w:rPr>
      </w:pPr>
      <w:r>
        <w:rPr>
          <w:rFonts w:hint="eastAsia" w:asciiTheme="minorEastAsia" w:hAnsiTheme="minorEastAsia" w:eastAsiaTheme="minorEastAsia"/>
          <w:b/>
          <w:sz w:val="21"/>
          <w:szCs w:val="21"/>
        </w:rPr>
        <w:t>电子招投标开标及评审程序</w:t>
      </w:r>
    </w:p>
    <w:p w14:paraId="32A812A5">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1.采购组织机构按照规定的时间通过政采云系统组织开标、开启投标文件，所有投标人均应当准时在线参加。</w:t>
      </w:r>
    </w:p>
    <w:p w14:paraId="6C04F184">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2.投标截止时间后，投标人登录政采云平台，用“项目采购-开标评标”功能对电子投标文件进行</w:t>
      </w:r>
      <w:r>
        <w:rPr>
          <w:rFonts w:hint="eastAsia" w:asciiTheme="minorEastAsia" w:hAnsiTheme="minorEastAsia" w:eastAsiaTheme="minorEastAsia"/>
          <w:b/>
          <w:bCs/>
          <w:szCs w:val="21"/>
        </w:rPr>
        <w:t>在线解密。</w:t>
      </w:r>
      <w:r>
        <w:rPr>
          <w:rFonts w:hint="eastAsia" w:asciiTheme="minorEastAsia" w:hAnsiTheme="minorEastAsia" w:eastAsiaTheme="minorEastAsia"/>
          <w:szCs w:val="21"/>
        </w:rPr>
        <w:t>在线解密电子投标文件时间</w:t>
      </w:r>
      <w:r>
        <w:rPr>
          <w:rFonts w:hint="eastAsia" w:asciiTheme="minorEastAsia" w:hAnsiTheme="minorEastAsia" w:eastAsiaTheme="minorEastAsia"/>
          <w:b/>
          <w:bCs/>
          <w:szCs w:val="21"/>
        </w:rPr>
        <w:t>为开标时间起半个小时内（投标人需自备电脑在线解密）；</w:t>
      </w:r>
    </w:p>
    <w:p w14:paraId="66ECD932">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3、各投标人的资格由采购单位人员负责审核；评标委员会对符合性和商务技术响应文件进行评审；</w:t>
      </w:r>
    </w:p>
    <w:p w14:paraId="0CC8703A">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4、在系统上公开资格和商务技术评审结果；</w:t>
      </w:r>
    </w:p>
    <w:p w14:paraId="27A3E90B">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5、在系统上公开报价开标情况；</w:t>
      </w:r>
    </w:p>
    <w:p w14:paraId="2FAC1BEF">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6、评标委员会对报价情况进行评审；</w:t>
      </w:r>
    </w:p>
    <w:p w14:paraId="6FD89484">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7、在系统上公布评审结果。</w:t>
      </w:r>
    </w:p>
    <w:p w14:paraId="64AD4C5C">
      <w:pPr>
        <w:adjustRightInd w:val="0"/>
        <w:snapToGrid w:val="0"/>
        <w:spacing w:line="360" w:lineRule="auto"/>
        <w:ind w:firstLine="420" w:firstLineChars="200"/>
        <w:jc w:val="left"/>
        <w:rPr>
          <w:rFonts w:asciiTheme="minorEastAsia" w:hAnsiTheme="minorEastAsia" w:eastAsiaTheme="minorEastAsia"/>
          <w:color w:val="FF0000"/>
          <w:szCs w:val="21"/>
        </w:rPr>
      </w:pPr>
      <w:r>
        <w:rPr>
          <w:rFonts w:hint="eastAsia" w:asciiTheme="minorEastAsia" w:hAnsiTheme="minorEastAsia" w:eastAsiaTheme="minorEastAsia"/>
          <w:szCs w:val="21"/>
        </w:rPr>
        <w:t>特别说明：政采云公司如对电子化开标及评审程序有调整的，按调整后的程序操作</w:t>
      </w:r>
      <w:r>
        <w:rPr>
          <w:rFonts w:hint="eastAsia" w:asciiTheme="minorEastAsia" w:hAnsiTheme="minorEastAsia" w:eastAsiaTheme="minorEastAsia"/>
          <w:color w:val="FF0000"/>
          <w:szCs w:val="21"/>
        </w:rPr>
        <w:t>。</w:t>
      </w:r>
    </w:p>
    <w:p w14:paraId="40EC3B39">
      <w:pPr>
        <w:pStyle w:val="50"/>
        <w:snapToGrid w:val="0"/>
        <w:spacing w:before="120" w:after="120" w:line="360" w:lineRule="auto"/>
        <w:ind w:right="-506" w:rightChars="-241"/>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五．评标</w:t>
      </w:r>
    </w:p>
    <w:p w14:paraId="19BEA90E">
      <w:pPr>
        <w:spacing w:line="360" w:lineRule="auto"/>
        <w:ind w:firstLine="422" w:firstLineChars="200"/>
        <w:rPr>
          <w:rFonts w:asciiTheme="minorEastAsia" w:hAnsiTheme="minorEastAsia" w:eastAsiaTheme="minorEastAsia"/>
          <w:b/>
          <w:szCs w:val="21"/>
        </w:rPr>
      </w:pPr>
      <w:r>
        <w:rPr>
          <w:rFonts w:hint="eastAsia" w:asciiTheme="minorEastAsia" w:hAnsiTheme="minorEastAsia" w:eastAsiaTheme="minorEastAsia"/>
          <w:b/>
          <w:szCs w:val="21"/>
        </w:rPr>
        <w:t>（一）组建评标委员会</w:t>
      </w:r>
    </w:p>
    <w:p w14:paraId="42E87C64">
      <w:pPr>
        <w:snapToGrid w:val="0"/>
        <w:spacing w:before="120" w:line="360" w:lineRule="auto"/>
        <w:ind w:right="-87" w:firstLine="420" w:firstLineChars="200"/>
        <w:rPr>
          <w:rFonts w:hAnsi="宋体"/>
        </w:rPr>
      </w:pPr>
      <w:r>
        <w:rPr>
          <w:rFonts w:hint="eastAsia" w:hAnsi="宋体"/>
        </w:rPr>
        <w:t>评标委员会由采购人代表和评审专家组成，成员人数为5人（含）以上单数，其中评审专家不得少于成员总数的三分之二。</w:t>
      </w:r>
    </w:p>
    <w:p w14:paraId="014B28E5">
      <w:pPr>
        <w:spacing w:line="360" w:lineRule="auto"/>
        <w:ind w:firstLine="422" w:firstLineChars="200"/>
        <w:rPr>
          <w:rFonts w:asciiTheme="minorEastAsia" w:hAnsiTheme="minorEastAsia" w:eastAsiaTheme="minorEastAsia"/>
          <w:b/>
          <w:szCs w:val="21"/>
        </w:rPr>
      </w:pPr>
      <w:r>
        <w:rPr>
          <w:rFonts w:hint="eastAsia" w:asciiTheme="minorEastAsia" w:hAnsiTheme="minorEastAsia" w:eastAsiaTheme="minorEastAsia"/>
          <w:b/>
          <w:szCs w:val="21"/>
        </w:rPr>
        <w:t>（二）评标程序</w:t>
      </w:r>
    </w:p>
    <w:p w14:paraId="6478E3DC">
      <w:pPr>
        <w:snapToGrid w:val="0"/>
        <w:spacing w:line="360" w:lineRule="auto"/>
        <w:ind w:right="-87"/>
        <w:rPr>
          <w:rFonts w:asciiTheme="minorEastAsia" w:hAnsiTheme="minorEastAsia" w:eastAsiaTheme="minorEastAsia"/>
          <w:szCs w:val="21"/>
        </w:rPr>
      </w:pPr>
      <w:r>
        <w:rPr>
          <w:rFonts w:hint="eastAsia" w:asciiTheme="minorEastAsia" w:hAnsiTheme="minorEastAsia" w:eastAsiaTheme="minorEastAsia"/>
          <w:b/>
          <w:szCs w:val="21"/>
        </w:rPr>
        <w:t>1.</w:t>
      </w:r>
      <w:r>
        <w:rPr>
          <w:rFonts w:asciiTheme="minorEastAsia" w:hAnsiTheme="minorEastAsia" w:eastAsiaTheme="minorEastAsia"/>
          <w:b/>
          <w:szCs w:val="21"/>
        </w:rPr>
        <w:t>投标文件初审</w:t>
      </w:r>
    </w:p>
    <w:p w14:paraId="2324BECE">
      <w:pPr>
        <w:snapToGrid w:val="0"/>
        <w:spacing w:line="360" w:lineRule="auto"/>
        <w:ind w:right="-87" w:firstLine="420" w:firstLineChars="200"/>
        <w:rPr>
          <w:rFonts w:asciiTheme="minorEastAsia" w:hAnsiTheme="minorEastAsia" w:eastAsiaTheme="minorEastAsia"/>
          <w:b/>
          <w:szCs w:val="21"/>
        </w:rPr>
      </w:pPr>
      <w:r>
        <w:rPr>
          <w:rFonts w:asciiTheme="minorEastAsia" w:hAnsiTheme="minorEastAsia" w:eastAsiaTheme="minorEastAsia"/>
          <w:szCs w:val="21"/>
        </w:rPr>
        <w:t>初审分为资格性检查和符合性检查。</w:t>
      </w:r>
    </w:p>
    <w:p w14:paraId="2B643A37">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1.1</w:t>
      </w:r>
      <w:r>
        <w:rPr>
          <w:rFonts w:asciiTheme="minorEastAsia" w:hAnsiTheme="minorEastAsia" w:eastAsiaTheme="minorEastAsia"/>
          <w:szCs w:val="21"/>
        </w:rPr>
        <w:t>资格性检查。依据法律法规和</w:t>
      </w:r>
      <w:r>
        <w:rPr>
          <w:rFonts w:hint="eastAsia" w:asciiTheme="minorEastAsia" w:hAnsiTheme="minorEastAsia" w:eastAsiaTheme="minorEastAsia"/>
          <w:szCs w:val="21"/>
        </w:rPr>
        <w:t>采购文件</w:t>
      </w:r>
      <w:r>
        <w:rPr>
          <w:rFonts w:asciiTheme="minorEastAsia" w:hAnsiTheme="minorEastAsia" w:eastAsiaTheme="minorEastAsia"/>
          <w:szCs w:val="21"/>
        </w:rPr>
        <w:t>的规定，对投标文件中的资格证明等进行审查，以确定</w:t>
      </w:r>
      <w:r>
        <w:rPr>
          <w:rFonts w:hint="eastAsia" w:asciiTheme="minorEastAsia" w:hAnsiTheme="minorEastAsia" w:eastAsiaTheme="minorEastAsia"/>
          <w:szCs w:val="21"/>
        </w:rPr>
        <w:t>投标</w:t>
      </w:r>
      <w:r>
        <w:rPr>
          <w:rFonts w:asciiTheme="minorEastAsia" w:hAnsiTheme="minorEastAsia" w:eastAsiaTheme="minorEastAsia"/>
          <w:szCs w:val="21"/>
        </w:rPr>
        <w:t>人是否具备投标资格。</w:t>
      </w:r>
    </w:p>
    <w:p w14:paraId="2285B307">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1.2</w:t>
      </w:r>
      <w:r>
        <w:rPr>
          <w:rFonts w:asciiTheme="minorEastAsia" w:hAnsiTheme="minorEastAsia" w:eastAsiaTheme="minorEastAsia"/>
          <w:szCs w:val="21"/>
        </w:rPr>
        <w:t>符合性检查。依据</w:t>
      </w:r>
      <w:r>
        <w:rPr>
          <w:rFonts w:hint="eastAsia" w:asciiTheme="minorEastAsia" w:hAnsiTheme="minorEastAsia" w:eastAsiaTheme="minorEastAsia"/>
          <w:szCs w:val="21"/>
        </w:rPr>
        <w:t>采购文件</w:t>
      </w:r>
      <w:r>
        <w:rPr>
          <w:rFonts w:asciiTheme="minorEastAsia" w:hAnsiTheme="minorEastAsia" w:eastAsiaTheme="minorEastAsia"/>
          <w:szCs w:val="21"/>
        </w:rPr>
        <w:t>的规定，从投标文件的有效性、完整性和对</w:t>
      </w:r>
      <w:r>
        <w:rPr>
          <w:rFonts w:hint="eastAsia" w:asciiTheme="minorEastAsia" w:hAnsiTheme="minorEastAsia" w:eastAsiaTheme="minorEastAsia"/>
          <w:szCs w:val="21"/>
        </w:rPr>
        <w:t>采购文件</w:t>
      </w:r>
      <w:r>
        <w:rPr>
          <w:rFonts w:asciiTheme="minorEastAsia" w:hAnsiTheme="minorEastAsia" w:eastAsiaTheme="minorEastAsia"/>
          <w:szCs w:val="21"/>
        </w:rPr>
        <w:t>的响应程度进行审查，以确定是否对</w:t>
      </w:r>
      <w:r>
        <w:rPr>
          <w:rFonts w:hint="eastAsia" w:asciiTheme="minorEastAsia" w:hAnsiTheme="minorEastAsia" w:eastAsiaTheme="minorEastAsia"/>
          <w:szCs w:val="21"/>
        </w:rPr>
        <w:t>采购文件</w:t>
      </w:r>
      <w:r>
        <w:rPr>
          <w:rFonts w:asciiTheme="minorEastAsia" w:hAnsiTheme="minorEastAsia" w:eastAsiaTheme="minorEastAsia"/>
          <w:szCs w:val="21"/>
        </w:rPr>
        <w:t>的实质性要求作出响应。</w:t>
      </w:r>
    </w:p>
    <w:p w14:paraId="7895A7D9">
      <w:pPr>
        <w:snapToGrid w:val="0"/>
        <w:spacing w:line="360" w:lineRule="auto"/>
        <w:ind w:right="-87"/>
        <w:rPr>
          <w:rFonts w:asciiTheme="minorEastAsia" w:hAnsiTheme="minorEastAsia" w:eastAsiaTheme="minorEastAsia"/>
          <w:b/>
          <w:sz w:val="24"/>
        </w:rPr>
      </w:pPr>
      <w:r>
        <w:rPr>
          <w:rFonts w:hint="eastAsia" w:asciiTheme="minorEastAsia" w:hAnsiTheme="minorEastAsia" w:eastAsiaTheme="minorEastAsia"/>
          <w:b/>
          <w:sz w:val="24"/>
        </w:rPr>
        <w:t>2</w:t>
      </w:r>
      <w:r>
        <w:rPr>
          <w:rFonts w:hint="eastAsia" w:asciiTheme="minorEastAsia" w:hAnsiTheme="minorEastAsia" w:eastAsiaTheme="minorEastAsia"/>
          <w:b/>
          <w:szCs w:val="21"/>
        </w:rPr>
        <w:t>.实质审查</w:t>
      </w:r>
    </w:p>
    <w:p w14:paraId="4D17F816">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2.1评标委员会审查投标文件的实质性内容是否符合采购文件的实质性要求。</w:t>
      </w:r>
    </w:p>
    <w:p w14:paraId="649D9570">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2.2评标委员会将根据投标人的投标文件进行审查、核对，如有疑问，将对投标人通过电子系统进行询标，投标人向评标委员会澄清有关问题，并最终以电子形式进行答复。投标人拒绝澄清或者澄清的内容改变了投标文件的实质性内容的，评标委员会有权对该投标文件作出不利于投标人的评判。</w:t>
      </w:r>
    </w:p>
    <w:p w14:paraId="53E4B7C5">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2.3评审小组商务、技术方案响应性评定；</w:t>
      </w:r>
    </w:p>
    <w:p w14:paraId="41F1ED23">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2.4各投标人的技术得分为所有评委的有效评分的算术平均数，由指定专人进行计算复核。</w:t>
      </w:r>
    </w:p>
    <w:p w14:paraId="34EE4260">
      <w:pPr>
        <w:adjustRightInd w:val="0"/>
        <w:snapToGrid w:val="0"/>
        <w:spacing w:line="360" w:lineRule="auto"/>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2.5评标委员会完成评标后，评委对各部分得分汇总，计算出本项目综合评估分。评标委员会按评标原则通过电子系统向采购人及采购代理机构提交评审报告。</w:t>
      </w:r>
    </w:p>
    <w:p w14:paraId="029ECEB2">
      <w:pPr>
        <w:spacing w:line="360" w:lineRule="auto"/>
        <w:ind w:firstLine="422" w:firstLineChars="200"/>
        <w:rPr>
          <w:rFonts w:asciiTheme="minorEastAsia" w:hAnsiTheme="minorEastAsia" w:eastAsiaTheme="minorEastAsia"/>
          <w:b/>
          <w:szCs w:val="21"/>
        </w:rPr>
      </w:pPr>
      <w:r>
        <w:rPr>
          <w:rFonts w:hint="eastAsia" w:asciiTheme="minorEastAsia" w:hAnsiTheme="minorEastAsia" w:eastAsiaTheme="minorEastAsia"/>
          <w:b/>
          <w:szCs w:val="21"/>
        </w:rPr>
        <w:t>（三）澄清问题的形式</w:t>
      </w:r>
    </w:p>
    <w:p w14:paraId="3D805568">
      <w:pPr>
        <w:snapToGrid w:val="0"/>
        <w:spacing w:line="360" w:lineRule="auto"/>
        <w:ind w:left="228" w:right="-87" w:firstLine="420" w:firstLineChars="200"/>
        <w:rPr>
          <w:rFonts w:asciiTheme="minorEastAsia" w:hAnsiTheme="minorEastAsia" w:eastAsiaTheme="minorEastAsia"/>
        </w:rPr>
      </w:pPr>
      <w:r>
        <w:rPr>
          <w:rFonts w:hint="eastAsia" w:asciiTheme="minorEastAsia" w:hAnsiTheme="minorEastAsia" w:eastAsiaTheme="minorEastAsia"/>
        </w:rPr>
        <w:t>对投标文件中含义不明确、同类问题表述不一致或者有明显文字和计算错误的内容，评标委员会可要求投标人作出必要的澄清、说明或者纠正。投标人与评审小组</w:t>
      </w:r>
      <w:r>
        <w:rPr>
          <w:rFonts w:hint="eastAsia" w:asciiTheme="minorEastAsia" w:hAnsiTheme="minorEastAsia" w:eastAsiaTheme="minorEastAsia"/>
          <w:szCs w:val="21"/>
        </w:rPr>
        <w:t>通过电子交易平台交换数据电文的形式进行</w:t>
      </w:r>
      <w:r>
        <w:rPr>
          <w:rFonts w:hint="eastAsia" w:asciiTheme="minorEastAsia" w:hAnsiTheme="minorEastAsia" w:eastAsiaTheme="minorEastAsia"/>
        </w:rPr>
        <w:t>，给予投标人提交澄清说明或补正的时间不少于半个小时，投标人已经明确表示澄清说明或补正完毕的除外。不得超出投标文件的范围或者改变投标文件的实质性内容。</w:t>
      </w:r>
    </w:p>
    <w:p w14:paraId="4A79CF18">
      <w:pPr>
        <w:pStyle w:val="50"/>
        <w:snapToGrid w:val="0"/>
        <w:spacing w:before="120" w:after="120" w:line="360" w:lineRule="auto"/>
        <w:ind w:left="0" w:right="-87" w:firstLine="422" w:firstLineChars="200"/>
        <w:rPr>
          <w:rFonts w:asciiTheme="minorEastAsia" w:hAnsiTheme="minorEastAsia" w:eastAsiaTheme="minorEastAsia"/>
          <w:b/>
          <w:sz w:val="21"/>
          <w:szCs w:val="21"/>
        </w:rPr>
      </w:pPr>
      <w:r>
        <w:rPr>
          <w:rFonts w:hint="eastAsia" w:asciiTheme="minorEastAsia" w:hAnsiTheme="minorEastAsia" w:eastAsiaTheme="minorEastAsia"/>
          <w:b/>
          <w:sz w:val="21"/>
          <w:szCs w:val="21"/>
        </w:rPr>
        <w:t>（四）错误修正</w:t>
      </w:r>
    </w:p>
    <w:p w14:paraId="5C8E53CF">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投标文件如果出现计算或表达上的错误，修正错误的原则如下：</w:t>
      </w:r>
    </w:p>
    <w:p w14:paraId="342430F8">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1.如果用数字表示的数额与文字表示的数额不一致的，以文字数额为准；</w:t>
      </w:r>
    </w:p>
    <w:p w14:paraId="34877575">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2.当单价和数量的乘积与合价不一致时，通常以标出的单价为准。除非评审小组认为单价属明显的小数点错误，此时应以标出的合价为准，并修改单价。</w:t>
      </w:r>
    </w:p>
    <w:p w14:paraId="124DEB9A">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3.按上述修改错误的方法，调整投标文件中的投标报价文件，经投标人确认后，调整后的投标报价对投标人起约束作用。</w:t>
      </w:r>
    </w:p>
    <w:p w14:paraId="0C2BC670">
      <w:pPr>
        <w:pStyle w:val="2"/>
        <w:snapToGrid w:val="0"/>
        <w:spacing w:line="360" w:lineRule="auto"/>
        <w:ind w:firstLine="417" w:firstLineChars="198"/>
        <w:rPr>
          <w:rFonts w:cs="宋体" w:asciiTheme="minorEastAsia" w:hAnsiTheme="minorEastAsia" w:eastAsiaTheme="minorEastAsia"/>
          <w:sz w:val="21"/>
          <w:szCs w:val="21"/>
        </w:rPr>
      </w:pPr>
      <w:r>
        <w:rPr>
          <w:rFonts w:hint="eastAsia" w:cs="宋体" w:asciiTheme="minorEastAsia" w:hAnsiTheme="minorEastAsia" w:eastAsiaTheme="minorEastAsia"/>
          <w:b/>
          <w:sz w:val="21"/>
          <w:szCs w:val="21"/>
        </w:rPr>
        <w:t>按上述修正错误的原则及方法调整或修正投标文件的投标报价，投标人通过电文并签章确认后，调整后的投标报价对投标人具有约束作用。如果投标人不接受修正后的报价，则其投标将作为无效投标处理。</w:t>
      </w:r>
    </w:p>
    <w:p w14:paraId="3F84452B">
      <w:pPr>
        <w:pStyle w:val="50"/>
        <w:snapToGrid w:val="0"/>
        <w:spacing w:before="120" w:after="120" w:line="360" w:lineRule="auto"/>
        <w:ind w:left="0" w:right="-87" w:firstLine="422" w:firstLineChars="200"/>
        <w:jc w:val="left"/>
        <w:rPr>
          <w:rFonts w:asciiTheme="minorEastAsia" w:hAnsiTheme="minorEastAsia" w:eastAsiaTheme="minorEastAsia"/>
          <w:b/>
          <w:sz w:val="21"/>
          <w:szCs w:val="21"/>
        </w:rPr>
      </w:pPr>
      <w:r>
        <w:rPr>
          <w:rFonts w:hint="eastAsia" w:asciiTheme="minorEastAsia" w:hAnsiTheme="minorEastAsia" w:eastAsiaTheme="minorEastAsia"/>
          <w:b/>
          <w:sz w:val="21"/>
          <w:szCs w:val="21"/>
        </w:rPr>
        <w:t>（五）评标原则和评标办法</w:t>
      </w:r>
    </w:p>
    <w:p w14:paraId="51EC86EC">
      <w:pPr>
        <w:pStyle w:val="2"/>
        <w:snapToGrid w:val="0"/>
        <w:spacing w:line="360" w:lineRule="auto"/>
        <w:ind w:firstLine="420" w:firstLineChars="200"/>
        <w:rPr>
          <w:rFonts w:hAnsi="宋体" w:eastAsia="宋体" w:cs="宋体"/>
          <w:sz w:val="21"/>
          <w:szCs w:val="21"/>
        </w:rPr>
      </w:pPr>
      <w:r>
        <w:rPr>
          <w:rFonts w:hint="eastAsia" w:hAnsi="宋体" w:eastAsia="宋体" w:cs="宋体"/>
          <w:sz w:val="21"/>
          <w:szCs w:val="21"/>
        </w:rPr>
        <w:t>1、评标委员会必须公平、公正、客观，不带任何倾向性和启发性；不得向外界透露任何与评标有关的内容；任何单位和个人不得干扰、影响评标的正常进行；评标委员会及有关工作人员不得私下与投标人接触。</w:t>
      </w:r>
    </w:p>
    <w:p w14:paraId="2CEF28E7">
      <w:pPr>
        <w:pStyle w:val="2"/>
        <w:snapToGrid w:val="0"/>
        <w:spacing w:line="360" w:lineRule="auto"/>
        <w:ind w:firstLine="420" w:firstLineChars="200"/>
        <w:rPr>
          <w:rFonts w:hAnsi="宋体" w:eastAsia="宋体" w:cs="宋体"/>
          <w:sz w:val="21"/>
          <w:szCs w:val="21"/>
        </w:rPr>
      </w:pPr>
      <w:r>
        <w:rPr>
          <w:rFonts w:hint="eastAsia" w:hAnsi="宋体" w:eastAsia="宋体" w:cs="宋体"/>
          <w:sz w:val="21"/>
          <w:szCs w:val="21"/>
        </w:rPr>
        <w:t>2、评标办法。本项目评标办法是</w:t>
      </w:r>
      <w:r>
        <w:rPr>
          <w:rFonts w:hint="eastAsia" w:hAnsi="宋体" w:eastAsia="宋体" w:cs="宋体"/>
          <w:sz w:val="21"/>
          <w:szCs w:val="21"/>
          <w:u w:val="single"/>
        </w:rPr>
        <w:t>综合评分法</w:t>
      </w:r>
      <w:r>
        <w:rPr>
          <w:rFonts w:hint="eastAsia" w:hAnsi="宋体" w:eastAsia="宋体" w:cs="宋体"/>
          <w:sz w:val="21"/>
          <w:szCs w:val="21"/>
        </w:rPr>
        <w:t>，具体评标内容及评分标准等详见《第四章：评标办法及评分标准》。</w:t>
      </w:r>
    </w:p>
    <w:p w14:paraId="6B9F4430">
      <w:pPr>
        <w:pStyle w:val="2"/>
        <w:snapToGrid w:val="0"/>
        <w:spacing w:line="400" w:lineRule="exact"/>
        <w:ind w:firstLine="420" w:firstLineChars="200"/>
        <w:rPr>
          <w:rFonts w:hAnsi="宋体" w:eastAsia="宋体" w:cs="宋体"/>
          <w:sz w:val="21"/>
          <w:szCs w:val="21"/>
        </w:rPr>
      </w:pPr>
      <w:r>
        <w:rPr>
          <w:rFonts w:hint="eastAsia" w:hAnsi="宋体" w:eastAsia="宋体" w:cs="宋体"/>
          <w:sz w:val="21"/>
          <w:szCs w:val="21"/>
        </w:rPr>
        <w:t>3、《政府采购货物和服务招标投标管理办法》</w:t>
      </w:r>
    </w:p>
    <w:p w14:paraId="1B9249B9">
      <w:pPr>
        <w:pStyle w:val="2"/>
        <w:snapToGrid w:val="0"/>
        <w:spacing w:line="400" w:lineRule="exact"/>
        <w:ind w:firstLine="420" w:firstLineChars="200"/>
        <w:rPr>
          <w:rFonts w:hAnsi="宋体" w:eastAsia="宋体" w:cs="宋体"/>
          <w:color w:val="000000" w:themeColor="text1"/>
          <w:sz w:val="21"/>
          <w:szCs w:val="21"/>
          <w14:textFill>
            <w14:solidFill>
              <w14:schemeClr w14:val="tx1"/>
            </w14:solidFill>
          </w14:textFill>
        </w:rPr>
      </w:pPr>
      <w:r>
        <w:rPr>
          <w:rFonts w:hint="eastAsia" w:hAnsi="宋体" w:eastAsia="宋体" w:cs="宋体"/>
          <w:sz w:val="21"/>
          <w:szCs w:val="21"/>
        </w:rPr>
        <w:t>第三十一条: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w:t>
      </w:r>
      <w:r>
        <w:rPr>
          <w:rFonts w:hint="eastAsia" w:hAnsi="宋体" w:eastAsia="宋体" w:cs="宋体"/>
          <w:color w:val="000000" w:themeColor="text1"/>
          <w:sz w:val="21"/>
          <w:szCs w:val="21"/>
          <w14:textFill>
            <w14:solidFill>
              <w14:schemeClr w14:val="tx1"/>
            </w14:solidFill>
          </w14:textFill>
        </w:rPr>
        <w:t>人不作为中标候选人。</w:t>
      </w:r>
    </w:p>
    <w:p w14:paraId="5C2962F9">
      <w:pPr>
        <w:pStyle w:val="2"/>
        <w:snapToGrid w:val="0"/>
        <w:spacing w:line="400" w:lineRule="exact"/>
        <w:ind w:firstLine="422" w:firstLineChars="200"/>
        <w:rPr>
          <w:rFonts w:hint="eastAsia" w:hAnsi="宋体" w:eastAsia="宋体" w:cs="宋体"/>
          <w:sz w:val="21"/>
          <w:szCs w:val="21"/>
        </w:rPr>
      </w:pPr>
      <w:r>
        <w:rPr>
          <w:rFonts w:hint="eastAsia" w:hAnsi="宋体" w:eastAsia="宋体" w:cs="宋体"/>
          <w:b/>
          <w:bCs/>
          <w:sz w:val="21"/>
          <w:szCs w:val="21"/>
        </w:rPr>
        <w:t>本项目核心产品：</w:t>
      </w:r>
      <w:r>
        <w:rPr>
          <w:rFonts w:hint="eastAsia" w:hAnsi="宋体" w:eastAsia="宋体" w:cs="宋体"/>
          <w:b/>
          <w:bCs/>
          <w:sz w:val="21"/>
          <w:szCs w:val="21"/>
          <w:u w:val="single"/>
        </w:rPr>
        <w:t xml:space="preserve"> </w:t>
      </w:r>
      <w:r>
        <w:rPr>
          <w:rFonts w:hint="eastAsia" w:hAnsi="宋体" w:eastAsia="宋体" w:cs="宋体"/>
          <w:b/>
          <w:bCs/>
          <w:sz w:val="21"/>
          <w:szCs w:val="21"/>
          <w:u w:val="single"/>
          <w:lang w:val="en-US" w:eastAsia="zh-CN"/>
        </w:rPr>
        <w:t>护理床</w:t>
      </w:r>
      <w:r>
        <w:rPr>
          <w:rFonts w:hint="eastAsia" w:hAnsi="宋体" w:eastAsia="宋体" w:cs="宋体"/>
          <w:b/>
          <w:bCs/>
          <w:sz w:val="21"/>
          <w:szCs w:val="21"/>
        </w:rPr>
        <w:t>。核心产品同时为相同品牌时，符合第三十一条的规定。</w:t>
      </w:r>
    </w:p>
    <w:p w14:paraId="616E874E">
      <w:pPr>
        <w:pStyle w:val="2"/>
        <w:snapToGrid w:val="0"/>
        <w:spacing w:line="400" w:lineRule="exact"/>
        <w:ind w:firstLine="420" w:firstLineChars="200"/>
        <w:rPr>
          <w:rFonts w:hAnsi="宋体" w:eastAsia="宋体" w:cs="宋体"/>
          <w:color w:val="000000" w:themeColor="text1"/>
          <w:sz w:val="21"/>
          <w:szCs w:val="21"/>
          <w14:textFill>
            <w14:solidFill>
              <w14:schemeClr w14:val="tx1"/>
            </w14:solidFill>
          </w14:textFill>
        </w:rPr>
      </w:pPr>
      <w:r>
        <w:rPr>
          <w:rFonts w:hint="eastAsia" w:hAnsi="宋体" w:eastAsia="宋体" w:cs="宋体"/>
          <w:color w:val="000000" w:themeColor="text1"/>
          <w:sz w:val="21"/>
          <w:szCs w:val="21"/>
          <w14:textFill>
            <w14:solidFill>
              <w14:schemeClr w14:val="tx1"/>
            </w14:solidFill>
          </w14:textFill>
        </w:rPr>
        <w:t>第四十三条：公开招标数额标准以上的采购项目，投标截止后投标人不足3家或者通过资格审查或符合性审查的投标人不足3家的，除采购任务取消情形外，按照以下方式处理：</w:t>
      </w:r>
    </w:p>
    <w:p w14:paraId="5ED0CB10">
      <w:pPr>
        <w:pStyle w:val="2"/>
        <w:snapToGrid w:val="0"/>
        <w:spacing w:line="400" w:lineRule="exact"/>
        <w:ind w:firstLine="420" w:firstLineChars="200"/>
        <w:rPr>
          <w:rFonts w:hAnsi="宋体" w:eastAsia="宋体" w:cs="宋体"/>
          <w:sz w:val="21"/>
          <w:szCs w:val="21"/>
        </w:rPr>
      </w:pPr>
      <w:r>
        <w:rPr>
          <w:rFonts w:hint="eastAsia" w:hAnsi="宋体" w:eastAsia="宋体" w:cs="宋体"/>
          <w:color w:val="000000" w:themeColor="text1"/>
          <w:sz w:val="21"/>
          <w:szCs w:val="21"/>
          <w14:textFill>
            <w14:solidFill>
              <w14:schemeClr w14:val="tx1"/>
            </w14:solidFill>
          </w14:textFill>
        </w:rPr>
        <w:t>（一）招标文件存在不合理条款或者招</w:t>
      </w:r>
      <w:r>
        <w:rPr>
          <w:rFonts w:hint="eastAsia" w:hAnsi="宋体" w:eastAsia="宋体" w:cs="宋体"/>
          <w:sz w:val="21"/>
          <w:szCs w:val="21"/>
        </w:rPr>
        <w:t>标程序不符合规定的，采购人、采购代理机构改正后依法重新招标；</w:t>
      </w:r>
    </w:p>
    <w:p w14:paraId="79ACF37C">
      <w:pPr>
        <w:pStyle w:val="2"/>
        <w:snapToGrid w:val="0"/>
        <w:spacing w:line="400" w:lineRule="exact"/>
        <w:ind w:firstLine="420" w:firstLineChars="200"/>
        <w:rPr>
          <w:rFonts w:hAnsi="宋体" w:eastAsia="宋体" w:cs="宋体"/>
          <w:sz w:val="21"/>
          <w:szCs w:val="21"/>
        </w:rPr>
      </w:pPr>
      <w:r>
        <w:rPr>
          <w:rFonts w:hint="eastAsia" w:hAnsi="宋体" w:eastAsia="宋体" w:cs="宋体"/>
          <w:sz w:val="21"/>
          <w:szCs w:val="21"/>
        </w:rPr>
        <w:t>（二）招标文件没有不合理条款、招标程序符合规定，需要采用其他采购人式采购的，采购人应当依法报财政部门批准。</w:t>
      </w:r>
    </w:p>
    <w:p w14:paraId="5AF7EC95">
      <w:pPr>
        <w:widowControl/>
        <w:snapToGrid w:val="0"/>
        <w:spacing w:line="400" w:lineRule="exact"/>
        <w:ind w:right="-87" w:firstLine="422" w:firstLineChars="200"/>
        <w:rPr>
          <w:rFonts w:ascii="宋体" w:hAnsi="宋体"/>
          <w:b/>
          <w:szCs w:val="21"/>
        </w:rPr>
      </w:pPr>
      <w:r>
        <w:rPr>
          <w:rFonts w:hint="eastAsia" w:ascii="宋体" w:hAnsi="宋体"/>
          <w:b/>
          <w:szCs w:val="21"/>
        </w:rPr>
        <w:t>（六）评标过程的监控</w:t>
      </w:r>
    </w:p>
    <w:p w14:paraId="2AFDC1A6">
      <w:pPr>
        <w:pStyle w:val="50"/>
        <w:snapToGrid w:val="0"/>
        <w:spacing w:before="120" w:after="120"/>
        <w:ind w:right="-87" w:firstLine="420" w:firstLineChars="200"/>
        <w:rPr>
          <w:rFonts w:hAnsi="宋体" w:eastAsia="宋体" w:cs="宋体"/>
          <w:sz w:val="21"/>
        </w:rPr>
      </w:pPr>
      <w:r>
        <w:rPr>
          <w:rFonts w:hint="eastAsia" w:hAnsi="宋体" w:eastAsia="宋体" w:cs="宋体"/>
          <w:sz w:val="21"/>
        </w:rPr>
        <w:t>本项目评标过程实行全程录音、录像监控。</w:t>
      </w:r>
    </w:p>
    <w:p w14:paraId="36DC9456">
      <w:pPr>
        <w:pStyle w:val="50"/>
        <w:snapToGrid w:val="0"/>
        <w:spacing w:before="120" w:after="120" w:line="360" w:lineRule="auto"/>
        <w:ind w:right="-506" w:rightChars="-241"/>
        <w:jc w:val="center"/>
        <w:rPr>
          <w:rFonts w:hAnsi="宋体" w:eastAsia="宋体"/>
          <w:b/>
          <w:sz w:val="28"/>
          <w:szCs w:val="28"/>
        </w:rPr>
      </w:pPr>
      <w:r>
        <w:rPr>
          <w:rFonts w:hint="eastAsia" w:hAnsi="宋体" w:eastAsia="宋体"/>
          <w:b/>
          <w:sz w:val="28"/>
          <w:szCs w:val="28"/>
        </w:rPr>
        <w:t>六．废标</w:t>
      </w:r>
    </w:p>
    <w:p w14:paraId="1C4DF22E">
      <w:pPr>
        <w:pStyle w:val="2"/>
        <w:snapToGrid w:val="0"/>
        <w:spacing w:line="360" w:lineRule="auto"/>
        <w:ind w:firstLine="420" w:firstLineChars="200"/>
        <w:rPr>
          <w:rFonts w:hAnsi="宋体" w:eastAsia="宋体" w:cs="宋体"/>
          <w:sz w:val="21"/>
          <w:szCs w:val="21"/>
        </w:rPr>
      </w:pPr>
      <w:r>
        <w:rPr>
          <w:rFonts w:hint="eastAsia" w:hAnsi="宋体" w:eastAsia="宋体" w:cs="宋体"/>
          <w:sz w:val="21"/>
          <w:szCs w:val="21"/>
        </w:rPr>
        <w:t>根据《中华人民共和国政府采购法》第三十六条，出现下列情形之一的，应予以废标：</w:t>
      </w:r>
    </w:p>
    <w:p w14:paraId="44A35595">
      <w:pPr>
        <w:pStyle w:val="2"/>
        <w:snapToGrid w:val="0"/>
        <w:spacing w:line="360" w:lineRule="auto"/>
        <w:ind w:firstLine="420" w:firstLineChars="200"/>
        <w:rPr>
          <w:rFonts w:hAnsi="宋体" w:eastAsia="宋体" w:cs="宋体"/>
          <w:sz w:val="21"/>
          <w:szCs w:val="21"/>
        </w:rPr>
      </w:pPr>
      <w:r>
        <w:rPr>
          <w:rFonts w:hint="eastAsia" w:hAnsi="宋体" w:eastAsia="宋体" w:cs="宋体"/>
          <w:sz w:val="21"/>
          <w:szCs w:val="21"/>
        </w:rPr>
        <w:t>1、符合专业条件的供应商或者对招标文件作实质响应的供应商不足三家的；</w:t>
      </w:r>
    </w:p>
    <w:p w14:paraId="3730121E">
      <w:pPr>
        <w:pStyle w:val="2"/>
        <w:snapToGrid w:val="0"/>
        <w:spacing w:line="360" w:lineRule="auto"/>
        <w:ind w:firstLine="420" w:firstLineChars="200"/>
        <w:rPr>
          <w:rFonts w:hAnsi="宋体" w:eastAsia="宋体" w:cs="宋体"/>
          <w:sz w:val="21"/>
          <w:szCs w:val="21"/>
        </w:rPr>
      </w:pPr>
      <w:r>
        <w:rPr>
          <w:rFonts w:hint="eastAsia" w:hAnsi="宋体" w:eastAsia="宋体" w:cs="宋体"/>
          <w:sz w:val="21"/>
          <w:szCs w:val="21"/>
        </w:rPr>
        <w:t>2、出现影响采购公正的违法、违规行为的；</w:t>
      </w:r>
    </w:p>
    <w:p w14:paraId="2A050B6F">
      <w:pPr>
        <w:pStyle w:val="2"/>
        <w:snapToGrid w:val="0"/>
        <w:spacing w:line="360" w:lineRule="auto"/>
        <w:ind w:firstLine="420" w:firstLineChars="200"/>
        <w:rPr>
          <w:rFonts w:hAnsi="宋体" w:eastAsia="宋体" w:cs="宋体"/>
          <w:sz w:val="21"/>
          <w:szCs w:val="21"/>
        </w:rPr>
      </w:pPr>
      <w:r>
        <w:rPr>
          <w:rFonts w:hint="eastAsia" w:hAnsi="宋体" w:eastAsia="宋体" w:cs="宋体"/>
          <w:sz w:val="21"/>
          <w:szCs w:val="21"/>
        </w:rPr>
        <w:t>3、投标人的报价均超过了采购预算，采购人不能支付的；</w:t>
      </w:r>
    </w:p>
    <w:p w14:paraId="2810BF86">
      <w:pPr>
        <w:pStyle w:val="2"/>
        <w:snapToGrid w:val="0"/>
        <w:spacing w:line="360" w:lineRule="auto"/>
        <w:ind w:firstLine="420" w:firstLineChars="200"/>
        <w:rPr>
          <w:rFonts w:hAnsi="宋体" w:eastAsia="宋体" w:cs="宋体"/>
          <w:sz w:val="21"/>
          <w:szCs w:val="21"/>
        </w:rPr>
      </w:pPr>
      <w:r>
        <w:rPr>
          <w:rFonts w:hint="eastAsia" w:hAnsi="宋体" w:eastAsia="宋体" w:cs="宋体"/>
          <w:sz w:val="21"/>
          <w:szCs w:val="21"/>
        </w:rPr>
        <w:t>4、因重大变故，采购任务取消的。</w:t>
      </w:r>
    </w:p>
    <w:p w14:paraId="5218FA43">
      <w:pPr>
        <w:pStyle w:val="50"/>
        <w:snapToGrid w:val="0"/>
        <w:spacing w:before="120" w:after="120" w:line="360" w:lineRule="auto"/>
        <w:ind w:right="-506" w:rightChars="-241"/>
        <w:jc w:val="left"/>
        <w:rPr>
          <w:rFonts w:asciiTheme="minorEastAsia" w:hAnsiTheme="minorEastAsia" w:eastAsiaTheme="minorEastAsia"/>
          <w:b/>
          <w:sz w:val="28"/>
          <w:szCs w:val="28"/>
        </w:rPr>
      </w:pPr>
      <w:r>
        <w:rPr>
          <w:rFonts w:hint="eastAsia" w:hAnsi="宋体" w:eastAsia="宋体" w:cs="宋体"/>
          <w:sz w:val="21"/>
          <w:szCs w:val="21"/>
        </w:rPr>
        <w:t>废标后，采购人应当将废标理由通知所有投标人，废标后，除采购任务取消情形外，应当重新组织招标。</w:t>
      </w:r>
    </w:p>
    <w:p w14:paraId="7A313D99">
      <w:pPr>
        <w:pStyle w:val="50"/>
        <w:snapToGrid w:val="0"/>
        <w:spacing w:before="120" w:after="120" w:line="360" w:lineRule="auto"/>
        <w:ind w:right="-506" w:rightChars="-241"/>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七．定标</w:t>
      </w:r>
    </w:p>
    <w:p w14:paraId="6CD7271A">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（一）确定中标人。本项目由采购人事先授权评审小组确定中标候选人3名。推荐第一名中标候选人为中标人，经采购人确认后，确定项目中标人，同时发布采购结果公告，发出中标通知书。</w:t>
      </w:r>
    </w:p>
    <w:p w14:paraId="269C6CE4">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1.采购代理机构在评标结束后在2个工作日内将评审报告交采购人确认。</w:t>
      </w:r>
    </w:p>
    <w:p w14:paraId="5CFB9F49">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2.投标人对评审结果无异议的，采购人应在收到评审报告后5个工作日内对评审结果进行确认。如有投标人对评审结果提出质疑的，采购人可在质疑处理完毕后确定中标人。</w:t>
      </w:r>
    </w:p>
    <w:p w14:paraId="743B3D26">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3.采购人依法确定中标人后2个工作日内，采购代理机构以书面形式发出《中标通知书》,并同时在相关网站上发布中标公告。</w:t>
      </w:r>
    </w:p>
    <w:p w14:paraId="36CDD266">
      <w:pPr>
        <w:pStyle w:val="2"/>
        <w:snapToGrid w:val="0"/>
        <w:spacing w:line="360" w:lineRule="auto"/>
        <w:ind w:firstLine="415" w:firstLineChars="198"/>
        <w:rPr>
          <w:rFonts w:asciiTheme="minorEastAsia" w:hAnsiTheme="minorEastAsia" w:eastAsiaTheme="minorEastAsia"/>
          <w:b/>
          <w:sz w:val="28"/>
        </w:rPr>
      </w:pPr>
      <w:r>
        <w:rPr>
          <w:rFonts w:hint="eastAsia" w:cs="宋体" w:asciiTheme="minorEastAsia" w:hAnsiTheme="minorEastAsia" w:eastAsiaTheme="minorEastAsia"/>
          <w:sz w:val="21"/>
          <w:szCs w:val="21"/>
        </w:rPr>
        <w:t>（二）中标人因自身原因放弃中标或因不可抗力不能履行合同的；经质疑，采购代理机构审查确认因中标人在本次采购活动中存在违法违规行为或其他原因使质疑成立的，如发生上述两种情况的，采购人可以与排位在中标人之后第一位的中标候选人签订采购合同，以此类推。</w:t>
      </w:r>
    </w:p>
    <w:p w14:paraId="56A3C215">
      <w:pPr>
        <w:pStyle w:val="50"/>
        <w:snapToGrid w:val="0"/>
        <w:spacing w:before="120" w:after="120" w:line="360" w:lineRule="auto"/>
        <w:ind w:right="-506" w:rightChars="-241"/>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八．合同授予</w:t>
      </w:r>
    </w:p>
    <w:p w14:paraId="598AB2D0">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（一）签订合同</w:t>
      </w:r>
    </w:p>
    <w:p w14:paraId="2B4D9570">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1.中标人应自接到中标通知书后30日内与采购人签定合同。同时，采购代理机构对合同内容进行审查，如发现与采购结果和投标承诺内容不一致的，应予以纠正。</w:t>
      </w:r>
    </w:p>
    <w:p w14:paraId="6D88CC34">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2.中标人拖延、拒签合同的，将上报监管部门并取消中标资格。</w:t>
      </w:r>
    </w:p>
    <w:p w14:paraId="73B51912">
      <w:pPr>
        <w:pStyle w:val="2"/>
        <w:snapToGrid w:val="0"/>
        <w:spacing w:line="360" w:lineRule="auto"/>
        <w:ind w:firstLine="415" w:firstLineChars="198"/>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（二）合同公告</w:t>
      </w:r>
    </w:p>
    <w:p w14:paraId="6DB0D666">
      <w:pPr>
        <w:pStyle w:val="2"/>
        <w:snapToGrid w:val="0"/>
        <w:spacing w:line="360" w:lineRule="auto"/>
        <w:ind w:firstLine="415" w:firstLineChars="198"/>
        <w:rPr>
          <w:rFonts w:asciiTheme="minorEastAsia" w:hAnsiTheme="minorEastAsia" w:eastAsiaTheme="minorEastAsia"/>
          <w:sz w:val="21"/>
        </w:rPr>
      </w:pPr>
      <w:r>
        <w:rPr>
          <w:rFonts w:hint="eastAsia" w:cs="宋体" w:asciiTheme="minorEastAsia" w:hAnsiTheme="minorEastAsia" w:eastAsiaTheme="minorEastAsia"/>
          <w:sz w:val="21"/>
          <w:szCs w:val="21"/>
        </w:rPr>
        <w:t>采购人应当自政府采购合同签订之日起2个工作日内，将政府采购合同在省级以上人民政府财政部门指定的媒体上公告，但政府采购合同中涉及国家秘密、商业秘密的内容除外。</w:t>
      </w:r>
    </w:p>
    <w:p w14:paraId="077D3A0B">
      <w:pPr>
        <w:pStyle w:val="50"/>
        <w:snapToGrid w:val="0"/>
        <w:spacing w:before="120" w:after="120" w:line="360" w:lineRule="auto"/>
        <w:ind w:right="-506" w:rightChars="-241"/>
        <w:jc w:val="center"/>
        <w:rPr>
          <w:rFonts w:asciiTheme="minorEastAsia" w:hAnsiTheme="minorEastAsia" w:eastAsiaTheme="minorEastAsia"/>
          <w:b/>
          <w:sz w:val="28"/>
          <w:szCs w:val="28"/>
        </w:rPr>
      </w:pPr>
      <w:bookmarkStart w:id="2" w:name="_Toc480187579"/>
      <w:r>
        <w:rPr>
          <w:rFonts w:hint="eastAsia" w:asciiTheme="minorEastAsia" w:hAnsiTheme="minorEastAsia" w:eastAsiaTheme="minorEastAsia"/>
          <w:b/>
          <w:sz w:val="28"/>
          <w:szCs w:val="28"/>
        </w:rPr>
        <w:t>九．解释权</w:t>
      </w:r>
      <w:bookmarkEnd w:id="2"/>
    </w:p>
    <w:p w14:paraId="5D4F1DCA">
      <w:pPr>
        <w:spacing w:line="360" w:lineRule="auto"/>
        <w:ind w:firstLine="420"/>
        <w:rPr>
          <w:rFonts w:asciiTheme="minorEastAsia" w:hAnsiTheme="minorEastAsia" w:eastAsiaTheme="minorEastAsia"/>
          <w:b/>
          <w:bCs/>
          <w:shd w:val="clear" w:color="auto" w:fill="FFFFFF"/>
        </w:rPr>
      </w:pPr>
      <w:r>
        <w:rPr>
          <w:rFonts w:hint="eastAsia" w:asciiTheme="minorEastAsia" w:hAnsiTheme="minorEastAsia" w:eastAsiaTheme="minorEastAsia"/>
          <w:b/>
          <w:bCs/>
          <w:shd w:val="clear" w:color="auto" w:fill="FFFFFF"/>
        </w:rPr>
        <w:t>1.解释权</w:t>
      </w:r>
    </w:p>
    <w:p w14:paraId="7982B7C6">
      <w:pPr>
        <w:adjustRightInd w:val="0"/>
        <w:snapToGrid w:val="0"/>
        <w:spacing w:line="360" w:lineRule="auto"/>
        <w:ind w:firstLine="420" w:firstLineChars="200"/>
        <w:jc w:val="left"/>
        <w:rPr>
          <w:rFonts w:asciiTheme="minorEastAsia" w:hAnsiTheme="minorEastAsia" w:eastAsiaTheme="minorEastAsia"/>
          <w:snapToGrid w:val="0"/>
          <w:kern w:val="0"/>
          <w:szCs w:val="21"/>
        </w:rPr>
      </w:pPr>
      <w:r>
        <w:rPr>
          <w:rFonts w:hint="eastAsia" w:asciiTheme="minorEastAsia" w:hAnsiTheme="minorEastAsia" w:eastAsiaTheme="minorEastAsia"/>
          <w:snapToGrid w:val="0"/>
          <w:kern w:val="0"/>
          <w:szCs w:val="21"/>
        </w:rPr>
        <w:t>凡涉及本次采购文件的解释权均属于</w:t>
      </w:r>
      <w:r>
        <w:rPr>
          <w:rFonts w:hint="eastAsia" w:asciiTheme="minorEastAsia" w:hAnsiTheme="minorEastAsia" w:eastAsiaTheme="minorEastAsia"/>
          <w:snapToGrid w:val="0"/>
          <w:kern w:val="0"/>
          <w:szCs w:val="21"/>
          <w:lang w:eastAsia="zh-CN"/>
        </w:rPr>
        <w:t>舟山市佳誉工程管理有限公司</w:t>
      </w:r>
      <w:r>
        <w:rPr>
          <w:rFonts w:hint="eastAsia" w:asciiTheme="minorEastAsia" w:hAnsiTheme="minorEastAsia" w:eastAsiaTheme="minorEastAsia"/>
          <w:snapToGrid w:val="0"/>
          <w:kern w:val="0"/>
          <w:szCs w:val="21"/>
        </w:rPr>
        <w:t>。</w:t>
      </w:r>
    </w:p>
    <w:p w14:paraId="29A2E7F8">
      <w:pPr>
        <w:pStyle w:val="50"/>
        <w:snapToGrid w:val="0"/>
        <w:spacing w:before="120" w:after="120" w:line="360" w:lineRule="auto"/>
        <w:ind w:right="-87"/>
        <w:rPr>
          <w:rFonts w:asciiTheme="minorEastAsia" w:hAnsiTheme="minorEastAsia" w:eastAsiaTheme="minorEastAsia"/>
        </w:rPr>
        <w:sectPr>
          <w:pgSz w:w="11906" w:h="16838"/>
          <w:pgMar w:top="1104" w:right="1531" w:bottom="1304" w:left="1531" w:header="1304" w:footer="1304" w:gutter="0"/>
          <w:cols w:space="720" w:num="1"/>
        </w:sectPr>
      </w:pPr>
    </w:p>
    <w:p w14:paraId="7DE89789">
      <w:pPr>
        <w:pStyle w:val="2"/>
        <w:pageBreakBefore/>
        <w:snapToGrid w:val="0"/>
        <w:spacing w:before="120" w:line="336" w:lineRule="auto"/>
        <w:jc w:val="center"/>
        <w:outlineLvl w:val="0"/>
        <w:rPr>
          <w:rFonts w:ascii="黑体" w:hAnsi="宋体" w:eastAsia="黑体"/>
        </w:rPr>
      </w:pPr>
      <w:r>
        <w:rPr>
          <w:rFonts w:hint="eastAsia" w:ascii="黑体" w:hAnsi="宋体" w:eastAsia="黑体"/>
        </w:rPr>
        <w:t>第四章  评标办法及评分标准</w:t>
      </w:r>
    </w:p>
    <w:p w14:paraId="23809070">
      <w:pPr>
        <w:pStyle w:val="2"/>
        <w:snapToGrid w:val="0"/>
        <w:spacing w:before="120" w:line="336" w:lineRule="auto"/>
        <w:ind w:right="-87" w:firstLine="148" w:firstLineChars="49"/>
        <w:jc w:val="center"/>
        <w:rPr>
          <w:rFonts w:asciiTheme="minorEastAsia" w:hAnsiTheme="minorEastAsia" w:eastAsiaTheme="minorEastAsia"/>
        </w:rPr>
      </w:pPr>
      <w:r>
        <w:rPr>
          <w:rFonts w:hint="eastAsia" w:asciiTheme="minorEastAsia" w:hAnsiTheme="minorEastAsia" w:eastAsiaTheme="minorEastAsia"/>
          <w:b/>
        </w:rPr>
        <w:t>综合评分法</w:t>
      </w:r>
    </w:p>
    <w:p w14:paraId="53BA99BD">
      <w:pPr>
        <w:snapToGrid w:val="0"/>
        <w:spacing w:line="360" w:lineRule="auto"/>
        <w:ind w:right="-87" w:firstLine="420"/>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rPr>
        <w:t>为公正、公平、科学地选择中标人，根据《中华人民共和国政府采购法》等有关法律法规的规定，并结合本项目的实</w:t>
      </w:r>
      <w:r>
        <w:rPr>
          <w:rFonts w:hint="eastAsia" w:asciiTheme="minorEastAsia" w:hAnsiTheme="minorEastAsia" w:eastAsiaTheme="minorEastAsia" w:cstheme="minorEastAsia"/>
          <w:color w:val="000000" w:themeColor="text1"/>
          <w14:textFill>
            <w14:solidFill>
              <w14:schemeClr w14:val="tx1"/>
            </w14:solidFill>
          </w14:textFill>
        </w:rPr>
        <w:t>际，制定本办法。</w:t>
      </w:r>
    </w:p>
    <w:p w14:paraId="1DBE2C66">
      <w:pPr>
        <w:snapToGrid w:val="0"/>
        <w:spacing w:line="360" w:lineRule="auto"/>
        <w:ind w:right="-87" w:firstLine="420" w:firstLineChars="200"/>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本办法适用于</w:t>
      </w:r>
      <w:r>
        <w:rPr>
          <w:rFonts w:hint="eastAsia" w:asciiTheme="minorEastAsia" w:hAnsiTheme="minorEastAsia" w:eastAsiaTheme="minorEastAsia"/>
          <w:kern w:val="0"/>
          <w:szCs w:val="21"/>
          <w:u w:val="single"/>
          <w:shd w:val="clear" w:color="auto" w:fill="FFFFFF"/>
          <w:lang w:eastAsia="zh-CN"/>
        </w:rPr>
        <w:t>嵊泗县医康养联合体综合设备采购项目</w:t>
      </w:r>
      <w:r>
        <w:rPr>
          <w:rFonts w:hint="eastAsia" w:asciiTheme="minorEastAsia" w:hAnsiTheme="minorEastAsia" w:eastAsiaTheme="minorEastAsia" w:cstheme="minorEastAsia"/>
          <w:color w:val="000000" w:themeColor="text1"/>
          <w:szCs w:val="21"/>
          <w14:textFill>
            <w14:solidFill>
              <w14:schemeClr w14:val="tx1"/>
            </w14:solidFill>
          </w14:textFill>
        </w:rPr>
        <w:t>。</w:t>
      </w:r>
    </w:p>
    <w:p w14:paraId="5FFB45C7">
      <w:pPr>
        <w:snapToGrid w:val="0"/>
        <w:spacing w:line="360" w:lineRule="auto"/>
        <w:ind w:left="756" w:leftChars="114" w:right="-87" w:hanging="517" w:hangingChars="245"/>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color w:val="000000" w:themeColor="text1"/>
          <w14:textFill>
            <w14:solidFill>
              <w14:schemeClr w14:val="tx1"/>
            </w14:solidFill>
          </w14:textFill>
        </w:rPr>
        <w:t>中标依据：</w:t>
      </w:r>
      <w:r>
        <w:rPr>
          <w:rFonts w:hint="eastAsia" w:asciiTheme="minorEastAsia" w:hAnsiTheme="minorEastAsia" w:eastAsiaTheme="minorEastAsia" w:cstheme="minorEastAsia"/>
          <w:color w:val="000000" w:themeColor="text1"/>
          <w14:textFill>
            <w14:solidFill>
              <w14:schemeClr w14:val="tx1"/>
            </w14:solidFill>
          </w14:textFill>
        </w:rPr>
        <w:t>在不高于</w:t>
      </w:r>
      <w:r>
        <w:rPr>
          <w:rFonts w:hint="eastAsia" w:asciiTheme="minorEastAsia" w:hAnsiTheme="minorEastAsia" w:eastAsiaTheme="minorEastAsia" w:cstheme="minorEastAsia"/>
          <w:color w:val="000000" w:themeColor="text1"/>
          <w:u w:val="single"/>
          <w14:textFill>
            <w14:solidFill>
              <w14:schemeClr w14:val="tx1"/>
            </w14:solidFill>
          </w14:textFill>
        </w:rPr>
        <w:t xml:space="preserve">  最高限价 </w:t>
      </w:r>
      <w:r>
        <w:rPr>
          <w:rFonts w:hint="eastAsia" w:asciiTheme="minorEastAsia" w:hAnsiTheme="minorEastAsia" w:eastAsiaTheme="minorEastAsia" w:cstheme="minorEastAsia"/>
          <w:color w:val="000000" w:themeColor="text1"/>
          <w14:textFill>
            <w14:solidFill>
              <w14:schemeClr w14:val="tx1"/>
            </w14:solidFill>
          </w14:textFill>
        </w:rPr>
        <w:t>的前提下，</w:t>
      </w:r>
      <w:r>
        <w:rPr>
          <w:rFonts w:hint="eastAsia" w:asciiTheme="minorEastAsia" w:hAnsiTheme="minorEastAsia" w:eastAsiaTheme="minorEastAsia" w:cstheme="minorEastAsia"/>
          <w:color w:val="000000" w:themeColor="text1"/>
          <w:u w:val="single"/>
          <w14:textFill>
            <w14:solidFill>
              <w14:schemeClr w14:val="tx1"/>
            </w14:solidFill>
          </w14:textFill>
        </w:rPr>
        <w:t xml:space="preserve"> 综合评估分 </w:t>
      </w:r>
      <w:r>
        <w:rPr>
          <w:rFonts w:hint="eastAsia" w:asciiTheme="minorEastAsia" w:hAnsiTheme="minorEastAsia" w:eastAsiaTheme="minorEastAsia" w:cstheme="minorEastAsia"/>
          <w:color w:val="000000" w:themeColor="text1"/>
          <w14:textFill>
            <w14:solidFill>
              <w14:schemeClr w14:val="tx1"/>
            </w14:solidFill>
          </w14:textFill>
        </w:rPr>
        <w:t xml:space="preserve">最高者为中标候选人。 </w:t>
      </w:r>
    </w:p>
    <w:p w14:paraId="17E57C3E">
      <w:pPr>
        <w:snapToGrid w:val="0"/>
        <w:spacing w:line="360" w:lineRule="auto"/>
        <w:ind w:left="756" w:leftChars="114" w:right="-87" w:hanging="517" w:hangingChars="245"/>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b/>
          <w:color w:val="000000" w:themeColor="text1"/>
          <w14:textFill>
            <w14:solidFill>
              <w14:schemeClr w14:val="tx1"/>
            </w14:solidFill>
          </w14:textFill>
        </w:rPr>
        <w:t>最高限价：</w:t>
      </w:r>
      <w:r>
        <w:rPr>
          <w:rFonts w:hint="eastAsia" w:asciiTheme="minorEastAsia" w:hAnsiTheme="minorEastAsia" w:eastAsiaTheme="minorEastAsia"/>
          <w:szCs w:val="21"/>
          <w:u w:val="single"/>
          <w:shd w:val="clear" w:color="auto" w:fill="FFFFFF"/>
          <w:lang w:val="en-US" w:eastAsia="zh-CN"/>
        </w:rPr>
        <w:t>60000</w:t>
      </w:r>
      <w:r>
        <w:rPr>
          <w:rFonts w:hint="eastAsia" w:asciiTheme="minorEastAsia" w:hAnsiTheme="minorEastAsia" w:eastAsiaTheme="minorEastAsia"/>
          <w:szCs w:val="21"/>
          <w:u w:val="single"/>
          <w:shd w:val="clear" w:color="auto" w:fill="FFFFFF"/>
          <w:lang w:eastAsia="zh-CN"/>
        </w:rPr>
        <w:t>0</w:t>
      </w:r>
      <w:r>
        <w:rPr>
          <w:rFonts w:hint="eastAsia" w:asciiTheme="minorEastAsia" w:hAnsiTheme="minorEastAsia" w:eastAsiaTheme="minorEastAsia" w:cstheme="minorEastAsia"/>
          <w:b/>
          <w:color w:val="000000" w:themeColor="text1"/>
          <w14:textFill>
            <w14:solidFill>
              <w14:schemeClr w14:val="tx1"/>
            </w14:solidFill>
          </w14:textFill>
        </w:rPr>
        <w:t>元。</w:t>
      </w:r>
    </w:p>
    <w:p w14:paraId="10C52720">
      <w:pPr>
        <w:snapToGrid w:val="0"/>
        <w:spacing w:line="360" w:lineRule="auto"/>
        <w:ind w:right="-87" w:firstLine="517" w:firstLineChars="245"/>
        <w:rPr>
          <w:rFonts w:asciiTheme="minorEastAsia" w:hAnsiTheme="minorEastAsia" w:eastAsiaTheme="minorEastAsia" w:cstheme="minorEastAsia"/>
          <w:b/>
        </w:rPr>
      </w:pPr>
      <w:r>
        <w:rPr>
          <w:rFonts w:hint="eastAsia" w:asciiTheme="minorEastAsia" w:hAnsiTheme="minorEastAsia" w:eastAsiaTheme="minorEastAsia" w:cstheme="minorEastAsia"/>
          <w:b/>
        </w:rPr>
        <w:t>评标指标：</w:t>
      </w:r>
    </w:p>
    <w:tbl>
      <w:tblPr>
        <w:tblStyle w:val="28"/>
        <w:tblW w:w="774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0"/>
        <w:gridCol w:w="2700"/>
      </w:tblGrid>
      <w:tr w14:paraId="7091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040" w:type="dxa"/>
            <w:tcBorders>
              <w:top w:val="single" w:color="auto" w:sz="4" w:space="0"/>
              <w:left w:val="single" w:color="auto" w:sz="4" w:space="0"/>
              <w:bottom w:val="single" w:color="auto" w:sz="4" w:space="0"/>
              <w:right w:val="single" w:color="auto" w:sz="4" w:space="0"/>
            </w:tcBorders>
            <w:vAlign w:val="center"/>
          </w:tcPr>
          <w:p w14:paraId="723A163D">
            <w:pPr>
              <w:spacing w:line="360" w:lineRule="auto"/>
              <w:ind w:right="-341"/>
              <w:jc w:val="center"/>
              <w:rPr>
                <w:rFonts w:asciiTheme="minorEastAsia" w:hAnsiTheme="minorEastAsia" w:eastAsiaTheme="minorEastAsia" w:cstheme="minorEastAsia"/>
              </w:rPr>
            </w:pPr>
            <w:r>
              <w:rPr>
                <w:rFonts w:hint="eastAsia" w:asciiTheme="minorEastAsia" w:hAnsiTheme="minorEastAsia" w:eastAsiaTheme="minorEastAsia" w:cstheme="minorEastAsia"/>
                <w:lang w:val="zh-CN"/>
              </w:rPr>
              <w:t>评价指标</w:t>
            </w:r>
          </w:p>
        </w:tc>
        <w:tc>
          <w:tcPr>
            <w:tcW w:w="2700" w:type="dxa"/>
            <w:tcBorders>
              <w:top w:val="single" w:color="auto" w:sz="4" w:space="0"/>
              <w:left w:val="single" w:color="auto" w:sz="4" w:space="0"/>
              <w:bottom w:val="single" w:color="auto" w:sz="4" w:space="0"/>
              <w:right w:val="single" w:color="auto" w:sz="4" w:space="0"/>
            </w:tcBorders>
            <w:vAlign w:val="center"/>
          </w:tcPr>
          <w:p w14:paraId="25839B39">
            <w:pPr>
              <w:spacing w:line="360" w:lineRule="auto"/>
              <w:ind w:right="-341"/>
              <w:jc w:val="center"/>
              <w:rPr>
                <w:rFonts w:asciiTheme="minorEastAsia" w:hAnsiTheme="minorEastAsia" w:eastAsiaTheme="minorEastAsia" w:cstheme="minorEastAsia"/>
              </w:rPr>
            </w:pPr>
            <w:r>
              <w:rPr>
                <w:rFonts w:hint="eastAsia" w:asciiTheme="minorEastAsia" w:hAnsiTheme="minorEastAsia" w:eastAsiaTheme="minorEastAsia" w:cstheme="minorEastAsia"/>
              </w:rPr>
              <w:t>分值</w:t>
            </w:r>
          </w:p>
        </w:tc>
      </w:tr>
      <w:tr w14:paraId="6F18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5040" w:type="dxa"/>
            <w:tcBorders>
              <w:top w:val="single" w:color="auto" w:sz="4" w:space="0"/>
              <w:left w:val="single" w:color="auto" w:sz="4" w:space="0"/>
              <w:right w:val="single" w:color="auto" w:sz="4" w:space="0"/>
            </w:tcBorders>
            <w:vAlign w:val="center"/>
          </w:tcPr>
          <w:p w14:paraId="6C32B04C">
            <w:pPr>
              <w:spacing w:line="360" w:lineRule="auto"/>
              <w:ind w:right="-341"/>
              <w:jc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商务、技术部分</w:t>
            </w:r>
          </w:p>
        </w:tc>
        <w:tc>
          <w:tcPr>
            <w:tcW w:w="2700" w:type="dxa"/>
            <w:tcBorders>
              <w:top w:val="single" w:color="auto" w:sz="4" w:space="0"/>
              <w:left w:val="single" w:color="auto" w:sz="4" w:space="0"/>
              <w:right w:val="single" w:color="auto" w:sz="4" w:space="0"/>
            </w:tcBorders>
            <w:vAlign w:val="center"/>
          </w:tcPr>
          <w:p w14:paraId="4F2DD17C">
            <w:pPr>
              <w:spacing w:line="360" w:lineRule="auto"/>
              <w:ind w:right="-341"/>
              <w:jc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70</w:t>
            </w:r>
          </w:p>
        </w:tc>
      </w:tr>
      <w:tr w14:paraId="24269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5040" w:type="dxa"/>
            <w:tcBorders>
              <w:top w:val="single" w:color="auto" w:sz="4" w:space="0"/>
              <w:left w:val="single" w:color="auto" w:sz="4" w:space="0"/>
              <w:bottom w:val="single" w:color="auto" w:sz="4" w:space="0"/>
              <w:right w:val="single" w:color="auto" w:sz="4" w:space="0"/>
            </w:tcBorders>
            <w:vAlign w:val="center"/>
          </w:tcPr>
          <w:p w14:paraId="20C0B07C">
            <w:pPr>
              <w:spacing w:line="360" w:lineRule="auto"/>
              <w:ind w:right="-341"/>
              <w:jc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投标报价</w:t>
            </w:r>
          </w:p>
        </w:tc>
        <w:tc>
          <w:tcPr>
            <w:tcW w:w="2700" w:type="dxa"/>
            <w:tcBorders>
              <w:top w:val="single" w:color="auto" w:sz="4" w:space="0"/>
              <w:left w:val="single" w:color="auto" w:sz="4" w:space="0"/>
              <w:bottom w:val="single" w:color="auto" w:sz="4" w:space="0"/>
              <w:right w:val="single" w:color="auto" w:sz="4" w:space="0"/>
            </w:tcBorders>
            <w:vAlign w:val="center"/>
          </w:tcPr>
          <w:p w14:paraId="47BB3168">
            <w:pPr>
              <w:spacing w:line="360" w:lineRule="auto"/>
              <w:ind w:right="-341"/>
              <w:jc w:val="center"/>
              <w:rPr>
                <w:rFonts w:asciiTheme="minorEastAsia" w:hAnsiTheme="minorEastAsia" w:eastAsiaTheme="minorEastAsia" w:cstheme="minorEastAsia"/>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14:textFill>
                  <w14:solidFill>
                    <w14:schemeClr w14:val="tx1"/>
                  </w14:solidFill>
                </w14:textFill>
              </w:rPr>
              <w:t>30</w:t>
            </w:r>
          </w:p>
        </w:tc>
      </w:tr>
      <w:tr w14:paraId="40DD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040" w:type="dxa"/>
            <w:tcBorders>
              <w:top w:val="single" w:color="auto" w:sz="4" w:space="0"/>
              <w:left w:val="single" w:color="auto" w:sz="4" w:space="0"/>
              <w:bottom w:val="single" w:color="auto" w:sz="4" w:space="0"/>
              <w:right w:val="single" w:color="auto" w:sz="4" w:space="0"/>
            </w:tcBorders>
            <w:vAlign w:val="center"/>
          </w:tcPr>
          <w:p w14:paraId="3F5382C4">
            <w:pPr>
              <w:spacing w:line="360" w:lineRule="auto"/>
              <w:ind w:right="-341"/>
              <w:jc w:val="center"/>
              <w:rPr>
                <w:rFonts w:asciiTheme="minorEastAsia" w:hAnsiTheme="minorEastAsia" w:eastAsiaTheme="minorEastAsia" w:cstheme="minorEastAsia"/>
              </w:rPr>
            </w:pPr>
            <w:r>
              <w:rPr>
                <w:rFonts w:hint="eastAsia" w:asciiTheme="minorEastAsia" w:hAnsiTheme="minorEastAsia" w:eastAsiaTheme="minorEastAsia" w:cstheme="minorEastAsia"/>
              </w:rPr>
              <w:t>合计</w:t>
            </w:r>
          </w:p>
        </w:tc>
        <w:tc>
          <w:tcPr>
            <w:tcW w:w="2700" w:type="dxa"/>
            <w:tcBorders>
              <w:top w:val="single" w:color="auto" w:sz="4" w:space="0"/>
              <w:left w:val="single" w:color="auto" w:sz="4" w:space="0"/>
              <w:bottom w:val="single" w:color="auto" w:sz="4" w:space="0"/>
              <w:right w:val="single" w:color="auto" w:sz="4" w:space="0"/>
            </w:tcBorders>
            <w:vAlign w:val="center"/>
          </w:tcPr>
          <w:p w14:paraId="4ADC5679">
            <w:pPr>
              <w:spacing w:line="360" w:lineRule="auto"/>
              <w:ind w:right="-341"/>
              <w:jc w:val="center"/>
              <w:rPr>
                <w:rFonts w:asciiTheme="minorEastAsia" w:hAnsiTheme="minorEastAsia" w:eastAsiaTheme="minorEastAsia" w:cstheme="minorEastAsia"/>
              </w:rPr>
            </w:pPr>
            <w:r>
              <w:rPr>
                <w:rFonts w:hint="eastAsia" w:asciiTheme="minorEastAsia" w:hAnsiTheme="minorEastAsia" w:eastAsiaTheme="minorEastAsia" w:cstheme="minorEastAsia"/>
              </w:rPr>
              <w:t>100</w:t>
            </w:r>
          </w:p>
        </w:tc>
      </w:tr>
    </w:tbl>
    <w:p w14:paraId="3AC19496">
      <w:pPr>
        <w:autoSpaceDE w:val="0"/>
        <w:autoSpaceDN w:val="0"/>
        <w:adjustRightInd w:val="0"/>
        <w:spacing w:line="360" w:lineRule="auto"/>
        <w:ind w:right="-341" w:firstLine="424" w:firstLineChars="202"/>
        <w:rPr>
          <w:rFonts w:asciiTheme="minorEastAsia" w:hAnsiTheme="minorEastAsia" w:eastAsiaTheme="minorEastAsia" w:cstheme="minorEastAsia"/>
        </w:rPr>
      </w:pPr>
      <w:r>
        <w:rPr>
          <w:rFonts w:hint="eastAsia" w:asciiTheme="minorEastAsia" w:hAnsiTheme="minorEastAsia" w:eastAsiaTheme="minorEastAsia" w:cstheme="minorEastAsia"/>
        </w:rPr>
        <w:t>综合评估分=商务技术得分＋价格得分(评分过程中采用四舍五入法，并保留小数2位)</w:t>
      </w:r>
    </w:p>
    <w:p w14:paraId="0D3BC698">
      <w:pPr>
        <w:autoSpaceDE w:val="0"/>
        <w:autoSpaceDN w:val="0"/>
        <w:adjustRightInd w:val="0"/>
        <w:spacing w:line="360" w:lineRule="auto"/>
        <w:ind w:firstLine="422" w:firstLineChars="200"/>
        <w:rPr>
          <w:rFonts w:ascii="宋体" w:hAnsi="宋体" w:cs="宋体"/>
          <w:b/>
          <w:szCs w:val="21"/>
        </w:rPr>
      </w:pPr>
      <w:r>
        <w:rPr>
          <w:rFonts w:hint="eastAsia" w:ascii="宋体" w:hAnsi="宋体" w:cs="宋体"/>
          <w:b/>
          <w:szCs w:val="21"/>
        </w:rPr>
        <w:t>一、资格审查</w:t>
      </w:r>
    </w:p>
    <w:p w14:paraId="628CB092">
      <w:pPr>
        <w:autoSpaceDE w:val="0"/>
        <w:autoSpaceDN w:val="0"/>
        <w:adjustRightInd w:val="0"/>
        <w:spacing w:line="360" w:lineRule="auto"/>
        <w:ind w:firstLine="420" w:firstLineChars="200"/>
        <w:rPr>
          <w:rFonts w:ascii="宋体" w:hAnsi="宋体" w:cs="宋体"/>
          <w:szCs w:val="21"/>
          <w:lang w:val="zh-CN"/>
        </w:rPr>
      </w:pPr>
      <w:r>
        <w:rPr>
          <w:rFonts w:hint="eastAsia" w:ascii="宋体" w:hAnsi="宋体" w:cs="宋体"/>
          <w:szCs w:val="21"/>
          <w:lang w:val="zh-CN"/>
        </w:rPr>
        <w:t>由采购人、招标代理机构对投标人的资格进行审查。</w:t>
      </w:r>
    </w:p>
    <w:p w14:paraId="40B29526">
      <w:pPr>
        <w:snapToGrid w:val="0"/>
        <w:spacing w:line="360" w:lineRule="auto"/>
        <w:ind w:right="-87" w:firstLine="517" w:firstLineChars="245"/>
        <w:rPr>
          <w:rFonts w:asciiTheme="minorEastAsia" w:hAnsiTheme="minorEastAsia" w:eastAsiaTheme="minorEastAsia" w:cstheme="minorEastAsia"/>
          <w:b/>
        </w:rPr>
      </w:pPr>
      <w:r>
        <w:rPr>
          <w:rFonts w:hint="eastAsia" w:asciiTheme="minorEastAsia" w:hAnsiTheme="minorEastAsia" w:eastAsiaTheme="minorEastAsia" w:cstheme="minorEastAsia"/>
          <w:b/>
        </w:rPr>
        <w:t>二、中标候选人的选取</w:t>
      </w:r>
    </w:p>
    <w:p w14:paraId="30DAD010">
      <w:pPr>
        <w:autoSpaceDE w:val="0"/>
        <w:autoSpaceDN w:val="0"/>
        <w:adjustRightInd w:val="0"/>
        <w:spacing w:line="360" w:lineRule="auto"/>
        <w:ind w:right="-341" w:firstLine="424" w:firstLineChars="202"/>
        <w:rPr>
          <w:rFonts w:asciiTheme="minorEastAsia" w:hAnsiTheme="minorEastAsia" w:eastAsiaTheme="minorEastAsia" w:cstheme="minorEastAsia"/>
        </w:rPr>
      </w:pPr>
      <w:r>
        <w:rPr>
          <w:rFonts w:hint="eastAsia" w:asciiTheme="minorEastAsia" w:hAnsiTheme="minorEastAsia" w:eastAsiaTheme="minorEastAsia" w:cstheme="minorEastAsia"/>
        </w:rPr>
        <w:t>将综合评估分从高到低排序，得出投标人名次,按照综合评估分名次推荐中标候选人3名。综合评估分相同时，按投标报价由低到高顺序排列，综合评估分且投标报价相同的，抽签决定排序（弃权视为自动放弃中标资格）。</w:t>
      </w:r>
    </w:p>
    <w:p w14:paraId="1A3F373A">
      <w:pPr>
        <w:snapToGrid w:val="0"/>
        <w:spacing w:line="360" w:lineRule="auto"/>
        <w:ind w:right="-87" w:firstLine="517" w:firstLineChars="245"/>
        <w:rPr>
          <w:rFonts w:asciiTheme="minorEastAsia" w:hAnsiTheme="minorEastAsia" w:eastAsiaTheme="minorEastAsia" w:cstheme="minorEastAsia"/>
          <w:b/>
        </w:rPr>
      </w:pPr>
      <w:r>
        <w:rPr>
          <w:rFonts w:hint="eastAsia" w:asciiTheme="minorEastAsia" w:hAnsiTheme="minorEastAsia" w:eastAsiaTheme="minorEastAsia" w:cstheme="minorEastAsia"/>
          <w:b/>
        </w:rPr>
        <w:t>三、中标人选取依据</w:t>
      </w:r>
    </w:p>
    <w:p w14:paraId="0557D7F4">
      <w:pPr>
        <w:autoSpaceDE w:val="0"/>
        <w:autoSpaceDN w:val="0"/>
        <w:adjustRightInd w:val="0"/>
        <w:spacing w:line="360" w:lineRule="auto"/>
        <w:ind w:right="-341" w:firstLine="424" w:firstLineChars="202"/>
        <w:rPr>
          <w:rFonts w:asciiTheme="minorEastAsia" w:hAnsiTheme="minorEastAsia" w:eastAsiaTheme="minorEastAsia" w:cstheme="minorEastAsia"/>
        </w:rPr>
      </w:pPr>
      <w:r>
        <w:rPr>
          <w:rFonts w:hint="eastAsia" w:asciiTheme="minorEastAsia" w:hAnsiTheme="minorEastAsia" w:eastAsiaTheme="minorEastAsia" w:cstheme="minorEastAsia"/>
        </w:rPr>
        <w:t>评审小组根据综合评估分得分排序，推荐第一名中标候选人为中标人，经采购人确认后，确定项目中标人，同时发布采购结果公告，发出中标通知书。</w:t>
      </w:r>
    </w:p>
    <w:p w14:paraId="4F56AFC5">
      <w:pPr>
        <w:autoSpaceDE w:val="0"/>
        <w:autoSpaceDN w:val="0"/>
        <w:adjustRightInd w:val="0"/>
        <w:spacing w:line="360" w:lineRule="auto"/>
        <w:ind w:firstLine="422" w:firstLineChars="200"/>
        <w:rPr>
          <w:rFonts w:ascii="宋体" w:hAnsi="宋体" w:cs="宋体"/>
          <w:b/>
          <w:szCs w:val="21"/>
          <w:lang w:val="zh-CN"/>
        </w:rPr>
      </w:pPr>
      <w:r>
        <w:rPr>
          <w:rFonts w:hint="eastAsia" w:ascii="宋体" w:hAnsi="宋体" w:cs="宋体"/>
          <w:b/>
          <w:szCs w:val="21"/>
          <w:lang w:val="zh-CN"/>
        </w:rPr>
        <w:t>项目评分表</w:t>
      </w:r>
    </w:p>
    <w:p w14:paraId="6DE9671F">
      <w:pPr>
        <w:autoSpaceDE w:val="0"/>
        <w:autoSpaceDN w:val="0"/>
        <w:adjustRightInd w:val="0"/>
        <w:spacing w:line="360" w:lineRule="auto"/>
        <w:ind w:right="-341" w:firstLine="424" w:firstLineChars="202"/>
      </w:pPr>
      <w:r>
        <w:rPr>
          <w:rFonts w:hint="eastAsia" w:asciiTheme="minorEastAsia" w:hAnsiTheme="minorEastAsia" w:eastAsiaTheme="minorEastAsia" w:cstheme="minorEastAsia"/>
          <w:lang w:val="zh-CN"/>
        </w:rPr>
        <w:t>满足招标文件要求且投标价格最低的投标报价为评标基准价，其价格分为满分，其他投标人的价格分按下列公式计算：投标报价得分＝（评标基准价/投标报价）×价格权重×100。</w:t>
      </w:r>
    </w:p>
    <w:tbl>
      <w:tblPr>
        <w:tblStyle w:val="28"/>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288"/>
        <w:gridCol w:w="838"/>
        <w:gridCol w:w="6734"/>
      </w:tblGrid>
      <w:tr w14:paraId="1A72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521" w:type="dxa"/>
            <w:gridSpan w:val="4"/>
            <w:tcBorders>
              <w:top w:val="single" w:color="auto" w:sz="4" w:space="0"/>
              <w:left w:val="single" w:color="auto" w:sz="4" w:space="0"/>
              <w:bottom w:val="single" w:color="auto" w:sz="4" w:space="0"/>
              <w:right w:val="single" w:color="auto" w:sz="4" w:space="0"/>
            </w:tcBorders>
            <w:noWrap w:val="0"/>
            <w:vAlign w:val="center"/>
          </w:tcPr>
          <w:p w14:paraId="71A72F8C">
            <w:pPr>
              <w:ind w:right="3"/>
              <w:jc w:val="center"/>
              <w:rPr>
                <w:rFonts w:ascii="宋体" w:hAnsi="宋体"/>
                <w:b/>
                <w:spacing w:val="4"/>
                <w:szCs w:val="21"/>
                <w:highlight w:val="none"/>
              </w:rPr>
            </w:pPr>
            <w:r>
              <w:rPr>
                <w:rFonts w:hint="eastAsia" w:ascii="宋体" w:hAnsi="宋体"/>
                <w:b/>
                <w:spacing w:val="4"/>
                <w:szCs w:val="21"/>
                <w:highlight w:val="none"/>
              </w:rPr>
              <w:t>评分标准</w:t>
            </w:r>
          </w:p>
        </w:tc>
      </w:tr>
      <w:tr w14:paraId="4AB5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521" w:type="dxa"/>
            <w:gridSpan w:val="4"/>
            <w:tcBorders>
              <w:top w:val="single" w:color="auto" w:sz="4" w:space="0"/>
              <w:left w:val="single" w:color="auto" w:sz="4" w:space="0"/>
              <w:bottom w:val="nil"/>
              <w:right w:val="single" w:color="auto" w:sz="4" w:space="0"/>
            </w:tcBorders>
            <w:noWrap w:val="0"/>
            <w:vAlign w:val="center"/>
          </w:tcPr>
          <w:p w14:paraId="4622DE46">
            <w:pPr>
              <w:ind w:right="3"/>
              <w:jc w:val="center"/>
              <w:rPr>
                <w:rFonts w:ascii="宋体" w:hAnsi="宋体"/>
                <w:b/>
                <w:spacing w:val="4"/>
                <w:szCs w:val="21"/>
                <w:highlight w:val="none"/>
              </w:rPr>
            </w:pPr>
            <w:r>
              <w:rPr>
                <w:rFonts w:hint="eastAsia" w:ascii="宋体" w:hAnsi="宋体"/>
                <w:szCs w:val="21"/>
                <w:highlight w:val="none"/>
              </w:rPr>
              <w:t xml:space="preserve">  </w:t>
            </w:r>
            <w:r>
              <w:rPr>
                <w:rFonts w:hint="eastAsia" w:ascii="宋体" w:hAnsi="宋体"/>
                <w:b/>
                <w:szCs w:val="21"/>
                <w:highlight w:val="none"/>
              </w:rPr>
              <w:t>报价部分（30分）</w:t>
            </w:r>
          </w:p>
        </w:tc>
      </w:tr>
      <w:tr w14:paraId="0C36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21" w:type="dxa"/>
            <w:gridSpan w:val="4"/>
            <w:tcBorders>
              <w:top w:val="single" w:color="auto" w:sz="4" w:space="0"/>
              <w:left w:val="single" w:color="auto" w:sz="4" w:space="0"/>
              <w:bottom w:val="single" w:color="auto" w:sz="4" w:space="0"/>
              <w:right w:val="single" w:color="auto" w:sz="4" w:space="0"/>
            </w:tcBorders>
            <w:noWrap w:val="0"/>
            <w:vAlign w:val="center"/>
          </w:tcPr>
          <w:p w14:paraId="06A8378B">
            <w:pPr>
              <w:spacing w:line="360" w:lineRule="auto"/>
              <w:rPr>
                <w:rFonts w:ascii="宋体" w:hAnsi="宋体"/>
                <w:szCs w:val="21"/>
                <w:highlight w:val="none"/>
              </w:rPr>
            </w:pPr>
            <w:r>
              <w:rPr>
                <w:rFonts w:hint="eastAsia" w:ascii="宋体" w:hAnsi="宋体"/>
                <w:szCs w:val="21"/>
                <w:highlight w:val="none"/>
              </w:rPr>
              <w:t>按满足招标文件要求且有效投标价格最低的投标报价作为评标基准价，其价格分为满分30分，其他投标人的价格分按以下公式计算：</w:t>
            </w:r>
          </w:p>
          <w:p w14:paraId="65257814">
            <w:pPr>
              <w:spacing w:line="360" w:lineRule="auto"/>
              <w:rPr>
                <w:rFonts w:ascii="宋体" w:hAnsi="宋体"/>
                <w:szCs w:val="21"/>
                <w:highlight w:val="none"/>
              </w:rPr>
            </w:pPr>
            <w:r>
              <w:rPr>
                <w:rFonts w:hint="eastAsia" w:ascii="宋体" w:hAnsi="宋体"/>
                <w:szCs w:val="21"/>
                <w:highlight w:val="none"/>
              </w:rPr>
              <w:t>投标报价得分=（评标基准价/投标报价）×30</w:t>
            </w:r>
          </w:p>
        </w:tc>
      </w:tr>
      <w:tr w14:paraId="506D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521" w:type="dxa"/>
            <w:gridSpan w:val="4"/>
            <w:tcBorders>
              <w:top w:val="single" w:color="auto" w:sz="4" w:space="0"/>
              <w:left w:val="single" w:color="auto" w:sz="4" w:space="0"/>
              <w:bottom w:val="single" w:color="auto" w:sz="4" w:space="0"/>
              <w:right w:val="single" w:color="auto" w:sz="4" w:space="0"/>
            </w:tcBorders>
            <w:noWrap w:val="0"/>
            <w:vAlign w:val="center"/>
          </w:tcPr>
          <w:p w14:paraId="08512F69">
            <w:pPr>
              <w:spacing w:line="360" w:lineRule="auto"/>
              <w:jc w:val="center"/>
              <w:rPr>
                <w:rFonts w:ascii="宋体" w:hAnsi="宋体"/>
                <w:b/>
                <w:szCs w:val="21"/>
                <w:highlight w:val="none"/>
              </w:rPr>
            </w:pPr>
            <w:r>
              <w:rPr>
                <w:rFonts w:hint="eastAsia" w:ascii="宋体" w:hAnsi="宋体"/>
                <w:b/>
                <w:szCs w:val="21"/>
                <w:highlight w:val="none"/>
              </w:rPr>
              <w:t>商务部分（</w:t>
            </w:r>
            <w:r>
              <w:rPr>
                <w:rFonts w:hint="eastAsia" w:ascii="宋体" w:hAnsi="宋体"/>
                <w:b/>
                <w:szCs w:val="21"/>
                <w:highlight w:val="none"/>
                <w:lang w:val="en-US" w:eastAsia="zh-CN"/>
              </w:rPr>
              <w:t>25</w:t>
            </w:r>
            <w:r>
              <w:rPr>
                <w:rFonts w:hint="eastAsia" w:ascii="宋体" w:hAnsi="宋体"/>
                <w:b/>
                <w:szCs w:val="21"/>
                <w:highlight w:val="none"/>
              </w:rPr>
              <w:t>分）</w:t>
            </w:r>
          </w:p>
        </w:tc>
      </w:tr>
      <w:tr w14:paraId="7E72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1949" w:type="dxa"/>
            <w:gridSpan w:val="2"/>
            <w:tcBorders>
              <w:top w:val="single" w:color="auto" w:sz="4" w:space="0"/>
              <w:left w:val="single" w:color="auto" w:sz="4" w:space="0"/>
              <w:right w:val="single" w:color="auto" w:sz="4" w:space="0"/>
            </w:tcBorders>
            <w:noWrap w:val="0"/>
            <w:vAlign w:val="center"/>
          </w:tcPr>
          <w:p w14:paraId="3B93F619">
            <w:pPr>
              <w:widowControl/>
              <w:jc w:val="center"/>
              <w:rPr>
                <w:rFonts w:hint="default" w:ascii="Helvetica" w:hAnsi="Helvetica" w:eastAsia="宋体" w:cs="Helvetica"/>
                <w:kern w:val="0"/>
                <w:szCs w:val="21"/>
                <w:highlight w:val="none"/>
                <w:lang w:val="en-US" w:eastAsia="zh-CN"/>
              </w:rPr>
            </w:pPr>
            <w:r>
              <w:rPr>
                <w:rFonts w:hint="eastAsia" w:ascii="Helvetica" w:hAnsi="Helvetica" w:cs="Helvetica"/>
                <w:kern w:val="0"/>
                <w:szCs w:val="21"/>
                <w:highlight w:val="none"/>
                <w:lang w:val="en-US" w:eastAsia="zh-CN"/>
              </w:rPr>
              <w:t>类似成功案例</w:t>
            </w:r>
          </w:p>
        </w:tc>
        <w:tc>
          <w:tcPr>
            <w:tcW w:w="838" w:type="dxa"/>
            <w:tcBorders>
              <w:top w:val="single" w:color="auto" w:sz="4" w:space="0"/>
              <w:left w:val="single" w:color="auto" w:sz="4" w:space="0"/>
              <w:right w:val="single" w:color="auto" w:sz="4" w:space="0"/>
            </w:tcBorders>
            <w:noWrap w:val="0"/>
            <w:vAlign w:val="center"/>
          </w:tcPr>
          <w:p w14:paraId="14676748">
            <w:pPr>
              <w:widowControl/>
              <w:jc w:val="center"/>
              <w:rPr>
                <w:rFonts w:hint="default" w:ascii="Helvetica" w:hAnsi="Helvetica" w:eastAsia="宋体" w:cs="Helvetica"/>
                <w:kern w:val="0"/>
                <w:szCs w:val="21"/>
                <w:highlight w:val="none"/>
                <w:lang w:val="en-US" w:eastAsia="zh-CN"/>
              </w:rPr>
            </w:pPr>
            <w:r>
              <w:rPr>
                <w:rFonts w:hint="eastAsia" w:ascii="Helvetica" w:hAnsi="Helvetica" w:cs="Helvetica"/>
                <w:kern w:val="0"/>
                <w:szCs w:val="21"/>
                <w:highlight w:val="none"/>
                <w:lang w:val="en-US" w:eastAsia="zh-CN"/>
              </w:rPr>
              <w:t>3分</w:t>
            </w:r>
          </w:p>
        </w:tc>
        <w:tc>
          <w:tcPr>
            <w:tcW w:w="6734" w:type="dxa"/>
            <w:tcBorders>
              <w:top w:val="single" w:color="auto" w:sz="4" w:space="0"/>
              <w:left w:val="single" w:color="auto" w:sz="4" w:space="0"/>
              <w:right w:val="single" w:color="auto" w:sz="4" w:space="0"/>
            </w:tcBorders>
            <w:noWrap w:val="0"/>
            <w:vAlign w:val="center"/>
          </w:tcPr>
          <w:p w14:paraId="0E2930A6">
            <w:pPr>
              <w:widowControl/>
              <w:jc w:val="left"/>
              <w:rPr>
                <w:rFonts w:hint="eastAsia"/>
                <w:highlight w:val="none"/>
                <w:lang w:val="en-US" w:eastAsia="zh-CN"/>
              </w:rPr>
            </w:pPr>
            <w:r>
              <w:rPr>
                <w:highlight w:val="none"/>
              </w:rPr>
              <w:t>根据投标人提供合同签订时间为2021年至开标前的时间段内采购家具类似项目成功案例，每个</w:t>
            </w:r>
            <w:r>
              <w:rPr>
                <w:rFonts w:hint="eastAsia"/>
                <w:highlight w:val="none"/>
                <w:lang w:val="en-US" w:eastAsia="zh-CN"/>
              </w:rPr>
              <w:t>得</w:t>
            </w:r>
            <w:r>
              <w:rPr>
                <w:highlight w:val="none"/>
              </w:rPr>
              <w:t>1分，</w:t>
            </w:r>
            <w:r>
              <w:rPr>
                <w:rFonts w:hint="eastAsia"/>
                <w:highlight w:val="none"/>
                <w:lang w:val="en-US" w:eastAsia="zh-CN"/>
              </w:rPr>
              <w:t>最多得3分。</w:t>
            </w:r>
          </w:p>
          <w:p w14:paraId="5434A950">
            <w:pPr>
              <w:widowControl/>
              <w:jc w:val="left"/>
              <w:rPr>
                <w:rFonts w:hint="default"/>
                <w:highlight w:val="none"/>
                <w:lang w:val="en-US" w:eastAsia="zh-CN"/>
              </w:rPr>
            </w:pPr>
            <w:r>
              <w:rPr>
                <w:rFonts w:hint="eastAsia"/>
                <w:highlight w:val="none"/>
                <w:lang w:val="en-US" w:eastAsia="zh-CN"/>
              </w:rPr>
              <w:t>注：合同由投标人签订，</w:t>
            </w:r>
            <w:r>
              <w:rPr>
                <w:rFonts w:hint="eastAsia"/>
                <w:highlight w:val="none"/>
              </w:rPr>
              <w:t>提供完整的合同扫描件加盖投标人公章</w:t>
            </w:r>
            <w:r>
              <w:rPr>
                <w:rFonts w:hint="eastAsia"/>
                <w:highlight w:val="none"/>
                <w:lang w:eastAsia="zh-CN"/>
              </w:rPr>
              <w:t>，</w:t>
            </w:r>
            <w:r>
              <w:rPr>
                <w:rFonts w:hint="eastAsia"/>
                <w:highlight w:val="none"/>
                <w:lang w:val="en-US" w:eastAsia="zh-CN"/>
              </w:rPr>
              <w:t>未提供不得分。</w:t>
            </w:r>
          </w:p>
        </w:tc>
      </w:tr>
      <w:tr w14:paraId="44CD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7" w:hRule="atLeast"/>
          <w:jc w:val="center"/>
        </w:trPr>
        <w:tc>
          <w:tcPr>
            <w:tcW w:w="1949" w:type="dxa"/>
            <w:gridSpan w:val="2"/>
            <w:tcBorders>
              <w:top w:val="single" w:color="auto" w:sz="4" w:space="0"/>
              <w:left w:val="single" w:color="auto" w:sz="4" w:space="0"/>
              <w:right w:val="single" w:color="auto" w:sz="4" w:space="0"/>
            </w:tcBorders>
            <w:noWrap w:val="0"/>
            <w:vAlign w:val="center"/>
          </w:tcPr>
          <w:p w14:paraId="3EE2F2C9">
            <w:pPr>
              <w:widowControl/>
              <w:jc w:val="center"/>
              <w:rPr>
                <w:rFonts w:ascii="Helvetica" w:hAnsi="Helvetica" w:cs="Helvetica"/>
                <w:kern w:val="0"/>
                <w:szCs w:val="21"/>
                <w:highlight w:val="none"/>
              </w:rPr>
            </w:pPr>
            <w:r>
              <w:rPr>
                <w:rFonts w:hint="eastAsia" w:ascii="Helvetica" w:hAnsi="Helvetica" w:cs="Helvetica"/>
                <w:kern w:val="0"/>
                <w:szCs w:val="21"/>
                <w:highlight w:val="none"/>
              </w:rPr>
              <w:t>体系认证</w:t>
            </w:r>
          </w:p>
        </w:tc>
        <w:tc>
          <w:tcPr>
            <w:tcW w:w="838" w:type="dxa"/>
            <w:tcBorders>
              <w:top w:val="single" w:color="auto" w:sz="4" w:space="0"/>
              <w:left w:val="single" w:color="auto" w:sz="4" w:space="0"/>
              <w:right w:val="single" w:color="auto" w:sz="4" w:space="0"/>
            </w:tcBorders>
            <w:noWrap w:val="0"/>
            <w:vAlign w:val="center"/>
          </w:tcPr>
          <w:p w14:paraId="044974C2">
            <w:pPr>
              <w:widowControl/>
              <w:jc w:val="center"/>
              <w:rPr>
                <w:rFonts w:ascii="Helvetica" w:hAnsi="Helvetica" w:cs="Helvetica"/>
                <w:kern w:val="0"/>
                <w:szCs w:val="21"/>
                <w:highlight w:val="none"/>
              </w:rPr>
            </w:pPr>
            <w:r>
              <w:rPr>
                <w:rFonts w:hint="eastAsia" w:ascii="Helvetica" w:hAnsi="Helvetica" w:cs="Helvetica"/>
                <w:kern w:val="0"/>
                <w:szCs w:val="21"/>
                <w:highlight w:val="none"/>
                <w:lang w:val="en-US" w:eastAsia="zh-CN"/>
              </w:rPr>
              <w:t>3</w:t>
            </w:r>
            <w:r>
              <w:rPr>
                <w:rFonts w:hint="eastAsia" w:ascii="Helvetica" w:hAnsi="Helvetica" w:cs="Helvetica"/>
                <w:kern w:val="0"/>
                <w:szCs w:val="21"/>
                <w:highlight w:val="none"/>
              </w:rPr>
              <w:t>分</w:t>
            </w:r>
          </w:p>
        </w:tc>
        <w:tc>
          <w:tcPr>
            <w:tcW w:w="6734" w:type="dxa"/>
            <w:tcBorders>
              <w:top w:val="single" w:color="auto" w:sz="4" w:space="0"/>
              <w:left w:val="single" w:color="auto" w:sz="4" w:space="0"/>
              <w:right w:val="single" w:color="auto" w:sz="4" w:space="0"/>
            </w:tcBorders>
            <w:noWrap w:val="0"/>
            <w:vAlign w:val="center"/>
          </w:tcPr>
          <w:p w14:paraId="32E22C42">
            <w:pPr>
              <w:numPr>
                <w:ilvl w:val="0"/>
                <w:numId w:val="7"/>
              </w:numPr>
              <w:rPr>
                <w:rFonts w:hint="eastAsia"/>
                <w:highlight w:val="none"/>
                <w:lang w:val="en-US" w:eastAsia="zh-CN"/>
              </w:rPr>
            </w:pPr>
            <w:r>
              <w:rPr>
                <w:rFonts w:hint="eastAsia"/>
                <w:highlight w:val="none"/>
                <w:lang w:val="en-US" w:eastAsia="zh-CN"/>
              </w:rPr>
              <w:t>投标产品制造商</w:t>
            </w:r>
            <w:r>
              <w:rPr>
                <w:rFonts w:hint="eastAsia"/>
                <w:highlight w:val="none"/>
              </w:rPr>
              <w:t>具有有效期内的ISO9001 质量管理体系认证</w:t>
            </w:r>
            <w:r>
              <w:rPr>
                <w:rFonts w:hint="eastAsia"/>
                <w:highlight w:val="none"/>
                <w:lang w:val="en-US" w:eastAsia="zh-CN"/>
              </w:rPr>
              <w:t>证书的得1分；</w:t>
            </w:r>
          </w:p>
          <w:p w14:paraId="298FD945">
            <w:pPr>
              <w:numPr>
                <w:ilvl w:val="0"/>
                <w:numId w:val="7"/>
              </w:numPr>
              <w:rPr>
                <w:rFonts w:hint="eastAsia"/>
                <w:highlight w:val="none"/>
                <w:lang w:val="en-US" w:eastAsia="zh-CN"/>
              </w:rPr>
            </w:pPr>
            <w:r>
              <w:rPr>
                <w:rFonts w:hint="eastAsia"/>
                <w:highlight w:val="none"/>
                <w:lang w:val="en-US" w:eastAsia="zh-CN"/>
              </w:rPr>
              <w:t>投标产品制造商具有有效期内的ISO14001 环境管理体系认证证书的得1分；</w:t>
            </w:r>
          </w:p>
          <w:p w14:paraId="138B3BC3">
            <w:pPr>
              <w:numPr>
                <w:ilvl w:val="0"/>
                <w:numId w:val="7"/>
              </w:numPr>
              <w:rPr>
                <w:rFonts w:hint="eastAsia"/>
                <w:highlight w:val="none"/>
              </w:rPr>
            </w:pPr>
            <w:r>
              <w:rPr>
                <w:rFonts w:hint="eastAsia"/>
                <w:highlight w:val="none"/>
              </w:rPr>
              <w:t>投标产品制造商</w:t>
            </w:r>
            <w:r>
              <w:rPr>
                <w:rFonts w:hint="eastAsia"/>
                <w:highlight w:val="none"/>
                <w:lang w:val="en-US" w:eastAsia="zh-CN"/>
              </w:rPr>
              <w:t>具有有效期内的</w:t>
            </w:r>
            <w:r>
              <w:rPr>
                <w:rFonts w:hint="eastAsia"/>
                <w:highlight w:val="none"/>
              </w:rPr>
              <w:t>OHSAS18001/ISO45001职业安全管理体系</w:t>
            </w:r>
            <w:r>
              <w:rPr>
                <w:rFonts w:hint="eastAsia"/>
                <w:highlight w:val="none"/>
                <w:lang w:val="en-US" w:eastAsia="zh-CN"/>
              </w:rPr>
              <w:t>认证认书的得1分。</w:t>
            </w:r>
          </w:p>
          <w:p w14:paraId="45C82208">
            <w:pPr>
              <w:numPr>
                <w:ilvl w:val="0"/>
                <w:numId w:val="0"/>
              </w:numPr>
              <w:rPr>
                <w:highlight w:val="none"/>
              </w:rPr>
            </w:pPr>
            <w:r>
              <w:rPr>
                <w:rFonts w:hint="eastAsia"/>
                <w:highlight w:val="none"/>
                <w:lang w:val="en-US" w:eastAsia="zh-CN"/>
              </w:rPr>
              <w:t>注：以上证书的</w:t>
            </w:r>
            <w:r>
              <w:rPr>
                <w:rFonts w:hint="eastAsia"/>
                <w:highlight w:val="none"/>
              </w:rPr>
              <w:t>认证内容包含本次采</w:t>
            </w:r>
            <w:r>
              <w:rPr>
                <w:rFonts w:hint="eastAsia"/>
                <w:b w:val="0"/>
                <w:bCs w:val="0"/>
                <w:color w:val="000000" w:themeColor="text1"/>
                <w:highlight w:val="none"/>
                <w14:textFill>
                  <w14:solidFill>
                    <w14:schemeClr w14:val="tx1"/>
                  </w14:solidFill>
                </w14:textFill>
              </w:rPr>
              <w:t>购的</w:t>
            </w:r>
            <w:r>
              <w:rPr>
                <w:rFonts w:hint="eastAsia"/>
                <w:b w:val="0"/>
                <w:bCs w:val="0"/>
                <w:color w:val="000000" w:themeColor="text1"/>
                <w:lang w:eastAsia="zh-CN"/>
                <w14:textFill>
                  <w14:solidFill>
                    <w14:schemeClr w14:val="tx1"/>
                  </w14:solidFill>
                </w14:textFill>
              </w:rPr>
              <w:t>养老机构、</w:t>
            </w:r>
            <w:r>
              <w:rPr>
                <w:rFonts w:hint="eastAsia"/>
                <w:b w:val="0"/>
                <w:bCs w:val="0"/>
                <w:color w:val="000000" w:themeColor="text1"/>
                <w:highlight w:val="none"/>
                <w:lang w:val="en-US" w:eastAsia="zh-CN"/>
                <w14:textFill>
                  <w14:solidFill>
                    <w14:schemeClr w14:val="tx1"/>
                  </w14:solidFill>
                </w14:textFill>
              </w:rPr>
              <w:t>实木家具、</w:t>
            </w:r>
            <w:r>
              <w:rPr>
                <w:rFonts w:hint="eastAsia"/>
                <w:b w:val="0"/>
                <w:bCs w:val="0"/>
                <w:color w:val="000000" w:themeColor="text1"/>
                <w:highlight w:val="none"/>
                <w14:textFill>
                  <w14:solidFill>
                    <w14:schemeClr w14:val="tx1"/>
                  </w14:solidFill>
                </w14:textFill>
              </w:rPr>
              <w:t>钢木家具、软体家具</w:t>
            </w:r>
            <w:r>
              <w:rPr>
                <w:rFonts w:hint="eastAsia"/>
                <w:b w:val="0"/>
                <w:bCs w:val="0"/>
                <w:color w:val="000000" w:themeColor="text1"/>
                <w:highlight w:val="none"/>
                <w:lang w:eastAsia="zh-CN"/>
                <w14:textFill>
                  <w14:solidFill>
                    <w14:schemeClr w14:val="tx1"/>
                  </w14:solidFill>
                </w14:textFill>
              </w:rPr>
              <w:t>、</w:t>
            </w:r>
            <w:r>
              <w:rPr>
                <w:rFonts w:hint="eastAsia"/>
                <w:b w:val="0"/>
                <w:bCs w:val="0"/>
                <w:color w:val="000000" w:themeColor="text1"/>
                <w:lang w:val="en-US" w:eastAsia="zh-CN"/>
                <w14:textFill>
                  <w14:solidFill>
                    <w14:schemeClr w14:val="tx1"/>
                  </w14:solidFill>
                </w14:textFill>
              </w:rPr>
              <w:t>座椅家具</w:t>
            </w:r>
            <w:r>
              <w:rPr>
                <w:rFonts w:hint="eastAsia"/>
                <w:b w:val="0"/>
                <w:bCs w:val="0"/>
                <w:color w:val="000000" w:themeColor="text1"/>
                <w:highlight w:val="none"/>
                <w14:textFill>
                  <w14:solidFill>
                    <w14:schemeClr w14:val="tx1"/>
                  </w14:solidFill>
                </w14:textFill>
              </w:rPr>
              <w:t>的生产、安装和售后</w:t>
            </w:r>
            <w:r>
              <w:rPr>
                <w:rFonts w:hint="eastAsia"/>
                <w:b w:val="0"/>
                <w:bCs w:val="0"/>
                <w:color w:val="000000" w:themeColor="text1"/>
                <w:lang w:val="en-US" w:eastAsia="zh-CN"/>
                <w14:textFill>
                  <w14:solidFill>
                    <w14:schemeClr w14:val="tx1"/>
                  </w14:solidFill>
                </w14:textFill>
              </w:rPr>
              <w:t>及行政</w:t>
            </w:r>
            <w:r>
              <w:rPr>
                <w:rFonts w:hint="eastAsia"/>
                <w:b w:val="0"/>
                <w:bCs w:val="0"/>
                <w:color w:val="000000" w:themeColor="text1"/>
                <w:lang w:eastAsia="zh-CN"/>
                <w14:textFill>
                  <w14:solidFill>
                    <w14:schemeClr w14:val="tx1"/>
                  </w14:solidFill>
                </w14:textFill>
              </w:rPr>
              <w:t>许可范围内的第二类医疗器械的销售的相关</w:t>
            </w:r>
            <w:r>
              <w:rPr>
                <w:rFonts w:hint="eastAsia"/>
                <w:b w:val="0"/>
                <w:bCs w:val="0"/>
                <w:color w:val="000000" w:themeColor="text1"/>
                <w:highlight w:val="none"/>
                <w14:textFill>
                  <w14:solidFill>
                    <w14:schemeClr w14:val="tx1"/>
                  </w14:solidFill>
                </w14:textFill>
              </w:rPr>
              <w:t>提供有效期内的证</w:t>
            </w:r>
            <w:r>
              <w:rPr>
                <w:rFonts w:hint="eastAsia"/>
                <w:highlight w:val="none"/>
              </w:rPr>
              <w:t>书扫描件</w:t>
            </w:r>
            <w:r>
              <w:rPr>
                <w:rFonts w:hint="eastAsia"/>
                <w:highlight w:val="none"/>
                <w:lang w:eastAsia="zh-CN"/>
              </w:rPr>
              <w:t>，</w:t>
            </w:r>
            <w:r>
              <w:rPr>
                <w:rFonts w:hint="eastAsia"/>
                <w:highlight w:val="none"/>
                <w:lang w:val="en-US" w:eastAsia="zh-CN"/>
              </w:rPr>
              <w:t>未提供不得分。</w:t>
            </w:r>
          </w:p>
        </w:tc>
      </w:tr>
      <w:tr w14:paraId="7357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atLeast"/>
          <w:jc w:val="center"/>
        </w:trPr>
        <w:tc>
          <w:tcPr>
            <w:tcW w:w="1949" w:type="dxa"/>
            <w:gridSpan w:val="2"/>
            <w:vMerge w:val="restart"/>
            <w:tcBorders>
              <w:top w:val="single" w:color="auto" w:sz="4" w:space="0"/>
              <w:left w:val="single" w:color="auto" w:sz="4" w:space="0"/>
              <w:right w:val="single" w:color="auto" w:sz="4" w:space="0"/>
            </w:tcBorders>
            <w:noWrap w:val="0"/>
            <w:vAlign w:val="center"/>
          </w:tcPr>
          <w:p w14:paraId="6A66859D">
            <w:pPr>
              <w:widowControl/>
              <w:jc w:val="center"/>
              <w:rPr>
                <w:rFonts w:hint="default" w:ascii="宋体" w:hAnsi="宋体" w:eastAsia="宋体"/>
                <w:highlight w:val="none"/>
                <w:lang w:val="en-US" w:eastAsia="zh-CN"/>
              </w:rPr>
            </w:pPr>
            <w:r>
              <w:rPr>
                <w:rFonts w:hint="eastAsia" w:ascii="宋体" w:hAnsi="宋体"/>
                <w:highlight w:val="none"/>
                <w:lang w:val="en-US" w:eastAsia="zh-CN"/>
              </w:rPr>
              <w:t>环保认证</w:t>
            </w:r>
          </w:p>
        </w:tc>
        <w:tc>
          <w:tcPr>
            <w:tcW w:w="838" w:type="dxa"/>
            <w:vMerge w:val="restart"/>
            <w:tcBorders>
              <w:top w:val="single" w:color="auto" w:sz="4" w:space="0"/>
              <w:left w:val="single" w:color="auto" w:sz="4" w:space="0"/>
              <w:right w:val="single" w:color="auto" w:sz="4" w:space="0"/>
            </w:tcBorders>
            <w:noWrap w:val="0"/>
            <w:vAlign w:val="center"/>
          </w:tcPr>
          <w:p w14:paraId="261BA2B9">
            <w:pPr>
              <w:widowControl/>
              <w:jc w:val="center"/>
              <w:rPr>
                <w:rFonts w:hint="default" w:ascii="Helvetica" w:hAnsi="Helvetica" w:eastAsia="宋体" w:cs="Helvetica"/>
                <w:kern w:val="0"/>
                <w:szCs w:val="21"/>
                <w:highlight w:val="none"/>
                <w:lang w:val="en-US" w:eastAsia="zh-CN"/>
              </w:rPr>
            </w:pPr>
            <w:r>
              <w:rPr>
                <w:rFonts w:hint="eastAsia" w:ascii="Helvetica" w:hAnsi="Helvetica" w:cs="Helvetica"/>
                <w:kern w:val="0"/>
                <w:szCs w:val="21"/>
                <w:highlight w:val="none"/>
                <w:lang w:val="en-US" w:eastAsia="zh-CN"/>
              </w:rPr>
              <w:t>3分</w:t>
            </w:r>
          </w:p>
        </w:tc>
        <w:tc>
          <w:tcPr>
            <w:tcW w:w="6734" w:type="dxa"/>
            <w:tcBorders>
              <w:top w:val="single" w:color="auto" w:sz="4" w:space="0"/>
              <w:left w:val="single" w:color="auto" w:sz="4" w:space="0"/>
              <w:right w:val="single" w:color="auto" w:sz="4" w:space="0"/>
            </w:tcBorders>
            <w:noWrap w:val="0"/>
            <w:vAlign w:val="center"/>
          </w:tcPr>
          <w:p w14:paraId="3D076E15">
            <w:pPr>
              <w:numPr>
                <w:ilvl w:val="0"/>
                <w:numId w:val="0"/>
              </w:numPr>
              <w:rPr>
                <w:rFonts w:hint="eastAsia"/>
                <w:highlight w:val="none"/>
                <w:lang w:val="en-US" w:eastAsia="zh-CN"/>
              </w:rPr>
            </w:pPr>
            <w:r>
              <w:rPr>
                <w:rFonts w:hint="eastAsia"/>
                <w:highlight w:val="none"/>
              </w:rPr>
              <w:t>投标产品制造商具有有效期内 的 CQC 中国环保产品认证证书</w:t>
            </w:r>
            <w:r>
              <w:rPr>
                <w:rFonts w:hint="eastAsia"/>
                <w:highlight w:val="none"/>
                <w:lang w:val="en-US" w:eastAsia="zh-CN"/>
              </w:rPr>
              <w:t>或</w:t>
            </w:r>
            <w:r>
              <w:rPr>
                <w:rFonts w:hint="eastAsia"/>
                <w:highlight w:val="none"/>
              </w:rPr>
              <w:t xml:space="preserve"> CEC 家具产品环保卫士认证证书</w:t>
            </w:r>
            <w:r>
              <w:rPr>
                <w:rFonts w:hint="eastAsia"/>
                <w:highlight w:val="none"/>
                <w:lang w:eastAsia="zh-CN"/>
              </w:rPr>
              <w:t>，认证范围包含木家具、金属家具、软体家具，</w:t>
            </w:r>
            <w:r>
              <w:rPr>
                <w:rFonts w:hint="eastAsia"/>
                <w:highlight w:val="none"/>
                <w:lang w:val="en-US" w:eastAsia="zh-CN"/>
              </w:rPr>
              <w:t>符合的得1分，未提供不得分。</w:t>
            </w:r>
          </w:p>
          <w:p w14:paraId="3E4568F6">
            <w:pPr>
              <w:numPr>
                <w:ilvl w:val="0"/>
                <w:numId w:val="0"/>
              </w:numPr>
              <w:rPr>
                <w:rFonts w:hint="default"/>
                <w:highlight w:val="none"/>
                <w:lang w:val="en-US"/>
              </w:rPr>
            </w:pPr>
            <w:r>
              <w:rPr>
                <w:rFonts w:hint="eastAsia" w:ascii="Times New Roman" w:hAnsi="Times New Roman" w:eastAsia="宋体" w:cs="Times New Roman"/>
                <w:kern w:val="2"/>
                <w:sz w:val="21"/>
                <w:highlight w:val="none"/>
                <w:lang w:val="en-US" w:eastAsia="zh-CN" w:bidi="ar-SA"/>
              </w:rPr>
              <w:t>注：提供有效期内证书扫描件，未提供不得分。</w:t>
            </w:r>
          </w:p>
        </w:tc>
      </w:tr>
      <w:tr w14:paraId="0337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1949" w:type="dxa"/>
            <w:gridSpan w:val="2"/>
            <w:vMerge w:val="continue"/>
            <w:tcBorders>
              <w:left w:val="single" w:color="auto" w:sz="4" w:space="0"/>
              <w:right w:val="single" w:color="auto" w:sz="4" w:space="0"/>
            </w:tcBorders>
            <w:noWrap w:val="0"/>
            <w:vAlign w:val="center"/>
          </w:tcPr>
          <w:p w14:paraId="4565ECA4">
            <w:pPr>
              <w:widowControl/>
              <w:jc w:val="center"/>
              <w:rPr>
                <w:rFonts w:hint="eastAsia" w:ascii="宋体" w:hAnsi="宋体"/>
                <w:highlight w:val="none"/>
                <w:lang w:val="en-US" w:eastAsia="zh-CN"/>
              </w:rPr>
            </w:pPr>
          </w:p>
        </w:tc>
        <w:tc>
          <w:tcPr>
            <w:tcW w:w="838" w:type="dxa"/>
            <w:vMerge w:val="continue"/>
            <w:tcBorders>
              <w:left w:val="single" w:color="auto" w:sz="4" w:space="0"/>
              <w:right w:val="single" w:color="auto" w:sz="4" w:space="0"/>
            </w:tcBorders>
            <w:noWrap w:val="0"/>
            <w:vAlign w:val="center"/>
          </w:tcPr>
          <w:p w14:paraId="21F05D39">
            <w:pPr>
              <w:widowControl/>
              <w:jc w:val="center"/>
              <w:rPr>
                <w:rFonts w:hint="eastAsia" w:ascii="Helvetica" w:hAnsi="Helvetica" w:cs="Helvetica"/>
                <w:kern w:val="0"/>
                <w:szCs w:val="21"/>
                <w:highlight w:val="none"/>
                <w:lang w:val="en-US" w:eastAsia="zh-CN"/>
              </w:rPr>
            </w:pPr>
          </w:p>
        </w:tc>
        <w:tc>
          <w:tcPr>
            <w:tcW w:w="6734" w:type="dxa"/>
            <w:tcBorders>
              <w:top w:val="single" w:color="auto" w:sz="4" w:space="0"/>
              <w:left w:val="single" w:color="auto" w:sz="4" w:space="0"/>
              <w:right w:val="single" w:color="auto" w:sz="4" w:space="0"/>
            </w:tcBorders>
            <w:noWrap w:val="0"/>
            <w:vAlign w:val="center"/>
          </w:tcPr>
          <w:p w14:paraId="5363CFCF">
            <w:pPr>
              <w:spacing w:line="276" w:lineRule="auto"/>
              <w:jc w:val="left"/>
              <w:rPr>
                <w:rFonts w:hint="eastAsia" w:ascii="Helvetica" w:hAnsi="Helvetica" w:cs="Helvetica"/>
                <w:kern w:val="0"/>
                <w:szCs w:val="21"/>
                <w:highlight w:val="none"/>
              </w:rPr>
            </w:pPr>
            <w:r>
              <w:rPr>
                <w:rFonts w:hint="eastAsia" w:ascii="Helvetica" w:hAnsi="Helvetica" w:cs="Helvetica"/>
                <w:kern w:val="0"/>
                <w:szCs w:val="21"/>
                <w:highlight w:val="none"/>
              </w:rPr>
              <w:t xml:space="preserve">投标产品获得国家确定的认证机构出具的有效期之内的环境标志产品认证证书，每项产品得 0.5 分，最高得 </w:t>
            </w:r>
            <w:r>
              <w:rPr>
                <w:rFonts w:hint="eastAsia" w:ascii="Helvetica" w:hAnsi="Helvetica" w:cs="Helvetica"/>
                <w:kern w:val="0"/>
                <w:szCs w:val="21"/>
                <w:highlight w:val="none"/>
                <w:lang w:val="en-US" w:eastAsia="zh-CN"/>
              </w:rPr>
              <w:t>2</w:t>
            </w:r>
            <w:r>
              <w:rPr>
                <w:rFonts w:hint="eastAsia" w:ascii="Helvetica" w:hAnsi="Helvetica" w:cs="Helvetica"/>
                <w:kern w:val="0"/>
                <w:szCs w:val="21"/>
                <w:highlight w:val="none"/>
              </w:rPr>
              <w:t xml:space="preserve"> 分。</w:t>
            </w:r>
          </w:p>
          <w:p w14:paraId="73C364B8">
            <w:pPr>
              <w:spacing w:line="276" w:lineRule="auto"/>
              <w:jc w:val="left"/>
              <w:rPr>
                <w:rFonts w:hint="eastAsia" w:ascii="Helvetica" w:hAnsi="Helvetica" w:cs="Helvetica"/>
                <w:kern w:val="0"/>
                <w:szCs w:val="21"/>
                <w:highlight w:val="none"/>
                <w:lang w:val="en-US" w:eastAsia="zh-CN"/>
              </w:rPr>
            </w:pPr>
            <w:r>
              <w:rPr>
                <w:rFonts w:hint="eastAsia" w:ascii="Helvetica" w:hAnsi="Helvetica" w:cs="Helvetica"/>
                <w:kern w:val="0"/>
                <w:szCs w:val="21"/>
                <w:highlight w:val="none"/>
                <w:lang w:val="en-US" w:eastAsia="zh-CN"/>
              </w:rPr>
              <w:t>注：同品类不重复计分，</w:t>
            </w:r>
            <w:r>
              <w:rPr>
                <w:rFonts w:hint="eastAsia" w:ascii="Times New Roman" w:hAnsi="Times New Roman" w:eastAsia="宋体" w:cs="Times New Roman"/>
                <w:kern w:val="2"/>
                <w:sz w:val="21"/>
                <w:highlight w:val="none"/>
                <w:lang w:val="en-US" w:eastAsia="zh-CN" w:bidi="ar-SA"/>
              </w:rPr>
              <w:t>提供有效期内证书扫描件，未提供不得分。</w:t>
            </w:r>
          </w:p>
        </w:tc>
      </w:tr>
      <w:tr w14:paraId="71F1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1949" w:type="dxa"/>
            <w:gridSpan w:val="2"/>
            <w:tcBorders>
              <w:left w:val="single" w:color="auto" w:sz="4" w:space="0"/>
              <w:right w:val="single" w:color="auto" w:sz="4" w:space="0"/>
            </w:tcBorders>
            <w:noWrap w:val="0"/>
            <w:vAlign w:val="center"/>
          </w:tcPr>
          <w:p w14:paraId="17274D50">
            <w:pPr>
              <w:widowControl/>
              <w:jc w:val="center"/>
              <w:rPr>
                <w:rFonts w:hint="eastAsia" w:ascii="Helvetica" w:hAnsi="Helvetica" w:cs="Helvetica"/>
                <w:kern w:val="0"/>
                <w:szCs w:val="21"/>
                <w:highlight w:val="none"/>
              </w:rPr>
            </w:pPr>
            <w:r>
              <w:rPr>
                <w:rFonts w:hint="eastAsia" w:ascii="Helvetica" w:hAnsi="Helvetica" w:cs="Helvetica"/>
                <w:kern w:val="0"/>
                <w:szCs w:val="21"/>
                <w:highlight w:val="none"/>
              </w:rPr>
              <w:t>质量保证及措施</w:t>
            </w:r>
          </w:p>
        </w:tc>
        <w:tc>
          <w:tcPr>
            <w:tcW w:w="838" w:type="dxa"/>
            <w:tcBorders>
              <w:left w:val="single" w:color="auto" w:sz="4" w:space="0"/>
              <w:right w:val="single" w:color="auto" w:sz="4" w:space="0"/>
            </w:tcBorders>
            <w:noWrap w:val="0"/>
            <w:vAlign w:val="center"/>
          </w:tcPr>
          <w:p w14:paraId="4DDEA5F4">
            <w:pPr>
              <w:widowControl/>
              <w:jc w:val="center"/>
              <w:rPr>
                <w:rFonts w:hint="eastAsia" w:ascii="Helvetica" w:hAnsi="Helvetica" w:cs="Helvetica"/>
                <w:kern w:val="0"/>
                <w:szCs w:val="21"/>
                <w:highlight w:val="none"/>
              </w:rPr>
            </w:pPr>
            <w:r>
              <w:rPr>
                <w:rFonts w:hint="eastAsia" w:ascii="Helvetica" w:hAnsi="Helvetica" w:cs="Helvetica"/>
                <w:kern w:val="0"/>
                <w:szCs w:val="21"/>
                <w:highlight w:val="none"/>
                <w:lang w:val="en-US" w:eastAsia="zh-CN"/>
              </w:rPr>
              <w:t>3</w:t>
            </w:r>
            <w:r>
              <w:rPr>
                <w:rFonts w:hint="eastAsia" w:ascii="Helvetica" w:hAnsi="Helvetica" w:cs="Helvetica"/>
                <w:kern w:val="0"/>
                <w:szCs w:val="21"/>
                <w:highlight w:val="none"/>
              </w:rPr>
              <w:t>分</w:t>
            </w:r>
          </w:p>
        </w:tc>
        <w:tc>
          <w:tcPr>
            <w:tcW w:w="6734" w:type="dxa"/>
            <w:tcBorders>
              <w:top w:val="single" w:color="auto" w:sz="4" w:space="0"/>
              <w:left w:val="single" w:color="auto" w:sz="4" w:space="0"/>
              <w:right w:val="single" w:color="auto" w:sz="4" w:space="0"/>
            </w:tcBorders>
            <w:noWrap w:val="0"/>
            <w:vAlign w:val="center"/>
          </w:tcPr>
          <w:p w14:paraId="52478F61">
            <w:pPr>
              <w:rPr>
                <w:rFonts w:hint="eastAsia" w:ascii="宋体" w:hAnsi="宋体"/>
                <w:highlight w:val="none"/>
              </w:rPr>
            </w:pPr>
            <w:r>
              <w:rPr>
                <w:rFonts w:hint="eastAsia" w:ascii="宋体" w:hAnsi="宋体"/>
                <w:highlight w:val="none"/>
              </w:rPr>
              <w:t>根据提供的产品质量控制、保证措施等进行评分:方案完整合理、可行性强的得</w:t>
            </w:r>
            <w:r>
              <w:rPr>
                <w:rFonts w:hint="eastAsia" w:ascii="宋体" w:hAnsi="宋体"/>
                <w:highlight w:val="none"/>
                <w:lang w:val="en-US" w:eastAsia="zh-CN"/>
              </w:rPr>
              <w:t>3</w:t>
            </w:r>
            <w:r>
              <w:rPr>
                <w:rFonts w:hint="eastAsia" w:ascii="宋体" w:hAnsi="宋体"/>
                <w:highlight w:val="none"/>
              </w:rPr>
              <w:t>分</w:t>
            </w:r>
            <w:r>
              <w:rPr>
                <w:rFonts w:hint="eastAsia" w:ascii="宋体" w:hAnsi="宋体"/>
                <w:highlight w:val="none"/>
                <w:lang w:eastAsia="zh-CN"/>
              </w:rPr>
              <w:t>，</w:t>
            </w:r>
            <w:r>
              <w:rPr>
                <w:rFonts w:hint="eastAsia" w:ascii="宋体" w:hAnsi="宋体"/>
                <w:highlight w:val="none"/>
              </w:rPr>
              <w:t>方案基本完整、可行的得</w:t>
            </w:r>
            <w:r>
              <w:rPr>
                <w:rFonts w:hint="eastAsia" w:ascii="宋体" w:hAnsi="宋体"/>
                <w:highlight w:val="none"/>
                <w:lang w:val="en-US" w:eastAsia="zh-CN"/>
              </w:rPr>
              <w:t>2</w:t>
            </w:r>
            <w:r>
              <w:rPr>
                <w:rFonts w:hint="eastAsia" w:ascii="宋体" w:hAnsi="宋体"/>
                <w:highlight w:val="none"/>
              </w:rPr>
              <w:t>分</w:t>
            </w:r>
            <w:r>
              <w:rPr>
                <w:rFonts w:hint="eastAsia" w:ascii="宋体" w:hAnsi="宋体"/>
                <w:highlight w:val="none"/>
                <w:lang w:eastAsia="zh-CN"/>
              </w:rPr>
              <w:t>，</w:t>
            </w:r>
            <w:r>
              <w:rPr>
                <w:rFonts w:hint="eastAsia" w:ascii="宋体" w:hAnsi="宋体"/>
                <w:highlight w:val="none"/>
              </w:rPr>
              <w:t>方案欠缺、可行性一般的1分</w:t>
            </w:r>
            <w:r>
              <w:rPr>
                <w:rFonts w:hint="eastAsia" w:ascii="宋体" w:hAnsi="宋体"/>
                <w:highlight w:val="none"/>
                <w:lang w:eastAsia="zh-CN"/>
              </w:rPr>
              <w:t>，</w:t>
            </w:r>
            <w:r>
              <w:rPr>
                <w:rFonts w:hint="eastAsia" w:ascii="宋体" w:hAnsi="宋体"/>
                <w:highlight w:val="none"/>
              </w:rPr>
              <w:t>差或</w:t>
            </w:r>
            <w:r>
              <w:rPr>
                <w:rFonts w:hint="eastAsia" w:ascii="宋体" w:hAnsi="宋体"/>
                <w:highlight w:val="none"/>
                <w:lang w:val="en-US" w:eastAsia="zh-CN"/>
              </w:rPr>
              <w:t>未提供</w:t>
            </w:r>
            <w:r>
              <w:rPr>
                <w:rFonts w:hint="eastAsia" w:ascii="宋体" w:hAnsi="宋体"/>
                <w:highlight w:val="none"/>
              </w:rPr>
              <w:t>不得分。</w:t>
            </w:r>
          </w:p>
        </w:tc>
      </w:tr>
      <w:tr w14:paraId="5AE4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1949" w:type="dxa"/>
            <w:gridSpan w:val="2"/>
            <w:tcBorders>
              <w:top w:val="single" w:color="auto" w:sz="4" w:space="0"/>
              <w:left w:val="single" w:color="auto" w:sz="4" w:space="0"/>
              <w:right w:val="single" w:color="auto" w:sz="4" w:space="0"/>
            </w:tcBorders>
            <w:noWrap w:val="0"/>
            <w:vAlign w:val="center"/>
          </w:tcPr>
          <w:p w14:paraId="7FA5F931">
            <w:pPr>
              <w:widowControl/>
              <w:contextualSpacing/>
              <w:jc w:val="center"/>
              <w:textAlignment w:val="center"/>
              <w:rPr>
                <w:rFonts w:ascii="Helvetica" w:hAnsi="Helvetica" w:cs="Helvetica"/>
                <w:kern w:val="0"/>
                <w:szCs w:val="21"/>
                <w:highlight w:val="none"/>
              </w:rPr>
            </w:pPr>
            <w:r>
              <w:rPr>
                <w:rFonts w:hint="eastAsia" w:ascii="Helvetica" w:hAnsi="Helvetica" w:cs="Helvetica"/>
                <w:kern w:val="0"/>
                <w:szCs w:val="21"/>
                <w:highlight w:val="none"/>
              </w:rPr>
              <w:t>项目实施</w:t>
            </w:r>
          </w:p>
          <w:p w14:paraId="15AE1655">
            <w:pPr>
              <w:widowControl/>
              <w:contextualSpacing/>
              <w:jc w:val="center"/>
              <w:textAlignment w:val="center"/>
              <w:rPr>
                <w:rFonts w:ascii="Helvetica" w:hAnsi="Helvetica" w:cs="Helvetica"/>
                <w:kern w:val="0"/>
                <w:szCs w:val="21"/>
                <w:highlight w:val="none"/>
              </w:rPr>
            </w:pPr>
            <w:r>
              <w:rPr>
                <w:rFonts w:hint="eastAsia" w:ascii="Helvetica" w:hAnsi="Helvetica" w:cs="Helvetica"/>
                <w:kern w:val="0"/>
                <w:szCs w:val="21"/>
                <w:highlight w:val="none"/>
              </w:rPr>
              <w:t>计划、方案</w:t>
            </w:r>
          </w:p>
        </w:tc>
        <w:tc>
          <w:tcPr>
            <w:tcW w:w="838" w:type="dxa"/>
            <w:tcBorders>
              <w:top w:val="single" w:color="auto" w:sz="4" w:space="0"/>
              <w:left w:val="single" w:color="auto" w:sz="4" w:space="0"/>
              <w:right w:val="single" w:color="auto" w:sz="4" w:space="0"/>
            </w:tcBorders>
            <w:noWrap w:val="0"/>
            <w:vAlign w:val="center"/>
          </w:tcPr>
          <w:p w14:paraId="5C0248F0">
            <w:pPr>
              <w:widowControl/>
              <w:jc w:val="center"/>
              <w:rPr>
                <w:rFonts w:ascii="Helvetica" w:hAnsi="Helvetica" w:cs="Helvetica"/>
                <w:kern w:val="0"/>
                <w:szCs w:val="21"/>
                <w:highlight w:val="none"/>
              </w:rPr>
            </w:pPr>
            <w:r>
              <w:rPr>
                <w:rFonts w:hint="eastAsia" w:ascii="Helvetica" w:hAnsi="Helvetica" w:cs="Helvetica"/>
                <w:kern w:val="0"/>
                <w:szCs w:val="21"/>
                <w:highlight w:val="none"/>
              </w:rPr>
              <w:t>9分</w:t>
            </w:r>
          </w:p>
        </w:tc>
        <w:tc>
          <w:tcPr>
            <w:tcW w:w="6734" w:type="dxa"/>
            <w:tcBorders>
              <w:top w:val="single" w:color="auto" w:sz="4" w:space="0"/>
              <w:left w:val="single" w:color="auto" w:sz="4" w:space="0"/>
              <w:right w:val="single" w:color="auto" w:sz="4" w:space="0"/>
            </w:tcBorders>
            <w:noWrap w:val="0"/>
            <w:vAlign w:val="center"/>
          </w:tcPr>
          <w:p w14:paraId="092D42C0">
            <w:pPr>
              <w:rPr>
                <w:rFonts w:ascii="宋体" w:hAnsi="宋体"/>
                <w:highlight w:val="none"/>
              </w:rPr>
            </w:pPr>
            <w:r>
              <w:rPr>
                <w:rFonts w:hint="eastAsia" w:ascii="宋体" w:hAnsi="宋体"/>
                <w:highlight w:val="none"/>
              </w:rPr>
              <w:t>1、项目实施规划方案，提出合理的项目整体实施方案，能按照项目分解节点，并可跟踪实施。根据供应商提供的方案进行评分：方案完整、合理、可行的得3分</w:t>
            </w:r>
            <w:r>
              <w:rPr>
                <w:rFonts w:hint="eastAsia" w:ascii="宋体" w:hAnsi="宋体"/>
                <w:highlight w:val="none"/>
                <w:lang w:eastAsia="zh-CN"/>
              </w:rPr>
              <w:t>，</w:t>
            </w:r>
            <w:r>
              <w:rPr>
                <w:rFonts w:hint="eastAsia" w:ascii="宋体" w:hAnsi="宋体"/>
                <w:highlight w:val="none"/>
              </w:rPr>
              <w:t>方案一般的得2分</w:t>
            </w:r>
            <w:r>
              <w:rPr>
                <w:rFonts w:hint="eastAsia" w:ascii="宋体" w:hAnsi="宋体"/>
                <w:highlight w:val="none"/>
                <w:lang w:eastAsia="zh-CN"/>
              </w:rPr>
              <w:t>，</w:t>
            </w:r>
            <w:r>
              <w:rPr>
                <w:rFonts w:hint="eastAsia" w:ascii="宋体" w:hAnsi="宋体"/>
                <w:highlight w:val="none"/>
              </w:rPr>
              <w:t>方案较差的得1分</w:t>
            </w:r>
            <w:r>
              <w:rPr>
                <w:rFonts w:hint="eastAsia" w:ascii="宋体" w:hAnsi="宋体"/>
                <w:highlight w:val="none"/>
                <w:lang w:eastAsia="zh-CN"/>
              </w:rPr>
              <w:t>，</w:t>
            </w:r>
            <w:r>
              <w:rPr>
                <w:rFonts w:hint="eastAsia" w:ascii="宋体" w:hAnsi="宋体"/>
                <w:highlight w:val="none"/>
                <w:lang w:val="en-US" w:eastAsia="zh-CN"/>
              </w:rPr>
              <w:t>未提供</w:t>
            </w:r>
            <w:r>
              <w:rPr>
                <w:rFonts w:hint="eastAsia" w:ascii="宋体" w:hAnsi="宋体"/>
                <w:highlight w:val="none"/>
              </w:rPr>
              <w:t>不得分。</w:t>
            </w:r>
          </w:p>
          <w:p w14:paraId="78736573">
            <w:pPr>
              <w:rPr>
                <w:rFonts w:ascii="宋体" w:hAnsi="宋体"/>
                <w:highlight w:val="none"/>
              </w:rPr>
            </w:pPr>
            <w:r>
              <w:rPr>
                <w:rFonts w:hint="eastAsia" w:ascii="宋体" w:hAnsi="宋体"/>
                <w:highlight w:val="none"/>
              </w:rPr>
              <w:t>2、生产实施方案，根据供应商提供的方案能否满足采购需求进行评分：满足且优于采购需求的得3分</w:t>
            </w:r>
            <w:r>
              <w:rPr>
                <w:rFonts w:hint="eastAsia" w:ascii="宋体" w:hAnsi="宋体"/>
                <w:highlight w:val="none"/>
                <w:lang w:eastAsia="zh-CN"/>
              </w:rPr>
              <w:t>，</w:t>
            </w:r>
            <w:r>
              <w:rPr>
                <w:rFonts w:hint="eastAsia" w:ascii="宋体" w:hAnsi="宋体"/>
                <w:highlight w:val="none"/>
              </w:rPr>
              <w:t>基本满足的得2分</w:t>
            </w:r>
            <w:r>
              <w:rPr>
                <w:rFonts w:hint="eastAsia" w:ascii="宋体" w:hAnsi="宋体"/>
                <w:highlight w:val="none"/>
                <w:lang w:eastAsia="zh-CN"/>
              </w:rPr>
              <w:t>，</w:t>
            </w:r>
            <w:r>
              <w:rPr>
                <w:rFonts w:hint="eastAsia" w:ascii="宋体" w:hAnsi="宋体"/>
                <w:highlight w:val="none"/>
              </w:rPr>
              <w:t>响应程度较差的得1分，</w:t>
            </w:r>
            <w:r>
              <w:rPr>
                <w:rFonts w:hint="eastAsia" w:ascii="宋体" w:hAnsi="宋体"/>
                <w:highlight w:val="none"/>
                <w:lang w:val="en-US" w:eastAsia="zh-CN"/>
              </w:rPr>
              <w:t>未提供</w:t>
            </w:r>
            <w:r>
              <w:rPr>
                <w:rFonts w:hint="eastAsia" w:ascii="宋体" w:hAnsi="宋体"/>
                <w:highlight w:val="none"/>
              </w:rPr>
              <w:t>不得分。</w:t>
            </w:r>
          </w:p>
          <w:p w14:paraId="2A87400B">
            <w:pPr>
              <w:rPr>
                <w:rFonts w:ascii="宋体" w:hAnsi="宋体"/>
                <w:highlight w:val="none"/>
              </w:rPr>
            </w:pPr>
            <w:r>
              <w:rPr>
                <w:rFonts w:hint="eastAsia" w:ascii="宋体" w:hAnsi="宋体"/>
                <w:highlight w:val="none"/>
              </w:rPr>
              <w:t>3、安装服务实施方案，安装方案的制定，根据货物交付时间节点，落实送货安装时间和人员安排，确保按期交付使用。根据供应商提供的方案进行评分，满足且优于采购需求的得3分</w:t>
            </w:r>
            <w:r>
              <w:rPr>
                <w:rFonts w:hint="eastAsia" w:ascii="宋体" w:hAnsi="宋体"/>
                <w:highlight w:val="none"/>
                <w:lang w:eastAsia="zh-CN"/>
              </w:rPr>
              <w:t>，</w:t>
            </w:r>
            <w:r>
              <w:rPr>
                <w:rFonts w:hint="eastAsia" w:ascii="宋体" w:hAnsi="宋体"/>
                <w:highlight w:val="none"/>
              </w:rPr>
              <w:t>基本满足的得2分</w:t>
            </w:r>
            <w:r>
              <w:rPr>
                <w:rFonts w:hint="eastAsia" w:ascii="宋体" w:hAnsi="宋体"/>
                <w:highlight w:val="none"/>
                <w:lang w:eastAsia="zh-CN"/>
              </w:rPr>
              <w:t>，</w:t>
            </w:r>
            <w:r>
              <w:rPr>
                <w:rFonts w:hint="eastAsia" w:ascii="宋体" w:hAnsi="宋体"/>
                <w:highlight w:val="none"/>
              </w:rPr>
              <w:t>响应程度较差的得1分，</w:t>
            </w:r>
            <w:r>
              <w:rPr>
                <w:rFonts w:hint="eastAsia" w:ascii="宋体" w:hAnsi="宋体"/>
                <w:highlight w:val="none"/>
                <w:lang w:val="en-US" w:eastAsia="zh-CN"/>
              </w:rPr>
              <w:t>未提供</w:t>
            </w:r>
            <w:r>
              <w:rPr>
                <w:rFonts w:hint="eastAsia" w:ascii="宋体" w:hAnsi="宋体"/>
                <w:highlight w:val="none"/>
              </w:rPr>
              <w:t>不得分。</w:t>
            </w:r>
          </w:p>
        </w:tc>
      </w:tr>
      <w:tr w14:paraId="7ADF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1949" w:type="dxa"/>
            <w:gridSpan w:val="2"/>
            <w:tcBorders>
              <w:top w:val="single" w:color="auto" w:sz="4" w:space="0"/>
              <w:left w:val="single" w:color="auto" w:sz="4" w:space="0"/>
              <w:right w:val="single" w:color="auto" w:sz="4" w:space="0"/>
            </w:tcBorders>
            <w:noWrap w:val="0"/>
            <w:vAlign w:val="center"/>
          </w:tcPr>
          <w:p w14:paraId="00A1FE53">
            <w:pPr>
              <w:widowControl/>
              <w:jc w:val="center"/>
              <w:rPr>
                <w:rFonts w:ascii="Helvetica" w:hAnsi="Helvetica" w:cs="Helvetica"/>
                <w:kern w:val="0"/>
                <w:szCs w:val="21"/>
                <w:highlight w:val="none"/>
              </w:rPr>
            </w:pPr>
            <w:r>
              <w:rPr>
                <w:rFonts w:hint="eastAsia" w:ascii="Helvetica" w:hAnsi="Helvetica" w:cs="Helvetica"/>
                <w:kern w:val="0"/>
                <w:szCs w:val="21"/>
                <w:highlight w:val="none"/>
              </w:rPr>
              <w:t>质保承诺</w:t>
            </w:r>
          </w:p>
        </w:tc>
        <w:tc>
          <w:tcPr>
            <w:tcW w:w="838" w:type="dxa"/>
            <w:tcBorders>
              <w:top w:val="single" w:color="auto" w:sz="4" w:space="0"/>
              <w:left w:val="single" w:color="auto" w:sz="4" w:space="0"/>
              <w:right w:val="single" w:color="auto" w:sz="4" w:space="0"/>
            </w:tcBorders>
            <w:noWrap w:val="0"/>
            <w:vAlign w:val="center"/>
          </w:tcPr>
          <w:p w14:paraId="09E99062">
            <w:pPr>
              <w:widowControl/>
              <w:jc w:val="center"/>
              <w:rPr>
                <w:rFonts w:ascii="Helvetica" w:hAnsi="Helvetica" w:cs="Helvetica"/>
                <w:kern w:val="0"/>
                <w:szCs w:val="21"/>
                <w:highlight w:val="none"/>
              </w:rPr>
            </w:pPr>
            <w:r>
              <w:rPr>
                <w:rFonts w:hint="eastAsia" w:ascii="Helvetica" w:hAnsi="Helvetica" w:cs="Helvetica"/>
                <w:kern w:val="0"/>
                <w:szCs w:val="21"/>
                <w:highlight w:val="none"/>
                <w:lang w:val="en-US" w:eastAsia="zh-CN"/>
              </w:rPr>
              <w:t>1</w:t>
            </w:r>
            <w:r>
              <w:rPr>
                <w:rFonts w:hint="eastAsia" w:ascii="Helvetica" w:hAnsi="Helvetica" w:cs="Helvetica"/>
                <w:kern w:val="0"/>
                <w:szCs w:val="21"/>
                <w:highlight w:val="none"/>
              </w:rPr>
              <w:t>分</w:t>
            </w:r>
          </w:p>
        </w:tc>
        <w:tc>
          <w:tcPr>
            <w:tcW w:w="6734" w:type="dxa"/>
            <w:tcBorders>
              <w:top w:val="single" w:color="auto" w:sz="4" w:space="0"/>
              <w:left w:val="single" w:color="auto" w:sz="4" w:space="0"/>
              <w:right w:val="single" w:color="auto" w:sz="4" w:space="0"/>
            </w:tcBorders>
            <w:noWrap w:val="0"/>
            <w:vAlign w:val="center"/>
          </w:tcPr>
          <w:p w14:paraId="159037D9">
            <w:pPr>
              <w:rPr>
                <w:rFonts w:hint="eastAsia" w:eastAsia="宋体"/>
                <w:highlight w:val="none"/>
                <w:lang w:eastAsia="zh-CN"/>
              </w:rPr>
            </w:pPr>
            <w:r>
              <w:rPr>
                <w:rFonts w:hint="eastAsia" w:ascii="宋体" w:hAnsi="宋体"/>
                <w:highlight w:val="none"/>
              </w:rPr>
              <w:t xml:space="preserve">提供产品 5 年质量保证期，超过 5 年的每一年加 </w:t>
            </w:r>
            <w:r>
              <w:rPr>
                <w:rFonts w:hint="eastAsia" w:ascii="宋体" w:hAnsi="宋体"/>
                <w:highlight w:val="none"/>
                <w:lang w:val="en-US" w:eastAsia="zh-CN"/>
              </w:rPr>
              <w:t>0.5</w:t>
            </w:r>
            <w:r>
              <w:rPr>
                <w:rFonts w:hint="eastAsia" w:ascii="宋体" w:hAnsi="宋体"/>
                <w:highlight w:val="none"/>
              </w:rPr>
              <w:t xml:space="preserve"> 分，最高得</w:t>
            </w:r>
            <w:r>
              <w:rPr>
                <w:rFonts w:hint="eastAsia" w:ascii="宋体" w:hAnsi="宋体"/>
                <w:highlight w:val="none"/>
                <w:lang w:val="en-US" w:eastAsia="zh-CN"/>
              </w:rPr>
              <w:t>1</w:t>
            </w:r>
            <w:r>
              <w:rPr>
                <w:rFonts w:hint="eastAsia" w:ascii="宋体" w:hAnsi="宋体"/>
                <w:highlight w:val="none"/>
              </w:rPr>
              <w:t>分</w:t>
            </w:r>
            <w:r>
              <w:rPr>
                <w:rFonts w:hint="eastAsia" w:ascii="宋体" w:hAnsi="宋体"/>
                <w:highlight w:val="none"/>
                <w:lang w:eastAsia="zh-CN"/>
              </w:rPr>
              <w:t>。</w:t>
            </w:r>
          </w:p>
        </w:tc>
      </w:tr>
      <w:tr w14:paraId="47AD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0" w:hRule="atLeast"/>
          <w:jc w:val="center"/>
        </w:trPr>
        <w:tc>
          <w:tcPr>
            <w:tcW w:w="1949" w:type="dxa"/>
            <w:gridSpan w:val="2"/>
            <w:tcBorders>
              <w:top w:val="single" w:color="auto" w:sz="4" w:space="0"/>
              <w:left w:val="single" w:color="auto" w:sz="4" w:space="0"/>
              <w:right w:val="single" w:color="auto" w:sz="4" w:space="0"/>
            </w:tcBorders>
            <w:noWrap w:val="0"/>
            <w:vAlign w:val="center"/>
          </w:tcPr>
          <w:p w14:paraId="0AD0577C">
            <w:pPr>
              <w:widowControl/>
              <w:jc w:val="center"/>
              <w:rPr>
                <w:rFonts w:hint="eastAsia" w:ascii="Helvetica" w:hAnsi="Helvetica" w:cs="Helvetica"/>
                <w:kern w:val="0"/>
                <w:szCs w:val="21"/>
                <w:highlight w:val="none"/>
              </w:rPr>
            </w:pPr>
            <w:r>
              <w:rPr>
                <w:rFonts w:hint="eastAsia" w:ascii="Helvetica" w:hAnsi="Helvetica" w:cs="Helvetica"/>
                <w:kern w:val="0"/>
                <w:szCs w:val="21"/>
                <w:highlight w:val="none"/>
              </w:rPr>
              <w:t>售后服务</w:t>
            </w:r>
          </w:p>
        </w:tc>
        <w:tc>
          <w:tcPr>
            <w:tcW w:w="838" w:type="dxa"/>
            <w:tcBorders>
              <w:top w:val="single" w:color="auto" w:sz="4" w:space="0"/>
              <w:left w:val="single" w:color="auto" w:sz="4" w:space="0"/>
              <w:right w:val="single" w:color="auto" w:sz="4" w:space="0"/>
            </w:tcBorders>
            <w:noWrap w:val="0"/>
            <w:vAlign w:val="center"/>
          </w:tcPr>
          <w:p w14:paraId="0E1C3F63">
            <w:pPr>
              <w:widowControl/>
              <w:jc w:val="center"/>
              <w:rPr>
                <w:rFonts w:hint="default" w:ascii="Helvetica" w:hAnsi="Helvetica" w:eastAsia="宋体" w:cs="Helvetica"/>
                <w:kern w:val="0"/>
                <w:szCs w:val="21"/>
                <w:highlight w:val="none"/>
                <w:lang w:val="en-US" w:eastAsia="zh-CN"/>
              </w:rPr>
            </w:pPr>
            <w:r>
              <w:rPr>
                <w:rFonts w:hint="eastAsia" w:ascii="Helvetica" w:hAnsi="Helvetica" w:cs="Helvetica"/>
                <w:kern w:val="0"/>
                <w:szCs w:val="21"/>
                <w:highlight w:val="none"/>
                <w:lang w:val="en-US" w:eastAsia="zh-CN"/>
              </w:rPr>
              <w:t>3分</w:t>
            </w:r>
          </w:p>
        </w:tc>
        <w:tc>
          <w:tcPr>
            <w:tcW w:w="6734" w:type="dxa"/>
            <w:tcBorders>
              <w:top w:val="single" w:color="auto" w:sz="4" w:space="0"/>
              <w:left w:val="single" w:color="auto" w:sz="4" w:space="0"/>
              <w:right w:val="single" w:color="auto" w:sz="4" w:space="0"/>
            </w:tcBorders>
            <w:noWrap w:val="0"/>
            <w:vAlign w:val="center"/>
          </w:tcPr>
          <w:p w14:paraId="781D9D82">
            <w:pPr>
              <w:rPr>
                <w:rFonts w:hint="eastAsia" w:ascii="宋体" w:hAnsi="宋体" w:eastAsia="宋体"/>
                <w:highlight w:val="none"/>
                <w:lang w:eastAsia="zh-CN"/>
              </w:rPr>
            </w:pPr>
            <w:r>
              <w:rPr>
                <w:rFonts w:hint="eastAsia" w:ascii="宋体" w:hAnsi="宋体"/>
                <w:highlight w:val="none"/>
              </w:rPr>
              <w:t>提供详细完整的“三包”措施及售后服务措施和方案（包括</w:t>
            </w:r>
            <w:r>
              <w:rPr>
                <w:rFonts w:hint="eastAsia" w:ascii="宋体" w:hAnsi="宋体"/>
                <w:highlight w:val="none"/>
                <w:lang w:val="en-US" w:eastAsia="zh-CN"/>
              </w:rPr>
              <w:t>但不限于</w:t>
            </w:r>
            <w:r>
              <w:rPr>
                <w:rFonts w:hint="eastAsia" w:ascii="宋体" w:hAnsi="宋体"/>
                <w:highlight w:val="none"/>
              </w:rPr>
              <w:t>服务措施、</w:t>
            </w:r>
            <w:r>
              <w:rPr>
                <w:rFonts w:hint="eastAsia" w:ascii="宋体" w:hAnsi="宋体"/>
                <w:highlight w:val="none"/>
                <w:lang w:val="en-US" w:eastAsia="zh-CN"/>
              </w:rPr>
              <w:t>售后服务响应</w:t>
            </w:r>
            <w:r>
              <w:rPr>
                <w:rFonts w:hint="eastAsia" w:ascii="宋体" w:hAnsi="宋体"/>
                <w:highlight w:val="none"/>
              </w:rPr>
              <w:t>、回访、技术培训</w:t>
            </w:r>
            <w:r>
              <w:rPr>
                <w:rFonts w:hint="eastAsia" w:ascii="宋体" w:hAnsi="宋体"/>
                <w:highlight w:val="none"/>
                <w:lang w:eastAsia="zh-CN"/>
              </w:rPr>
              <w:t>、</w:t>
            </w:r>
            <w:r>
              <w:rPr>
                <w:rFonts w:hint="eastAsia" w:ascii="宋体" w:hAnsi="宋体"/>
                <w:highlight w:val="none"/>
                <w:lang w:val="en-US" w:eastAsia="zh-CN"/>
              </w:rPr>
              <w:t>备品备件数量品类</w:t>
            </w:r>
            <w:r>
              <w:rPr>
                <w:rFonts w:hint="eastAsia" w:ascii="宋体" w:hAnsi="宋体"/>
                <w:highlight w:val="none"/>
              </w:rPr>
              <w:t>等）等情况进行评分</w:t>
            </w:r>
            <w:r>
              <w:rPr>
                <w:rFonts w:hint="eastAsia" w:ascii="宋体" w:hAnsi="宋体"/>
                <w:highlight w:val="none"/>
                <w:lang w:eastAsia="zh-CN"/>
              </w:rPr>
              <w:t>：</w:t>
            </w:r>
            <w:r>
              <w:rPr>
                <w:rFonts w:hint="eastAsia" w:ascii="宋体" w:hAnsi="宋体"/>
                <w:highlight w:val="none"/>
                <w:lang w:val="en-US" w:eastAsia="zh-CN"/>
              </w:rPr>
              <w:t>服务措施到位、售后服务响应及时、回访、培训方案合理可行、备品备件数量品类齐全的得3分，较好的得2分，一般的得1分，未提供不得分。</w:t>
            </w:r>
          </w:p>
        </w:tc>
      </w:tr>
      <w:tr w14:paraId="583E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9521" w:type="dxa"/>
            <w:gridSpan w:val="4"/>
            <w:tcBorders>
              <w:top w:val="single" w:color="auto" w:sz="4" w:space="0"/>
              <w:left w:val="single" w:color="auto" w:sz="4" w:space="0"/>
              <w:right w:val="single" w:color="auto" w:sz="4" w:space="0"/>
            </w:tcBorders>
            <w:noWrap w:val="0"/>
            <w:vAlign w:val="center"/>
          </w:tcPr>
          <w:p w14:paraId="04118156">
            <w:pPr>
              <w:widowControl/>
              <w:jc w:val="center"/>
              <w:rPr>
                <w:rFonts w:ascii="Helvetica" w:hAnsi="Helvetica" w:cs="Helvetica"/>
                <w:kern w:val="0"/>
                <w:szCs w:val="21"/>
                <w:highlight w:val="none"/>
              </w:rPr>
            </w:pPr>
            <w:r>
              <w:rPr>
                <w:rFonts w:hint="eastAsia" w:ascii="宋体" w:hAnsi="宋体"/>
                <w:b/>
                <w:szCs w:val="21"/>
                <w:highlight w:val="none"/>
              </w:rPr>
              <w:t>技术部分（</w:t>
            </w:r>
            <w:r>
              <w:rPr>
                <w:rFonts w:hint="eastAsia" w:ascii="宋体" w:hAnsi="宋体"/>
                <w:b/>
                <w:szCs w:val="21"/>
                <w:highlight w:val="none"/>
                <w:lang w:val="en-US" w:eastAsia="zh-CN"/>
              </w:rPr>
              <w:t>45</w:t>
            </w:r>
            <w:r>
              <w:rPr>
                <w:rFonts w:hint="eastAsia" w:ascii="宋体" w:hAnsi="宋体"/>
                <w:b/>
                <w:szCs w:val="21"/>
                <w:highlight w:val="none"/>
              </w:rPr>
              <w:t>分）</w:t>
            </w:r>
          </w:p>
        </w:tc>
      </w:tr>
      <w:tr w14:paraId="5DF5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1949" w:type="dxa"/>
            <w:gridSpan w:val="2"/>
            <w:tcBorders>
              <w:top w:val="single" w:color="auto" w:sz="4" w:space="0"/>
              <w:left w:val="single" w:color="auto" w:sz="4" w:space="0"/>
              <w:right w:val="single" w:color="auto" w:sz="4" w:space="0"/>
            </w:tcBorders>
            <w:noWrap w:val="0"/>
            <w:vAlign w:val="center"/>
          </w:tcPr>
          <w:p w14:paraId="3F3848F7">
            <w:pPr>
              <w:spacing w:line="360" w:lineRule="exact"/>
              <w:jc w:val="center"/>
              <w:rPr>
                <w:rFonts w:ascii="Helvetica" w:hAnsi="Helvetica" w:cs="Helvetica"/>
                <w:kern w:val="0"/>
                <w:szCs w:val="21"/>
                <w:highlight w:val="none"/>
              </w:rPr>
            </w:pPr>
            <w:r>
              <w:rPr>
                <w:rFonts w:hint="eastAsia" w:ascii="宋体" w:hAnsi="宋体"/>
                <w:szCs w:val="21"/>
                <w:highlight w:val="none"/>
              </w:rPr>
              <w:t>技术指标响应情况</w:t>
            </w:r>
          </w:p>
        </w:tc>
        <w:tc>
          <w:tcPr>
            <w:tcW w:w="838" w:type="dxa"/>
            <w:tcBorders>
              <w:top w:val="single" w:color="auto" w:sz="4" w:space="0"/>
              <w:left w:val="single" w:color="auto" w:sz="4" w:space="0"/>
              <w:right w:val="single" w:color="auto" w:sz="4" w:space="0"/>
            </w:tcBorders>
            <w:noWrap w:val="0"/>
            <w:vAlign w:val="center"/>
          </w:tcPr>
          <w:p w14:paraId="3DEAAB5A">
            <w:pPr>
              <w:jc w:val="center"/>
              <w:rPr>
                <w:highlight w:val="none"/>
              </w:rPr>
            </w:pPr>
            <w:r>
              <w:rPr>
                <w:rFonts w:hint="eastAsia" w:ascii="宋体" w:hAnsi="宋体" w:cs="宋体"/>
                <w:szCs w:val="21"/>
                <w:highlight w:val="none"/>
                <w:lang w:val="en-US" w:eastAsia="zh-CN"/>
              </w:rPr>
              <w:t>25</w:t>
            </w:r>
            <w:r>
              <w:rPr>
                <w:rFonts w:hint="eastAsia" w:ascii="宋体" w:hAnsi="宋体" w:cs="宋体"/>
                <w:szCs w:val="21"/>
                <w:highlight w:val="none"/>
              </w:rPr>
              <w:t>分</w:t>
            </w:r>
          </w:p>
        </w:tc>
        <w:tc>
          <w:tcPr>
            <w:tcW w:w="6734" w:type="dxa"/>
            <w:tcBorders>
              <w:top w:val="single" w:color="auto" w:sz="4" w:space="0"/>
              <w:left w:val="single" w:color="auto" w:sz="4" w:space="0"/>
              <w:right w:val="single" w:color="auto" w:sz="4" w:space="0"/>
            </w:tcBorders>
            <w:noWrap w:val="0"/>
            <w:vAlign w:val="center"/>
          </w:tcPr>
          <w:p w14:paraId="4ADDEF99">
            <w:pPr>
              <w:spacing w:line="280" w:lineRule="exact"/>
              <w:rPr>
                <w:rFonts w:hint="eastAsia" w:ascii="宋体" w:hAnsi="宋体" w:eastAsia="宋体" w:cs="宋体"/>
                <w:highlight w:val="none"/>
                <w:lang w:val="en-US" w:eastAsia="zh-CN"/>
              </w:rPr>
            </w:pPr>
            <w:r>
              <w:rPr>
                <w:rFonts w:hint="eastAsia" w:ascii="宋体" w:hAnsi="宋体" w:eastAsia="宋体" w:cs="宋体"/>
                <w:highlight w:val="none"/>
                <w:lang w:val="en-US" w:eastAsia="zh-CN"/>
              </w:rPr>
              <w:t>投标人须根据采购需求和技术要求逐条列出响应及偏离情况，若未提供或未列明偏离情况的对应项按负偏离处理。经评标委员会讨论认可，技术参数完全符合招标要求的得25分；</w:t>
            </w:r>
          </w:p>
          <w:p w14:paraId="6C9FD388">
            <w:pPr>
              <w:spacing w:line="280" w:lineRule="exact"/>
              <w:rPr>
                <w:rFonts w:ascii="宋体" w:hAnsi="宋体"/>
                <w:szCs w:val="21"/>
                <w:highlight w:val="none"/>
              </w:rPr>
            </w:pPr>
            <w:r>
              <w:rPr>
                <w:rFonts w:hint="eastAsia" w:ascii="宋体" w:hAnsi="宋体" w:eastAsia="宋体" w:cs="宋体"/>
                <w:highlight w:val="none"/>
                <w:lang w:val="en-US" w:eastAsia="zh-CN"/>
              </w:rPr>
              <w:t>标注“</w:t>
            </w:r>
            <w:r>
              <w:rPr>
                <w:rFonts w:hint="eastAsia" w:ascii="宋体" w:hAnsi="宋体" w:cs="Times New Roman"/>
                <w:color w:val="auto"/>
                <w:sz w:val="24"/>
                <w:szCs w:val="24"/>
                <w:lang w:val="en-US" w:eastAsia="zh-CN"/>
              </w:rPr>
              <w:t>★</w:t>
            </w:r>
            <w:r>
              <w:rPr>
                <w:rFonts w:hint="eastAsia" w:ascii="宋体" w:hAnsi="宋体" w:eastAsia="宋体" w:cs="宋体"/>
                <w:highlight w:val="none"/>
                <w:lang w:val="en-US" w:eastAsia="zh-CN"/>
              </w:rPr>
              <w:t>”的指标项</w:t>
            </w:r>
            <w:r>
              <w:rPr>
                <w:rFonts w:hint="eastAsia" w:ascii="宋体" w:hAnsi="宋体" w:eastAsia="宋体" w:cs="宋体"/>
                <w:highlight w:val="none"/>
              </w:rPr>
              <w:t>提供投标人自有第三方质量检测机构（检测报告须具有CMA</w:t>
            </w:r>
            <w:r>
              <w:rPr>
                <w:rFonts w:hint="eastAsia" w:ascii="宋体" w:hAnsi="宋体" w:eastAsia="宋体" w:cs="宋体"/>
                <w:highlight w:val="none"/>
                <w:lang w:val="en-US" w:eastAsia="zh-CN"/>
              </w:rPr>
              <w:t>或</w:t>
            </w:r>
            <w:r>
              <w:rPr>
                <w:rFonts w:hint="eastAsia" w:ascii="宋体" w:hAnsi="宋体" w:eastAsia="宋体" w:cs="宋体"/>
                <w:highlight w:val="none"/>
              </w:rPr>
              <w:t>CNAS标志）出具的检测报告。</w:t>
            </w:r>
            <w:r>
              <w:rPr>
                <w:rFonts w:hint="eastAsia" w:ascii="宋体" w:hAnsi="宋体" w:eastAsia="宋体" w:cs="宋体"/>
                <w:highlight w:val="none"/>
                <w:lang w:val="en-US" w:eastAsia="zh-CN"/>
              </w:rPr>
              <w:t>全部</w:t>
            </w:r>
            <w:r>
              <w:rPr>
                <w:rFonts w:hint="eastAsia" w:ascii="宋体" w:hAnsi="宋体" w:eastAsia="宋体" w:cs="宋体"/>
                <w:highlight w:val="none"/>
              </w:rPr>
              <w:t>完整提供且全部</w:t>
            </w:r>
            <w:r>
              <w:rPr>
                <w:rFonts w:hint="eastAsia" w:ascii="宋体" w:hAnsi="宋体" w:eastAsia="宋体" w:cs="宋体"/>
                <w:highlight w:val="none"/>
                <w:lang w:val="en-US" w:eastAsia="zh-CN"/>
              </w:rPr>
              <w:t>技术指标</w:t>
            </w:r>
            <w:r>
              <w:rPr>
                <w:rFonts w:hint="eastAsia" w:ascii="宋体" w:hAnsi="宋体" w:eastAsia="宋体" w:cs="宋体"/>
                <w:highlight w:val="none"/>
              </w:rPr>
              <w:t>符合要求的得满分</w:t>
            </w:r>
            <w:r>
              <w:rPr>
                <w:rFonts w:hint="eastAsia" w:ascii="宋体" w:hAnsi="宋体" w:eastAsia="宋体" w:cs="宋体"/>
                <w:highlight w:val="none"/>
                <w:lang w:val="en-US" w:eastAsia="zh-CN"/>
              </w:rPr>
              <w:t>2</w:t>
            </w:r>
            <w:r>
              <w:rPr>
                <w:rFonts w:hint="eastAsia" w:ascii="宋体" w:hAnsi="宋体" w:eastAsia="宋体" w:cs="宋体"/>
                <w:highlight w:val="none"/>
              </w:rPr>
              <w:t>5分，每少提供1份，扣</w:t>
            </w:r>
            <w:r>
              <w:rPr>
                <w:rFonts w:hint="eastAsia" w:ascii="宋体" w:hAnsi="宋体" w:eastAsia="宋体" w:cs="宋体"/>
                <w:highlight w:val="none"/>
                <w:lang w:val="en-US" w:eastAsia="zh-CN"/>
              </w:rPr>
              <w:t>3</w:t>
            </w:r>
            <w:r>
              <w:rPr>
                <w:rFonts w:hint="eastAsia" w:ascii="宋体" w:hAnsi="宋体" w:eastAsia="宋体" w:cs="宋体"/>
                <w:highlight w:val="none"/>
              </w:rPr>
              <w:t>分，技术参数每负偏离一条扣1分，扣完为止。</w:t>
            </w:r>
          </w:p>
        </w:tc>
      </w:tr>
      <w:tr w14:paraId="31F1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61" w:type="dxa"/>
            <w:vMerge w:val="restart"/>
            <w:tcBorders>
              <w:left w:val="single" w:color="auto" w:sz="4" w:space="0"/>
              <w:right w:val="single" w:color="auto" w:sz="4" w:space="0"/>
            </w:tcBorders>
            <w:noWrap w:val="0"/>
            <w:vAlign w:val="center"/>
          </w:tcPr>
          <w:p w14:paraId="1FB36BBF">
            <w:pPr>
              <w:spacing w:before="240" w:after="60"/>
              <w:outlineLvl w:val="0"/>
              <w:rPr>
                <w:rFonts w:ascii="Calibri Light" w:hAnsi="Calibri Light"/>
                <w:bCs/>
                <w:sz w:val="28"/>
                <w:szCs w:val="28"/>
                <w:highlight w:val="none"/>
              </w:rPr>
            </w:pPr>
            <w:r>
              <w:rPr>
                <w:rFonts w:hint="eastAsia" w:ascii="宋体" w:hAnsi="宋体" w:eastAsia="宋体" w:cs="宋体"/>
                <w:highlight w:val="none"/>
                <w:lang w:val="en-US" w:eastAsia="zh-CN"/>
              </w:rPr>
              <w:t>样品</w:t>
            </w:r>
          </w:p>
        </w:tc>
        <w:tc>
          <w:tcPr>
            <w:tcW w:w="1288" w:type="dxa"/>
            <w:tcBorders>
              <w:left w:val="single" w:color="auto" w:sz="4" w:space="0"/>
              <w:right w:val="single" w:color="auto" w:sz="4" w:space="0"/>
            </w:tcBorders>
            <w:noWrap w:val="0"/>
            <w:vAlign w:val="center"/>
          </w:tcPr>
          <w:p w14:paraId="2ED0E5E2">
            <w:pPr>
              <w:spacing w:before="1"/>
              <w:ind w:left="167" w:right="162"/>
              <w:jc w:val="center"/>
              <w:rPr>
                <w:rFonts w:hint="eastAsia" w:ascii="宋体" w:hAnsi="宋体" w:eastAsia="宋体" w:cs="宋体"/>
                <w:highlight w:val="none"/>
                <w:lang w:eastAsia="zh-CN"/>
              </w:rPr>
            </w:pPr>
            <w:r>
              <w:rPr>
                <w:rFonts w:hint="eastAsia" w:ascii="宋体" w:hAnsi="宋体" w:cs="宋体"/>
                <w:highlight w:val="none"/>
                <w:lang w:val="en-US" w:eastAsia="zh-CN"/>
              </w:rPr>
              <w:t>护理床</w:t>
            </w:r>
          </w:p>
        </w:tc>
        <w:tc>
          <w:tcPr>
            <w:tcW w:w="838" w:type="dxa"/>
            <w:tcBorders>
              <w:top w:val="single" w:color="auto" w:sz="4" w:space="0"/>
              <w:left w:val="single" w:color="auto" w:sz="4" w:space="0"/>
              <w:right w:val="single" w:color="auto" w:sz="4" w:space="0"/>
            </w:tcBorders>
            <w:noWrap w:val="0"/>
            <w:vAlign w:val="center"/>
          </w:tcPr>
          <w:p w14:paraId="0C9A4EA2">
            <w:pPr>
              <w:jc w:val="center"/>
              <w:rPr>
                <w:rFonts w:ascii="宋体" w:hAnsi="宋体"/>
                <w:szCs w:val="21"/>
                <w:highlight w:val="none"/>
              </w:rPr>
            </w:pPr>
            <w:r>
              <w:rPr>
                <w:rFonts w:hint="eastAsia" w:ascii="宋体" w:hAnsi="宋体"/>
                <w:szCs w:val="21"/>
                <w:highlight w:val="none"/>
                <w:lang w:val="en-US" w:eastAsia="zh-CN"/>
              </w:rPr>
              <w:t>5</w:t>
            </w:r>
            <w:r>
              <w:rPr>
                <w:rFonts w:hint="eastAsia" w:ascii="宋体" w:hAnsi="宋体"/>
                <w:szCs w:val="21"/>
                <w:highlight w:val="none"/>
              </w:rPr>
              <w:t>分</w:t>
            </w:r>
          </w:p>
        </w:tc>
        <w:tc>
          <w:tcPr>
            <w:tcW w:w="6734" w:type="dxa"/>
            <w:tcBorders>
              <w:top w:val="single" w:color="auto" w:sz="4" w:space="0"/>
              <w:left w:val="single" w:color="auto" w:sz="4" w:space="0"/>
              <w:right w:val="single" w:color="auto" w:sz="4" w:space="0"/>
            </w:tcBorders>
            <w:noWrap w:val="0"/>
            <w:vAlign w:val="center"/>
          </w:tcPr>
          <w:p w14:paraId="718203F1">
            <w:pPr>
              <w:spacing w:line="280" w:lineRule="exact"/>
              <w:rPr>
                <w:rFonts w:hint="eastAsia" w:ascii="宋体" w:hAnsi="宋体"/>
                <w:b w:val="0"/>
                <w:bCs w:val="0"/>
                <w:kern w:val="0"/>
                <w:szCs w:val="21"/>
                <w:highlight w:val="none"/>
              </w:rPr>
            </w:pPr>
            <w:r>
              <w:rPr>
                <w:rFonts w:hint="eastAsia" w:ascii="宋体" w:hAnsi="宋体" w:cs="宋体"/>
                <w:highlight w:val="none"/>
              </w:rPr>
              <w:t>根据所提供的</w:t>
            </w:r>
            <w:r>
              <w:rPr>
                <w:rFonts w:hint="eastAsia" w:ascii="宋体" w:hAnsi="宋体" w:cs="宋体"/>
                <w:highlight w:val="none"/>
                <w:lang w:val="en-US" w:eastAsia="zh-CN"/>
              </w:rPr>
              <w:t>护理床</w:t>
            </w:r>
            <w:r>
              <w:rPr>
                <w:rFonts w:hint="eastAsia" w:ascii="宋体" w:hAnsi="宋体"/>
                <w:szCs w:val="21"/>
                <w:highlight w:val="none"/>
              </w:rPr>
              <w:t>投标样品款式符合度、美观度、使用功能性、制作工艺</w:t>
            </w:r>
            <w:r>
              <w:rPr>
                <w:rFonts w:hint="eastAsia" w:ascii="宋体" w:hAnsi="宋体"/>
                <w:szCs w:val="21"/>
                <w:highlight w:val="none"/>
                <w:lang w:eastAsia="zh-CN"/>
              </w:rPr>
              <w:t>、</w:t>
            </w:r>
            <w:r>
              <w:rPr>
                <w:rFonts w:hint="eastAsia" w:ascii="宋体" w:hAnsi="宋体"/>
                <w:szCs w:val="21"/>
                <w:highlight w:val="none"/>
                <w:lang w:val="en-US" w:eastAsia="zh-CN"/>
              </w:rPr>
              <w:t>材料质量</w:t>
            </w:r>
            <w:r>
              <w:rPr>
                <w:rFonts w:hint="eastAsia" w:ascii="宋体" w:hAnsi="宋体"/>
                <w:szCs w:val="21"/>
                <w:highlight w:val="none"/>
              </w:rPr>
              <w:t>等</w:t>
            </w:r>
            <w:r>
              <w:rPr>
                <w:rFonts w:hint="eastAsia" w:ascii="宋体" w:hAnsi="宋体"/>
                <w:szCs w:val="21"/>
                <w:highlight w:val="none"/>
                <w:lang w:val="en-US" w:eastAsia="zh-CN"/>
              </w:rPr>
              <w:t>进行综合评分</w:t>
            </w:r>
            <w:r>
              <w:rPr>
                <w:rFonts w:hint="eastAsia" w:ascii="宋体" w:hAnsi="宋体"/>
                <w:szCs w:val="21"/>
                <w:highlight w:val="none"/>
                <w:lang w:eastAsia="zh-CN"/>
              </w:rPr>
              <w:t>：</w:t>
            </w:r>
          </w:p>
          <w:p w14:paraId="45C92901">
            <w:pPr>
              <w:spacing w:line="280" w:lineRule="exact"/>
              <w:rPr>
                <w:rFonts w:hint="eastAsia" w:ascii="宋体" w:hAnsi="宋体" w:cs="宋体"/>
                <w:highlight w:val="none"/>
              </w:rPr>
            </w:pPr>
            <w:r>
              <w:rPr>
                <w:rFonts w:hint="eastAsia" w:ascii="宋体" w:hAnsi="宋体" w:cs="宋体"/>
                <w:highlight w:val="none"/>
              </w:rPr>
              <w:t>产品制造工艺、外观、材质好，且性能、用材、安全性等优质的得</w:t>
            </w:r>
            <w:r>
              <w:rPr>
                <w:rFonts w:hint="eastAsia" w:ascii="宋体" w:hAnsi="宋体" w:cs="宋体"/>
                <w:highlight w:val="none"/>
                <w:lang w:val="en-US" w:eastAsia="zh-CN"/>
              </w:rPr>
              <w:t>5</w:t>
            </w:r>
            <w:r>
              <w:rPr>
                <w:rFonts w:hint="eastAsia" w:ascii="宋体" w:hAnsi="宋体" w:cs="宋体"/>
                <w:highlight w:val="none"/>
              </w:rPr>
              <w:t>分；</w:t>
            </w:r>
          </w:p>
          <w:p w14:paraId="0097447D">
            <w:pPr>
              <w:spacing w:line="280" w:lineRule="exact"/>
              <w:rPr>
                <w:rFonts w:hint="eastAsia" w:ascii="宋体" w:hAnsi="宋体" w:cs="宋体"/>
                <w:highlight w:val="none"/>
              </w:rPr>
            </w:pPr>
            <w:r>
              <w:rPr>
                <w:rFonts w:hint="eastAsia" w:ascii="宋体" w:hAnsi="宋体" w:cs="宋体"/>
                <w:highlight w:val="none"/>
              </w:rPr>
              <w:t>产品制造工艺、外观、材质较好，且性能、用材、安全性等良好的得</w:t>
            </w:r>
            <w:r>
              <w:rPr>
                <w:rFonts w:hint="eastAsia" w:ascii="宋体" w:hAnsi="宋体" w:cs="宋体"/>
                <w:highlight w:val="none"/>
                <w:lang w:val="en-US" w:eastAsia="zh-CN"/>
              </w:rPr>
              <w:t>3</w:t>
            </w:r>
            <w:r>
              <w:rPr>
                <w:rFonts w:hint="eastAsia" w:ascii="宋体" w:hAnsi="宋体" w:cs="宋体"/>
                <w:highlight w:val="none"/>
              </w:rPr>
              <w:t>分；</w:t>
            </w:r>
          </w:p>
          <w:p w14:paraId="75C343C8">
            <w:pPr>
              <w:spacing w:line="280" w:lineRule="exact"/>
              <w:rPr>
                <w:rFonts w:hint="eastAsia" w:ascii="宋体" w:hAnsi="宋体" w:cs="宋体"/>
                <w:highlight w:val="none"/>
              </w:rPr>
            </w:pPr>
            <w:r>
              <w:rPr>
                <w:rFonts w:hint="eastAsia" w:ascii="宋体" w:hAnsi="宋体" w:cs="宋体"/>
                <w:highlight w:val="none"/>
              </w:rPr>
              <w:t>产品制造工艺、外观、材质一般，且性能、用材、安全性等一般的得1分；</w:t>
            </w:r>
          </w:p>
          <w:p w14:paraId="51556B0E">
            <w:pPr>
              <w:spacing w:line="280" w:lineRule="exact"/>
              <w:rPr>
                <w:highlight w:val="none"/>
              </w:rPr>
            </w:pPr>
            <w:r>
              <w:rPr>
                <w:rFonts w:hint="eastAsia" w:ascii="宋体" w:hAnsi="宋体" w:cs="宋体"/>
                <w:highlight w:val="none"/>
                <w:lang w:val="en-US" w:eastAsia="zh-CN"/>
              </w:rPr>
              <w:t>差或</w:t>
            </w:r>
            <w:r>
              <w:rPr>
                <w:rFonts w:hint="eastAsia" w:ascii="宋体" w:hAnsi="宋体" w:cs="宋体"/>
                <w:highlight w:val="none"/>
              </w:rPr>
              <w:t>未提供的不得分。</w:t>
            </w:r>
          </w:p>
        </w:tc>
      </w:tr>
      <w:tr w14:paraId="52DD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61" w:type="dxa"/>
            <w:vMerge w:val="continue"/>
            <w:tcBorders>
              <w:left w:val="single" w:color="auto" w:sz="4" w:space="0"/>
              <w:right w:val="single" w:color="auto" w:sz="4" w:space="0"/>
            </w:tcBorders>
            <w:noWrap w:val="0"/>
            <w:vAlign w:val="center"/>
          </w:tcPr>
          <w:p w14:paraId="5536AC96">
            <w:pPr>
              <w:spacing w:before="240" w:after="60"/>
              <w:outlineLvl w:val="0"/>
              <w:rPr>
                <w:rFonts w:hint="eastAsia" w:ascii="宋体" w:hAnsi="宋体"/>
                <w:sz w:val="28"/>
                <w:szCs w:val="28"/>
                <w:highlight w:val="none"/>
              </w:rPr>
            </w:pPr>
          </w:p>
        </w:tc>
        <w:tc>
          <w:tcPr>
            <w:tcW w:w="1288" w:type="dxa"/>
            <w:tcBorders>
              <w:left w:val="single" w:color="auto" w:sz="4" w:space="0"/>
              <w:right w:val="single" w:color="auto" w:sz="4" w:space="0"/>
            </w:tcBorders>
            <w:noWrap w:val="0"/>
            <w:vAlign w:val="center"/>
          </w:tcPr>
          <w:p w14:paraId="4FCF879D">
            <w:pPr>
              <w:spacing w:before="1"/>
              <w:ind w:left="167" w:right="162"/>
              <w:jc w:val="center"/>
              <w:rPr>
                <w:rFonts w:hint="eastAsia" w:ascii="宋体" w:hAnsi="宋体" w:eastAsia="宋体" w:cs="宋体"/>
                <w:highlight w:val="none"/>
                <w:lang w:val="en-US" w:eastAsia="zh-CN"/>
              </w:rPr>
            </w:pPr>
            <w:r>
              <w:rPr>
                <w:rFonts w:hint="eastAsia" w:ascii="宋体" w:hAnsi="宋体" w:eastAsia="宋体" w:cs="宋体"/>
                <w:kern w:val="2"/>
                <w:sz w:val="21"/>
                <w:highlight w:val="none"/>
                <w:lang w:val="en-US" w:eastAsia="zh-CN" w:bidi="ar-SA"/>
              </w:rPr>
              <w:t>办公椅</w:t>
            </w:r>
          </w:p>
        </w:tc>
        <w:tc>
          <w:tcPr>
            <w:tcW w:w="838" w:type="dxa"/>
            <w:tcBorders>
              <w:top w:val="single" w:color="auto" w:sz="4" w:space="0"/>
              <w:left w:val="single" w:color="auto" w:sz="4" w:space="0"/>
              <w:right w:val="single" w:color="auto" w:sz="4" w:space="0"/>
            </w:tcBorders>
            <w:noWrap w:val="0"/>
            <w:vAlign w:val="center"/>
          </w:tcPr>
          <w:p w14:paraId="63D85BF2">
            <w:pPr>
              <w:jc w:val="center"/>
              <w:rPr>
                <w:rFonts w:hint="eastAsia" w:ascii="宋体" w:hAnsi="宋体"/>
                <w:szCs w:val="21"/>
                <w:highlight w:val="none"/>
              </w:rPr>
            </w:pPr>
            <w:r>
              <w:rPr>
                <w:rFonts w:hint="eastAsia" w:ascii="宋体" w:hAnsi="宋体"/>
                <w:szCs w:val="21"/>
                <w:highlight w:val="none"/>
              </w:rPr>
              <w:t>5分</w:t>
            </w:r>
          </w:p>
        </w:tc>
        <w:tc>
          <w:tcPr>
            <w:tcW w:w="6734" w:type="dxa"/>
            <w:tcBorders>
              <w:top w:val="single" w:color="auto" w:sz="4" w:space="0"/>
              <w:left w:val="single" w:color="auto" w:sz="4" w:space="0"/>
              <w:right w:val="single" w:color="auto" w:sz="4" w:space="0"/>
            </w:tcBorders>
            <w:noWrap w:val="0"/>
            <w:vAlign w:val="center"/>
          </w:tcPr>
          <w:p w14:paraId="7B79DED1">
            <w:pPr>
              <w:spacing w:line="280" w:lineRule="exact"/>
              <w:rPr>
                <w:rFonts w:hint="eastAsia" w:ascii="宋体" w:hAnsi="宋体"/>
                <w:b w:val="0"/>
                <w:bCs w:val="0"/>
                <w:kern w:val="0"/>
                <w:szCs w:val="21"/>
                <w:highlight w:val="none"/>
              </w:rPr>
            </w:pPr>
            <w:r>
              <w:rPr>
                <w:rFonts w:hint="eastAsia" w:ascii="宋体" w:hAnsi="宋体" w:cs="宋体"/>
                <w:highlight w:val="none"/>
              </w:rPr>
              <w:t>根据所提供的</w:t>
            </w:r>
            <w:r>
              <w:rPr>
                <w:rFonts w:hint="eastAsia" w:ascii="宋体" w:hAnsi="宋体" w:eastAsia="宋体" w:cs="宋体"/>
                <w:kern w:val="2"/>
                <w:sz w:val="21"/>
                <w:highlight w:val="none"/>
                <w:lang w:val="en-US" w:eastAsia="zh-CN" w:bidi="ar-SA"/>
              </w:rPr>
              <w:t>办公椅</w:t>
            </w:r>
            <w:r>
              <w:rPr>
                <w:rFonts w:hint="eastAsia" w:ascii="宋体" w:hAnsi="宋体"/>
                <w:szCs w:val="21"/>
                <w:highlight w:val="none"/>
              </w:rPr>
              <w:t>投标样品款式符合度、美观度、使用功能性、制作工艺</w:t>
            </w:r>
            <w:r>
              <w:rPr>
                <w:rFonts w:hint="eastAsia" w:ascii="宋体" w:hAnsi="宋体"/>
                <w:szCs w:val="21"/>
                <w:highlight w:val="none"/>
                <w:lang w:eastAsia="zh-CN"/>
              </w:rPr>
              <w:t>、</w:t>
            </w:r>
            <w:r>
              <w:rPr>
                <w:rFonts w:hint="eastAsia" w:ascii="宋体" w:hAnsi="宋体"/>
                <w:szCs w:val="21"/>
                <w:highlight w:val="none"/>
                <w:lang w:val="en-US" w:eastAsia="zh-CN"/>
              </w:rPr>
              <w:t>材料质量</w:t>
            </w:r>
            <w:r>
              <w:rPr>
                <w:rFonts w:hint="eastAsia" w:ascii="宋体" w:hAnsi="宋体"/>
                <w:szCs w:val="21"/>
                <w:highlight w:val="none"/>
              </w:rPr>
              <w:t>等</w:t>
            </w:r>
            <w:r>
              <w:rPr>
                <w:rFonts w:hint="eastAsia" w:ascii="宋体" w:hAnsi="宋体"/>
                <w:szCs w:val="21"/>
                <w:highlight w:val="none"/>
                <w:lang w:val="en-US" w:eastAsia="zh-CN"/>
              </w:rPr>
              <w:t>进行综合评分</w:t>
            </w:r>
            <w:r>
              <w:rPr>
                <w:rFonts w:hint="eastAsia" w:ascii="宋体" w:hAnsi="宋体"/>
                <w:szCs w:val="21"/>
                <w:highlight w:val="none"/>
                <w:lang w:eastAsia="zh-CN"/>
              </w:rPr>
              <w:t>：</w:t>
            </w:r>
          </w:p>
          <w:p w14:paraId="1A443216">
            <w:pPr>
              <w:spacing w:line="280" w:lineRule="exact"/>
              <w:rPr>
                <w:rFonts w:hint="eastAsia" w:ascii="宋体" w:hAnsi="宋体" w:cs="宋体"/>
                <w:highlight w:val="none"/>
              </w:rPr>
            </w:pPr>
            <w:r>
              <w:rPr>
                <w:rFonts w:hint="eastAsia" w:ascii="宋体" w:hAnsi="宋体" w:cs="宋体"/>
                <w:highlight w:val="none"/>
              </w:rPr>
              <w:t>产品制造工艺、外观、材质好，且性能、用材、安全性等优质的得5分；</w:t>
            </w:r>
          </w:p>
          <w:p w14:paraId="2681EBE1">
            <w:pPr>
              <w:spacing w:line="280" w:lineRule="exact"/>
              <w:rPr>
                <w:rFonts w:hint="eastAsia" w:ascii="宋体" w:hAnsi="宋体" w:cs="宋体"/>
                <w:highlight w:val="none"/>
              </w:rPr>
            </w:pPr>
            <w:r>
              <w:rPr>
                <w:rFonts w:hint="eastAsia" w:ascii="宋体" w:hAnsi="宋体" w:cs="宋体"/>
                <w:highlight w:val="none"/>
              </w:rPr>
              <w:t>产品制造工艺、外观、材质较好，且性能、用材、安全性等良好的得3分；</w:t>
            </w:r>
          </w:p>
          <w:p w14:paraId="4D8089F1">
            <w:pPr>
              <w:spacing w:line="280" w:lineRule="exact"/>
              <w:rPr>
                <w:rFonts w:hint="eastAsia" w:ascii="宋体" w:hAnsi="宋体" w:cs="宋体"/>
                <w:highlight w:val="none"/>
              </w:rPr>
            </w:pPr>
            <w:r>
              <w:rPr>
                <w:rFonts w:hint="eastAsia" w:ascii="宋体" w:hAnsi="宋体" w:cs="宋体"/>
                <w:highlight w:val="none"/>
              </w:rPr>
              <w:t>产品制造工艺、外观、材质一般，且性能、用材、安全性等一般的得1分；</w:t>
            </w:r>
          </w:p>
          <w:p w14:paraId="2B1750A1">
            <w:pPr>
              <w:spacing w:line="280" w:lineRule="exact"/>
              <w:rPr>
                <w:rFonts w:hint="eastAsia" w:ascii="宋体" w:hAnsi="宋体" w:cs="宋体"/>
                <w:highlight w:val="none"/>
              </w:rPr>
            </w:pPr>
            <w:r>
              <w:rPr>
                <w:rFonts w:hint="eastAsia" w:ascii="宋体" w:hAnsi="宋体" w:cs="宋体"/>
                <w:highlight w:val="none"/>
                <w:lang w:val="en-US" w:eastAsia="zh-CN"/>
              </w:rPr>
              <w:t>差或</w:t>
            </w:r>
            <w:r>
              <w:rPr>
                <w:rFonts w:hint="eastAsia" w:ascii="宋体" w:hAnsi="宋体" w:cs="宋体"/>
                <w:highlight w:val="none"/>
              </w:rPr>
              <w:t>未提供的不得分。</w:t>
            </w:r>
          </w:p>
        </w:tc>
      </w:tr>
      <w:tr w14:paraId="5306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61" w:type="dxa"/>
            <w:vMerge w:val="continue"/>
            <w:tcBorders>
              <w:left w:val="single" w:color="auto" w:sz="4" w:space="0"/>
              <w:right w:val="single" w:color="auto" w:sz="4" w:space="0"/>
            </w:tcBorders>
            <w:noWrap w:val="0"/>
            <w:vAlign w:val="center"/>
          </w:tcPr>
          <w:p w14:paraId="4C240FEF">
            <w:pPr>
              <w:spacing w:before="240" w:after="60"/>
              <w:outlineLvl w:val="0"/>
              <w:rPr>
                <w:rFonts w:hint="eastAsia" w:ascii="宋体" w:hAnsi="宋体"/>
                <w:sz w:val="28"/>
                <w:szCs w:val="28"/>
                <w:highlight w:val="none"/>
              </w:rPr>
            </w:pPr>
          </w:p>
        </w:tc>
        <w:tc>
          <w:tcPr>
            <w:tcW w:w="1288" w:type="dxa"/>
            <w:tcBorders>
              <w:left w:val="single" w:color="auto" w:sz="4" w:space="0"/>
              <w:right w:val="single" w:color="auto" w:sz="4" w:space="0"/>
            </w:tcBorders>
            <w:noWrap w:val="0"/>
            <w:vAlign w:val="center"/>
          </w:tcPr>
          <w:p w14:paraId="5513DC01">
            <w:pPr>
              <w:spacing w:before="1"/>
              <w:ind w:left="167" w:right="162"/>
              <w:jc w:val="center"/>
              <w:rPr>
                <w:rFonts w:hint="eastAsia" w:ascii="宋体" w:hAnsi="宋体" w:eastAsia="宋体" w:cs="宋体"/>
                <w:highlight w:val="none"/>
                <w:lang w:val="en-US" w:eastAsia="zh-CN"/>
              </w:rPr>
            </w:pPr>
            <w:r>
              <w:rPr>
                <w:rFonts w:hint="eastAsia" w:ascii="宋体" w:hAnsi="宋体" w:cs="宋体"/>
                <w:highlight w:val="none"/>
                <w:lang w:val="en-US" w:eastAsia="zh-CN"/>
              </w:rPr>
              <w:t>床头柜</w:t>
            </w:r>
          </w:p>
        </w:tc>
        <w:tc>
          <w:tcPr>
            <w:tcW w:w="838" w:type="dxa"/>
            <w:tcBorders>
              <w:top w:val="single" w:color="auto" w:sz="4" w:space="0"/>
              <w:left w:val="single" w:color="auto" w:sz="4" w:space="0"/>
              <w:bottom w:val="single" w:color="auto" w:sz="4" w:space="0"/>
              <w:right w:val="single" w:color="auto" w:sz="4" w:space="0"/>
            </w:tcBorders>
            <w:noWrap w:val="0"/>
            <w:vAlign w:val="center"/>
          </w:tcPr>
          <w:p w14:paraId="50C971FE">
            <w:pPr>
              <w:jc w:val="center"/>
              <w:rPr>
                <w:rFonts w:hint="eastAsia" w:ascii="宋体" w:hAnsi="宋体"/>
                <w:szCs w:val="21"/>
                <w:highlight w:val="none"/>
              </w:rPr>
            </w:pPr>
            <w:r>
              <w:rPr>
                <w:rFonts w:hint="eastAsia" w:ascii="宋体" w:hAnsi="宋体"/>
                <w:szCs w:val="21"/>
                <w:highlight w:val="none"/>
              </w:rPr>
              <w:t>5分</w:t>
            </w:r>
          </w:p>
        </w:tc>
        <w:tc>
          <w:tcPr>
            <w:tcW w:w="6734" w:type="dxa"/>
            <w:tcBorders>
              <w:top w:val="single" w:color="auto" w:sz="4" w:space="0"/>
              <w:left w:val="single" w:color="auto" w:sz="4" w:space="0"/>
              <w:bottom w:val="single" w:color="auto" w:sz="4" w:space="0"/>
              <w:right w:val="single" w:color="auto" w:sz="4" w:space="0"/>
            </w:tcBorders>
            <w:noWrap w:val="0"/>
            <w:vAlign w:val="center"/>
          </w:tcPr>
          <w:p w14:paraId="6375F7A4">
            <w:pPr>
              <w:spacing w:line="280" w:lineRule="exact"/>
              <w:rPr>
                <w:rFonts w:hint="eastAsia" w:ascii="宋体" w:hAnsi="宋体"/>
                <w:b w:val="0"/>
                <w:bCs w:val="0"/>
                <w:kern w:val="0"/>
                <w:szCs w:val="21"/>
                <w:highlight w:val="none"/>
              </w:rPr>
            </w:pPr>
            <w:r>
              <w:rPr>
                <w:rFonts w:hint="eastAsia" w:ascii="宋体" w:hAnsi="宋体" w:cs="宋体"/>
                <w:highlight w:val="none"/>
              </w:rPr>
              <w:t>根据所提供的</w:t>
            </w:r>
            <w:r>
              <w:rPr>
                <w:rFonts w:hint="eastAsia" w:ascii="宋体" w:hAnsi="宋体" w:cs="宋体"/>
                <w:highlight w:val="none"/>
                <w:lang w:val="en-US" w:eastAsia="zh-CN"/>
              </w:rPr>
              <w:t>床头柜</w:t>
            </w:r>
            <w:r>
              <w:rPr>
                <w:rFonts w:hint="eastAsia" w:ascii="宋体" w:hAnsi="宋体"/>
                <w:szCs w:val="21"/>
                <w:highlight w:val="none"/>
              </w:rPr>
              <w:t>投标样品款式符合度、美观度、使用功能性、制作工艺</w:t>
            </w:r>
            <w:r>
              <w:rPr>
                <w:rFonts w:hint="eastAsia" w:ascii="宋体" w:hAnsi="宋体"/>
                <w:szCs w:val="21"/>
                <w:highlight w:val="none"/>
                <w:lang w:eastAsia="zh-CN"/>
              </w:rPr>
              <w:t>、</w:t>
            </w:r>
            <w:r>
              <w:rPr>
                <w:rFonts w:hint="eastAsia" w:ascii="宋体" w:hAnsi="宋体"/>
                <w:szCs w:val="21"/>
                <w:highlight w:val="none"/>
                <w:lang w:val="en-US" w:eastAsia="zh-CN"/>
              </w:rPr>
              <w:t>材料质量</w:t>
            </w:r>
            <w:r>
              <w:rPr>
                <w:rFonts w:hint="eastAsia" w:ascii="宋体" w:hAnsi="宋体"/>
                <w:szCs w:val="21"/>
                <w:highlight w:val="none"/>
              </w:rPr>
              <w:t>等</w:t>
            </w:r>
            <w:r>
              <w:rPr>
                <w:rFonts w:hint="eastAsia" w:ascii="宋体" w:hAnsi="宋体"/>
                <w:szCs w:val="21"/>
                <w:highlight w:val="none"/>
                <w:lang w:val="en-US" w:eastAsia="zh-CN"/>
              </w:rPr>
              <w:t>进行综合评分</w:t>
            </w:r>
            <w:r>
              <w:rPr>
                <w:rFonts w:hint="eastAsia" w:ascii="宋体" w:hAnsi="宋体"/>
                <w:szCs w:val="21"/>
                <w:highlight w:val="none"/>
                <w:lang w:eastAsia="zh-CN"/>
              </w:rPr>
              <w:t>：</w:t>
            </w:r>
          </w:p>
          <w:p w14:paraId="5FCDECCA">
            <w:pPr>
              <w:spacing w:line="280" w:lineRule="exact"/>
              <w:rPr>
                <w:rFonts w:hint="eastAsia" w:ascii="宋体" w:hAnsi="宋体" w:cs="宋体"/>
                <w:highlight w:val="none"/>
              </w:rPr>
            </w:pPr>
            <w:r>
              <w:rPr>
                <w:rFonts w:hint="eastAsia" w:ascii="宋体" w:hAnsi="宋体" w:cs="宋体"/>
                <w:highlight w:val="none"/>
              </w:rPr>
              <w:t>产品制造工艺、外观、材质好，且性能、用材、安全性等优质的得5分；</w:t>
            </w:r>
          </w:p>
          <w:p w14:paraId="1F5538F8">
            <w:pPr>
              <w:spacing w:line="280" w:lineRule="exact"/>
              <w:rPr>
                <w:rFonts w:hint="eastAsia" w:ascii="宋体" w:hAnsi="宋体" w:cs="宋体"/>
                <w:highlight w:val="none"/>
              </w:rPr>
            </w:pPr>
            <w:r>
              <w:rPr>
                <w:rFonts w:hint="eastAsia" w:ascii="宋体" w:hAnsi="宋体" w:cs="宋体"/>
                <w:highlight w:val="none"/>
              </w:rPr>
              <w:t>产品制造工艺、外观、材质较好，且性能、用材、安全性等良好的得3分；</w:t>
            </w:r>
          </w:p>
          <w:p w14:paraId="0A97F919">
            <w:pPr>
              <w:spacing w:line="280" w:lineRule="exact"/>
              <w:rPr>
                <w:rFonts w:hint="eastAsia" w:ascii="宋体" w:hAnsi="宋体" w:cs="宋体"/>
                <w:highlight w:val="none"/>
              </w:rPr>
            </w:pPr>
            <w:r>
              <w:rPr>
                <w:rFonts w:hint="eastAsia" w:ascii="宋体" w:hAnsi="宋体" w:cs="宋体"/>
                <w:highlight w:val="none"/>
              </w:rPr>
              <w:t>产品制造工艺、外观、材质一般，且性能、用材、安全性等一般的得1分；</w:t>
            </w:r>
          </w:p>
          <w:p w14:paraId="5719D173">
            <w:pPr>
              <w:spacing w:line="280" w:lineRule="exact"/>
              <w:rPr>
                <w:rFonts w:hint="eastAsia" w:ascii="宋体" w:hAnsi="宋体" w:cs="宋体"/>
                <w:highlight w:val="none"/>
              </w:rPr>
            </w:pPr>
            <w:r>
              <w:rPr>
                <w:rFonts w:hint="eastAsia" w:ascii="宋体" w:hAnsi="宋体" w:cs="宋体"/>
                <w:highlight w:val="none"/>
                <w:lang w:val="en-US" w:eastAsia="zh-CN"/>
              </w:rPr>
              <w:t>差或</w:t>
            </w:r>
            <w:r>
              <w:rPr>
                <w:rFonts w:hint="eastAsia" w:ascii="宋体" w:hAnsi="宋体" w:cs="宋体"/>
                <w:highlight w:val="none"/>
              </w:rPr>
              <w:t>未提供的不得分。</w:t>
            </w:r>
          </w:p>
        </w:tc>
      </w:tr>
      <w:tr w14:paraId="5C65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661" w:type="dxa"/>
            <w:tcBorders>
              <w:left w:val="single" w:color="auto" w:sz="4" w:space="0"/>
              <w:right w:val="single" w:color="auto" w:sz="4" w:space="0"/>
            </w:tcBorders>
            <w:noWrap w:val="0"/>
            <w:vAlign w:val="center"/>
          </w:tcPr>
          <w:p w14:paraId="133BA508">
            <w:pPr>
              <w:spacing w:before="240" w:after="60"/>
              <w:outlineLvl w:val="0"/>
              <w:rPr>
                <w:rFonts w:hint="eastAsia" w:ascii="宋体" w:hAnsi="宋体"/>
                <w:sz w:val="28"/>
                <w:szCs w:val="28"/>
                <w:highlight w:val="none"/>
              </w:rPr>
            </w:pPr>
          </w:p>
        </w:tc>
        <w:tc>
          <w:tcPr>
            <w:tcW w:w="1288" w:type="dxa"/>
            <w:tcBorders>
              <w:left w:val="single" w:color="auto" w:sz="4" w:space="0"/>
              <w:right w:val="single" w:color="auto" w:sz="4" w:space="0"/>
            </w:tcBorders>
            <w:noWrap w:val="0"/>
            <w:vAlign w:val="center"/>
          </w:tcPr>
          <w:p w14:paraId="778DBC96">
            <w:pPr>
              <w:spacing w:before="1"/>
              <w:ind w:left="167" w:right="162"/>
              <w:jc w:val="center"/>
              <w:rPr>
                <w:rFonts w:hint="default" w:ascii="宋体" w:hAnsi="宋体" w:cs="宋体"/>
                <w:highlight w:val="none"/>
                <w:lang w:val="en-US" w:eastAsia="zh-CN"/>
              </w:rPr>
            </w:pPr>
            <w:r>
              <w:rPr>
                <w:rFonts w:hint="eastAsia" w:ascii="宋体" w:hAnsi="宋体" w:cs="宋体"/>
                <w:highlight w:val="none"/>
                <w:lang w:val="en-US" w:eastAsia="zh-CN"/>
              </w:rPr>
              <w:t>材料小样</w:t>
            </w:r>
          </w:p>
        </w:tc>
        <w:tc>
          <w:tcPr>
            <w:tcW w:w="838" w:type="dxa"/>
            <w:tcBorders>
              <w:top w:val="single" w:color="auto" w:sz="4" w:space="0"/>
              <w:left w:val="single" w:color="auto" w:sz="4" w:space="0"/>
              <w:right w:val="single" w:color="auto" w:sz="4" w:space="0"/>
            </w:tcBorders>
            <w:noWrap w:val="0"/>
            <w:vAlign w:val="center"/>
          </w:tcPr>
          <w:p w14:paraId="535CC58E">
            <w:pPr>
              <w:jc w:val="center"/>
              <w:rPr>
                <w:rFonts w:hint="default" w:ascii="宋体" w:hAnsi="宋体" w:eastAsia="宋体"/>
                <w:szCs w:val="21"/>
                <w:highlight w:val="none"/>
                <w:lang w:val="en-US" w:eastAsia="zh-CN"/>
              </w:rPr>
            </w:pPr>
            <w:r>
              <w:rPr>
                <w:rFonts w:hint="eastAsia" w:ascii="宋体" w:hAnsi="宋体"/>
                <w:szCs w:val="21"/>
                <w:highlight w:val="none"/>
                <w:lang w:val="en-US" w:eastAsia="zh-CN"/>
              </w:rPr>
              <w:t>5分</w:t>
            </w:r>
          </w:p>
        </w:tc>
        <w:tc>
          <w:tcPr>
            <w:tcW w:w="6734" w:type="dxa"/>
            <w:tcBorders>
              <w:top w:val="single" w:color="auto" w:sz="4" w:space="0"/>
              <w:left w:val="single" w:color="auto" w:sz="4" w:space="0"/>
              <w:right w:val="single" w:color="auto" w:sz="4" w:space="0"/>
            </w:tcBorders>
            <w:noWrap w:val="0"/>
            <w:vAlign w:val="center"/>
          </w:tcPr>
          <w:p w14:paraId="1513DC0D">
            <w:pPr>
              <w:spacing w:line="280" w:lineRule="exact"/>
              <w:rPr>
                <w:rFonts w:hint="eastAsia" w:ascii="宋体" w:hAnsi="宋体" w:cs="宋体"/>
                <w:highlight w:val="none"/>
                <w:lang w:val="en-US" w:eastAsia="zh-CN"/>
              </w:rPr>
            </w:pPr>
            <w:r>
              <w:rPr>
                <w:rFonts w:hint="eastAsia" w:ascii="宋体" w:hAnsi="宋体" w:eastAsia="宋体" w:cs="宋体"/>
                <w:highlight w:val="none"/>
                <w:lang w:val="en-US" w:eastAsia="zh-CN"/>
              </w:rPr>
              <w:t>小样</w:t>
            </w:r>
            <w:r>
              <w:rPr>
                <w:rFonts w:hint="eastAsia" w:ascii="宋体" w:hAnsi="宋体" w:eastAsia="宋体" w:cs="宋体"/>
                <w:highlight w:val="none"/>
              </w:rPr>
              <w:t>材料和五金件</w:t>
            </w:r>
            <w:r>
              <w:rPr>
                <w:rFonts w:hint="eastAsia" w:ascii="宋体" w:hAnsi="宋体" w:eastAsia="宋体" w:cs="宋体"/>
                <w:highlight w:val="none"/>
                <w:lang w:val="en-US" w:eastAsia="zh-CN"/>
              </w:rPr>
              <w:t>5</w:t>
            </w:r>
            <w:r>
              <w:rPr>
                <w:rFonts w:hint="eastAsia" w:ascii="宋体" w:hAnsi="宋体" w:eastAsia="宋体" w:cs="宋体"/>
                <w:highlight w:val="none"/>
              </w:rPr>
              <w:t>分：根据所</w:t>
            </w:r>
            <w:r>
              <w:rPr>
                <w:rFonts w:hint="eastAsia" w:ascii="宋体" w:hAnsi="宋体" w:eastAsia="宋体" w:cs="宋体"/>
                <w:highlight w:val="none"/>
                <w:lang w:val="en-US" w:eastAsia="zh-CN"/>
              </w:rPr>
              <w:t>投产品</w:t>
            </w:r>
            <w:r>
              <w:rPr>
                <w:rFonts w:hint="eastAsia" w:ascii="宋体" w:hAnsi="宋体" w:eastAsia="宋体" w:cs="宋体"/>
                <w:highlight w:val="none"/>
              </w:rPr>
              <w:t>的材料及五金件等反映的质量、品质、等级等综合评定。优得</w:t>
            </w:r>
            <w:r>
              <w:rPr>
                <w:rFonts w:hint="eastAsia" w:ascii="宋体" w:hAnsi="宋体" w:eastAsia="宋体" w:cs="宋体"/>
                <w:highlight w:val="none"/>
                <w:lang w:val="en-US" w:eastAsia="zh-CN"/>
              </w:rPr>
              <w:t>5</w:t>
            </w:r>
            <w:r>
              <w:rPr>
                <w:rFonts w:hint="eastAsia" w:ascii="宋体" w:hAnsi="宋体" w:eastAsia="宋体" w:cs="宋体"/>
                <w:highlight w:val="none"/>
              </w:rPr>
              <w:t>分，良得3分，差</w:t>
            </w:r>
            <w:r>
              <w:rPr>
                <w:rFonts w:hint="eastAsia" w:ascii="宋体" w:hAnsi="宋体" w:eastAsia="宋体" w:cs="宋体"/>
                <w:highlight w:val="none"/>
                <w:lang w:val="en-US" w:eastAsia="zh-CN"/>
              </w:rPr>
              <w:t>2</w:t>
            </w:r>
            <w:r>
              <w:rPr>
                <w:rFonts w:hint="eastAsia" w:ascii="宋体" w:hAnsi="宋体" w:eastAsia="宋体" w:cs="宋体"/>
                <w:highlight w:val="none"/>
              </w:rPr>
              <w:t>分以下。</w:t>
            </w:r>
          </w:p>
        </w:tc>
      </w:tr>
    </w:tbl>
    <w:p w14:paraId="2289E461">
      <w:pPr>
        <w:autoSpaceDE w:val="0"/>
        <w:autoSpaceDN w:val="0"/>
        <w:adjustRightInd w:val="0"/>
        <w:spacing w:line="360" w:lineRule="auto"/>
        <w:ind w:right="-341" w:firstLine="487" w:firstLineChars="202"/>
      </w:pPr>
      <w:r>
        <w:rPr>
          <w:rFonts w:hint="eastAsia" w:asciiTheme="minorEastAsia" w:hAnsiTheme="minorEastAsia" w:eastAsiaTheme="minorEastAsia" w:cstheme="minorEastAsia"/>
          <w:b/>
          <w:color w:val="auto"/>
          <w:sz w:val="24"/>
          <w:szCs w:val="21"/>
        </w:rPr>
        <w:t>注：合同、证书、报告及其他相关证明材料，将原件扫描上传至响应文件，并加盖电子印章，未盖章或者模糊不清均不得分。</w:t>
      </w:r>
    </w:p>
    <w:p w14:paraId="237B91AF">
      <w:pPr>
        <w:pStyle w:val="2"/>
        <w:pageBreakBefore/>
        <w:snapToGrid w:val="0"/>
        <w:spacing w:before="120" w:line="336" w:lineRule="auto"/>
        <w:jc w:val="center"/>
        <w:outlineLvl w:val="0"/>
        <w:rPr>
          <w:rFonts w:hint="eastAsia" w:ascii="黑体" w:hAnsi="宋体" w:eastAsia="黑体" w:cs="Times New Roman"/>
        </w:rPr>
      </w:pPr>
      <w:r>
        <w:rPr>
          <w:rFonts w:hint="eastAsia" w:ascii="黑体" w:hAnsi="宋体" w:eastAsia="黑体" w:cs="Times New Roman"/>
        </w:rPr>
        <w:t>第五章  合同主要条款</w:t>
      </w:r>
    </w:p>
    <w:p w14:paraId="6D2E0FE6">
      <w:pPr>
        <w:snapToGrid w:val="0"/>
        <w:spacing w:beforeLines="50" w:afterLines="50" w:line="360" w:lineRule="auto"/>
        <w:jc w:val="center"/>
        <w:rPr>
          <w:rFonts w:ascii="宋体" w:hAnsi="宋体"/>
          <w:b/>
          <w:color w:val="000000"/>
          <w:sz w:val="30"/>
          <w:szCs w:val="30"/>
        </w:rPr>
      </w:pPr>
      <w:r>
        <w:rPr>
          <w:rFonts w:hint="eastAsia" w:ascii="宋体" w:hAnsi="宋体"/>
          <w:b/>
          <w:color w:val="000000"/>
          <w:sz w:val="30"/>
          <w:szCs w:val="30"/>
        </w:rPr>
        <w:t>（具体条款以甲方为主协商确定）</w:t>
      </w:r>
    </w:p>
    <w:p w14:paraId="4E3D3714">
      <w:pPr>
        <w:spacing w:line="380" w:lineRule="exact"/>
        <w:ind w:firstLine="211" w:firstLineChars="100"/>
        <w:rPr>
          <w:rFonts w:ascii="宋体" w:hAnsi="宋体"/>
          <w:b/>
          <w:bCs/>
          <w:color w:val="0F1A0F"/>
          <w:szCs w:val="21"/>
        </w:rPr>
      </w:pPr>
      <w:r>
        <w:rPr>
          <w:rFonts w:hint="eastAsia" w:ascii="宋体" w:hAnsi="宋体"/>
          <w:b/>
          <w:bCs/>
          <w:color w:val="0F1A0F"/>
          <w:szCs w:val="21"/>
        </w:rPr>
        <w:t>项目名称：</w:t>
      </w:r>
    </w:p>
    <w:p w14:paraId="61416DB7">
      <w:pPr>
        <w:spacing w:line="380" w:lineRule="exact"/>
        <w:ind w:firstLine="211" w:firstLineChars="100"/>
        <w:rPr>
          <w:rFonts w:ascii="宋体" w:hAnsi="宋体"/>
          <w:b/>
          <w:bCs/>
          <w:color w:val="0F1A0F"/>
          <w:szCs w:val="21"/>
        </w:rPr>
      </w:pPr>
      <w:r>
        <w:rPr>
          <w:rFonts w:hint="eastAsia" w:ascii="宋体" w:hAnsi="宋体"/>
          <w:b/>
          <w:bCs/>
          <w:color w:val="0F1A0F"/>
          <w:szCs w:val="21"/>
        </w:rPr>
        <w:t xml:space="preserve">项目编号： </w:t>
      </w:r>
    </w:p>
    <w:p w14:paraId="465A0ADD">
      <w:pPr>
        <w:spacing w:line="380" w:lineRule="exact"/>
        <w:ind w:firstLine="211" w:firstLineChars="100"/>
        <w:rPr>
          <w:rFonts w:ascii="宋体" w:hAnsi="宋体"/>
          <w:color w:val="0F1A0F"/>
          <w:szCs w:val="21"/>
        </w:rPr>
      </w:pPr>
      <w:r>
        <w:rPr>
          <w:rFonts w:hint="eastAsia" w:ascii="宋体" w:hAnsi="宋体"/>
          <w:b/>
          <w:bCs/>
          <w:color w:val="0F1A0F"/>
          <w:szCs w:val="21"/>
        </w:rPr>
        <w:t>甲方</w:t>
      </w:r>
      <w:r>
        <w:rPr>
          <w:rFonts w:hint="eastAsia" w:ascii="宋体" w:hAnsi="宋体"/>
          <w:color w:val="0F1A0F"/>
          <w:szCs w:val="21"/>
        </w:rPr>
        <w:t>（采购人）：</w:t>
      </w:r>
    </w:p>
    <w:p w14:paraId="3C08E53E">
      <w:pPr>
        <w:spacing w:line="380" w:lineRule="exact"/>
        <w:ind w:firstLine="211" w:firstLineChars="100"/>
        <w:rPr>
          <w:rFonts w:ascii="宋体" w:hAnsi="宋体"/>
          <w:color w:val="0F1A0F"/>
          <w:szCs w:val="21"/>
        </w:rPr>
      </w:pPr>
      <w:r>
        <w:rPr>
          <w:rFonts w:hint="eastAsia" w:ascii="宋体" w:hAnsi="宋体"/>
          <w:b/>
          <w:bCs/>
          <w:color w:val="0F1A0F"/>
          <w:szCs w:val="21"/>
        </w:rPr>
        <w:t>乙方</w:t>
      </w:r>
      <w:r>
        <w:rPr>
          <w:rFonts w:hint="eastAsia" w:ascii="宋体" w:hAnsi="宋体"/>
          <w:color w:val="0F1A0F"/>
          <w:szCs w:val="21"/>
        </w:rPr>
        <w:t xml:space="preserve">（供应商）： </w:t>
      </w:r>
    </w:p>
    <w:p w14:paraId="37064855">
      <w:pPr>
        <w:adjustRightInd w:val="0"/>
        <w:snapToGrid w:val="0"/>
        <w:spacing w:beforeLines="50" w:afterLines="50" w:line="380" w:lineRule="exact"/>
        <w:ind w:firstLine="415" w:firstLineChars="198"/>
        <w:rPr>
          <w:rFonts w:asciiTheme="minorEastAsia" w:hAnsiTheme="minorEastAsia" w:eastAsiaTheme="minorEastAsia" w:cstheme="minorEastAsia"/>
          <w:b/>
          <w:snapToGrid w:val="0"/>
          <w:color w:val="0F1A0F"/>
          <w:kern w:val="0"/>
          <w:szCs w:val="21"/>
        </w:rPr>
      </w:pPr>
      <w:r>
        <w:rPr>
          <w:rFonts w:hint="eastAsia" w:asciiTheme="minorEastAsia" w:hAnsiTheme="minorEastAsia" w:eastAsiaTheme="minorEastAsia" w:cstheme="minorEastAsia"/>
          <w:snapToGrid w:val="0"/>
          <w:color w:val="0F1A0F"/>
          <w:kern w:val="0"/>
          <w:szCs w:val="21"/>
        </w:rPr>
        <w:t>甲、乙双方根据相关的招投标流程，按照</w:t>
      </w:r>
      <w:r>
        <w:rPr>
          <w:rFonts w:hint="eastAsia" w:asciiTheme="minorEastAsia" w:hAnsiTheme="minorEastAsia" w:eastAsiaTheme="minorEastAsia" w:cstheme="minorEastAsia"/>
          <w:snapToGrid w:val="0"/>
          <w:color w:val="0F1A0F"/>
          <w:kern w:val="0"/>
          <w:szCs w:val="21"/>
          <w:u w:val="single"/>
        </w:rPr>
        <w:t xml:space="preserve">         （项目名称）       </w:t>
      </w:r>
      <w:r>
        <w:rPr>
          <w:rFonts w:hint="eastAsia" w:asciiTheme="minorEastAsia" w:hAnsiTheme="minorEastAsia" w:eastAsiaTheme="minorEastAsia" w:cstheme="minorEastAsia"/>
          <w:snapToGrid w:val="0"/>
          <w:color w:val="0F1A0F"/>
          <w:kern w:val="0"/>
          <w:szCs w:val="21"/>
        </w:rPr>
        <w:t>的公开招标结果执行。乙方为</w:t>
      </w:r>
      <w:r>
        <w:rPr>
          <w:rFonts w:hint="eastAsia" w:asciiTheme="minorEastAsia" w:hAnsiTheme="minorEastAsia" w:eastAsiaTheme="minorEastAsia" w:cstheme="minorEastAsia"/>
          <w:snapToGrid w:val="0"/>
          <w:color w:val="0F1A0F"/>
          <w:kern w:val="0"/>
          <w:szCs w:val="21"/>
          <w:u w:val="single"/>
        </w:rPr>
        <w:t xml:space="preserve">         （项目名称）       </w:t>
      </w:r>
      <w:r>
        <w:rPr>
          <w:rFonts w:hint="eastAsia" w:asciiTheme="minorEastAsia" w:hAnsiTheme="minorEastAsia" w:eastAsiaTheme="minorEastAsia" w:cstheme="minorEastAsia"/>
          <w:snapToGrid w:val="0"/>
          <w:color w:val="0F1A0F"/>
          <w:kern w:val="0"/>
          <w:szCs w:val="21"/>
        </w:rPr>
        <w:t>公开招标的</w:t>
      </w:r>
      <w:r>
        <w:rPr>
          <w:rFonts w:hint="eastAsia" w:asciiTheme="minorEastAsia" w:hAnsiTheme="minorEastAsia" w:eastAsiaTheme="minorEastAsia" w:cstheme="minorEastAsia"/>
          <w:snapToGrid w:val="0"/>
          <w:color w:val="0F1A0F"/>
          <w:kern w:val="0"/>
          <w:szCs w:val="21"/>
          <w:u w:val="single"/>
        </w:rPr>
        <w:t xml:space="preserve"> 中标人</w:t>
      </w:r>
      <w:r>
        <w:rPr>
          <w:rFonts w:hint="eastAsia" w:asciiTheme="minorEastAsia" w:hAnsiTheme="minorEastAsia" w:eastAsiaTheme="minorEastAsia" w:cstheme="minorEastAsia"/>
          <w:snapToGrid w:val="0"/>
          <w:color w:val="0F1A0F"/>
          <w:kern w:val="0"/>
          <w:szCs w:val="21"/>
        </w:rPr>
        <w:t>，甲方为本项目的组织单位，组织招标和意向签订，故签署本意向书。</w:t>
      </w:r>
    </w:p>
    <w:p w14:paraId="46A802E3">
      <w:pPr>
        <w:pStyle w:val="2"/>
        <w:snapToGrid w:val="0"/>
        <w:spacing w:line="380" w:lineRule="exact"/>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一、服务内容：</w:t>
      </w:r>
    </w:p>
    <w:tbl>
      <w:tblPr>
        <w:tblStyle w:val="28"/>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1494"/>
        <w:gridCol w:w="1494"/>
        <w:gridCol w:w="1494"/>
        <w:gridCol w:w="1495"/>
        <w:gridCol w:w="1093"/>
      </w:tblGrid>
      <w:tr w14:paraId="4ECB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trPr>
        <w:tc>
          <w:tcPr>
            <w:tcW w:w="2668" w:type="dxa"/>
            <w:tcBorders>
              <w:top w:val="single" w:color="auto" w:sz="4" w:space="0"/>
              <w:left w:val="single" w:color="auto" w:sz="4" w:space="0"/>
              <w:bottom w:val="single" w:color="auto" w:sz="4" w:space="0"/>
              <w:right w:val="single" w:color="auto" w:sz="4" w:space="0"/>
            </w:tcBorders>
            <w:vAlign w:val="center"/>
          </w:tcPr>
          <w:p w14:paraId="5C9F60BD">
            <w:pPr>
              <w:spacing w:line="360" w:lineRule="auto"/>
              <w:jc w:val="center"/>
              <w:rPr>
                <w:rFonts w:ascii="宋体" w:hAnsi="宋体"/>
                <w:b/>
                <w:szCs w:val="21"/>
              </w:rPr>
            </w:pPr>
            <w:r>
              <w:rPr>
                <w:rFonts w:hint="eastAsia" w:ascii="宋体" w:hAnsi="宋体"/>
                <w:bCs/>
                <w:szCs w:val="21"/>
              </w:rPr>
              <w:t>采购</w:t>
            </w:r>
          </w:p>
        </w:tc>
        <w:tc>
          <w:tcPr>
            <w:tcW w:w="1494" w:type="dxa"/>
            <w:tcBorders>
              <w:top w:val="single" w:color="auto" w:sz="4" w:space="0"/>
              <w:left w:val="single" w:color="auto" w:sz="4" w:space="0"/>
              <w:bottom w:val="single" w:color="auto" w:sz="4" w:space="0"/>
              <w:right w:val="single" w:color="auto" w:sz="4" w:space="0"/>
            </w:tcBorders>
            <w:vAlign w:val="center"/>
          </w:tcPr>
          <w:p w14:paraId="4B49E370">
            <w:pPr>
              <w:spacing w:line="360" w:lineRule="auto"/>
              <w:jc w:val="center"/>
              <w:rPr>
                <w:rFonts w:ascii="宋体" w:hAnsi="宋体" w:cs="宋体"/>
                <w:spacing w:val="4"/>
                <w:szCs w:val="21"/>
              </w:rPr>
            </w:pPr>
            <w:r>
              <w:rPr>
                <w:rFonts w:hint="eastAsia" w:ascii="宋体" w:hAnsi="宋体" w:cs="宋体"/>
                <w:spacing w:val="4"/>
                <w:szCs w:val="21"/>
              </w:rPr>
              <w:t>品牌</w:t>
            </w:r>
          </w:p>
          <w:p w14:paraId="471AEC31">
            <w:pPr>
              <w:spacing w:line="360" w:lineRule="auto"/>
              <w:jc w:val="center"/>
              <w:rPr>
                <w:rFonts w:ascii="宋体" w:hAnsi="宋体"/>
                <w:szCs w:val="21"/>
              </w:rPr>
            </w:pPr>
            <w:r>
              <w:rPr>
                <w:rFonts w:hint="eastAsia" w:ascii="宋体" w:hAnsi="宋体"/>
                <w:spacing w:val="4"/>
                <w:szCs w:val="21"/>
              </w:rPr>
              <w:t>技术参数</w:t>
            </w:r>
          </w:p>
        </w:tc>
        <w:tc>
          <w:tcPr>
            <w:tcW w:w="1494" w:type="dxa"/>
            <w:tcBorders>
              <w:top w:val="single" w:color="auto" w:sz="4" w:space="0"/>
              <w:left w:val="single" w:color="auto" w:sz="4" w:space="0"/>
              <w:bottom w:val="single" w:color="auto" w:sz="4" w:space="0"/>
              <w:right w:val="single" w:color="auto" w:sz="4" w:space="0"/>
            </w:tcBorders>
            <w:vAlign w:val="center"/>
          </w:tcPr>
          <w:p w14:paraId="24BEFF54">
            <w:pPr>
              <w:spacing w:line="360" w:lineRule="auto"/>
              <w:jc w:val="center"/>
              <w:rPr>
                <w:rFonts w:ascii="宋体" w:hAnsi="宋体"/>
                <w:szCs w:val="21"/>
              </w:rPr>
            </w:pPr>
            <w:r>
              <w:rPr>
                <w:rFonts w:hint="eastAsia" w:ascii="宋体" w:hAnsi="宋体"/>
                <w:szCs w:val="21"/>
              </w:rPr>
              <w:t>数量单位</w:t>
            </w:r>
          </w:p>
        </w:tc>
        <w:tc>
          <w:tcPr>
            <w:tcW w:w="1494" w:type="dxa"/>
            <w:tcBorders>
              <w:top w:val="single" w:color="auto" w:sz="4" w:space="0"/>
              <w:left w:val="single" w:color="auto" w:sz="4" w:space="0"/>
              <w:bottom w:val="single" w:color="auto" w:sz="4" w:space="0"/>
              <w:right w:val="single" w:color="auto" w:sz="4" w:space="0"/>
            </w:tcBorders>
            <w:vAlign w:val="center"/>
          </w:tcPr>
          <w:p w14:paraId="3BDFA5C0">
            <w:pPr>
              <w:spacing w:line="360" w:lineRule="auto"/>
              <w:jc w:val="center"/>
              <w:rPr>
                <w:rFonts w:ascii="宋体" w:hAnsi="宋体"/>
                <w:szCs w:val="21"/>
              </w:rPr>
            </w:pPr>
            <w:r>
              <w:rPr>
                <w:rFonts w:hint="eastAsia" w:ascii="宋体" w:hAnsi="宋体"/>
                <w:szCs w:val="21"/>
              </w:rPr>
              <w:t>单价（元）</w:t>
            </w:r>
          </w:p>
        </w:tc>
        <w:tc>
          <w:tcPr>
            <w:tcW w:w="1495" w:type="dxa"/>
            <w:tcBorders>
              <w:top w:val="single" w:color="auto" w:sz="4" w:space="0"/>
              <w:left w:val="single" w:color="auto" w:sz="4" w:space="0"/>
              <w:bottom w:val="single" w:color="auto" w:sz="4" w:space="0"/>
              <w:right w:val="single" w:color="auto" w:sz="4" w:space="0"/>
            </w:tcBorders>
            <w:vAlign w:val="center"/>
          </w:tcPr>
          <w:p w14:paraId="36DD2796">
            <w:pPr>
              <w:spacing w:line="360" w:lineRule="auto"/>
              <w:jc w:val="center"/>
              <w:rPr>
                <w:rFonts w:ascii="宋体" w:hAnsi="宋体"/>
                <w:szCs w:val="21"/>
              </w:rPr>
            </w:pPr>
            <w:r>
              <w:rPr>
                <w:rFonts w:hint="eastAsia" w:ascii="宋体" w:hAnsi="宋体"/>
                <w:szCs w:val="21"/>
              </w:rPr>
              <w:t>总价（元）</w:t>
            </w:r>
          </w:p>
        </w:tc>
        <w:tc>
          <w:tcPr>
            <w:tcW w:w="1093" w:type="dxa"/>
            <w:tcBorders>
              <w:top w:val="single" w:color="auto" w:sz="4" w:space="0"/>
              <w:left w:val="single" w:color="auto" w:sz="4" w:space="0"/>
              <w:bottom w:val="single" w:color="auto" w:sz="4" w:space="0"/>
              <w:right w:val="single" w:color="auto" w:sz="4" w:space="0"/>
            </w:tcBorders>
            <w:vAlign w:val="center"/>
          </w:tcPr>
          <w:p w14:paraId="0E0B7A06">
            <w:pPr>
              <w:spacing w:line="360" w:lineRule="auto"/>
              <w:jc w:val="center"/>
              <w:rPr>
                <w:rFonts w:ascii="宋体" w:hAnsi="宋体"/>
                <w:szCs w:val="21"/>
              </w:rPr>
            </w:pPr>
            <w:r>
              <w:rPr>
                <w:rFonts w:hint="eastAsia" w:ascii="宋体" w:hAnsi="宋体"/>
                <w:szCs w:val="21"/>
              </w:rPr>
              <w:t>免费保修</w:t>
            </w:r>
          </w:p>
        </w:tc>
      </w:tr>
      <w:tr w14:paraId="5F0C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2668" w:type="dxa"/>
            <w:tcBorders>
              <w:top w:val="single" w:color="auto" w:sz="4" w:space="0"/>
              <w:left w:val="single" w:color="auto" w:sz="4" w:space="0"/>
              <w:bottom w:val="single" w:color="auto" w:sz="4" w:space="0"/>
              <w:right w:val="single" w:color="auto" w:sz="4" w:space="0"/>
            </w:tcBorders>
            <w:vAlign w:val="center"/>
          </w:tcPr>
          <w:p w14:paraId="6A6F7891">
            <w:pPr>
              <w:spacing w:line="360" w:lineRule="auto"/>
              <w:jc w:val="center"/>
              <w:rPr>
                <w:rFonts w:ascii="宋体" w:hAnsi="宋体"/>
                <w:b/>
                <w:szCs w:val="21"/>
              </w:rPr>
            </w:pPr>
          </w:p>
        </w:tc>
        <w:tc>
          <w:tcPr>
            <w:tcW w:w="1494" w:type="dxa"/>
            <w:tcBorders>
              <w:top w:val="single" w:color="auto" w:sz="4" w:space="0"/>
              <w:left w:val="single" w:color="auto" w:sz="4" w:space="0"/>
              <w:bottom w:val="single" w:color="auto" w:sz="4" w:space="0"/>
              <w:right w:val="single" w:color="auto" w:sz="4" w:space="0"/>
            </w:tcBorders>
            <w:vAlign w:val="center"/>
          </w:tcPr>
          <w:p w14:paraId="4642ECA8">
            <w:pPr>
              <w:spacing w:line="360" w:lineRule="auto"/>
              <w:jc w:val="center"/>
              <w:rPr>
                <w:rFonts w:ascii="宋体" w:hAnsi="宋体"/>
                <w:b/>
                <w:szCs w:val="21"/>
              </w:rPr>
            </w:pPr>
          </w:p>
        </w:tc>
        <w:tc>
          <w:tcPr>
            <w:tcW w:w="1494" w:type="dxa"/>
            <w:tcBorders>
              <w:top w:val="single" w:color="auto" w:sz="4" w:space="0"/>
              <w:left w:val="single" w:color="auto" w:sz="4" w:space="0"/>
              <w:bottom w:val="single" w:color="auto" w:sz="4" w:space="0"/>
              <w:right w:val="single" w:color="auto" w:sz="4" w:space="0"/>
            </w:tcBorders>
            <w:vAlign w:val="center"/>
          </w:tcPr>
          <w:p w14:paraId="735911E9">
            <w:pPr>
              <w:spacing w:line="360" w:lineRule="auto"/>
              <w:jc w:val="center"/>
              <w:rPr>
                <w:rFonts w:ascii="宋体" w:hAnsi="宋体"/>
                <w:b/>
                <w:szCs w:val="21"/>
              </w:rPr>
            </w:pPr>
          </w:p>
        </w:tc>
        <w:tc>
          <w:tcPr>
            <w:tcW w:w="1494" w:type="dxa"/>
            <w:tcBorders>
              <w:top w:val="single" w:color="auto" w:sz="4" w:space="0"/>
              <w:left w:val="single" w:color="auto" w:sz="4" w:space="0"/>
              <w:bottom w:val="single" w:color="auto" w:sz="4" w:space="0"/>
              <w:right w:val="single" w:color="auto" w:sz="4" w:space="0"/>
            </w:tcBorders>
            <w:vAlign w:val="center"/>
          </w:tcPr>
          <w:p w14:paraId="050A9819">
            <w:pPr>
              <w:spacing w:line="360" w:lineRule="auto"/>
              <w:jc w:val="center"/>
              <w:rPr>
                <w:rFonts w:ascii="宋体" w:hAnsi="宋体"/>
                <w:b/>
                <w:szCs w:val="21"/>
              </w:rPr>
            </w:pPr>
          </w:p>
        </w:tc>
        <w:tc>
          <w:tcPr>
            <w:tcW w:w="1495" w:type="dxa"/>
            <w:tcBorders>
              <w:top w:val="single" w:color="auto" w:sz="4" w:space="0"/>
              <w:left w:val="single" w:color="auto" w:sz="4" w:space="0"/>
              <w:bottom w:val="single" w:color="auto" w:sz="4" w:space="0"/>
              <w:right w:val="single" w:color="auto" w:sz="4" w:space="0"/>
            </w:tcBorders>
            <w:vAlign w:val="center"/>
          </w:tcPr>
          <w:p w14:paraId="3501746C">
            <w:pPr>
              <w:spacing w:line="360" w:lineRule="auto"/>
              <w:jc w:val="center"/>
              <w:rPr>
                <w:rFonts w:ascii="宋体" w:hAnsi="宋体"/>
                <w:b/>
                <w:szCs w:val="21"/>
              </w:rPr>
            </w:pPr>
          </w:p>
        </w:tc>
        <w:tc>
          <w:tcPr>
            <w:tcW w:w="1093" w:type="dxa"/>
            <w:tcBorders>
              <w:top w:val="single" w:color="auto" w:sz="4" w:space="0"/>
              <w:left w:val="single" w:color="auto" w:sz="4" w:space="0"/>
              <w:bottom w:val="single" w:color="auto" w:sz="4" w:space="0"/>
              <w:right w:val="single" w:color="auto" w:sz="4" w:space="0"/>
            </w:tcBorders>
          </w:tcPr>
          <w:p w14:paraId="33B2923F">
            <w:pPr>
              <w:spacing w:line="360" w:lineRule="auto"/>
              <w:jc w:val="center"/>
              <w:rPr>
                <w:rFonts w:ascii="宋体" w:hAnsi="宋体"/>
                <w:b/>
                <w:szCs w:val="21"/>
              </w:rPr>
            </w:pPr>
          </w:p>
        </w:tc>
      </w:tr>
      <w:tr w14:paraId="5B4F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2668" w:type="dxa"/>
            <w:tcBorders>
              <w:top w:val="single" w:color="auto" w:sz="4" w:space="0"/>
              <w:left w:val="single" w:color="auto" w:sz="4" w:space="0"/>
              <w:bottom w:val="single" w:color="auto" w:sz="4" w:space="0"/>
              <w:right w:val="single" w:color="auto" w:sz="4" w:space="0"/>
            </w:tcBorders>
            <w:vAlign w:val="center"/>
          </w:tcPr>
          <w:p w14:paraId="1E96B7A2">
            <w:pPr>
              <w:spacing w:line="360" w:lineRule="auto"/>
              <w:jc w:val="center"/>
              <w:rPr>
                <w:rFonts w:ascii="宋体" w:hAnsi="宋体"/>
                <w:b/>
                <w:szCs w:val="21"/>
              </w:rPr>
            </w:pPr>
          </w:p>
        </w:tc>
        <w:tc>
          <w:tcPr>
            <w:tcW w:w="1494" w:type="dxa"/>
            <w:tcBorders>
              <w:top w:val="single" w:color="auto" w:sz="4" w:space="0"/>
              <w:left w:val="single" w:color="auto" w:sz="4" w:space="0"/>
              <w:bottom w:val="single" w:color="auto" w:sz="4" w:space="0"/>
              <w:right w:val="single" w:color="auto" w:sz="4" w:space="0"/>
            </w:tcBorders>
            <w:vAlign w:val="center"/>
          </w:tcPr>
          <w:p w14:paraId="61C269BE">
            <w:pPr>
              <w:spacing w:line="360" w:lineRule="auto"/>
              <w:jc w:val="center"/>
              <w:rPr>
                <w:rFonts w:ascii="宋体" w:hAnsi="宋体"/>
                <w:b/>
                <w:szCs w:val="21"/>
              </w:rPr>
            </w:pPr>
          </w:p>
        </w:tc>
        <w:tc>
          <w:tcPr>
            <w:tcW w:w="1494" w:type="dxa"/>
            <w:tcBorders>
              <w:top w:val="single" w:color="auto" w:sz="4" w:space="0"/>
              <w:left w:val="single" w:color="auto" w:sz="4" w:space="0"/>
              <w:bottom w:val="single" w:color="auto" w:sz="4" w:space="0"/>
              <w:right w:val="single" w:color="auto" w:sz="4" w:space="0"/>
            </w:tcBorders>
            <w:vAlign w:val="center"/>
          </w:tcPr>
          <w:p w14:paraId="647B690C">
            <w:pPr>
              <w:spacing w:line="360" w:lineRule="auto"/>
              <w:jc w:val="center"/>
              <w:rPr>
                <w:rFonts w:ascii="宋体" w:hAnsi="宋体"/>
                <w:b/>
                <w:szCs w:val="21"/>
              </w:rPr>
            </w:pPr>
          </w:p>
        </w:tc>
        <w:tc>
          <w:tcPr>
            <w:tcW w:w="1494" w:type="dxa"/>
            <w:tcBorders>
              <w:top w:val="single" w:color="auto" w:sz="4" w:space="0"/>
              <w:left w:val="single" w:color="auto" w:sz="4" w:space="0"/>
              <w:bottom w:val="single" w:color="auto" w:sz="4" w:space="0"/>
              <w:right w:val="single" w:color="auto" w:sz="4" w:space="0"/>
            </w:tcBorders>
            <w:vAlign w:val="center"/>
          </w:tcPr>
          <w:p w14:paraId="0E444B6C">
            <w:pPr>
              <w:spacing w:line="360" w:lineRule="auto"/>
              <w:jc w:val="center"/>
              <w:rPr>
                <w:rFonts w:ascii="宋体" w:hAnsi="宋体"/>
                <w:b/>
                <w:szCs w:val="21"/>
              </w:rPr>
            </w:pPr>
          </w:p>
        </w:tc>
        <w:tc>
          <w:tcPr>
            <w:tcW w:w="1495" w:type="dxa"/>
            <w:tcBorders>
              <w:top w:val="single" w:color="auto" w:sz="4" w:space="0"/>
              <w:left w:val="single" w:color="auto" w:sz="4" w:space="0"/>
              <w:bottom w:val="single" w:color="auto" w:sz="4" w:space="0"/>
              <w:right w:val="single" w:color="auto" w:sz="4" w:space="0"/>
            </w:tcBorders>
            <w:vAlign w:val="center"/>
          </w:tcPr>
          <w:p w14:paraId="256E6D11">
            <w:pPr>
              <w:spacing w:line="360" w:lineRule="auto"/>
              <w:jc w:val="center"/>
              <w:rPr>
                <w:rFonts w:ascii="宋体" w:hAnsi="宋体"/>
                <w:b/>
                <w:szCs w:val="21"/>
              </w:rPr>
            </w:pPr>
          </w:p>
        </w:tc>
        <w:tc>
          <w:tcPr>
            <w:tcW w:w="1093" w:type="dxa"/>
            <w:tcBorders>
              <w:top w:val="single" w:color="auto" w:sz="4" w:space="0"/>
              <w:left w:val="single" w:color="auto" w:sz="4" w:space="0"/>
              <w:bottom w:val="single" w:color="auto" w:sz="4" w:space="0"/>
              <w:right w:val="single" w:color="auto" w:sz="4" w:space="0"/>
            </w:tcBorders>
          </w:tcPr>
          <w:p w14:paraId="5A278939">
            <w:pPr>
              <w:spacing w:line="360" w:lineRule="auto"/>
              <w:jc w:val="center"/>
              <w:rPr>
                <w:rFonts w:ascii="宋体" w:hAnsi="宋体"/>
                <w:b/>
                <w:szCs w:val="21"/>
              </w:rPr>
            </w:pPr>
          </w:p>
        </w:tc>
      </w:tr>
      <w:tr w14:paraId="235C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2668" w:type="dxa"/>
            <w:tcBorders>
              <w:top w:val="single" w:color="auto" w:sz="4" w:space="0"/>
              <w:left w:val="single" w:color="auto" w:sz="4" w:space="0"/>
              <w:bottom w:val="single" w:color="auto" w:sz="4" w:space="0"/>
              <w:right w:val="single" w:color="auto" w:sz="4" w:space="0"/>
            </w:tcBorders>
            <w:vAlign w:val="center"/>
          </w:tcPr>
          <w:p w14:paraId="5A158016">
            <w:pPr>
              <w:spacing w:line="360" w:lineRule="auto"/>
              <w:jc w:val="center"/>
              <w:rPr>
                <w:rFonts w:ascii="宋体" w:hAnsi="宋体"/>
                <w:b/>
                <w:szCs w:val="21"/>
              </w:rPr>
            </w:pPr>
          </w:p>
        </w:tc>
        <w:tc>
          <w:tcPr>
            <w:tcW w:w="1494" w:type="dxa"/>
            <w:tcBorders>
              <w:top w:val="single" w:color="auto" w:sz="4" w:space="0"/>
              <w:left w:val="single" w:color="auto" w:sz="4" w:space="0"/>
              <w:bottom w:val="single" w:color="auto" w:sz="4" w:space="0"/>
              <w:right w:val="single" w:color="auto" w:sz="4" w:space="0"/>
            </w:tcBorders>
            <w:vAlign w:val="center"/>
          </w:tcPr>
          <w:p w14:paraId="58CA74E8">
            <w:pPr>
              <w:spacing w:line="360" w:lineRule="auto"/>
              <w:jc w:val="center"/>
              <w:rPr>
                <w:rFonts w:ascii="宋体" w:hAnsi="宋体"/>
                <w:b/>
                <w:szCs w:val="21"/>
              </w:rPr>
            </w:pPr>
          </w:p>
        </w:tc>
        <w:tc>
          <w:tcPr>
            <w:tcW w:w="1494" w:type="dxa"/>
            <w:tcBorders>
              <w:top w:val="single" w:color="auto" w:sz="4" w:space="0"/>
              <w:left w:val="single" w:color="auto" w:sz="4" w:space="0"/>
              <w:bottom w:val="single" w:color="auto" w:sz="4" w:space="0"/>
              <w:right w:val="single" w:color="auto" w:sz="4" w:space="0"/>
            </w:tcBorders>
            <w:vAlign w:val="center"/>
          </w:tcPr>
          <w:p w14:paraId="5F79EC39">
            <w:pPr>
              <w:spacing w:line="360" w:lineRule="auto"/>
              <w:jc w:val="center"/>
              <w:rPr>
                <w:rFonts w:ascii="宋体" w:hAnsi="宋体"/>
                <w:b/>
                <w:szCs w:val="21"/>
              </w:rPr>
            </w:pPr>
          </w:p>
        </w:tc>
        <w:tc>
          <w:tcPr>
            <w:tcW w:w="1494" w:type="dxa"/>
            <w:tcBorders>
              <w:top w:val="single" w:color="auto" w:sz="4" w:space="0"/>
              <w:left w:val="single" w:color="auto" w:sz="4" w:space="0"/>
              <w:bottom w:val="single" w:color="auto" w:sz="4" w:space="0"/>
              <w:right w:val="single" w:color="auto" w:sz="4" w:space="0"/>
            </w:tcBorders>
            <w:vAlign w:val="center"/>
          </w:tcPr>
          <w:p w14:paraId="5A89C636">
            <w:pPr>
              <w:spacing w:line="360" w:lineRule="auto"/>
              <w:jc w:val="center"/>
              <w:rPr>
                <w:rFonts w:ascii="宋体" w:hAnsi="宋体"/>
                <w:b/>
                <w:szCs w:val="21"/>
              </w:rPr>
            </w:pPr>
          </w:p>
        </w:tc>
        <w:tc>
          <w:tcPr>
            <w:tcW w:w="1495" w:type="dxa"/>
            <w:tcBorders>
              <w:top w:val="single" w:color="auto" w:sz="4" w:space="0"/>
              <w:left w:val="single" w:color="auto" w:sz="4" w:space="0"/>
              <w:bottom w:val="single" w:color="auto" w:sz="4" w:space="0"/>
              <w:right w:val="single" w:color="auto" w:sz="4" w:space="0"/>
            </w:tcBorders>
            <w:vAlign w:val="center"/>
          </w:tcPr>
          <w:p w14:paraId="2EB6D9EC">
            <w:pPr>
              <w:spacing w:line="360" w:lineRule="auto"/>
              <w:jc w:val="center"/>
              <w:rPr>
                <w:rFonts w:ascii="宋体" w:hAnsi="宋体"/>
                <w:b/>
                <w:szCs w:val="21"/>
              </w:rPr>
            </w:pPr>
          </w:p>
        </w:tc>
        <w:tc>
          <w:tcPr>
            <w:tcW w:w="1093" w:type="dxa"/>
            <w:tcBorders>
              <w:top w:val="single" w:color="auto" w:sz="4" w:space="0"/>
              <w:left w:val="single" w:color="auto" w:sz="4" w:space="0"/>
              <w:bottom w:val="single" w:color="auto" w:sz="4" w:space="0"/>
              <w:right w:val="single" w:color="auto" w:sz="4" w:space="0"/>
            </w:tcBorders>
          </w:tcPr>
          <w:p w14:paraId="560C364A">
            <w:pPr>
              <w:spacing w:line="360" w:lineRule="auto"/>
              <w:jc w:val="center"/>
              <w:rPr>
                <w:rFonts w:ascii="宋体" w:hAnsi="宋体"/>
                <w:b/>
                <w:szCs w:val="21"/>
              </w:rPr>
            </w:pPr>
          </w:p>
        </w:tc>
      </w:tr>
      <w:tr w14:paraId="40908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9738" w:type="dxa"/>
            <w:gridSpan w:val="6"/>
            <w:tcBorders>
              <w:top w:val="single" w:color="auto" w:sz="4" w:space="0"/>
              <w:left w:val="single" w:color="auto" w:sz="4" w:space="0"/>
              <w:bottom w:val="single" w:color="auto" w:sz="4" w:space="0"/>
              <w:right w:val="single" w:color="auto" w:sz="4" w:space="0"/>
            </w:tcBorders>
            <w:vAlign w:val="center"/>
          </w:tcPr>
          <w:p w14:paraId="0080DCAD">
            <w:pPr>
              <w:spacing w:line="360" w:lineRule="auto"/>
              <w:rPr>
                <w:rFonts w:ascii="宋体" w:hAnsi="宋体"/>
                <w:b/>
                <w:szCs w:val="21"/>
              </w:rPr>
            </w:pPr>
            <w:r>
              <w:rPr>
                <w:rFonts w:hint="eastAsia" w:ascii="宋体" w:hAnsi="宋体"/>
                <w:b/>
                <w:szCs w:val="21"/>
              </w:rPr>
              <w:t>合计：</w:t>
            </w:r>
          </w:p>
        </w:tc>
      </w:tr>
      <w:tr w14:paraId="497F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9738" w:type="dxa"/>
            <w:gridSpan w:val="6"/>
            <w:tcBorders>
              <w:top w:val="single" w:color="auto" w:sz="4" w:space="0"/>
              <w:left w:val="single" w:color="auto" w:sz="4" w:space="0"/>
              <w:bottom w:val="single" w:color="auto" w:sz="4" w:space="0"/>
              <w:right w:val="single" w:color="auto" w:sz="4" w:space="0"/>
            </w:tcBorders>
            <w:vAlign w:val="center"/>
          </w:tcPr>
          <w:p w14:paraId="21510024">
            <w:pPr>
              <w:spacing w:line="360" w:lineRule="auto"/>
              <w:rPr>
                <w:rFonts w:ascii="宋体" w:hAnsi="宋体"/>
                <w:b/>
                <w:szCs w:val="21"/>
              </w:rPr>
            </w:pPr>
            <w:r>
              <w:rPr>
                <w:rFonts w:hint="eastAsia" w:ascii="宋体" w:hAnsi="宋体"/>
                <w:b/>
                <w:szCs w:val="21"/>
              </w:rPr>
              <w:t>人民币大写：</w:t>
            </w:r>
          </w:p>
        </w:tc>
      </w:tr>
    </w:tbl>
    <w:p w14:paraId="3ADE92C8">
      <w:pPr>
        <w:pStyle w:val="2"/>
        <w:snapToGrid w:val="0"/>
        <w:spacing w:line="380" w:lineRule="exact"/>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二、合同金额</w:t>
      </w:r>
    </w:p>
    <w:p w14:paraId="09635F69">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本合同金额为（大写）：____________________________________元（￥_______________元）人民币。</w:t>
      </w:r>
    </w:p>
    <w:p w14:paraId="436B1989">
      <w:pPr>
        <w:spacing w:line="380" w:lineRule="exact"/>
        <w:rPr>
          <w:rFonts w:ascii="宋体" w:hAnsi="宋体"/>
          <w:b/>
          <w:bCs/>
          <w:color w:val="0F1A0F"/>
          <w:szCs w:val="21"/>
        </w:rPr>
      </w:pPr>
      <w:r>
        <w:rPr>
          <w:rFonts w:hint="eastAsia" w:ascii="宋体" w:hAnsi="宋体"/>
          <w:b/>
          <w:bCs/>
          <w:color w:val="0F1A0F"/>
          <w:szCs w:val="21"/>
        </w:rPr>
        <w:t>三、付款方式</w:t>
      </w:r>
    </w:p>
    <w:p w14:paraId="3E130E01">
      <w:pPr>
        <w:spacing w:line="336" w:lineRule="auto"/>
        <w:ind w:firstLine="220" w:firstLineChars="100"/>
        <w:rPr>
          <w:rFonts w:ascii="宋体" w:hAnsi="宋体"/>
          <w:color w:val="000000" w:themeColor="text1"/>
          <w:kern w:val="0"/>
          <w:szCs w:val="21"/>
          <w:u w:val="single"/>
          <w14:textFill>
            <w14:solidFill>
              <w14:schemeClr w14:val="tx1"/>
            </w14:solidFill>
          </w14:textFill>
        </w:rPr>
      </w:pPr>
      <w:r>
        <w:rPr>
          <w:rFonts w:hint="eastAsia" w:ascii="宋体" w:hAnsi="宋体"/>
          <w:color w:val="000000" w:themeColor="text1"/>
          <w:sz w:val="22"/>
          <w:szCs w:val="22"/>
          <w:highlight w:val="none"/>
          <w14:textFill>
            <w14:solidFill>
              <w14:schemeClr w14:val="tx1"/>
            </w14:solidFill>
          </w14:textFill>
        </w:rPr>
        <w:t>本项目合同签订后7个工作日内预付合同金额的40%，设备完成安装后待验收合格并提交相关资料由</w:t>
      </w:r>
      <w:r>
        <w:rPr>
          <w:rFonts w:hint="eastAsia" w:ascii="宋体" w:hAnsi="宋体"/>
          <w:color w:val="000000" w:themeColor="text1"/>
          <w:sz w:val="22"/>
          <w:szCs w:val="22"/>
          <w:highlight w:val="none"/>
          <w:lang w:val="en-US" w:eastAsia="zh-CN"/>
          <w14:textFill>
            <w14:solidFill>
              <w14:schemeClr w14:val="tx1"/>
            </w14:solidFill>
          </w14:textFill>
        </w:rPr>
        <w:t>采购人</w:t>
      </w:r>
      <w:r>
        <w:rPr>
          <w:rFonts w:hint="eastAsia" w:ascii="宋体" w:hAnsi="宋体"/>
          <w:color w:val="000000" w:themeColor="text1"/>
          <w:sz w:val="22"/>
          <w:szCs w:val="22"/>
          <w:highlight w:val="none"/>
          <w14:textFill>
            <w14:solidFill>
              <w14:schemeClr w14:val="tx1"/>
            </w14:solidFill>
          </w14:textFill>
        </w:rPr>
        <w:t>确认后，收到响应人正式发票后，15个工作日内一次性支付余额款项。</w:t>
      </w:r>
    </w:p>
    <w:p w14:paraId="16D17945">
      <w:pPr>
        <w:spacing w:line="380" w:lineRule="exact"/>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四、项目工期 </w:t>
      </w:r>
    </w:p>
    <w:p w14:paraId="607D4BA2">
      <w:pPr>
        <w:spacing w:line="380" w:lineRule="exact"/>
        <w:ind w:firstLine="220" w:firstLineChars="100"/>
        <w:rPr>
          <w:rFonts w:ascii="宋体" w:hAnsi="宋体"/>
          <w:color w:val="000000" w:themeColor="text1"/>
          <w:szCs w:val="21"/>
          <w14:textFill>
            <w14:solidFill>
              <w14:schemeClr w14:val="tx1"/>
            </w14:solidFill>
          </w14:textFill>
        </w:rPr>
      </w:pPr>
      <w:r>
        <w:rPr>
          <w:rFonts w:hint="eastAsia" w:ascii="宋体" w:hAnsi="宋体"/>
          <w:color w:val="auto"/>
          <w:sz w:val="22"/>
          <w:szCs w:val="22"/>
          <w:highlight w:val="none"/>
        </w:rPr>
        <w:t>合同签署生效并收到采购人交货通知后</w:t>
      </w:r>
      <w:r>
        <w:rPr>
          <w:rFonts w:hint="eastAsia" w:ascii="宋体" w:hAnsi="宋体"/>
          <w:color w:val="auto"/>
          <w:sz w:val="22"/>
          <w:szCs w:val="22"/>
          <w:highlight w:val="none"/>
          <w:lang w:val="en-US" w:eastAsia="zh-CN"/>
        </w:rPr>
        <w:t>30</w:t>
      </w:r>
      <w:r>
        <w:rPr>
          <w:rFonts w:hint="eastAsia" w:ascii="宋体" w:hAnsi="宋体"/>
          <w:color w:val="auto"/>
          <w:sz w:val="22"/>
          <w:szCs w:val="22"/>
          <w:highlight w:val="none"/>
        </w:rPr>
        <w:t>日内交付全部货物</w:t>
      </w:r>
      <w:r>
        <w:rPr>
          <w:rFonts w:hint="eastAsia" w:ascii="宋体" w:hAnsi="宋体"/>
          <w:color w:val="auto"/>
          <w:sz w:val="22"/>
          <w:szCs w:val="22"/>
          <w:highlight w:val="none"/>
          <w:lang w:val="en-US" w:eastAsia="zh-CN"/>
        </w:rPr>
        <w:t>并安装完毕</w:t>
      </w:r>
      <w:r>
        <w:rPr>
          <w:rFonts w:hint="eastAsia" w:ascii="宋体" w:hAnsi="宋体"/>
          <w:color w:val="auto"/>
          <w:sz w:val="22"/>
          <w:szCs w:val="22"/>
          <w:highlight w:val="none"/>
        </w:rPr>
        <w:t>。</w:t>
      </w:r>
    </w:p>
    <w:p w14:paraId="0AAC3220">
      <w:pPr>
        <w:pStyle w:val="2"/>
        <w:snapToGrid w:val="0"/>
        <w:spacing w:line="380" w:lineRule="exact"/>
        <w:rPr>
          <w:rFonts w:asciiTheme="minorEastAsia" w:hAnsiTheme="minorEastAsia" w:eastAsiaTheme="minorEastAsia" w:cstheme="minorEastAsia"/>
          <w:b/>
          <w:color w:val="000000" w:themeColor="text1"/>
          <w:sz w:val="21"/>
          <w:szCs w:val="21"/>
          <w14:textFill>
            <w14:solidFill>
              <w14:schemeClr w14:val="tx1"/>
            </w14:solidFill>
          </w14:textFill>
        </w:rPr>
      </w:pPr>
      <w:r>
        <w:rPr>
          <w:rFonts w:hint="eastAsia" w:asciiTheme="minorEastAsia" w:hAnsiTheme="minorEastAsia" w:eastAsiaTheme="minorEastAsia" w:cstheme="minorEastAsia"/>
          <w:b/>
          <w:color w:val="000000" w:themeColor="text1"/>
          <w:sz w:val="21"/>
          <w:szCs w:val="21"/>
          <w14:textFill>
            <w14:solidFill>
              <w14:schemeClr w14:val="tx1"/>
            </w14:solidFill>
          </w14:textFill>
        </w:rPr>
        <w:t>五、技术资料</w:t>
      </w:r>
    </w:p>
    <w:p w14:paraId="703B3F64">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1.乙方应按招标文件规定的时间向甲方提供有关技术资料。</w:t>
      </w:r>
    </w:p>
    <w:p w14:paraId="185D18A5">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337E7B2">
      <w:pPr>
        <w:pStyle w:val="2"/>
        <w:snapToGrid w:val="0"/>
        <w:spacing w:line="380" w:lineRule="exact"/>
        <w:ind w:left="360" w:hanging="361" w:hangingChars="171"/>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六、知识产权</w:t>
      </w:r>
    </w:p>
    <w:p w14:paraId="57F13EF3">
      <w:pPr>
        <w:pStyle w:val="2"/>
        <w:snapToGrid w:val="0"/>
        <w:spacing w:line="380" w:lineRule="exact"/>
        <w:ind w:left="359" w:hanging="359" w:hangingChars="171"/>
        <w:rPr>
          <w:rFonts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乙方应保证提供服务过程中不会侵犯任何第三方的</w:t>
      </w:r>
      <w:r>
        <w:rPr>
          <w:rFonts w:hint="eastAsia" w:asciiTheme="minorEastAsia" w:hAnsiTheme="minorEastAsia" w:eastAsiaTheme="minorEastAsia" w:cstheme="minorEastAsia"/>
          <w:b/>
          <w:sz w:val="21"/>
          <w:szCs w:val="21"/>
        </w:rPr>
        <w:t>知识产权</w:t>
      </w:r>
      <w:r>
        <w:rPr>
          <w:rFonts w:hint="eastAsia" w:asciiTheme="minorEastAsia" w:hAnsiTheme="minorEastAsia" w:eastAsiaTheme="minorEastAsia" w:cstheme="minorEastAsia"/>
          <w:b/>
          <w:bCs/>
          <w:sz w:val="21"/>
          <w:szCs w:val="21"/>
        </w:rPr>
        <w:t>。</w:t>
      </w:r>
    </w:p>
    <w:p w14:paraId="6F6F8746">
      <w:pPr>
        <w:snapToGrid w:val="0"/>
        <w:spacing w:before="120" w:afterLines="50" w:line="38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七、转包或分包</w:t>
      </w:r>
    </w:p>
    <w:p w14:paraId="6D328A90">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1.本合同范围的服务，应由乙方直接供应，不得转让他人供应；</w:t>
      </w:r>
    </w:p>
    <w:p w14:paraId="091467DF">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除非得到甲方的书面同意，乙方不得将本合同范围的服务全部或部分分包给他人供应；</w:t>
      </w:r>
    </w:p>
    <w:p w14:paraId="1D2DF5B1">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3.如有转让和未经甲方同意的分包行为，甲方有权解除合同并追究乙方的违约责任。</w:t>
      </w:r>
    </w:p>
    <w:p w14:paraId="61EB7222">
      <w:pPr>
        <w:pStyle w:val="2"/>
        <w:snapToGrid w:val="0"/>
        <w:spacing w:line="38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八、质量保证期</w:t>
      </w:r>
    </w:p>
    <w:p w14:paraId="189099F0">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质量保证期</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u w:val="single"/>
          <w:lang w:val="en-US" w:eastAsia="zh-CN"/>
        </w:rPr>
        <w:t xml:space="preserve">    </w:t>
      </w:r>
      <w:r>
        <w:rPr>
          <w:rFonts w:hint="eastAsia" w:asciiTheme="minorEastAsia" w:hAnsiTheme="minorEastAsia" w:eastAsiaTheme="minorEastAsia" w:cstheme="minorEastAsia"/>
          <w:sz w:val="21"/>
          <w:szCs w:val="21"/>
        </w:rPr>
        <w:t>年。（自验收合格之日起计）</w:t>
      </w:r>
    </w:p>
    <w:p w14:paraId="6DE1FAD4">
      <w:pPr>
        <w:pStyle w:val="2"/>
        <w:snapToGrid w:val="0"/>
        <w:spacing w:line="380" w:lineRule="exact"/>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九、合同履行时间、履行方式及履行地点</w:t>
      </w:r>
    </w:p>
    <w:p w14:paraId="1D7F3699">
      <w:pPr>
        <w:pStyle w:val="2"/>
        <w:snapToGrid w:val="0"/>
        <w:spacing w:line="380" w:lineRule="exact"/>
        <w:rPr>
          <w:rFonts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sz w:val="21"/>
          <w:szCs w:val="21"/>
        </w:rPr>
        <w:t xml:space="preserve">1. </w:t>
      </w:r>
      <w:r>
        <w:rPr>
          <w:rFonts w:hint="eastAsia" w:asciiTheme="minorEastAsia" w:hAnsiTheme="minorEastAsia" w:eastAsiaTheme="minorEastAsia" w:cstheme="minorEastAsia"/>
          <w:sz w:val="21"/>
          <w:szCs w:val="21"/>
        </w:rPr>
        <w:t>履行时间</w:t>
      </w:r>
      <w:r>
        <w:rPr>
          <w:rFonts w:hint="eastAsia" w:asciiTheme="minorEastAsia" w:hAnsiTheme="minorEastAsia" w:eastAsiaTheme="minorEastAsia" w:cstheme="minorEastAsia"/>
          <w:bCs/>
          <w:sz w:val="21"/>
          <w:szCs w:val="21"/>
        </w:rPr>
        <w:t>：</w:t>
      </w:r>
    </w:p>
    <w:p w14:paraId="342154A0">
      <w:pPr>
        <w:pStyle w:val="2"/>
        <w:snapToGrid w:val="0"/>
        <w:spacing w:line="380" w:lineRule="exact"/>
        <w:rPr>
          <w:rFonts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2. </w:t>
      </w:r>
      <w:r>
        <w:rPr>
          <w:rFonts w:hint="eastAsia" w:asciiTheme="minorEastAsia" w:hAnsiTheme="minorEastAsia" w:eastAsiaTheme="minorEastAsia" w:cstheme="minorEastAsia"/>
          <w:sz w:val="21"/>
          <w:szCs w:val="21"/>
        </w:rPr>
        <w:t>履行方式</w:t>
      </w:r>
      <w:r>
        <w:rPr>
          <w:rFonts w:hint="eastAsia" w:asciiTheme="minorEastAsia" w:hAnsiTheme="minorEastAsia" w:eastAsiaTheme="minorEastAsia" w:cstheme="minorEastAsia"/>
          <w:bCs/>
          <w:color w:val="000000"/>
          <w:sz w:val="21"/>
          <w:szCs w:val="21"/>
        </w:rPr>
        <w:t>：</w:t>
      </w:r>
    </w:p>
    <w:p w14:paraId="62F15AF7">
      <w:pPr>
        <w:pStyle w:val="2"/>
        <w:snapToGrid w:val="0"/>
        <w:spacing w:line="380" w:lineRule="exact"/>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Cs/>
          <w:color w:val="000000"/>
          <w:sz w:val="21"/>
          <w:szCs w:val="21"/>
        </w:rPr>
        <w:t xml:space="preserve">3. </w:t>
      </w:r>
      <w:r>
        <w:rPr>
          <w:rFonts w:hint="eastAsia" w:asciiTheme="minorEastAsia" w:hAnsiTheme="minorEastAsia" w:eastAsiaTheme="minorEastAsia" w:cstheme="minorEastAsia"/>
          <w:sz w:val="21"/>
          <w:szCs w:val="21"/>
        </w:rPr>
        <w:t>履行地点</w:t>
      </w:r>
      <w:r>
        <w:rPr>
          <w:rFonts w:hint="eastAsia" w:asciiTheme="minorEastAsia" w:hAnsiTheme="minorEastAsia" w:eastAsiaTheme="minorEastAsia" w:cstheme="minorEastAsia"/>
          <w:bCs/>
          <w:color w:val="000000"/>
          <w:sz w:val="21"/>
          <w:szCs w:val="21"/>
        </w:rPr>
        <w:t>：</w:t>
      </w:r>
    </w:p>
    <w:p w14:paraId="52FB0363">
      <w:pPr>
        <w:snapToGrid w:val="0"/>
        <w:spacing w:before="120" w:afterLines="50" w:line="380" w:lineRule="exact"/>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十、税费</w:t>
      </w:r>
    </w:p>
    <w:p w14:paraId="010AE628">
      <w:pPr>
        <w:snapToGrid w:val="0"/>
        <w:spacing w:before="120" w:afterLines="50" w:line="38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本合同执行中相关的一切税费均由乙方负担。</w:t>
      </w:r>
    </w:p>
    <w:p w14:paraId="10A1BE4A">
      <w:pPr>
        <w:pStyle w:val="2"/>
        <w:snapToGrid w:val="0"/>
        <w:spacing w:line="380" w:lineRule="exact"/>
        <w:ind w:left="360" w:hanging="361"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十一、质量保证及后续服务</w:t>
      </w:r>
    </w:p>
    <w:p w14:paraId="584394A3">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乙方应按招标文件规定向甲方提供服务。</w:t>
      </w:r>
    </w:p>
    <w:p w14:paraId="7202656E">
      <w:pPr>
        <w:pStyle w:val="2"/>
        <w:snapToGrid w:val="0"/>
        <w:spacing w:line="380" w:lineRule="exact"/>
        <w:ind w:left="420" w:hanging="420" w:hanging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乙方提供的服务成果在服务质量保证期内发生故障，乙方应负责免费提供后续服务。对达不到要求者，根据实际情况，经双方协商，可按以下办法处理：</w:t>
      </w:r>
    </w:p>
    <w:p w14:paraId="5FCA47D8">
      <w:pPr>
        <w:pStyle w:val="2"/>
        <w:snapToGrid w:val="0"/>
        <w:spacing w:line="380" w:lineRule="exact"/>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⑴重做：由乙方承担所发生的全部费用。</w:t>
      </w:r>
    </w:p>
    <w:p w14:paraId="5B02AFE6">
      <w:pPr>
        <w:pStyle w:val="2"/>
        <w:snapToGrid w:val="0"/>
        <w:spacing w:line="380" w:lineRule="exact"/>
        <w:ind w:firstLine="42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⑵贬值处理：由甲乙双方合议定价。</w:t>
      </w:r>
    </w:p>
    <w:p w14:paraId="5D0B6D62">
      <w:pPr>
        <w:pStyle w:val="2"/>
        <w:snapToGrid w:val="0"/>
        <w:spacing w:line="380" w:lineRule="exact"/>
        <w:ind w:left="420" w:leftChars="200"/>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⑶解除合同。</w:t>
      </w:r>
    </w:p>
    <w:p w14:paraId="5203F37C">
      <w:pPr>
        <w:pStyle w:val="2"/>
        <w:snapToGrid w:val="0"/>
        <w:spacing w:line="38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 如在使用过程中发生问题，乙方在接到甲方通知后</w:t>
      </w:r>
      <w:r>
        <w:rPr>
          <w:rFonts w:hint="eastAsia" w:asciiTheme="minorEastAsia" w:hAnsiTheme="minorEastAsia" w:eastAsiaTheme="minorEastAsia" w:cstheme="minorEastAsia"/>
          <w:color w:val="000000"/>
          <w:sz w:val="21"/>
          <w:szCs w:val="21"/>
        </w:rPr>
        <w:t>在</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color w:val="000000"/>
          <w:sz w:val="21"/>
          <w:szCs w:val="21"/>
        </w:rPr>
        <w:t>小时</w:t>
      </w:r>
      <w:r>
        <w:rPr>
          <w:rFonts w:hint="eastAsia" w:asciiTheme="minorEastAsia" w:hAnsiTheme="minorEastAsia" w:eastAsiaTheme="minorEastAsia" w:cstheme="minorEastAsia"/>
          <w:sz w:val="21"/>
          <w:szCs w:val="21"/>
        </w:rPr>
        <w:t>内到达甲方现场。</w:t>
      </w:r>
    </w:p>
    <w:p w14:paraId="5BE99CFC">
      <w:pPr>
        <w:pStyle w:val="2"/>
        <w:snapToGrid w:val="0"/>
        <w:spacing w:line="380" w:lineRule="exact"/>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4．在</w:t>
      </w:r>
      <w:r>
        <w:rPr>
          <w:rFonts w:hint="eastAsia" w:asciiTheme="minorEastAsia" w:hAnsiTheme="minorEastAsia" w:eastAsiaTheme="minorEastAsia" w:cstheme="minorEastAsia"/>
          <w:b/>
          <w:sz w:val="21"/>
          <w:szCs w:val="21"/>
        </w:rPr>
        <w:t>服务质量保证期</w:t>
      </w:r>
      <w:r>
        <w:rPr>
          <w:rFonts w:hint="eastAsia" w:asciiTheme="minorEastAsia" w:hAnsiTheme="minorEastAsia" w:eastAsiaTheme="minorEastAsia" w:cstheme="minorEastAsia"/>
          <w:sz w:val="21"/>
          <w:szCs w:val="21"/>
        </w:rPr>
        <w:t>内，乙方应对出现的质量及安全问题负责处理解决并承担一切费用。</w:t>
      </w:r>
    </w:p>
    <w:p w14:paraId="378B9361">
      <w:pPr>
        <w:pStyle w:val="2"/>
        <w:snapToGrid w:val="0"/>
        <w:spacing w:line="380" w:lineRule="exact"/>
        <w:rPr>
          <w:rFonts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十二、违约责任</w:t>
      </w:r>
    </w:p>
    <w:p w14:paraId="2BCEA8BC">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1．甲方无正当理由拒收接受服务的，甲方向乙方偿付合同款项百分之五作为违约金。</w:t>
      </w:r>
    </w:p>
    <w:p w14:paraId="26A25AEF">
      <w:pPr>
        <w:pStyle w:val="2"/>
        <w:snapToGrid w:val="0"/>
        <w:spacing w:line="380" w:lineRule="exact"/>
        <w:ind w:left="359" w:hanging="359" w:hangingChars="171"/>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2．甲方无故逾期验收和办理款项支付手续的,甲方应按逾期付款总额每日万分之五向乙方支付违约金。</w:t>
      </w:r>
    </w:p>
    <w:p w14:paraId="147C573A">
      <w:pPr>
        <w:pStyle w:val="2"/>
        <w:snapToGrid w:val="0"/>
        <w:spacing w:line="380" w:lineRule="exact"/>
        <w:ind w:left="359" w:hanging="359" w:hangingChars="171"/>
        <w:rPr>
          <w:rFonts w:hAnsi="宋体" w:eastAsia="宋体" w:cs="宋体"/>
          <w:sz w:val="21"/>
          <w:szCs w:val="21"/>
        </w:rPr>
      </w:pPr>
      <w:r>
        <w:rPr>
          <w:rFonts w:hint="eastAsia" w:asciiTheme="minorEastAsia" w:hAnsiTheme="minorEastAsia" w:eastAsiaTheme="minorEastAsia" w:cstheme="minorEastAsia"/>
          <w:sz w:val="21"/>
          <w:szCs w:val="21"/>
        </w:rPr>
        <w:t xml:space="preserve">3． 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14:paraId="1773B207">
      <w:pPr>
        <w:pStyle w:val="2"/>
        <w:snapToGrid w:val="0"/>
        <w:spacing w:line="380" w:lineRule="exact"/>
        <w:rPr>
          <w:rFonts w:hAnsi="宋体" w:eastAsia="宋体" w:cs="宋体"/>
          <w:b/>
          <w:sz w:val="21"/>
          <w:szCs w:val="21"/>
        </w:rPr>
      </w:pPr>
      <w:r>
        <w:rPr>
          <w:rFonts w:hAnsi="宋体" w:eastAsia="宋体" w:cs="宋体"/>
          <w:b/>
          <w:sz w:val="21"/>
          <w:szCs w:val="21"/>
        </w:rPr>
        <w:t>十</w:t>
      </w:r>
      <w:r>
        <w:rPr>
          <w:rFonts w:hint="eastAsia" w:hAnsi="宋体" w:eastAsia="宋体" w:cs="宋体"/>
          <w:b/>
          <w:sz w:val="21"/>
          <w:szCs w:val="21"/>
        </w:rPr>
        <w:t>三</w:t>
      </w:r>
      <w:r>
        <w:rPr>
          <w:rFonts w:hAnsi="宋体" w:eastAsia="宋体" w:cs="宋体"/>
          <w:b/>
          <w:sz w:val="21"/>
          <w:szCs w:val="21"/>
        </w:rPr>
        <w:t>、不可抗力事件处理</w:t>
      </w:r>
    </w:p>
    <w:p w14:paraId="486E2C44">
      <w:pPr>
        <w:pStyle w:val="2"/>
        <w:snapToGrid w:val="0"/>
        <w:spacing w:line="380" w:lineRule="exact"/>
        <w:ind w:firstLine="420" w:firstLineChars="200"/>
        <w:rPr>
          <w:rFonts w:hAnsi="宋体" w:eastAsia="宋体" w:cs="宋体"/>
          <w:sz w:val="21"/>
          <w:szCs w:val="21"/>
        </w:rPr>
      </w:pPr>
      <w:r>
        <w:rPr>
          <w:rFonts w:hAnsi="宋体" w:eastAsia="宋体" w:cs="宋体"/>
          <w:sz w:val="21"/>
          <w:szCs w:val="21"/>
        </w:rPr>
        <w:t>1．在合同有效期内，任何一方因不可抗力事件导致不能履行合同，则合同履行期可延长，其延长期与不可抗力影响期相同。</w:t>
      </w:r>
    </w:p>
    <w:p w14:paraId="339A175C">
      <w:pPr>
        <w:pStyle w:val="2"/>
        <w:snapToGrid w:val="0"/>
        <w:spacing w:line="380" w:lineRule="exact"/>
        <w:ind w:firstLine="420" w:firstLineChars="200"/>
        <w:rPr>
          <w:rFonts w:hAnsi="宋体" w:eastAsia="宋体" w:cs="宋体"/>
          <w:sz w:val="21"/>
          <w:szCs w:val="21"/>
        </w:rPr>
      </w:pPr>
      <w:r>
        <w:rPr>
          <w:rFonts w:hAnsi="宋体" w:eastAsia="宋体" w:cs="宋体"/>
          <w:sz w:val="21"/>
          <w:szCs w:val="21"/>
        </w:rPr>
        <w:t>2．不可抗力事件发生后，应立即通知对方，并寄送有关权威机构出具的证明。</w:t>
      </w:r>
    </w:p>
    <w:p w14:paraId="6A09ED27">
      <w:pPr>
        <w:pStyle w:val="2"/>
        <w:snapToGrid w:val="0"/>
        <w:spacing w:line="380" w:lineRule="exact"/>
        <w:ind w:firstLine="420" w:firstLineChars="200"/>
        <w:rPr>
          <w:rFonts w:hAnsi="宋体" w:eastAsia="宋体" w:cs="宋体"/>
          <w:sz w:val="21"/>
          <w:szCs w:val="21"/>
        </w:rPr>
      </w:pPr>
      <w:r>
        <w:rPr>
          <w:rFonts w:hAnsi="宋体" w:eastAsia="宋体" w:cs="宋体"/>
          <w:sz w:val="21"/>
          <w:szCs w:val="21"/>
        </w:rPr>
        <w:t>3．不可抗力事件延续120天以上，双方应通过友好协商，确定是否继续履行合同。</w:t>
      </w:r>
    </w:p>
    <w:p w14:paraId="03D3C6CA">
      <w:pPr>
        <w:pStyle w:val="2"/>
        <w:snapToGrid w:val="0"/>
        <w:spacing w:line="380" w:lineRule="exact"/>
        <w:rPr>
          <w:rFonts w:hAnsi="宋体" w:eastAsia="宋体" w:cs="宋体"/>
          <w:b/>
          <w:sz w:val="21"/>
          <w:szCs w:val="21"/>
        </w:rPr>
      </w:pPr>
      <w:r>
        <w:rPr>
          <w:rFonts w:hAnsi="宋体" w:eastAsia="宋体" w:cs="宋体"/>
          <w:b/>
          <w:sz w:val="21"/>
          <w:szCs w:val="21"/>
        </w:rPr>
        <w:t>十</w:t>
      </w:r>
      <w:r>
        <w:rPr>
          <w:rFonts w:hint="eastAsia" w:hAnsi="宋体" w:eastAsia="宋体" w:cs="宋体"/>
          <w:b/>
          <w:sz w:val="21"/>
          <w:szCs w:val="21"/>
        </w:rPr>
        <w:t>四</w:t>
      </w:r>
      <w:r>
        <w:rPr>
          <w:rFonts w:hAnsi="宋体" w:eastAsia="宋体" w:cs="宋体"/>
          <w:b/>
          <w:sz w:val="21"/>
          <w:szCs w:val="21"/>
        </w:rPr>
        <w:t>、诉讼</w:t>
      </w:r>
    </w:p>
    <w:p w14:paraId="70F78F10">
      <w:pPr>
        <w:pStyle w:val="2"/>
        <w:snapToGrid w:val="0"/>
        <w:spacing w:line="380" w:lineRule="exact"/>
        <w:ind w:firstLine="420" w:firstLineChars="200"/>
        <w:rPr>
          <w:rFonts w:hAnsi="宋体" w:eastAsia="宋体" w:cs="宋体"/>
          <w:sz w:val="21"/>
          <w:szCs w:val="21"/>
        </w:rPr>
      </w:pPr>
      <w:r>
        <w:rPr>
          <w:rFonts w:hAnsi="宋体" w:eastAsia="宋体" w:cs="宋体"/>
          <w:sz w:val="21"/>
          <w:szCs w:val="21"/>
        </w:rPr>
        <w:t>双方在执行合同中所发生的一切争议，应通过协商解决。如协商不成，可向合同签订地法院起诉，合同签订地在此约定为舟山市。</w:t>
      </w:r>
    </w:p>
    <w:p w14:paraId="08F98686">
      <w:pPr>
        <w:pStyle w:val="2"/>
        <w:snapToGrid w:val="0"/>
        <w:spacing w:line="380" w:lineRule="exact"/>
        <w:rPr>
          <w:rFonts w:hAnsi="宋体" w:eastAsia="宋体" w:cs="宋体"/>
          <w:b/>
          <w:sz w:val="21"/>
          <w:szCs w:val="21"/>
        </w:rPr>
      </w:pPr>
      <w:r>
        <w:rPr>
          <w:rFonts w:hAnsi="宋体" w:eastAsia="宋体" w:cs="宋体"/>
          <w:b/>
          <w:sz w:val="21"/>
          <w:szCs w:val="21"/>
        </w:rPr>
        <w:t>十</w:t>
      </w:r>
      <w:r>
        <w:rPr>
          <w:rFonts w:hint="eastAsia" w:hAnsi="宋体" w:eastAsia="宋体" w:cs="宋体"/>
          <w:b/>
          <w:sz w:val="21"/>
          <w:szCs w:val="21"/>
        </w:rPr>
        <w:t>五</w:t>
      </w:r>
      <w:r>
        <w:rPr>
          <w:rFonts w:hAnsi="宋体" w:eastAsia="宋体" w:cs="宋体"/>
          <w:b/>
          <w:sz w:val="21"/>
          <w:szCs w:val="21"/>
        </w:rPr>
        <w:t>、合同生效及其它</w:t>
      </w:r>
    </w:p>
    <w:p w14:paraId="5EAB759D">
      <w:pPr>
        <w:pStyle w:val="2"/>
        <w:snapToGrid w:val="0"/>
        <w:spacing w:line="380" w:lineRule="exact"/>
        <w:ind w:firstLine="420" w:firstLineChars="200"/>
        <w:rPr>
          <w:rFonts w:hAnsi="宋体" w:eastAsia="宋体" w:cs="宋体"/>
          <w:sz w:val="21"/>
          <w:szCs w:val="21"/>
        </w:rPr>
      </w:pPr>
      <w:r>
        <w:rPr>
          <w:rFonts w:hAnsi="宋体" w:eastAsia="宋体" w:cs="宋体"/>
          <w:sz w:val="21"/>
          <w:szCs w:val="21"/>
        </w:rPr>
        <w:t>1、本次项目的招标文件、乙方的投标文件以及乙方其他投标时承诺等文件均为本合同的组成部分。</w:t>
      </w:r>
    </w:p>
    <w:p w14:paraId="793107C3">
      <w:pPr>
        <w:pStyle w:val="2"/>
        <w:snapToGrid w:val="0"/>
        <w:spacing w:line="380" w:lineRule="exact"/>
        <w:ind w:firstLine="420" w:firstLineChars="200"/>
        <w:rPr>
          <w:rFonts w:hAnsi="宋体" w:eastAsia="宋体" w:cs="宋体"/>
          <w:sz w:val="21"/>
          <w:szCs w:val="21"/>
        </w:rPr>
      </w:pPr>
      <w:r>
        <w:rPr>
          <w:rFonts w:hAnsi="宋体" w:eastAsia="宋体" w:cs="宋体"/>
          <w:sz w:val="21"/>
          <w:szCs w:val="21"/>
        </w:rPr>
        <w:t>2、合同经双方法定代表人或授权代表签字并加盖单位公章。</w:t>
      </w:r>
    </w:p>
    <w:p w14:paraId="39DCD920">
      <w:pPr>
        <w:pStyle w:val="2"/>
        <w:snapToGrid w:val="0"/>
        <w:spacing w:line="380" w:lineRule="exact"/>
        <w:ind w:firstLine="420" w:firstLineChars="200"/>
        <w:rPr>
          <w:rFonts w:hAnsi="宋体" w:eastAsia="宋体" w:cs="宋体"/>
          <w:sz w:val="21"/>
          <w:szCs w:val="21"/>
        </w:rPr>
      </w:pPr>
      <w:r>
        <w:rPr>
          <w:rFonts w:hAnsi="宋体" w:eastAsia="宋体" w:cs="宋体"/>
          <w:sz w:val="21"/>
          <w:szCs w:val="21"/>
        </w:rPr>
        <w:t>3、本合同未尽事宜，遵照《</w:t>
      </w:r>
      <w:r>
        <w:rPr>
          <w:rFonts w:hint="eastAsia" w:hAnsi="宋体" w:eastAsia="宋体" w:cs="宋体"/>
          <w:sz w:val="21"/>
          <w:szCs w:val="21"/>
        </w:rPr>
        <w:t>民法典</w:t>
      </w:r>
      <w:r>
        <w:rPr>
          <w:rFonts w:hAnsi="宋体" w:eastAsia="宋体" w:cs="宋体"/>
          <w:sz w:val="21"/>
          <w:szCs w:val="21"/>
        </w:rPr>
        <w:t>》有关条文执行。</w:t>
      </w:r>
    </w:p>
    <w:p w14:paraId="5374E6C2">
      <w:pPr>
        <w:pStyle w:val="2"/>
        <w:snapToGrid w:val="0"/>
        <w:spacing w:line="380" w:lineRule="exact"/>
        <w:ind w:firstLine="420" w:firstLineChars="200"/>
        <w:rPr>
          <w:rFonts w:hAnsi="宋体" w:eastAsia="宋体" w:cs="宋体"/>
          <w:sz w:val="21"/>
          <w:szCs w:val="21"/>
        </w:rPr>
      </w:pPr>
      <w:r>
        <w:rPr>
          <w:rFonts w:hAnsi="宋体" w:eastAsia="宋体" w:cs="宋体"/>
          <w:sz w:val="21"/>
          <w:szCs w:val="21"/>
        </w:rPr>
        <w:t>4、本合同一式四份，签字、盖章后有效，甲乙各持二份，具有同等法律效力。</w:t>
      </w:r>
    </w:p>
    <w:p w14:paraId="045A8A39">
      <w:pPr>
        <w:pStyle w:val="2"/>
        <w:snapToGrid w:val="0"/>
        <w:spacing w:line="380" w:lineRule="exact"/>
        <w:ind w:left="422" w:hanging="422" w:hangingChars="200"/>
        <w:rPr>
          <w:rFonts w:hAnsi="宋体" w:eastAsia="宋体" w:cs="宋体"/>
          <w:b/>
          <w:sz w:val="21"/>
          <w:szCs w:val="21"/>
        </w:rPr>
      </w:pPr>
      <w:r>
        <w:rPr>
          <w:rFonts w:hint="eastAsia" w:hAnsi="宋体" w:eastAsia="宋体" w:cs="宋体"/>
          <w:b/>
          <w:sz w:val="21"/>
          <w:szCs w:val="21"/>
        </w:rPr>
        <w:t>十六、中小企业预留合同</w:t>
      </w:r>
    </w:p>
    <w:p w14:paraId="47F5D8E8">
      <w:pPr>
        <w:pStyle w:val="2"/>
        <w:snapToGrid w:val="0"/>
        <w:spacing w:line="380" w:lineRule="exact"/>
        <w:ind w:firstLine="632" w:firstLineChars="300"/>
        <w:rPr>
          <w:rFonts w:hAnsi="宋体" w:eastAsia="宋体" w:cs="宋体"/>
          <w:b/>
          <w:sz w:val="21"/>
          <w:szCs w:val="21"/>
        </w:rPr>
      </w:pPr>
      <w:r>
        <w:rPr>
          <w:rFonts w:hint="eastAsia" w:hAnsi="宋体" w:eastAsia="宋体" w:cs="宋体"/>
          <w:b/>
          <w:sz w:val="21"/>
          <w:szCs w:val="21"/>
        </w:rPr>
        <w:t>本采购合同为中小企业预留合同。</w:t>
      </w:r>
    </w:p>
    <w:p w14:paraId="73E88537">
      <w:pPr>
        <w:pStyle w:val="2"/>
        <w:snapToGrid w:val="0"/>
        <w:spacing w:line="380" w:lineRule="exact"/>
        <w:ind w:left="420" w:hanging="420" w:hangingChars="200"/>
        <w:rPr>
          <w:rFonts w:hAnsi="宋体" w:eastAsia="宋体" w:cs="宋体"/>
          <w:sz w:val="21"/>
          <w:szCs w:val="21"/>
        </w:rPr>
      </w:pPr>
    </w:p>
    <w:p w14:paraId="67800A6B">
      <w:pPr>
        <w:pStyle w:val="2"/>
        <w:snapToGrid w:val="0"/>
        <w:spacing w:line="380" w:lineRule="exact"/>
        <w:ind w:left="420" w:hanging="420" w:hangingChars="200"/>
        <w:rPr>
          <w:rFonts w:hAnsi="宋体" w:eastAsia="宋体" w:cs="宋体"/>
          <w:sz w:val="21"/>
          <w:szCs w:val="21"/>
        </w:rPr>
      </w:pPr>
    </w:p>
    <w:p w14:paraId="76BD6C13">
      <w:pPr>
        <w:pStyle w:val="2"/>
        <w:snapToGrid w:val="0"/>
        <w:spacing w:line="380" w:lineRule="exact"/>
        <w:ind w:left="420" w:hanging="420" w:hangingChars="200"/>
        <w:rPr>
          <w:rFonts w:hAnsi="宋体" w:eastAsia="宋体" w:cs="宋体"/>
          <w:sz w:val="21"/>
          <w:szCs w:val="21"/>
        </w:rPr>
      </w:pPr>
    </w:p>
    <w:p w14:paraId="109A0F5C">
      <w:pPr>
        <w:pStyle w:val="2"/>
        <w:snapToGrid w:val="0"/>
        <w:spacing w:line="380" w:lineRule="exact"/>
        <w:ind w:left="420" w:hanging="420" w:hangingChars="200"/>
        <w:rPr>
          <w:rFonts w:hAnsi="宋体" w:eastAsia="宋体" w:cs="宋体"/>
          <w:sz w:val="21"/>
          <w:szCs w:val="21"/>
        </w:rPr>
      </w:pPr>
    </w:p>
    <w:p w14:paraId="194A7106">
      <w:pPr>
        <w:pStyle w:val="2"/>
        <w:snapToGrid w:val="0"/>
        <w:spacing w:line="380" w:lineRule="exact"/>
        <w:ind w:left="420" w:hanging="420" w:hangingChars="200"/>
        <w:rPr>
          <w:rFonts w:hAnsi="宋体" w:eastAsia="宋体" w:cs="宋体"/>
          <w:sz w:val="21"/>
          <w:szCs w:val="21"/>
        </w:rPr>
      </w:pPr>
      <w:r>
        <w:rPr>
          <w:rFonts w:hAnsi="宋体" w:eastAsia="宋体" w:cs="宋体"/>
          <w:sz w:val="21"/>
          <w:szCs w:val="21"/>
        </w:rPr>
        <w:t xml:space="preserve"> 甲方：                                   乙方： </w:t>
      </w:r>
    </w:p>
    <w:p w14:paraId="41D91C78">
      <w:pPr>
        <w:pStyle w:val="2"/>
        <w:snapToGrid w:val="0"/>
        <w:spacing w:line="380" w:lineRule="exact"/>
        <w:ind w:left="420" w:hanging="420" w:hangingChars="200"/>
        <w:rPr>
          <w:rFonts w:hAnsi="宋体" w:eastAsia="宋体" w:cs="宋体"/>
          <w:sz w:val="21"/>
          <w:szCs w:val="21"/>
        </w:rPr>
      </w:pPr>
      <w:r>
        <w:rPr>
          <w:rFonts w:hAnsi="宋体" w:eastAsia="宋体" w:cs="宋体"/>
          <w:sz w:val="21"/>
          <w:szCs w:val="21"/>
        </w:rPr>
        <w:t xml:space="preserve">  地址：                                   地址： </w:t>
      </w:r>
    </w:p>
    <w:p w14:paraId="511A1BB4">
      <w:pPr>
        <w:pStyle w:val="2"/>
        <w:snapToGrid w:val="0"/>
        <w:spacing w:line="380" w:lineRule="exact"/>
        <w:ind w:left="420" w:hanging="420" w:hangingChars="200"/>
        <w:rPr>
          <w:rFonts w:hAnsi="宋体" w:eastAsia="宋体" w:cs="宋体"/>
          <w:sz w:val="21"/>
          <w:szCs w:val="21"/>
        </w:rPr>
      </w:pPr>
      <w:r>
        <w:rPr>
          <w:rFonts w:hAnsi="宋体" w:eastAsia="宋体" w:cs="宋体"/>
          <w:sz w:val="21"/>
          <w:szCs w:val="21"/>
        </w:rPr>
        <w:t xml:space="preserve">  法定（授权）代表人：                     法定（授权）代表人：</w:t>
      </w:r>
    </w:p>
    <w:p w14:paraId="2F4EE7AC">
      <w:pPr>
        <w:pStyle w:val="2"/>
        <w:snapToGrid w:val="0"/>
        <w:spacing w:line="380" w:lineRule="exact"/>
        <w:ind w:left="420" w:hanging="420" w:hangingChars="200"/>
        <w:rPr>
          <w:rFonts w:hAnsi="宋体" w:eastAsia="宋体" w:cs="宋体"/>
          <w:sz w:val="21"/>
          <w:szCs w:val="21"/>
        </w:rPr>
      </w:pPr>
      <w:r>
        <w:rPr>
          <w:rFonts w:hAnsi="宋体" w:eastAsia="宋体" w:cs="宋体"/>
          <w:sz w:val="21"/>
          <w:szCs w:val="21"/>
        </w:rPr>
        <w:t xml:space="preserve">  签字日期：      年  月  日               签字日期：      年  月  日</w:t>
      </w:r>
    </w:p>
    <w:p w14:paraId="65F757A5">
      <w:pPr>
        <w:snapToGrid w:val="0"/>
        <w:spacing w:line="360" w:lineRule="auto"/>
        <w:ind w:firstLine="405"/>
        <w:rPr>
          <w:rFonts w:ascii="宋体" w:hAnsi="宋体" w:cs="宋体"/>
          <w:kern w:val="0"/>
          <w:szCs w:val="21"/>
        </w:rPr>
      </w:pPr>
    </w:p>
    <w:p w14:paraId="1527A854">
      <w:pPr>
        <w:snapToGrid w:val="0"/>
        <w:spacing w:line="360" w:lineRule="auto"/>
        <w:ind w:firstLine="405"/>
        <w:rPr>
          <w:rFonts w:ascii="宋体" w:hAnsi="宋体" w:cs="宋体"/>
          <w:kern w:val="0"/>
          <w:szCs w:val="21"/>
        </w:rPr>
      </w:pPr>
    </w:p>
    <w:p w14:paraId="30B8043E">
      <w:pPr>
        <w:widowControl/>
        <w:spacing w:line="360" w:lineRule="auto"/>
        <w:jc w:val="left"/>
        <w:rPr>
          <w:rFonts w:ascii="宋体" w:hAnsi="宋体" w:cs="宋体"/>
          <w:kern w:val="0"/>
          <w:sz w:val="24"/>
        </w:rPr>
      </w:pPr>
    </w:p>
    <w:p w14:paraId="39AEE043">
      <w:pPr>
        <w:pStyle w:val="12"/>
      </w:pPr>
    </w:p>
    <w:p w14:paraId="67398B1C">
      <w:pPr>
        <w:pStyle w:val="13"/>
        <w:ind w:firstLine="210"/>
      </w:pPr>
    </w:p>
    <w:p w14:paraId="101282CB"/>
    <w:p w14:paraId="6847732B">
      <w:pPr>
        <w:pStyle w:val="12"/>
      </w:pPr>
    </w:p>
    <w:p w14:paraId="2B6A1A05">
      <w:pPr>
        <w:pStyle w:val="13"/>
        <w:ind w:firstLine="210"/>
      </w:pPr>
    </w:p>
    <w:p w14:paraId="24BE8EED"/>
    <w:p w14:paraId="1F08D3A8">
      <w:pPr>
        <w:pStyle w:val="12"/>
      </w:pPr>
    </w:p>
    <w:p w14:paraId="7015E900">
      <w:pPr>
        <w:pStyle w:val="13"/>
        <w:ind w:firstLine="210"/>
      </w:pPr>
    </w:p>
    <w:p w14:paraId="677F2A43">
      <w:pPr>
        <w:pStyle w:val="2"/>
        <w:pageBreakBefore/>
        <w:snapToGrid w:val="0"/>
        <w:spacing w:before="120" w:line="360" w:lineRule="auto"/>
        <w:jc w:val="center"/>
        <w:outlineLvl w:val="0"/>
        <w:rPr>
          <w:rFonts w:asciiTheme="minorEastAsia" w:hAnsiTheme="minorEastAsia" w:eastAsiaTheme="minorEastAsia"/>
        </w:rPr>
      </w:pPr>
      <w:r>
        <w:rPr>
          <w:rFonts w:hint="eastAsia" w:asciiTheme="minorEastAsia" w:hAnsiTheme="minorEastAsia" w:eastAsiaTheme="minorEastAsia"/>
        </w:rPr>
        <w:t>第六章　投标文件格式</w:t>
      </w:r>
    </w:p>
    <w:p w14:paraId="015FFA8F">
      <w:pPr>
        <w:snapToGrid w:val="0"/>
        <w:spacing w:line="360" w:lineRule="auto"/>
        <w:ind w:right="-85"/>
        <w:rPr>
          <w:rFonts w:asciiTheme="minorEastAsia" w:hAnsiTheme="minorEastAsia" w:eastAsiaTheme="minorEastAsia"/>
          <w:sz w:val="24"/>
        </w:rPr>
      </w:pPr>
    </w:p>
    <w:p w14:paraId="3FEAB5A0">
      <w:pPr>
        <w:rPr>
          <w:rFonts w:asciiTheme="minorEastAsia" w:hAnsiTheme="minorEastAsia" w:eastAsiaTheme="minorEastAsia"/>
          <w:sz w:val="24"/>
        </w:rPr>
      </w:pPr>
      <w:r>
        <w:rPr>
          <w:rFonts w:hint="eastAsia" w:asciiTheme="minorEastAsia" w:hAnsiTheme="minorEastAsia" w:eastAsiaTheme="minorEastAsia"/>
          <w:sz w:val="24"/>
        </w:rPr>
        <w:t>一.备份投标文件封面格式</w:t>
      </w:r>
    </w:p>
    <w:p w14:paraId="21E65C60">
      <w:pPr>
        <w:snapToGrid w:val="0"/>
        <w:spacing w:line="312" w:lineRule="auto"/>
        <w:ind w:right="-87"/>
        <w:rPr>
          <w:rFonts w:asciiTheme="minorEastAsia" w:hAnsiTheme="minorEastAsia" w:eastAsiaTheme="minorEastAsia"/>
          <w:sz w:val="28"/>
        </w:rPr>
      </w:pPr>
    </w:p>
    <w:p w14:paraId="038E2CD7">
      <w:pPr>
        <w:pStyle w:val="12"/>
        <w:rPr>
          <w:rFonts w:asciiTheme="minorEastAsia" w:hAnsiTheme="minorEastAsia" w:eastAsiaTheme="minorEastAsia"/>
        </w:rPr>
      </w:pPr>
    </w:p>
    <w:p w14:paraId="41EB1DE4">
      <w:pPr>
        <w:snapToGrid w:val="0"/>
        <w:spacing w:line="312" w:lineRule="auto"/>
        <w:ind w:right="-87"/>
        <w:jc w:val="center"/>
        <w:rPr>
          <w:rFonts w:asciiTheme="minorEastAsia" w:hAnsiTheme="minorEastAsia" w:eastAsiaTheme="minorEastAsia"/>
          <w:sz w:val="44"/>
        </w:rPr>
      </w:pPr>
      <w:r>
        <w:rPr>
          <w:rFonts w:hint="eastAsia" w:asciiTheme="minorEastAsia" w:hAnsiTheme="minorEastAsia" w:eastAsiaTheme="minorEastAsia"/>
          <w:sz w:val="44"/>
        </w:rPr>
        <w:t>投 标 文 件</w:t>
      </w:r>
    </w:p>
    <w:p w14:paraId="1038ABE1">
      <w:pPr>
        <w:pStyle w:val="12"/>
        <w:rPr>
          <w:rFonts w:asciiTheme="minorEastAsia" w:hAnsiTheme="minorEastAsia" w:eastAsiaTheme="minorEastAsia"/>
          <w:sz w:val="44"/>
        </w:rPr>
      </w:pPr>
    </w:p>
    <w:p w14:paraId="64845DF2">
      <w:pPr>
        <w:pStyle w:val="12"/>
        <w:rPr>
          <w:rFonts w:asciiTheme="minorEastAsia" w:hAnsiTheme="minorEastAsia" w:eastAsiaTheme="minorEastAsia"/>
          <w:sz w:val="44"/>
        </w:rPr>
      </w:pPr>
    </w:p>
    <w:p w14:paraId="4DF79439">
      <w:pPr>
        <w:pStyle w:val="12"/>
        <w:rPr>
          <w:rFonts w:asciiTheme="minorEastAsia" w:hAnsiTheme="minorEastAsia" w:eastAsiaTheme="minorEastAsia"/>
          <w:sz w:val="44"/>
        </w:rPr>
      </w:pPr>
    </w:p>
    <w:p w14:paraId="052BC231">
      <w:pPr>
        <w:pStyle w:val="12"/>
        <w:rPr>
          <w:rFonts w:asciiTheme="minorEastAsia" w:hAnsiTheme="minorEastAsia" w:eastAsiaTheme="minorEastAsia"/>
          <w:sz w:val="44"/>
        </w:rPr>
      </w:pPr>
    </w:p>
    <w:p w14:paraId="66F49830">
      <w:pPr>
        <w:pStyle w:val="12"/>
        <w:rPr>
          <w:rFonts w:asciiTheme="minorEastAsia" w:hAnsiTheme="minorEastAsia" w:eastAsiaTheme="minorEastAsia"/>
          <w:sz w:val="44"/>
        </w:rPr>
      </w:pPr>
    </w:p>
    <w:p w14:paraId="1DF25F15">
      <w:pPr>
        <w:pStyle w:val="12"/>
        <w:rPr>
          <w:rFonts w:asciiTheme="minorEastAsia" w:hAnsiTheme="minorEastAsia" w:eastAsiaTheme="minorEastAsia"/>
          <w:sz w:val="44"/>
        </w:rPr>
      </w:pPr>
    </w:p>
    <w:p w14:paraId="7F0D9000">
      <w:pPr>
        <w:snapToGrid w:val="0"/>
        <w:spacing w:line="480" w:lineRule="auto"/>
        <w:ind w:right="-85" w:firstLine="1120" w:firstLineChars="400"/>
        <w:rPr>
          <w:rFonts w:asciiTheme="minorEastAsia" w:hAnsiTheme="minorEastAsia" w:eastAsiaTheme="minorEastAsia"/>
          <w:sz w:val="28"/>
        </w:rPr>
      </w:pPr>
      <w:r>
        <w:rPr>
          <w:rFonts w:hint="eastAsia" w:asciiTheme="minorEastAsia" w:hAnsiTheme="minorEastAsia" w:eastAsiaTheme="minorEastAsia"/>
          <w:sz w:val="28"/>
        </w:rPr>
        <w:t xml:space="preserve">项目名称： </w:t>
      </w:r>
    </w:p>
    <w:p w14:paraId="58DD99D5">
      <w:pPr>
        <w:snapToGrid w:val="0"/>
        <w:spacing w:line="480" w:lineRule="auto"/>
        <w:ind w:right="-85" w:firstLine="560" w:firstLineChars="200"/>
        <w:rPr>
          <w:rFonts w:asciiTheme="minorEastAsia" w:hAnsiTheme="minorEastAsia" w:eastAsiaTheme="minorEastAsia"/>
          <w:sz w:val="28"/>
          <w:u w:val="single"/>
        </w:rPr>
      </w:pPr>
      <w:r>
        <w:rPr>
          <w:rFonts w:hint="eastAsia" w:asciiTheme="minorEastAsia" w:hAnsiTheme="minorEastAsia" w:eastAsiaTheme="minorEastAsia"/>
          <w:sz w:val="28"/>
        </w:rPr>
        <w:t xml:space="preserve">    项目编号：</w:t>
      </w:r>
    </w:p>
    <w:p w14:paraId="1E101A67">
      <w:pPr>
        <w:pStyle w:val="8"/>
        <w:snapToGrid w:val="0"/>
        <w:spacing w:line="480" w:lineRule="auto"/>
        <w:ind w:right="-85" w:firstLine="1164" w:firstLineChars="416"/>
        <w:rPr>
          <w:rFonts w:asciiTheme="minorEastAsia" w:hAnsiTheme="minorEastAsia" w:eastAsiaTheme="minorEastAsia"/>
          <w:sz w:val="28"/>
        </w:rPr>
      </w:pPr>
      <w:r>
        <w:rPr>
          <w:rFonts w:hint="eastAsia" w:asciiTheme="minorEastAsia" w:hAnsiTheme="minorEastAsia" w:eastAsiaTheme="minorEastAsia"/>
          <w:sz w:val="28"/>
        </w:rPr>
        <w:t>投标人名称：</w:t>
      </w:r>
      <w:r>
        <w:rPr>
          <w:rFonts w:hint="eastAsia" w:asciiTheme="minorEastAsia" w:hAnsiTheme="minorEastAsia" w:eastAsiaTheme="minorEastAsia"/>
          <w:sz w:val="28"/>
          <w:u w:val="single"/>
        </w:rPr>
        <w:t xml:space="preserve">                            （</w:t>
      </w:r>
      <w:r>
        <w:rPr>
          <w:rFonts w:hint="eastAsia" w:asciiTheme="minorEastAsia" w:hAnsiTheme="minorEastAsia" w:eastAsiaTheme="minorEastAsia"/>
          <w:sz w:val="28"/>
        </w:rPr>
        <w:t>加盖公章）</w:t>
      </w:r>
    </w:p>
    <w:p w14:paraId="0EE87F32">
      <w:pPr>
        <w:pStyle w:val="8"/>
        <w:snapToGrid w:val="0"/>
        <w:spacing w:line="480" w:lineRule="auto"/>
        <w:ind w:right="-85" w:firstLine="1164" w:firstLineChars="416"/>
        <w:rPr>
          <w:rFonts w:asciiTheme="minorEastAsia" w:hAnsiTheme="minorEastAsia" w:eastAsiaTheme="minorEastAsia"/>
          <w:sz w:val="28"/>
          <w:u w:val="single"/>
        </w:rPr>
      </w:pPr>
      <w:r>
        <w:rPr>
          <w:rFonts w:hint="eastAsia" w:asciiTheme="minorEastAsia" w:hAnsiTheme="minorEastAsia" w:eastAsiaTheme="minorEastAsia"/>
          <w:sz w:val="28"/>
        </w:rPr>
        <w:t>投标人地址：</w:t>
      </w:r>
    </w:p>
    <w:p w14:paraId="615BFA25">
      <w:pPr>
        <w:pStyle w:val="8"/>
        <w:snapToGrid w:val="0"/>
        <w:spacing w:line="480" w:lineRule="auto"/>
        <w:ind w:right="-85" w:firstLine="1120" w:firstLineChars="400"/>
        <w:rPr>
          <w:rFonts w:asciiTheme="minorEastAsia" w:hAnsiTheme="minorEastAsia" w:eastAsiaTheme="minorEastAsia"/>
          <w:sz w:val="28"/>
          <w:u w:val="single"/>
        </w:rPr>
      </w:pPr>
      <w:r>
        <w:rPr>
          <w:rFonts w:hint="eastAsia" w:asciiTheme="minorEastAsia" w:hAnsiTheme="minorEastAsia" w:eastAsiaTheme="minorEastAsia"/>
          <w:sz w:val="28"/>
        </w:rPr>
        <w:t xml:space="preserve">投标联系人：电话 </w:t>
      </w:r>
    </w:p>
    <w:p w14:paraId="1798A265">
      <w:pPr>
        <w:snapToGrid w:val="0"/>
        <w:spacing w:line="480" w:lineRule="auto"/>
        <w:ind w:right="-85" w:firstLine="4080" w:firstLineChars="1700"/>
        <w:rPr>
          <w:rFonts w:asciiTheme="minorEastAsia" w:hAnsiTheme="minorEastAsia" w:eastAsiaTheme="minorEastAsia"/>
          <w:sz w:val="24"/>
        </w:rPr>
      </w:pPr>
    </w:p>
    <w:p w14:paraId="3CD6D17D">
      <w:pPr>
        <w:snapToGrid w:val="0"/>
        <w:spacing w:line="480" w:lineRule="auto"/>
        <w:ind w:right="-85" w:firstLine="645"/>
        <w:jc w:val="center"/>
        <w:rPr>
          <w:rFonts w:asciiTheme="minorEastAsia" w:hAnsiTheme="minorEastAsia" w:eastAsiaTheme="minorEastAsia"/>
          <w:sz w:val="24"/>
        </w:rPr>
      </w:pPr>
      <w:r>
        <w:rPr>
          <w:rFonts w:hint="eastAsia" w:asciiTheme="minorEastAsia" w:hAnsiTheme="minorEastAsia" w:eastAsiaTheme="minorEastAsia"/>
          <w:sz w:val="24"/>
        </w:rPr>
        <w:t xml:space="preserve">                                 年   月   日</w:t>
      </w:r>
    </w:p>
    <w:p w14:paraId="0695D907">
      <w:pPr>
        <w:snapToGrid w:val="0"/>
        <w:spacing w:line="312" w:lineRule="auto"/>
        <w:ind w:right="-87"/>
        <w:rPr>
          <w:rFonts w:asciiTheme="minorEastAsia" w:hAnsiTheme="minorEastAsia" w:eastAsiaTheme="minorEastAsia"/>
          <w:sz w:val="24"/>
        </w:rPr>
        <w:sectPr>
          <w:pgSz w:w="11906" w:h="16838"/>
          <w:pgMar w:top="1304" w:right="1106" w:bottom="1304" w:left="1531" w:header="1304" w:footer="1304" w:gutter="0"/>
          <w:cols w:space="720" w:num="1"/>
        </w:sectPr>
      </w:pPr>
    </w:p>
    <w:p w14:paraId="21ED1DEA">
      <w:pPr>
        <w:pStyle w:val="2"/>
        <w:snapToGrid w:val="0"/>
        <w:spacing w:before="120" w:line="312" w:lineRule="auto"/>
        <w:ind w:right="-341"/>
        <w:jc w:val="center"/>
        <w:rPr>
          <w:rFonts w:asciiTheme="minorEastAsia" w:hAnsiTheme="minorEastAsia" w:eastAsiaTheme="minorEastAsia"/>
          <w:b/>
          <w:sz w:val="32"/>
        </w:rPr>
      </w:pPr>
      <w:r>
        <w:rPr>
          <w:rFonts w:hint="eastAsia" w:asciiTheme="minorEastAsia" w:hAnsiTheme="minorEastAsia" w:eastAsiaTheme="minorEastAsia"/>
          <w:b/>
          <w:sz w:val="32"/>
        </w:rPr>
        <w:t>二、投标报价一览表</w:t>
      </w:r>
    </w:p>
    <w:p w14:paraId="11063A2E">
      <w:pPr>
        <w:snapToGrid w:val="0"/>
        <w:spacing w:before="50" w:after="50"/>
        <w:rPr>
          <w:rFonts w:asciiTheme="minorEastAsia" w:hAnsiTheme="minorEastAsia" w:eastAsiaTheme="minorEastAsia"/>
          <w:szCs w:val="21"/>
        </w:rPr>
      </w:pPr>
      <w:r>
        <w:rPr>
          <w:rFonts w:hint="eastAsia" w:asciiTheme="minorEastAsia" w:hAnsiTheme="minorEastAsia" w:eastAsiaTheme="minorEastAsia"/>
          <w:szCs w:val="21"/>
        </w:rPr>
        <w:t>项目名称：                 项目编号：                  投标人名称：</w:t>
      </w:r>
    </w:p>
    <w:p w14:paraId="49C9F66A">
      <w:pPr>
        <w:snapToGrid w:val="0"/>
        <w:spacing w:before="50" w:after="50"/>
        <w:rPr>
          <w:rFonts w:asciiTheme="minorEastAsia" w:hAnsiTheme="minorEastAsia" w:eastAsiaTheme="minorEastAsia"/>
          <w:szCs w:val="21"/>
        </w:rPr>
      </w:pPr>
      <w:r>
        <w:rPr>
          <w:rFonts w:hint="eastAsia" w:asciiTheme="minorEastAsia" w:hAnsiTheme="minorEastAsia" w:eastAsiaTheme="minorEastAsia"/>
          <w:szCs w:val="21"/>
        </w:rPr>
        <w:t>单位：元</w:t>
      </w:r>
    </w:p>
    <w:tbl>
      <w:tblPr>
        <w:tblStyle w:val="28"/>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7632"/>
      </w:tblGrid>
      <w:tr w14:paraId="338C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1728" w:type="dxa"/>
            <w:tcBorders>
              <w:bottom w:val="single" w:color="auto" w:sz="4" w:space="0"/>
            </w:tcBorders>
            <w:vAlign w:val="center"/>
          </w:tcPr>
          <w:p w14:paraId="2E00AC9D">
            <w:pPr>
              <w:jc w:val="center"/>
              <w:rPr>
                <w:rFonts w:ascii="宋体" w:hAnsi="宋体"/>
                <w:bCs/>
                <w:szCs w:val="21"/>
              </w:rPr>
            </w:pPr>
            <w:r>
              <w:rPr>
                <w:rFonts w:ascii="宋体" w:hAnsi="宋体"/>
                <w:szCs w:val="21"/>
              </w:rPr>
              <w:t>项目名称</w:t>
            </w:r>
          </w:p>
        </w:tc>
        <w:tc>
          <w:tcPr>
            <w:tcW w:w="7632" w:type="dxa"/>
            <w:tcBorders>
              <w:bottom w:val="single" w:color="auto" w:sz="4" w:space="0"/>
            </w:tcBorders>
            <w:vAlign w:val="center"/>
          </w:tcPr>
          <w:p w14:paraId="69FC677C">
            <w:pPr>
              <w:jc w:val="center"/>
              <w:rPr>
                <w:rFonts w:ascii="宋体" w:hAnsi="宋体"/>
                <w:bCs/>
                <w:szCs w:val="21"/>
              </w:rPr>
            </w:pPr>
          </w:p>
        </w:tc>
      </w:tr>
      <w:tr w14:paraId="5AD2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2" w:hRule="atLeast"/>
        </w:trPr>
        <w:tc>
          <w:tcPr>
            <w:tcW w:w="1728" w:type="dxa"/>
            <w:vAlign w:val="center"/>
          </w:tcPr>
          <w:p w14:paraId="2B4808DD">
            <w:pPr>
              <w:jc w:val="center"/>
              <w:rPr>
                <w:rFonts w:ascii="宋体" w:hAnsi="宋体"/>
                <w:szCs w:val="21"/>
              </w:rPr>
            </w:pPr>
            <w:r>
              <w:rPr>
                <w:rFonts w:ascii="宋体" w:hAnsi="宋体"/>
                <w:szCs w:val="21"/>
              </w:rPr>
              <w:t>项目编号</w:t>
            </w:r>
          </w:p>
        </w:tc>
        <w:tc>
          <w:tcPr>
            <w:tcW w:w="7632" w:type="dxa"/>
            <w:vAlign w:val="center"/>
          </w:tcPr>
          <w:p w14:paraId="271104E1">
            <w:pPr>
              <w:pStyle w:val="111"/>
              <w:widowControl w:val="0"/>
              <w:pBdr>
                <w:bottom w:val="none" w:color="auto" w:sz="0" w:space="0"/>
                <w:right w:val="none" w:color="auto" w:sz="0" w:space="0"/>
              </w:pBdr>
              <w:spacing w:before="0" w:beforeAutospacing="0" w:after="0" w:afterAutospacing="0" w:line="360" w:lineRule="auto"/>
              <w:rPr>
                <w:bCs/>
                <w:kern w:val="2"/>
                <w:szCs w:val="21"/>
              </w:rPr>
            </w:pPr>
          </w:p>
        </w:tc>
      </w:tr>
      <w:tr w14:paraId="6531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0" w:hRule="atLeast"/>
        </w:trPr>
        <w:tc>
          <w:tcPr>
            <w:tcW w:w="1728" w:type="dxa"/>
            <w:vAlign w:val="center"/>
          </w:tcPr>
          <w:p w14:paraId="01DFAA61">
            <w:pPr>
              <w:jc w:val="center"/>
              <w:rPr>
                <w:rFonts w:ascii="宋体" w:hAnsi="宋体"/>
                <w:szCs w:val="21"/>
              </w:rPr>
            </w:pPr>
            <w:r>
              <w:rPr>
                <w:rFonts w:ascii="宋体" w:hAnsi="宋体"/>
                <w:szCs w:val="21"/>
              </w:rPr>
              <w:t>投标报价</w:t>
            </w:r>
          </w:p>
        </w:tc>
        <w:tc>
          <w:tcPr>
            <w:tcW w:w="7632" w:type="dxa"/>
            <w:vAlign w:val="center"/>
          </w:tcPr>
          <w:p w14:paraId="2E8D14EA">
            <w:pPr>
              <w:spacing w:line="360" w:lineRule="auto"/>
              <w:rPr>
                <w:rFonts w:ascii="宋体" w:hAnsi="宋体"/>
                <w:bCs/>
                <w:szCs w:val="21"/>
              </w:rPr>
            </w:pPr>
            <w:r>
              <w:rPr>
                <w:rFonts w:ascii="宋体" w:hAnsi="宋体"/>
                <w:bCs/>
                <w:szCs w:val="21"/>
              </w:rPr>
              <w:t>（小写）人民币元</w:t>
            </w:r>
          </w:p>
          <w:p w14:paraId="16641140">
            <w:pPr>
              <w:spacing w:line="360" w:lineRule="auto"/>
              <w:rPr>
                <w:rFonts w:ascii="宋体" w:hAnsi="宋体"/>
                <w:bCs/>
                <w:szCs w:val="21"/>
              </w:rPr>
            </w:pPr>
            <w:r>
              <w:rPr>
                <w:rFonts w:ascii="宋体" w:hAnsi="宋体"/>
                <w:bCs/>
                <w:szCs w:val="21"/>
              </w:rPr>
              <w:t>（大写）人民币元</w:t>
            </w:r>
          </w:p>
        </w:tc>
      </w:tr>
      <w:tr w14:paraId="14D4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9360" w:type="dxa"/>
            <w:gridSpan w:val="2"/>
            <w:vAlign w:val="center"/>
          </w:tcPr>
          <w:p w14:paraId="6D342FF2">
            <w:pPr>
              <w:spacing w:line="400" w:lineRule="atLeast"/>
              <w:jc w:val="center"/>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备注：详细内容见《</w:t>
            </w:r>
            <w:r>
              <w:rPr>
                <w:rFonts w:hint="eastAsia" w:ascii="宋体" w:hAnsi="宋体"/>
                <w:color w:val="000000" w:themeColor="text1"/>
                <w:szCs w:val="21"/>
                <w14:textFill>
                  <w14:solidFill>
                    <w14:schemeClr w14:val="tx1"/>
                  </w14:solidFill>
                </w14:textFill>
              </w:rPr>
              <w:t>投标</w:t>
            </w:r>
            <w:r>
              <w:rPr>
                <w:rFonts w:ascii="宋体" w:hAnsi="宋体"/>
                <w:color w:val="000000" w:themeColor="text1"/>
                <w:szCs w:val="21"/>
                <w14:textFill>
                  <w14:solidFill>
                    <w14:schemeClr w14:val="tx1"/>
                  </w14:solidFill>
                </w14:textFill>
              </w:rPr>
              <w:t>报价明细表》。</w:t>
            </w:r>
          </w:p>
        </w:tc>
      </w:tr>
    </w:tbl>
    <w:p w14:paraId="651D8E4B">
      <w:pPr>
        <w:snapToGrid w:val="0"/>
        <w:spacing w:before="50" w:after="50"/>
        <w:jc w:val="left"/>
        <w:rPr>
          <w:rFonts w:asciiTheme="minorEastAsia" w:hAnsiTheme="minorEastAsia" w:eastAsiaTheme="minorEastAsia"/>
          <w:color w:val="000000" w:themeColor="text1"/>
          <w:szCs w:val="21"/>
          <w14:textFill>
            <w14:solidFill>
              <w14:schemeClr w14:val="tx1"/>
            </w14:solidFill>
          </w14:textFill>
        </w:rPr>
      </w:pPr>
    </w:p>
    <w:p w14:paraId="531B8AA6">
      <w:pPr>
        <w:snapToGrid w:val="0"/>
        <w:spacing w:before="50" w:after="50"/>
        <w:jc w:val="left"/>
        <w:rPr>
          <w:rFonts w:asciiTheme="minorEastAsia" w:hAnsiTheme="minorEastAsia" w:eastAsiaTheme="minorEastAsia"/>
          <w:color w:val="000000" w:themeColor="text1"/>
          <w:szCs w:val="21"/>
          <w14:textFill>
            <w14:solidFill>
              <w14:schemeClr w14:val="tx1"/>
            </w14:solidFill>
          </w14:textFill>
        </w:rPr>
      </w:pPr>
    </w:p>
    <w:p w14:paraId="29DE4BA9">
      <w:pPr>
        <w:pStyle w:val="12"/>
        <w:spacing w:before="37" w:line="360" w:lineRule="exact"/>
        <w:rPr>
          <w:rFonts w:asciiTheme="minorEastAsia" w:hAnsiTheme="minorEastAsia" w:eastAsiaTheme="minorEastAsia"/>
          <w:b/>
          <w:bCs/>
          <w:color w:val="000000" w:themeColor="text1"/>
          <w:sz w:val="21"/>
          <w:szCs w:val="21"/>
          <w:lang w:val="zh-CN"/>
          <w14:textFill>
            <w14:solidFill>
              <w14:schemeClr w14:val="tx1"/>
            </w14:solidFill>
          </w14:textFill>
        </w:rPr>
      </w:pPr>
      <w:r>
        <w:rPr>
          <w:rFonts w:hint="eastAsia" w:asciiTheme="minorEastAsia" w:hAnsiTheme="minorEastAsia" w:eastAsiaTheme="minorEastAsia"/>
          <w:b/>
          <w:bCs/>
          <w:color w:val="000000" w:themeColor="text1"/>
          <w:sz w:val="21"/>
          <w:szCs w:val="21"/>
          <w14:textFill>
            <w14:solidFill>
              <w14:schemeClr w14:val="tx1"/>
            </w14:solidFill>
          </w14:textFill>
        </w:rPr>
        <w:t>注:</w:t>
      </w:r>
      <w:r>
        <w:rPr>
          <w:rFonts w:hint="eastAsia" w:asciiTheme="minorEastAsia" w:hAnsiTheme="minorEastAsia" w:eastAsiaTheme="minorEastAsia"/>
          <w:b/>
          <w:bCs/>
          <w:color w:val="000000" w:themeColor="text1"/>
          <w:sz w:val="21"/>
          <w:szCs w:val="21"/>
          <w:lang w:val="zh-CN"/>
          <w14:textFill>
            <w14:solidFill>
              <w14:schemeClr w14:val="tx1"/>
            </w14:solidFill>
          </w14:textFill>
        </w:rPr>
        <w:t>1.投标报价不得超过预算总价，否则为无效投标。</w:t>
      </w:r>
    </w:p>
    <w:p w14:paraId="6C3EE7C5">
      <w:pPr>
        <w:pStyle w:val="12"/>
        <w:spacing w:before="37" w:line="360" w:lineRule="exact"/>
        <w:rPr>
          <w:rFonts w:asciiTheme="minorEastAsia" w:hAnsiTheme="minorEastAsia" w:eastAsiaTheme="minorEastAsia"/>
          <w:b/>
          <w:bCs/>
          <w:color w:val="000000" w:themeColor="text1"/>
          <w:sz w:val="21"/>
          <w:szCs w:val="21"/>
          <w:lang w:val="zh-CN"/>
          <w14:textFill>
            <w14:solidFill>
              <w14:schemeClr w14:val="tx1"/>
            </w14:solidFill>
          </w14:textFill>
        </w:rPr>
      </w:pPr>
      <w:r>
        <w:rPr>
          <w:rFonts w:hint="eastAsia" w:asciiTheme="minorEastAsia" w:hAnsiTheme="minorEastAsia" w:eastAsiaTheme="minorEastAsia"/>
          <w:b/>
          <w:bCs/>
          <w:color w:val="000000" w:themeColor="text1"/>
          <w:sz w:val="21"/>
          <w:szCs w:val="21"/>
          <w:lang w:val="zh-CN"/>
          <w14:textFill>
            <w14:solidFill>
              <w14:schemeClr w14:val="tx1"/>
            </w14:solidFill>
          </w14:textFill>
        </w:rPr>
        <w:t>2.报价为完成</w:t>
      </w:r>
      <w:r>
        <w:rPr>
          <w:rFonts w:hint="eastAsia" w:asciiTheme="minorEastAsia" w:hAnsiTheme="minorEastAsia" w:eastAsiaTheme="minorEastAsia"/>
          <w:b/>
          <w:bCs/>
          <w:color w:val="000000" w:themeColor="text1"/>
          <w:sz w:val="21"/>
          <w:szCs w:val="21"/>
          <w14:textFill>
            <w14:solidFill>
              <w14:schemeClr w14:val="tx1"/>
            </w14:solidFill>
          </w14:textFill>
        </w:rPr>
        <w:t>本</w:t>
      </w:r>
      <w:r>
        <w:rPr>
          <w:rFonts w:hint="eastAsia" w:asciiTheme="minorEastAsia" w:hAnsiTheme="minorEastAsia" w:eastAsiaTheme="minorEastAsia"/>
          <w:b/>
          <w:bCs/>
          <w:color w:val="000000" w:themeColor="text1"/>
          <w:sz w:val="21"/>
          <w:szCs w:val="21"/>
          <w:lang w:val="zh-CN"/>
          <w14:textFill>
            <w14:solidFill>
              <w14:schemeClr w14:val="tx1"/>
            </w14:solidFill>
          </w14:textFill>
        </w:rPr>
        <w:t>招标书所列招标工程范围等全部工作内容的价格体现，包</w:t>
      </w:r>
      <w:r>
        <w:rPr>
          <w:rFonts w:hint="eastAsia" w:asciiTheme="minorEastAsia" w:hAnsiTheme="minorEastAsia" w:eastAsiaTheme="minorEastAsia"/>
          <w:b/>
          <w:bCs/>
          <w:color w:val="auto"/>
          <w:sz w:val="21"/>
          <w:szCs w:val="21"/>
          <w:lang w:val="zh-CN"/>
        </w:rPr>
        <w:t>括</w:t>
      </w:r>
      <w:r>
        <w:rPr>
          <w:rFonts w:hint="eastAsia" w:asciiTheme="minorEastAsia" w:hAnsiTheme="minorEastAsia" w:eastAsiaTheme="minorEastAsia"/>
          <w:b/>
          <w:bCs/>
          <w:color w:val="auto"/>
          <w:sz w:val="21"/>
          <w:szCs w:val="21"/>
          <w:highlight w:val="none"/>
          <w:lang w:val="en-US" w:eastAsia="zh-CN"/>
        </w:rPr>
        <w:t>设计费</w:t>
      </w:r>
      <w:r>
        <w:rPr>
          <w:rFonts w:hint="eastAsia" w:asciiTheme="minorEastAsia" w:hAnsiTheme="minorEastAsia" w:eastAsiaTheme="minorEastAsia"/>
          <w:b/>
          <w:bCs/>
          <w:color w:val="auto"/>
          <w:sz w:val="21"/>
          <w:szCs w:val="21"/>
          <w:lang w:val="en-US" w:eastAsia="zh-CN"/>
        </w:rPr>
        <w:t>、</w:t>
      </w:r>
      <w:r>
        <w:rPr>
          <w:rFonts w:hint="eastAsia" w:asciiTheme="minorEastAsia" w:hAnsiTheme="minorEastAsia" w:eastAsiaTheme="minorEastAsia"/>
          <w:b/>
          <w:bCs/>
          <w:color w:val="auto"/>
          <w:sz w:val="21"/>
          <w:szCs w:val="21"/>
          <w:lang w:val="zh-CN"/>
        </w:rPr>
        <w:t>材</w:t>
      </w:r>
      <w:r>
        <w:rPr>
          <w:rFonts w:hint="eastAsia" w:asciiTheme="minorEastAsia" w:hAnsiTheme="minorEastAsia" w:eastAsiaTheme="minorEastAsia"/>
          <w:b/>
          <w:bCs/>
          <w:color w:val="000000" w:themeColor="text1"/>
          <w:sz w:val="21"/>
          <w:szCs w:val="21"/>
          <w:lang w:val="zh-CN"/>
          <w14:textFill>
            <w14:solidFill>
              <w14:schemeClr w14:val="tx1"/>
            </w14:solidFill>
          </w14:textFill>
        </w:rPr>
        <w:t>料、运杂费、设备电源、控制线缆、施工设备费、施工管理配合费，施工用水电费、保险费、材料费（包括主材、辅助材料、周转性材料）、人工费、机械费、系统调试试验费、检测费用、专项验收费、系统培训费、质量保证费、采购代理服务费、投标人承担的义务、责任所发生的一切费用、利润、税金以及投标人应交纳的各种政策文件规定的所有费用和所需承担的一切风险的费用。</w:t>
      </w:r>
    </w:p>
    <w:p w14:paraId="5738778B">
      <w:pPr>
        <w:snapToGrid w:val="0"/>
        <w:spacing w:before="50" w:after="50" w:line="360" w:lineRule="auto"/>
        <w:ind w:firstLine="420" w:firstLineChars="200"/>
        <w:jc w:val="left"/>
        <w:rPr>
          <w:rFonts w:asciiTheme="minorEastAsia" w:hAnsiTheme="minorEastAsia" w:eastAsiaTheme="minorEastAsia"/>
          <w:color w:val="000000" w:themeColor="text1"/>
          <w:szCs w:val="21"/>
          <w14:textFill>
            <w14:solidFill>
              <w14:schemeClr w14:val="tx1"/>
            </w14:solidFill>
          </w14:textFill>
        </w:rPr>
      </w:pPr>
    </w:p>
    <w:p w14:paraId="611FA4F9">
      <w:pPr>
        <w:snapToGrid w:val="0"/>
        <w:spacing w:before="50" w:after="50" w:line="360" w:lineRule="auto"/>
        <w:ind w:firstLine="420" w:firstLineChars="200"/>
        <w:jc w:val="left"/>
        <w:rPr>
          <w:rFonts w:asciiTheme="minorEastAsia" w:hAnsiTheme="minorEastAsia" w:eastAsiaTheme="minorEastAsia"/>
          <w:color w:val="000000" w:themeColor="text1"/>
          <w:szCs w:val="21"/>
          <w14:textFill>
            <w14:solidFill>
              <w14:schemeClr w14:val="tx1"/>
            </w14:solidFill>
          </w14:textFill>
        </w:rPr>
      </w:pPr>
    </w:p>
    <w:p w14:paraId="259897CF">
      <w:pPr>
        <w:snapToGrid w:val="0"/>
        <w:spacing w:line="360" w:lineRule="auto"/>
        <w:ind w:right="-341"/>
        <w:rPr>
          <w:rFonts w:asciiTheme="minorEastAsia" w:hAnsiTheme="minorEastAsia" w:eastAsiaTheme="minorEastAsia"/>
          <w:color w:val="000000" w:themeColor="text1"/>
          <w:szCs w:val="21"/>
          <w14:textFill>
            <w14:solidFill>
              <w14:schemeClr w14:val="tx1"/>
            </w14:solidFill>
          </w14:textFill>
        </w:rPr>
      </w:pPr>
    </w:p>
    <w:p w14:paraId="2160A6EC">
      <w:pPr>
        <w:snapToGrid w:val="0"/>
        <w:spacing w:line="360" w:lineRule="auto"/>
        <w:ind w:right="-341"/>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法定代表人（负责人）签字或盖章：</w:t>
      </w:r>
    </w:p>
    <w:p w14:paraId="3A30F5D4">
      <w:pPr>
        <w:snapToGrid w:val="0"/>
        <w:spacing w:line="360" w:lineRule="auto"/>
        <w:ind w:left="2" w:right="-817" w:rightChars="-389"/>
        <w:rPr>
          <w:rFonts w:asciiTheme="minorEastAsia" w:hAnsiTheme="minorEastAsia" w:eastAsiaTheme="minorEastAsia"/>
          <w:color w:val="000000" w:themeColor="text1"/>
          <w:szCs w:val="21"/>
          <w14:textFill>
            <w14:solidFill>
              <w14:schemeClr w14:val="tx1"/>
            </w14:solidFill>
          </w14:textFill>
        </w:rPr>
      </w:pPr>
    </w:p>
    <w:p w14:paraId="25F127CF">
      <w:pPr>
        <w:snapToGrid w:val="0"/>
        <w:spacing w:line="360" w:lineRule="auto"/>
        <w:ind w:left="2" w:right="-817" w:rightChars="-389"/>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投标人名称（盖章）：                                  日期：     年    月    日</w:t>
      </w:r>
    </w:p>
    <w:p w14:paraId="7DFA08CE">
      <w:pPr>
        <w:pStyle w:val="20"/>
        <w:widowControl/>
        <w:overflowPunct w:val="0"/>
        <w:autoSpaceDE w:val="0"/>
        <w:autoSpaceDN w:val="0"/>
        <w:adjustRightInd w:val="0"/>
        <w:snapToGrid w:val="0"/>
        <w:ind w:right="-341"/>
        <w:textAlignment w:val="baseline"/>
        <w:rPr>
          <w:rFonts w:asciiTheme="minorEastAsia" w:hAnsiTheme="minorEastAsia" w:eastAsiaTheme="minorEastAsia"/>
          <w:color w:val="000000" w:themeColor="text1"/>
          <w:kern w:val="0"/>
          <w14:textFill>
            <w14:solidFill>
              <w14:schemeClr w14:val="tx1"/>
            </w14:solidFill>
          </w14:textFill>
        </w:rPr>
      </w:pPr>
    </w:p>
    <w:p w14:paraId="6BF0438E">
      <w:pPr>
        <w:rPr>
          <w:color w:val="000000" w:themeColor="text1"/>
          <w14:textFill>
            <w14:solidFill>
              <w14:schemeClr w14:val="tx1"/>
            </w14:solidFill>
          </w14:textFill>
        </w:rPr>
        <w:sectPr>
          <w:pgSz w:w="11906" w:h="16838"/>
          <w:pgMar w:top="1361" w:right="924" w:bottom="1134" w:left="1418" w:header="851" w:footer="851" w:gutter="0"/>
          <w:cols w:space="720" w:num="1"/>
          <w:docGrid w:linePitch="312" w:charSpace="0"/>
        </w:sectPr>
      </w:pPr>
    </w:p>
    <w:p w14:paraId="435B4FBD">
      <w:pPr>
        <w:pStyle w:val="2"/>
        <w:snapToGrid w:val="0"/>
        <w:spacing w:before="120" w:line="312" w:lineRule="auto"/>
        <w:ind w:right="-341"/>
        <w:rPr>
          <w:rFonts w:asciiTheme="minorEastAsia" w:hAnsiTheme="minorEastAsia" w:eastAsiaTheme="minorEastAsia"/>
          <w:b/>
          <w:color w:val="000000" w:themeColor="text1"/>
          <w:sz w:val="32"/>
          <w14:textFill>
            <w14:solidFill>
              <w14:schemeClr w14:val="tx1"/>
            </w14:solidFill>
          </w14:textFill>
        </w:rPr>
      </w:pPr>
    </w:p>
    <w:p w14:paraId="476558CA">
      <w:pPr>
        <w:pStyle w:val="2"/>
        <w:snapToGrid w:val="0"/>
        <w:spacing w:before="120" w:line="312" w:lineRule="auto"/>
        <w:ind w:right="-341"/>
        <w:jc w:val="center"/>
        <w:rPr>
          <w:rFonts w:asciiTheme="minorEastAsia" w:hAnsiTheme="minorEastAsia" w:eastAsiaTheme="minorEastAsia"/>
          <w:b/>
          <w:color w:val="000000" w:themeColor="text1"/>
          <w:sz w:val="32"/>
          <w14:textFill>
            <w14:solidFill>
              <w14:schemeClr w14:val="tx1"/>
            </w14:solidFill>
          </w14:textFill>
        </w:rPr>
      </w:pPr>
      <w:r>
        <w:rPr>
          <w:rFonts w:hint="eastAsia" w:asciiTheme="minorEastAsia" w:hAnsiTheme="minorEastAsia" w:eastAsiaTheme="minorEastAsia"/>
          <w:b/>
          <w:color w:val="000000" w:themeColor="text1"/>
          <w:sz w:val="32"/>
          <w14:textFill>
            <w14:solidFill>
              <w14:schemeClr w14:val="tx1"/>
            </w14:solidFill>
          </w14:textFill>
        </w:rPr>
        <w:t>三、投标报价明细表</w:t>
      </w:r>
    </w:p>
    <w:p w14:paraId="2646F32F">
      <w:pPr>
        <w:spacing w:line="360" w:lineRule="auto"/>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项目名称：                                              单位：人民币元</w:t>
      </w:r>
    </w:p>
    <w:tbl>
      <w:tblPr>
        <w:tblStyle w:val="28"/>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39"/>
        <w:gridCol w:w="2256"/>
        <w:gridCol w:w="1414"/>
        <w:gridCol w:w="1225"/>
        <w:gridCol w:w="2111"/>
        <w:gridCol w:w="1783"/>
      </w:tblGrid>
      <w:tr w14:paraId="4D13E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6" w:hRule="atLeast"/>
          <w:jc w:val="center"/>
        </w:trPr>
        <w:tc>
          <w:tcPr>
            <w:tcW w:w="1139" w:type="dxa"/>
            <w:vAlign w:val="center"/>
          </w:tcPr>
          <w:p w14:paraId="1A557123">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2256" w:type="dxa"/>
            <w:vAlign w:val="center"/>
          </w:tcPr>
          <w:p w14:paraId="01DF2DBD">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名称</w:t>
            </w:r>
          </w:p>
        </w:tc>
        <w:tc>
          <w:tcPr>
            <w:tcW w:w="1414" w:type="dxa"/>
            <w:vAlign w:val="center"/>
          </w:tcPr>
          <w:p w14:paraId="747F199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品牌型号</w:t>
            </w:r>
          </w:p>
        </w:tc>
        <w:tc>
          <w:tcPr>
            <w:tcW w:w="1225" w:type="dxa"/>
            <w:vAlign w:val="center"/>
          </w:tcPr>
          <w:p w14:paraId="0CC858DC">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数量单位</w:t>
            </w:r>
          </w:p>
        </w:tc>
        <w:tc>
          <w:tcPr>
            <w:tcW w:w="2111" w:type="dxa"/>
            <w:vAlign w:val="center"/>
          </w:tcPr>
          <w:p w14:paraId="09E485B9">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单价（元）</w:t>
            </w:r>
          </w:p>
        </w:tc>
        <w:tc>
          <w:tcPr>
            <w:tcW w:w="1783" w:type="dxa"/>
            <w:vAlign w:val="center"/>
          </w:tcPr>
          <w:p w14:paraId="36E8E464">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总价（元）</w:t>
            </w:r>
          </w:p>
        </w:tc>
      </w:tr>
      <w:tr w14:paraId="5739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1139" w:type="dxa"/>
            <w:vAlign w:val="center"/>
          </w:tcPr>
          <w:p w14:paraId="086F73BE">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p>
        </w:tc>
        <w:tc>
          <w:tcPr>
            <w:tcW w:w="2256" w:type="dxa"/>
            <w:vAlign w:val="center"/>
          </w:tcPr>
          <w:p w14:paraId="007AD7F4">
            <w:pPr>
              <w:widowControl/>
              <w:jc w:val="center"/>
              <w:rPr>
                <w:rFonts w:ascii="宋体" w:hAnsi="宋体" w:cs="宋体"/>
                <w:color w:val="000000" w:themeColor="text1"/>
                <w:kern w:val="0"/>
                <w:szCs w:val="21"/>
                <w14:textFill>
                  <w14:solidFill>
                    <w14:schemeClr w14:val="tx1"/>
                  </w14:solidFill>
                </w14:textFill>
              </w:rPr>
            </w:pPr>
          </w:p>
        </w:tc>
        <w:tc>
          <w:tcPr>
            <w:tcW w:w="1414" w:type="dxa"/>
            <w:vAlign w:val="center"/>
          </w:tcPr>
          <w:p w14:paraId="0D88157E">
            <w:pPr>
              <w:jc w:val="center"/>
              <w:rPr>
                <w:rFonts w:ascii="宋体" w:hAnsi="宋体" w:cs="宋体"/>
                <w:color w:val="000000" w:themeColor="text1"/>
                <w:szCs w:val="21"/>
                <w14:textFill>
                  <w14:solidFill>
                    <w14:schemeClr w14:val="tx1"/>
                  </w14:solidFill>
                </w14:textFill>
              </w:rPr>
            </w:pPr>
          </w:p>
        </w:tc>
        <w:tc>
          <w:tcPr>
            <w:tcW w:w="1225" w:type="dxa"/>
            <w:vAlign w:val="center"/>
          </w:tcPr>
          <w:p w14:paraId="3A520828">
            <w:pPr>
              <w:ind w:left="420" w:leftChars="200"/>
              <w:rPr>
                <w:rFonts w:ascii="宋体" w:hAnsi="宋体" w:cs="宋体"/>
                <w:color w:val="000000" w:themeColor="text1"/>
                <w:szCs w:val="21"/>
                <w14:textFill>
                  <w14:solidFill>
                    <w14:schemeClr w14:val="tx1"/>
                  </w14:solidFill>
                </w14:textFill>
              </w:rPr>
            </w:pPr>
          </w:p>
        </w:tc>
        <w:tc>
          <w:tcPr>
            <w:tcW w:w="2111" w:type="dxa"/>
            <w:vAlign w:val="center"/>
          </w:tcPr>
          <w:p w14:paraId="5C4A650E">
            <w:pPr>
              <w:ind w:left="-105" w:leftChars="-50" w:firstLine="210" w:firstLineChars="100"/>
              <w:jc w:val="center"/>
              <w:rPr>
                <w:rFonts w:ascii="宋体" w:hAnsi="宋体" w:cs="宋体"/>
                <w:color w:val="000000" w:themeColor="text1"/>
                <w:szCs w:val="21"/>
                <w14:textFill>
                  <w14:solidFill>
                    <w14:schemeClr w14:val="tx1"/>
                  </w14:solidFill>
                </w14:textFill>
              </w:rPr>
            </w:pPr>
          </w:p>
        </w:tc>
        <w:tc>
          <w:tcPr>
            <w:tcW w:w="1783" w:type="dxa"/>
            <w:vAlign w:val="center"/>
          </w:tcPr>
          <w:p w14:paraId="37F752FA">
            <w:pPr>
              <w:jc w:val="center"/>
              <w:rPr>
                <w:rFonts w:ascii="宋体" w:hAnsi="宋体" w:cs="宋体"/>
                <w:color w:val="000000" w:themeColor="text1"/>
                <w:szCs w:val="21"/>
                <w14:textFill>
                  <w14:solidFill>
                    <w14:schemeClr w14:val="tx1"/>
                  </w14:solidFill>
                </w14:textFill>
              </w:rPr>
            </w:pPr>
          </w:p>
        </w:tc>
      </w:tr>
      <w:tr w14:paraId="4D58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1139" w:type="dxa"/>
            <w:vAlign w:val="center"/>
          </w:tcPr>
          <w:p w14:paraId="14EA8A74">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p>
        </w:tc>
        <w:tc>
          <w:tcPr>
            <w:tcW w:w="2256" w:type="dxa"/>
            <w:vAlign w:val="center"/>
          </w:tcPr>
          <w:p w14:paraId="2B970172">
            <w:pPr>
              <w:widowControl/>
              <w:jc w:val="center"/>
              <w:rPr>
                <w:rFonts w:ascii="宋体" w:hAnsi="宋体" w:cs="宋体"/>
                <w:color w:val="000000" w:themeColor="text1"/>
                <w:kern w:val="0"/>
                <w:szCs w:val="21"/>
                <w14:textFill>
                  <w14:solidFill>
                    <w14:schemeClr w14:val="tx1"/>
                  </w14:solidFill>
                </w14:textFill>
              </w:rPr>
            </w:pPr>
          </w:p>
        </w:tc>
        <w:tc>
          <w:tcPr>
            <w:tcW w:w="1414" w:type="dxa"/>
            <w:vAlign w:val="center"/>
          </w:tcPr>
          <w:p w14:paraId="51D43FB3">
            <w:pPr>
              <w:jc w:val="center"/>
              <w:rPr>
                <w:rFonts w:ascii="宋体" w:hAnsi="宋体" w:cs="宋体"/>
                <w:color w:val="000000" w:themeColor="text1"/>
                <w:szCs w:val="21"/>
                <w14:textFill>
                  <w14:solidFill>
                    <w14:schemeClr w14:val="tx1"/>
                  </w14:solidFill>
                </w14:textFill>
              </w:rPr>
            </w:pPr>
          </w:p>
        </w:tc>
        <w:tc>
          <w:tcPr>
            <w:tcW w:w="1225" w:type="dxa"/>
            <w:vAlign w:val="center"/>
          </w:tcPr>
          <w:p w14:paraId="503CAFF5">
            <w:pPr>
              <w:ind w:left="420" w:leftChars="200"/>
              <w:rPr>
                <w:rFonts w:ascii="宋体" w:hAnsi="宋体" w:cs="宋体"/>
                <w:color w:val="000000" w:themeColor="text1"/>
                <w:szCs w:val="21"/>
                <w14:textFill>
                  <w14:solidFill>
                    <w14:schemeClr w14:val="tx1"/>
                  </w14:solidFill>
                </w14:textFill>
              </w:rPr>
            </w:pPr>
          </w:p>
        </w:tc>
        <w:tc>
          <w:tcPr>
            <w:tcW w:w="2111" w:type="dxa"/>
            <w:vAlign w:val="center"/>
          </w:tcPr>
          <w:p w14:paraId="5124AB36">
            <w:pPr>
              <w:ind w:left="-105" w:leftChars="-50" w:firstLine="210" w:firstLineChars="100"/>
              <w:jc w:val="center"/>
              <w:rPr>
                <w:rFonts w:ascii="宋体" w:hAnsi="宋体" w:cs="宋体"/>
                <w:color w:val="000000" w:themeColor="text1"/>
                <w:szCs w:val="21"/>
                <w14:textFill>
                  <w14:solidFill>
                    <w14:schemeClr w14:val="tx1"/>
                  </w14:solidFill>
                </w14:textFill>
              </w:rPr>
            </w:pPr>
          </w:p>
        </w:tc>
        <w:tc>
          <w:tcPr>
            <w:tcW w:w="1783" w:type="dxa"/>
            <w:vAlign w:val="center"/>
          </w:tcPr>
          <w:p w14:paraId="16EADFE2">
            <w:pPr>
              <w:jc w:val="center"/>
              <w:rPr>
                <w:rFonts w:ascii="宋体" w:hAnsi="宋体" w:cs="宋体"/>
                <w:color w:val="000000" w:themeColor="text1"/>
                <w:szCs w:val="21"/>
                <w14:textFill>
                  <w14:solidFill>
                    <w14:schemeClr w14:val="tx1"/>
                  </w14:solidFill>
                </w14:textFill>
              </w:rPr>
            </w:pPr>
          </w:p>
        </w:tc>
      </w:tr>
      <w:tr w14:paraId="74269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1139" w:type="dxa"/>
            <w:vAlign w:val="center"/>
          </w:tcPr>
          <w:p w14:paraId="2938BD40">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p>
        </w:tc>
        <w:tc>
          <w:tcPr>
            <w:tcW w:w="2256" w:type="dxa"/>
            <w:vAlign w:val="center"/>
          </w:tcPr>
          <w:p w14:paraId="59E87A92">
            <w:pPr>
              <w:widowControl/>
              <w:jc w:val="center"/>
              <w:rPr>
                <w:rFonts w:ascii="宋体" w:hAnsi="宋体" w:cs="宋体"/>
                <w:color w:val="000000" w:themeColor="text1"/>
                <w:kern w:val="0"/>
                <w:szCs w:val="21"/>
                <w14:textFill>
                  <w14:solidFill>
                    <w14:schemeClr w14:val="tx1"/>
                  </w14:solidFill>
                </w14:textFill>
              </w:rPr>
            </w:pPr>
          </w:p>
        </w:tc>
        <w:tc>
          <w:tcPr>
            <w:tcW w:w="1414" w:type="dxa"/>
            <w:vAlign w:val="center"/>
          </w:tcPr>
          <w:p w14:paraId="0260CC98">
            <w:pPr>
              <w:jc w:val="center"/>
              <w:rPr>
                <w:rFonts w:ascii="宋体" w:hAnsi="宋体" w:cs="宋体"/>
                <w:color w:val="000000" w:themeColor="text1"/>
                <w:szCs w:val="21"/>
                <w14:textFill>
                  <w14:solidFill>
                    <w14:schemeClr w14:val="tx1"/>
                  </w14:solidFill>
                </w14:textFill>
              </w:rPr>
            </w:pPr>
          </w:p>
        </w:tc>
        <w:tc>
          <w:tcPr>
            <w:tcW w:w="1225" w:type="dxa"/>
            <w:vAlign w:val="center"/>
          </w:tcPr>
          <w:p w14:paraId="55B32C8F">
            <w:pPr>
              <w:ind w:left="420" w:leftChars="200"/>
              <w:rPr>
                <w:rFonts w:ascii="宋体" w:hAnsi="宋体" w:cs="宋体"/>
                <w:color w:val="000000" w:themeColor="text1"/>
                <w:szCs w:val="21"/>
                <w14:textFill>
                  <w14:solidFill>
                    <w14:schemeClr w14:val="tx1"/>
                  </w14:solidFill>
                </w14:textFill>
              </w:rPr>
            </w:pPr>
          </w:p>
        </w:tc>
        <w:tc>
          <w:tcPr>
            <w:tcW w:w="2111" w:type="dxa"/>
            <w:vAlign w:val="center"/>
          </w:tcPr>
          <w:p w14:paraId="6ADDAB41">
            <w:pPr>
              <w:ind w:left="-105" w:leftChars="-50" w:firstLine="210" w:firstLineChars="100"/>
              <w:jc w:val="center"/>
              <w:rPr>
                <w:rFonts w:ascii="宋体" w:hAnsi="宋体" w:cs="宋体"/>
                <w:color w:val="000000" w:themeColor="text1"/>
                <w:szCs w:val="21"/>
                <w14:textFill>
                  <w14:solidFill>
                    <w14:schemeClr w14:val="tx1"/>
                  </w14:solidFill>
                </w14:textFill>
              </w:rPr>
            </w:pPr>
          </w:p>
        </w:tc>
        <w:tc>
          <w:tcPr>
            <w:tcW w:w="1783" w:type="dxa"/>
            <w:vAlign w:val="center"/>
          </w:tcPr>
          <w:p w14:paraId="72523DC2">
            <w:pPr>
              <w:jc w:val="center"/>
              <w:rPr>
                <w:rFonts w:ascii="宋体" w:hAnsi="宋体" w:cs="宋体"/>
                <w:color w:val="000000" w:themeColor="text1"/>
                <w:szCs w:val="21"/>
                <w14:textFill>
                  <w14:solidFill>
                    <w14:schemeClr w14:val="tx1"/>
                  </w14:solidFill>
                </w14:textFill>
              </w:rPr>
            </w:pPr>
          </w:p>
        </w:tc>
      </w:tr>
      <w:tr w14:paraId="3745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1139" w:type="dxa"/>
            <w:vAlign w:val="center"/>
          </w:tcPr>
          <w:p w14:paraId="770724C8">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p>
        </w:tc>
        <w:tc>
          <w:tcPr>
            <w:tcW w:w="2256" w:type="dxa"/>
            <w:vAlign w:val="center"/>
          </w:tcPr>
          <w:p w14:paraId="13EDDD28">
            <w:pPr>
              <w:widowControl/>
              <w:jc w:val="center"/>
              <w:rPr>
                <w:rFonts w:ascii="宋体" w:hAnsi="宋体" w:cs="宋体"/>
                <w:color w:val="000000" w:themeColor="text1"/>
                <w:kern w:val="0"/>
                <w:szCs w:val="21"/>
                <w14:textFill>
                  <w14:solidFill>
                    <w14:schemeClr w14:val="tx1"/>
                  </w14:solidFill>
                </w14:textFill>
              </w:rPr>
            </w:pPr>
          </w:p>
        </w:tc>
        <w:tc>
          <w:tcPr>
            <w:tcW w:w="1414" w:type="dxa"/>
            <w:vAlign w:val="center"/>
          </w:tcPr>
          <w:p w14:paraId="5D012E9F">
            <w:pPr>
              <w:jc w:val="center"/>
              <w:rPr>
                <w:rFonts w:ascii="宋体" w:hAnsi="宋体" w:cs="宋体"/>
                <w:color w:val="000000" w:themeColor="text1"/>
                <w:szCs w:val="21"/>
                <w14:textFill>
                  <w14:solidFill>
                    <w14:schemeClr w14:val="tx1"/>
                  </w14:solidFill>
                </w14:textFill>
              </w:rPr>
            </w:pPr>
          </w:p>
        </w:tc>
        <w:tc>
          <w:tcPr>
            <w:tcW w:w="1225" w:type="dxa"/>
            <w:vAlign w:val="center"/>
          </w:tcPr>
          <w:p w14:paraId="76E8B9E6">
            <w:pPr>
              <w:ind w:left="420" w:leftChars="200"/>
              <w:rPr>
                <w:rFonts w:ascii="宋体" w:hAnsi="宋体" w:cs="宋体"/>
                <w:color w:val="000000" w:themeColor="text1"/>
                <w:szCs w:val="21"/>
                <w14:textFill>
                  <w14:solidFill>
                    <w14:schemeClr w14:val="tx1"/>
                  </w14:solidFill>
                </w14:textFill>
              </w:rPr>
            </w:pPr>
          </w:p>
        </w:tc>
        <w:tc>
          <w:tcPr>
            <w:tcW w:w="2111" w:type="dxa"/>
            <w:vAlign w:val="center"/>
          </w:tcPr>
          <w:p w14:paraId="5F2C3B3F">
            <w:pPr>
              <w:ind w:left="-105" w:leftChars="-50" w:firstLine="210" w:firstLineChars="100"/>
              <w:jc w:val="center"/>
              <w:rPr>
                <w:rFonts w:ascii="宋体" w:hAnsi="宋体" w:cs="宋体"/>
                <w:color w:val="000000" w:themeColor="text1"/>
                <w:szCs w:val="21"/>
                <w14:textFill>
                  <w14:solidFill>
                    <w14:schemeClr w14:val="tx1"/>
                  </w14:solidFill>
                </w14:textFill>
              </w:rPr>
            </w:pPr>
          </w:p>
        </w:tc>
        <w:tc>
          <w:tcPr>
            <w:tcW w:w="1783" w:type="dxa"/>
            <w:vAlign w:val="center"/>
          </w:tcPr>
          <w:p w14:paraId="295FC475">
            <w:pPr>
              <w:jc w:val="center"/>
              <w:rPr>
                <w:rFonts w:ascii="宋体" w:hAnsi="宋体" w:cs="宋体"/>
                <w:color w:val="000000" w:themeColor="text1"/>
                <w:szCs w:val="21"/>
                <w14:textFill>
                  <w14:solidFill>
                    <w14:schemeClr w14:val="tx1"/>
                  </w14:solidFill>
                </w14:textFill>
              </w:rPr>
            </w:pPr>
          </w:p>
        </w:tc>
      </w:tr>
      <w:tr w14:paraId="308C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1139" w:type="dxa"/>
            <w:vAlign w:val="center"/>
          </w:tcPr>
          <w:p w14:paraId="35526106">
            <w:pPr>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w:t>
            </w:r>
          </w:p>
        </w:tc>
        <w:tc>
          <w:tcPr>
            <w:tcW w:w="2256" w:type="dxa"/>
            <w:vAlign w:val="center"/>
          </w:tcPr>
          <w:p w14:paraId="7DB1D806">
            <w:pPr>
              <w:widowControl/>
              <w:jc w:val="center"/>
              <w:rPr>
                <w:rFonts w:ascii="宋体" w:hAnsi="宋体" w:cs="宋体"/>
                <w:color w:val="000000" w:themeColor="text1"/>
                <w:kern w:val="0"/>
                <w:szCs w:val="21"/>
                <w14:textFill>
                  <w14:solidFill>
                    <w14:schemeClr w14:val="tx1"/>
                  </w14:solidFill>
                </w14:textFill>
              </w:rPr>
            </w:pPr>
          </w:p>
        </w:tc>
        <w:tc>
          <w:tcPr>
            <w:tcW w:w="1414" w:type="dxa"/>
            <w:vAlign w:val="center"/>
          </w:tcPr>
          <w:p w14:paraId="54594919">
            <w:pPr>
              <w:jc w:val="center"/>
              <w:rPr>
                <w:rFonts w:ascii="宋体" w:hAnsi="宋体" w:cs="宋体"/>
                <w:color w:val="000000" w:themeColor="text1"/>
                <w:szCs w:val="21"/>
                <w14:textFill>
                  <w14:solidFill>
                    <w14:schemeClr w14:val="tx1"/>
                  </w14:solidFill>
                </w14:textFill>
              </w:rPr>
            </w:pPr>
          </w:p>
        </w:tc>
        <w:tc>
          <w:tcPr>
            <w:tcW w:w="1225" w:type="dxa"/>
            <w:vAlign w:val="center"/>
          </w:tcPr>
          <w:p w14:paraId="21D43C37">
            <w:pPr>
              <w:ind w:left="420" w:leftChars="200"/>
              <w:rPr>
                <w:rFonts w:ascii="宋体" w:hAnsi="宋体" w:cs="宋体"/>
                <w:color w:val="000000" w:themeColor="text1"/>
                <w:szCs w:val="21"/>
                <w14:textFill>
                  <w14:solidFill>
                    <w14:schemeClr w14:val="tx1"/>
                  </w14:solidFill>
                </w14:textFill>
              </w:rPr>
            </w:pPr>
          </w:p>
        </w:tc>
        <w:tc>
          <w:tcPr>
            <w:tcW w:w="2111" w:type="dxa"/>
            <w:vAlign w:val="center"/>
          </w:tcPr>
          <w:p w14:paraId="755BF7BE">
            <w:pPr>
              <w:ind w:left="-105" w:leftChars="-50" w:firstLine="210" w:firstLineChars="100"/>
              <w:jc w:val="center"/>
              <w:rPr>
                <w:rFonts w:ascii="宋体" w:hAnsi="宋体" w:cs="宋体"/>
                <w:color w:val="000000" w:themeColor="text1"/>
                <w:szCs w:val="21"/>
                <w14:textFill>
                  <w14:solidFill>
                    <w14:schemeClr w14:val="tx1"/>
                  </w14:solidFill>
                </w14:textFill>
              </w:rPr>
            </w:pPr>
          </w:p>
        </w:tc>
        <w:tc>
          <w:tcPr>
            <w:tcW w:w="1783" w:type="dxa"/>
            <w:vAlign w:val="center"/>
          </w:tcPr>
          <w:p w14:paraId="0E4C3864">
            <w:pPr>
              <w:jc w:val="center"/>
              <w:rPr>
                <w:rFonts w:ascii="宋体" w:hAnsi="宋体" w:cs="宋体"/>
                <w:color w:val="000000" w:themeColor="text1"/>
                <w:szCs w:val="21"/>
                <w14:textFill>
                  <w14:solidFill>
                    <w14:schemeClr w14:val="tx1"/>
                  </w14:solidFill>
                </w14:textFill>
              </w:rPr>
            </w:pPr>
          </w:p>
        </w:tc>
      </w:tr>
      <w:tr w14:paraId="4DC2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9928" w:type="dxa"/>
            <w:gridSpan w:val="6"/>
            <w:vAlign w:val="center"/>
          </w:tcPr>
          <w:p w14:paraId="327B2D1E">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合计（小写）</w:t>
            </w:r>
          </w:p>
        </w:tc>
      </w:tr>
      <w:tr w14:paraId="1D36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20" w:hRule="atLeast"/>
          <w:jc w:val="center"/>
        </w:trPr>
        <w:tc>
          <w:tcPr>
            <w:tcW w:w="9928" w:type="dxa"/>
            <w:gridSpan w:val="6"/>
            <w:vAlign w:val="center"/>
          </w:tcPr>
          <w:p w14:paraId="45405B06">
            <w:pPr>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合计（大写）</w:t>
            </w:r>
          </w:p>
        </w:tc>
      </w:tr>
    </w:tbl>
    <w:p w14:paraId="5FC8360D">
      <w:pPr>
        <w:pStyle w:val="13"/>
        <w:ind w:firstLine="210"/>
        <w:rPr>
          <w:rFonts w:ascii="宋体" w:hAnsi="宋体" w:cs="宋体"/>
          <w:color w:val="000000" w:themeColor="text1"/>
          <w:szCs w:val="21"/>
          <w14:textFill>
            <w14:solidFill>
              <w14:schemeClr w14:val="tx1"/>
            </w14:solidFill>
          </w14:textFill>
        </w:rPr>
      </w:pPr>
    </w:p>
    <w:p w14:paraId="48F3C585">
      <w:pPr>
        <w:spacing w:line="360" w:lineRule="auto"/>
        <w:rPr>
          <w:rFonts w:ascii="宋体" w:hAnsi="宋体" w:cs="宋体"/>
          <w:color w:val="000000" w:themeColor="text1"/>
          <w:spacing w:val="20"/>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注：投标人需要说明的其他费用支出、相关配件自行填报，合计价格须与开标一览表投标总价一致。</w:t>
      </w:r>
    </w:p>
    <w:p w14:paraId="2A8B3ECE">
      <w:pPr>
        <w:pStyle w:val="13"/>
        <w:ind w:firstLine="210"/>
        <w:rPr>
          <w:rFonts w:ascii="宋体" w:hAnsi="宋体"/>
          <w:szCs w:val="21"/>
        </w:rPr>
      </w:pPr>
    </w:p>
    <w:p w14:paraId="03B0D592">
      <w:pPr>
        <w:rPr>
          <w:rFonts w:ascii="宋体" w:hAnsi="宋体"/>
          <w:szCs w:val="21"/>
        </w:rPr>
      </w:pPr>
    </w:p>
    <w:p w14:paraId="01A51446">
      <w:pPr>
        <w:spacing w:line="360" w:lineRule="auto"/>
        <w:ind w:firstLine="1890" w:firstLineChars="900"/>
        <w:jc w:val="center"/>
        <w:rPr>
          <w:rFonts w:ascii="宋体" w:hAnsi="宋体" w:cs="宋体"/>
          <w:szCs w:val="21"/>
        </w:rPr>
      </w:pPr>
    </w:p>
    <w:p w14:paraId="3E417BEA">
      <w:pPr>
        <w:spacing w:line="480" w:lineRule="auto"/>
        <w:rPr>
          <w:rFonts w:ascii="宋体" w:hAnsi="宋体" w:cs="宋体"/>
          <w:szCs w:val="21"/>
          <w:u w:val="single"/>
        </w:rPr>
      </w:pPr>
      <w:r>
        <w:rPr>
          <w:rFonts w:hint="eastAsia" w:ascii="宋体" w:hAnsi="宋体" w:cs="宋体"/>
          <w:szCs w:val="21"/>
        </w:rPr>
        <w:t xml:space="preserve">投标人名称：（加盖公章） </w:t>
      </w:r>
    </w:p>
    <w:p w14:paraId="3B14887C">
      <w:pPr>
        <w:snapToGrid w:val="0"/>
        <w:spacing w:line="360" w:lineRule="auto"/>
        <w:ind w:right="-341"/>
        <w:rPr>
          <w:rFonts w:asciiTheme="minorEastAsia" w:hAnsiTheme="minorEastAsia" w:eastAsiaTheme="minorEastAsia"/>
          <w:szCs w:val="21"/>
        </w:rPr>
      </w:pPr>
      <w:r>
        <w:rPr>
          <w:rFonts w:hint="eastAsia" w:asciiTheme="minorEastAsia" w:hAnsiTheme="minorEastAsia" w:eastAsiaTheme="minorEastAsia"/>
          <w:szCs w:val="21"/>
        </w:rPr>
        <w:t>法定代表人（负责人）签字或盖章：</w:t>
      </w:r>
    </w:p>
    <w:p w14:paraId="2844ABB4">
      <w:pPr>
        <w:pStyle w:val="2"/>
        <w:snapToGrid w:val="0"/>
        <w:spacing w:before="120" w:after="120"/>
        <w:rPr>
          <w:rFonts w:hAnsi="宋体" w:eastAsia="宋体" w:cs="宋体"/>
          <w:spacing w:val="20"/>
          <w:sz w:val="21"/>
          <w:szCs w:val="21"/>
        </w:rPr>
      </w:pPr>
      <w:r>
        <w:rPr>
          <w:rFonts w:hint="eastAsia" w:hAnsi="宋体" w:eastAsia="宋体" w:cs="宋体"/>
          <w:spacing w:val="20"/>
          <w:sz w:val="21"/>
          <w:szCs w:val="21"/>
        </w:rPr>
        <w:t>日期：年月日</w:t>
      </w:r>
    </w:p>
    <w:p w14:paraId="3D53618F">
      <w:pPr>
        <w:pStyle w:val="2"/>
        <w:snapToGrid w:val="0"/>
        <w:spacing w:before="120" w:after="120"/>
        <w:rPr>
          <w:rFonts w:hAnsi="宋体" w:eastAsia="宋体" w:cs="宋体"/>
          <w:spacing w:val="20"/>
          <w:sz w:val="21"/>
          <w:szCs w:val="21"/>
        </w:rPr>
      </w:pPr>
    </w:p>
    <w:p w14:paraId="68F6677D">
      <w:pPr>
        <w:pStyle w:val="2"/>
        <w:snapToGrid w:val="0"/>
        <w:spacing w:before="120" w:line="312" w:lineRule="auto"/>
        <w:ind w:right="-341"/>
        <w:rPr>
          <w:rFonts w:asciiTheme="minorEastAsia" w:hAnsiTheme="minorEastAsia" w:eastAsiaTheme="minorEastAsia"/>
          <w:b/>
          <w:sz w:val="32"/>
        </w:rPr>
      </w:pPr>
    </w:p>
    <w:p w14:paraId="25A9D7BC">
      <w:pPr>
        <w:pStyle w:val="2"/>
        <w:snapToGrid w:val="0"/>
        <w:spacing w:before="120" w:line="312" w:lineRule="auto"/>
        <w:ind w:right="-341"/>
        <w:jc w:val="center"/>
        <w:rPr>
          <w:rFonts w:asciiTheme="minorEastAsia" w:hAnsiTheme="minorEastAsia" w:eastAsiaTheme="minorEastAsia"/>
          <w:b/>
          <w:sz w:val="32"/>
        </w:rPr>
      </w:pPr>
    </w:p>
    <w:p w14:paraId="50CE7109">
      <w:pPr>
        <w:pStyle w:val="2"/>
        <w:snapToGrid w:val="0"/>
        <w:spacing w:before="120" w:line="312" w:lineRule="auto"/>
        <w:ind w:right="-341"/>
        <w:jc w:val="center"/>
        <w:rPr>
          <w:rFonts w:asciiTheme="minorEastAsia" w:hAnsiTheme="minorEastAsia" w:eastAsiaTheme="minorEastAsia"/>
          <w:b/>
          <w:sz w:val="32"/>
        </w:rPr>
      </w:pPr>
    </w:p>
    <w:p w14:paraId="64205E4C">
      <w:pPr>
        <w:pStyle w:val="2"/>
        <w:snapToGrid w:val="0"/>
        <w:spacing w:before="120" w:line="312" w:lineRule="auto"/>
        <w:ind w:right="-341"/>
        <w:jc w:val="center"/>
        <w:rPr>
          <w:rFonts w:asciiTheme="minorEastAsia" w:hAnsiTheme="minorEastAsia" w:eastAsiaTheme="minorEastAsia"/>
          <w:b/>
          <w:sz w:val="32"/>
        </w:rPr>
      </w:pPr>
    </w:p>
    <w:p w14:paraId="733D3F1C">
      <w:pPr>
        <w:pStyle w:val="2"/>
        <w:snapToGrid w:val="0"/>
        <w:spacing w:before="120" w:line="312" w:lineRule="auto"/>
        <w:ind w:right="-341"/>
        <w:jc w:val="center"/>
        <w:rPr>
          <w:rFonts w:asciiTheme="minorEastAsia" w:hAnsiTheme="minorEastAsia" w:eastAsiaTheme="minorEastAsia"/>
          <w:b/>
          <w:sz w:val="32"/>
        </w:rPr>
      </w:pPr>
      <w:r>
        <w:rPr>
          <w:rFonts w:hint="eastAsia" w:asciiTheme="minorEastAsia" w:hAnsiTheme="minorEastAsia" w:eastAsiaTheme="minorEastAsia"/>
          <w:b/>
          <w:sz w:val="32"/>
        </w:rPr>
        <w:t>四、投 标 函</w:t>
      </w:r>
    </w:p>
    <w:p w14:paraId="1C366076">
      <w:pPr>
        <w:snapToGrid w:val="0"/>
        <w:spacing w:line="312" w:lineRule="auto"/>
        <w:ind w:right="-341"/>
        <w:rPr>
          <w:rFonts w:ascii="宋体" w:hAnsi="宋体"/>
        </w:rPr>
      </w:pPr>
      <w:r>
        <w:rPr>
          <w:rFonts w:hint="eastAsia" w:ascii="宋体" w:hAnsi="宋体"/>
        </w:rPr>
        <w:t>致：</w:t>
      </w:r>
      <w:r>
        <w:rPr>
          <w:rFonts w:hint="eastAsia" w:ascii="宋体" w:hAnsi="宋体"/>
          <w:szCs w:val="21"/>
          <w:u w:val="single"/>
        </w:rPr>
        <w:t>（招标机构、采购单位名称）</w:t>
      </w:r>
    </w:p>
    <w:p w14:paraId="17F467D1">
      <w:pPr>
        <w:snapToGrid w:val="0"/>
        <w:spacing w:line="312" w:lineRule="auto"/>
        <w:ind w:right="-341" w:firstLine="480"/>
        <w:rPr>
          <w:rFonts w:ascii="宋体" w:hAnsi="宋体"/>
        </w:rPr>
      </w:pPr>
      <w:r>
        <w:rPr>
          <w:rFonts w:hint="eastAsia" w:ascii="宋体" w:hAnsi="宋体"/>
        </w:rPr>
        <w:t>根据贵方为项目的招标公告（项目编号：</w:t>
      </w:r>
      <w:r>
        <w:rPr>
          <w:rFonts w:hint="eastAsia" w:ascii="宋体" w:hAnsi="宋体"/>
          <w:lang w:val="en-US" w:eastAsia="zh-CN"/>
        </w:rPr>
        <w:t xml:space="preserve">     </w:t>
      </w:r>
      <w:r>
        <w:rPr>
          <w:rFonts w:hint="eastAsia" w:ascii="宋体" w:hAnsi="宋体"/>
        </w:rPr>
        <w:t>），签字代表（全名）经正式授权并代表投标人（投标人名称）提交投标报价文件、资格证明/商务技术文件。</w:t>
      </w:r>
    </w:p>
    <w:p w14:paraId="22547CFE">
      <w:pPr>
        <w:snapToGrid w:val="0"/>
        <w:spacing w:line="360" w:lineRule="auto"/>
        <w:ind w:right="-341" w:firstLine="420" w:firstLineChars="200"/>
        <w:rPr>
          <w:rFonts w:ascii="宋体"/>
        </w:rPr>
      </w:pPr>
      <w:r>
        <w:rPr>
          <w:rFonts w:hint="eastAsia" w:ascii="宋体" w:hAnsi="宋体"/>
        </w:rPr>
        <w:t>据此函，签字代表宣布同意如下：</w:t>
      </w:r>
    </w:p>
    <w:p w14:paraId="779D9BA8">
      <w:pPr>
        <w:pStyle w:val="15"/>
        <w:widowControl/>
        <w:spacing w:line="360" w:lineRule="auto"/>
        <w:ind w:right="-341" w:firstLine="387" w:firstLineChars="192"/>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1、我方已详细审查了采购文件的全部内容及其相关补充文件</w:t>
      </w:r>
      <w:r>
        <w:rPr>
          <w:rFonts w:hint="eastAsia" w:cs="宋体" w:asciiTheme="minorEastAsia" w:hAnsiTheme="minorEastAsia" w:eastAsiaTheme="minorEastAsia"/>
          <w:b/>
          <w:sz w:val="21"/>
          <w:szCs w:val="21"/>
        </w:rPr>
        <w:t>（若有）</w:t>
      </w:r>
      <w:r>
        <w:rPr>
          <w:rFonts w:hint="eastAsia" w:cs="宋体" w:asciiTheme="minorEastAsia" w:hAnsiTheme="minorEastAsia" w:eastAsiaTheme="minorEastAsia"/>
          <w:sz w:val="21"/>
          <w:szCs w:val="21"/>
        </w:rPr>
        <w:t>，并完全清晰理解全部内容及相关的补充文件</w:t>
      </w:r>
      <w:r>
        <w:rPr>
          <w:rFonts w:hint="eastAsia" w:cs="宋体" w:asciiTheme="minorEastAsia" w:hAnsiTheme="minorEastAsia" w:eastAsiaTheme="minorEastAsia"/>
          <w:b/>
          <w:sz w:val="21"/>
          <w:szCs w:val="21"/>
        </w:rPr>
        <w:t>（若有）</w:t>
      </w:r>
      <w:r>
        <w:rPr>
          <w:rFonts w:hint="eastAsia" w:cs="宋体" w:asciiTheme="minorEastAsia" w:hAnsiTheme="minorEastAsia" w:eastAsiaTheme="minorEastAsia"/>
          <w:sz w:val="21"/>
          <w:szCs w:val="21"/>
        </w:rPr>
        <w:t>，不存在任何误解之处，同意放弃提出异议和质疑的权利。</w:t>
      </w:r>
    </w:p>
    <w:p w14:paraId="76060FDF">
      <w:pPr>
        <w:spacing w:line="360" w:lineRule="auto"/>
        <w:ind w:right="-341" w:firstLine="404" w:firstLineChars="200"/>
        <w:jc w:val="left"/>
        <w:rPr>
          <w:rFonts w:cs="宋体" w:asciiTheme="minorEastAsia" w:hAnsiTheme="minorEastAsia" w:eastAsiaTheme="minorEastAsia"/>
          <w:spacing w:val="-4"/>
          <w:szCs w:val="21"/>
        </w:rPr>
      </w:pPr>
      <w:r>
        <w:rPr>
          <w:rFonts w:hint="eastAsia" w:cs="宋体" w:asciiTheme="minorEastAsia" w:hAnsiTheme="minorEastAsia" w:eastAsiaTheme="minorEastAsia"/>
          <w:spacing w:val="-4"/>
          <w:szCs w:val="21"/>
        </w:rPr>
        <w:t>2、我方遵守《中华人民共和国政府采购法》及相关法律法规的规定。同意采购文件中所提到的无效标条款，并服从有关开标现场的会议纪律。否则，同意被废除投标资格。</w:t>
      </w:r>
    </w:p>
    <w:p w14:paraId="04089DE6">
      <w:pPr>
        <w:spacing w:line="360" w:lineRule="auto"/>
        <w:ind w:right="-341" w:firstLine="404" w:firstLineChars="200"/>
        <w:rPr>
          <w:rFonts w:cs="宋体" w:asciiTheme="minorEastAsia" w:hAnsiTheme="minorEastAsia" w:eastAsiaTheme="minorEastAsia"/>
          <w:spacing w:val="-4"/>
          <w:szCs w:val="21"/>
        </w:rPr>
      </w:pPr>
      <w:r>
        <w:rPr>
          <w:rFonts w:hint="eastAsia" w:cs="宋体" w:asciiTheme="minorEastAsia" w:hAnsiTheme="minorEastAsia" w:eastAsiaTheme="minorEastAsia"/>
          <w:spacing w:val="-4"/>
          <w:szCs w:val="21"/>
        </w:rPr>
        <w:t>3、我方所提供的一次性投标产品报价均具充分的合理性和准确性，保证不存在低于成本的恶意报价行为，同时清楚理解到报价最低并非意味着必定获得合同授予资格。</w:t>
      </w:r>
    </w:p>
    <w:p w14:paraId="151DEA0C">
      <w:pPr>
        <w:spacing w:line="360" w:lineRule="auto"/>
        <w:ind w:right="-341" w:firstLine="404" w:firstLineChars="200"/>
        <w:rPr>
          <w:rFonts w:cs="宋体" w:asciiTheme="minorEastAsia" w:hAnsiTheme="minorEastAsia" w:eastAsiaTheme="minorEastAsia"/>
          <w:spacing w:val="-4"/>
          <w:szCs w:val="21"/>
        </w:rPr>
      </w:pPr>
      <w:r>
        <w:rPr>
          <w:rFonts w:hint="eastAsia" w:cs="宋体" w:asciiTheme="minorEastAsia" w:hAnsiTheme="minorEastAsia" w:eastAsiaTheme="minorEastAsia"/>
          <w:spacing w:val="-4"/>
          <w:szCs w:val="21"/>
        </w:rPr>
        <w:t>4、投标有效期为自开标之日起</w:t>
      </w:r>
      <w:r>
        <w:rPr>
          <w:rFonts w:hint="eastAsia" w:cs="宋体" w:asciiTheme="minorEastAsia" w:hAnsiTheme="minorEastAsia" w:eastAsiaTheme="minorEastAsia"/>
          <w:spacing w:val="-4"/>
          <w:szCs w:val="21"/>
          <w:u w:val="single"/>
        </w:rPr>
        <w:t>90</w:t>
      </w:r>
      <w:r>
        <w:rPr>
          <w:rFonts w:hint="eastAsia" w:cs="宋体" w:asciiTheme="minorEastAsia" w:hAnsiTheme="minorEastAsia" w:eastAsiaTheme="minorEastAsia"/>
          <w:spacing w:val="-4"/>
          <w:szCs w:val="21"/>
        </w:rPr>
        <w:t>天内，如在投标有效期内撤回投标，我方同意被废除投标资格。</w:t>
      </w:r>
    </w:p>
    <w:p w14:paraId="3E7264EB">
      <w:pPr>
        <w:spacing w:line="360" w:lineRule="auto"/>
        <w:ind w:right="-341" w:firstLine="404" w:firstLineChars="200"/>
        <w:rPr>
          <w:rFonts w:cs="宋体" w:asciiTheme="minorEastAsia" w:hAnsiTheme="minorEastAsia" w:eastAsiaTheme="minorEastAsia"/>
          <w:spacing w:val="-4"/>
          <w:szCs w:val="21"/>
        </w:rPr>
      </w:pPr>
      <w:r>
        <w:rPr>
          <w:rFonts w:hint="eastAsia" w:cs="宋体" w:asciiTheme="minorEastAsia" w:hAnsiTheme="minorEastAsia" w:eastAsiaTheme="minorEastAsia"/>
          <w:spacing w:val="-4"/>
          <w:szCs w:val="21"/>
        </w:rPr>
        <w:t>5、我方承诺</w:t>
      </w:r>
      <w:r>
        <w:rPr>
          <w:rFonts w:hint="eastAsia" w:cs="宋体" w:asciiTheme="minorEastAsia" w:hAnsiTheme="minorEastAsia" w:eastAsiaTheme="minorEastAsia"/>
          <w:szCs w:val="21"/>
        </w:rPr>
        <w:t>参加政府采购活动前3年内在经营活动中没有重大违法记录和依法缴纳了税收</w:t>
      </w:r>
      <w:r>
        <w:rPr>
          <w:rFonts w:hint="eastAsia" w:cs="宋体" w:asciiTheme="minorEastAsia" w:hAnsiTheme="minorEastAsia" w:eastAsiaTheme="minorEastAsia"/>
          <w:spacing w:val="-4"/>
          <w:szCs w:val="21"/>
        </w:rPr>
        <w:t>（投标截止时间进行计算）。</w:t>
      </w:r>
    </w:p>
    <w:p w14:paraId="2F7073DF">
      <w:pPr>
        <w:spacing w:line="360" w:lineRule="auto"/>
        <w:ind w:right="-341" w:firstLine="404" w:firstLineChars="200"/>
        <w:rPr>
          <w:rFonts w:asciiTheme="minorEastAsia" w:hAnsiTheme="minorEastAsia" w:eastAsiaTheme="minorEastAsia"/>
          <w:szCs w:val="21"/>
        </w:rPr>
      </w:pPr>
      <w:r>
        <w:rPr>
          <w:rFonts w:hint="eastAsia" w:cs="宋体" w:asciiTheme="minorEastAsia" w:hAnsiTheme="minorEastAsia" w:eastAsiaTheme="minorEastAsia"/>
          <w:spacing w:val="-4"/>
          <w:szCs w:val="21"/>
        </w:rPr>
        <w:t>6、我方承诺具备本项目</w:t>
      </w:r>
      <w:r>
        <w:rPr>
          <w:rFonts w:hint="eastAsia" w:cs="宋体" w:asciiTheme="minorEastAsia" w:hAnsiTheme="minorEastAsia" w:eastAsiaTheme="minorEastAsia"/>
          <w:szCs w:val="21"/>
        </w:rPr>
        <w:t>履行合同所必需的设备和专业技术能力。</w:t>
      </w:r>
    </w:p>
    <w:p w14:paraId="7F4BE309">
      <w:pPr>
        <w:spacing w:line="360" w:lineRule="auto"/>
        <w:ind w:right="-341" w:firstLine="404" w:firstLineChars="200"/>
        <w:rPr>
          <w:rFonts w:cs="宋体" w:asciiTheme="minorEastAsia" w:hAnsiTheme="minorEastAsia" w:eastAsiaTheme="minorEastAsia"/>
          <w:spacing w:val="-4"/>
          <w:szCs w:val="21"/>
        </w:rPr>
      </w:pPr>
      <w:r>
        <w:rPr>
          <w:rFonts w:hint="eastAsia" w:cs="宋体" w:asciiTheme="minorEastAsia" w:hAnsiTheme="minorEastAsia" w:eastAsiaTheme="minorEastAsia"/>
          <w:spacing w:val="-4"/>
          <w:szCs w:val="21"/>
        </w:rPr>
        <w:t>7、我方承诺所提供的一切投标文件经已认真严格审核，内容均为全面真实、准确有效且毫无保留，绝无任何遗漏、虚假、伪造和夸大的成份，若出现违背诚实信用和无如实告知之处，同意被废除投标资格和相关的处罚。</w:t>
      </w:r>
    </w:p>
    <w:p w14:paraId="09F2B634">
      <w:pPr>
        <w:spacing w:line="360" w:lineRule="auto"/>
        <w:ind w:right="-341" w:firstLine="404" w:firstLineChars="200"/>
        <w:rPr>
          <w:rFonts w:cs="宋体" w:asciiTheme="minorEastAsia" w:hAnsiTheme="minorEastAsia" w:eastAsiaTheme="minorEastAsia"/>
          <w:color w:val="000000" w:themeColor="text1"/>
          <w:spacing w:val="-4"/>
          <w:szCs w:val="21"/>
          <w14:textFill>
            <w14:solidFill>
              <w14:schemeClr w14:val="tx1"/>
            </w14:solidFill>
          </w14:textFill>
        </w:rPr>
      </w:pPr>
      <w:r>
        <w:rPr>
          <w:rFonts w:hint="eastAsia" w:cs="宋体" w:asciiTheme="minorEastAsia" w:hAnsiTheme="minorEastAsia" w:eastAsiaTheme="minorEastAsia"/>
          <w:spacing w:val="-4"/>
          <w:szCs w:val="21"/>
        </w:rPr>
        <w:t>8、我方承诺至开标之日止，未被“信用中国”（www.creditchina.gov.cn）、中国政府采购网（www.ccgp.gov.</w:t>
      </w:r>
      <w:r>
        <w:rPr>
          <w:rFonts w:hint="eastAsia" w:cs="宋体" w:asciiTheme="minorEastAsia" w:hAnsiTheme="minorEastAsia" w:eastAsiaTheme="minorEastAsia"/>
          <w:color w:val="000000" w:themeColor="text1"/>
          <w:spacing w:val="-4"/>
          <w:szCs w:val="21"/>
          <w14:textFill>
            <w14:solidFill>
              <w14:schemeClr w14:val="tx1"/>
            </w14:solidFill>
          </w14:textFill>
        </w:rPr>
        <w:t>cn）列入失信被执行人、重大税收违法案件当事人名单、政府采购严重违法失信行为记录名单。</w:t>
      </w:r>
    </w:p>
    <w:p w14:paraId="299371C7">
      <w:pPr>
        <w:spacing w:line="360" w:lineRule="auto"/>
        <w:ind w:right="-341" w:firstLine="404" w:firstLineChars="200"/>
        <w:rPr>
          <w:rFonts w:cs="宋体" w:asciiTheme="minorEastAsia" w:hAnsiTheme="minorEastAsia" w:eastAsiaTheme="minorEastAsia"/>
          <w:color w:val="000000" w:themeColor="text1"/>
          <w:spacing w:val="-4"/>
          <w:szCs w:val="21"/>
          <w14:textFill>
            <w14:solidFill>
              <w14:schemeClr w14:val="tx1"/>
            </w14:solidFill>
          </w14:textFill>
        </w:rPr>
      </w:pPr>
      <w:r>
        <w:rPr>
          <w:rFonts w:hint="eastAsia" w:cs="宋体" w:asciiTheme="minorEastAsia" w:hAnsiTheme="minorEastAsia" w:eastAsiaTheme="minorEastAsia"/>
          <w:color w:val="000000" w:themeColor="text1"/>
          <w:spacing w:val="-4"/>
          <w:szCs w:val="21"/>
          <w14:textFill>
            <w14:solidFill>
              <w14:schemeClr w14:val="tx1"/>
            </w14:solidFill>
          </w14:textFill>
        </w:rPr>
        <w:t>9、我方承诺本项目的免费保修为</w:t>
      </w:r>
      <w:r>
        <w:rPr>
          <w:rFonts w:hint="eastAsia" w:cs="宋体" w:asciiTheme="minorEastAsia" w:hAnsiTheme="minorEastAsia" w:eastAsiaTheme="minorEastAsia"/>
          <w:color w:val="000000" w:themeColor="text1"/>
          <w:spacing w:val="-4"/>
          <w:szCs w:val="21"/>
          <w:u w:val="single"/>
          <w:lang w:val="en-US" w:eastAsia="zh-CN"/>
          <w14:textFill>
            <w14:solidFill>
              <w14:schemeClr w14:val="tx1"/>
            </w14:solidFill>
          </w14:textFill>
        </w:rPr>
        <w:t xml:space="preserve">    </w:t>
      </w:r>
      <w:r>
        <w:rPr>
          <w:rFonts w:hint="eastAsia" w:cs="宋体" w:asciiTheme="minorEastAsia" w:hAnsiTheme="minorEastAsia" w:eastAsiaTheme="minorEastAsia"/>
          <w:color w:val="000000" w:themeColor="text1"/>
          <w:spacing w:val="-4"/>
          <w:szCs w:val="21"/>
          <w14:textFill>
            <w14:solidFill>
              <w14:schemeClr w14:val="tx1"/>
            </w14:solidFill>
          </w14:textFill>
        </w:rPr>
        <w:t>年。</w:t>
      </w:r>
    </w:p>
    <w:p w14:paraId="62B5F97E">
      <w:pPr>
        <w:spacing w:line="360" w:lineRule="auto"/>
        <w:ind w:right="-341" w:firstLine="404" w:firstLineChars="200"/>
        <w:rPr>
          <w:rFonts w:cs="宋体" w:asciiTheme="minorEastAsia" w:hAnsiTheme="minorEastAsia" w:eastAsiaTheme="minorEastAsia"/>
          <w:color w:val="000000" w:themeColor="text1"/>
          <w:spacing w:val="-4"/>
          <w:szCs w:val="21"/>
          <w14:textFill>
            <w14:solidFill>
              <w14:schemeClr w14:val="tx1"/>
            </w14:solidFill>
          </w14:textFill>
        </w:rPr>
      </w:pPr>
      <w:r>
        <w:rPr>
          <w:rFonts w:hint="eastAsia" w:cs="宋体" w:asciiTheme="minorEastAsia" w:hAnsiTheme="minorEastAsia" w:eastAsiaTheme="minorEastAsia"/>
          <w:color w:val="000000" w:themeColor="text1"/>
          <w:spacing w:val="-4"/>
          <w:szCs w:val="21"/>
          <w14:textFill>
            <w14:solidFill>
              <w14:schemeClr w14:val="tx1"/>
            </w14:solidFill>
          </w14:textFill>
        </w:rPr>
        <w:t>10、我方承诺如中标，</w:t>
      </w:r>
      <w:r>
        <w:rPr>
          <w:rFonts w:hint="eastAsia" w:ascii="宋体" w:hAnsi="宋体"/>
          <w:sz w:val="22"/>
          <w:szCs w:val="22"/>
        </w:rPr>
        <w:t>合同签署生效并收到采购人交货通知后日内交付全部货物</w:t>
      </w:r>
      <w:r>
        <w:rPr>
          <w:rFonts w:hint="eastAsia" w:cs="宋体" w:asciiTheme="minorEastAsia" w:hAnsiTheme="minorEastAsia" w:eastAsiaTheme="minorEastAsia"/>
          <w:color w:val="000000" w:themeColor="text1"/>
          <w:spacing w:val="-4"/>
          <w:szCs w:val="21"/>
          <w14:textFill>
            <w14:solidFill>
              <w14:schemeClr w14:val="tx1"/>
            </w14:solidFill>
          </w14:textFill>
        </w:rPr>
        <w:t>。</w:t>
      </w:r>
    </w:p>
    <w:p w14:paraId="01A69DB7">
      <w:pPr>
        <w:spacing w:line="360" w:lineRule="auto"/>
        <w:ind w:right="-341" w:firstLine="404" w:firstLineChars="200"/>
        <w:rPr>
          <w:rFonts w:cs="宋体" w:asciiTheme="minorEastAsia" w:hAnsiTheme="minorEastAsia" w:eastAsiaTheme="minorEastAsia"/>
          <w:spacing w:val="-4"/>
          <w:szCs w:val="21"/>
        </w:rPr>
      </w:pPr>
      <w:r>
        <w:rPr>
          <w:rFonts w:hint="eastAsia" w:cs="宋体" w:asciiTheme="minorEastAsia" w:hAnsiTheme="minorEastAsia" w:eastAsiaTheme="minorEastAsia"/>
          <w:spacing w:val="-4"/>
          <w:szCs w:val="21"/>
        </w:rPr>
        <w:t>11、与本投标有关的一切正式往来信函请寄：</w:t>
      </w:r>
    </w:p>
    <w:p w14:paraId="1CF11623">
      <w:pPr>
        <w:snapToGrid w:val="0"/>
        <w:spacing w:line="312" w:lineRule="auto"/>
        <w:ind w:right="-341"/>
        <w:rPr>
          <w:rFonts w:hint="eastAsia" w:asciiTheme="minorEastAsia" w:hAnsiTheme="minorEastAsia" w:eastAsiaTheme="minorEastAsia"/>
        </w:rPr>
      </w:pPr>
    </w:p>
    <w:p w14:paraId="67D8D756">
      <w:pPr>
        <w:snapToGrid w:val="0"/>
        <w:spacing w:line="312" w:lineRule="auto"/>
        <w:ind w:right="-341"/>
        <w:rPr>
          <w:rFonts w:asciiTheme="minorEastAsia" w:hAnsiTheme="minorEastAsia" w:eastAsiaTheme="minorEastAsia"/>
        </w:rPr>
      </w:pPr>
      <w:r>
        <w:rPr>
          <w:rFonts w:hint="eastAsia" w:asciiTheme="minorEastAsia" w:hAnsiTheme="minorEastAsia" w:eastAsiaTheme="minorEastAsia"/>
        </w:rPr>
        <w:t>地址：___________________ 邮编：__________   电话：______________</w:t>
      </w:r>
    </w:p>
    <w:p w14:paraId="654713A8">
      <w:pPr>
        <w:snapToGrid w:val="0"/>
        <w:spacing w:line="312" w:lineRule="auto"/>
        <w:ind w:right="-341"/>
        <w:rPr>
          <w:rFonts w:asciiTheme="minorEastAsia" w:hAnsiTheme="minorEastAsia" w:eastAsiaTheme="minorEastAsia"/>
        </w:rPr>
      </w:pPr>
      <w:r>
        <w:rPr>
          <w:rFonts w:hint="eastAsia" w:asciiTheme="minorEastAsia" w:hAnsiTheme="minorEastAsia" w:eastAsiaTheme="minorEastAsia"/>
        </w:rPr>
        <w:t>传真：______________投标人代表姓名 ___________  职务：_____________</w:t>
      </w:r>
    </w:p>
    <w:p w14:paraId="7FB12800">
      <w:pPr>
        <w:snapToGrid w:val="0"/>
        <w:spacing w:line="312" w:lineRule="auto"/>
        <w:ind w:right="-341"/>
        <w:rPr>
          <w:rFonts w:asciiTheme="minorEastAsia" w:hAnsiTheme="minorEastAsia" w:eastAsiaTheme="minorEastAsia"/>
        </w:rPr>
      </w:pPr>
      <w:r>
        <w:rPr>
          <w:rFonts w:hint="eastAsia" w:asciiTheme="minorEastAsia" w:hAnsiTheme="minorEastAsia" w:eastAsiaTheme="minorEastAsia"/>
        </w:rPr>
        <w:t>投标人名称(公章):___________________</w:t>
      </w:r>
    </w:p>
    <w:p w14:paraId="10F031E3">
      <w:pPr>
        <w:snapToGrid w:val="0"/>
        <w:spacing w:line="312" w:lineRule="auto"/>
        <w:ind w:right="-341"/>
        <w:rPr>
          <w:rFonts w:asciiTheme="minorEastAsia" w:hAnsiTheme="minorEastAsia" w:eastAsiaTheme="minorEastAsia"/>
        </w:rPr>
      </w:pPr>
      <w:r>
        <w:rPr>
          <w:rFonts w:hint="eastAsia" w:asciiTheme="minorEastAsia" w:hAnsiTheme="minorEastAsia" w:eastAsiaTheme="minorEastAsia"/>
        </w:rPr>
        <w:t>开户银行：          银行帐号：</w:t>
      </w:r>
    </w:p>
    <w:p w14:paraId="675E56ED">
      <w:pPr>
        <w:snapToGrid w:val="0"/>
        <w:spacing w:line="312" w:lineRule="auto"/>
        <w:ind w:right="-341"/>
        <w:rPr>
          <w:rFonts w:asciiTheme="minorEastAsia" w:hAnsiTheme="minorEastAsia" w:eastAsiaTheme="minorEastAsia"/>
        </w:rPr>
      </w:pPr>
      <w:r>
        <w:rPr>
          <w:rFonts w:hint="eastAsia" w:asciiTheme="minorEastAsia" w:hAnsiTheme="minorEastAsia" w:eastAsiaTheme="minorEastAsia"/>
        </w:rPr>
        <w:t>法定代表人（负责人）签字或盖章：</w:t>
      </w:r>
    </w:p>
    <w:p w14:paraId="489718C7">
      <w:pPr>
        <w:snapToGrid w:val="0"/>
        <w:spacing w:line="312" w:lineRule="auto"/>
        <w:ind w:right="-341"/>
        <w:rPr>
          <w:rFonts w:asciiTheme="minorEastAsia" w:hAnsiTheme="minorEastAsia" w:eastAsiaTheme="minorEastAsia"/>
        </w:rPr>
      </w:pPr>
    </w:p>
    <w:p w14:paraId="25927F21">
      <w:pPr>
        <w:pStyle w:val="2"/>
        <w:snapToGrid w:val="0"/>
        <w:spacing w:before="120" w:line="312" w:lineRule="auto"/>
        <w:ind w:right="-341" w:firstLine="3045" w:firstLineChars="1450"/>
        <w:rPr>
          <w:rFonts w:asciiTheme="minorEastAsia" w:hAnsiTheme="minorEastAsia" w:eastAsiaTheme="minorEastAsia"/>
          <w:sz w:val="21"/>
        </w:rPr>
      </w:pPr>
      <w:r>
        <w:rPr>
          <w:rFonts w:hint="eastAsia" w:asciiTheme="minorEastAsia" w:hAnsiTheme="minorEastAsia" w:eastAsiaTheme="minorEastAsia"/>
          <w:sz w:val="21"/>
        </w:rPr>
        <w:t xml:space="preserve">                 日期:_____年___月___日</w:t>
      </w:r>
    </w:p>
    <w:p w14:paraId="16226082">
      <w:pPr>
        <w:snapToGrid w:val="0"/>
        <w:spacing w:line="312" w:lineRule="auto"/>
        <w:ind w:right="-341"/>
        <w:jc w:val="left"/>
        <w:rPr>
          <w:rFonts w:asciiTheme="minorEastAsia" w:hAnsiTheme="minorEastAsia" w:eastAsiaTheme="minorEastAsia"/>
          <w:b/>
          <w:sz w:val="24"/>
        </w:rPr>
      </w:pPr>
      <w:r>
        <w:rPr>
          <w:rFonts w:hint="eastAsia" w:asciiTheme="minorEastAsia" w:hAnsiTheme="minorEastAsia" w:eastAsiaTheme="minorEastAsia"/>
        </w:rPr>
        <w:br w:type="page"/>
      </w:r>
    </w:p>
    <w:p w14:paraId="374E761D">
      <w:pPr>
        <w:snapToGrid w:val="0"/>
        <w:spacing w:beforeLines="50" w:after="50"/>
        <w:jc w:val="center"/>
        <w:rPr>
          <w:rFonts w:asciiTheme="minorEastAsia" w:hAnsiTheme="minorEastAsia" w:eastAsiaTheme="minorEastAsia"/>
          <w:b/>
          <w:sz w:val="32"/>
          <w:szCs w:val="32"/>
        </w:rPr>
      </w:pPr>
    </w:p>
    <w:p w14:paraId="7B4EBA15">
      <w:pPr>
        <w:snapToGrid w:val="0"/>
        <w:spacing w:beforeLines="50" w:after="50"/>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五、声明函</w:t>
      </w:r>
    </w:p>
    <w:p w14:paraId="552047EC">
      <w:pPr>
        <w:snapToGrid w:val="0"/>
        <w:spacing w:beforeLines="50" w:after="50" w:line="360" w:lineRule="auto"/>
        <w:rPr>
          <w:rFonts w:asciiTheme="minorEastAsia" w:hAnsiTheme="minorEastAsia" w:eastAsiaTheme="minorEastAsia"/>
          <w:szCs w:val="21"/>
        </w:rPr>
      </w:pPr>
    </w:p>
    <w:p w14:paraId="1626A1A4">
      <w:pPr>
        <w:snapToGrid w:val="0"/>
        <w:spacing w:beforeLines="50" w:after="50" w:line="360" w:lineRule="auto"/>
        <w:rPr>
          <w:rFonts w:asciiTheme="minorEastAsia" w:hAnsiTheme="minorEastAsia" w:eastAsiaTheme="minorEastAsia"/>
          <w:szCs w:val="21"/>
        </w:rPr>
      </w:pPr>
      <w:r>
        <w:rPr>
          <w:rFonts w:hint="eastAsia" w:asciiTheme="minorEastAsia" w:hAnsiTheme="minorEastAsia" w:eastAsiaTheme="minorEastAsia"/>
          <w:szCs w:val="21"/>
        </w:rPr>
        <w:t>致：</w:t>
      </w:r>
      <w:r>
        <w:rPr>
          <w:rFonts w:hint="eastAsia" w:ascii="宋体" w:hAnsi="宋体"/>
          <w:szCs w:val="21"/>
          <w:u w:val="single"/>
        </w:rPr>
        <w:t>（招标机构、采购单位名称）</w:t>
      </w:r>
    </w:p>
    <w:p w14:paraId="272CE77D">
      <w:pPr>
        <w:pStyle w:val="12"/>
        <w:spacing w:line="360" w:lineRule="auto"/>
        <w:ind w:firstLine="480"/>
        <w:rPr>
          <w:rFonts w:asciiTheme="minorEastAsia" w:hAnsiTheme="minorEastAsia" w:eastAsiaTheme="minorEastAsia"/>
          <w:sz w:val="21"/>
          <w:szCs w:val="21"/>
        </w:rPr>
      </w:pPr>
      <w:r>
        <w:rPr>
          <w:rFonts w:hint="eastAsia" w:asciiTheme="minorEastAsia" w:hAnsiTheme="minorEastAsia" w:eastAsiaTheme="minorEastAsia"/>
          <w:sz w:val="21"/>
          <w:szCs w:val="21"/>
        </w:rPr>
        <w:t>我方在参加政府采购活动前三年内，具有良好的商业信誉，依法缴纳税收和社会保障资金，未被列入失信被执行人名单、重大税收违法案件当事人名单、政府采购严重违法失信行为记录名单，在经营活动中没有重大违法记录（没有因违法经营受到刑事处罚，没有被责令停产停业、被吊销许可证或者执照、被处以较大数额罚款等行政处罚，没有因违法经营被禁止参加政府采购活动的期限未满情形）。如有虚假，采购人可取消我方任何资格（投标</w:t>
      </w:r>
      <w:r>
        <w:rPr>
          <w:rFonts w:asciiTheme="minorEastAsia" w:hAnsiTheme="minorEastAsia" w:eastAsiaTheme="minorEastAsia"/>
          <w:sz w:val="21"/>
          <w:szCs w:val="21"/>
        </w:rPr>
        <w:t>/</w:t>
      </w:r>
      <w:r>
        <w:rPr>
          <w:rFonts w:hint="eastAsia" w:asciiTheme="minorEastAsia" w:hAnsiTheme="minorEastAsia" w:eastAsiaTheme="minorEastAsia"/>
          <w:sz w:val="21"/>
          <w:szCs w:val="21"/>
        </w:rPr>
        <w:t>中标</w:t>
      </w:r>
      <w:r>
        <w:rPr>
          <w:rFonts w:asciiTheme="minorEastAsia" w:hAnsiTheme="minorEastAsia" w:eastAsiaTheme="minorEastAsia"/>
          <w:sz w:val="21"/>
          <w:szCs w:val="21"/>
        </w:rPr>
        <w:t>/</w:t>
      </w:r>
      <w:r>
        <w:rPr>
          <w:rFonts w:hint="eastAsia" w:asciiTheme="minorEastAsia" w:hAnsiTheme="minorEastAsia" w:eastAsiaTheme="minorEastAsia"/>
          <w:sz w:val="21"/>
          <w:szCs w:val="21"/>
        </w:rPr>
        <w:t>签订合同），我方对此无任何异议。</w:t>
      </w:r>
    </w:p>
    <w:p w14:paraId="2D5D94B4">
      <w:pPr>
        <w:pStyle w:val="12"/>
        <w:spacing w:line="360" w:lineRule="auto"/>
        <w:ind w:firstLine="480"/>
        <w:rPr>
          <w:rFonts w:asciiTheme="minorEastAsia" w:hAnsiTheme="minorEastAsia" w:eastAsiaTheme="minorEastAsia"/>
          <w:sz w:val="21"/>
          <w:szCs w:val="21"/>
        </w:rPr>
      </w:pPr>
      <w:r>
        <w:rPr>
          <w:rFonts w:hint="eastAsia" w:asciiTheme="minorEastAsia" w:hAnsiTheme="minorEastAsia" w:eastAsiaTheme="minorEastAsia"/>
          <w:sz w:val="21"/>
          <w:szCs w:val="21"/>
        </w:rPr>
        <w:t>特此声明！</w:t>
      </w:r>
    </w:p>
    <w:p w14:paraId="0A14CC01">
      <w:pPr>
        <w:pStyle w:val="12"/>
        <w:ind w:firstLine="480"/>
        <w:rPr>
          <w:rFonts w:asciiTheme="minorEastAsia" w:hAnsiTheme="minorEastAsia" w:eastAsiaTheme="minorEastAsia"/>
        </w:rPr>
      </w:pPr>
    </w:p>
    <w:p w14:paraId="68F624D8">
      <w:pPr>
        <w:snapToGrid w:val="0"/>
        <w:spacing w:beforeLines="50"/>
        <w:ind w:firstLine="200"/>
        <w:rPr>
          <w:rFonts w:asciiTheme="minorEastAsia" w:hAnsiTheme="minorEastAsia" w:eastAsiaTheme="minorEastAsia"/>
        </w:rPr>
      </w:pPr>
    </w:p>
    <w:p w14:paraId="0BB6AFBD">
      <w:pPr>
        <w:snapToGrid w:val="0"/>
        <w:spacing w:before="50" w:after="50"/>
        <w:rPr>
          <w:rFonts w:asciiTheme="minorEastAsia" w:hAnsiTheme="minorEastAsia" w:eastAsiaTheme="minorEastAsia"/>
        </w:rPr>
      </w:pPr>
      <w:r>
        <w:rPr>
          <w:rFonts w:hint="eastAsia" w:asciiTheme="minorEastAsia" w:hAnsiTheme="minorEastAsia" w:eastAsiaTheme="minorEastAsia"/>
        </w:rPr>
        <w:t>法定代表人（负责人）（签字或盖章）：</w:t>
      </w:r>
    </w:p>
    <w:p w14:paraId="53BC287A">
      <w:pPr>
        <w:snapToGrid w:val="0"/>
        <w:ind w:left="2" w:right="-817" w:rightChars="-389"/>
        <w:rPr>
          <w:rFonts w:asciiTheme="minorEastAsia" w:hAnsiTheme="minorEastAsia" w:eastAsiaTheme="minorEastAsia"/>
        </w:rPr>
      </w:pPr>
    </w:p>
    <w:p w14:paraId="228A1948">
      <w:pPr>
        <w:snapToGrid w:val="0"/>
        <w:spacing w:before="50" w:line="312" w:lineRule="auto"/>
        <w:jc w:val="left"/>
        <w:rPr>
          <w:rFonts w:asciiTheme="minorEastAsia" w:hAnsiTheme="minorEastAsia" w:eastAsiaTheme="minorEastAsia"/>
          <w:b/>
          <w:spacing w:val="20"/>
          <w:sz w:val="28"/>
        </w:rPr>
      </w:pPr>
      <w:r>
        <w:rPr>
          <w:rFonts w:hint="eastAsia" w:asciiTheme="minorEastAsia" w:hAnsiTheme="minorEastAsia" w:eastAsiaTheme="minorEastAsia"/>
        </w:rPr>
        <w:t>投标人名称（盖章）：                      日期：</w:t>
      </w:r>
    </w:p>
    <w:p w14:paraId="072E3D2B">
      <w:pPr>
        <w:pStyle w:val="2"/>
        <w:snapToGrid w:val="0"/>
        <w:spacing w:before="120" w:line="312" w:lineRule="auto"/>
        <w:ind w:right="-341"/>
        <w:jc w:val="center"/>
        <w:rPr>
          <w:rFonts w:asciiTheme="minorEastAsia" w:hAnsiTheme="minorEastAsia" w:eastAsiaTheme="minorEastAsia"/>
          <w:b/>
          <w:sz w:val="32"/>
        </w:rPr>
      </w:pPr>
    </w:p>
    <w:p w14:paraId="3F71B8B1">
      <w:pPr>
        <w:pStyle w:val="2"/>
        <w:snapToGrid w:val="0"/>
        <w:spacing w:before="120" w:line="312" w:lineRule="auto"/>
        <w:ind w:right="-341"/>
        <w:jc w:val="center"/>
        <w:rPr>
          <w:rFonts w:asciiTheme="minorEastAsia" w:hAnsiTheme="minorEastAsia" w:eastAsiaTheme="minorEastAsia"/>
          <w:b/>
          <w:sz w:val="32"/>
        </w:rPr>
      </w:pPr>
    </w:p>
    <w:p w14:paraId="75907CED">
      <w:pPr>
        <w:pStyle w:val="2"/>
        <w:snapToGrid w:val="0"/>
        <w:spacing w:before="120" w:line="312" w:lineRule="auto"/>
        <w:ind w:right="-341"/>
        <w:jc w:val="center"/>
        <w:rPr>
          <w:rFonts w:asciiTheme="minorEastAsia" w:hAnsiTheme="minorEastAsia" w:eastAsiaTheme="minorEastAsia"/>
          <w:b/>
          <w:sz w:val="32"/>
        </w:rPr>
      </w:pPr>
    </w:p>
    <w:p w14:paraId="38E547D5">
      <w:pPr>
        <w:pStyle w:val="2"/>
        <w:snapToGrid w:val="0"/>
        <w:spacing w:before="120" w:line="312" w:lineRule="auto"/>
        <w:ind w:right="-341"/>
        <w:jc w:val="center"/>
        <w:rPr>
          <w:rFonts w:asciiTheme="minorEastAsia" w:hAnsiTheme="minorEastAsia" w:eastAsiaTheme="minorEastAsia"/>
          <w:b/>
          <w:sz w:val="32"/>
        </w:rPr>
      </w:pPr>
    </w:p>
    <w:p w14:paraId="4B37C3A3">
      <w:pPr>
        <w:pStyle w:val="2"/>
        <w:snapToGrid w:val="0"/>
        <w:spacing w:before="120" w:line="312" w:lineRule="auto"/>
        <w:ind w:right="-341"/>
        <w:jc w:val="center"/>
        <w:rPr>
          <w:rFonts w:asciiTheme="minorEastAsia" w:hAnsiTheme="minorEastAsia" w:eastAsiaTheme="minorEastAsia"/>
          <w:b/>
          <w:sz w:val="32"/>
        </w:rPr>
      </w:pPr>
    </w:p>
    <w:p w14:paraId="1F7360D3">
      <w:pPr>
        <w:pStyle w:val="2"/>
        <w:snapToGrid w:val="0"/>
        <w:spacing w:before="120" w:line="312" w:lineRule="auto"/>
        <w:ind w:right="-341"/>
        <w:jc w:val="center"/>
        <w:rPr>
          <w:rFonts w:asciiTheme="minorEastAsia" w:hAnsiTheme="minorEastAsia" w:eastAsiaTheme="minorEastAsia"/>
          <w:b/>
          <w:sz w:val="32"/>
        </w:rPr>
      </w:pPr>
    </w:p>
    <w:p w14:paraId="48B8BA83">
      <w:pPr>
        <w:pStyle w:val="2"/>
        <w:snapToGrid w:val="0"/>
        <w:spacing w:before="120" w:line="312" w:lineRule="auto"/>
        <w:ind w:right="-341"/>
        <w:jc w:val="center"/>
        <w:rPr>
          <w:rFonts w:asciiTheme="minorEastAsia" w:hAnsiTheme="minorEastAsia" w:eastAsiaTheme="minorEastAsia"/>
          <w:b/>
          <w:sz w:val="32"/>
        </w:rPr>
      </w:pPr>
    </w:p>
    <w:p w14:paraId="6749E601">
      <w:pPr>
        <w:pStyle w:val="2"/>
        <w:snapToGrid w:val="0"/>
        <w:spacing w:before="120" w:line="312" w:lineRule="auto"/>
        <w:ind w:right="-341"/>
        <w:jc w:val="center"/>
        <w:rPr>
          <w:rFonts w:asciiTheme="minorEastAsia" w:hAnsiTheme="minorEastAsia" w:eastAsiaTheme="minorEastAsia"/>
          <w:b/>
          <w:sz w:val="32"/>
        </w:rPr>
      </w:pPr>
    </w:p>
    <w:p w14:paraId="60CD1B92">
      <w:pPr>
        <w:pStyle w:val="2"/>
        <w:snapToGrid w:val="0"/>
        <w:spacing w:before="120" w:line="312" w:lineRule="auto"/>
        <w:ind w:right="-341"/>
        <w:jc w:val="center"/>
        <w:rPr>
          <w:rFonts w:asciiTheme="minorEastAsia" w:hAnsiTheme="minorEastAsia" w:eastAsiaTheme="minorEastAsia"/>
          <w:b/>
          <w:sz w:val="32"/>
        </w:rPr>
      </w:pPr>
    </w:p>
    <w:p w14:paraId="074072BE">
      <w:pPr>
        <w:pStyle w:val="2"/>
        <w:snapToGrid w:val="0"/>
        <w:spacing w:before="120" w:line="312" w:lineRule="auto"/>
        <w:ind w:right="-341"/>
        <w:jc w:val="center"/>
        <w:rPr>
          <w:rFonts w:asciiTheme="minorEastAsia" w:hAnsiTheme="minorEastAsia" w:eastAsiaTheme="minorEastAsia"/>
          <w:b/>
          <w:sz w:val="32"/>
        </w:rPr>
      </w:pPr>
    </w:p>
    <w:p w14:paraId="003FA672">
      <w:pPr>
        <w:pStyle w:val="2"/>
        <w:snapToGrid w:val="0"/>
        <w:spacing w:before="120" w:line="312" w:lineRule="auto"/>
        <w:ind w:right="-341"/>
        <w:jc w:val="center"/>
        <w:rPr>
          <w:rFonts w:asciiTheme="minorEastAsia" w:hAnsiTheme="minorEastAsia" w:eastAsiaTheme="minorEastAsia"/>
          <w:b/>
          <w:sz w:val="32"/>
        </w:rPr>
      </w:pPr>
    </w:p>
    <w:p w14:paraId="277C8AFF">
      <w:pPr>
        <w:pStyle w:val="2"/>
        <w:snapToGrid w:val="0"/>
        <w:spacing w:before="120" w:line="312" w:lineRule="auto"/>
        <w:ind w:right="-341"/>
        <w:jc w:val="center"/>
        <w:rPr>
          <w:rFonts w:asciiTheme="minorEastAsia" w:hAnsiTheme="minorEastAsia" w:eastAsiaTheme="minorEastAsia"/>
          <w:b/>
          <w:sz w:val="32"/>
        </w:rPr>
      </w:pPr>
      <w:r>
        <w:rPr>
          <w:rFonts w:hint="eastAsia" w:asciiTheme="minorEastAsia" w:hAnsiTheme="minorEastAsia" w:eastAsiaTheme="minorEastAsia"/>
          <w:b/>
          <w:sz w:val="32"/>
        </w:rPr>
        <w:t>六、法定代表人授权委托书</w:t>
      </w:r>
    </w:p>
    <w:p w14:paraId="3427D6C4">
      <w:pPr>
        <w:snapToGrid w:val="0"/>
        <w:spacing w:line="312" w:lineRule="auto"/>
        <w:ind w:right="55"/>
        <w:rPr>
          <w:rFonts w:asciiTheme="minorEastAsia" w:hAnsiTheme="minorEastAsia" w:eastAsiaTheme="minorEastAsia"/>
        </w:rPr>
      </w:pPr>
    </w:p>
    <w:p w14:paraId="686DCA8C">
      <w:pPr>
        <w:snapToGrid w:val="0"/>
        <w:spacing w:line="312" w:lineRule="auto"/>
        <w:ind w:right="55"/>
        <w:rPr>
          <w:rFonts w:asciiTheme="minorEastAsia" w:hAnsiTheme="minorEastAsia" w:eastAsiaTheme="minorEastAsia"/>
          <w:b/>
        </w:rPr>
      </w:pPr>
      <w:r>
        <w:rPr>
          <w:rFonts w:hint="eastAsia" w:asciiTheme="minorEastAsia" w:hAnsiTheme="minorEastAsia" w:eastAsiaTheme="minorEastAsia"/>
        </w:rPr>
        <w:t>致：</w:t>
      </w:r>
      <w:r>
        <w:rPr>
          <w:rFonts w:hint="eastAsia" w:ascii="宋体" w:hAnsi="宋体"/>
          <w:szCs w:val="21"/>
          <w:u w:val="single"/>
        </w:rPr>
        <w:t>（招标机构、采购单位名称）</w:t>
      </w:r>
    </w:p>
    <w:p w14:paraId="61357D06">
      <w:pPr>
        <w:snapToGrid w:val="0"/>
        <w:spacing w:line="312" w:lineRule="auto"/>
        <w:ind w:right="55" w:firstLine="630" w:firstLineChars="300"/>
        <w:rPr>
          <w:rFonts w:asciiTheme="minorEastAsia" w:hAnsiTheme="minorEastAsia" w:eastAsiaTheme="minorEastAsia"/>
        </w:rPr>
      </w:pPr>
      <w:r>
        <w:rPr>
          <w:rFonts w:hint="eastAsia" w:asciiTheme="minorEastAsia" w:hAnsiTheme="minorEastAsia" w:eastAsiaTheme="minorEastAsia"/>
        </w:rPr>
        <w:t>我（姓名）系（投标人名称）的法定代表人（负责人），现授权委托本单位在职职工 （姓名）以我方的名义参加项目的投标活动，并代表我方全权办理针对上述项目的投标、开标、评标、签约等具体事务和签署相关文件。</w:t>
      </w:r>
    </w:p>
    <w:p w14:paraId="084081E7">
      <w:pPr>
        <w:snapToGrid w:val="0"/>
        <w:spacing w:line="312" w:lineRule="auto"/>
        <w:ind w:right="55"/>
        <w:rPr>
          <w:rFonts w:asciiTheme="minorEastAsia" w:hAnsiTheme="minorEastAsia" w:eastAsiaTheme="minorEastAsia"/>
        </w:rPr>
      </w:pPr>
      <w:r>
        <w:rPr>
          <w:rFonts w:hint="eastAsia" w:asciiTheme="minorEastAsia" w:hAnsiTheme="minorEastAsia" w:eastAsiaTheme="minorEastAsia"/>
        </w:rPr>
        <w:t xml:space="preserve">    我方对被授权人的签名事项负全部责任。</w:t>
      </w:r>
    </w:p>
    <w:p w14:paraId="0DC23C3A">
      <w:pPr>
        <w:snapToGrid w:val="0"/>
        <w:spacing w:line="312" w:lineRule="auto"/>
        <w:ind w:right="55" w:firstLine="480"/>
        <w:rPr>
          <w:rFonts w:asciiTheme="minorEastAsia" w:hAnsiTheme="minorEastAsia" w:eastAsiaTheme="minorEastAsia"/>
        </w:rPr>
      </w:pPr>
      <w:r>
        <w:rPr>
          <w:rFonts w:hint="eastAsia" w:asciiTheme="minorEastAsia" w:hAnsiTheme="minorEastAsia" w:eastAsiaTheme="minorEastAsia"/>
          <w:u w:val="single"/>
        </w:rPr>
        <w:t>在撤销授权的书面通知以前，本授权书一直有效。</w:t>
      </w:r>
      <w:r>
        <w:rPr>
          <w:rFonts w:hint="eastAsia" w:asciiTheme="minorEastAsia" w:hAnsiTheme="minorEastAsia" w:eastAsiaTheme="minorEastAsia"/>
        </w:rPr>
        <w:t>被授权人在授权书有效期内签署的所有文件不因授权的撤销而失效。</w:t>
      </w:r>
    </w:p>
    <w:p w14:paraId="0CC274A1">
      <w:pPr>
        <w:snapToGrid w:val="0"/>
        <w:spacing w:line="312" w:lineRule="auto"/>
        <w:ind w:right="55" w:firstLine="480"/>
        <w:rPr>
          <w:rFonts w:asciiTheme="minorEastAsia" w:hAnsiTheme="minorEastAsia" w:eastAsiaTheme="minorEastAsia"/>
        </w:rPr>
      </w:pPr>
      <w:r>
        <w:rPr>
          <w:rFonts w:hint="eastAsia" w:asciiTheme="minorEastAsia" w:hAnsiTheme="minorEastAsia" w:eastAsiaTheme="minorEastAsia"/>
        </w:rPr>
        <w:t>被授权人无转委托权，特此委托。</w:t>
      </w:r>
    </w:p>
    <w:p w14:paraId="23849368">
      <w:pPr>
        <w:snapToGrid w:val="0"/>
        <w:spacing w:line="312" w:lineRule="auto"/>
        <w:ind w:right="55"/>
        <w:rPr>
          <w:rFonts w:asciiTheme="minorEastAsia" w:hAnsiTheme="minorEastAsia" w:eastAsiaTheme="minorEastAsia"/>
        </w:rPr>
      </w:pPr>
    </w:p>
    <w:p w14:paraId="457BEE83">
      <w:pPr>
        <w:snapToGrid w:val="0"/>
        <w:spacing w:line="312" w:lineRule="auto"/>
        <w:ind w:right="55"/>
        <w:rPr>
          <w:rFonts w:asciiTheme="minorEastAsia" w:hAnsiTheme="minorEastAsia" w:eastAsiaTheme="minorEastAsia"/>
          <w:u w:val="single"/>
        </w:rPr>
      </w:pPr>
      <w:r>
        <w:rPr>
          <w:rFonts w:hint="eastAsia" w:asciiTheme="minorEastAsia" w:hAnsiTheme="minorEastAsia" w:eastAsiaTheme="minorEastAsia"/>
        </w:rPr>
        <w:t>被授权人签名：                 法定代表人（负责人）签名：</w:t>
      </w:r>
    </w:p>
    <w:p w14:paraId="5D1E5A5F">
      <w:pPr>
        <w:snapToGrid w:val="0"/>
        <w:spacing w:line="312" w:lineRule="auto"/>
        <w:ind w:right="55" w:firstLine="840" w:firstLineChars="400"/>
        <w:rPr>
          <w:rFonts w:asciiTheme="minorEastAsia" w:hAnsiTheme="minorEastAsia" w:eastAsiaTheme="minorEastAsia"/>
        </w:rPr>
      </w:pPr>
      <w:r>
        <w:rPr>
          <w:rFonts w:hint="eastAsia" w:asciiTheme="minorEastAsia" w:hAnsiTheme="minorEastAsia" w:eastAsiaTheme="minorEastAsia"/>
        </w:rPr>
        <w:t>职务：                                职务：</w:t>
      </w:r>
    </w:p>
    <w:p w14:paraId="4D186DD4">
      <w:pPr>
        <w:snapToGrid w:val="0"/>
        <w:spacing w:line="312" w:lineRule="auto"/>
        <w:ind w:right="55"/>
        <w:rPr>
          <w:rFonts w:asciiTheme="minorEastAsia" w:hAnsiTheme="minorEastAsia" w:eastAsiaTheme="minorEastAsia"/>
          <w:b/>
        </w:rPr>
      </w:pPr>
      <w:r>
        <w:rPr>
          <w:rFonts w:hint="eastAsia" w:asciiTheme="minorEastAsia" w:hAnsiTheme="minorEastAsia" w:eastAsiaTheme="minorEastAsia"/>
        </w:rPr>
        <w:t>被授权人身份证号码：</w:t>
      </w:r>
      <w:r>
        <w:rPr>
          <w:rFonts w:hint="eastAsia" w:asciiTheme="minorEastAsia" w:hAnsiTheme="minorEastAsia" w:eastAsiaTheme="minorEastAsia"/>
          <w:u w:val="single"/>
        </w:rPr>
        <w:t xml:space="preserve">                            （</w:t>
      </w:r>
      <w:r>
        <w:rPr>
          <w:rFonts w:hint="eastAsia" w:asciiTheme="minorEastAsia" w:hAnsiTheme="minorEastAsia" w:eastAsiaTheme="minorEastAsia"/>
          <w:b/>
          <w:spacing w:val="-4"/>
        </w:rPr>
        <w:t xml:space="preserve">附被授权人是本单位在职职工的有效身份证明，如劳动合同、社会保险、身份证复印件等）  </w:t>
      </w:r>
    </w:p>
    <w:p w14:paraId="534D49D8">
      <w:pPr>
        <w:snapToGrid w:val="0"/>
        <w:spacing w:line="312" w:lineRule="auto"/>
        <w:ind w:right="55"/>
        <w:rPr>
          <w:rFonts w:asciiTheme="minorEastAsia" w:hAnsiTheme="minorEastAsia" w:eastAsiaTheme="minorEastAsia"/>
        </w:rPr>
      </w:pPr>
    </w:p>
    <w:p w14:paraId="6A9B3E9F">
      <w:pPr>
        <w:snapToGrid w:val="0"/>
        <w:spacing w:line="312" w:lineRule="auto"/>
        <w:ind w:right="-341" w:firstLine="5355" w:firstLineChars="2550"/>
        <w:rPr>
          <w:rFonts w:asciiTheme="minorEastAsia" w:hAnsiTheme="minorEastAsia" w:eastAsiaTheme="minorEastAsia"/>
        </w:rPr>
      </w:pPr>
    </w:p>
    <w:p w14:paraId="2B9D6CE2">
      <w:pPr>
        <w:snapToGrid w:val="0"/>
        <w:spacing w:line="312" w:lineRule="auto"/>
        <w:ind w:right="-341" w:firstLine="5355" w:firstLineChars="2550"/>
        <w:rPr>
          <w:rFonts w:asciiTheme="minorEastAsia" w:hAnsiTheme="minorEastAsia" w:eastAsiaTheme="minorEastAsia"/>
        </w:rPr>
      </w:pPr>
    </w:p>
    <w:p w14:paraId="7B66CF9A">
      <w:pPr>
        <w:snapToGrid w:val="0"/>
        <w:spacing w:line="312" w:lineRule="auto"/>
        <w:ind w:right="-341" w:firstLine="5355" w:firstLineChars="2550"/>
        <w:rPr>
          <w:rFonts w:asciiTheme="minorEastAsia" w:hAnsiTheme="minorEastAsia" w:eastAsiaTheme="minorEastAsia"/>
        </w:rPr>
      </w:pPr>
      <w:r>
        <w:rPr>
          <w:rFonts w:hint="eastAsia" w:asciiTheme="minorEastAsia" w:hAnsiTheme="minorEastAsia" w:eastAsiaTheme="minorEastAsia"/>
        </w:rPr>
        <w:t xml:space="preserve"> 投标人公章：</w:t>
      </w:r>
    </w:p>
    <w:p w14:paraId="24FCFCC0">
      <w:pPr>
        <w:snapToGrid w:val="0"/>
        <w:spacing w:line="312" w:lineRule="auto"/>
        <w:ind w:right="-341"/>
        <w:jc w:val="center"/>
        <w:rPr>
          <w:rFonts w:asciiTheme="minorEastAsia" w:hAnsiTheme="minorEastAsia" w:eastAsiaTheme="minorEastAsia"/>
        </w:rPr>
      </w:pPr>
      <w:r>
        <w:rPr>
          <w:rFonts w:hint="eastAsia" w:asciiTheme="minorEastAsia" w:hAnsiTheme="minorEastAsia" w:eastAsiaTheme="minorEastAsia"/>
        </w:rPr>
        <w:t xml:space="preserve">                                        年    月    日</w:t>
      </w:r>
    </w:p>
    <w:p w14:paraId="3D67E95A">
      <w:pPr>
        <w:snapToGrid w:val="0"/>
        <w:spacing w:line="312" w:lineRule="auto"/>
        <w:ind w:right="-341" w:firstLine="404" w:firstLineChars="200"/>
        <w:jc w:val="left"/>
        <w:rPr>
          <w:rFonts w:asciiTheme="minorEastAsia" w:hAnsiTheme="minorEastAsia" w:eastAsiaTheme="minorEastAsia"/>
          <w:spacing w:val="-4"/>
        </w:rPr>
        <w:sectPr>
          <w:pgSz w:w="11906" w:h="16838"/>
          <w:pgMar w:top="1304" w:right="1531" w:bottom="1304" w:left="1531" w:header="1304" w:footer="1304" w:gutter="0"/>
          <w:cols w:space="720" w:num="1"/>
        </w:sectPr>
      </w:pPr>
    </w:p>
    <w:p w14:paraId="3A6CCCFD">
      <w:pPr>
        <w:snapToGrid w:val="0"/>
        <w:jc w:val="left"/>
        <w:rPr>
          <w:rFonts w:ascii="Times New Roman" w:hAnsi="Times New Roman"/>
          <w:b/>
          <w:sz w:val="24"/>
        </w:rPr>
      </w:pPr>
    </w:p>
    <w:p w14:paraId="730FA8E9">
      <w:pPr>
        <w:pStyle w:val="2"/>
        <w:snapToGrid w:val="0"/>
        <w:spacing w:before="120" w:line="312" w:lineRule="auto"/>
        <w:ind w:right="-341"/>
        <w:jc w:val="center"/>
        <w:rPr>
          <w:rFonts w:asciiTheme="minorEastAsia" w:hAnsiTheme="minorEastAsia" w:eastAsiaTheme="minorEastAsia"/>
          <w:b/>
          <w:sz w:val="32"/>
        </w:rPr>
      </w:pPr>
      <w:r>
        <w:rPr>
          <w:rFonts w:hint="eastAsia" w:asciiTheme="minorEastAsia" w:hAnsiTheme="minorEastAsia" w:eastAsiaTheme="minorEastAsia"/>
          <w:b/>
          <w:sz w:val="32"/>
        </w:rPr>
        <w:t>七、供应商基本情况表</w:t>
      </w:r>
    </w:p>
    <w:tbl>
      <w:tblPr>
        <w:tblStyle w:val="28"/>
        <w:tblW w:w="9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992"/>
        <w:gridCol w:w="1418"/>
        <w:gridCol w:w="180"/>
        <w:gridCol w:w="1096"/>
        <w:gridCol w:w="567"/>
        <w:gridCol w:w="567"/>
        <w:gridCol w:w="850"/>
        <w:gridCol w:w="851"/>
        <w:gridCol w:w="330"/>
        <w:gridCol w:w="662"/>
        <w:gridCol w:w="142"/>
        <w:gridCol w:w="1171"/>
      </w:tblGrid>
      <w:tr w14:paraId="462A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Align w:val="center"/>
          </w:tcPr>
          <w:p w14:paraId="51DC876D">
            <w:pPr>
              <w:spacing w:line="440" w:lineRule="exact"/>
              <w:jc w:val="center"/>
              <w:rPr>
                <w:rFonts w:ascii="宋体" w:hAnsi="宋体" w:cs="宋体"/>
                <w:szCs w:val="21"/>
              </w:rPr>
            </w:pPr>
            <w:r>
              <w:rPr>
                <w:rFonts w:hint="eastAsia" w:ascii="宋体" w:hAnsi="宋体" w:cs="宋体"/>
                <w:szCs w:val="21"/>
              </w:rPr>
              <w:t>企业名称</w:t>
            </w:r>
          </w:p>
        </w:tc>
        <w:tc>
          <w:tcPr>
            <w:tcW w:w="4820" w:type="dxa"/>
            <w:gridSpan w:val="6"/>
            <w:vAlign w:val="center"/>
          </w:tcPr>
          <w:p w14:paraId="08981708">
            <w:pPr>
              <w:spacing w:line="440" w:lineRule="exact"/>
              <w:jc w:val="center"/>
              <w:rPr>
                <w:rFonts w:ascii="宋体" w:hAnsi="宋体" w:cs="宋体"/>
                <w:szCs w:val="21"/>
              </w:rPr>
            </w:pPr>
          </w:p>
        </w:tc>
        <w:tc>
          <w:tcPr>
            <w:tcW w:w="1701" w:type="dxa"/>
            <w:gridSpan w:val="2"/>
            <w:vAlign w:val="center"/>
          </w:tcPr>
          <w:p w14:paraId="3A8D1DCF">
            <w:pPr>
              <w:spacing w:line="440" w:lineRule="exact"/>
              <w:jc w:val="center"/>
              <w:rPr>
                <w:rFonts w:ascii="宋体" w:hAnsi="宋体" w:cs="宋体"/>
                <w:szCs w:val="21"/>
              </w:rPr>
            </w:pPr>
            <w:r>
              <w:rPr>
                <w:rFonts w:hint="eastAsia" w:ascii="宋体" w:hAnsi="宋体" w:cs="宋体"/>
                <w:szCs w:val="21"/>
              </w:rPr>
              <w:t>法人代表</w:t>
            </w:r>
          </w:p>
        </w:tc>
        <w:tc>
          <w:tcPr>
            <w:tcW w:w="2305" w:type="dxa"/>
            <w:gridSpan w:val="4"/>
            <w:vAlign w:val="center"/>
          </w:tcPr>
          <w:p w14:paraId="78C12286">
            <w:pPr>
              <w:spacing w:line="440" w:lineRule="exact"/>
              <w:jc w:val="center"/>
              <w:rPr>
                <w:rFonts w:ascii="宋体" w:hAnsi="宋体" w:cs="宋体"/>
                <w:szCs w:val="21"/>
              </w:rPr>
            </w:pPr>
          </w:p>
        </w:tc>
      </w:tr>
      <w:tr w14:paraId="2F10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Align w:val="center"/>
          </w:tcPr>
          <w:p w14:paraId="7AD3F4BD">
            <w:pPr>
              <w:spacing w:line="440" w:lineRule="exact"/>
              <w:jc w:val="center"/>
              <w:rPr>
                <w:rFonts w:ascii="宋体" w:hAnsi="宋体" w:cs="宋体"/>
                <w:szCs w:val="21"/>
              </w:rPr>
            </w:pPr>
            <w:r>
              <w:rPr>
                <w:rFonts w:hint="eastAsia" w:ascii="宋体" w:hAnsi="宋体" w:cs="宋体"/>
                <w:szCs w:val="21"/>
              </w:rPr>
              <w:t>地址</w:t>
            </w:r>
          </w:p>
        </w:tc>
        <w:tc>
          <w:tcPr>
            <w:tcW w:w="4820" w:type="dxa"/>
            <w:gridSpan w:val="6"/>
            <w:vAlign w:val="center"/>
          </w:tcPr>
          <w:p w14:paraId="6B048AE0">
            <w:pPr>
              <w:spacing w:line="440" w:lineRule="exact"/>
              <w:jc w:val="center"/>
              <w:rPr>
                <w:rFonts w:ascii="宋体" w:hAnsi="宋体" w:cs="宋体"/>
                <w:szCs w:val="21"/>
              </w:rPr>
            </w:pPr>
          </w:p>
        </w:tc>
        <w:tc>
          <w:tcPr>
            <w:tcW w:w="1701" w:type="dxa"/>
            <w:gridSpan w:val="2"/>
            <w:vAlign w:val="center"/>
          </w:tcPr>
          <w:p w14:paraId="3CACF5B4">
            <w:pPr>
              <w:spacing w:line="440" w:lineRule="exact"/>
              <w:jc w:val="center"/>
              <w:rPr>
                <w:rFonts w:ascii="宋体" w:hAnsi="宋体" w:cs="宋体"/>
                <w:szCs w:val="21"/>
              </w:rPr>
            </w:pPr>
            <w:r>
              <w:rPr>
                <w:rFonts w:hint="eastAsia" w:ascii="宋体" w:hAnsi="宋体" w:cs="宋体"/>
                <w:szCs w:val="21"/>
              </w:rPr>
              <w:t>企业性质</w:t>
            </w:r>
          </w:p>
        </w:tc>
        <w:tc>
          <w:tcPr>
            <w:tcW w:w="2305" w:type="dxa"/>
            <w:gridSpan w:val="4"/>
            <w:vAlign w:val="center"/>
          </w:tcPr>
          <w:p w14:paraId="31FD0C01">
            <w:pPr>
              <w:spacing w:line="440" w:lineRule="exact"/>
              <w:jc w:val="center"/>
              <w:rPr>
                <w:rFonts w:ascii="宋体" w:hAnsi="宋体" w:cs="宋体"/>
                <w:szCs w:val="21"/>
              </w:rPr>
            </w:pPr>
          </w:p>
        </w:tc>
      </w:tr>
      <w:tr w14:paraId="6233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Align w:val="center"/>
          </w:tcPr>
          <w:p w14:paraId="5F4FBAA7">
            <w:pPr>
              <w:spacing w:line="440" w:lineRule="exact"/>
              <w:jc w:val="center"/>
              <w:rPr>
                <w:rFonts w:ascii="宋体" w:hAnsi="宋体" w:cs="宋体"/>
                <w:szCs w:val="21"/>
              </w:rPr>
            </w:pPr>
            <w:r>
              <w:rPr>
                <w:rFonts w:hint="eastAsia" w:ascii="宋体" w:hAnsi="宋体" w:cs="宋体"/>
                <w:szCs w:val="21"/>
              </w:rPr>
              <w:t>股东姓名</w:t>
            </w:r>
          </w:p>
        </w:tc>
        <w:tc>
          <w:tcPr>
            <w:tcW w:w="992" w:type="dxa"/>
            <w:vAlign w:val="center"/>
          </w:tcPr>
          <w:p w14:paraId="4DAC652B">
            <w:pPr>
              <w:spacing w:line="440" w:lineRule="exact"/>
              <w:jc w:val="center"/>
              <w:rPr>
                <w:rFonts w:ascii="宋体" w:hAnsi="宋体" w:cs="宋体"/>
                <w:szCs w:val="21"/>
              </w:rPr>
            </w:pPr>
          </w:p>
        </w:tc>
        <w:tc>
          <w:tcPr>
            <w:tcW w:w="1418" w:type="dxa"/>
            <w:vAlign w:val="center"/>
          </w:tcPr>
          <w:p w14:paraId="17001FB8">
            <w:pPr>
              <w:spacing w:line="440" w:lineRule="exact"/>
              <w:jc w:val="center"/>
              <w:rPr>
                <w:rFonts w:ascii="宋体" w:hAnsi="宋体" w:cs="宋体"/>
                <w:szCs w:val="21"/>
              </w:rPr>
            </w:pPr>
            <w:r>
              <w:rPr>
                <w:rFonts w:hint="eastAsia" w:ascii="宋体" w:hAnsi="宋体" w:cs="宋体"/>
                <w:szCs w:val="21"/>
              </w:rPr>
              <w:t>股权结构（%）</w:t>
            </w:r>
          </w:p>
        </w:tc>
        <w:tc>
          <w:tcPr>
            <w:tcW w:w="2410" w:type="dxa"/>
            <w:gridSpan w:val="4"/>
            <w:vAlign w:val="center"/>
          </w:tcPr>
          <w:p w14:paraId="350B37BD">
            <w:pPr>
              <w:spacing w:line="440" w:lineRule="exact"/>
              <w:jc w:val="center"/>
              <w:rPr>
                <w:rFonts w:ascii="宋体" w:hAnsi="宋体" w:cs="宋体"/>
                <w:szCs w:val="21"/>
              </w:rPr>
            </w:pPr>
          </w:p>
        </w:tc>
        <w:tc>
          <w:tcPr>
            <w:tcW w:w="1701" w:type="dxa"/>
            <w:gridSpan w:val="2"/>
            <w:vAlign w:val="center"/>
          </w:tcPr>
          <w:p w14:paraId="1CD43A09">
            <w:pPr>
              <w:spacing w:line="440" w:lineRule="exact"/>
              <w:jc w:val="center"/>
              <w:rPr>
                <w:rFonts w:ascii="宋体" w:hAnsi="宋体" w:cs="宋体"/>
                <w:szCs w:val="21"/>
              </w:rPr>
            </w:pPr>
            <w:r>
              <w:rPr>
                <w:rFonts w:hint="eastAsia" w:ascii="宋体" w:hAnsi="宋体" w:cs="宋体"/>
                <w:szCs w:val="21"/>
              </w:rPr>
              <w:t>股东关系</w:t>
            </w:r>
          </w:p>
        </w:tc>
        <w:tc>
          <w:tcPr>
            <w:tcW w:w="2305" w:type="dxa"/>
            <w:gridSpan w:val="4"/>
            <w:vAlign w:val="center"/>
          </w:tcPr>
          <w:p w14:paraId="3931112A">
            <w:pPr>
              <w:spacing w:line="440" w:lineRule="exact"/>
              <w:jc w:val="center"/>
              <w:rPr>
                <w:rFonts w:ascii="宋体" w:hAnsi="宋体" w:cs="宋体"/>
                <w:szCs w:val="21"/>
              </w:rPr>
            </w:pPr>
          </w:p>
        </w:tc>
      </w:tr>
      <w:tr w14:paraId="28C6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135" w:type="dxa"/>
            <w:vMerge w:val="restart"/>
            <w:vAlign w:val="center"/>
          </w:tcPr>
          <w:p w14:paraId="7BF13ECC">
            <w:pPr>
              <w:spacing w:line="440" w:lineRule="exact"/>
              <w:jc w:val="center"/>
              <w:rPr>
                <w:rFonts w:ascii="宋体" w:hAnsi="宋体" w:cs="宋体"/>
                <w:szCs w:val="21"/>
              </w:rPr>
            </w:pPr>
            <w:r>
              <w:rPr>
                <w:rFonts w:hint="eastAsia" w:ascii="宋体" w:hAnsi="宋体" w:cs="宋体"/>
                <w:szCs w:val="21"/>
              </w:rPr>
              <w:t>联系人姓名</w:t>
            </w:r>
          </w:p>
        </w:tc>
        <w:tc>
          <w:tcPr>
            <w:tcW w:w="992" w:type="dxa"/>
            <w:vMerge w:val="restart"/>
            <w:vAlign w:val="center"/>
          </w:tcPr>
          <w:p w14:paraId="118D49A1">
            <w:pPr>
              <w:spacing w:line="440" w:lineRule="exact"/>
              <w:jc w:val="center"/>
              <w:rPr>
                <w:rFonts w:ascii="宋体" w:hAnsi="宋体" w:cs="宋体"/>
                <w:szCs w:val="21"/>
              </w:rPr>
            </w:pPr>
          </w:p>
        </w:tc>
        <w:tc>
          <w:tcPr>
            <w:tcW w:w="1418" w:type="dxa"/>
            <w:vAlign w:val="center"/>
          </w:tcPr>
          <w:p w14:paraId="6A0FA60C">
            <w:pPr>
              <w:spacing w:line="440" w:lineRule="exact"/>
              <w:jc w:val="center"/>
              <w:rPr>
                <w:rFonts w:ascii="宋体" w:hAnsi="宋体" w:cs="宋体"/>
                <w:szCs w:val="21"/>
              </w:rPr>
            </w:pPr>
            <w:r>
              <w:rPr>
                <w:rFonts w:hint="eastAsia" w:ascii="宋体" w:hAnsi="宋体" w:cs="宋体"/>
                <w:szCs w:val="21"/>
              </w:rPr>
              <w:t>固定电话</w:t>
            </w:r>
          </w:p>
        </w:tc>
        <w:tc>
          <w:tcPr>
            <w:tcW w:w="2410" w:type="dxa"/>
            <w:gridSpan w:val="4"/>
            <w:vAlign w:val="center"/>
          </w:tcPr>
          <w:p w14:paraId="37098CA9">
            <w:pPr>
              <w:spacing w:line="440" w:lineRule="exact"/>
              <w:jc w:val="center"/>
              <w:rPr>
                <w:rFonts w:ascii="宋体" w:hAnsi="宋体" w:cs="宋体"/>
                <w:szCs w:val="21"/>
              </w:rPr>
            </w:pPr>
          </w:p>
        </w:tc>
        <w:tc>
          <w:tcPr>
            <w:tcW w:w="1701" w:type="dxa"/>
            <w:gridSpan w:val="2"/>
            <w:vMerge w:val="restart"/>
            <w:vAlign w:val="center"/>
          </w:tcPr>
          <w:p w14:paraId="301F5828">
            <w:pPr>
              <w:spacing w:line="440" w:lineRule="exact"/>
              <w:jc w:val="center"/>
              <w:rPr>
                <w:rFonts w:ascii="宋体" w:hAnsi="宋体" w:cs="宋体"/>
                <w:szCs w:val="21"/>
              </w:rPr>
            </w:pPr>
            <w:r>
              <w:rPr>
                <w:rFonts w:hint="eastAsia" w:ascii="宋体" w:hAnsi="宋体" w:cs="宋体"/>
                <w:szCs w:val="21"/>
              </w:rPr>
              <w:t>传真</w:t>
            </w:r>
          </w:p>
        </w:tc>
        <w:tc>
          <w:tcPr>
            <w:tcW w:w="2305" w:type="dxa"/>
            <w:gridSpan w:val="4"/>
            <w:vMerge w:val="restart"/>
            <w:vAlign w:val="center"/>
          </w:tcPr>
          <w:p w14:paraId="4D58F0E4">
            <w:pPr>
              <w:spacing w:line="440" w:lineRule="exact"/>
              <w:jc w:val="center"/>
              <w:rPr>
                <w:rFonts w:ascii="宋体" w:hAnsi="宋体" w:cs="宋体"/>
                <w:szCs w:val="21"/>
              </w:rPr>
            </w:pPr>
          </w:p>
        </w:tc>
      </w:tr>
      <w:tr w14:paraId="1DDC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135" w:type="dxa"/>
            <w:vMerge w:val="continue"/>
            <w:vAlign w:val="center"/>
          </w:tcPr>
          <w:p w14:paraId="41FE1161">
            <w:pPr>
              <w:spacing w:line="440" w:lineRule="exact"/>
              <w:jc w:val="center"/>
              <w:rPr>
                <w:rFonts w:ascii="宋体" w:hAnsi="宋体" w:cs="宋体"/>
                <w:szCs w:val="21"/>
              </w:rPr>
            </w:pPr>
          </w:p>
        </w:tc>
        <w:tc>
          <w:tcPr>
            <w:tcW w:w="992" w:type="dxa"/>
            <w:vMerge w:val="continue"/>
            <w:vAlign w:val="center"/>
          </w:tcPr>
          <w:p w14:paraId="2DD1147E">
            <w:pPr>
              <w:spacing w:line="440" w:lineRule="exact"/>
              <w:jc w:val="center"/>
              <w:rPr>
                <w:rFonts w:ascii="宋体" w:hAnsi="宋体" w:cs="宋体"/>
                <w:szCs w:val="21"/>
              </w:rPr>
            </w:pPr>
          </w:p>
        </w:tc>
        <w:tc>
          <w:tcPr>
            <w:tcW w:w="1418" w:type="dxa"/>
            <w:vAlign w:val="center"/>
          </w:tcPr>
          <w:p w14:paraId="5B023447">
            <w:pPr>
              <w:spacing w:line="440" w:lineRule="exact"/>
              <w:jc w:val="center"/>
              <w:rPr>
                <w:rFonts w:ascii="宋体" w:hAnsi="宋体" w:cs="宋体"/>
                <w:szCs w:val="21"/>
              </w:rPr>
            </w:pPr>
            <w:r>
              <w:rPr>
                <w:rFonts w:hint="eastAsia" w:ascii="宋体" w:hAnsi="宋体" w:cs="宋体"/>
                <w:szCs w:val="21"/>
              </w:rPr>
              <w:t>手 机</w:t>
            </w:r>
          </w:p>
        </w:tc>
        <w:tc>
          <w:tcPr>
            <w:tcW w:w="2410" w:type="dxa"/>
            <w:gridSpan w:val="4"/>
            <w:vAlign w:val="center"/>
          </w:tcPr>
          <w:p w14:paraId="2192C5FA">
            <w:pPr>
              <w:spacing w:line="440" w:lineRule="exact"/>
              <w:jc w:val="center"/>
              <w:rPr>
                <w:rFonts w:ascii="宋体" w:hAnsi="宋体" w:cs="宋体"/>
                <w:szCs w:val="21"/>
              </w:rPr>
            </w:pPr>
          </w:p>
        </w:tc>
        <w:tc>
          <w:tcPr>
            <w:tcW w:w="1701" w:type="dxa"/>
            <w:gridSpan w:val="2"/>
            <w:vMerge w:val="continue"/>
            <w:vAlign w:val="center"/>
          </w:tcPr>
          <w:p w14:paraId="145DA5F9">
            <w:pPr>
              <w:spacing w:line="440" w:lineRule="exact"/>
              <w:jc w:val="center"/>
              <w:rPr>
                <w:rFonts w:ascii="宋体" w:hAnsi="宋体" w:cs="宋体"/>
                <w:szCs w:val="21"/>
              </w:rPr>
            </w:pPr>
          </w:p>
        </w:tc>
        <w:tc>
          <w:tcPr>
            <w:tcW w:w="2305" w:type="dxa"/>
            <w:gridSpan w:val="4"/>
            <w:vMerge w:val="continue"/>
            <w:vAlign w:val="center"/>
          </w:tcPr>
          <w:p w14:paraId="5780131B">
            <w:pPr>
              <w:spacing w:line="440" w:lineRule="exact"/>
              <w:jc w:val="center"/>
              <w:rPr>
                <w:rFonts w:ascii="宋体" w:hAnsi="宋体" w:cs="宋体"/>
                <w:szCs w:val="21"/>
              </w:rPr>
            </w:pPr>
          </w:p>
        </w:tc>
      </w:tr>
      <w:tr w14:paraId="3E6C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restart"/>
            <w:vAlign w:val="center"/>
          </w:tcPr>
          <w:p w14:paraId="17EAFFC9">
            <w:pPr>
              <w:spacing w:line="440" w:lineRule="exact"/>
              <w:jc w:val="center"/>
              <w:rPr>
                <w:rFonts w:ascii="宋体" w:hAnsi="宋体" w:cs="宋体"/>
                <w:szCs w:val="21"/>
              </w:rPr>
            </w:pPr>
            <w:r>
              <w:rPr>
                <w:rFonts w:hint="eastAsia" w:ascii="宋体" w:hAnsi="宋体" w:cs="宋体"/>
                <w:szCs w:val="21"/>
              </w:rPr>
              <w:t>1.企业概况</w:t>
            </w:r>
          </w:p>
        </w:tc>
        <w:tc>
          <w:tcPr>
            <w:tcW w:w="992" w:type="dxa"/>
            <w:vAlign w:val="center"/>
          </w:tcPr>
          <w:p w14:paraId="69135605">
            <w:pPr>
              <w:spacing w:line="440" w:lineRule="exact"/>
              <w:jc w:val="center"/>
              <w:rPr>
                <w:rFonts w:ascii="宋体" w:hAnsi="宋体" w:cs="宋体"/>
                <w:szCs w:val="21"/>
              </w:rPr>
            </w:pPr>
            <w:r>
              <w:rPr>
                <w:rFonts w:hint="eastAsia" w:ascii="宋体" w:hAnsi="宋体" w:cs="宋体"/>
                <w:szCs w:val="21"/>
              </w:rPr>
              <w:t>职工</w:t>
            </w:r>
          </w:p>
          <w:p w14:paraId="6512B0FE">
            <w:pPr>
              <w:spacing w:line="440" w:lineRule="exact"/>
              <w:jc w:val="center"/>
              <w:rPr>
                <w:rFonts w:ascii="宋体" w:hAnsi="宋体" w:cs="宋体"/>
                <w:szCs w:val="21"/>
              </w:rPr>
            </w:pPr>
            <w:r>
              <w:rPr>
                <w:rFonts w:hint="eastAsia" w:ascii="宋体" w:hAnsi="宋体" w:cs="宋体"/>
                <w:szCs w:val="21"/>
              </w:rPr>
              <w:t>人数</w:t>
            </w:r>
          </w:p>
        </w:tc>
        <w:tc>
          <w:tcPr>
            <w:tcW w:w="1418" w:type="dxa"/>
            <w:vAlign w:val="center"/>
          </w:tcPr>
          <w:p w14:paraId="68C60662">
            <w:pPr>
              <w:spacing w:line="440" w:lineRule="exact"/>
              <w:jc w:val="center"/>
              <w:rPr>
                <w:rFonts w:ascii="宋体" w:hAnsi="宋体" w:cs="宋体"/>
                <w:szCs w:val="21"/>
              </w:rPr>
            </w:pPr>
          </w:p>
        </w:tc>
        <w:tc>
          <w:tcPr>
            <w:tcW w:w="1276" w:type="dxa"/>
            <w:gridSpan w:val="2"/>
            <w:vAlign w:val="center"/>
          </w:tcPr>
          <w:p w14:paraId="73307782">
            <w:pPr>
              <w:spacing w:line="440" w:lineRule="exact"/>
              <w:jc w:val="center"/>
              <w:rPr>
                <w:rFonts w:ascii="宋体" w:hAnsi="宋体" w:cs="宋体"/>
                <w:szCs w:val="21"/>
              </w:rPr>
            </w:pPr>
            <w:r>
              <w:rPr>
                <w:rFonts w:hint="eastAsia" w:ascii="宋体" w:hAnsi="宋体" w:cs="宋体"/>
                <w:szCs w:val="21"/>
              </w:rPr>
              <w:t>具备大专以上学历人数</w:t>
            </w:r>
          </w:p>
        </w:tc>
        <w:tc>
          <w:tcPr>
            <w:tcW w:w="1134" w:type="dxa"/>
            <w:gridSpan w:val="2"/>
            <w:vAlign w:val="center"/>
          </w:tcPr>
          <w:p w14:paraId="77FA16C7">
            <w:pPr>
              <w:spacing w:line="440" w:lineRule="exact"/>
              <w:jc w:val="center"/>
              <w:rPr>
                <w:rFonts w:ascii="宋体" w:hAnsi="宋体" w:cs="宋体"/>
                <w:szCs w:val="21"/>
              </w:rPr>
            </w:pPr>
          </w:p>
        </w:tc>
        <w:tc>
          <w:tcPr>
            <w:tcW w:w="1701" w:type="dxa"/>
            <w:gridSpan w:val="2"/>
            <w:vAlign w:val="center"/>
          </w:tcPr>
          <w:p w14:paraId="1DE4A887">
            <w:pPr>
              <w:spacing w:line="440" w:lineRule="exact"/>
              <w:jc w:val="center"/>
              <w:rPr>
                <w:rFonts w:ascii="宋体" w:hAnsi="宋体" w:cs="宋体"/>
                <w:szCs w:val="21"/>
              </w:rPr>
            </w:pPr>
            <w:r>
              <w:rPr>
                <w:rFonts w:hint="eastAsia" w:ascii="宋体" w:hAnsi="宋体" w:cs="宋体"/>
                <w:szCs w:val="21"/>
              </w:rPr>
              <w:t>国家授予技术职称人数</w:t>
            </w:r>
          </w:p>
        </w:tc>
        <w:tc>
          <w:tcPr>
            <w:tcW w:w="2305" w:type="dxa"/>
            <w:gridSpan w:val="4"/>
            <w:vAlign w:val="center"/>
          </w:tcPr>
          <w:p w14:paraId="37AB9D81">
            <w:pPr>
              <w:spacing w:line="440" w:lineRule="exact"/>
              <w:jc w:val="center"/>
              <w:rPr>
                <w:rFonts w:ascii="宋体" w:hAnsi="宋体" w:cs="宋体"/>
                <w:szCs w:val="21"/>
              </w:rPr>
            </w:pPr>
          </w:p>
        </w:tc>
      </w:tr>
      <w:tr w14:paraId="0CE1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vAlign w:val="center"/>
          </w:tcPr>
          <w:p w14:paraId="29E636A0">
            <w:pPr>
              <w:spacing w:line="440" w:lineRule="exact"/>
              <w:jc w:val="center"/>
              <w:rPr>
                <w:rFonts w:ascii="宋体" w:hAnsi="宋体" w:cs="宋体"/>
                <w:szCs w:val="21"/>
              </w:rPr>
            </w:pPr>
          </w:p>
        </w:tc>
        <w:tc>
          <w:tcPr>
            <w:tcW w:w="992" w:type="dxa"/>
            <w:vAlign w:val="center"/>
          </w:tcPr>
          <w:p w14:paraId="295B4636">
            <w:pPr>
              <w:spacing w:line="440" w:lineRule="exact"/>
              <w:jc w:val="center"/>
              <w:rPr>
                <w:rFonts w:ascii="宋体" w:hAnsi="宋体" w:cs="宋体"/>
                <w:szCs w:val="21"/>
              </w:rPr>
            </w:pPr>
            <w:r>
              <w:rPr>
                <w:rFonts w:hint="eastAsia" w:ascii="宋体" w:hAnsi="宋体" w:cs="宋体"/>
                <w:szCs w:val="21"/>
              </w:rPr>
              <w:t>占地</w:t>
            </w:r>
          </w:p>
          <w:p w14:paraId="483B9B95">
            <w:pPr>
              <w:spacing w:line="440" w:lineRule="exact"/>
              <w:jc w:val="center"/>
              <w:rPr>
                <w:rFonts w:ascii="宋体" w:hAnsi="宋体" w:cs="宋体"/>
                <w:szCs w:val="21"/>
              </w:rPr>
            </w:pPr>
            <w:r>
              <w:rPr>
                <w:rFonts w:hint="eastAsia" w:ascii="宋体" w:hAnsi="宋体" w:cs="宋体"/>
                <w:szCs w:val="21"/>
              </w:rPr>
              <w:t>面积</w:t>
            </w:r>
          </w:p>
        </w:tc>
        <w:tc>
          <w:tcPr>
            <w:tcW w:w="1418" w:type="dxa"/>
            <w:vAlign w:val="center"/>
          </w:tcPr>
          <w:p w14:paraId="202EAEEA">
            <w:pPr>
              <w:spacing w:line="440" w:lineRule="exact"/>
              <w:jc w:val="center"/>
              <w:rPr>
                <w:rFonts w:ascii="宋体" w:hAnsi="宋体" w:cs="宋体"/>
                <w:szCs w:val="21"/>
              </w:rPr>
            </w:pPr>
          </w:p>
        </w:tc>
        <w:tc>
          <w:tcPr>
            <w:tcW w:w="1276" w:type="dxa"/>
            <w:gridSpan w:val="2"/>
            <w:vAlign w:val="center"/>
          </w:tcPr>
          <w:p w14:paraId="11411F3F">
            <w:pPr>
              <w:spacing w:line="440" w:lineRule="exact"/>
              <w:jc w:val="center"/>
              <w:rPr>
                <w:rFonts w:ascii="宋体" w:hAnsi="宋体" w:cs="宋体"/>
                <w:szCs w:val="21"/>
              </w:rPr>
            </w:pPr>
            <w:r>
              <w:rPr>
                <w:rFonts w:hint="eastAsia" w:ascii="宋体" w:hAnsi="宋体" w:cs="宋体"/>
                <w:szCs w:val="21"/>
              </w:rPr>
              <w:t>建筑面积</w:t>
            </w:r>
          </w:p>
        </w:tc>
        <w:tc>
          <w:tcPr>
            <w:tcW w:w="1134" w:type="dxa"/>
            <w:gridSpan w:val="2"/>
            <w:vAlign w:val="center"/>
          </w:tcPr>
          <w:p w14:paraId="592A09C5">
            <w:pPr>
              <w:spacing w:line="440" w:lineRule="exact"/>
              <w:jc w:val="center"/>
              <w:rPr>
                <w:rFonts w:ascii="宋体" w:hAnsi="宋体" w:cs="宋体"/>
                <w:szCs w:val="21"/>
              </w:rPr>
            </w:pPr>
            <w:r>
              <w:rPr>
                <w:rFonts w:hint="eastAsia" w:ascii="宋体" w:hAnsi="宋体" w:cs="宋体"/>
                <w:szCs w:val="21"/>
              </w:rPr>
              <w:t>平方米 □自有 □租赁</w:t>
            </w:r>
          </w:p>
        </w:tc>
        <w:tc>
          <w:tcPr>
            <w:tcW w:w="1701" w:type="dxa"/>
            <w:gridSpan w:val="2"/>
            <w:vAlign w:val="center"/>
          </w:tcPr>
          <w:p w14:paraId="453B9FDB">
            <w:pPr>
              <w:spacing w:line="440" w:lineRule="exact"/>
              <w:jc w:val="center"/>
              <w:rPr>
                <w:rFonts w:ascii="宋体" w:hAnsi="宋体" w:cs="宋体"/>
                <w:szCs w:val="21"/>
              </w:rPr>
            </w:pPr>
            <w:r>
              <w:rPr>
                <w:rFonts w:hint="eastAsia" w:ascii="宋体" w:hAnsi="宋体" w:cs="宋体"/>
                <w:szCs w:val="21"/>
              </w:rPr>
              <w:t>生产经营场所及场所的设施与设备</w:t>
            </w:r>
          </w:p>
        </w:tc>
        <w:tc>
          <w:tcPr>
            <w:tcW w:w="2305" w:type="dxa"/>
            <w:gridSpan w:val="4"/>
            <w:vAlign w:val="center"/>
          </w:tcPr>
          <w:p w14:paraId="496612E3">
            <w:pPr>
              <w:spacing w:line="440" w:lineRule="exact"/>
              <w:jc w:val="center"/>
              <w:rPr>
                <w:rFonts w:ascii="宋体" w:hAnsi="宋体" w:cs="宋体"/>
                <w:szCs w:val="21"/>
              </w:rPr>
            </w:pPr>
          </w:p>
        </w:tc>
      </w:tr>
      <w:tr w14:paraId="428D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vAlign w:val="center"/>
          </w:tcPr>
          <w:p w14:paraId="782B887E">
            <w:pPr>
              <w:spacing w:line="440" w:lineRule="exact"/>
              <w:jc w:val="center"/>
              <w:rPr>
                <w:rFonts w:ascii="宋体" w:hAnsi="宋体" w:cs="宋体"/>
                <w:szCs w:val="21"/>
              </w:rPr>
            </w:pPr>
          </w:p>
        </w:tc>
        <w:tc>
          <w:tcPr>
            <w:tcW w:w="992" w:type="dxa"/>
            <w:vAlign w:val="center"/>
          </w:tcPr>
          <w:p w14:paraId="0B539FC5">
            <w:pPr>
              <w:spacing w:line="440" w:lineRule="exact"/>
              <w:jc w:val="center"/>
              <w:rPr>
                <w:rFonts w:ascii="宋体" w:hAnsi="宋体" w:cs="宋体"/>
                <w:szCs w:val="21"/>
              </w:rPr>
            </w:pPr>
            <w:r>
              <w:rPr>
                <w:rFonts w:hint="eastAsia" w:ascii="宋体" w:hAnsi="宋体" w:cs="宋体"/>
                <w:szCs w:val="21"/>
              </w:rPr>
              <w:t>注册</w:t>
            </w:r>
          </w:p>
          <w:p w14:paraId="49E05E44">
            <w:pPr>
              <w:spacing w:line="440" w:lineRule="exact"/>
              <w:jc w:val="center"/>
              <w:rPr>
                <w:rFonts w:ascii="宋体" w:hAnsi="宋体" w:cs="宋体"/>
                <w:szCs w:val="21"/>
              </w:rPr>
            </w:pPr>
            <w:r>
              <w:rPr>
                <w:rFonts w:hint="eastAsia" w:ascii="宋体" w:hAnsi="宋体" w:cs="宋体"/>
                <w:szCs w:val="21"/>
              </w:rPr>
              <w:t>资金</w:t>
            </w:r>
          </w:p>
        </w:tc>
        <w:tc>
          <w:tcPr>
            <w:tcW w:w="1418" w:type="dxa"/>
            <w:vAlign w:val="center"/>
          </w:tcPr>
          <w:p w14:paraId="3641C031">
            <w:pPr>
              <w:spacing w:line="440" w:lineRule="exact"/>
              <w:jc w:val="center"/>
              <w:rPr>
                <w:rFonts w:ascii="宋体" w:hAnsi="宋体" w:cs="宋体"/>
                <w:szCs w:val="21"/>
              </w:rPr>
            </w:pPr>
          </w:p>
        </w:tc>
        <w:tc>
          <w:tcPr>
            <w:tcW w:w="1276" w:type="dxa"/>
            <w:gridSpan w:val="2"/>
            <w:vAlign w:val="center"/>
          </w:tcPr>
          <w:p w14:paraId="22C51A6A">
            <w:pPr>
              <w:spacing w:line="440" w:lineRule="exact"/>
              <w:jc w:val="center"/>
              <w:rPr>
                <w:rFonts w:ascii="宋体" w:hAnsi="宋体" w:cs="宋体"/>
                <w:szCs w:val="21"/>
              </w:rPr>
            </w:pPr>
            <w:r>
              <w:rPr>
                <w:rFonts w:hint="eastAsia" w:ascii="宋体" w:hAnsi="宋体" w:cs="宋体"/>
                <w:szCs w:val="21"/>
              </w:rPr>
              <w:t>注册发证机 关</w:t>
            </w:r>
          </w:p>
        </w:tc>
        <w:tc>
          <w:tcPr>
            <w:tcW w:w="2835" w:type="dxa"/>
            <w:gridSpan w:val="4"/>
            <w:vAlign w:val="center"/>
          </w:tcPr>
          <w:p w14:paraId="4B93381B">
            <w:pPr>
              <w:spacing w:line="440" w:lineRule="exact"/>
              <w:jc w:val="center"/>
              <w:rPr>
                <w:rFonts w:ascii="宋体" w:hAnsi="宋体" w:cs="宋体"/>
                <w:szCs w:val="21"/>
              </w:rPr>
            </w:pPr>
          </w:p>
        </w:tc>
        <w:tc>
          <w:tcPr>
            <w:tcW w:w="992" w:type="dxa"/>
            <w:gridSpan w:val="2"/>
            <w:vAlign w:val="center"/>
          </w:tcPr>
          <w:p w14:paraId="0811A0B4">
            <w:pPr>
              <w:spacing w:line="440" w:lineRule="exact"/>
              <w:jc w:val="center"/>
              <w:rPr>
                <w:rFonts w:ascii="宋体" w:hAnsi="宋体" w:cs="宋体"/>
                <w:szCs w:val="21"/>
              </w:rPr>
            </w:pPr>
            <w:r>
              <w:rPr>
                <w:rFonts w:hint="eastAsia" w:ascii="宋体" w:hAnsi="宋体" w:cs="宋体"/>
                <w:szCs w:val="21"/>
              </w:rPr>
              <w:t>公司成立时间</w:t>
            </w:r>
          </w:p>
        </w:tc>
        <w:tc>
          <w:tcPr>
            <w:tcW w:w="1313" w:type="dxa"/>
            <w:gridSpan w:val="2"/>
            <w:vAlign w:val="center"/>
          </w:tcPr>
          <w:p w14:paraId="7E59A8B5">
            <w:pPr>
              <w:spacing w:line="440" w:lineRule="exact"/>
              <w:jc w:val="center"/>
              <w:rPr>
                <w:rFonts w:ascii="宋体" w:hAnsi="宋体" w:cs="宋体"/>
                <w:szCs w:val="21"/>
              </w:rPr>
            </w:pPr>
          </w:p>
        </w:tc>
      </w:tr>
      <w:tr w14:paraId="114E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vAlign w:val="center"/>
          </w:tcPr>
          <w:p w14:paraId="447D7E6A">
            <w:pPr>
              <w:spacing w:line="440" w:lineRule="exact"/>
              <w:jc w:val="center"/>
              <w:rPr>
                <w:rFonts w:ascii="宋体" w:hAnsi="宋体" w:cs="宋体"/>
                <w:szCs w:val="21"/>
              </w:rPr>
            </w:pPr>
          </w:p>
        </w:tc>
        <w:tc>
          <w:tcPr>
            <w:tcW w:w="992" w:type="dxa"/>
            <w:vAlign w:val="center"/>
          </w:tcPr>
          <w:p w14:paraId="6F7119C1">
            <w:pPr>
              <w:spacing w:line="440" w:lineRule="exact"/>
              <w:jc w:val="center"/>
              <w:rPr>
                <w:rFonts w:ascii="宋体" w:hAnsi="宋体" w:cs="宋体"/>
                <w:szCs w:val="21"/>
              </w:rPr>
            </w:pPr>
            <w:r>
              <w:rPr>
                <w:rFonts w:hint="eastAsia" w:ascii="宋体" w:hAnsi="宋体" w:cs="宋体"/>
                <w:szCs w:val="21"/>
              </w:rPr>
              <w:t>核准经营范围</w:t>
            </w:r>
          </w:p>
        </w:tc>
        <w:tc>
          <w:tcPr>
            <w:tcW w:w="7834" w:type="dxa"/>
            <w:gridSpan w:val="11"/>
            <w:vAlign w:val="center"/>
          </w:tcPr>
          <w:p w14:paraId="116D14A6">
            <w:pPr>
              <w:spacing w:line="440" w:lineRule="exact"/>
              <w:jc w:val="center"/>
              <w:rPr>
                <w:rFonts w:ascii="宋体" w:hAnsi="宋体" w:cs="宋体"/>
                <w:szCs w:val="21"/>
              </w:rPr>
            </w:pPr>
          </w:p>
        </w:tc>
      </w:tr>
      <w:tr w14:paraId="39BE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vAlign w:val="center"/>
          </w:tcPr>
          <w:p w14:paraId="78B2A9DD">
            <w:pPr>
              <w:spacing w:line="440" w:lineRule="exact"/>
              <w:jc w:val="center"/>
              <w:rPr>
                <w:rFonts w:ascii="宋体" w:hAnsi="宋体" w:cs="宋体"/>
                <w:szCs w:val="21"/>
              </w:rPr>
            </w:pPr>
          </w:p>
        </w:tc>
        <w:tc>
          <w:tcPr>
            <w:tcW w:w="8826" w:type="dxa"/>
            <w:gridSpan w:val="12"/>
            <w:vAlign w:val="center"/>
          </w:tcPr>
          <w:p w14:paraId="6996C12E">
            <w:pPr>
              <w:spacing w:line="440" w:lineRule="exact"/>
              <w:jc w:val="left"/>
              <w:rPr>
                <w:rFonts w:ascii="宋体" w:hAnsi="宋体" w:cs="宋体"/>
                <w:szCs w:val="21"/>
              </w:rPr>
            </w:pPr>
            <w:r>
              <w:rPr>
                <w:rFonts w:hint="eastAsia" w:ascii="宋体" w:hAnsi="宋体" w:cs="宋体"/>
                <w:szCs w:val="21"/>
              </w:rPr>
              <w:t>发展历程及主要荣誉：</w:t>
            </w:r>
          </w:p>
        </w:tc>
      </w:tr>
      <w:tr w14:paraId="2055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1135" w:type="dxa"/>
            <w:vMerge w:val="restart"/>
            <w:vAlign w:val="center"/>
          </w:tcPr>
          <w:p w14:paraId="59107CB1">
            <w:pPr>
              <w:spacing w:line="440" w:lineRule="exact"/>
              <w:jc w:val="center"/>
              <w:rPr>
                <w:rFonts w:ascii="宋体" w:hAnsi="宋体" w:cs="宋体"/>
                <w:szCs w:val="21"/>
              </w:rPr>
            </w:pPr>
            <w:r>
              <w:rPr>
                <w:rFonts w:hint="eastAsia" w:ascii="宋体" w:hAnsi="宋体" w:cs="宋体"/>
                <w:szCs w:val="21"/>
              </w:rPr>
              <w:t>2.企业有关资质获证情况</w:t>
            </w:r>
          </w:p>
        </w:tc>
        <w:tc>
          <w:tcPr>
            <w:tcW w:w="2590" w:type="dxa"/>
            <w:gridSpan w:val="3"/>
            <w:vMerge w:val="restart"/>
            <w:vAlign w:val="center"/>
          </w:tcPr>
          <w:p w14:paraId="1E97A9A1">
            <w:pPr>
              <w:spacing w:line="440" w:lineRule="exact"/>
              <w:jc w:val="center"/>
              <w:rPr>
                <w:rFonts w:ascii="宋体" w:hAnsi="宋体" w:cs="宋体"/>
                <w:szCs w:val="21"/>
              </w:rPr>
            </w:pPr>
            <w:r>
              <w:rPr>
                <w:rFonts w:hint="eastAsia" w:ascii="宋体" w:hAnsi="宋体" w:cs="宋体"/>
                <w:szCs w:val="21"/>
              </w:rPr>
              <w:t>产品生产许可证情况（对需获得生产许可证的产品要填写此栏）</w:t>
            </w:r>
          </w:p>
        </w:tc>
        <w:tc>
          <w:tcPr>
            <w:tcW w:w="1663" w:type="dxa"/>
            <w:gridSpan w:val="2"/>
            <w:vAlign w:val="center"/>
          </w:tcPr>
          <w:p w14:paraId="407EFA3B">
            <w:pPr>
              <w:spacing w:line="440" w:lineRule="exact"/>
              <w:jc w:val="center"/>
              <w:rPr>
                <w:rFonts w:ascii="宋体" w:hAnsi="宋体" w:cs="宋体"/>
                <w:szCs w:val="21"/>
              </w:rPr>
            </w:pPr>
            <w:r>
              <w:rPr>
                <w:rFonts w:hint="eastAsia" w:ascii="宋体" w:hAnsi="宋体" w:cs="宋体"/>
                <w:szCs w:val="21"/>
              </w:rPr>
              <w:t>产品名称</w:t>
            </w:r>
          </w:p>
        </w:tc>
        <w:tc>
          <w:tcPr>
            <w:tcW w:w="1417" w:type="dxa"/>
            <w:gridSpan w:val="2"/>
            <w:vAlign w:val="center"/>
          </w:tcPr>
          <w:p w14:paraId="5F2B6E97">
            <w:pPr>
              <w:spacing w:line="440" w:lineRule="exact"/>
              <w:jc w:val="center"/>
              <w:rPr>
                <w:rFonts w:ascii="宋体" w:hAnsi="宋体" w:cs="宋体"/>
                <w:szCs w:val="21"/>
              </w:rPr>
            </w:pPr>
            <w:r>
              <w:rPr>
                <w:rFonts w:hint="eastAsia" w:ascii="宋体" w:hAnsi="宋体" w:cs="宋体"/>
                <w:szCs w:val="21"/>
              </w:rPr>
              <w:t>发证机关</w:t>
            </w:r>
          </w:p>
        </w:tc>
        <w:tc>
          <w:tcPr>
            <w:tcW w:w="1181" w:type="dxa"/>
            <w:gridSpan w:val="2"/>
            <w:vAlign w:val="center"/>
          </w:tcPr>
          <w:p w14:paraId="3455E400">
            <w:pPr>
              <w:spacing w:line="440" w:lineRule="exact"/>
              <w:jc w:val="center"/>
              <w:rPr>
                <w:rFonts w:ascii="宋体" w:hAnsi="宋体" w:cs="宋体"/>
                <w:szCs w:val="21"/>
              </w:rPr>
            </w:pPr>
            <w:r>
              <w:rPr>
                <w:rFonts w:hint="eastAsia" w:ascii="宋体" w:hAnsi="宋体" w:cs="宋体"/>
                <w:szCs w:val="21"/>
              </w:rPr>
              <w:t>编 号</w:t>
            </w:r>
          </w:p>
        </w:tc>
        <w:tc>
          <w:tcPr>
            <w:tcW w:w="804" w:type="dxa"/>
            <w:gridSpan w:val="2"/>
            <w:vAlign w:val="center"/>
          </w:tcPr>
          <w:p w14:paraId="37DE00A9">
            <w:pPr>
              <w:spacing w:line="440" w:lineRule="exact"/>
              <w:jc w:val="center"/>
              <w:rPr>
                <w:rFonts w:ascii="宋体" w:hAnsi="宋体" w:cs="宋体"/>
                <w:szCs w:val="21"/>
              </w:rPr>
            </w:pPr>
            <w:r>
              <w:rPr>
                <w:rFonts w:hint="eastAsia" w:ascii="宋体" w:hAnsi="宋体" w:cs="宋体"/>
                <w:szCs w:val="21"/>
              </w:rPr>
              <w:t>发证时间</w:t>
            </w:r>
          </w:p>
        </w:tc>
        <w:tc>
          <w:tcPr>
            <w:tcW w:w="1171" w:type="dxa"/>
            <w:vAlign w:val="center"/>
          </w:tcPr>
          <w:p w14:paraId="28E30B90">
            <w:pPr>
              <w:spacing w:line="440" w:lineRule="exact"/>
              <w:jc w:val="center"/>
              <w:rPr>
                <w:rFonts w:ascii="宋体" w:hAnsi="宋体" w:cs="宋体"/>
                <w:szCs w:val="21"/>
              </w:rPr>
            </w:pPr>
            <w:r>
              <w:rPr>
                <w:rFonts w:hint="eastAsia" w:ascii="宋体" w:hAnsi="宋体" w:cs="宋体"/>
                <w:szCs w:val="21"/>
              </w:rPr>
              <w:t>期 限</w:t>
            </w:r>
          </w:p>
        </w:tc>
      </w:tr>
      <w:tr w14:paraId="6213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vAlign w:val="center"/>
          </w:tcPr>
          <w:p w14:paraId="5A9EF2AA">
            <w:pPr>
              <w:spacing w:line="440" w:lineRule="exact"/>
              <w:jc w:val="center"/>
              <w:rPr>
                <w:rFonts w:ascii="宋体" w:hAnsi="宋体" w:cs="宋体"/>
                <w:szCs w:val="21"/>
              </w:rPr>
            </w:pPr>
          </w:p>
        </w:tc>
        <w:tc>
          <w:tcPr>
            <w:tcW w:w="2590" w:type="dxa"/>
            <w:gridSpan w:val="3"/>
            <w:vMerge w:val="continue"/>
            <w:vAlign w:val="center"/>
          </w:tcPr>
          <w:p w14:paraId="52825B7C">
            <w:pPr>
              <w:spacing w:line="440" w:lineRule="exact"/>
              <w:jc w:val="center"/>
              <w:rPr>
                <w:rFonts w:ascii="宋体" w:hAnsi="宋体" w:cs="宋体"/>
                <w:szCs w:val="21"/>
              </w:rPr>
            </w:pPr>
          </w:p>
        </w:tc>
        <w:tc>
          <w:tcPr>
            <w:tcW w:w="1663" w:type="dxa"/>
            <w:gridSpan w:val="2"/>
            <w:vAlign w:val="center"/>
          </w:tcPr>
          <w:p w14:paraId="712EC4DC">
            <w:pPr>
              <w:spacing w:line="440" w:lineRule="exact"/>
              <w:jc w:val="center"/>
              <w:rPr>
                <w:rFonts w:ascii="宋体" w:hAnsi="宋体" w:cs="宋体"/>
                <w:szCs w:val="21"/>
              </w:rPr>
            </w:pPr>
          </w:p>
        </w:tc>
        <w:tc>
          <w:tcPr>
            <w:tcW w:w="1417" w:type="dxa"/>
            <w:gridSpan w:val="2"/>
            <w:vAlign w:val="center"/>
          </w:tcPr>
          <w:p w14:paraId="1823C19B">
            <w:pPr>
              <w:spacing w:line="440" w:lineRule="exact"/>
              <w:jc w:val="center"/>
              <w:rPr>
                <w:rFonts w:ascii="宋体" w:hAnsi="宋体" w:cs="宋体"/>
                <w:szCs w:val="21"/>
              </w:rPr>
            </w:pPr>
          </w:p>
        </w:tc>
        <w:tc>
          <w:tcPr>
            <w:tcW w:w="1181" w:type="dxa"/>
            <w:gridSpan w:val="2"/>
            <w:vAlign w:val="center"/>
          </w:tcPr>
          <w:p w14:paraId="73DFDC2A">
            <w:pPr>
              <w:spacing w:line="440" w:lineRule="exact"/>
              <w:jc w:val="center"/>
              <w:rPr>
                <w:rFonts w:ascii="宋体" w:hAnsi="宋体" w:cs="宋体"/>
                <w:szCs w:val="21"/>
              </w:rPr>
            </w:pPr>
          </w:p>
        </w:tc>
        <w:tc>
          <w:tcPr>
            <w:tcW w:w="1975" w:type="dxa"/>
            <w:gridSpan w:val="3"/>
            <w:vAlign w:val="center"/>
          </w:tcPr>
          <w:p w14:paraId="6F5E9D29">
            <w:pPr>
              <w:spacing w:line="440" w:lineRule="exact"/>
              <w:jc w:val="center"/>
              <w:rPr>
                <w:rFonts w:ascii="宋体" w:hAnsi="宋体" w:cs="宋体"/>
                <w:szCs w:val="21"/>
              </w:rPr>
            </w:pPr>
          </w:p>
        </w:tc>
      </w:tr>
      <w:tr w14:paraId="0E41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vAlign w:val="center"/>
          </w:tcPr>
          <w:p w14:paraId="6EE567DF">
            <w:pPr>
              <w:spacing w:line="440" w:lineRule="exact"/>
              <w:jc w:val="center"/>
              <w:rPr>
                <w:rFonts w:ascii="宋体" w:hAnsi="宋体" w:cs="宋体"/>
                <w:szCs w:val="21"/>
              </w:rPr>
            </w:pPr>
          </w:p>
        </w:tc>
        <w:tc>
          <w:tcPr>
            <w:tcW w:w="2590" w:type="dxa"/>
            <w:gridSpan w:val="3"/>
            <w:vAlign w:val="center"/>
          </w:tcPr>
          <w:p w14:paraId="2D0A61F3">
            <w:pPr>
              <w:spacing w:line="440" w:lineRule="exact"/>
              <w:jc w:val="center"/>
              <w:rPr>
                <w:rFonts w:ascii="宋体" w:hAnsi="宋体" w:cs="宋体"/>
                <w:szCs w:val="21"/>
              </w:rPr>
            </w:pPr>
            <w:r>
              <w:rPr>
                <w:rFonts w:hint="eastAsia" w:ascii="宋体" w:hAnsi="宋体" w:cs="宋体"/>
                <w:szCs w:val="21"/>
              </w:rPr>
              <w:t>企业通过质量体 系、环保体系、计量等认证情况</w:t>
            </w:r>
          </w:p>
        </w:tc>
        <w:tc>
          <w:tcPr>
            <w:tcW w:w="6236" w:type="dxa"/>
            <w:gridSpan w:val="9"/>
            <w:vAlign w:val="center"/>
          </w:tcPr>
          <w:p w14:paraId="22200DDE">
            <w:pPr>
              <w:spacing w:line="440" w:lineRule="exact"/>
              <w:jc w:val="center"/>
              <w:rPr>
                <w:rFonts w:ascii="宋体" w:hAnsi="宋体" w:cs="宋体"/>
                <w:szCs w:val="21"/>
              </w:rPr>
            </w:pPr>
          </w:p>
        </w:tc>
      </w:tr>
      <w:tr w14:paraId="21A8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Merge w:val="continue"/>
            <w:vAlign w:val="center"/>
          </w:tcPr>
          <w:p w14:paraId="49E42680">
            <w:pPr>
              <w:spacing w:line="440" w:lineRule="exact"/>
              <w:jc w:val="center"/>
              <w:rPr>
                <w:rFonts w:ascii="宋体" w:hAnsi="宋体" w:cs="宋体"/>
                <w:szCs w:val="21"/>
              </w:rPr>
            </w:pPr>
          </w:p>
        </w:tc>
        <w:tc>
          <w:tcPr>
            <w:tcW w:w="2590" w:type="dxa"/>
            <w:gridSpan w:val="3"/>
            <w:vAlign w:val="center"/>
          </w:tcPr>
          <w:p w14:paraId="23A02289">
            <w:pPr>
              <w:spacing w:line="440" w:lineRule="exact"/>
              <w:jc w:val="center"/>
              <w:rPr>
                <w:rFonts w:ascii="宋体" w:hAnsi="宋体" w:cs="宋体"/>
                <w:szCs w:val="21"/>
              </w:rPr>
            </w:pPr>
            <w:r>
              <w:rPr>
                <w:rFonts w:hint="eastAsia" w:ascii="宋体" w:hAnsi="宋体" w:cs="宋体"/>
                <w:szCs w:val="21"/>
              </w:rPr>
              <w:t>企业获得专利情况</w:t>
            </w:r>
          </w:p>
        </w:tc>
        <w:tc>
          <w:tcPr>
            <w:tcW w:w="6236" w:type="dxa"/>
            <w:gridSpan w:val="9"/>
            <w:vAlign w:val="center"/>
          </w:tcPr>
          <w:p w14:paraId="495824FF">
            <w:pPr>
              <w:spacing w:line="440" w:lineRule="exact"/>
              <w:jc w:val="center"/>
              <w:rPr>
                <w:rFonts w:ascii="宋体" w:hAnsi="宋体" w:cs="宋体"/>
                <w:szCs w:val="21"/>
              </w:rPr>
            </w:pPr>
          </w:p>
        </w:tc>
      </w:tr>
    </w:tbl>
    <w:p w14:paraId="73C1DBF5">
      <w:pPr>
        <w:spacing w:line="360" w:lineRule="auto"/>
        <w:rPr>
          <w:rFonts w:ascii="宋体" w:hAnsi="宋体" w:cs="宋体"/>
          <w:b/>
          <w:spacing w:val="20"/>
          <w:szCs w:val="21"/>
        </w:rPr>
      </w:pPr>
      <w:r>
        <w:rPr>
          <w:rFonts w:hint="eastAsia" w:ascii="宋体" w:hAnsi="宋体" w:cs="宋体"/>
          <w:b/>
          <w:spacing w:val="20"/>
          <w:szCs w:val="21"/>
        </w:rPr>
        <w:t>注：姓名栏必须将所有股东都统计在内，若非股份公司此行（第三行）无需填写。</w:t>
      </w:r>
    </w:p>
    <w:p w14:paraId="49E7C5EF">
      <w:pPr>
        <w:spacing w:line="360" w:lineRule="auto"/>
        <w:rPr>
          <w:rFonts w:ascii="宋体" w:hAnsi="宋体" w:cs="宋体"/>
          <w:szCs w:val="21"/>
        </w:rPr>
      </w:pPr>
    </w:p>
    <w:p w14:paraId="13460553">
      <w:pPr>
        <w:snapToGrid w:val="0"/>
        <w:spacing w:before="50" w:after="50" w:line="480" w:lineRule="auto"/>
        <w:ind w:left="-21" w:leftChars="-72" w:right="-817" w:rightChars="-389" w:hanging="130" w:hangingChars="62"/>
        <w:rPr>
          <w:rFonts w:ascii="宋体" w:hAnsi="宋体"/>
          <w:szCs w:val="21"/>
        </w:rPr>
      </w:pPr>
      <w:r>
        <w:rPr>
          <w:rFonts w:hint="eastAsia" w:ascii="宋体" w:hAnsi="宋体"/>
          <w:szCs w:val="21"/>
        </w:rPr>
        <w:t>投标人名称：（加盖公章）</w:t>
      </w:r>
    </w:p>
    <w:p w14:paraId="59FB7B22">
      <w:pPr>
        <w:snapToGrid w:val="0"/>
        <w:spacing w:before="50" w:after="50" w:line="480" w:lineRule="auto"/>
        <w:ind w:left="-21" w:leftChars="-72" w:right="-817" w:rightChars="-389" w:hanging="130" w:hangingChars="62"/>
        <w:rPr>
          <w:rFonts w:ascii="宋体" w:hAnsi="宋体"/>
          <w:szCs w:val="21"/>
        </w:rPr>
      </w:pPr>
      <w:r>
        <w:rPr>
          <w:rFonts w:hint="eastAsia" w:ascii="宋体" w:hAnsi="宋体"/>
          <w:szCs w:val="21"/>
        </w:rPr>
        <w:t xml:space="preserve">  法定代表人或投标人代表：（签字或盖章）</w:t>
      </w:r>
    </w:p>
    <w:p w14:paraId="324516D9">
      <w:pPr>
        <w:snapToGrid w:val="0"/>
        <w:spacing w:before="50" w:after="50" w:line="480" w:lineRule="auto"/>
        <w:ind w:left="-21" w:leftChars="-72" w:right="-817" w:rightChars="-389" w:hanging="130" w:hangingChars="62"/>
        <w:rPr>
          <w:rFonts w:ascii="宋体" w:hAnsi="宋体"/>
          <w:szCs w:val="21"/>
        </w:rPr>
      </w:pPr>
      <w:r>
        <w:rPr>
          <w:rFonts w:hint="eastAsia" w:ascii="宋体" w:hAnsi="宋体"/>
          <w:szCs w:val="21"/>
        </w:rPr>
        <w:t xml:space="preserve">  日期：年月日</w:t>
      </w:r>
    </w:p>
    <w:p w14:paraId="2D63DB20">
      <w:pPr>
        <w:spacing w:line="360" w:lineRule="auto"/>
        <w:rPr>
          <w:rFonts w:asciiTheme="minorEastAsia" w:hAnsiTheme="minorEastAsia" w:eastAsiaTheme="minorEastAsia"/>
          <w:b/>
          <w:sz w:val="32"/>
        </w:rPr>
      </w:pPr>
    </w:p>
    <w:p w14:paraId="4E8F83A5">
      <w:pPr>
        <w:spacing w:line="360" w:lineRule="auto"/>
        <w:jc w:val="center"/>
        <w:rPr>
          <w:rFonts w:asciiTheme="minorEastAsia" w:hAnsiTheme="minorEastAsia" w:eastAsiaTheme="minorEastAsia"/>
          <w:b/>
          <w:sz w:val="32"/>
        </w:rPr>
      </w:pPr>
    </w:p>
    <w:p w14:paraId="3D4FD0E8">
      <w:pPr>
        <w:pStyle w:val="2"/>
        <w:snapToGrid w:val="0"/>
        <w:spacing w:before="120" w:line="312" w:lineRule="auto"/>
        <w:ind w:right="-341"/>
        <w:jc w:val="both"/>
        <w:rPr>
          <w:rFonts w:hint="eastAsia" w:ascii="宋体" w:hAnsi="宋体" w:eastAsia="宋体"/>
          <w:b/>
          <w:sz w:val="32"/>
        </w:rPr>
      </w:pPr>
    </w:p>
    <w:p w14:paraId="58041638">
      <w:pPr>
        <w:pStyle w:val="2"/>
        <w:snapToGrid w:val="0"/>
        <w:spacing w:before="120" w:line="312" w:lineRule="auto"/>
        <w:ind w:right="-341"/>
        <w:jc w:val="center"/>
        <w:rPr>
          <w:rFonts w:asciiTheme="minorEastAsia" w:hAnsiTheme="minorEastAsia" w:eastAsiaTheme="minorEastAsia"/>
          <w:b/>
          <w:sz w:val="32"/>
        </w:rPr>
      </w:pPr>
      <w:r>
        <w:rPr>
          <w:rFonts w:hint="eastAsia" w:asciiTheme="minorEastAsia" w:hAnsiTheme="minorEastAsia" w:eastAsiaTheme="minorEastAsia"/>
          <w:b/>
          <w:sz w:val="32"/>
          <w:lang w:val="en-US" w:eastAsia="zh-CN"/>
        </w:rPr>
        <w:t>八</w:t>
      </w:r>
      <w:r>
        <w:rPr>
          <w:rFonts w:hint="eastAsia" w:asciiTheme="minorEastAsia" w:hAnsiTheme="minorEastAsia" w:eastAsiaTheme="minorEastAsia"/>
          <w:b/>
          <w:sz w:val="32"/>
        </w:rPr>
        <w:t>、投标人相关案例</w:t>
      </w:r>
    </w:p>
    <w:tbl>
      <w:tblPr>
        <w:tblStyle w:val="28"/>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587"/>
        <w:gridCol w:w="3320"/>
        <w:gridCol w:w="1223"/>
        <w:gridCol w:w="1587"/>
        <w:gridCol w:w="914"/>
      </w:tblGrid>
      <w:tr w14:paraId="66C89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vAlign w:val="center"/>
          </w:tcPr>
          <w:p w14:paraId="5FBE20AC">
            <w:pPr>
              <w:spacing w:line="360" w:lineRule="auto"/>
              <w:jc w:val="center"/>
              <w:rPr>
                <w:rFonts w:ascii="宋体" w:hAnsi="宋体"/>
                <w:b/>
                <w:szCs w:val="21"/>
              </w:rPr>
            </w:pPr>
            <w:r>
              <w:rPr>
                <w:rFonts w:hint="eastAsia" w:ascii="宋体" w:hAnsi="宋体"/>
                <w:b/>
                <w:szCs w:val="21"/>
              </w:rPr>
              <w:t>序号</w:t>
            </w:r>
          </w:p>
        </w:tc>
        <w:tc>
          <w:tcPr>
            <w:tcW w:w="1587" w:type="dxa"/>
            <w:vAlign w:val="center"/>
          </w:tcPr>
          <w:p w14:paraId="7DA842F8">
            <w:pPr>
              <w:spacing w:line="360" w:lineRule="auto"/>
              <w:jc w:val="center"/>
              <w:rPr>
                <w:rFonts w:ascii="宋体" w:hAnsi="宋体"/>
                <w:b/>
                <w:szCs w:val="21"/>
              </w:rPr>
            </w:pPr>
            <w:r>
              <w:rPr>
                <w:rFonts w:hint="eastAsia" w:ascii="宋体" w:hAnsi="宋体"/>
                <w:b/>
                <w:szCs w:val="21"/>
              </w:rPr>
              <w:t>业主名称</w:t>
            </w:r>
          </w:p>
        </w:tc>
        <w:tc>
          <w:tcPr>
            <w:tcW w:w="3320" w:type="dxa"/>
            <w:vAlign w:val="center"/>
          </w:tcPr>
          <w:p w14:paraId="5155E3D5">
            <w:pPr>
              <w:spacing w:line="360" w:lineRule="auto"/>
              <w:jc w:val="center"/>
              <w:rPr>
                <w:rFonts w:ascii="宋体" w:hAnsi="宋体"/>
                <w:b/>
                <w:szCs w:val="21"/>
              </w:rPr>
            </w:pPr>
            <w:r>
              <w:rPr>
                <w:rFonts w:hint="eastAsia" w:ascii="宋体" w:hAnsi="宋体"/>
                <w:b/>
                <w:szCs w:val="21"/>
              </w:rPr>
              <w:t>项目名称</w:t>
            </w:r>
          </w:p>
        </w:tc>
        <w:tc>
          <w:tcPr>
            <w:tcW w:w="1223" w:type="dxa"/>
            <w:vAlign w:val="center"/>
          </w:tcPr>
          <w:p w14:paraId="7296CC80">
            <w:pPr>
              <w:spacing w:line="360" w:lineRule="auto"/>
              <w:jc w:val="center"/>
              <w:rPr>
                <w:rFonts w:ascii="宋体" w:hAnsi="宋体"/>
                <w:b/>
                <w:szCs w:val="21"/>
              </w:rPr>
            </w:pPr>
            <w:r>
              <w:rPr>
                <w:rFonts w:hint="eastAsia" w:ascii="宋体" w:hAnsi="宋体"/>
                <w:b/>
                <w:szCs w:val="21"/>
              </w:rPr>
              <w:t>合同</w:t>
            </w:r>
          </w:p>
          <w:p w14:paraId="59590DAA">
            <w:pPr>
              <w:spacing w:line="360" w:lineRule="auto"/>
              <w:jc w:val="center"/>
              <w:rPr>
                <w:rFonts w:ascii="宋体" w:hAnsi="宋体"/>
                <w:b/>
                <w:szCs w:val="21"/>
              </w:rPr>
            </w:pPr>
            <w:r>
              <w:rPr>
                <w:rFonts w:hint="eastAsia" w:ascii="宋体" w:hAnsi="宋体"/>
                <w:b/>
                <w:szCs w:val="21"/>
              </w:rPr>
              <w:t>签订时间</w:t>
            </w:r>
          </w:p>
        </w:tc>
        <w:tc>
          <w:tcPr>
            <w:tcW w:w="1587" w:type="dxa"/>
            <w:vAlign w:val="center"/>
          </w:tcPr>
          <w:p w14:paraId="61ADAACB">
            <w:pPr>
              <w:spacing w:line="360" w:lineRule="auto"/>
              <w:jc w:val="center"/>
              <w:rPr>
                <w:rFonts w:ascii="宋体" w:hAnsi="宋体"/>
                <w:b/>
                <w:szCs w:val="21"/>
              </w:rPr>
            </w:pPr>
            <w:r>
              <w:rPr>
                <w:rFonts w:hint="eastAsia" w:ascii="宋体" w:hAnsi="宋体"/>
                <w:b/>
                <w:szCs w:val="21"/>
              </w:rPr>
              <w:t>业主联系人及联系方式</w:t>
            </w:r>
          </w:p>
        </w:tc>
        <w:tc>
          <w:tcPr>
            <w:tcW w:w="914" w:type="dxa"/>
            <w:vAlign w:val="center"/>
          </w:tcPr>
          <w:p w14:paraId="46419456">
            <w:pPr>
              <w:snapToGrid w:val="0"/>
              <w:jc w:val="center"/>
              <w:rPr>
                <w:rFonts w:ascii="宋体" w:hAnsi="宋体"/>
                <w:b/>
                <w:szCs w:val="21"/>
              </w:rPr>
            </w:pPr>
            <w:r>
              <w:rPr>
                <w:rFonts w:hint="eastAsia" w:ascii="宋体" w:hAnsi="宋体"/>
                <w:b/>
                <w:szCs w:val="21"/>
              </w:rPr>
              <w:t>附件</w:t>
            </w:r>
          </w:p>
          <w:p w14:paraId="00D5EB64">
            <w:pPr>
              <w:snapToGrid w:val="0"/>
              <w:jc w:val="center"/>
              <w:rPr>
                <w:rFonts w:ascii="宋体" w:hAnsi="宋体"/>
                <w:b/>
                <w:szCs w:val="21"/>
              </w:rPr>
            </w:pPr>
            <w:r>
              <w:rPr>
                <w:rFonts w:hint="eastAsia" w:ascii="宋体" w:hAnsi="宋体"/>
                <w:b/>
                <w:szCs w:val="21"/>
              </w:rPr>
              <w:t>页码</w:t>
            </w:r>
          </w:p>
        </w:tc>
      </w:tr>
      <w:tr w14:paraId="5F16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tcPr>
          <w:p w14:paraId="3212B91D">
            <w:pPr>
              <w:spacing w:line="360" w:lineRule="auto"/>
              <w:rPr>
                <w:rFonts w:ascii="宋体" w:hAnsi="宋体"/>
                <w:b/>
                <w:szCs w:val="21"/>
              </w:rPr>
            </w:pPr>
          </w:p>
        </w:tc>
        <w:tc>
          <w:tcPr>
            <w:tcW w:w="1587" w:type="dxa"/>
          </w:tcPr>
          <w:p w14:paraId="19FBE197">
            <w:pPr>
              <w:spacing w:line="360" w:lineRule="auto"/>
              <w:rPr>
                <w:rFonts w:ascii="宋体" w:hAnsi="宋体"/>
                <w:b/>
                <w:szCs w:val="21"/>
              </w:rPr>
            </w:pPr>
          </w:p>
        </w:tc>
        <w:tc>
          <w:tcPr>
            <w:tcW w:w="3320" w:type="dxa"/>
          </w:tcPr>
          <w:p w14:paraId="5116EB4F">
            <w:pPr>
              <w:spacing w:line="360" w:lineRule="auto"/>
              <w:rPr>
                <w:rFonts w:ascii="宋体" w:hAnsi="宋体"/>
                <w:b/>
                <w:szCs w:val="21"/>
              </w:rPr>
            </w:pPr>
          </w:p>
        </w:tc>
        <w:tc>
          <w:tcPr>
            <w:tcW w:w="1223" w:type="dxa"/>
          </w:tcPr>
          <w:p w14:paraId="126D06A5">
            <w:pPr>
              <w:spacing w:line="360" w:lineRule="auto"/>
              <w:rPr>
                <w:rFonts w:ascii="宋体" w:hAnsi="宋体"/>
                <w:b/>
                <w:szCs w:val="21"/>
              </w:rPr>
            </w:pPr>
          </w:p>
        </w:tc>
        <w:tc>
          <w:tcPr>
            <w:tcW w:w="1587" w:type="dxa"/>
          </w:tcPr>
          <w:p w14:paraId="0867E28A">
            <w:pPr>
              <w:spacing w:line="360" w:lineRule="auto"/>
              <w:rPr>
                <w:rFonts w:ascii="宋体" w:hAnsi="宋体"/>
                <w:b/>
                <w:szCs w:val="21"/>
              </w:rPr>
            </w:pPr>
          </w:p>
        </w:tc>
        <w:tc>
          <w:tcPr>
            <w:tcW w:w="914" w:type="dxa"/>
          </w:tcPr>
          <w:p w14:paraId="0204628A">
            <w:pPr>
              <w:spacing w:line="360" w:lineRule="auto"/>
              <w:rPr>
                <w:rFonts w:ascii="宋体" w:hAnsi="宋体"/>
                <w:b/>
                <w:szCs w:val="21"/>
              </w:rPr>
            </w:pPr>
          </w:p>
        </w:tc>
      </w:tr>
      <w:tr w14:paraId="7E43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tcPr>
          <w:p w14:paraId="37DD4CE4">
            <w:pPr>
              <w:spacing w:line="360" w:lineRule="auto"/>
              <w:rPr>
                <w:rFonts w:ascii="宋体" w:hAnsi="宋体"/>
                <w:b/>
                <w:szCs w:val="21"/>
              </w:rPr>
            </w:pPr>
          </w:p>
        </w:tc>
        <w:tc>
          <w:tcPr>
            <w:tcW w:w="1587" w:type="dxa"/>
          </w:tcPr>
          <w:p w14:paraId="1FC67580">
            <w:pPr>
              <w:spacing w:line="360" w:lineRule="auto"/>
              <w:rPr>
                <w:rFonts w:ascii="宋体" w:hAnsi="宋体"/>
                <w:b/>
                <w:szCs w:val="21"/>
              </w:rPr>
            </w:pPr>
          </w:p>
        </w:tc>
        <w:tc>
          <w:tcPr>
            <w:tcW w:w="3320" w:type="dxa"/>
          </w:tcPr>
          <w:p w14:paraId="665B3131">
            <w:pPr>
              <w:spacing w:line="360" w:lineRule="auto"/>
              <w:rPr>
                <w:rFonts w:ascii="宋体" w:hAnsi="宋体"/>
                <w:b/>
                <w:szCs w:val="21"/>
              </w:rPr>
            </w:pPr>
          </w:p>
        </w:tc>
        <w:tc>
          <w:tcPr>
            <w:tcW w:w="1223" w:type="dxa"/>
          </w:tcPr>
          <w:p w14:paraId="68905933">
            <w:pPr>
              <w:spacing w:line="360" w:lineRule="auto"/>
              <w:rPr>
                <w:rFonts w:ascii="宋体" w:hAnsi="宋体"/>
                <w:b/>
                <w:szCs w:val="21"/>
              </w:rPr>
            </w:pPr>
          </w:p>
        </w:tc>
        <w:tc>
          <w:tcPr>
            <w:tcW w:w="1587" w:type="dxa"/>
          </w:tcPr>
          <w:p w14:paraId="2B8645D0">
            <w:pPr>
              <w:spacing w:line="360" w:lineRule="auto"/>
              <w:rPr>
                <w:rFonts w:ascii="宋体" w:hAnsi="宋体"/>
                <w:b/>
                <w:szCs w:val="21"/>
              </w:rPr>
            </w:pPr>
          </w:p>
        </w:tc>
        <w:tc>
          <w:tcPr>
            <w:tcW w:w="914" w:type="dxa"/>
          </w:tcPr>
          <w:p w14:paraId="2F497DF2">
            <w:pPr>
              <w:spacing w:line="360" w:lineRule="auto"/>
              <w:rPr>
                <w:rFonts w:ascii="宋体" w:hAnsi="宋体"/>
                <w:b/>
                <w:szCs w:val="21"/>
              </w:rPr>
            </w:pPr>
          </w:p>
        </w:tc>
      </w:tr>
      <w:tr w14:paraId="7736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tcPr>
          <w:p w14:paraId="4E62C7A9">
            <w:pPr>
              <w:spacing w:line="360" w:lineRule="auto"/>
              <w:rPr>
                <w:rFonts w:ascii="宋体" w:hAnsi="宋体"/>
                <w:b/>
                <w:szCs w:val="21"/>
              </w:rPr>
            </w:pPr>
          </w:p>
        </w:tc>
        <w:tc>
          <w:tcPr>
            <w:tcW w:w="1587" w:type="dxa"/>
          </w:tcPr>
          <w:p w14:paraId="578372A9">
            <w:pPr>
              <w:spacing w:line="360" w:lineRule="auto"/>
              <w:rPr>
                <w:rFonts w:ascii="宋体" w:hAnsi="宋体"/>
                <w:b/>
                <w:szCs w:val="21"/>
              </w:rPr>
            </w:pPr>
          </w:p>
        </w:tc>
        <w:tc>
          <w:tcPr>
            <w:tcW w:w="3320" w:type="dxa"/>
          </w:tcPr>
          <w:p w14:paraId="757BF03B">
            <w:pPr>
              <w:spacing w:line="360" w:lineRule="auto"/>
              <w:rPr>
                <w:rFonts w:ascii="宋体" w:hAnsi="宋体"/>
                <w:b/>
                <w:szCs w:val="21"/>
              </w:rPr>
            </w:pPr>
          </w:p>
        </w:tc>
        <w:tc>
          <w:tcPr>
            <w:tcW w:w="1223" w:type="dxa"/>
          </w:tcPr>
          <w:p w14:paraId="2B3D8E89">
            <w:pPr>
              <w:spacing w:line="360" w:lineRule="auto"/>
              <w:rPr>
                <w:rFonts w:ascii="宋体" w:hAnsi="宋体"/>
                <w:b/>
                <w:szCs w:val="21"/>
              </w:rPr>
            </w:pPr>
          </w:p>
        </w:tc>
        <w:tc>
          <w:tcPr>
            <w:tcW w:w="1587" w:type="dxa"/>
          </w:tcPr>
          <w:p w14:paraId="50883135">
            <w:pPr>
              <w:spacing w:line="360" w:lineRule="auto"/>
              <w:rPr>
                <w:rFonts w:ascii="宋体" w:hAnsi="宋体"/>
                <w:b/>
                <w:szCs w:val="21"/>
              </w:rPr>
            </w:pPr>
          </w:p>
        </w:tc>
        <w:tc>
          <w:tcPr>
            <w:tcW w:w="914" w:type="dxa"/>
          </w:tcPr>
          <w:p w14:paraId="33F6A0D3">
            <w:pPr>
              <w:spacing w:line="360" w:lineRule="auto"/>
              <w:rPr>
                <w:rFonts w:ascii="宋体" w:hAnsi="宋体"/>
                <w:b/>
                <w:szCs w:val="21"/>
              </w:rPr>
            </w:pPr>
          </w:p>
        </w:tc>
      </w:tr>
      <w:tr w14:paraId="2232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tcPr>
          <w:p w14:paraId="33B22DA1">
            <w:pPr>
              <w:spacing w:line="360" w:lineRule="auto"/>
              <w:rPr>
                <w:rFonts w:ascii="宋体" w:hAnsi="宋体"/>
                <w:b/>
                <w:szCs w:val="21"/>
              </w:rPr>
            </w:pPr>
          </w:p>
        </w:tc>
        <w:tc>
          <w:tcPr>
            <w:tcW w:w="1587" w:type="dxa"/>
          </w:tcPr>
          <w:p w14:paraId="291A0CC8">
            <w:pPr>
              <w:spacing w:line="360" w:lineRule="auto"/>
              <w:rPr>
                <w:rFonts w:ascii="宋体" w:hAnsi="宋体"/>
                <w:b/>
                <w:szCs w:val="21"/>
              </w:rPr>
            </w:pPr>
          </w:p>
        </w:tc>
        <w:tc>
          <w:tcPr>
            <w:tcW w:w="3320" w:type="dxa"/>
          </w:tcPr>
          <w:p w14:paraId="5C98A91C">
            <w:pPr>
              <w:spacing w:line="360" w:lineRule="auto"/>
              <w:rPr>
                <w:rFonts w:ascii="宋体" w:hAnsi="宋体"/>
                <w:b/>
                <w:szCs w:val="21"/>
              </w:rPr>
            </w:pPr>
          </w:p>
        </w:tc>
        <w:tc>
          <w:tcPr>
            <w:tcW w:w="1223" w:type="dxa"/>
          </w:tcPr>
          <w:p w14:paraId="1368C993">
            <w:pPr>
              <w:spacing w:line="360" w:lineRule="auto"/>
              <w:rPr>
                <w:rFonts w:ascii="宋体" w:hAnsi="宋体"/>
                <w:b/>
                <w:szCs w:val="21"/>
              </w:rPr>
            </w:pPr>
          </w:p>
        </w:tc>
        <w:tc>
          <w:tcPr>
            <w:tcW w:w="1587" w:type="dxa"/>
          </w:tcPr>
          <w:p w14:paraId="5D809E45">
            <w:pPr>
              <w:spacing w:line="360" w:lineRule="auto"/>
              <w:rPr>
                <w:rFonts w:ascii="宋体" w:hAnsi="宋体"/>
                <w:b/>
                <w:szCs w:val="21"/>
              </w:rPr>
            </w:pPr>
          </w:p>
        </w:tc>
        <w:tc>
          <w:tcPr>
            <w:tcW w:w="914" w:type="dxa"/>
          </w:tcPr>
          <w:p w14:paraId="5A2C693F">
            <w:pPr>
              <w:spacing w:line="360" w:lineRule="auto"/>
              <w:rPr>
                <w:rFonts w:ascii="宋体" w:hAnsi="宋体"/>
                <w:b/>
                <w:szCs w:val="21"/>
              </w:rPr>
            </w:pPr>
          </w:p>
        </w:tc>
      </w:tr>
      <w:tr w14:paraId="6932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tcPr>
          <w:p w14:paraId="13F0D751">
            <w:pPr>
              <w:spacing w:line="360" w:lineRule="auto"/>
              <w:rPr>
                <w:rFonts w:ascii="宋体" w:hAnsi="宋体"/>
                <w:b/>
                <w:szCs w:val="21"/>
              </w:rPr>
            </w:pPr>
          </w:p>
        </w:tc>
        <w:tc>
          <w:tcPr>
            <w:tcW w:w="1587" w:type="dxa"/>
          </w:tcPr>
          <w:p w14:paraId="342D74E1">
            <w:pPr>
              <w:spacing w:line="360" w:lineRule="auto"/>
              <w:rPr>
                <w:rFonts w:ascii="宋体" w:hAnsi="宋体"/>
                <w:b/>
                <w:szCs w:val="21"/>
              </w:rPr>
            </w:pPr>
          </w:p>
        </w:tc>
        <w:tc>
          <w:tcPr>
            <w:tcW w:w="3320" w:type="dxa"/>
          </w:tcPr>
          <w:p w14:paraId="1D040317">
            <w:pPr>
              <w:spacing w:line="360" w:lineRule="auto"/>
              <w:rPr>
                <w:rFonts w:ascii="宋体" w:hAnsi="宋体"/>
                <w:b/>
                <w:szCs w:val="21"/>
              </w:rPr>
            </w:pPr>
          </w:p>
        </w:tc>
        <w:tc>
          <w:tcPr>
            <w:tcW w:w="1223" w:type="dxa"/>
          </w:tcPr>
          <w:p w14:paraId="206E2D3B">
            <w:pPr>
              <w:spacing w:line="360" w:lineRule="auto"/>
              <w:rPr>
                <w:rFonts w:ascii="宋体" w:hAnsi="宋体"/>
                <w:b/>
                <w:szCs w:val="21"/>
              </w:rPr>
            </w:pPr>
          </w:p>
        </w:tc>
        <w:tc>
          <w:tcPr>
            <w:tcW w:w="1587" w:type="dxa"/>
          </w:tcPr>
          <w:p w14:paraId="18AD8098">
            <w:pPr>
              <w:spacing w:line="360" w:lineRule="auto"/>
              <w:rPr>
                <w:rFonts w:ascii="宋体" w:hAnsi="宋体"/>
                <w:b/>
                <w:szCs w:val="21"/>
              </w:rPr>
            </w:pPr>
          </w:p>
        </w:tc>
        <w:tc>
          <w:tcPr>
            <w:tcW w:w="914" w:type="dxa"/>
          </w:tcPr>
          <w:p w14:paraId="5C818A5E">
            <w:pPr>
              <w:spacing w:line="360" w:lineRule="auto"/>
              <w:rPr>
                <w:rFonts w:ascii="宋体" w:hAnsi="宋体"/>
                <w:b/>
                <w:szCs w:val="21"/>
              </w:rPr>
            </w:pPr>
          </w:p>
        </w:tc>
      </w:tr>
      <w:tr w14:paraId="2F5A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tcPr>
          <w:p w14:paraId="20FFC555">
            <w:pPr>
              <w:spacing w:line="360" w:lineRule="auto"/>
              <w:rPr>
                <w:rFonts w:ascii="宋体" w:hAnsi="宋体"/>
                <w:b/>
                <w:szCs w:val="21"/>
              </w:rPr>
            </w:pPr>
          </w:p>
        </w:tc>
        <w:tc>
          <w:tcPr>
            <w:tcW w:w="1587" w:type="dxa"/>
          </w:tcPr>
          <w:p w14:paraId="7ECC6791">
            <w:pPr>
              <w:spacing w:line="360" w:lineRule="auto"/>
              <w:rPr>
                <w:rFonts w:ascii="宋体" w:hAnsi="宋体"/>
                <w:b/>
                <w:szCs w:val="21"/>
              </w:rPr>
            </w:pPr>
          </w:p>
        </w:tc>
        <w:tc>
          <w:tcPr>
            <w:tcW w:w="3320" w:type="dxa"/>
          </w:tcPr>
          <w:p w14:paraId="2F4036DB">
            <w:pPr>
              <w:spacing w:line="360" w:lineRule="auto"/>
              <w:rPr>
                <w:rFonts w:ascii="宋体" w:hAnsi="宋体"/>
                <w:b/>
                <w:szCs w:val="21"/>
              </w:rPr>
            </w:pPr>
          </w:p>
        </w:tc>
        <w:tc>
          <w:tcPr>
            <w:tcW w:w="1223" w:type="dxa"/>
          </w:tcPr>
          <w:p w14:paraId="30C50100">
            <w:pPr>
              <w:spacing w:line="360" w:lineRule="auto"/>
              <w:rPr>
                <w:rFonts w:ascii="宋体" w:hAnsi="宋体"/>
                <w:b/>
                <w:szCs w:val="21"/>
              </w:rPr>
            </w:pPr>
          </w:p>
        </w:tc>
        <w:tc>
          <w:tcPr>
            <w:tcW w:w="1587" w:type="dxa"/>
          </w:tcPr>
          <w:p w14:paraId="13684081">
            <w:pPr>
              <w:spacing w:line="360" w:lineRule="auto"/>
              <w:rPr>
                <w:rFonts w:ascii="宋体" w:hAnsi="宋体"/>
                <w:b/>
                <w:szCs w:val="21"/>
              </w:rPr>
            </w:pPr>
          </w:p>
        </w:tc>
        <w:tc>
          <w:tcPr>
            <w:tcW w:w="914" w:type="dxa"/>
          </w:tcPr>
          <w:p w14:paraId="08E9C4BD">
            <w:pPr>
              <w:spacing w:line="360" w:lineRule="auto"/>
              <w:rPr>
                <w:rFonts w:ascii="宋体" w:hAnsi="宋体"/>
                <w:b/>
                <w:szCs w:val="21"/>
              </w:rPr>
            </w:pPr>
          </w:p>
        </w:tc>
      </w:tr>
    </w:tbl>
    <w:p w14:paraId="79FAAB0E">
      <w:pPr>
        <w:spacing w:line="360" w:lineRule="auto"/>
        <w:rPr>
          <w:rFonts w:ascii="宋体" w:hAnsi="宋体" w:cs="宋体"/>
          <w:b/>
          <w:spacing w:val="20"/>
          <w:szCs w:val="21"/>
        </w:rPr>
      </w:pPr>
    </w:p>
    <w:p w14:paraId="3EE76C81">
      <w:pPr>
        <w:spacing w:line="360" w:lineRule="auto"/>
        <w:rPr>
          <w:rFonts w:ascii="宋体" w:hAnsi="宋体" w:cs="宋体"/>
          <w:b/>
          <w:spacing w:val="20"/>
          <w:szCs w:val="21"/>
        </w:rPr>
      </w:pPr>
    </w:p>
    <w:p w14:paraId="75DEFD20">
      <w:pPr>
        <w:spacing w:line="360" w:lineRule="auto"/>
        <w:rPr>
          <w:rFonts w:ascii="宋体" w:hAnsi="宋体" w:cs="宋体"/>
          <w:b/>
          <w:spacing w:val="20"/>
          <w:szCs w:val="21"/>
        </w:rPr>
      </w:pPr>
    </w:p>
    <w:p w14:paraId="3869BDD0">
      <w:pPr>
        <w:spacing w:line="360" w:lineRule="auto"/>
        <w:rPr>
          <w:rFonts w:ascii="宋体" w:hAnsi="宋体" w:cs="宋体"/>
          <w:szCs w:val="21"/>
        </w:rPr>
      </w:pPr>
      <w:r>
        <w:rPr>
          <w:rFonts w:hint="eastAsia" w:ascii="宋体" w:hAnsi="宋体" w:cs="宋体"/>
          <w:szCs w:val="21"/>
        </w:rPr>
        <w:t xml:space="preserve">投标人名称：（加盖公章）  </w:t>
      </w:r>
    </w:p>
    <w:p w14:paraId="05AA75AA">
      <w:pPr>
        <w:snapToGrid w:val="0"/>
        <w:spacing w:before="50" w:after="50" w:line="360" w:lineRule="auto"/>
        <w:rPr>
          <w:rFonts w:asciiTheme="minorEastAsia" w:hAnsiTheme="minorEastAsia" w:eastAsiaTheme="minorEastAsia"/>
          <w:szCs w:val="21"/>
        </w:rPr>
      </w:pPr>
      <w:r>
        <w:rPr>
          <w:rFonts w:hint="eastAsia" w:asciiTheme="minorEastAsia" w:hAnsiTheme="minorEastAsia" w:eastAsiaTheme="minorEastAsia"/>
          <w:szCs w:val="21"/>
        </w:rPr>
        <w:t>法定代表人（负责人）（签字或盖章）：</w:t>
      </w:r>
    </w:p>
    <w:p w14:paraId="56901AE9">
      <w:pPr>
        <w:spacing w:line="360" w:lineRule="auto"/>
        <w:rPr>
          <w:rFonts w:ascii="宋体" w:hAnsi="宋体" w:cs="宋体"/>
          <w:spacing w:val="20"/>
          <w:szCs w:val="21"/>
        </w:rPr>
      </w:pPr>
      <w:r>
        <w:rPr>
          <w:rFonts w:hint="eastAsia" w:ascii="宋体" w:hAnsi="宋体" w:cs="宋体"/>
          <w:spacing w:val="20"/>
          <w:szCs w:val="21"/>
        </w:rPr>
        <w:t>日期：年月日</w:t>
      </w:r>
    </w:p>
    <w:p w14:paraId="5CCF7EBD">
      <w:pPr>
        <w:spacing w:line="360" w:lineRule="auto"/>
        <w:rPr>
          <w:rFonts w:ascii="宋体" w:hAnsi="宋体" w:cs="宋体"/>
          <w:b/>
          <w:sz w:val="24"/>
        </w:rPr>
      </w:pPr>
    </w:p>
    <w:p w14:paraId="4269E51C">
      <w:pPr>
        <w:spacing w:line="360" w:lineRule="auto"/>
        <w:rPr>
          <w:rFonts w:ascii="宋体" w:hAnsi="宋体" w:cs="宋体"/>
          <w:b/>
          <w:sz w:val="24"/>
        </w:rPr>
      </w:pPr>
    </w:p>
    <w:p w14:paraId="0DBA4005">
      <w:pPr>
        <w:spacing w:line="360" w:lineRule="auto"/>
        <w:rPr>
          <w:rFonts w:ascii="宋体" w:hAnsi="宋体" w:cs="宋体"/>
          <w:b/>
          <w:sz w:val="24"/>
        </w:rPr>
      </w:pPr>
    </w:p>
    <w:p w14:paraId="74C84D7C">
      <w:pPr>
        <w:spacing w:line="360" w:lineRule="auto"/>
        <w:rPr>
          <w:rFonts w:ascii="宋体" w:hAnsi="宋体" w:cs="宋体"/>
          <w:b/>
          <w:sz w:val="24"/>
        </w:rPr>
      </w:pPr>
    </w:p>
    <w:p w14:paraId="0313DD2F">
      <w:pPr>
        <w:spacing w:line="360" w:lineRule="auto"/>
        <w:rPr>
          <w:rFonts w:ascii="宋体" w:hAnsi="宋体" w:cs="宋体"/>
          <w:b/>
          <w:sz w:val="24"/>
        </w:rPr>
      </w:pPr>
    </w:p>
    <w:p w14:paraId="4DCE5E6C">
      <w:pPr>
        <w:spacing w:line="360" w:lineRule="auto"/>
        <w:rPr>
          <w:rFonts w:ascii="宋体" w:hAnsi="宋体" w:cs="宋体"/>
          <w:b/>
          <w:sz w:val="24"/>
        </w:rPr>
      </w:pPr>
    </w:p>
    <w:p w14:paraId="20A1E372">
      <w:pPr>
        <w:spacing w:line="360" w:lineRule="auto"/>
        <w:rPr>
          <w:rFonts w:ascii="宋体" w:hAnsi="宋体" w:cs="宋体"/>
          <w:b/>
          <w:sz w:val="24"/>
        </w:rPr>
      </w:pPr>
    </w:p>
    <w:p w14:paraId="0CD1DD8F">
      <w:pPr>
        <w:spacing w:line="360" w:lineRule="auto"/>
        <w:rPr>
          <w:rFonts w:ascii="宋体" w:hAnsi="宋体" w:cs="宋体"/>
          <w:b/>
          <w:sz w:val="24"/>
        </w:rPr>
      </w:pPr>
    </w:p>
    <w:p w14:paraId="13673B8D">
      <w:pPr>
        <w:pStyle w:val="12"/>
        <w:rPr>
          <w:rFonts w:ascii="宋体" w:hAnsi="宋体" w:cs="宋体"/>
          <w:b/>
        </w:rPr>
      </w:pPr>
    </w:p>
    <w:p w14:paraId="437B2629">
      <w:pPr>
        <w:pStyle w:val="13"/>
        <w:ind w:firstLine="241"/>
        <w:rPr>
          <w:rFonts w:ascii="宋体" w:hAnsi="宋体" w:cs="宋体"/>
          <w:b/>
          <w:sz w:val="24"/>
        </w:rPr>
      </w:pPr>
    </w:p>
    <w:p w14:paraId="283C9A59">
      <w:pPr>
        <w:rPr>
          <w:rFonts w:ascii="宋体" w:hAnsi="宋体" w:cs="宋体"/>
          <w:b/>
          <w:sz w:val="24"/>
        </w:rPr>
      </w:pPr>
    </w:p>
    <w:p w14:paraId="6ADFF769">
      <w:pPr>
        <w:pStyle w:val="12"/>
        <w:rPr>
          <w:rFonts w:ascii="宋体" w:hAnsi="宋体" w:cs="宋体"/>
          <w:b/>
        </w:rPr>
      </w:pPr>
    </w:p>
    <w:p w14:paraId="232C4330">
      <w:pPr>
        <w:pStyle w:val="13"/>
        <w:ind w:firstLine="241"/>
        <w:rPr>
          <w:rFonts w:ascii="宋体" w:hAnsi="宋体" w:cs="宋体"/>
          <w:b/>
          <w:sz w:val="24"/>
        </w:rPr>
      </w:pPr>
    </w:p>
    <w:p w14:paraId="71F9F440">
      <w:pPr>
        <w:rPr>
          <w:rFonts w:ascii="宋体" w:hAnsi="宋体" w:cs="宋体"/>
          <w:b/>
          <w:sz w:val="24"/>
        </w:rPr>
      </w:pPr>
    </w:p>
    <w:p w14:paraId="061413C5">
      <w:pPr>
        <w:pStyle w:val="12"/>
        <w:rPr>
          <w:rFonts w:ascii="宋体" w:hAnsi="宋体" w:cs="宋体"/>
          <w:b/>
        </w:rPr>
      </w:pPr>
    </w:p>
    <w:p w14:paraId="5CEABAEC">
      <w:pPr>
        <w:pStyle w:val="13"/>
        <w:ind w:firstLine="241"/>
        <w:rPr>
          <w:rFonts w:ascii="宋体" w:hAnsi="宋体" w:cs="宋体"/>
          <w:b/>
          <w:sz w:val="24"/>
        </w:rPr>
      </w:pPr>
    </w:p>
    <w:p w14:paraId="38869550">
      <w:pPr>
        <w:pStyle w:val="2"/>
        <w:snapToGrid w:val="0"/>
        <w:spacing w:before="120" w:line="312" w:lineRule="auto"/>
        <w:ind w:right="-341"/>
        <w:rPr>
          <w:rFonts w:asciiTheme="minorEastAsia" w:hAnsiTheme="minorEastAsia" w:eastAsiaTheme="minorEastAsia"/>
          <w:b/>
          <w:sz w:val="32"/>
        </w:rPr>
      </w:pPr>
    </w:p>
    <w:p w14:paraId="534D5E74">
      <w:pPr>
        <w:pStyle w:val="2"/>
        <w:snapToGrid w:val="0"/>
        <w:spacing w:before="120" w:line="312" w:lineRule="auto"/>
        <w:ind w:right="-341"/>
        <w:jc w:val="center"/>
        <w:rPr>
          <w:rFonts w:asciiTheme="minorEastAsia" w:hAnsiTheme="minorEastAsia" w:eastAsiaTheme="minorEastAsia"/>
          <w:b/>
          <w:sz w:val="32"/>
        </w:rPr>
      </w:pPr>
      <w:r>
        <w:rPr>
          <w:rFonts w:hint="eastAsia" w:asciiTheme="minorEastAsia" w:hAnsiTheme="minorEastAsia" w:eastAsiaTheme="minorEastAsia"/>
          <w:b/>
          <w:sz w:val="32"/>
          <w:lang w:val="en-US" w:eastAsia="zh-CN"/>
        </w:rPr>
        <w:t>九</w:t>
      </w:r>
      <w:r>
        <w:rPr>
          <w:rFonts w:hint="eastAsia" w:asciiTheme="minorEastAsia" w:hAnsiTheme="minorEastAsia" w:eastAsiaTheme="minorEastAsia"/>
          <w:b/>
          <w:sz w:val="32"/>
        </w:rPr>
        <w:t>、投标产品清单表</w:t>
      </w:r>
    </w:p>
    <w:tbl>
      <w:tblPr>
        <w:tblStyle w:val="28"/>
        <w:tblpPr w:leftFromText="180" w:rightFromText="180" w:vertAnchor="text" w:horzAnchor="margin" w:tblpXSpec="center" w:tblpY="186"/>
        <w:tblW w:w="901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3"/>
        <w:gridCol w:w="2666"/>
        <w:gridCol w:w="2726"/>
        <w:gridCol w:w="1380"/>
        <w:gridCol w:w="1240"/>
      </w:tblGrid>
      <w:tr w14:paraId="500E58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03" w:type="dxa"/>
            <w:tcBorders>
              <w:top w:val="single" w:color="auto" w:sz="4" w:space="0"/>
              <w:left w:val="single" w:color="auto" w:sz="4" w:space="0"/>
              <w:bottom w:val="single" w:color="auto" w:sz="4" w:space="0"/>
              <w:right w:val="single" w:color="auto" w:sz="4" w:space="0"/>
            </w:tcBorders>
            <w:noWrap/>
            <w:vAlign w:val="center"/>
          </w:tcPr>
          <w:p w14:paraId="26635ACB">
            <w:pPr>
              <w:autoSpaceDE w:val="0"/>
              <w:autoSpaceDN w:val="0"/>
              <w:spacing w:line="280" w:lineRule="exact"/>
              <w:jc w:val="center"/>
              <w:rPr>
                <w:rFonts w:ascii="宋体" w:hAnsi="宋体" w:cs="宋体"/>
                <w:b/>
                <w:szCs w:val="21"/>
              </w:rPr>
            </w:pPr>
            <w:r>
              <w:rPr>
                <w:rFonts w:hint="eastAsia" w:ascii="宋体" w:hAnsi="宋体" w:cs="宋体"/>
                <w:b/>
                <w:szCs w:val="21"/>
              </w:rPr>
              <w:t>序号</w:t>
            </w:r>
          </w:p>
        </w:tc>
        <w:tc>
          <w:tcPr>
            <w:tcW w:w="2666" w:type="dxa"/>
            <w:tcBorders>
              <w:top w:val="single" w:color="auto" w:sz="4" w:space="0"/>
              <w:left w:val="single" w:color="auto" w:sz="4" w:space="0"/>
              <w:bottom w:val="single" w:color="auto" w:sz="4" w:space="0"/>
              <w:right w:val="single" w:color="auto" w:sz="4" w:space="0"/>
            </w:tcBorders>
            <w:noWrap/>
            <w:vAlign w:val="center"/>
          </w:tcPr>
          <w:p w14:paraId="3B08E3EF">
            <w:pPr>
              <w:autoSpaceDE w:val="0"/>
              <w:autoSpaceDN w:val="0"/>
              <w:spacing w:line="280" w:lineRule="exact"/>
              <w:jc w:val="center"/>
              <w:rPr>
                <w:rFonts w:ascii="宋体" w:hAnsi="宋体" w:cs="宋体"/>
                <w:b/>
                <w:szCs w:val="21"/>
              </w:rPr>
            </w:pPr>
            <w:r>
              <w:rPr>
                <w:rFonts w:hint="eastAsia" w:ascii="宋体" w:hAnsi="宋体" w:cs="宋体"/>
                <w:b/>
                <w:szCs w:val="21"/>
              </w:rPr>
              <w:t>名称</w:t>
            </w:r>
          </w:p>
        </w:tc>
        <w:tc>
          <w:tcPr>
            <w:tcW w:w="2726" w:type="dxa"/>
            <w:tcBorders>
              <w:top w:val="single" w:color="auto" w:sz="4" w:space="0"/>
              <w:left w:val="single" w:color="auto" w:sz="4" w:space="0"/>
              <w:bottom w:val="single" w:color="auto" w:sz="4" w:space="0"/>
              <w:right w:val="single" w:color="auto" w:sz="4" w:space="0"/>
            </w:tcBorders>
            <w:noWrap/>
            <w:vAlign w:val="center"/>
          </w:tcPr>
          <w:p w14:paraId="2737BECD">
            <w:pPr>
              <w:autoSpaceDE w:val="0"/>
              <w:autoSpaceDN w:val="0"/>
              <w:spacing w:line="280" w:lineRule="exact"/>
              <w:jc w:val="center"/>
              <w:rPr>
                <w:rFonts w:ascii="宋体" w:hAnsi="宋体" w:cs="宋体"/>
                <w:b/>
                <w:szCs w:val="21"/>
              </w:rPr>
            </w:pPr>
            <w:r>
              <w:rPr>
                <w:rFonts w:hint="eastAsia" w:ascii="宋体" w:hAnsi="宋体" w:cs="宋体"/>
                <w:b/>
                <w:szCs w:val="21"/>
              </w:rPr>
              <w:t>品牌型号</w:t>
            </w:r>
          </w:p>
        </w:tc>
        <w:tc>
          <w:tcPr>
            <w:tcW w:w="1380" w:type="dxa"/>
            <w:tcBorders>
              <w:top w:val="single" w:color="auto" w:sz="4" w:space="0"/>
              <w:left w:val="single" w:color="auto" w:sz="4" w:space="0"/>
              <w:bottom w:val="single" w:color="auto" w:sz="4" w:space="0"/>
              <w:right w:val="single" w:color="auto" w:sz="4" w:space="0"/>
            </w:tcBorders>
            <w:noWrap/>
            <w:vAlign w:val="center"/>
          </w:tcPr>
          <w:p w14:paraId="3EA83E58">
            <w:pPr>
              <w:autoSpaceDE w:val="0"/>
              <w:autoSpaceDN w:val="0"/>
              <w:spacing w:line="280" w:lineRule="exact"/>
              <w:jc w:val="center"/>
              <w:rPr>
                <w:rFonts w:ascii="宋体" w:hAnsi="宋体" w:cs="宋体"/>
                <w:b/>
                <w:szCs w:val="21"/>
              </w:rPr>
            </w:pPr>
            <w:r>
              <w:rPr>
                <w:rFonts w:hint="eastAsia" w:ascii="宋体" w:hAnsi="宋体" w:cs="宋体"/>
                <w:b/>
                <w:szCs w:val="21"/>
              </w:rPr>
              <w:t>生产厂家</w:t>
            </w:r>
          </w:p>
          <w:p w14:paraId="6F7A1215">
            <w:pPr>
              <w:autoSpaceDE w:val="0"/>
              <w:autoSpaceDN w:val="0"/>
              <w:spacing w:line="280" w:lineRule="exact"/>
              <w:jc w:val="center"/>
              <w:rPr>
                <w:rFonts w:ascii="宋体" w:hAnsi="宋体" w:cs="宋体"/>
                <w:b/>
                <w:szCs w:val="21"/>
              </w:rPr>
            </w:pPr>
            <w:r>
              <w:rPr>
                <w:rFonts w:hint="eastAsia" w:ascii="宋体" w:hAnsi="宋体" w:cs="宋体"/>
                <w:b/>
                <w:szCs w:val="21"/>
              </w:rPr>
              <w:t>及其产地</w:t>
            </w:r>
          </w:p>
        </w:tc>
        <w:tc>
          <w:tcPr>
            <w:tcW w:w="1240" w:type="dxa"/>
            <w:tcBorders>
              <w:top w:val="single" w:color="auto" w:sz="4" w:space="0"/>
              <w:left w:val="single" w:color="auto" w:sz="4" w:space="0"/>
              <w:bottom w:val="single" w:color="auto" w:sz="4" w:space="0"/>
              <w:right w:val="single" w:color="auto" w:sz="4" w:space="0"/>
            </w:tcBorders>
            <w:noWrap/>
            <w:vAlign w:val="center"/>
          </w:tcPr>
          <w:p w14:paraId="63D1468B">
            <w:pPr>
              <w:autoSpaceDE w:val="0"/>
              <w:autoSpaceDN w:val="0"/>
              <w:spacing w:line="280" w:lineRule="exact"/>
              <w:jc w:val="center"/>
              <w:rPr>
                <w:rFonts w:ascii="宋体" w:hAnsi="宋体" w:cs="宋体"/>
                <w:b/>
                <w:szCs w:val="21"/>
              </w:rPr>
            </w:pPr>
            <w:r>
              <w:rPr>
                <w:rFonts w:hint="eastAsia" w:ascii="宋体" w:hAnsi="宋体" w:cs="宋体"/>
                <w:b/>
                <w:szCs w:val="21"/>
              </w:rPr>
              <w:t>单位、数量</w:t>
            </w:r>
          </w:p>
        </w:tc>
      </w:tr>
      <w:tr w14:paraId="3D3D04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03" w:type="dxa"/>
            <w:tcBorders>
              <w:top w:val="single" w:color="auto" w:sz="4" w:space="0"/>
              <w:left w:val="single" w:color="auto" w:sz="4" w:space="0"/>
              <w:bottom w:val="single" w:color="auto" w:sz="4" w:space="0"/>
              <w:right w:val="single" w:color="auto" w:sz="4" w:space="0"/>
            </w:tcBorders>
            <w:noWrap/>
            <w:vAlign w:val="center"/>
          </w:tcPr>
          <w:p w14:paraId="67A6A547">
            <w:pPr>
              <w:spacing w:line="280" w:lineRule="exact"/>
              <w:jc w:val="center"/>
              <w:rPr>
                <w:rFonts w:ascii="宋体" w:hAnsi="宋体" w:cs="宋体"/>
                <w:bCs/>
                <w:szCs w:val="21"/>
              </w:rPr>
            </w:pPr>
            <w:r>
              <w:rPr>
                <w:rFonts w:hint="eastAsia" w:ascii="宋体" w:hAnsi="宋体" w:cs="宋体"/>
                <w:bCs/>
                <w:szCs w:val="21"/>
              </w:rPr>
              <w:t>1</w:t>
            </w:r>
          </w:p>
        </w:tc>
        <w:tc>
          <w:tcPr>
            <w:tcW w:w="2666" w:type="dxa"/>
            <w:tcBorders>
              <w:top w:val="single" w:color="auto" w:sz="4" w:space="0"/>
              <w:left w:val="single" w:color="auto" w:sz="4" w:space="0"/>
              <w:bottom w:val="single" w:color="auto" w:sz="4" w:space="0"/>
              <w:right w:val="single" w:color="auto" w:sz="4" w:space="0"/>
            </w:tcBorders>
            <w:noWrap/>
            <w:vAlign w:val="center"/>
          </w:tcPr>
          <w:p w14:paraId="4C367D72">
            <w:pPr>
              <w:spacing w:line="280" w:lineRule="exact"/>
              <w:jc w:val="center"/>
              <w:rPr>
                <w:rFonts w:ascii="宋体" w:hAnsi="宋体" w:cs="宋体"/>
                <w:bCs/>
                <w:szCs w:val="21"/>
              </w:rPr>
            </w:pPr>
          </w:p>
        </w:tc>
        <w:tc>
          <w:tcPr>
            <w:tcW w:w="2726" w:type="dxa"/>
            <w:tcBorders>
              <w:top w:val="single" w:color="auto" w:sz="4" w:space="0"/>
              <w:left w:val="single" w:color="auto" w:sz="4" w:space="0"/>
              <w:bottom w:val="single" w:color="auto" w:sz="4" w:space="0"/>
              <w:right w:val="single" w:color="auto" w:sz="4" w:space="0"/>
            </w:tcBorders>
            <w:noWrap/>
            <w:vAlign w:val="center"/>
          </w:tcPr>
          <w:p w14:paraId="02C8EAD1">
            <w:pPr>
              <w:spacing w:line="280" w:lineRule="exact"/>
              <w:jc w:val="center"/>
              <w:rPr>
                <w:rFonts w:ascii="宋体" w:hAnsi="宋体" w:cs="宋体"/>
                <w:b/>
                <w:bCs/>
                <w:szCs w:val="21"/>
              </w:rPr>
            </w:pPr>
          </w:p>
        </w:tc>
        <w:tc>
          <w:tcPr>
            <w:tcW w:w="1380" w:type="dxa"/>
            <w:tcBorders>
              <w:top w:val="single" w:color="auto" w:sz="4" w:space="0"/>
              <w:left w:val="single" w:color="auto" w:sz="4" w:space="0"/>
              <w:bottom w:val="single" w:color="auto" w:sz="4" w:space="0"/>
              <w:right w:val="single" w:color="auto" w:sz="4" w:space="0"/>
            </w:tcBorders>
            <w:noWrap/>
            <w:vAlign w:val="center"/>
          </w:tcPr>
          <w:p w14:paraId="42E8618E">
            <w:pPr>
              <w:spacing w:line="280" w:lineRule="exact"/>
              <w:jc w:val="center"/>
              <w:rPr>
                <w:rFonts w:ascii="宋体" w:hAnsi="宋体" w:cs="宋体"/>
                <w:b/>
                <w:bCs/>
                <w:szCs w:val="21"/>
              </w:rPr>
            </w:pPr>
          </w:p>
        </w:tc>
        <w:tc>
          <w:tcPr>
            <w:tcW w:w="1240" w:type="dxa"/>
            <w:tcBorders>
              <w:top w:val="single" w:color="auto" w:sz="4" w:space="0"/>
              <w:left w:val="single" w:color="auto" w:sz="4" w:space="0"/>
              <w:bottom w:val="single" w:color="auto" w:sz="4" w:space="0"/>
              <w:right w:val="single" w:color="auto" w:sz="4" w:space="0"/>
            </w:tcBorders>
            <w:noWrap/>
            <w:vAlign w:val="center"/>
          </w:tcPr>
          <w:p w14:paraId="7E6BA05B">
            <w:pPr>
              <w:spacing w:line="280" w:lineRule="exact"/>
              <w:jc w:val="center"/>
              <w:rPr>
                <w:rFonts w:ascii="宋体" w:hAnsi="宋体" w:cs="宋体"/>
                <w:b/>
                <w:bCs/>
                <w:szCs w:val="21"/>
              </w:rPr>
            </w:pPr>
          </w:p>
        </w:tc>
      </w:tr>
      <w:tr w14:paraId="597DD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03" w:type="dxa"/>
            <w:tcBorders>
              <w:top w:val="single" w:color="auto" w:sz="4" w:space="0"/>
              <w:left w:val="single" w:color="auto" w:sz="4" w:space="0"/>
              <w:bottom w:val="single" w:color="auto" w:sz="4" w:space="0"/>
              <w:right w:val="single" w:color="auto" w:sz="4" w:space="0"/>
            </w:tcBorders>
            <w:noWrap/>
            <w:vAlign w:val="center"/>
          </w:tcPr>
          <w:p w14:paraId="4A1D8100">
            <w:pPr>
              <w:spacing w:line="280" w:lineRule="exact"/>
              <w:jc w:val="center"/>
              <w:rPr>
                <w:rFonts w:ascii="宋体" w:hAnsi="宋体" w:cs="宋体"/>
                <w:bCs/>
                <w:szCs w:val="21"/>
              </w:rPr>
            </w:pPr>
            <w:r>
              <w:rPr>
                <w:rFonts w:hint="eastAsia" w:ascii="宋体" w:hAnsi="宋体" w:cs="宋体"/>
                <w:bCs/>
                <w:szCs w:val="21"/>
              </w:rPr>
              <w:t>2</w:t>
            </w:r>
          </w:p>
        </w:tc>
        <w:tc>
          <w:tcPr>
            <w:tcW w:w="2666" w:type="dxa"/>
            <w:tcBorders>
              <w:top w:val="single" w:color="auto" w:sz="4" w:space="0"/>
              <w:left w:val="single" w:color="auto" w:sz="4" w:space="0"/>
              <w:bottom w:val="single" w:color="auto" w:sz="4" w:space="0"/>
              <w:right w:val="single" w:color="auto" w:sz="4" w:space="0"/>
            </w:tcBorders>
            <w:noWrap/>
            <w:vAlign w:val="center"/>
          </w:tcPr>
          <w:p w14:paraId="1A0A0EEB">
            <w:pPr>
              <w:spacing w:line="280" w:lineRule="exact"/>
              <w:jc w:val="center"/>
              <w:rPr>
                <w:rFonts w:ascii="宋体" w:hAnsi="宋体" w:cs="宋体"/>
                <w:bCs/>
                <w:szCs w:val="21"/>
              </w:rPr>
            </w:pPr>
          </w:p>
        </w:tc>
        <w:tc>
          <w:tcPr>
            <w:tcW w:w="2726" w:type="dxa"/>
            <w:tcBorders>
              <w:top w:val="single" w:color="auto" w:sz="4" w:space="0"/>
              <w:left w:val="single" w:color="auto" w:sz="4" w:space="0"/>
              <w:bottom w:val="single" w:color="auto" w:sz="4" w:space="0"/>
              <w:right w:val="single" w:color="auto" w:sz="4" w:space="0"/>
            </w:tcBorders>
            <w:noWrap/>
            <w:vAlign w:val="center"/>
          </w:tcPr>
          <w:p w14:paraId="7C74EFA8">
            <w:pPr>
              <w:spacing w:line="280" w:lineRule="exact"/>
              <w:jc w:val="center"/>
              <w:rPr>
                <w:rFonts w:ascii="宋体" w:hAnsi="宋体" w:cs="宋体"/>
                <w:b/>
                <w:bCs/>
                <w:szCs w:val="21"/>
              </w:rPr>
            </w:pPr>
          </w:p>
        </w:tc>
        <w:tc>
          <w:tcPr>
            <w:tcW w:w="1380" w:type="dxa"/>
            <w:tcBorders>
              <w:top w:val="single" w:color="auto" w:sz="4" w:space="0"/>
              <w:left w:val="single" w:color="auto" w:sz="4" w:space="0"/>
              <w:bottom w:val="single" w:color="auto" w:sz="4" w:space="0"/>
              <w:right w:val="single" w:color="auto" w:sz="4" w:space="0"/>
            </w:tcBorders>
            <w:noWrap/>
            <w:vAlign w:val="center"/>
          </w:tcPr>
          <w:p w14:paraId="2A8CC4B6">
            <w:pPr>
              <w:spacing w:line="280" w:lineRule="exact"/>
              <w:jc w:val="center"/>
              <w:rPr>
                <w:rFonts w:ascii="宋体" w:hAnsi="宋体" w:cs="宋体"/>
                <w:b/>
                <w:bCs/>
                <w:szCs w:val="21"/>
              </w:rPr>
            </w:pPr>
          </w:p>
        </w:tc>
        <w:tc>
          <w:tcPr>
            <w:tcW w:w="1240" w:type="dxa"/>
            <w:tcBorders>
              <w:top w:val="single" w:color="auto" w:sz="4" w:space="0"/>
              <w:left w:val="single" w:color="auto" w:sz="4" w:space="0"/>
              <w:bottom w:val="single" w:color="auto" w:sz="4" w:space="0"/>
              <w:right w:val="single" w:color="auto" w:sz="4" w:space="0"/>
            </w:tcBorders>
            <w:noWrap/>
            <w:vAlign w:val="center"/>
          </w:tcPr>
          <w:p w14:paraId="59A9C059">
            <w:pPr>
              <w:spacing w:line="280" w:lineRule="exact"/>
              <w:jc w:val="center"/>
              <w:rPr>
                <w:rFonts w:ascii="宋体" w:hAnsi="宋体" w:cs="宋体"/>
                <w:b/>
                <w:bCs/>
                <w:szCs w:val="21"/>
              </w:rPr>
            </w:pPr>
          </w:p>
        </w:tc>
      </w:tr>
      <w:tr w14:paraId="74515B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03" w:type="dxa"/>
            <w:tcBorders>
              <w:top w:val="single" w:color="auto" w:sz="4" w:space="0"/>
              <w:left w:val="single" w:color="auto" w:sz="4" w:space="0"/>
              <w:bottom w:val="single" w:color="auto" w:sz="4" w:space="0"/>
              <w:right w:val="single" w:color="auto" w:sz="4" w:space="0"/>
            </w:tcBorders>
            <w:noWrap/>
            <w:vAlign w:val="center"/>
          </w:tcPr>
          <w:p w14:paraId="4E774D84">
            <w:pPr>
              <w:spacing w:line="280" w:lineRule="exact"/>
              <w:jc w:val="center"/>
              <w:rPr>
                <w:rFonts w:ascii="宋体" w:hAnsi="宋体" w:cs="宋体"/>
                <w:bCs/>
                <w:szCs w:val="21"/>
              </w:rPr>
            </w:pPr>
            <w:r>
              <w:rPr>
                <w:rFonts w:hint="eastAsia" w:ascii="宋体" w:hAnsi="宋体" w:cs="宋体"/>
                <w:bCs/>
                <w:szCs w:val="21"/>
              </w:rPr>
              <w:t>3</w:t>
            </w:r>
          </w:p>
        </w:tc>
        <w:tc>
          <w:tcPr>
            <w:tcW w:w="2666" w:type="dxa"/>
            <w:tcBorders>
              <w:top w:val="single" w:color="auto" w:sz="4" w:space="0"/>
              <w:left w:val="single" w:color="auto" w:sz="4" w:space="0"/>
              <w:bottom w:val="single" w:color="auto" w:sz="4" w:space="0"/>
              <w:right w:val="single" w:color="auto" w:sz="4" w:space="0"/>
            </w:tcBorders>
            <w:noWrap/>
            <w:vAlign w:val="center"/>
          </w:tcPr>
          <w:p w14:paraId="75D2D672">
            <w:pPr>
              <w:spacing w:line="280" w:lineRule="exact"/>
              <w:jc w:val="center"/>
              <w:rPr>
                <w:rFonts w:ascii="宋体" w:hAnsi="宋体" w:cs="宋体"/>
                <w:bCs/>
                <w:szCs w:val="21"/>
              </w:rPr>
            </w:pPr>
          </w:p>
        </w:tc>
        <w:tc>
          <w:tcPr>
            <w:tcW w:w="2726" w:type="dxa"/>
            <w:tcBorders>
              <w:top w:val="single" w:color="auto" w:sz="4" w:space="0"/>
              <w:left w:val="single" w:color="auto" w:sz="4" w:space="0"/>
              <w:bottom w:val="single" w:color="auto" w:sz="4" w:space="0"/>
              <w:right w:val="single" w:color="auto" w:sz="4" w:space="0"/>
            </w:tcBorders>
            <w:noWrap/>
            <w:vAlign w:val="center"/>
          </w:tcPr>
          <w:p w14:paraId="09B178D2">
            <w:pPr>
              <w:spacing w:line="280" w:lineRule="exact"/>
              <w:jc w:val="center"/>
              <w:rPr>
                <w:rFonts w:ascii="宋体" w:hAnsi="宋体" w:cs="宋体"/>
                <w:b/>
                <w:bCs/>
                <w:szCs w:val="21"/>
              </w:rPr>
            </w:pPr>
          </w:p>
        </w:tc>
        <w:tc>
          <w:tcPr>
            <w:tcW w:w="1380" w:type="dxa"/>
            <w:tcBorders>
              <w:top w:val="single" w:color="auto" w:sz="4" w:space="0"/>
              <w:left w:val="single" w:color="auto" w:sz="4" w:space="0"/>
              <w:bottom w:val="single" w:color="auto" w:sz="4" w:space="0"/>
              <w:right w:val="single" w:color="auto" w:sz="4" w:space="0"/>
            </w:tcBorders>
            <w:noWrap/>
            <w:vAlign w:val="center"/>
          </w:tcPr>
          <w:p w14:paraId="17A6A131">
            <w:pPr>
              <w:spacing w:line="280" w:lineRule="exact"/>
              <w:jc w:val="center"/>
              <w:rPr>
                <w:rFonts w:ascii="宋体" w:hAnsi="宋体" w:cs="宋体"/>
                <w:b/>
                <w:bCs/>
                <w:szCs w:val="21"/>
              </w:rPr>
            </w:pPr>
          </w:p>
        </w:tc>
        <w:tc>
          <w:tcPr>
            <w:tcW w:w="1240" w:type="dxa"/>
            <w:tcBorders>
              <w:top w:val="single" w:color="auto" w:sz="4" w:space="0"/>
              <w:left w:val="single" w:color="auto" w:sz="4" w:space="0"/>
              <w:bottom w:val="single" w:color="auto" w:sz="4" w:space="0"/>
              <w:right w:val="single" w:color="auto" w:sz="4" w:space="0"/>
            </w:tcBorders>
            <w:noWrap/>
            <w:vAlign w:val="center"/>
          </w:tcPr>
          <w:p w14:paraId="42BED423">
            <w:pPr>
              <w:spacing w:line="280" w:lineRule="exact"/>
              <w:jc w:val="center"/>
              <w:rPr>
                <w:rFonts w:ascii="宋体" w:hAnsi="宋体" w:cs="宋体"/>
                <w:b/>
                <w:bCs/>
                <w:szCs w:val="21"/>
              </w:rPr>
            </w:pPr>
          </w:p>
        </w:tc>
      </w:tr>
      <w:tr w14:paraId="59AC03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003" w:type="dxa"/>
            <w:tcBorders>
              <w:top w:val="single" w:color="auto" w:sz="4" w:space="0"/>
              <w:left w:val="single" w:color="auto" w:sz="4" w:space="0"/>
              <w:bottom w:val="single" w:color="auto" w:sz="4" w:space="0"/>
              <w:right w:val="single" w:color="auto" w:sz="4" w:space="0"/>
            </w:tcBorders>
            <w:noWrap/>
            <w:vAlign w:val="center"/>
          </w:tcPr>
          <w:p w14:paraId="5EEDE7E2">
            <w:pPr>
              <w:spacing w:line="280" w:lineRule="exact"/>
              <w:jc w:val="center"/>
              <w:rPr>
                <w:rFonts w:ascii="宋体" w:hAnsi="宋体" w:cs="宋体"/>
                <w:bCs/>
                <w:szCs w:val="21"/>
              </w:rPr>
            </w:pPr>
            <w:r>
              <w:rPr>
                <w:rFonts w:hint="eastAsia" w:ascii="宋体" w:hAnsi="宋体" w:cs="宋体"/>
                <w:bCs/>
                <w:szCs w:val="21"/>
              </w:rPr>
              <w:t>……</w:t>
            </w:r>
          </w:p>
        </w:tc>
        <w:tc>
          <w:tcPr>
            <w:tcW w:w="2666" w:type="dxa"/>
            <w:tcBorders>
              <w:top w:val="single" w:color="auto" w:sz="4" w:space="0"/>
              <w:left w:val="single" w:color="auto" w:sz="4" w:space="0"/>
              <w:bottom w:val="single" w:color="auto" w:sz="4" w:space="0"/>
              <w:right w:val="single" w:color="auto" w:sz="4" w:space="0"/>
            </w:tcBorders>
            <w:noWrap/>
            <w:vAlign w:val="center"/>
          </w:tcPr>
          <w:p w14:paraId="1BE40802">
            <w:pPr>
              <w:spacing w:line="280" w:lineRule="exact"/>
              <w:jc w:val="center"/>
              <w:rPr>
                <w:rFonts w:ascii="宋体" w:hAnsi="宋体" w:cs="宋体"/>
                <w:bCs/>
                <w:szCs w:val="21"/>
              </w:rPr>
            </w:pPr>
          </w:p>
        </w:tc>
        <w:tc>
          <w:tcPr>
            <w:tcW w:w="2726" w:type="dxa"/>
            <w:tcBorders>
              <w:top w:val="single" w:color="auto" w:sz="4" w:space="0"/>
              <w:left w:val="single" w:color="auto" w:sz="4" w:space="0"/>
              <w:bottom w:val="single" w:color="auto" w:sz="4" w:space="0"/>
              <w:right w:val="single" w:color="auto" w:sz="4" w:space="0"/>
            </w:tcBorders>
            <w:noWrap/>
            <w:vAlign w:val="center"/>
          </w:tcPr>
          <w:p w14:paraId="700111FD">
            <w:pPr>
              <w:spacing w:line="280" w:lineRule="exact"/>
              <w:jc w:val="center"/>
              <w:rPr>
                <w:rFonts w:ascii="宋体" w:hAnsi="宋体" w:cs="宋体"/>
                <w:b/>
                <w:bCs/>
                <w:szCs w:val="21"/>
              </w:rPr>
            </w:pPr>
          </w:p>
        </w:tc>
        <w:tc>
          <w:tcPr>
            <w:tcW w:w="1380" w:type="dxa"/>
            <w:tcBorders>
              <w:top w:val="single" w:color="auto" w:sz="4" w:space="0"/>
              <w:left w:val="single" w:color="auto" w:sz="4" w:space="0"/>
              <w:bottom w:val="single" w:color="auto" w:sz="4" w:space="0"/>
              <w:right w:val="single" w:color="auto" w:sz="4" w:space="0"/>
            </w:tcBorders>
            <w:noWrap/>
            <w:vAlign w:val="center"/>
          </w:tcPr>
          <w:p w14:paraId="04B38DDB">
            <w:pPr>
              <w:spacing w:line="280" w:lineRule="exact"/>
              <w:jc w:val="center"/>
              <w:rPr>
                <w:rFonts w:ascii="宋体" w:hAnsi="宋体" w:cs="宋体"/>
                <w:b/>
                <w:bCs/>
                <w:szCs w:val="21"/>
              </w:rPr>
            </w:pPr>
          </w:p>
        </w:tc>
        <w:tc>
          <w:tcPr>
            <w:tcW w:w="1240" w:type="dxa"/>
            <w:tcBorders>
              <w:top w:val="single" w:color="auto" w:sz="4" w:space="0"/>
              <w:left w:val="single" w:color="auto" w:sz="4" w:space="0"/>
              <w:bottom w:val="single" w:color="auto" w:sz="4" w:space="0"/>
              <w:right w:val="single" w:color="auto" w:sz="4" w:space="0"/>
            </w:tcBorders>
            <w:noWrap/>
            <w:vAlign w:val="center"/>
          </w:tcPr>
          <w:p w14:paraId="6D3A752F">
            <w:pPr>
              <w:spacing w:line="280" w:lineRule="exact"/>
              <w:jc w:val="center"/>
              <w:rPr>
                <w:rFonts w:ascii="宋体" w:hAnsi="宋体" w:cs="宋体"/>
                <w:b/>
                <w:bCs/>
                <w:szCs w:val="21"/>
              </w:rPr>
            </w:pPr>
          </w:p>
        </w:tc>
      </w:tr>
    </w:tbl>
    <w:p w14:paraId="2D0C9822">
      <w:pPr>
        <w:spacing w:line="360" w:lineRule="auto"/>
        <w:rPr>
          <w:rFonts w:ascii="宋体" w:hAnsi="宋体" w:cs="宋体"/>
          <w:szCs w:val="21"/>
        </w:rPr>
      </w:pPr>
    </w:p>
    <w:p w14:paraId="51640C23">
      <w:pPr>
        <w:spacing w:line="360" w:lineRule="auto"/>
        <w:rPr>
          <w:rFonts w:ascii="宋体" w:hAnsi="宋体" w:cs="宋体"/>
          <w:b/>
          <w:spacing w:val="20"/>
          <w:szCs w:val="21"/>
        </w:rPr>
      </w:pPr>
    </w:p>
    <w:p w14:paraId="478E8E67">
      <w:pPr>
        <w:spacing w:line="360" w:lineRule="auto"/>
        <w:rPr>
          <w:rFonts w:ascii="宋体" w:hAnsi="宋体" w:cs="宋体"/>
          <w:szCs w:val="21"/>
        </w:rPr>
      </w:pPr>
      <w:r>
        <w:rPr>
          <w:rFonts w:hint="eastAsia" w:ascii="宋体" w:hAnsi="宋体" w:cs="宋体"/>
          <w:szCs w:val="21"/>
        </w:rPr>
        <w:t xml:space="preserve">投标人名称：（加盖公章）  </w:t>
      </w:r>
    </w:p>
    <w:p w14:paraId="67BCF9F6">
      <w:pPr>
        <w:snapToGrid w:val="0"/>
        <w:spacing w:before="50" w:after="50" w:line="360" w:lineRule="auto"/>
        <w:rPr>
          <w:rFonts w:asciiTheme="minorEastAsia" w:hAnsiTheme="minorEastAsia" w:eastAsiaTheme="minorEastAsia"/>
          <w:szCs w:val="21"/>
        </w:rPr>
      </w:pPr>
      <w:r>
        <w:rPr>
          <w:rFonts w:hint="eastAsia" w:asciiTheme="minorEastAsia" w:hAnsiTheme="minorEastAsia" w:eastAsiaTheme="minorEastAsia"/>
          <w:szCs w:val="21"/>
        </w:rPr>
        <w:t>法定代表人（负责人）（签字或盖章）：</w:t>
      </w:r>
    </w:p>
    <w:p w14:paraId="52F82247">
      <w:pPr>
        <w:spacing w:line="360" w:lineRule="auto"/>
        <w:rPr>
          <w:rFonts w:ascii="宋体" w:hAnsi="宋体" w:cs="宋体"/>
          <w:spacing w:val="20"/>
          <w:szCs w:val="21"/>
        </w:rPr>
      </w:pPr>
      <w:r>
        <w:rPr>
          <w:rFonts w:hint="eastAsia" w:ascii="宋体" w:hAnsi="宋体" w:cs="宋体"/>
          <w:spacing w:val="20"/>
          <w:szCs w:val="21"/>
        </w:rPr>
        <w:t>日期：年月日</w:t>
      </w:r>
    </w:p>
    <w:p w14:paraId="2FD85288">
      <w:pPr>
        <w:spacing w:line="360" w:lineRule="auto"/>
        <w:rPr>
          <w:rFonts w:ascii="宋体" w:hAnsi="宋体" w:cs="宋体"/>
          <w:b/>
          <w:sz w:val="24"/>
        </w:rPr>
      </w:pPr>
    </w:p>
    <w:p w14:paraId="025EFFF2">
      <w:pPr>
        <w:spacing w:line="360" w:lineRule="auto"/>
        <w:rPr>
          <w:rFonts w:ascii="宋体" w:hAnsi="宋体" w:cs="宋体"/>
          <w:b/>
          <w:sz w:val="24"/>
        </w:rPr>
      </w:pPr>
    </w:p>
    <w:p w14:paraId="099B6EE3">
      <w:pPr>
        <w:spacing w:line="360" w:lineRule="auto"/>
        <w:rPr>
          <w:rFonts w:ascii="宋体" w:hAnsi="宋体" w:cs="宋体"/>
          <w:b/>
          <w:sz w:val="24"/>
        </w:rPr>
      </w:pPr>
    </w:p>
    <w:p w14:paraId="19924C94">
      <w:pPr>
        <w:spacing w:line="360" w:lineRule="auto"/>
        <w:rPr>
          <w:rFonts w:ascii="宋体" w:hAnsi="宋体" w:cs="宋体"/>
          <w:b/>
          <w:sz w:val="24"/>
        </w:rPr>
      </w:pPr>
    </w:p>
    <w:p w14:paraId="30E09BF2">
      <w:pPr>
        <w:spacing w:line="360" w:lineRule="auto"/>
        <w:rPr>
          <w:rFonts w:ascii="宋体" w:hAnsi="宋体" w:cs="宋体"/>
          <w:b/>
          <w:sz w:val="24"/>
        </w:rPr>
      </w:pPr>
    </w:p>
    <w:p w14:paraId="4F4EE594">
      <w:pPr>
        <w:spacing w:line="360" w:lineRule="auto"/>
        <w:rPr>
          <w:rFonts w:ascii="宋体" w:hAnsi="宋体" w:cs="宋体"/>
          <w:b/>
          <w:sz w:val="24"/>
        </w:rPr>
      </w:pPr>
    </w:p>
    <w:p w14:paraId="49899601">
      <w:pPr>
        <w:spacing w:line="360" w:lineRule="auto"/>
        <w:rPr>
          <w:rFonts w:ascii="宋体" w:hAnsi="宋体" w:cs="宋体"/>
          <w:b/>
          <w:sz w:val="24"/>
        </w:rPr>
      </w:pPr>
    </w:p>
    <w:p w14:paraId="5F0D22EB">
      <w:pPr>
        <w:spacing w:line="360" w:lineRule="auto"/>
        <w:rPr>
          <w:rFonts w:ascii="宋体" w:hAnsi="宋体" w:cs="宋体"/>
          <w:b/>
          <w:sz w:val="24"/>
        </w:rPr>
      </w:pPr>
    </w:p>
    <w:p w14:paraId="4188E8BF">
      <w:pPr>
        <w:spacing w:line="360" w:lineRule="auto"/>
        <w:rPr>
          <w:rFonts w:ascii="宋体" w:hAnsi="宋体" w:cs="宋体"/>
          <w:b/>
          <w:sz w:val="24"/>
        </w:rPr>
      </w:pPr>
    </w:p>
    <w:p w14:paraId="33CCC126">
      <w:pPr>
        <w:spacing w:line="360" w:lineRule="auto"/>
        <w:rPr>
          <w:rFonts w:ascii="宋体" w:hAnsi="宋体" w:cs="宋体"/>
          <w:b/>
          <w:sz w:val="24"/>
        </w:rPr>
      </w:pPr>
    </w:p>
    <w:p w14:paraId="149CFCB8">
      <w:pPr>
        <w:spacing w:line="360" w:lineRule="auto"/>
        <w:rPr>
          <w:rFonts w:ascii="宋体" w:hAnsi="宋体" w:cs="宋体"/>
          <w:b/>
          <w:sz w:val="24"/>
        </w:rPr>
      </w:pPr>
    </w:p>
    <w:p w14:paraId="2595A63D">
      <w:pPr>
        <w:spacing w:line="360" w:lineRule="auto"/>
        <w:rPr>
          <w:rFonts w:ascii="宋体" w:hAnsi="宋体" w:cs="宋体"/>
          <w:b/>
          <w:sz w:val="24"/>
        </w:rPr>
      </w:pPr>
    </w:p>
    <w:p w14:paraId="22508A22">
      <w:pPr>
        <w:spacing w:line="360" w:lineRule="auto"/>
        <w:rPr>
          <w:rFonts w:ascii="宋体" w:hAnsi="宋体" w:cs="宋体"/>
          <w:b/>
          <w:sz w:val="24"/>
        </w:rPr>
      </w:pPr>
    </w:p>
    <w:p w14:paraId="06AAA9B0">
      <w:pPr>
        <w:spacing w:line="360" w:lineRule="auto"/>
        <w:rPr>
          <w:rFonts w:ascii="宋体" w:hAnsi="宋体" w:cs="宋体"/>
          <w:b/>
          <w:sz w:val="24"/>
        </w:rPr>
      </w:pPr>
    </w:p>
    <w:p w14:paraId="4617F6FE">
      <w:pPr>
        <w:pStyle w:val="2"/>
        <w:snapToGrid w:val="0"/>
        <w:spacing w:before="120" w:line="312" w:lineRule="auto"/>
        <w:ind w:right="-341"/>
        <w:jc w:val="center"/>
        <w:rPr>
          <w:rFonts w:hAnsi="宋体" w:cs="宋体"/>
          <w:b/>
          <w:sz w:val="24"/>
        </w:rPr>
      </w:pPr>
      <w:r>
        <w:rPr>
          <w:rFonts w:hAnsi="宋体" w:cs="宋体"/>
          <w:b/>
          <w:sz w:val="24"/>
        </w:rPr>
        <w:br w:type="page"/>
      </w:r>
    </w:p>
    <w:p w14:paraId="38162B87">
      <w:pPr>
        <w:pStyle w:val="2"/>
        <w:snapToGrid w:val="0"/>
        <w:spacing w:before="120" w:line="312" w:lineRule="auto"/>
        <w:ind w:right="-341"/>
        <w:jc w:val="center"/>
        <w:rPr>
          <w:rFonts w:hAnsi="宋体" w:cs="宋体"/>
          <w:b/>
          <w:sz w:val="24"/>
        </w:rPr>
      </w:pPr>
    </w:p>
    <w:p w14:paraId="0EA59268">
      <w:pPr>
        <w:pStyle w:val="2"/>
        <w:snapToGrid w:val="0"/>
        <w:spacing w:before="120" w:line="312" w:lineRule="auto"/>
        <w:ind w:right="-341" w:firstLine="3213" w:firstLineChars="1000"/>
        <w:jc w:val="both"/>
        <w:rPr>
          <w:rFonts w:hAnsi="宋体" w:cs="宋体"/>
          <w:b/>
          <w:sz w:val="24"/>
        </w:rPr>
      </w:pPr>
      <w:r>
        <w:rPr>
          <w:rFonts w:hint="eastAsia" w:asciiTheme="minorEastAsia" w:hAnsiTheme="minorEastAsia" w:eastAsiaTheme="minorEastAsia"/>
          <w:b/>
          <w:sz w:val="32"/>
        </w:rPr>
        <w:t>十、技术参数偏离表</w:t>
      </w:r>
    </w:p>
    <w:tbl>
      <w:tblPr>
        <w:tblStyle w:val="28"/>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915"/>
        <w:gridCol w:w="566"/>
        <w:gridCol w:w="566"/>
        <w:gridCol w:w="2837"/>
        <w:gridCol w:w="1264"/>
        <w:gridCol w:w="1614"/>
        <w:gridCol w:w="1440"/>
      </w:tblGrid>
      <w:tr w14:paraId="0C6E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78" w:type="dxa"/>
            <w:tcBorders>
              <w:top w:val="single" w:color="auto" w:sz="4" w:space="0"/>
              <w:left w:val="single" w:color="auto" w:sz="4" w:space="0"/>
              <w:bottom w:val="single" w:color="auto" w:sz="4" w:space="0"/>
              <w:right w:val="single" w:color="auto" w:sz="4" w:space="0"/>
            </w:tcBorders>
            <w:noWrap/>
            <w:vAlign w:val="center"/>
          </w:tcPr>
          <w:p w14:paraId="71A2AD9D">
            <w:pPr>
              <w:jc w:val="center"/>
              <w:rPr>
                <w:rFonts w:ascii="宋体" w:hAnsi="宋体" w:cs="宋体"/>
                <w:b/>
                <w:bCs/>
                <w:spacing w:val="-4"/>
                <w:szCs w:val="21"/>
              </w:rPr>
            </w:pPr>
            <w:r>
              <w:rPr>
                <w:rFonts w:hint="eastAsia" w:ascii="宋体" w:hAnsi="宋体" w:cs="宋体"/>
                <w:b/>
                <w:bCs/>
                <w:spacing w:val="-4"/>
                <w:szCs w:val="21"/>
              </w:rPr>
              <w:t>序号</w:t>
            </w:r>
          </w:p>
        </w:tc>
        <w:tc>
          <w:tcPr>
            <w:tcW w:w="915" w:type="dxa"/>
            <w:tcBorders>
              <w:top w:val="single" w:color="auto" w:sz="4" w:space="0"/>
              <w:left w:val="nil"/>
              <w:bottom w:val="single" w:color="auto" w:sz="4" w:space="0"/>
              <w:right w:val="single" w:color="auto" w:sz="4" w:space="0"/>
            </w:tcBorders>
            <w:noWrap/>
            <w:vAlign w:val="center"/>
          </w:tcPr>
          <w:p w14:paraId="7DCEAC03">
            <w:pPr>
              <w:jc w:val="center"/>
              <w:rPr>
                <w:rFonts w:ascii="宋体" w:hAnsi="宋体" w:cs="宋体"/>
                <w:b/>
                <w:bCs/>
                <w:spacing w:val="-4"/>
                <w:szCs w:val="21"/>
              </w:rPr>
            </w:pPr>
            <w:r>
              <w:rPr>
                <w:rFonts w:hint="eastAsia" w:ascii="宋体" w:hAnsi="宋体" w:cs="宋体"/>
                <w:b/>
                <w:bCs/>
                <w:spacing w:val="-4"/>
                <w:szCs w:val="21"/>
              </w:rPr>
              <w:t>产品名称</w:t>
            </w:r>
          </w:p>
        </w:tc>
        <w:tc>
          <w:tcPr>
            <w:tcW w:w="566" w:type="dxa"/>
            <w:tcBorders>
              <w:top w:val="single" w:color="auto" w:sz="4" w:space="0"/>
              <w:left w:val="nil"/>
              <w:bottom w:val="single" w:color="auto" w:sz="4" w:space="0"/>
              <w:right w:val="single" w:color="auto" w:sz="4" w:space="0"/>
            </w:tcBorders>
            <w:noWrap/>
            <w:vAlign w:val="center"/>
          </w:tcPr>
          <w:p w14:paraId="53062BC6">
            <w:pPr>
              <w:jc w:val="center"/>
              <w:rPr>
                <w:rFonts w:ascii="宋体" w:hAnsi="宋体" w:cs="宋体"/>
                <w:b/>
                <w:bCs/>
                <w:spacing w:val="-4"/>
                <w:szCs w:val="21"/>
              </w:rPr>
            </w:pPr>
            <w:r>
              <w:rPr>
                <w:rFonts w:hint="eastAsia" w:ascii="宋体" w:hAnsi="宋体" w:cs="宋体"/>
                <w:b/>
                <w:bCs/>
                <w:spacing w:val="-4"/>
                <w:szCs w:val="21"/>
              </w:rPr>
              <w:t>品牌</w:t>
            </w:r>
          </w:p>
        </w:tc>
        <w:tc>
          <w:tcPr>
            <w:tcW w:w="566" w:type="dxa"/>
            <w:tcBorders>
              <w:top w:val="single" w:color="auto" w:sz="4" w:space="0"/>
              <w:left w:val="nil"/>
              <w:bottom w:val="single" w:color="auto" w:sz="4" w:space="0"/>
              <w:right w:val="single" w:color="auto" w:sz="4" w:space="0"/>
            </w:tcBorders>
            <w:noWrap/>
            <w:vAlign w:val="center"/>
          </w:tcPr>
          <w:p w14:paraId="417300D4">
            <w:pPr>
              <w:jc w:val="center"/>
              <w:rPr>
                <w:rFonts w:ascii="宋体" w:hAnsi="宋体" w:cs="宋体"/>
                <w:b/>
                <w:bCs/>
                <w:spacing w:val="-4"/>
                <w:szCs w:val="21"/>
              </w:rPr>
            </w:pPr>
            <w:r>
              <w:rPr>
                <w:rFonts w:hint="eastAsia" w:ascii="宋体" w:hAnsi="宋体" w:cs="宋体"/>
                <w:b/>
                <w:bCs/>
                <w:spacing w:val="-4"/>
                <w:szCs w:val="21"/>
              </w:rPr>
              <w:t>型号</w:t>
            </w:r>
          </w:p>
        </w:tc>
        <w:tc>
          <w:tcPr>
            <w:tcW w:w="2837" w:type="dxa"/>
            <w:tcBorders>
              <w:top w:val="single" w:color="auto" w:sz="4" w:space="0"/>
              <w:left w:val="nil"/>
              <w:bottom w:val="single" w:color="auto" w:sz="4" w:space="0"/>
              <w:right w:val="single" w:color="auto" w:sz="4" w:space="0"/>
            </w:tcBorders>
            <w:noWrap/>
            <w:vAlign w:val="center"/>
          </w:tcPr>
          <w:p w14:paraId="5A8459D9">
            <w:pPr>
              <w:jc w:val="center"/>
              <w:rPr>
                <w:rFonts w:ascii="宋体" w:hAnsi="宋体" w:cs="宋体"/>
                <w:b/>
                <w:bCs/>
                <w:spacing w:val="-4"/>
                <w:szCs w:val="21"/>
              </w:rPr>
            </w:pPr>
            <w:r>
              <w:rPr>
                <w:rFonts w:hint="eastAsia" w:ascii="宋体" w:hAnsi="宋体" w:cs="宋体"/>
                <w:b/>
                <w:bCs/>
                <w:spacing w:val="-4"/>
                <w:szCs w:val="21"/>
              </w:rPr>
              <w:t>招标文件所需技术要求及性能说明</w:t>
            </w:r>
          </w:p>
        </w:tc>
        <w:tc>
          <w:tcPr>
            <w:tcW w:w="1264" w:type="dxa"/>
            <w:tcBorders>
              <w:top w:val="single" w:color="auto" w:sz="4" w:space="0"/>
              <w:left w:val="nil"/>
              <w:bottom w:val="single" w:color="auto" w:sz="4" w:space="0"/>
              <w:right w:val="single" w:color="auto" w:sz="4" w:space="0"/>
            </w:tcBorders>
            <w:noWrap/>
            <w:vAlign w:val="center"/>
          </w:tcPr>
          <w:p w14:paraId="700B8FF1">
            <w:pPr>
              <w:jc w:val="center"/>
              <w:rPr>
                <w:rFonts w:ascii="宋体" w:hAnsi="宋体" w:cs="宋体"/>
                <w:b/>
                <w:bCs/>
                <w:spacing w:val="-4"/>
                <w:szCs w:val="21"/>
              </w:rPr>
            </w:pPr>
            <w:r>
              <w:rPr>
                <w:rFonts w:hint="eastAsia" w:ascii="宋体" w:hAnsi="宋体" w:cs="宋体"/>
                <w:b/>
                <w:bCs/>
                <w:spacing w:val="-4"/>
                <w:szCs w:val="21"/>
              </w:rPr>
              <w:t>所投技术要求</w:t>
            </w:r>
          </w:p>
          <w:p w14:paraId="345AE51A">
            <w:pPr>
              <w:jc w:val="center"/>
              <w:rPr>
                <w:rFonts w:ascii="Times New Roman" w:hAnsi="Times New Roman"/>
                <w:szCs w:val="21"/>
              </w:rPr>
            </w:pPr>
            <w:r>
              <w:rPr>
                <w:rFonts w:hint="eastAsia" w:ascii="宋体" w:hAnsi="宋体" w:cs="宋体"/>
                <w:b/>
                <w:bCs/>
                <w:spacing w:val="-4"/>
                <w:szCs w:val="21"/>
              </w:rPr>
              <w:t>及性能说明</w:t>
            </w:r>
          </w:p>
        </w:tc>
        <w:tc>
          <w:tcPr>
            <w:tcW w:w="1614" w:type="dxa"/>
            <w:tcBorders>
              <w:top w:val="single" w:color="auto" w:sz="4" w:space="0"/>
              <w:left w:val="nil"/>
              <w:bottom w:val="single" w:color="auto" w:sz="4" w:space="0"/>
              <w:right w:val="single" w:color="auto" w:sz="4" w:space="0"/>
            </w:tcBorders>
            <w:noWrap/>
            <w:vAlign w:val="center"/>
          </w:tcPr>
          <w:p w14:paraId="39F18BF1">
            <w:pPr>
              <w:jc w:val="center"/>
              <w:rPr>
                <w:rFonts w:ascii="宋体" w:hAnsi="宋体" w:cs="宋体"/>
                <w:b/>
                <w:bCs/>
                <w:spacing w:val="-4"/>
                <w:szCs w:val="21"/>
              </w:rPr>
            </w:pPr>
            <w:r>
              <w:rPr>
                <w:rFonts w:hint="eastAsia" w:ascii="宋体" w:hAnsi="宋体" w:cs="宋体"/>
                <w:b/>
                <w:bCs/>
                <w:spacing w:val="-4"/>
                <w:szCs w:val="21"/>
              </w:rPr>
              <w:t>相关证明材料页码</w:t>
            </w:r>
          </w:p>
        </w:tc>
        <w:tc>
          <w:tcPr>
            <w:tcW w:w="1440" w:type="dxa"/>
            <w:tcBorders>
              <w:top w:val="single" w:color="auto" w:sz="4" w:space="0"/>
              <w:left w:val="nil"/>
              <w:bottom w:val="single" w:color="auto" w:sz="4" w:space="0"/>
              <w:right w:val="single" w:color="auto" w:sz="4" w:space="0"/>
            </w:tcBorders>
            <w:noWrap/>
            <w:vAlign w:val="center"/>
          </w:tcPr>
          <w:p w14:paraId="4E3B4C3E">
            <w:pPr>
              <w:jc w:val="center"/>
              <w:rPr>
                <w:rFonts w:ascii="宋体" w:hAnsi="宋体" w:cs="宋体"/>
                <w:b/>
                <w:bCs/>
                <w:spacing w:val="-4"/>
                <w:szCs w:val="21"/>
              </w:rPr>
            </w:pPr>
            <w:r>
              <w:rPr>
                <w:rFonts w:hint="eastAsia" w:ascii="宋体" w:hAnsi="宋体" w:cs="宋体"/>
                <w:b/>
                <w:bCs/>
                <w:spacing w:val="-4"/>
                <w:szCs w:val="21"/>
              </w:rPr>
              <w:t>偏离情况及说明</w:t>
            </w:r>
          </w:p>
        </w:tc>
      </w:tr>
      <w:tr w14:paraId="5D8AC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78" w:type="dxa"/>
            <w:tcBorders>
              <w:top w:val="single" w:color="auto" w:sz="4" w:space="0"/>
              <w:left w:val="single" w:color="auto" w:sz="4" w:space="0"/>
              <w:bottom w:val="single" w:color="auto" w:sz="4" w:space="0"/>
              <w:right w:val="single" w:color="auto" w:sz="4" w:space="0"/>
            </w:tcBorders>
            <w:noWrap/>
            <w:vAlign w:val="center"/>
          </w:tcPr>
          <w:p w14:paraId="3804FD97">
            <w:pPr>
              <w:jc w:val="center"/>
              <w:rPr>
                <w:rFonts w:ascii="宋体" w:hAnsi="宋体" w:cs="宋体"/>
                <w:szCs w:val="21"/>
              </w:rPr>
            </w:pPr>
            <w:r>
              <w:rPr>
                <w:rFonts w:hint="eastAsia" w:ascii="宋体" w:hAnsi="宋体" w:cs="宋体"/>
                <w:szCs w:val="21"/>
              </w:rPr>
              <w:t>1</w:t>
            </w:r>
          </w:p>
        </w:tc>
        <w:tc>
          <w:tcPr>
            <w:tcW w:w="915" w:type="dxa"/>
            <w:tcBorders>
              <w:top w:val="single" w:color="auto" w:sz="4" w:space="0"/>
              <w:left w:val="nil"/>
              <w:bottom w:val="single" w:color="auto" w:sz="4" w:space="0"/>
              <w:right w:val="single" w:color="auto" w:sz="4" w:space="0"/>
            </w:tcBorders>
            <w:noWrap/>
            <w:vAlign w:val="center"/>
          </w:tcPr>
          <w:p w14:paraId="059B6EFA">
            <w:pPr>
              <w:jc w:val="center"/>
              <w:rPr>
                <w:rFonts w:ascii="宋体" w:hAnsi="宋体" w:cs="宋体"/>
                <w:szCs w:val="21"/>
              </w:rPr>
            </w:pPr>
          </w:p>
        </w:tc>
        <w:tc>
          <w:tcPr>
            <w:tcW w:w="566" w:type="dxa"/>
            <w:tcBorders>
              <w:top w:val="single" w:color="auto" w:sz="4" w:space="0"/>
              <w:left w:val="nil"/>
              <w:bottom w:val="single" w:color="auto" w:sz="4" w:space="0"/>
              <w:right w:val="single" w:color="auto" w:sz="4" w:space="0"/>
            </w:tcBorders>
            <w:noWrap/>
            <w:vAlign w:val="center"/>
          </w:tcPr>
          <w:p w14:paraId="6B50EFAA">
            <w:pPr>
              <w:jc w:val="center"/>
              <w:rPr>
                <w:rFonts w:ascii="宋体" w:hAnsi="宋体" w:cs="宋体"/>
                <w:szCs w:val="21"/>
              </w:rPr>
            </w:pPr>
          </w:p>
        </w:tc>
        <w:tc>
          <w:tcPr>
            <w:tcW w:w="566" w:type="dxa"/>
            <w:tcBorders>
              <w:top w:val="single" w:color="auto" w:sz="4" w:space="0"/>
              <w:left w:val="nil"/>
              <w:bottom w:val="single" w:color="auto" w:sz="4" w:space="0"/>
              <w:right w:val="single" w:color="auto" w:sz="4" w:space="0"/>
            </w:tcBorders>
            <w:noWrap/>
            <w:vAlign w:val="center"/>
          </w:tcPr>
          <w:p w14:paraId="0E63E38F">
            <w:pPr>
              <w:jc w:val="center"/>
              <w:rPr>
                <w:rFonts w:ascii="宋体" w:hAnsi="宋体" w:cs="宋体"/>
                <w:szCs w:val="21"/>
              </w:rPr>
            </w:pPr>
          </w:p>
        </w:tc>
        <w:tc>
          <w:tcPr>
            <w:tcW w:w="2837" w:type="dxa"/>
            <w:tcBorders>
              <w:top w:val="single" w:color="auto" w:sz="4" w:space="0"/>
              <w:left w:val="nil"/>
              <w:bottom w:val="single" w:color="auto" w:sz="4" w:space="0"/>
              <w:right w:val="single" w:color="auto" w:sz="4" w:space="0"/>
            </w:tcBorders>
            <w:noWrap/>
            <w:vAlign w:val="center"/>
          </w:tcPr>
          <w:p w14:paraId="7552F633">
            <w:pPr>
              <w:jc w:val="center"/>
              <w:rPr>
                <w:rFonts w:ascii="宋体" w:hAnsi="宋体" w:cs="宋体"/>
                <w:kern w:val="0"/>
                <w:szCs w:val="21"/>
              </w:rPr>
            </w:pPr>
          </w:p>
        </w:tc>
        <w:tc>
          <w:tcPr>
            <w:tcW w:w="1264" w:type="dxa"/>
            <w:tcBorders>
              <w:top w:val="single" w:color="auto" w:sz="4" w:space="0"/>
              <w:left w:val="nil"/>
              <w:bottom w:val="single" w:color="auto" w:sz="4" w:space="0"/>
              <w:right w:val="single" w:color="auto" w:sz="4" w:space="0"/>
            </w:tcBorders>
            <w:noWrap/>
            <w:vAlign w:val="center"/>
          </w:tcPr>
          <w:p w14:paraId="7F34DE71">
            <w:pPr>
              <w:jc w:val="center"/>
              <w:rPr>
                <w:rFonts w:ascii="宋体" w:hAnsi="宋体" w:cs="宋体"/>
                <w:szCs w:val="21"/>
              </w:rPr>
            </w:pPr>
          </w:p>
        </w:tc>
        <w:tc>
          <w:tcPr>
            <w:tcW w:w="1614" w:type="dxa"/>
            <w:tcBorders>
              <w:top w:val="single" w:color="auto" w:sz="4" w:space="0"/>
              <w:left w:val="nil"/>
              <w:bottom w:val="single" w:color="auto" w:sz="4" w:space="0"/>
              <w:right w:val="single" w:color="auto" w:sz="4" w:space="0"/>
            </w:tcBorders>
            <w:noWrap/>
            <w:vAlign w:val="center"/>
          </w:tcPr>
          <w:p w14:paraId="3B863DA6">
            <w:pPr>
              <w:jc w:val="center"/>
              <w:rPr>
                <w:rFonts w:ascii="宋体" w:hAnsi="宋体" w:cs="宋体"/>
                <w:szCs w:val="21"/>
              </w:rPr>
            </w:pPr>
          </w:p>
        </w:tc>
        <w:tc>
          <w:tcPr>
            <w:tcW w:w="1440" w:type="dxa"/>
            <w:tcBorders>
              <w:top w:val="single" w:color="auto" w:sz="4" w:space="0"/>
              <w:left w:val="nil"/>
              <w:bottom w:val="single" w:color="auto" w:sz="4" w:space="0"/>
              <w:right w:val="single" w:color="auto" w:sz="4" w:space="0"/>
            </w:tcBorders>
            <w:noWrap/>
            <w:vAlign w:val="center"/>
          </w:tcPr>
          <w:p w14:paraId="7ABCB691">
            <w:pPr>
              <w:jc w:val="center"/>
              <w:rPr>
                <w:rFonts w:ascii="宋体" w:hAnsi="宋体" w:cs="宋体"/>
                <w:szCs w:val="21"/>
              </w:rPr>
            </w:pPr>
          </w:p>
        </w:tc>
      </w:tr>
      <w:tr w14:paraId="7712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78" w:type="dxa"/>
            <w:tcBorders>
              <w:top w:val="single" w:color="auto" w:sz="4" w:space="0"/>
              <w:left w:val="single" w:color="auto" w:sz="4" w:space="0"/>
              <w:bottom w:val="single" w:color="auto" w:sz="4" w:space="0"/>
              <w:right w:val="single" w:color="auto" w:sz="4" w:space="0"/>
            </w:tcBorders>
            <w:noWrap/>
            <w:vAlign w:val="center"/>
          </w:tcPr>
          <w:p w14:paraId="110476D5">
            <w:pPr>
              <w:jc w:val="center"/>
              <w:rPr>
                <w:rFonts w:ascii="宋体" w:hAnsi="宋体" w:cs="宋体"/>
                <w:szCs w:val="21"/>
              </w:rPr>
            </w:pPr>
            <w:r>
              <w:rPr>
                <w:rFonts w:hint="eastAsia" w:ascii="宋体" w:hAnsi="宋体" w:cs="宋体"/>
                <w:szCs w:val="21"/>
              </w:rPr>
              <w:t>2</w:t>
            </w:r>
          </w:p>
        </w:tc>
        <w:tc>
          <w:tcPr>
            <w:tcW w:w="915" w:type="dxa"/>
            <w:tcBorders>
              <w:top w:val="single" w:color="auto" w:sz="4" w:space="0"/>
              <w:left w:val="nil"/>
              <w:bottom w:val="single" w:color="auto" w:sz="4" w:space="0"/>
              <w:right w:val="single" w:color="auto" w:sz="4" w:space="0"/>
            </w:tcBorders>
            <w:noWrap/>
            <w:vAlign w:val="center"/>
          </w:tcPr>
          <w:p w14:paraId="0938736B">
            <w:pPr>
              <w:jc w:val="center"/>
              <w:rPr>
                <w:rFonts w:ascii="宋体" w:hAnsi="宋体" w:cs="宋体"/>
                <w:szCs w:val="21"/>
              </w:rPr>
            </w:pPr>
          </w:p>
        </w:tc>
        <w:tc>
          <w:tcPr>
            <w:tcW w:w="566" w:type="dxa"/>
            <w:tcBorders>
              <w:top w:val="single" w:color="auto" w:sz="4" w:space="0"/>
              <w:left w:val="nil"/>
              <w:bottom w:val="single" w:color="auto" w:sz="4" w:space="0"/>
              <w:right w:val="single" w:color="auto" w:sz="4" w:space="0"/>
            </w:tcBorders>
            <w:noWrap/>
            <w:vAlign w:val="center"/>
          </w:tcPr>
          <w:p w14:paraId="723AEAE2">
            <w:pPr>
              <w:jc w:val="center"/>
              <w:rPr>
                <w:rFonts w:ascii="宋体" w:hAnsi="宋体" w:cs="宋体"/>
                <w:szCs w:val="21"/>
              </w:rPr>
            </w:pPr>
          </w:p>
        </w:tc>
        <w:tc>
          <w:tcPr>
            <w:tcW w:w="566" w:type="dxa"/>
            <w:tcBorders>
              <w:top w:val="single" w:color="auto" w:sz="4" w:space="0"/>
              <w:left w:val="nil"/>
              <w:bottom w:val="single" w:color="auto" w:sz="4" w:space="0"/>
              <w:right w:val="single" w:color="auto" w:sz="4" w:space="0"/>
            </w:tcBorders>
            <w:noWrap/>
            <w:vAlign w:val="center"/>
          </w:tcPr>
          <w:p w14:paraId="6757B36A">
            <w:pPr>
              <w:jc w:val="center"/>
              <w:rPr>
                <w:rFonts w:ascii="宋体" w:hAnsi="宋体" w:cs="宋体"/>
                <w:szCs w:val="21"/>
              </w:rPr>
            </w:pPr>
          </w:p>
        </w:tc>
        <w:tc>
          <w:tcPr>
            <w:tcW w:w="2837" w:type="dxa"/>
            <w:tcBorders>
              <w:top w:val="single" w:color="auto" w:sz="4" w:space="0"/>
              <w:left w:val="nil"/>
              <w:bottom w:val="single" w:color="auto" w:sz="4" w:space="0"/>
              <w:right w:val="single" w:color="auto" w:sz="4" w:space="0"/>
            </w:tcBorders>
            <w:noWrap/>
            <w:vAlign w:val="center"/>
          </w:tcPr>
          <w:p w14:paraId="20D53002">
            <w:pPr>
              <w:jc w:val="center"/>
              <w:rPr>
                <w:rFonts w:ascii="宋体" w:hAnsi="宋体" w:cs="宋体"/>
                <w:szCs w:val="21"/>
              </w:rPr>
            </w:pPr>
          </w:p>
        </w:tc>
        <w:tc>
          <w:tcPr>
            <w:tcW w:w="1264" w:type="dxa"/>
            <w:tcBorders>
              <w:top w:val="single" w:color="auto" w:sz="4" w:space="0"/>
              <w:left w:val="nil"/>
              <w:bottom w:val="single" w:color="auto" w:sz="4" w:space="0"/>
              <w:right w:val="single" w:color="auto" w:sz="4" w:space="0"/>
            </w:tcBorders>
            <w:noWrap/>
            <w:vAlign w:val="center"/>
          </w:tcPr>
          <w:p w14:paraId="402C3F53">
            <w:pPr>
              <w:jc w:val="center"/>
              <w:rPr>
                <w:rFonts w:ascii="宋体" w:hAnsi="宋体" w:cs="宋体"/>
                <w:szCs w:val="21"/>
              </w:rPr>
            </w:pPr>
          </w:p>
        </w:tc>
        <w:tc>
          <w:tcPr>
            <w:tcW w:w="1614" w:type="dxa"/>
            <w:tcBorders>
              <w:top w:val="single" w:color="auto" w:sz="4" w:space="0"/>
              <w:left w:val="nil"/>
              <w:bottom w:val="single" w:color="auto" w:sz="4" w:space="0"/>
              <w:right w:val="single" w:color="auto" w:sz="4" w:space="0"/>
            </w:tcBorders>
            <w:noWrap/>
            <w:vAlign w:val="center"/>
          </w:tcPr>
          <w:p w14:paraId="618FDEE3">
            <w:pPr>
              <w:jc w:val="center"/>
              <w:rPr>
                <w:rFonts w:ascii="宋体" w:hAnsi="宋体" w:cs="宋体"/>
                <w:szCs w:val="21"/>
              </w:rPr>
            </w:pPr>
          </w:p>
        </w:tc>
        <w:tc>
          <w:tcPr>
            <w:tcW w:w="1440" w:type="dxa"/>
            <w:tcBorders>
              <w:top w:val="single" w:color="auto" w:sz="4" w:space="0"/>
              <w:left w:val="nil"/>
              <w:bottom w:val="single" w:color="auto" w:sz="4" w:space="0"/>
              <w:right w:val="single" w:color="auto" w:sz="4" w:space="0"/>
            </w:tcBorders>
            <w:noWrap/>
            <w:vAlign w:val="center"/>
          </w:tcPr>
          <w:p w14:paraId="163D0EE0">
            <w:pPr>
              <w:jc w:val="center"/>
              <w:rPr>
                <w:rFonts w:ascii="宋体" w:hAnsi="宋体" w:cs="宋体"/>
                <w:szCs w:val="21"/>
              </w:rPr>
            </w:pPr>
          </w:p>
        </w:tc>
      </w:tr>
      <w:tr w14:paraId="63D7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78" w:type="dxa"/>
            <w:tcBorders>
              <w:top w:val="single" w:color="auto" w:sz="4" w:space="0"/>
              <w:left w:val="single" w:color="auto" w:sz="4" w:space="0"/>
              <w:bottom w:val="single" w:color="auto" w:sz="4" w:space="0"/>
              <w:right w:val="single" w:color="auto" w:sz="4" w:space="0"/>
            </w:tcBorders>
            <w:noWrap/>
            <w:vAlign w:val="center"/>
          </w:tcPr>
          <w:p w14:paraId="4A80DD68">
            <w:pPr>
              <w:jc w:val="center"/>
              <w:rPr>
                <w:rFonts w:ascii="宋体" w:hAnsi="宋体" w:cs="宋体"/>
                <w:szCs w:val="21"/>
              </w:rPr>
            </w:pPr>
            <w:r>
              <w:rPr>
                <w:rFonts w:hint="eastAsia" w:ascii="宋体" w:hAnsi="宋体" w:cs="宋体"/>
                <w:szCs w:val="21"/>
              </w:rPr>
              <w:t>3</w:t>
            </w:r>
          </w:p>
        </w:tc>
        <w:tc>
          <w:tcPr>
            <w:tcW w:w="915" w:type="dxa"/>
            <w:tcBorders>
              <w:top w:val="single" w:color="auto" w:sz="4" w:space="0"/>
              <w:left w:val="nil"/>
              <w:bottom w:val="single" w:color="auto" w:sz="4" w:space="0"/>
              <w:right w:val="single" w:color="auto" w:sz="4" w:space="0"/>
            </w:tcBorders>
            <w:noWrap/>
            <w:vAlign w:val="center"/>
          </w:tcPr>
          <w:p w14:paraId="3974A9FE">
            <w:pPr>
              <w:jc w:val="center"/>
              <w:rPr>
                <w:rFonts w:ascii="宋体" w:hAnsi="宋体" w:cs="宋体"/>
                <w:szCs w:val="21"/>
              </w:rPr>
            </w:pPr>
          </w:p>
        </w:tc>
        <w:tc>
          <w:tcPr>
            <w:tcW w:w="566" w:type="dxa"/>
            <w:tcBorders>
              <w:top w:val="single" w:color="auto" w:sz="4" w:space="0"/>
              <w:left w:val="nil"/>
              <w:bottom w:val="single" w:color="auto" w:sz="4" w:space="0"/>
              <w:right w:val="single" w:color="auto" w:sz="4" w:space="0"/>
            </w:tcBorders>
            <w:noWrap/>
            <w:vAlign w:val="center"/>
          </w:tcPr>
          <w:p w14:paraId="45BAAC16">
            <w:pPr>
              <w:jc w:val="center"/>
              <w:rPr>
                <w:rFonts w:ascii="宋体" w:hAnsi="宋体" w:cs="宋体"/>
                <w:szCs w:val="21"/>
              </w:rPr>
            </w:pPr>
          </w:p>
        </w:tc>
        <w:tc>
          <w:tcPr>
            <w:tcW w:w="566" w:type="dxa"/>
            <w:tcBorders>
              <w:top w:val="single" w:color="auto" w:sz="4" w:space="0"/>
              <w:left w:val="nil"/>
              <w:bottom w:val="single" w:color="auto" w:sz="4" w:space="0"/>
              <w:right w:val="single" w:color="auto" w:sz="4" w:space="0"/>
            </w:tcBorders>
            <w:noWrap/>
            <w:vAlign w:val="center"/>
          </w:tcPr>
          <w:p w14:paraId="143D01A2">
            <w:pPr>
              <w:jc w:val="center"/>
              <w:rPr>
                <w:rFonts w:ascii="宋体" w:hAnsi="宋体" w:cs="宋体"/>
                <w:szCs w:val="21"/>
              </w:rPr>
            </w:pPr>
          </w:p>
        </w:tc>
        <w:tc>
          <w:tcPr>
            <w:tcW w:w="2837" w:type="dxa"/>
            <w:tcBorders>
              <w:top w:val="single" w:color="auto" w:sz="4" w:space="0"/>
              <w:left w:val="nil"/>
              <w:bottom w:val="single" w:color="auto" w:sz="4" w:space="0"/>
              <w:right w:val="single" w:color="auto" w:sz="4" w:space="0"/>
            </w:tcBorders>
            <w:noWrap/>
            <w:vAlign w:val="center"/>
          </w:tcPr>
          <w:p w14:paraId="231295C2">
            <w:pPr>
              <w:jc w:val="center"/>
              <w:rPr>
                <w:rFonts w:ascii="宋体" w:hAnsi="宋体" w:cs="宋体"/>
                <w:kern w:val="0"/>
                <w:szCs w:val="21"/>
              </w:rPr>
            </w:pPr>
          </w:p>
        </w:tc>
        <w:tc>
          <w:tcPr>
            <w:tcW w:w="1264" w:type="dxa"/>
            <w:tcBorders>
              <w:top w:val="single" w:color="auto" w:sz="4" w:space="0"/>
              <w:left w:val="nil"/>
              <w:bottom w:val="single" w:color="auto" w:sz="4" w:space="0"/>
              <w:right w:val="single" w:color="auto" w:sz="4" w:space="0"/>
            </w:tcBorders>
            <w:noWrap/>
            <w:vAlign w:val="center"/>
          </w:tcPr>
          <w:p w14:paraId="543D8081">
            <w:pPr>
              <w:jc w:val="center"/>
              <w:rPr>
                <w:rFonts w:ascii="宋体" w:hAnsi="宋体" w:cs="宋体"/>
                <w:szCs w:val="21"/>
              </w:rPr>
            </w:pPr>
          </w:p>
        </w:tc>
        <w:tc>
          <w:tcPr>
            <w:tcW w:w="1614" w:type="dxa"/>
            <w:tcBorders>
              <w:top w:val="single" w:color="auto" w:sz="4" w:space="0"/>
              <w:left w:val="nil"/>
              <w:bottom w:val="single" w:color="auto" w:sz="4" w:space="0"/>
              <w:right w:val="single" w:color="auto" w:sz="4" w:space="0"/>
            </w:tcBorders>
            <w:noWrap/>
            <w:vAlign w:val="center"/>
          </w:tcPr>
          <w:p w14:paraId="563F01A7">
            <w:pPr>
              <w:jc w:val="center"/>
              <w:rPr>
                <w:rFonts w:ascii="宋体" w:hAnsi="宋体" w:cs="宋体"/>
                <w:szCs w:val="21"/>
              </w:rPr>
            </w:pPr>
          </w:p>
        </w:tc>
        <w:tc>
          <w:tcPr>
            <w:tcW w:w="1440" w:type="dxa"/>
            <w:tcBorders>
              <w:top w:val="single" w:color="auto" w:sz="4" w:space="0"/>
              <w:left w:val="nil"/>
              <w:bottom w:val="single" w:color="auto" w:sz="4" w:space="0"/>
              <w:right w:val="single" w:color="auto" w:sz="4" w:space="0"/>
            </w:tcBorders>
            <w:noWrap/>
            <w:vAlign w:val="center"/>
          </w:tcPr>
          <w:p w14:paraId="541DA886">
            <w:pPr>
              <w:jc w:val="center"/>
              <w:rPr>
                <w:rFonts w:ascii="宋体" w:hAnsi="宋体" w:cs="宋体"/>
                <w:szCs w:val="21"/>
              </w:rPr>
            </w:pPr>
          </w:p>
        </w:tc>
      </w:tr>
      <w:tr w14:paraId="5121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78" w:type="dxa"/>
            <w:tcBorders>
              <w:top w:val="single" w:color="auto" w:sz="4" w:space="0"/>
              <w:left w:val="single" w:color="auto" w:sz="4" w:space="0"/>
              <w:bottom w:val="single" w:color="auto" w:sz="4" w:space="0"/>
              <w:right w:val="single" w:color="auto" w:sz="4" w:space="0"/>
            </w:tcBorders>
            <w:noWrap/>
            <w:vAlign w:val="center"/>
          </w:tcPr>
          <w:p w14:paraId="529AF542">
            <w:pPr>
              <w:jc w:val="center"/>
              <w:rPr>
                <w:rFonts w:ascii="宋体" w:hAnsi="宋体" w:cs="宋体"/>
                <w:szCs w:val="21"/>
              </w:rPr>
            </w:pPr>
            <w:r>
              <w:rPr>
                <w:rFonts w:hint="eastAsia" w:ascii="宋体" w:hAnsi="宋体" w:cs="宋体"/>
                <w:szCs w:val="21"/>
              </w:rPr>
              <w:t>……</w:t>
            </w:r>
          </w:p>
        </w:tc>
        <w:tc>
          <w:tcPr>
            <w:tcW w:w="915" w:type="dxa"/>
            <w:tcBorders>
              <w:top w:val="single" w:color="auto" w:sz="4" w:space="0"/>
              <w:left w:val="nil"/>
              <w:bottom w:val="single" w:color="auto" w:sz="4" w:space="0"/>
              <w:right w:val="single" w:color="auto" w:sz="4" w:space="0"/>
            </w:tcBorders>
            <w:noWrap/>
            <w:vAlign w:val="center"/>
          </w:tcPr>
          <w:p w14:paraId="3137A279">
            <w:pPr>
              <w:jc w:val="center"/>
              <w:rPr>
                <w:rFonts w:ascii="宋体" w:hAnsi="宋体" w:cs="宋体"/>
                <w:szCs w:val="21"/>
              </w:rPr>
            </w:pPr>
          </w:p>
        </w:tc>
        <w:tc>
          <w:tcPr>
            <w:tcW w:w="566" w:type="dxa"/>
            <w:tcBorders>
              <w:top w:val="single" w:color="auto" w:sz="4" w:space="0"/>
              <w:left w:val="nil"/>
              <w:bottom w:val="single" w:color="auto" w:sz="4" w:space="0"/>
              <w:right w:val="single" w:color="auto" w:sz="4" w:space="0"/>
            </w:tcBorders>
            <w:noWrap/>
            <w:vAlign w:val="center"/>
          </w:tcPr>
          <w:p w14:paraId="659BAACF">
            <w:pPr>
              <w:jc w:val="center"/>
              <w:rPr>
                <w:rFonts w:ascii="宋体" w:hAnsi="宋体" w:cs="宋体"/>
                <w:szCs w:val="21"/>
              </w:rPr>
            </w:pPr>
          </w:p>
        </w:tc>
        <w:tc>
          <w:tcPr>
            <w:tcW w:w="566" w:type="dxa"/>
            <w:tcBorders>
              <w:top w:val="single" w:color="auto" w:sz="4" w:space="0"/>
              <w:left w:val="nil"/>
              <w:bottom w:val="single" w:color="auto" w:sz="4" w:space="0"/>
              <w:right w:val="single" w:color="auto" w:sz="4" w:space="0"/>
            </w:tcBorders>
            <w:noWrap/>
            <w:vAlign w:val="center"/>
          </w:tcPr>
          <w:p w14:paraId="4204BB3E">
            <w:pPr>
              <w:jc w:val="center"/>
              <w:rPr>
                <w:rFonts w:ascii="宋体" w:hAnsi="宋体" w:cs="宋体"/>
                <w:szCs w:val="21"/>
              </w:rPr>
            </w:pPr>
          </w:p>
        </w:tc>
        <w:tc>
          <w:tcPr>
            <w:tcW w:w="2837" w:type="dxa"/>
            <w:tcBorders>
              <w:top w:val="single" w:color="auto" w:sz="4" w:space="0"/>
              <w:left w:val="nil"/>
              <w:bottom w:val="single" w:color="auto" w:sz="4" w:space="0"/>
              <w:right w:val="single" w:color="auto" w:sz="4" w:space="0"/>
            </w:tcBorders>
            <w:noWrap/>
            <w:vAlign w:val="center"/>
          </w:tcPr>
          <w:p w14:paraId="3755AAF9">
            <w:pPr>
              <w:jc w:val="center"/>
              <w:rPr>
                <w:rFonts w:ascii="宋体" w:hAnsi="宋体" w:cs="宋体"/>
                <w:kern w:val="0"/>
                <w:szCs w:val="21"/>
              </w:rPr>
            </w:pPr>
          </w:p>
        </w:tc>
        <w:tc>
          <w:tcPr>
            <w:tcW w:w="1264" w:type="dxa"/>
            <w:tcBorders>
              <w:top w:val="single" w:color="auto" w:sz="4" w:space="0"/>
              <w:left w:val="nil"/>
              <w:bottom w:val="single" w:color="auto" w:sz="4" w:space="0"/>
              <w:right w:val="single" w:color="auto" w:sz="4" w:space="0"/>
            </w:tcBorders>
            <w:noWrap/>
            <w:vAlign w:val="center"/>
          </w:tcPr>
          <w:p w14:paraId="5B824272">
            <w:pPr>
              <w:jc w:val="center"/>
              <w:rPr>
                <w:rFonts w:ascii="宋体" w:hAnsi="宋体" w:cs="宋体"/>
                <w:szCs w:val="21"/>
              </w:rPr>
            </w:pPr>
          </w:p>
        </w:tc>
        <w:tc>
          <w:tcPr>
            <w:tcW w:w="1614" w:type="dxa"/>
            <w:tcBorders>
              <w:top w:val="single" w:color="auto" w:sz="4" w:space="0"/>
              <w:left w:val="nil"/>
              <w:bottom w:val="single" w:color="auto" w:sz="4" w:space="0"/>
              <w:right w:val="single" w:color="auto" w:sz="4" w:space="0"/>
            </w:tcBorders>
            <w:noWrap/>
            <w:vAlign w:val="center"/>
          </w:tcPr>
          <w:p w14:paraId="54DC71FC">
            <w:pPr>
              <w:jc w:val="center"/>
              <w:rPr>
                <w:rFonts w:ascii="宋体" w:hAnsi="宋体" w:cs="宋体"/>
                <w:szCs w:val="21"/>
              </w:rPr>
            </w:pPr>
          </w:p>
        </w:tc>
        <w:tc>
          <w:tcPr>
            <w:tcW w:w="1440" w:type="dxa"/>
            <w:tcBorders>
              <w:top w:val="single" w:color="auto" w:sz="4" w:space="0"/>
              <w:left w:val="nil"/>
              <w:bottom w:val="single" w:color="auto" w:sz="4" w:space="0"/>
              <w:right w:val="single" w:color="auto" w:sz="4" w:space="0"/>
            </w:tcBorders>
            <w:noWrap/>
            <w:vAlign w:val="center"/>
          </w:tcPr>
          <w:p w14:paraId="48729B0B">
            <w:pPr>
              <w:jc w:val="center"/>
              <w:rPr>
                <w:rFonts w:ascii="宋体" w:hAnsi="宋体" w:cs="宋体"/>
                <w:szCs w:val="21"/>
              </w:rPr>
            </w:pPr>
          </w:p>
        </w:tc>
      </w:tr>
    </w:tbl>
    <w:p w14:paraId="129D92FF">
      <w:pPr>
        <w:spacing w:line="360" w:lineRule="auto"/>
        <w:rPr>
          <w:rFonts w:ascii="宋体" w:hAnsi="宋体" w:cs="宋体"/>
          <w:szCs w:val="21"/>
        </w:rPr>
      </w:pPr>
    </w:p>
    <w:p w14:paraId="0654F07F">
      <w:pPr>
        <w:spacing w:line="360" w:lineRule="auto"/>
        <w:rPr>
          <w:rFonts w:ascii="宋体" w:hAnsi="宋体" w:cs="宋体"/>
          <w:b/>
          <w:sz w:val="24"/>
        </w:rPr>
      </w:pPr>
    </w:p>
    <w:p w14:paraId="2E97EE03">
      <w:pPr>
        <w:pStyle w:val="13"/>
        <w:ind w:firstLine="241"/>
        <w:rPr>
          <w:rFonts w:ascii="宋体" w:hAnsi="宋体" w:cs="宋体"/>
          <w:b/>
          <w:sz w:val="24"/>
        </w:rPr>
      </w:pPr>
    </w:p>
    <w:p w14:paraId="12693E18">
      <w:pPr>
        <w:spacing w:line="360" w:lineRule="auto"/>
        <w:rPr>
          <w:rFonts w:ascii="宋体" w:hAnsi="宋体" w:cs="宋体"/>
          <w:b/>
          <w:spacing w:val="20"/>
          <w:szCs w:val="21"/>
        </w:rPr>
      </w:pPr>
    </w:p>
    <w:p w14:paraId="49C70EF9">
      <w:pPr>
        <w:spacing w:line="360" w:lineRule="auto"/>
        <w:rPr>
          <w:rFonts w:ascii="宋体" w:hAnsi="宋体" w:cs="宋体"/>
          <w:szCs w:val="21"/>
        </w:rPr>
      </w:pPr>
      <w:r>
        <w:rPr>
          <w:rFonts w:hint="eastAsia" w:ascii="宋体" w:hAnsi="宋体" w:cs="宋体"/>
          <w:szCs w:val="21"/>
        </w:rPr>
        <w:t xml:space="preserve">投标人名称：（加盖公章）  </w:t>
      </w:r>
    </w:p>
    <w:p w14:paraId="5C1A29F2">
      <w:pPr>
        <w:snapToGrid w:val="0"/>
        <w:spacing w:before="50" w:after="50" w:line="360" w:lineRule="auto"/>
        <w:rPr>
          <w:rFonts w:asciiTheme="minorEastAsia" w:hAnsiTheme="minorEastAsia" w:eastAsiaTheme="minorEastAsia"/>
          <w:szCs w:val="21"/>
        </w:rPr>
      </w:pPr>
      <w:r>
        <w:rPr>
          <w:rFonts w:hint="eastAsia" w:asciiTheme="minorEastAsia" w:hAnsiTheme="minorEastAsia" w:eastAsiaTheme="minorEastAsia"/>
          <w:szCs w:val="21"/>
        </w:rPr>
        <w:t>法定代表人（负责人）（签字或盖章）：</w:t>
      </w:r>
    </w:p>
    <w:p w14:paraId="08F52BDE">
      <w:pPr>
        <w:spacing w:line="360" w:lineRule="auto"/>
        <w:rPr>
          <w:rFonts w:ascii="宋体" w:hAnsi="宋体" w:cs="宋体"/>
          <w:spacing w:val="20"/>
          <w:szCs w:val="21"/>
        </w:rPr>
      </w:pPr>
      <w:r>
        <w:rPr>
          <w:rFonts w:hint="eastAsia" w:ascii="宋体" w:hAnsi="宋体" w:cs="宋体"/>
          <w:spacing w:val="20"/>
          <w:szCs w:val="21"/>
        </w:rPr>
        <w:t>日期：年月日</w:t>
      </w:r>
    </w:p>
    <w:p w14:paraId="0BDC5B17">
      <w:pPr>
        <w:spacing w:line="360" w:lineRule="auto"/>
        <w:rPr>
          <w:rFonts w:ascii="宋体" w:hAnsi="宋体" w:cs="宋体"/>
          <w:b/>
          <w:sz w:val="24"/>
        </w:rPr>
      </w:pPr>
    </w:p>
    <w:p w14:paraId="3AD81E89">
      <w:pPr>
        <w:spacing w:line="360" w:lineRule="auto"/>
        <w:rPr>
          <w:rFonts w:ascii="宋体" w:hAnsi="宋体" w:cs="宋体"/>
          <w:b/>
          <w:sz w:val="24"/>
        </w:rPr>
      </w:pPr>
    </w:p>
    <w:p w14:paraId="1F8BDD69">
      <w:pPr>
        <w:spacing w:line="360" w:lineRule="auto"/>
        <w:rPr>
          <w:rFonts w:ascii="宋体" w:hAnsi="宋体" w:cs="宋体"/>
          <w:b/>
          <w:sz w:val="24"/>
        </w:rPr>
      </w:pPr>
    </w:p>
    <w:p w14:paraId="35583844">
      <w:pPr>
        <w:spacing w:line="360" w:lineRule="auto"/>
        <w:rPr>
          <w:rFonts w:ascii="宋体" w:hAnsi="宋体" w:cs="宋体"/>
          <w:b/>
          <w:sz w:val="24"/>
        </w:rPr>
      </w:pPr>
    </w:p>
    <w:p w14:paraId="0E684F37">
      <w:pPr>
        <w:pStyle w:val="13"/>
        <w:ind w:firstLine="210"/>
      </w:pPr>
    </w:p>
    <w:p w14:paraId="09974D2B">
      <w:pPr>
        <w:pStyle w:val="13"/>
        <w:ind w:firstLine="210"/>
      </w:pPr>
    </w:p>
    <w:p w14:paraId="4A4C6EA1">
      <w:pPr>
        <w:pStyle w:val="13"/>
        <w:ind w:firstLine="210"/>
      </w:pPr>
    </w:p>
    <w:p w14:paraId="0E1CF385">
      <w:pPr>
        <w:pStyle w:val="13"/>
        <w:ind w:firstLine="210"/>
      </w:pPr>
    </w:p>
    <w:p w14:paraId="0DB1E44D">
      <w:pPr>
        <w:pStyle w:val="13"/>
        <w:ind w:firstLine="210"/>
      </w:pPr>
    </w:p>
    <w:p w14:paraId="44D0EE9B">
      <w:pPr>
        <w:pStyle w:val="13"/>
        <w:ind w:firstLine="210"/>
      </w:pPr>
    </w:p>
    <w:p w14:paraId="23E4D5AE">
      <w:pPr>
        <w:pStyle w:val="13"/>
        <w:ind w:firstLine="210"/>
      </w:pPr>
    </w:p>
    <w:p w14:paraId="70300F26">
      <w:pPr>
        <w:pStyle w:val="13"/>
        <w:ind w:firstLine="210"/>
      </w:pPr>
    </w:p>
    <w:p w14:paraId="77F963BD">
      <w:pPr>
        <w:pStyle w:val="13"/>
        <w:ind w:firstLine="210"/>
      </w:pPr>
    </w:p>
    <w:p w14:paraId="57534355">
      <w:pPr>
        <w:pStyle w:val="13"/>
        <w:ind w:firstLine="210"/>
      </w:pPr>
    </w:p>
    <w:p w14:paraId="5561D124">
      <w:pPr>
        <w:pStyle w:val="13"/>
        <w:ind w:firstLine="210"/>
      </w:pPr>
    </w:p>
    <w:p w14:paraId="0A8F21CD">
      <w:pPr>
        <w:widowControl/>
        <w:rPr>
          <w:rFonts w:asciiTheme="minorEastAsia" w:hAnsiTheme="minorEastAsia" w:eastAsiaTheme="minorEastAsia"/>
          <w:b/>
          <w:sz w:val="32"/>
          <w:highlight w:val="yellow"/>
        </w:rPr>
      </w:pPr>
    </w:p>
    <w:p w14:paraId="17F5EBEE">
      <w:pPr>
        <w:widowControl/>
        <w:ind w:firstLine="2570" w:firstLineChars="800"/>
        <w:rPr>
          <w:rFonts w:asciiTheme="minorEastAsia" w:hAnsiTheme="minorEastAsia" w:eastAsiaTheme="minorEastAsia"/>
          <w:b/>
          <w:sz w:val="32"/>
        </w:rPr>
      </w:pPr>
    </w:p>
    <w:p w14:paraId="3B7B3CBA">
      <w:pPr>
        <w:widowControl/>
        <w:ind w:firstLine="2570" w:firstLineChars="800"/>
        <w:rPr>
          <w:rFonts w:ascii="宋体" w:hAnsi="宋体"/>
          <w:b/>
          <w:color w:val="000000" w:themeColor="text1"/>
          <w:sz w:val="32"/>
          <w14:textFill>
            <w14:solidFill>
              <w14:schemeClr w14:val="tx1"/>
            </w14:solidFill>
          </w14:textFill>
        </w:rPr>
      </w:pPr>
      <w:r>
        <w:rPr>
          <w:rFonts w:hint="eastAsia" w:asciiTheme="minorEastAsia" w:hAnsiTheme="minorEastAsia" w:eastAsiaTheme="minorEastAsia"/>
          <w:b/>
          <w:sz w:val="32"/>
        </w:rPr>
        <w:t>十</w:t>
      </w:r>
      <w:r>
        <w:rPr>
          <w:rFonts w:hint="eastAsia" w:asciiTheme="minorEastAsia" w:hAnsiTheme="minorEastAsia" w:eastAsiaTheme="minorEastAsia"/>
          <w:b/>
          <w:sz w:val="32"/>
          <w:lang w:val="en-US" w:eastAsia="zh-CN"/>
        </w:rPr>
        <w:t>一</w:t>
      </w:r>
      <w:r>
        <w:rPr>
          <w:rFonts w:hint="eastAsia" w:asciiTheme="minorEastAsia" w:hAnsiTheme="minorEastAsia" w:eastAsiaTheme="minorEastAsia"/>
          <w:b/>
          <w:sz w:val="32"/>
        </w:rPr>
        <w:t>、</w:t>
      </w:r>
      <w:r>
        <w:rPr>
          <w:rFonts w:hint="eastAsia" w:ascii="宋体" w:hAnsi="宋体"/>
          <w:b/>
          <w:sz w:val="32"/>
        </w:rPr>
        <w:t>中小企业声明</w:t>
      </w:r>
      <w:r>
        <w:rPr>
          <w:rFonts w:hint="eastAsia" w:ascii="宋体" w:hAnsi="宋体"/>
          <w:b/>
          <w:color w:val="000000" w:themeColor="text1"/>
          <w:sz w:val="32"/>
          <w14:textFill>
            <w14:solidFill>
              <w14:schemeClr w14:val="tx1"/>
            </w14:solidFill>
          </w14:textFill>
        </w:rPr>
        <w:t>函（货物）</w:t>
      </w:r>
    </w:p>
    <w:p w14:paraId="1A9B1DC3">
      <w:pPr>
        <w:pStyle w:val="15"/>
        <w:ind w:firstLine="0"/>
      </w:pPr>
    </w:p>
    <w:p w14:paraId="4A7E534B">
      <w:pPr>
        <w:widowControl/>
        <w:spacing w:line="480" w:lineRule="auto"/>
        <w:ind w:firstLine="420" w:firstLineChars="200"/>
        <w:rPr>
          <w:rFonts w:ascii="宋体" w:hAnsi="宋体" w:cs="宋体"/>
          <w:szCs w:val="21"/>
        </w:rPr>
      </w:pPr>
      <w:r>
        <w:rPr>
          <w:rFonts w:hint="eastAsia" w:ascii="宋体" w:hAnsi="宋体" w:cs="宋体"/>
          <w:kern w:val="0"/>
          <w:szCs w:val="21"/>
        </w:rPr>
        <w:t>本公司郑重声明，根据《政府采购促进中小企业发展管理办法》（财库﹝2020﹞46 号）的规定，本公司参加</w:t>
      </w:r>
      <w:r>
        <w:rPr>
          <w:rFonts w:hint="eastAsia" w:ascii="宋体" w:hAnsi="宋体" w:cs="宋体"/>
          <w:kern w:val="0"/>
          <w:szCs w:val="21"/>
          <w:u w:val="single"/>
        </w:rPr>
        <w:t>（单位名称）</w:t>
      </w:r>
      <w:r>
        <w:rPr>
          <w:rFonts w:hint="eastAsia" w:ascii="宋体" w:hAnsi="宋体" w:cs="宋体"/>
          <w:kern w:val="0"/>
          <w:szCs w:val="21"/>
        </w:rPr>
        <w:t>的</w:t>
      </w:r>
      <w:r>
        <w:rPr>
          <w:rFonts w:hint="eastAsia" w:ascii="宋体" w:hAnsi="宋体" w:cs="宋体"/>
          <w:kern w:val="0"/>
          <w:szCs w:val="21"/>
          <w:u w:val="single"/>
        </w:rPr>
        <w:t>（项目名称）</w:t>
      </w:r>
      <w:r>
        <w:rPr>
          <w:rFonts w:hint="eastAsia" w:ascii="宋体" w:hAnsi="宋体" w:cs="宋体"/>
          <w:kern w:val="0"/>
          <w:szCs w:val="21"/>
        </w:rPr>
        <w:t>采购活动，提供的货物全部由符合政策要求的中小企业制造。相关企业的具体情况如下：</w:t>
      </w:r>
    </w:p>
    <w:p w14:paraId="7793BEA3">
      <w:pPr>
        <w:widowControl/>
        <w:spacing w:line="480" w:lineRule="auto"/>
        <w:ind w:firstLine="420" w:firstLineChars="200"/>
        <w:rPr>
          <w:rFonts w:ascii="宋体" w:hAnsi="宋体" w:cs="宋体"/>
          <w:szCs w:val="21"/>
        </w:rPr>
      </w:pPr>
      <w:r>
        <w:rPr>
          <w:rFonts w:hint="eastAsia" w:ascii="宋体" w:hAnsi="宋体" w:cs="宋体"/>
          <w:kern w:val="0"/>
          <w:szCs w:val="21"/>
        </w:rPr>
        <w:t>1.</w:t>
      </w:r>
      <w:r>
        <w:rPr>
          <w:rFonts w:hint="eastAsia" w:ascii="宋体" w:hAnsi="宋体" w:cs="宋体"/>
          <w:kern w:val="0"/>
          <w:szCs w:val="21"/>
          <w:u w:val="single"/>
        </w:rPr>
        <w:t>（标的名称）</w:t>
      </w:r>
      <w:r>
        <w:rPr>
          <w:rFonts w:hint="eastAsia" w:ascii="宋体" w:hAnsi="宋体" w:cs="宋体"/>
          <w:kern w:val="0"/>
          <w:szCs w:val="21"/>
        </w:rPr>
        <w:t>，属于</w:t>
      </w:r>
      <w:r>
        <w:rPr>
          <w:rFonts w:hint="eastAsia" w:ascii="宋体" w:hAnsi="宋体" w:cs="宋体"/>
          <w:kern w:val="0"/>
          <w:szCs w:val="21"/>
          <w:u w:val="single"/>
        </w:rPr>
        <w:t>（采购文件中明确的所属行业）行业</w:t>
      </w:r>
      <w:r>
        <w:rPr>
          <w:rFonts w:hint="eastAsia" w:ascii="宋体" w:hAnsi="宋体" w:cs="宋体"/>
          <w:kern w:val="0"/>
          <w:szCs w:val="21"/>
        </w:rPr>
        <w:t>；制造商为</w:t>
      </w:r>
      <w:r>
        <w:rPr>
          <w:rFonts w:hint="eastAsia" w:ascii="宋体" w:hAnsi="宋体" w:cs="宋体"/>
          <w:kern w:val="0"/>
          <w:szCs w:val="21"/>
          <w:u w:val="single"/>
        </w:rPr>
        <w:t>（企业名称）</w:t>
      </w:r>
      <w:r>
        <w:rPr>
          <w:rFonts w:hint="eastAsia" w:ascii="宋体" w:hAnsi="宋体" w:cs="宋体"/>
          <w:kern w:val="0"/>
          <w:szCs w:val="21"/>
        </w:rPr>
        <w:t>，从业人员人，营业收入为万元，资产总额为万元，属于</w:t>
      </w:r>
      <w:r>
        <w:rPr>
          <w:rFonts w:hint="eastAsia" w:ascii="宋体" w:hAnsi="宋体" w:cs="宋体"/>
          <w:kern w:val="0"/>
          <w:szCs w:val="21"/>
          <w:u w:val="single"/>
        </w:rPr>
        <w:t>（中型企业、小型企业、微型企业）</w:t>
      </w:r>
      <w:r>
        <w:rPr>
          <w:rFonts w:hint="eastAsia" w:ascii="宋体" w:hAnsi="宋体" w:cs="宋体"/>
          <w:kern w:val="0"/>
          <w:szCs w:val="21"/>
        </w:rPr>
        <w:t xml:space="preserve">； </w:t>
      </w:r>
    </w:p>
    <w:p w14:paraId="6DABCED7">
      <w:pPr>
        <w:widowControl/>
        <w:spacing w:line="480" w:lineRule="auto"/>
        <w:ind w:firstLine="420" w:firstLineChars="200"/>
        <w:rPr>
          <w:rFonts w:ascii="宋体" w:hAnsi="宋体" w:cs="宋体"/>
          <w:szCs w:val="21"/>
        </w:rPr>
      </w:pPr>
      <w:r>
        <w:rPr>
          <w:rFonts w:hint="eastAsia" w:ascii="宋体" w:hAnsi="宋体" w:cs="宋体"/>
          <w:kern w:val="0"/>
          <w:szCs w:val="21"/>
        </w:rPr>
        <w:t>2.</w:t>
      </w:r>
      <w:r>
        <w:rPr>
          <w:rFonts w:hint="eastAsia" w:ascii="宋体" w:hAnsi="宋体" w:cs="宋体"/>
          <w:kern w:val="0"/>
          <w:szCs w:val="21"/>
          <w:u w:val="single"/>
        </w:rPr>
        <w:t>（标的名称）</w:t>
      </w:r>
      <w:r>
        <w:rPr>
          <w:rFonts w:hint="eastAsia" w:ascii="宋体" w:hAnsi="宋体" w:cs="宋体"/>
          <w:kern w:val="0"/>
          <w:szCs w:val="21"/>
        </w:rPr>
        <w:t>，属于</w:t>
      </w:r>
      <w:r>
        <w:rPr>
          <w:rFonts w:hint="eastAsia" w:ascii="宋体" w:hAnsi="宋体" w:cs="宋体"/>
          <w:kern w:val="0"/>
          <w:szCs w:val="21"/>
          <w:u w:val="single"/>
        </w:rPr>
        <w:t>（采购文件中明确的所属行业）行业</w:t>
      </w:r>
      <w:r>
        <w:rPr>
          <w:rFonts w:hint="eastAsia" w:ascii="宋体" w:hAnsi="宋体" w:cs="宋体"/>
          <w:kern w:val="0"/>
          <w:szCs w:val="21"/>
        </w:rPr>
        <w:t>；制造商为</w:t>
      </w:r>
      <w:r>
        <w:rPr>
          <w:rFonts w:hint="eastAsia" w:ascii="宋体" w:hAnsi="宋体" w:cs="宋体"/>
          <w:kern w:val="0"/>
          <w:szCs w:val="21"/>
          <w:u w:val="single"/>
        </w:rPr>
        <w:t>（企业名称）</w:t>
      </w:r>
      <w:r>
        <w:rPr>
          <w:rFonts w:hint="eastAsia" w:ascii="宋体" w:hAnsi="宋体" w:cs="宋体"/>
          <w:kern w:val="0"/>
          <w:szCs w:val="21"/>
        </w:rPr>
        <w:t>，从业人员人，营业收入为万元，资产总额为万元，属于</w:t>
      </w:r>
      <w:r>
        <w:rPr>
          <w:rFonts w:hint="eastAsia" w:ascii="宋体" w:hAnsi="宋体" w:cs="宋体"/>
          <w:kern w:val="0"/>
          <w:szCs w:val="21"/>
          <w:u w:val="single"/>
        </w:rPr>
        <w:t>（中型企业、小型企业、微型企业）</w:t>
      </w:r>
      <w:r>
        <w:rPr>
          <w:rFonts w:hint="eastAsia" w:ascii="宋体" w:hAnsi="宋体" w:cs="宋体"/>
          <w:kern w:val="0"/>
          <w:szCs w:val="21"/>
        </w:rPr>
        <w:t xml:space="preserve">； </w:t>
      </w:r>
    </w:p>
    <w:p w14:paraId="3B38E8C8">
      <w:pPr>
        <w:widowControl/>
        <w:spacing w:line="480" w:lineRule="auto"/>
        <w:ind w:firstLine="420" w:firstLineChars="200"/>
        <w:rPr>
          <w:rFonts w:ascii="宋体" w:hAnsi="宋体" w:cs="宋体"/>
          <w:szCs w:val="21"/>
        </w:rPr>
      </w:pPr>
      <w:r>
        <w:rPr>
          <w:rFonts w:hint="eastAsia" w:ascii="宋体" w:hAnsi="宋体" w:cs="宋体"/>
          <w:kern w:val="0"/>
          <w:szCs w:val="21"/>
        </w:rPr>
        <w:t>……</w:t>
      </w:r>
    </w:p>
    <w:p w14:paraId="57500C11">
      <w:pPr>
        <w:widowControl/>
        <w:spacing w:line="480" w:lineRule="auto"/>
        <w:ind w:firstLine="420" w:firstLineChars="200"/>
        <w:rPr>
          <w:rFonts w:ascii="宋体" w:hAnsi="宋体" w:cs="宋体"/>
          <w:szCs w:val="21"/>
        </w:rPr>
      </w:pPr>
      <w:r>
        <w:rPr>
          <w:rFonts w:hint="eastAsia" w:ascii="宋体" w:hAnsi="宋体" w:cs="宋体"/>
          <w:kern w:val="0"/>
          <w:szCs w:val="21"/>
        </w:rPr>
        <w:t>以上企业，不属于大企业的分支机构，不存在控股股东为大企业的情形，也不存在与大企业的负责人为同一人的情形。</w:t>
      </w:r>
    </w:p>
    <w:p w14:paraId="6BB8D776">
      <w:pPr>
        <w:widowControl/>
        <w:spacing w:line="480" w:lineRule="auto"/>
        <w:ind w:firstLine="420" w:firstLineChars="200"/>
        <w:rPr>
          <w:rFonts w:ascii="宋体" w:hAnsi="宋体" w:cs="宋体"/>
          <w:szCs w:val="21"/>
        </w:rPr>
      </w:pPr>
      <w:r>
        <w:rPr>
          <w:rFonts w:hint="eastAsia" w:ascii="宋体" w:hAnsi="宋体" w:cs="宋体"/>
          <w:kern w:val="0"/>
          <w:szCs w:val="21"/>
        </w:rPr>
        <w:t xml:space="preserve">本企业对上述声明内容的真实性负责。如有虚假，将依法承担相应责任。 </w:t>
      </w:r>
    </w:p>
    <w:p w14:paraId="0508E311">
      <w:pPr>
        <w:widowControl/>
        <w:spacing w:line="480" w:lineRule="auto"/>
        <w:ind w:firstLine="2520" w:firstLineChars="1200"/>
        <w:rPr>
          <w:rFonts w:ascii="宋体" w:hAnsi="宋体" w:cs="宋体"/>
          <w:szCs w:val="21"/>
        </w:rPr>
      </w:pPr>
      <w:r>
        <w:rPr>
          <w:rFonts w:hint="eastAsia" w:ascii="宋体" w:hAnsi="宋体" w:cs="宋体"/>
          <w:kern w:val="0"/>
          <w:szCs w:val="21"/>
        </w:rPr>
        <w:t xml:space="preserve">企业名称（盖章）： </w:t>
      </w:r>
    </w:p>
    <w:p w14:paraId="6BF8DDCC">
      <w:pPr>
        <w:widowControl/>
        <w:spacing w:line="480" w:lineRule="auto"/>
        <w:ind w:firstLine="2520" w:firstLineChars="1200"/>
        <w:rPr>
          <w:rFonts w:ascii="宋体" w:hAnsi="宋体" w:cs="宋体"/>
          <w:szCs w:val="21"/>
        </w:rPr>
      </w:pPr>
      <w:r>
        <w:rPr>
          <w:rFonts w:hint="eastAsia" w:ascii="宋体" w:hAnsi="宋体" w:cs="宋体"/>
          <w:kern w:val="0"/>
          <w:szCs w:val="21"/>
        </w:rPr>
        <w:t xml:space="preserve">日 期： </w:t>
      </w:r>
    </w:p>
    <w:p w14:paraId="1816AED4">
      <w:pPr>
        <w:spacing w:line="360" w:lineRule="auto"/>
        <w:rPr>
          <w:rFonts w:ascii="宋体" w:hAnsi="宋体" w:cs="宋体"/>
          <w:b/>
          <w:color w:val="000000"/>
          <w:spacing w:val="20"/>
          <w:szCs w:val="21"/>
        </w:rPr>
      </w:pPr>
      <w:r>
        <w:rPr>
          <w:rFonts w:hint="eastAsia" w:ascii="宋体" w:hAnsi="宋体" w:cs="宋体"/>
          <w:b/>
          <w:color w:val="000000"/>
          <w:spacing w:val="20"/>
          <w:szCs w:val="21"/>
        </w:rPr>
        <w:t>注：1.从业人员、营业收入、资产总额填报上一年度数据，无上一年度数据的新成立企业可不填报。</w:t>
      </w:r>
    </w:p>
    <w:p w14:paraId="41C71010">
      <w:pPr>
        <w:snapToGrid w:val="0"/>
        <w:spacing w:line="360" w:lineRule="auto"/>
        <w:ind w:firstLine="422" w:firstLineChars="200"/>
        <w:rPr>
          <w:rFonts w:ascii="宋体" w:hAnsi="宋体" w:cs="宋体"/>
          <w:b/>
          <w:color w:val="000000"/>
          <w:szCs w:val="21"/>
        </w:rPr>
      </w:pPr>
      <w:r>
        <w:rPr>
          <w:rFonts w:hint="eastAsia" w:ascii="宋体" w:hAnsi="宋体" w:cs="宋体"/>
          <w:b/>
          <w:color w:val="000000"/>
          <w:szCs w:val="21"/>
        </w:rPr>
        <w:t>2.中标、成交供应商享受《政府采购促进中小企业发展管理办法》（财库[2020]46号）规定的中小企业扶持政策的，《中小企业声明函》随中标、成交结果公开。</w:t>
      </w:r>
    </w:p>
    <w:p w14:paraId="3C075FB9">
      <w:pPr>
        <w:snapToGrid w:val="0"/>
        <w:spacing w:line="360" w:lineRule="auto"/>
        <w:ind w:firstLine="422" w:firstLineChars="200"/>
        <w:rPr>
          <w:rFonts w:hint="eastAsia" w:ascii="宋体" w:hAnsi="宋体" w:cs="宋体"/>
          <w:b/>
          <w:color w:val="000000"/>
          <w:szCs w:val="21"/>
        </w:rPr>
      </w:pPr>
      <w:r>
        <w:rPr>
          <w:rFonts w:hint="eastAsia" w:ascii="宋体" w:hAnsi="宋体" w:cs="宋体"/>
          <w:b/>
          <w:color w:val="000000"/>
          <w:szCs w:val="21"/>
        </w:rPr>
        <w:t>3.供应商应当按照《政府采购促进中小企业发展管理办法》（财库[2020]46号）规定和《中小企业划型标准规定》（工信部联企业〔2011〕300号），如实填写并提交《中小企业声明函》。供应商对其声明内容的真实性负责，声明函内容不实的，属于提供虚假材料谋取中标、成交，依照《中华人民共和国政府采购法》等国家有关规定追究相应责任。</w:t>
      </w:r>
    </w:p>
    <w:p w14:paraId="218AD173">
      <w:pPr>
        <w:pStyle w:val="2"/>
        <w:ind w:firstLine="422" w:firstLineChars="200"/>
        <w:rPr>
          <w:rFonts w:hint="eastAsia" w:ascii="宋体" w:hAnsi="宋体" w:eastAsia="宋体" w:cs="宋体"/>
          <w:b/>
          <w:color w:val="000000"/>
          <w:kern w:val="2"/>
          <w:sz w:val="21"/>
          <w:szCs w:val="21"/>
          <w:lang w:val="en-US" w:eastAsia="zh-CN" w:bidi="ar-SA"/>
        </w:rPr>
      </w:pPr>
      <w:r>
        <w:rPr>
          <w:rFonts w:hint="eastAsia" w:ascii="宋体" w:hAnsi="宋体" w:eastAsia="宋体" w:cs="宋体"/>
          <w:b/>
          <w:color w:val="000000"/>
          <w:kern w:val="2"/>
          <w:sz w:val="21"/>
          <w:szCs w:val="21"/>
          <w:lang w:val="en-US" w:eastAsia="zh-CN" w:bidi="ar-SA"/>
        </w:rPr>
        <w:t>4.本项目采购标的对应的中小企业划分标准所属行业：工业。</w:t>
      </w:r>
    </w:p>
    <w:p w14:paraId="2EFACCAF">
      <w:pPr>
        <w:snapToGrid w:val="0"/>
        <w:spacing w:before="50" w:afterLines="50"/>
        <w:jc w:val="left"/>
        <w:rPr>
          <w:rFonts w:ascii="宋体" w:hAnsi="宋体" w:cs="宋体"/>
          <w:b/>
          <w:color w:val="000000" w:themeColor="text1"/>
          <w:szCs w:val="21"/>
          <w14:textFill>
            <w14:solidFill>
              <w14:schemeClr w14:val="tx1"/>
            </w14:solidFill>
          </w14:textFill>
        </w:rPr>
      </w:pPr>
    </w:p>
    <w:p w14:paraId="5C7F1413">
      <w:pPr>
        <w:widowControl/>
        <w:spacing w:line="480" w:lineRule="auto"/>
        <w:ind w:firstLine="420" w:firstLineChars="200"/>
        <w:rPr>
          <w:rFonts w:ascii="宋体" w:hAnsi="宋体" w:cs="宋体"/>
          <w:kern w:val="0"/>
          <w:szCs w:val="21"/>
        </w:rPr>
      </w:pPr>
    </w:p>
    <w:p w14:paraId="24C2A502">
      <w:pPr>
        <w:widowControl/>
        <w:spacing w:line="480" w:lineRule="auto"/>
        <w:ind w:firstLine="420" w:firstLineChars="200"/>
        <w:rPr>
          <w:rFonts w:ascii="宋体" w:hAnsi="宋体" w:cs="宋体"/>
          <w:kern w:val="0"/>
          <w:szCs w:val="21"/>
        </w:rPr>
      </w:pPr>
    </w:p>
    <w:p w14:paraId="0F1CB595">
      <w:pPr>
        <w:pStyle w:val="13"/>
        <w:ind w:firstLine="210"/>
        <w:rPr>
          <w:rFonts w:ascii="宋体" w:hAnsi="宋体" w:cs="宋体"/>
          <w:kern w:val="0"/>
          <w:szCs w:val="21"/>
        </w:rPr>
      </w:pPr>
    </w:p>
    <w:p w14:paraId="6A95F21D">
      <w:pPr>
        <w:pStyle w:val="12"/>
        <w:rPr>
          <w:rFonts w:asciiTheme="minorEastAsia" w:hAnsiTheme="minorEastAsia" w:eastAsiaTheme="minorEastAsia"/>
          <w:b/>
          <w:sz w:val="32"/>
        </w:rPr>
      </w:pPr>
    </w:p>
    <w:p w14:paraId="2CCAEA3C">
      <w:pPr>
        <w:pStyle w:val="12"/>
        <w:jc w:val="center"/>
        <w:rPr>
          <w:rFonts w:asciiTheme="minorEastAsia" w:hAnsiTheme="minorEastAsia" w:eastAsiaTheme="minorEastAsia"/>
          <w:b/>
          <w:sz w:val="32"/>
        </w:rPr>
      </w:pPr>
    </w:p>
    <w:p w14:paraId="4BDE9BF1">
      <w:pPr>
        <w:pStyle w:val="12"/>
        <w:jc w:val="center"/>
        <w:rPr>
          <w:rFonts w:ascii="宋体" w:hAnsi="宋体"/>
          <w:b/>
          <w:color w:val="000000" w:themeColor="text1"/>
          <w:sz w:val="32"/>
          <w14:textFill>
            <w14:solidFill>
              <w14:schemeClr w14:val="tx1"/>
            </w14:solidFill>
          </w14:textFill>
        </w:rPr>
      </w:pPr>
      <w:r>
        <w:rPr>
          <w:rFonts w:hint="eastAsia" w:asciiTheme="minorEastAsia" w:hAnsiTheme="minorEastAsia" w:eastAsiaTheme="minorEastAsia"/>
          <w:b/>
          <w:sz w:val="32"/>
        </w:rPr>
        <w:t>十</w:t>
      </w:r>
      <w:r>
        <w:rPr>
          <w:rFonts w:hint="eastAsia" w:asciiTheme="minorEastAsia" w:hAnsiTheme="minorEastAsia" w:eastAsiaTheme="minorEastAsia"/>
          <w:b/>
          <w:sz w:val="32"/>
          <w:lang w:val="en-US" w:eastAsia="zh-CN"/>
        </w:rPr>
        <w:t>二</w:t>
      </w:r>
      <w:r>
        <w:rPr>
          <w:rFonts w:hint="eastAsia" w:asciiTheme="minorEastAsia" w:hAnsiTheme="minorEastAsia" w:eastAsiaTheme="minorEastAsia"/>
          <w:b/>
          <w:sz w:val="32"/>
        </w:rPr>
        <w:t>、</w:t>
      </w:r>
      <w:r>
        <w:rPr>
          <w:rFonts w:hint="eastAsia" w:ascii="宋体" w:hAnsi="宋体"/>
          <w:b/>
          <w:sz w:val="32"/>
        </w:rPr>
        <w:t>残疾人福利性单位声明</w:t>
      </w:r>
      <w:r>
        <w:rPr>
          <w:rFonts w:hint="eastAsia" w:ascii="宋体" w:hAnsi="宋体"/>
          <w:b/>
          <w:color w:val="000000" w:themeColor="text1"/>
          <w:sz w:val="32"/>
          <w14:textFill>
            <w14:solidFill>
              <w14:schemeClr w14:val="tx1"/>
            </w14:solidFill>
          </w14:textFill>
        </w:rPr>
        <w:t>函（货物）</w:t>
      </w:r>
    </w:p>
    <w:p w14:paraId="639E5648">
      <w:pPr>
        <w:widowControl/>
        <w:spacing w:beforeLines="100" w:line="500" w:lineRule="exact"/>
        <w:ind w:firstLine="601"/>
        <w:rPr>
          <w:rFonts w:ascii="宋体" w:hAnsi="宋体" w:cs="宋体"/>
          <w:szCs w:val="21"/>
        </w:rPr>
      </w:pPr>
      <w:r>
        <w:rPr>
          <w:rFonts w:hint="eastAsia" w:ascii="宋体" w:hAnsi="宋体" w:cs="宋体"/>
          <w:szCs w:val="21"/>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2CAECC15">
      <w:pPr>
        <w:widowControl/>
        <w:spacing w:line="500" w:lineRule="exact"/>
        <w:ind w:firstLine="600"/>
        <w:rPr>
          <w:rFonts w:ascii="宋体" w:hAnsi="宋体" w:cs="宋体"/>
          <w:szCs w:val="21"/>
        </w:rPr>
      </w:pPr>
      <w:r>
        <w:rPr>
          <w:rFonts w:hint="eastAsia" w:ascii="宋体" w:hAnsi="宋体" w:cs="宋体"/>
          <w:szCs w:val="21"/>
        </w:rPr>
        <w:t>本单位对上述声明的真实性负责。如有虚假，将依法承担相应责任。</w:t>
      </w:r>
    </w:p>
    <w:p w14:paraId="1ACA88DF">
      <w:pPr>
        <w:widowControl/>
        <w:spacing w:line="500" w:lineRule="exact"/>
        <w:rPr>
          <w:rFonts w:ascii="宋体" w:hAnsi="宋体" w:cs="宋体"/>
          <w:spacing w:val="6"/>
          <w:kern w:val="0"/>
          <w:szCs w:val="21"/>
        </w:rPr>
      </w:pPr>
    </w:p>
    <w:p w14:paraId="6BF6897B">
      <w:pPr>
        <w:widowControl/>
        <w:spacing w:line="500" w:lineRule="exact"/>
        <w:ind w:right="1560" w:firstLine="600"/>
        <w:jc w:val="center"/>
        <w:rPr>
          <w:rFonts w:ascii="宋体" w:hAnsi="宋体" w:cs="宋体"/>
          <w:szCs w:val="21"/>
        </w:rPr>
      </w:pPr>
      <w:r>
        <w:rPr>
          <w:rFonts w:hint="eastAsia" w:ascii="宋体" w:hAnsi="宋体" w:cs="宋体"/>
          <w:szCs w:val="21"/>
        </w:rPr>
        <w:t>单位名称（盖章）：</w:t>
      </w:r>
    </w:p>
    <w:p w14:paraId="7AF191D9">
      <w:pPr>
        <w:widowControl/>
        <w:spacing w:line="500" w:lineRule="exact"/>
        <w:ind w:right="1560" w:firstLine="600"/>
        <w:jc w:val="center"/>
        <w:rPr>
          <w:rFonts w:ascii="宋体" w:hAnsi="宋体" w:cs="宋体"/>
          <w:szCs w:val="21"/>
        </w:rPr>
      </w:pPr>
      <w:r>
        <w:rPr>
          <w:rFonts w:hint="eastAsia" w:ascii="宋体" w:hAnsi="宋体" w:cs="宋体"/>
          <w:szCs w:val="21"/>
        </w:rPr>
        <w:t xml:space="preserve">       日  期：</w:t>
      </w:r>
    </w:p>
    <w:p w14:paraId="60579A76">
      <w:pPr>
        <w:spacing w:beforeLines="100" w:line="440" w:lineRule="atLeast"/>
        <w:ind w:firstLine="444" w:firstLineChars="200"/>
        <w:rPr>
          <w:rFonts w:ascii="宋体" w:hAnsi="宋体" w:cs="宋体"/>
          <w:spacing w:val="6"/>
          <w:szCs w:val="21"/>
        </w:rPr>
      </w:pPr>
    </w:p>
    <w:p w14:paraId="353FDE26">
      <w:pPr>
        <w:spacing w:beforeLines="100" w:line="440" w:lineRule="atLeast"/>
        <w:ind w:firstLine="444" w:firstLineChars="200"/>
        <w:rPr>
          <w:rFonts w:ascii="宋体" w:hAnsi="宋体" w:cs="宋体"/>
          <w:spacing w:val="6"/>
          <w:szCs w:val="21"/>
        </w:rPr>
      </w:pPr>
    </w:p>
    <w:p w14:paraId="64D9D89F">
      <w:pPr>
        <w:spacing w:line="360" w:lineRule="auto"/>
        <w:rPr>
          <w:rFonts w:ascii="宋体" w:hAnsi="宋体" w:cs="宋体"/>
          <w:b/>
          <w:spacing w:val="20"/>
          <w:szCs w:val="21"/>
        </w:rPr>
      </w:pPr>
      <w:r>
        <w:rPr>
          <w:rFonts w:hint="eastAsia" w:ascii="宋体" w:hAnsi="宋体" w:cs="宋体"/>
          <w:b/>
          <w:spacing w:val="20"/>
          <w:szCs w:val="21"/>
        </w:rPr>
        <w:t>注：</w:t>
      </w:r>
    </w:p>
    <w:p w14:paraId="152B1F41">
      <w:pPr>
        <w:snapToGrid w:val="0"/>
        <w:spacing w:line="360" w:lineRule="auto"/>
        <w:ind w:firstLine="422" w:firstLineChars="200"/>
        <w:jc w:val="left"/>
        <w:rPr>
          <w:rFonts w:ascii="宋体" w:hAnsi="宋体" w:cs="宋体"/>
          <w:b/>
          <w:szCs w:val="21"/>
        </w:rPr>
      </w:pPr>
      <w:r>
        <w:rPr>
          <w:rFonts w:hint="eastAsia" w:ascii="宋体" w:hAnsi="宋体" w:cs="宋体"/>
          <w:b/>
          <w:szCs w:val="21"/>
        </w:rPr>
        <w:t>1.中标、成交供应商为残疾人福利性单位的，《残疾人福利性单位声明函》随中标、成交结果同时公告，接受社会监督。</w:t>
      </w:r>
    </w:p>
    <w:p w14:paraId="2884CE08">
      <w:pPr>
        <w:snapToGrid w:val="0"/>
        <w:spacing w:line="360" w:lineRule="auto"/>
        <w:ind w:firstLine="422" w:firstLineChars="200"/>
        <w:jc w:val="left"/>
        <w:rPr>
          <w:rFonts w:ascii="宋体" w:hAnsi="宋体" w:cs="宋体"/>
          <w:b/>
          <w:szCs w:val="21"/>
        </w:rPr>
      </w:pPr>
      <w:r>
        <w:rPr>
          <w:rFonts w:hint="eastAsia" w:ascii="宋体" w:hAnsi="宋体" w:cs="宋体"/>
          <w:b/>
          <w:szCs w:val="21"/>
        </w:rPr>
        <w:t>2.供应商提供的《残疾人福利性单位声明函》与事实不符的，依照《政府采购法》第七十七条第一款的规定追究法律责任。</w:t>
      </w:r>
    </w:p>
    <w:p w14:paraId="58FE1FEB">
      <w:pPr>
        <w:ind w:firstLine="420"/>
        <w:jc w:val="center"/>
        <w:rPr>
          <w:rFonts w:ascii="宋体" w:hAnsi="宋体"/>
          <w:b/>
          <w:sz w:val="32"/>
        </w:rPr>
      </w:pPr>
    </w:p>
    <w:p w14:paraId="6E5AFE33">
      <w:pPr>
        <w:snapToGrid w:val="0"/>
        <w:spacing w:line="360" w:lineRule="auto"/>
        <w:ind w:firstLine="422" w:firstLineChars="200"/>
        <w:jc w:val="left"/>
        <w:rPr>
          <w:rFonts w:ascii="宋体" w:hAnsi="宋体" w:cs="宋体"/>
          <w:b/>
          <w:szCs w:val="21"/>
        </w:rPr>
      </w:pPr>
    </w:p>
    <w:p w14:paraId="28BD7EEA">
      <w:pPr>
        <w:ind w:firstLine="420"/>
        <w:jc w:val="center"/>
        <w:rPr>
          <w:rFonts w:asciiTheme="minorEastAsia" w:hAnsiTheme="minorEastAsia" w:eastAsiaTheme="minorEastAsia"/>
          <w:b/>
          <w:sz w:val="32"/>
        </w:rPr>
      </w:pPr>
    </w:p>
    <w:p w14:paraId="4A187480">
      <w:pPr>
        <w:ind w:firstLine="420"/>
        <w:jc w:val="center"/>
        <w:rPr>
          <w:rFonts w:asciiTheme="minorEastAsia" w:hAnsiTheme="minorEastAsia" w:eastAsiaTheme="minorEastAsia"/>
          <w:b/>
          <w:sz w:val="32"/>
        </w:rPr>
      </w:pPr>
    </w:p>
    <w:p w14:paraId="6296AC24">
      <w:pPr>
        <w:ind w:firstLine="420"/>
        <w:jc w:val="center"/>
        <w:rPr>
          <w:rFonts w:asciiTheme="minorEastAsia" w:hAnsiTheme="minorEastAsia" w:eastAsiaTheme="minorEastAsia"/>
          <w:b/>
          <w:sz w:val="32"/>
        </w:rPr>
      </w:pPr>
    </w:p>
    <w:p w14:paraId="46218156">
      <w:pPr>
        <w:ind w:firstLine="420"/>
        <w:jc w:val="center"/>
        <w:rPr>
          <w:rFonts w:asciiTheme="minorEastAsia" w:hAnsiTheme="minorEastAsia" w:eastAsiaTheme="minorEastAsia"/>
          <w:b/>
          <w:sz w:val="32"/>
        </w:rPr>
      </w:pPr>
    </w:p>
    <w:p w14:paraId="491A3CD8">
      <w:pPr>
        <w:ind w:firstLine="420"/>
        <w:jc w:val="center"/>
        <w:rPr>
          <w:rFonts w:asciiTheme="minorEastAsia" w:hAnsiTheme="minorEastAsia" w:eastAsiaTheme="minorEastAsia"/>
          <w:b/>
          <w:sz w:val="32"/>
        </w:rPr>
      </w:pPr>
    </w:p>
    <w:p w14:paraId="68172F3B">
      <w:pPr>
        <w:ind w:firstLine="420"/>
        <w:jc w:val="center"/>
        <w:rPr>
          <w:rFonts w:asciiTheme="minorEastAsia" w:hAnsiTheme="minorEastAsia" w:eastAsiaTheme="minorEastAsia"/>
          <w:b/>
          <w:sz w:val="32"/>
        </w:rPr>
      </w:pPr>
    </w:p>
    <w:p w14:paraId="014F6014">
      <w:pPr>
        <w:ind w:firstLine="420"/>
        <w:jc w:val="center"/>
        <w:rPr>
          <w:rFonts w:asciiTheme="minorEastAsia" w:hAnsiTheme="minorEastAsia" w:eastAsiaTheme="minorEastAsia"/>
          <w:b/>
          <w:sz w:val="32"/>
        </w:rPr>
      </w:pPr>
    </w:p>
    <w:p w14:paraId="7AB2F286">
      <w:pPr>
        <w:ind w:firstLine="420"/>
        <w:jc w:val="center"/>
        <w:rPr>
          <w:rFonts w:asciiTheme="minorEastAsia" w:hAnsiTheme="minorEastAsia" w:eastAsiaTheme="minorEastAsia"/>
          <w:b/>
          <w:sz w:val="32"/>
        </w:rPr>
      </w:pPr>
    </w:p>
    <w:p w14:paraId="2E319291">
      <w:pPr>
        <w:ind w:firstLine="420"/>
        <w:jc w:val="center"/>
        <w:rPr>
          <w:rFonts w:asciiTheme="minorEastAsia" w:hAnsiTheme="minorEastAsia" w:eastAsiaTheme="minorEastAsia"/>
          <w:b/>
          <w:sz w:val="32"/>
        </w:rPr>
      </w:pPr>
    </w:p>
    <w:p w14:paraId="1DC1E655">
      <w:pPr>
        <w:pStyle w:val="4"/>
        <w:rPr>
          <w:rFonts w:ascii="宋体" w:hAnsi="宋体" w:eastAsia="宋体"/>
          <w:b/>
          <w:sz w:val="32"/>
        </w:rPr>
      </w:pPr>
    </w:p>
    <w:p w14:paraId="20B69110">
      <w:pPr>
        <w:rPr>
          <w:rFonts w:ascii="宋体" w:hAnsi="宋体" w:eastAsia="宋体"/>
          <w:b/>
          <w:sz w:val="32"/>
        </w:rPr>
      </w:pPr>
    </w:p>
    <w:p w14:paraId="1C35C07B">
      <w:pPr>
        <w:pStyle w:val="4"/>
        <w:rPr>
          <w:rFonts w:ascii="宋体" w:hAnsi="宋体" w:eastAsia="宋体"/>
          <w:b/>
          <w:sz w:val="32"/>
        </w:rPr>
      </w:pPr>
    </w:p>
    <w:p w14:paraId="78A2391A"/>
    <w:p w14:paraId="7495A163">
      <w:pPr>
        <w:pStyle w:val="12"/>
      </w:pPr>
    </w:p>
    <w:p w14:paraId="1D2C685E">
      <w:pPr>
        <w:ind w:firstLine="420"/>
        <w:jc w:val="center"/>
        <w:rPr>
          <w:rFonts w:asciiTheme="minorEastAsia" w:hAnsiTheme="minorEastAsia" w:eastAsiaTheme="minorEastAsia"/>
          <w:b/>
          <w:sz w:val="32"/>
        </w:rPr>
      </w:pPr>
      <w:r>
        <w:rPr>
          <w:rFonts w:hint="eastAsia" w:asciiTheme="minorEastAsia" w:hAnsiTheme="minorEastAsia" w:eastAsiaTheme="minorEastAsia"/>
          <w:b/>
          <w:sz w:val="32"/>
        </w:rPr>
        <w:t>十</w:t>
      </w:r>
      <w:r>
        <w:rPr>
          <w:rFonts w:hint="eastAsia" w:asciiTheme="minorEastAsia" w:hAnsiTheme="minorEastAsia" w:eastAsiaTheme="minorEastAsia"/>
          <w:b/>
          <w:sz w:val="32"/>
          <w:lang w:val="en-US" w:eastAsia="zh-CN"/>
        </w:rPr>
        <w:t>三</w:t>
      </w:r>
      <w:r>
        <w:rPr>
          <w:rFonts w:hint="eastAsia" w:asciiTheme="minorEastAsia" w:hAnsiTheme="minorEastAsia" w:eastAsiaTheme="minorEastAsia"/>
          <w:b/>
          <w:sz w:val="32"/>
        </w:rPr>
        <w:t>、政府采购投标人质疑函范本</w:t>
      </w:r>
    </w:p>
    <w:tbl>
      <w:tblPr>
        <w:tblStyle w:val="28"/>
        <w:tblW w:w="9299" w:type="dxa"/>
        <w:jc w:val="center"/>
        <w:tblCellSpacing w:w="0" w:type="dxa"/>
        <w:tblLayout w:type="fixed"/>
        <w:tblCellMar>
          <w:top w:w="0" w:type="dxa"/>
          <w:left w:w="0" w:type="dxa"/>
          <w:bottom w:w="0" w:type="dxa"/>
          <w:right w:w="0" w:type="dxa"/>
        </w:tblCellMar>
      </w:tblPr>
      <w:tblGrid>
        <w:gridCol w:w="9299"/>
      </w:tblGrid>
      <w:tr w14:paraId="10D19905">
        <w:tblPrEx>
          <w:tblCellMar>
            <w:top w:w="0" w:type="dxa"/>
            <w:left w:w="0" w:type="dxa"/>
            <w:bottom w:w="0" w:type="dxa"/>
            <w:right w:w="0" w:type="dxa"/>
          </w:tblCellMar>
        </w:tblPrEx>
        <w:trPr>
          <w:tblCellSpacing w:w="0" w:type="dxa"/>
          <w:jc w:val="center"/>
        </w:trPr>
        <w:tc>
          <w:tcPr>
            <w:tcW w:w="9299" w:type="dxa"/>
            <w:vAlign w:val="center"/>
          </w:tcPr>
          <w:tbl>
            <w:tblPr>
              <w:tblStyle w:val="28"/>
              <w:tblW w:w="9299" w:type="dxa"/>
              <w:tblCellSpacing w:w="0" w:type="dxa"/>
              <w:tblInd w:w="0" w:type="dxa"/>
              <w:shd w:val="clear" w:color="auto" w:fill="FFFFFF"/>
              <w:tblLayout w:type="fixed"/>
              <w:tblCellMar>
                <w:top w:w="0" w:type="dxa"/>
                <w:left w:w="0" w:type="dxa"/>
                <w:bottom w:w="0" w:type="dxa"/>
                <w:right w:w="0" w:type="dxa"/>
              </w:tblCellMar>
            </w:tblPr>
            <w:tblGrid>
              <w:gridCol w:w="9299"/>
            </w:tblGrid>
            <w:tr w14:paraId="78428605">
              <w:tblPrEx>
                <w:shd w:val="clear" w:color="auto" w:fill="FFFFFF"/>
                <w:tblCellMar>
                  <w:top w:w="0" w:type="dxa"/>
                  <w:left w:w="0" w:type="dxa"/>
                  <w:bottom w:w="0" w:type="dxa"/>
                  <w:right w:w="0" w:type="dxa"/>
                </w:tblCellMar>
              </w:tblPrEx>
              <w:trPr>
                <w:trHeight w:val="1140" w:hRule="atLeast"/>
                <w:tblCellSpacing w:w="0" w:type="dxa"/>
              </w:trPr>
              <w:tc>
                <w:tcPr>
                  <w:tcW w:w="9299" w:type="dxa"/>
                  <w:shd w:val="clear" w:color="auto" w:fill="FFFFFF"/>
                </w:tcPr>
                <w:tbl>
                  <w:tblPr>
                    <w:tblStyle w:val="28"/>
                    <w:tblW w:w="7904" w:type="dxa"/>
                    <w:jc w:val="center"/>
                    <w:tblCellSpacing w:w="0" w:type="dxa"/>
                    <w:tblLayout w:type="fixed"/>
                    <w:tblCellMar>
                      <w:top w:w="0" w:type="dxa"/>
                      <w:left w:w="0" w:type="dxa"/>
                      <w:bottom w:w="0" w:type="dxa"/>
                      <w:right w:w="0" w:type="dxa"/>
                    </w:tblCellMar>
                  </w:tblPr>
                  <w:tblGrid>
                    <w:gridCol w:w="7904"/>
                  </w:tblGrid>
                  <w:tr w14:paraId="51D23113">
                    <w:tblPrEx>
                      <w:tblCellMar>
                        <w:top w:w="0" w:type="dxa"/>
                        <w:left w:w="0" w:type="dxa"/>
                        <w:bottom w:w="0" w:type="dxa"/>
                        <w:right w:w="0" w:type="dxa"/>
                      </w:tblCellMar>
                    </w:tblPrEx>
                    <w:trPr>
                      <w:tblCellSpacing w:w="0" w:type="dxa"/>
                      <w:jc w:val="center"/>
                    </w:trPr>
                    <w:tc>
                      <w:tcPr>
                        <w:tcW w:w="7904" w:type="dxa"/>
                        <w:vAlign w:val="center"/>
                      </w:tcPr>
                      <w:p w14:paraId="67140FEF">
                        <w:pPr>
                          <w:widowControl/>
                          <w:spacing w:beforeAutospacing="1" w:afterAutospacing="1"/>
                          <w:ind w:firstLine="422"/>
                          <w:jc w:val="center"/>
                          <w:rPr>
                            <w:rFonts w:asciiTheme="minorEastAsia" w:hAnsiTheme="minorEastAsia" w:eastAsiaTheme="minorEastAsia"/>
                            <w:sz w:val="28"/>
                            <w:szCs w:val="28"/>
                          </w:rPr>
                        </w:pPr>
                        <w:r>
                          <w:rPr>
                            <w:rFonts w:asciiTheme="minorEastAsia" w:hAnsiTheme="minorEastAsia" w:eastAsiaTheme="minorEastAsia"/>
                            <w:b/>
                            <w:kern w:val="0"/>
                            <w:sz w:val="28"/>
                            <w:szCs w:val="28"/>
                          </w:rPr>
                          <w:t>质疑函范本</w:t>
                        </w:r>
                      </w:p>
                      <w:p w14:paraId="22764D78">
                        <w:pPr>
                          <w:widowControl/>
                          <w:adjustRightInd w:val="0"/>
                          <w:snapToGrid w:val="0"/>
                          <w:spacing w:beforeLines="100" w:afterAutospacing="1"/>
                          <w:ind w:firstLine="420"/>
                          <w:jc w:val="left"/>
                          <w:rPr>
                            <w:rFonts w:asciiTheme="minorEastAsia" w:hAnsiTheme="minorEastAsia" w:eastAsiaTheme="minorEastAsia"/>
                            <w:szCs w:val="21"/>
                          </w:rPr>
                        </w:pPr>
                        <w:r>
                          <w:rPr>
                            <w:rFonts w:asciiTheme="minorEastAsia" w:hAnsiTheme="minorEastAsia" w:eastAsiaTheme="minorEastAsia"/>
                            <w:bCs/>
                            <w:kern w:val="0"/>
                            <w:szCs w:val="21"/>
                          </w:rPr>
                          <w:t>一</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质疑</w:t>
                        </w:r>
                        <w:r>
                          <w:rPr>
                            <w:rFonts w:hint="eastAsia" w:asciiTheme="minorEastAsia" w:hAnsiTheme="minorEastAsia" w:eastAsiaTheme="minorEastAsia"/>
                            <w:bCs/>
                            <w:kern w:val="0"/>
                            <w:szCs w:val="21"/>
                          </w:rPr>
                          <w:t>投标人</w:t>
                        </w:r>
                        <w:r>
                          <w:rPr>
                            <w:rFonts w:asciiTheme="minorEastAsia" w:hAnsiTheme="minorEastAsia" w:eastAsiaTheme="minorEastAsia"/>
                            <w:bCs/>
                            <w:kern w:val="0"/>
                            <w:szCs w:val="21"/>
                          </w:rPr>
                          <w:t>基本信息</w:t>
                        </w:r>
                      </w:p>
                      <w:p w14:paraId="0DE08A9E">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质疑</w:t>
                        </w:r>
                        <w:r>
                          <w:rPr>
                            <w:rFonts w:hint="eastAsia" w:asciiTheme="minorEastAsia" w:hAnsiTheme="minorEastAsia" w:eastAsiaTheme="minorEastAsia"/>
                            <w:kern w:val="0"/>
                            <w:szCs w:val="21"/>
                          </w:rPr>
                          <w:t>投标人</w:t>
                        </w:r>
                        <w:r>
                          <w:rPr>
                            <w:rFonts w:asciiTheme="minorEastAsia" w:hAnsiTheme="minorEastAsia" w:eastAsiaTheme="minorEastAsia"/>
                            <w:kern w:val="0"/>
                            <w:szCs w:val="21"/>
                          </w:rPr>
                          <w:t>：</w:t>
                        </w:r>
                      </w:p>
                      <w:p w14:paraId="118A49B5">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地址：邮编：</w:t>
                        </w:r>
                      </w:p>
                      <w:p w14:paraId="14004BBE">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联系人：联系电话：</w:t>
                        </w:r>
                      </w:p>
                      <w:p w14:paraId="5B255264">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授权代表：联系电话：</w:t>
                        </w:r>
                      </w:p>
                      <w:p w14:paraId="50294832">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地址： 邮编：</w:t>
                        </w:r>
                      </w:p>
                      <w:p w14:paraId="3F622F8F">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bCs/>
                            <w:kern w:val="0"/>
                            <w:szCs w:val="21"/>
                          </w:rPr>
                          <w:t>二</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质疑项目基本情况</w:t>
                        </w:r>
                      </w:p>
                      <w:p w14:paraId="6F9FD0D3">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质疑项目的名称：</w:t>
                        </w:r>
                      </w:p>
                      <w:p w14:paraId="3AD64982">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质疑项目的编号：包号：</w:t>
                        </w:r>
                      </w:p>
                      <w:p w14:paraId="083658DA">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采购人名称：</w:t>
                        </w:r>
                      </w:p>
                      <w:p w14:paraId="6B3F2968">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采购文件获取日期：</w:t>
                        </w:r>
                      </w:p>
                      <w:p w14:paraId="739E6623">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bCs/>
                            <w:kern w:val="0"/>
                            <w:szCs w:val="21"/>
                          </w:rPr>
                          <w:t>三</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质疑事项具体内容</w:t>
                        </w:r>
                      </w:p>
                      <w:p w14:paraId="07D4C185">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质疑事项1：</w:t>
                        </w:r>
                      </w:p>
                      <w:p w14:paraId="45508A09">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事实依据：</w:t>
                        </w:r>
                      </w:p>
                      <w:p w14:paraId="27675DE5">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法律依据：</w:t>
                        </w:r>
                      </w:p>
                      <w:p w14:paraId="50FEB747">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质疑事项2</w:t>
                        </w:r>
                      </w:p>
                      <w:p w14:paraId="22FAE6C5">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w:t>
                        </w:r>
                      </w:p>
                      <w:p w14:paraId="28F40AB8">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bCs/>
                            <w:kern w:val="0"/>
                            <w:szCs w:val="21"/>
                          </w:rPr>
                          <w:t>四</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与质疑事项相关的质疑请求</w:t>
                        </w:r>
                      </w:p>
                      <w:p w14:paraId="2FF0D2FB">
                        <w:pPr>
                          <w:widowControl/>
                          <w:adjustRightInd w:val="0"/>
                          <w:snapToGrid w:val="0"/>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请求：</w:t>
                        </w:r>
                      </w:p>
                      <w:p w14:paraId="71B11ACC">
                        <w:pPr>
                          <w:widowControl/>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 xml:space="preserve">签字(签章)：                   公章：                      </w:t>
                        </w:r>
                      </w:p>
                      <w:p w14:paraId="08A607F0">
                        <w:pPr>
                          <w:widowControl/>
                          <w:spacing w:beforeAutospacing="1" w:afterAutospacing="1"/>
                          <w:ind w:firstLine="420"/>
                          <w:jc w:val="left"/>
                          <w:rPr>
                            <w:rFonts w:asciiTheme="minorEastAsia" w:hAnsiTheme="minorEastAsia" w:eastAsiaTheme="minorEastAsia"/>
                            <w:kern w:val="0"/>
                            <w:szCs w:val="21"/>
                          </w:rPr>
                        </w:pPr>
                        <w:r>
                          <w:rPr>
                            <w:rFonts w:asciiTheme="minorEastAsia" w:hAnsiTheme="minorEastAsia" w:eastAsiaTheme="minorEastAsia"/>
                            <w:kern w:val="0"/>
                            <w:szCs w:val="21"/>
                          </w:rPr>
                          <w:t xml:space="preserve">日期：   </w:t>
                        </w:r>
                      </w:p>
                      <w:p w14:paraId="058AF662">
                        <w:pPr>
                          <w:pStyle w:val="12"/>
                          <w:rPr>
                            <w:rFonts w:asciiTheme="minorEastAsia" w:hAnsiTheme="minorEastAsia" w:eastAsiaTheme="minorEastAsia"/>
                          </w:rPr>
                        </w:pPr>
                      </w:p>
                      <w:p w14:paraId="4BFABB0A">
                        <w:pPr>
                          <w:widowControl/>
                          <w:spacing w:beforeAutospacing="1" w:afterAutospacing="1"/>
                          <w:ind w:firstLine="422"/>
                          <w:jc w:val="left"/>
                          <w:rPr>
                            <w:rFonts w:asciiTheme="minorEastAsia" w:hAnsiTheme="minorEastAsia" w:eastAsiaTheme="minorEastAsia"/>
                            <w:szCs w:val="21"/>
                          </w:rPr>
                        </w:pPr>
                        <w:r>
                          <w:rPr>
                            <w:rFonts w:asciiTheme="minorEastAsia" w:hAnsiTheme="minorEastAsia" w:eastAsiaTheme="minorEastAsia"/>
                            <w:b/>
                            <w:kern w:val="0"/>
                            <w:szCs w:val="21"/>
                          </w:rPr>
                          <w:t>质疑函制作说明：</w:t>
                        </w:r>
                      </w:p>
                      <w:p w14:paraId="30357A56">
                        <w:pPr>
                          <w:widowControl/>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投标人</w:t>
                        </w:r>
                        <w:r>
                          <w:rPr>
                            <w:rFonts w:asciiTheme="minorEastAsia" w:hAnsiTheme="minorEastAsia" w:eastAsiaTheme="minorEastAsia"/>
                            <w:kern w:val="0"/>
                            <w:szCs w:val="21"/>
                          </w:rPr>
                          <w:t>提出质疑时，应提交质疑函和必要的证明材料。</w:t>
                        </w:r>
                      </w:p>
                      <w:p w14:paraId="60737BF4">
                        <w:pPr>
                          <w:widowControl/>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2.质疑</w:t>
                        </w:r>
                        <w:r>
                          <w:rPr>
                            <w:rFonts w:hint="eastAsia" w:asciiTheme="minorEastAsia" w:hAnsiTheme="minorEastAsia" w:eastAsiaTheme="minorEastAsia"/>
                            <w:kern w:val="0"/>
                            <w:szCs w:val="21"/>
                          </w:rPr>
                          <w:t>投标人</w:t>
                        </w:r>
                        <w:r>
                          <w:rPr>
                            <w:rFonts w:asciiTheme="minorEastAsia" w:hAnsiTheme="minorEastAsia" w:eastAsiaTheme="minorEastAsia"/>
                            <w:kern w:val="0"/>
                            <w:szCs w:val="21"/>
                          </w:rPr>
                          <w:t>若委托代理人进行质疑的，质疑函应按要求列明“授权代表”的有关内容，并在附件中提交由质疑</w:t>
                        </w:r>
                        <w:r>
                          <w:rPr>
                            <w:rFonts w:hint="eastAsia" w:asciiTheme="minorEastAsia" w:hAnsiTheme="minorEastAsia" w:eastAsiaTheme="minorEastAsia"/>
                            <w:kern w:val="0"/>
                            <w:szCs w:val="21"/>
                          </w:rPr>
                          <w:t>投标人</w:t>
                        </w:r>
                        <w:r>
                          <w:rPr>
                            <w:rFonts w:asciiTheme="minorEastAsia" w:hAnsiTheme="minorEastAsia" w:eastAsiaTheme="minorEastAsia"/>
                            <w:kern w:val="0"/>
                            <w:szCs w:val="21"/>
                          </w:rPr>
                          <w:t>签署的授权委托书。授权委托书应载明代理人的姓名或者名称、代理事项、具体权限、期限和相关事项。</w:t>
                        </w:r>
                      </w:p>
                      <w:p w14:paraId="6A93E900">
                        <w:pPr>
                          <w:widowControl/>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3.质疑</w:t>
                        </w:r>
                        <w:r>
                          <w:rPr>
                            <w:rFonts w:hint="eastAsia" w:asciiTheme="minorEastAsia" w:hAnsiTheme="minorEastAsia" w:eastAsiaTheme="minorEastAsia"/>
                            <w:kern w:val="0"/>
                            <w:szCs w:val="21"/>
                          </w:rPr>
                          <w:t>投标人</w:t>
                        </w:r>
                        <w:r>
                          <w:rPr>
                            <w:rFonts w:asciiTheme="minorEastAsia" w:hAnsiTheme="minorEastAsia" w:eastAsiaTheme="minorEastAsia"/>
                            <w:kern w:val="0"/>
                            <w:szCs w:val="21"/>
                          </w:rPr>
                          <w:t>若对项目的某一分包进行质疑，质疑函中应列明具体分包号。</w:t>
                        </w:r>
                      </w:p>
                      <w:p w14:paraId="6DA79DE6">
                        <w:pPr>
                          <w:widowControl/>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4.质疑函的质疑事项应具体、明确，并有必要的事实依据和法律依据。</w:t>
                        </w:r>
                      </w:p>
                      <w:p w14:paraId="0C80E8D7">
                        <w:pPr>
                          <w:widowControl/>
                          <w:spacing w:beforeAutospacing="1" w:afterAutospacing="1"/>
                          <w:ind w:firstLine="420"/>
                          <w:jc w:val="left"/>
                          <w:rPr>
                            <w:rFonts w:asciiTheme="minorEastAsia" w:hAnsiTheme="minorEastAsia" w:eastAsiaTheme="minorEastAsia"/>
                            <w:szCs w:val="21"/>
                          </w:rPr>
                        </w:pPr>
                        <w:r>
                          <w:rPr>
                            <w:rFonts w:asciiTheme="minorEastAsia" w:hAnsiTheme="minorEastAsia" w:eastAsiaTheme="minorEastAsia"/>
                            <w:kern w:val="0"/>
                            <w:szCs w:val="21"/>
                          </w:rPr>
                          <w:t>5.质疑函的质疑请求应与质疑事项相关。</w:t>
                        </w:r>
                      </w:p>
                      <w:p w14:paraId="35898F8A">
                        <w:pPr>
                          <w:widowControl/>
                          <w:spacing w:before="100" w:beforeAutospacing="1" w:after="100" w:afterAutospacing="1"/>
                          <w:ind w:firstLine="420"/>
                          <w:jc w:val="left"/>
                          <w:rPr>
                            <w:rFonts w:asciiTheme="minorEastAsia" w:hAnsiTheme="minorEastAsia" w:eastAsiaTheme="minorEastAsia"/>
                          </w:rPr>
                        </w:pPr>
                        <w:r>
                          <w:rPr>
                            <w:rFonts w:asciiTheme="minorEastAsia" w:hAnsiTheme="minorEastAsia" w:eastAsiaTheme="minorEastAsia"/>
                            <w:kern w:val="0"/>
                            <w:szCs w:val="21"/>
                          </w:rPr>
                          <w:t>6.质疑</w:t>
                        </w:r>
                        <w:r>
                          <w:rPr>
                            <w:rFonts w:hint="eastAsia" w:asciiTheme="minorEastAsia" w:hAnsiTheme="minorEastAsia" w:eastAsiaTheme="minorEastAsia"/>
                            <w:kern w:val="0"/>
                            <w:szCs w:val="21"/>
                          </w:rPr>
                          <w:t>投标人</w:t>
                        </w:r>
                        <w:r>
                          <w:rPr>
                            <w:rFonts w:asciiTheme="minorEastAsia" w:hAnsiTheme="minorEastAsia" w:eastAsiaTheme="minorEastAsia"/>
                            <w:kern w:val="0"/>
                            <w:szCs w:val="21"/>
                          </w:rPr>
                          <w:t>为自然人的，质疑函应由本人签字；质疑</w:t>
                        </w:r>
                        <w:r>
                          <w:rPr>
                            <w:rFonts w:hint="eastAsia" w:asciiTheme="minorEastAsia" w:hAnsiTheme="minorEastAsia" w:eastAsiaTheme="minorEastAsia"/>
                            <w:kern w:val="0"/>
                            <w:szCs w:val="21"/>
                          </w:rPr>
                          <w:t>投标人</w:t>
                        </w:r>
                        <w:r>
                          <w:rPr>
                            <w:rFonts w:asciiTheme="minorEastAsia" w:hAnsiTheme="minorEastAsia" w:eastAsiaTheme="minorEastAsia"/>
                            <w:kern w:val="0"/>
                            <w:szCs w:val="21"/>
                          </w:rPr>
                          <w:t>为法人或者其他组织的，质疑函应由法定代表人、主要负责人，或者其授权代表签字或者盖章，并加盖公章。</w:t>
                        </w:r>
                      </w:p>
                    </w:tc>
                  </w:tr>
                </w:tbl>
                <w:p w14:paraId="300FA9FD">
                  <w:pPr>
                    <w:ind w:firstLine="360"/>
                    <w:jc w:val="center"/>
                    <w:rPr>
                      <w:rFonts w:asciiTheme="minorEastAsia" w:hAnsiTheme="minorEastAsia" w:eastAsiaTheme="minorEastAsia"/>
                      <w:sz w:val="18"/>
                      <w:szCs w:val="18"/>
                    </w:rPr>
                  </w:pPr>
                </w:p>
              </w:tc>
            </w:tr>
          </w:tbl>
          <w:p w14:paraId="27DE9AFB">
            <w:pPr>
              <w:spacing w:line="432" w:lineRule="auto"/>
              <w:ind w:firstLine="360"/>
              <w:jc w:val="center"/>
              <w:rPr>
                <w:rFonts w:asciiTheme="minorEastAsia" w:hAnsiTheme="minorEastAsia" w:eastAsiaTheme="minorEastAsia"/>
                <w:sz w:val="18"/>
                <w:szCs w:val="18"/>
              </w:rPr>
            </w:pPr>
          </w:p>
        </w:tc>
      </w:tr>
    </w:tbl>
    <w:p w14:paraId="3275EF1D">
      <w:pPr>
        <w:pStyle w:val="2"/>
        <w:snapToGrid w:val="0"/>
        <w:spacing w:before="120" w:line="312" w:lineRule="auto"/>
        <w:ind w:right="-341"/>
        <w:rPr>
          <w:rFonts w:asciiTheme="minorEastAsia" w:hAnsiTheme="minorEastAsia" w:eastAsiaTheme="minorEastAsia"/>
          <w:b/>
          <w:sz w:val="32"/>
          <w:highlight w:val="yellow"/>
        </w:rPr>
        <w:sectPr>
          <w:pgSz w:w="11906" w:h="16838"/>
          <w:pgMar w:top="1361" w:right="924" w:bottom="1134" w:left="1418" w:header="851" w:footer="851" w:gutter="0"/>
          <w:cols w:space="720" w:num="1"/>
          <w:docGrid w:linePitch="312" w:charSpace="0"/>
        </w:sectPr>
      </w:pPr>
    </w:p>
    <w:p w14:paraId="6DFB3584">
      <w:pPr>
        <w:tabs>
          <w:tab w:val="left" w:pos="3120"/>
        </w:tabs>
        <w:rPr>
          <w:rFonts w:hint="default" w:eastAsia="宋体"/>
          <w:lang w:val="en-US" w:eastAsia="zh-CN"/>
        </w:rPr>
      </w:pPr>
    </w:p>
    <w:sectPr>
      <w:headerReference r:id="rId4" w:type="default"/>
      <w:footerReference r:id="rId5" w:type="default"/>
      <w:pgSz w:w="11906" w:h="16838"/>
      <w:pgMar w:top="1361" w:right="924" w:bottom="1134"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使用中文字体)">
    <w:altName w:val="宋体"/>
    <w:panose1 w:val="00000000000000000000"/>
    <w:charset w:val="86"/>
    <w:family w:val="roman"/>
    <w:pitch w:val="default"/>
    <w:sig w:usb0="00000000" w:usb1="00000000" w:usb2="00000010" w:usb3="00000000" w:csb0="00040000" w:csb1="00000000"/>
  </w:font>
  <w:font w:name="Helvetica">
    <w:altName w:val="Arial"/>
    <w:panose1 w:val="020B0504020202030204"/>
    <w:charset w:val="00"/>
    <w:family w:val="swiss"/>
    <w:pitch w:val="default"/>
    <w:sig w:usb0="00000000" w:usb1="00000000" w:usb2="00000000" w:usb3="00000000" w:csb0="00000093"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F520A">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3DFC1B6">
                          <w:pPr>
                            <w:pStyle w:val="18"/>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rd+96M0BAACnAwAADgAAAAAAAAABACAAAAAeAQAAZHJzL2Uy&#10;b0RvYy54bWxQSwUGAAAAAAYABgBZAQAAXQUAAAAA&#10;">
              <v:fill on="f" focussize="0,0"/>
              <v:stroke on="f"/>
              <v:imagedata o:title=""/>
              <o:lock v:ext="edit" aspectratio="f"/>
              <v:textbox inset="0mm,0mm,0mm,0mm" style="mso-fit-shape-to-text:t;">
                <w:txbxContent>
                  <w:p w14:paraId="43DFC1B6">
                    <w:pPr>
                      <w:pStyle w:val="1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D366C">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CDB0C0">
                          <w:pPr>
                            <w:pStyle w:val="18"/>
                          </w:pPr>
                          <w:r>
                            <w:fldChar w:fldCharType="begin"/>
                          </w:r>
                          <w:r>
                            <w:instrText xml:space="preserve"> PAGE  \* MERGEFORMAT </w:instrText>
                          </w:r>
                          <w:r>
                            <w:fldChar w:fldCharType="separate"/>
                          </w:r>
                          <w:r>
                            <w:t>81</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C0YOds0BAACnAwAADgAAAAAAAAABACAAAAAeAQAAZHJzL2Uy&#10;b0RvYy54bWxQSwUGAAAAAAYABgBZAQAAXQUAAAAA&#10;">
              <v:fill on="f" focussize="0,0"/>
              <v:stroke on="f"/>
              <v:imagedata o:title=""/>
              <o:lock v:ext="edit" aspectratio="f"/>
              <v:textbox inset="0mm,0mm,0mm,0mm" style="mso-fit-shape-to-text:t;">
                <w:txbxContent>
                  <w:p w14:paraId="1CCDB0C0">
                    <w:pPr>
                      <w:pStyle w:val="1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3BA1E">
    <w:pPr>
      <w:pStyle w:val="19"/>
      <w:pBdr>
        <w:bottom w:val="single" w:color="auto" w:sz="6"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76FC1D"/>
    <w:multiLevelType w:val="singleLevel"/>
    <w:tmpl w:val="9A76FC1D"/>
    <w:lvl w:ilvl="0" w:tentative="0">
      <w:start w:val="1"/>
      <w:numFmt w:val="decimal"/>
      <w:lvlText w:val="%1."/>
      <w:lvlJc w:val="left"/>
      <w:pPr>
        <w:tabs>
          <w:tab w:val="left" w:pos="312"/>
        </w:tabs>
      </w:pPr>
    </w:lvl>
  </w:abstractNum>
  <w:abstractNum w:abstractNumId="1">
    <w:nsid w:val="ED2989BF"/>
    <w:multiLevelType w:val="singleLevel"/>
    <w:tmpl w:val="ED2989BF"/>
    <w:lvl w:ilvl="0" w:tentative="0">
      <w:start w:val="2"/>
      <w:numFmt w:val="chineseCounting"/>
      <w:suff w:val="space"/>
      <w:lvlText w:val="第%1章"/>
      <w:lvlJc w:val="left"/>
      <w:rPr>
        <w:rFonts w:hint="eastAsia"/>
      </w:rPr>
    </w:lvl>
  </w:abstractNum>
  <w:abstractNum w:abstractNumId="2">
    <w:nsid w:val="0000000A"/>
    <w:multiLevelType w:val="singleLevel"/>
    <w:tmpl w:val="0000000A"/>
    <w:lvl w:ilvl="0" w:tentative="0">
      <w:start w:val="1"/>
      <w:numFmt w:val="decimal"/>
      <w:suff w:val="nothing"/>
      <w:lvlText w:val="%1）"/>
      <w:lvlJc w:val="left"/>
      <w:rPr>
        <w:rFonts w:cs="Times New Roman"/>
      </w:rPr>
    </w:lvl>
  </w:abstractNum>
  <w:abstractNum w:abstractNumId="3">
    <w:nsid w:val="0000000D"/>
    <w:multiLevelType w:val="multilevel"/>
    <w:tmpl w:val="0000000D"/>
    <w:lvl w:ilvl="0" w:tentative="0">
      <w:start w:val="1"/>
      <w:numFmt w:val="chineseCountingThousand"/>
      <w:suff w:val="space"/>
      <w:lvlText w:val="第%1章"/>
      <w:lvlJc w:val="left"/>
      <w:pPr>
        <w:ind w:left="2240"/>
      </w:pPr>
      <w:rPr>
        <w:rFonts w:hint="eastAsia" w:cs="Times New Roman"/>
        <w:lang w:val="en-US"/>
      </w:rPr>
    </w:lvl>
    <w:lvl w:ilvl="1" w:tentative="0">
      <w:start w:val="1"/>
      <w:numFmt w:val="decimal"/>
      <w:isLgl/>
      <w:suff w:val="space"/>
      <w:lvlText w:val="%1.%2"/>
      <w:lvlJc w:val="left"/>
      <w:pPr>
        <w:ind w:left="765" w:hanging="567"/>
      </w:pPr>
      <w:rPr>
        <w:rFonts w:hint="eastAsia" w:cs="Times New Roman"/>
      </w:rPr>
    </w:lvl>
    <w:lvl w:ilvl="2" w:tentative="0">
      <w:start w:val="1"/>
      <w:numFmt w:val="decimal"/>
      <w:isLgl/>
      <w:suff w:val="space"/>
      <w:lvlText w:val="%1.%2.%3"/>
      <w:lvlJc w:val="left"/>
      <w:pPr>
        <w:ind w:left="707" w:hanging="567"/>
      </w:pPr>
      <w:rPr>
        <w:rFonts w:hint="eastAsia" w:cs="Times New Roman"/>
        <w:color w:val="auto"/>
      </w:rPr>
    </w:lvl>
    <w:lvl w:ilvl="3" w:tentative="0">
      <w:start w:val="1"/>
      <w:numFmt w:val="decimal"/>
      <w:pStyle w:val="74"/>
      <w:isLgl/>
      <w:suff w:val="space"/>
      <w:lvlText w:val="%1.%2.%3.%4"/>
      <w:lvlJc w:val="left"/>
      <w:pPr>
        <w:ind w:left="2108" w:hanging="708"/>
      </w:pPr>
      <w:rPr>
        <w:rFonts w:hint="eastAsia" w:cs="Times New Roman"/>
      </w:rPr>
    </w:lvl>
    <w:lvl w:ilvl="4" w:tentative="0">
      <w:start w:val="1"/>
      <w:numFmt w:val="decimal"/>
      <w:lvlText w:val="%1.%2.%3.%4.%5"/>
      <w:lvlJc w:val="left"/>
      <w:pPr>
        <w:tabs>
          <w:tab w:val="left" w:pos="2554"/>
        </w:tabs>
        <w:ind w:left="2324" w:hanging="850"/>
      </w:pPr>
      <w:rPr>
        <w:rFonts w:hint="eastAsia" w:cs="Times New Roman"/>
      </w:rPr>
    </w:lvl>
    <w:lvl w:ilvl="5" w:tentative="0">
      <w:start w:val="1"/>
      <w:numFmt w:val="decimal"/>
      <w:lvlText w:val="%1.%2.%3.%4.%5.%6"/>
      <w:lvlJc w:val="left"/>
      <w:pPr>
        <w:tabs>
          <w:tab w:val="left" w:pos="3339"/>
        </w:tabs>
        <w:ind w:left="3033" w:hanging="1134"/>
      </w:pPr>
      <w:rPr>
        <w:rFonts w:hint="eastAsia" w:cs="Times New Roman"/>
      </w:rPr>
    </w:lvl>
    <w:lvl w:ilvl="6" w:tentative="0">
      <w:start w:val="1"/>
      <w:numFmt w:val="decimal"/>
      <w:lvlText w:val="%1.%2.%3.%4.%5.%6.%7"/>
      <w:lvlJc w:val="left"/>
      <w:pPr>
        <w:tabs>
          <w:tab w:val="left" w:pos="3764"/>
        </w:tabs>
        <w:ind w:left="3600" w:hanging="1276"/>
      </w:pPr>
      <w:rPr>
        <w:rFonts w:hint="eastAsia" w:cs="Times New Roman"/>
      </w:rPr>
    </w:lvl>
    <w:lvl w:ilvl="7" w:tentative="0">
      <w:start w:val="1"/>
      <w:numFmt w:val="decimal"/>
      <w:lvlText w:val="%1.%2.%3.%4.%5.%6.%7.%8"/>
      <w:lvlJc w:val="left"/>
      <w:pPr>
        <w:tabs>
          <w:tab w:val="left" w:pos="4549"/>
        </w:tabs>
        <w:ind w:left="4167" w:hanging="1418"/>
      </w:pPr>
      <w:rPr>
        <w:rFonts w:hint="eastAsia" w:cs="Times New Roman"/>
      </w:rPr>
    </w:lvl>
    <w:lvl w:ilvl="8" w:tentative="0">
      <w:start w:val="1"/>
      <w:numFmt w:val="decimal"/>
      <w:lvlText w:val="%1.%2.%3.%4.%5.%6.%7.%8.%9"/>
      <w:lvlJc w:val="left"/>
      <w:pPr>
        <w:tabs>
          <w:tab w:val="left" w:pos="4975"/>
        </w:tabs>
        <w:ind w:left="4875" w:hanging="1700"/>
      </w:pPr>
      <w:rPr>
        <w:rFonts w:hint="eastAsia" w:cs="Times New Roman"/>
      </w:rPr>
    </w:lvl>
  </w:abstractNum>
  <w:abstractNum w:abstractNumId="4">
    <w:nsid w:val="0000000E"/>
    <w:multiLevelType w:val="multilevel"/>
    <w:tmpl w:val="0000000E"/>
    <w:lvl w:ilvl="0" w:tentative="0">
      <w:start w:val="5"/>
      <w:numFmt w:val="chineseCounting"/>
      <w:suff w:val="nothing"/>
      <w:lvlText w:val="（%1）"/>
      <w:lvlJc w:val="left"/>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0000012"/>
    <w:multiLevelType w:val="singleLevel"/>
    <w:tmpl w:val="00000012"/>
    <w:lvl w:ilvl="0" w:tentative="0">
      <w:start w:val="1"/>
      <w:numFmt w:val="decimal"/>
      <w:pStyle w:val="7"/>
      <w:lvlText w:val="%1."/>
      <w:lvlJc w:val="left"/>
      <w:pPr>
        <w:tabs>
          <w:tab w:val="left" w:pos="360"/>
        </w:tabs>
        <w:ind w:left="360" w:hanging="360"/>
      </w:pPr>
    </w:lvl>
  </w:abstractNum>
  <w:abstractNum w:abstractNumId="6">
    <w:nsid w:val="77CD4847"/>
    <w:multiLevelType w:val="multilevel"/>
    <w:tmpl w:val="77CD484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1"/>
  </w:num>
  <w:num w:numId="4">
    <w:abstractNumId w:val="6"/>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ViNzhmMDk0MWU1ODgyYThmOTU2NDczNmIxMTFjYzQifQ=="/>
  </w:docVars>
  <w:rsids>
    <w:rsidRoot w:val="00AB5FE3"/>
    <w:rsid w:val="00003969"/>
    <w:rsid w:val="00006A8B"/>
    <w:rsid w:val="0001088B"/>
    <w:rsid w:val="000116F6"/>
    <w:rsid w:val="00014A84"/>
    <w:rsid w:val="00023CAB"/>
    <w:rsid w:val="00026CA5"/>
    <w:rsid w:val="000270B7"/>
    <w:rsid w:val="00027105"/>
    <w:rsid w:val="0003620F"/>
    <w:rsid w:val="00050E76"/>
    <w:rsid w:val="00061A1A"/>
    <w:rsid w:val="0006403F"/>
    <w:rsid w:val="0008336C"/>
    <w:rsid w:val="000860ED"/>
    <w:rsid w:val="00097725"/>
    <w:rsid w:val="000A202B"/>
    <w:rsid w:val="000A5ADB"/>
    <w:rsid w:val="000A6518"/>
    <w:rsid w:val="000A7CDC"/>
    <w:rsid w:val="000C74FA"/>
    <w:rsid w:val="000D5C6D"/>
    <w:rsid w:val="000E0D83"/>
    <w:rsid w:val="000E2FB6"/>
    <w:rsid w:val="000E6CA7"/>
    <w:rsid w:val="000E6D82"/>
    <w:rsid w:val="000F426C"/>
    <w:rsid w:val="001002DA"/>
    <w:rsid w:val="001061D0"/>
    <w:rsid w:val="00106E46"/>
    <w:rsid w:val="00114D92"/>
    <w:rsid w:val="00132FDB"/>
    <w:rsid w:val="00141BCD"/>
    <w:rsid w:val="0015201F"/>
    <w:rsid w:val="00182562"/>
    <w:rsid w:val="00183DF5"/>
    <w:rsid w:val="00191A09"/>
    <w:rsid w:val="00194BED"/>
    <w:rsid w:val="001968E9"/>
    <w:rsid w:val="001B00A8"/>
    <w:rsid w:val="001B024D"/>
    <w:rsid w:val="001B4A05"/>
    <w:rsid w:val="001B5B2D"/>
    <w:rsid w:val="001C3948"/>
    <w:rsid w:val="001D7E57"/>
    <w:rsid w:val="001E21D1"/>
    <w:rsid w:val="00201706"/>
    <w:rsid w:val="00202172"/>
    <w:rsid w:val="00202F98"/>
    <w:rsid w:val="0020493F"/>
    <w:rsid w:val="0020524A"/>
    <w:rsid w:val="0020541E"/>
    <w:rsid w:val="002243DA"/>
    <w:rsid w:val="0022586F"/>
    <w:rsid w:val="00231CF4"/>
    <w:rsid w:val="00236318"/>
    <w:rsid w:val="00245C15"/>
    <w:rsid w:val="002461EC"/>
    <w:rsid w:val="002543EC"/>
    <w:rsid w:val="002660D6"/>
    <w:rsid w:val="00276989"/>
    <w:rsid w:val="002933E3"/>
    <w:rsid w:val="00294514"/>
    <w:rsid w:val="0029463C"/>
    <w:rsid w:val="00297632"/>
    <w:rsid w:val="002A019B"/>
    <w:rsid w:val="002A4192"/>
    <w:rsid w:val="002A7F5C"/>
    <w:rsid w:val="002C0EDF"/>
    <w:rsid w:val="002D6AF7"/>
    <w:rsid w:val="002E20FC"/>
    <w:rsid w:val="00301ECC"/>
    <w:rsid w:val="00317E2A"/>
    <w:rsid w:val="003221E1"/>
    <w:rsid w:val="003228D6"/>
    <w:rsid w:val="00324DAE"/>
    <w:rsid w:val="00327126"/>
    <w:rsid w:val="00332824"/>
    <w:rsid w:val="00332EF2"/>
    <w:rsid w:val="00342A12"/>
    <w:rsid w:val="00354CC6"/>
    <w:rsid w:val="003557B7"/>
    <w:rsid w:val="00365FE0"/>
    <w:rsid w:val="00391B8B"/>
    <w:rsid w:val="003B1ED0"/>
    <w:rsid w:val="003B26C1"/>
    <w:rsid w:val="003B5326"/>
    <w:rsid w:val="003B5363"/>
    <w:rsid w:val="003B6E5C"/>
    <w:rsid w:val="003C1B6A"/>
    <w:rsid w:val="003D64C0"/>
    <w:rsid w:val="003D6F11"/>
    <w:rsid w:val="003D7403"/>
    <w:rsid w:val="003E0ACB"/>
    <w:rsid w:val="003F2936"/>
    <w:rsid w:val="003F4DCA"/>
    <w:rsid w:val="00404391"/>
    <w:rsid w:val="00405B26"/>
    <w:rsid w:val="00411790"/>
    <w:rsid w:val="00411E74"/>
    <w:rsid w:val="004125C2"/>
    <w:rsid w:val="0041382D"/>
    <w:rsid w:val="00413BD4"/>
    <w:rsid w:val="00415448"/>
    <w:rsid w:val="0041692F"/>
    <w:rsid w:val="00430D46"/>
    <w:rsid w:val="00443F3F"/>
    <w:rsid w:val="004468CF"/>
    <w:rsid w:val="00455668"/>
    <w:rsid w:val="00463273"/>
    <w:rsid w:val="00471D8A"/>
    <w:rsid w:val="00476325"/>
    <w:rsid w:val="00494E8E"/>
    <w:rsid w:val="00496398"/>
    <w:rsid w:val="004A1F9D"/>
    <w:rsid w:val="004A4B36"/>
    <w:rsid w:val="004B636D"/>
    <w:rsid w:val="004C011E"/>
    <w:rsid w:val="004C1AFE"/>
    <w:rsid w:val="004D197C"/>
    <w:rsid w:val="004D7BF2"/>
    <w:rsid w:val="004F0032"/>
    <w:rsid w:val="004F048D"/>
    <w:rsid w:val="004F55A7"/>
    <w:rsid w:val="00500022"/>
    <w:rsid w:val="00502855"/>
    <w:rsid w:val="00503CAA"/>
    <w:rsid w:val="0050547A"/>
    <w:rsid w:val="005063A2"/>
    <w:rsid w:val="00515ADC"/>
    <w:rsid w:val="00515F8F"/>
    <w:rsid w:val="00522CFA"/>
    <w:rsid w:val="00525867"/>
    <w:rsid w:val="00533A0F"/>
    <w:rsid w:val="00534701"/>
    <w:rsid w:val="005551F0"/>
    <w:rsid w:val="00555794"/>
    <w:rsid w:val="00561E58"/>
    <w:rsid w:val="00565831"/>
    <w:rsid w:val="00571B71"/>
    <w:rsid w:val="005762BA"/>
    <w:rsid w:val="005942BF"/>
    <w:rsid w:val="005965C8"/>
    <w:rsid w:val="005A3F9F"/>
    <w:rsid w:val="005A4744"/>
    <w:rsid w:val="005A6743"/>
    <w:rsid w:val="005B57F7"/>
    <w:rsid w:val="005C368A"/>
    <w:rsid w:val="005C3C88"/>
    <w:rsid w:val="005D0934"/>
    <w:rsid w:val="005D18B2"/>
    <w:rsid w:val="005E04FF"/>
    <w:rsid w:val="005E51E2"/>
    <w:rsid w:val="005E5914"/>
    <w:rsid w:val="005E7462"/>
    <w:rsid w:val="005F3241"/>
    <w:rsid w:val="005F4E0A"/>
    <w:rsid w:val="005F6D12"/>
    <w:rsid w:val="0060124C"/>
    <w:rsid w:val="00601812"/>
    <w:rsid w:val="00610096"/>
    <w:rsid w:val="00614244"/>
    <w:rsid w:val="0062747B"/>
    <w:rsid w:val="00627A24"/>
    <w:rsid w:val="00627BE8"/>
    <w:rsid w:val="006349A8"/>
    <w:rsid w:val="006360FE"/>
    <w:rsid w:val="00643951"/>
    <w:rsid w:val="00643B1A"/>
    <w:rsid w:val="006444B4"/>
    <w:rsid w:val="0065330D"/>
    <w:rsid w:val="006578B5"/>
    <w:rsid w:val="0067566D"/>
    <w:rsid w:val="00677DE4"/>
    <w:rsid w:val="00693B0F"/>
    <w:rsid w:val="006A34DE"/>
    <w:rsid w:val="006A41A2"/>
    <w:rsid w:val="006A4F93"/>
    <w:rsid w:val="006B20D8"/>
    <w:rsid w:val="006D2EA0"/>
    <w:rsid w:val="006D67E1"/>
    <w:rsid w:val="006E4BDE"/>
    <w:rsid w:val="006F1F2B"/>
    <w:rsid w:val="006F5976"/>
    <w:rsid w:val="00706040"/>
    <w:rsid w:val="007168AA"/>
    <w:rsid w:val="0071702C"/>
    <w:rsid w:val="00735A52"/>
    <w:rsid w:val="00740CED"/>
    <w:rsid w:val="00744415"/>
    <w:rsid w:val="007567C8"/>
    <w:rsid w:val="0076029F"/>
    <w:rsid w:val="00760D03"/>
    <w:rsid w:val="00772112"/>
    <w:rsid w:val="007764A5"/>
    <w:rsid w:val="00776A2D"/>
    <w:rsid w:val="00777287"/>
    <w:rsid w:val="00792EE0"/>
    <w:rsid w:val="007A2564"/>
    <w:rsid w:val="007A4350"/>
    <w:rsid w:val="007A4A81"/>
    <w:rsid w:val="007A5469"/>
    <w:rsid w:val="007B322F"/>
    <w:rsid w:val="007B6548"/>
    <w:rsid w:val="007B7162"/>
    <w:rsid w:val="007C1180"/>
    <w:rsid w:val="007D01AE"/>
    <w:rsid w:val="007E1B27"/>
    <w:rsid w:val="007E782E"/>
    <w:rsid w:val="007F1435"/>
    <w:rsid w:val="007F15CF"/>
    <w:rsid w:val="007F26C4"/>
    <w:rsid w:val="007F2F89"/>
    <w:rsid w:val="007F71BD"/>
    <w:rsid w:val="00802F9B"/>
    <w:rsid w:val="00806B73"/>
    <w:rsid w:val="00816B9A"/>
    <w:rsid w:val="00836470"/>
    <w:rsid w:val="00854EC9"/>
    <w:rsid w:val="008558CC"/>
    <w:rsid w:val="0086097A"/>
    <w:rsid w:val="008665FA"/>
    <w:rsid w:val="00870FA5"/>
    <w:rsid w:val="00881E8A"/>
    <w:rsid w:val="008A35DC"/>
    <w:rsid w:val="008A3BF5"/>
    <w:rsid w:val="008B14DB"/>
    <w:rsid w:val="008B38A7"/>
    <w:rsid w:val="008B5FC9"/>
    <w:rsid w:val="008C5158"/>
    <w:rsid w:val="008D2C7E"/>
    <w:rsid w:val="008D47EC"/>
    <w:rsid w:val="009046C2"/>
    <w:rsid w:val="00905758"/>
    <w:rsid w:val="009144FE"/>
    <w:rsid w:val="009166B9"/>
    <w:rsid w:val="009170C1"/>
    <w:rsid w:val="00920661"/>
    <w:rsid w:val="00920906"/>
    <w:rsid w:val="009214B2"/>
    <w:rsid w:val="00922823"/>
    <w:rsid w:val="00927771"/>
    <w:rsid w:val="009305DD"/>
    <w:rsid w:val="00935332"/>
    <w:rsid w:val="00935718"/>
    <w:rsid w:val="00935D0C"/>
    <w:rsid w:val="00935E40"/>
    <w:rsid w:val="0094159E"/>
    <w:rsid w:val="009415C2"/>
    <w:rsid w:val="0094480E"/>
    <w:rsid w:val="009670D1"/>
    <w:rsid w:val="00974BFB"/>
    <w:rsid w:val="00975AE9"/>
    <w:rsid w:val="0099316D"/>
    <w:rsid w:val="009962A8"/>
    <w:rsid w:val="009A48D8"/>
    <w:rsid w:val="009A5F98"/>
    <w:rsid w:val="009C4E0A"/>
    <w:rsid w:val="009D0C06"/>
    <w:rsid w:val="009E492F"/>
    <w:rsid w:val="009F28D6"/>
    <w:rsid w:val="009F2E81"/>
    <w:rsid w:val="009F52A2"/>
    <w:rsid w:val="009F7182"/>
    <w:rsid w:val="009F7E70"/>
    <w:rsid w:val="009F7FEA"/>
    <w:rsid w:val="00A2145C"/>
    <w:rsid w:val="00A25E50"/>
    <w:rsid w:val="00A2731E"/>
    <w:rsid w:val="00A311D9"/>
    <w:rsid w:val="00A4547C"/>
    <w:rsid w:val="00A56FCB"/>
    <w:rsid w:val="00A65829"/>
    <w:rsid w:val="00A72290"/>
    <w:rsid w:val="00A731DC"/>
    <w:rsid w:val="00A80587"/>
    <w:rsid w:val="00A92936"/>
    <w:rsid w:val="00A977CD"/>
    <w:rsid w:val="00A97DC7"/>
    <w:rsid w:val="00AA2D8F"/>
    <w:rsid w:val="00AA5CC2"/>
    <w:rsid w:val="00AA6A78"/>
    <w:rsid w:val="00AB0965"/>
    <w:rsid w:val="00AB4EA3"/>
    <w:rsid w:val="00AB5FE3"/>
    <w:rsid w:val="00AB6F5E"/>
    <w:rsid w:val="00AC3ECE"/>
    <w:rsid w:val="00AC4516"/>
    <w:rsid w:val="00AC79FD"/>
    <w:rsid w:val="00AD2C05"/>
    <w:rsid w:val="00AD3FF8"/>
    <w:rsid w:val="00AD5B3E"/>
    <w:rsid w:val="00AE6EA9"/>
    <w:rsid w:val="00AF409A"/>
    <w:rsid w:val="00B0219E"/>
    <w:rsid w:val="00B031B6"/>
    <w:rsid w:val="00B11FF9"/>
    <w:rsid w:val="00B217EC"/>
    <w:rsid w:val="00B32570"/>
    <w:rsid w:val="00B33854"/>
    <w:rsid w:val="00B3599D"/>
    <w:rsid w:val="00B36422"/>
    <w:rsid w:val="00B4502D"/>
    <w:rsid w:val="00B4695C"/>
    <w:rsid w:val="00B55175"/>
    <w:rsid w:val="00B83DF1"/>
    <w:rsid w:val="00B846EE"/>
    <w:rsid w:val="00B858F2"/>
    <w:rsid w:val="00B94873"/>
    <w:rsid w:val="00BA14F7"/>
    <w:rsid w:val="00BA1901"/>
    <w:rsid w:val="00BA3EE7"/>
    <w:rsid w:val="00BA619A"/>
    <w:rsid w:val="00BB7118"/>
    <w:rsid w:val="00BB7349"/>
    <w:rsid w:val="00BD73C8"/>
    <w:rsid w:val="00BE14B7"/>
    <w:rsid w:val="00BE4A2E"/>
    <w:rsid w:val="00BE5C53"/>
    <w:rsid w:val="00BF0A48"/>
    <w:rsid w:val="00BF50D4"/>
    <w:rsid w:val="00BF5836"/>
    <w:rsid w:val="00C24705"/>
    <w:rsid w:val="00C3362B"/>
    <w:rsid w:val="00C45C76"/>
    <w:rsid w:val="00C61842"/>
    <w:rsid w:val="00C61892"/>
    <w:rsid w:val="00C66AC5"/>
    <w:rsid w:val="00C7083D"/>
    <w:rsid w:val="00C77DCD"/>
    <w:rsid w:val="00C879C4"/>
    <w:rsid w:val="00C91861"/>
    <w:rsid w:val="00C95698"/>
    <w:rsid w:val="00C97542"/>
    <w:rsid w:val="00CB13BD"/>
    <w:rsid w:val="00CB20F7"/>
    <w:rsid w:val="00CB2756"/>
    <w:rsid w:val="00CB6FE1"/>
    <w:rsid w:val="00CC12E5"/>
    <w:rsid w:val="00CC2F5F"/>
    <w:rsid w:val="00CD16C7"/>
    <w:rsid w:val="00CD21D4"/>
    <w:rsid w:val="00CE1B67"/>
    <w:rsid w:val="00CF21F1"/>
    <w:rsid w:val="00D015F6"/>
    <w:rsid w:val="00D02A52"/>
    <w:rsid w:val="00D242B1"/>
    <w:rsid w:val="00D36A9E"/>
    <w:rsid w:val="00D36E0A"/>
    <w:rsid w:val="00D4257B"/>
    <w:rsid w:val="00D636C2"/>
    <w:rsid w:val="00D90F43"/>
    <w:rsid w:val="00D92510"/>
    <w:rsid w:val="00DA034B"/>
    <w:rsid w:val="00DA1D3F"/>
    <w:rsid w:val="00DA5B0E"/>
    <w:rsid w:val="00DA6BD7"/>
    <w:rsid w:val="00DA7628"/>
    <w:rsid w:val="00DA7D54"/>
    <w:rsid w:val="00DB2512"/>
    <w:rsid w:val="00DC0DB4"/>
    <w:rsid w:val="00DE5C7D"/>
    <w:rsid w:val="00DE71BA"/>
    <w:rsid w:val="00E2134F"/>
    <w:rsid w:val="00E27EF1"/>
    <w:rsid w:val="00E32E77"/>
    <w:rsid w:val="00E33CD8"/>
    <w:rsid w:val="00E3511C"/>
    <w:rsid w:val="00E36B5A"/>
    <w:rsid w:val="00E43A50"/>
    <w:rsid w:val="00E55588"/>
    <w:rsid w:val="00E560A7"/>
    <w:rsid w:val="00E61FD8"/>
    <w:rsid w:val="00E63B44"/>
    <w:rsid w:val="00E75FA2"/>
    <w:rsid w:val="00E770CF"/>
    <w:rsid w:val="00E77E81"/>
    <w:rsid w:val="00E84A01"/>
    <w:rsid w:val="00E861DA"/>
    <w:rsid w:val="00E86206"/>
    <w:rsid w:val="00E865AB"/>
    <w:rsid w:val="00E9076F"/>
    <w:rsid w:val="00E97716"/>
    <w:rsid w:val="00EB52A2"/>
    <w:rsid w:val="00EC0ED1"/>
    <w:rsid w:val="00EC4965"/>
    <w:rsid w:val="00EC7FBB"/>
    <w:rsid w:val="00ED70F5"/>
    <w:rsid w:val="00EE0C36"/>
    <w:rsid w:val="00EE5E76"/>
    <w:rsid w:val="00EF660A"/>
    <w:rsid w:val="00EF68CD"/>
    <w:rsid w:val="00EF6DFD"/>
    <w:rsid w:val="00F007D0"/>
    <w:rsid w:val="00F02128"/>
    <w:rsid w:val="00F05D24"/>
    <w:rsid w:val="00F07972"/>
    <w:rsid w:val="00F1175D"/>
    <w:rsid w:val="00F161B5"/>
    <w:rsid w:val="00F30BDB"/>
    <w:rsid w:val="00F35149"/>
    <w:rsid w:val="00F4122B"/>
    <w:rsid w:val="00F44B82"/>
    <w:rsid w:val="00F554FB"/>
    <w:rsid w:val="00F56BD5"/>
    <w:rsid w:val="00F63D08"/>
    <w:rsid w:val="00F67C0D"/>
    <w:rsid w:val="00F8209A"/>
    <w:rsid w:val="00F86D8F"/>
    <w:rsid w:val="00F90BB1"/>
    <w:rsid w:val="00F90DEB"/>
    <w:rsid w:val="00F91376"/>
    <w:rsid w:val="00F935A6"/>
    <w:rsid w:val="00F93DE1"/>
    <w:rsid w:val="00FA2746"/>
    <w:rsid w:val="00FA2D1A"/>
    <w:rsid w:val="00FA389D"/>
    <w:rsid w:val="00FA571B"/>
    <w:rsid w:val="00FA5862"/>
    <w:rsid w:val="00FB6CA2"/>
    <w:rsid w:val="00FC49CB"/>
    <w:rsid w:val="00FD082F"/>
    <w:rsid w:val="00FD444D"/>
    <w:rsid w:val="00FE4185"/>
    <w:rsid w:val="00FF11F9"/>
    <w:rsid w:val="0110456E"/>
    <w:rsid w:val="01287B62"/>
    <w:rsid w:val="012A4559"/>
    <w:rsid w:val="0152323E"/>
    <w:rsid w:val="015417F3"/>
    <w:rsid w:val="0174207F"/>
    <w:rsid w:val="01A377C4"/>
    <w:rsid w:val="01A83F1F"/>
    <w:rsid w:val="01B509F6"/>
    <w:rsid w:val="01CF1291"/>
    <w:rsid w:val="01EE18FF"/>
    <w:rsid w:val="01F33470"/>
    <w:rsid w:val="02714395"/>
    <w:rsid w:val="027D2D3A"/>
    <w:rsid w:val="02FE11C1"/>
    <w:rsid w:val="03136709"/>
    <w:rsid w:val="035E2F20"/>
    <w:rsid w:val="036775F3"/>
    <w:rsid w:val="03903A07"/>
    <w:rsid w:val="03C707FF"/>
    <w:rsid w:val="03C8081B"/>
    <w:rsid w:val="03D350DB"/>
    <w:rsid w:val="03D55E7C"/>
    <w:rsid w:val="0418538E"/>
    <w:rsid w:val="04274596"/>
    <w:rsid w:val="04470863"/>
    <w:rsid w:val="0486399B"/>
    <w:rsid w:val="04D3598A"/>
    <w:rsid w:val="04D53301"/>
    <w:rsid w:val="04DA1079"/>
    <w:rsid w:val="04DF1854"/>
    <w:rsid w:val="04FC6BDD"/>
    <w:rsid w:val="05530449"/>
    <w:rsid w:val="05592861"/>
    <w:rsid w:val="05CA098C"/>
    <w:rsid w:val="05F60C77"/>
    <w:rsid w:val="063861E7"/>
    <w:rsid w:val="06407E99"/>
    <w:rsid w:val="064A73D7"/>
    <w:rsid w:val="06C41395"/>
    <w:rsid w:val="06D44ECA"/>
    <w:rsid w:val="06EC4A85"/>
    <w:rsid w:val="071F036A"/>
    <w:rsid w:val="07277465"/>
    <w:rsid w:val="07356B74"/>
    <w:rsid w:val="073A02CB"/>
    <w:rsid w:val="076C6FA3"/>
    <w:rsid w:val="07893F2F"/>
    <w:rsid w:val="07B8062D"/>
    <w:rsid w:val="07E35D35"/>
    <w:rsid w:val="08326637"/>
    <w:rsid w:val="08344047"/>
    <w:rsid w:val="088D512E"/>
    <w:rsid w:val="08A35402"/>
    <w:rsid w:val="08A513DB"/>
    <w:rsid w:val="08B86299"/>
    <w:rsid w:val="08FB569F"/>
    <w:rsid w:val="090F7BFD"/>
    <w:rsid w:val="096919AA"/>
    <w:rsid w:val="0983157E"/>
    <w:rsid w:val="09852058"/>
    <w:rsid w:val="09862E1C"/>
    <w:rsid w:val="09BA3C11"/>
    <w:rsid w:val="09BF51FA"/>
    <w:rsid w:val="0A0E4EFB"/>
    <w:rsid w:val="0A622F41"/>
    <w:rsid w:val="0A623244"/>
    <w:rsid w:val="0AD40410"/>
    <w:rsid w:val="0AE9185B"/>
    <w:rsid w:val="0B30303F"/>
    <w:rsid w:val="0B6F3378"/>
    <w:rsid w:val="0B8012B7"/>
    <w:rsid w:val="0B9D309A"/>
    <w:rsid w:val="0BD50632"/>
    <w:rsid w:val="0C112A35"/>
    <w:rsid w:val="0C176104"/>
    <w:rsid w:val="0C23103F"/>
    <w:rsid w:val="0C252478"/>
    <w:rsid w:val="0C4A000E"/>
    <w:rsid w:val="0C5316F2"/>
    <w:rsid w:val="0C8B09BC"/>
    <w:rsid w:val="0CB7003B"/>
    <w:rsid w:val="0CCA2D7E"/>
    <w:rsid w:val="0CD22DCF"/>
    <w:rsid w:val="0CD70335"/>
    <w:rsid w:val="0CFD272B"/>
    <w:rsid w:val="0D1D0BDC"/>
    <w:rsid w:val="0D3334A2"/>
    <w:rsid w:val="0D4C612B"/>
    <w:rsid w:val="0D512DA1"/>
    <w:rsid w:val="0D6917CA"/>
    <w:rsid w:val="0D6B5FBB"/>
    <w:rsid w:val="0D755681"/>
    <w:rsid w:val="0D872BAB"/>
    <w:rsid w:val="0DA20CDD"/>
    <w:rsid w:val="0DCC638D"/>
    <w:rsid w:val="0DD805A1"/>
    <w:rsid w:val="0E5D7200"/>
    <w:rsid w:val="0E651D74"/>
    <w:rsid w:val="0E71291C"/>
    <w:rsid w:val="0E7B1EC3"/>
    <w:rsid w:val="0F1E6DC0"/>
    <w:rsid w:val="0F246A50"/>
    <w:rsid w:val="0F4B2C7C"/>
    <w:rsid w:val="0FD731B3"/>
    <w:rsid w:val="0FDE7568"/>
    <w:rsid w:val="0FF44FF4"/>
    <w:rsid w:val="105F7E70"/>
    <w:rsid w:val="10915EF4"/>
    <w:rsid w:val="109317CB"/>
    <w:rsid w:val="10AB0B05"/>
    <w:rsid w:val="10CE2047"/>
    <w:rsid w:val="10D63E3B"/>
    <w:rsid w:val="114A7BEF"/>
    <w:rsid w:val="11592BC4"/>
    <w:rsid w:val="11756C0E"/>
    <w:rsid w:val="11964ADA"/>
    <w:rsid w:val="11B543EC"/>
    <w:rsid w:val="12240AFD"/>
    <w:rsid w:val="122B27B2"/>
    <w:rsid w:val="12F93CEA"/>
    <w:rsid w:val="131E5458"/>
    <w:rsid w:val="132458F0"/>
    <w:rsid w:val="134E49AB"/>
    <w:rsid w:val="139B1880"/>
    <w:rsid w:val="13C8548E"/>
    <w:rsid w:val="14092680"/>
    <w:rsid w:val="1498706D"/>
    <w:rsid w:val="14C173FE"/>
    <w:rsid w:val="14C40AEF"/>
    <w:rsid w:val="14CB139A"/>
    <w:rsid w:val="14CC5399"/>
    <w:rsid w:val="151B39CC"/>
    <w:rsid w:val="15361614"/>
    <w:rsid w:val="155A7BF6"/>
    <w:rsid w:val="157430DE"/>
    <w:rsid w:val="15780D51"/>
    <w:rsid w:val="158A498C"/>
    <w:rsid w:val="158B7A4D"/>
    <w:rsid w:val="159211B8"/>
    <w:rsid w:val="15D56535"/>
    <w:rsid w:val="162C171D"/>
    <w:rsid w:val="16311D4C"/>
    <w:rsid w:val="16B54D41"/>
    <w:rsid w:val="16BA0531"/>
    <w:rsid w:val="16CE1B91"/>
    <w:rsid w:val="16D03853"/>
    <w:rsid w:val="16FF39CF"/>
    <w:rsid w:val="17872F33"/>
    <w:rsid w:val="178A43F9"/>
    <w:rsid w:val="178D1819"/>
    <w:rsid w:val="178D2862"/>
    <w:rsid w:val="17A807B6"/>
    <w:rsid w:val="17BB7D90"/>
    <w:rsid w:val="17C43372"/>
    <w:rsid w:val="17D42FA4"/>
    <w:rsid w:val="17D56D11"/>
    <w:rsid w:val="17EE8DD6"/>
    <w:rsid w:val="17F92A0B"/>
    <w:rsid w:val="18311585"/>
    <w:rsid w:val="18402773"/>
    <w:rsid w:val="18544F3A"/>
    <w:rsid w:val="18624A54"/>
    <w:rsid w:val="189D041A"/>
    <w:rsid w:val="18DF02F1"/>
    <w:rsid w:val="19127B16"/>
    <w:rsid w:val="197013C5"/>
    <w:rsid w:val="19783A97"/>
    <w:rsid w:val="1991296F"/>
    <w:rsid w:val="19A17C9A"/>
    <w:rsid w:val="19A61090"/>
    <w:rsid w:val="19A933DC"/>
    <w:rsid w:val="1A0F0AAF"/>
    <w:rsid w:val="1A5E1979"/>
    <w:rsid w:val="1AB90820"/>
    <w:rsid w:val="1ACD005B"/>
    <w:rsid w:val="1AE73C68"/>
    <w:rsid w:val="1AE752A4"/>
    <w:rsid w:val="1AF23E6D"/>
    <w:rsid w:val="1B0000C7"/>
    <w:rsid w:val="1B010952"/>
    <w:rsid w:val="1B067919"/>
    <w:rsid w:val="1B0911B7"/>
    <w:rsid w:val="1B155291"/>
    <w:rsid w:val="1B1C70FB"/>
    <w:rsid w:val="1B5635B8"/>
    <w:rsid w:val="1B5C2302"/>
    <w:rsid w:val="1B610BCD"/>
    <w:rsid w:val="1B841906"/>
    <w:rsid w:val="1B8C4102"/>
    <w:rsid w:val="1B9E4E79"/>
    <w:rsid w:val="1BA958DB"/>
    <w:rsid w:val="1BAA4748"/>
    <w:rsid w:val="1BC81072"/>
    <w:rsid w:val="1C0078DB"/>
    <w:rsid w:val="1C3339B4"/>
    <w:rsid w:val="1C336A2F"/>
    <w:rsid w:val="1C35423B"/>
    <w:rsid w:val="1C4C3A51"/>
    <w:rsid w:val="1C4D3B73"/>
    <w:rsid w:val="1C682421"/>
    <w:rsid w:val="1C8E1D12"/>
    <w:rsid w:val="1CBF06C7"/>
    <w:rsid w:val="1CBF4223"/>
    <w:rsid w:val="1CF53B1B"/>
    <w:rsid w:val="1CFC79F2"/>
    <w:rsid w:val="1D0C339C"/>
    <w:rsid w:val="1D1C02E7"/>
    <w:rsid w:val="1D4A2AFA"/>
    <w:rsid w:val="1D6C2AC7"/>
    <w:rsid w:val="1D813EEC"/>
    <w:rsid w:val="1D96627A"/>
    <w:rsid w:val="1D9A6C3F"/>
    <w:rsid w:val="1D9B5B7E"/>
    <w:rsid w:val="1DB21B39"/>
    <w:rsid w:val="1DBD315C"/>
    <w:rsid w:val="1DD85009"/>
    <w:rsid w:val="1DE82050"/>
    <w:rsid w:val="1DFC7CC8"/>
    <w:rsid w:val="1E1265D5"/>
    <w:rsid w:val="1E1C6F11"/>
    <w:rsid w:val="1E4F7A48"/>
    <w:rsid w:val="1E5029D9"/>
    <w:rsid w:val="1E5F5CBE"/>
    <w:rsid w:val="1E9A63CF"/>
    <w:rsid w:val="1EDA7B1E"/>
    <w:rsid w:val="1EF22C45"/>
    <w:rsid w:val="1F034BEC"/>
    <w:rsid w:val="1F046FEC"/>
    <w:rsid w:val="1F153A2A"/>
    <w:rsid w:val="1F2962CC"/>
    <w:rsid w:val="1F544CBA"/>
    <w:rsid w:val="1FA16A62"/>
    <w:rsid w:val="1FA871F0"/>
    <w:rsid w:val="20112FE8"/>
    <w:rsid w:val="20914128"/>
    <w:rsid w:val="20951D09"/>
    <w:rsid w:val="20A07462"/>
    <w:rsid w:val="20D61A8B"/>
    <w:rsid w:val="20DD5FAB"/>
    <w:rsid w:val="21091507"/>
    <w:rsid w:val="21460DAB"/>
    <w:rsid w:val="2150416A"/>
    <w:rsid w:val="215653BA"/>
    <w:rsid w:val="215E27F5"/>
    <w:rsid w:val="21772B9C"/>
    <w:rsid w:val="21AB3896"/>
    <w:rsid w:val="21B83AE0"/>
    <w:rsid w:val="21C30312"/>
    <w:rsid w:val="21E32605"/>
    <w:rsid w:val="21E42E4D"/>
    <w:rsid w:val="226B7039"/>
    <w:rsid w:val="226F744B"/>
    <w:rsid w:val="228F28EA"/>
    <w:rsid w:val="22A87F53"/>
    <w:rsid w:val="22C15A8A"/>
    <w:rsid w:val="22E050E8"/>
    <w:rsid w:val="23561534"/>
    <w:rsid w:val="237F295E"/>
    <w:rsid w:val="23CD26EC"/>
    <w:rsid w:val="23E32A7F"/>
    <w:rsid w:val="23FF114E"/>
    <w:rsid w:val="243310C1"/>
    <w:rsid w:val="24523BCF"/>
    <w:rsid w:val="246B4F7F"/>
    <w:rsid w:val="24716E1D"/>
    <w:rsid w:val="24731E08"/>
    <w:rsid w:val="247D1459"/>
    <w:rsid w:val="24B40016"/>
    <w:rsid w:val="2538195A"/>
    <w:rsid w:val="255C2A3F"/>
    <w:rsid w:val="257A36DA"/>
    <w:rsid w:val="25855650"/>
    <w:rsid w:val="25967D77"/>
    <w:rsid w:val="259F53D6"/>
    <w:rsid w:val="25B74685"/>
    <w:rsid w:val="25C86431"/>
    <w:rsid w:val="25CB4B7C"/>
    <w:rsid w:val="25D57AC8"/>
    <w:rsid w:val="2611799E"/>
    <w:rsid w:val="26867B60"/>
    <w:rsid w:val="269577DC"/>
    <w:rsid w:val="26A51BFA"/>
    <w:rsid w:val="26C23BE1"/>
    <w:rsid w:val="26C254B6"/>
    <w:rsid w:val="26E3094C"/>
    <w:rsid w:val="26F97E24"/>
    <w:rsid w:val="26FA0BCB"/>
    <w:rsid w:val="26FB2875"/>
    <w:rsid w:val="270A274C"/>
    <w:rsid w:val="270E473B"/>
    <w:rsid w:val="27193E39"/>
    <w:rsid w:val="273D686A"/>
    <w:rsid w:val="27592D32"/>
    <w:rsid w:val="276460F3"/>
    <w:rsid w:val="27B041D5"/>
    <w:rsid w:val="27F621D6"/>
    <w:rsid w:val="282D0BDB"/>
    <w:rsid w:val="288374D7"/>
    <w:rsid w:val="28895693"/>
    <w:rsid w:val="28A546A3"/>
    <w:rsid w:val="28AD1E58"/>
    <w:rsid w:val="28BD7347"/>
    <w:rsid w:val="28C01219"/>
    <w:rsid w:val="28E148BA"/>
    <w:rsid w:val="28E63F94"/>
    <w:rsid w:val="28E868B0"/>
    <w:rsid w:val="291B2704"/>
    <w:rsid w:val="291F4EE8"/>
    <w:rsid w:val="29E92847"/>
    <w:rsid w:val="29F773BD"/>
    <w:rsid w:val="2A083FCE"/>
    <w:rsid w:val="2A291603"/>
    <w:rsid w:val="2A33332E"/>
    <w:rsid w:val="2A4A3721"/>
    <w:rsid w:val="2AA000ED"/>
    <w:rsid w:val="2ADD7F75"/>
    <w:rsid w:val="2B247814"/>
    <w:rsid w:val="2B312EE2"/>
    <w:rsid w:val="2B8420B6"/>
    <w:rsid w:val="2B896D00"/>
    <w:rsid w:val="2BBA3265"/>
    <w:rsid w:val="2BD6493A"/>
    <w:rsid w:val="2BD97D2D"/>
    <w:rsid w:val="2BE10D39"/>
    <w:rsid w:val="2C0D78A1"/>
    <w:rsid w:val="2C1C4C52"/>
    <w:rsid w:val="2C312D25"/>
    <w:rsid w:val="2C355F40"/>
    <w:rsid w:val="2C46695E"/>
    <w:rsid w:val="2C5F16FD"/>
    <w:rsid w:val="2C60463B"/>
    <w:rsid w:val="2C6D401C"/>
    <w:rsid w:val="2C7966F4"/>
    <w:rsid w:val="2C877DC8"/>
    <w:rsid w:val="2C9C7A31"/>
    <w:rsid w:val="2CBA17DC"/>
    <w:rsid w:val="2CDD0C30"/>
    <w:rsid w:val="2CE30996"/>
    <w:rsid w:val="2CE41DAD"/>
    <w:rsid w:val="2CED7561"/>
    <w:rsid w:val="2D330EE2"/>
    <w:rsid w:val="2D5A5FF8"/>
    <w:rsid w:val="2D6E1E26"/>
    <w:rsid w:val="2D7F2712"/>
    <w:rsid w:val="2D7F7721"/>
    <w:rsid w:val="2DB63420"/>
    <w:rsid w:val="2DCC67A9"/>
    <w:rsid w:val="2E1253C9"/>
    <w:rsid w:val="2E3157E4"/>
    <w:rsid w:val="2E7676D4"/>
    <w:rsid w:val="2E7B6798"/>
    <w:rsid w:val="2EA9176B"/>
    <w:rsid w:val="2ED66901"/>
    <w:rsid w:val="2F0F63BE"/>
    <w:rsid w:val="2F3835CA"/>
    <w:rsid w:val="2F633134"/>
    <w:rsid w:val="2F64077E"/>
    <w:rsid w:val="2F7741CA"/>
    <w:rsid w:val="2F7C70C1"/>
    <w:rsid w:val="2FB4124B"/>
    <w:rsid w:val="2FD86195"/>
    <w:rsid w:val="2FE14B66"/>
    <w:rsid w:val="2FEA7A68"/>
    <w:rsid w:val="300968EA"/>
    <w:rsid w:val="30182170"/>
    <w:rsid w:val="302A1104"/>
    <w:rsid w:val="302C0B77"/>
    <w:rsid w:val="303625F7"/>
    <w:rsid w:val="30387DE4"/>
    <w:rsid w:val="30542A7D"/>
    <w:rsid w:val="30695E71"/>
    <w:rsid w:val="30A265EA"/>
    <w:rsid w:val="30AA2A9B"/>
    <w:rsid w:val="30CC121C"/>
    <w:rsid w:val="311939C4"/>
    <w:rsid w:val="31240C50"/>
    <w:rsid w:val="312D57A8"/>
    <w:rsid w:val="313639C7"/>
    <w:rsid w:val="31365AFE"/>
    <w:rsid w:val="31476AD2"/>
    <w:rsid w:val="315D4E02"/>
    <w:rsid w:val="31670938"/>
    <w:rsid w:val="318C422E"/>
    <w:rsid w:val="319F0AAA"/>
    <w:rsid w:val="31AE5A3F"/>
    <w:rsid w:val="31C27A7D"/>
    <w:rsid w:val="32067D29"/>
    <w:rsid w:val="327862B3"/>
    <w:rsid w:val="32846D19"/>
    <w:rsid w:val="32AE7BB8"/>
    <w:rsid w:val="32D54503"/>
    <w:rsid w:val="331108DD"/>
    <w:rsid w:val="334D0383"/>
    <w:rsid w:val="33632624"/>
    <w:rsid w:val="33921D22"/>
    <w:rsid w:val="33B6442C"/>
    <w:rsid w:val="33BF65DB"/>
    <w:rsid w:val="34085535"/>
    <w:rsid w:val="34140EE8"/>
    <w:rsid w:val="34161B32"/>
    <w:rsid w:val="34482BCB"/>
    <w:rsid w:val="345D372E"/>
    <w:rsid w:val="345E156C"/>
    <w:rsid w:val="34774B14"/>
    <w:rsid w:val="34B955A4"/>
    <w:rsid w:val="34BB1C81"/>
    <w:rsid w:val="34F53481"/>
    <w:rsid w:val="34FB2A15"/>
    <w:rsid w:val="350A34E6"/>
    <w:rsid w:val="350A6522"/>
    <w:rsid w:val="351B7857"/>
    <w:rsid w:val="355B5366"/>
    <w:rsid w:val="35770848"/>
    <w:rsid w:val="35795AB7"/>
    <w:rsid w:val="357D71B7"/>
    <w:rsid w:val="35853E26"/>
    <w:rsid w:val="358A766C"/>
    <w:rsid w:val="35C44201"/>
    <w:rsid w:val="35EB4F76"/>
    <w:rsid w:val="36236F1F"/>
    <w:rsid w:val="36280C33"/>
    <w:rsid w:val="3639407B"/>
    <w:rsid w:val="365F4A63"/>
    <w:rsid w:val="36981915"/>
    <w:rsid w:val="36C24638"/>
    <w:rsid w:val="36DF5DB6"/>
    <w:rsid w:val="36EE59D9"/>
    <w:rsid w:val="3716668D"/>
    <w:rsid w:val="372512B8"/>
    <w:rsid w:val="37272853"/>
    <w:rsid w:val="374D0A05"/>
    <w:rsid w:val="3774736A"/>
    <w:rsid w:val="378804F2"/>
    <w:rsid w:val="37E27200"/>
    <w:rsid w:val="37E63190"/>
    <w:rsid w:val="37FB77A3"/>
    <w:rsid w:val="3848741A"/>
    <w:rsid w:val="38B07EBC"/>
    <w:rsid w:val="3951565B"/>
    <w:rsid w:val="39784C01"/>
    <w:rsid w:val="397B1C73"/>
    <w:rsid w:val="397C6CDA"/>
    <w:rsid w:val="398E6FFF"/>
    <w:rsid w:val="39AA1946"/>
    <w:rsid w:val="39B1489C"/>
    <w:rsid w:val="39B2420F"/>
    <w:rsid w:val="39C55573"/>
    <w:rsid w:val="39D2448B"/>
    <w:rsid w:val="3A0644D6"/>
    <w:rsid w:val="3A1F3F3F"/>
    <w:rsid w:val="3A315C21"/>
    <w:rsid w:val="3A610F07"/>
    <w:rsid w:val="3A6A6DE7"/>
    <w:rsid w:val="3A96760D"/>
    <w:rsid w:val="3AA543D7"/>
    <w:rsid w:val="3B05373E"/>
    <w:rsid w:val="3B1D508C"/>
    <w:rsid w:val="3B3014EC"/>
    <w:rsid w:val="3B415DA2"/>
    <w:rsid w:val="3B441AFA"/>
    <w:rsid w:val="3B7E1760"/>
    <w:rsid w:val="3B872072"/>
    <w:rsid w:val="3BDD29D4"/>
    <w:rsid w:val="3BF03FA1"/>
    <w:rsid w:val="3C5B253C"/>
    <w:rsid w:val="3C6B604E"/>
    <w:rsid w:val="3CA04172"/>
    <w:rsid w:val="3CE0414D"/>
    <w:rsid w:val="3D080568"/>
    <w:rsid w:val="3DA45DC7"/>
    <w:rsid w:val="3DD50037"/>
    <w:rsid w:val="3DF80EEB"/>
    <w:rsid w:val="3E465A82"/>
    <w:rsid w:val="3E49442F"/>
    <w:rsid w:val="3E5B1EA2"/>
    <w:rsid w:val="3E7E4413"/>
    <w:rsid w:val="3E8C1ACD"/>
    <w:rsid w:val="3E945B9C"/>
    <w:rsid w:val="3EB74889"/>
    <w:rsid w:val="3EBB0897"/>
    <w:rsid w:val="3EF34B0F"/>
    <w:rsid w:val="3EFC4A0B"/>
    <w:rsid w:val="3EFF6212"/>
    <w:rsid w:val="3F101AA9"/>
    <w:rsid w:val="3F6760EC"/>
    <w:rsid w:val="3F710200"/>
    <w:rsid w:val="3F993932"/>
    <w:rsid w:val="3FFE1D72"/>
    <w:rsid w:val="40166C65"/>
    <w:rsid w:val="40327434"/>
    <w:rsid w:val="40770257"/>
    <w:rsid w:val="408711C2"/>
    <w:rsid w:val="40885195"/>
    <w:rsid w:val="40AB1C46"/>
    <w:rsid w:val="40BD5814"/>
    <w:rsid w:val="40BD6239"/>
    <w:rsid w:val="41205DD8"/>
    <w:rsid w:val="41230975"/>
    <w:rsid w:val="41357045"/>
    <w:rsid w:val="41382AAF"/>
    <w:rsid w:val="414A2BFB"/>
    <w:rsid w:val="4178134C"/>
    <w:rsid w:val="417B56B5"/>
    <w:rsid w:val="418238EE"/>
    <w:rsid w:val="41CE118C"/>
    <w:rsid w:val="41CF65A3"/>
    <w:rsid w:val="41D07964"/>
    <w:rsid w:val="42105EF9"/>
    <w:rsid w:val="42164036"/>
    <w:rsid w:val="42165DE4"/>
    <w:rsid w:val="42213106"/>
    <w:rsid w:val="429147D7"/>
    <w:rsid w:val="42954A28"/>
    <w:rsid w:val="429733C9"/>
    <w:rsid w:val="429D02B3"/>
    <w:rsid w:val="42B431B4"/>
    <w:rsid w:val="42B93F66"/>
    <w:rsid w:val="42CE79F1"/>
    <w:rsid w:val="42E04BF3"/>
    <w:rsid w:val="43360377"/>
    <w:rsid w:val="434D7F2B"/>
    <w:rsid w:val="43711918"/>
    <w:rsid w:val="43783F48"/>
    <w:rsid w:val="440A75BA"/>
    <w:rsid w:val="44136A7F"/>
    <w:rsid w:val="443314C8"/>
    <w:rsid w:val="4482742F"/>
    <w:rsid w:val="44D234F0"/>
    <w:rsid w:val="44E67120"/>
    <w:rsid w:val="44F050F0"/>
    <w:rsid w:val="45255632"/>
    <w:rsid w:val="455765CB"/>
    <w:rsid w:val="45622409"/>
    <w:rsid w:val="45872DBD"/>
    <w:rsid w:val="459445B8"/>
    <w:rsid w:val="45A43FD4"/>
    <w:rsid w:val="45C30C88"/>
    <w:rsid w:val="45D04FD0"/>
    <w:rsid w:val="45D466E2"/>
    <w:rsid w:val="45E3372F"/>
    <w:rsid w:val="45E76415"/>
    <w:rsid w:val="45E932CC"/>
    <w:rsid w:val="46205483"/>
    <w:rsid w:val="46473EA5"/>
    <w:rsid w:val="4649370D"/>
    <w:rsid w:val="464B42AE"/>
    <w:rsid w:val="46500EAC"/>
    <w:rsid w:val="46866FF9"/>
    <w:rsid w:val="46A07464"/>
    <w:rsid w:val="46CD187E"/>
    <w:rsid w:val="46DD15C6"/>
    <w:rsid w:val="47024B89"/>
    <w:rsid w:val="47046B53"/>
    <w:rsid w:val="470B37A2"/>
    <w:rsid w:val="472D7825"/>
    <w:rsid w:val="473476FC"/>
    <w:rsid w:val="47480217"/>
    <w:rsid w:val="47617289"/>
    <w:rsid w:val="4775433A"/>
    <w:rsid w:val="47867568"/>
    <w:rsid w:val="47AB0B61"/>
    <w:rsid w:val="47AC4801"/>
    <w:rsid w:val="47C9785B"/>
    <w:rsid w:val="480C15B4"/>
    <w:rsid w:val="481E30FF"/>
    <w:rsid w:val="48763663"/>
    <w:rsid w:val="488C4E6B"/>
    <w:rsid w:val="48A0658E"/>
    <w:rsid w:val="48DB1B35"/>
    <w:rsid w:val="48EB621C"/>
    <w:rsid w:val="49062A68"/>
    <w:rsid w:val="493B7EA4"/>
    <w:rsid w:val="49431703"/>
    <w:rsid w:val="49794E63"/>
    <w:rsid w:val="498A7A13"/>
    <w:rsid w:val="49A34401"/>
    <w:rsid w:val="4A195415"/>
    <w:rsid w:val="4A1C72E2"/>
    <w:rsid w:val="4A273550"/>
    <w:rsid w:val="4A484FA8"/>
    <w:rsid w:val="4A49402C"/>
    <w:rsid w:val="4A7B712C"/>
    <w:rsid w:val="4A7E53C3"/>
    <w:rsid w:val="4A8674DD"/>
    <w:rsid w:val="4A972779"/>
    <w:rsid w:val="4A99683E"/>
    <w:rsid w:val="4ABB6284"/>
    <w:rsid w:val="4B082653"/>
    <w:rsid w:val="4B0E79C2"/>
    <w:rsid w:val="4B140CDC"/>
    <w:rsid w:val="4B603289"/>
    <w:rsid w:val="4B787DE2"/>
    <w:rsid w:val="4BAA3C3B"/>
    <w:rsid w:val="4BB01054"/>
    <w:rsid w:val="4BED21E4"/>
    <w:rsid w:val="4BEF498B"/>
    <w:rsid w:val="4BF35626"/>
    <w:rsid w:val="4C0A6081"/>
    <w:rsid w:val="4C0E6BBE"/>
    <w:rsid w:val="4C30370E"/>
    <w:rsid w:val="4C38613A"/>
    <w:rsid w:val="4C393582"/>
    <w:rsid w:val="4C4C603D"/>
    <w:rsid w:val="4C524CED"/>
    <w:rsid w:val="4C7503E0"/>
    <w:rsid w:val="4C9E0CAE"/>
    <w:rsid w:val="4CA53BDF"/>
    <w:rsid w:val="4CB45976"/>
    <w:rsid w:val="4CBD76F0"/>
    <w:rsid w:val="4CC30215"/>
    <w:rsid w:val="4CD83BA1"/>
    <w:rsid w:val="4CE52E67"/>
    <w:rsid w:val="4D0065ED"/>
    <w:rsid w:val="4D477AD7"/>
    <w:rsid w:val="4D80085B"/>
    <w:rsid w:val="4D9E7415"/>
    <w:rsid w:val="4DCE22C9"/>
    <w:rsid w:val="4DDF391E"/>
    <w:rsid w:val="4E1E764D"/>
    <w:rsid w:val="4E283374"/>
    <w:rsid w:val="4E2D2E33"/>
    <w:rsid w:val="4E3133BA"/>
    <w:rsid w:val="4E6047AE"/>
    <w:rsid w:val="4E824F2D"/>
    <w:rsid w:val="4ED768DE"/>
    <w:rsid w:val="4F0E7E3D"/>
    <w:rsid w:val="4F4504F6"/>
    <w:rsid w:val="4F723826"/>
    <w:rsid w:val="4F724D92"/>
    <w:rsid w:val="4F8449C1"/>
    <w:rsid w:val="4F8E06FA"/>
    <w:rsid w:val="4F960DDB"/>
    <w:rsid w:val="4FC83727"/>
    <w:rsid w:val="4FC9093A"/>
    <w:rsid w:val="4FEB08B0"/>
    <w:rsid w:val="50035D33"/>
    <w:rsid w:val="500B0643"/>
    <w:rsid w:val="500D10DA"/>
    <w:rsid w:val="50241CE8"/>
    <w:rsid w:val="502846A3"/>
    <w:rsid w:val="503423D2"/>
    <w:rsid w:val="50424FC6"/>
    <w:rsid w:val="5054454A"/>
    <w:rsid w:val="505A7F81"/>
    <w:rsid w:val="506D74E0"/>
    <w:rsid w:val="50E35845"/>
    <w:rsid w:val="50F3201A"/>
    <w:rsid w:val="50FD71D4"/>
    <w:rsid w:val="51153A1E"/>
    <w:rsid w:val="51514CE6"/>
    <w:rsid w:val="5172518C"/>
    <w:rsid w:val="519C7A27"/>
    <w:rsid w:val="51AA57EB"/>
    <w:rsid w:val="51B030AA"/>
    <w:rsid w:val="51BF18F5"/>
    <w:rsid w:val="51D3784E"/>
    <w:rsid w:val="51D766B0"/>
    <w:rsid w:val="51EE4687"/>
    <w:rsid w:val="51F447B3"/>
    <w:rsid w:val="520A323F"/>
    <w:rsid w:val="52243E8E"/>
    <w:rsid w:val="52374F3A"/>
    <w:rsid w:val="52437C77"/>
    <w:rsid w:val="525213A4"/>
    <w:rsid w:val="528D5DA6"/>
    <w:rsid w:val="52B50EAA"/>
    <w:rsid w:val="52D53B6B"/>
    <w:rsid w:val="52DA6857"/>
    <w:rsid w:val="531506FF"/>
    <w:rsid w:val="536035AC"/>
    <w:rsid w:val="53767C23"/>
    <w:rsid w:val="5379561E"/>
    <w:rsid w:val="53A04AF9"/>
    <w:rsid w:val="53EB1733"/>
    <w:rsid w:val="54127FC7"/>
    <w:rsid w:val="54306174"/>
    <w:rsid w:val="54395A41"/>
    <w:rsid w:val="544F3B03"/>
    <w:rsid w:val="545036D2"/>
    <w:rsid w:val="54631AE5"/>
    <w:rsid w:val="5465478F"/>
    <w:rsid w:val="54C81231"/>
    <w:rsid w:val="54D62D00"/>
    <w:rsid w:val="54EA4B49"/>
    <w:rsid w:val="55133112"/>
    <w:rsid w:val="55275778"/>
    <w:rsid w:val="55631E43"/>
    <w:rsid w:val="55666378"/>
    <w:rsid w:val="55933DED"/>
    <w:rsid w:val="55B04E29"/>
    <w:rsid w:val="55C56D42"/>
    <w:rsid w:val="55D65B5E"/>
    <w:rsid w:val="55D67E95"/>
    <w:rsid w:val="561F3061"/>
    <w:rsid w:val="56D73C32"/>
    <w:rsid w:val="56DC71A4"/>
    <w:rsid w:val="56DF0A43"/>
    <w:rsid w:val="56F05B65"/>
    <w:rsid w:val="570C1DA5"/>
    <w:rsid w:val="57712A40"/>
    <w:rsid w:val="579B0E0D"/>
    <w:rsid w:val="57A17A3F"/>
    <w:rsid w:val="57F56CCE"/>
    <w:rsid w:val="58203621"/>
    <w:rsid w:val="58412102"/>
    <w:rsid w:val="58563B85"/>
    <w:rsid w:val="586B6912"/>
    <w:rsid w:val="58776221"/>
    <w:rsid w:val="5884047C"/>
    <w:rsid w:val="58AD2E18"/>
    <w:rsid w:val="58BC0710"/>
    <w:rsid w:val="58C96063"/>
    <w:rsid w:val="59080725"/>
    <w:rsid w:val="59101557"/>
    <w:rsid w:val="591B6943"/>
    <w:rsid w:val="595933E4"/>
    <w:rsid w:val="599B67A7"/>
    <w:rsid w:val="59D6088C"/>
    <w:rsid w:val="59FA6C11"/>
    <w:rsid w:val="59FE666C"/>
    <w:rsid w:val="5A1A618F"/>
    <w:rsid w:val="5A1B65DD"/>
    <w:rsid w:val="5A345DC2"/>
    <w:rsid w:val="5A450894"/>
    <w:rsid w:val="5A4C2893"/>
    <w:rsid w:val="5A610511"/>
    <w:rsid w:val="5AAF0F91"/>
    <w:rsid w:val="5AE55490"/>
    <w:rsid w:val="5B1C5EE6"/>
    <w:rsid w:val="5B555C38"/>
    <w:rsid w:val="5B7A2211"/>
    <w:rsid w:val="5B857E0A"/>
    <w:rsid w:val="5BAA24C6"/>
    <w:rsid w:val="5BE77A78"/>
    <w:rsid w:val="5BFA1BB8"/>
    <w:rsid w:val="5C2B0879"/>
    <w:rsid w:val="5C6469B6"/>
    <w:rsid w:val="5C7D1A61"/>
    <w:rsid w:val="5C9347A9"/>
    <w:rsid w:val="5CED2C2E"/>
    <w:rsid w:val="5CFD190F"/>
    <w:rsid w:val="5D017C72"/>
    <w:rsid w:val="5D156723"/>
    <w:rsid w:val="5D1B4AA0"/>
    <w:rsid w:val="5D282B95"/>
    <w:rsid w:val="5D5979CA"/>
    <w:rsid w:val="5D6E41C0"/>
    <w:rsid w:val="5D9A10C4"/>
    <w:rsid w:val="5D9E53A6"/>
    <w:rsid w:val="5DA96625"/>
    <w:rsid w:val="5DC412CB"/>
    <w:rsid w:val="5DDF5A18"/>
    <w:rsid w:val="5DE41F49"/>
    <w:rsid w:val="5DF82E85"/>
    <w:rsid w:val="5E001468"/>
    <w:rsid w:val="5E0E33F0"/>
    <w:rsid w:val="5E151556"/>
    <w:rsid w:val="5E1D679B"/>
    <w:rsid w:val="5E2B55C7"/>
    <w:rsid w:val="5E353C1F"/>
    <w:rsid w:val="5E8750BE"/>
    <w:rsid w:val="5E88652A"/>
    <w:rsid w:val="5EB326C3"/>
    <w:rsid w:val="5EB50A07"/>
    <w:rsid w:val="5EC846D3"/>
    <w:rsid w:val="5ED8320C"/>
    <w:rsid w:val="5EE72B8A"/>
    <w:rsid w:val="5EFD7EF3"/>
    <w:rsid w:val="5F3F29C6"/>
    <w:rsid w:val="5F401D0B"/>
    <w:rsid w:val="5F4240E2"/>
    <w:rsid w:val="5F894A38"/>
    <w:rsid w:val="5F8A5E91"/>
    <w:rsid w:val="5F9C5B22"/>
    <w:rsid w:val="5FBC191E"/>
    <w:rsid w:val="60032F94"/>
    <w:rsid w:val="603B1E6D"/>
    <w:rsid w:val="60557755"/>
    <w:rsid w:val="605725DA"/>
    <w:rsid w:val="6085029D"/>
    <w:rsid w:val="608A3CC5"/>
    <w:rsid w:val="60E33E3D"/>
    <w:rsid w:val="60E83407"/>
    <w:rsid w:val="614D117E"/>
    <w:rsid w:val="615057ED"/>
    <w:rsid w:val="61B04F6E"/>
    <w:rsid w:val="61F26A64"/>
    <w:rsid w:val="620A7636"/>
    <w:rsid w:val="624C47DF"/>
    <w:rsid w:val="626C3880"/>
    <w:rsid w:val="627A5F4F"/>
    <w:rsid w:val="62AF29E4"/>
    <w:rsid w:val="62B47A13"/>
    <w:rsid w:val="63143F24"/>
    <w:rsid w:val="63260125"/>
    <w:rsid w:val="638D2F24"/>
    <w:rsid w:val="63923879"/>
    <w:rsid w:val="639F55E6"/>
    <w:rsid w:val="63AE1B4B"/>
    <w:rsid w:val="63CC69A4"/>
    <w:rsid w:val="63E94CAF"/>
    <w:rsid w:val="64122768"/>
    <w:rsid w:val="64590086"/>
    <w:rsid w:val="645B3DFE"/>
    <w:rsid w:val="648C708D"/>
    <w:rsid w:val="649E3CEB"/>
    <w:rsid w:val="64C9520C"/>
    <w:rsid w:val="64E158A4"/>
    <w:rsid w:val="64EE1A97"/>
    <w:rsid w:val="6530528B"/>
    <w:rsid w:val="654230E5"/>
    <w:rsid w:val="65917FC7"/>
    <w:rsid w:val="659B25D3"/>
    <w:rsid w:val="65D2131D"/>
    <w:rsid w:val="66354162"/>
    <w:rsid w:val="664B43E9"/>
    <w:rsid w:val="66536136"/>
    <w:rsid w:val="665F4929"/>
    <w:rsid w:val="666F567B"/>
    <w:rsid w:val="66AD6789"/>
    <w:rsid w:val="67060132"/>
    <w:rsid w:val="67364EA6"/>
    <w:rsid w:val="6760469D"/>
    <w:rsid w:val="676517E2"/>
    <w:rsid w:val="676A0C1E"/>
    <w:rsid w:val="67C16F81"/>
    <w:rsid w:val="67C47418"/>
    <w:rsid w:val="67CA4CA9"/>
    <w:rsid w:val="67CC2EEA"/>
    <w:rsid w:val="68135590"/>
    <w:rsid w:val="683E3A4D"/>
    <w:rsid w:val="686C601A"/>
    <w:rsid w:val="687234C5"/>
    <w:rsid w:val="68977313"/>
    <w:rsid w:val="68AF64C7"/>
    <w:rsid w:val="68D8328A"/>
    <w:rsid w:val="68FB7375"/>
    <w:rsid w:val="69273E57"/>
    <w:rsid w:val="69295B7A"/>
    <w:rsid w:val="698C0564"/>
    <w:rsid w:val="6995315D"/>
    <w:rsid w:val="69A964D5"/>
    <w:rsid w:val="69EA0F0C"/>
    <w:rsid w:val="6A1B612A"/>
    <w:rsid w:val="6A1C1234"/>
    <w:rsid w:val="6AB07C88"/>
    <w:rsid w:val="6AB25FF2"/>
    <w:rsid w:val="6AD20B92"/>
    <w:rsid w:val="6AE7729F"/>
    <w:rsid w:val="6AED777A"/>
    <w:rsid w:val="6AF428B7"/>
    <w:rsid w:val="6B282560"/>
    <w:rsid w:val="6B506C80"/>
    <w:rsid w:val="6B716456"/>
    <w:rsid w:val="6BC009EB"/>
    <w:rsid w:val="6BDA00A4"/>
    <w:rsid w:val="6BDB6FEF"/>
    <w:rsid w:val="6BE91CF0"/>
    <w:rsid w:val="6BF122E1"/>
    <w:rsid w:val="6C290102"/>
    <w:rsid w:val="6C2D3629"/>
    <w:rsid w:val="6C411B2C"/>
    <w:rsid w:val="6C5F2972"/>
    <w:rsid w:val="6C6C46CF"/>
    <w:rsid w:val="6C902A0E"/>
    <w:rsid w:val="6C914865"/>
    <w:rsid w:val="6CA81BAB"/>
    <w:rsid w:val="6CC938CF"/>
    <w:rsid w:val="6CD54871"/>
    <w:rsid w:val="6CF71B34"/>
    <w:rsid w:val="6D012D29"/>
    <w:rsid w:val="6D101479"/>
    <w:rsid w:val="6D2E4BD9"/>
    <w:rsid w:val="6D3E2D7D"/>
    <w:rsid w:val="6D4028D1"/>
    <w:rsid w:val="6D503D49"/>
    <w:rsid w:val="6D6D21CC"/>
    <w:rsid w:val="6D7D3C95"/>
    <w:rsid w:val="6DB4622A"/>
    <w:rsid w:val="6DCA5B51"/>
    <w:rsid w:val="6DF173AF"/>
    <w:rsid w:val="6E463F6A"/>
    <w:rsid w:val="6E69536A"/>
    <w:rsid w:val="6E7C69C3"/>
    <w:rsid w:val="6EA064F6"/>
    <w:rsid w:val="6EAE51E8"/>
    <w:rsid w:val="6EC94D00"/>
    <w:rsid w:val="6EDE2A7E"/>
    <w:rsid w:val="6EEA1AE2"/>
    <w:rsid w:val="6EFE150A"/>
    <w:rsid w:val="6F0F1EBA"/>
    <w:rsid w:val="6F487D36"/>
    <w:rsid w:val="6F924AEA"/>
    <w:rsid w:val="6FAE395B"/>
    <w:rsid w:val="6FBC7870"/>
    <w:rsid w:val="6FE93B6A"/>
    <w:rsid w:val="7015581A"/>
    <w:rsid w:val="7016507D"/>
    <w:rsid w:val="70553DF8"/>
    <w:rsid w:val="70603626"/>
    <w:rsid w:val="706933FF"/>
    <w:rsid w:val="707B75D6"/>
    <w:rsid w:val="70801D23"/>
    <w:rsid w:val="7094534A"/>
    <w:rsid w:val="70B60812"/>
    <w:rsid w:val="70C034CD"/>
    <w:rsid w:val="70C24314"/>
    <w:rsid w:val="70F85421"/>
    <w:rsid w:val="71123B17"/>
    <w:rsid w:val="71510DAC"/>
    <w:rsid w:val="71797525"/>
    <w:rsid w:val="717A3EAF"/>
    <w:rsid w:val="71867FE1"/>
    <w:rsid w:val="71997D14"/>
    <w:rsid w:val="71E7082E"/>
    <w:rsid w:val="71F753BA"/>
    <w:rsid w:val="72010DC3"/>
    <w:rsid w:val="720432D1"/>
    <w:rsid w:val="721F50FA"/>
    <w:rsid w:val="72281680"/>
    <w:rsid w:val="724009FF"/>
    <w:rsid w:val="724779A2"/>
    <w:rsid w:val="72CC6FB5"/>
    <w:rsid w:val="731E3C58"/>
    <w:rsid w:val="734C6C53"/>
    <w:rsid w:val="7355026A"/>
    <w:rsid w:val="73795347"/>
    <w:rsid w:val="73F676A0"/>
    <w:rsid w:val="740614C4"/>
    <w:rsid w:val="74196CBE"/>
    <w:rsid w:val="742E5148"/>
    <w:rsid w:val="74593158"/>
    <w:rsid w:val="74895FF3"/>
    <w:rsid w:val="74A05958"/>
    <w:rsid w:val="74DF04B1"/>
    <w:rsid w:val="75042131"/>
    <w:rsid w:val="75210042"/>
    <w:rsid w:val="75371D1E"/>
    <w:rsid w:val="756C0FDB"/>
    <w:rsid w:val="75B450CC"/>
    <w:rsid w:val="75DE663D"/>
    <w:rsid w:val="75F53E97"/>
    <w:rsid w:val="76197090"/>
    <w:rsid w:val="762C4800"/>
    <w:rsid w:val="7650588B"/>
    <w:rsid w:val="76D43575"/>
    <w:rsid w:val="76EE2757"/>
    <w:rsid w:val="77000D7C"/>
    <w:rsid w:val="7717739F"/>
    <w:rsid w:val="774B458E"/>
    <w:rsid w:val="77996CC0"/>
    <w:rsid w:val="77A56227"/>
    <w:rsid w:val="77B66BB1"/>
    <w:rsid w:val="77C673BF"/>
    <w:rsid w:val="77EE71E6"/>
    <w:rsid w:val="781123D0"/>
    <w:rsid w:val="78267F62"/>
    <w:rsid w:val="7836450F"/>
    <w:rsid w:val="783936B9"/>
    <w:rsid w:val="78543C5E"/>
    <w:rsid w:val="789D6CAA"/>
    <w:rsid w:val="78F33792"/>
    <w:rsid w:val="791A5B69"/>
    <w:rsid w:val="794469BA"/>
    <w:rsid w:val="794C43A2"/>
    <w:rsid w:val="79505DA4"/>
    <w:rsid w:val="798026FC"/>
    <w:rsid w:val="79990B00"/>
    <w:rsid w:val="79B94846"/>
    <w:rsid w:val="79E1400F"/>
    <w:rsid w:val="79FD2F21"/>
    <w:rsid w:val="7A0E6CEC"/>
    <w:rsid w:val="7A126868"/>
    <w:rsid w:val="7A556D7A"/>
    <w:rsid w:val="7A730598"/>
    <w:rsid w:val="7AB273CC"/>
    <w:rsid w:val="7ABB45A5"/>
    <w:rsid w:val="7AF01639"/>
    <w:rsid w:val="7B0566D6"/>
    <w:rsid w:val="7B073B69"/>
    <w:rsid w:val="7B0B62EA"/>
    <w:rsid w:val="7B6B777F"/>
    <w:rsid w:val="7B6E6B2F"/>
    <w:rsid w:val="7BA10411"/>
    <w:rsid w:val="7BA9460B"/>
    <w:rsid w:val="7BAC48CE"/>
    <w:rsid w:val="7BBC0CFA"/>
    <w:rsid w:val="7BD11538"/>
    <w:rsid w:val="7BF23606"/>
    <w:rsid w:val="7BFB4AA0"/>
    <w:rsid w:val="7C0C6CA0"/>
    <w:rsid w:val="7C23124E"/>
    <w:rsid w:val="7C421F9D"/>
    <w:rsid w:val="7C784990"/>
    <w:rsid w:val="7C8C2651"/>
    <w:rsid w:val="7CA501E5"/>
    <w:rsid w:val="7CB73744"/>
    <w:rsid w:val="7CEC4FE7"/>
    <w:rsid w:val="7D0552A0"/>
    <w:rsid w:val="7D0D6F83"/>
    <w:rsid w:val="7D2C7789"/>
    <w:rsid w:val="7D326B01"/>
    <w:rsid w:val="7D630958"/>
    <w:rsid w:val="7D8C0D17"/>
    <w:rsid w:val="7DA75A1A"/>
    <w:rsid w:val="7DBC3EA2"/>
    <w:rsid w:val="7DF579EE"/>
    <w:rsid w:val="7DFF53A3"/>
    <w:rsid w:val="7E007691"/>
    <w:rsid w:val="7E343D31"/>
    <w:rsid w:val="7E375AEE"/>
    <w:rsid w:val="7E675A44"/>
    <w:rsid w:val="7E98034C"/>
    <w:rsid w:val="7EAD44A5"/>
    <w:rsid w:val="7ED7020D"/>
    <w:rsid w:val="7EE4695A"/>
    <w:rsid w:val="7F4C3D03"/>
    <w:rsid w:val="7F854400"/>
    <w:rsid w:val="7F8C7476"/>
    <w:rsid w:val="7F912046"/>
    <w:rsid w:val="7F936360"/>
    <w:rsid w:val="7F9D2A8F"/>
    <w:rsid w:val="7FAD26DC"/>
    <w:rsid w:val="7FBD085D"/>
    <w:rsid w:val="7FC00ABB"/>
    <w:rsid w:val="7FDD39BD"/>
    <w:rsid w:val="7FE17456"/>
    <w:rsid w:val="7FE24610"/>
    <w:rsid w:val="7FFDE6E9"/>
    <w:rsid w:val="9CF51E5A"/>
    <w:rsid w:val="B5FDEE51"/>
    <w:rsid w:val="FFB692F0"/>
    <w:rsid w:val="FFE62DC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99"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50"/>
    <w:autoRedefine/>
    <w:qFormat/>
    <w:uiPriority w:val="0"/>
    <w:pPr>
      <w:keepNext/>
      <w:keepLines/>
      <w:spacing w:before="340" w:after="330" w:line="576" w:lineRule="auto"/>
      <w:outlineLvl w:val="0"/>
    </w:pPr>
    <w:rPr>
      <w:b/>
      <w:kern w:val="44"/>
      <w:sz w:val="44"/>
    </w:rPr>
  </w:style>
  <w:style w:type="paragraph" w:styleId="4">
    <w:name w:val="heading 2"/>
    <w:basedOn w:val="1"/>
    <w:next w:val="1"/>
    <w:link w:val="107"/>
    <w:autoRedefine/>
    <w:qFormat/>
    <w:uiPriority w:val="0"/>
    <w:pPr>
      <w:keepNext/>
      <w:keepLines/>
      <w:spacing w:line="360" w:lineRule="auto"/>
      <w:outlineLvl w:val="1"/>
    </w:pPr>
    <w:rPr>
      <w:rFonts w:ascii="Cambria" w:hAnsi="Cambria"/>
      <w:b/>
      <w:bCs/>
      <w:szCs w:val="32"/>
    </w:rPr>
  </w:style>
  <w:style w:type="paragraph" w:styleId="5">
    <w:name w:val="heading 3"/>
    <w:basedOn w:val="1"/>
    <w:next w:val="1"/>
    <w:autoRedefine/>
    <w:qFormat/>
    <w:uiPriority w:val="0"/>
    <w:pPr>
      <w:keepNext/>
      <w:keepLines/>
      <w:outlineLvl w:val="2"/>
    </w:pPr>
    <w:rPr>
      <w:b/>
      <w:bCs/>
      <w:kern w:val="0"/>
      <w:sz w:val="20"/>
      <w:szCs w:val="32"/>
    </w:rPr>
  </w:style>
  <w:style w:type="paragraph" w:styleId="6">
    <w:name w:val="heading 6"/>
    <w:basedOn w:val="1"/>
    <w:next w:val="1"/>
    <w:link w:val="103"/>
    <w:autoRedefine/>
    <w:unhideWhenUsed/>
    <w:qFormat/>
    <w:uiPriority w:val="0"/>
    <w:pPr>
      <w:keepNext/>
      <w:keepLines/>
      <w:spacing w:before="240" w:after="64" w:line="320" w:lineRule="auto"/>
      <w:outlineLvl w:val="5"/>
    </w:pPr>
    <w:rPr>
      <w:rFonts w:ascii="Arial" w:hAnsi="Arial" w:eastAsia="黑体" w:cstheme="minorBidi"/>
      <w:b/>
      <w:sz w:val="24"/>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1"/>
    <w:link w:val="100"/>
    <w:autoRedefine/>
    <w:qFormat/>
    <w:uiPriority w:val="0"/>
    <w:rPr>
      <w:rFonts w:ascii="宋体" w:hAnsi="Courier New" w:eastAsia="仿宋_GB2312"/>
      <w:sz w:val="30"/>
    </w:rPr>
  </w:style>
  <w:style w:type="paragraph" w:styleId="7">
    <w:name w:val="List Number"/>
    <w:basedOn w:val="1"/>
    <w:autoRedefine/>
    <w:qFormat/>
    <w:uiPriority w:val="0"/>
    <w:pPr>
      <w:numPr>
        <w:ilvl w:val="0"/>
        <w:numId w:val="1"/>
      </w:numPr>
    </w:pPr>
  </w:style>
  <w:style w:type="paragraph" w:styleId="8">
    <w:name w:val="Normal Indent"/>
    <w:basedOn w:val="1"/>
    <w:autoRedefine/>
    <w:qFormat/>
    <w:uiPriority w:val="0"/>
    <w:pPr>
      <w:ind w:firstLine="488"/>
    </w:pPr>
  </w:style>
  <w:style w:type="paragraph" w:styleId="9">
    <w:name w:val="caption"/>
    <w:basedOn w:val="1"/>
    <w:next w:val="1"/>
    <w:autoRedefine/>
    <w:qFormat/>
    <w:uiPriority w:val="0"/>
    <w:pPr>
      <w:spacing w:before="152" w:after="160"/>
    </w:pPr>
    <w:rPr>
      <w:rFonts w:ascii="Verdana" w:hAnsi="Verdana" w:eastAsia="华文行楷" w:cs="Verdana"/>
      <w:sz w:val="20"/>
      <w:szCs w:val="20"/>
    </w:rPr>
  </w:style>
  <w:style w:type="paragraph" w:styleId="10">
    <w:name w:val="annotation text"/>
    <w:basedOn w:val="1"/>
    <w:link w:val="46"/>
    <w:autoRedefine/>
    <w:qFormat/>
    <w:uiPriority w:val="0"/>
    <w:pPr>
      <w:jc w:val="left"/>
    </w:pPr>
  </w:style>
  <w:style w:type="paragraph" w:styleId="11">
    <w:name w:val="Salutation"/>
    <w:basedOn w:val="1"/>
    <w:next w:val="1"/>
    <w:autoRedefine/>
    <w:qFormat/>
    <w:uiPriority w:val="0"/>
    <w:rPr>
      <w:sz w:val="24"/>
    </w:rPr>
  </w:style>
  <w:style w:type="paragraph" w:styleId="12">
    <w:name w:val="Body Text"/>
    <w:basedOn w:val="1"/>
    <w:next w:val="13"/>
    <w:link w:val="48"/>
    <w:autoRedefine/>
    <w:qFormat/>
    <w:uiPriority w:val="0"/>
    <w:pPr>
      <w:spacing w:after="120"/>
    </w:pPr>
    <w:rPr>
      <w:sz w:val="24"/>
    </w:rPr>
  </w:style>
  <w:style w:type="paragraph" w:styleId="13">
    <w:name w:val="Body Text First Indent"/>
    <w:basedOn w:val="12"/>
    <w:next w:val="14"/>
    <w:link w:val="92"/>
    <w:autoRedefine/>
    <w:qFormat/>
    <w:uiPriority w:val="0"/>
    <w:pPr>
      <w:ind w:firstLine="420" w:firstLineChars="100"/>
    </w:pPr>
    <w:rPr>
      <w:sz w:val="21"/>
    </w:rPr>
  </w:style>
  <w:style w:type="paragraph" w:styleId="14">
    <w:name w:val="toc 6"/>
    <w:basedOn w:val="1"/>
    <w:next w:val="1"/>
    <w:autoRedefine/>
    <w:semiHidden/>
    <w:qFormat/>
    <w:uiPriority w:val="0"/>
    <w:pPr>
      <w:ind w:left="1700"/>
    </w:pPr>
    <w:rPr>
      <w:rFonts w:ascii="Times New Roman"/>
      <w:sz w:val="18"/>
    </w:rPr>
  </w:style>
  <w:style w:type="paragraph" w:styleId="15">
    <w:name w:val="Body Text Indent"/>
    <w:basedOn w:val="1"/>
    <w:next w:val="1"/>
    <w:autoRedefine/>
    <w:qFormat/>
    <w:uiPriority w:val="0"/>
    <w:pPr>
      <w:spacing w:line="200" w:lineRule="exact"/>
      <w:ind w:firstLine="301"/>
    </w:pPr>
    <w:rPr>
      <w:rFonts w:ascii="宋体" w:hAnsi="Courier New"/>
      <w:spacing w:val="-4"/>
      <w:kern w:val="0"/>
      <w:sz w:val="18"/>
    </w:rPr>
  </w:style>
  <w:style w:type="paragraph" w:styleId="16">
    <w:name w:val="Body Text Indent 2"/>
    <w:basedOn w:val="1"/>
    <w:autoRedefine/>
    <w:qFormat/>
    <w:uiPriority w:val="99"/>
    <w:pPr>
      <w:snapToGrid w:val="0"/>
      <w:ind w:firstLine="542" w:firstLineChars="225"/>
    </w:pPr>
    <w:rPr>
      <w:kern w:val="0"/>
      <w:sz w:val="24"/>
    </w:rPr>
  </w:style>
  <w:style w:type="paragraph" w:styleId="17">
    <w:name w:val="Balloon Text"/>
    <w:basedOn w:val="1"/>
    <w:link w:val="80"/>
    <w:autoRedefine/>
    <w:qFormat/>
    <w:uiPriority w:val="0"/>
    <w:rPr>
      <w:sz w:val="18"/>
      <w:szCs w:val="18"/>
    </w:rPr>
  </w:style>
  <w:style w:type="paragraph" w:styleId="18">
    <w:name w:val="footer"/>
    <w:basedOn w:val="1"/>
    <w:link w:val="105"/>
    <w:autoRedefine/>
    <w:qFormat/>
    <w:uiPriority w:val="99"/>
    <w:pPr>
      <w:widowControl/>
      <w:tabs>
        <w:tab w:val="center" w:pos="4153"/>
        <w:tab w:val="right" w:pos="8306"/>
      </w:tabs>
      <w:overflowPunct w:val="0"/>
      <w:autoSpaceDE w:val="0"/>
      <w:autoSpaceDN w:val="0"/>
      <w:adjustRightInd w:val="0"/>
      <w:textAlignment w:val="baseline"/>
    </w:pPr>
    <w:rPr>
      <w:kern w:val="0"/>
      <w:sz w:val="20"/>
      <w:szCs w:val="20"/>
    </w:rPr>
  </w:style>
  <w:style w:type="paragraph" w:styleId="19">
    <w:name w:val="header"/>
    <w:basedOn w:val="1"/>
    <w:link w:val="10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autoRedefine/>
    <w:qFormat/>
    <w:uiPriority w:val="0"/>
  </w:style>
  <w:style w:type="paragraph" w:styleId="21">
    <w:name w:val="toc 4"/>
    <w:basedOn w:val="1"/>
    <w:next w:val="1"/>
    <w:unhideWhenUsed/>
    <w:qFormat/>
    <w:uiPriority w:val="99"/>
    <w:pPr>
      <w:wordWrap w:val="0"/>
      <w:spacing w:before="100" w:beforeAutospacing="1" w:after="100" w:afterAutospacing="1"/>
      <w:ind w:left="850"/>
    </w:pPr>
  </w:style>
  <w:style w:type="paragraph" w:styleId="22">
    <w:name w:val="Body Text Indent 3"/>
    <w:basedOn w:val="1"/>
    <w:link w:val="102"/>
    <w:autoRedefine/>
    <w:qFormat/>
    <w:uiPriority w:val="0"/>
    <w:pPr>
      <w:spacing w:after="120"/>
      <w:ind w:left="420" w:leftChars="200"/>
    </w:pPr>
    <w:rPr>
      <w:sz w:val="16"/>
      <w:szCs w:val="16"/>
    </w:rPr>
  </w:style>
  <w:style w:type="paragraph" w:styleId="23">
    <w:name w:val="Message Header"/>
    <w:basedOn w:val="1"/>
    <w:next w:val="1"/>
    <w:autoRedefine/>
    <w:qFormat/>
    <w:uiPriority w:val="0"/>
    <w:pPr>
      <w:ind w:left="500" w:leftChars="500" w:hanging="1080" w:hangingChars="500"/>
    </w:pPr>
    <w:rPr>
      <w:rFonts w:ascii="Arial" w:hAnsi="Arial"/>
      <w:sz w:val="24"/>
    </w:rPr>
  </w:style>
  <w:style w:type="paragraph" w:styleId="24">
    <w:name w:val="Normal (Web)"/>
    <w:basedOn w:val="1"/>
    <w:autoRedefine/>
    <w:qFormat/>
    <w:uiPriority w:val="0"/>
    <w:pPr>
      <w:spacing w:before="100" w:beforeAutospacing="1" w:after="100" w:afterAutospacing="1"/>
      <w:jc w:val="left"/>
    </w:pPr>
    <w:rPr>
      <w:kern w:val="0"/>
      <w:sz w:val="24"/>
    </w:rPr>
  </w:style>
  <w:style w:type="paragraph" w:styleId="25">
    <w:name w:val="Title"/>
    <w:basedOn w:val="1"/>
    <w:next w:val="1"/>
    <w:autoRedefine/>
    <w:qFormat/>
    <w:uiPriority w:val="0"/>
    <w:pPr>
      <w:spacing w:before="240" w:after="60"/>
      <w:jc w:val="center"/>
      <w:outlineLvl w:val="0"/>
    </w:pPr>
    <w:rPr>
      <w:rFonts w:ascii="Cambria" w:hAnsi="Cambria"/>
      <w:b/>
      <w:bCs/>
      <w:kern w:val="0"/>
      <w:sz w:val="32"/>
      <w:szCs w:val="32"/>
    </w:rPr>
  </w:style>
  <w:style w:type="paragraph" w:styleId="26">
    <w:name w:val="annotation subject"/>
    <w:basedOn w:val="10"/>
    <w:next w:val="10"/>
    <w:link w:val="91"/>
    <w:autoRedefine/>
    <w:qFormat/>
    <w:uiPriority w:val="0"/>
    <w:rPr>
      <w:b/>
      <w:bCs/>
    </w:rPr>
  </w:style>
  <w:style w:type="paragraph" w:styleId="27">
    <w:name w:val="Body Text First Indent 2"/>
    <w:basedOn w:val="15"/>
    <w:next w:val="12"/>
    <w:autoRedefine/>
    <w:qFormat/>
    <w:uiPriority w:val="99"/>
    <w:pPr>
      <w:ind w:firstLine="420" w:firstLineChars="200"/>
    </w:pPr>
  </w:style>
  <w:style w:type="table" w:styleId="29">
    <w:name w:val="Table Grid"/>
    <w:basedOn w:val="28"/>
    <w:autoRedefine/>
    <w:qFormat/>
    <w:uiPriority w:val="59"/>
    <w:pPr>
      <w:widowControl w:val="0"/>
      <w:jc w:val="both"/>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autoRedefine/>
    <w:qFormat/>
    <w:uiPriority w:val="0"/>
  </w:style>
  <w:style w:type="character" w:styleId="32">
    <w:name w:val="FollowedHyperlink"/>
    <w:basedOn w:val="30"/>
    <w:autoRedefine/>
    <w:qFormat/>
    <w:uiPriority w:val="0"/>
    <w:rPr>
      <w:color w:val="800080"/>
      <w:u w:val="none"/>
    </w:rPr>
  </w:style>
  <w:style w:type="character" w:styleId="33">
    <w:name w:val="Emphasis"/>
    <w:basedOn w:val="30"/>
    <w:autoRedefine/>
    <w:qFormat/>
    <w:uiPriority w:val="0"/>
  </w:style>
  <w:style w:type="character" w:styleId="34">
    <w:name w:val="HTML Definition"/>
    <w:basedOn w:val="30"/>
    <w:autoRedefine/>
    <w:qFormat/>
    <w:uiPriority w:val="0"/>
  </w:style>
  <w:style w:type="character" w:styleId="35">
    <w:name w:val="HTML Typewriter"/>
    <w:basedOn w:val="30"/>
    <w:autoRedefine/>
    <w:qFormat/>
    <w:uiPriority w:val="0"/>
    <w:rPr>
      <w:rFonts w:ascii="monospace" w:hAnsi="monospace" w:eastAsia="monospace" w:cs="monospace"/>
      <w:sz w:val="20"/>
    </w:rPr>
  </w:style>
  <w:style w:type="character" w:styleId="36">
    <w:name w:val="HTML Acronym"/>
    <w:basedOn w:val="30"/>
    <w:autoRedefine/>
    <w:qFormat/>
    <w:uiPriority w:val="0"/>
  </w:style>
  <w:style w:type="character" w:styleId="37">
    <w:name w:val="HTML Variable"/>
    <w:basedOn w:val="30"/>
    <w:autoRedefine/>
    <w:qFormat/>
    <w:uiPriority w:val="0"/>
  </w:style>
  <w:style w:type="character" w:styleId="38">
    <w:name w:val="Hyperlink"/>
    <w:basedOn w:val="30"/>
    <w:autoRedefine/>
    <w:qFormat/>
    <w:uiPriority w:val="99"/>
    <w:rPr>
      <w:color w:val="333333"/>
      <w:u w:val="none"/>
    </w:rPr>
  </w:style>
  <w:style w:type="character" w:styleId="39">
    <w:name w:val="HTML Code"/>
    <w:basedOn w:val="30"/>
    <w:autoRedefine/>
    <w:qFormat/>
    <w:uiPriority w:val="0"/>
    <w:rPr>
      <w:rFonts w:hint="default" w:ascii="monospace" w:hAnsi="monospace" w:eastAsia="monospace" w:cs="monospace"/>
      <w:sz w:val="20"/>
    </w:rPr>
  </w:style>
  <w:style w:type="character" w:styleId="40">
    <w:name w:val="annotation reference"/>
    <w:basedOn w:val="30"/>
    <w:autoRedefine/>
    <w:qFormat/>
    <w:uiPriority w:val="0"/>
    <w:rPr>
      <w:sz w:val="21"/>
      <w:szCs w:val="21"/>
    </w:rPr>
  </w:style>
  <w:style w:type="character" w:styleId="41">
    <w:name w:val="HTML Cite"/>
    <w:basedOn w:val="30"/>
    <w:autoRedefine/>
    <w:qFormat/>
    <w:uiPriority w:val="0"/>
  </w:style>
  <w:style w:type="character" w:styleId="42">
    <w:name w:val="HTML Keyboard"/>
    <w:basedOn w:val="30"/>
    <w:autoRedefine/>
    <w:qFormat/>
    <w:uiPriority w:val="0"/>
    <w:rPr>
      <w:rFonts w:hint="default" w:ascii="monospace" w:hAnsi="monospace" w:eastAsia="monospace" w:cs="monospace"/>
      <w:sz w:val="20"/>
    </w:rPr>
  </w:style>
  <w:style w:type="character" w:styleId="43">
    <w:name w:val="HTML Sample"/>
    <w:basedOn w:val="30"/>
    <w:autoRedefine/>
    <w:qFormat/>
    <w:uiPriority w:val="0"/>
    <w:rPr>
      <w:rFonts w:hint="default" w:ascii="monospace" w:hAnsi="monospace" w:eastAsia="monospace" w:cs="monospace"/>
    </w:rPr>
  </w:style>
  <w:style w:type="paragraph" w:customStyle="1" w:styleId="44">
    <w:name w:val="表格文字"/>
    <w:basedOn w:val="1"/>
    <w:next w:val="12"/>
    <w:autoRedefine/>
    <w:qFormat/>
    <w:uiPriority w:val="0"/>
    <w:pPr>
      <w:jc w:val="left"/>
    </w:pPr>
    <w:rPr>
      <w:kern w:val="21"/>
      <w:szCs w:val="21"/>
    </w:rPr>
  </w:style>
  <w:style w:type="character" w:customStyle="1" w:styleId="45">
    <w:name w:val="批注主题 Char"/>
    <w:basedOn w:val="46"/>
    <w:link w:val="47"/>
    <w:autoRedefine/>
    <w:qFormat/>
    <w:uiPriority w:val="0"/>
    <w:rPr>
      <w:rFonts w:ascii="Calibri" w:hAnsi="Calibri"/>
      <w:b/>
      <w:bCs/>
      <w:kern w:val="2"/>
      <w:sz w:val="21"/>
      <w:szCs w:val="24"/>
    </w:rPr>
  </w:style>
  <w:style w:type="character" w:customStyle="1" w:styleId="46">
    <w:name w:val="批注文字 Char"/>
    <w:basedOn w:val="30"/>
    <w:link w:val="10"/>
    <w:autoRedefine/>
    <w:qFormat/>
    <w:uiPriority w:val="0"/>
    <w:rPr>
      <w:rFonts w:ascii="Calibri" w:hAnsi="Calibri"/>
      <w:kern w:val="2"/>
      <w:sz w:val="21"/>
      <w:szCs w:val="24"/>
    </w:rPr>
  </w:style>
  <w:style w:type="paragraph" w:customStyle="1" w:styleId="47">
    <w:name w:val="批注主题1"/>
    <w:basedOn w:val="10"/>
    <w:next w:val="10"/>
    <w:link w:val="45"/>
    <w:autoRedefine/>
    <w:qFormat/>
    <w:uiPriority w:val="0"/>
    <w:rPr>
      <w:b/>
      <w:bCs/>
    </w:rPr>
  </w:style>
  <w:style w:type="character" w:customStyle="1" w:styleId="48">
    <w:name w:val="正文文本 Char"/>
    <w:basedOn w:val="30"/>
    <w:link w:val="12"/>
    <w:autoRedefine/>
    <w:semiHidden/>
    <w:qFormat/>
    <w:uiPriority w:val="0"/>
    <w:rPr>
      <w:rFonts w:ascii="Calibri" w:hAnsi="Calibri"/>
      <w:sz w:val="24"/>
      <w:szCs w:val="24"/>
    </w:rPr>
  </w:style>
  <w:style w:type="character" w:customStyle="1" w:styleId="49">
    <w:name w:val="纯文本 Char"/>
    <w:link w:val="50"/>
    <w:autoRedefine/>
    <w:qFormat/>
    <w:uiPriority w:val="0"/>
    <w:rPr>
      <w:rFonts w:ascii="宋体" w:hAnsi="Courier New" w:eastAsia="仿宋_GB2312"/>
      <w:kern w:val="2"/>
      <w:sz w:val="30"/>
      <w:szCs w:val="24"/>
    </w:rPr>
  </w:style>
  <w:style w:type="paragraph" w:customStyle="1" w:styleId="50">
    <w:name w:val="纯文本1"/>
    <w:basedOn w:val="51"/>
    <w:link w:val="49"/>
    <w:autoRedefine/>
    <w:qFormat/>
    <w:uiPriority w:val="0"/>
    <w:pPr>
      <w:spacing w:beforeLines="50" w:afterLines="50" w:line="400" w:lineRule="exact"/>
    </w:pPr>
    <w:rPr>
      <w:rFonts w:hAnsi="Courier New" w:eastAsia="仿宋_GB2312"/>
      <w:sz w:val="30"/>
    </w:rPr>
  </w:style>
  <w:style w:type="paragraph" w:customStyle="1" w:styleId="51">
    <w:name w:val="正文1"/>
    <w:basedOn w:val="1"/>
    <w:autoRedefine/>
    <w:qFormat/>
    <w:uiPriority w:val="0"/>
    <w:pPr>
      <w:adjustRightInd w:val="0"/>
      <w:spacing w:line="318" w:lineRule="atLeast"/>
      <w:ind w:left="369" w:firstLine="369"/>
      <w:textAlignment w:val="baseline"/>
    </w:pPr>
    <w:rPr>
      <w:rFonts w:ascii="宋体"/>
      <w:szCs w:val="20"/>
    </w:rPr>
  </w:style>
  <w:style w:type="character" w:customStyle="1" w:styleId="52">
    <w:name w:val="批注框文本 Char"/>
    <w:basedOn w:val="30"/>
    <w:link w:val="53"/>
    <w:autoRedefine/>
    <w:qFormat/>
    <w:uiPriority w:val="0"/>
    <w:rPr>
      <w:rFonts w:ascii="Calibri" w:hAnsi="Calibri"/>
      <w:kern w:val="2"/>
      <w:sz w:val="18"/>
      <w:szCs w:val="18"/>
    </w:rPr>
  </w:style>
  <w:style w:type="paragraph" w:customStyle="1" w:styleId="53">
    <w:name w:val="批注框文本1"/>
    <w:basedOn w:val="1"/>
    <w:link w:val="52"/>
    <w:autoRedefine/>
    <w:qFormat/>
    <w:uiPriority w:val="0"/>
    <w:rPr>
      <w:sz w:val="18"/>
      <w:szCs w:val="18"/>
    </w:rPr>
  </w:style>
  <w:style w:type="paragraph" w:customStyle="1" w:styleId="54">
    <w:name w:val="正文文本缩进1"/>
    <w:basedOn w:val="1"/>
    <w:autoRedefine/>
    <w:qFormat/>
    <w:uiPriority w:val="0"/>
    <w:pPr>
      <w:spacing w:line="200" w:lineRule="exact"/>
      <w:ind w:firstLine="301"/>
    </w:pPr>
    <w:rPr>
      <w:rFonts w:ascii="宋体" w:hAnsi="Courier New"/>
      <w:spacing w:val="-4"/>
      <w:kern w:val="0"/>
      <w:sz w:val="18"/>
    </w:rPr>
  </w:style>
  <w:style w:type="paragraph" w:customStyle="1" w:styleId="55">
    <w:name w:val="纯文本2"/>
    <w:basedOn w:val="1"/>
    <w:autoRedefine/>
    <w:qFormat/>
    <w:uiPriority w:val="0"/>
    <w:rPr>
      <w:rFonts w:ascii="宋体" w:hAnsi="Courier New" w:eastAsia="仿宋_GB2312"/>
      <w:sz w:val="30"/>
    </w:rPr>
  </w:style>
  <w:style w:type="paragraph" w:customStyle="1" w:styleId="56">
    <w:name w:val="普通(网站)1"/>
    <w:basedOn w:val="1"/>
    <w:autoRedefine/>
    <w:qFormat/>
    <w:uiPriority w:val="0"/>
    <w:pPr>
      <w:spacing w:beforeAutospacing="1" w:afterAutospacing="1"/>
      <w:jc w:val="left"/>
    </w:pPr>
    <w:rPr>
      <w:kern w:val="0"/>
      <w:sz w:val="24"/>
    </w:rPr>
  </w:style>
  <w:style w:type="paragraph" w:customStyle="1" w:styleId="57">
    <w:name w:val="正文缩进1"/>
    <w:basedOn w:val="1"/>
    <w:autoRedefine/>
    <w:qFormat/>
    <w:uiPriority w:val="0"/>
    <w:pPr>
      <w:ind w:firstLine="420" w:firstLineChars="200"/>
    </w:pPr>
  </w:style>
  <w:style w:type="paragraph" w:customStyle="1" w:styleId="58">
    <w:name w:val="正文文本 31"/>
    <w:basedOn w:val="1"/>
    <w:autoRedefine/>
    <w:qFormat/>
    <w:uiPriority w:val="0"/>
    <w:pPr>
      <w:spacing w:after="120"/>
    </w:pPr>
    <w:rPr>
      <w:kern w:val="0"/>
      <w:sz w:val="16"/>
      <w:szCs w:val="16"/>
    </w:rPr>
  </w:style>
  <w:style w:type="paragraph" w:customStyle="1" w:styleId="59">
    <w:name w:val="正文文本缩进11"/>
    <w:basedOn w:val="1"/>
    <w:autoRedefine/>
    <w:qFormat/>
    <w:uiPriority w:val="0"/>
    <w:pPr>
      <w:spacing w:line="200" w:lineRule="exact"/>
      <w:ind w:firstLine="301"/>
    </w:pPr>
    <w:rPr>
      <w:szCs w:val="20"/>
    </w:rPr>
  </w:style>
  <w:style w:type="paragraph" w:customStyle="1" w:styleId="60">
    <w:name w:val="文本块1"/>
    <w:basedOn w:val="1"/>
    <w:autoRedefine/>
    <w:qFormat/>
    <w:uiPriority w:val="0"/>
    <w:pPr>
      <w:adjustRightInd w:val="0"/>
      <w:snapToGrid w:val="0"/>
      <w:spacing w:line="300" w:lineRule="auto"/>
      <w:ind w:left="958" w:right="-120" w:rightChars="-120"/>
      <w:jc w:val="left"/>
    </w:pPr>
    <w:rPr>
      <w:rFonts w:hint="eastAsia" w:ascii="Century Gothic" w:hAnsi="Century Gothic"/>
      <w:sz w:val="28"/>
      <w:szCs w:val="20"/>
    </w:rPr>
  </w:style>
  <w:style w:type="paragraph" w:customStyle="1" w:styleId="61">
    <w:name w:val="正文文本缩进 21"/>
    <w:basedOn w:val="1"/>
    <w:autoRedefine/>
    <w:qFormat/>
    <w:uiPriority w:val="0"/>
    <w:pPr>
      <w:snapToGrid w:val="0"/>
      <w:ind w:firstLine="542" w:firstLineChars="225"/>
    </w:pPr>
    <w:rPr>
      <w:kern w:val="0"/>
      <w:sz w:val="24"/>
    </w:rPr>
  </w:style>
  <w:style w:type="paragraph" w:customStyle="1" w:styleId="62">
    <w:name w:val="正文文本缩进 31"/>
    <w:basedOn w:val="1"/>
    <w:autoRedefine/>
    <w:qFormat/>
    <w:uiPriority w:val="0"/>
    <w:pPr>
      <w:snapToGrid w:val="0"/>
      <w:ind w:firstLine="480" w:firstLineChars="200"/>
      <w:jc w:val="left"/>
    </w:pPr>
    <w:rPr>
      <w:rFonts w:ascii="仿宋_GB2312" w:hAnsi="宋体" w:eastAsia="仿宋_GB2312"/>
      <w:color w:val="000000"/>
      <w:sz w:val="24"/>
    </w:rPr>
  </w:style>
  <w:style w:type="paragraph" w:customStyle="1" w:styleId="63">
    <w:name w:val="普通(网站)11"/>
    <w:basedOn w:val="1"/>
    <w:autoRedefine/>
    <w:qFormat/>
    <w:uiPriority w:val="0"/>
    <w:pPr>
      <w:widowControl/>
      <w:spacing w:beforeAutospacing="1" w:afterAutospacing="1"/>
      <w:jc w:val="left"/>
    </w:pPr>
    <w:rPr>
      <w:rFonts w:ascii="宋体" w:hAnsi="宋体"/>
      <w:kern w:val="0"/>
      <w:sz w:val="24"/>
    </w:rPr>
  </w:style>
  <w:style w:type="paragraph" w:customStyle="1" w:styleId="64">
    <w:name w:val="p15"/>
    <w:basedOn w:val="1"/>
    <w:autoRedefine/>
    <w:qFormat/>
    <w:uiPriority w:val="0"/>
    <w:pPr>
      <w:widowControl/>
      <w:spacing w:line="200" w:lineRule="atLeast"/>
      <w:ind w:firstLine="301"/>
    </w:pPr>
    <w:rPr>
      <w:rFonts w:ascii="宋体" w:hAnsi="宋体" w:cs="宋体"/>
      <w:spacing w:val="-4"/>
      <w:kern w:val="0"/>
      <w:sz w:val="18"/>
      <w:szCs w:val="18"/>
    </w:rPr>
  </w:style>
  <w:style w:type="paragraph" w:customStyle="1" w:styleId="65">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列表 21"/>
    <w:basedOn w:val="1"/>
    <w:autoRedefine/>
    <w:qFormat/>
    <w:uiPriority w:val="0"/>
    <w:pPr>
      <w:ind w:left="200" w:leftChars="200" w:hanging="200" w:hangingChars="200"/>
    </w:pPr>
    <w:rPr>
      <w:sz w:val="28"/>
      <w:szCs w:val="20"/>
    </w:rPr>
  </w:style>
  <w:style w:type="paragraph" w:customStyle="1" w:styleId="67">
    <w:name w:val="默认段落字体 Para Char Char Char Char Char Char Char Char Char1 Char Char Char Char"/>
    <w:basedOn w:val="1"/>
    <w:autoRedefine/>
    <w:qFormat/>
    <w:uiPriority w:val="99"/>
    <w:rPr>
      <w:rFonts w:ascii="Tahoma" w:hAnsi="Tahoma"/>
      <w:sz w:val="24"/>
      <w:szCs w:val="20"/>
    </w:rPr>
  </w:style>
  <w:style w:type="paragraph" w:customStyle="1" w:styleId="68">
    <w:name w:val="纯文本21"/>
    <w:basedOn w:val="1"/>
    <w:autoRedefine/>
    <w:qFormat/>
    <w:uiPriority w:val="0"/>
    <w:pPr>
      <w:spacing w:beforeLines="50" w:afterLines="50" w:line="400" w:lineRule="exact"/>
    </w:pPr>
    <w:rPr>
      <w:rFonts w:ascii="宋体" w:hAnsi="Courier New"/>
      <w:szCs w:val="21"/>
    </w:rPr>
  </w:style>
  <w:style w:type="paragraph" w:customStyle="1" w:styleId="69">
    <w:name w:val="彩色列表 - 强调文字颜色 11"/>
    <w:basedOn w:val="1"/>
    <w:autoRedefine/>
    <w:qFormat/>
    <w:uiPriority w:val="0"/>
    <w:pPr>
      <w:ind w:firstLine="420" w:firstLineChars="200"/>
    </w:pPr>
  </w:style>
  <w:style w:type="paragraph" w:customStyle="1" w:styleId="70">
    <w:name w:val="修订1"/>
    <w:autoRedefine/>
    <w:qFormat/>
    <w:uiPriority w:val="0"/>
    <w:rPr>
      <w:rFonts w:ascii="Calibri" w:hAnsi="Calibri" w:eastAsia="宋体" w:cs="Times New Roman"/>
      <w:kern w:val="2"/>
      <w:sz w:val="21"/>
      <w:szCs w:val="24"/>
      <w:lang w:val="en-US" w:eastAsia="zh-CN" w:bidi="ar-SA"/>
    </w:rPr>
  </w:style>
  <w:style w:type="paragraph" w:customStyle="1" w:styleId="71">
    <w:name w:val="列出段落1"/>
    <w:basedOn w:val="1"/>
    <w:autoRedefine/>
    <w:qFormat/>
    <w:uiPriority w:val="0"/>
    <w:pPr>
      <w:ind w:firstLine="420" w:firstLineChars="200"/>
    </w:pPr>
  </w:style>
  <w:style w:type="paragraph" w:customStyle="1" w:styleId="72">
    <w:name w:val="纯文本3"/>
    <w:basedOn w:val="1"/>
    <w:autoRedefine/>
    <w:qFormat/>
    <w:uiPriority w:val="0"/>
    <w:pPr>
      <w:adjustRightInd w:val="0"/>
      <w:textAlignment w:val="baseline"/>
    </w:pPr>
    <w:rPr>
      <w:rFonts w:ascii="宋体" w:hAnsi="Courier New" w:eastAsia="楷体_GB2312"/>
      <w:sz w:val="26"/>
      <w:szCs w:val="20"/>
    </w:rPr>
  </w:style>
  <w:style w:type="paragraph" w:customStyle="1" w:styleId="73">
    <w:name w:val="表内文字"/>
    <w:basedOn w:val="1"/>
    <w:autoRedefine/>
    <w:qFormat/>
    <w:uiPriority w:val="0"/>
    <w:pPr>
      <w:tabs>
        <w:tab w:val="left" w:pos="1418"/>
      </w:tabs>
      <w:spacing w:line="360" w:lineRule="auto"/>
      <w:jc w:val="center"/>
    </w:pPr>
    <w:rPr>
      <w:rFonts w:ascii="仿宋_GB2312" w:eastAsia="仿宋_GB2312"/>
      <w:spacing w:val="-20"/>
      <w:kern w:val="0"/>
      <w:sz w:val="24"/>
    </w:rPr>
  </w:style>
  <w:style w:type="paragraph" w:customStyle="1" w:styleId="74">
    <w:name w:val="正文段"/>
    <w:basedOn w:val="1"/>
    <w:autoRedefine/>
    <w:qFormat/>
    <w:uiPriority w:val="0"/>
    <w:pPr>
      <w:numPr>
        <w:ilvl w:val="3"/>
        <w:numId w:val="2"/>
      </w:numPr>
      <w:autoSpaceDE w:val="0"/>
      <w:autoSpaceDN w:val="0"/>
      <w:adjustRightInd w:val="0"/>
      <w:spacing w:before="100" w:after="100" w:line="300" w:lineRule="auto"/>
      <w:jc w:val="left"/>
    </w:pPr>
    <w:rPr>
      <w:rFonts w:ascii="Times New Roman" w:hAnsi="Times New Roman"/>
      <w:w w:val="105"/>
      <w:kern w:val="0"/>
      <w:sz w:val="24"/>
      <w:szCs w:val="20"/>
    </w:rPr>
  </w:style>
  <w:style w:type="paragraph" w:customStyle="1" w:styleId="75">
    <w:name w:val="纯文本4"/>
    <w:basedOn w:val="1"/>
    <w:autoRedefine/>
    <w:qFormat/>
    <w:uiPriority w:val="0"/>
    <w:pPr>
      <w:adjustRightInd w:val="0"/>
      <w:textAlignment w:val="baseline"/>
    </w:pPr>
    <w:rPr>
      <w:rFonts w:ascii="宋体" w:hAnsi="Courier New" w:eastAsia="楷体_GB2312"/>
      <w:sz w:val="26"/>
      <w:szCs w:val="20"/>
    </w:rPr>
  </w:style>
  <w:style w:type="paragraph" w:customStyle="1" w:styleId="76">
    <w:name w:val="Table Paragraph"/>
    <w:basedOn w:val="1"/>
    <w:autoRedefine/>
    <w:qFormat/>
    <w:uiPriority w:val="0"/>
    <w:pPr>
      <w:jc w:val="left"/>
    </w:pPr>
    <w:rPr>
      <w:kern w:val="0"/>
      <w:sz w:val="22"/>
      <w:szCs w:val="22"/>
      <w:lang w:eastAsia="en-US"/>
    </w:rPr>
  </w:style>
  <w:style w:type="character" w:customStyle="1" w:styleId="77">
    <w:name w:val="批注引用1"/>
    <w:basedOn w:val="30"/>
    <w:autoRedefine/>
    <w:qFormat/>
    <w:uiPriority w:val="0"/>
    <w:rPr>
      <w:sz w:val="21"/>
      <w:szCs w:val="21"/>
    </w:rPr>
  </w:style>
  <w:style w:type="character" w:customStyle="1" w:styleId="78">
    <w:name w:val="标题 2 Char Char"/>
    <w:autoRedefine/>
    <w:qFormat/>
    <w:uiPriority w:val="0"/>
    <w:rPr>
      <w:rFonts w:eastAsia="宋体"/>
      <w:kern w:val="2"/>
      <w:sz w:val="28"/>
      <w:lang w:val="en-US" w:eastAsia="zh-CN" w:bidi="ar-SA"/>
    </w:rPr>
  </w:style>
  <w:style w:type="paragraph" w:customStyle="1" w:styleId="79">
    <w:name w:val="xl30"/>
    <w:basedOn w:val="1"/>
    <w:autoRedefine/>
    <w:qFormat/>
    <w:uiPriority w:val="0"/>
    <w:pPr>
      <w:widowControl/>
      <w:spacing w:before="100" w:beforeAutospacing="1" w:after="100" w:afterAutospacing="1"/>
      <w:jc w:val="center"/>
      <w:textAlignment w:val="center"/>
    </w:pPr>
    <w:rPr>
      <w:rFonts w:ascii="楷体_GB2312" w:hAnsi="宋体" w:eastAsia="楷体_GB2312"/>
      <w:b/>
      <w:kern w:val="0"/>
      <w:sz w:val="32"/>
    </w:rPr>
  </w:style>
  <w:style w:type="character" w:customStyle="1" w:styleId="80">
    <w:name w:val="批注框文本 Char1"/>
    <w:basedOn w:val="30"/>
    <w:link w:val="17"/>
    <w:autoRedefine/>
    <w:qFormat/>
    <w:uiPriority w:val="0"/>
    <w:rPr>
      <w:rFonts w:ascii="Calibri" w:hAnsi="Calibri"/>
      <w:kern w:val="2"/>
      <w:sz w:val="18"/>
      <w:szCs w:val="18"/>
    </w:rPr>
  </w:style>
  <w:style w:type="paragraph" w:customStyle="1" w:styleId="81">
    <w:name w:val="列表段落1"/>
    <w:basedOn w:val="1"/>
    <w:autoRedefine/>
    <w:unhideWhenUsed/>
    <w:qFormat/>
    <w:uiPriority w:val="99"/>
    <w:pPr>
      <w:ind w:firstLine="420" w:firstLineChars="200"/>
    </w:pPr>
  </w:style>
  <w:style w:type="paragraph" w:customStyle="1" w:styleId="82">
    <w:name w:val="纯文本5"/>
    <w:basedOn w:val="1"/>
    <w:autoRedefine/>
    <w:qFormat/>
    <w:uiPriority w:val="0"/>
    <w:rPr>
      <w:rFonts w:ascii="宋体" w:hAnsi="Courier New" w:eastAsia="仿宋_GB2312"/>
      <w:sz w:val="30"/>
    </w:rPr>
  </w:style>
  <w:style w:type="paragraph" w:customStyle="1" w:styleId="83">
    <w:name w:val="文本块2"/>
    <w:basedOn w:val="1"/>
    <w:autoRedefine/>
    <w:qFormat/>
    <w:uiPriority w:val="0"/>
    <w:pPr>
      <w:adjustRightInd w:val="0"/>
      <w:snapToGrid w:val="0"/>
      <w:spacing w:line="300" w:lineRule="auto"/>
      <w:ind w:left="958" w:right="-120" w:rightChars="-120"/>
      <w:jc w:val="left"/>
    </w:pPr>
    <w:rPr>
      <w:rFonts w:hint="eastAsia" w:ascii="Century Gothic" w:hAnsi="Century Gothic"/>
      <w:sz w:val="28"/>
      <w:szCs w:val="20"/>
    </w:rPr>
  </w:style>
  <w:style w:type="paragraph" w:customStyle="1" w:styleId="84">
    <w:name w:val="正文文本缩进2"/>
    <w:basedOn w:val="1"/>
    <w:autoRedefine/>
    <w:qFormat/>
    <w:uiPriority w:val="0"/>
    <w:pPr>
      <w:spacing w:line="200" w:lineRule="exact"/>
      <w:ind w:firstLine="301"/>
    </w:pPr>
    <w:rPr>
      <w:rFonts w:ascii="宋体" w:hAnsi="Courier New"/>
      <w:spacing w:val="-4"/>
      <w:kern w:val="0"/>
      <w:sz w:val="18"/>
    </w:rPr>
  </w:style>
  <w:style w:type="paragraph" w:customStyle="1" w:styleId="85">
    <w:name w:val="正文文本 32"/>
    <w:basedOn w:val="1"/>
    <w:autoRedefine/>
    <w:qFormat/>
    <w:uiPriority w:val="0"/>
    <w:pPr>
      <w:spacing w:after="120"/>
    </w:pPr>
    <w:rPr>
      <w:kern w:val="0"/>
      <w:sz w:val="16"/>
      <w:szCs w:val="16"/>
    </w:rPr>
  </w:style>
  <w:style w:type="paragraph" w:customStyle="1" w:styleId="86">
    <w:name w:val="Body Text Indent1"/>
    <w:basedOn w:val="1"/>
    <w:autoRedefine/>
    <w:qFormat/>
    <w:uiPriority w:val="99"/>
    <w:pPr>
      <w:spacing w:line="200" w:lineRule="exact"/>
      <w:ind w:firstLine="301"/>
    </w:pPr>
    <w:rPr>
      <w:rFonts w:ascii="宋体" w:hAnsi="Courier New"/>
      <w:spacing w:val="-4"/>
      <w:kern w:val="0"/>
      <w:sz w:val="18"/>
    </w:rPr>
  </w:style>
  <w:style w:type="paragraph" w:styleId="87">
    <w:name w:val="List Paragraph"/>
    <w:basedOn w:val="1"/>
    <w:link w:val="109"/>
    <w:autoRedefine/>
    <w:unhideWhenUsed/>
    <w:qFormat/>
    <w:uiPriority w:val="0"/>
    <w:pPr>
      <w:ind w:firstLine="420" w:firstLineChars="200"/>
    </w:pPr>
  </w:style>
  <w:style w:type="paragraph" w:customStyle="1" w:styleId="88">
    <w:name w:val="正文首行缩进2字符"/>
    <w:basedOn w:val="1"/>
    <w:autoRedefine/>
    <w:qFormat/>
    <w:uiPriority w:val="0"/>
    <w:pPr>
      <w:spacing w:line="360" w:lineRule="auto"/>
      <w:ind w:firstLine="200" w:firstLineChars="200"/>
    </w:pPr>
    <w:rPr>
      <w:sz w:val="24"/>
    </w:rPr>
  </w:style>
  <w:style w:type="paragraph" w:customStyle="1" w:styleId="89">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书籍标题1"/>
    <w:basedOn w:val="1"/>
    <w:next w:val="1"/>
    <w:autoRedefine/>
    <w:qFormat/>
    <w:uiPriority w:val="0"/>
    <w:pPr>
      <w:pageBreakBefore/>
      <w:widowControl/>
      <w:tabs>
        <w:tab w:val="left" w:pos="840"/>
      </w:tabs>
      <w:spacing w:beforeLines="200"/>
      <w:ind w:left="2520" w:hanging="360"/>
      <w:jc w:val="center"/>
      <w:outlineLvl w:val="0"/>
    </w:pPr>
    <w:rPr>
      <w:rFonts w:eastAsia="黑体"/>
      <w:b/>
      <w:spacing w:val="20"/>
      <w:kern w:val="44"/>
      <w:sz w:val="44"/>
    </w:rPr>
  </w:style>
  <w:style w:type="character" w:customStyle="1" w:styleId="91">
    <w:name w:val="批注主题 Char1"/>
    <w:basedOn w:val="46"/>
    <w:link w:val="26"/>
    <w:autoRedefine/>
    <w:qFormat/>
    <w:uiPriority w:val="0"/>
    <w:rPr>
      <w:rFonts w:ascii="Calibri" w:hAnsi="Calibri"/>
      <w:b/>
      <w:bCs/>
      <w:kern w:val="2"/>
      <w:sz w:val="21"/>
      <w:szCs w:val="24"/>
    </w:rPr>
  </w:style>
  <w:style w:type="character" w:customStyle="1" w:styleId="92">
    <w:name w:val="正文首行缩进 Char"/>
    <w:basedOn w:val="48"/>
    <w:link w:val="13"/>
    <w:autoRedefine/>
    <w:qFormat/>
    <w:uiPriority w:val="0"/>
    <w:rPr>
      <w:rFonts w:ascii="Calibri" w:hAnsi="Calibri"/>
      <w:kern w:val="2"/>
      <w:sz w:val="21"/>
      <w:szCs w:val="24"/>
    </w:rPr>
  </w:style>
  <w:style w:type="character" w:customStyle="1" w:styleId="93">
    <w:name w:val="disable"/>
    <w:basedOn w:val="30"/>
    <w:autoRedefine/>
    <w:qFormat/>
    <w:uiPriority w:val="0"/>
    <w:rPr>
      <w:color w:val="666666"/>
      <w:shd w:val="clear" w:color="auto" w:fill="E9E9E9"/>
    </w:rPr>
  </w:style>
  <w:style w:type="character" w:customStyle="1" w:styleId="94">
    <w:name w:val="curr"/>
    <w:basedOn w:val="30"/>
    <w:autoRedefine/>
    <w:qFormat/>
    <w:uiPriority w:val="0"/>
    <w:rPr>
      <w:b/>
      <w:color w:val="0680E4"/>
    </w:rPr>
  </w:style>
  <w:style w:type="character" w:customStyle="1" w:styleId="95">
    <w:name w:val="curr1"/>
    <w:basedOn w:val="30"/>
    <w:autoRedefine/>
    <w:qFormat/>
    <w:uiPriority w:val="0"/>
    <w:rPr>
      <w:color w:val="FFFFFF"/>
      <w:shd w:val="clear" w:color="auto" w:fill="76BCEB"/>
    </w:rPr>
  </w:style>
  <w:style w:type="character" w:customStyle="1" w:styleId="96">
    <w:name w:val="time"/>
    <w:basedOn w:val="30"/>
    <w:autoRedefine/>
    <w:qFormat/>
    <w:uiPriority w:val="0"/>
    <w:rPr>
      <w:color w:val="747474"/>
    </w:rPr>
  </w:style>
  <w:style w:type="paragraph" w:customStyle="1" w:styleId="97">
    <w:name w:val="正文 A"/>
    <w:autoRedefine/>
    <w:qFormat/>
    <w:uiPriority w:val="0"/>
    <w:pPr>
      <w:framePr w:wrap="around" w:vAnchor="margin" w:hAnchor="text" w:yAlign="top"/>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98">
    <w:name w:val="无"/>
    <w:qFormat/>
    <w:uiPriority w:val="0"/>
  </w:style>
  <w:style w:type="paragraph" w:customStyle="1" w:styleId="99">
    <w:name w:val="p0"/>
    <w:basedOn w:val="1"/>
    <w:autoRedefine/>
    <w:qFormat/>
    <w:uiPriority w:val="0"/>
    <w:pPr>
      <w:widowControl/>
    </w:pPr>
    <w:rPr>
      <w:kern w:val="0"/>
      <w:szCs w:val="21"/>
    </w:rPr>
  </w:style>
  <w:style w:type="character" w:customStyle="1" w:styleId="100">
    <w:name w:val="纯文本 Char1"/>
    <w:link w:val="2"/>
    <w:autoRedefine/>
    <w:qFormat/>
    <w:uiPriority w:val="0"/>
    <w:rPr>
      <w:rFonts w:ascii="宋体" w:hAnsi="Courier New" w:eastAsia="仿宋_GB2312"/>
      <w:kern w:val="2"/>
      <w:sz w:val="30"/>
      <w:szCs w:val="24"/>
    </w:rPr>
  </w:style>
  <w:style w:type="character" w:customStyle="1" w:styleId="101">
    <w:name w:val="bookmark-item"/>
    <w:basedOn w:val="30"/>
    <w:autoRedefine/>
    <w:qFormat/>
    <w:uiPriority w:val="0"/>
  </w:style>
  <w:style w:type="character" w:customStyle="1" w:styleId="102">
    <w:name w:val="正文文本缩进 3 Char"/>
    <w:basedOn w:val="30"/>
    <w:link w:val="22"/>
    <w:autoRedefine/>
    <w:qFormat/>
    <w:uiPriority w:val="0"/>
    <w:rPr>
      <w:rFonts w:ascii="Calibri" w:hAnsi="Calibri" w:eastAsia="宋体"/>
      <w:kern w:val="2"/>
      <w:sz w:val="16"/>
      <w:szCs w:val="16"/>
    </w:rPr>
  </w:style>
  <w:style w:type="character" w:customStyle="1" w:styleId="103">
    <w:name w:val="标题 6 Char"/>
    <w:basedOn w:val="30"/>
    <w:link w:val="6"/>
    <w:autoRedefine/>
    <w:qFormat/>
    <w:uiPriority w:val="0"/>
    <w:rPr>
      <w:rFonts w:ascii="Arial" w:hAnsi="Arial" w:eastAsia="黑体" w:cstheme="minorBidi"/>
      <w:b/>
      <w:kern w:val="2"/>
      <w:sz w:val="24"/>
      <w:szCs w:val="24"/>
    </w:rPr>
  </w:style>
  <w:style w:type="character" w:customStyle="1" w:styleId="104">
    <w:name w:val="页眉 Char"/>
    <w:basedOn w:val="30"/>
    <w:link w:val="19"/>
    <w:autoRedefine/>
    <w:qFormat/>
    <w:uiPriority w:val="0"/>
    <w:rPr>
      <w:rFonts w:ascii="Calibri" w:hAnsi="Calibri"/>
      <w:kern w:val="2"/>
      <w:sz w:val="18"/>
      <w:szCs w:val="24"/>
    </w:rPr>
  </w:style>
  <w:style w:type="character" w:customStyle="1" w:styleId="105">
    <w:name w:val="页脚 Char"/>
    <w:basedOn w:val="30"/>
    <w:link w:val="18"/>
    <w:autoRedefine/>
    <w:qFormat/>
    <w:uiPriority w:val="99"/>
    <w:rPr>
      <w:rFonts w:ascii="Calibri" w:hAnsi="Calibri"/>
    </w:rPr>
  </w:style>
  <w:style w:type="character" w:customStyle="1" w:styleId="106">
    <w:name w:val="标题 1 Char"/>
    <w:basedOn w:val="30"/>
    <w:link w:val="3"/>
    <w:autoRedefine/>
    <w:qFormat/>
    <w:uiPriority w:val="0"/>
    <w:rPr>
      <w:rFonts w:ascii="Calibri" w:hAnsi="Calibri"/>
      <w:b/>
      <w:kern w:val="44"/>
      <w:sz w:val="44"/>
      <w:szCs w:val="24"/>
    </w:rPr>
  </w:style>
  <w:style w:type="character" w:customStyle="1" w:styleId="107">
    <w:name w:val="标题 2 Char"/>
    <w:basedOn w:val="30"/>
    <w:link w:val="4"/>
    <w:autoRedefine/>
    <w:qFormat/>
    <w:uiPriority w:val="0"/>
    <w:rPr>
      <w:rFonts w:ascii="Cambria" w:hAnsi="Cambria"/>
      <w:b/>
      <w:bCs/>
      <w:kern w:val="2"/>
      <w:sz w:val="21"/>
      <w:szCs w:val="32"/>
    </w:rPr>
  </w:style>
  <w:style w:type="paragraph" w:customStyle="1" w:styleId="108">
    <w:name w:val="Char"/>
    <w:basedOn w:val="1"/>
    <w:autoRedefine/>
    <w:qFormat/>
    <w:uiPriority w:val="0"/>
    <w:rPr>
      <w:rFonts w:ascii="Times New Roman" w:hAnsi="Times New Roman"/>
    </w:rPr>
  </w:style>
  <w:style w:type="character" w:customStyle="1" w:styleId="109">
    <w:name w:val="列出段落 Char"/>
    <w:basedOn w:val="30"/>
    <w:link w:val="87"/>
    <w:autoRedefine/>
    <w:qFormat/>
    <w:uiPriority w:val="0"/>
    <w:rPr>
      <w:rFonts w:ascii="Calibri" w:hAnsi="Calibri"/>
      <w:kern w:val="2"/>
      <w:sz w:val="21"/>
      <w:szCs w:val="24"/>
    </w:rPr>
  </w:style>
  <w:style w:type="paragraph" w:customStyle="1" w:styleId="110">
    <w:name w:val="列出段落11"/>
    <w:basedOn w:val="1"/>
    <w:autoRedefine/>
    <w:unhideWhenUsed/>
    <w:qFormat/>
    <w:uiPriority w:val="99"/>
    <w:pPr>
      <w:ind w:firstLine="420" w:firstLineChars="200"/>
    </w:pPr>
  </w:style>
  <w:style w:type="paragraph" w:customStyle="1" w:styleId="111">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0"/>
    </w:rPr>
  </w:style>
  <w:style w:type="paragraph" w:customStyle="1" w:styleId="112">
    <w:name w:val="xl24"/>
    <w:basedOn w:val="1"/>
    <w:autoRedefine/>
    <w:qFormat/>
    <w:uiPriority w:val="0"/>
    <w:pPr>
      <w:widowControl/>
      <w:pBdr>
        <w:bottom w:val="single" w:color="auto" w:sz="4" w:space="0"/>
      </w:pBdr>
      <w:spacing w:before="100" w:beforeAutospacing="1" w:after="100" w:afterAutospacing="1"/>
      <w:jc w:val="center"/>
      <w:textAlignment w:val="top"/>
    </w:pPr>
    <w:rPr>
      <w:rFonts w:ascii="宋体" w:hAnsi="宋体"/>
      <w:kern w:val="0"/>
      <w:sz w:val="28"/>
      <w:szCs w:val="21"/>
    </w:rPr>
  </w:style>
  <w:style w:type="character" w:customStyle="1" w:styleId="113">
    <w:name w:val="font51"/>
    <w:basedOn w:val="30"/>
    <w:autoRedefine/>
    <w:qFormat/>
    <w:uiPriority w:val="0"/>
    <w:rPr>
      <w:rFonts w:hint="eastAsia" w:ascii="宋体" w:hAnsi="宋体" w:eastAsia="宋体" w:cs="宋体"/>
      <w:color w:val="000000"/>
      <w:sz w:val="20"/>
      <w:szCs w:val="20"/>
      <w:u w:val="none"/>
    </w:rPr>
  </w:style>
  <w:style w:type="character" w:customStyle="1" w:styleId="114">
    <w:name w:val="font31"/>
    <w:basedOn w:val="30"/>
    <w:autoRedefine/>
    <w:qFormat/>
    <w:uiPriority w:val="0"/>
    <w:rPr>
      <w:rFonts w:ascii="Arial" w:hAnsi="Arial" w:cs="Arial"/>
      <w:color w:val="000000"/>
      <w:sz w:val="20"/>
      <w:szCs w:val="20"/>
      <w:u w:val="none"/>
    </w:rPr>
  </w:style>
  <w:style w:type="character" w:customStyle="1" w:styleId="115">
    <w:name w:val="font21"/>
    <w:basedOn w:val="30"/>
    <w:autoRedefine/>
    <w:qFormat/>
    <w:uiPriority w:val="0"/>
    <w:rPr>
      <w:rFonts w:hint="eastAsia" w:ascii="宋体" w:hAnsi="宋体" w:eastAsia="宋体" w:cs="宋体"/>
      <w:color w:val="000000"/>
      <w:sz w:val="20"/>
      <w:szCs w:val="20"/>
      <w:u w:val="none"/>
    </w:rPr>
  </w:style>
  <w:style w:type="character" w:customStyle="1" w:styleId="116">
    <w:name w:val="font11"/>
    <w:basedOn w:val="30"/>
    <w:autoRedefine/>
    <w:qFormat/>
    <w:uiPriority w:val="0"/>
    <w:rPr>
      <w:rFonts w:hint="default" w:ascii="Arial" w:hAnsi="Arial" w:cs="Arial"/>
      <w:color w:val="000000"/>
      <w:sz w:val="20"/>
      <w:szCs w:val="20"/>
      <w:u w:val="none"/>
    </w:rPr>
  </w:style>
  <w:style w:type="character" w:customStyle="1" w:styleId="117">
    <w:name w:val="font01"/>
    <w:basedOn w:val="30"/>
    <w:autoRedefine/>
    <w:qFormat/>
    <w:uiPriority w:val="0"/>
    <w:rPr>
      <w:rFonts w:ascii="Calibri" w:hAnsi="Calibri" w:cs="Calibri"/>
      <w:color w:val="000000"/>
      <w:sz w:val="20"/>
      <w:szCs w:val="20"/>
      <w:u w:val="none"/>
    </w:rPr>
  </w:style>
  <w:style w:type="paragraph" w:customStyle="1" w:styleId="118">
    <w:name w:val="l正文"/>
    <w:basedOn w:val="1"/>
    <w:autoRedefine/>
    <w:qFormat/>
    <w:uiPriority w:val="0"/>
    <w:pPr>
      <w:spacing w:line="300" w:lineRule="auto"/>
      <w:ind w:firstLine="200" w:firstLineChars="200"/>
      <w:jc w:val="left"/>
    </w:pPr>
    <w:rPr>
      <w:rFonts w:ascii="楷体_GB2312" w:hAnsi="Times" w:eastAsia="楷体_GB2312" w:cs="等线"/>
      <w:sz w:val="24"/>
    </w:rPr>
  </w:style>
  <w:style w:type="paragraph" w:customStyle="1" w:styleId="119">
    <w:name w:val="[Normal]"/>
    <w:autoRedefine/>
    <w:qFormat/>
    <w:uiPriority w:val="0"/>
    <w:rPr>
      <w:rFonts w:ascii="宋体" w:hAnsi="宋体" w:eastAsia="宋体" w:cs="Times New Roman"/>
      <w:sz w:val="24"/>
      <w:szCs w:val="22"/>
      <w:lang w:val="zh-CN" w:eastAsia="zh-CN" w:bidi="ar-SA"/>
    </w:rPr>
  </w:style>
  <w:style w:type="paragraph" w:customStyle="1" w:styleId="120">
    <w:name w:val="_Style 3"/>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121">
    <w:name w:val="首行缩进"/>
    <w:basedOn w:val="1"/>
    <w:autoRedefine/>
    <w:qFormat/>
    <w:uiPriority w:val="0"/>
    <w:pPr>
      <w:ind w:firstLine="480" w:firstLineChars="200"/>
    </w:pPr>
    <w:rPr>
      <w:lang w:val="zh-CN"/>
    </w:rPr>
  </w:style>
  <w:style w:type="paragraph" w:customStyle="1" w:styleId="122">
    <w:name w:val="自动更正"/>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3">
    <w:name w:val="Char Char Char Char Char Char"/>
    <w:basedOn w:val="1"/>
    <w:autoRedefine/>
    <w:qFormat/>
    <w:uiPriority w:val="0"/>
    <w:pPr>
      <w:widowControl/>
      <w:spacing w:after="160" w:line="240" w:lineRule="exact"/>
      <w:jc w:val="left"/>
    </w:pPr>
    <w:rPr>
      <w:rFonts w:ascii="Tahoma" w:hAnsi="Tahoma"/>
      <w:kern w:val="0"/>
      <w:sz w:val="20"/>
      <w:szCs w:val="20"/>
      <w:lang w:eastAsia="en-US"/>
    </w:rPr>
  </w:style>
  <w:style w:type="character" w:customStyle="1" w:styleId="124">
    <w:name w:val="layui-layer-tabnow"/>
    <w:basedOn w:val="30"/>
    <w:autoRedefine/>
    <w:qFormat/>
    <w:uiPriority w:val="0"/>
    <w:rPr>
      <w:bdr w:val="single" w:color="CCCCCC" w:sz="6" w:space="0"/>
      <w:shd w:val="clear" w:color="auto" w:fill="FFFFFF"/>
    </w:rPr>
  </w:style>
  <w:style w:type="character" w:customStyle="1" w:styleId="125">
    <w:name w:val="first-child"/>
    <w:basedOn w:val="30"/>
    <w:autoRedefine/>
    <w:qFormat/>
    <w:uiPriority w:val="0"/>
  </w:style>
  <w:style w:type="character" w:customStyle="1" w:styleId="126">
    <w:name w:val="font22"/>
    <w:basedOn w:val="30"/>
    <w:qFormat/>
    <w:uiPriority w:val="0"/>
    <w:rPr>
      <w:rFonts w:hint="eastAsia" w:ascii="宋体" w:hAnsi="宋体" w:eastAsia="宋体" w:cs="宋体"/>
      <w:color w:val="000000"/>
      <w:sz w:val="18"/>
      <w:szCs w:val="18"/>
      <w:u w:val="none"/>
    </w:rPr>
  </w:style>
  <w:style w:type="character" w:customStyle="1" w:styleId="127">
    <w:name w:val="font41"/>
    <w:basedOn w:val="30"/>
    <w:autoRedefine/>
    <w:qFormat/>
    <w:uiPriority w:val="0"/>
    <w:rPr>
      <w:rFonts w:hint="eastAsia" w:ascii="宋体" w:hAnsi="宋体" w:eastAsia="宋体" w:cs="宋体"/>
      <w:b/>
      <w:bCs/>
      <w:color w:val="000000"/>
      <w:sz w:val="18"/>
      <w:szCs w:val="18"/>
      <w:u w:val="none"/>
    </w:rPr>
  </w:style>
  <w:style w:type="character" w:customStyle="1" w:styleId="128">
    <w:name w:val="font251"/>
    <w:basedOn w:val="30"/>
    <w:autoRedefine/>
    <w:qFormat/>
    <w:uiPriority w:val="0"/>
    <w:rPr>
      <w:rFonts w:hint="default" w:ascii="Arial" w:hAnsi="Arial" w:cs="Arial"/>
      <w:color w:val="000000"/>
      <w:sz w:val="16"/>
      <w:szCs w:val="16"/>
      <w:u w:val="none"/>
    </w:rPr>
  </w:style>
  <w:style w:type="character" w:customStyle="1" w:styleId="129">
    <w:name w:val="font81"/>
    <w:basedOn w:val="30"/>
    <w:autoRedefine/>
    <w:qFormat/>
    <w:uiPriority w:val="0"/>
    <w:rPr>
      <w:rFonts w:hint="eastAsia" w:ascii="黑体" w:hAnsi="宋体" w:eastAsia="黑体" w:cs="黑体"/>
      <w:b/>
      <w:bCs/>
      <w:color w:val="000000"/>
      <w:sz w:val="24"/>
      <w:szCs w:val="24"/>
      <w:u w:val="none"/>
    </w:rPr>
  </w:style>
  <w:style w:type="character" w:customStyle="1" w:styleId="130">
    <w:name w:val="font261"/>
    <w:basedOn w:val="30"/>
    <w:autoRedefine/>
    <w:qFormat/>
    <w:uiPriority w:val="0"/>
    <w:rPr>
      <w:rFonts w:hint="eastAsia" w:ascii="宋体" w:hAnsi="宋体" w:eastAsia="宋体" w:cs="宋体"/>
      <w:color w:val="FF0000"/>
      <w:sz w:val="18"/>
      <w:szCs w:val="18"/>
      <w:u w:val="none"/>
    </w:rPr>
  </w:style>
  <w:style w:type="character" w:customStyle="1" w:styleId="131">
    <w:name w:val="font271"/>
    <w:basedOn w:val="30"/>
    <w:autoRedefine/>
    <w:qFormat/>
    <w:uiPriority w:val="0"/>
    <w:rPr>
      <w:rFonts w:ascii="Symbol" w:hAnsi="Symbol" w:cs="Symbol"/>
      <w:color w:val="000000"/>
      <w:sz w:val="21"/>
      <w:szCs w:val="21"/>
      <w:u w:val="none"/>
    </w:rPr>
  </w:style>
  <w:style w:type="character" w:customStyle="1" w:styleId="132">
    <w:name w:val="font281"/>
    <w:basedOn w:val="30"/>
    <w:autoRedefine/>
    <w:qFormat/>
    <w:uiPriority w:val="0"/>
    <w:rPr>
      <w:rFonts w:hint="eastAsia" w:ascii="宋体" w:hAnsi="宋体" w:eastAsia="宋体" w:cs="宋体"/>
      <w:color w:val="000000"/>
      <w:sz w:val="21"/>
      <w:szCs w:val="21"/>
      <w:u w:val="none"/>
    </w:rPr>
  </w:style>
  <w:style w:type="character" w:customStyle="1" w:styleId="133">
    <w:name w:val="font171"/>
    <w:basedOn w:val="30"/>
    <w:autoRedefine/>
    <w:qFormat/>
    <w:uiPriority w:val="0"/>
    <w:rPr>
      <w:rFonts w:hint="eastAsia" w:ascii="宋体" w:hAnsi="宋体" w:eastAsia="宋体" w:cs="宋体"/>
      <w:color w:val="000000"/>
      <w:sz w:val="18"/>
      <w:szCs w:val="18"/>
      <w:u w:val="none"/>
    </w:rPr>
  </w:style>
  <w:style w:type="character" w:customStyle="1" w:styleId="134">
    <w:name w:val="font291"/>
    <w:basedOn w:val="30"/>
    <w:autoRedefine/>
    <w:qFormat/>
    <w:uiPriority w:val="0"/>
    <w:rPr>
      <w:rFonts w:hint="default" w:ascii="Arial" w:hAnsi="Arial" w:cs="Arial"/>
      <w:color w:val="000000"/>
      <w:sz w:val="18"/>
      <w:szCs w:val="18"/>
      <w:u w:val="none"/>
    </w:rPr>
  </w:style>
  <w:style w:type="character" w:customStyle="1" w:styleId="135">
    <w:name w:val="font181"/>
    <w:basedOn w:val="30"/>
    <w:autoRedefine/>
    <w:qFormat/>
    <w:uiPriority w:val="0"/>
    <w:rPr>
      <w:rFonts w:hint="eastAsia" w:ascii="宋体" w:hAnsi="宋体" w:eastAsia="宋体" w:cs="宋体"/>
      <w:color w:val="000000"/>
      <w:sz w:val="18"/>
      <w:szCs w:val="18"/>
      <w:u w:val="none"/>
    </w:rPr>
  </w:style>
  <w:style w:type="character" w:customStyle="1" w:styleId="136">
    <w:name w:val="font301"/>
    <w:basedOn w:val="30"/>
    <w:autoRedefine/>
    <w:qFormat/>
    <w:uiPriority w:val="0"/>
    <w:rPr>
      <w:rFonts w:hint="eastAsia" w:ascii="黑体" w:hAnsi="宋体" w:eastAsia="黑体" w:cs="黑体"/>
      <w:color w:val="000000"/>
      <w:sz w:val="24"/>
      <w:szCs w:val="24"/>
      <w:u w:val="none"/>
      <w:vertAlign w:val="superscript"/>
    </w:rPr>
  </w:style>
  <w:style w:type="character" w:customStyle="1" w:styleId="137">
    <w:name w:val="font12"/>
    <w:basedOn w:val="30"/>
    <w:autoRedefine/>
    <w:qFormat/>
    <w:uiPriority w:val="0"/>
    <w:rPr>
      <w:rFonts w:hint="eastAsia" w:ascii="黑体" w:hAnsi="宋体" w:eastAsia="黑体" w:cs="黑体"/>
      <w:color w:val="000000"/>
      <w:sz w:val="24"/>
      <w:szCs w:val="24"/>
      <w:u w:val="none"/>
    </w:rPr>
  </w:style>
  <w:style w:type="character" w:customStyle="1" w:styleId="138">
    <w:name w:val="font231"/>
    <w:basedOn w:val="30"/>
    <w:autoRedefine/>
    <w:qFormat/>
    <w:uiPriority w:val="0"/>
    <w:rPr>
      <w:rFonts w:hint="eastAsia" w:ascii="宋体" w:hAnsi="宋体" w:eastAsia="宋体" w:cs="宋体"/>
      <w:color w:val="000000"/>
      <w:sz w:val="20"/>
      <w:szCs w:val="20"/>
      <w:u w:val="none"/>
    </w:rPr>
  </w:style>
  <w:style w:type="character" w:customStyle="1" w:styleId="139">
    <w:name w:val="font312"/>
    <w:basedOn w:val="30"/>
    <w:autoRedefine/>
    <w:qFormat/>
    <w:uiPriority w:val="0"/>
    <w:rPr>
      <w:rFonts w:hint="eastAsia" w:ascii="宋体" w:hAnsi="宋体" w:eastAsia="宋体" w:cs="宋体"/>
      <w:b/>
      <w:bCs/>
      <w:color w:val="000000"/>
      <w:sz w:val="18"/>
      <w:szCs w:val="18"/>
      <w:u w:val="none"/>
    </w:rPr>
  </w:style>
  <w:style w:type="character" w:customStyle="1" w:styleId="140">
    <w:name w:val="font321"/>
    <w:basedOn w:val="30"/>
    <w:autoRedefine/>
    <w:qFormat/>
    <w:uiPriority w:val="0"/>
    <w:rPr>
      <w:rFonts w:hint="eastAsia" w:ascii="宋体" w:hAnsi="宋体" w:eastAsia="宋体" w:cs="宋体"/>
      <w:color w:val="000000"/>
      <w:sz w:val="20"/>
      <w:szCs w:val="20"/>
      <w:u w:val="none"/>
      <w:vertAlign w:val="superscript"/>
    </w:rPr>
  </w:style>
  <w:style w:type="character" w:customStyle="1" w:styleId="141">
    <w:name w:val="font241"/>
    <w:basedOn w:val="30"/>
    <w:autoRedefine/>
    <w:qFormat/>
    <w:uiPriority w:val="0"/>
    <w:rPr>
      <w:rFonts w:hint="eastAsia" w:ascii="宋体" w:hAnsi="宋体" w:eastAsia="宋体" w:cs="宋体"/>
      <w:color w:val="000000"/>
      <w:sz w:val="20"/>
      <w:szCs w:val="20"/>
      <w:u w:val="none"/>
    </w:rPr>
  </w:style>
  <w:style w:type="character" w:customStyle="1" w:styleId="142">
    <w:name w:val="font331"/>
    <w:basedOn w:val="30"/>
    <w:autoRedefine/>
    <w:qFormat/>
    <w:uiPriority w:val="0"/>
    <w:rPr>
      <w:rFonts w:hint="eastAsia" w:ascii="宋体" w:hAnsi="宋体" w:eastAsia="宋体" w:cs="宋体"/>
      <w:color w:val="FF0000"/>
      <w:sz w:val="20"/>
      <w:szCs w:val="20"/>
      <w:u w:val="none"/>
    </w:rPr>
  </w:style>
  <w:style w:type="character" w:customStyle="1" w:styleId="143">
    <w:name w:val="font341"/>
    <w:basedOn w:val="30"/>
    <w:autoRedefine/>
    <w:qFormat/>
    <w:uiPriority w:val="0"/>
    <w:rPr>
      <w:rFonts w:hint="eastAsia" w:ascii="黑体" w:hAnsi="宋体" w:eastAsia="黑体" w:cs="黑体"/>
      <w:color w:val="000000"/>
      <w:sz w:val="24"/>
      <w:szCs w:val="24"/>
      <w:u w:val="none"/>
      <w:vertAlign w:val="superscript"/>
    </w:rPr>
  </w:style>
  <w:style w:type="character" w:customStyle="1" w:styleId="144">
    <w:name w:val="font151"/>
    <w:basedOn w:val="30"/>
    <w:autoRedefine/>
    <w:qFormat/>
    <w:uiPriority w:val="0"/>
    <w:rPr>
      <w:rFonts w:hint="eastAsia" w:ascii="黑体" w:hAnsi="宋体" w:eastAsia="黑体" w:cs="黑体"/>
      <w:color w:val="000000"/>
      <w:sz w:val="24"/>
      <w:szCs w:val="24"/>
      <w:u w:val="none"/>
    </w:rPr>
  </w:style>
  <w:style w:type="character" w:customStyle="1" w:styleId="145">
    <w:name w:val="font161"/>
    <w:basedOn w:val="30"/>
    <w:autoRedefine/>
    <w:qFormat/>
    <w:uiPriority w:val="0"/>
    <w:rPr>
      <w:rFonts w:hint="eastAsia" w:ascii="宋体" w:hAnsi="宋体" w:eastAsia="宋体" w:cs="宋体"/>
      <w:b/>
      <w:bCs/>
      <w:color w:val="FF0000"/>
      <w:sz w:val="18"/>
      <w:szCs w:val="18"/>
      <w:u w:val="none"/>
    </w:rPr>
  </w:style>
  <w:style w:type="character" w:customStyle="1" w:styleId="146">
    <w:name w:val="font351"/>
    <w:basedOn w:val="30"/>
    <w:autoRedefine/>
    <w:qFormat/>
    <w:uiPriority w:val="0"/>
    <w:rPr>
      <w:rFonts w:hint="eastAsia" w:ascii="宋体" w:hAnsi="宋体" w:eastAsia="宋体" w:cs="宋体"/>
      <w:b/>
      <w:bCs/>
      <w:color w:val="000000"/>
      <w:sz w:val="20"/>
      <w:szCs w:val="20"/>
      <w:u w:val="none"/>
    </w:rPr>
  </w:style>
  <w:style w:type="character" w:customStyle="1" w:styleId="147">
    <w:name w:val="font71"/>
    <w:basedOn w:val="30"/>
    <w:autoRedefine/>
    <w:qFormat/>
    <w:uiPriority w:val="0"/>
    <w:rPr>
      <w:rFonts w:hint="eastAsia" w:ascii="宋体" w:hAnsi="宋体" w:eastAsia="宋体" w:cs="宋体"/>
      <w:color w:val="000000"/>
      <w:sz w:val="20"/>
      <w:szCs w:val="20"/>
      <w:u w:val="none"/>
    </w:rPr>
  </w:style>
  <w:style w:type="character" w:customStyle="1" w:styleId="148">
    <w:name w:val="font131"/>
    <w:basedOn w:val="30"/>
    <w:autoRedefine/>
    <w:qFormat/>
    <w:uiPriority w:val="0"/>
    <w:rPr>
      <w:rFonts w:hint="eastAsia" w:ascii="宋体" w:hAnsi="宋体" w:eastAsia="宋体" w:cs="宋体"/>
      <w:color w:val="000000"/>
      <w:sz w:val="18"/>
      <w:szCs w:val="18"/>
      <w:u w:val="none"/>
    </w:rPr>
  </w:style>
  <w:style w:type="character" w:customStyle="1" w:styleId="149">
    <w:name w:val="font61"/>
    <w:basedOn w:val="30"/>
    <w:autoRedefine/>
    <w:qFormat/>
    <w:uiPriority w:val="0"/>
    <w:rPr>
      <w:rFonts w:hint="eastAsia" w:ascii="宋体" w:hAnsi="宋体" w:eastAsia="宋体" w:cs="宋体"/>
      <w:color w:val="000000"/>
      <w:sz w:val="18"/>
      <w:szCs w:val="18"/>
      <w:u w:val="none"/>
    </w:rPr>
  </w:style>
  <w:style w:type="character" w:customStyle="1" w:styleId="150">
    <w:name w:val="标题 1 Char1"/>
    <w:link w:val="3"/>
    <w:autoRedefine/>
    <w:qFormat/>
    <w:uiPriority w:val="0"/>
    <w:rPr>
      <w:b/>
      <w:bCs/>
      <w:kern w:val="44"/>
      <w:sz w:val="24"/>
      <w:szCs w:val="44"/>
    </w:rPr>
  </w:style>
  <w:style w:type="character" w:customStyle="1" w:styleId="151">
    <w:name w:val="font112"/>
    <w:basedOn w:val="30"/>
    <w:autoRedefine/>
    <w:qFormat/>
    <w:uiPriority w:val="0"/>
    <w:rPr>
      <w:rFonts w:hint="default" w:ascii="Arial" w:hAnsi="Arial" w:cs="Arial"/>
      <w:color w:val="000000"/>
      <w:sz w:val="16"/>
      <w:szCs w:val="16"/>
      <w:u w:val="none"/>
    </w:rPr>
  </w:style>
  <w:style w:type="character" w:customStyle="1" w:styleId="152">
    <w:name w:val="font121"/>
    <w:basedOn w:val="30"/>
    <w:autoRedefine/>
    <w:qFormat/>
    <w:uiPriority w:val="0"/>
    <w:rPr>
      <w:rFonts w:hint="eastAsia" w:ascii="宋体" w:hAnsi="宋体" w:eastAsia="宋体" w:cs="宋体"/>
      <w:color w:val="000000"/>
      <w:sz w:val="18"/>
      <w:szCs w:val="18"/>
      <w:u w:val="none"/>
    </w:rPr>
  </w:style>
  <w:style w:type="character" w:customStyle="1" w:styleId="153">
    <w:name w:val="font201"/>
    <w:basedOn w:val="30"/>
    <w:autoRedefine/>
    <w:qFormat/>
    <w:uiPriority w:val="0"/>
    <w:rPr>
      <w:rFonts w:hint="default" w:ascii="Arial" w:hAnsi="Arial" w:cs="Arial"/>
      <w:color w:val="000000"/>
      <w:sz w:val="18"/>
      <w:szCs w:val="18"/>
      <w:u w:val="none"/>
    </w:rPr>
  </w:style>
  <w:style w:type="character" w:customStyle="1" w:styleId="154">
    <w:name w:val="font212"/>
    <w:basedOn w:val="30"/>
    <w:autoRedefine/>
    <w:qFormat/>
    <w:uiPriority w:val="0"/>
    <w:rPr>
      <w:rFonts w:hint="eastAsia" w:ascii="宋体" w:hAnsi="宋体" w:eastAsia="宋体" w:cs="宋体"/>
      <w:color w:val="FF0000"/>
      <w:sz w:val="18"/>
      <w:szCs w:val="18"/>
      <w:u w:val="none"/>
    </w:rPr>
  </w:style>
  <w:style w:type="character" w:customStyle="1" w:styleId="155">
    <w:name w:val="font221"/>
    <w:basedOn w:val="30"/>
    <w:autoRedefine/>
    <w:qFormat/>
    <w:uiPriority w:val="0"/>
    <w:rPr>
      <w:rFonts w:hint="eastAsia" w:ascii="宋体" w:hAnsi="宋体" w:eastAsia="宋体" w:cs="宋体"/>
      <w:b/>
      <w:bCs/>
      <w:color w:val="FF0000"/>
      <w:sz w:val="18"/>
      <w:szCs w:val="18"/>
      <w:u w:val="none"/>
    </w:rPr>
  </w:style>
  <w:style w:type="character" w:customStyle="1" w:styleId="156">
    <w:name w:val="font91"/>
    <w:basedOn w:val="30"/>
    <w:autoRedefine/>
    <w:qFormat/>
    <w:uiPriority w:val="0"/>
    <w:rPr>
      <w:rFonts w:hint="eastAsia" w:ascii="黑体" w:hAnsi="宋体" w:eastAsia="黑体" w:cs="黑体"/>
      <w:color w:val="000000"/>
      <w:sz w:val="24"/>
      <w:szCs w:val="24"/>
      <w:u w:val="none"/>
      <w:vertAlign w:val="superscript"/>
    </w:rPr>
  </w:style>
  <w:style w:type="character" w:customStyle="1" w:styleId="157">
    <w:name w:val="font191"/>
    <w:basedOn w:val="30"/>
    <w:autoRedefine/>
    <w:qFormat/>
    <w:uiPriority w:val="0"/>
    <w:rPr>
      <w:rFonts w:hint="eastAsia" w:ascii="黑体" w:hAnsi="宋体" w:eastAsia="黑体" w:cs="黑体"/>
      <w:color w:val="000000"/>
      <w:sz w:val="24"/>
      <w:szCs w:val="24"/>
      <w:u w:val="none"/>
    </w:rPr>
  </w:style>
  <w:style w:type="character" w:customStyle="1" w:styleId="158">
    <w:name w:val="font111"/>
    <w:basedOn w:val="30"/>
    <w:autoRedefine/>
    <w:qFormat/>
    <w:uiPriority w:val="0"/>
    <w:rPr>
      <w:rFonts w:hint="eastAsia" w:ascii="宋体" w:hAnsi="宋体" w:eastAsia="宋体" w:cs="宋体"/>
      <w:b/>
      <w:bCs/>
      <w:color w:val="000000"/>
      <w:sz w:val="22"/>
      <w:szCs w:val="22"/>
      <w:u w:val="none"/>
    </w:rPr>
  </w:style>
  <w:style w:type="character" w:customStyle="1" w:styleId="159">
    <w:name w:val="font101"/>
    <w:basedOn w:val="30"/>
    <w:autoRedefine/>
    <w:qFormat/>
    <w:uiPriority w:val="0"/>
    <w:rPr>
      <w:rFonts w:hint="eastAsia" w:ascii="宋体" w:hAnsi="宋体" w:eastAsia="宋体" w:cs="宋体"/>
      <w:b/>
      <w:bCs/>
      <w:color w:val="000000"/>
      <w:sz w:val="24"/>
      <w:szCs w:val="24"/>
      <w:u w:val="none"/>
    </w:rPr>
  </w:style>
  <w:style w:type="character" w:customStyle="1" w:styleId="160">
    <w:name w:val="font322"/>
    <w:basedOn w:val="30"/>
    <w:autoRedefine/>
    <w:qFormat/>
    <w:uiPriority w:val="0"/>
    <w:rPr>
      <w:rFonts w:ascii="宋体" w:hAnsi="宋体" w:eastAsia="宋体" w:cs="宋体"/>
      <w:color w:val="000000"/>
      <w:sz w:val="20"/>
      <w:szCs w:val="20"/>
      <w:u w:val="none"/>
    </w:rPr>
  </w:style>
  <w:style w:type="character" w:customStyle="1" w:styleId="161">
    <w:name w:val="font13"/>
    <w:basedOn w:val="30"/>
    <w:autoRedefine/>
    <w:qFormat/>
    <w:uiPriority w:val="0"/>
    <w:rPr>
      <w:rFonts w:hint="eastAsia" w:ascii="宋体" w:hAnsi="宋体" w:eastAsia="宋体" w:cs="宋体"/>
      <w:color w:val="000000"/>
      <w:sz w:val="22"/>
      <w:szCs w:val="22"/>
      <w:u w:val="none"/>
    </w:rPr>
  </w:style>
  <w:style w:type="character" w:customStyle="1" w:styleId="162">
    <w:name w:val="font361"/>
    <w:basedOn w:val="30"/>
    <w:autoRedefine/>
    <w:qFormat/>
    <w:uiPriority w:val="0"/>
    <w:rPr>
      <w:rFonts w:hint="default" w:ascii="Calibri" w:hAnsi="Calibri" w:cs="Calibri"/>
      <w:color w:val="000000"/>
      <w:sz w:val="20"/>
      <w:szCs w:val="20"/>
      <w:u w:val="none"/>
    </w:rPr>
  </w:style>
  <w:style w:type="character" w:customStyle="1" w:styleId="163">
    <w:name w:val="font371"/>
    <w:basedOn w:val="30"/>
    <w:autoRedefine/>
    <w:qFormat/>
    <w:uiPriority w:val="0"/>
    <w:rPr>
      <w:rFonts w:hint="default" w:ascii="Arial" w:hAnsi="Arial" w:cs="Arial"/>
      <w:color w:val="000000"/>
      <w:sz w:val="20"/>
      <w:szCs w:val="20"/>
      <w:u w:val="none"/>
    </w:rPr>
  </w:style>
  <w:style w:type="character" w:customStyle="1" w:styleId="164">
    <w:name w:val="font381"/>
    <w:basedOn w:val="30"/>
    <w:autoRedefine/>
    <w:qFormat/>
    <w:uiPriority w:val="0"/>
    <w:rPr>
      <w:rFonts w:hint="eastAsia" w:ascii="微软雅黑" w:hAnsi="微软雅黑" w:eastAsia="微软雅黑" w:cs="微软雅黑"/>
      <w:color w:val="000000"/>
      <w:sz w:val="20"/>
      <w:szCs w:val="20"/>
      <w:u w:val="none"/>
    </w:rPr>
  </w:style>
  <w:style w:type="character" w:customStyle="1" w:styleId="165">
    <w:name w:val="font391"/>
    <w:basedOn w:val="30"/>
    <w:autoRedefine/>
    <w:qFormat/>
    <w:uiPriority w:val="0"/>
    <w:rPr>
      <w:rFonts w:ascii="Symbol" w:hAnsi="Symbol" w:cs="Symbol"/>
      <w:color w:val="000000"/>
      <w:sz w:val="20"/>
      <w:szCs w:val="20"/>
      <w:u w:val="none"/>
    </w:rPr>
  </w:style>
  <w:style w:type="character" w:customStyle="1" w:styleId="166">
    <w:name w:val="font401"/>
    <w:basedOn w:val="30"/>
    <w:autoRedefine/>
    <w:qFormat/>
    <w:uiPriority w:val="0"/>
    <w:rPr>
      <w:rFonts w:ascii="宋体" w:hAnsi="宋体" w:eastAsia="宋体" w:cs="宋体"/>
      <w:b/>
      <w:bCs/>
      <w:color w:val="000000"/>
      <w:sz w:val="22"/>
      <w:szCs w:val="22"/>
      <w:u w:val="none"/>
    </w:rPr>
  </w:style>
  <w:style w:type="character" w:customStyle="1" w:styleId="167">
    <w:name w:val="font412"/>
    <w:basedOn w:val="30"/>
    <w:autoRedefine/>
    <w:qFormat/>
    <w:uiPriority w:val="0"/>
    <w:rPr>
      <w:rFonts w:hint="eastAsia" w:ascii="宋体" w:hAnsi="宋体" w:eastAsia="宋体" w:cs="宋体"/>
      <w:color w:val="000000"/>
      <w:sz w:val="20"/>
      <w:szCs w:val="20"/>
      <w:u w:val="none"/>
    </w:rPr>
  </w:style>
  <w:style w:type="character" w:customStyle="1" w:styleId="168">
    <w:name w:val="font421"/>
    <w:basedOn w:val="30"/>
    <w:autoRedefine/>
    <w:qFormat/>
    <w:uiPriority w:val="0"/>
    <w:rPr>
      <w:rFonts w:ascii="宋体" w:hAnsi="宋体" w:eastAsia="宋体" w:cs="宋体"/>
      <w:color w:val="000000"/>
      <w:sz w:val="22"/>
      <w:szCs w:val="22"/>
      <w:u w:val="none"/>
    </w:rPr>
  </w:style>
  <w:style w:type="character" w:customStyle="1" w:styleId="169">
    <w:name w:val="font431"/>
    <w:basedOn w:val="30"/>
    <w:autoRedefine/>
    <w:qFormat/>
    <w:uiPriority w:val="0"/>
    <w:rPr>
      <w:rFonts w:hint="default" w:ascii="Arial" w:hAnsi="Arial" w:cs="Arial"/>
      <w:b/>
      <w:bCs/>
      <w:color w:val="000000"/>
      <w:sz w:val="20"/>
      <w:szCs w:val="20"/>
      <w:u w:val="none"/>
    </w:rPr>
  </w:style>
  <w:style w:type="character" w:customStyle="1" w:styleId="170">
    <w:name w:val="font441"/>
    <w:basedOn w:val="30"/>
    <w:autoRedefine/>
    <w:qFormat/>
    <w:uiPriority w:val="0"/>
    <w:rPr>
      <w:rFonts w:ascii="宋体" w:hAnsi="宋体" w:eastAsia="宋体" w:cs="宋体"/>
      <w:b/>
      <w:bCs/>
      <w:color w:val="0000FF"/>
      <w:sz w:val="22"/>
      <w:szCs w:val="22"/>
      <w:u w:val="none"/>
    </w:rPr>
  </w:style>
  <w:style w:type="character" w:customStyle="1" w:styleId="171">
    <w:name w:val="font451"/>
    <w:basedOn w:val="30"/>
    <w:autoRedefine/>
    <w:qFormat/>
    <w:uiPriority w:val="0"/>
    <w:rPr>
      <w:rFonts w:ascii="宋体" w:hAnsi="宋体" w:eastAsia="宋体" w:cs="宋体"/>
      <w:color w:val="FF0000"/>
      <w:sz w:val="20"/>
      <w:szCs w:val="20"/>
      <w:u w:val="none"/>
    </w:rPr>
  </w:style>
  <w:style w:type="character" w:customStyle="1" w:styleId="172">
    <w:name w:val="font461"/>
    <w:basedOn w:val="30"/>
    <w:autoRedefine/>
    <w:qFormat/>
    <w:uiPriority w:val="0"/>
    <w:rPr>
      <w:rFonts w:ascii="宋体" w:hAnsi="宋体" w:eastAsia="宋体" w:cs="宋体"/>
      <w:b/>
      <w:bCs/>
      <w:color w:val="000000"/>
      <w:sz w:val="20"/>
      <w:szCs w:val="20"/>
      <w:u w:val="none"/>
    </w:rPr>
  </w:style>
  <w:style w:type="character" w:customStyle="1" w:styleId="173">
    <w:name w:val="font32"/>
    <w:basedOn w:val="30"/>
    <w:qFormat/>
    <w:uiPriority w:val="0"/>
    <w:rPr>
      <w:rFonts w:ascii="宋体" w:hAnsi="宋体" w:eastAsia="宋体" w:cs="宋体"/>
      <w:b/>
      <w:bCs/>
      <w:color w:val="000000"/>
      <w:sz w:val="20"/>
      <w:szCs w:val="20"/>
      <w:u w:val="none"/>
    </w:rPr>
  </w:style>
  <w:style w:type="character" w:customStyle="1" w:styleId="174">
    <w:name w:val="font141"/>
    <w:basedOn w:val="30"/>
    <w:qFormat/>
    <w:uiPriority w:val="0"/>
    <w:rPr>
      <w:rFonts w:hint="eastAsia" w:ascii="宋体" w:hAnsi="宋体" w:eastAsia="宋体" w:cs="宋体"/>
      <w:b/>
      <w:bCs/>
      <w:color w:val="000000"/>
      <w:sz w:val="22"/>
      <w:szCs w:val="22"/>
      <w:u w:val="none"/>
    </w:rPr>
  </w:style>
  <w:style w:type="character" w:customStyle="1" w:styleId="175">
    <w:name w:val="font311"/>
    <w:basedOn w:val="30"/>
    <w:qFormat/>
    <w:uiPriority w:val="0"/>
    <w:rPr>
      <w:rFonts w:ascii="宋体" w:hAnsi="宋体" w:eastAsia="宋体" w:cs="宋体"/>
      <w:b/>
      <w:bCs/>
      <w:color w:val="000000"/>
      <w:sz w:val="20"/>
      <w:szCs w:val="20"/>
      <w:u w:val="none"/>
    </w:rPr>
  </w:style>
  <w:style w:type="character" w:customStyle="1" w:styleId="176">
    <w:name w:val="font132"/>
    <w:basedOn w:val="30"/>
    <w:qFormat/>
    <w:uiPriority w:val="0"/>
    <w:rPr>
      <w:rFonts w:ascii="宋体" w:hAnsi="宋体" w:eastAsia="宋体" w:cs="宋体"/>
      <w:b/>
      <w:bCs/>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EB0B87-742C-4C5A-9350-59B5AD721887}">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75</Pages>
  <Words>12103</Words>
  <Characters>15651</Characters>
  <Lines>440</Lines>
  <Paragraphs>123</Paragraphs>
  <TotalTime>22</TotalTime>
  <ScaleCrop>false</ScaleCrop>
  <LinksUpToDate>false</LinksUpToDate>
  <CharactersWithSpaces>19679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2023-02-17T00:32:00Z</dcterms:created>
  <dc:creator>胖丁</dc:creator>
  <cp:lastModifiedBy>nicole</cp:lastModifiedBy>
  <cp:lastPrinted>2020-10-28T16:26:00Z</cp:lastPrinted>
  <dcterms:modified xsi:type="dcterms:W3CDTF">2025-03-06T07:29:29Z</dcterms:modified>
  <dc:title>xbany</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f2457ec0_mFV0yz84Kyk0OspOkXv8rTVq9hY=_8QYrr2VhfDczP9JMkHD9qygpbQ9W5KkimJ3Iaj9OkEhOYgy9t3VUS4QLsERkpDuXrumqYtv6BWtplu6GpiPEiIGDmw==_4d02f4f0</vt:lpwstr>
  </property>
  <property fmtid="{D5CDD505-2E9C-101B-9397-08002B2CF9AE}" pid="4" name="ICV">
    <vt:lpwstr>A432963360BA41A690832C67BF4581DC_13</vt:lpwstr>
  </property>
  <property fmtid="{D5CDD505-2E9C-101B-9397-08002B2CF9AE}" pid="5" name="KSOTemplateDocerSaveRecord">
    <vt:lpwstr>eyJoZGlkIjoiZmJjOWI0Y2Y3MTZkNDRhYzViNWE3NDY0MDkxMTQxOGQiLCJ1c2VySWQiOiI0NTc2NjkxNTEifQ==</vt:lpwstr>
  </property>
</Properties>
</file>