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615D5">
      <w:pPr>
        <w:adjustRightInd/>
        <w:spacing w:line="360" w:lineRule="auto"/>
        <w:jc w:val="center"/>
        <w:rPr>
          <w:rFonts w:hint="eastAsia" w:ascii="仿宋" w:hAnsi="仿宋" w:eastAsia="仿宋" w:cs="仿宋_GB2312"/>
          <w:b/>
          <w:color w:val="auto"/>
          <w:sz w:val="44"/>
          <w:szCs w:val="44"/>
          <w:highlight w:val="none"/>
          <w:lang w:eastAsia="zh-CN"/>
        </w:rPr>
      </w:pPr>
    </w:p>
    <w:p w14:paraId="794C9CF3">
      <w:pPr>
        <w:adjustRightInd/>
        <w:spacing w:line="360" w:lineRule="auto"/>
        <w:jc w:val="center"/>
        <w:rPr>
          <w:rFonts w:ascii="仿宋" w:hAnsi="仿宋" w:eastAsia="仿宋" w:cs="仿宋_GB2312"/>
          <w:b/>
          <w:color w:val="auto"/>
          <w:sz w:val="44"/>
          <w:szCs w:val="44"/>
          <w:highlight w:val="none"/>
        </w:rPr>
      </w:pPr>
      <w:r>
        <w:rPr>
          <w:rFonts w:hint="eastAsia" w:ascii="仿宋" w:hAnsi="仿宋" w:eastAsia="仿宋" w:cs="仿宋_GB2312"/>
          <w:b/>
          <w:color w:val="auto"/>
          <w:sz w:val="44"/>
          <w:szCs w:val="44"/>
          <w:highlight w:val="none"/>
          <w:lang w:eastAsia="zh-CN"/>
        </w:rPr>
        <w:t>2024-2025年度衢州市级优化用电营商环境综合保险服务项目</w:t>
      </w:r>
    </w:p>
    <w:p w14:paraId="5993545B">
      <w:pPr>
        <w:adjustRightInd/>
        <w:spacing w:line="360" w:lineRule="auto"/>
        <w:jc w:val="center"/>
        <w:rPr>
          <w:rFonts w:ascii="仿宋" w:hAnsi="仿宋" w:eastAsia="仿宋" w:cs="仿宋_GB2312"/>
          <w:color w:val="auto"/>
          <w:sz w:val="48"/>
          <w:szCs w:val="48"/>
          <w:highlight w:val="none"/>
        </w:rPr>
      </w:pPr>
    </w:p>
    <w:p w14:paraId="2456CBE1">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lang w:eastAsia="zh-CN"/>
        </w:rPr>
        <w:t>采购文件</w:t>
      </w:r>
    </w:p>
    <w:p w14:paraId="2FB14B10">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14:paraId="6E333F32">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lang w:val="en-US" w:eastAsia="zh-CN"/>
        </w:rPr>
        <w:t>项目</w:t>
      </w:r>
      <w:r>
        <w:rPr>
          <w:rFonts w:hint="eastAsia" w:ascii="仿宋" w:hAnsi="仿宋" w:eastAsia="仿宋" w:cs="仿宋_GB2312"/>
          <w:color w:val="auto"/>
          <w:sz w:val="30"/>
          <w:szCs w:val="30"/>
          <w:highlight w:val="none"/>
        </w:rPr>
        <w:t>编号:</w:t>
      </w:r>
      <w:r>
        <w:rPr>
          <w:rFonts w:hint="eastAsia" w:ascii="仿宋" w:hAnsi="仿宋" w:eastAsia="仿宋" w:cs="仿宋_GB2312"/>
          <w:color w:val="auto"/>
          <w:sz w:val="30"/>
          <w:szCs w:val="30"/>
          <w:highlight w:val="none"/>
          <w:lang w:eastAsia="zh-CN"/>
        </w:rPr>
        <w:t>qzal2024-030</w:t>
      </w:r>
    </w:p>
    <w:p w14:paraId="3C933FF6">
      <w:pPr>
        <w:adjustRightInd/>
        <w:spacing w:line="360" w:lineRule="auto"/>
        <w:rPr>
          <w:rFonts w:ascii="仿宋" w:hAnsi="仿宋" w:eastAsia="仿宋" w:cs="仿宋_GB2312"/>
          <w:color w:val="auto"/>
          <w:sz w:val="28"/>
          <w:szCs w:val="20"/>
          <w:highlight w:val="none"/>
        </w:rPr>
      </w:pPr>
    </w:p>
    <w:p w14:paraId="59B9133E">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5B3B3CFF">
      <w:pPr>
        <w:spacing w:line="360" w:lineRule="auto"/>
        <w:jc w:val="center"/>
        <w:rPr>
          <w:rFonts w:ascii="仿宋" w:hAnsi="仿宋" w:eastAsia="仿宋" w:cs="仿宋_GB2312"/>
          <w:b/>
          <w:color w:val="auto"/>
          <w:sz w:val="44"/>
          <w:szCs w:val="44"/>
          <w:highlight w:val="none"/>
        </w:rPr>
      </w:pPr>
    </w:p>
    <w:p w14:paraId="39F8F53F">
      <w:pPr>
        <w:pStyle w:val="39"/>
        <w:rPr>
          <w:rFonts w:ascii="仿宋" w:hAnsi="仿宋" w:eastAsia="仿宋" w:cs="仿宋_GB2312"/>
          <w:b/>
          <w:color w:val="auto"/>
          <w:sz w:val="44"/>
          <w:szCs w:val="44"/>
          <w:highlight w:val="none"/>
        </w:rPr>
      </w:pPr>
    </w:p>
    <w:p w14:paraId="42661AFC">
      <w:pPr>
        <w:pStyle w:val="39"/>
        <w:rPr>
          <w:rFonts w:ascii="仿宋" w:hAnsi="仿宋" w:eastAsia="仿宋" w:cs="仿宋_GB2312"/>
          <w:b/>
          <w:color w:val="auto"/>
          <w:sz w:val="44"/>
          <w:szCs w:val="44"/>
          <w:highlight w:val="none"/>
        </w:rPr>
      </w:pPr>
    </w:p>
    <w:p w14:paraId="2EFC0CE7">
      <w:pPr>
        <w:spacing w:line="360" w:lineRule="auto"/>
        <w:jc w:val="center"/>
        <w:rPr>
          <w:rFonts w:ascii="仿宋" w:hAnsi="仿宋" w:eastAsia="仿宋" w:cs="仿宋_GB2312"/>
          <w:color w:val="auto"/>
          <w:sz w:val="24"/>
          <w:highlight w:val="none"/>
        </w:rPr>
      </w:pPr>
    </w:p>
    <w:p w14:paraId="1490073A">
      <w:pPr>
        <w:snapToGrid w:val="0"/>
        <w:spacing w:line="300" w:lineRule="auto"/>
        <w:rPr>
          <w:rFonts w:ascii="Arial" w:hAnsi="Arial" w:cs="Arial"/>
          <w:b/>
          <w:color w:val="auto"/>
          <w:szCs w:val="21"/>
          <w:highlight w:val="none"/>
        </w:rPr>
      </w:pPr>
    </w:p>
    <w:p w14:paraId="2957BB5E">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采购人：</w:t>
      </w:r>
      <w:r>
        <w:rPr>
          <w:rFonts w:hint="eastAsia" w:ascii="仿宋" w:hAnsi="仿宋" w:eastAsia="仿宋" w:cs="仿宋_GB2312"/>
          <w:bCs/>
          <w:color w:val="auto"/>
          <w:sz w:val="32"/>
          <w:szCs w:val="32"/>
          <w:highlight w:val="none"/>
          <w:lang w:eastAsia="zh-CN"/>
        </w:rPr>
        <w:t>衢州市发展和改革委员会</w:t>
      </w:r>
      <w:r>
        <w:rPr>
          <w:rFonts w:hint="eastAsia" w:ascii="仿宋" w:hAnsi="仿宋" w:eastAsia="仿宋" w:cs="仿宋_GB2312"/>
          <w:bCs/>
          <w:color w:val="auto"/>
          <w:sz w:val="32"/>
          <w:szCs w:val="32"/>
          <w:highlight w:val="none"/>
        </w:rPr>
        <w:t>（盖章）</w:t>
      </w:r>
    </w:p>
    <w:p w14:paraId="05CC871A">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衢州艾凌项目管理咨询有限公司</w:t>
      </w:r>
      <w:r>
        <w:rPr>
          <w:rFonts w:hint="eastAsia" w:ascii="仿宋" w:hAnsi="仿宋" w:eastAsia="仿宋" w:cs="仿宋_GB2312"/>
          <w:bCs/>
          <w:color w:val="auto"/>
          <w:sz w:val="32"/>
          <w:szCs w:val="32"/>
          <w:highlight w:val="none"/>
        </w:rPr>
        <w:t>（盖章）</w:t>
      </w:r>
    </w:p>
    <w:p w14:paraId="7B9CC36D">
      <w:pPr>
        <w:snapToGrid w:val="0"/>
        <w:spacing w:line="360" w:lineRule="auto"/>
        <w:jc w:val="center"/>
        <w:rPr>
          <w:rFonts w:hint="eastAsia" w:ascii="仿宋_GB2312" w:hAnsi="仿宋_GB2312" w:eastAsia="仿宋_GB2312" w:cs="仿宋_GB2312"/>
          <w:bCs/>
          <w:color w:val="auto"/>
          <w:sz w:val="32"/>
          <w:szCs w:val="32"/>
          <w:highlight w:val="none"/>
        </w:rPr>
      </w:pPr>
    </w:p>
    <w:p w14:paraId="15CB1224">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八</w:t>
      </w:r>
      <w:r>
        <w:rPr>
          <w:rFonts w:hint="eastAsia" w:ascii="仿宋_GB2312" w:hAnsi="仿宋_GB2312" w:eastAsia="仿宋_GB2312" w:cs="仿宋_GB2312"/>
          <w:bCs/>
          <w:color w:val="auto"/>
          <w:sz w:val="32"/>
          <w:szCs w:val="32"/>
          <w:highlight w:val="none"/>
        </w:rPr>
        <w:t>月</w:t>
      </w:r>
    </w:p>
    <w:p w14:paraId="0FF9E0E7">
      <w:pPr>
        <w:spacing w:line="360" w:lineRule="auto"/>
        <w:jc w:val="center"/>
        <w:rPr>
          <w:rFonts w:hint="eastAsia" w:ascii="仿宋" w:hAnsi="仿宋" w:eastAsia="仿宋" w:cs="仿宋_GB2312"/>
          <w:b/>
          <w:color w:val="auto"/>
          <w:sz w:val="48"/>
          <w:szCs w:val="48"/>
          <w:highlight w:val="none"/>
        </w:rPr>
        <w:sectPr>
          <w:headerReference r:id="rId4" w:type="first"/>
          <w:headerReference r:id="rId3" w:type="default"/>
          <w:footerReference r:id="rId5" w:type="even"/>
          <w:pgSz w:w="11906" w:h="16838"/>
          <w:pgMar w:top="1553" w:right="1553" w:bottom="1553" w:left="1553" w:header="851" w:footer="992" w:gutter="0"/>
          <w:cols w:space="0" w:num="1"/>
          <w:titlePg/>
          <w:rtlGutter w:val="0"/>
          <w:docGrid w:linePitch="312" w:charSpace="0"/>
        </w:sectPr>
      </w:pPr>
    </w:p>
    <w:p w14:paraId="7D06A420">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174117E4">
      <w:pPr>
        <w:spacing w:line="360" w:lineRule="auto"/>
        <w:rPr>
          <w:rFonts w:ascii="仿宋" w:hAnsi="仿宋" w:eastAsia="仿宋" w:cs="仿宋_GB2312"/>
          <w:color w:val="auto"/>
          <w:sz w:val="32"/>
          <w:szCs w:val="32"/>
          <w:highlight w:val="none"/>
        </w:rPr>
      </w:pPr>
    </w:p>
    <w:p w14:paraId="2B6B2FCD">
      <w:pPr>
        <w:spacing w:line="360" w:lineRule="auto"/>
        <w:rPr>
          <w:rFonts w:ascii="仿宋" w:hAnsi="仿宋" w:eastAsia="仿宋" w:cs="仿宋_GB2312"/>
          <w:color w:val="auto"/>
          <w:sz w:val="32"/>
          <w:szCs w:val="32"/>
          <w:highlight w:val="none"/>
        </w:rPr>
      </w:pPr>
    </w:p>
    <w:p w14:paraId="6D4F717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12BA09B3">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lang w:eastAsia="zh-CN"/>
        </w:rPr>
        <w:t>供应商</w:t>
      </w:r>
      <w:r>
        <w:rPr>
          <w:rFonts w:hint="eastAsia" w:ascii="仿宋" w:hAnsi="仿宋" w:eastAsia="仿宋" w:cs="仿宋_GB2312"/>
          <w:color w:val="auto"/>
          <w:sz w:val="32"/>
          <w:szCs w:val="32"/>
          <w:highlight w:val="none"/>
        </w:rPr>
        <w:t>须知</w:t>
      </w:r>
    </w:p>
    <w:p w14:paraId="74A9E69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641328F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02CB207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3B70386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3502D49D">
      <w:pPr>
        <w:spacing w:line="360" w:lineRule="auto"/>
        <w:ind w:firstLine="549" w:firstLineChars="229"/>
        <w:rPr>
          <w:rFonts w:ascii="仿宋" w:hAnsi="仿宋" w:eastAsia="仿宋" w:cs="仿宋_GB2312"/>
          <w:color w:val="auto"/>
          <w:sz w:val="24"/>
          <w:highlight w:val="none"/>
        </w:rPr>
      </w:pPr>
      <w:bookmarkStart w:id="0" w:name="_Hlt91233176"/>
      <w:bookmarkEnd w:id="0"/>
      <w:bookmarkStart w:id="1" w:name="_Toc91899869"/>
    </w:p>
    <w:p w14:paraId="242DFDFC">
      <w:pPr>
        <w:spacing w:line="360" w:lineRule="auto"/>
        <w:ind w:firstLine="549" w:firstLineChars="229"/>
        <w:rPr>
          <w:rFonts w:ascii="仿宋" w:hAnsi="仿宋" w:eastAsia="仿宋" w:cs="仿宋_GB2312"/>
          <w:color w:val="auto"/>
          <w:sz w:val="24"/>
          <w:highlight w:val="none"/>
        </w:rPr>
      </w:pPr>
    </w:p>
    <w:p w14:paraId="5E3DDC0B">
      <w:pPr>
        <w:spacing w:line="360" w:lineRule="auto"/>
        <w:ind w:firstLine="549" w:firstLineChars="229"/>
        <w:rPr>
          <w:rFonts w:ascii="仿宋" w:hAnsi="仿宋" w:eastAsia="仿宋" w:cs="仿宋_GB2312"/>
          <w:color w:val="auto"/>
          <w:sz w:val="24"/>
          <w:highlight w:val="none"/>
        </w:rPr>
      </w:pPr>
    </w:p>
    <w:p w14:paraId="18F70D91">
      <w:pPr>
        <w:spacing w:line="360" w:lineRule="auto"/>
        <w:ind w:firstLine="549" w:firstLineChars="229"/>
        <w:rPr>
          <w:rFonts w:ascii="仿宋" w:hAnsi="仿宋" w:eastAsia="仿宋" w:cs="仿宋_GB2312"/>
          <w:color w:val="auto"/>
          <w:sz w:val="24"/>
          <w:highlight w:val="none"/>
        </w:rPr>
      </w:pPr>
    </w:p>
    <w:p w14:paraId="791A6865">
      <w:pPr>
        <w:spacing w:line="360" w:lineRule="auto"/>
        <w:ind w:firstLine="549" w:firstLineChars="229"/>
        <w:rPr>
          <w:rFonts w:ascii="仿宋" w:hAnsi="仿宋" w:eastAsia="仿宋" w:cs="仿宋_GB2312"/>
          <w:color w:val="auto"/>
          <w:sz w:val="24"/>
          <w:highlight w:val="none"/>
        </w:rPr>
      </w:pPr>
    </w:p>
    <w:p w14:paraId="6E03D00C">
      <w:pPr>
        <w:spacing w:line="360" w:lineRule="auto"/>
        <w:ind w:firstLine="549" w:firstLineChars="229"/>
        <w:rPr>
          <w:rFonts w:ascii="仿宋" w:hAnsi="仿宋" w:eastAsia="仿宋" w:cs="仿宋_GB2312"/>
          <w:color w:val="auto"/>
          <w:sz w:val="24"/>
          <w:highlight w:val="none"/>
        </w:rPr>
      </w:pPr>
    </w:p>
    <w:p w14:paraId="6F376567">
      <w:pPr>
        <w:spacing w:line="360" w:lineRule="auto"/>
        <w:ind w:firstLine="549" w:firstLineChars="229"/>
        <w:rPr>
          <w:rFonts w:ascii="仿宋" w:hAnsi="仿宋" w:eastAsia="仿宋" w:cs="仿宋_GB2312"/>
          <w:color w:val="auto"/>
          <w:sz w:val="24"/>
          <w:highlight w:val="none"/>
        </w:rPr>
      </w:pPr>
    </w:p>
    <w:p w14:paraId="01535566">
      <w:pPr>
        <w:spacing w:line="360" w:lineRule="auto"/>
        <w:ind w:firstLine="549" w:firstLineChars="229"/>
        <w:rPr>
          <w:rFonts w:ascii="仿宋" w:hAnsi="仿宋" w:eastAsia="仿宋" w:cs="仿宋_GB2312"/>
          <w:color w:val="auto"/>
          <w:sz w:val="24"/>
          <w:highlight w:val="none"/>
        </w:rPr>
      </w:pPr>
    </w:p>
    <w:p w14:paraId="7D869D13">
      <w:pPr>
        <w:spacing w:line="360" w:lineRule="auto"/>
        <w:ind w:firstLine="549" w:firstLineChars="229"/>
        <w:rPr>
          <w:rFonts w:ascii="仿宋" w:hAnsi="仿宋" w:eastAsia="仿宋" w:cs="仿宋_GB2312"/>
          <w:color w:val="auto"/>
          <w:sz w:val="24"/>
          <w:highlight w:val="none"/>
        </w:rPr>
      </w:pPr>
    </w:p>
    <w:p w14:paraId="3961CC6D">
      <w:pPr>
        <w:spacing w:line="360" w:lineRule="auto"/>
        <w:ind w:firstLine="549" w:firstLineChars="229"/>
        <w:rPr>
          <w:rFonts w:ascii="仿宋" w:hAnsi="仿宋" w:eastAsia="仿宋" w:cs="仿宋_GB2312"/>
          <w:color w:val="auto"/>
          <w:sz w:val="24"/>
          <w:highlight w:val="none"/>
        </w:rPr>
      </w:pPr>
    </w:p>
    <w:p w14:paraId="418588EA">
      <w:pPr>
        <w:spacing w:line="360" w:lineRule="auto"/>
        <w:ind w:firstLine="549" w:firstLineChars="229"/>
        <w:rPr>
          <w:rFonts w:ascii="仿宋" w:hAnsi="仿宋" w:eastAsia="仿宋" w:cs="仿宋_GB2312"/>
          <w:color w:val="auto"/>
          <w:sz w:val="24"/>
          <w:highlight w:val="none"/>
        </w:rPr>
      </w:pPr>
    </w:p>
    <w:p w14:paraId="5DBB12C4">
      <w:pPr>
        <w:spacing w:line="360" w:lineRule="auto"/>
        <w:ind w:firstLine="549" w:firstLineChars="229"/>
        <w:rPr>
          <w:rFonts w:ascii="仿宋" w:hAnsi="仿宋" w:eastAsia="仿宋" w:cs="仿宋_GB2312"/>
          <w:color w:val="auto"/>
          <w:sz w:val="24"/>
          <w:highlight w:val="none"/>
        </w:rPr>
      </w:pPr>
    </w:p>
    <w:p w14:paraId="03089B2D">
      <w:pPr>
        <w:spacing w:line="360" w:lineRule="auto"/>
        <w:ind w:firstLine="549" w:firstLineChars="229"/>
        <w:rPr>
          <w:rFonts w:ascii="仿宋" w:hAnsi="仿宋" w:eastAsia="仿宋" w:cs="仿宋_GB2312"/>
          <w:color w:val="auto"/>
          <w:sz w:val="24"/>
          <w:highlight w:val="none"/>
        </w:rPr>
      </w:pPr>
    </w:p>
    <w:p w14:paraId="50F0B377">
      <w:pPr>
        <w:spacing w:line="360" w:lineRule="auto"/>
        <w:rPr>
          <w:rFonts w:ascii="仿宋" w:hAnsi="仿宋" w:eastAsia="仿宋" w:cs="仿宋_GB2312"/>
          <w:color w:val="auto"/>
          <w:sz w:val="24"/>
          <w:highlight w:val="none"/>
        </w:rPr>
      </w:pPr>
    </w:p>
    <w:bookmarkEnd w:id="1"/>
    <w:p w14:paraId="66BC0E2F">
      <w:pPr>
        <w:adjustRightInd/>
        <w:spacing w:line="360" w:lineRule="auto"/>
        <w:jc w:val="center"/>
        <w:outlineLvl w:val="0"/>
        <w:rPr>
          <w:rFonts w:hint="eastAsia" w:ascii="仿宋" w:hAnsi="仿宋" w:eastAsia="仿宋" w:cs="仿宋_GB2312"/>
          <w:b/>
          <w:color w:val="auto"/>
          <w:sz w:val="36"/>
          <w:szCs w:val="20"/>
          <w:highlight w:val="none"/>
        </w:rPr>
        <w:sectPr>
          <w:footerReference r:id="rId7" w:type="first"/>
          <w:footerReference r:id="rId6" w:type="default"/>
          <w:pgSz w:w="11906" w:h="16838"/>
          <w:pgMar w:top="1553" w:right="1553" w:bottom="1553" w:left="1553" w:header="851" w:footer="992" w:gutter="0"/>
          <w:pgNumType w:fmt="decimal" w:start="1"/>
          <w:cols w:space="0" w:num="1"/>
          <w:rtlGutter w:val="0"/>
          <w:docGrid w:linePitch="312" w:charSpace="0"/>
        </w:sect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p>
    <w:p w14:paraId="102B29B2">
      <w:pPr>
        <w:keepNext w:val="0"/>
        <w:keepLines w:val="0"/>
        <w:pageBreakBefore w:val="0"/>
        <w:kinsoku/>
        <w:wordWrap/>
        <w:overflowPunct/>
        <w:topLinePunct w:val="0"/>
        <w:autoSpaceDE/>
        <w:autoSpaceDN/>
        <w:bidi w:val="0"/>
        <w:adjustRightInd/>
        <w:spacing w:line="500" w:lineRule="exact"/>
        <w:jc w:val="center"/>
        <w:textAlignment w:val="auto"/>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55EF342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8"/>
          <w:szCs w:val="28"/>
          <w:highlight w:val="none"/>
        </w:rPr>
        <w:t>项目概况</w:t>
      </w:r>
    </w:p>
    <w:p w14:paraId="61C5E5C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5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eastAsia="zh-CN"/>
        </w:rPr>
        <w:t>2024-2025年度衢州市级优化用电营商环境综合保险服务项目</w:t>
      </w:r>
      <w:r>
        <w:rPr>
          <w:rFonts w:hint="eastAsia" w:ascii="仿宋" w:hAnsi="仿宋" w:eastAsia="仿宋" w:cs="仿宋"/>
          <w:color w:val="auto"/>
          <w:sz w:val="28"/>
          <w:szCs w:val="28"/>
          <w:highlight w:val="none"/>
        </w:rPr>
        <w:t>招标项目的潜在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应在政采云平台（</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"https://www.zcygov.cn/）获取（下载）招标文件，并于2021年" </w:instrText>
      </w:r>
      <w:r>
        <w:rPr>
          <w:rFonts w:hint="eastAsia" w:ascii="仿宋" w:hAnsi="仿宋" w:eastAsia="仿宋" w:cs="仿宋"/>
          <w:color w:val="auto"/>
          <w:sz w:val="28"/>
          <w:szCs w:val="28"/>
          <w:highlight w:val="none"/>
        </w:rPr>
        <w:fldChar w:fldCharType="separate"/>
      </w:r>
      <w:r>
        <w:rPr>
          <w:rStyle w:val="77"/>
          <w:rFonts w:hint="eastAsia" w:ascii="仿宋" w:hAnsi="仿宋" w:eastAsia="仿宋" w:cs="仿宋"/>
          <w:snapToGrid/>
          <w:color w:val="auto"/>
          <w:kern w:val="2"/>
          <w:sz w:val="28"/>
          <w:szCs w:val="28"/>
          <w:highlight w:val="none"/>
        </w:rPr>
        <w:t>https://www.zcygov.cn/）获取（下载）</w:t>
      </w:r>
      <w:r>
        <w:rPr>
          <w:rStyle w:val="77"/>
          <w:rFonts w:hint="eastAsia" w:ascii="仿宋" w:hAnsi="仿宋" w:eastAsia="仿宋" w:cs="仿宋"/>
          <w:snapToGrid/>
          <w:color w:val="auto"/>
          <w:kern w:val="2"/>
          <w:sz w:val="28"/>
          <w:szCs w:val="28"/>
          <w:highlight w:val="none"/>
          <w:lang w:eastAsia="zh-CN"/>
        </w:rPr>
        <w:t>采购文件</w:t>
      </w:r>
      <w:r>
        <w:rPr>
          <w:rStyle w:val="77"/>
          <w:rFonts w:hint="eastAsia" w:ascii="仿宋" w:hAnsi="仿宋" w:eastAsia="仿宋" w:cs="仿宋"/>
          <w:snapToGrid/>
          <w:color w:val="auto"/>
          <w:kern w:val="2"/>
          <w:sz w:val="28"/>
          <w:szCs w:val="28"/>
          <w:highlight w:val="none"/>
        </w:rPr>
        <w:t>，并于</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9月18日9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00秒</w:t>
      </w:r>
      <w:r>
        <w:rPr>
          <w:rFonts w:hint="eastAsia" w:ascii="仿宋" w:hAnsi="仿宋" w:eastAsia="仿宋" w:cs="仿宋"/>
          <w:bCs/>
          <w:color w:val="auto"/>
          <w:sz w:val="28"/>
          <w:szCs w:val="28"/>
          <w:highlight w:val="none"/>
          <w:u w:val="single"/>
        </w:rPr>
        <w:fldChar w:fldCharType="end"/>
      </w:r>
      <w:r>
        <w:rPr>
          <w:rFonts w:hint="eastAsia" w:ascii="仿宋" w:hAnsi="仿宋" w:eastAsia="仿宋" w:cs="仿宋"/>
          <w:bCs/>
          <w:color w:val="auto"/>
          <w:sz w:val="28"/>
          <w:szCs w:val="28"/>
          <w:highlight w:val="none"/>
        </w:rPr>
        <w:t>（北京时间）前</w:t>
      </w:r>
      <w:r>
        <w:rPr>
          <w:rFonts w:hint="eastAsia" w:ascii="仿宋" w:hAnsi="仿宋" w:eastAsia="仿宋" w:cs="仿宋"/>
          <w:color w:val="auto"/>
          <w:sz w:val="28"/>
          <w:szCs w:val="28"/>
          <w:highlight w:val="none"/>
        </w:rPr>
        <w:t>递交（上传）</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4DB3DC88">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一、项目基本情况                                            </w:t>
      </w:r>
    </w:p>
    <w:p w14:paraId="4167E0B6">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lang w:val="en-US" w:eastAsia="zh-CN"/>
        </w:rPr>
        <w:t xml:space="preserve">1. </w:t>
      </w:r>
      <w:r>
        <w:rPr>
          <w:rFonts w:hint="eastAsia" w:ascii="仿宋" w:hAnsi="仿宋" w:eastAsia="仿宋" w:cs="仿宋"/>
          <w:b w:val="0"/>
          <w:bCs w:val="0"/>
          <w:color w:val="auto"/>
          <w:sz w:val="28"/>
          <w:szCs w:val="28"/>
          <w:highlight w:val="none"/>
        </w:rPr>
        <w:t>项目编号：</w:t>
      </w:r>
      <w:r>
        <w:rPr>
          <w:rFonts w:hint="eastAsia" w:ascii="仿宋" w:hAnsi="仿宋" w:eastAsia="仿宋" w:cs="仿宋_GB2312"/>
          <w:color w:val="auto"/>
          <w:sz w:val="30"/>
          <w:szCs w:val="30"/>
          <w:highlight w:val="none"/>
          <w:lang w:eastAsia="zh-CN"/>
        </w:rPr>
        <w:t>qzal2024-030</w:t>
      </w:r>
      <w:r>
        <w:rPr>
          <w:rFonts w:hint="eastAsia" w:ascii="仿宋" w:hAnsi="仿宋" w:eastAsia="仿宋" w:cs="仿宋"/>
          <w:b w:val="0"/>
          <w:bCs w:val="0"/>
          <w:color w:val="auto"/>
          <w:sz w:val="28"/>
          <w:szCs w:val="28"/>
          <w:highlight w:val="none"/>
          <w:lang w:val="en-US" w:eastAsia="zh-CN"/>
        </w:rPr>
        <w:t xml:space="preserve"> </w:t>
      </w:r>
    </w:p>
    <w:p w14:paraId="31D32DDE">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lang w:val="en-US" w:eastAsia="zh-CN"/>
        </w:rPr>
        <w:t xml:space="preserve">2. </w:t>
      </w:r>
      <w:r>
        <w:rPr>
          <w:rFonts w:hint="eastAsia" w:ascii="仿宋" w:hAnsi="仿宋" w:eastAsia="仿宋" w:cs="仿宋"/>
          <w:b w:val="0"/>
          <w:bCs w:val="0"/>
          <w:color w:val="auto"/>
          <w:sz w:val="28"/>
          <w:szCs w:val="28"/>
          <w:highlight w:val="none"/>
        </w:rPr>
        <w:t>项目名称：</w:t>
      </w:r>
      <w:r>
        <w:rPr>
          <w:rFonts w:hint="eastAsia" w:ascii="仿宋" w:hAnsi="仿宋" w:eastAsia="仿宋" w:cs="仿宋"/>
          <w:b w:val="0"/>
          <w:bCs w:val="0"/>
          <w:color w:val="auto"/>
          <w:sz w:val="28"/>
          <w:szCs w:val="28"/>
          <w:highlight w:val="none"/>
          <w:lang w:eastAsia="zh-CN"/>
        </w:rPr>
        <w:t>2024-2025年度衢州市级优化用电营商环境综合保险服务项目</w:t>
      </w:r>
    </w:p>
    <w:p w14:paraId="44EBE514">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lang w:val="en-US" w:eastAsia="zh-CN"/>
        </w:rPr>
        <w:t xml:space="preserve">3. </w:t>
      </w:r>
      <w:r>
        <w:rPr>
          <w:rFonts w:hint="eastAsia" w:ascii="仿宋" w:hAnsi="仿宋" w:eastAsia="仿宋" w:cs="仿宋"/>
          <w:b w:val="0"/>
          <w:bCs w:val="0"/>
          <w:color w:val="auto"/>
          <w:sz w:val="28"/>
          <w:szCs w:val="28"/>
          <w:highlight w:val="none"/>
        </w:rPr>
        <w:t>预算金额（元）</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 xml:space="preserve">标项一：515000元；标项二：485000元 </w:t>
      </w:r>
      <w:r>
        <w:rPr>
          <w:rFonts w:hint="eastAsia" w:ascii="仿宋" w:hAnsi="仿宋" w:eastAsia="仿宋" w:cs="仿宋"/>
          <w:b w:val="0"/>
          <w:bCs w:val="0"/>
          <w:color w:val="auto"/>
          <w:sz w:val="28"/>
          <w:szCs w:val="28"/>
          <w:highlight w:val="none"/>
        </w:rPr>
        <w:t xml:space="preserve"> </w:t>
      </w:r>
    </w:p>
    <w:p w14:paraId="3B9CE67A">
      <w:pPr>
        <w:keepNext w:val="0"/>
        <w:keepLines w:val="0"/>
        <w:pageBreakBefore w:val="0"/>
        <w:kinsoku/>
        <w:wordWrap/>
        <w:overflowPunct/>
        <w:topLinePunct w:val="0"/>
        <w:autoSpaceDE/>
        <w:autoSpaceDN/>
        <w:bidi w:val="0"/>
        <w:adjustRightInd w:val="0"/>
        <w:spacing w:line="500" w:lineRule="exact"/>
        <w:ind w:firstLine="48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4. </w:t>
      </w:r>
      <w:r>
        <w:rPr>
          <w:rFonts w:hint="eastAsia" w:ascii="仿宋" w:hAnsi="仿宋" w:eastAsia="仿宋" w:cs="仿宋"/>
          <w:b w:val="0"/>
          <w:bCs w:val="0"/>
          <w:color w:val="auto"/>
          <w:sz w:val="28"/>
          <w:szCs w:val="28"/>
          <w:highlight w:val="none"/>
        </w:rPr>
        <w:t>最高限价（元）</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 xml:space="preserve">标项一：515000元；标项二：485000元 </w:t>
      </w:r>
    </w:p>
    <w:p w14:paraId="26CF9C87">
      <w:pPr>
        <w:pStyle w:val="7"/>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仿宋" w:hAnsi="仿宋" w:eastAsia="仿宋" w:cs="仿宋"/>
          <w:b w:val="0"/>
          <w:bCs w:val="0"/>
          <w:snapToGrid/>
          <w:color w:val="auto"/>
          <w:kern w:val="2"/>
          <w:sz w:val="28"/>
          <w:szCs w:val="28"/>
          <w:highlight w:val="none"/>
        </w:rPr>
      </w:pPr>
      <w:r>
        <w:rPr>
          <w:rFonts w:hint="eastAsia" w:ascii="仿宋" w:hAnsi="仿宋" w:eastAsia="仿宋" w:cs="仿宋"/>
          <w:b w:val="0"/>
          <w:bCs w:val="0"/>
          <w:color w:val="auto"/>
          <w:sz w:val="28"/>
          <w:szCs w:val="28"/>
          <w:highlight w:val="none"/>
          <w:lang w:val="en-US" w:eastAsia="zh-CN"/>
        </w:rPr>
        <w:t xml:space="preserve">5. </w:t>
      </w:r>
      <w:r>
        <w:rPr>
          <w:rFonts w:hint="eastAsia" w:ascii="仿宋" w:hAnsi="仿宋" w:eastAsia="仿宋" w:cs="仿宋"/>
          <w:b w:val="0"/>
          <w:bCs w:val="0"/>
          <w:color w:val="auto"/>
          <w:sz w:val="28"/>
          <w:szCs w:val="28"/>
          <w:highlight w:val="none"/>
        </w:rPr>
        <w:t>采购需求：</w:t>
      </w:r>
      <w:r>
        <w:rPr>
          <w:rFonts w:hint="eastAsia" w:ascii="仿宋" w:hAnsi="仿宋" w:eastAsia="仿宋" w:cs="仿宋"/>
          <w:b w:val="0"/>
          <w:bCs w:val="0"/>
          <w:snapToGrid/>
          <w:color w:val="auto"/>
          <w:kern w:val="2"/>
          <w:sz w:val="28"/>
          <w:szCs w:val="28"/>
          <w:highlight w:val="none"/>
          <w:lang w:eastAsia="zh-CN"/>
        </w:rPr>
        <w:t>2024-2025年度衢州市级优化用电营商环境综合保险服务项目，</w:t>
      </w:r>
      <w:r>
        <w:rPr>
          <w:rFonts w:hint="eastAsia" w:ascii="仿宋" w:hAnsi="仿宋" w:eastAsia="仿宋" w:cs="仿宋"/>
          <w:b w:val="0"/>
          <w:bCs w:val="0"/>
          <w:snapToGrid/>
          <w:color w:val="auto"/>
          <w:kern w:val="2"/>
          <w:sz w:val="28"/>
          <w:szCs w:val="28"/>
          <w:highlight w:val="none"/>
        </w:rPr>
        <w:t>主要内容详见</w:t>
      </w:r>
      <w:r>
        <w:rPr>
          <w:rFonts w:hint="eastAsia" w:ascii="仿宋" w:hAnsi="仿宋" w:eastAsia="仿宋" w:cs="仿宋"/>
          <w:b w:val="0"/>
          <w:bCs w:val="0"/>
          <w:snapToGrid/>
          <w:color w:val="auto"/>
          <w:kern w:val="2"/>
          <w:sz w:val="28"/>
          <w:szCs w:val="28"/>
          <w:highlight w:val="none"/>
          <w:lang w:eastAsia="zh-CN"/>
        </w:rPr>
        <w:t>采购文件</w:t>
      </w:r>
      <w:r>
        <w:rPr>
          <w:rFonts w:hint="eastAsia" w:ascii="仿宋" w:hAnsi="仿宋" w:eastAsia="仿宋" w:cs="仿宋"/>
          <w:b w:val="0"/>
          <w:bCs w:val="0"/>
          <w:snapToGrid/>
          <w:color w:val="auto"/>
          <w:kern w:val="2"/>
          <w:sz w:val="28"/>
          <w:szCs w:val="28"/>
          <w:highlight w:val="none"/>
        </w:rPr>
        <w:t>第三部分采购需求。</w:t>
      </w:r>
    </w:p>
    <w:p w14:paraId="74836578">
      <w:pPr>
        <w:pStyle w:val="129"/>
        <w:keepNext w:val="0"/>
        <w:keepLines w:val="0"/>
        <w:pageBreakBefore w:val="0"/>
        <w:kinsoku/>
        <w:wordWrap/>
        <w:overflowPunct/>
        <w:topLinePunct w:val="0"/>
        <w:autoSpaceDE/>
        <w:autoSpaceDN/>
        <w:bidi w:val="0"/>
        <w:adjustRightInd w:val="0"/>
        <w:spacing w:before="0" w:line="500" w:lineRule="exact"/>
        <w:ind w:firstLine="482"/>
        <w:textAlignment w:val="auto"/>
        <w:outlineLvl w:val="2"/>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合同履约期限：</w:t>
      </w:r>
      <w:r>
        <w:rPr>
          <w:rFonts w:hint="eastAsia" w:ascii="仿宋" w:hAnsi="仿宋" w:eastAsia="仿宋" w:cs="仿宋"/>
          <w:b w:val="0"/>
          <w:bCs w:val="0"/>
          <w:color w:val="auto"/>
          <w:sz w:val="28"/>
          <w:szCs w:val="28"/>
          <w:highlight w:val="none"/>
          <w:lang w:val="en-US" w:eastAsia="zh-CN"/>
        </w:rPr>
        <w:t>按照合同约定执行</w:t>
      </w:r>
    </w:p>
    <w:p w14:paraId="2F665BAC">
      <w:pPr>
        <w:pStyle w:val="7"/>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本项目接受联合体投标：</w:t>
      </w:r>
      <w:sdt>
        <w:sdtPr>
          <w:rPr>
            <w:rFonts w:hint="eastAsia" w:ascii="仿宋" w:hAnsi="仿宋" w:eastAsia="仿宋" w:cs="仿宋"/>
            <w:b w:val="0"/>
            <w:bCs w:val="0"/>
            <w:color w:val="auto"/>
            <w:kern w:val="0"/>
            <w:sz w:val="28"/>
            <w:szCs w:val="28"/>
            <w:highlight w:val="none"/>
          </w:rPr>
          <w:id w:val="2035453831"/>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8"/>
            <w:szCs w:val="28"/>
            <w:highlight w:val="none"/>
          </w:rPr>
        </w:sdtEndPr>
        <w:sdtContent>
          <w:r>
            <w:rPr>
              <w:rFonts w:hint="eastAsia" w:ascii="MS Gothic" w:hAnsi="MS Gothic" w:eastAsia="仿宋" w:cs="仿宋"/>
              <w:b w:val="0"/>
              <w:bCs w:val="0"/>
              <w:snapToGrid w:val="0"/>
              <w:color w:val="auto"/>
              <w:kern w:val="0"/>
              <w:sz w:val="28"/>
              <w:szCs w:val="28"/>
              <w:highlight w:val="none"/>
              <w:lang w:val="en-US" w:eastAsia="zh-CN" w:bidi="ar-SA"/>
            </w:rPr>
            <w:t>☐</w:t>
          </w:r>
        </w:sdtContent>
      </w:sdt>
      <w:r>
        <w:rPr>
          <w:rFonts w:hint="eastAsia" w:ascii="仿宋" w:hAnsi="仿宋" w:eastAsia="仿宋" w:cs="仿宋"/>
          <w:b w:val="0"/>
          <w:bCs w:val="0"/>
          <w:color w:val="auto"/>
          <w:sz w:val="28"/>
          <w:szCs w:val="28"/>
          <w:highlight w:val="none"/>
        </w:rPr>
        <w:t>是，</w:t>
      </w:r>
      <w:sdt>
        <w:sdtPr>
          <w:rPr>
            <w:rFonts w:hint="eastAsia" w:ascii="仿宋" w:hAnsi="仿宋" w:eastAsia="仿宋" w:cs="仿宋"/>
            <w:b w:val="0"/>
            <w:bCs w:val="0"/>
            <w:color w:val="auto"/>
            <w:kern w:val="0"/>
            <w:sz w:val="28"/>
            <w:szCs w:val="28"/>
            <w:highlight w:val="none"/>
          </w:rPr>
          <w:id w:val="-1765526721"/>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8"/>
            <w:szCs w:val="28"/>
            <w:highlight w:val="none"/>
          </w:rPr>
        </w:sdtEndPr>
        <w:sdtContent>
          <w:r>
            <w:rPr>
              <w:rFonts w:hint="eastAsia" w:ascii="Wingdings" w:hAnsi="Wingdings" w:eastAsia="仿宋" w:cs="仿宋"/>
              <w:b w:val="0"/>
              <w:bCs w:val="0"/>
              <w:snapToGrid w:val="0"/>
              <w:color w:val="auto"/>
              <w:kern w:val="0"/>
              <w:sz w:val="28"/>
              <w:szCs w:val="28"/>
              <w:highlight w:val="none"/>
              <w:lang w:val="en-US" w:eastAsia="zh-CN" w:bidi="ar-SA"/>
            </w:rPr>
            <w:t>þ</w:t>
          </w:r>
        </w:sdtContent>
      </w:sdt>
      <w:r>
        <w:rPr>
          <w:rFonts w:hint="eastAsia" w:ascii="仿宋" w:hAnsi="仿宋" w:eastAsia="仿宋" w:cs="仿宋"/>
          <w:b w:val="0"/>
          <w:bCs w:val="0"/>
          <w:color w:val="auto"/>
          <w:sz w:val="28"/>
          <w:szCs w:val="28"/>
          <w:highlight w:val="none"/>
        </w:rPr>
        <w:t>否</w:t>
      </w:r>
      <w:r>
        <w:rPr>
          <w:rFonts w:hint="eastAsia" w:ascii="仿宋" w:hAnsi="仿宋" w:eastAsia="仿宋" w:cs="仿宋"/>
          <w:b w:val="0"/>
          <w:bCs w:val="0"/>
          <w:color w:val="auto"/>
          <w:kern w:val="0"/>
          <w:sz w:val="28"/>
          <w:szCs w:val="28"/>
          <w:highlight w:val="none"/>
        </w:rPr>
        <w:t>。</w:t>
      </w:r>
    </w:p>
    <w:p w14:paraId="1AE87253">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二、申请人的资格要求：</w:t>
      </w:r>
    </w:p>
    <w:p w14:paraId="26D637B1">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78A85ED">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 xml:space="preserve">    2.落实政府采购政策需满足的资格要求：</w:t>
      </w:r>
    </w:p>
    <w:p w14:paraId="3BE41581">
      <w:pPr>
        <w:keepNext w:val="0"/>
        <w:keepLines w:val="0"/>
        <w:pageBreakBefore w:val="0"/>
        <w:kinsoku/>
        <w:wordWrap/>
        <w:overflowPunct/>
        <w:topLinePunct w:val="0"/>
        <w:autoSpaceDE/>
        <w:autoSpaceDN/>
        <w:bidi w:val="0"/>
        <w:adjustRightInd w:val="0"/>
        <w:spacing w:line="500" w:lineRule="exact"/>
        <w:ind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Wingdings" w:hAnsi="Wingdings" w:eastAsia="仿宋" w:cs="仿宋"/>
              <w:color w:val="auto"/>
              <w:kern w:val="0"/>
              <w:sz w:val="28"/>
              <w:szCs w:val="28"/>
              <w:highlight w:val="none"/>
              <w:lang w:val="en-US" w:eastAsia="zh-CN" w:bidi="ar-SA"/>
            </w:rPr>
            <w:t>þ</w:t>
          </w:r>
        </w:sdtContent>
      </w:sdt>
      <w:r>
        <w:rPr>
          <w:rFonts w:hint="eastAsia" w:ascii="仿宋" w:hAnsi="仿宋" w:eastAsia="仿宋" w:cs="仿宋"/>
          <w:color w:val="auto"/>
          <w:sz w:val="28"/>
          <w:szCs w:val="28"/>
          <w:highlight w:val="none"/>
        </w:rPr>
        <w:t>无；</w:t>
      </w:r>
    </w:p>
    <w:p w14:paraId="457C4F8C">
      <w:pPr>
        <w:keepNext w:val="0"/>
        <w:keepLines w:val="0"/>
        <w:pageBreakBefore w:val="0"/>
        <w:kinsoku/>
        <w:wordWrap/>
        <w:overflowPunct/>
        <w:topLinePunct w:val="0"/>
        <w:autoSpaceDE/>
        <w:autoSpaceDN/>
        <w:bidi w:val="0"/>
        <w:adjustRightInd w:val="0"/>
        <w:spacing w:line="500" w:lineRule="exact"/>
        <w:ind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MS Gothic" w:hAnsi="MS Gothic" w:eastAsia="仿宋" w:cs="仿宋"/>
              <w:color w:val="auto"/>
              <w:kern w:val="0"/>
              <w:sz w:val="28"/>
              <w:szCs w:val="28"/>
              <w:highlight w:val="none"/>
              <w:lang w:val="en-US" w:eastAsia="zh-CN" w:bidi="ar-SA"/>
            </w:rPr>
            <w:t>☐</w:t>
          </w:r>
        </w:sdtContent>
      </w:sdt>
      <w:r>
        <w:rPr>
          <w:rFonts w:hint="eastAsia" w:ascii="仿宋" w:hAnsi="仿宋" w:eastAsia="仿宋" w:cs="仿宋"/>
          <w:color w:val="auto"/>
          <w:kern w:val="0"/>
          <w:sz w:val="28"/>
          <w:szCs w:val="28"/>
          <w:highlight w:val="none"/>
        </w:rPr>
        <w:t>专</w:t>
      </w:r>
      <w:r>
        <w:rPr>
          <w:rFonts w:hint="eastAsia" w:ascii="仿宋" w:hAnsi="仿宋" w:eastAsia="仿宋" w:cs="仿宋"/>
          <w:color w:val="auto"/>
          <w:sz w:val="28"/>
          <w:szCs w:val="28"/>
          <w:highlight w:val="none"/>
        </w:rPr>
        <w:t>门面向中小企业</w:t>
      </w:r>
    </w:p>
    <w:p w14:paraId="508E0D27">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u w:val="single"/>
        </w:rPr>
      </w:pPr>
      <w:sdt>
        <w:sdtPr>
          <w:rPr>
            <w:rFonts w:hint="eastAsia" w:ascii="仿宋" w:hAnsi="仿宋" w:eastAsia="仿宋" w:cs="仿宋"/>
            <w:color w:val="auto"/>
            <w:kern w:val="0"/>
            <w:sz w:val="28"/>
            <w:szCs w:val="28"/>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MS Gothic" w:hAnsi="MS Gothic" w:eastAsia="仿宋" w:cs="仿宋"/>
              <w:color w:val="auto"/>
              <w:kern w:val="0"/>
              <w:sz w:val="28"/>
              <w:szCs w:val="28"/>
              <w:highlight w:val="none"/>
              <w:lang w:val="en-US" w:eastAsia="zh-CN" w:bidi="ar-SA"/>
            </w:rPr>
            <w:t>☐</w:t>
          </w:r>
        </w:sdtContent>
      </w:sdt>
      <w:r>
        <w:rPr>
          <w:rFonts w:hint="eastAsia" w:ascii="仿宋" w:hAnsi="仿宋" w:eastAsia="仿宋" w:cs="仿宋"/>
          <w:color w:val="auto"/>
          <w:sz w:val="28"/>
          <w:szCs w:val="28"/>
          <w:highlight w:val="none"/>
        </w:rPr>
        <w:t>货物全部由符合政策要求的中小企业制造，提供中小企业声明函；</w:t>
      </w:r>
    </w:p>
    <w:p w14:paraId="25C2437D">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仿宋" w:hAnsi="仿宋" w:eastAsia="仿宋" w:cs="仿宋"/>
              <w:color w:val="auto"/>
              <w:kern w:val="0"/>
              <w:sz w:val="28"/>
              <w:szCs w:val="28"/>
              <w:highlight w:val="none"/>
            </w:rPr>
            <w:t>☐</w:t>
          </w:r>
        </w:sdtContent>
      </w:sdt>
      <w:r>
        <w:rPr>
          <w:rFonts w:hint="eastAsia" w:ascii="仿宋" w:hAnsi="仿宋" w:eastAsia="仿宋" w:cs="仿宋"/>
          <w:color w:val="auto"/>
          <w:sz w:val="28"/>
          <w:szCs w:val="28"/>
          <w:highlight w:val="none"/>
        </w:rPr>
        <w:t>货物全部由符合政策要求的小微企业制造，提供中小企业声明函；</w:t>
      </w:r>
    </w:p>
    <w:p w14:paraId="2137CF48">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MS Gothic" w:hAnsi="MS Gothic" w:eastAsia="仿宋" w:cs="仿宋"/>
              <w:color w:val="auto"/>
              <w:kern w:val="0"/>
              <w:sz w:val="28"/>
              <w:szCs w:val="28"/>
              <w:highlight w:val="none"/>
              <w:lang w:val="en-US" w:eastAsia="zh-CN" w:bidi="ar-SA"/>
            </w:rPr>
            <w:t>☐</w:t>
          </w:r>
        </w:sdtContent>
      </w:sdt>
      <w:r>
        <w:rPr>
          <w:rFonts w:hint="eastAsia" w:ascii="仿宋" w:hAnsi="仿宋" w:eastAsia="仿宋" w:cs="仿宋"/>
          <w:color w:val="auto"/>
          <w:sz w:val="28"/>
          <w:szCs w:val="28"/>
          <w:highlight w:val="none"/>
        </w:rPr>
        <w:t>服务全部由符合政策要求的中小企业承接，提供中小企业声明函；</w:t>
      </w:r>
    </w:p>
    <w:p w14:paraId="0553C461">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仿宋" w:hAnsi="仿宋" w:eastAsia="仿宋" w:cs="仿宋"/>
              <w:color w:val="auto"/>
              <w:kern w:val="0"/>
              <w:sz w:val="28"/>
              <w:szCs w:val="28"/>
              <w:highlight w:val="none"/>
            </w:rPr>
            <w:t>☐</w:t>
          </w:r>
        </w:sdtContent>
      </w:sdt>
      <w:r>
        <w:rPr>
          <w:rFonts w:hint="eastAsia" w:ascii="仿宋" w:hAnsi="仿宋" w:eastAsia="仿宋" w:cs="仿宋"/>
          <w:color w:val="auto"/>
          <w:sz w:val="28"/>
          <w:szCs w:val="28"/>
          <w:highlight w:val="none"/>
        </w:rPr>
        <w:t>服务全部由符合政策要求的小微企业承接，提供中小企业声明函；</w:t>
      </w:r>
    </w:p>
    <w:p w14:paraId="113ED870">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MS Gothic" w:hAnsi="MS Gothic" w:eastAsia="仿宋" w:cs="仿宋"/>
              <w:color w:val="auto"/>
              <w:kern w:val="0"/>
              <w:sz w:val="28"/>
              <w:szCs w:val="28"/>
              <w:highlight w:val="none"/>
              <w:lang w:val="en-US" w:eastAsia="zh-CN" w:bidi="ar-SA"/>
            </w:rPr>
            <w:t>☐</w:t>
          </w:r>
        </w:sdtContent>
      </w:sdt>
      <w:r>
        <w:rPr>
          <w:rFonts w:hint="eastAsia" w:ascii="仿宋" w:hAnsi="仿宋" w:eastAsia="仿宋" w:cs="仿宋"/>
          <w:color w:val="auto"/>
          <w:sz w:val="28"/>
          <w:szCs w:val="28"/>
          <w:highlight w:val="none"/>
        </w:rPr>
        <w:t>要求以联合体形式参加，提供联合协议和中小企业声明函，联合协议中中小企业合同金额应当达到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40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%，小微企业合同金额应当达到</w:t>
      </w:r>
      <w:r>
        <w:rPr>
          <w:rFonts w:hint="eastAsia" w:ascii="仿宋" w:hAnsi="仿宋" w:eastAsia="仿宋" w:cs="仿宋"/>
          <w:color w:val="auto"/>
          <w:sz w:val="28"/>
          <w:szCs w:val="28"/>
          <w:highlight w:val="none"/>
          <w:u w:val="single"/>
          <w:lang w:val="en-US" w:eastAsia="zh-CN"/>
        </w:rPr>
        <w:t xml:space="preserve"> 40 </w:t>
      </w:r>
      <w:r>
        <w:rPr>
          <w:rFonts w:hint="eastAsia" w:ascii="仿宋" w:hAnsi="仿宋" w:eastAsia="仿宋" w:cs="仿宋"/>
          <w:color w:val="auto"/>
          <w:sz w:val="28"/>
          <w:szCs w:val="28"/>
          <w:highlight w:val="none"/>
        </w:rPr>
        <w:t>%;</w:t>
      </w:r>
      <w:r>
        <w:rPr>
          <w:rFonts w:hint="eastAsia" w:ascii="仿宋" w:hAnsi="仿宋" w:eastAsia="仿宋" w:cs="仿宋"/>
          <w:color w:val="auto"/>
          <w:spacing w:val="8"/>
          <w:kern w:val="0"/>
          <w:sz w:val="28"/>
          <w:szCs w:val="28"/>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8"/>
          <w:szCs w:val="28"/>
          <w:highlight w:val="none"/>
        </w:rPr>
        <w:t>；</w:t>
      </w:r>
    </w:p>
    <w:p w14:paraId="2C42D329">
      <w:pPr>
        <w:keepNext w:val="0"/>
        <w:keepLines w:val="0"/>
        <w:pageBreakBefore w:val="0"/>
        <w:kinsoku/>
        <w:wordWrap/>
        <w:overflowPunct/>
        <w:topLinePunct w:val="0"/>
        <w:autoSpaceDE/>
        <w:autoSpaceDN/>
        <w:bidi w:val="0"/>
        <w:adjustRightInd w:val="0"/>
        <w:spacing w:line="500" w:lineRule="exact"/>
        <w:ind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MS Gothic" w:hAnsi="MS Gothic" w:eastAsia="仿宋" w:cs="仿宋"/>
              <w:color w:val="auto"/>
              <w:kern w:val="0"/>
              <w:sz w:val="28"/>
              <w:szCs w:val="28"/>
              <w:highlight w:val="none"/>
              <w:lang w:val="en-US" w:eastAsia="zh-CN" w:bidi="ar-SA"/>
            </w:rPr>
            <w:t>☐</w:t>
          </w:r>
        </w:sdtContent>
      </w:sdt>
      <w:r>
        <w:rPr>
          <w:rFonts w:hint="eastAsia" w:ascii="仿宋" w:hAnsi="仿宋" w:eastAsia="仿宋" w:cs="仿宋"/>
          <w:color w:val="auto"/>
          <w:sz w:val="28"/>
          <w:szCs w:val="28"/>
          <w:highlight w:val="none"/>
        </w:rPr>
        <w:t>要求合同分包，提供分包意向协议和中小企业声明函，分包意向协议中中小企业合同金额应当达到达到</w:t>
      </w:r>
      <w:r>
        <w:rPr>
          <w:rFonts w:hint="eastAsia" w:ascii="仿宋" w:hAnsi="仿宋" w:eastAsia="仿宋" w:cs="仿宋"/>
          <w:color w:val="auto"/>
          <w:sz w:val="28"/>
          <w:szCs w:val="28"/>
          <w:highlight w:val="none"/>
          <w:u w:val="single"/>
          <w:lang w:val="en-US" w:eastAsia="zh-CN"/>
        </w:rPr>
        <w:t xml:space="preserve">40 </w:t>
      </w:r>
      <w:r>
        <w:rPr>
          <w:rFonts w:hint="eastAsia" w:ascii="仿宋" w:hAnsi="仿宋" w:eastAsia="仿宋" w:cs="仿宋"/>
          <w:color w:val="auto"/>
          <w:sz w:val="28"/>
          <w:szCs w:val="28"/>
          <w:highlight w:val="none"/>
        </w:rPr>
        <w:t>% ，小微企业合同金额应当达到</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40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w:t>
      </w:r>
      <w:r>
        <w:rPr>
          <w:rFonts w:hint="eastAsia" w:ascii="仿宋" w:hAnsi="仿宋" w:eastAsia="仿宋" w:cs="仿宋"/>
          <w:color w:val="auto"/>
          <w:spacing w:val="8"/>
          <w:kern w:val="0"/>
          <w:sz w:val="28"/>
          <w:szCs w:val="28"/>
          <w:highlight w:val="none"/>
        </w:rPr>
        <w:t>如果供应商本身提供所有标的均由中小企业制造、承建或承接，视同符合了资格条件，无需再</w:t>
      </w:r>
      <w:r>
        <w:rPr>
          <w:rFonts w:hint="eastAsia" w:ascii="仿宋" w:hAnsi="仿宋" w:eastAsia="仿宋" w:cs="仿宋"/>
          <w:color w:val="auto"/>
          <w:sz w:val="28"/>
          <w:szCs w:val="28"/>
          <w:highlight w:val="none"/>
        </w:rPr>
        <w:t>向中小企业分包，无需提供分包意向协议；</w:t>
      </w:r>
    </w:p>
    <w:p w14:paraId="077CF1D3">
      <w:pPr>
        <w:keepNext w:val="0"/>
        <w:keepLines w:val="0"/>
        <w:pageBreakBefore w:val="0"/>
        <w:widowControl/>
        <w:numPr>
          <w:ilvl w:val="0"/>
          <w:numId w:val="1"/>
        </w:numPr>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本项目的特定资格要求：</w:t>
      </w:r>
    </w:p>
    <w:p w14:paraId="5848E231">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color w:val="auto"/>
          <w:kern w:val="56"/>
          <w:sz w:val="28"/>
          <w:szCs w:val="28"/>
          <w:highlight w:val="none"/>
          <w:shd w:val="clear" w:color="auto" w:fill="FFFFFF"/>
          <w:lang w:val="zh-CN" w:eastAsia="zh-CN"/>
        </w:rPr>
      </w:pPr>
      <w:r>
        <w:rPr>
          <w:rFonts w:hint="eastAsia" w:ascii="仿宋" w:hAnsi="仿宋" w:eastAsia="仿宋" w:cs="仿宋"/>
          <w:color w:val="auto"/>
          <w:kern w:val="56"/>
          <w:sz w:val="28"/>
          <w:szCs w:val="28"/>
          <w:highlight w:val="none"/>
          <w:shd w:val="clear" w:color="auto" w:fill="FFFFFF"/>
          <w:lang w:val="en-US" w:eastAsia="zh-CN"/>
        </w:rPr>
        <w:t>3</w:t>
      </w:r>
      <w:r>
        <w:rPr>
          <w:rFonts w:hint="eastAsia" w:ascii="仿宋" w:hAnsi="仿宋" w:eastAsia="仿宋" w:cs="仿宋"/>
          <w:color w:val="auto"/>
          <w:kern w:val="56"/>
          <w:sz w:val="28"/>
          <w:szCs w:val="28"/>
          <w:highlight w:val="none"/>
          <w:shd w:val="clear" w:color="auto" w:fill="FFFFFF"/>
          <w:lang w:eastAsia="zh-CN"/>
        </w:rPr>
        <w:t>.</w:t>
      </w:r>
      <w:r>
        <w:rPr>
          <w:rFonts w:hint="eastAsia" w:ascii="仿宋" w:hAnsi="仿宋" w:eastAsia="仿宋" w:cs="仿宋"/>
          <w:color w:val="auto"/>
          <w:kern w:val="56"/>
          <w:sz w:val="28"/>
          <w:szCs w:val="28"/>
          <w:highlight w:val="none"/>
          <w:shd w:val="clear" w:color="auto" w:fill="FFFFFF"/>
          <w:lang w:val="en-US" w:eastAsia="zh-CN"/>
        </w:rPr>
        <w:t>1</w:t>
      </w:r>
      <w:r>
        <w:rPr>
          <w:rFonts w:hint="eastAsia" w:ascii="仿宋" w:hAnsi="仿宋" w:eastAsia="仿宋" w:cs="仿宋"/>
          <w:color w:val="auto"/>
          <w:kern w:val="56"/>
          <w:sz w:val="28"/>
          <w:szCs w:val="28"/>
          <w:highlight w:val="none"/>
          <w:shd w:val="clear" w:color="auto" w:fill="FFFFFF"/>
          <w:lang w:eastAsia="zh-CN"/>
        </w:rPr>
        <w:t>供应商</w:t>
      </w:r>
      <w:r>
        <w:rPr>
          <w:rFonts w:hint="eastAsia" w:ascii="仿宋" w:hAnsi="仿宋" w:eastAsia="仿宋" w:cs="仿宋"/>
          <w:color w:val="auto"/>
          <w:kern w:val="56"/>
          <w:sz w:val="28"/>
          <w:szCs w:val="28"/>
          <w:highlight w:val="none"/>
          <w:shd w:val="clear" w:color="auto" w:fill="FFFFFF"/>
          <w:lang w:val="zh-CN" w:eastAsia="zh-CN"/>
        </w:rPr>
        <w:t>是总公司的须具有中国保险监督管理委员会颁发的《保险公司法人许可证》，许可证须在有效期内。</w:t>
      </w:r>
    </w:p>
    <w:p w14:paraId="1FC7FCA4">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color w:val="auto"/>
          <w:kern w:val="56"/>
          <w:sz w:val="28"/>
          <w:szCs w:val="28"/>
          <w:highlight w:val="none"/>
          <w:shd w:val="clear" w:color="auto" w:fill="FFFFFF"/>
          <w:lang w:eastAsia="zh-CN"/>
        </w:rPr>
      </w:pPr>
      <w:r>
        <w:rPr>
          <w:rFonts w:hint="eastAsia" w:ascii="仿宋" w:hAnsi="仿宋" w:eastAsia="仿宋" w:cs="仿宋"/>
          <w:color w:val="auto"/>
          <w:kern w:val="56"/>
          <w:sz w:val="28"/>
          <w:szCs w:val="28"/>
          <w:highlight w:val="none"/>
          <w:shd w:val="clear" w:color="auto" w:fill="FFFFFF"/>
          <w:lang w:val="en-US" w:eastAsia="zh-CN"/>
        </w:rPr>
        <w:t>3.2</w:t>
      </w:r>
      <w:r>
        <w:rPr>
          <w:rFonts w:hint="eastAsia" w:ascii="仿宋" w:hAnsi="仿宋" w:eastAsia="仿宋" w:cs="仿宋"/>
          <w:color w:val="auto"/>
          <w:kern w:val="56"/>
          <w:sz w:val="28"/>
          <w:szCs w:val="28"/>
          <w:highlight w:val="none"/>
          <w:shd w:val="clear" w:color="auto" w:fill="FFFFFF"/>
          <w:lang w:eastAsia="zh-CN"/>
        </w:rPr>
        <w:t>供应商</w:t>
      </w:r>
      <w:r>
        <w:rPr>
          <w:rFonts w:hint="eastAsia" w:ascii="仿宋" w:hAnsi="仿宋" w:eastAsia="仿宋" w:cs="仿宋"/>
          <w:color w:val="auto"/>
          <w:kern w:val="56"/>
          <w:sz w:val="28"/>
          <w:szCs w:val="28"/>
          <w:highlight w:val="none"/>
          <w:shd w:val="clear" w:color="auto" w:fill="FFFFFF"/>
          <w:lang w:val="zh-CN" w:eastAsia="zh-CN"/>
        </w:rPr>
        <w:t>是总公司授权的分公司（</w:t>
      </w:r>
      <w:r>
        <w:rPr>
          <w:rFonts w:hint="eastAsia" w:ascii="仿宋" w:hAnsi="仿宋" w:eastAsia="仿宋" w:cs="仿宋"/>
          <w:color w:val="auto"/>
          <w:kern w:val="56"/>
          <w:sz w:val="28"/>
          <w:szCs w:val="28"/>
          <w:highlight w:val="none"/>
          <w:shd w:val="clear" w:color="auto" w:fill="FFFFFF"/>
          <w:lang w:val="en-US" w:eastAsia="zh-CN"/>
        </w:rPr>
        <w:t>中心支公司</w:t>
      </w:r>
      <w:r>
        <w:rPr>
          <w:rFonts w:hint="eastAsia" w:ascii="仿宋" w:hAnsi="仿宋" w:eastAsia="仿宋" w:cs="仿宋"/>
          <w:color w:val="auto"/>
          <w:kern w:val="56"/>
          <w:sz w:val="28"/>
          <w:szCs w:val="28"/>
          <w:highlight w:val="none"/>
          <w:shd w:val="clear" w:color="auto" w:fill="FFFFFF"/>
          <w:lang w:val="zh-CN" w:eastAsia="zh-CN"/>
        </w:rPr>
        <w:t>）的须具有中国保险监督管理委员会颁发的《经营保险业务许可证》，许可证须在有效期内。</w:t>
      </w:r>
    </w:p>
    <w:p w14:paraId="159503D2">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BA443E">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三、获取</w:t>
      </w:r>
      <w:r>
        <w:rPr>
          <w:rFonts w:hint="eastAsia" w:ascii="仿宋" w:hAnsi="仿宋" w:eastAsia="仿宋" w:cs="仿宋"/>
          <w:b/>
          <w:color w:val="auto"/>
          <w:sz w:val="28"/>
          <w:szCs w:val="28"/>
          <w:highlight w:val="none"/>
          <w:lang w:eastAsia="zh-CN"/>
        </w:rPr>
        <w:t>采购文件</w:t>
      </w:r>
      <w:r>
        <w:rPr>
          <w:rFonts w:hint="eastAsia" w:ascii="仿宋" w:hAnsi="仿宋" w:eastAsia="仿宋" w:cs="仿宋"/>
          <w:b/>
          <w:color w:val="auto"/>
          <w:sz w:val="28"/>
          <w:szCs w:val="28"/>
          <w:highlight w:val="none"/>
        </w:rPr>
        <w:t xml:space="preserve"> </w:t>
      </w:r>
    </w:p>
    <w:p w14:paraId="4083CFA3">
      <w:pPr>
        <w:keepNext w:val="0"/>
        <w:keepLines w:val="0"/>
        <w:pageBreakBefore w:val="0"/>
        <w:kinsoku/>
        <w:wordWrap/>
        <w:overflowPunct/>
        <w:topLinePunct w:val="0"/>
        <w:autoSpaceDE/>
        <w:autoSpaceDN/>
        <w:bidi w:val="0"/>
        <w:adjustRightInd w:val="0"/>
        <w:spacing w:line="5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时间：</w:t>
      </w:r>
      <w:r>
        <w:rPr>
          <w:rFonts w:hint="eastAsia" w:ascii="仿宋" w:hAnsi="仿宋" w:eastAsia="仿宋" w:cs="仿宋"/>
          <w:color w:val="auto"/>
          <w:sz w:val="28"/>
          <w:szCs w:val="28"/>
          <w:highlight w:val="none"/>
          <w:lang w:val="en-US" w:eastAsia="zh-CN"/>
        </w:rPr>
        <w:t>公告发布之日起</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9月18日</w:t>
      </w:r>
      <w:r>
        <w:rPr>
          <w:rFonts w:hint="eastAsia" w:ascii="仿宋" w:hAnsi="仿宋" w:eastAsia="仿宋" w:cs="仿宋"/>
          <w:color w:val="auto"/>
          <w:sz w:val="28"/>
          <w:szCs w:val="28"/>
          <w:highlight w:val="none"/>
        </w:rPr>
        <w:t>，每天上午00:00至12:00 ，下午12:00至23:59（北京时间，线上获取法定节假日均可，线下获取文件法定节假日除外）</w:t>
      </w:r>
    </w:p>
    <w:p w14:paraId="0F2375EC">
      <w:pPr>
        <w:keepNext w:val="0"/>
        <w:keepLines w:val="0"/>
        <w:pageBreakBefore w:val="0"/>
        <w:kinsoku/>
        <w:wordWrap/>
        <w:overflowPunct/>
        <w:topLinePunct w:val="0"/>
        <w:autoSpaceDE/>
        <w:autoSpaceDN/>
        <w:bidi w:val="0"/>
        <w:adjustRightInd w:val="0"/>
        <w:spacing w:line="5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地点（网址）：</w:t>
      </w:r>
      <w:r>
        <w:rPr>
          <w:rFonts w:hint="eastAsia" w:ascii="仿宋" w:hAnsi="仿宋" w:eastAsia="仿宋" w:cs="仿宋"/>
          <w:color w:val="auto"/>
          <w:sz w:val="28"/>
          <w:szCs w:val="28"/>
          <w:highlight w:val="none"/>
        </w:rPr>
        <w:t xml:space="preserve">政采云平台（https://www.zcygov.cn/） </w:t>
      </w:r>
    </w:p>
    <w:p w14:paraId="0CCB6CC0">
      <w:pPr>
        <w:keepNext w:val="0"/>
        <w:keepLines w:val="0"/>
        <w:pageBreakBefore w:val="0"/>
        <w:kinsoku/>
        <w:wordWrap/>
        <w:overflowPunct/>
        <w:topLinePunct w:val="0"/>
        <w:autoSpaceDE/>
        <w:autoSpaceDN/>
        <w:bidi w:val="0"/>
        <w:adjustRightInd w:val="0"/>
        <w:spacing w:line="5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方式：</w:t>
      </w:r>
      <w:r>
        <w:rPr>
          <w:rFonts w:hint="eastAsia" w:ascii="仿宋" w:hAnsi="仿宋" w:eastAsia="仿宋" w:cs="仿宋"/>
          <w:color w:val="auto"/>
          <w:sz w:val="28"/>
          <w:szCs w:val="28"/>
          <w:highlight w:val="none"/>
        </w:rPr>
        <w:t xml:space="preserve">供应商登录政采云平台https://www.zcygov.cn/在线申请获取采购文件（进入“项目采购”应用，在获取采购文件菜单中选择项目，申请获取采购文件）。 </w:t>
      </w:r>
    </w:p>
    <w:p w14:paraId="4E847445">
      <w:pPr>
        <w:keepNext w:val="0"/>
        <w:keepLines w:val="0"/>
        <w:pageBreakBefore w:val="0"/>
        <w:kinsoku/>
        <w:wordWrap/>
        <w:overflowPunct/>
        <w:topLinePunct w:val="0"/>
        <w:autoSpaceDE/>
        <w:autoSpaceDN/>
        <w:bidi w:val="0"/>
        <w:adjustRightInd w:val="0"/>
        <w:spacing w:line="5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售价（元）：</w:t>
      </w:r>
      <w:r>
        <w:rPr>
          <w:rFonts w:hint="eastAsia" w:ascii="仿宋" w:hAnsi="仿宋" w:eastAsia="仿宋" w:cs="仿宋"/>
          <w:color w:val="auto"/>
          <w:sz w:val="28"/>
          <w:szCs w:val="28"/>
          <w:highlight w:val="none"/>
        </w:rPr>
        <w:t xml:space="preserve">0 </w:t>
      </w:r>
      <w:r>
        <w:rPr>
          <w:rFonts w:hint="eastAsia" w:ascii="仿宋" w:hAnsi="仿宋" w:eastAsia="仿宋" w:cs="仿宋"/>
          <w:color w:val="auto"/>
          <w:sz w:val="28"/>
          <w:szCs w:val="28"/>
          <w:highlight w:val="none"/>
        </w:rPr>
        <w:tab/>
      </w:r>
    </w:p>
    <w:p w14:paraId="315D4E66">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四、提交</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截止时间、开标时间和地点</w:t>
      </w:r>
    </w:p>
    <w:p w14:paraId="73E9FF5B">
      <w:pPr>
        <w:keepNext w:val="0"/>
        <w:keepLines w:val="0"/>
        <w:pageBreakBefore w:val="0"/>
        <w:kinsoku/>
        <w:wordWrap/>
        <w:overflowPunct/>
        <w:topLinePunct w:val="0"/>
        <w:autoSpaceDE/>
        <w:autoSpaceDN/>
        <w:bidi w:val="0"/>
        <w:adjustRightInd w:val="0"/>
        <w:spacing w:line="5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提交</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截止时间：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9月18日9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color w:val="auto"/>
          <w:sz w:val="28"/>
          <w:szCs w:val="28"/>
          <w:highlight w:val="none"/>
        </w:rPr>
        <w:t>（北京时间）</w:t>
      </w:r>
    </w:p>
    <w:p w14:paraId="50EE1241">
      <w:pPr>
        <w:keepNext w:val="0"/>
        <w:keepLines w:val="0"/>
        <w:pageBreakBefore w:val="0"/>
        <w:kinsoku/>
        <w:wordWrap/>
        <w:overflowPunct/>
        <w:topLinePunct w:val="0"/>
        <w:autoSpaceDE/>
        <w:autoSpaceDN/>
        <w:bidi w:val="0"/>
        <w:adjustRightInd w:val="0"/>
        <w:spacing w:line="50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投标地点（网址）：</w:t>
      </w:r>
      <w:r>
        <w:rPr>
          <w:rFonts w:hint="eastAsia" w:ascii="仿宋" w:hAnsi="仿宋" w:eastAsia="仿宋" w:cs="仿宋"/>
          <w:color w:val="auto"/>
          <w:sz w:val="28"/>
          <w:szCs w:val="28"/>
          <w:highlight w:val="none"/>
        </w:rPr>
        <w:t xml:space="preserve">政采云平台（https://www.zcygov.cn/） </w:t>
      </w:r>
    </w:p>
    <w:p w14:paraId="170DD9FE">
      <w:pPr>
        <w:keepNext w:val="0"/>
        <w:keepLines w:val="0"/>
        <w:pageBreakBefore w:val="0"/>
        <w:kinsoku/>
        <w:wordWrap/>
        <w:overflowPunct/>
        <w:topLinePunct w:val="0"/>
        <w:autoSpaceDE/>
        <w:autoSpaceDN/>
        <w:bidi w:val="0"/>
        <w:adjustRightInd w:val="0"/>
        <w:spacing w:line="500" w:lineRule="exact"/>
        <w:ind w:firstLine="562"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
          <w:color w:val="auto"/>
          <w:sz w:val="28"/>
          <w:szCs w:val="28"/>
          <w:highlight w:val="none"/>
        </w:rPr>
        <w:t>开标时间：</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9月18日9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 xml:space="preserve"> </w:t>
      </w:r>
    </w:p>
    <w:p w14:paraId="67CFD4F2">
      <w:pPr>
        <w:keepNext w:val="0"/>
        <w:keepLines w:val="0"/>
        <w:pageBreakBefore w:val="0"/>
        <w:kinsoku/>
        <w:wordWrap/>
        <w:overflowPunct/>
        <w:topLinePunct w:val="0"/>
        <w:autoSpaceDE/>
        <w:autoSpaceDN/>
        <w:bidi w:val="0"/>
        <w:adjustRightInd w:val="0"/>
        <w:spacing w:line="5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开标地点（网址）：</w:t>
      </w:r>
      <w:r>
        <w:rPr>
          <w:rFonts w:hint="eastAsia" w:ascii="仿宋" w:hAnsi="仿宋" w:eastAsia="仿宋" w:cs="仿宋"/>
          <w:color w:val="auto"/>
          <w:sz w:val="28"/>
          <w:szCs w:val="28"/>
          <w:highlight w:val="none"/>
        </w:rPr>
        <w:t>政采云平台（https://www.zcygov.cn/）</w:t>
      </w:r>
    </w:p>
    <w:p w14:paraId="39F525B4">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五、公告期限 </w:t>
      </w:r>
    </w:p>
    <w:p w14:paraId="3F8DA0A3">
      <w:pPr>
        <w:keepNext w:val="0"/>
        <w:keepLines w:val="0"/>
        <w:pageBreakBefore w:val="0"/>
        <w:kinsoku/>
        <w:wordWrap/>
        <w:overflowPunct/>
        <w:topLinePunct w:val="0"/>
        <w:autoSpaceDE/>
        <w:autoSpaceDN/>
        <w:bidi w:val="0"/>
        <w:adjustRightIn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14:paraId="5953FE41">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六、其他补充事宜</w:t>
      </w:r>
    </w:p>
    <w:p w14:paraId="0E7A0122">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1.供应商认为</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使自己的权益受到损害的，可以自获取</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之日或者</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公告期限届满之日（公告期限届满后获取</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 w:val="28"/>
          <w:szCs w:val="28"/>
          <w:highlight w:val="none"/>
          <w:lang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F64ED6">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2.其他事项：（1）需要落实的政府采购政策：包括节约资源、保护环境、支持创新、促进中小企业发展等。详见</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的第二部分总则。（2）电子招投标的说明：①电子招投标：本项目以数据电文形式，依托“政府采购云平台（www.zcygov.cn）”进行招投标活动，不接受纸质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的获取：使用账号登录或者使用CA登录政采云平台；进入“项目采购”应用，在获取采购文件菜单中选择项目，获取</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；④</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的制作：在“政采云电子交易客户端”中完成“填写基本信息”、“导入</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”、“标书关联”、“标书检查”、“电子签名”、“生成电子标书”等操作；⑤</w:t>
      </w:r>
      <w:r>
        <w:rPr>
          <w:rFonts w:hint="eastAsia" w:ascii="仿宋" w:hAnsi="仿宋" w:eastAsia="仿宋" w:cs="仿宋"/>
          <w:color w:val="auto"/>
          <w:sz w:val="28"/>
          <w:szCs w:val="28"/>
          <w:highlight w:val="none"/>
          <w:lang w:eastAsia="zh-CN"/>
        </w:rPr>
        <w:t>招标采购人</w:t>
      </w:r>
      <w:r>
        <w:rPr>
          <w:rFonts w:hint="eastAsia" w:ascii="仿宋" w:hAnsi="仿宋" w:eastAsia="仿宋" w:cs="仿宋"/>
          <w:color w:val="auto"/>
          <w:sz w:val="28"/>
          <w:szCs w:val="28"/>
          <w:highlight w:val="none"/>
        </w:rPr>
        <w:t>将依托政采云平台完成本项目的电子交易活动，平台不接受未按上述方式获取</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的供应商进行投标活动； ⑥对未按上述方式获取</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的供应商对该文件提出的质疑，采购人或采购代理机构将不予处理；⑦不提供</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纸质版；⑧</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的传输递交：</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在投标截止时间前将加密的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上传至政府采购云平台，还可以在投标截止时间前直接提交或者以邮政快递方式递交备份</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1份。备份</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的制作、存储、密封详见</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第二部分第15点—“备份</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的解密：</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按照平台提示和</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的规定在半小时内完成在线解密。通过“政府采购云平台”上传递交的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无法按时解密，投标供应商递交了备份</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的，以备份</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为依据，否则视为</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撤回。通过“政府采购云平台”上传递交的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已按时解密的，备份</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自动失效。</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仅提交备份</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，没有在电子交易平台传输递交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的，投标无效；⑩具体操作指南：详见政采云平台“服务中心-帮助文档-项目采购-操作流程-电子招投标-政府采购项目电子交易管理操作指南-供应商”。</w:t>
      </w:r>
    </w:p>
    <w:p w14:paraId="6D4CAF3D">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七、对本次采购提出询问、质疑、投诉，请按以下方式联系</w:t>
      </w:r>
    </w:p>
    <w:p w14:paraId="6B5E241D">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1.采购人信息</w:t>
      </w:r>
    </w:p>
    <w:p w14:paraId="54DDD4BF">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名    称：</w:t>
      </w:r>
      <w:r>
        <w:rPr>
          <w:rFonts w:hint="eastAsia" w:ascii="仿宋" w:hAnsi="仿宋" w:eastAsia="仿宋" w:cs="仿宋"/>
          <w:color w:val="auto"/>
          <w:sz w:val="28"/>
          <w:szCs w:val="28"/>
          <w:highlight w:val="none"/>
          <w:lang w:val="en-US" w:eastAsia="zh-CN"/>
        </w:rPr>
        <w:t>衢州市发展和改革委员会</w:t>
      </w:r>
      <w:r>
        <w:rPr>
          <w:rFonts w:hint="eastAsia" w:ascii="仿宋" w:hAnsi="仿宋" w:eastAsia="仿宋" w:cs="仿宋"/>
          <w:color w:val="auto"/>
          <w:sz w:val="28"/>
          <w:szCs w:val="28"/>
          <w:highlight w:val="none"/>
        </w:rPr>
        <w:t xml:space="preserve"> </w:t>
      </w:r>
    </w:p>
    <w:p w14:paraId="3715FEC0">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地    址：</w:t>
      </w:r>
      <w:r>
        <w:rPr>
          <w:rFonts w:hint="eastAsia" w:ascii="仿宋" w:hAnsi="仿宋" w:eastAsia="仿宋" w:cs="仿宋"/>
          <w:color w:val="auto"/>
          <w:sz w:val="28"/>
          <w:szCs w:val="28"/>
          <w:highlight w:val="none"/>
          <w:lang w:val="en-US" w:eastAsia="zh-CN"/>
        </w:rPr>
        <w:t>衢州市三江东路28号</w:t>
      </w:r>
      <w:r>
        <w:rPr>
          <w:rFonts w:hint="eastAsia" w:ascii="仿宋" w:hAnsi="仿宋" w:eastAsia="仿宋" w:cs="仿宋"/>
          <w:color w:val="auto"/>
          <w:sz w:val="28"/>
          <w:szCs w:val="28"/>
          <w:highlight w:val="none"/>
        </w:rPr>
        <w:t xml:space="preserve">      </w:t>
      </w:r>
    </w:p>
    <w:p w14:paraId="20EB4A82">
      <w:pPr>
        <w:keepNext w:val="0"/>
        <w:keepLines w:val="0"/>
        <w:pageBreakBefore w:val="0"/>
        <w:widowControl w:val="0"/>
        <w:kinsoku/>
        <w:wordWrap/>
        <w:overflowPunct/>
        <w:topLinePunct w:val="0"/>
        <w:autoSpaceDE/>
        <w:autoSpaceDN/>
        <w:bidi w:val="0"/>
        <w:adjustRightInd w:val="0"/>
        <w:snapToGrid/>
        <w:spacing w:line="50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 /</w:t>
      </w:r>
    </w:p>
    <w:p w14:paraId="4C5CE108">
      <w:pPr>
        <w:keepNext w:val="0"/>
        <w:keepLines w:val="0"/>
        <w:pageBreakBefore w:val="0"/>
        <w:widowControl w:val="0"/>
        <w:kinsoku/>
        <w:wordWrap/>
        <w:overflowPunct/>
        <w:topLinePunct w:val="0"/>
        <w:autoSpaceDE/>
        <w:autoSpaceDN/>
        <w:bidi w:val="0"/>
        <w:adjustRightInd w:val="0"/>
        <w:snapToGrid/>
        <w:spacing w:line="50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项目联系人（询问）：</w:t>
      </w:r>
      <w:r>
        <w:rPr>
          <w:rFonts w:hint="eastAsia" w:ascii="仿宋" w:hAnsi="仿宋" w:eastAsia="仿宋" w:cs="仿宋"/>
          <w:color w:val="auto"/>
          <w:sz w:val="28"/>
          <w:szCs w:val="28"/>
          <w:highlight w:val="none"/>
          <w:lang w:val="en-US" w:eastAsia="zh-CN"/>
        </w:rPr>
        <w:t>江女士</w:t>
      </w:r>
      <w:r>
        <w:rPr>
          <w:rFonts w:hint="eastAsia" w:ascii="仿宋" w:hAnsi="仿宋" w:eastAsia="仿宋" w:cs="仿宋"/>
          <w:color w:val="auto"/>
          <w:sz w:val="28"/>
          <w:szCs w:val="28"/>
          <w:highlight w:val="none"/>
        </w:rPr>
        <w:t xml:space="preserve">  </w:t>
      </w:r>
    </w:p>
    <w:p w14:paraId="59C3716D">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项目联系方式（询问）：</w:t>
      </w:r>
      <w:r>
        <w:rPr>
          <w:rFonts w:hint="eastAsia" w:ascii="仿宋" w:hAnsi="仿宋" w:eastAsia="仿宋" w:cs="仿宋"/>
          <w:color w:val="auto"/>
          <w:kern w:val="56"/>
          <w:sz w:val="28"/>
          <w:szCs w:val="28"/>
          <w:highlight w:val="none"/>
          <w:shd w:val="clear" w:color="auto" w:fill="FFFFFF"/>
          <w:lang w:eastAsia="zh-CN"/>
        </w:rPr>
        <w:t>0570-3881128</w:t>
      </w:r>
    </w:p>
    <w:p w14:paraId="5834B936">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质疑联系人：</w:t>
      </w:r>
      <w:r>
        <w:rPr>
          <w:rFonts w:hint="eastAsia" w:ascii="仿宋" w:hAnsi="仿宋" w:eastAsia="仿宋" w:cs="仿宋"/>
          <w:color w:val="auto"/>
          <w:sz w:val="28"/>
          <w:szCs w:val="28"/>
          <w:highlight w:val="none"/>
          <w:lang w:val="en-US" w:eastAsia="zh-CN"/>
        </w:rPr>
        <w:t>江女士</w:t>
      </w:r>
    </w:p>
    <w:p w14:paraId="01687CE2">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质疑联系方式：</w:t>
      </w:r>
      <w:r>
        <w:rPr>
          <w:rFonts w:hint="eastAsia" w:ascii="仿宋" w:hAnsi="仿宋" w:eastAsia="仿宋" w:cs="仿宋"/>
          <w:color w:val="auto"/>
          <w:kern w:val="56"/>
          <w:sz w:val="28"/>
          <w:szCs w:val="28"/>
          <w:highlight w:val="none"/>
          <w:shd w:val="clear" w:color="auto" w:fill="FFFFFF"/>
          <w:lang w:eastAsia="zh-CN"/>
        </w:rPr>
        <w:t>0570-3881128</w:t>
      </w:r>
      <w:r>
        <w:rPr>
          <w:rFonts w:hint="eastAsia" w:ascii="仿宋" w:hAnsi="仿宋" w:eastAsia="仿宋" w:cs="仿宋"/>
          <w:color w:val="auto"/>
          <w:sz w:val="28"/>
          <w:szCs w:val="28"/>
          <w:highlight w:val="none"/>
        </w:rPr>
        <w:t xml:space="preserve"> </w:t>
      </w:r>
    </w:p>
    <w:p w14:paraId="642EA1AC">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2.采购代理机构信息            </w:t>
      </w:r>
    </w:p>
    <w:p w14:paraId="651A0FB0">
      <w:pPr>
        <w:keepNext w:val="0"/>
        <w:keepLines w:val="0"/>
        <w:pageBreakBefore w:val="0"/>
        <w:widowControl w:val="0"/>
        <w:kinsoku/>
        <w:wordWrap/>
        <w:overflowPunct/>
        <w:topLinePunct w:val="0"/>
        <w:autoSpaceDE/>
        <w:autoSpaceDN/>
        <w:bidi w:val="0"/>
        <w:adjustRightInd w:val="0"/>
        <w:snapToGrid/>
        <w:spacing w:line="500" w:lineRule="exact"/>
        <w:ind w:firstLine="48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衢州艾凌项目管理咨询有限公司</w:t>
      </w:r>
    </w:p>
    <w:p w14:paraId="2C62FB7E">
      <w:pPr>
        <w:keepNext w:val="0"/>
        <w:keepLines w:val="0"/>
        <w:pageBreakBefore w:val="0"/>
        <w:widowControl w:val="0"/>
        <w:kinsoku/>
        <w:wordWrap/>
        <w:overflowPunct/>
        <w:topLinePunct w:val="0"/>
        <w:autoSpaceDE/>
        <w:autoSpaceDN/>
        <w:bidi w:val="0"/>
        <w:adjustRightInd w:val="0"/>
        <w:snapToGrid/>
        <w:spacing w:line="50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val="en-US" w:eastAsia="zh-CN"/>
        </w:rPr>
        <w:t>浙江省衢州市柯城区弈谷文体城二区3-1</w:t>
      </w:r>
    </w:p>
    <w:p w14:paraId="2A280DD3">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传    真：/             </w:t>
      </w:r>
    </w:p>
    <w:p w14:paraId="3834753A">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项目联系人（询问）：</w:t>
      </w:r>
      <w:r>
        <w:rPr>
          <w:rFonts w:hint="eastAsia" w:ascii="仿宋" w:hAnsi="仿宋" w:eastAsia="仿宋" w:cs="仿宋"/>
          <w:color w:val="auto"/>
          <w:sz w:val="28"/>
          <w:szCs w:val="28"/>
          <w:highlight w:val="none"/>
          <w:lang w:val="en-US" w:eastAsia="zh-CN"/>
        </w:rPr>
        <w:t>符女士</w:t>
      </w:r>
      <w:r>
        <w:rPr>
          <w:rFonts w:hint="eastAsia" w:ascii="仿宋" w:hAnsi="仿宋" w:eastAsia="仿宋" w:cs="仿宋"/>
          <w:color w:val="auto"/>
          <w:sz w:val="28"/>
          <w:szCs w:val="28"/>
          <w:highlight w:val="none"/>
        </w:rPr>
        <w:t xml:space="preserve">         </w:t>
      </w:r>
    </w:p>
    <w:p w14:paraId="2C3BEF6A">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项目联系方式（询问）：</w:t>
      </w:r>
      <w:r>
        <w:rPr>
          <w:rFonts w:hint="eastAsia" w:ascii="仿宋" w:hAnsi="仿宋" w:eastAsia="仿宋" w:cs="仿宋"/>
          <w:color w:val="auto"/>
          <w:sz w:val="28"/>
          <w:szCs w:val="28"/>
          <w:highlight w:val="none"/>
          <w:lang w:val="en-US" w:eastAsia="zh-CN"/>
        </w:rPr>
        <w:t>18367087956</w:t>
      </w:r>
    </w:p>
    <w:p w14:paraId="06BCB0EE">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质疑联系人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刘女士</w:t>
      </w:r>
      <w:r>
        <w:rPr>
          <w:rFonts w:hint="eastAsia" w:ascii="仿宋" w:hAnsi="仿宋" w:eastAsia="仿宋" w:cs="仿宋"/>
          <w:color w:val="auto"/>
          <w:sz w:val="28"/>
          <w:szCs w:val="28"/>
          <w:highlight w:val="none"/>
        </w:rPr>
        <w:t xml:space="preserve">             </w:t>
      </w:r>
    </w:p>
    <w:p w14:paraId="0C2BE3DE">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质疑联系方式：</w:t>
      </w:r>
      <w:r>
        <w:rPr>
          <w:rFonts w:hint="eastAsia" w:ascii="仿宋" w:hAnsi="仿宋" w:eastAsia="仿宋" w:cs="仿宋"/>
          <w:color w:val="auto"/>
          <w:sz w:val="28"/>
          <w:szCs w:val="28"/>
          <w:highlight w:val="none"/>
          <w:lang w:val="en-US" w:eastAsia="zh-CN"/>
        </w:rPr>
        <w:t>0570-8082328</w:t>
      </w:r>
    </w:p>
    <w:p w14:paraId="68B84697">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3.同级政府采购监督管理部门            </w:t>
      </w:r>
    </w:p>
    <w:p w14:paraId="77964BC7">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名    称：</w:t>
      </w:r>
      <w:r>
        <w:rPr>
          <w:rFonts w:hint="eastAsia" w:ascii="仿宋" w:hAnsi="仿宋" w:eastAsia="仿宋" w:cs="仿宋"/>
          <w:color w:val="auto"/>
          <w:kern w:val="56"/>
          <w:sz w:val="28"/>
          <w:szCs w:val="28"/>
          <w:highlight w:val="none"/>
          <w:shd w:val="clear" w:color="auto" w:fill="FFFFFF"/>
        </w:rPr>
        <w:t>衢州市政府采购管理办公室</w:t>
      </w:r>
      <w:r>
        <w:rPr>
          <w:rFonts w:hint="eastAsia" w:ascii="仿宋" w:hAnsi="仿宋" w:eastAsia="仿宋" w:cs="仿宋"/>
          <w:color w:val="auto"/>
          <w:sz w:val="28"/>
          <w:szCs w:val="28"/>
          <w:highlight w:val="none"/>
        </w:rPr>
        <w:t xml:space="preserve"> </w:t>
      </w:r>
    </w:p>
    <w:p w14:paraId="4721F985">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地    址：</w:t>
      </w:r>
      <w:r>
        <w:rPr>
          <w:rFonts w:hint="eastAsia" w:ascii="仿宋" w:hAnsi="仿宋" w:eastAsia="仿宋" w:cs="仿宋"/>
          <w:color w:val="auto"/>
          <w:sz w:val="28"/>
          <w:szCs w:val="28"/>
          <w:highlight w:val="none"/>
          <w:lang w:val="en-US" w:eastAsia="zh-CN"/>
        </w:rPr>
        <w:t>衢州市三江东路28号</w:t>
      </w:r>
    </w:p>
    <w:p w14:paraId="03E7318D">
      <w:pPr>
        <w:keepNext w:val="0"/>
        <w:keepLines w:val="0"/>
        <w:pageBreakBefore w:val="0"/>
        <w:widowControl w:val="0"/>
        <w:kinsoku/>
        <w:wordWrap/>
        <w:overflowPunct/>
        <w:topLinePunct w:val="0"/>
        <w:autoSpaceDE/>
        <w:autoSpaceDN/>
        <w:bidi w:val="0"/>
        <w:adjustRightInd w:val="0"/>
        <w:snapToGrid/>
        <w:spacing w:line="500" w:lineRule="exact"/>
        <w:ind w:firstLine="280" w:firstLineChars="1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传    真：</w:t>
      </w:r>
      <w:r>
        <w:rPr>
          <w:rFonts w:hint="eastAsia" w:ascii="仿宋" w:hAnsi="仿宋" w:eastAsia="仿宋" w:cs="仿宋"/>
          <w:color w:val="auto"/>
          <w:sz w:val="28"/>
          <w:szCs w:val="28"/>
          <w:highlight w:val="none"/>
          <w:lang w:val="en-US" w:eastAsia="zh-CN"/>
        </w:rPr>
        <w:t>/</w:t>
      </w:r>
    </w:p>
    <w:p w14:paraId="7387DB8F">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联系人 ：</w:t>
      </w:r>
      <w:r>
        <w:rPr>
          <w:rFonts w:hint="eastAsia" w:ascii="仿宋" w:hAnsi="仿宋" w:eastAsia="仿宋" w:cs="仿宋"/>
          <w:color w:val="auto"/>
          <w:sz w:val="28"/>
          <w:szCs w:val="28"/>
          <w:highlight w:val="none"/>
          <w:lang w:val="en-US" w:eastAsia="zh-CN"/>
        </w:rPr>
        <w:t>黄女士</w:t>
      </w:r>
      <w:r>
        <w:rPr>
          <w:rFonts w:hint="eastAsia" w:ascii="仿宋" w:hAnsi="仿宋" w:eastAsia="仿宋" w:cs="仿宋"/>
          <w:color w:val="auto"/>
          <w:sz w:val="28"/>
          <w:szCs w:val="28"/>
          <w:highlight w:val="none"/>
        </w:rPr>
        <w:t xml:space="preserve">    </w:t>
      </w:r>
    </w:p>
    <w:p w14:paraId="1DC1DB1E">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监督投诉电话：</w:t>
      </w:r>
      <w:r>
        <w:rPr>
          <w:rFonts w:hint="eastAsia" w:ascii="仿宋" w:hAnsi="仿宋" w:eastAsia="仿宋" w:cs="仿宋"/>
          <w:color w:val="auto"/>
          <w:sz w:val="28"/>
          <w:szCs w:val="28"/>
          <w:highlight w:val="none"/>
          <w:lang w:val="en-US" w:eastAsia="zh-CN"/>
        </w:rPr>
        <w:t>19957000570</w:t>
      </w:r>
      <w:r>
        <w:rPr>
          <w:rFonts w:hint="eastAsia" w:ascii="仿宋" w:hAnsi="仿宋" w:eastAsia="仿宋" w:cs="仿宋"/>
          <w:color w:val="auto"/>
          <w:sz w:val="28"/>
          <w:szCs w:val="28"/>
          <w:highlight w:val="none"/>
        </w:rPr>
        <w:t xml:space="preserve">          </w:t>
      </w:r>
    </w:p>
    <w:p w14:paraId="32DCF71A">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若对项目采购电子交易系统操作有疑问，可登录政采云（https://www.zcygov.cn/），点击右侧咨询小采，获取采小蜜智能服务管家帮助，或拨打政采云服务热线400-881-7190获取热线服务帮助。</w:t>
      </w:r>
    </w:p>
    <w:p w14:paraId="2EFD8E3A">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ascii="仿宋_GB2312" w:hAnsi="仿宋" w:eastAsia="仿宋_GB2312"/>
          <w:color w:val="auto"/>
          <w:sz w:val="24"/>
          <w:highlight w:val="none"/>
        </w:rPr>
      </w:pPr>
      <w:r>
        <w:rPr>
          <w:rFonts w:hint="eastAsia" w:ascii="仿宋" w:hAnsi="仿宋" w:eastAsia="仿宋" w:cs="仿宋"/>
          <w:color w:val="auto"/>
          <w:sz w:val="28"/>
          <w:szCs w:val="28"/>
          <w:highlight w:val="none"/>
        </w:rPr>
        <w:t>CA问题联系电话（人工）：汇信CA 400-888-4636；天谷CA 400-087-8198。</w:t>
      </w:r>
    </w:p>
    <w:p w14:paraId="3257A25D">
      <w:pPr>
        <w:pStyle w:val="35"/>
        <w:keepNext w:val="0"/>
        <w:keepLines w:val="0"/>
        <w:pageBreakBefore w:val="0"/>
        <w:kinsoku/>
        <w:wordWrap/>
        <w:overflowPunct/>
        <w:topLinePunct w:val="0"/>
        <w:autoSpaceDE/>
        <w:autoSpaceDN/>
        <w:bidi w:val="0"/>
        <w:spacing w:line="500" w:lineRule="exact"/>
        <w:ind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14:paraId="3CBAF6BA">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ascii="仿宋" w:hAnsi="仿宋" w:eastAsia="仿宋" w:cs="仿宋_GB2312"/>
          <w:b/>
          <w:i w:val="0"/>
          <w:iCs w:val="0"/>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i w:val="0"/>
          <w:iCs w:val="0"/>
          <w:color w:val="auto"/>
          <w:sz w:val="36"/>
          <w:szCs w:val="20"/>
          <w:highlight w:val="none"/>
        </w:rPr>
        <w:t>第二部分</w:t>
      </w:r>
      <w:bookmarkEnd w:id="6"/>
      <w:r>
        <w:rPr>
          <w:rFonts w:ascii="仿宋" w:hAnsi="仿宋" w:eastAsia="仿宋" w:cs="仿宋_GB2312"/>
          <w:b/>
          <w:i w:val="0"/>
          <w:iCs w:val="0"/>
          <w:color w:val="auto"/>
          <w:sz w:val="36"/>
          <w:szCs w:val="20"/>
          <w:highlight w:val="none"/>
        </w:rPr>
        <w:t xml:space="preserve"> </w:t>
      </w:r>
      <w:r>
        <w:rPr>
          <w:rFonts w:hint="eastAsia" w:ascii="仿宋" w:hAnsi="仿宋" w:eastAsia="仿宋" w:cs="仿宋_GB2312"/>
          <w:b/>
          <w:i w:val="0"/>
          <w:iCs w:val="0"/>
          <w:color w:val="auto"/>
          <w:sz w:val="36"/>
          <w:szCs w:val="20"/>
          <w:highlight w:val="none"/>
          <w:lang w:eastAsia="zh-CN"/>
        </w:rPr>
        <w:t>供应商</w:t>
      </w:r>
      <w:r>
        <w:rPr>
          <w:rFonts w:ascii="仿宋" w:hAnsi="仿宋" w:eastAsia="仿宋" w:cs="仿宋_GB2312"/>
          <w:b/>
          <w:i w:val="0"/>
          <w:iCs w:val="0"/>
          <w:color w:val="auto"/>
          <w:sz w:val="36"/>
          <w:szCs w:val="20"/>
          <w:highlight w:val="none"/>
        </w:rPr>
        <w:t>须知</w:t>
      </w:r>
      <w:bookmarkEnd w:id="7"/>
    </w:p>
    <w:p w14:paraId="18313AC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245E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F4EC6BA">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C81D98">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43D85F">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0E3C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8" w:hRule="atLeast"/>
          <w:tblHeader/>
        </w:trPr>
        <w:tc>
          <w:tcPr>
            <w:tcW w:w="629" w:type="dxa"/>
            <w:tcBorders>
              <w:top w:val="single" w:color="auto" w:sz="4" w:space="0"/>
              <w:left w:val="single" w:color="auto" w:sz="4" w:space="0"/>
              <w:bottom w:val="single" w:color="auto" w:sz="4" w:space="0"/>
              <w:right w:val="single" w:color="auto" w:sz="4" w:space="0"/>
            </w:tcBorders>
          </w:tcPr>
          <w:p w14:paraId="4F465DA0">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5D7A2E83">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03317CC2">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3064C3ED">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419CD7D7">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17E26164">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5F2FD6D1">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573E50DB">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9FDFBE">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1B35080">
            <w:pPr>
              <w:pageBreakBefore w:val="0"/>
              <w:widowControl w:val="0"/>
              <w:kinsoku/>
              <w:wordWrap/>
              <w:overflowPunct/>
              <w:topLinePunct w:val="0"/>
              <w:autoSpaceDE/>
              <w:autoSpaceDN/>
              <w:bidi w:val="0"/>
              <w:snapToGrid w:val="0"/>
              <w:spacing w:line="5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。响应文件中价格全部采用人民币报价。采购文件未列明，而供应商认为必需的费用也需列入报价。</w:t>
            </w:r>
          </w:p>
          <w:p w14:paraId="70D1AB88">
            <w:pPr>
              <w:pageBreakBefore w:val="0"/>
              <w:widowControl w:val="0"/>
              <w:kinsoku/>
              <w:wordWrap/>
              <w:overflowPunct/>
              <w:topLinePunct w:val="0"/>
              <w:autoSpaceDE/>
              <w:autoSpaceDN/>
              <w:bidi w:val="0"/>
              <w:snapToGrid w:val="0"/>
              <w:spacing w:line="5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4B776BEC">
            <w:pPr>
              <w:pageBreakBefore w:val="0"/>
              <w:widowControl w:val="0"/>
              <w:kinsoku/>
              <w:wordWrap/>
              <w:overflowPunct/>
              <w:topLinePunct w:val="0"/>
              <w:autoSpaceDE/>
              <w:autoSpaceDN/>
              <w:bidi w:val="0"/>
              <w:snapToGrid w:val="0"/>
              <w:spacing w:line="5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响应文件出现不是唯一的、有选择性投标报价的；</w:t>
            </w:r>
          </w:p>
          <w:p w14:paraId="022E9F82">
            <w:pPr>
              <w:pageBreakBefore w:val="0"/>
              <w:widowControl w:val="0"/>
              <w:kinsoku/>
              <w:wordWrap/>
              <w:overflowPunct/>
              <w:topLinePunct w:val="0"/>
              <w:autoSpaceDE/>
              <w:autoSpaceDN/>
              <w:bidi w:val="0"/>
              <w:snapToGrid w:val="0"/>
              <w:spacing w:line="5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投标报价超过采购文件中规定的预算金额或者最高限价的;</w:t>
            </w:r>
          </w:p>
          <w:p w14:paraId="5AF02D94">
            <w:pPr>
              <w:pageBreakBefore w:val="0"/>
              <w:widowControl w:val="0"/>
              <w:kinsoku/>
              <w:wordWrap/>
              <w:overflowPunct/>
              <w:topLinePunct w:val="0"/>
              <w:autoSpaceDE/>
              <w:autoSpaceDN/>
              <w:bidi w:val="0"/>
              <w:spacing w:line="5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w:t>
            </w: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504A811C">
            <w:pPr>
              <w:pageBreakBefore w:val="0"/>
              <w:widowControl w:val="0"/>
              <w:kinsoku/>
              <w:wordWrap/>
              <w:overflowPunct/>
              <w:topLinePunct w:val="0"/>
              <w:autoSpaceDE/>
              <w:autoSpaceDN/>
              <w:bidi w:val="0"/>
              <w:spacing w:line="56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对根据修正原则修正后的报价不确认的</w:t>
            </w:r>
            <w:r>
              <w:rPr>
                <w:rFonts w:hint="eastAsia" w:ascii="仿宋" w:hAnsi="仿宋" w:eastAsia="仿宋" w:cs="仿宋"/>
                <w:b/>
                <w:color w:val="auto"/>
                <w:sz w:val="24"/>
                <w:szCs w:val="24"/>
                <w:highlight w:val="none"/>
              </w:rPr>
              <w:t>。</w:t>
            </w:r>
          </w:p>
        </w:tc>
      </w:tr>
      <w:tr w14:paraId="3C367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996383">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26CF82">
            <w:pPr>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6FB7A">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3D18FBFF">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46C7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B9D7C78">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7D97FD61">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3F6D543E">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1E37CE46">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C35060">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第二部分11.1。</w:t>
            </w:r>
          </w:p>
          <w:p w14:paraId="7BB7E917">
            <w:pPr>
              <w:pageBreakBefore w:val="0"/>
              <w:widowControl w:val="0"/>
              <w:kinsoku/>
              <w:wordWrap/>
              <w:overflowPunct/>
              <w:topLinePunct w:val="0"/>
              <w:autoSpaceDE/>
              <w:autoSpaceDN/>
              <w:bidi w:val="0"/>
              <w:spacing w:line="56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供应商未提供有效的资格证明文件的，视为供应商不具备采购文件中规定的资格要求，投标无效。</w:t>
            </w:r>
          </w:p>
        </w:tc>
      </w:tr>
      <w:tr w14:paraId="420B8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3BD56EB">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DDF85C1">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DB3D61A">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第四部分评标标准提供。</w:t>
            </w:r>
          </w:p>
        </w:tc>
      </w:tr>
      <w:tr w14:paraId="62BE0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E743D22">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476EE234">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3F551C">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1308265">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1C4DA08">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68A2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A837F62">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324AC183">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344FC3C3">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82CB58">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是否为专门面向中小企业采购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BC411">
            <w:pPr>
              <w:pageBreakBefore w:val="0"/>
              <w:widowControl w:val="0"/>
              <w:kinsoku/>
              <w:wordWrap/>
              <w:overflowPunct/>
              <w:topLinePunct w:val="0"/>
              <w:autoSpaceDE/>
              <w:autoSpaceDN/>
              <w:bidi w:val="0"/>
              <w:spacing w:line="56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是否为专门面向中小企业采购：</w:t>
            </w:r>
            <w:r>
              <w:rPr>
                <w:rFonts w:hint="eastAsia" w:ascii="仿宋" w:hAnsi="仿宋" w:eastAsia="仿宋" w:cs="仿宋"/>
                <w:color w:val="auto"/>
                <w:kern w:val="0"/>
                <w:sz w:val="24"/>
                <w:szCs w:val="24"/>
                <w:highlight w:val="none"/>
                <w:u w:val="single"/>
                <w:lang w:val="en-US" w:eastAsia="zh-CN"/>
              </w:rPr>
              <w:t xml:space="preserve">  否  </w:t>
            </w:r>
            <w:r>
              <w:rPr>
                <w:rFonts w:hint="eastAsia" w:ascii="仿宋" w:hAnsi="仿宋" w:eastAsia="仿宋" w:cs="仿宋"/>
                <w:color w:val="auto"/>
                <w:kern w:val="0"/>
                <w:sz w:val="24"/>
                <w:szCs w:val="24"/>
                <w:highlight w:val="none"/>
              </w:rPr>
              <w:t>（是、否）</w:t>
            </w:r>
            <w:r>
              <w:rPr>
                <w:rFonts w:hint="eastAsia" w:ascii="仿宋" w:hAnsi="仿宋" w:eastAsia="仿宋" w:cs="仿宋"/>
                <w:color w:val="auto"/>
                <w:kern w:val="0"/>
                <w:sz w:val="24"/>
                <w:szCs w:val="24"/>
                <w:highlight w:val="none"/>
                <w:lang w:eastAsia="zh-CN"/>
              </w:rPr>
              <w:t>（专门面向中小企业采购，供应商需出具《中小企业声明函》，</w:t>
            </w:r>
            <w:r>
              <w:rPr>
                <w:rFonts w:hint="eastAsia" w:ascii="仿宋" w:hAnsi="仿宋" w:eastAsia="仿宋" w:cs="仿宋"/>
                <w:color w:val="auto"/>
                <w:kern w:val="0"/>
                <w:sz w:val="24"/>
                <w:szCs w:val="24"/>
                <w:highlight w:val="none"/>
                <w:lang w:val="en-US" w:eastAsia="zh-CN"/>
              </w:rPr>
              <w:t>本项目所属行业： 商务服务业；</w:t>
            </w:r>
            <w:r>
              <w:rPr>
                <w:rFonts w:hint="eastAsia" w:ascii="仿宋" w:hAnsi="仿宋" w:eastAsia="仿宋" w:cs="仿宋"/>
                <w:color w:val="auto"/>
                <w:kern w:val="0"/>
                <w:sz w:val="24"/>
                <w:szCs w:val="24"/>
                <w:highlight w:val="none"/>
                <w:lang w:eastAsia="zh-CN"/>
              </w:rPr>
              <w:t>非专门面向中小企业采购，小型、微型企业应出具《中小企业声明函》；对报价给予</w:t>
            </w:r>
            <w:r>
              <w:rPr>
                <w:rFonts w:hint="eastAsia" w:ascii="仿宋" w:hAnsi="仿宋" w:eastAsia="仿宋" w:cs="仿宋"/>
                <w:color w:val="auto"/>
                <w:kern w:val="0"/>
                <w:sz w:val="24"/>
                <w:szCs w:val="24"/>
                <w:highlight w:val="none"/>
                <w:u w:val="single"/>
                <w:lang w:val="en-US" w:eastAsia="zh-CN"/>
              </w:rPr>
              <w:t xml:space="preserve"> 10% </w:t>
            </w:r>
            <w:r>
              <w:rPr>
                <w:rFonts w:hint="eastAsia" w:ascii="仿宋" w:hAnsi="仿宋" w:eastAsia="仿宋" w:cs="仿宋"/>
                <w:color w:val="auto"/>
                <w:kern w:val="0"/>
                <w:sz w:val="24"/>
                <w:szCs w:val="24"/>
                <w:highlight w:val="none"/>
                <w:lang w:val="en-US" w:eastAsia="zh-CN"/>
              </w:rPr>
              <w:t>的扣除，用扣除后的价格参与评审；对于联合协议或者分包意向协议约定小微企业的合同份额占到合同总金额30%以上的，</w:t>
            </w:r>
            <w:r>
              <w:rPr>
                <w:rFonts w:hint="eastAsia" w:ascii="仿宋" w:hAnsi="仿宋" w:eastAsia="仿宋" w:cs="仿宋"/>
                <w:color w:val="auto"/>
                <w:kern w:val="0"/>
                <w:sz w:val="24"/>
                <w:szCs w:val="24"/>
                <w:highlight w:val="none"/>
                <w:lang w:eastAsia="zh-CN"/>
              </w:rPr>
              <w:t>对报价给予</w:t>
            </w:r>
            <w:r>
              <w:rPr>
                <w:rFonts w:hint="eastAsia" w:ascii="仿宋" w:hAnsi="仿宋" w:eastAsia="仿宋" w:cs="仿宋"/>
                <w:color w:val="auto"/>
                <w:kern w:val="0"/>
                <w:sz w:val="24"/>
                <w:szCs w:val="24"/>
                <w:highlight w:val="none"/>
                <w:u w:val="single"/>
                <w:lang w:val="en-US" w:eastAsia="zh-CN"/>
              </w:rPr>
              <w:t xml:space="preserve"> 6% </w:t>
            </w:r>
            <w:r>
              <w:rPr>
                <w:rFonts w:hint="eastAsia" w:ascii="仿宋" w:hAnsi="仿宋" w:eastAsia="仿宋" w:cs="仿宋"/>
                <w:color w:val="auto"/>
                <w:kern w:val="0"/>
                <w:sz w:val="24"/>
                <w:szCs w:val="24"/>
                <w:highlight w:val="none"/>
                <w:lang w:val="en-US" w:eastAsia="zh-CN"/>
              </w:rPr>
              <w:t>的扣除，用扣除后的价格参与评审</w:t>
            </w:r>
            <w:r>
              <w:rPr>
                <w:rFonts w:hint="eastAsia" w:ascii="仿宋" w:hAnsi="仿宋" w:eastAsia="仿宋" w:cs="仿宋"/>
                <w:color w:val="auto"/>
                <w:kern w:val="0"/>
                <w:sz w:val="24"/>
                <w:szCs w:val="24"/>
                <w:highlight w:val="none"/>
                <w:lang w:eastAsia="zh-CN"/>
              </w:rPr>
              <w:t>）</w:t>
            </w:r>
          </w:p>
        </w:tc>
      </w:tr>
      <w:tr w14:paraId="252C6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363B7EA9">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6E41877F">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1A562111">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54D91711">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05BD5C87">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25FF884C">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C6F1F86">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FA54E3C">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57286397">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p w14:paraId="6D5E676D">
            <w:pPr>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进行方案讲解演示。每个</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时间不超过20分钟，讲解次序以</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解密时间先后次序为准，讲解演示人员不超过3人。讲解演示结束后按要求解答</w:t>
            </w:r>
            <w:r>
              <w:rPr>
                <w:rFonts w:hint="eastAsia" w:ascii="仿宋" w:hAnsi="仿宋" w:eastAsia="仿宋" w:cs="仿宋"/>
                <w:color w:val="auto"/>
                <w:kern w:val="0"/>
                <w:sz w:val="24"/>
                <w:szCs w:val="24"/>
                <w:highlight w:val="none"/>
                <w:lang w:eastAsia="zh-CN"/>
              </w:rPr>
              <w:t>评审委员会</w:t>
            </w:r>
            <w:r>
              <w:rPr>
                <w:rFonts w:hint="eastAsia" w:ascii="仿宋" w:hAnsi="仿宋" w:eastAsia="仿宋" w:cs="仿宋"/>
                <w:color w:val="auto"/>
                <w:kern w:val="0"/>
                <w:sz w:val="24"/>
                <w:szCs w:val="24"/>
                <w:highlight w:val="none"/>
              </w:rPr>
              <w:t>提问。</w:t>
            </w:r>
          </w:p>
          <w:p w14:paraId="33C53455">
            <w:pPr>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（2）方案讲解演示方式：现场讲解演示。现场讲解地点为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自备。现场讲解演示人员进场时提供讲解人员名单（加盖公章）及身份证明，否则不得讲解演示。</w:t>
            </w:r>
          </w:p>
          <w:p w14:paraId="6D877ACD">
            <w:pPr>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自身原因导致无法演示或者演示效果不理想的，责任自负。</w:t>
            </w:r>
          </w:p>
        </w:tc>
      </w:tr>
      <w:tr w14:paraId="5F3B9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F0EBC8F">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61BC6C1">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响应文件提交</w:t>
            </w:r>
          </w:p>
        </w:tc>
        <w:tc>
          <w:tcPr>
            <w:tcW w:w="6095" w:type="dxa"/>
            <w:tcBorders>
              <w:top w:val="single" w:color="000000" w:sz="8" w:space="0"/>
              <w:left w:val="single" w:color="000000" w:sz="2" w:space="0"/>
              <w:bottom w:val="single" w:color="000000" w:sz="8" w:space="0"/>
              <w:right w:val="single" w:color="000000" w:sz="8" w:space="0"/>
            </w:tcBorders>
            <w:vAlign w:val="center"/>
          </w:tcPr>
          <w:p w14:paraId="05D40E4D">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响应文件提交截止时间：202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lang w:val="en-US" w:eastAsia="zh-CN"/>
              </w:rPr>
              <w:t>9月18日9</w:t>
            </w:r>
            <w:r>
              <w:rPr>
                <w:rFonts w:hint="eastAsia" w:ascii="仿宋" w:hAnsi="仿宋" w:eastAsia="仿宋" w:cs="仿宋"/>
                <w:color w:val="auto"/>
                <w:kern w:val="0"/>
                <w:sz w:val="24"/>
                <w:szCs w:val="24"/>
                <w:highlight w:val="none"/>
                <w:lang w:eastAsia="zh-CN"/>
              </w:rPr>
              <w:t>点</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lang w:eastAsia="zh-CN"/>
              </w:rPr>
              <w:t>分　　　　　　　　　　　　　</w:t>
            </w:r>
          </w:p>
          <w:p w14:paraId="704C092F">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提交地点：政采云平台（https://www.zcygov.cn/）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eastAsia="zh-CN"/>
              </w:rPr>
              <w:t>　　　</w:t>
            </w:r>
          </w:p>
        </w:tc>
      </w:tr>
      <w:tr w14:paraId="77A94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8717E19">
            <w:pPr>
              <w:pageBreakBefore w:val="0"/>
              <w:widowControl w:val="0"/>
              <w:kinsoku/>
              <w:wordWrap/>
              <w:overflowPunct/>
              <w:topLinePunct w:val="0"/>
              <w:autoSpaceDE/>
              <w:autoSpaceDN/>
              <w:bidi w:val="0"/>
              <w:snapToGrid w:val="0"/>
              <w:spacing w:line="560" w:lineRule="exact"/>
              <w:jc w:val="both"/>
              <w:textAlignment w:val="auto"/>
              <w:rPr>
                <w:rFonts w:hint="eastAsia" w:ascii="仿宋" w:hAnsi="仿宋" w:eastAsia="仿宋" w:cs="仿宋"/>
                <w:color w:val="auto"/>
                <w:sz w:val="24"/>
                <w:szCs w:val="24"/>
                <w:highlight w:val="none"/>
              </w:rPr>
            </w:pPr>
          </w:p>
          <w:p w14:paraId="704A21FA">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E5B51">
            <w:pPr>
              <w:pageBreakBefore w:val="0"/>
              <w:widowControl w:val="0"/>
              <w:kinsoku/>
              <w:wordWrap/>
              <w:overflowPunct/>
              <w:topLinePunct w:val="0"/>
              <w:autoSpaceDE/>
              <w:autoSpaceDN/>
              <w:bidi w:val="0"/>
              <w:snapToGrid w:val="0"/>
              <w:spacing w:line="560" w:lineRule="exact"/>
              <w:jc w:val="center"/>
              <w:textAlignment w:val="auto"/>
              <w:rPr>
                <w:rFonts w:hint="default"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lang w:val="en-US" w:eastAsia="zh-CN"/>
              </w:rPr>
              <w:t>开启</w:t>
            </w:r>
          </w:p>
        </w:tc>
        <w:tc>
          <w:tcPr>
            <w:tcW w:w="6095" w:type="dxa"/>
            <w:tcBorders>
              <w:top w:val="single" w:color="000000" w:sz="8" w:space="0"/>
              <w:left w:val="single" w:color="000000" w:sz="2" w:space="0"/>
              <w:bottom w:val="single" w:color="000000" w:sz="8" w:space="0"/>
              <w:right w:val="single" w:color="000000" w:sz="8" w:space="0"/>
            </w:tcBorders>
            <w:vAlign w:val="center"/>
          </w:tcPr>
          <w:p w14:paraId="2135F1F2">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评审时间：202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lang w:val="en-US" w:eastAsia="zh-CN"/>
              </w:rPr>
              <w:t>9月18日9</w:t>
            </w:r>
            <w:r>
              <w:rPr>
                <w:rFonts w:hint="eastAsia" w:ascii="仿宋" w:hAnsi="仿宋" w:eastAsia="仿宋" w:cs="仿宋"/>
                <w:color w:val="auto"/>
                <w:kern w:val="0"/>
                <w:sz w:val="24"/>
                <w:szCs w:val="24"/>
                <w:highlight w:val="none"/>
                <w:lang w:eastAsia="zh-CN"/>
              </w:rPr>
              <w:t>点</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lang w:eastAsia="zh-CN"/>
              </w:rPr>
              <w:t>分　　　　　　    　</w:t>
            </w:r>
          </w:p>
          <w:p w14:paraId="749DD593">
            <w:pPr>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评审地点：政采云平台（https://www.zcygov.cn/）　　　　　    　　</w:t>
            </w:r>
          </w:p>
        </w:tc>
      </w:tr>
      <w:tr w14:paraId="2F31C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A754972">
            <w:pPr>
              <w:pageBreakBefore w:val="0"/>
              <w:widowControl w:val="0"/>
              <w:kinsoku/>
              <w:wordWrap/>
              <w:overflowPunct/>
              <w:topLinePunct w:val="0"/>
              <w:autoSpaceDE/>
              <w:autoSpaceDN/>
              <w:bidi w:val="0"/>
              <w:snapToGrid w:val="0"/>
              <w:spacing w:line="560" w:lineRule="exact"/>
              <w:jc w:val="both"/>
              <w:textAlignment w:val="auto"/>
              <w:rPr>
                <w:rFonts w:hint="eastAsia" w:ascii="仿宋" w:hAnsi="仿宋" w:eastAsia="仿宋" w:cs="仿宋"/>
                <w:color w:val="auto"/>
                <w:sz w:val="24"/>
                <w:szCs w:val="24"/>
                <w:highlight w:val="none"/>
              </w:rPr>
            </w:pPr>
          </w:p>
          <w:p w14:paraId="5E0ACF57">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0DB6A8">
            <w:pPr>
              <w:pageBreakBefore w:val="0"/>
              <w:widowControl w:val="0"/>
              <w:kinsoku/>
              <w:wordWrap/>
              <w:overflowPunct/>
              <w:topLinePunct w:val="0"/>
              <w:autoSpaceDE/>
              <w:autoSpaceDN/>
              <w:bidi w:val="0"/>
              <w:snapToGrid w:val="0"/>
              <w:spacing w:line="560" w:lineRule="exact"/>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72C04">
            <w:pPr>
              <w:pStyle w:val="722"/>
              <w:spacing w:line="300" w:lineRule="auto"/>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采购代理服务费金额：以标项成交金额为计算基数，按以下标准费率计算值收取，不足3000元，按3000元收取，费率标准如下：</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5DD3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943" w:type="dxa"/>
                  <w:vAlign w:val="center"/>
                </w:tcPr>
                <w:p w14:paraId="3F1743FA">
                  <w:pPr>
                    <w:pStyle w:val="722"/>
                    <w:spacing w:line="30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金额（万元）</w:t>
                  </w:r>
                </w:p>
              </w:tc>
              <w:tc>
                <w:tcPr>
                  <w:tcW w:w="2943" w:type="dxa"/>
                  <w:vAlign w:val="center"/>
                </w:tcPr>
                <w:p w14:paraId="1AD02A2D">
                  <w:pPr>
                    <w:pStyle w:val="722"/>
                    <w:spacing w:line="30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费率</w:t>
                  </w:r>
                </w:p>
              </w:tc>
            </w:tr>
            <w:tr w14:paraId="7135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EB39134">
                  <w:pPr>
                    <w:pStyle w:val="722"/>
                    <w:spacing w:line="30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100以下部分（含）</w:t>
                  </w:r>
                </w:p>
              </w:tc>
              <w:tc>
                <w:tcPr>
                  <w:tcW w:w="2943" w:type="dxa"/>
                  <w:vAlign w:val="center"/>
                </w:tcPr>
                <w:p w14:paraId="53601646">
                  <w:pPr>
                    <w:pStyle w:val="722"/>
                    <w:spacing w:line="30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r>
            <w:tr w14:paraId="7D36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4D918EF">
                  <w:pPr>
                    <w:pStyle w:val="722"/>
                    <w:spacing w:line="30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100~500之间部分</w:t>
                  </w:r>
                </w:p>
              </w:tc>
              <w:tc>
                <w:tcPr>
                  <w:tcW w:w="2943" w:type="dxa"/>
                  <w:vAlign w:val="center"/>
                </w:tcPr>
                <w:p w14:paraId="4585F515">
                  <w:pPr>
                    <w:pStyle w:val="722"/>
                    <w:spacing w:line="30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r>
          </w:tbl>
          <w:p w14:paraId="3D1D256B">
            <w:pPr>
              <w:pStyle w:val="722"/>
              <w:pageBreakBefore w:val="0"/>
              <w:kinsoku/>
              <w:wordWrap/>
              <w:overflowPunct/>
              <w:topLinePunct w:val="0"/>
              <w:autoSpaceDE/>
              <w:autoSpaceDN/>
              <w:bidi w:val="0"/>
              <w:spacing w:line="240" w:lineRule="auto"/>
              <w:ind w:left="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采购代理服务费交纳形式：汇票/支票/电汇</w:t>
            </w:r>
          </w:p>
          <w:p w14:paraId="67CF3247">
            <w:pPr>
              <w:pStyle w:val="5"/>
              <w:pageBreakBefore w:val="0"/>
              <w:widowControl w:val="0"/>
              <w:kinsoku/>
              <w:wordWrap/>
              <w:overflowPunct/>
              <w:topLinePunct w:val="0"/>
              <w:autoSpaceDE/>
              <w:autoSpaceDN/>
              <w:bidi w:val="0"/>
              <w:spacing w:line="240" w:lineRule="auto"/>
              <w:ind w:left="0" w:firstLine="482"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bidi="ar-SA"/>
              </w:rPr>
              <w:t>采购代理服务费由成交供应商在接到成交通知书时以人民币方式向采购代理机构支付。</w:t>
            </w:r>
          </w:p>
        </w:tc>
      </w:tr>
      <w:tr w14:paraId="0E60A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3618F5">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08A9C656">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8F3E30D">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B3BE2">
            <w:pPr>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EF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14:paraId="580BC7B5">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p>
          <w:p w14:paraId="2BE10701">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5FCCAE1F">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662AF5C7">
            <w:pPr>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w:t>
            </w:r>
            <w:r>
              <w:rPr>
                <w:rFonts w:hint="eastAsia" w:ascii="仿宋" w:hAnsi="仿宋" w:eastAsia="仿宋" w:cs="仿宋"/>
                <w:color w:val="auto"/>
                <w:kern w:val="0"/>
                <w:sz w:val="24"/>
                <w:szCs w:val="24"/>
                <w:highlight w:val="none"/>
                <w:lang w:eastAsia="zh-CN"/>
              </w:rPr>
              <w:t>检查</w:t>
            </w:r>
            <w:r>
              <w:rPr>
                <w:rFonts w:hint="eastAsia" w:ascii="仿宋" w:hAnsi="仿宋" w:eastAsia="仿宋" w:cs="仿宋"/>
                <w:color w:val="auto"/>
                <w:kern w:val="0"/>
                <w:sz w:val="24"/>
                <w:szCs w:val="24"/>
                <w:highlight w:val="none"/>
              </w:rPr>
              <w:t>和信用审查为基础，凭借政府采购合同，按优于一般中小企业的贷款利率直接向申请贷款的供应商发放贷款的一种融资方式。供应商可登陆浙江政府采购（http://www.zfcg.czt.zj.gov.cn/）中小企业信用融资栏目了解相关信息。</w:t>
            </w:r>
          </w:p>
        </w:tc>
      </w:tr>
      <w:tr w14:paraId="104D4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14:paraId="4391031A">
            <w:pPr>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14:paraId="5D0D36F5">
            <w:pPr>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6B3AD5">
            <w:pPr>
              <w:pageBreakBefore w:val="0"/>
              <w:widowControl w:val="0"/>
              <w:kinsoku/>
              <w:wordWrap/>
              <w:overflowPunct/>
              <w:topLinePunct w:val="0"/>
              <w:autoSpaceDE/>
              <w:autoSpaceDN/>
              <w:bidi w:val="0"/>
              <w:spacing w:line="560" w:lineRule="exact"/>
              <w:ind w:firstLine="480" w:firstLineChars="200"/>
              <w:textAlignment w:val="auto"/>
              <w:rPr>
                <w:rFonts w:hint="default"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w:t>
            </w:r>
            <w:r>
              <w:rPr>
                <w:rFonts w:hint="eastAsia" w:ascii="仿宋" w:hAnsi="仿宋" w:eastAsia="仿宋" w:cs="仿宋"/>
                <w:snapToGrid w:val="0"/>
                <w:color w:val="auto"/>
                <w:kern w:val="28"/>
                <w:sz w:val="24"/>
                <w:szCs w:val="24"/>
                <w:highlight w:val="none"/>
                <w:lang w:val="en-US" w:eastAsia="zh-CN"/>
              </w:rPr>
              <w:t>通过登录浙江政务网</w:t>
            </w:r>
            <w:r>
              <w:rPr>
                <w:rFonts w:hint="eastAsia" w:ascii="仿宋" w:hAnsi="仿宋" w:eastAsia="仿宋" w:cs="仿宋"/>
                <w:snapToGrid w:val="0"/>
                <w:color w:val="auto"/>
                <w:kern w:val="28"/>
                <w:sz w:val="24"/>
                <w:szCs w:val="24"/>
                <w:highlight w:val="none"/>
              </w:rPr>
              <w:t xml:space="preserve"> - </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lang w:val="en-US" w:eastAsia="zh-CN"/>
              </w:rPr>
              <w:t>衢融通</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lang w:val="en-US" w:eastAsia="zh-CN"/>
              </w:rPr>
              <w:t>平台</w:t>
            </w:r>
            <w:r>
              <w:rPr>
                <w:rFonts w:hint="eastAsia" w:ascii="仿宋" w:hAnsi="仿宋" w:eastAsia="仿宋" w:cs="仿宋"/>
                <w:snapToGrid w:val="0"/>
                <w:color w:val="auto"/>
                <w:kern w:val="28"/>
                <w:sz w:val="24"/>
                <w:szCs w:val="24"/>
                <w:highlight w:val="none"/>
              </w:rPr>
              <w:t xml:space="preserve"> -【</w:t>
            </w:r>
            <w:r>
              <w:rPr>
                <w:rFonts w:hint="eastAsia" w:ascii="仿宋" w:hAnsi="仿宋" w:eastAsia="仿宋" w:cs="仿宋"/>
                <w:snapToGrid w:val="0"/>
                <w:color w:val="auto"/>
                <w:kern w:val="28"/>
                <w:sz w:val="24"/>
                <w:szCs w:val="24"/>
                <w:highlight w:val="none"/>
                <w:lang w:val="en-US" w:eastAsia="zh-CN"/>
              </w:rPr>
              <w:t>采购质押融资申请</w:t>
            </w:r>
            <w:r>
              <w:rPr>
                <w:rFonts w:hint="eastAsia" w:ascii="仿宋" w:hAnsi="仿宋" w:eastAsia="仿宋" w:cs="仿宋"/>
                <w:snapToGrid w:val="0"/>
                <w:color w:val="auto"/>
                <w:kern w:val="28"/>
                <w:sz w:val="24"/>
                <w:szCs w:val="24"/>
                <w:highlight w:val="none"/>
              </w:rPr>
              <w:t>】</w:t>
            </w:r>
          </w:p>
        </w:tc>
      </w:tr>
      <w:tr w14:paraId="17469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0B90BFE">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BB781B">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C9BC8">
            <w:pPr>
              <w:pStyle w:val="35"/>
              <w:pageBreakBefore w:val="0"/>
              <w:widowControl w:val="0"/>
              <w:kinsoku/>
              <w:wordWrap/>
              <w:overflowPunct/>
              <w:topLinePunct w:val="0"/>
              <w:autoSpaceDE/>
              <w:autoSpaceDN/>
              <w:bidi w:val="0"/>
              <w:spacing w:line="560" w:lineRule="exact"/>
              <w:textAlignment w:val="auto"/>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送达</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邮寄</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rPr>
              <w:t>地点：</w:t>
            </w:r>
            <w:r>
              <w:rPr>
                <w:rFonts w:hint="eastAsia" w:ascii="仿宋" w:hAnsi="仿宋" w:eastAsia="仿宋" w:cs="仿宋"/>
                <w:color w:val="auto"/>
                <w:kern w:val="28"/>
                <w:sz w:val="24"/>
                <w:szCs w:val="24"/>
                <w:highlight w:val="none"/>
                <w:u w:val="single"/>
                <w:lang w:val="en-US" w:eastAsia="zh-CN"/>
              </w:rPr>
              <w:t>浙江省衢州市柯城区弈谷文体城二区3-1</w:t>
            </w: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签收人员联系电话：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符女士，18367087956</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eastAsia="zh-CN"/>
              </w:rPr>
              <w:t>招标采购人</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供应商在中标后须提供纸质版投标文件三份作资料备案用。</w:t>
            </w:r>
          </w:p>
        </w:tc>
      </w:tr>
      <w:tr w14:paraId="659B5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FA727F7">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96423F8">
            <w:pPr>
              <w:pageBreakBefore w:val="0"/>
              <w:widowControl w:val="0"/>
              <w:kinsoku/>
              <w:wordWrap/>
              <w:overflowPunct/>
              <w:topLinePunct w:val="0"/>
              <w:autoSpaceDE/>
              <w:autoSpaceDN/>
              <w:bidi w:val="0"/>
              <w:snapToGrid w:val="0"/>
              <w:spacing w:line="5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667E583">
            <w:pPr>
              <w:pageBreakBefore w:val="0"/>
              <w:widowControl w:val="0"/>
              <w:kinsoku/>
              <w:wordWrap/>
              <w:overflowPunct/>
              <w:topLinePunct w:val="0"/>
              <w:autoSpaceDE/>
              <w:autoSpaceDN/>
              <w:bidi w:val="0"/>
              <w:spacing w:line="56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无</w:t>
            </w:r>
            <w:r>
              <w:rPr>
                <w:rFonts w:hint="eastAsia" w:ascii="仿宋" w:hAnsi="仿宋" w:eastAsia="仿宋" w:cs="仿宋"/>
                <w:b/>
                <w:color w:val="auto"/>
                <w:kern w:val="0"/>
                <w:sz w:val="24"/>
                <w:szCs w:val="24"/>
                <w:highlight w:val="none"/>
              </w:rPr>
              <w:t>。</w:t>
            </w:r>
          </w:p>
        </w:tc>
      </w:tr>
    </w:tbl>
    <w:p w14:paraId="5FE089FB">
      <w:pPr>
        <w:snapToGrid w:val="0"/>
        <w:spacing w:line="360" w:lineRule="auto"/>
        <w:jc w:val="center"/>
        <w:rPr>
          <w:rFonts w:ascii="仿宋" w:hAnsi="仿宋" w:eastAsia="仿宋" w:cs="仿宋_GB2312"/>
          <w:b/>
          <w:color w:val="auto"/>
          <w:sz w:val="32"/>
          <w:szCs w:val="20"/>
          <w:highlight w:val="none"/>
        </w:rPr>
      </w:pPr>
    </w:p>
    <w:bookmarkEnd w:id="8"/>
    <w:p w14:paraId="7F49D13E">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9" w:name="第三部分"/>
      <w:bookmarkStart w:id="10" w:name="_Toc164416483"/>
      <w:r>
        <w:rPr>
          <w:rFonts w:hint="eastAsia" w:ascii="仿宋_GB2312" w:hAnsi="仿宋" w:eastAsia="仿宋_GB2312" w:cs="仿宋_GB2312"/>
          <w:b/>
          <w:color w:val="auto"/>
          <w:sz w:val="32"/>
          <w:szCs w:val="20"/>
          <w:highlight w:val="none"/>
        </w:rPr>
        <w:t>一、总则</w:t>
      </w:r>
    </w:p>
    <w:p w14:paraId="720AAB27">
      <w:pPr>
        <w:keepNext w:val="0"/>
        <w:keepLines w:val="0"/>
        <w:pageBreakBefore w:val="0"/>
        <w:kinsoku/>
        <w:wordWrap/>
        <w:overflowPunct/>
        <w:topLinePunct w:val="0"/>
        <w:bidi w:val="0"/>
        <w:snapToGrid w:val="0"/>
        <w:spacing w:beforeAutospacing="0" w:line="560" w:lineRule="exact"/>
        <w:ind w:left="0" w:leftChars="0" w:right="0" w:firstLine="422" w:firstLineChars="150"/>
        <w:jc w:val="left"/>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 适用范围</w:t>
      </w:r>
    </w:p>
    <w:p w14:paraId="56EEFEE6">
      <w:pPr>
        <w:keepNext w:val="0"/>
        <w:keepLines w:val="0"/>
        <w:pageBreakBefore w:val="0"/>
        <w:kinsoku/>
        <w:wordWrap/>
        <w:overflowPunct/>
        <w:topLinePunct w:val="0"/>
        <w:bidi w:val="0"/>
        <w:snapToGrid w:val="0"/>
        <w:spacing w:beforeAutospacing="0" w:line="560" w:lineRule="exact"/>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适用于该项目的招标、投标、开标、资格审查及信用信息查询、评标、定标、合同、验收等行为（法律、法规另有规定的，从其规定）。</w:t>
      </w:r>
    </w:p>
    <w:p w14:paraId="14F27432">
      <w:pPr>
        <w:keepNext w:val="0"/>
        <w:keepLines w:val="0"/>
        <w:pageBreakBefore w:val="0"/>
        <w:kinsoku/>
        <w:wordWrap/>
        <w:overflowPunct/>
        <w:topLinePunct w:val="0"/>
        <w:bidi w:val="0"/>
        <w:adjustRightInd/>
        <w:spacing w:beforeAutospacing="0" w:line="560" w:lineRule="exact"/>
        <w:ind w:left="0" w:leftChars="0" w:right="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2.定义</w:t>
      </w:r>
    </w:p>
    <w:p w14:paraId="4B31FB6D">
      <w:pPr>
        <w:pStyle w:val="2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2.1“采购代理机构”是指</w:t>
      </w:r>
      <w:r>
        <w:rPr>
          <w:rFonts w:hint="eastAsia" w:ascii="仿宋" w:hAnsi="仿宋" w:eastAsia="仿宋" w:cs="仿宋"/>
          <w:color w:val="auto"/>
          <w:sz w:val="28"/>
          <w:szCs w:val="28"/>
          <w:highlight w:val="none"/>
          <w:lang w:eastAsia="zh-CN"/>
        </w:rPr>
        <w:t>衢州艾凌项目管理咨询有限公司</w:t>
      </w:r>
      <w:r>
        <w:rPr>
          <w:rFonts w:hint="eastAsia" w:ascii="仿宋" w:hAnsi="仿宋" w:eastAsia="仿宋" w:cs="仿宋"/>
          <w:color w:val="auto"/>
          <w:sz w:val="28"/>
          <w:szCs w:val="28"/>
          <w:highlight w:val="none"/>
        </w:rPr>
        <w:t>。</w:t>
      </w:r>
    </w:p>
    <w:p w14:paraId="5DF8EE84">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2.2“采购人”是指</w:t>
      </w:r>
      <w:r>
        <w:rPr>
          <w:rFonts w:hint="eastAsia" w:ascii="仿宋" w:hAnsi="仿宋" w:eastAsia="仿宋" w:cs="仿宋"/>
          <w:color w:val="auto"/>
          <w:kern w:val="0"/>
          <w:sz w:val="28"/>
          <w:szCs w:val="28"/>
          <w:highlight w:val="none"/>
          <w:lang w:eastAsia="zh-CN"/>
        </w:rPr>
        <w:t>衢州市发展和改革委员会</w:t>
      </w:r>
      <w:r>
        <w:rPr>
          <w:rFonts w:hint="eastAsia" w:ascii="仿宋" w:hAnsi="仿宋" w:eastAsia="仿宋" w:cs="仿宋"/>
          <w:color w:val="auto"/>
          <w:sz w:val="28"/>
          <w:szCs w:val="28"/>
          <w:highlight w:val="none"/>
        </w:rPr>
        <w:t>。</w:t>
      </w:r>
    </w:p>
    <w:p w14:paraId="69589008">
      <w:pPr>
        <w:pStyle w:val="2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2.3“采购项目”是指本采购文件所要求的</w:t>
      </w:r>
      <w:r>
        <w:rPr>
          <w:rFonts w:hint="eastAsia" w:ascii="仿宋" w:hAnsi="仿宋" w:eastAsia="仿宋" w:cs="仿宋"/>
          <w:color w:val="auto"/>
          <w:sz w:val="28"/>
          <w:szCs w:val="28"/>
          <w:highlight w:val="none"/>
          <w:lang w:eastAsia="zh-CN"/>
        </w:rPr>
        <w:t>2024-2025年度衢州市级优化用电营商环境综合保险服务项目</w:t>
      </w:r>
      <w:r>
        <w:rPr>
          <w:rFonts w:hint="eastAsia" w:ascii="仿宋" w:hAnsi="仿宋" w:eastAsia="仿宋" w:cs="仿宋"/>
          <w:color w:val="auto"/>
          <w:sz w:val="28"/>
          <w:szCs w:val="28"/>
          <w:highlight w:val="none"/>
        </w:rPr>
        <w:t>。</w:t>
      </w:r>
    </w:p>
    <w:p w14:paraId="0F14BACC">
      <w:pPr>
        <w:pStyle w:val="2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2.4“供应商”是指获得采购文件并向采购代理机构提交响应文件的供应商。</w:t>
      </w:r>
    </w:p>
    <w:p w14:paraId="390BB544">
      <w:pPr>
        <w:pStyle w:val="2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2.5“潜在供应商”是指符合采购文件规定的合格供应商。</w:t>
      </w:r>
    </w:p>
    <w:p w14:paraId="14AB4319">
      <w:pPr>
        <w:pStyle w:val="2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 “</w:t>
      </w:r>
      <w:r>
        <w:rPr>
          <w:rFonts w:hint="eastAsia" w:ascii="仿宋" w:hAnsi="仿宋" w:eastAsia="仿宋" w:cs="仿宋"/>
          <w:color w:val="auto"/>
          <w:sz w:val="28"/>
          <w:szCs w:val="28"/>
          <w:highlight w:val="none"/>
          <w:lang w:eastAsia="zh-CN"/>
        </w:rPr>
        <w:t>成交供应商</w:t>
      </w:r>
      <w:r>
        <w:rPr>
          <w:rFonts w:hint="eastAsia" w:ascii="仿宋" w:hAnsi="仿宋" w:eastAsia="仿宋" w:cs="仿宋"/>
          <w:color w:val="auto"/>
          <w:sz w:val="28"/>
          <w:szCs w:val="28"/>
          <w:highlight w:val="none"/>
        </w:rPr>
        <w:t>”是指经评标小组审查通过，并经公示无异议的供应商。</w:t>
      </w:r>
    </w:p>
    <w:p w14:paraId="0A8A8BE3">
      <w:pPr>
        <w:pStyle w:val="2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2.7“供应商代表”是指供应商法定代表人或被供应商法定代表人授权委托的人。</w:t>
      </w:r>
    </w:p>
    <w:p w14:paraId="4564E07C">
      <w:pPr>
        <w:pStyle w:val="2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2.8“招标采购人”是指采购代理机构及采购人。</w:t>
      </w:r>
    </w:p>
    <w:p w14:paraId="6D721D23">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D56880">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“电子交易平台”是指本项目政府采购活动所依托的政府采购云平台（https://www.zcygov.cn/）。</w:t>
      </w:r>
    </w:p>
    <w:p w14:paraId="4B3D5AF4">
      <w:pPr>
        <w:keepNext w:val="0"/>
        <w:keepLines w:val="0"/>
        <w:pageBreakBefore w:val="0"/>
        <w:kinsoku/>
        <w:wordWrap/>
        <w:overflowPunct/>
        <w:topLinePunct w:val="0"/>
        <w:bidi w:val="0"/>
        <w:spacing w:beforeAutospacing="0" w:line="560" w:lineRule="exact"/>
        <w:ind w:left="0" w:leftChars="0" w:right="0" w:firstLine="281" w:firstLineChars="1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采购项目需要落实的政府采购政策</w:t>
      </w:r>
    </w:p>
    <w:p w14:paraId="79C694FB">
      <w:pPr>
        <w:keepNext w:val="0"/>
        <w:keepLines w:val="0"/>
        <w:pageBreakBefore w:val="0"/>
        <w:kinsoku/>
        <w:wordWrap/>
        <w:overflowPunct/>
        <w:topLinePunct w:val="0"/>
        <w:bidi w:val="0"/>
        <w:spacing w:beforeAutospacing="0" w:line="560" w:lineRule="exact"/>
        <w:ind w:left="0" w:leftChars="0" w:right="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color w:val="auto"/>
          <w:sz w:val="28"/>
          <w:szCs w:val="28"/>
          <w:highlight w:val="none"/>
          <w:lang w:eastAsia="zh-CN"/>
        </w:rPr>
        <w:t>招标采购人</w:t>
      </w:r>
      <w:r>
        <w:rPr>
          <w:rFonts w:hint="eastAsia" w:ascii="仿宋" w:hAnsi="仿宋" w:eastAsia="仿宋" w:cs="仿宋"/>
          <w:color w:val="auto"/>
          <w:sz w:val="28"/>
          <w:szCs w:val="28"/>
          <w:highlight w:val="none"/>
        </w:rPr>
        <w:t>不会对其加以限制，仍将按照公平竞争原则实施采购）。</w:t>
      </w:r>
    </w:p>
    <w:p w14:paraId="56424C35">
      <w:pPr>
        <w:keepNext w:val="0"/>
        <w:keepLines w:val="0"/>
        <w:pageBreakBefore w:val="0"/>
        <w:kinsoku/>
        <w:wordWrap/>
        <w:overflowPunct/>
        <w:topLinePunct w:val="0"/>
        <w:bidi w:val="0"/>
        <w:spacing w:beforeAutospacing="0" w:line="560" w:lineRule="exact"/>
        <w:ind w:left="0" w:leftChars="0" w:right="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支持绿色发展</w:t>
      </w:r>
    </w:p>
    <w:p w14:paraId="0D2887C2">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须按</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要求提供相关产品认证证书。▲</w:t>
      </w:r>
      <w:r>
        <w:rPr>
          <w:rFonts w:hint="eastAsia" w:ascii="仿宋" w:hAnsi="仿宋" w:eastAsia="仿宋" w:cs="仿宋"/>
          <w:b/>
          <w:color w:val="auto"/>
          <w:sz w:val="28"/>
          <w:szCs w:val="28"/>
          <w:highlight w:val="none"/>
        </w:rPr>
        <w:t>采购人拟采购的产品属于政府强制采购的节能产品品目清单范围的，</w:t>
      </w:r>
      <w:r>
        <w:rPr>
          <w:rFonts w:hint="eastAsia" w:ascii="仿宋" w:hAnsi="仿宋" w:eastAsia="仿宋" w:cs="仿宋"/>
          <w:b/>
          <w:color w:val="auto"/>
          <w:sz w:val="28"/>
          <w:szCs w:val="28"/>
          <w:highlight w:val="none"/>
          <w:lang w:eastAsia="zh-CN"/>
        </w:rPr>
        <w:t>供应商</w:t>
      </w:r>
      <w:r>
        <w:rPr>
          <w:rFonts w:hint="eastAsia" w:ascii="仿宋" w:hAnsi="仿宋" w:eastAsia="仿宋" w:cs="仿宋"/>
          <w:b/>
          <w:color w:val="auto"/>
          <w:sz w:val="28"/>
          <w:szCs w:val="28"/>
          <w:highlight w:val="none"/>
        </w:rPr>
        <w:t>未按</w:t>
      </w:r>
      <w:r>
        <w:rPr>
          <w:rFonts w:hint="eastAsia" w:ascii="仿宋" w:hAnsi="仿宋" w:eastAsia="仿宋" w:cs="仿宋"/>
          <w:b/>
          <w:color w:val="auto"/>
          <w:sz w:val="28"/>
          <w:szCs w:val="28"/>
          <w:highlight w:val="none"/>
          <w:lang w:eastAsia="zh-CN"/>
        </w:rPr>
        <w:t>采购文件</w:t>
      </w:r>
      <w:r>
        <w:rPr>
          <w:rFonts w:hint="eastAsia" w:ascii="仿宋" w:hAnsi="仿宋" w:eastAsia="仿宋" w:cs="仿宋"/>
          <w:b/>
          <w:color w:val="auto"/>
          <w:sz w:val="28"/>
          <w:szCs w:val="28"/>
          <w:highlight w:val="none"/>
        </w:rPr>
        <w:t>要求提供国家确定的认证机构出具的、处于有效期之内的节能产品认证证书的，投标无效。</w:t>
      </w:r>
    </w:p>
    <w:p w14:paraId="3430CB50">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 修缮、装修类项目采购建材的，采购人应将绿色建筑和绿色建材性能、指标等作为实质性条件纳入</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和合同。</w:t>
      </w:r>
    </w:p>
    <w:p w14:paraId="55A1E766">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B03920">
      <w:pPr>
        <w:keepNext w:val="0"/>
        <w:keepLines w:val="0"/>
        <w:pageBreakBefore w:val="0"/>
        <w:kinsoku/>
        <w:wordWrap/>
        <w:overflowPunct/>
        <w:topLinePunct w:val="0"/>
        <w:bidi w:val="0"/>
        <w:spacing w:beforeAutospacing="0" w:line="560" w:lineRule="exact"/>
        <w:ind w:left="0" w:leftChars="0" w:right="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3.3支持中小企业发展</w:t>
      </w:r>
    </w:p>
    <w:p w14:paraId="41F6CED3">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E30F80">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符合中小企业划分标准的个体工商户，在政府采购活动中视同中小企业。</w:t>
      </w:r>
    </w:p>
    <w:p w14:paraId="099BF490">
      <w:pPr>
        <w:keepNext w:val="0"/>
        <w:keepLines w:val="0"/>
        <w:pageBreakBefore w:val="0"/>
        <w:widowControl/>
        <w:kinsoku/>
        <w:wordWrap/>
        <w:overflowPunct/>
        <w:topLinePunct w:val="0"/>
        <w:bidi w:val="0"/>
        <w:spacing w:beforeAutospacing="0" w:line="560" w:lineRule="exact"/>
        <w:ind w:left="0" w:leftChars="0" w:righ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bCs/>
          <w:color w:val="auto"/>
          <w:sz w:val="28"/>
          <w:szCs w:val="28"/>
          <w:highlight w:val="none"/>
        </w:rPr>
        <w:t>3.3.2</w:t>
      </w:r>
      <w:r>
        <w:rPr>
          <w:rFonts w:hint="eastAsia" w:ascii="仿宋" w:hAnsi="仿宋" w:eastAsia="仿宋" w:cs="仿宋"/>
          <w:color w:val="auto"/>
          <w:kern w:val="0"/>
          <w:sz w:val="28"/>
          <w:szCs w:val="28"/>
          <w:highlight w:val="none"/>
        </w:rPr>
        <w:t>在政府采购活动中，</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提供的货物、工程或者服务符合下列情形的，享受中小企业扶持政策：</w:t>
      </w:r>
    </w:p>
    <w:p w14:paraId="7975A08C">
      <w:pPr>
        <w:keepNext w:val="0"/>
        <w:keepLines w:val="0"/>
        <w:pageBreakBefore w:val="0"/>
        <w:widowControl/>
        <w:kinsoku/>
        <w:wordWrap/>
        <w:overflowPunct/>
        <w:topLinePunct w:val="0"/>
        <w:bidi w:val="0"/>
        <w:spacing w:beforeAutospacing="0" w:line="560" w:lineRule="exact"/>
        <w:ind w:left="0" w:leftChars="0" w:righ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3.3.2.1在货物采购项目中，货物由中小企业制造，即货物由中小企业生产且使用该中小企业商号或者注册商标；</w:t>
      </w:r>
    </w:p>
    <w:p w14:paraId="53FB6B12">
      <w:pPr>
        <w:keepNext w:val="0"/>
        <w:keepLines w:val="0"/>
        <w:pageBreakBefore w:val="0"/>
        <w:widowControl/>
        <w:kinsoku/>
        <w:wordWrap/>
        <w:overflowPunct/>
        <w:topLinePunct w:val="0"/>
        <w:bidi w:val="0"/>
        <w:spacing w:beforeAutospacing="0" w:line="560" w:lineRule="exact"/>
        <w:ind w:left="0" w:leftChars="0" w:righ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3.3.2.2在工程采购项目中，工程由中小企业承建，即工程施工单位为中小企业；</w:t>
      </w:r>
    </w:p>
    <w:p w14:paraId="34D0D5F2">
      <w:pPr>
        <w:keepNext w:val="0"/>
        <w:keepLines w:val="0"/>
        <w:pageBreakBefore w:val="0"/>
        <w:widowControl/>
        <w:kinsoku/>
        <w:wordWrap/>
        <w:overflowPunct/>
        <w:topLinePunct w:val="0"/>
        <w:bidi w:val="0"/>
        <w:spacing w:beforeAutospacing="0" w:line="560" w:lineRule="exact"/>
        <w:ind w:left="0" w:leftChars="0" w:righ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3.3.2.3在服务采购项目中，服务由中小企业承接，即提供服务的人员为中小企业依照《中华人民共和国劳动合同法》订立劳动合同的从业人员。</w:t>
      </w:r>
    </w:p>
    <w:p w14:paraId="111B3FF2">
      <w:pPr>
        <w:keepNext w:val="0"/>
        <w:keepLines w:val="0"/>
        <w:pageBreakBefore w:val="0"/>
        <w:widowControl/>
        <w:kinsoku/>
        <w:wordWrap/>
        <w:overflowPunct/>
        <w:topLinePunct w:val="0"/>
        <w:bidi w:val="0"/>
        <w:spacing w:beforeAutospacing="0" w:line="560" w:lineRule="exact"/>
        <w:ind w:left="0" w:leftChars="0" w:righ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在货物采购项目中，</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提供的货物既有中小企业制造货物，也有大型企业制造货物的，不享受中小企业扶持政策。</w:t>
      </w:r>
    </w:p>
    <w:p w14:paraId="790421DE">
      <w:pPr>
        <w:keepNext w:val="0"/>
        <w:keepLines w:val="0"/>
        <w:pageBreakBefore w:val="0"/>
        <w:widowControl/>
        <w:kinsoku/>
        <w:wordWrap/>
        <w:overflowPunct/>
        <w:topLinePunct w:val="0"/>
        <w:bidi w:val="0"/>
        <w:spacing w:beforeAutospacing="0" w:line="560" w:lineRule="exact"/>
        <w:ind w:left="0" w:leftChars="0" w:righ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以联合体形式参加政府采购活动，联合体各方均为中小企业的，联合体视同中小企业。其中，联合体各方均为小微企业的，联合体视同小微企业。</w:t>
      </w:r>
    </w:p>
    <w:p w14:paraId="69B9274C">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8"/>
          <w:szCs w:val="28"/>
          <w:highlight w:val="none"/>
          <w:lang w:val="en-US" w:eastAsia="zh-CN"/>
        </w:rPr>
        <w:t>1</w:t>
      </w:r>
      <w:bookmarkStart w:id="419" w:name="_GoBack"/>
      <w:bookmarkEnd w:id="419"/>
      <w:r>
        <w:rPr>
          <w:rFonts w:hint="eastAsia" w:ascii="仿宋" w:hAnsi="仿宋" w:eastAsia="仿宋" w:cs="仿宋"/>
          <w:color w:val="auto"/>
          <w:sz w:val="28"/>
          <w:szCs w:val="28"/>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4C00D41">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3.3.4符合《关于促进残疾人就业政府采购政策的通知》（财库〔2017〕141号）规定的条件并提供《残疾人福利性单位声明函》（附件1）的残疾人福利性单位视同小型、微型企业；</w:t>
      </w:r>
    </w:p>
    <w:p w14:paraId="3740A9F8">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2D661B">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3.3.6可享受中小企业扶持政策的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应按照</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格式要求提供《中小企业声明函》，</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提供的《中小企业声明函》与实际情况不符的，不享受中小企业扶持政策。声明内容不实的，属于提供虚假材料谋取中标、成交的，依法承担法律责任。</w:t>
      </w:r>
    </w:p>
    <w:p w14:paraId="51F942A5">
      <w:pPr>
        <w:keepNext w:val="0"/>
        <w:keepLines w:val="0"/>
        <w:pageBreakBefore w:val="0"/>
        <w:kinsoku/>
        <w:wordWrap/>
        <w:overflowPunct/>
        <w:topLinePunct w:val="0"/>
        <w:bidi w:val="0"/>
        <w:spacing w:beforeAutospacing="0" w:line="560" w:lineRule="exact"/>
        <w:ind w:left="0" w:leftChars="0" w:right="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3.3.7中小企业享受扶持政策获得政府采购合同的，小微企业不得将合同分包给大中型企业，中型企业不得将合同分包给大型企业。</w:t>
      </w:r>
    </w:p>
    <w:p w14:paraId="7F36904D">
      <w:pPr>
        <w:keepNext w:val="0"/>
        <w:keepLines w:val="0"/>
        <w:pageBreakBefore w:val="0"/>
        <w:kinsoku/>
        <w:wordWrap/>
        <w:overflowPunct/>
        <w:topLinePunct w:val="0"/>
        <w:bidi w:val="0"/>
        <w:spacing w:beforeAutospacing="0" w:line="560" w:lineRule="exact"/>
        <w:ind w:left="0" w:leftChars="0" w:right="0" w:firstLine="280" w:firstLineChars="1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3.3.8 《浙江省财政厅关于进一步发挥政府采购政策功能全力推动经济稳进提质的通知》 （浙财采监（2022）3号）、《浙江省财政厅关于进一步促进政府采购公平竞争打造最优营商环境的通知》（浙财采监（2021）22号）</w:t>
      </w:r>
    </w:p>
    <w:p w14:paraId="473B48CF">
      <w:pPr>
        <w:keepNext w:val="0"/>
        <w:keepLines w:val="0"/>
        <w:pageBreakBefore w:val="0"/>
        <w:kinsoku/>
        <w:wordWrap/>
        <w:overflowPunct/>
        <w:topLinePunct w:val="0"/>
        <w:bidi w:val="0"/>
        <w:spacing w:beforeAutospacing="0" w:line="560" w:lineRule="exact"/>
        <w:ind w:left="0" w:leftChars="0" w:right="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w:t>
      </w:r>
      <w:r>
        <w:rPr>
          <w:rFonts w:hint="eastAsia" w:ascii="仿宋" w:hAnsi="仿宋" w:eastAsia="仿宋" w:cs="仿宋"/>
          <w:bCs/>
          <w:color w:val="auto"/>
          <w:sz w:val="28"/>
          <w:szCs w:val="28"/>
          <w:highlight w:val="none"/>
        </w:rPr>
        <w:t>支持创新发展</w:t>
      </w:r>
    </w:p>
    <w:p w14:paraId="717F6D9C">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采购人优先采购被认定为首台套产品和“制造精品”的自主创新产品。</w:t>
      </w:r>
    </w:p>
    <w:p w14:paraId="650A8106">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A45CCE1">
      <w:pPr>
        <w:keepNext w:val="0"/>
        <w:keepLines w:val="0"/>
        <w:pageBreakBefore w:val="0"/>
        <w:kinsoku/>
        <w:wordWrap/>
        <w:overflowPunct/>
        <w:topLinePunct w:val="0"/>
        <w:bidi w:val="0"/>
        <w:spacing w:beforeAutospacing="0" w:line="560" w:lineRule="exact"/>
        <w:ind w:left="0" w:leftChars="0" w:right="0" w:firstLine="280" w:firstLineChars="1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3.5中小企业信用融资：为支持和促进中小企业发展，进一步发挥政府采购政策功能，</w:t>
      </w:r>
      <w:r>
        <w:rPr>
          <w:rFonts w:hint="eastAsia" w:ascii="仿宋" w:hAnsi="仿宋" w:eastAsia="仿宋" w:cs="仿宋"/>
          <w:color w:val="auto"/>
          <w:sz w:val="28"/>
          <w:szCs w:val="28"/>
          <w:highlight w:val="none"/>
          <w:lang w:val="en-US" w:eastAsia="zh-CN"/>
        </w:rPr>
        <w:t>衢州</w:t>
      </w:r>
      <w:r>
        <w:rPr>
          <w:rFonts w:hint="eastAsia" w:ascii="仿宋" w:hAnsi="仿宋" w:eastAsia="仿宋" w:cs="仿宋"/>
          <w:color w:val="auto"/>
          <w:sz w:val="28"/>
          <w:szCs w:val="28"/>
          <w:highlight w:val="none"/>
        </w:rPr>
        <w:t>市财政局</w:t>
      </w:r>
      <w:r>
        <w:rPr>
          <w:rFonts w:hint="eastAsia" w:ascii="仿宋" w:hAnsi="仿宋" w:eastAsia="仿宋" w:cs="仿宋"/>
          <w:color w:val="auto"/>
          <w:sz w:val="28"/>
          <w:szCs w:val="28"/>
          <w:highlight w:val="none"/>
          <w:lang w:val="en-US" w:eastAsia="zh-CN"/>
        </w:rPr>
        <w:t>发布</w:t>
      </w:r>
      <w:r>
        <w:rPr>
          <w:rFonts w:hint="eastAsia" w:ascii="仿宋" w:hAnsi="仿宋" w:eastAsia="仿宋" w:cs="仿宋"/>
          <w:color w:val="auto"/>
          <w:sz w:val="28"/>
          <w:szCs w:val="28"/>
          <w:highlight w:val="none"/>
        </w:rPr>
        <w:t>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衢州市财政局转发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浙江省财政厅关于进一步发挥政府采购政策工程权利推动经济稳进提质的通知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的通知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，供应商若有融资意向，</w:t>
      </w:r>
      <w:r>
        <w:rPr>
          <w:rFonts w:hint="eastAsia" w:ascii="仿宋" w:hAnsi="仿宋" w:eastAsia="仿宋" w:cs="仿宋"/>
          <w:color w:val="auto"/>
          <w:sz w:val="28"/>
          <w:szCs w:val="28"/>
          <w:highlight w:val="none"/>
          <w:lang w:val="en-US" w:eastAsia="zh-CN"/>
        </w:rPr>
        <w:t>可通过“浙江政务网”登录到“衢融通”平台，发起政府采购质押融资申请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cr/>
      </w:r>
      <w:r>
        <w:rPr>
          <w:rFonts w:hint="eastAsia" w:ascii="仿宋" w:hAnsi="仿宋" w:eastAsia="仿宋" w:cs="仿宋"/>
          <w:b/>
          <w:color w:val="auto"/>
          <w:sz w:val="28"/>
          <w:szCs w:val="28"/>
          <w:highlight w:val="none"/>
        </w:rPr>
        <w:t>4. 询问、质疑、投诉</w:t>
      </w:r>
    </w:p>
    <w:p w14:paraId="654CE89E">
      <w:pPr>
        <w:keepNext w:val="0"/>
        <w:keepLines w:val="0"/>
        <w:pageBreakBefore w:val="0"/>
        <w:kinsoku/>
        <w:wordWrap/>
        <w:overflowPunct/>
        <w:topLinePunct w:val="0"/>
        <w:autoSpaceDE w:val="0"/>
        <w:autoSpaceDN w:val="0"/>
        <w:bidi w:val="0"/>
        <w:spacing w:beforeAutospacing="0" w:line="560" w:lineRule="exact"/>
        <w:ind w:left="0" w:leftChars="0" w:right="0" w:firstLine="280" w:firstLineChars="1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4.1供应商询问</w:t>
      </w:r>
    </w:p>
    <w:p w14:paraId="38FFEF21">
      <w:pPr>
        <w:keepNext w:val="0"/>
        <w:keepLines w:val="0"/>
        <w:pageBreakBefore w:val="0"/>
        <w:kinsoku/>
        <w:wordWrap/>
        <w:overflowPunct/>
        <w:topLinePunct w:val="0"/>
        <w:autoSpaceDE w:val="0"/>
        <w:autoSpaceDN w:val="0"/>
        <w:bidi w:val="0"/>
        <w:spacing w:beforeAutospacing="0" w:line="560" w:lineRule="exact"/>
        <w:ind w:left="0" w:leftChars="0" w:right="0"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供应商对政府采购活动事项有疑问的，可以提出询问，招标采购人应当在3个工作日内对供应商依法提出的询问作出答复，但答复的内容不得涉及商业秘密。供应商提出的询问超出采购人对采购代理机构委托授权范围的，采购代理机构应当告知供应商向采购人提出。</w:t>
      </w:r>
    </w:p>
    <w:p w14:paraId="53496E99">
      <w:pPr>
        <w:keepNext w:val="0"/>
        <w:keepLines w:val="0"/>
        <w:pageBreakBefore w:val="0"/>
        <w:kinsoku/>
        <w:wordWrap/>
        <w:overflowPunct/>
        <w:topLinePunct w:val="0"/>
        <w:autoSpaceDE w:val="0"/>
        <w:autoSpaceDN w:val="0"/>
        <w:bidi w:val="0"/>
        <w:spacing w:beforeAutospacing="0" w:line="560" w:lineRule="exact"/>
        <w:ind w:left="0" w:leftChars="0" w:right="0" w:firstLine="280" w:firstLineChars="1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4.2供应商质疑</w:t>
      </w:r>
    </w:p>
    <w:p w14:paraId="6D751692">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4.2</w:t>
      </w:r>
      <w:r>
        <w:rPr>
          <w:rFonts w:hint="eastAsia" w:ascii="仿宋" w:hAnsi="仿宋" w:eastAsia="仿宋" w:cs="仿宋"/>
          <w:color w:val="auto"/>
          <w:sz w:val="28"/>
          <w:szCs w:val="28"/>
          <w:highlight w:val="none"/>
        </w:rPr>
        <w:t>.1提出质疑的供应商应当是参与所质疑项目采购活动的供应商。潜在供应商已依法获取其可质疑的</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的，可以对该文件提出质疑。</w:t>
      </w:r>
    </w:p>
    <w:p w14:paraId="7BB1DF05">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4.2</w:t>
      </w:r>
      <w:r>
        <w:rPr>
          <w:rFonts w:hint="eastAsia" w:ascii="仿宋" w:hAnsi="仿宋" w:eastAsia="仿宋" w:cs="仿宋"/>
          <w:color w:val="auto"/>
          <w:sz w:val="28"/>
          <w:szCs w:val="28"/>
          <w:highlight w:val="none"/>
        </w:rPr>
        <w:t>.2供应商认为</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、采购过程和中标结果使自己的权益受到损害的，可以在知道或者应知其权益受到损害之日起七个工作日内，以书面形式向</w:t>
      </w:r>
      <w:r>
        <w:rPr>
          <w:rFonts w:hint="eastAsia" w:ascii="仿宋" w:hAnsi="仿宋" w:eastAsia="仿宋" w:cs="仿宋"/>
          <w:color w:val="auto"/>
          <w:sz w:val="28"/>
          <w:szCs w:val="28"/>
          <w:highlight w:val="none"/>
          <w:lang w:eastAsia="zh-CN"/>
        </w:rPr>
        <w:t>招标采购人</w:t>
      </w:r>
      <w:r>
        <w:rPr>
          <w:rFonts w:hint="eastAsia" w:ascii="仿宋" w:hAnsi="仿宋" w:eastAsia="仿宋" w:cs="仿宋"/>
          <w:color w:val="auto"/>
          <w:sz w:val="28"/>
          <w:szCs w:val="28"/>
          <w:highlight w:val="none"/>
        </w:rPr>
        <w:t>提出质疑，否则，</w:t>
      </w:r>
      <w:r>
        <w:rPr>
          <w:rFonts w:hint="eastAsia" w:ascii="仿宋" w:hAnsi="仿宋" w:eastAsia="仿宋" w:cs="仿宋"/>
          <w:color w:val="auto"/>
          <w:sz w:val="28"/>
          <w:szCs w:val="28"/>
          <w:highlight w:val="none"/>
          <w:lang w:eastAsia="zh-CN"/>
        </w:rPr>
        <w:t>招标采购人</w:t>
      </w:r>
      <w:r>
        <w:rPr>
          <w:rFonts w:hint="eastAsia" w:ascii="仿宋" w:hAnsi="仿宋" w:eastAsia="仿宋" w:cs="仿宋"/>
          <w:color w:val="auto"/>
          <w:sz w:val="28"/>
          <w:szCs w:val="28"/>
          <w:highlight w:val="none"/>
        </w:rPr>
        <w:t>不予受理：</w:t>
      </w:r>
    </w:p>
    <w:p w14:paraId="602A133C">
      <w:pPr>
        <w:pStyle w:val="7"/>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4.2.2.1对</w:t>
      </w:r>
      <w:r>
        <w:rPr>
          <w:rFonts w:hint="eastAsia" w:ascii="仿宋" w:hAnsi="仿宋" w:eastAsia="仿宋" w:cs="仿宋"/>
          <w:snapToGrid/>
          <w:color w:val="auto"/>
          <w:kern w:val="2"/>
          <w:sz w:val="28"/>
          <w:szCs w:val="28"/>
          <w:highlight w:val="none"/>
          <w:lang w:eastAsia="zh-CN"/>
        </w:rPr>
        <w:t>采购文件</w:t>
      </w:r>
      <w:r>
        <w:rPr>
          <w:rFonts w:hint="eastAsia" w:ascii="仿宋" w:hAnsi="仿宋" w:eastAsia="仿宋" w:cs="仿宋"/>
          <w:snapToGrid/>
          <w:color w:val="auto"/>
          <w:kern w:val="2"/>
          <w:sz w:val="28"/>
          <w:szCs w:val="28"/>
          <w:highlight w:val="none"/>
        </w:rPr>
        <w:t>提出质疑的，质疑期限为供应商获得</w:t>
      </w:r>
      <w:r>
        <w:rPr>
          <w:rFonts w:hint="eastAsia" w:ascii="仿宋" w:hAnsi="仿宋" w:eastAsia="仿宋" w:cs="仿宋"/>
          <w:snapToGrid/>
          <w:color w:val="auto"/>
          <w:kern w:val="2"/>
          <w:sz w:val="28"/>
          <w:szCs w:val="28"/>
          <w:highlight w:val="none"/>
          <w:lang w:eastAsia="zh-CN"/>
        </w:rPr>
        <w:t>采购文件</w:t>
      </w:r>
      <w:r>
        <w:rPr>
          <w:rFonts w:hint="eastAsia" w:ascii="仿宋" w:hAnsi="仿宋" w:eastAsia="仿宋" w:cs="仿宋"/>
          <w:snapToGrid/>
          <w:color w:val="auto"/>
          <w:kern w:val="2"/>
          <w:sz w:val="28"/>
          <w:szCs w:val="28"/>
          <w:highlight w:val="none"/>
        </w:rPr>
        <w:t>之日或者</w:t>
      </w:r>
      <w:r>
        <w:rPr>
          <w:rFonts w:hint="eastAsia" w:ascii="仿宋" w:hAnsi="仿宋" w:eastAsia="仿宋" w:cs="仿宋"/>
          <w:snapToGrid/>
          <w:color w:val="auto"/>
          <w:kern w:val="2"/>
          <w:sz w:val="28"/>
          <w:szCs w:val="28"/>
          <w:highlight w:val="none"/>
          <w:lang w:eastAsia="zh-CN"/>
        </w:rPr>
        <w:t>采购文件</w:t>
      </w:r>
      <w:r>
        <w:rPr>
          <w:rFonts w:hint="eastAsia" w:ascii="仿宋" w:hAnsi="仿宋" w:eastAsia="仿宋" w:cs="仿宋"/>
          <w:snapToGrid/>
          <w:color w:val="auto"/>
          <w:kern w:val="2"/>
          <w:sz w:val="28"/>
          <w:szCs w:val="28"/>
          <w:highlight w:val="none"/>
        </w:rPr>
        <w:t>公告期限届满之日起计算。</w:t>
      </w:r>
    </w:p>
    <w:p w14:paraId="60B2077D">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4.2.2.2对采购过程提出质疑的，质疑期限为各采购程序环节结束之日起计算。对同一采购程序环节的质疑，供应商须一次性提出。</w:t>
      </w:r>
    </w:p>
    <w:p w14:paraId="01DAF895">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4.2.2.3对采购结果提出质疑的，质疑期限自采购结果公告期限届满之日起计算。</w:t>
      </w:r>
    </w:p>
    <w:p w14:paraId="5F86582C">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w:t>
      </w:r>
      <w:r>
        <w:rPr>
          <w:rFonts w:hint="eastAsia" w:ascii="仿宋" w:hAnsi="仿宋" w:eastAsia="仿宋" w:cs="仿宋"/>
          <w:color w:val="auto"/>
          <w:sz w:val="28"/>
          <w:szCs w:val="28"/>
          <w:highlight w:val="none"/>
        </w:rPr>
        <w:t>供应商提出质疑应当提交质疑函和必要的证明材料。质疑函应当包括下列内容：</w:t>
      </w:r>
    </w:p>
    <w:p w14:paraId="4E55F7E1">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4.2.3.1供应商的姓名或者名称、地址、邮编、联系人及联系电话；</w:t>
      </w:r>
    </w:p>
    <w:p w14:paraId="7B58DA18">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4.2.3.2质疑项目的名称、编号；</w:t>
      </w:r>
    </w:p>
    <w:p w14:paraId="7E5C518D">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4.2.3.3具体、明确的质疑事项和与质疑事项相关的请求；</w:t>
      </w:r>
    </w:p>
    <w:p w14:paraId="67661BCB">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4.2.3.4事实依据；</w:t>
      </w:r>
    </w:p>
    <w:p w14:paraId="4A6851EB">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4.2.3.5必要的法律依据；</w:t>
      </w:r>
    </w:p>
    <w:p w14:paraId="19F4BEE2">
      <w:pPr>
        <w:pStyle w:val="35"/>
        <w:keepNext w:val="0"/>
        <w:keepLines w:val="0"/>
        <w:pageBreakBefore w:val="0"/>
        <w:kinsoku/>
        <w:wordWrap/>
        <w:overflowPunct/>
        <w:topLinePunct w:val="0"/>
        <w:bidi w:val="0"/>
        <w:spacing w:beforeAutospacing="0" w:line="560" w:lineRule="exact"/>
        <w:ind w:left="0" w:leftChars="0" w:right="0" w:firstLine="1120" w:firstLineChars="4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4.2.3.6提出质疑的日期。</w:t>
      </w:r>
    </w:p>
    <w:p w14:paraId="672EF656">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供应商提交的质疑函需一式三份。供应商为自然人的，应当由本人签字；供应商为法人或者其他组织的，应当由法定代表人、主要负责人，或者其授权代表签字或者盖章，并加盖公章。</w:t>
      </w:r>
    </w:p>
    <w:p w14:paraId="226DDE69">
      <w:pPr>
        <w:pStyle w:val="88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4.2</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招标采购人</w:t>
      </w:r>
      <w:r>
        <w:rPr>
          <w:rFonts w:hint="eastAsia" w:ascii="仿宋" w:hAnsi="仿宋" w:eastAsia="仿宋" w:cs="仿宋"/>
          <w:color w:val="auto"/>
          <w:sz w:val="28"/>
          <w:szCs w:val="28"/>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仿宋" w:hAnsi="仿宋" w:eastAsia="仿宋" w:cs="仿宋"/>
          <w:color w:val="auto"/>
          <w:sz w:val="28"/>
          <w:szCs w:val="28"/>
          <w:highlight w:val="none"/>
          <w:lang w:eastAsia="zh-CN"/>
        </w:rPr>
        <w:t>浙江省财政厅关于进一步促进政府采购公平竞争打造最优营商环境的通知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浙财采监[2021]22号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招标采购人</w:t>
      </w:r>
      <w:r>
        <w:rPr>
          <w:rFonts w:hint="eastAsia" w:ascii="仿宋" w:hAnsi="仿宋" w:eastAsia="仿宋" w:cs="仿宋"/>
          <w:color w:val="auto"/>
          <w:sz w:val="28"/>
          <w:szCs w:val="28"/>
          <w:highlight w:val="none"/>
        </w:rPr>
        <w:t>在质疑回复后5个工作日内，在浙江政府采购网的“其他公告”栏目公开质疑答复，答复内容应当完整。质疑函作为附件上传。</w:t>
      </w:r>
    </w:p>
    <w:p w14:paraId="5562CA6A">
      <w:pPr>
        <w:pStyle w:val="88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4.2</w:t>
      </w:r>
      <w:r>
        <w:rPr>
          <w:rFonts w:hint="eastAsia" w:ascii="仿宋" w:hAnsi="仿宋" w:eastAsia="仿宋" w:cs="仿宋"/>
          <w:color w:val="auto"/>
          <w:sz w:val="28"/>
          <w:szCs w:val="28"/>
          <w:highlight w:val="none"/>
        </w:rPr>
        <w:t>.5询问或者质疑事项可能影响采购结果的，采购人应当暂停签订合同，已经签订合同的，应当中止履行合同。</w:t>
      </w:r>
    </w:p>
    <w:p w14:paraId="31C4411F">
      <w:pPr>
        <w:pStyle w:val="887"/>
        <w:keepNext w:val="0"/>
        <w:keepLines w:val="0"/>
        <w:pageBreakBefore w:val="0"/>
        <w:shd w:val="clear" w:color="auto" w:fill="FFFFFF"/>
        <w:kinsoku/>
        <w:wordWrap/>
        <w:overflowPunct/>
        <w:topLinePunct w:val="0"/>
        <w:bidi w:val="0"/>
        <w:snapToGrid w:val="0"/>
        <w:spacing w:before="0" w:beforeAutospacing="0" w:after="0" w:afterAutospacing="0" w:line="560" w:lineRule="exact"/>
        <w:ind w:left="0" w:leftChars="0" w:right="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4.3供应商投诉</w:t>
      </w:r>
    </w:p>
    <w:p w14:paraId="49B1306C">
      <w:pPr>
        <w:pStyle w:val="887"/>
        <w:keepNext w:val="0"/>
        <w:keepLines w:val="0"/>
        <w:pageBreakBefore w:val="0"/>
        <w:shd w:val="clear" w:color="auto" w:fill="FFFFFF"/>
        <w:kinsoku/>
        <w:wordWrap/>
        <w:overflowPunct/>
        <w:topLinePunct w:val="0"/>
        <w:bidi w:val="0"/>
        <w:snapToGrid w:val="0"/>
        <w:spacing w:before="0" w:beforeAutospacing="0" w:after="0" w:afterAutospacing="0" w:line="560" w:lineRule="exact"/>
        <w:ind w:left="0" w:leftChars="0" w:right="0"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4.3.1质疑供应商对</w:t>
      </w:r>
      <w:r>
        <w:rPr>
          <w:rFonts w:hint="eastAsia" w:ascii="仿宋" w:hAnsi="仿宋" w:eastAsia="仿宋" w:cs="仿宋"/>
          <w:color w:val="auto"/>
          <w:sz w:val="28"/>
          <w:szCs w:val="28"/>
          <w:highlight w:val="none"/>
          <w:lang w:eastAsia="zh-CN"/>
        </w:rPr>
        <w:t>招标采购人</w:t>
      </w:r>
      <w:r>
        <w:rPr>
          <w:rFonts w:hint="eastAsia" w:ascii="仿宋" w:hAnsi="仿宋" w:eastAsia="仿宋" w:cs="仿宋"/>
          <w:color w:val="auto"/>
          <w:sz w:val="28"/>
          <w:szCs w:val="28"/>
          <w:highlight w:val="none"/>
        </w:rPr>
        <w:t>的答复不满意或者</w:t>
      </w:r>
      <w:r>
        <w:rPr>
          <w:rFonts w:hint="eastAsia" w:ascii="仿宋" w:hAnsi="仿宋" w:eastAsia="仿宋" w:cs="仿宋"/>
          <w:color w:val="auto"/>
          <w:sz w:val="28"/>
          <w:szCs w:val="28"/>
          <w:highlight w:val="none"/>
          <w:lang w:eastAsia="zh-CN"/>
        </w:rPr>
        <w:t>招标采购人</w:t>
      </w:r>
      <w:r>
        <w:rPr>
          <w:rFonts w:hint="eastAsia" w:ascii="仿宋" w:hAnsi="仿宋" w:eastAsia="仿宋" w:cs="仿宋"/>
          <w:color w:val="auto"/>
          <w:sz w:val="28"/>
          <w:szCs w:val="28"/>
          <w:highlight w:val="none"/>
        </w:rPr>
        <w:t>未在规定的时间内作出答复的，可以在答复期满后十五个工作日内向同级政府采购监督管理部门提出投诉。</w:t>
      </w:r>
    </w:p>
    <w:p w14:paraId="48CEEB1C">
      <w:pPr>
        <w:pStyle w:val="887"/>
        <w:keepNext w:val="0"/>
        <w:keepLines w:val="0"/>
        <w:pageBreakBefore w:val="0"/>
        <w:shd w:val="clear" w:color="auto" w:fill="FFFFFF"/>
        <w:kinsoku/>
        <w:wordWrap/>
        <w:overflowPunct/>
        <w:topLinePunct w:val="0"/>
        <w:bidi w:val="0"/>
        <w:snapToGrid w:val="0"/>
        <w:spacing w:before="0" w:beforeAutospacing="0" w:after="0" w:afterAutospacing="0" w:line="560" w:lineRule="exact"/>
        <w:ind w:left="0" w:leftChars="0" w:right="0"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供应商投诉的事项不得超出已质疑事项的范围，基于质疑答复内容提出的投诉事项除外。</w:t>
      </w:r>
    </w:p>
    <w:p w14:paraId="686BF658">
      <w:pPr>
        <w:pStyle w:val="887"/>
        <w:keepNext w:val="0"/>
        <w:keepLines w:val="0"/>
        <w:pageBreakBefore w:val="0"/>
        <w:shd w:val="clear" w:color="auto" w:fill="FFFFFF"/>
        <w:kinsoku/>
        <w:wordWrap/>
        <w:overflowPunct/>
        <w:topLinePunct w:val="0"/>
        <w:bidi w:val="0"/>
        <w:snapToGrid w:val="0"/>
        <w:spacing w:before="0" w:beforeAutospacing="0" w:after="0" w:afterAutospacing="0" w:line="560" w:lineRule="exact"/>
        <w:ind w:left="0" w:leftChars="0" w:right="0"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4.3.3供应商投诉应当有明确的请求和必要的证明材料。</w:t>
      </w:r>
    </w:p>
    <w:p w14:paraId="23E931AC">
      <w:pPr>
        <w:pStyle w:val="887"/>
        <w:keepNext w:val="0"/>
        <w:keepLines w:val="0"/>
        <w:pageBreakBefore w:val="0"/>
        <w:shd w:val="clear" w:color="auto" w:fill="FFFFFF"/>
        <w:kinsoku/>
        <w:wordWrap/>
        <w:overflowPunct/>
        <w:topLinePunct w:val="0"/>
        <w:bidi w:val="0"/>
        <w:snapToGrid w:val="0"/>
        <w:spacing w:before="0" w:beforeAutospacing="0" w:after="0" w:afterAutospacing="0" w:line="560" w:lineRule="exact"/>
        <w:ind w:left="0" w:leftChars="0" w:right="0"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4.3.5 以联合体形式参加政府采购活动的，其投诉应当由组成联合体的所有供应商共同提出。</w:t>
      </w:r>
    </w:p>
    <w:p w14:paraId="64D8515D">
      <w:pPr>
        <w:pStyle w:val="129"/>
        <w:keepNext w:val="0"/>
        <w:keepLines w:val="0"/>
        <w:pageBreakBefore w:val="0"/>
        <w:kinsoku/>
        <w:wordWrap/>
        <w:overflowPunct/>
        <w:topLinePunct w:val="0"/>
        <w:bidi w:val="0"/>
        <w:snapToGrid w:val="0"/>
        <w:spacing w:before="0" w:beforeAutospacing="0" w:line="560" w:lineRule="exact"/>
        <w:ind w:left="0" w:leftChars="0" w:right="0" w:firstLine="360"/>
        <w:textAlignment w:val="auto"/>
        <w:rPr>
          <w:rFonts w:ascii="仿宋_GB2312" w:hAnsi="仿宋" w:eastAsia="仿宋_GB2312" w:cs="仿宋_GB2312"/>
          <w:color w:val="auto"/>
          <w:sz w:val="18"/>
          <w:szCs w:val="18"/>
          <w:highlight w:val="none"/>
        </w:rPr>
      </w:pPr>
    </w:p>
    <w:p w14:paraId="2204EAD9">
      <w:pPr>
        <w:keepNext w:val="0"/>
        <w:keepLines w:val="0"/>
        <w:pageBreakBefore w:val="0"/>
        <w:kinsoku/>
        <w:wordWrap/>
        <w:overflowPunct/>
        <w:topLinePunct w:val="0"/>
        <w:bidi w:val="0"/>
        <w:adjustRightInd/>
        <w:spacing w:beforeAutospacing="0" w:line="560" w:lineRule="exact"/>
        <w:ind w:left="0" w:leftChars="0" w:right="0"/>
        <w:jc w:val="center"/>
        <w:textAlignment w:val="auto"/>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w:t>
      </w:r>
      <w:r>
        <w:rPr>
          <w:rFonts w:hint="eastAsia" w:ascii="仿宋_GB2312" w:hAnsi="仿宋" w:eastAsia="仿宋_GB2312" w:cs="仿宋_GB2312"/>
          <w:b/>
          <w:color w:val="auto"/>
          <w:sz w:val="32"/>
          <w:szCs w:val="20"/>
          <w:highlight w:val="none"/>
          <w:lang w:eastAsia="zh-CN"/>
        </w:rPr>
        <w:t>采购文件</w:t>
      </w:r>
      <w:r>
        <w:rPr>
          <w:rFonts w:ascii="仿宋_GB2312" w:hAnsi="仿宋" w:eastAsia="仿宋_GB2312" w:cs="仿宋_GB2312"/>
          <w:b/>
          <w:color w:val="auto"/>
          <w:sz w:val="32"/>
          <w:szCs w:val="20"/>
          <w:highlight w:val="none"/>
        </w:rPr>
        <w:t>的构成、澄清、修改</w:t>
      </w:r>
    </w:p>
    <w:p w14:paraId="293B2C14">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的构成</w:t>
      </w:r>
    </w:p>
    <w:p w14:paraId="29003BCB">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5.1 </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包括下列文件及附件：</w:t>
      </w:r>
    </w:p>
    <w:p w14:paraId="2A44FD63">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5.1.1招标公告；</w:t>
      </w:r>
    </w:p>
    <w:p w14:paraId="5D9CCF51">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w:t>
      </w:r>
    </w:p>
    <w:p w14:paraId="3790ACC2">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5.1.3采购需求；</w:t>
      </w:r>
    </w:p>
    <w:p w14:paraId="78524028">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5.1.4评标办法；</w:t>
      </w:r>
    </w:p>
    <w:p w14:paraId="04BF9688">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5.1.5拟签订的合同文本；</w:t>
      </w:r>
    </w:p>
    <w:p w14:paraId="0BA6A5B9">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5.1.6应提交的有关格式范例。</w:t>
      </w:r>
    </w:p>
    <w:p w14:paraId="4B3DE862">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5.2与本项目有关的澄清或者修改的内容为</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的组成部分。</w:t>
      </w:r>
    </w:p>
    <w:p w14:paraId="24C09F3E">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 </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的澄清、修改</w:t>
      </w:r>
    </w:p>
    <w:p w14:paraId="3253EACD">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6.1已获取</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，若有问题需要澄清，应于投标截止时间前，以书面形式向</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提出。</w:t>
      </w:r>
    </w:p>
    <w:p w14:paraId="40894D89">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6.2 </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进行澄清或修改的，将同时通过电子交易平台通知已获取</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。依法应当公告的，将按规定公告，同时视情况延长投标截止时间和开标时间。该澄清或者修改的内容为</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的组成部分。</w:t>
      </w:r>
    </w:p>
    <w:p w14:paraId="652D67A0">
      <w:pPr>
        <w:pStyle w:val="2"/>
        <w:keepNext w:val="0"/>
        <w:keepLines w:val="0"/>
        <w:pageBreakBefore w:val="0"/>
        <w:kinsoku/>
        <w:wordWrap/>
        <w:overflowPunct/>
        <w:topLinePunct w:val="0"/>
        <w:bidi w:val="0"/>
        <w:spacing w:beforeAutospacing="0" w:line="560" w:lineRule="exact"/>
        <w:ind w:left="0" w:leftChars="0" w:right="0"/>
        <w:textAlignment w:val="auto"/>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14:paraId="2769180E">
      <w:pPr>
        <w:keepNext w:val="0"/>
        <w:keepLines w:val="0"/>
        <w:pageBreakBefore w:val="0"/>
        <w:kinsoku/>
        <w:wordWrap/>
        <w:overflowPunct/>
        <w:topLinePunct w:val="0"/>
        <w:bidi w:val="0"/>
        <w:adjustRightInd/>
        <w:spacing w:beforeAutospacing="0" w:line="560" w:lineRule="exact"/>
        <w:ind w:left="0" w:leftChars="0" w:right="0"/>
        <w:jc w:val="center"/>
        <w:textAlignment w:val="auto"/>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12A39610">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7. </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的获取</w:t>
      </w:r>
    </w:p>
    <w:p w14:paraId="03BA742E">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详见招标公告中获取</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的时间期限、地点、方式及</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售价。</w:t>
      </w:r>
    </w:p>
    <w:p w14:paraId="5D8B9D1F">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8.开标前答疑会或现场考察</w:t>
      </w:r>
    </w:p>
    <w:p w14:paraId="1EF93068">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采购人组织潜在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现场考察或者召开开标前答疑会的，潜在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按第二部分</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须知前附表的规定参加现场考察或者开标前答疑会。</w:t>
      </w:r>
    </w:p>
    <w:p w14:paraId="6F606526">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9.投标保证金</w:t>
      </w:r>
    </w:p>
    <w:p w14:paraId="56E992BA">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本项目不需缴纳投标保证金。</w:t>
      </w:r>
    </w:p>
    <w:p w14:paraId="76151EA0">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 </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的语言</w:t>
      </w:r>
    </w:p>
    <w:p w14:paraId="7E2862BE">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及</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与采购有关的来往通知、函件和文件均应使用中文。</w:t>
      </w:r>
    </w:p>
    <w:p w14:paraId="2237B761">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11. </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的组成</w:t>
      </w:r>
    </w:p>
    <w:p w14:paraId="60268A7A">
      <w:pPr>
        <w:keepNext w:val="0"/>
        <w:keepLines w:val="0"/>
        <w:pageBreakBefore w:val="0"/>
        <w:kinsoku/>
        <w:wordWrap/>
        <w:overflowPunct/>
        <w:topLinePunct w:val="0"/>
        <w:bidi w:val="0"/>
        <w:spacing w:beforeAutospacing="0" w:line="560" w:lineRule="exact"/>
        <w:ind w:left="0" w:leftChars="0" w:right="0" w:firstLine="562"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11.1【资格审查文件】（包括但不限于以下内容）</w:t>
      </w:r>
    </w:p>
    <w:p w14:paraId="4CDE5771">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color w:val="auto"/>
          <w:highlight w:val="none"/>
        </w:rPr>
      </w:pP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（1）投标文件封面</w:t>
      </w:r>
    </w:p>
    <w:p w14:paraId="3D1A0C9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（2）</w:t>
      </w:r>
      <w:r>
        <w:rPr>
          <w:rFonts w:ascii="仿宋" w:hAnsi="仿宋" w:eastAsia="仿宋" w:cs="仿宋"/>
          <w:color w:val="auto"/>
          <w:kern w:val="56"/>
          <w:sz w:val="28"/>
          <w:szCs w:val="28"/>
          <w:highlight w:val="none"/>
          <w:shd w:val="clear" w:color="auto" w:fill="FFFFFF"/>
        </w:rPr>
        <w:t>营业执照</w:t>
      </w:r>
    </w:p>
    <w:p w14:paraId="7AE0F8BB">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（3）法定代表人证明书或授权委托书</w:t>
      </w:r>
    </w:p>
    <w:p w14:paraId="0A26C87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▲（4）投标资格承诺书</w:t>
      </w:r>
    </w:p>
    <w:p w14:paraId="72308FE7">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lang w:val="en-US" w:eastAsia="zh-CN"/>
        </w:rPr>
        <w:t>（5）符合特定资格条件的证明材料</w:t>
      </w:r>
    </w:p>
    <w:p w14:paraId="7FBC038A">
      <w:pPr>
        <w:keepNext w:val="0"/>
        <w:keepLines w:val="0"/>
        <w:pageBreakBefore w:val="0"/>
        <w:kinsoku/>
        <w:wordWrap/>
        <w:overflowPunct/>
        <w:topLinePunct w:val="0"/>
        <w:bidi w:val="0"/>
        <w:spacing w:beforeAutospacing="0" w:line="560" w:lineRule="exact"/>
        <w:ind w:left="0" w:leftChars="0" w:right="0" w:firstLine="562" w:firstLineChars="200"/>
        <w:textAlignment w:val="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11.2【商务技术文件】（包括但不限于以下内容）</w:t>
      </w:r>
    </w:p>
    <w:p w14:paraId="2C05BCF2">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（1）自评分表；（供应商根据评分细则内资信分部分编写，格式自拟）</w:t>
      </w:r>
    </w:p>
    <w:p w14:paraId="6DA69CCB">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color w:val="auto"/>
          <w:highlight w:val="none"/>
        </w:rPr>
      </w:pPr>
      <w:r>
        <w:rPr>
          <w:rFonts w:hint="eastAsia" w:ascii="仿宋" w:hAnsi="仿宋" w:eastAsia="仿宋" w:cs="仿宋"/>
          <w:color w:val="auto"/>
          <w:kern w:val="56"/>
          <w:sz w:val="28"/>
          <w:szCs w:val="28"/>
          <w:highlight w:val="none"/>
          <w:shd w:val="clear" w:color="auto" w:fill="FFFFFF"/>
        </w:rPr>
        <w:t>（2）由供应商根据评分细则商务技术文件内容顺序编写，格式自拟</w:t>
      </w:r>
    </w:p>
    <w:p w14:paraId="6572B45D">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11.3【报价文件】（包括但不限于以下内容）</w:t>
      </w:r>
    </w:p>
    <w:p w14:paraId="5DE16732">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w:t>
      </w:r>
      <w:r>
        <w:rPr>
          <w:rFonts w:hint="eastAsia" w:ascii="仿宋" w:hAnsi="仿宋" w:eastAsia="仿宋" w:cs="仿宋"/>
          <w:color w:val="auto"/>
          <w:kern w:val="56"/>
          <w:sz w:val="28"/>
          <w:szCs w:val="28"/>
          <w:highlight w:val="none"/>
          <w:shd w:val="clear" w:color="auto" w:fill="FFFFFF"/>
        </w:rPr>
        <w:t>投标函</w:t>
      </w:r>
      <w:r>
        <w:rPr>
          <w:rFonts w:ascii="仿宋" w:hAnsi="仿宋" w:eastAsia="仿宋" w:cs="仿宋"/>
          <w:color w:val="auto"/>
          <w:kern w:val="56"/>
          <w:sz w:val="28"/>
          <w:szCs w:val="28"/>
          <w:highlight w:val="none"/>
          <w:shd w:val="clear" w:color="auto" w:fill="FFFFFF"/>
        </w:rPr>
        <w:t>；</w:t>
      </w:r>
    </w:p>
    <w:p w14:paraId="4C78827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▲（2）报价一览表；</w:t>
      </w:r>
    </w:p>
    <w:p w14:paraId="34AF8317">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3</w:t>
      </w:r>
      <w:r>
        <w:rPr>
          <w:rFonts w:ascii="仿宋" w:hAnsi="仿宋" w:eastAsia="仿宋" w:cs="仿宋"/>
          <w:color w:val="auto"/>
          <w:kern w:val="56"/>
          <w:sz w:val="28"/>
          <w:szCs w:val="28"/>
          <w:highlight w:val="none"/>
          <w:shd w:val="clear" w:color="auto" w:fill="FFFFFF"/>
        </w:rPr>
        <w:t>）交纳采购代理服务费承诺书</w:t>
      </w:r>
    </w:p>
    <w:p w14:paraId="1332B494">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color w:val="auto"/>
          <w:highlight w:val="none"/>
        </w:rPr>
      </w:pP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（4）</w:t>
      </w:r>
      <w:r>
        <w:rPr>
          <w:rFonts w:ascii="仿宋" w:hAnsi="仿宋" w:eastAsia="仿宋" w:cs="仿宋"/>
          <w:color w:val="auto"/>
          <w:kern w:val="56"/>
          <w:sz w:val="28"/>
          <w:szCs w:val="28"/>
          <w:highlight w:val="none"/>
          <w:shd w:val="clear" w:color="auto" w:fill="FFFFFF"/>
        </w:rPr>
        <w:t>廉政承诺书</w:t>
      </w:r>
    </w:p>
    <w:p w14:paraId="62A2DF33">
      <w:pPr>
        <w:keepNext w:val="0"/>
        <w:keepLines w:val="0"/>
        <w:pageBreakBefore w:val="0"/>
        <w:numPr>
          <w:ilvl w:val="0"/>
          <w:numId w:val="2"/>
        </w:numPr>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中小企业声明函</w:t>
      </w:r>
    </w:p>
    <w:p w14:paraId="63F92A4B">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含有采购人不能接受的附加条件的，投标无效；</w:t>
      </w:r>
    </w:p>
    <w:p w14:paraId="748F6BD2">
      <w:pPr>
        <w:pStyle w:val="35"/>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_GB2312" w:hAnsi="仿宋" w:eastAsia="仿宋_GB2312" w:cs="仿宋_GB2312"/>
          <w:b/>
          <w:color w:val="auto"/>
          <w:sz w:val="24"/>
          <w:szCs w:val="21"/>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提供虚假材料投标的，投标无效。</w:t>
      </w:r>
    </w:p>
    <w:p w14:paraId="784218E3">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lang w:val="en-US" w:eastAsia="zh-CN"/>
        </w:rPr>
        <w:t>12</w:t>
      </w:r>
      <w:r>
        <w:rPr>
          <w:rFonts w:ascii="仿宋" w:hAnsi="仿宋" w:eastAsia="仿宋" w:cs="仿宋"/>
          <w:b w:val="0"/>
          <w:bCs w:val="0"/>
          <w:color w:val="auto"/>
          <w:kern w:val="56"/>
          <w:sz w:val="28"/>
          <w:szCs w:val="28"/>
          <w:highlight w:val="none"/>
          <w:shd w:val="clear" w:color="auto" w:fill="FFFFFF"/>
          <w:lang w:val="zh-CN" w:eastAsia="zh-CN"/>
        </w:rPr>
        <w:t xml:space="preserve">. </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的编制</w:t>
      </w:r>
    </w:p>
    <w:p w14:paraId="6D74AE60">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lang w:val="zh-CN"/>
        </w:rPr>
        <w:t>12.1</w:t>
      </w:r>
      <w:r>
        <w:rPr>
          <w:rFonts w:hint="eastAsia" w:ascii="仿宋" w:hAnsi="仿宋" w:eastAsia="仿宋" w:cs="仿宋"/>
          <w:b w:val="0"/>
          <w:bCs w:val="0"/>
          <w:color w:val="auto"/>
          <w:kern w:val="56"/>
          <w:sz w:val="28"/>
          <w:szCs w:val="28"/>
          <w:highlight w:val="none"/>
          <w:shd w:val="clear" w:color="auto" w:fill="FFFFFF"/>
          <w:lang w:val="zh-CN"/>
        </w:rPr>
        <w:t>响应文件</w:t>
      </w:r>
      <w:r>
        <w:rPr>
          <w:rFonts w:ascii="仿宋" w:hAnsi="仿宋" w:eastAsia="仿宋" w:cs="仿宋"/>
          <w:b w:val="0"/>
          <w:bCs w:val="0"/>
          <w:color w:val="auto"/>
          <w:kern w:val="56"/>
          <w:sz w:val="28"/>
          <w:szCs w:val="28"/>
          <w:highlight w:val="none"/>
          <w:shd w:val="clear" w:color="auto" w:fill="FFFFFF"/>
          <w:lang w:val="zh-CN"/>
        </w:rPr>
        <w:t>分为</w:t>
      </w:r>
      <w:r>
        <w:rPr>
          <w:rFonts w:hint="eastAsia" w:ascii="仿宋" w:hAnsi="仿宋" w:eastAsia="仿宋" w:cs="仿宋"/>
          <w:b w:val="0"/>
          <w:bCs w:val="0"/>
          <w:color w:val="auto"/>
          <w:kern w:val="56"/>
          <w:sz w:val="28"/>
          <w:szCs w:val="28"/>
          <w:highlight w:val="none"/>
          <w:shd w:val="clear" w:color="auto" w:fill="FFFFFF"/>
          <w:lang w:val="zh-CN"/>
        </w:rPr>
        <w:t>资格审查文件</w:t>
      </w:r>
      <w:r>
        <w:rPr>
          <w:rFonts w:ascii="仿宋" w:hAnsi="仿宋" w:eastAsia="仿宋" w:cs="仿宋"/>
          <w:b w:val="0"/>
          <w:bCs w:val="0"/>
          <w:color w:val="auto"/>
          <w:kern w:val="56"/>
          <w:sz w:val="28"/>
          <w:szCs w:val="28"/>
          <w:highlight w:val="none"/>
          <w:shd w:val="clear" w:color="auto" w:fill="FFFFFF"/>
          <w:lang w:val="zh-CN"/>
        </w:rPr>
        <w:t>、商务技术文件、报价文件三部分。各</w:t>
      </w:r>
      <w:r>
        <w:rPr>
          <w:rFonts w:hint="eastAsia" w:ascii="仿宋" w:hAnsi="仿宋" w:eastAsia="仿宋" w:cs="仿宋"/>
          <w:b w:val="0"/>
          <w:bCs w:val="0"/>
          <w:color w:val="auto"/>
          <w:kern w:val="56"/>
          <w:sz w:val="28"/>
          <w:szCs w:val="28"/>
          <w:highlight w:val="none"/>
          <w:shd w:val="clear" w:color="auto" w:fill="FFFFFF"/>
          <w:lang w:val="zh-CN"/>
        </w:rPr>
        <w:t>供应商</w:t>
      </w:r>
      <w:r>
        <w:rPr>
          <w:rFonts w:ascii="仿宋" w:hAnsi="仿宋" w:eastAsia="仿宋" w:cs="仿宋"/>
          <w:b w:val="0"/>
          <w:bCs w:val="0"/>
          <w:color w:val="auto"/>
          <w:kern w:val="56"/>
          <w:sz w:val="28"/>
          <w:szCs w:val="28"/>
          <w:highlight w:val="none"/>
          <w:shd w:val="clear" w:color="auto" w:fill="FFFFFF"/>
          <w:lang w:val="zh-CN"/>
        </w:rPr>
        <w:t>在编制</w:t>
      </w:r>
      <w:r>
        <w:rPr>
          <w:rFonts w:hint="eastAsia" w:ascii="仿宋" w:hAnsi="仿宋" w:eastAsia="仿宋" w:cs="仿宋"/>
          <w:b w:val="0"/>
          <w:bCs w:val="0"/>
          <w:color w:val="auto"/>
          <w:kern w:val="56"/>
          <w:sz w:val="28"/>
          <w:szCs w:val="28"/>
          <w:highlight w:val="none"/>
          <w:shd w:val="clear" w:color="auto" w:fill="FFFFFF"/>
          <w:lang w:val="zh-CN"/>
        </w:rPr>
        <w:t>响应文件</w:t>
      </w:r>
      <w:r>
        <w:rPr>
          <w:rFonts w:ascii="仿宋" w:hAnsi="仿宋" w:eastAsia="仿宋" w:cs="仿宋"/>
          <w:b w:val="0"/>
          <w:bCs w:val="0"/>
          <w:color w:val="auto"/>
          <w:kern w:val="56"/>
          <w:sz w:val="28"/>
          <w:szCs w:val="28"/>
          <w:highlight w:val="none"/>
          <w:shd w:val="clear" w:color="auto" w:fill="FFFFFF"/>
          <w:lang w:val="zh-CN"/>
        </w:rPr>
        <w:t>时请按照</w:t>
      </w:r>
      <w:r>
        <w:rPr>
          <w:rFonts w:hint="eastAsia" w:ascii="仿宋" w:hAnsi="仿宋" w:eastAsia="仿宋" w:cs="仿宋"/>
          <w:b w:val="0"/>
          <w:bCs w:val="0"/>
          <w:color w:val="auto"/>
          <w:kern w:val="56"/>
          <w:sz w:val="28"/>
          <w:szCs w:val="28"/>
          <w:highlight w:val="none"/>
          <w:shd w:val="clear" w:color="auto" w:fill="FFFFFF"/>
          <w:lang w:val="zh-CN"/>
        </w:rPr>
        <w:t>采购文件</w:t>
      </w:r>
      <w:r>
        <w:rPr>
          <w:rFonts w:ascii="仿宋" w:hAnsi="仿宋" w:eastAsia="仿宋" w:cs="仿宋"/>
          <w:b w:val="0"/>
          <w:bCs w:val="0"/>
          <w:color w:val="auto"/>
          <w:kern w:val="56"/>
          <w:sz w:val="28"/>
          <w:szCs w:val="28"/>
          <w:highlight w:val="none"/>
          <w:shd w:val="clear" w:color="auto" w:fill="FFFFFF"/>
          <w:lang w:val="zh-CN"/>
        </w:rPr>
        <w:t>第六部</w:t>
      </w:r>
      <w:r>
        <w:rPr>
          <w:rFonts w:hint="eastAsia" w:ascii="仿宋" w:hAnsi="仿宋" w:eastAsia="仿宋" w:cs="仿宋"/>
          <w:b w:val="0"/>
          <w:bCs w:val="0"/>
          <w:color w:val="auto"/>
          <w:kern w:val="56"/>
          <w:sz w:val="28"/>
          <w:szCs w:val="28"/>
          <w:highlight w:val="none"/>
          <w:shd w:val="clear" w:color="auto" w:fill="FFFFFF"/>
          <w:lang w:val="zh-CN"/>
        </w:rPr>
        <w:t>分规定的格式进行，混乱的编排导致响应文件被误读或评审委员会查找不到有效文件是供应商的风险。</w:t>
      </w:r>
    </w:p>
    <w:p w14:paraId="03C58866">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lang w:val="zh-CN"/>
        </w:rPr>
      </w:pPr>
      <w:r>
        <w:rPr>
          <w:rFonts w:ascii="仿宋" w:hAnsi="仿宋" w:eastAsia="仿宋" w:cs="仿宋"/>
          <w:b w:val="0"/>
          <w:bCs w:val="0"/>
          <w:color w:val="auto"/>
          <w:kern w:val="56"/>
          <w:sz w:val="28"/>
          <w:szCs w:val="28"/>
          <w:highlight w:val="none"/>
          <w:shd w:val="clear" w:color="auto" w:fill="FFFFFF"/>
          <w:lang w:val="zh-CN"/>
        </w:rPr>
        <w:t>12.2</w:t>
      </w:r>
      <w:r>
        <w:rPr>
          <w:rFonts w:hint="eastAsia" w:ascii="仿宋" w:hAnsi="仿宋" w:eastAsia="仿宋" w:cs="仿宋"/>
          <w:b w:val="0"/>
          <w:bCs w:val="0"/>
          <w:color w:val="auto"/>
          <w:kern w:val="56"/>
          <w:sz w:val="28"/>
          <w:szCs w:val="28"/>
          <w:highlight w:val="none"/>
          <w:shd w:val="clear" w:color="auto" w:fill="FFFFFF"/>
          <w:lang w:val="zh-CN"/>
        </w:rPr>
        <w:t>供应商</w:t>
      </w:r>
      <w:r>
        <w:rPr>
          <w:rFonts w:ascii="仿宋" w:hAnsi="仿宋" w:eastAsia="仿宋" w:cs="仿宋"/>
          <w:b w:val="0"/>
          <w:bCs w:val="0"/>
          <w:color w:val="auto"/>
          <w:kern w:val="56"/>
          <w:sz w:val="28"/>
          <w:szCs w:val="28"/>
          <w:highlight w:val="none"/>
          <w:shd w:val="clear" w:color="auto" w:fill="FFFFFF"/>
          <w:lang w:val="zh-CN"/>
        </w:rPr>
        <w:t>进行电子投标应安装客户端软件—“政</w:t>
      </w:r>
      <w:r>
        <w:rPr>
          <w:rFonts w:hint="eastAsia" w:ascii="仿宋" w:hAnsi="仿宋" w:eastAsia="仿宋" w:cs="仿宋"/>
          <w:b w:val="0"/>
          <w:bCs w:val="0"/>
          <w:color w:val="auto"/>
          <w:kern w:val="56"/>
          <w:sz w:val="28"/>
          <w:szCs w:val="28"/>
          <w:highlight w:val="none"/>
          <w:shd w:val="clear" w:color="auto" w:fill="FFFFFF"/>
          <w:lang w:val="zh-CN"/>
        </w:rPr>
        <w:t>采云电子交易客户端”，并按照采购文件和电子交易平台的要求编制并加密响应文件。供应商未按规定加密的响应文件，电子交易平台将拒收并提示。</w:t>
      </w:r>
    </w:p>
    <w:p w14:paraId="6CBB4593">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lang w:val="zh-CN"/>
        </w:rPr>
      </w:pPr>
      <w:r>
        <w:rPr>
          <w:rFonts w:ascii="仿宋" w:hAnsi="仿宋" w:eastAsia="仿宋" w:cs="仿宋"/>
          <w:b w:val="0"/>
          <w:bCs w:val="0"/>
          <w:color w:val="auto"/>
          <w:kern w:val="56"/>
          <w:sz w:val="28"/>
          <w:szCs w:val="28"/>
          <w:highlight w:val="none"/>
          <w:shd w:val="clear" w:color="auto" w:fill="FFFFFF"/>
          <w:lang w:val="zh-CN"/>
        </w:rPr>
        <w:t>12.3使用“政</w:t>
      </w:r>
      <w:r>
        <w:rPr>
          <w:rFonts w:hint="eastAsia" w:ascii="仿宋" w:hAnsi="仿宋" w:eastAsia="仿宋" w:cs="仿宋"/>
          <w:b w:val="0"/>
          <w:bCs w:val="0"/>
          <w:color w:val="auto"/>
          <w:kern w:val="56"/>
          <w:sz w:val="28"/>
          <w:szCs w:val="28"/>
          <w:highlight w:val="none"/>
          <w:shd w:val="clear" w:color="auto" w:fill="FFFFFF"/>
          <w:lang w:val="zh-CN"/>
        </w:rPr>
        <w:t>采云电子交易客户端”需要提前申领</w:t>
      </w:r>
      <w:r>
        <w:rPr>
          <w:rFonts w:ascii="仿宋" w:hAnsi="仿宋" w:eastAsia="仿宋" w:cs="仿宋"/>
          <w:b w:val="0"/>
          <w:bCs w:val="0"/>
          <w:color w:val="auto"/>
          <w:kern w:val="56"/>
          <w:sz w:val="28"/>
          <w:szCs w:val="28"/>
          <w:highlight w:val="none"/>
          <w:shd w:val="clear" w:color="auto" w:fill="FFFFFF"/>
          <w:lang w:val="zh-CN"/>
        </w:rPr>
        <w:t>CA数字证书，申领流程请自行前往“浙江政府采购网-下载专区-电子交易客户端-CA驱动和申领流程”进行查阅。</w:t>
      </w:r>
    </w:p>
    <w:p w14:paraId="7293C386">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13.</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的签署、盖章</w:t>
      </w:r>
    </w:p>
    <w:p w14:paraId="645DD042">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13.1</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按照</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ascii="仿宋" w:hAnsi="仿宋" w:eastAsia="仿宋" w:cs="仿宋"/>
          <w:b w:val="0"/>
          <w:bCs w:val="0"/>
          <w:color w:val="auto"/>
          <w:kern w:val="56"/>
          <w:sz w:val="28"/>
          <w:szCs w:val="28"/>
          <w:highlight w:val="none"/>
          <w:shd w:val="clear" w:color="auto" w:fill="FFFFFF"/>
        </w:rPr>
        <w:t>第六部分格式要</w:t>
      </w:r>
      <w:r>
        <w:rPr>
          <w:rFonts w:hint="eastAsia" w:ascii="仿宋" w:hAnsi="仿宋" w:eastAsia="仿宋" w:cs="仿宋"/>
          <w:b w:val="0"/>
          <w:bCs w:val="0"/>
          <w:color w:val="auto"/>
          <w:kern w:val="56"/>
          <w:sz w:val="28"/>
          <w:szCs w:val="28"/>
          <w:highlight w:val="none"/>
          <w:shd w:val="clear" w:color="auto" w:fill="FFFFFF"/>
        </w:rPr>
        <w:t>求进行签署、盖章。▲</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的</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未按照</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要求签署、盖章的，其投标无效。</w:t>
      </w:r>
    </w:p>
    <w:p w14:paraId="1876A93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13.2为确保网上操作合法、有效和安全，</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应当在投标截止时间前完成在“政府采购云平台”的身份认证，确保在电子投标过程中能够对相关数据电文进行加密和使用电子签名。</w:t>
      </w:r>
    </w:p>
    <w:p w14:paraId="42D53AE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13.3</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ascii="仿宋" w:hAnsi="仿宋" w:eastAsia="仿宋" w:cs="仿宋"/>
          <w:b w:val="0"/>
          <w:bCs w:val="0"/>
          <w:color w:val="auto"/>
          <w:kern w:val="56"/>
          <w:sz w:val="28"/>
          <w:szCs w:val="28"/>
          <w:highlight w:val="none"/>
          <w:shd w:val="clear" w:color="auto" w:fill="FFFFFF"/>
        </w:rPr>
        <w:t>对</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签署、盖章的要求适用于电子签名。</w:t>
      </w:r>
    </w:p>
    <w:p w14:paraId="1C080F4D">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 xml:space="preserve">14. </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的提交、补充、修改、撤回</w:t>
      </w:r>
    </w:p>
    <w:p w14:paraId="484E1106">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 xml:space="preserve">14.1 </w:t>
      </w:r>
      <w:r>
        <w:rPr>
          <w:rFonts w:hint="eastAsia" w:ascii="仿宋" w:hAnsi="仿宋" w:eastAsia="仿宋" w:cs="仿宋"/>
          <w:b w:val="0"/>
          <w:bCs w:val="0"/>
          <w:color w:val="auto"/>
          <w:kern w:val="56"/>
          <w:sz w:val="28"/>
          <w:szCs w:val="28"/>
          <w:highlight w:val="none"/>
          <w:shd w:val="clear" w:color="auto" w:fill="FFFFFF"/>
        </w:rPr>
        <w:t>供应商应当在投标截止时间前完成</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的传输递交，并可以补充、修改或者撤回</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。补充或者修改</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的，应当先行撤回原文件，补充、修改后重新传输递交。投标截止时间前未完成传输的，视为撤回</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。投标截止时间后递交的</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，电子交易平台将拒收。</w:t>
      </w:r>
    </w:p>
    <w:p w14:paraId="1663C6D3">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14.2电子交易平台收到</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，将妥善保存并即时向供应商发出确认回执通知。在投标截止时间前，除供应商补充、修改或者撤回</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外，任何单位和个人不得解密或提取</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w:t>
      </w:r>
    </w:p>
    <w:p w14:paraId="5FE49619">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14.3</w:t>
      </w:r>
      <w:r>
        <w:rPr>
          <w:rFonts w:hint="eastAsia" w:ascii="仿宋" w:hAnsi="仿宋" w:eastAsia="仿宋" w:cs="仿宋"/>
          <w:b w:val="0"/>
          <w:bCs w:val="0"/>
          <w:color w:val="auto"/>
          <w:kern w:val="56"/>
          <w:sz w:val="28"/>
          <w:szCs w:val="28"/>
          <w:highlight w:val="none"/>
          <w:shd w:val="clear" w:color="auto" w:fill="FFFFFF"/>
          <w:lang w:eastAsia="zh-CN"/>
        </w:rPr>
        <w:t>招标采购人</w:t>
      </w:r>
      <w:r>
        <w:rPr>
          <w:rFonts w:ascii="仿宋" w:hAnsi="仿宋" w:eastAsia="仿宋" w:cs="仿宋"/>
          <w:b w:val="0"/>
          <w:bCs w:val="0"/>
          <w:color w:val="auto"/>
          <w:kern w:val="56"/>
          <w:sz w:val="28"/>
          <w:szCs w:val="28"/>
          <w:highlight w:val="none"/>
          <w:shd w:val="clear" w:color="auto" w:fill="FFFFFF"/>
        </w:rPr>
        <w:t>可以视情况延长</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提交的截止时间。在上述情况下，</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ascii="仿宋" w:hAnsi="仿宋" w:eastAsia="仿宋" w:cs="仿宋"/>
          <w:b w:val="0"/>
          <w:bCs w:val="0"/>
          <w:color w:val="auto"/>
          <w:kern w:val="56"/>
          <w:sz w:val="28"/>
          <w:szCs w:val="28"/>
          <w:highlight w:val="none"/>
          <w:shd w:val="clear" w:color="auto" w:fill="FFFFFF"/>
        </w:rPr>
        <w:t>与</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以前在投标截止期方面的全部权利、责任和义务，将适用于延长至新的投标截止期。</w:t>
      </w:r>
    </w:p>
    <w:p w14:paraId="06BD7E20">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ascii="仿宋" w:hAnsi="仿宋" w:eastAsia="仿宋" w:cs="仿宋"/>
          <w:b w:val="0"/>
          <w:bCs w:val="0"/>
          <w:color w:val="auto"/>
          <w:kern w:val="56"/>
          <w:sz w:val="28"/>
          <w:szCs w:val="28"/>
          <w:highlight w:val="none"/>
          <w:shd w:val="clear" w:color="auto" w:fill="FFFFFF"/>
        </w:rPr>
        <w:t>15.备份</w:t>
      </w:r>
      <w:r>
        <w:rPr>
          <w:rFonts w:hint="eastAsia" w:ascii="仿宋" w:hAnsi="仿宋" w:eastAsia="仿宋" w:cs="仿宋"/>
          <w:b w:val="0"/>
          <w:bCs w:val="0"/>
          <w:color w:val="auto"/>
          <w:kern w:val="56"/>
          <w:sz w:val="28"/>
          <w:szCs w:val="28"/>
          <w:highlight w:val="none"/>
          <w:shd w:val="clear" w:color="auto" w:fill="FFFFFF"/>
          <w:lang w:eastAsia="zh-CN"/>
        </w:rPr>
        <w:t>响应文件</w:t>
      </w:r>
    </w:p>
    <w:p w14:paraId="6582CE22">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 xml:space="preserve"> 15.1</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在电子交易平台传输递交</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后，还可以在投标截止时间前直接提交或者以邮政快递方式递交备份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1份，</w:t>
      </w:r>
      <w:r>
        <w:rPr>
          <w:rFonts w:hint="eastAsia" w:ascii="仿宋" w:hAnsi="仿宋" w:eastAsia="仿宋" w:cs="仿宋"/>
          <w:b w:val="0"/>
          <w:bCs w:val="0"/>
          <w:color w:val="auto"/>
          <w:kern w:val="56"/>
          <w:sz w:val="28"/>
          <w:szCs w:val="28"/>
          <w:highlight w:val="none"/>
          <w:shd w:val="clear" w:color="auto" w:fill="FFFFFF"/>
        </w:rPr>
        <w:t>但</w:t>
      </w:r>
      <w:r>
        <w:rPr>
          <w:rFonts w:hint="eastAsia" w:ascii="仿宋" w:hAnsi="仿宋" w:eastAsia="仿宋" w:cs="仿宋"/>
          <w:b w:val="0"/>
          <w:bCs w:val="0"/>
          <w:color w:val="auto"/>
          <w:kern w:val="56"/>
          <w:sz w:val="28"/>
          <w:szCs w:val="28"/>
          <w:highlight w:val="none"/>
          <w:shd w:val="clear" w:color="auto" w:fill="FFFFFF"/>
          <w:lang w:eastAsia="zh-CN"/>
        </w:rPr>
        <w:t>招标采购人</w:t>
      </w:r>
      <w:r>
        <w:rPr>
          <w:rFonts w:hint="eastAsia" w:ascii="仿宋" w:hAnsi="仿宋" w:eastAsia="仿宋" w:cs="仿宋"/>
          <w:b w:val="0"/>
          <w:bCs w:val="0"/>
          <w:color w:val="auto"/>
          <w:kern w:val="56"/>
          <w:sz w:val="28"/>
          <w:szCs w:val="28"/>
          <w:highlight w:val="none"/>
          <w:shd w:val="clear" w:color="auto" w:fill="FFFFFF"/>
        </w:rPr>
        <w:t>不强制或变相强制</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提交备份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w:t>
      </w:r>
    </w:p>
    <w:p w14:paraId="488D232B">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15.2备份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须在“政</w:t>
      </w:r>
      <w:r>
        <w:rPr>
          <w:rFonts w:hint="eastAsia" w:ascii="仿宋" w:hAnsi="仿宋" w:eastAsia="仿宋" w:cs="仿宋"/>
          <w:b w:val="0"/>
          <w:bCs w:val="0"/>
          <w:color w:val="auto"/>
          <w:kern w:val="56"/>
          <w:sz w:val="28"/>
          <w:szCs w:val="28"/>
          <w:highlight w:val="none"/>
          <w:shd w:val="clear" w:color="auto" w:fill="FFFFFF"/>
        </w:rPr>
        <w:t>采云投标客户端”制作生成，并储存在</w:t>
      </w:r>
      <w:r>
        <w:rPr>
          <w:rFonts w:hint="eastAsia" w:ascii="仿宋" w:hAnsi="仿宋" w:eastAsia="仿宋" w:cs="仿宋"/>
          <w:b w:val="0"/>
          <w:bCs w:val="0"/>
          <w:color w:val="auto"/>
          <w:kern w:val="56"/>
          <w:sz w:val="28"/>
          <w:szCs w:val="28"/>
          <w:highlight w:val="none"/>
          <w:shd w:val="clear" w:color="auto" w:fill="FFFFFF"/>
          <w:lang w:val="en-US" w:eastAsia="zh-CN"/>
        </w:rPr>
        <w:t>U盘</w:t>
      </w:r>
      <w:r>
        <w:rPr>
          <w:rFonts w:hint="eastAsia" w:ascii="仿宋" w:hAnsi="仿宋" w:eastAsia="仿宋" w:cs="仿宋"/>
          <w:b w:val="0"/>
          <w:bCs w:val="0"/>
          <w:color w:val="auto"/>
          <w:kern w:val="56"/>
          <w:sz w:val="28"/>
          <w:szCs w:val="28"/>
          <w:highlight w:val="none"/>
          <w:shd w:val="clear" w:color="auto" w:fill="FFFFFF"/>
        </w:rPr>
        <w:t>中。备份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应当密封包装并在包装上加盖公章并注明投标项目名称，</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名称</w:t>
      </w:r>
      <w:r>
        <w:rPr>
          <w:rFonts w:ascii="仿宋" w:hAnsi="仿宋" w:eastAsia="仿宋" w:cs="仿宋"/>
          <w:b w:val="0"/>
          <w:bCs w:val="0"/>
          <w:color w:val="auto"/>
          <w:kern w:val="56"/>
          <w:sz w:val="28"/>
          <w:szCs w:val="28"/>
          <w:highlight w:val="none"/>
          <w:shd w:val="clear" w:color="auto" w:fill="FFFFFF"/>
        </w:rPr>
        <w:t>(联合体投标的，包装物封面需注明联合体投标，并注明联合体成员各方的名称和联合协议中约定的牵头人的名称)。</w:t>
      </w:r>
      <w:r>
        <w:rPr>
          <w:rFonts w:hint="eastAsia" w:ascii="仿宋" w:hAnsi="仿宋" w:eastAsia="仿宋" w:cs="仿宋"/>
          <w:b w:val="0"/>
          <w:bCs w:val="0"/>
          <w:color w:val="auto"/>
          <w:kern w:val="56"/>
          <w:sz w:val="28"/>
          <w:szCs w:val="28"/>
          <w:highlight w:val="none"/>
          <w:shd w:val="clear" w:color="auto" w:fill="FFFFFF"/>
        </w:rPr>
        <w:t>不符合上述制作、存储、密封规定的备份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将被视为无效或者被拒绝接收。</w:t>
      </w:r>
    </w:p>
    <w:p w14:paraId="5BF9E522">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15.3直接提交备份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的，</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应于投标截止时间前在招标公告中载明的开标地点将备份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提交给</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ascii="仿宋" w:hAnsi="仿宋" w:eastAsia="仿宋" w:cs="仿宋"/>
          <w:b w:val="0"/>
          <w:bCs w:val="0"/>
          <w:color w:val="auto"/>
          <w:kern w:val="56"/>
          <w:sz w:val="28"/>
          <w:szCs w:val="28"/>
          <w:highlight w:val="none"/>
          <w:shd w:val="clear" w:color="auto" w:fill="FFFFFF"/>
        </w:rPr>
        <w:t>，</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ascii="仿宋" w:hAnsi="仿宋" w:eastAsia="仿宋" w:cs="仿宋"/>
          <w:b w:val="0"/>
          <w:bCs w:val="0"/>
          <w:color w:val="auto"/>
          <w:kern w:val="56"/>
          <w:sz w:val="28"/>
          <w:szCs w:val="28"/>
          <w:highlight w:val="none"/>
          <w:shd w:val="clear" w:color="auto" w:fill="FFFFFF"/>
        </w:rPr>
        <w:t>将拒绝接受逾期送达的备份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w:t>
      </w:r>
    </w:p>
    <w:p w14:paraId="2995F27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15.4以快递方式递交备份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的，</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应先将备份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按要求密封和标记，再进行邮政快递包装后邮寄。备份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须在投标截止时间之前送达</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第二部分</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须知前附表规定的备份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送达地点；送达时间以签收人签收时间为准。</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hint="eastAsia" w:ascii="仿宋" w:hAnsi="仿宋" w:eastAsia="仿宋" w:cs="仿宋"/>
          <w:b w:val="0"/>
          <w:bCs w:val="0"/>
          <w:color w:val="auto"/>
          <w:kern w:val="56"/>
          <w:sz w:val="28"/>
          <w:szCs w:val="28"/>
          <w:highlight w:val="none"/>
          <w:shd w:val="clear" w:color="auto" w:fill="FFFFFF"/>
        </w:rPr>
        <w:t>将拒绝接受逾期送达的备份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。邮寄过程中，电子备份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发生泄露、遗失、损坏或延期送达等情况的，由</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自行负责。</w:t>
      </w:r>
    </w:p>
    <w:p w14:paraId="07CC9570">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15.5</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仅提交备份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，没有在电子交易平台传输递交</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的，投标无效。</w:t>
      </w:r>
    </w:p>
    <w:p w14:paraId="6D014366">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16.</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的无效处理</w:t>
      </w:r>
    </w:p>
    <w:p w14:paraId="6720DF7F">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hint="eastAsia" w:ascii="仿宋" w:hAnsi="仿宋" w:eastAsia="仿宋" w:cs="仿宋"/>
          <w:b w:val="0"/>
          <w:bCs w:val="0"/>
          <w:color w:val="auto"/>
          <w:kern w:val="56"/>
          <w:sz w:val="28"/>
          <w:szCs w:val="28"/>
          <w:highlight w:val="none"/>
          <w:shd w:val="clear" w:color="auto" w:fill="FFFFFF"/>
        </w:rPr>
        <w:t>有</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第四部分第</w:t>
      </w:r>
      <w:r>
        <w:rPr>
          <w:rFonts w:ascii="仿宋" w:hAnsi="仿宋" w:eastAsia="仿宋" w:cs="仿宋"/>
          <w:b w:val="0"/>
          <w:bCs w:val="0"/>
          <w:color w:val="auto"/>
          <w:kern w:val="56"/>
          <w:sz w:val="28"/>
          <w:szCs w:val="28"/>
          <w:highlight w:val="none"/>
          <w:shd w:val="clear" w:color="auto" w:fill="FFFFFF"/>
        </w:rPr>
        <w:t>13项规定</w:t>
      </w:r>
      <w:r>
        <w:rPr>
          <w:rFonts w:hint="eastAsia" w:ascii="仿宋" w:hAnsi="仿宋" w:eastAsia="仿宋" w:cs="仿宋"/>
          <w:b w:val="0"/>
          <w:bCs w:val="0"/>
          <w:color w:val="auto"/>
          <w:kern w:val="56"/>
          <w:sz w:val="28"/>
          <w:szCs w:val="28"/>
          <w:highlight w:val="none"/>
          <w:shd w:val="clear" w:color="auto" w:fill="FFFFFF"/>
        </w:rPr>
        <w:t>的情形之一的，投标无效：</w:t>
      </w:r>
    </w:p>
    <w:p w14:paraId="2E4C7151">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17.投标有效期</w:t>
      </w:r>
    </w:p>
    <w:p w14:paraId="0420D896">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17.1投标有效期为从提交</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的截止之日起90天。▲</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的</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中承诺的投标有效期少于</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中载明的投标有效期的，投标无效。</w:t>
      </w:r>
    </w:p>
    <w:p w14:paraId="0FFFDB71">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17.2</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合格投递后，自投标截止日期起，在投标有效期内有效。</w:t>
      </w:r>
    </w:p>
    <w:p w14:paraId="571EB02A">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17.3在原定投标有效期满之前，如果出现特殊情况，</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ascii="仿宋" w:hAnsi="仿宋" w:eastAsia="仿宋" w:cs="仿宋"/>
          <w:b w:val="0"/>
          <w:bCs w:val="0"/>
          <w:color w:val="auto"/>
          <w:kern w:val="56"/>
          <w:sz w:val="28"/>
          <w:szCs w:val="28"/>
          <w:highlight w:val="none"/>
          <w:shd w:val="clear" w:color="auto" w:fill="FFFFFF"/>
        </w:rPr>
        <w:t>可以以书面形式通知</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延长投标有效期。</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同意延长的，不得要求或被允许修改其</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拒绝延长的，其投标无效。</w:t>
      </w:r>
    </w:p>
    <w:p w14:paraId="7106B545">
      <w:pPr>
        <w:pStyle w:val="129"/>
        <w:keepNext w:val="0"/>
        <w:keepLines w:val="0"/>
        <w:pageBreakBefore w:val="0"/>
        <w:kinsoku/>
        <w:wordWrap/>
        <w:overflowPunct/>
        <w:topLinePunct w:val="0"/>
        <w:bidi w:val="0"/>
        <w:spacing w:before="0" w:beforeAutospacing="0" w:line="560" w:lineRule="exact"/>
        <w:ind w:left="0" w:leftChars="0" w:right="0" w:firstLine="643"/>
        <w:textAlignment w:val="auto"/>
        <w:rPr>
          <w:rFonts w:ascii="仿宋_GB2312" w:hAnsi="仿宋" w:eastAsia="仿宋_GB2312" w:cs="仿宋_GB2312"/>
          <w:b/>
          <w:color w:val="auto"/>
          <w:sz w:val="32"/>
          <w:highlight w:val="none"/>
        </w:rPr>
      </w:pPr>
    </w:p>
    <w:p w14:paraId="69DB0ED3">
      <w:pPr>
        <w:pStyle w:val="129"/>
        <w:keepNext w:val="0"/>
        <w:keepLines w:val="0"/>
        <w:pageBreakBefore w:val="0"/>
        <w:kinsoku/>
        <w:wordWrap/>
        <w:overflowPunct/>
        <w:topLinePunct w:val="0"/>
        <w:bidi w:val="0"/>
        <w:spacing w:before="0" w:beforeAutospacing="0" w:line="560" w:lineRule="exact"/>
        <w:ind w:left="0" w:leftChars="0" w:right="0" w:firstLine="1928" w:firstLineChars="600"/>
        <w:textAlignment w:val="auto"/>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5C80FDAF">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 xml:space="preserve">18.开标 </w:t>
      </w:r>
    </w:p>
    <w:p w14:paraId="1079580F">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18.1</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ascii="仿宋" w:hAnsi="仿宋" w:eastAsia="仿宋" w:cs="仿宋"/>
          <w:b w:val="0"/>
          <w:bCs w:val="0"/>
          <w:color w:val="auto"/>
          <w:kern w:val="56"/>
          <w:sz w:val="28"/>
          <w:szCs w:val="28"/>
          <w:highlight w:val="none"/>
          <w:shd w:val="clear" w:color="auto" w:fill="FFFFFF"/>
        </w:rPr>
        <w:t>按照</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ascii="仿宋" w:hAnsi="仿宋" w:eastAsia="仿宋" w:cs="仿宋"/>
          <w:b w:val="0"/>
          <w:bCs w:val="0"/>
          <w:color w:val="auto"/>
          <w:kern w:val="56"/>
          <w:sz w:val="28"/>
          <w:szCs w:val="28"/>
          <w:highlight w:val="none"/>
          <w:shd w:val="clear" w:color="auto" w:fill="FFFFFF"/>
        </w:rPr>
        <w:t>规定的时间通过电子交易平台组织开标，所有</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均应当准时在线参加。</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不</w:t>
      </w:r>
      <w:r>
        <w:rPr>
          <w:rFonts w:hint="eastAsia" w:ascii="仿宋" w:hAnsi="仿宋" w:eastAsia="仿宋" w:cs="仿宋"/>
          <w:b w:val="0"/>
          <w:bCs w:val="0"/>
          <w:color w:val="auto"/>
          <w:kern w:val="56"/>
          <w:sz w:val="28"/>
          <w:szCs w:val="28"/>
          <w:highlight w:val="none"/>
          <w:shd w:val="clear" w:color="auto" w:fill="FFFFFF"/>
          <w:lang w:val="en-US" w:eastAsia="zh-CN"/>
        </w:rPr>
        <w:t>满足3家</w:t>
      </w:r>
      <w:r>
        <w:rPr>
          <w:rFonts w:ascii="仿宋" w:hAnsi="仿宋" w:eastAsia="仿宋" w:cs="仿宋"/>
          <w:b w:val="0"/>
          <w:bCs w:val="0"/>
          <w:color w:val="auto"/>
          <w:kern w:val="56"/>
          <w:sz w:val="28"/>
          <w:szCs w:val="28"/>
          <w:highlight w:val="none"/>
          <w:shd w:val="clear" w:color="auto" w:fill="FFFFFF"/>
        </w:rPr>
        <w:t>的，不得开标。</w:t>
      </w:r>
    </w:p>
    <w:p w14:paraId="134355BB">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18.2开标时，电子交易平台按开标时间自动提取所有</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ascii="仿宋" w:hAnsi="仿宋" w:eastAsia="仿宋" w:cs="仿宋"/>
          <w:b w:val="0"/>
          <w:bCs w:val="0"/>
          <w:color w:val="auto"/>
          <w:kern w:val="56"/>
          <w:sz w:val="28"/>
          <w:szCs w:val="28"/>
          <w:highlight w:val="none"/>
          <w:shd w:val="clear" w:color="auto" w:fill="FFFFFF"/>
        </w:rPr>
        <w:t>。</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ascii="仿宋" w:hAnsi="仿宋" w:eastAsia="仿宋" w:cs="仿宋"/>
          <w:b w:val="0"/>
          <w:bCs w:val="0"/>
          <w:color w:val="auto"/>
          <w:kern w:val="56"/>
          <w:sz w:val="28"/>
          <w:szCs w:val="28"/>
          <w:highlight w:val="none"/>
          <w:shd w:val="clear" w:color="auto" w:fill="FFFFFF"/>
        </w:rPr>
        <w:t>依托电子交易平台发起开始解密指令，</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按照平台提示和</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ascii="仿宋" w:hAnsi="仿宋" w:eastAsia="仿宋" w:cs="仿宋"/>
          <w:b w:val="0"/>
          <w:bCs w:val="0"/>
          <w:color w:val="auto"/>
          <w:kern w:val="56"/>
          <w:sz w:val="28"/>
          <w:szCs w:val="28"/>
          <w:highlight w:val="none"/>
          <w:shd w:val="clear" w:color="auto" w:fill="FFFFFF"/>
        </w:rPr>
        <w:t>的规定在半小时内完成在线解密。</w:t>
      </w:r>
    </w:p>
    <w:p w14:paraId="2486C886">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18.3</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未按时解密，</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提供了备份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的，以备份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作为依据，否则视为</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撤回。</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已按时解密的，备份</w:t>
      </w:r>
      <w:r>
        <w:rPr>
          <w:rFonts w:hint="eastAsia" w:ascii="仿宋" w:hAnsi="仿宋" w:eastAsia="仿宋" w:cs="仿宋"/>
          <w:b w:val="0"/>
          <w:bCs w:val="0"/>
          <w:color w:val="auto"/>
          <w:kern w:val="56"/>
          <w:sz w:val="28"/>
          <w:szCs w:val="28"/>
          <w:highlight w:val="none"/>
          <w:shd w:val="clear" w:color="auto" w:fill="FFFFFF"/>
          <w:lang w:eastAsia="zh-CN"/>
        </w:rPr>
        <w:t>响应文件</w:t>
      </w:r>
      <w:r>
        <w:rPr>
          <w:rFonts w:hint="eastAsia" w:ascii="仿宋" w:hAnsi="仿宋" w:eastAsia="仿宋" w:cs="仿宋"/>
          <w:b w:val="0"/>
          <w:bCs w:val="0"/>
          <w:color w:val="auto"/>
          <w:kern w:val="56"/>
          <w:sz w:val="28"/>
          <w:szCs w:val="28"/>
          <w:highlight w:val="none"/>
          <w:shd w:val="clear" w:color="auto" w:fill="FFFFFF"/>
        </w:rPr>
        <w:t>自动失效。</w:t>
      </w:r>
    </w:p>
    <w:p w14:paraId="1263F879">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19、资格审查</w:t>
      </w:r>
    </w:p>
    <w:p w14:paraId="670A3F56">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19.1开标后，</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ascii="仿宋" w:hAnsi="仿宋" w:eastAsia="仿宋" w:cs="仿宋"/>
          <w:b w:val="0"/>
          <w:bCs w:val="0"/>
          <w:color w:val="auto"/>
          <w:kern w:val="56"/>
          <w:sz w:val="28"/>
          <w:szCs w:val="28"/>
          <w:highlight w:val="none"/>
          <w:shd w:val="clear" w:color="auto" w:fill="FFFFFF"/>
        </w:rPr>
        <w:t>将依法对</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的资格进行审查。</w:t>
      </w:r>
    </w:p>
    <w:p w14:paraId="5694D25B">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19.2</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hint="eastAsia" w:ascii="仿宋" w:hAnsi="仿宋" w:eastAsia="仿宋" w:cs="仿宋"/>
          <w:b w:val="0"/>
          <w:bCs w:val="0"/>
          <w:color w:val="auto"/>
          <w:kern w:val="56"/>
          <w:sz w:val="28"/>
          <w:szCs w:val="28"/>
          <w:highlight w:val="none"/>
          <w:shd w:val="clear" w:color="auto" w:fill="FFFFFF"/>
        </w:rPr>
        <w:t>依据法律法规和</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的规定，对</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的基本资格条件、特定资格条件进行审查。</w:t>
      </w:r>
    </w:p>
    <w:p w14:paraId="759A426A">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19.3</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未按照</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ascii="仿宋" w:hAnsi="仿宋" w:eastAsia="仿宋" w:cs="仿宋"/>
          <w:b w:val="0"/>
          <w:bCs w:val="0"/>
          <w:color w:val="auto"/>
          <w:kern w:val="56"/>
          <w:sz w:val="28"/>
          <w:szCs w:val="28"/>
          <w:highlight w:val="none"/>
          <w:shd w:val="clear" w:color="auto" w:fill="FFFFFF"/>
        </w:rPr>
        <w:t>要求提供与</w:t>
      </w:r>
      <w:r>
        <w:rPr>
          <w:rFonts w:hint="eastAsia" w:ascii="仿宋" w:hAnsi="仿宋" w:eastAsia="仿宋" w:cs="仿宋"/>
          <w:b w:val="0"/>
          <w:bCs w:val="0"/>
          <w:color w:val="auto"/>
          <w:kern w:val="56"/>
          <w:sz w:val="28"/>
          <w:szCs w:val="28"/>
          <w:highlight w:val="none"/>
          <w:shd w:val="clear" w:color="auto" w:fill="FFFFFF"/>
        </w:rPr>
        <w:t>基本资格条件、特定资格条件相应的有效资格证明材料的，视为</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不具备</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中规定的资格要求，其投标无效。</w:t>
      </w:r>
    </w:p>
    <w:p w14:paraId="02A3EEFB">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19.4对未通过资格审查的</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ascii="仿宋" w:hAnsi="仿宋" w:eastAsia="仿宋" w:cs="仿宋"/>
          <w:b w:val="0"/>
          <w:bCs w:val="0"/>
          <w:color w:val="auto"/>
          <w:kern w:val="56"/>
          <w:sz w:val="28"/>
          <w:szCs w:val="28"/>
          <w:highlight w:val="none"/>
          <w:shd w:val="clear" w:color="auto" w:fill="FFFFFF"/>
        </w:rPr>
        <w:t>告知其未通过的原因。</w:t>
      </w:r>
    </w:p>
    <w:p w14:paraId="1C3BA2A9">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19.5合格</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lang w:val="en-US" w:eastAsia="zh-CN"/>
        </w:rPr>
        <w:t>不足3家</w:t>
      </w:r>
      <w:r>
        <w:rPr>
          <w:rFonts w:ascii="仿宋" w:hAnsi="仿宋" w:eastAsia="仿宋" w:cs="仿宋"/>
          <w:b w:val="0"/>
          <w:bCs w:val="0"/>
          <w:color w:val="auto"/>
          <w:kern w:val="56"/>
          <w:sz w:val="28"/>
          <w:szCs w:val="28"/>
          <w:highlight w:val="none"/>
          <w:shd w:val="clear" w:color="auto" w:fill="FFFFFF"/>
        </w:rPr>
        <w:t>的，不再评标。</w:t>
      </w:r>
    </w:p>
    <w:p w14:paraId="33BAE726">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20、信用信息查询</w:t>
      </w:r>
    </w:p>
    <w:p w14:paraId="000AFCF0">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20.1信用信息查询渠道及截止时间：</w:t>
      </w:r>
      <w:r>
        <w:rPr>
          <w:rFonts w:hint="eastAsia" w:ascii="仿宋" w:hAnsi="仿宋" w:eastAsia="仿宋" w:cs="仿宋"/>
          <w:b w:val="0"/>
          <w:bCs w:val="0"/>
          <w:color w:val="auto"/>
          <w:kern w:val="56"/>
          <w:sz w:val="28"/>
          <w:szCs w:val="28"/>
          <w:highlight w:val="none"/>
          <w:shd w:val="clear" w:color="auto" w:fill="FFFFFF"/>
          <w:lang w:eastAsia="zh-CN"/>
        </w:rPr>
        <w:t>采购代理机构</w:t>
      </w:r>
      <w:r>
        <w:rPr>
          <w:rFonts w:ascii="仿宋" w:hAnsi="仿宋" w:eastAsia="仿宋" w:cs="仿宋"/>
          <w:b w:val="0"/>
          <w:bCs w:val="0"/>
          <w:color w:val="auto"/>
          <w:kern w:val="56"/>
          <w:sz w:val="28"/>
          <w:szCs w:val="28"/>
          <w:highlight w:val="none"/>
          <w:shd w:val="clear" w:color="auto" w:fill="FFFFFF"/>
        </w:rPr>
        <w:t>将通过“信用中国”网站(www.creditchina.gov.cn)、中国政府采购网(www.ccgp.gov.cn)渠道查询</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投标截止时间当天的信用记录。</w:t>
      </w:r>
    </w:p>
    <w:p w14:paraId="5E87068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20.2信用信息查询记录和证据留存的具体方式：现场查询的</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的信用记录、查询结果经确认后将与采购文件一起存档。</w:t>
      </w:r>
    </w:p>
    <w:p w14:paraId="788D751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20.3信用信息的使用规则：经查询列入失信被执行人名单、重大税收违法案件当事人名单、政府采购严重违法失信行为记录名单的</w:t>
      </w:r>
      <w:r>
        <w:rPr>
          <w:rFonts w:hint="eastAsia" w:ascii="仿宋" w:hAnsi="仿宋" w:eastAsia="仿宋" w:cs="仿宋"/>
          <w:b w:val="0"/>
          <w:bCs w:val="0"/>
          <w:color w:val="auto"/>
          <w:kern w:val="56"/>
          <w:sz w:val="28"/>
          <w:szCs w:val="28"/>
          <w:highlight w:val="none"/>
          <w:shd w:val="clear" w:color="auto" w:fill="FFFFFF"/>
          <w:lang w:eastAsia="zh-CN"/>
        </w:rPr>
        <w:t>供应商</w:t>
      </w:r>
      <w:r>
        <w:rPr>
          <w:rFonts w:ascii="仿宋" w:hAnsi="仿宋" w:eastAsia="仿宋" w:cs="仿宋"/>
          <w:b w:val="0"/>
          <w:bCs w:val="0"/>
          <w:color w:val="auto"/>
          <w:kern w:val="56"/>
          <w:sz w:val="28"/>
          <w:szCs w:val="28"/>
          <w:highlight w:val="none"/>
          <w:shd w:val="clear" w:color="auto" w:fill="FFFFFF"/>
        </w:rPr>
        <w:t>将被拒绝参与政府采购活动。</w:t>
      </w:r>
    </w:p>
    <w:p w14:paraId="5FD67249">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 w:hAnsi="仿宋" w:eastAsia="仿宋" w:cs="仿宋"/>
          <w:b w:val="0"/>
          <w:bCs w:val="0"/>
          <w:color w:val="auto"/>
          <w:kern w:val="56"/>
          <w:sz w:val="28"/>
          <w:szCs w:val="28"/>
          <w:highlight w:val="none"/>
          <w:shd w:val="clear" w:color="auto" w:fill="FFFFFF"/>
        </w:rPr>
      </w:pPr>
      <w:r>
        <w:rPr>
          <w:rFonts w:ascii="仿宋" w:hAnsi="仿宋" w:eastAsia="仿宋" w:cs="仿宋"/>
          <w:b w:val="0"/>
          <w:bCs w:val="0"/>
          <w:color w:val="auto"/>
          <w:kern w:val="56"/>
          <w:sz w:val="28"/>
          <w:szCs w:val="28"/>
          <w:highlight w:val="none"/>
          <w:shd w:val="clear" w:color="auto" w:fill="FFFFFF"/>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b w:val="0"/>
          <w:bCs w:val="0"/>
          <w:color w:val="auto"/>
          <w:kern w:val="56"/>
          <w:sz w:val="28"/>
          <w:szCs w:val="28"/>
          <w:highlight w:val="none"/>
          <w:shd w:val="clear" w:color="auto" w:fill="FFFFFF"/>
        </w:rPr>
        <w:t>。</w:t>
      </w:r>
    </w:p>
    <w:p w14:paraId="02F91A50">
      <w:pPr>
        <w:keepNext w:val="0"/>
        <w:keepLines w:val="0"/>
        <w:pageBreakBefore w:val="0"/>
        <w:kinsoku/>
        <w:wordWrap/>
        <w:overflowPunct/>
        <w:topLinePunct w:val="0"/>
        <w:bidi w:val="0"/>
        <w:snapToGrid w:val="0"/>
        <w:spacing w:beforeAutospacing="0" w:line="560" w:lineRule="exact"/>
        <w:ind w:left="0" w:leftChars="0" w:right="0"/>
        <w:jc w:val="center"/>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5A6FFC0A">
      <w:pPr>
        <w:keepNext w:val="0"/>
        <w:keepLines w:val="0"/>
        <w:pageBreakBefore w:val="0"/>
        <w:kinsoku/>
        <w:wordWrap/>
        <w:overflowPunct/>
        <w:topLinePunct w:val="0"/>
        <w:bidi w:val="0"/>
        <w:spacing w:beforeAutospacing="0" w:line="560" w:lineRule="exact"/>
        <w:ind w:left="0" w:leftChars="0" w:right="0" w:firstLine="560" w:firstLineChars="200"/>
        <w:textAlignment w:val="auto"/>
        <w:rPr>
          <w:rFonts w:ascii="仿宋_GB2312" w:hAnsi="仿宋" w:eastAsia="仿宋_GB2312" w:cs="仿宋_GB2312"/>
          <w:b/>
          <w:color w:val="auto"/>
          <w:sz w:val="24"/>
          <w:highlight w:val="none"/>
        </w:rPr>
      </w:pPr>
      <w:bookmarkStart w:id="11" w:name="_Toc91899903"/>
      <w:r>
        <w:rPr>
          <w:rFonts w:ascii="仿宋" w:hAnsi="仿宋" w:eastAsia="仿宋" w:cs="仿宋"/>
          <w:b w:val="0"/>
          <w:bCs w:val="0"/>
          <w:color w:val="auto"/>
          <w:kern w:val="56"/>
          <w:sz w:val="28"/>
          <w:szCs w:val="28"/>
          <w:highlight w:val="none"/>
          <w:shd w:val="clear" w:color="auto" w:fill="FFFFFF"/>
        </w:rPr>
        <w:t xml:space="preserve">21. </w:t>
      </w:r>
      <w:r>
        <w:rPr>
          <w:rFonts w:hint="eastAsia" w:ascii="仿宋" w:hAnsi="仿宋" w:eastAsia="仿宋" w:cs="仿宋"/>
          <w:b w:val="0"/>
          <w:bCs w:val="0"/>
          <w:color w:val="auto"/>
          <w:kern w:val="56"/>
          <w:sz w:val="28"/>
          <w:szCs w:val="28"/>
          <w:highlight w:val="none"/>
          <w:shd w:val="clear" w:color="auto" w:fill="FFFFFF"/>
          <w:lang w:eastAsia="zh-CN"/>
        </w:rPr>
        <w:t>评审委员会</w:t>
      </w:r>
      <w:r>
        <w:rPr>
          <w:rFonts w:hint="eastAsia" w:ascii="仿宋" w:hAnsi="仿宋" w:eastAsia="仿宋" w:cs="仿宋"/>
          <w:b w:val="0"/>
          <w:bCs w:val="0"/>
          <w:color w:val="auto"/>
          <w:kern w:val="56"/>
          <w:sz w:val="28"/>
          <w:szCs w:val="28"/>
          <w:highlight w:val="none"/>
          <w:shd w:val="clear" w:color="auto" w:fill="FFFFFF"/>
        </w:rPr>
        <w:t>将根据</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和有关规定，履行评标工作职责，并按照评标方法及评分标准，全面衡量各</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对</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的响应情况。对实质上响应</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的</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，按照评审因素的量化指标排出推荐中标的</w:t>
      </w: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rPr>
        <w:t>的先后顺序，并按顺序提出授标建议。详见</w:t>
      </w:r>
      <w:r>
        <w:rPr>
          <w:rFonts w:hint="eastAsia" w:ascii="仿宋" w:hAnsi="仿宋" w:eastAsia="仿宋" w:cs="仿宋"/>
          <w:b w:val="0"/>
          <w:bCs w:val="0"/>
          <w:color w:val="auto"/>
          <w:kern w:val="56"/>
          <w:sz w:val="28"/>
          <w:szCs w:val="28"/>
          <w:highlight w:val="none"/>
          <w:shd w:val="clear" w:color="auto" w:fill="FFFFFF"/>
          <w:lang w:eastAsia="zh-CN"/>
        </w:rPr>
        <w:t>采购文件</w:t>
      </w:r>
      <w:r>
        <w:rPr>
          <w:rFonts w:hint="eastAsia" w:ascii="仿宋" w:hAnsi="仿宋" w:eastAsia="仿宋" w:cs="仿宋"/>
          <w:b w:val="0"/>
          <w:bCs w:val="0"/>
          <w:color w:val="auto"/>
          <w:kern w:val="56"/>
          <w:sz w:val="28"/>
          <w:szCs w:val="28"/>
          <w:highlight w:val="none"/>
          <w:shd w:val="clear" w:color="auto" w:fill="FFFFFF"/>
        </w:rPr>
        <w:t>第四部分评标办法。</w:t>
      </w:r>
    </w:p>
    <w:p w14:paraId="1B4041A4">
      <w:pPr>
        <w:keepNext w:val="0"/>
        <w:keepLines w:val="0"/>
        <w:pageBreakBefore w:val="0"/>
        <w:kinsoku/>
        <w:wordWrap/>
        <w:overflowPunct/>
        <w:topLinePunct w:val="0"/>
        <w:bidi w:val="0"/>
        <w:spacing w:beforeAutospacing="0" w:line="560" w:lineRule="exact"/>
        <w:ind w:left="0" w:leftChars="0" w:right="0"/>
        <w:textAlignment w:val="auto"/>
        <w:rPr>
          <w:rFonts w:ascii="仿宋_GB2312" w:hAnsi="仿宋" w:eastAsia="仿宋_GB2312" w:cs="仿宋_GB2312"/>
          <w:b/>
          <w:color w:val="auto"/>
          <w:sz w:val="24"/>
          <w:highlight w:val="none"/>
        </w:rPr>
      </w:pPr>
    </w:p>
    <w:p w14:paraId="4943677B">
      <w:pPr>
        <w:keepNext w:val="0"/>
        <w:keepLines w:val="0"/>
        <w:pageBreakBefore w:val="0"/>
        <w:kinsoku/>
        <w:wordWrap/>
        <w:overflowPunct/>
        <w:topLinePunct w:val="0"/>
        <w:bidi w:val="0"/>
        <w:snapToGrid w:val="0"/>
        <w:spacing w:beforeAutospacing="0" w:line="560" w:lineRule="exact"/>
        <w:ind w:left="0" w:leftChars="0" w:right="0"/>
        <w:jc w:val="center"/>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77B1FCD7">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22. 确定中标供应商</w:t>
      </w:r>
    </w:p>
    <w:p w14:paraId="46DD7F6F">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采购人将自收到评审报告之日起5个工作日内通过电子交易平台在评审报告推荐的中标候选人中按顺序确定中标供应商。</w:t>
      </w:r>
    </w:p>
    <w:p w14:paraId="06EDE353">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23. 中标通知与中标结果公告</w:t>
      </w:r>
    </w:p>
    <w:p w14:paraId="3F397BB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23.1自成交供应商确定之日起2个工作日内，采购代理机构通过电子交易平台向成交供应商发出中标通知书，同时编制发布采购结果公告。采购代理机构也可以以纸质形式进行中标通知。</w:t>
      </w:r>
    </w:p>
    <w:p w14:paraId="30CDCD2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23.2中标结果公告内容包括采购人及其委托的采购代理机构的名称、地址、联系方式，项目名称和项目编号，成交供应商名称、地址和中标金额，主要中标标的的名称、规格型号、数量、单价、服务要求，开标记录、未中标情况说明、中标公告期限以及评审专家名单、评分汇总及明细。</w:t>
      </w:r>
    </w:p>
    <w:p w14:paraId="3B0485D3">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23.3公告期限为1个工作日。</w:t>
      </w:r>
    </w:p>
    <w:p w14:paraId="27F364F3">
      <w:pPr>
        <w:keepNext w:val="0"/>
        <w:keepLines w:val="0"/>
        <w:pageBreakBefore w:val="0"/>
        <w:kinsoku/>
        <w:wordWrap/>
        <w:overflowPunct/>
        <w:topLinePunct w:val="0"/>
        <w:bidi w:val="0"/>
        <w:snapToGrid w:val="0"/>
        <w:spacing w:beforeAutospacing="0" w:line="560" w:lineRule="exact"/>
        <w:ind w:left="0" w:leftChars="0" w:right="0" w:firstLine="482" w:firstLineChars="150"/>
        <w:jc w:val="center"/>
        <w:textAlignment w:val="auto"/>
        <w:rPr>
          <w:rFonts w:ascii="仿宋_GB2312" w:hAnsi="仿宋" w:eastAsia="仿宋_GB2312" w:cs="仿宋_GB2312"/>
          <w:b/>
          <w:color w:val="auto"/>
          <w:sz w:val="32"/>
          <w:highlight w:val="none"/>
        </w:rPr>
      </w:pPr>
    </w:p>
    <w:p w14:paraId="0AA7B85A">
      <w:pPr>
        <w:keepNext w:val="0"/>
        <w:keepLines w:val="0"/>
        <w:pageBreakBefore w:val="0"/>
        <w:kinsoku/>
        <w:wordWrap/>
        <w:overflowPunct/>
        <w:topLinePunct w:val="0"/>
        <w:bidi w:val="0"/>
        <w:snapToGrid w:val="0"/>
        <w:spacing w:beforeAutospacing="0" w:line="560" w:lineRule="exact"/>
        <w:ind w:left="0" w:leftChars="0" w:right="0" w:firstLine="482" w:firstLineChars="150"/>
        <w:jc w:val="center"/>
        <w:textAlignment w:val="auto"/>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1CC36E37">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24. 合同主要条款详见第五部分拟签订的合同文本。</w:t>
      </w:r>
    </w:p>
    <w:p w14:paraId="06CA834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25. 合同的签订</w:t>
      </w:r>
    </w:p>
    <w:p w14:paraId="0D1A3B4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25.1 采购人与成交供应商应当通过电子交易平台在中标通知书发出之日起三十日内，按照采购文件确定的事项签订政府采购合同，并在合同签订之日起2个工作日内依法发布合同公告。</w:t>
      </w:r>
    </w:p>
    <w:p w14:paraId="2C73E52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val="zh-CN" w:eastAsia="zh-CN"/>
        </w:rPr>
        <w:t>25.2成交供应商按规定的日期、时间、地点，由法定代表人或其授权代表与采购人代表签订合同。如成交供应商为联合体的，由联合体成员各方法定代表人或其授权代表与采购人代表签订合同。</w:t>
      </w:r>
    </w:p>
    <w:p w14:paraId="4478ACD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25.3如签订合同并生效后，供应商无故拒绝或延期，除按照合同条款处理外，列入不良行为记录一次，并给予通报。</w:t>
      </w:r>
    </w:p>
    <w:p w14:paraId="4697F60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25.4中标供应商拒绝与采购人签订合同的，采购人可以按照评审报告推荐的中标或者成交候选人名单排序，确定下一候选人为中标供应商，也可以重新开展政府采购活动。</w:t>
      </w:r>
    </w:p>
    <w:p w14:paraId="3EB1EB0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ascii="仿宋_GB2312" w:hAnsi="仿宋" w:eastAsia="仿宋_GB2312" w:cs="仿宋_GB2312"/>
          <w:color w:val="auto"/>
          <w:highlight w:val="none"/>
        </w:rPr>
      </w:pPr>
      <w:r>
        <w:rPr>
          <w:rFonts w:hint="eastAsia" w:ascii="仿宋" w:hAnsi="仿宋" w:eastAsia="仿宋" w:cs="仿宋"/>
          <w:b w:val="0"/>
          <w:bCs w:val="0"/>
          <w:color w:val="auto"/>
          <w:kern w:val="56"/>
          <w:sz w:val="28"/>
          <w:szCs w:val="28"/>
          <w:highlight w:val="none"/>
          <w:shd w:val="clear" w:color="auto" w:fill="FFFFFF"/>
          <w:lang w:eastAsia="zh-CN"/>
        </w:rPr>
        <w:t>25.5采购合同由采购人与中标供应商根据采购文件、响应文件等内容通过政府采购电子交易平台在线签订，自动备案。</w:t>
      </w:r>
    </w:p>
    <w:p w14:paraId="74059EA0">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26. 履约保证金</w:t>
      </w:r>
    </w:p>
    <w:p w14:paraId="0226F6DB">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 w:val="0"/>
          <w:bCs w:val="0"/>
          <w:color w:val="auto"/>
          <w:kern w:val="56"/>
          <w:sz w:val="28"/>
          <w:szCs w:val="28"/>
          <w:highlight w:val="none"/>
          <w:shd w:val="clear" w:color="auto" w:fill="FFFFFF"/>
          <w:lang w:val="en-US" w:eastAsia="zh-CN"/>
        </w:rPr>
        <w:t>1</w:t>
      </w:r>
      <w:r>
        <w:rPr>
          <w:rFonts w:hint="eastAsia" w:ascii="仿宋" w:hAnsi="仿宋" w:eastAsia="仿宋" w:cs="仿宋"/>
          <w:b w:val="0"/>
          <w:bCs w:val="0"/>
          <w:color w:val="auto"/>
          <w:kern w:val="56"/>
          <w:sz w:val="28"/>
          <w:szCs w:val="28"/>
          <w:highlight w:val="none"/>
          <w:shd w:val="clear" w:color="auto" w:fill="FFFFFF"/>
          <w:lang w:eastAsia="zh-CN"/>
        </w:rPr>
        <w:t>%。鼓励和支持供应商以银行、保险公司出具的保函形式提供履约保证金。采购人不得拒收履约保函。</w:t>
      </w:r>
    </w:p>
    <w:p w14:paraId="35B6F560">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政府采购货物和服务项目中，采购单位可根据供应商履约评价情况</w:t>
      </w:r>
      <w:r>
        <w:rPr>
          <w:rFonts w:hint="eastAsia" w:ascii="仿宋" w:hAnsi="仿宋" w:eastAsia="仿宋" w:cs="仿宋"/>
          <w:b w:val="0"/>
          <w:bCs w:val="0"/>
          <w:color w:val="auto"/>
          <w:kern w:val="56"/>
          <w:sz w:val="28"/>
          <w:szCs w:val="28"/>
          <w:highlight w:val="none"/>
          <w:shd w:val="clear" w:color="auto" w:fill="FFFFFF"/>
          <w:lang w:val="en-US" w:eastAsia="zh-CN"/>
        </w:rPr>
        <w:t>酌情</w:t>
      </w:r>
      <w:r>
        <w:rPr>
          <w:rFonts w:hint="eastAsia" w:ascii="仿宋" w:hAnsi="仿宋" w:eastAsia="仿宋" w:cs="仿宋"/>
          <w:b w:val="0"/>
          <w:bCs w:val="0"/>
          <w:color w:val="auto"/>
          <w:kern w:val="56"/>
          <w:sz w:val="28"/>
          <w:szCs w:val="28"/>
          <w:highlight w:val="none"/>
          <w:shd w:val="clear" w:color="auto" w:fill="FFFFFF"/>
          <w:lang w:eastAsia="zh-CN"/>
        </w:rPr>
        <w:t>减免履约保证金。</w:t>
      </w:r>
    </w:p>
    <w:p w14:paraId="136A7D1C">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val="en-US" w:eastAsia="zh-CN"/>
        </w:rPr>
      </w:pPr>
      <w:r>
        <w:rPr>
          <w:rFonts w:hint="eastAsia" w:ascii="仿宋" w:hAnsi="仿宋" w:eastAsia="仿宋" w:cs="仿宋"/>
          <w:b w:val="0"/>
          <w:bCs w:val="0"/>
          <w:color w:val="auto"/>
          <w:kern w:val="56"/>
          <w:sz w:val="28"/>
          <w:szCs w:val="28"/>
          <w:highlight w:val="none"/>
          <w:shd w:val="clear" w:color="auto" w:fill="FFFFFF"/>
          <w:lang w:eastAsia="zh-CN"/>
        </w:rPr>
        <w:t>供应商</w:t>
      </w:r>
      <w:r>
        <w:rPr>
          <w:rFonts w:hint="eastAsia" w:ascii="仿宋" w:hAnsi="仿宋" w:eastAsia="仿宋" w:cs="仿宋"/>
          <w:b w:val="0"/>
          <w:bCs w:val="0"/>
          <w:color w:val="auto"/>
          <w:kern w:val="56"/>
          <w:sz w:val="28"/>
          <w:szCs w:val="28"/>
          <w:highlight w:val="none"/>
          <w:shd w:val="clear" w:color="auto" w:fill="FFFFFF"/>
          <w:lang w:val="en-US" w:eastAsia="zh-CN"/>
        </w:rPr>
        <w:t>可</w:t>
      </w:r>
      <w:r>
        <w:rPr>
          <w:rFonts w:hint="eastAsia" w:ascii="仿宋" w:hAnsi="仿宋" w:eastAsia="仿宋" w:cs="仿宋"/>
          <w:b w:val="0"/>
          <w:bCs w:val="0"/>
          <w:color w:val="auto"/>
          <w:kern w:val="56"/>
          <w:sz w:val="28"/>
          <w:szCs w:val="28"/>
          <w:highlight w:val="none"/>
          <w:shd w:val="clear" w:color="auto" w:fill="FFFFFF"/>
          <w:lang w:eastAsia="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C547AC">
      <w:pPr>
        <w:keepNext w:val="0"/>
        <w:keepLines w:val="0"/>
        <w:pageBreakBefore w:val="0"/>
        <w:kinsoku/>
        <w:wordWrap/>
        <w:overflowPunct/>
        <w:topLinePunct w:val="0"/>
        <w:bidi w:val="0"/>
        <w:snapToGrid w:val="0"/>
        <w:spacing w:beforeAutospacing="0" w:line="560" w:lineRule="exact"/>
        <w:ind w:left="0" w:leftChars="0" w:right="0" w:firstLine="3357" w:firstLineChars="1045"/>
        <w:textAlignment w:val="auto"/>
        <w:rPr>
          <w:rFonts w:hint="eastAsia" w:ascii="仿宋_GB2312" w:hAnsi="仿宋" w:eastAsia="仿宋_GB2312" w:cs="仿宋_GB2312"/>
          <w:b/>
          <w:color w:val="auto"/>
          <w:sz w:val="32"/>
          <w:highlight w:val="none"/>
        </w:rPr>
      </w:pPr>
    </w:p>
    <w:p w14:paraId="7B506E01">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firstLine="0" w:firstLineChars="0"/>
        <w:jc w:val="center"/>
        <w:textAlignment w:val="auto"/>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7FB7CC82">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27. 电子交易活动的中止。采购过程中出现以下情形，导致电子交易平台无法正常运行，或者无法保证电子交易的公平、公正和安全时，采购代理机构可中止电子交易活动：</w:t>
      </w:r>
    </w:p>
    <w:p w14:paraId="49630FFB">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 xml:space="preserve">27.1电子交易平台发生故障而无法登录访问的； </w:t>
      </w:r>
    </w:p>
    <w:p w14:paraId="77734EA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27.2电子交易平台应用或数据库出现错误，不能进行正常操作的；</w:t>
      </w:r>
    </w:p>
    <w:p w14:paraId="0F404DBE">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27.3电子交易平台发现严重安全漏洞，有潜在泄密危险的；</w:t>
      </w:r>
    </w:p>
    <w:p w14:paraId="4EAC785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 xml:space="preserve">27.4病毒发作导致不能进行正常操作的； </w:t>
      </w:r>
    </w:p>
    <w:p w14:paraId="4E4052A8">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27.5其他无法保证电子交易的公平、公正和安全的情况。</w:t>
      </w:r>
    </w:p>
    <w:p w14:paraId="5E5E87F5">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28.出现以上情形，不影响采购公平、公正性的，采购组织机构可以待上述情形消除后继续组织电子交易活动，也可以决定某些环节以纸质形式进行；影响或可能影响采购公平、公正性的，应当重新采购。</w:t>
      </w:r>
    </w:p>
    <w:p w14:paraId="120E484C">
      <w:pPr>
        <w:keepNext w:val="0"/>
        <w:keepLines w:val="0"/>
        <w:pageBreakBefore w:val="0"/>
        <w:tabs>
          <w:tab w:val="left" w:pos="0"/>
        </w:tabs>
        <w:kinsoku/>
        <w:wordWrap/>
        <w:overflowPunct/>
        <w:topLinePunct w:val="0"/>
        <w:bidi w:val="0"/>
        <w:spacing w:beforeAutospacing="0" w:line="560" w:lineRule="exact"/>
        <w:ind w:left="0" w:leftChars="0" w:right="0" w:firstLine="480"/>
        <w:textAlignment w:val="auto"/>
        <w:rPr>
          <w:rFonts w:ascii="仿宋_GB2312" w:hAnsi="仿宋" w:eastAsia="仿宋_GB2312"/>
          <w:color w:val="auto"/>
          <w:sz w:val="24"/>
          <w:highlight w:val="none"/>
        </w:rPr>
      </w:pPr>
    </w:p>
    <w:p w14:paraId="7FE5BAD5">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firstLine="0" w:firstLineChars="0"/>
        <w:jc w:val="center"/>
        <w:textAlignment w:val="auto"/>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14:paraId="60816877">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29.验收</w:t>
      </w:r>
    </w:p>
    <w:p w14:paraId="35F06127">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9C2B17">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29.2采购人可以邀请参加本项目的其他供应商或者第三方机构参与验收。参与验收的供应商或者第三方机构的意见作为验收书的参考资料一并存档。</w:t>
      </w:r>
    </w:p>
    <w:p w14:paraId="6D6F8A6A">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9E38E0">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lang w:eastAsia="zh-CN"/>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671189E">
      <w:pPr>
        <w:keepNext w:val="0"/>
        <w:keepLines w:val="0"/>
        <w:pageBreakBefore w:val="0"/>
        <w:tabs>
          <w:tab w:val="left" w:pos="0"/>
        </w:tabs>
        <w:kinsoku/>
        <w:wordWrap/>
        <w:overflowPunct/>
        <w:topLinePunct w:val="0"/>
        <w:bidi w:val="0"/>
        <w:spacing w:beforeAutospacing="0" w:line="560" w:lineRule="exact"/>
        <w:ind w:left="0" w:leftChars="0" w:right="0" w:firstLine="480"/>
        <w:textAlignment w:val="auto"/>
        <w:rPr>
          <w:rFonts w:ascii="仿宋_GB2312" w:hAnsi="仿宋" w:eastAsia="仿宋_GB2312" w:cs="Helvetica"/>
          <w:color w:val="auto"/>
          <w:kern w:val="0"/>
          <w:sz w:val="24"/>
          <w:highlight w:val="none"/>
        </w:rPr>
      </w:pPr>
      <w:bookmarkStart w:id="12" w:name="_Hlt74707468"/>
      <w:bookmarkEnd w:id="12"/>
      <w:bookmarkStart w:id="13" w:name="_Hlt68073093"/>
      <w:bookmarkEnd w:id="13"/>
      <w:bookmarkStart w:id="14" w:name="_Hlt68057669"/>
      <w:bookmarkEnd w:id="14"/>
      <w:bookmarkStart w:id="15" w:name="_Hlt74729768"/>
      <w:bookmarkEnd w:id="15"/>
      <w:bookmarkStart w:id="16" w:name="_Hlt74714665"/>
      <w:bookmarkEnd w:id="16"/>
      <w:bookmarkStart w:id="17" w:name="_Hlt75236011"/>
      <w:bookmarkEnd w:id="17"/>
      <w:bookmarkStart w:id="18" w:name="_Hlt68072990"/>
      <w:bookmarkEnd w:id="18"/>
      <w:bookmarkStart w:id="19" w:name="_Hlt75236101"/>
      <w:bookmarkEnd w:id="19"/>
      <w:bookmarkStart w:id="20" w:name="_Hlt68403820"/>
      <w:bookmarkEnd w:id="20"/>
      <w:bookmarkStart w:id="21" w:name="_Hlt68072998"/>
      <w:bookmarkEnd w:id="21"/>
      <w:bookmarkStart w:id="22" w:name="_Hlt75236290"/>
      <w:bookmarkEnd w:id="22"/>
      <w:bookmarkStart w:id="23" w:name="_Hlt74730295"/>
      <w:bookmarkEnd w:id="23"/>
    </w:p>
    <w:p w14:paraId="35603C62">
      <w:pPr>
        <w:keepNext w:val="0"/>
        <w:keepLines w:val="0"/>
        <w:pageBreakBefore w:val="0"/>
        <w:kinsoku/>
        <w:wordWrap/>
        <w:overflowPunct/>
        <w:topLinePunct w:val="0"/>
        <w:bidi w:val="0"/>
        <w:snapToGrid w:val="0"/>
        <w:spacing w:beforeAutospacing="0" w:line="560" w:lineRule="exact"/>
        <w:ind w:left="0" w:leftChars="0" w:right="0"/>
        <w:jc w:val="center"/>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_GB2312" w:hAnsi="仿宋" w:eastAsia="仿宋_GB2312" w:cs="仿宋_GB2312"/>
          <w:b/>
          <w:color w:val="auto"/>
          <w:sz w:val="32"/>
          <w:highlight w:val="none"/>
          <w:lang w:val="en-US" w:eastAsia="zh-CN"/>
        </w:rPr>
        <w:t>十</w:t>
      </w:r>
      <w:r>
        <w:rPr>
          <w:rFonts w:hint="eastAsia" w:ascii="仿宋_GB2312" w:hAnsi="仿宋" w:eastAsia="仿宋_GB2312" w:cs="仿宋_GB2312"/>
          <w:b/>
          <w:color w:val="auto"/>
          <w:sz w:val="32"/>
          <w:highlight w:val="none"/>
        </w:rPr>
        <w:t>、</w:t>
      </w:r>
      <w:r>
        <w:rPr>
          <w:rFonts w:hint="eastAsia" w:ascii="仿宋_GB2312" w:hAnsi="仿宋" w:eastAsia="仿宋_GB2312" w:cs="仿宋_GB2312"/>
          <w:b/>
          <w:color w:val="auto"/>
          <w:sz w:val="32"/>
          <w:highlight w:val="none"/>
          <w:lang w:val="en-US" w:eastAsia="zh-CN"/>
        </w:rPr>
        <w:t>解释权</w:t>
      </w:r>
    </w:p>
    <w:p w14:paraId="31782CA7">
      <w:pPr>
        <w:keepNext w:val="0"/>
        <w:keepLines w:val="0"/>
        <w:pageBreakBefore w:val="0"/>
        <w:kinsoku/>
        <w:wordWrap/>
        <w:overflowPunct/>
        <w:topLinePunct w:val="0"/>
        <w:bidi w:val="0"/>
        <w:snapToGrid w:val="0"/>
        <w:spacing w:beforeAutospacing="0" w:line="560" w:lineRule="exact"/>
        <w:ind w:left="0" w:leftChars="0" w:right="0" w:firstLine="560" w:firstLineChars="200"/>
        <w:textAlignment w:val="auto"/>
        <w:rPr>
          <w:rFonts w:hint="eastAsia" w:ascii="仿宋" w:hAnsi="仿宋" w:eastAsia="仿宋" w:cs="仿宋"/>
          <w:b w:val="0"/>
          <w:bCs w:val="0"/>
          <w:color w:val="auto"/>
          <w:kern w:val="56"/>
          <w:sz w:val="28"/>
          <w:szCs w:val="28"/>
          <w:highlight w:val="none"/>
          <w:shd w:val="clear" w:color="auto" w:fill="FFFFFF"/>
          <w:lang w:eastAsia="zh-CN"/>
        </w:rPr>
        <w:sectPr>
          <w:footerReference r:id="rId8" w:type="default"/>
          <w:pgSz w:w="11906" w:h="16838"/>
          <w:pgMar w:top="1553" w:right="1553" w:bottom="1553" w:left="1553" w:header="851" w:footer="992" w:gutter="0"/>
          <w:pgNumType w:fmt="decimal" w:start="1"/>
          <w:cols w:space="0" w:num="1"/>
          <w:rtlGutter w:val="0"/>
          <w:docGrid w:linePitch="312" w:charSpace="0"/>
        </w:sectPr>
      </w:pPr>
      <w:r>
        <w:rPr>
          <w:rFonts w:hint="eastAsia" w:ascii="仿宋" w:hAnsi="仿宋" w:eastAsia="仿宋" w:cs="仿宋"/>
          <w:b w:val="0"/>
          <w:bCs w:val="0"/>
          <w:color w:val="auto"/>
          <w:kern w:val="56"/>
          <w:sz w:val="28"/>
          <w:szCs w:val="28"/>
          <w:highlight w:val="none"/>
          <w:shd w:val="clear" w:color="auto" w:fill="FFFFFF"/>
          <w:lang w:eastAsia="zh-CN"/>
        </w:rPr>
        <w:t>采购文件的解释权均属于衢州市发展和改革委员会和衢州艾凌项目管理咨询有限公司。</w:t>
      </w:r>
    </w:p>
    <w:bookmarkEnd w:id="9"/>
    <w:bookmarkEnd w:id="10"/>
    <w:p w14:paraId="09FFA412">
      <w:pPr>
        <w:keepNext w:val="0"/>
        <w:keepLines w:val="0"/>
        <w:pageBreakBefore w:val="0"/>
        <w:widowControl w:val="0"/>
        <w:kinsoku/>
        <w:wordWrap/>
        <w:overflowPunct/>
        <w:topLinePunct w:val="0"/>
        <w:autoSpaceDE/>
        <w:autoSpaceDN/>
        <w:bidi w:val="0"/>
        <w:adjustRightInd w:val="0"/>
        <w:spacing w:beforeAutospacing="0" w:line="560" w:lineRule="exact"/>
        <w:ind w:left="0" w:leftChars="0" w:right="0"/>
        <w:jc w:val="center"/>
        <w:textAlignment w:val="auto"/>
        <w:outlineLvl w:val="0"/>
        <w:rPr>
          <w:rFonts w:ascii="仿宋_GB2312" w:hAnsi="仿宋" w:eastAsia="仿宋_GB2312" w:cs="仿宋_GB2312"/>
          <w:b/>
          <w:color w:val="auto"/>
          <w:sz w:val="36"/>
          <w:szCs w:val="36"/>
          <w:highlight w:val="none"/>
        </w:rPr>
      </w:pPr>
      <w:bookmarkStart w:id="24"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34C76A97">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textAlignment w:val="auto"/>
        <w:rPr>
          <w:rFonts w:ascii="仿宋" w:hAnsi="仿宋" w:eastAsia="仿宋" w:cs="仿宋"/>
          <w:b/>
          <w:bCs w:val="0"/>
          <w:color w:val="auto"/>
          <w:sz w:val="28"/>
          <w:szCs w:val="28"/>
          <w:highlight w:val="none"/>
        </w:rPr>
      </w:pPr>
      <w:bookmarkStart w:id="25" w:name="_Toc422946256"/>
      <w:r>
        <w:rPr>
          <w:rFonts w:ascii="仿宋" w:hAnsi="仿宋" w:eastAsia="仿宋" w:cs="仿宋"/>
          <w:b/>
          <w:bCs w:val="0"/>
          <w:color w:val="auto"/>
          <w:sz w:val="28"/>
          <w:szCs w:val="28"/>
          <w:highlight w:val="none"/>
        </w:rPr>
        <w:t>一、采购内容一览表</w:t>
      </w:r>
      <w:bookmarkEnd w:id="25"/>
    </w:p>
    <w:tbl>
      <w:tblPr>
        <w:tblStyle w:val="63"/>
        <w:tblW w:w="9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962"/>
        <w:gridCol w:w="717"/>
        <w:gridCol w:w="817"/>
        <w:gridCol w:w="1449"/>
        <w:gridCol w:w="2185"/>
      </w:tblGrid>
      <w:tr w14:paraId="7CF4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auto" w:sz="4" w:space="0"/>
              <w:left w:val="single" w:color="auto" w:sz="4" w:space="0"/>
              <w:bottom w:val="single" w:color="auto" w:sz="4" w:space="0"/>
              <w:right w:val="single" w:color="auto" w:sz="4" w:space="0"/>
            </w:tcBorders>
            <w:vAlign w:val="center"/>
          </w:tcPr>
          <w:p w14:paraId="0F494519">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ascii="仿宋" w:hAnsi="仿宋" w:eastAsia="仿宋" w:cs="仿宋"/>
                <w:bCs/>
                <w:color w:val="auto"/>
                <w:sz w:val="26"/>
                <w:szCs w:val="26"/>
                <w:highlight w:val="none"/>
              </w:rPr>
            </w:pPr>
            <w:bookmarkStart w:id="26" w:name="_Toc436382918"/>
            <w:r>
              <w:rPr>
                <w:rFonts w:hint="eastAsia" w:ascii="仿宋" w:hAnsi="仿宋" w:eastAsia="仿宋" w:cs="仿宋"/>
                <w:bCs/>
                <w:color w:val="auto"/>
                <w:sz w:val="26"/>
                <w:szCs w:val="26"/>
                <w:highlight w:val="none"/>
                <w:lang w:val="en-US" w:eastAsia="zh-CN"/>
              </w:rPr>
              <w:t>标项</w:t>
            </w:r>
            <w:r>
              <w:rPr>
                <w:rFonts w:hint="eastAsia" w:ascii="仿宋" w:hAnsi="仿宋" w:eastAsia="仿宋" w:cs="仿宋"/>
                <w:bCs/>
                <w:color w:val="auto"/>
                <w:sz w:val="26"/>
                <w:szCs w:val="26"/>
                <w:highlight w:val="none"/>
              </w:rPr>
              <w:t>序号</w:t>
            </w:r>
          </w:p>
        </w:tc>
        <w:tc>
          <w:tcPr>
            <w:tcW w:w="2962" w:type="dxa"/>
            <w:tcBorders>
              <w:top w:val="single" w:color="auto" w:sz="4" w:space="0"/>
              <w:left w:val="single" w:color="auto" w:sz="4" w:space="0"/>
              <w:bottom w:val="single" w:color="auto" w:sz="4" w:space="0"/>
              <w:right w:val="single" w:color="auto" w:sz="4" w:space="0"/>
            </w:tcBorders>
            <w:vAlign w:val="center"/>
          </w:tcPr>
          <w:p w14:paraId="5D0BEDBE">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标项内容</w:t>
            </w:r>
          </w:p>
        </w:tc>
        <w:tc>
          <w:tcPr>
            <w:tcW w:w="717" w:type="dxa"/>
            <w:tcBorders>
              <w:top w:val="single" w:color="auto" w:sz="4" w:space="0"/>
              <w:left w:val="single" w:color="auto" w:sz="4" w:space="0"/>
              <w:bottom w:val="single" w:color="auto" w:sz="4" w:space="0"/>
              <w:right w:val="single" w:color="auto" w:sz="4" w:space="0"/>
            </w:tcBorders>
            <w:vAlign w:val="center"/>
          </w:tcPr>
          <w:p w14:paraId="00B2E763">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数量</w:t>
            </w:r>
          </w:p>
        </w:tc>
        <w:tc>
          <w:tcPr>
            <w:tcW w:w="817" w:type="dxa"/>
            <w:tcBorders>
              <w:top w:val="single" w:color="auto" w:sz="4" w:space="0"/>
              <w:left w:val="single" w:color="auto" w:sz="4" w:space="0"/>
              <w:bottom w:val="single" w:color="auto" w:sz="4" w:space="0"/>
              <w:right w:val="single" w:color="auto" w:sz="4" w:space="0"/>
            </w:tcBorders>
            <w:vAlign w:val="center"/>
          </w:tcPr>
          <w:p w14:paraId="09E9EF08">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单位</w:t>
            </w:r>
          </w:p>
        </w:tc>
        <w:tc>
          <w:tcPr>
            <w:tcW w:w="1449" w:type="dxa"/>
            <w:tcBorders>
              <w:top w:val="single" w:color="auto" w:sz="4" w:space="0"/>
              <w:left w:val="single" w:color="auto" w:sz="4" w:space="0"/>
              <w:bottom w:val="single" w:color="auto" w:sz="4" w:space="0"/>
              <w:right w:val="single" w:color="auto" w:sz="4" w:space="0"/>
            </w:tcBorders>
            <w:vAlign w:val="center"/>
          </w:tcPr>
          <w:p w14:paraId="179B9021">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预算金额</w:t>
            </w:r>
          </w:p>
        </w:tc>
        <w:tc>
          <w:tcPr>
            <w:tcW w:w="2185" w:type="dxa"/>
            <w:tcBorders>
              <w:top w:val="single" w:color="auto" w:sz="4" w:space="0"/>
              <w:left w:val="single" w:color="auto" w:sz="4" w:space="0"/>
              <w:bottom w:val="single" w:color="auto" w:sz="4" w:space="0"/>
              <w:right w:val="single" w:color="auto" w:sz="4" w:space="0"/>
            </w:tcBorders>
            <w:vAlign w:val="center"/>
          </w:tcPr>
          <w:p w14:paraId="6A42DE62">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备注</w:t>
            </w:r>
          </w:p>
        </w:tc>
      </w:tr>
      <w:tr w14:paraId="02C7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auto" w:sz="4" w:space="0"/>
              <w:left w:val="single" w:color="auto" w:sz="4" w:space="0"/>
              <w:bottom w:val="single" w:color="auto" w:sz="4" w:space="0"/>
              <w:right w:val="single" w:color="auto" w:sz="4" w:space="0"/>
            </w:tcBorders>
            <w:vAlign w:val="center"/>
          </w:tcPr>
          <w:p w14:paraId="1EFCAF9F">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标项一</w:t>
            </w:r>
          </w:p>
        </w:tc>
        <w:tc>
          <w:tcPr>
            <w:tcW w:w="2962" w:type="dxa"/>
            <w:vMerge w:val="restart"/>
            <w:tcBorders>
              <w:top w:val="single" w:color="auto" w:sz="4" w:space="0"/>
              <w:left w:val="single" w:color="auto" w:sz="4" w:space="0"/>
              <w:right w:val="single" w:color="auto" w:sz="4" w:space="0"/>
            </w:tcBorders>
            <w:vAlign w:val="center"/>
          </w:tcPr>
          <w:p w14:paraId="01E16B72">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sz w:val="26"/>
                <w:szCs w:val="26"/>
                <w:highlight w:val="none"/>
                <w:lang w:eastAsia="zh-CN"/>
              </w:rPr>
            </w:pPr>
            <w:r>
              <w:rPr>
                <w:rFonts w:hint="eastAsia" w:ascii="仿宋" w:hAnsi="仿宋" w:eastAsia="仿宋" w:cs="仿宋"/>
                <w:bCs/>
                <w:color w:val="auto"/>
                <w:sz w:val="26"/>
                <w:szCs w:val="26"/>
                <w:highlight w:val="none"/>
                <w:lang w:eastAsia="zh-CN"/>
              </w:rPr>
              <w:t>2024-2025年度衢州市级优化用电营商环境综合保险服务项目</w:t>
            </w:r>
          </w:p>
        </w:tc>
        <w:tc>
          <w:tcPr>
            <w:tcW w:w="717" w:type="dxa"/>
            <w:tcBorders>
              <w:top w:val="single" w:color="auto" w:sz="4" w:space="0"/>
              <w:left w:val="single" w:color="auto" w:sz="4" w:space="0"/>
              <w:bottom w:val="single" w:color="auto" w:sz="4" w:space="0"/>
              <w:right w:val="single" w:color="auto" w:sz="4" w:space="0"/>
            </w:tcBorders>
            <w:vAlign w:val="center"/>
          </w:tcPr>
          <w:p w14:paraId="58843378">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1</w:t>
            </w:r>
          </w:p>
        </w:tc>
        <w:tc>
          <w:tcPr>
            <w:tcW w:w="817" w:type="dxa"/>
            <w:tcBorders>
              <w:top w:val="single" w:color="auto" w:sz="4" w:space="0"/>
              <w:left w:val="single" w:color="auto" w:sz="4" w:space="0"/>
              <w:bottom w:val="single" w:color="auto" w:sz="4" w:space="0"/>
              <w:right w:val="single" w:color="auto" w:sz="4" w:space="0"/>
            </w:tcBorders>
            <w:vAlign w:val="center"/>
          </w:tcPr>
          <w:p w14:paraId="4110267A">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项</w:t>
            </w:r>
          </w:p>
        </w:tc>
        <w:tc>
          <w:tcPr>
            <w:tcW w:w="1449" w:type="dxa"/>
            <w:tcBorders>
              <w:top w:val="single" w:color="auto" w:sz="4" w:space="0"/>
              <w:left w:val="single" w:color="auto" w:sz="4" w:space="0"/>
              <w:bottom w:val="single" w:color="auto" w:sz="4" w:space="0"/>
              <w:right w:val="single" w:color="auto" w:sz="4" w:space="0"/>
            </w:tcBorders>
            <w:vAlign w:val="center"/>
          </w:tcPr>
          <w:p w14:paraId="4FF611D9">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rPr>
            </w:pPr>
            <w:r>
              <w:rPr>
                <w:rFonts w:hint="eastAsia" w:ascii="仿宋" w:hAnsi="仿宋" w:eastAsia="仿宋" w:cs="仿宋"/>
                <w:bCs/>
                <w:color w:val="auto"/>
                <w:sz w:val="26"/>
                <w:szCs w:val="26"/>
                <w:highlight w:val="none"/>
                <w:lang w:val="en-US" w:eastAsia="zh-CN"/>
              </w:rPr>
              <w:t>51.5万元</w:t>
            </w:r>
          </w:p>
        </w:tc>
        <w:tc>
          <w:tcPr>
            <w:tcW w:w="2185" w:type="dxa"/>
            <w:vAlign w:val="center"/>
          </w:tcPr>
          <w:p w14:paraId="5C922AEC">
            <w:pPr>
              <w:pStyle w:val="129"/>
              <w:keepNext w:val="0"/>
              <w:keepLines w:val="0"/>
              <w:pageBreakBefore w:val="0"/>
              <w:widowControl w:val="0"/>
              <w:kinsoku/>
              <w:wordWrap/>
              <w:overflowPunct/>
              <w:topLinePunct w:val="0"/>
              <w:autoSpaceDE/>
              <w:autoSpaceDN/>
              <w:bidi w:val="0"/>
              <w:adjustRightInd w:val="0"/>
              <w:snapToGrid w:val="0"/>
              <w:spacing w:before="0" w:beforeAutospacing="0" w:line="240" w:lineRule="auto"/>
              <w:ind w:left="0" w:leftChars="0" w:right="0" w:firstLine="0" w:firstLineChars="0"/>
              <w:jc w:val="left"/>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主要针对注册地为衢江区的用电企业</w:t>
            </w:r>
            <w:r>
              <w:rPr>
                <w:rFonts w:hint="eastAsia" w:ascii="仿宋" w:hAnsi="仿宋" w:eastAsia="仿宋" w:cs="仿宋"/>
                <w:bCs/>
                <w:color w:val="auto"/>
                <w:sz w:val="26"/>
                <w:szCs w:val="26"/>
                <w:highlight w:val="none"/>
                <w:lang w:eastAsia="zh-CN"/>
              </w:rPr>
              <w:t>（以用户清单为准）</w:t>
            </w:r>
          </w:p>
        </w:tc>
      </w:tr>
      <w:tr w14:paraId="10E2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auto" w:sz="4" w:space="0"/>
              <w:left w:val="single" w:color="auto" w:sz="4" w:space="0"/>
              <w:bottom w:val="single" w:color="auto" w:sz="4" w:space="0"/>
              <w:right w:val="single" w:color="auto" w:sz="4" w:space="0"/>
            </w:tcBorders>
            <w:vAlign w:val="center"/>
          </w:tcPr>
          <w:p w14:paraId="5A73F0B8">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sz w:val="26"/>
                <w:szCs w:val="26"/>
                <w:highlight w:val="none"/>
              </w:rPr>
            </w:pPr>
            <w:bookmarkStart w:id="27" w:name="_Toc23180"/>
            <w:bookmarkStart w:id="28" w:name="第五部分"/>
            <w:bookmarkStart w:id="29" w:name="_Toc86217003"/>
            <w:r>
              <w:rPr>
                <w:rFonts w:hint="eastAsia" w:ascii="仿宋" w:hAnsi="仿宋" w:eastAsia="仿宋" w:cs="仿宋"/>
                <w:bCs/>
                <w:color w:val="auto"/>
                <w:sz w:val="26"/>
                <w:szCs w:val="26"/>
                <w:highlight w:val="none"/>
                <w:lang w:val="en-US" w:eastAsia="zh-CN"/>
              </w:rPr>
              <w:t>标项二</w:t>
            </w:r>
          </w:p>
        </w:tc>
        <w:tc>
          <w:tcPr>
            <w:tcW w:w="2962" w:type="dxa"/>
            <w:vMerge w:val="continue"/>
            <w:tcBorders>
              <w:left w:val="single" w:color="auto" w:sz="4" w:space="0"/>
              <w:right w:val="single" w:color="auto" w:sz="4" w:space="0"/>
            </w:tcBorders>
            <w:vAlign w:val="center"/>
          </w:tcPr>
          <w:p w14:paraId="58FE1D5E">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sz w:val="26"/>
                <w:szCs w:val="26"/>
                <w:highlight w:val="none"/>
                <w:lang w:eastAsia="zh-CN"/>
              </w:rPr>
            </w:pPr>
          </w:p>
        </w:tc>
        <w:tc>
          <w:tcPr>
            <w:tcW w:w="717" w:type="dxa"/>
            <w:tcBorders>
              <w:top w:val="single" w:color="auto" w:sz="4" w:space="0"/>
              <w:left w:val="single" w:color="auto" w:sz="4" w:space="0"/>
              <w:bottom w:val="single" w:color="auto" w:sz="4" w:space="0"/>
              <w:right w:val="single" w:color="auto" w:sz="4" w:space="0"/>
            </w:tcBorders>
            <w:vAlign w:val="center"/>
          </w:tcPr>
          <w:p w14:paraId="7967B67F">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kern w:val="2"/>
                <w:sz w:val="26"/>
                <w:szCs w:val="26"/>
                <w:highlight w:val="none"/>
                <w:lang w:val="en-US" w:eastAsia="zh-CN" w:bidi="ar-SA"/>
              </w:rPr>
            </w:pPr>
            <w:r>
              <w:rPr>
                <w:rFonts w:hint="eastAsia" w:ascii="仿宋" w:hAnsi="仿宋" w:eastAsia="仿宋" w:cs="仿宋"/>
                <w:bCs/>
                <w:color w:val="auto"/>
                <w:sz w:val="26"/>
                <w:szCs w:val="26"/>
                <w:highlight w:val="none"/>
              </w:rPr>
              <w:t>1</w:t>
            </w:r>
          </w:p>
        </w:tc>
        <w:tc>
          <w:tcPr>
            <w:tcW w:w="817" w:type="dxa"/>
            <w:tcBorders>
              <w:top w:val="single" w:color="auto" w:sz="4" w:space="0"/>
              <w:left w:val="single" w:color="auto" w:sz="4" w:space="0"/>
              <w:bottom w:val="single" w:color="auto" w:sz="4" w:space="0"/>
              <w:right w:val="single" w:color="auto" w:sz="4" w:space="0"/>
            </w:tcBorders>
            <w:vAlign w:val="center"/>
          </w:tcPr>
          <w:p w14:paraId="2F9B9628">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kern w:val="2"/>
                <w:sz w:val="26"/>
                <w:szCs w:val="26"/>
                <w:highlight w:val="none"/>
                <w:lang w:val="en-US" w:eastAsia="zh-CN" w:bidi="ar-SA"/>
              </w:rPr>
            </w:pPr>
            <w:r>
              <w:rPr>
                <w:rFonts w:hint="eastAsia" w:ascii="仿宋" w:hAnsi="仿宋" w:eastAsia="仿宋" w:cs="仿宋"/>
                <w:bCs/>
                <w:color w:val="auto"/>
                <w:sz w:val="26"/>
                <w:szCs w:val="26"/>
                <w:highlight w:val="none"/>
              </w:rPr>
              <w:t>项</w:t>
            </w:r>
          </w:p>
        </w:tc>
        <w:tc>
          <w:tcPr>
            <w:tcW w:w="1449" w:type="dxa"/>
            <w:tcBorders>
              <w:top w:val="single" w:color="auto" w:sz="4" w:space="0"/>
              <w:left w:val="single" w:color="auto" w:sz="4" w:space="0"/>
              <w:bottom w:val="single" w:color="auto" w:sz="4" w:space="0"/>
              <w:right w:val="single" w:color="auto" w:sz="4" w:space="0"/>
            </w:tcBorders>
            <w:vAlign w:val="center"/>
          </w:tcPr>
          <w:p w14:paraId="75ACA15C">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kern w:val="2"/>
                <w:sz w:val="26"/>
                <w:szCs w:val="26"/>
                <w:highlight w:val="none"/>
                <w:lang w:val="en-US" w:eastAsia="zh-CN" w:bidi="ar-SA"/>
              </w:rPr>
            </w:pPr>
            <w:r>
              <w:rPr>
                <w:rFonts w:hint="eastAsia" w:ascii="仿宋" w:hAnsi="仿宋" w:eastAsia="仿宋" w:cs="仿宋"/>
                <w:bCs/>
                <w:color w:val="auto"/>
                <w:sz w:val="26"/>
                <w:szCs w:val="26"/>
                <w:highlight w:val="none"/>
                <w:lang w:val="en-US" w:eastAsia="zh-CN"/>
              </w:rPr>
              <w:t>48.5万元</w:t>
            </w:r>
          </w:p>
        </w:tc>
        <w:tc>
          <w:tcPr>
            <w:tcW w:w="2185" w:type="dxa"/>
            <w:vAlign w:val="center"/>
          </w:tcPr>
          <w:p w14:paraId="472F60F6">
            <w:pPr>
              <w:pStyle w:val="21"/>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Chars="0"/>
              <w:jc w:val="center"/>
              <w:textAlignment w:val="auto"/>
              <w:rPr>
                <w:rFonts w:ascii="仿宋" w:hAnsi="仿宋" w:eastAsia="仿宋" w:cs="仿宋"/>
                <w:bCs/>
                <w:color w:val="auto"/>
                <w:sz w:val="26"/>
                <w:szCs w:val="26"/>
                <w:highlight w:val="none"/>
              </w:rPr>
            </w:pPr>
            <w:r>
              <w:rPr>
                <w:rFonts w:hint="eastAsia" w:ascii="仿宋" w:hAnsi="仿宋" w:eastAsia="仿宋" w:cs="仿宋"/>
                <w:bCs/>
                <w:color w:val="auto"/>
                <w:sz w:val="26"/>
                <w:szCs w:val="26"/>
                <w:highlight w:val="none"/>
                <w:lang w:val="en-US" w:eastAsia="zh-CN"/>
              </w:rPr>
              <w:t>主要针对注册地为柯城区的用电企业</w:t>
            </w:r>
            <w:r>
              <w:rPr>
                <w:rFonts w:hint="eastAsia" w:ascii="仿宋" w:hAnsi="仿宋" w:eastAsia="仿宋" w:cs="仿宋"/>
                <w:bCs/>
                <w:color w:val="auto"/>
                <w:sz w:val="26"/>
                <w:szCs w:val="26"/>
                <w:highlight w:val="none"/>
                <w:lang w:eastAsia="zh-CN"/>
              </w:rPr>
              <w:t>（以用户清单为准）</w:t>
            </w:r>
          </w:p>
        </w:tc>
      </w:tr>
      <w:tr w14:paraId="1C4F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6" w:type="dxa"/>
            <w:gridSpan w:val="6"/>
            <w:tcBorders>
              <w:top w:val="single" w:color="auto" w:sz="4" w:space="0"/>
              <w:left w:val="single" w:color="auto" w:sz="4" w:space="0"/>
              <w:bottom w:val="single" w:color="auto" w:sz="4" w:space="0"/>
            </w:tcBorders>
            <w:vAlign w:val="center"/>
          </w:tcPr>
          <w:p w14:paraId="138D3487">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left"/>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
                <w:bCs w:val="0"/>
                <w:color w:val="auto"/>
                <w:sz w:val="26"/>
                <w:szCs w:val="26"/>
                <w:highlight w:val="none"/>
                <w:lang w:val="en-US" w:eastAsia="zh-CN"/>
              </w:rPr>
              <w:t>注：供应商可自行选择参与其中一个标项或多个标项的投标，先评标项一，再评标项二，但只可中标一个标项。若A单位同时为标项一和标项二的第一中标候选人，则取消其标项二的中标候选人资格，由标项二排名第二的单位递补作为第一中标候选人。</w:t>
            </w:r>
          </w:p>
        </w:tc>
      </w:tr>
      <w:bookmarkEnd w:id="24"/>
      <w:bookmarkEnd w:id="26"/>
    </w:tbl>
    <w:p w14:paraId="39A1C405">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w:t>
      </w:r>
      <w:bookmarkEnd w:id="27"/>
      <w:bookmarkStart w:id="30" w:name="_Toc5463"/>
      <w:r>
        <w:rPr>
          <w:rFonts w:hint="eastAsia" w:ascii="仿宋" w:hAnsi="仿宋" w:eastAsia="仿宋" w:cs="仿宋"/>
          <w:b/>
          <w:bCs w:val="0"/>
          <w:color w:val="auto"/>
          <w:sz w:val="28"/>
          <w:szCs w:val="28"/>
          <w:highlight w:val="none"/>
          <w:lang w:val="en-US" w:eastAsia="zh-CN"/>
        </w:rPr>
        <w:t>项目概况</w:t>
      </w:r>
    </w:p>
    <w:p w14:paraId="451AEC43">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为深入贯彻稳增长、促改革、调结构、惠民生、防风险、保稳定要求，切实降低企业用电成本，促进我市营商环境的进一步优化，根据《浙江省人民政府办公厅关于深化企业减负担降成本改革的若干意见》《浙江省人民政府关于进一步发挥保险功能作用促进我省经济社会发展的意见》《中共衢州市委衢州市人民政府关于打造最优营商环境促进民营经济高质量发展的实施意见》《中共衢州市委衢州市人民政府关于推进绿色金融改革创新试验区建设的实施意见》等文件精神，运用市场化手段，发挥绿色保险服务地方经济发展的作用，通过财政资金购买“优化用电营商环境综合保险”，合理分摊电费拖欠风险，达到有效降低企业用电成本目的。</w:t>
      </w:r>
    </w:p>
    <w:p w14:paraId="089F2F39">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三、</w:t>
      </w:r>
      <w:bookmarkEnd w:id="30"/>
      <w:r>
        <w:rPr>
          <w:rFonts w:hint="eastAsia" w:ascii="仿宋" w:hAnsi="仿宋" w:eastAsia="仿宋" w:cs="仿宋"/>
          <w:b/>
          <w:bCs w:val="0"/>
          <w:color w:val="auto"/>
          <w:sz w:val="28"/>
          <w:szCs w:val="28"/>
          <w:highlight w:val="none"/>
          <w:lang w:val="en-US" w:eastAsia="zh-CN"/>
        </w:rPr>
        <w:t>采购内容</w:t>
      </w:r>
    </w:p>
    <w:p w14:paraId="22CF1BF4">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 xml:space="preserve">1、投保人：衢州市发展和改革委员会； </w:t>
      </w:r>
    </w:p>
    <w:p w14:paraId="4C4DFBF5">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2、被保险人：</w:t>
      </w:r>
      <w:r>
        <w:rPr>
          <w:rFonts w:hint="eastAsia" w:ascii="仿宋" w:hAnsi="仿宋" w:eastAsia="仿宋" w:cs="仿宋"/>
          <w:bCs/>
          <w:color w:val="auto"/>
          <w:sz w:val="26"/>
          <w:szCs w:val="26"/>
          <w:highlight w:val="none"/>
          <w:lang w:val="en-US" w:eastAsia="zh-CN"/>
        </w:rPr>
        <w:t>注册地址为柯城区和衢江区的用电企业</w:t>
      </w:r>
      <w:r>
        <w:rPr>
          <w:rFonts w:hint="eastAsia" w:ascii="仿宋" w:hAnsi="仿宋" w:eastAsia="仿宋" w:cs="仿宋"/>
          <w:bCs/>
          <w:color w:val="auto"/>
          <w:sz w:val="26"/>
          <w:szCs w:val="26"/>
          <w:highlight w:val="none"/>
        </w:rPr>
        <w:t xml:space="preserve">； </w:t>
      </w:r>
    </w:p>
    <w:p w14:paraId="034E8DD0">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3、受益人：国网浙江省电力有限公司衢州供电公司；</w:t>
      </w:r>
    </w:p>
    <w:p w14:paraId="559FF83C">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4、项目标的描述：</w:t>
      </w:r>
    </w:p>
    <w:p w14:paraId="48C0FDB9">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受益人在保险期间内按用电合同约定向用电企业提供供电服务，因被保险人自身原因导致的受益人应收电费账款无法收回而产生的相应损失，承保人按照理赔方案约定进行赔偿；</w:t>
      </w:r>
    </w:p>
    <w:p w14:paraId="0C61AD34">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5、保险险种/条款：</w:t>
      </w:r>
    </w:p>
    <w:p w14:paraId="7F3E8939">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综合责任险/信用险</w:t>
      </w:r>
      <w:r>
        <w:rPr>
          <w:rFonts w:hint="eastAsia" w:ascii="仿宋" w:hAnsi="仿宋" w:eastAsia="仿宋" w:cs="仿宋"/>
          <w:bCs/>
          <w:color w:val="auto"/>
          <w:sz w:val="26"/>
          <w:szCs w:val="26"/>
          <w:highlight w:val="none"/>
          <w:lang w:val="en-US" w:eastAsia="zh-CN"/>
        </w:rPr>
        <w:t>（原则上承保人因在中标后3个月内须在原有险种基础上按照相关法律法规及投标承诺设立“优化用电营商环境综合保险”，并对“优化用电营商环境综合保险”进行报批备案，如因政策等非主观因素造成无法完成备案，则不作为违约条款）</w:t>
      </w:r>
    </w:p>
    <w:p w14:paraId="783DD6C9">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6、保险金额/赔偿限额：</w:t>
      </w:r>
    </w:p>
    <w:tbl>
      <w:tblPr>
        <w:tblStyle w:val="6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958"/>
        <w:gridCol w:w="1269"/>
        <w:gridCol w:w="1604"/>
        <w:gridCol w:w="3644"/>
        <w:gridCol w:w="1382"/>
      </w:tblGrid>
      <w:tr w14:paraId="26D0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88" w:type="dxa"/>
            <w:gridSpan w:val="6"/>
            <w:vAlign w:val="center"/>
          </w:tcPr>
          <w:p w14:paraId="0064D848">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优化用电营商环境综合保险</w:t>
            </w:r>
          </w:p>
        </w:tc>
      </w:tr>
      <w:tr w14:paraId="3181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14:paraId="25D6185B">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序号</w:t>
            </w:r>
          </w:p>
        </w:tc>
        <w:tc>
          <w:tcPr>
            <w:tcW w:w="958" w:type="dxa"/>
            <w:vAlign w:val="center"/>
          </w:tcPr>
          <w:p w14:paraId="048B1421">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风险种类</w:t>
            </w:r>
          </w:p>
        </w:tc>
        <w:tc>
          <w:tcPr>
            <w:tcW w:w="1269" w:type="dxa"/>
            <w:vAlign w:val="center"/>
          </w:tcPr>
          <w:p w14:paraId="4EEC8026">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投保金额</w:t>
            </w:r>
          </w:p>
        </w:tc>
        <w:tc>
          <w:tcPr>
            <w:tcW w:w="1604" w:type="dxa"/>
            <w:vAlign w:val="center"/>
          </w:tcPr>
          <w:p w14:paraId="1C14FF50">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赔偿限额</w:t>
            </w:r>
          </w:p>
        </w:tc>
        <w:tc>
          <w:tcPr>
            <w:tcW w:w="3644" w:type="dxa"/>
            <w:vAlign w:val="center"/>
          </w:tcPr>
          <w:p w14:paraId="56C1712F">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赔偿时效</w:t>
            </w:r>
          </w:p>
        </w:tc>
        <w:tc>
          <w:tcPr>
            <w:tcW w:w="1382" w:type="dxa"/>
            <w:vAlign w:val="center"/>
          </w:tcPr>
          <w:p w14:paraId="6AD92E25">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免赔额/免赔率</w:t>
            </w:r>
          </w:p>
        </w:tc>
      </w:tr>
      <w:tr w14:paraId="533E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14:paraId="2DB78AFD">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1</w:t>
            </w:r>
          </w:p>
        </w:tc>
        <w:tc>
          <w:tcPr>
            <w:tcW w:w="958" w:type="dxa"/>
            <w:vAlign w:val="center"/>
          </w:tcPr>
          <w:p w14:paraId="0B17705E">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综合保险服务</w:t>
            </w:r>
          </w:p>
        </w:tc>
        <w:tc>
          <w:tcPr>
            <w:tcW w:w="1269" w:type="dxa"/>
            <w:vAlign w:val="center"/>
          </w:tcPr>
          <w:p w14:paraId="600568A3">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515000元</w:t>
            </w:r>
          </w:p>
        </w:tc>
        <w:tc>
          <w:tcPr>
            <w:tcW w:w="1604" w:type="dxa"/>
            <w:vAlign w:val="center"/>
          </w:tcPr>
          <w:p w14:paraId="74C0176C">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不低于3500000元（含）</w:t>
            </w:r>
          </w:p>
        </w:tc>
        <w:tc>
          <w:tcPr>
            <w:tcW w:w="3644" w:type="dxa"/>
            <w:vAlign w:val="center"/>
          </w:tcPr>
          <w:p w14:paraId="30E1364E">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both"/>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授权限额内的不高于24小时，授权限额外的不高于72小时</w:t>
            </w:r>
          </w:p>
        </w:tc>
        <w:tc>
          <w:tcPr>
            <w:tcW w:w="1382" w:type="dxa"/>
            <w:vAlign w:val="center"/>
          </w:tcPr>
          <w:p w14:paraId="4C5955BC">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无免赔</w:t>
            </w:r>
          </w:p>
        </w:tc>
      </w:tr>
      <w:tr w14:paraId="00D6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14:paraId="04FD6466">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2</w:t>
            </w:r>
          </w:p>
        </w:tc>
        <w:tc>
          <w:tcPr>
            <w:tcW w:w="958" w:type="dxa"/>
            <w:vAlign w:val="center"/>
          </w:tcPr>
          <w:p w14:paraId="05FAD098">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综合保险服务</w:t>
            </w:r>
          </w:p>
        </w:tc>
        <w:tc>
          <w:tcPr>
            <w:tcW w:w="1269" w:type="dxa"/>
            <w:vAlign w:val="center"/>
          </w:tcPr>
          <w:p w14:paraId="4FCCD682">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485000元</w:t>
            </w:r>
          </w:p>
        </w:tc>
        <w:tc>
          <w:tcPr>
            <w:tcW w:w="1604" w:type="dxa"/>
            <w:vAlign w:val="center"/>
          </w:tcPr>
          <w:p w14:paraId="3CDCA290">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不低于3500000元（含）</w:t>
            </w:r>
          </w:p>
        </w:tc>
        <w:tc>
          <w:tcPr>
            <w:tcW w:w="3644" w:type="dxa"/>
            <w:vAlign w:val="center"/>
          </w:tcPr>
          <w:p w14:paraId="4C222C5B">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both"/>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授权限额内的不高于24小时，授权限额外的不高于72小时</w:t>
            </w:r>
          </w:p>
        </w:tc>
        <w:tc>
          <w:tcPr>
            <w:tcW w:w="1382" w:type="dxa"/>
            <w:vAlign w:val="center"/>
          </w:tcPr>
          <w:p w14:paraId="7DB3A266">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无免赔</w:t>
            </w:r>
          </w:p>
        </w:tc>
      </w:tr>
    </w:tbl>
    <w:p w14:paraId="30EF24EA">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注：（1）赔偿限额由承保人负责（受益人协助）追回应收电费账款后实时恢复，即保险期限内赔偿限额作无限循环模式，不受年度理赔次数和累计额限制。</w:t>
      </w:r>
    </w:p>
    <w:p w14:paraId="196CFA43">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（2）公式为：实时可赔偿限额=约定赔偿限额-已赔付金额+已追讨入账金额。</w:t>
      </w:r>
    </w:p>
    <w:p w14:paraId="1A70E00A">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（3）此项为响应式条款，各供应商参加投标活动即默认响应此要求。</w:t>
      </w:r>
    </w:p>
    <w:p w14:paraId="51F0991F">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 xml:space="preserve">7、保险期限: </w:t>
      </w:r>
    </w:p>
    <w:p w14:paraId="07853047">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自保险人中标之日后一年（以合同签订之日起计算），如有理赔未完成事宜，则保险期限至所有理赔工作结束时止，以保单最终注明的保险期限为准。2025年12月31日17:00时须确保事故结案率100%。</w:t>
      </w:r>
    </w:p>
    <w:p w14:paraId="771A497B">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名词解释</w:t>
      </w:r>
    </w:p>
    <w:p w14:paraId="1D533A92">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（1）投保金额：本项目投保金额默认响应人民币51.5万元、48.5万元；</w:t>
      </w:r>
    </w:p>
    <w:p w14:paraId="75971F5B">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（2）赔偿限额：保险合同期限内累计赔付最高额度；</w:t>
      </w:r>
    </w:p>
    <w:p w14:paraId="61600DFE">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09" w:firstLineChars="196"/>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3）赔付额度：当期电费欠费本金、违约金及实施欠费停电之日止计算发行的电费、违约金总和。举例：某企业电费抄表发行日为每月1日，4月1日计算发行电费10万元，该企业未在4月20日前完成交费，4月21日开始产生违约金，5月23日实施欠费停电，期间5月1日再次发行电费11万元，5月21日11万元的电费产生违约金。那么保险公司应赔10万元及相应违约金和11万元及相应违约金。以上时间仅作相关说明，具体时间按照受益人内部工作规范要求。</w:t>
      </w:r>
    </w:p>
    <w:p w14:paraId="72751FFD">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firstLine="560"/>
        <w:textAlignment w:val="auto"/>
        <w:rPr>
          <w:rFonts w:hint="eastAsia" w:ascii="仿宋_GB2312" w:hAnsi="仿宋" w:eastAsia="仿宋_GB2312" w:cs="仿宋_GB2312"/>
          <w:b/>
          <w:color w:val="auto"/>
          <w:sz w:val="26"/>
          <w:szCs w:val="26"/>
          <w:highlight w:val="none"/>
        </w:rPr>
      </w:pPr>
      <w:r>
        <w:rPr>
          <w:rFonts w:hint="eastAsia" w:ascii="仿宋" w:hAnsi="仿宋" w:eastAsia="仿宋" w:cs="仿宋"/>
          <w:bCs/>
          <w:color w:val="auto"/>
          <w:sz w:val="26"/>
          <w:szCs w:val="26"/>
          <w:highlight w:val="none"/>
          <w:lang w:val="en-US" w:eastAsia="zh-CN"/>
        </w:rPr>
        <w:t>（4）赔付时效：发生事故后完成合同约定理赔的最短时间不高于24小时；</w:t>
      </w:r>
    </w:p>
    <w:p w14:paraId="583EEE25">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14:paraId="72B91711">
      <w:pPr>
        <w:snapToGrid w:val="0"/>
        <w:spacing w:line="360" w:lineRule="auto"/>
        <w:jc w:val="center"/>
        <w:rPr>
          <w:rFonts w:hint="eastAsia" w:ascii="仿宋" w:hAnsi="仿宋" w:eastAsia="仿宋" w:cs="仿宋_GB2312"/>
          <w:b/>
          <w:color w:val="auto"/>
          <w:sz w:val="36"/>
          <w:szCs w:val="36"/>
          <w:highlight w:val="none"/>
        </w:rPr>
      </w:pPr>
    </w:p>
    <w:p w14:paraId="10FF3404">
      <w:pPr>
        <w:pStyle w:val="2"/>
        <w:rPr>
          <w:rFonts w:hint="eastAsia" w:ascii="仿宋" w:hAnsi="仿宋" w:eastAsia="仿宋" w:cs="仿宋_GB2312"/>
          <w:b/>
          <w:color w:val="auto"/>
          <w:sz w:val="36"/>
          <w:szCs w:val="36"/>
          <w:highlight w:val="none"/>
        </w:rPr>
      </w:pPr>
    </w:p>
    <w:p w14:paraId="6489CC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31" w:name="_Toc184314411"/>
      <w:bookmarkEnd w:id="31"/>
      <w:bookmarkStart w:id="32" w:name="_Toc184310275"/>
      <w:bookmarkEnd w:id="32"/>
      <w:bookmarkStart w:id="33" w:name="_Toc184310286"/>
      <w:bookmarkEnd w:id="33"/>
      <w:bookmarkStart w:id="34" w:name="_Toc184314416"/>
      <w:bookmarkEnd w:id="34"/>
      <w:bookmarkStart w:id="35" w:name="_Toc184314482"/>
      <w:bookmarkEnd w:id="35"/>
      <w:bookmarkStart w:id="36" w:name="_Toc184314453"/>
      <w:bookmarkEnd w:id="36"/>
      <w:bookmarkStart w:id="37" w:name="_Toc184314459"/>
      <w:bookmarkEnd w:id="37"/>
      <w:bookmarkStart w:id="38" w:name="_Toc184310316"/>
      <w:bookmarkEnd w:id="38"/>
      <w:bookmarkStart w:id="39" w:name="_Toc184313250"/>
      <w:bookmarkEnd w:id="39"/>
      <w:bookmarkStart w:id="40" w:name="_Toc184312107"/>
      <w:bookmarkEnd w:id="40"/>
      <w:bookmarkStart w:id="41" w:name="_Toc184314425"/>
      <w:bookmarkEnd w:id="41"/>
      <w:bookmarkStart w:id="42" w:name="_Toc184313295"/>
      <w:bookmarkEnd w:id="42"/>
      <w:bookmarkStart w:id="43" w:name="_Toc184308066"/>
      <w:bookmarkEnd w:id="43"/>
      <w:bookmarkStart w:id="44" w:name="_Toc184313287"/>
      <w:bookmarkEnd w:id="44"/>
      <w:bookmarkStart w:id="45" w:name="_Toc184313298"/>
      <w:bookmarkEnd w:id="45"/>
      <w:bookmarkStart w:id="46" w:name="_Toc184312068"/>
      <w:bookmarkEnd w:id="46"/>
      <w:bookmarkStart w:id="47" w:name="_Toc184313282"/>
      <w:bookmarkEnd w:id="47"/>
      <w:bookmarkStart w:id="48" w:name="_Toc184312130"/>
      <w:bookmarkEnd w:id="48"/>
      <w:bookmarkStart w:id="49" w:name="_Toc184310277"/>
      <w:bookmarkEnd w:id="49"/>
      <w:bookmarkStart w:id="50" w:name="_Toc184313267"/>
      <w:bookmarkEnd w:id="50"/>
      <w:bookmarkStart w:id="51" w:name="_Toc184310335"/>
      <w:bookmarkEnd w:id="51"/>
      <w:bookmarkStart w:id="52" w:name="_Toc184312112"/>
      <w:bookmarkEnd w:id="52"/>
      <w:bookmarkStart w:id="53" w:name="_Toc184312100"/>
      <w:bookmarkEnd w:id="53"/>
      <w:bookmarkStart w:id="54" w:name="_Toc184313279"/>
      <w:bookmarkEnd w:id="54"/>
      <w:bookmarkStart w:id="55" w:name="_Toc184314434"/>
      <w:bookmarkEnd w:id="55"/>
      <w:bookmarkStart w:id="56" w:name="_Toc184310292"/>
      <w:bookmarkEnd w:id="56"/>
      <w:bookmarkStart w:id="57" w:name="_Toc184310319"/>
      <w:bookmarkEnd w:id="57"/>
      <w:bookmarkStart w:id="58" w:name="_Toc184314454"/>
      <w:bookmarkEnd w:id="58"/>
      <w:bookmarkStart w:id="59" w:name="_Toc184314480"/>
      <w:bookmarkEnd w:id="59"/>
      <w:bookmarkStart w:id="60" w:name="_Toc184310280"/>
      <w:bookmarkEnd w:id="60"/>
      <w:bookmarkStart w:id="61" w:name="_Toc184312078"/>
      <w:bookmarkEnd w:id="61"/>
      <w:bookmarkStart w:id="62" w:name="_Toc184310291"/>
      <w:bookmarkEnd w:id="62"/>
      <w:bookmarkStart w:id="63" w:name="_Toc184312070"/>
      <w:bookmarkEnd w:id="63"/>
      <w:bookmarkStart w:id="64" w:name="_Toc184310294"/>
      <w:bookmarkEnd w:id="64"/>
      <w:bookmarkStart w:id="65" w:name="_Toc184314430"/>
      <w:bookmarkEnd w:id="65"/>
      <w:bookmarkStart w:id="66" w:name="_Toc184308059"/>
      <w:bookmarkEnd w:id="66"/>
      <w:bookmarkStart w:id="67" w:name="_Toc184314449"/>
      <w:bookmarkEnd w:id="67"/>
      <w:bookmarkStart w:id="68" w:name="_Toc184308039"/>
      <w:bookmarkEnd w:id="68"/>
      <w:bookmarkStart w:id="69" w:name="_Toc184310325"/>
      <w:bookmarkEnd w:id="69"/>
      <w:bookmarkStart w:id="70" w:name="_Toc184312104"/>
      <w:bookmarkEnd w:id="70"/>
      <w:bookmarkStart w:id="71" w:name="_Toc184314432"/>
      <w:bookmarkEnd w:id="71"/>
      <w:bookmarkStart w:id="72" w:name="_Toc184310289"/>
      <w:bookmarkEnd w:id="72"/>
      <w:bookmarkStart w:id="73" w:name="_Toc184312105"/>
      <w:bookmarkEnd w:id="73"/>
      <w:bookmarkStart w:id="74" w:name="_Toc184312072"/>
      <w:bookmarkEnd w:id="74"/>
      <w:bookmarkStart w:id="75" w:name="_Toc184310303"/>
      <w:bookmarkEnd w:id="75"/>
      <w:bookmarkStart w:id="76" w:name="_Toc184310342"/>
      <w:bookmarkEnd w:id="76"/>
      <w:bookmarkStart w:id="77" w:name="_Toc184314452"/>
      <w:bookmarkEnd w:id="77"/>
      <w:bookmarkStart w:id="78" w:name="_Toc184310333"/>
      <w:bookmarkEnd w:id="78"/>
      <w:bookmarkStart w:id="79" w:name="_Toc184312139"/>
      <w:bookmarkEnd w:id="79"/>
      <w:bookmarkStart w:id="80" w:name="_Toc184312084"/>
      <w:bookmarkEnd w:id="80"/>
      <w:bookmarkStart w:id="81" w:name="_Toc184313239"/>
      <w:bookmarkEnd w:id="81"/>
      <w:bookmarkStart w:id="82" w:name="_Toc184314455"/>
      <w:bookmarkEnd w:id="82"/>
      <w:bookmarkStart w:id="83" w:name="_Toc184314419"/>
      <w:bookmarkEnd w:id="83"/>
      <w:bookmarkStart w:id="84" w:name="_Toc184310293"/>
      <w:bookmarkEnd w:id="84"/>
      <w:bookmarkStart w:id="85" w:name="_Toc184308102"/>
      <w:bookmarkEnd w:id="85"/>
      <w:bookmarkStart w:id="86" w:name="_Toc184314435"/>
      <w:bookmarkEnd w:id="86"/>
      <w:bookmarkStart w:id="87" w:name="_Toc184312079"/>
      <w:bookmarkEnd w:id="87"/>
      <w:bookmarkStart w:id="88" w:name="_Toc184308075"/>
      <w:bookmarkEnd w:id="88"/>
      <w:bookmarkStart w:id="89" w:name="_Toc184308055"/>
      <w:bookmarkEnd w:id="89"/>
      <w:bookmarkStart w:id="90" w:name="_Toc184310329"/>
      <w:bookmarkEnd w:id="90"/>
      <w:bookmarkStart w:id="91" w:name="_Toc184312075"/>
      <w:bookmarkEnd w:id="91"/>
      <w:bookmarkStart w:id="92" w:name="_Toc184314461"/>
      <w:bookmarkEnd w:id="92"/>
      <w:bookmarkStart w:id="93" w:name="_Toc184308073"/>
      <w:bookmarkEnd w:id="93"/>
      <w:bookmarkStart w:id="94" w:name="_Toc184312118"/>
      <w:bookmarkEnd w:id="94"/>
      <w:bookmarkStart w:id="95" w:name="_Toc184313266"/>
      <w:bookmarkEnd w:id="95"/>
      <w:bookmarkStart w:id="96" w:name="_Toc184314460"/>
      <w:bookmarkEnd w:id="96"/>
      <w:bookmarkStart w:id="97" w:name="_Toc184310301"/>
      <w:bookmarkEnd w:id="97"/>
      <w:bookmarkStart w:id="98" w:name="_Toc184308063"/>
      <w:bookmarkEnd w:id="98"/>
      <w:bookmarkStart w:id="99" w:name="_Toc184308058"/>
      <w:bookmarkEnd w:id="99"/>
      <w:bookmarkStart w:id="100" w:name="_Toc184308094"/>
      <w:bookmarkEnd w:id="100"/>
      <w:bookmarkStart w:id="101" w:name="_Toc184314433"/>
      <w:bookmarkEnd w:id="101"/>
      <w:bookmarkStart w:id="102" w:name="_Toc184313251"/>
      <w:bookmarkEnd w:id="102"/>
      <w:bookmarkStart w:id="103" w:name="_Toc184310307"/>
      <w:bookmarkEnd w:id="103"/>
      <w:bookmarkStart w:id="104" w:name="_Toc184312122"/>
      <w:bookmarkEnd w:id="104"/>
      <w:bookmarkStart w:id="105" w:name="_Toc184313296"/>
      <w:bookmarkEnd w:id="105"/>
      <w:bookmarkStart w:id="106" w:name="_Toc184314417"/>
      <w:bookmarkEnd w:id="106"/>
      <w:bookmarkStart w:id="107" w:name="_Toc184308100"/>
      <w:bookmarkEnd w:id="107"/>
      <w:bookmarkStart w:id="108" w:name="_Toc184312074"/>
      <w:bookmarkEnd w:id="108"/>
      <w:bookmarkStart w:id="109" w:name="_Toc184312098"/>
      <w:bookmarkEnd w:id="109"/>
      <w:bookmarkStart w:id="110" w:name="_Toc184314444"/>
      <w:bookmarkEnd w:id="110"/>
      <w:bookmarkStart w:id="111" w:name="_Toc184314429"/>
      <w:bookmarkEnd w:id="111"/>
      <w:bookmarkStart w:id="112" w:name="_Toc184313272"/>
      <w:bookmarkEnd w:id="112"/>
      <w:bookmarkStart w:id="113" w:name="_Toc184314439"/>
      <w:bookmarkEnd w:id="113"/>
      <w:bookmarkStart w:id="114" w:name="_Toc184314463"/>
      <w:bookmarkEnd w:id="114"/>
      <w:bookmarkStart w:id="115" w:name="_Toc184312094"/>
      <w:bookmarkEnd w:id="115"/>
      <w:bookmarkStart w:id="116" w:name="_Toc184308081"/>
      <w:bookmarkEnd w:id="116"/>
      <w:bookmarkStart w:id="117" w:name="_Toc184312133"/>
      <w:bookmarkEnd w:id="117"/>
      <w:bookmarkStart w:id="118" w:name="_Toc184312093"/>
      <w:bookmarkEnd w:id="118"/>
      <w:bookmarkStart w:id="119" w:name="_Toc184308092"/>
      <w:bookmarkEnd w:id="119"/>
      <w:bookmarkStart w:id="120" w:name="_Toc184313248"/>
      <w:bookmarkEnd w:id="120"/>
      <w:bookmarkStart w:id="121" w:name="_Toc184312103"/>
      <w:bookmarkEnd w:id="121"/>
      <w:bookmarkStart w:id="122" w:name="_Toc184313263"/>
      <w:bookmarkEnd w:id="122"/>
      <w:bookmarkStart w:id="123" w:name="_Toc184313262"/>
      <w:bookmarkEnd w:id="123"/>
      <w:bookmarkStart w:id="124" w:name="_Toc184314476"/>
      <w:bookmarkEnd w:id="124"/>
      <w:bookmarkStart w:id="125" w:name="_Toc184310300"/>
      <w:bookmarkEnd w:id="125"/>
      <w:bookmarkStart w:id="126" w:name="_Toc184308079"/>
      <w:bookmarkEnd w:id="126"/>
      <w:bookmarkStart w:id="127" w:name="_Toc184314466"/>
      <w:bookmarkEnd w:id="127"/>
      <w:bookmarkStart w:id="128" w:name="_Toc184314475"/>
      <w:bookmarkEnd w:id="128"/>
      <w:bookmarkStart w:id="129" w:name="_Toc184313273"/>
      <w:bookmarkEnd w:id="129"/>
      <w:bookmarkStart w:id="130" w:name="_Toc184312123"/>
      <w:bookmarkEnd w:id="130"/>
      <w:bookmarkStart w:id="131" w:name="_Toc184313277"/>
      <w:bookmarkEnd w:id="131"/>
      <w:bookmarkStart w:id="132" w:name="_Toc184310299"/>
      <w:bookmarkEnd w:id="132"/>
      <w:bookmarkStart w:id="133" w:name="_Toc184313292"/>
      <w:bookmarkEnd w:id="133"/>
      <w:bookmarkStart w:id="134" w:name="_Toc184312086"/>
      <w:bookmarkEnd w:id="134"/>
      <w:bookmarkStart w:id="135" w:name="_Toc184314420"/>
      <w:bookmarkEnd w:id="135"/>
      <w:bookmarkStart w:id="136" w:name="_Toc184314426"/>
      <w:bookmarkEnd w:id="136"/>
      <w:bookmarkStart w:id="137" w:name="_Toc184308054"/>
      <w:bookmarkEnd w:id="137"/>
      <w:bookmarkStart w:id="138" w:name="_Toc184314413"/>
      <w:bookmarkEnd w:id="138"/>
      <w:bookmarkStart w:id="139" w:name="_Toc184310313"/>
      <w:bookmarkEnd w:id="139"/>
      <w:bookmarkStart w:id="140" w:name="_Toc184313288"/>
      <w:bookmarkEnd w:id="140"/>
      <w:bookmarkStart w:id="141" w:name="_Toc184312134"/>
      <w:bookmarkEnd w:id="141"/>
      <w:bookmarkStart w:id="142" w:name="_Toc184308088"/>
      <w:bookmarkEnd w:id="142"/>
      <w:bookmarkStart w:id="143" w:name="_Toc184313275"/>
      <w:bookmarkEnd w:id="143"/>
      <w:bookmarkStart w:id="144" w:name="_Toc184312077"/>
      <w:bookmarkEnd w:id="144"/>
      <w:bookmarkStart w:id="145" w:name="_Toc184314445"/>
      <w:bookmarkEnd w:id="145"/>
      <w:bookmarkStart w:id="146" w:name="_Toc184313245"/>
      <w:bookmarkEnd w:id="146"/>
      <w:bookmarkStart w:id="147" w:name="_Toc184314436"/>
      <w:bookmarkEnd w:id="147"/>
      <w:bookmarkStart w:id="148" w:name="_Toc184314465"/>
      <w:bookmarkEnd w:id="148"/>
      <w:bookmarkStart w:id="149" w:name="_Toc184313246"/>
      <w:bookmarkEnd w:id="149"/>
      <w:bookmarkStart w:id="150" w:name="_Toc184310297"/>
      <w:bookmarkEnd w:id="150"/>
      <w:bookmarkStart w:id="151" w:name="_Toc184313242"/>
      <w:bookmarkEnd w:id="151"/>
      <w:bookmarkStart w:id="152" w:name="_Toc184314477"/>
      <w:bookmarkEnd w:id="152"/>
      <w:bookmarkStart w:id="153" w:name="_Toc184314427"/>
      <w:bookmarkEnd w:id="153"/>
      <w:bookmarkStart w:id="154" w:name="_Toc184313303"/>
      <w:bookmarkEnd w:id="154"/>
      <w:bookmarkStart w:id="155" w:name="_Toc184313284"/>
      <w:bookmarkEnd w:id="155"/>
      <w:bookmarkStart w:id="156" w:name="_Toc184313294"/>
      <w:bookmarkEnd w:id="156"/>
      <w:bookmarkStart w:id="157" w:name="_Toc184310326"/>
      <w:bookmarkEnd w:id="157"/>
      <w:bookmarkStart w:id="158" w:name="_Toc184310338"/>
      <w:bookmarkEnd w:id="158"/>
      <w:bookmarkStart w:id="159" w:name="_Toc184308074"/>
      <w:bookmarkEnd w:id="159"/>
      <w:bookmarkStart w:id="160" w:name="_Toc184312085"/>
      <w:bookmarkEnd w:id="160"/>
      <w:bookmarkStart w:id="161" w:name="_Toc184312090"/>
      <w:bookmarkEnd w:id="161"/>
      <w:bookmarkStart w:id="162" w:name="_Toc184308085"/>
      <w:bookmarkEnd w:id="162"/>
      <w:bookmarkStart w:id="163" w:name="_Toc184312113"/>
      <w:bookmarkEnd w:id="163"/>
      <w:bookmarkStart w:id="164" w:name="_Toc184313278"/>
      <w:bookmarkEnd w:id="164"/>
      <w:bookmarkStart w:id="165" w:name="_Toc184308048"/>
      <w:bookmarkEnd w:id="165"/>
      <w:bookmarkStart w:id="166" w:name="_Toc184313255"/>
      <w:bookmarkEnd w:id="166"/>
      <w:bookmarkStart w:id="167" w:name="_Toc184308065"/>
      <w:bookmarkEnd w:id="167"/>
      <w:bookmarkStart w:id="168" w:name="_Toc184313261"/>
      <w:bookmarkEnd w:id="168"/>
      <w:bookmarkStart w:id="169" w:name="_Toc184308106"/>
      <w:bookmarkEnd w:id="169"/>
      <w:bookmarkStart w:id="170" w:name="_Toc184314478"/>
      <w:bookmarkEnd w:id="170"/>
      <w:bookmarkStart w:id="171" w:name="_Toc184314479"/>
      <w:bookmarkEnd w:id="171"/>
      <w:bookmarkStart w:id="172" w:name="_Toc184313240"/>
      <w:bookmarkEnd w:id="172"/>
      <w:bookmarkStart w:id="173" w:name="_Toc184314428"/>
      <w:bookmarkEnd w:id="173"/>
      <w:bookmarkStart w:id="174" w:name="_Toc184308103"/>
      <w:bookmarkEnd w:id="174"/>
      <w:bookmarkStart w:id="175" w:name="_Toc184314437"/>
      <w:bookmarkEnd w:id="175"/>
      <w:bookmarkStart w:id="176" w:name="_Toc184308049"/>
      <w:bookmarkEnd w:id="176"/>
      <w:bookmarkStart w:id="177" w:name="_Toc184314448"/>
      <w:bookmarkEnd w:id="177"/>
      <w:bookmarkStart w:id="178" w:name="_Toc184310337"/>
      <w:bookmarkEnd w:id="178"/>
      <w:bookmarkStart w:id="179" w:name="_Toc184310322"/>
      <w:bookmarkEnd w:id="179"/>
      <w:bookmarkStart w:id="180" w:name="_Toc184308056"/>
      <w:bookmarkEnd w:id="180"/>
      <w:bookmarkStart w:id="181" w:name="_Toc184314450"/>
      <w:bookmarkEnd w:id="181"/>
      <w:bookmarkStart w:id="182" w:name="_Toc184308060"/>
      <w:bookmarkEnd w:id="182"/>
      <w:bookmarkStart w:id="183" w:name="_Toc184314458"/>
      <w:bookmarkEnd w:id="183"/>
      <w:bookmarkStart w:id="184" w:name="_Toc184313256"/>
      <w:bookmarkEnd w:id="184"/>
      <w:bookmarkStart w:id="185" w:name="_Toc184308042"/>
      <w:bookmarkEnd w:id="185"/>
      <w:bookmarkStart w:id="186" w:name="_Toc184314456"/>
      <w:bookmarkEnd w:id="186"/>
      <w:bookmarkStart w:id="187" w:name="_Toc184310273"/>
      <w:bookmarkEnd w:id="187"/>
      <w:bookmarkStart w:id="188" w:name="_Toc184310327"/>
      <w:bookmarkEnd w:id="188"/>
      <w:bookmarkStart w:id="189" w:name="_Toc184312115"/>
      <w:bookmarkEnd w:id="189"/>
      <w:bookmarkStart w:id="190" w:name="_Toc184308078"/>
      <w:bookmarkEnd w:id="190"/>
      <w:bookmarkStart w:id="191" w:name="_Toc184313280"/>
      <w:bookmarkEnd w:id="191"/>
      <w:bookmarkStart w:id="192" w:name="_Toc184310274"/>
      <w:bookmarkEnd w:id="192"/>
      <w:bookmarkStart w:id="193" w:name="_Toc184312106"/>
      <w:bookmarkEnd w:id="193"/>
      <w:bookmarkStart w:id="194" w:name="_Toc184314471"/>
      <w:bookmarkEnd w:id="194"/>
      <w:bookmarkStart w:id="195" w:name="_Toc184310298"/>
      <w:bookmarkEnd w:id="195"/>
      <w:bookmarkStart w:id="196" w:name="_Toc184313268"/>
      <w:bookmarkEnd w:id="196"/>
      <w:bookmarkStart w:id="197" w:name="_Toc184313260"/>
      <w:bookmarkEnd w:id="197"/>
      <w:bookmarkStart w:id="198" w:name="_Toc184308072"/>
      <w:bookmarkEnd w:id="198"/>
      <w:bookmarkStart w:id="199" w:name="_Toc184314441"/>
      <w:bookmarkEnd w:id="199"/>
      <w:bookmarkStart w:id="200" w:name="_Toc184308043"/>
      <w:bookmarkEnd w:id="200"/>
      <w:bookmarkStart w:id="201" w:name="_Toc184308037"/>
      <w:bookmarkEnd w:id="201"/>
      <w:bookmarkStart w:id="202" w:name="_Toc184314447"/>
      <w:bookmarkEnd w:id="202"/>
      <w:bookmarkStart w:id="203" w:name="_Toc184310317"/>
      <w:bookmarkEnd w:id="203"/>
      <w:bookmarkStart w:id="204" w:name="_Toc184313264"/>
      <w:bookmarkEnd w:id="204"/>
      <w:bookmarkStart w:id="205" w:name="_Toc184313244"/>
      <w:bookmarkEnd w:id="205"/>
      <w:bookmarkStart w:id="206" w:name="_Toc184313285"/>
      <w:bookmarkEnd w:id="206"/>
      <w:bookmarkStart w:id="207" w:name="_Toc184313301"/>
      <w:bookmarkEnd w:id="207"/>
      <w:bookmarkStart w:id="208" w:name="_Toc184314431"/>
      <w:bookmarkEnd w:id="208"/>
      <w:bookmarkStart w:id="209" w:name="_Toc184310283"/>
      <w:bookmarkEnd w:id="209"/>
      <w:bookmarkStart w:id="210" w:name="_Toc184308105"/>
      <w:bookmarkEnd w:id="210"/>
      <w:bookmarkStart w:id="211" w:name="_Toc184310290"/>
      <w:bookmarkEnd w:id="211"/>
      <w:bookmarkStart w:id="212" w:name="_Toc184308082"/>
      <w:bookmarkEnd w:id="212"/>
      <w:bookmarkStart w:id="213" w:name="_Toc184312136"/>
      <w:bookmarkEnd w:id="213"/>
      <w:bookmarkStart w:id="214" w:name="_Toc184312110"/>
      <w:bookmarkEnd w:id="214"/>
      <w:bookmarkStart w:id="215" w:name="_Toc184312126"/>
      <w:bookmarkEnd w:id="215"/>
      <w:bookmarkStart w:id="216" w:name="_Toc184310339"/>
      <w:bookmarkEnd w:id="216"/>
      <w:bookmarkStart w:id="217" w:name="_Toc184312127"/>
      <w:bookmarkEnd w:id="217"/>
      <w:bookmarkStart w:id="218" w:name="_Toc184308104"/>
      <w:bookmarkEnd w:id="218"/>
      <w:bookmarkStart w:id="219" w:name="_Toc184308064"/>
      <w:bookmarkEnd w:id="219"/>
      <w:bookmarkStart w:id="220" w:name="_Toc184312092"/>
      <w:bookmarkEnd w:id="220"/>
      <w:bookmarkStart w:id="221" w:name="_Toc184312083"/>
      <w:bookmarkEnd w:id="221"/>
      <w:bookmarkStart w:id="222" w:name="_Toc184310315"/>
      <w:bookmarkEnd w:id="222"/>
      <w:bookmarkStart w:id="223" w:name="_Toc184308108"/>
      <w:bookmarkEnd w:id="223"/>
      <w:bookmarkStart w:id="224" w:name="_Toc184312069"/>
      <w:bookmarkEnd w:id="224"/>
      <w:bookmarkStart w:id="225" w:name="_Toc184310278"/>
      <w:bookmarkEnd w:id="225"/>
      <w:bookmarkStart w:id="226" w:name="_Toc184310324"/>
      <w:bookmarkEnd w:id="226"/>
      <w:bookmarkStart w:id="227" w:name="_Toc184308061"/>
      <w:bookmarkEnd w:id="227"/>
      <w:bookmarkStart w:id="228" w:name="_Toc184310302"/>
      <w:bookmarkEnd w:id="228"/>
      <w:bookmarkStart w:id="229" w:name="_Toc184308101"/>
      <w:bookmarkEnd w:id="229"/>
      <w:bookmarkStart w:id="230" w:name="_Toc184312080"/>
      <w:bookmarkEnd w:id="230"/>
      <w:bookmarkStart w:id="231" w:name="_Toc184308069"/>
      <w:bookmarkEnd w:id="231"/>
      <w:bookmarkStart w:id="232" w:name="_Toc184313258"/>
      <w:bookmarkEnd w:id="232"/>
      <w:bookmarkStart w:id="233" w:name="_Toc184312097"/>
      <w:bookmarkEnd w:id="233"/>
      <w:bookmarkStart w:id="234" w:name="_Toc184308091"/>
      <w:bookmarkEnd w:id="234"/>
      <w:bookmarkStart w:id="235" w:name="_Toc184310336"/>
      <w:bookmarkEnd w:id="235"/>
      <w:bookmarkStart w:id="236" w:name="_Toc184312073"/>
      <w:bookmarkEnd w:id="236"/>
      <w:bookmarkStart w:id="237" w:name="_Toc184314474"/>
      <w:bookmarkEnd w:id="237"/>
      <w:bookmarkStart w:id="238" w:name="_Toc184310330"/>
      <w:bookmarkEnd w:id="238"/>
      <w:bookmarkStart w:id="239" w:name="_Toc184310312"/>
      <w:bookmarkEnd w:id="239"/>
      <w:bookmarkStart w:id="240" w:name="_Toc184314470"/>
      <w:bookmarkEnd w:id="240"/>
      <w:bookmarkStart w:id="241" w:name="_Toc184313270"/>
      <w:bookmarkEnd w:id="241"/>
      <w:bookmarkStart w:id="242" w:name="_Toc184308086"/>
      <w:bookmarkEnd w:id="242"/>
      <w:bookmarkStart w:id="243" w:name="_Toc184308052"/>
      <w:bookmarkEnd w:id="243"/>
      <w:bookmarkStart w:id="244" w:name="_Toc184312109"/>
      <w:bookmarkEnd w:id="244"/>
      <w:bookmarkStart w:id="245" w:name="_Toc184314467"/>
      <w:bookmarkEnd w:id="245"/>
      <w:bookmarkStart w:id="246" w:name="_Toc184312111"/>
      <w:bookmarkEnd w:id="246"/>
      <w:bookmarkStart w:id="247" w:name="_Toc184312117"/>
      <w:bookmarkEnd w:id="247"/>
      <w:bookmarkStart w:id="248" w:name="_Toc184308071"/>
      <w:bookmarkEnd w:id="248"/>
      <w:bookmarkStart w:id="249" w:name="_Toc184310343"/>
      <w:bookmarkEnd w:id="249"/>
      <w:bookmarkStart w:id="250" w:name="_Toc184308089"/>
      <w:bookmarkEnd w:id="250"/>
      <w:bookmarkStart w:id="251" w:name="_Toc184314415"/>
      <w:bookmarkEnd w:id="251"/>
      <w:bookmarkStart w:id="252" w:name="_Toc184308045"/>
      <w:bookmarkEnd w:id="252"/>
      <w:bookmarkStart w:id="253" w:name="_Toc184313241"/>
      <w:bookmarkEnd w:id="253"/>
      <w:bookmarkStart w:id="254" w:name="_Toc184312116"/>
      <w:bookmarkEnd w:id="254"/>
      <w:bookmarkStart w:id="255" w:name="_Toc184312138"/>
      <w:bookmarkEnd w:id="255"/>
      <w:bookmarkStart w:id="256" w:name="_Toc184310323"/>
      <w:bookmarkEnd w:id="256"/>
      <w:bookmarkStart w:id="257" w:name="_Toc184313243"/>
      <w:bookmarkEnd w:id="257"/>
      <w:bookmarkStart w:id="258" w:name="_Toc184310279"/>
      <w:bookmarkEnd w:id="258"/>
      <w:bookmarkStart w:id="259" w:name="_Toc184310272"/>
      <w:bookmarkEnd w:id="259"/>
      <w:bookmarkStart w:id="260" w:name="_Toc184314464"/>
      <w:bookmarkEnd w:id="260"/>
      <w:bookmarkStart w:id="261" w:name="_Toc184314468"/>
      <w:bookmarkEnd w:id="261"/>
      <w:bookmarkStart w:id="262" w:name="_Toc184313247"/>
      <w:bookmarkEnd w:id="262"/>
      <w:bookmarkStart w:id="263" w:name="_Toc184314414"/>
      <w:bookmarkEnd w:id="263"/>
      <w:bookmarkStart w:id="264" w:name="_Toc184313308"/>
      <w:bookmarkEnd w:id="264"/>
      <w:bookmarkStart w:id="265" w:name="_Toc184312119"/>
      <w:bookmarkEnd w:id="265"/>
      <w:bookmarkStart w:id="266" w:name="_Toc184313286"/>
      <w:bookmarkEnd w:id="266"/>
      <w:bookmarkStart w:id="267" w:name="_Toc184313269"/>
      <w:bookmarkEnd w:id="267"/>
      <w:bookmarkStart w:id="268" w:name="_Toc184310295"/>
      <w:bookmarkEnd w:id="268"/>
      <w:bookmarkStart w:id="269" w:name="_Toc184313254"/>
      <w:bookmarkEnd w:id="269"/>
      <w:bookmarkStart w:id="270" w:name="_Toc184314412"/>
      <w:bookmarkEnd w:id="270"/>
      <w:bookmarkStart w:id="271" w:name="_Toc184313297"/>
      <w:bookmarkEnd w:id="271"/>
      <w:bookmarkStart w:id="272" w:name="_Toc184313289"/>
      <w:bookmarkEnd w:id="272"/>
      <w:bookmarkStart w:id="273" w:name="_Toc184313302"/>
      <w:bookmarkEnd w:id="273"/>
      <w:bookmarkStart w:id="274" w:name="_Toc184312088"/>
      <w:bookmarkEnd w:id="274"/>
      <w:bookmarkStart w:id="275" w:name="_Toc184308067"/>
      <w:bookmarkEnd w:id="275"/>
      <w:bookmarkStart w:id="276" w:name="_Toc184308084"/>
      <w:bookmarkEnd w:id="276"/>
      <w:bookmarkStart w:id="277" w:name="_Toc184310328"/>
      <w:bookmarkEnd w:id="277"/>
      <w:bookmarkStart w:id="278" w:name="_Toc184310276"/>
      <w:bookmarkEnd w:id="278"/>
      <w:bookmarkStart w:id="279" w:name="_Toc184308097"/>
      <w:bookmarkEnd w:id="279"/>
      <w:bookmarkStart w:id="280" w:name="_Toc184308090"/>
      <w:bookmarkEnd w:id="280"/>
      <w:bookmarkStart w:id="281" w:name="_Toc184314440"/>
      <w:bookmarkEnd w:id="281"/>
      <w:bookmarkStart w:id="282" w:name="_Toc184310334"/>
      <w:bookmarkEnd w:id="282"/>
      <w:bookmarkStart w:id="283" w:name="_Toc184314410"/>
      <w:bookmarkEnd w:id="283"/>
      <w:bookmarkStart w:id="284" w:name="_Toc184313283"/>
      <w:bookmarkEnd w:id="284"/>
      <w:bookmarkStart w:id="285" w:name="_Toc184310340"/>
      <w:bookmarkEnd w:id="285"/>
      <w:bookmarkStart w:id="286" w:name="_Toc184313276"/>
      <w:bookmarkEnd w:id="286"/>
      <w:bookmarkStart w:id="287" w:name="_Toc184314423"/>
      <w:bookmarkEnd w:id="287"/>
      <w:bookmarkStart w:id="288" w:name="_Toc184312091"/>
      <w:bookmarkEnd w:id="288"/>
      <w:bookmarkStart w:id="289" w:name="_Toc184312114"/>
      <w:bookmarkEnd w:id="289"/>
      <w:bookmarkStart w:id="290" w:name="_Toc184313259"/>
      <w:bookmarkEnd w:id="290"/>
      <w:bookmarkStart w:id="291" w:name="_Toc184314469"/>
      <w:bookmarkEnd w:id="291"/>
      <w:bookmarkStart w:id="292" w:name="_Toc184313265"/>
      <w:bookmarkEnd w:id="292"/>
      <w:bookmarkStart w:id="293" w:name="_Toc184314451"/>
      <w:bookmarkEnd w:id="293"/>
      <w:bookmarkStart w:id="294" w:name="_Toc184312101"/>
      <w:bookmarkEnd w:id="294"/>
      <w:bookmarkStart w:id="295" w:name="_Toc184310321"/>
      <w:bookmarkEnd w:id="295"/>
      <w:bookmarkStart w:id="296" w:name="_Toc184308053"/>
      <w:bookmarkEnd w:id="296"/>
      <w:bookmarkStart w:id="297" w:name="_Toc184312089"/>
      <w:bookmarkEnd w:id="297"/>
      <w:bookmarkStart w:id="298" w:name="_Toc184310305"/>
      <w:bookmarkEnd w:id="298"/>
      <w:bookmarkStart w:id="299" w:name="_Toc184310284"/>
      <w:bookmarkEnd w:id="299"/>
      <w:bookmarkStart w:id="300" w:name="_Toc184314422"/>
      <w:bookmarkEnd w:id="300"/>
      <w:bookmarkStart w:id="301" w:name="_Toc184313305"/>
      <w:bookmarkEnd w:id="301"/>
      <w:bookmarkStart w:id="302" w:name="_Toc184312102"/>
      <w:bookmarkEnd w:id="302"/>
      <w:bookmarkStart w:id="303" w:name="_Toc184308046"/>
      <w:bookmarkEnd w:id="303"/>
      <w:bookmarkStart w:id="304" w:name="_Toc184308062"/>
      <w:bookmarkEnd w:id="304"/>
      <w:bookmarkStart w:id="305" w:name="_Toc184312131"/>
      <w:bookmarkEnd w:id="305"/>
      <w:bookmarkStart w:id="306" w:name="_Toc184312099"/>
      <w:bookmarkEnd w:id="306"/>
      <w:bookmarkStart w:id="307" w:name="_Toc184314446"/>
      <w:bookmarkEnd w:id="307"/>
      <w:bookmarkStart w:id="308" w:name="_Toc184313274"/>
      <w:bookmarkEnd w:id="308"/>
      <w:bookmarkStart w:id="309" w:name="_Toc184310306"/>
      <w:bookmarkEnd w:id="309"/>
      <w:bookmarkStart w:id="310" w:name="_Toc184314438"/>
      <w:bookmarkEnd w:id="310"/>
      <w:bookmarkStart w:id="311" w:name="_Toc184312132"/>
      <w:bookmarkEnd w:id="311"/>
      <w:bookmarkStart w:id="312" w:name="_Toc184308041"/>
      <w:bookmarkEnd w:id="312"/>
      <w:bookmarkStart w:id="313" w:name="_Toc184310308"/>
      <w:bookmarkEnd w:id="313"/>
      <w:bookmarkStart w:id="314" w:name="_Toc184312137"/>
      <w:bookmarkEnd w:id="314"/>
      <w:bookmarkStart w:id="315" w:name="_Toc184312096"/>
      <w:bookmarkEnd w:id="315"/>
      <w:bookmarkStart w:id="316" w:name="_Toc184308095"/>
      <w:bookmarkEnd w:id="316"/>
      <w:bookmarkStart w:id="317" w:name="_Toc184308036"/>
      <w:bookmarkEnd w:id="317"/>
      <w:bookmarkStart w:id="318" w:name="_Toc184310314"/>
      <w:bookmarkEnd w:id="318"/>
      <w:bookmarkStart w:id="319" w:name="_Toc184310341"/>
      <w:bookmarkEnd w:id="319"/>
      <w:bookmarkStart w:id="320" w:name="_Toc184310331"/>
      <w:bookmarkEnd w:id="320"/>
      <w:bookmarkStart w:id="321" w:name="_Toc184308077"/>
      <w:bookmarkEnd w:id="321"/>
      <w:bookmarkStart w:id="322" w:name="_Toc184312121"/>
      <w:bookmarkEnd w:id="322"/>
      <w:bookmarkStart w:id="323" w:name="_Toc184310320"/>
      <w:bookmarkEnd w:id="323"/>
      <w:bookmarkStart w:id="324" w:name="_Toc184313304"/>
      <w:bookmarkEnd w:id="324"/>
      <w:bookmarkStart w:id="325" w:name="_Toc184312108"/>
      <w:bookmarkEnd w:id="325"/>
      <w:bookmarkStart w:id="326" w:name="_Toc184310288"/>
      <w:bookmarkEnd w:id="326"/>
      <w:bookmarkStart w:id="327" w:name="_Toc184310281"/>
      <w:bookmarkEnd w:id="327"/>
      <w:bookmarkStart w:id="328" w:name="_Toc184312124"/>
      <w:bookmarkEnd w:id="328"/>
      <w:bookmarkStart w:id="329" w:name="_Toc184312082"/>
      <w:bookmarkEnd w:id="329"/>
      <w:bookmarkStart w:id="330" w:name="_Toc184308040"/>
      <w:bookmarkEnd w:id="330"/>
      <w:bookmarkStart w:id="331" w:name="_Toc184312128"/>
      <w:bookmarkEnd w:id="331"/>
      <w:bookmarkStart w:id="332" w:name="_Toc184308057"/>
      <w:bookmarkEnd w:id="332"/>
      <w:bookmarkStart w:id="333" w:name="_Toc184313291"/>
      <w:bookmarkEnd w:id="333"/>
      <w:bookmarkStart w:id="334" w:name="_Toc184314472"/>
      <w:bookmarkEnd w:id="334"/>
      <w:bookmarkStart w:id="335" w:name="_Toc184312087"/>
      <w:bookmarkEnd w:id="335"/>
      <w:bookmarkStart w:id="336" w:name="_Toc184313271"/>
      <w:bookmarkEnd w:id="336"/>
      <w:bookmarkStart w:id="337" w:name="_Toc184308107"/>
      <w:bookmarkEnd w:id="337"/>
      <w:bookmarkStart w:id="338" w:name="_Toc184312120"/>
      <w:bookmarkEnd w:id="338"/>
      <w:bookmarkStart w:id="339" w:name="_Toc184314481"/>
      <w:bookmarkEnd w:id="339"/>
      <w:bookmarkStart w:id="340" w:name="_Toc184313306"/>
      <w:bookmarkEnd w:id="340"/>
      <w:bookmarkStart w:id="341" w:name="_Toc184308099"/>
      <w:bookmarkEnd w:id="341"/>
      <w:bookmarkStart w:id="342" w:name="_Toc184313257"/>
      <w:bookmarkEnd w:id="342"/>
      <w:bookmarkStart w:id="343" w:name="_Toc184312095"/>
      <w:bookmarkEnd w:id="343"/>
      <w:bookmarkStart w:id="344" w:name="_Toc184310332"/>
      <w:bookmarkEnd w:id="344"/>
      <w:bookmarkStart w:id="345" w:name="_Toc184313238"/>
      <w:bookmarkEnd w:id="345"/>
      <w:bookmarkStart w:id="346" w:name="_Toc184313293"/>
      <w:bookmarkEnd w:id="346"/>
      <w:bookmarkStart w:id="347" w:name="_Toc184313249"/>
      <w:bookmarkEnd w:id="347"/>
      <w:bookmarkStart w:id="348" w:name="_Toc184313252"/>
      <w:bookmarkEnd w:id="348"/>
      <w:bookmarkStart w:id="349" w:name="_Toc184310296"/>
      <w:bookmarkEnd w:id="349"/>
      <w:bookmarkStart w:id="350" w:name="_Toc184310310"/>
      <w:bookmarkEnd w:id="350"/>
      <w:bookmarkStart w:id="351" w:name="_Toc184312129"/>
      <w:bookmarkEnd w:id="351"/>
      <w:bookmarkStart w:id="352" w:name="_Toc184308093"/>
      <w:bookmarkEnd w:id="352"/>
      <w:bookmarkStart w:id="353" w:name="_Toc184308080"/>
      <w:bookmarkEnd w:id="353"/>
      <w:bookmarkStart w:id="354" w:name="_Toc184314442"/>
      <w:bookmarkEnd w:id="354"/>
      <w:bookmarkStart w:id="355" w:name="_Toc184308047"/>
      <w:bookmarkEnd w:id="355"/>
      <w:bookmarkStart w:id="356" w:name="_Toc184310285"/>
      <w:bookmarkEnd w:id="356"/>
      <w:bookmarkStart w:id="357" w:name="_Toc184310311"/>
      <w:bookmarkEnd w:id="357"/>
      <w:bookmarkStart w:id="358" w:name="_Toc184313253"/>
      <w:bookmarkEnd w:id="358"/>
      <w:bookmarkStart w:id="359" w:name="_Toc184308096"/>
      <w:bookmarkEnd w:id="359"/>
      <w:bookmarkStart w:id="360" w:name="_Toc184310318"/>
      <w:bookmarkEnd w:id="360"/>
      <w:bookmarkStart w:id="361" w:name="_Toc184312071"/>
      <w:bookmarkEnd w:id="361"/>
      <w:bookmarkStart w:id="362" w:name="_Toc184314424"/>
      <w:bookmarkEnd w:id="362"/>
      <w:bookmarkStart w:id="363" w:name="_Toc184308050"/>
      <w:bookmarkEnd w:id="363"/>
      <w:bookmarkStart w:id="364" w:name="_Toc184314418"/>
      <w:bookmarkEnd w:id="364"/>
      <w:bookmarkStart w:id="365" w:name="_Toc184312067"/>
      <w:bookmarkEnd w:id="365"/>
      <w:bookmarkStart w:id="366" w:name="_Toc184308051"/>
      <w:bookmarkEnd w:id="366"/>
      <w:bookmarkStart w:id="367" w:name="_Toc184312076"/>
      <w:bookmarkEnd w:id="367"/>
      <w:bookmarkStart w:id="368" w:name="_Toc184308038"/>
      <w:bookmarkEnd w:id="368"/>
      <w:bookmarkStart w:id="369" w:name="_Toc184314443"/>
      <w:bookmarkEnd w:id="369"/>
      <w:bookmarkStart w:id="370" w:name="_Toc184308044"/>
      <w:bookmarkEnd w:id="370"/>
      <w:bookmarkStart w:id="371" w:name="_Toc184308068"/>
      <w:bookmarkEnd w:id="371"/>
      <w:bookmarkStart w:id="372" w:name="_Toc184308076"/>
      <w:bookmarkEnd w:id="372"/>
      <w:bookmarkStart w:id="373" w:name="_Toc184313300"/>
      <w:bookmarkEnd w:id="373"/>
      <w:bookmarkStart w:id="374" w:name="_Toc184308070"/>
      <w:bookmarkEnd w:id="374"/>
      <w:bookmarkStart w:id="375" w:name="_Toc184314457"/>
      <w:bookmarkEnd w:id="375"/>
      <w:bookmarkStart w:id="376" w:name="_Toc184312135"/>
      <w:bookmarkEnd w:id="376"/>
      <w:bookmarkStart w:id="377" w:name="_Toc184308098"/>
      <w:bookmarkEnd w:id="377"/>
      <w:bookmarkStart w:id="378" w:name="_Toc184313307"/>
      <w:bookmarkEnd w:id="378"/>
      <w:bookmarkStart w:id="379" w:name="_Toc184310287"/>
      <w:bookmarkEnd w:id="379"/>
      <w:bookmarkStart w:id="380" w:name="_Toc184310309"/>
      <w:bookmarkEnd w:id="380"/>
      <w:bookmarkStart w:id="381" w:name="_Toc184308083"/>
      <w:bookmarkEnd w:id="381"/>
      <w:bookmarkStart w:id="382" w:name="_Toc184314462"/>
      <w:bookmarkEnd w:id="382"/>
      <w:bookmarkStart w:id="383" w:name="_Toc184310344"/>
      <w:bookmarkEnd w:id="383"/>
      <w:bookmarkStart w:id="384" w:name="_Toc184313310"/>
      <w:bookmarkEnd w:id="384"/>
      <w:bookmarkStart w:id="385" w:name="_Toc184310282"/>
      <w:bookmarkEnd w:id="385"/>
      <w:bookmarkStart w:id="386" w:name="_Toc184310304"/>
      <w:bookmarkEnd w:id="386"/>
      <w:bookmarkStart w:id="387" w:name="_Toc184313290"/>
      <w:bookmarkEnd w:id="387"/>
      <w:bookmarkStart w:id="388" w:name="_Toc184313309"/>
      <w:bookmarkEnd w:id="388"/>
      <w:bookmarkStart w:id="389" w:name="_Toc184312125"/>
      <w:bookmarkEnd w:id="389"/>
      <w:bookmarkStart w:id="390" w:name="_Toc184313281"/>
      <w:bookmarkEnd w:id="390"/>
      <w:bookmarkStart w:id="391" w:name="_Toc184314421"/>
      <w:bookmarkEnd w:id="391"/>
      <w:bookmarkStart w:id="392" w:name="_Toc184312081"/>
      <w:bookmarkEnd w:id="392"/>
      <w:bookmarkStart w:id="393" w:name="_Toc184313299"/>
      <w:bookmarkEnd w:id="393"/>
      <w:bookmarkStart w:id="394" w:name="_Toc184308087"/>
      <w:bookmarkEnd w:id="394"/>
      <w:bookmarkStart w:id="395" w:name="_Toc184314473"/>
      <w:bookmarkEnd w:id="395"/>
      <w:r>
        <w:rPr>
          <w:rFonts w:hint="eastAsia" w:ascii="仿宋" w:hAnsi="仿宋" w:eastAsia="仿宋" w:cs="仿宋_GB2312"/>
          <w:b/>
          <w:color w:val="auto"/>
          <w:sz w:val="36"/>
          <w:szCs w:val="36"/>
          <w:highlight w:val="none"/>
        </w:rPr>
        <w:t>评标办法</w:t>
      </w:r>
    </w:p>
    <w:p w14:paraId="292829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3"/>
        <w:tblpPr w:leftFromText="180" w:rightFromText="180" w:vertAnchor="text" w:horzAnchor="page" w:tblpX="1553" w:tblpY="126"/>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098"/>
        <w:gridCol w:w="1084"/>
      </w:tblGrid>
      <w:tr w14:paraId="7DEF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416" w:type="pct"/>
            <w:vAlign w:val="center"/>
          </w:tcPr>
          <w:p w14:paraId="4117D3B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3975" w:type="pct"/>
            <w:vAlign w:val="center"/>
          </w:tcPr>
          <w:p w14:paraId="6D647FD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607" w:type="pct"/>
            <w:vAlign w:val="center"/>
          </w:tcPr>
          <w:p w14:paraId="605FB0D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r>
      <w:tr w14:paraId="5456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16" w:type="pct"/>
            <w:vAlign w:val="center"/>
          </w:tcPr>
          <w:p w14:paraId="7CEADF3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975" w:type="pct"/>
            <w:vAlign w:val="top"/>
          </w:tcPr>
          <w:p w14:paraId="2C2A7388">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综合偿付能力：</w:t>
            </w:r>
          </w:p>
          <w:p w14:paraId="4F4AA7E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1、综合偿付能力充足率2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0%（含）以上的，得5分；</w:t>
            </w:r>
          </w:p>
          <w:p w14:paraId="38CD7575">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2、综合偿付能力充足率</w:t>
            </w:r>
            <w:r>
              <w:rPr>
                <w:rFonts w:hint="eastAsia" w:ascii="仿宋" w:hAnsi="仿宋" w:eastAsia="仿宋" w:cs="仿宋"/>
                <w:color w:val="auto"/>
                <w:sz w:val="24"/>
                <w:szCs w:val="24"/>
                <w:highlight w:val="none"/>
                <w:lang w:val="en-US" w:eastAsia="zh-CN"/>
              </w:rPr>
              <w:t>150</w:t>
            </w:r>
            <w:r>
              <w:rPr>
                <w:rFonts w:hint="eastAsia" w:ascii="仿宋" w:hAnsi="仿宋" w:eastAsia="仿宋" w:cs="仿宋"/>
                <w:color w:val="auto"/>
                <w:sz w:val="24"/>
                <w:szCs w:val="24"/>
                <w:highlight w:val="none"/>
              </w:rPr>
              <w:t>%（含）至2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0%的，得3分；</w:t>
            </w:r>
          </w:p>
          <w:p w14:paraId="46F36F20">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3、综合偿付能力充足率</w:t>
            </w:r>
            <w:r>
              <w:rPr>
                <w:rFonts w:hint="eastAsia" w:ascii="仿宋" w:hAnsi="仿宋" w:eastAsia="仿宋" w:cs="仿宋"/>
                <w:color w:val="auto"/>
                <w:sz w:val="24"/>
                <w:szCs w:val="24"/>
                <w:highlight w:val="none"/>
                <w:lang w:val="en-US" w:eastAsia="zh-CN"/>
              </w:rPr>
              <w:t>小于150%的</w:t>
            </w:r>
            <w:r>
              <w:rPr>
                <w:rFonts w:hint="eastAsia" w:ascii="仿宋" w:hAnsi="仿宋" w:eastAsia="仿宋" w:cs="仿宋"/>
                <w:color w:val="auto"/>
                <w:sz w:val="24"/>
                <w:szCs w:val="24"/>
                <w:highlight w:val="none"/>
              </w:rPr>
              <w:t>，得1分；</w:t>
            </w:r>
          </w:p>
          <w:p w14:paraId="2318A163">
            <w:pPr>
              <w:pStyle w:val="2"/>
              <w:keepNext w:val="0"/>
              <w:keepLines w:val="0"/>
              <w:pageBreakBefore w:val="0"/>
              <w:widowControl w:val="0"/>
              <w:kinsoku/>
              <w:wordWrap/>
              <w:overflowPunct/>
              <w:topLinePunct w:val="0"/>
              <w:bidi w:val="0"/>
              <w:adjustRightInd w:val="0"/>
              <w:snapToGrid/>
              <w:spacing w:line="400" w:lineRule="exact"/>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以提供2024年第一季度经会计事务所审计的审计报告为准，否则不得分。</w:t>
            </w:r>
          </w:p>
        </w:tc>
        <w:tc>
          <w:tcPr>
            <w:tcW w:w="607" w:type="pct"/>
            <w:vAlign w:val="center"/>
          </w:tcPr>
          <w:p w14:paraId="799DDC6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5</w:t>
            </w:r>
          </w:p>
        </w:tc>
      </w:tr>
      <w:tr w14:paraId="7BDF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16" w:type="pct"/>
            <w:vAlign w:val="center"/>
          </w:tcPr>
          <w:p w14:paraId="47EA62F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3975" w:type="pct"/>
            <w:vAlign w:val="top"/>
          </w:tcPr>
          <w:p w14:paraId="7454ACD4">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根据投标人所属总公司2022年度保险服务质量指数情况进行评分：投标人所属总公司服务评级94分（含）以上的得5分，90分（含）-94分的得3分，85（含）-90分的得1分，其他不得分。</w:t>
            </w:r>
          </w:p>
          <w:p w14:paraId="50ECE28E">
            <w:pPr>
              <w:pStyle w:val="2"/>
              <w:keepNext w:val="0"/>
              <w:keepLines w:val="0"/>
              <w:pageBreakBefore w:val="0"/>
              <w:widowControl w:val="0"/>
              <w:kinsoku/>
              <w:wordWrap/>
              <w:overflowPunct/>
              <w:topLinePunct w:val="0"/>
              <w:bidi w:val="0"/>
              <w:adjustRightInd w:val="0"/>
              <w:snapToGrid/>
              <w:spacing w:line="400" w:lineRule="exact"/>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须提供中国银行保险信息技术管理有限公司官网公布的截图及网址，否则不得分。</w:t>
            </w:r>
          </w:p>
        </w:tc>
        <w:tc>
          <w:tcPr>
            <w:tcW w:w="607" w:type="pct"/>
            <w:vAlign w:val="center"/>
          </w:tcPr>
          <w:p w14:paraId="012A69A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14:paraId="30DB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16" w:type="pct"/>
            <w:vAlign w:val="center"/>
          </w:tcPr>
          <w:p w14:paraId="4BEBC9E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p>
        </w:tc>
        <w:tc>
          <w:tcPr>
            <w:tcW w:w="3975" w:type="pct"/>
            <w:vAlign w:val="top"/>
          </w:tcPr>
          <w:p w14:paraId="52810B57">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配备后勤保障车辆</w:t>
            </w:r>
            <w:r>
              <w:rPr>
                <w:rFonts w:hint="eastAsia" w:ascii="仿宋" w:hAnsi="仿宋" w:eastAsia="仿宋" w:cs="仿宋"/>
                <w:color w:val="auto"/>
                <w:sz w:val="24"/>
                <w:szCs w:val="24"/>
                <w:highlight w:val="none"/>
                <w:lang w:eastAsia="zh-CN"/>
              </w:rPr>
              <w:t>：</w:t>
            </w:r>
          </w:p>
          <w:p w14:paraId="16F8AAA0">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按照各供应商自有车辆数量进行排名，数量第一名的得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分，第二名的得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分，第三名的得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分，第四名的得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分，第五名的得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分，其余不得分；</w:t>
            </w:r>
          </w:p>
        </w:tc>
        <w:tc>
          <w:tcPr>
            <w:tcW w:w="607" w:type="pct"/>
            <w:vAlign w:val="center"/>
          </w:tcPr>
          <w:p w14:paraId="20D9E13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14:paraId="2D84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416" w:type="pct"/>
            <w:vAlign w:val="center"/>
          </w:tcPr>
          <w:p w14:paraId="603FDC9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3975" w:type="pct"/>
            <w:vAlign w:val="center"/>
          </w:tcPr>
          <w:p w14:paraId="64991DD3">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企业荣誉：</w:t>
            </w:r>
          </w:p>
          <w:p w14:paraId="5D652B05">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获得过国家级荣誉的得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分，获得过省部级荣誉的得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分，获得过市级荣誉的得1分，以最高等级荣誉为准，不累计得分，本单项最高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07" w:type="pct"/>
            <w:vAlign w:val="center"/>
          </w:tcPr>
          <w:p w14:paraId="5DF2581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14:paraId="2351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16" w:type="pct"/>
            <w:vAlign w:val="center"/>
          </w:tcPr>
          <w:p w14:paraId="47BB633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3975" w:type="pct"/>
            <w:vAlign w:val="center"/>
          </w:tcPr>
          <w:p w14:paraId="08BCBA0B">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考虑到本保险项目立足</w:t>
            </w:r>
            <w:r>
              <w:rPr>
                <w:rFonts w:hint="eastAsia" w:ascii="仿宋" w:hAnsi="仿宋" w:eastAsia="仿宋" w:cs="仿宋"/>
                <w:color w:val="auto"/>
                <w:sz w:val="24"/>
                <w:szCs w:val="24"/>
                <w:highlight w:val="none"/>
                <w:lang w:eastAsia="zh-CN"/>
              </w:rPr>
              <w:t>后续服务保障，结合日常巡视要求</w:t>
            </w:r>
          </w:p>
          <w:p w14:paraId="309D09BD">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在衢州市本级、柯城区、衢江区范围内设立分支</w:t>
            </w:r>
            <w:r>
              <w:rPr>
                <w:rFonts w:hint="eastAsia" w:ascii="仿宋" w:hAnsi="仿宋" w:eastAsia="仿宋" w:cs="仿宋"/>
                <w:color w:val="auto"/>
                <w:sz w:val="24"/>
                <w:szCs w:val="24"/>
                <w:highlight w:val="none"/>
                <w:lang w:val="en-US" w:eastAsia="zh-CN"/>
              </w:rPr>
              <w:t>机构</w:t>
            </w:r>
            <w:r>
              <w:rPr>
                <w:rFonts w:hint="eastAsia" w:ascii="仿宋" w:hAnsi="仿宋" w:eastAsia="仿宋" w:cs="仿宋"/>
                <w:color w:val="auto"/>
                <w:sz w:val="24"/>
                <w:szCs w:val="24"/>
                <w:highlight w:val="none"/>
                <w:lang w:eastAsia="zh-CN"/>
              </w:rPr>
              <w:t>的，每个得</w:t>
            </w:r>
            <w:r>
              <w:rPr>
                <w:rFonts w:hint="eastAsia" w:ascii="仿宋" w:hAnsi="仿宋" w:eastAsia="仿宋" w:cs="仿宋"/>
                <w:color w:val="auto"/>
                <w:sz w:val="24"/>
                <w:szCs w:val="24"/>
                <w:highlight w:val="none"/>
                <w:lang w:val="en-US" w:eastAsia="zh-CN"/>
              </w:rPr>
              <w:t>2分，本单项最高得6分；</w:t>
            </w:r>
          </w:p>
          <w:p w14:paraId="0DD4213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在衢州市本级、柯城区、衢江区范围内除分支网点外设立其他服务网点，每个得1分，本单项最高得4分；</w:t>
            </w:r>
          </w:p>
        </w:tc>
        <w:tc>
          <w:tcPr>
            <w:tcW w:w="607" w:type="pct"/>
            <w:vAlign w:val="center"/>
          </w:tcPr>
          <w:p w14:paraId="447F7A5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10</w:t>
            </w:r>
          </w:p>
        </w:tc>
      </w:tr>
      <w:tr w14:paraId="351A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6" w:type="pct"/>
            <w:vAlign w:val="center"/>
          </w:tcPr>
          <w:p w14:paraId="6CBAF00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3975" w:type="pct"/>
            <w:vAlign w:val="center"/>
          </w:tcPr>
          <w:p w14:paraId="5B92C31C">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承诺最高赔付限额为</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eastAsia="zh-CN"/>
              </w:rPr>
              <w:t>0万元（含）的得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7D036618">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按照承诺赔付限额从高到低排名，</w:t>
            </w:r>
            <w:r>
              <w:rPr>
                <w:rFonts w:hint="eastAsia" w:ascii="仿宋" w:hAnsi="仿宋" w:eastAsia="仿宋" w:cs="仿宋"/>
                <w:color w:val="auto"/>
                <w:sz w:val="24"/>
                <w:szCs w:val="24"/>
                <w:highlight w:val="none"/>
                <w:lang w:eastAsia="zh-CN"/>
              </w:rPr>
              <w:t>第一名再得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分，第二名再得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分，第三名再得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分，第四名再得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分，其余不得分；</w:t>
            </w:r>
          </w:p>
        </w:tc>
        <w:tc>
          <w:tcPr>
            <w:tcW w:w="607" w:type="pct"/>
            <w:vAlign w:val="center"/>
          </w:tcPr>
          <w:p w14:paraId="075CE05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5</w:t>
            </w:r>
          </w:p>
        </w:tc>
      </w:tr>
      <w:tr w14:paraId="6168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vAlign w:val="center"/>
          </w:tcPr>
          <w:p w14:paraId="5C6A29F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3975" w:type="pct"/>
            <w:vAlign w:val="center"/>
          </w:tcPr>
          <w:p w14:paraId="6C3A69CB">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授权限额内：</w:t>
            </w:r>
          </w:p>
          <w:p w14:paraId="53FADF59">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最长完成赔付时间为供电合同约定期限后</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小时内（含），且为全额赔付的得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5D65E8B4">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按照承诺最长完成赔付时间（须全额赔付）</w:t>
            </w:r>
            <w:r>
              <w:rPr>
                <w:rFonts w:hint="eastAsia" w:ascii="仿宋" w:hAnsi="仿宋" w:eastAsia="仿宋" w:cs="仿宋"/>
                <w:color w:val="auto"/>
                <w:sz w:val="24"/>
                <w:szCs w:val="24"/>
                <w:highlight w:val="none"/>
                <w:lang w:val="en-US" w:eastAsia="zh-CN"/>
              </w:rPr>
              <w:t>从高到低排名，</w:t>
            </w:r>
            <w:r>
              <w:rPr>
                <w:rFonts w:hint="eastAsia" w:ascii="仿宋" w:hAnsi="仿宋" w:eastAsia="仿宋" w:cs="仿宋"/>
                <w:color w:val="auto"/>
                <w:sz w:val="24"/>
                <w:szCs w:val="24"/>
                <w:highlight w:val="none"/>
                <w:lang w:eastAsia="zh-CN"/>
              </w:rPr>
              <w:t>第一名再得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分，第二名再得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分，第三名再得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分，第四名再得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分，其余不得分；</w:t>
            </w:r>
          </w:p>
          <w:p w14:paraId="0E1257E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二、授权限额外：</w:t>
            </w:r>
          </w:p>
          <w:p w14:paraId="743BBE5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最长完成赔付时间为供电合同约定期限后</w:t>
            </w: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lang w:eastAsia="zh-CN"/>
              </w:rPr>
              <w:t>小时内（含），且为全额赔付的得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18C91ACC">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按照承诺最长完成赔付时间（须全额赔付）</w:t>
            </w:r>
            <w:r>
              <w:rPr>
                <w:rFonts w:hint="eastAsia" w:ascii="仿宋" w:hAnsi="仿宋" w:eastAsia="仿宋" w:cs="仿宋"/>
                <w:color w:val="auto"/>
                <w:sz w:val="24"/>
                <w:szCs w:val="24"/>
                <w:highlight w:val="none"/>
                <w:lang w:val="en-US" w:eastAsia="zh-CN"/>
              </w:rPr>
              <w:t>从高到低排名，</w:t>
            </w:r>
            <w:r>
              <w:rPr>
                <w:rFonts w:hint="eastAsia" w:ascii="仿宋" w:hAnsi="仿宋" w:eastAsia="仿宋" w:cs="仿宋"/>
                <w:color w:val="auto"/>
                <w:sz w:val="24"/>
                <w:szCs w:val="24"/>
                <w:highlight w:val="none"/>
                <w:lang w:eastAsia="zh-CN"/>
              </w:rPr>
              <w:t>第一名再得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分，第二名再得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分，第三名再得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分，第四名再得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分，其余不得分；</w:t>
            </w:r>
          </w:p>
        </w:tc>
        <w:tc>
          <w:tcPr>
            <w:tcW w:w="607" w:type="pct"/>
            <w:vAlign w:val="center"/>
          </w:tcPr>
          <w:p w14:paraId="53FA0FD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10</w:t>
            </w:r>
          </w:p>
        </w:tc>
      </w:tr>
      <w:tr w14:paraId="74FD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16" w:type="pct"/>
            <w:vAlign w:val="center"/>
          </w:tcPr>
          <w:p w14:paraId="6BFBDAE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3975" w:type="pct"/>
            <w:vAlign w:val="center"/>
          </w:tcPr>
          <w:p w14:paraId="7C686C4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1、每次事故每家企业赔付限额为250万元（含）的得3分；</w:t>
            </w:r>
          </w:p>
          <w:p w14:paraId="067F43CF">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2、按照承诺每次事故每家企业赔付限额从高到低排名，第一名再得2分，第二名再得1.5分，第三名再得1分，第四名再得0.5分，其余不得分；</w:t>
            </w:r>
          </w:p>
          <w:p w14:paraId="6553B0EC">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本项最高累计得5分。</w:t>
            </w:r>
          </w:p>
        </w:tc>
        <w:tc>
          <w:tcPr>
            <w:tcW w:w="607" w:type="pct"/>
            <w:vAlign w:val="center"/>
          </w:tcPr>
          <w:p w14:paraId="33FFD91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5</w:t>
            </w:r>
          </w:p>
        </w:tc>
      </w:tr>
      <w:tr w14:paraId="1B5A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416" w:type="pct"/>
            <w:vAlign w:val="center"/>
          </w:tcPr>
          <w:p w14:paraId="1504562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3975" w:type="pct"/>
            <w:vAlign w:val="center"/>
          </w:tcPr>
          <w:p w14:paraId="1950A96B">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授权限额为200万元（含）的得3分；</w:t>
            </w:r>
          </w:p>
          <w:p w14:paraId="061AD58C">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2、按照授权限额从高到低排名，第一名再得2分，第二名再得1.5分，第三名再得1分，第四名再得0.5分，其余不得分；</w:t>
            </w:r>
          </w:p>
          <w:p w14:paraId="5B9E7A8B">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注：提供上级单位授权委托书（格式自拟）</w:t>
            </w:r>
          </w:p>
        </w:tc>
        <w:tc>
          <w:tcPr>
            <w:tcW w:w="607" w:type="pct"/>
            <w:vAlign w:val="center"/>
          </w:tcPr>
          <w:p w14:paraId="3212EBA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 w:val="24"/>
                <w:highlight w:val="none"/>
                <w:lang w:val="en-US" w:eastAsia="zh-CN"/>
              </w:rPr>
              <w:t>5</w:t>
            </w:r>
          </w:p>
        </w:tc>
      </w:tr>
      <w:tr w14:paraId="4DE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6" w:type="pct"/>
            <w:vAlign w:val="center"/>
          </w:tcPr>
          <w:p w14:paraId="329F506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3975" w:type="pct"/>
            <w:vAlign w:val="center"/>
          </w:tcPr>
          <w:p w14:paraId="7CB9A17F">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根据投标人承保服务承诺、理赔服务承诺等的合理性、可行性、完善性方面进行评审，酌情打分（优15-10（不含），良10-5（不含），一般5-1）。</w:t>
            </w:r>
          </w:p>
        </w:tc>
        <w:tc>
          <w:tcPr>
            <w:tcW w:w="607" w:type="pct"/>
            <w:vAlign w:val="center"/>
          </w:tcPr>
          <w:p w14:paraId="75968BF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r>
      <w:tr w14:paraId="5F40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6" w:type="pct"/>
            <w:vAlign w:val="center"/>
          </w:tcPr>
          <w:p w14:paraId="3337A05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3975" w:type="pct"/>
            <w:vAlign w:val="center"/>
          </w:tcPr>
          <w:p w14:paraId="4718B31D">
            <w:pPr>
              <w:keepNext w:val="0"/>
              <w:keepLines w:val="0"/>
              <w:pageBreakBefore w:val="0"/>
              <w:widowControl w:val="0"/>
              <w:kinsoku/>
              <w:wordWrap/>
              <w:overflowPunct/>
              <w:topLinePunct w:val="0"/>
              <w:autoSpaceDE/>
              <w:autoSpaceDN/>
              <w:bidi w:val="0"/>
              <w:adjustRightInd w:val="0"/>
              <w:snapToGrid/>
              <w:spacing w:line="44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根据投标人承诺提供其它实质性有利于采购人获得更好的承保、理赔等方面增值特色服务的情况进行评审，酌情打分（优15-10（不含），良10-5（不含），一般5-1）。</w:t>
            </w:r>
          </w:p>
        </w:tc>
        <w:tc>
          <w:tcPr>
            <w:tcW w:w="607" w:type="pct"/>
            <w:vAlign w:val="center"/>
          </w:tcPr>
          <w:p w14:paraId="77AF948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r>
      <w:tr w14:paraId="4C48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16" w:type="pct"/>
            <w:vAlign w:val="center"/>
          </w:tcPr>
          <w:p w14:paraId="63E213F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975" w:type="pct"/>
            <w:vAlign w:val="top"/>
          </w:tcPr>
          <w:p w14:paraId="7711940F">
            <w:pPr>
              <w:keepNext w:val="0"/>
              <w:keepLines w:val="0"/>
              <w:pageBreakBefore w:val="0"/>
              <w:widowControl w:val="0"/>
              <w:kinsoku/>
              <w:wordWrap/>
              <w:overflowPunct/>
              <w:topLinePunct w:val="0"/>
              <w:autoSpaceDE/>
              <w:autoSpaceDN/>
              <w:bidi w:val="0"/>
              <w:adjustRightInd w:val="0"/>
              <w:snapToGrid/>
              <w:spacing w:line="44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有效投标报价的最低价作为评标基准价，其最低报价为满分；按［投标报价得分=（评标基准价/投标报价）*15］的计算公式计算。</w:t>
            </w:r>
          </w:p>
          <w:p w14:paraId="317D630D">
            <w:pPr>
              <w:keepNext w:val="0"/>
              <w:keepLines w:val="0"/>
              <w:pageBreakBefore w:val="0"/>
              <w:widowControl w:val="0"/>
              <w:kinsoku/>
              <w:wordWrap/>
              <w:overflowPunct/>
              <w:topLinePunct w:val="0"/>
              <w:autoSpaceDE/>
              <w:autoSpaceDN/>
              <w:bidi w:val="0"/>
              <w:adjustRightInd w:val="0"/>
              <w:snapToGrid/>
              <w:spacing w:line="44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评标过程中，不得去掉报价中的最高报价和最低报价。</w:t>
            </w:r>
          </w:p>
          <w:p w14:paraId="18873F00">
            <w:pPr>
              <w:keepNext w:val="0"/>
              <w:keepLines w:val="0"/>
              <w:pageBreakBefore w:val="0"/>
              <w:widowControl w:val="0"/>
              <w:kinsoku/>
              <w:wordWrap/>
              <w:overflowPunct/>
              <w:topLinePunct w:val="0"/>
              <w:autoSpaceDE/>
              <w:autoSpaceDN/>
              <w:bidi w:val="0"/>
              <w:adjustRightInd w:val="0"/>
              <w:snapToGrid/>
              <w:spacing w:line="44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因落实政府采购政策需要进行价格调整的，以调整后的价格计算评标基准价和投标报价。</w:t>
            </w:r>
          </w:p>
        </w:tc>
        <w:tc>
          <w:tcPr>
            <w:tcW w:w="607" w:type="pct"/>
            <w:vAlign w:val="center"/>
          </w:tcPr>
          <w:p w14:paraId="53325E4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1"/>
                <w:highlight w:val="none"/>
                <w:lang w:val="en-US" w:eastAsia="zh-CN"/>
              </w:rPr>
              <w:t>15</w:t>
            </w:r>
          </w:p>
        </w:tc>
      </w:tr>
    </w:tbl>
    <w:p w14:paraId="5B26BF5D">
      <w:pPr>
        <w:keepNext w:val="0"/>
        <w:keepLines w:val="0"/>
        <w:pageBreakBefore w:val="0"/>
        <w:kinsoku/>
        <w:wordWrap/>
        <w:overflowPunct/>
        <w:topLinePunct w:val="0"/>
        <w:autoSpaceDE/>
        <w:autoSpaceDN/>
        <w:bidi w:val="0"/>
        <w:snapToGrid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shd w:val="clear" w:color="auto" w:fill="FFFFFF"/>
        </w:rPr>
        <w:t> *</w:t>
      </w:r>
      <w:r>
        <w:rPr>
          <w:rFonts w:hint="eastAsia" w:ascii="仿宋" w:hAnsi="仿宋" w:eastAsia="仿宋" w:cs="仿宋"/>
          <w:b/>
          <w:color w:val="auto"/>
          <w:sz w:val="28"/>
          <w:szCs w:val="28"/>
          <w:highlight w:val="none"/>
        </w:rPr>
        <w:t>备注：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编制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（商务技术文件部分）时，建议按此目录（序号和内容）提供评标标准相应的商务技术资料。 </w:t>
      </w:r>
    </w:p>
    <w:p w14:paraId="002CE953">
      <w:pPr>
        <w:keepNext w:val="0"/>
        <w:keepLines w:val="0"/>
        <w:pageBreakBefore w:val="0"/>
        <w:kinsoku/>
        <w:wordWrap/>
        <w:overflowPunct/>
        <w:topLinePunct w:val="0"/>
        <w:autoSpaceDE/>
        <w:autoSpaceDN/>
        <w:bidi w:val="0"/>
        <w:snapToGrid w:val="0"/>
        <w:spacing w:line="560" w:lineRule="exact"/>
        <w:textAlignment w:val="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14:paraId="48B1421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1.本项目采用综合评分法。综合评分法，是指响应文件满足采购文件全部实质性要求，且按照评审因素的量化指标评审得分最高的供应商为中标候选人的评标方法。</w:t>
      </w:r>
    </w:p>
    <w:p w14:paraId="4A7A56F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 评标标准：见评标办法前附表。</w:t>
      </w:r>
    </w:p>
    <w:p w14:paraId="63576D0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、评标程序</w:t>
      </w:r>
    </w:p>
    <w:p w14:paraId="40A1072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3.1符合性审查。评标委员会应当对符合资格的供应商的响应文件进行符合性审查，以确定其是否满足采购文件的实质性要求。不满足采购文件的实质性要求的，投标无效。</w:t>
      </w:r>
    </w:p>
    <w:p w14:paraId="6AC96F8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3.2 比较与评价。评标委员会应当按照采购文件中规定的评标方法和标准，对符合性审查合格的响应文件进行商务和技术评估，综合比较与评价。</w:t>
      </w:r>
    </w:p>
    <w:p w14:paraId="698C21B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3.3汇总商务技术得分。评标委员会各成员应当独立对每个供应商的商务和技术文件进行评价，并汇总商务技术得分情况。</w:t>
      </w:r>
    </w:p>
    <w:p w14:paraId="2B77EB8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3.4报价评审。</w:t>
      </w:r>
    </w:p>
    <w:p w14:paraId="545A95B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3.4.1响应文件报价出现前后不一致的，按照下列规定修正：</w:t>
      </w:r>
    </w:p>
    <w:p w14:paraId="65FDD89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3.4.1.1响应文件中开标一览表(报价表)内容与响应文件中相应内容不一致的，以开标一览表(报价表)为准;</w:t>
      </w:r>
    </w:p>
    <w:p w14:paraId="1670503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3.4.1.2大写金额和小写金额不一致的，以大写金额为准;</w:t>
      </w:r>
    </w:p>
    <w:p w14:paraId="3990178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3.4.1.3单价金额小数点或者百分比有明显错位的，以开标一览表的总价为准，并修改单价;</w:t>
      </w:r>
    </w:p>
    <w:p w14:paraId="2C5C1C7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3.4.1.4总价金额与按单价汇总金额不一致的，以单价金额计算结果为准。</w:t>
      </w:r>
    </w:p>
    <w:p w14:paraId="2FF7191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3.4.1.5同时出现两种以上不一致的，按照3.4.1规定的顺序修正。修正后的报价按照财政部第87号令 《政府采购货物和服务招标投标管理办法》第五十一条第二款的规定经供应商确认后产生约束力。</w:t>
      </w:r>
    </w:p>
    <w:p w14:paraId="62FDCE0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3.4.2响应文件出现不是唯一的、有选择性投标报价的，投标无效。</w:t>
      </w:r>
    </w:p>
    <w:p w14:paraId="54BD498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3.4.3投标报价超过采购文件中规定的预算金额或者最高限价的，投标无效。</w:t>
      </w:r>
    </w:p>
    <w:p w14:paraId="72F7B3A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1C697F5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3E7FD1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3.5排序与推荐。采用综合评分法的，评标结果按评审后得分由高到低顺序排列。得分相同的，按投标报价由低到高顺序排列。得分且投标报价相同的并列，</w:t>
      </w:r>
      <w:r>
        <w:rPr>
          <w:rFonts w:hint="eastAsia" w:ascii="仿宋" w:hAnsi="仿宋" w:eastAsia="仿宋" w:cs="仿宋"/>
          <w:color w:val="auto"/>
          <w:sz w:val="28"/>
          <w:szCs w:val="28"/>
          <w:highlight w:val="none"/>
          <w:lang w:val="en-US" w:eastAsia="zh-CN"/>
        </w:rPr>
        <w:t>以抽签形式确定</w:t>
      </w:r>
      <w:r>
        <w:rPr>
          <w:rFonts w:hint="eastAsia" w:ascii="仿宋" w:hAnsi="仿宋" w:eastAsia="仿宋" w:cs="仿宋"/>
          <w:color w:val="auto"/>
          <w:sz w:val="28"/>
          <w:szCs w:val="28"/>
          <w:highlight w:val="none"/>
          <w:lang w:eastAsia="zh-CN"/>
        </w:rPr>
        <w:t>。响应文件满足采购文件全部实质性要求，且按照评审因素的量化指标评审得分最高的供应商为排名第一的中标候选人。</w:t>
      </w:r>
    </w:p>
    <w:p w14:paraId="61E5EC6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供应商推荐资格；评审得分相同的，采取随机抽取方式确定，其他同品牌供应商不作为中标候选人。</w:t>
      </w:r>
    </w:p>
    <w:p w14:paraId="63CE031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74DA3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、评标中的其他事项</w:t>
      </w:r>
    </w:p>
    <w:p w14:paraId="08B1435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供应商澄清、说明或者补正。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28026D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4.2投标无效。有下列情况之一的，投标无效：</w:t>
      </w:r>
    </w:p>
    <w:p w14:paraId="502697B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4.2.1供应商不具备采购文件中规定的资格要求的（供应商未提供有效的资格文件的，视为供应商不具备采购文件中规定的资格要求）；</w:t>
      </w:r>
    </w:p>
    <w:p w14:paraId="359524D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4.2.2响应文件未按照采购文件要求签署、盖章的；</w:t>
      </w:r>
    </w:p>
    <w:p w14:paraId="3E85D6C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4.2.3采购人拟采购的产品属于政府强制采购的节能产品品目清单范围的，供应商未按采购文件要求提供国家确定的认证机构出具的、处于有效期之内的节能产品认证证书的；</w:t>
      </w:r>
    </w:p>
    <w:p w14:paraId="072912F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4.2.4响应文件含有采购人不能接受的附加条件的；</w:t>
      </w:r>
    </w:p>
    <w:p w14:paraId="716C101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4.2.5响应文件中承诺的投标有效期少于采购文件中载明的投标有效期的；</w:t>
      </w:r>
    </w:p>
    <w:p w14:paraId="5A4F4DD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4.2.6响应文件出现不是唯一的、有选择性投标报价的;</w:t>
      </w:r>
    </w:p>
    <w:p w14:paraId="78E2E73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4.2.7投标报价超过采购文件中规定的预算金额或者最高限价的;</w:t>
      </w:r>
    </w:p>
    <w:p w14:paraId="773D6C0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4.2.8报价明显低于其他通过符合性审查供应商的报价，有可能影响产品质量或者不能诚信履约的，未能按要求提供书面说明或者提交相关证明材料，不能证明其报价合理性的;</w:t>
      </w:r>
    </w:p>
    <w:p w14:paraId="1E18968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4.2.9供应商对根据修正原则修正后的报价不确认的；</w:t>
      </w:r>
    </w:p>
    <w:p w14:paraId="22BC628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4.2.10供应商提供虚假材料投标的；</w:t>
      </w:r>
    </w:p>
    <w:p w14:paraId="50E84E4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4.2.11供应商有恶意串通、妨碍其他供应商的竞争行为、损害采购人或者其他供应商的合法权益情形的；</w:t>
      </w:r>
    </w:p>
    <w:p w14:paraId="44F777E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4.2.12供应商仅提交备份响应文件，没有在电子交易平台传输递交响应文件的，投标无效；</w:t>
      </w:r>
    </w:p>
    <w:p w14:paraId="0BC129A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4.2.13 响应文件不满足采购文件的其它实质性要求的；</w:t>
      </w:r>
    </w:p>
    <w:p w14:paraId="694E788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4.2.14法律、法规、规章（适用本市的）及省级以上规范性文件（适用本市的）规定的其他无效情形。</w:t>
      </w:r>
    </w:p>
    <w:p w14:paraId="3112C87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5.废标。根据《中华人民共和国政府采购法》第三十六条之规定，在采购中，出现下列情形之一的，应予废标：</w:t>
      </w:r>
    </w:p>
    <w:p w14:paraId="371A2D1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5.1符合专业条件的供应商或者对采购文件作实质响应的供应商不足3家的；</w:t>
      </w:r>
    </w:p>
    <w:p w14:paraId="7685B09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5.2出现影响采购公正的违法、违规行为的；</w:t>
      </w:r>
    </w:p>
    <w:p w14:paraId="42E95E5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5.3供应商的报价均超过了采购预算，采购人不能支付的；</w:t>
      </w:r>
    </w:p>
    <w:p w14:paraId="1707599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5.4因重大变故，采购任务取消的。</w:t>
      </w:r>
    </w:p>
    <w:p w14:paraId="3D8A2F4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废标后，采购机构应当将废标理由通知所有供应商。</w:t>
      </w:r>
    </w:p>
    <w:p w14:paraId="7756E3C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修改采购文件，重新组织采购活动。评标委员会发现采购文件存在歧义、重大缺陷导致评标工作无法进行，或者采购文件内容违反国家有关强制性规定的，将停止评标工作，并与招标采购人沟通并作书面记录。招标采购人确认后，将修改采购文件，重新组织采购活动。</w:t>
      </w:r>
    </w:p>
    <w:p w14:paraId="42F9027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7.重新开展采购。有政府采购法第七十一条、第七十二条规定的违法行为之一，影响或者可能影响中标、成交结果的，依照下列规定处理：</w:t>
      </w:r>
    </w:p>
    <w:p w14:paraId="48770C3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7.1未确定中标或者成交供应商的，终止本次政府采购活动，重新开展政府采购活动。</w:t>
      </w:r>
    </w:p>
    <w:p w14:paraId="661854D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78FCE46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7.3政府采购合同已签订但尚未履行的，撤销合同，从合格的中标或者成交候选人中另行确定中标或者成交供应商；没有合格的中标或者成交候选人的，重新开展政府采购活动。</w:t>
      </w:r>
    </w:p>
    <w:p w14:paraId="3ACE24C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7.4政府采购合同已经履行，给采购人、供应商造成损失的，由责任人承担赔偿责任。</w:t>
      </w:r>
    </w:p>
    <w:p w14:paraId="20F7C67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auto"/>
          <w:kern w:val="56"/>
          <w:sz w:val="28"/>
          <w:szCs w:val="28"/>
          <w:highlight w:val="none"/>
          <w:shd w:val="clear" w:color="auto" w:fill="FFFFFF"/>
          <w:lang w:val="en-US" w:eastAsia="zh-CN" w:bidi="ar-SA"/>
        </w:rPr>
      </w:pPr>
      <w:r>
        <w:rPr>
          <w:rFonts w:hint="eastAsia" w:ascii="仿宋" w:hAnsi="仿宋" w:eastAsia="仿宋" w:cs="仿宋"/>
          <w:color w:val="auto"/>
          <w:sz w:val="28"/>
          <w:szCs w:val="28"/>
          <w:highlight w:val="none"/>
          <w:lang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5A2FAF2F">
      <w:pPr>
        <w:pageBreakBefore w:val="0"/>
        <w:kinsoku/>
        <w:wordWrap/>
        <w:overflowPunct/>
        <w:topLinePunct w:val="0"/>
        <w:bidi w:val="0"/>
        <w:snapToGrid w:val="0"/>
        <w:spacing w:line="560" w:lineRule="exact"/>
        <w:ind w:firstLine="560" w:firstLineChars="200"/>
        <w:rPr>
          <w:rFonts w:hint="eastAsia" w:ascii="仿宋" w:hAnsi="仿宋" w:eastAsia="仿宋" w:cs="仿宋"/>
          <w:b w:val="0"/>
          <w:bCs w:val="0"/>
          <w:color w:val="auto"/>
          <w:kern w:val="56"/>
          <w:sz w:val="28"/>
          <w:szCs w:val="28"/>
          <w:highlight w:val="none"/>
          <w:shd w:val="clear" w:color="auto" w:fill="FFFFFF"/>
          <w:lang w:val="en-US" w:eastAsia="zh-CN" w:bidi="ar-SA"/>
        </w:rPr>
      </w:pPr>
    </w:p>
    <w:p w14:paraId="35CA90AA">
      <w:pPr>
        <w:pStyle w:val="2"/>
        <w:rPr>
          <w:rFonts w:hint="eastAsia" w:ascii="仿宋" w:hAnsi="仿宋" w:eastAsia="仿宋" w:cs="仿宋"/>
          <w:b w:val="0"/>
          <w:bCs w:val="0"/>
          <w:color w:val="auto"/>
          <w:kern w:val="56"/>
          <w:sz w:val="28"/>
          <w:szCs w:val="28"/>
          <w:highlight w:val="none"/>
          <w:shd w:val="clear" w:color="auto" w:fill="FFFFFF"/>
          <w:lang w:val="en-US" w:eastAsia="zh-CN" w:bidi="ar-SA"/>
        </w:rPr>
      </w:pPr>
    </w:p>
    <w:p w14:paraId="52D452C2">
      <w:pPr>
        <w:pStyle w:val="3"/>
        <w:rPr>
          <w:rFonts w:hint="eastAsia"/>
          <w:color w:val="auto"/>
          <w:highlight w:val="none"/>
          <w:lang w:val="en-US" w:eastAsia="zh-CN"/>
        </w:rPr>
      </w:pPr>
    </w:p>
    <w:p w14:paraId="34842F16">
      <w:pPr>
        <w:pStyle w:val="3"/>
        <w:ind w:left="0" w:leftChars="0" w:firstLine="0" w:firstLineChars="0"/>
        <w:rPr>
          <w:rFonts w:hint="eastAsia"/>
          <w:color w:val="auto"/>
          <w:highlight w:val="none"/>
        </w:rPr>
      </w:pPr>
    </w:p>
    <w:p w14:paraId="5B13F38F">
      <w:pPr>
        <w:rPr>
          <w:rFonts w:hint="eastAsia"/>
          <w:color w:val="auto"/>
          <w:highlight w:val="none"/>
        </w:rPr>
      </w:pPr>
    </w:p>
    <w:p w14:paraId="19C491D5">
      <w:pPr>
        <w:spacing w:line="360" w:lineRule="auto"/>
        <w:jc w:val="center"/>
        <w:outlineLvl w:val="0"/>
        <w:rPr>
          <w:rFonts w:hint="eastAsia" w:ascii="黑体" w:hAnsi="黑体" w:eastAsia="黑体" w:cs="黑体"/>
          <w:b/>
          <w:color w:val="auto"/>
          <w:kern w:val="2"/>
          <w:sz w:val="36"/>
          <w:szCs w:val="36"/>
          <w:highlight w:val="none"/>
          <w:lang w:val="en-US" w:eastAsia="zh-CN" w:bidi="ar-SA"/>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r>
        <w:rPr>
          <w:rFonts w:hint="eastAsia" w:ascii="仿宋_GB2312" w:hAnsi="仿宋" w:eastAsia="仿宋_GB2312" w:cs="仿宋_GB2312"/>
          <w:b/>
          <w:color w:val="auto"/>
          <w:sz w:val="36"/>
          <w:szCs w:val="36"/>
          <w:highlight w:val="none"/>
          <w:lang w:val="en-US" w:eastAsia="zh-CN"/>
        </w:rPr>
        <w:t>（样稿）</w:t>
      </w:r>
    </w:p>
    <w:p w14:paraId="66C7D261">
      <w:pPr>
        <w:pageBreakBefore w:val="0"/>
        <w:kinsoku/>
        <w:wordWrap/>
        <w:overflowPunct/>
        <w:topLinePunct w:val="0"/>
        <w:bidi w:val="0"/>
        <w:snapToGrid w:val="0"/>
        <w:spacing w:line="560" w:lineRule="exact"/>
        <w:jc w:val="center"/>
        <w:rPr>
          <w:color w:val="auto"/>
          <w:sz w:val="36"/>
          <w:szCs w:val="44"/>
          <w:highlight w:val="none"/>
        </w:rPr>
      </w:pPr>
    </w:p>
    <w:p w14:paraId="4EC7F3EC">
      <w:pPr>
        <w:pageBreakBefore w:val="0"/>
        <w:kinsoku/>
        <w:wordWrap/>
        <w:overflowPunct/>
        <w:topLinePunct w:val="0"/>
        <w:bidi w:val="0"/>
        <w:snapToGrid w:val="0"/>
        <w:spacing w:line="560" w:lineRule="exact"/>
        <w:jc w:val="center"/>
        <w:rPr>
          <w:rFonts w:ascii="Arial" w:hAnsi="Arial" w:cs="Arial"/>
          <w:color w:val="auto"/>
          <w:sz w:val="96"/>
          <w:szCs w:val="96"/>
          <w:highlight w:val="none"/>
        </w:rPr>
      </w:pPr>
      <w:r>
        <w:rPr>
          <w:color w:val="auto"/>
          <w:sz w:val="36"/>
          <w:szCs w:val="44"/>
          <w:highlight w:val="none"/>
        </w:rPr>
        <w:t>采购合同</w:t>
      </w:r>
    </w:p>
    <w:p w14:paraId="1E7D96E0">
      <w:pPr>
        <w:pageBreakBefore w:val="0"/>
        <w:kinsoku/>
        <w:wordWrap/>
        <w:overflowPunct/>
        <w:topLinePunct w:val="0"/>
        <w:bidi w:val="0"/>
        <w:snapToGrid w:val="0"/>
        <w:spacing w:line="560" w:lineRule="exact"/>
        <w:jc w:val="center"/>
        <w:rPr>
          <w:rFonts w:ascii="Arial" w:hAnsi="Arial" w:cs="Arial" w:eastAsiaTheme="minorEastAsia"/>
          <w:b/>
          <w:bCs/>
          <w:color w:val="auto"/>
          <w:highlight w:val="none"/>
        </w:rPr>
      </w:pPr>
    </w:p>
    <w:p w14:paraId="3DCF2D77">
      <w:pPr>
        <w:pageBreakBefore w:val="0"/>
        <w:kinsoku/>
        <w:wordWrap/>
        <w:overflowPunct/>
        <w:topLinePunct w:val="0"/>
        <w:bidi w:val="0"/>
        <w:snapToGrid w:val="0"/>
        <w:spacing w:line="560" w:lineRule="exact"/>
        <w:jc w:val="center"/>
        <w:rPr>
          <w:rFonts w:ascii="Arial" w:hAnsi="Arial" w:cs="Arial"/>
          <w:color w:val="auto"/>
          <w:highlight w:val="none"/>
        </w:rPr>
      </w:pPr>
      <w:r>
        <w:rPr>
          <w:rFonts w:ascii="Arial" w:hAnsi="Arial" w:cs="Arial" w:eastAsiaTheme="minorEastAsia"/>
          <w:b/>
          <w:bCs/>
          <w:color w:val="auto"/>
          <w:highlight w:val="none"/>
        </w:rPr>
        <w:t>（甲乙双方应按</w:t>
      </w:r>
      <w:r>
        <w:rPr>
          <w:rFonts w:hint="eastAsia" w:ascii="Arial" w:hAnsi="Arial" w:cs="Arial" w:eastAsiaTheme="minorEastAsia"/>
          <w:b/>
          <w:bCs/>
          <w:color w:val="auto"/>
          <w:highlight w:val="none"/>
        </w:rPr>
        <w:t>采购文件</w:t>
      </w:r>
      <w:r>
        <w:rPr>
          <w:rFonts w:ascii="Arial" w:hAnsi="Arial" w:cs="Arial" w:eastAsiaTheme="minorEastAsia"/>
          <w:b/>
          <w:bCs/>
          <w:color w:val="auto"/>
          <w:highlight w:val="none"/>
        </w:rPr>
        <w:t>确定的事项及</w:t>
      </w:r>
      <w:r>
        <w:rPr>
          <w:rFonts w:hint="eastAsia" w:ascii="Arial" w:hAnsi="Arial" w:cs="Arial" w:eastAsiaTheme="minorEastAsia"/>
          <w:b/>
          <w:bCs/>
          <w:color w:val="auto"/>
          <w:highlight w:val="none"/>
          <w:lang w:eastAsia="zh-CN"/>
        </w:rPr>
        <w:t>响应</w:t>
      </w:r>
      <w:r>
        <w:rPr>
          <w:rFonts w:ascii="Arial" w:hAnsi="Arial" w:cs="Arial" w:eastAsiaTheme="minorEastAsia"/>
          <w:b/>
          <w:bCs/>
          <w:color w:val="auto"/>
          <w:highlight w:val="none"/>
        </w:rPr>
        <w:t>文件响应内容签订本合同，不得对</w:t>
      </w:r>
      <w:r>
        <w:rPr>
          <w:rFonts w:hint="eastAsia" w:ascii="Arial" w:hAnsi="Arial" w:cs="Arial" w:eastAsiaTheme="minorEastAsia"/>
          <w:b/>
          <w:bCs/>
          <w:color w:val="auto"/>
          <w:highlight w:val="none"/>
        </w:rPr>
        <w:t>采购文件</w:t>
      </w:r>
      <w:r>
        <w:rPr>
          <w:rFonts w:ascii="Arial" w:hAnsi="Arial" w:cs="Arial" w:eastAsiaTheme="minorEastAsia"/>
          <w:b/>
          <w:bCs/>
          <w:color w:val="auto"/>
          <w:highlight w:val="none"/>
        </w:rPr>
        <w:t>确定的事项和</w:t>
      </w:r>
      <w:r>
        <w:rPr>
          <w:rFonts w:hint="eastAsia" w:ascii="Arial" w:hAnsi="Arial" w:cs="Arial" w:eastAsiaTheme="minorEastAsia"/>
          <w:b/>
          <w:bCs/>
          <w:color w:val="auto"/>
          <w:highlight w:val="none"/>
          <w:lang w:eastAsia="zh-CN"/>
        </w:rPr>
        <w:t>成交</w:t>
      </w:r>
      <w:r>
        <w:rPr>
          <w:rFonts w:ascii="Arial" w:hAnsi="Arial" w:cs="Arial" w:eastAsiaTheme="minorEastAsia"/>
          <w:b/>
          <w:bCs/>
          <w:color w:val="auto"/>
          <w:highlight w:val="none"/>
        </w:rPr>
        <w:t>人</w:t>
      </w:r>
      <w:r>
        <w:rPr>
          <w:rFonts w:hint="eastAsia" w:ascii="Arial" w:hAnsi="Arial" w:cs="Arial" w:eastAsiaTheme="minorEastAsia"/>
          <w:b/>
          <w:bCs/>
          <w:color w:val="auto"/>
          <w:highlight w:val="none"/>
          <w:lang w:eastAsia="zh-CN"/>
        </w:rPr>
        <w:t>响应</w:t>
      </w:r>
      <w:r>
        <w:rPr>
          <w:rFonts w:ascii="Arial" w:hAnsi="Arial" w:cs="Arial" w:eastAsiaTheme="minorEastAsia"/>
          <w:b/>
          <w:bCs/>
          <w:color w:val="auto"/>
          <w:highlight w:val="none"/>
        </w:rPr>
        <w:t>文件作实质性修改）</w:t>
      </w:r>
    </w:p>
    <w:p w14:paraId="786D7C72">
      <w:pPr>
        <w:pageBreakBefore w:val="0"/>
        <w:kinsoku/>
        <w:wordWrap/>
        <w:overflowPunct/>
        <w:topLinePunct w:val="0"/>
        <w:bidi w:val="0"/>
        <w:snapToGrid w:val="0"/>
        <w:spacing w:line="560" w:lineRule="exact"/>
        <w:ind w:firstLine="3179" w:firstLineChars="1508"/>
        <w:rPr>
          <w:rFonts w:ascii="Arial" w:hAnsi="Arial" w:cs="Arial"/>
          <w:b/>
          <w:color w:val="auto"/>
          <w:szCs w:val="21"/>
          <w:highlight w:val="none"/>
        </w:rPr>
      </w:pPr>
    </w:p>
    <w:p w14:paraId="365247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 w:hAnsi="仿宋" w:eastAsia="仿宋" w:cs="仿宋"/>
          <w:b w:val="0"/>
          <w:bCs w:val="0"/>
          <w:color w:val="auto"/>
          <w:kern w:val="56"/>
          <w:sz w:val="28"/>
          <w:szCs w:val="28"/>
          <w:highlight w:val="none"/>
          <w:shd w:val="clear" w:color="auto" w:fill="FFFFFF"/>
          <w:lang w:val="en-US" w:eastAsia="zh-CN" w:bidi="ar-SA"/>
        </w:rPr>
      </w:pPr>
      <w:r>
        <w:rPr>
          <w:rFonts w:hint="eastAsia" w:ascii="仿宋" w:hAnsi="仿宋" w:eastAsia="仿宋" w:cs="仿宋"/>
          <w:b w:val="0"/>
          <w:bCs w:val="0"/>
          <w:color w:val="auto"/>
          <w:kern w:val="56"/>
          <w:sz w:val="28"/>
          <w:szCs w:val="28"/>
          <w:highlight w:val="none"/>
          <w:shd w:val="clear" w:color="auto" w:fill="FFFFFF"/>
          <w:lang w:val="en-US" w:eastAsia="zh-CN" w:bidi="ar-SA"/>
        </w:rPr>
        <w:t xml:space="preserve">合同编号： </w:t>
      </w:r>
    </w:p>
    <w:p w14:paraId="09CB35C2">
      <w:pPr>
        <w:pageBreakBefore w:val="0"/>
        <w:kinsoku/>
        <w:wordWrap/>
        <w:overflowPunct/>
        <w:topLinePunct w:val="0"/>
        <w:bidi w:val="0"/>
        <w:snapToGrid w:val="0"/>
        <w:spacing w:line="560" w:lineRule="exact"/>
        <w:jc w:val="center"/>
        <w:rPr>
          <w:rFonts w:ascii="Arial" w:hAnsi="Arial" w:cs="Arial"/>
          <w:color w:val="auto"/>
          <w:szCs w:val="21"/>
          <w:highlight w:val="none"/>
        </w:rPr>
      </w:pPr>
    </w:p>
    <w:p w14:paraId="7AA18417">
      <w:pPr>
        <w:pageBreakBefore w:val="0"/>
        <w:kinsoku/>
        <w:wordWrap/>
        <w:overflowPunct/>
        <w:topLinePunct w:val="0"/>
        <w:bidi w:val="0"/>
        <w:snapToGrid w:val="0"/>
        <w:spacing w:line="560" w:lineRule="exact"/>
        <w:jc w:val="center"/>
        <w:rPr>
          <w:rFonts w:ascii="Arial" w:hAnsi="Arial" w:cs="Arial"/>
          <w:color w:val="auto"/>
          <w:szCs w:val="21"/>
          <w:highlight w:val="none"/>
        </w:rPr>
      </w:pPr>
    </w:p>
    <w:p w14:paraId="58572D94">
      <w:pPr>
        <w:pageBreakBefore w:val="0"/>
        <w:kinsoku/>
        <w:wordWrap/>
        <w:overflowPunct/>
        <w:topLinePunct w:val="0"/>
        <w:bidi w:val="0"/>
        <w:snapToGrid w:val="0"/>
        <w:spacing w:line="560" w:lineRule="exact"/>
        <w:jc w:val="center"/>
        <w:rPr>
          <w:rFonts w:ascii="Arial" w:hAnsi="Arial" w:cs="Arial"/>
          <w:color w:val="auto"/>
          <w:szCs w:val="21"/>
          <w:highlight w:val="none"/>
        </w:rPr>
      </w:pPr>
    </w:p>
    <w:p w14:paraId="76108D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color w:val="auto"/>
          <w:kern w:val="56"/>
          <w:sz w:val="28"/>
          <w:szCs w:val="28"/>
          <w:highlight w:val="none"/>
          <w:shd w:val="clear" w:color="auto" w:fill="FFFFFF"/>
          <w:lang w:val="en-US" w:eastAsia="zh-CN" w:bidi="ar-SA"/>
        </w:rPr>
      </w:pPr>
      <w:r>
        <w:rPr>
          <w:rFonts w:hint="default" w:ascii="仿宋" w:hAnsi="仿宋" w:eastAsia="仿宋" w:cs="仿宋"/>
          <w:b w:val="0"/>
          <w:bCs w:val="0"/>
          <w:color w:val="auto"/>
          <w:kern w:val="56"/>
          <w:sz w:val="28"/>
          <w:szCs w:val="28"/>
          <w:highlight w:val="none"/>
          <w:shd w:val="clear" w:color="auto" w:fill="FFFFFF"/>
          <w:lang w:val="en-US" w:eastAsia="zh-CN" w:bidi="ar-SA"/>
        </w:rPr>
        <w:t>项目名称：</w:t>
      </w:r>
      <w:r>
        <w:rPr>
          <w:rFonts w:hint="eastAsia" w:ascii="仿宋" w:hAnsi="仿宋" w:eastAsia="仿宋" w:cs="仿宋"/>
          <w:b w:val="0"/>
          <w:bCs w:val="0"/>
          <w:color w:val="auto"/>
          <w:kern w:val="56"/>
          <w:sz w:val="28"/>
          <w:szCs w:val="28"/>
          <w:highlight w:val="none"/>
          <w:u w:val="single"/>
          <w:shd w:val="clear" w:color="auto" w:fill="FFFFFF"/>
          <w:lang w:val="en-US" w:eastAsia="zh-CN" w:bidi="ar-SA"/>
        </w:rPr>
        <w:t>2024-2025年度衢州市级优化用电营商环境综合保险服务项目</w:t>
      </w:r>
    </w:p>
    <w:p w14:paraId="3CB83F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color w:val="auto"/>
          <w:kern w:val="56"/>
          <w:sz w:val="28"/>
          <w:szCs w:val="28"/>
          <w:highlight w:val="none"/>
          <w:shd w:val="clear" w:color="auto" w:fill="FFFFFF"/>
          <w:lang w:val="en-US" w:eastAsia="zh-CN" w:bidi="ar-SA"/>
        </w:rPr>
      </w:pPr>
      <w:r>
        <w:rPr>
          <w:rFonts w:hint="default" w:ascii="仿宋" w:hAnsi="仿宋" w:eastAsia="仿宋" w:cs="仿宋"/>
          <w:b w:val="0"/>
          <w:bCs w:val="0"/>
          <w:color w:val="auto"/>
          <w:kern w:val="56"/>
          <w:sz w:val="28"/>
          <w:szCs w:val="28"/>
          <w:highlight w:val="none"/>
          <w:shd w:val="clear" w:color="auto" w:fill="FFFFFF"/>
          <w:lang w:val="en-US" w:eastAsia="zh-CN" w:bidi="ar-SA"/>
        </w:rPr>
        <w:t>合同内容：</w:t>
      </w:r>
      <w:r>
        <w:rPr>
          <w:rFonts w:hint="eastAsia" w:ascii="仿宋" w:hAnsi="仿宋" w:eastAsia="仿宋" w:cs="仿宋"/>
          <w:b w:val="0"/>
          <w:bCs w:val="0"/>
          <w:color w:val="auto"/>
          <w:kern w:val="56"/>
          <w:sz w:val="28"/>
          <w:szCs w:val="28"/>
          <w:highlight w:val="none"/>
          <w:u w:val="single"/>
          <w:shd w:val="clear" w:color="auto" w:fill="FFFFFF"/>
          <w:lang w:val="en-US" w:eastAsia="zh-CN" w:bidi="ar-SA"/>
        </w:rPr>
        <w:t>2023-2024年衢州市级优化用电营商环境综合保险服务</w:t>
      </w:r>
    </w:p>
    <w:p w14:paraId="046A6021">
      <w:pPr>
        <w:pageBreakBefore w:val="0"/>
        <w:kinsoku/>
        <w:wordWrap/>
        <w:overflowPunct/>
        <w:topLinePunct w:val="0"/>
        <w:bidi w:val="0"/>
        <w:snapToGrid w:val="0"/>
        <w:spacing w:line="560" w:lineRule="exact"/>
        <w:jc w:val="center"/>
        <w:rPr>
          <w:rFonts w:ascii="Arial" w:hAnsi="Arial" w:cs="Arial"/>
          <w:color w:val="auto"/>
          <w:sz w:val="24"/>
          <w:szCs w:val="24"/>
          <w:highlight w:val="none"/>
        </w:rPr>
      </w:pPr>
    </w:p>
    <w:p w14:paraId="520F9E57">
      <w:pPr>
        <w:pageBreakBefore w:val="0"/>
        <w:kinsoku/>
        <w:wordWrap/>
        <w:overflowPunct/>
        <w:topLinePunct w:val="0"/>
        <w:bidi w:val="0"/>
        <w:snapToGrid w:val="0"/>
        <w:spacing w:line="560" w:lineRule="exact"/>
        <w:jc w:val="center"/>
        <w:rPr>
          <w:rFonts w:ascii="Arial" w:hAnsi="Arial" w:cs="Arial"/>
          <w:color w:val="auto"/>
          <w:sz w:val="24"/>
          <w:szCs w:val="24"/>
          <w:highlight w:val="none"/>
        </w:rPr>
      </w:pPr>
    </w:p>
    <w:p w14:paraId="40F6D96C">
      <w:pPr>
        <w:pageBreakBefore w:val="0"/>
        <w:kinsoku/>
        <w:wordWrap/>
        <w:overflowPunct/>
        <w:topLinePunct w:val="0"/>
        <w:bidi w:val="0"/>
        <w:snapToGrid w:val="0"/>
        <w:spacing w:line="560" w:lineRule="exact"/>
        <w:jc w:val="center"/>
        <w:rPr>
          <w:rFonts w:ascii="Arial" w:hAnsi="Arial" w:cs="Arial"/>
          <w:color w:val="auto"/>
          <w:sz w:val="24"/>
          <w:szCs w:val="24"/>
          <w:highlight w:val="none"/>
        </w:rPr>
      </w:pPr>
    </w:p>
    <w:p w14:paraId="318D03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120" w:firstLineChars="400"/>
        <w:jc w:val="both"/>
        <w:textAlignment w:val="auto"/>
        <w:outlineLvl w:val="9"/>
        <w:rPr>
          <w:rFonts w:hint="default" w:ascii="仿宋" w:hAnsi="仿宋" w:eastAsia="仿宋" w:cs="仿宋"/>
          <w:b w:val="0"/>
          <w:bCs w:val="0"/>
          <w:color w:val="auto"/>
          <w:kern w:val="56"/>
          <w:sz w:val="28"/>
          <w:szCs w:val="28"/>
          <w:highlight w:val="none"/>
          <w:u w:val="single"/>
          <w:shd w:val="clear" w:color="auto" w:fill="FFFFFF"/>
          <w:lang w:val="en-US" w:eastAsia="zh-CN" w:bidi="ar-SA"/>
        </w:rPr>
      </w:pPr>
      <w:r>
        <w:rPr>
          <w:rFonts w:hint="eastAsia" w:ascii="仿宋" w:hAnsi="仿宋" w:eastAsia="仿宋" w:cs="仿宋"/>
          <w:b w:val="0"/>
          <w:bCs w:val="0"/>
          <w:color w:val="auto"/>
          <w:kern w:val="56"/>
          <w:sz w:val="28"/>
          <w:szCs w:val="28"/>
          <w:highlight w:val="none"/>
          <w:shd w:val="clear" w:color="auto" w:fill="FFFFFF"/>
          <w:lang w:val="en-US" w:eastAsia="zh-CN" w:bidi="ar-SA"/>
        </w:rPr>
        <w:t>甲方：</w:t>
      </w:r>
      <w:r>
        <w:rPr>
          <w:rFonts w:hint="eastAsia" w:ascii="仿宋" w:hAnsi="仿宋" w:eastAsia="仿宋" w:cs="仿宋"/>
          <w:b w:val="0"/>
          <w:bCs w:val="0"/>
          <w:color w:val="auto"/>
          <w:kern w:val="56"/>
          <w:sz w:val="28"/>
          <w:szCs w:val="28"/>
          <w:highlight w:val="none"/>
          <w:u w:val="single"/>
          <w:shd w:val="clear" w:color="auto" w:fill="FFFFFF"/>
          <w:lang w:val="en-US" w:eastAsia="zh-CN" w:bidi="ar-SA"/>
        </w:rPr>
        <w:t xml:space="preserve">衢州市发展和改革委员会                    </w:t>
      </w:r>
    </w:p>
    <w:p w14:paraId="4CBBE5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120" w:firstLineChars="400"/>
        <w:jc w:val="both"/>
        <w:textAlignment w:val="auto"/>
        <w:outlineLvl w:val="9"/>
        <w:rPr>
          <w:rFonts w:hint="default" w:ascii="仿宋" w:hAnsi="仿宋" w:eastAsia="仿宋" w:cs="仿宋"/>
          <w:b w:val="0"/>
          <w:bCs w:val="0"/>
          <w:color w:val="auto"/>
          <w:kern w:val="56"/>
          <w:sz w:val="28"/>
          <w:szCs w:val="28"/>
          <w:highlight w:val="none"/>
          <w:u w:val="single"/>
          <w:shd w:val="clear" w:color="auto" w:fill="FFFFFF"/>
          <w:lang w:val="en-US" w:eastAsia="zh-CN" w:bidi="ar-SA"/>
        </w:rPr>
      </w:pPr>
      <w:r>
        <w:rPr>
          <w:rFonts w:hint="eastAsia" w:ascii="仿宋" w:hAnsi="仿宋" w:eastAsia="仿宋" w:cs="仿宋"/>
          <w:b w:val="0"/>
          <w:bCs w:val="0"/>
          <w:color w:val="auto"/>
          <w:kern w:val="56"/>
          <w:sz w:val="28"/>
          <w:szCs w:val="28"/>
          <w:highlight w:val="none"/>
          <w:shd w:val="clear" w:color="auto" w:fill="FFFFFF"/>
          <w:lang w:val="en-US" w:eastAsia="zh-CN" w:bidi="ar-SA"/>
        </w:rPr>
        <w:t>乙方：</w:t>
      </w:r>
      <w:r>
        <w:rPr>
          <w:rFonts w:hint="eastAsia" w:ascii="仿宋" w:hAnsi="仿宋" w:eastAsia="仿宋" w:cs="仿宋"/>
          <w:b w:val="0"/>
          <w:bCs w:val="0"/>
          <w:color w:val="auto"/>
          <w:kern w:val="56"/>
          <w:sz w:val="28"/>
          <w:szCs w:val="28"/>
          <w:highlight w:val="none"/>
          <w:u w:val="single"/>
          <w:shd w:val="clear" w:color="auto" w:fill="FFFFFF"/>
          <w:lang w:val="en-US" w:eastAsia="zh-CN" w:bidi="ar-SA"/>
        </w:rPr>
        <w:t xml:space="preserve">                                           </w:t>
      </w:r>
    </w:p>
    <w:p w14:paraId="2FE02481">
      <w:pPr>
        <w:pageBreakBefore w:val="0"/>
        <w:kinsoku/>
        <w:wordWrap/>
        <w:overflowPunct/>
        <w:topLinePunct w:val="0"/>
        <w:bidi w:val="0"/>
        <w:snapToGrid w:val="0"/>
        <w:spacing w:line="560" w:lineRule="exact"/>
        <w:jc w:val="left"/>
        <w:rPr>
          <w:rFonts w:hint="default" w:ascii="仿宋" w:hAnsi="仿宋" w:eastAsia="仿宋" w:cs="仿宋"/>
          <w:b w:val="0"/>
          <w:bCs w:val="0"/>
          <w:color w:val="auto"/>
          <w:kern w:val="56"/>
          <w:sz w:val="28"/>
          <w:szCs w:val="28"/>
          <w:highlight w:val="none"/>
          <w:u w:val="single"/>
          <w:shd w:val="clear" w:color="auto" w:fill="FFFFFF"/>
          <w:lang w:val="en-US" w:eastAsia="zh-CN" w:bidi="ar-SA"/>
        </w:rPr>
      </w:pPr>
      <w:r>
        <w:rPr>
          <w:rFonts w:hint="eastAsia"/>
          <w:color w:val="auto"/>
          <w:highlight w:val="none"/>
          <w:lang w:val="en-US" w:eastAsia="zh-CN"/>
        </w:rPr>
        <w:t xml:space="preserve">    </w:t>
      </w:r>
      <w:r>
        <w:rPr>
          <w:rFonts w:hint="eastAsia" w:ascii="仿宋" w:hAnsi="仿宋" w:eastAsia="仿宋" w:cs="仿宋"/>
          <w:b w:val="0"/>
          <w:bCs w:val="0"/>
          <w:color w:val="auto"/>
          <w:kern w:val="56"/>
          <w:sz w:val="28"/>
          <w:szCs w:val="28"/>
          <w:highlight w:val="none"/>
          <w:shd w:val="clear" w:color="auto" w:fill="FFFFFF"/>
          <w:lang w:val="en-US" w:eastAsia="zh-CN" w:bidi="ar-SA"/>
        </w:rPr>
        <w:t xml:space="preserve">     丙方：</w:t>
      </w:r>
      <w:r>
        <w:rPr>
          <w:rFonts w:hint="eastAsia" w:ascii="仿宋" w:hAnsi="仿宋" w:eastAsia="仿宋" w:cs="仿宋"/>
          <w:b w:val="0"/>
          <w:bCs w:val="0"/>
          <w:color w:val="auto"/>
          <w:kern w:val="56"/>
          <w:sz w:val="28"/>
          <w:szCs w:val="28"/>
          <w:highlight w:val="none"/>
          <w:u w:val="single"/>
          <w:shd w:val="clear" w:color="auto" w:fill="FFFFFF"/>
          <w:lang w:val="en-US" w:eastAsia="zh-CN" w:bidi="ar-SA"/>
        </w:rPr>
        <w:t xml:space="preserve"> 国网浙江省电力有限公司衢州供电公司         </w:t>
      </w:r>
    </w:p>
    <w:p w14:paraId="3802E4CE">
      <w:pPr>
        <w:pageBreakBefore w:val="0"/>
        <w:kinsoku/>
        <w:wordWrap/>
        <w:overflowPunct/>
        <w:topLinePunct w:val="0"/>
        <w:bidi w:val="0"/>
        <w:snapToGrid w:val="0"/>
        <w:spacing w:line="560" w:lineRule="exact"/>
        <w:jc w:val="center"/>
        <w:rPr>
          <w:rFonts w:ascii="Arial" w:hAnsi="Arial" w:cs="Arial"/>
          <w:color w:val="auto"/>
          <w:sz w:val="24"/>
          <w:szCs w:val="24"/>
          <w:highlight w:val="none"/>
        </w:rPr>
      </w:pPr>
    </w:p>
    <w:p w14:paraId="34C9BB45">
      <w:pPr>
        <w:pageBreakBefore w:val="0"/>
        <w:kinsoku/>
        <w:wordWrap/>
        <w:overflowPunct/>
        <w:topLinePunct w:val="0"/>
        <w:bidi w:val="0"/>
        <w:snapToGrid w:val="0"/>
        <w:spacing w:line="560" w:lineRule="exact"/>
        <w:jc w:val="center"/>
        <w:rPr>
          <w:rFonts w:ascii="Arial" w:hAnsi="Arial" w:cs="Arial"/>
          <w:color w:val="auto"/>
          <w:szCs w:val="21"/>
          <w:highlight w:val="none"/>
        </w:rPr>
      </w:pPr>
    </w:p>
    <w:p w14:paraId="27A248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 w:hAnsi="仿宋" w:eastAsia="仿宋" w:cs="仿宋"/>
          <w:b w:val="0"/>
          <w:bCs w:val="0"/>
          <w:color w:val="auto"/>
          <w:kern w:val="56"/>
          <w:sz w:val="28"/>
          <w:szCs w:val="28"/>
          <w:highlight w:val="none"/>
          <w:u w:val="single"/>
          <w:shd w:val="clear" w:color="auto" w:fill="FFFFFF"/>
          <w:lang w:val="en-US" w:eastAsia="zh-CN" w:bidi="ar-SA"/>
        </w:rPr>
      </w:pPr>
      <w:r>
        <w:rPr>
          <w:rFonts w:hint="default" w:ascii="仿宋" w:hAnsi="仿宋" w:eastAsia="仿宋" w:cs="仿宋"/>
          <w:b w:val="0"/>
          <w:bCs w:val="0"/>
          <w:color w:val="auto"/>
          <w:kern w:val="56"/>
          <w:sz w:val="28"/>
          <w:szCs w:val="28"/>
          <w:highlight w:val="none"/>
          <w:shd w:val="clear" w:color="auto" w:fill="FFFFFF"/>
          <w:lang w:val="en-US" w:eastAsia="zh-CN" w:bidi="ar-SA"/>
        </w:rPr>
        <w:t>签署日期：</w:t>
      </w:r>
      <w:r>
        <w:rPr>
          <w:rFonts w:hint="eastAsia" w:ascii="仿宋" w:hAnsi="仿宋" w:eastAsia="仿宋" w:cs="仿宋"/>
          <w:b w:val="0"/>
          <w:bCs w:val="0"/>
          <w:color w:val="auto"/>
          <w:kern w:val="56"/>
          <w:sz w:val="28"/>
          <w:szCs w:val="28"/>
          <w:highlight w:val="none"/>
          <w:u w:val="single"/>
          <w:shd w:val="clear" w:color="auto" w:fill="FFFFFF"/>
          <w:lang w:val="en-US" w:eastAsia="zh-CN" w:bidi="ar-SA"/>
        </w:rPr>
        <w:t xml:space="preserve">   年  月  日</w:t>
      </w:r>
    </w:p>
    <w:p w14:paraId="443C5BA7">
      <w:pPr>
        <w:pStyle w:val="39"/>
        <w:ind w:left="0" w:leftChars="0" w:firstLine="0" w:firstLineChars="0"/>
        <w:rPr>
          <w:rFonts w:hint="eastAsia"/>
          <w:color w:val="auto"/>
          <w:highlight w:val="none"/>
        </w:rPr>
      </w:pPr>
    </w:p>
    <w:p w14:paraId="3732B39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1"/>
        <w:rPr>
          <w:rFonts w:hint="eastAsia" w:ascii="黑体" w:hAnsi="黑体" w:eastAsia="黑体" w:cs="黑体"/>
          <w:b/>
          <w:color w:val="auto"/>
          <w:sz w:val="36"/>
          <w:szCs w:val="36"/>
          <w:highlight w:val="none"/>
        </w:rPr>
      </w:pPr>
    </w:p>
    <w:p w14:paraId="5CB68FC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1"/>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合同协议</w:t>
      </w:r>
    </w:p>
    <w:p w14:paraId="491DD5C1">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合同编号：                             </w:t>
      </w:r>
    </w:p>
    <w:p w14:paraId="141622E3">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甲方：衢州市发展和改革委员（投险人）</w:t>
      </w:r>
    </w:p>
    <w:p w14:paraId="3EF3838C">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乙方：                                （承保人）</w:t>
      </w:r>
    </w:p>
    <w:p w14:paraId="1CDF6725">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丙方：</w:t>
      </w:r>
      <w:r>
        <w:rPr>
          <w:rFonts w:hint="eastAsia" w:ascii="仿宋" w:hAnsi="仿宋" w:eastAsia="仿宋" w:cs="仿宋"/>
          <w:bCs/>
          <w:color w:val="auto"/>
          <w:sz w:val="26"/>
          <w:szCs w:val="26"/>
          <w:highlight w:val="none"/>
        </w:rPr>
        <w:t>国网浙江省电力有限公司衢州供电公司</w:t>
      </w:r>
      <w:r>
        <w:rPr>
          <w:rFonts w:hint="eastAsia" w:ascii="仿宋" w:hAnsi="仿宋" w:eastAsia="仿宋" w:cs="仿宋"/>
          <w:bCs/>
          <w:color w:val="auto"/>
          <w:sz w:val="28"/>
          <w:szCs w:val="28"/>
          <w:highlight w:val="none"/>
          <w:lang w:val="en-US" w:eastAsia="zh-CN"/>
        </w:rPr>
        <w:t>（受益人）</w:t>
      </w:r>
    </w:p>
    <w:p w14:paraId="00936F3E">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按照衢州市人民政府办公室《关于印发衢州市政府向社会力量购买服务实施办法的通知》（衢政办发[2014]110号）和《浙江省财政厅关于印发浙江省政府向社会力量购买服务指导目录（2019年度）的通知》（浙财预[2017]48号）文件要求，为深入贯彻稳增长、促改革、调结构、惠民生、防风险、保稳定要求，切实降低企业用电成本，促进我市营商环境的进一步优化，根据《浙江省人民政府办公厅关于深化企业减负担降成本改革的若干意见》《浙江省人民政府关于进一步发挥保险功能作用促进我省经济社会发展的意见》《中共衢州市委衢州市人民政府关于打造最优营商环境促进民营经济高质量发展的实施意见》《中共衢州市委衢州市人民政府关于推进绿色金融改革创新试验区建设的实施意见》等文件精神，运用市场化手段，发挥绿色保险服务地方经济发展的作用，通过财政资金购买“优化用电营商环境综合保险”，合理分摊电费拖欠风险，达到有效降低企业用电成本目的，为明确双方的责任和义务，经双方协商，达成如下共识：</w:t>
      </w:r>
    </w:p>
    <w:p w14:paraId="2B947F28">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bookmarkStart w:id="396" w:name="_Toc2880"/>
      <w:r>
        <w:rPr>
          <w:rFonts w:hint="eastAsia" w:ascii="仿宋" w:hAnsi="仿宋" w:eastAsia="仿宋" w:cs="仿宋"/>
          <w:bCs/>
          <w:color w:val="auto"/>
          <w:sz w:val="28"/>
          <w:szCs w:val="28"/>
          <w:highlight w:val="none"/>
          <w:lang w:val="en-US" w:eastAsia="zh-CN"/>
        </w:rPr>
        <w:t>委托内容</w:t>
      </w:r>
      <w:bookmarkEnd w:id="396"/>
      <w:r>
        <w:rPr>
          <w:rFonts w:hint="eastAsia" w:ascii="仿宋" w:hAnsi="仿宋" w:eastAsia="仿宋" w:cs="仿宋"/>
          <w:bCs/>
          <w:color w:val="auto"/>
          <w:sz w:val="28"/>
          <w:szCs w:val="28"/>
          <w:highlight w:val="none"/>
          <w:lang w:val="en-US" w:eastAsia="zh-CN"/>
        </w:rPr>
        <w:t>：</w:t>
      </w:r>
    </w:p>
    <w:p w14:paraId="504538DE">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09" w:firstLineChars="196"/>
        <w:textAlignment w:val="auto"/>
        <w:rPr>
          <w:rFonts w:hint="eastAsia" w:ascii="仿宋" w:hAnsi="仿宋" w:eastAsia="仿宋" w:cs="仿宋"/>
          <w:bCs/>
          <w:color w:val="auto"/>
          <w:sz w:val="26"/>
          <w:szCs w:val="26"/>
          <w:highlight w:val="none"/>
        </w:rPr>
      </w:pPr>
      <w:bookmarkStart w:id="397" w:name="_Toc21798"/>
      <w:r>
        <w:rPr>
          <w:rFonts w:hint="eastAsia" w:ascii="仿宋" w:hAnsi="仿宋" w:eastAsia="仿宋" w:cs="仿宋"/>
          <w:bCs/>
          <w:color w:val="auto"/>
          <w:sz w:val="26"/>
          <w:szCs w:val="26"/>
          <w:highlight w:val="none"/>
        </w:rPr>
        <w:t xml:space="preserve">1、投保人：衢州市发展和改革委员会； </w:t>
      </w:r>
    </w:p>
    <w:p w14:paraId="69D2995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09" w:firstLineChars="196"/>
        <w:textAlignment w:val="auto"/>
        <w:rPr>
          <w:rFonts w:hint="eastAsia" w:ascii="仿宋" w:hAnsi="仿宋" w:eastAsia="仿宋" w:cs="仿宋"/>
          <w:bCs/>
          <w:color w:val="auto"/>
          <w:sz w:val="26"/>
          <w:szCs w:val="26"/>
          <w:highlight w:val="none"/>
        </w:rPr>
      </w:pPr>
      <w:r>
        <w:rPr>
          <w:rFonts w:hint="eastAsia" w:ascii="仿宋" w:hAnsi="仿宋" w:eastAsia="仿宋" w:cs="仿宋"/>
          <w:bCs/>
          <w:color w:val="auto"/>
          <w:sz w:val="26"/>
          <w:szCs w:val="26"/>
          <w:highlight w:val="none"/>
        </w:rPr>
        <w:t xml:space="preserve">2、被保险人：衢州市级用电企业； </w:t>
      </w:r>
    </w:p>
    <w:p w14:paraId="5CB950B3">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09"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6"/>
          <w:szCs w:val="26"/>
          <w:highlight w:val="none"/>
        </w:rPr>
        <w:t>3、受益人：国网浙江省电力有限公司衢州供电公司</w:t>
      </w:r>
    </w:p>
    <w:p w14:paraId="1CE10566">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4、被保险范围：柯城/衢江所有用电企业应收电费账款；</w:t>
      </w:r>
    </w:p>
    <w:p w14:paraId="6C9A045A">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5、项目标的描述：受益人在保险期间内按用电合同约定向被保险人提供供电服务，因被保险人自身原因导致的受益人应收电费账款无法收回而产生的相应损失，承保人按照理赔方案约定进行赔偿；</w:t>
      </w:r>
    </w:p>
    <w:p w14:paraId="02FD7241">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6、保险险种/条款：</w:t>
      </w:r>
    </w:p>
    <w:p w14:paraId="593EB728">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综合责任险/诚实保证险/信用险</w:t>
      </w:r>
      <w:r>
        <w:rPr>
          <w:rFonts w:hint="eastAsia" w:ascii="仿宋" w:hAnsi="仿宋" w:eastAsia="仿宋" w:cs="仿宋"/>
          <w:bCs/>
          <w:color w:val="auto"/>
          <w:sz w:val="28"/>
          <w:szCs w:val="28"/>
          <w:highlight w:val="none"/>
          <w:lang w:val="en-US" w:eastAsia="zh-CN"/>
        </w:rPr>
        <w:t>（承保人在中标后3个月内须在原有险种基础上按照相关法律法规及投标承诺设立“优化用电营商环境综合保险”，并对“优化用电营商环境综合保险”进行报批备案。）</w:t>
      </w:r>
    </w:p>
    <w:p w14:paraId="34425A8E">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7、保险金额/赔偿限额：</w:t>
      </w:r>
    </w:p>
    <w:tbl>
      <w:tblPr>
        <w:tblStyle w:val="6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860"/>
        <w:gridCol w:w="1743"/>
        <w:gridCol w:w="1329"/>
        <w:gridCol w:w="2011"/>
        <w:gridCol w:w="1485"/>
        <w:gridCol w:w="1382"/>
      </w:tblGrid>
      <w:tr w14:paraId="4ECD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88" w:type="dxa"/>
            <w:gridSpan w:val="7"/>
            <w:vAlign w:val="center"/>
          </w:tcPr>
          <w:p w14:paraId="15F346EE">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优化用电营商环境综合保险</w:t>
            </w:r>
          </w:p>
        </w:tc>
      </w:tr>
      <w:tr w14:paraId="11D4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6F76D454">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序号</w:t>
            </w:r>
          </w:p>
        </w:tc>
        <w:tc>
          <w:tcPr>
            <w:tcW w:w="860" w:type="dxa"/>
            <w:vAlign w:val="center"/>
          </w:tcPr>
          <w:p w14:paraId="262466F9">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区域</w:t>
            </w:r>
          </w:p>
        </w:tc>
        <w:tc>
          <w:tcPr>
            <w:tcW w:w="1743" w:type="dxa"/>
            <w:vAlign w:val="center"/>
          </w:tcPr>
          <w:p w14:paraId="477D1DAE">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风险种类</w:t>
            </w:r>
          </w:p>
        </w:tc>
        <w:tc>
          <w:tcPr>
            <w:tcW w:w="1329" w:type="dxa"/>
            <w:vAlign w:val="center"/>
          </w:tcPr>
          <w:p w14:paraId="2329885F">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投保金额</w:t>
            </w:r>
          </w:p>
        </w:tc>
        <w:tc>
          <w:tcPr>
            <w:tcW w:w="2011" w:type="dxa"/>
            <w:vAlign w:val="center"/>
          </w:tcPr>
          <w:p w14:paraId="006A9E90">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赔偿限额</w:t>
            </w:r>
          </w:p>
        </w:tc>
        <w:tc>
          <w:tcPr>
            <w:tcW w:w="1485" w:type="dxa"/>
            <w:vAlign w:val="center"/>
          </w:tcPr>
          <w:p w14:paraId="7531F97E">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赔偿时效</w:t>
            </w:r>
          </w:p>
        </w:tc>
        <w:tc>
          <w:tcPr>
            <w:tcW w:w="1382" w:type="dxa"/>
            <w:vAlign w:val="center"/>
          </w:tcPr>
          <w:p w14:paraId="47A4A93B">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免赔额/免赔率</w:t>
            </w:r>
          </w:p>
        </w:tc>
      </w:tr>
      <w:tr w14:paraId="7DDC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0C430410">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1</w:t>
            </w:r>
          </w:p>
        </w:tc>
        <w:tc>
          <w:tcPr>
            <w:tcW w:w="860" w:type="dxa"/>
            <w:vAlign w:val="center"/>
          </w:tcPr>
          <w:p w14:paraId="50078598">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衢江</w:t>
            </w:r>
          </w:p>
        </w:tc>
        <w:tc>
          <w:tcPr>
            <w:tcW w:w="1743" w:type="dxa"/>
            <w:vAlign w:val="center"/>
          </w:tcPr>
          <w:p w14:paraId="5A552E4B">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综合保险服务</w:t>
            </w:r>
          </w:p>
        </w:tc>
        <w:tc>
          <w:tcPr>
            <w:tcW w:w="1329" w:type="dxa"/>
            <w:vAlign w:val="center"/>
          </w:tcPr>
          <w:p w14:paraId="152783A3">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5150000元</w:t>
            </w:r>
          </w:p>
        </w:tc>
        <w:tc>
          <w:tcPr>
            <w:tcW w:w="2011" w:type="dxa"/>
            <w:vAlign w:val="center"/>
          </w:tcPr>
          <w:p w14:paraId="2EFFDA0D">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元（含）</w:t>
            </w:r>
          </w:p>
        </w:tc>
        <w:tc>
          <w:tcPr>
            <w:tcW w:w="1485" w:type="dxa"/>
            <w:vAlign w:val="center"/>
          </w:tcPr>
          <w:p w14:paraId="185231F8">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p>
        </w:tc>
        <w:tc>
          <w:tcPr>
            <w:tcW w:w="1382" w:type="dxa"/>
            <w:vAlign w:val="center"/>
          </w:tcPr>
          <w:p w14:paraId="4791F32A">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rightChars="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无免赔</w:t>
            </w:r>
          </w:p>
        </w:tc>
      </w:tr>
      <w:tr w14:paraId="47C4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00D4F3EE">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2</w:t>
            </w:r>
          </w:p>
        </w:tc>
        <w:tc>
          <w:tcPr>
            <w:tcW w:w="860" w:type="dxa"/>
            <w:vAlign w:val="center"/>
          </w:tcPr>
          <w:p w14:paraId="07E66B84">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柯城</w:t>
            </w:r>
          </w:p>
        </w:tc>
        <w:tc>
          <w:tcPr>
            <w:tcW w:w="1743" w:type="dxa"/>
            <w:vAlign w:val="center"/>
          </w:tcPr>
          <w:p w14:paraId="139F3A75">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综合保险服务</w:t>
            </w:r>
          </w:p>
        </w:tc>
        <w:tc>
          <w:tcPr>
            <w:tcW w:w="1329" w:type="dxa"/>
            <w:vAlign w:val="center"/>
          </w:tcPr>
          <w:p w14:paraId="0E0A00A3">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default"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4850000元</w:t>
            </w:r>
          </w:p>
        </w:tc>
        <w:tc>
          <w:tcPr>
            <w:tcW w:w="2011" w:type="dxa"/>
            <w:vAlign w:val="center"/>
          </w:tcPr>
          <w:p w14:paraId="10EE2E11">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元（含）</w:t>
            </w:r>
          </w:p>
        </w:tc>
        <w:tc>
          <w:tcPr>
            <w:tcW w:w="1485" w:type="dxa"/>
            <w:vAlign w:val="center"/>
          </w:tcPr>
          <w:p w14:paraId="218C285F">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6"/>
                <w:szCs w:val="26"/>
                <w:highlight w:val="none"/>
                <w:lang w:val="en-US" w:eastAsia="zh-CN"/>
              </w:rPr>
            </w:pPr>
          </w:p>
        </w:tc>
        <w:tc>
          <w:tcPr>
            <w:tcW w:w="1382" w:type="dxa"/>
            <w:vAlign w:val="center"/>
          </w:tcPr>
          <w:p w14:paraId="31FF11BE">
            <w:pPr>
              <w:pStyle w:val="129"/>
              <w:keepNext w:val="0"/>
              <w:keepLines w:val="0"/>
              <w:pageBreakBefore w:val="0"/>
              <w:widowControl w:val="0"/>
              <w:kinsoku/>
              <w:wordWrap/>
              <w:overflowPunct/>
              <w:topLinePunct w:val="0"/>
              <w:autoSpaceDE/>
              <w:autoSpaceDN/>
              <w:bidi w:val="0"/>
              <w:adjustRightInd w:val="0"/>
              <w:snapToGrid w:val="0"/>
              <w:spacing w:before="0" w:beforeAutospacing="0" w:line="560" w:lineRule="exact"/>
              <w:ind w:left="0" w:leftChars="0" w:right="0" w:rightChars="0" w:firstLine="0" w:firstLineChars="0"/>
              <w:jc w:val="center"/>
              <w:textAlignment w:val="auto"/>
              <w:rPr>
                <w:rFonts w:hint="eastAsia" w:ascii="仿宋" w:hAnsi="仿宋" w:eastAsia="仿宋" w:cs="仿宋"/>
                <w:bCs/>
                <w:color w:val="auto"/>
                <w:sz w:val="26"/>
                <w:szCs w:val="26"/>
                <w:highlight w:val="none"/>
                <w:lang w:val="en-US" w:eastAsia="zh-CN"/>
              </w:rPr>
            </w:pPr>
            <w:r>
              <w:rPr>
                <w:rFonts w:hint="eastAsia" w:ascii="仿宋" w:hAnsi="仿宋" w:eastAsia="仿宋" w:cs="仿宋"/>
                <w:bCs/>
                <w:color w:val="auto"/>
                <w:sz w:val="26"/>
                <w:szCs w:val="26"/>
                <w:highlight w:val="none"/>
                <w:lang w:val="en-US" w:eastAsia="zh-CN"/>
              </w:rPr>
              <w:t>无免赔</w:t>
            </w:r>
          </w:p>
        </w:tc>
      </w:tr>
    </w:tbl>
    <w:p w14:paraId="548B3E37">
      <w:pPr>
        <w:pStyle w:val="129"/>
        <w:keepNext w:val="0"/>
        <w:keepLines w:val="0"/>
        <w:pageBreakBefore w:val="0"/>
        <w:widowControl w:val="0"/>
        <w:kinsoku/>
        <w:wordWrap/>
        <w:overflowPunct/>
        <w:topLinePunct w:val="0"/>
        <w:autoSpaceDE/>
        <w:autoSpaceDN/>
        <w:bidi w:val="0"/>
        <w:adjustRightInd w:val="0"/>
        <w:snapToGrid w:val="0"/>
        <w:spacing w:before="0" w:line="560" w:lineRule="exact"/>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（以上内容按照中标标段及投标响应自行填写或删除）</w:t>
      </w:r>
    </w:p>
    <w:p w14:paraId="0B1D0775">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注：（1）赔偿限额在受益人追回应收电费账款并打入承保人指定账户后实时恢复，即保险期限内赔偿限额作无限循环模式，不受年度理赔次数和累计额限制。</w:t>
      </w:r>
    </w:p>
    <w:p w14:paraId="5201C723">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（2）公式为：实时可赔偿限额=约定赔偿限额-已赔付金额+已追讨入账金额。</w:t>
      </w:r>
    </w:p>
    <w:p w14:paraId="2212CD5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8、保险期限: </w:t>
      </w:r>
    </w:p>
    <w:p w14:paraId="347352BB">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自保险人中标之日后一年（以合同签订之日起计算），如有理赔未完成事宜，则保险期限至所有理赔工作结束时止，以保单最终注明的保险期限为准，2025年12月31日17：00时须确保事故结案率100%。</w:t>
      </w:r>
    </w:p>
    <w:p w14:paraId="76DFDA8D">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9、理赔凭据：</w:t>
      </w:r>
    </w:p>
    <w:p w14:paraId="2FC2E6B4">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(1)出险通知书、损失清单、转账授权书、反洗钱客户身份基本信息补充单(乙方提供，丙方盖章) </w:t>
      </w:r>
    </w:p>
    <w:p w14:paraId="7D815D57">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(2)权益转让书(乙方提供，丙方盖章) </w:t>
      </w:r>
    </w:p>
    <w:p w14:paraId="46DA15F6">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(3)投保人、受益人组织机构代码证或营业执照复印件及法人身份证复印件 </w:t>
      </w:r>
    </w:p>
    <w:p w14:paraId="2FAFEA9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(4)与欠款人签署的供电合同 </w:t>
      </w:r>
    </w:p>
    <w:p w14:paraId="71BECCCD">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(5)丙方签发的逾期款项催收通知书(须具体欠费单位法人代表/有关负责人签字或盖章并加盖企业公章) </w:t>
      </w:r>
    </w:p>
    <w:p w14:paraId="5B7F752F">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(6)欠费单位认同的理赔金额相关凭据(欠费单位盖公章) </w:t>
      </w:r>
    </w:p>
    <w:p w14:paraId="63CC869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(7)欠费单位的组织机构代码证或营业执照复印件及法人身份证复印件 </w:t>
      </w:r>
    </w:p>
    <w:p w14:paraId="357CC79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(8)理赔凭据将依据乙方公司管理要求进行更新，若有更新，乙方应及时告知丙方并取得丙方的同意。</w:t>
      </w:r>
    </w:p>
    <w:p w14:paraId="1B2D517D">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10、名词解释</w:t>
      </w:r>
    </w:p>
    <w:p w14:paraId="4ED435F9">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（1）投保金额：本项目投保金额默认响应人民币</w:t>
      </w:r>
      <w:r>
        <w:rPr>
          <w:rFonts w:hint="eastAsia" w:ascii="仿宋" w:hAnsi="仿宋" w:eastAsia="仿宋" w:cs="仿宋"/>
          <w:bCs/>
          <w:color w:val="auto"/>
          <w:sz w:val="26"/>
          <w:szCs w:val="26"/>
          <w:highlight w:val="none"/>
          <w:lang w:val="en-US" w:eastAsia="zh-CN"/>
        </w:rPr>
        <w:t>51.5万元、48.5万元</w:t>
      </w:r>
      <w:r>
        <w:rPr>
          <w:rFonts w:hint="eastAsia" w:ascii="仿宋" w:hAnsi="仿宋" w:eastAsia="仿宋" w:cs="仿宋"/>
          <w:bCs/>
          <w:color w:val="auto"/>
          <w:sz w:val="28"/>
          <w:szCs w:val="28"/>
          <w:highlight w:val="none"/>
          <w:lang w:val="en-US" w:eastAsia="zh-CN"/>
        </w:rPr>
        <w:t>；</w:t>
      </w:r>
    </w:p>
    <w:p w14:paraId="07419ED5">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（2）赔偿限额：保险合同期限内累计赔付最高额度；</w:t>
      </w:r>
    </w:p>
    <w:p w14:paraId="2452BD23">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（3）赔付额度：</w:t>
      </w:r>
      <w:r>
        <w:rPr>
          <w:rFonts w:hint="eastAsia" w:ascii="仿宋" w:hAnsi="仿宋" w:eastAsia="仿宋" w:cs="仿宋"/>
          <w:bCs/>
          <w:color w:val="auto"/>
          <w:sz w:val="26"/>
          <w:szCs w:val="26"/>
          <w:highlight w:val="none"/>
          <w:lang w:val="en-US" w:eastAsia="zh-CN"/>
        </w:rPr>
        <w:t>当期电费欠费本金、违约金及实施欠费停电之日止计算发行的电费、违约金总和。举例：某企业电费抄表发行日为每月1日，4月1日计算发行电费10万元，该企业未在4月20日前完成交费，4月21日开始产生违约金，5月23日实施欠费停电，期间5月1日再次发行电费11万元，5月21日11万元的电费产生违约金。那么保险公司应赔10万元及相应违约金及11万元及相应违约金。以上时间仅作相关说明，具体时间按照受益人内部工作规范要求。</w:t>
      </w:r>
      <w:r>
        <w:rPr>
          <w:rFonts w:hint="eastAsia" w:ascii="仿宋" w:hAnsi="仿宋" w:eastAsia="仿宋" w:cs="仿宋"/>
          <w:bCs/>
          <w:color w:val="auto"/>
          <w:sz w:val="28"/>
          <w:szCs w:val="28"/>
          <w:highlight w:val="none"/>
          <w:lang w:val="en-US" w:eastAsia="zh-CN"/>
        </w:rPr>
        <w:t>。</w:t>
      </w:r>
    </w:p>
    <w:p w14:paraId="43385DD1">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（4）赔付时效：发生事故后完成合同约定理赔的最短时间不高于24小时；</w:t>
      </w:r>
    </w:p>
    <w:p w14:paraId="0AC7562F">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费用的结算与支付</w:t>
      </w:r>
      <w:bookmarkEnd w:id="397"/>
    </w:p>
    <w:p w14:paraId="2DCE0318">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1、总保费：¥</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（含税）</w:t>
      </w:r>
    </w:p>
    <w:p w14:paraId="4866B019">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2、保费缴付方式：</w:t>
      </w:r>
    </w:p>
    <w:tbl>
      <w:tblPr>
        <w:tblStyle w:val="6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246"/>
        <w:gridCol w:w="5298"/>
      </w:tblGrid>
      <w:tr w14:paraId="6849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75" w:type="dxa"/>
            <w:vAlign w:val="center"/>
          </w:tcPr>
          <w:p w14:paraId="690C21EF">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分期数</w:t>
            </w:r>
          </w:p>
        </w:tc>
        <w:tc>
          <w:tcPr>
            <w:tcW w:w="2246" w:type="dxa"/>
            <w:vAlign w:val="center"/>
          </w:tcPr>
          <w:p w14:paraId="7CD1E224">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缴付金额</w:t>
            </w:r>
          </w:p>
        </w:tc>
        <w:tc>
          <w:tcPr>
            <w:tcW w:w="5298" w:type="dxa"/>
            <w:vAlign w:val="center"/>
          </w:tcPr>
          <w:p w14:paraId="2FB48183">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缴付日期</w:t>
            </w:r>
          </w:p>
        </w:tc>
      </w:tr>
      <w:tr w14:paraId="7786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75" w:type="dxa"/>
            <w:vAlign w:val="center"/>
          </w:tcPr>
          <w:p w14:paraId="3BAA418A">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第一期</w:t>
            </w:r>
          </w:p>
        </w:tc>
        <w:tc>
          <w:tcPr>
            <w:tcW w:w="2246" w:type="dxa"/>
            <w:vAlign w:val="center"/>
          </w:tcPr>
          <w:p w14:paraId="1933A674">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总保费的100%</w:t>
            </w:r>
          </w:p>
        </w:tc>
        <w:tc>
          <w:tcPr>
            <w:tcW w:w="5298" w:type="dxa"/>
            <w:vAlign w:val="center"/>
          </w:tcPr>
          <w:p w14:paraId="674A6457">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center"/>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保单生效及开具发票后的30个日历天内</w:t>
            </w:r>
          </w:p>
        </w:tc>
      </w:tr>
    </w:tbl>
    <w:p w14:paraId="0397B268">
      <w:pPr>
        <w:pStyle w:val="129"/>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司法管辖</w:t>
      </w:r>
    </w:p>
    <w:p w14:paraId="6CF607B8">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本合同接受中华人民共和国司法管辖（港、澳、台地区除外）</w:t>
      </w:r>
    </w:p>
    <w:p w14:paraId="436A739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四、争议处理</w:t>
      </w:r>
    </w:p>
    <w:p w14:paraId="47EB0516">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如发生保险纠纷，双方友好协商解决。如协商不成，可向衢州市柯城区人民法院提起诉讼。</w:t>
      </w:r>
    </w:p>
    <w:p w14:paraId="702CC21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五、甲方的义务和权利：</w:t>
      </w:r>
    </w:p>
    <w:p w14:paraId="68F9BA43">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1、按协议规定及时并足额支付保险费用； </w:t>
      </w:r>
    </w:p>
    <w:p w14:paraId="208FF8F7">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2、将诚信用电企业名单与有序用电方案制定等工作相结合，优先考虑诚信用电企业利益。</w:t>
      </w:r>
    </w:p>
    <w:p w14:paraId="790F807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3、建立“守信激励，失信惩戒”市场机制，完善“信用衢州”平台建设。</w:t>
      </w:r>
    </w:p>
    <w:p w14:paraId="46E64060">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对乙方在保险期限内提供的服务进行评估，如乙方未按承诺提供服务，存在故意或重大过失致使其无法履行合同权利，甲方有权终止合同，追回剩余保险期限内对应保费并解除本合同,并有权要求乙方赔偿甲方及丙方合理损失。</w:t>
      </w:r>
    </w:p>
    <w:p w14:paraId="0BCA64E1">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六、乙方的义务和权利：</w:t>
      </w:r>
    </w:p>
    <w:p w14:paraId="6F153998">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1、接到丙方发出的理赔申请后，在承诺时间内对欠费进行理赔； </w:t>
      </w:r>
    </w:p>
    <w:p w14:paraId="3268D766">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2、按照约定对用电企业拖欠的电费及相应滞纳金进行赔付； </w:t>
      </w:r>
    </w:p>
    <w:p w14:paraId="6D4B8269">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3、丙方给予授权或者证明后，承担欠费催收追缴责任； </w:t>
      </w:r>
    </w:p>
    <w:p w14:paraId="2A5A8A09">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4、追缴回的欠费应按照理赔额度抵充回赔偿限额内，保险期限内赔偿限额作无限循环模式，不受年度理赔次数和累计额限制。 </w:t>
      </w:r>
    </w:p>
    <w:p w14:paraId="4B00C378">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5、对企业欠费情况进行记录，形成失信用电企业名单。对于年违约超3次及以上用电企业，列入较重或严重失信企业清单，并及时报送给甲方、丙方，同时取消下一年度的保险资格，并将失信记录报送中国银保监衢州监管分局。 </w:t>
      </w:r>
    </w:p>
    <w:p w14:paraId="2612C491">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6、乙方每月向甲、丙两方及时反馈保险理赔情况。</w:t>
      </w:r>
    </w:p>
    <w:p w14:paraId="6BA6F505">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七、丙方的义务和权利：</w:t>
      </w:r>
    </w:p>
    <w:p w14:paraId="72EF49F6">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1、合同生效后，取消参与企业的电费分次结算，改为电费一月一结。 </w:t>
      </w:r>
    </w:p>
    <w:p w14:paraId="248A0DFC">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2、告知参与企业电费结算模式及电费保险相关政策，明确双方责任与义务。 </w:t>
      </w:r>
    </w:p>
    <w:p w14:paraId="3500A167">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3、及时向乙方提供企业电费拖欠风险信息，在理赔赔付后，应积极配合乙方做好追偿工作，及时答复乙方需要的相关信息以及掌握到的最新信息及时告知乙方。 </w:t>
      </w:r>
    </w:p>
    <w:p w14:paraId="6E638CAB">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4、如企业实际发生欠费，丙方发起理赔申请后，应及时向企业告知。 </w:t>
      </w:r>
    </w:p>
    <w:p w14:paraId="18E55F0E">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5、在优化用电营商环境综合责任保险项目实施后，丙方仍需执行并进一步优化完善现有的电费催缴及风险管理措施，承担欠费催收责任； </w:t>
      </w:r>
    </w:p>
    <w:p w14:paraId="2FD737C3">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6、及时将企业失信情况纳入“信用衢州”平台，对较重及严重失信电力用户按有关规定予以惩戒，同时恢复该企业电费分次结算，情节严重的可对企业采取交纳电费质押担保等措施。 </w:t>
      </w:r>
    </w:p>
    <w:p w14:paraId="0DB6B19F">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7、与乙方共同对企业欠费情况进行记录，形成失信用电企业清单。同时对于较重及严重用电失信企业在报送甲方同意后，取消下一年度的保险资格。 </w:t>
      </w:r>
    </w:p>
    <w:p w14:paraId="32D65FC7">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8、在实际逾期催收过程中，应从逾期开始时间起，提供相关催收凭据给乙方，如催收行为、催收凭证、催收时间点的记录凭证，以及在催收缴费截止时间后，企业仍未汇款的记录。</w:t>
      </w:r>
    </w:p>
    <w:p w14:paraId="0FF2C055">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9、及时反馈保险运行过程中发现的问题。</w:t>
      </w:r>
    </w:p>
    <w:p w14:paraId="4B3B08A5">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bookmarkStart w:id="398" w:name="_Toc3080"/>
      <w:r>
        <w:rPr>
          <w:rFonts w:hint="eastAsia" w:ascii="仿宋" w:hAnsi="仿宋" w:eastAsia="仿宋" w:cs="仿宋"/>
          <w:bCs/>
          <w:color w:val="auto"/>
          <w:sz w:val="28"/>
          <w:szCs w:val="28"/>
          <w:highlight w:val="none"/>
          <w:lang w:val="en-US" w:eastAsia="zh-CN"/>
        </w:rPr>
        <w:t>八、其他</w:t>
      </w:r>
      <w:bookmarkEnd w:id="398"/>
    </w:p>
    <w:p w14:paraId="68702EF1">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1、乙方不得转让合同约定的相关工作。</w:t>
      </w:r>
    </w:p>
    <w:p w14:paraId="72E92465">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2、本合同一式玖份，甲、乙、丙三方各执三份。</w:t>
      </w:r>
    </w:p>
    <w:p w14:paraId="3BB39EA3">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3、本合同经甲、乙、丙三方法定代表人或委托代理人签字并加盖公章或合同专用章后生效。</w:t>
      </w:r>
    </w:p>
    <w:p w14:paraId="6C79246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hAnsi="宋体"/>
          <w:b/>
          <w:bCs/>
          <w:color w:val="auto"/>
          <w:highlight w:val="none"/>
          <w:lang w:eastAsia="zh-CN"/>
        </w:rPr>
      </w:pPr>
      <w:r>
        <w:rPr>
          <w:rFonts w:hint="eastAsia" w:hAnsi="宋体"/>
          <w:b/>
          <w:bCs/>
          <w:color w:val="auto"/>
          <w:highlight w:val="none"/>
        </w:rPr>
        <w:t>以下无正</w:t>
      </w:r>
      <w:r>
        <w:rPr>
          <w:rFonts w:hint="eastAsia" w:hAnsi="宋体"/>
          <w:b/>
          <w:bCs/>
          <w:color w:val="auto"/>
          <w:highlight w:val="none"/>
          <w:lang w:eastAsia="zh-CN"/>
        </w:rPr>
        <w:t>文</w:t>
      </w:r>
    </w:p>
    <w:tbl>
      <w:tblPr>
        <w:tblStyle w:val="63"/>
        <w:tblW w:w="9286" w:type="dxa"/>
        <w:tblInd w:w="0" w:type="dxa"/>
        <w:tblLayout w:type="fixed"/>
        <w:tblCellMar>
          <w:top w:w="0" w:type="dxa"/>
          <w:left w:w="108" w:type="dxa"/>
          <w:bottom w:w="0" w:type="dxa"/>
          <w:right w:w="108" w:type="dxa"/>
        </w:tblCellMar>
      </w:tblPr>
      <w:tblGrid>
        <w:gridCol w:w="4643"/>
        <w:gridCol w:w="4643"/>
      </w:tblGrid>
      <w:tr w14:paraId="5428765C">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6FDA89F9">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甲方：                （盖章）    </w:t>
            </w:r>
          </w:p>
        </w:tc>
        <w:tc>
          <w:tcPr>
            <w:tcW w:w="4643" w:type="dxa"/>
            <w:tcBorders>
              <w:top w:val="nil"/>
              <w:left w:val="nil"/>
              <w:bottom w:val="nil"/>
              <w:right w:val="nil"/>
            </w:tcBorders>
            <w:vAlign w:val="center"/>
          </w:tcPr>
          <w:p w14:paraId="1D8B7EAD">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乙方：               （盖章）     </w:t>
            </w:r>
          </w:p>
        </w:tc>
      </w:tr>
      <w:tr w14:paraId="608DCCB4">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37A832A8">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法定代表人或</w:t>
            </w:r>
          </w:p>
          <w:p w14:paraId="14920FFF">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委托代理人：          （签字）    </w:t>
            </w:r>
          </w:p>
        </w:tc>
        <w:tc>
          <w:tcPr>
            <w:tcW w:w="4643" w:type="dxa"/>
            <w:tcBorders>
              <w:top w:val="nil"/>
              <w:left w:val="nil"/>
              <w:bottom w:val="nil"/>
              <w:right w:val="nil"/>
            </w:tcBorders>
            <w:vAlign w:val="center"/>
          </w:tcPr>
          <w:p w14:paraId="1529734A">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法定代表人或</w:t>
            </w:r>
          </w:p>
          <w:p w14:paraId="24E2D6DB">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委托代理人：         （签字）     </w:t>
            </w:r>
          </w:p>
        </w:tc>
      </w:tr>
      <w:tr w14:paraId="72BD58A3">
        <w:tblPrEx>
          <w:tblCellMar>
            <w:top w:w="0" w:type="dxa"/>
            <w:left w:w="108" w:type="dxa"/>
            <w:bottom w:w="0" w:type="dxa"/>
            <w:right w:w="108" w:type="dxa"/>
          </w:tblCellMar>
        </w:tblPrEx>
        <w:trPr>
          <w:trHeight w:val="385" w:hRule="atLeast"/>
        </w:trPr>
        <w:tc>
          <w:tcPr>
            <w:tcW w:w="4643" w:type="dxa"/>
            <w:tcBorders>
              <w:top w:val="nil"/>
              <w:left w:val="nil"/>
              <w:bottom w:val="nil"/>
              <w:right w:val="nil"/>
            </w:tcBorders>
            <w:vAlign w:val="center"/>
          </w:tcPr>
          <w:p w14:paraId="3C52D529">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地址：</w:t>
            </w:r>
          </w:p>
        </w:tc>
        <w:tc>
          <w:tcPr>
            <w:tcW w:w="4643" w:type="dxa"/>
            <w:tcBorders>
              <w:top w:val="nil"/>
              <w:left w:val="nil"/>
              <w:bottom w:val="nil"/>
              <w:right w:val="nil"/>
            </w:tcBorders>
            <w:vAlign w:val="center"/>
          </w:tcPr>
          <w:p w14:paraId="638B5DF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地址：</w:t>
            </w:r>
          </w:p>
        </w:tc>
      </w:tr>
      <w:tr w14:paraId="605BEE1A">
        <w:tblPrEx>
          <w:tblCellMar>
            <w:top w:w="0" w:type="dxa"/>
            <w:left w:w="108" w:type="dxa"/>
            <w:bottom w:w="0" w:type="dxa"/>
            <w:right w:w="108" w:type="dxa"/>
          </w:tblCellMar>
        </w:tblPrEx>
        <w:trPr>
          <w:trHeight w:val="460" w:hRule="atLeast"/>
        </w:trPr>
        <w:tc>
          <w:tcPr>
            <w:tcW w:w="4643" w:type="dxa"/>
            <w:tcBorders>
              <w:top w:val="nil"/>
              <w:left w:val="nil"/>
              <w:bottom w:val="nil"/>
              <w:right w:val="nil"/>
            </w:tcBorders>
            <w:vAlign w:val="center"/>
          </w:tcPr>
          <w:p w14:paraId="626EAC97">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w:t>
            </w:r>
          </w:p>
        </w:tc>
        <w:tc>
          <w:tcPr>
            <w:tcW w:w="4643" w:type="dxa"/>
            <w:tcBorders>
              <w:top w:val="nil"/>
              <w:left w:val="nil"/>
              <w:bottom w:val="nil"/>
              <w:right w:val="nil"/>
            </w:tcBorders>
            <w:vAlign w:val="center"/>
          </w:tcPr>
          <w:p w14:paraId="71A87D5A">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w:t>
            </w:r>
          </w:p>
        </w:tc>
      </w:tr>
      <w:tr w14:paraId="51679A05">
        <w:tblPrEx>
          <w:tblCellMar>
            <w:top w:w="0" w:type="dxa"/>
            <w:left w:w="108" w:type="dxa"/>
            <w:bottom w:w="0" w:type="dxa"/>
            <w:right w:w="108" w:type="dxa"/>
          </w:tblCellMar>
        </w:tblPrEx>
        <w:trPr>
          <w:trHeight w:val="310" w:hRule="atLeast"/>
        </w:trPr>
        <w:tc>
          <w:tcPr>
            <w:tcW w:w="4643" w:type="dxa"/>
            <w:tcBorders>
              <w:top w:val="nil"/>
              <w:left w:val="nil"/>
              <w:bottom w:val="nil"/>
              <w:right w:val="nil"/>
            </w:tcBorders>
            <w:vAlign w:val="center"/>
          </w:tcPr>
          <w:p w14:paraId="7A6C8804">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开户银行：</w:t>
            </w:r>
          </w:p>
        </w:tc>
        <w:tc>
          <w:tcPr>
            <w:tcW w:w="4643" w:type="dxa"/>
            <w:tcBorders>
              <w:top w:val="nil"/>
              <w:left w:val="nil"/>
              <w:bottom w:val="nil"/>
              <w:right w:val="nil"/>
            </w:tcBorders>
            <w:vAlign w:val="center"/>
          </w:tcPr>
          <w:p w14:paraId="04D31F80">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开户银行：</w:t>
            </w:r>
          </w:p>
        </w:tc>
      </w:tr>
      <w:tr w14:paraId="3379D4F7">
        <w:tblPrEx>
          <w:tblCellMar>
            <w:top w:w="0" w:type="dxa"/>
            <w:left w:w="108" w:type="dxa"/>
            <w:bottom w:w="0" w:type="dxa"/>
            <w:right w:w="108" w:type="dxa"/>
          </w:tblCellMar>
        </w:tblPrEx>
        <w:trPr>
          <w:trHeight w:val="400" w:hRule="atLeast"/>
        </w:trPr>
        <w:tc>
          <w:tcPr>
            <w:tcW w:w="4643" w:type="dxa"/>
            <w:tcBorders>
              <w:top w:val="nil"/>
              <w:left w:val="nil"/>
              <w:bottom w:val="nil"/>
              <w:right w:val="nil"/>
            </w:tcBorders>
            <w:vAlign w:val="center"/>
          </w:tcPr>
          <w:p w14:paraId="6D0B99A5">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账号：</w:t>
            </w:r>
          </w:p>
        </w:tc>
        <w:tc>
          <w:tcPr>
            <w:tcW w:w="4643" w:type="dxa"/>
            <w:tcBorders>
              <w:top w:val="nil"/>
              <w:left w:val="nil"/>
              <w:bottom w:val="nil"/>
              <w:right w:val="nil"/>
            </w:tcBorders>
            <w:vAlign w:val="center"/>
          </w:tcPr>
          <w:p w14:paraId="44B9D3C5">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账号：</w:t>
            </w:r>
          </w:p>
        </w:tc>
      </w:tr>
      <w:tr w14:paraId="4D37BA0A">
        <w:tblPrEx>
          <w:tblCellMar>
            <w:top w:w="0" w:type="dxa"/>
            <w:left w:w="108" w:type="dxa"/>
            <w:bottom w:w="0" w:type="dxa"/>
            <w:right w:w="108" w:type="dxa"/>
          </w:tblCellMar>
        </w:tblPrEx>
        <w:trPr>
          <w:trHeight w:val="395" w:hRule="atLeast"/>
        </w:trPr>
        <w:tc>
          <w:tcPr>
            <w:tcW w:w="4643" w:type="dxa"/>
            <w:tcBorders>
              <w:top w:val="nil"/>
              <w:left w:val="nil"/>
              <w:bottom w:val="nil"/>
              <w:right w:val="nil"/>
            </w:tcBorders>
            <w:vAlign w:val="center"/>
          </w:tcPr>
          <w:p w14:paraId="4D3346D1">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签订日期：  年  月  日</w:t>
            </w:r>
          </w:p>
        </w:tc>
        <w:tc>
          <w:tcPr>
            <w:tcW w:w="4643" w:type="dxa"/>
            <w:tcBorders>
              <w:top w:val="nil"/>
              <w:left w:val="nil"/>
              <w:bottom w:val="nil"/>
              <w:right w:val="nil"/>
            </w:tcBorders>
            <w:vAlign w:val="center"/>
          </w:tcPr>
          <w:p w14:paraId="5C968213">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签订日期：  年  月  日</w:t>
            </w:r>
          </w:p>
        </w:tc>
      </w:tr>
      <w:tr w14:paraId="4D0CC15A">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61490A3D">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p>
          <w:p w14:paraId="23A45578">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p>
          <w:p w14:paraId="07D4F06F">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丙方：                （盖章）    </w:t>
            </w:r>
          </w:p>
        </w:tc>
        <w:tc>
          <w:tcPr>
            <w:tcW w:w="4643" w:type="dxa"/>
            <w:tcBorders>
              <w:top w:val="nil"/>
              <w:left w:val="nil"/>
              <w:bottom w:val="nil"/>
              <w:right w:val="nil"/>
            </w:tcBorders>
            <w:vAlign w:val="center"/>
          </w:tcPr>
          <w:p w14:paraId="698F37E6">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p>
        </w:tc>
      </w:tr>
      <w:tr w14:paraId="215A53A4">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12175C69">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法定代表人或</w:t>
            </w:r>
          </w:p>
          <w:p w14:paraId="5AE8D6E0">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委托代理人：          （签字）    </w:t>
            </w:r>
          </w:p>
        </w:tc>
        <w:tc>
          <w:tcPr>
            <w:tcW w:w="4643" w:type="dxa"/>
            <w:tcBorders>
              <w:top w:val="nil"/>
              <w:left w:val="nil"/>
              <w:bottom w:val="nil"/>
              <w:right w:val="nil"/>
            </w:tcBorders>
            <w:vAlign w:val="center"/>
          </w:tcPr>
          <w:p w14:paraId="45089463">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p>
        </w:tc>
      </w:tr>
      <w:tr w14:paraId="54E6129C">
        <w:tblPrEx>
          <w:tblCellMar>
            <w:top w:w="0" w:type="dxa"/>
            <w:left w:w="108" w:type="dxa"/>
            <w:bottom w:w="0" w:type="dxa"/>
            <w:right w:w="108" w:type="dxa"/>
          </w:tblCellMar>
        </w:tblPrEx>
        <w:trPr>
          <w:trHeight w:val="385" w:hRule="atLeast"/>
        </w:trPr>
        <w:tc>
          <w:tcPr>
            <w:tcW w:w="4643" w:type="dxa"/>
            <w:tcBorders>
              <w:top w:val="nil"/>
              <w:left w:val="nil"/>
              <w:bottom w:val="nil"/>
              <w:right w:val="nil"/>
            </w:tcBorders>
            <w:vAlign w:val="center"/>
          </w:tcPr>
          <w:p w14:paraId="1583ECB9">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地址：</w:t>
            </w:r>
          </w:p>
        </w:tc>
        <w:tc>
          <w:tcPr>
            <w:tcW w:w="4643" w:type="dxa"/>
            <w:tcBorders>
              <w:top w:val="nil"/>
              <w:left w:val="nil"/>
              <w:bottom w:val="nil"/>
              <w:right w:val="nil"/>
            </w:tcBorders>
            <w:vAlign w:val="center"/>
          </w:tcPr>
          <w:p w14:paraId="2D83EF93">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p>
        </w:tc>
      </w:tr>
      <w:tr w14:paraId="5D35D23A">
        <w:tblPrEx>
          <w:tblCellMar>
            <w:top w:w="0" w:type="dxa"/>
            <w:left w:w="108" w:type="dxa"/>
            <w:bottom w:w="0" w:type="dxa"/>
            <w:right w:w="108" w:type="dxa"/>
          </w:tblCellMar>
        </w:tblPrEx>
        <w:trPr>
          <w:trHeight w:val="460" w:hRule="atLeast"/>
        </w:trPr>
        <w:tc>
          <w:tcPr>
            <w:tcW w:w="4643" w:type="dxa"/>
            <w:tcBorders>
              <w:top w:val="nil"/>
              <w:left w:val="nil"/>
              <w:bottom w:val="nil"/>
              <w:right w:val="nil"/>
            </w:tcBorders>
            <w:vAlign w:val="center"/>
          </w:tcPr>
          <w:p w14:paraId="7C654701">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w:t>
            </w:r>
          </w:p>
        </w:tc>
        <w:tc>
          <w:tcPr>
            <w:tcW w:w="4643" w:type="dxa"/>
            <w:tcBorders>
              <w:top w:val="nil"/>
              <w:left w:val="nil"/>
              <w:bottom w:val="nil"/>
              <w:right w:val="nil"/>
            </w:tcBorders>
            <w:vAlign w:val="center"/>
          </w:tcPr>
          <w:p w14:paraId="36BBA61D">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p>
        </w:tc>
      </w:tr>
      <w:tr w14:paraId="39C94A56">
        <w:tblPrEx>
          <w:tblCellMar>
            <w:top w:w="0" w:type="dxa"/>
            <w:left w:w="108" w:type="dxa"/>
            <w:bottom w:w="0" w:type="dxa"/>
            <w:right w:w="108" w:type="dxa"/>
          </w:tblCellMar>
        </w:tblPrEx>
        <w:trPr>
          <w:trHeight w:val="310" w:hRule="atLeast"/>
        </w:trPr>
        <w:tc>
          <w:tcPr>
            <w:tcW w:w="4643" w:type="dxa"/>
            <w:tcBorders>
              <w:top w:val="nil"/>
              <w:left w:val="nil"/>
              <w:bottom w:val="nil"/>
              <w:right w:val="nil"/>
            </w:tcBorders>
            <w:vAlign w:val="center"/>
          </w:tcPr>
          <w:p w14:paraId="08E9D3B4">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开户银行：</w:t>
            </w:r>
          </w:p>
        </w:tc>
        <w:tc>
          <w:tcPr>
            <w:tcW w:w="4643" w:type="dxa"/>
            <w:tcBorders>
              <w:top w:val="nil"/>
              <w:left w:val="nil"/>
              <w:bottom w:val="nil"/>
              <w:right w:val="nil"/>
            </w:tcBorders>
            <w:vAlign w:val="center"/>
          </w:tcPr>
          <w:p w14:paraId="40E7BB52">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p>
        </w:tc>
      </w:tr>
      <w:tr w14:paraId="7775E72C">
        <w:tblPrEx>
          <w:tblCellMar>
            <w:top w:w="0" w:type="dxa"/>
            <w:left w:w="108" w:type="dxa"/>
            <w:bottom w:w="0" w:type="dxa"/>
            <w:right w:w="108" w:type="dxa"/>
          </w:tblCellMar>
        </w:tblPrEx>
        <w:trPr>
          <w:trHeight w:val="400" w:hRule="atLeast"/>
        </w:trPr>
        <w:tc>
          <w:tcPr>
            <w:tcW w:w="4643" w:type="dxa"/>
            <w:tcBorders>
              <w:top w:val="nil"/>
              <w:left w:val="nil"/>
              <w:bottom w:val="nil"/>
              <w:right w:val="nil"/>
            </w:tcBorders>
            <w:vAlign w:val="center"/>
          </w:tcPr>
          <w:p w14:paraId="2AA15270">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账号：</w:t>
            </w:r>
          </w:p>
        </w:tc>
        <w:tc>
          <w:tcPr>
            <w:tcW w:w="4643" w:type="dxa"/>
            <w:tcBorders>
              <w:top w:val="nil"/>
              <w:left w:val="nil"/>
              <w:bottom w:val="nil"/>
              <w:right w:val="nil"/>
            </w:tcBorders>
            <w:vAlign w:val="center"/>
          </w:tcPr>
          <w:p w14:paraId="5B810BEA">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p>
        </w:tc>
      </w:tr>
      <w:tr w14:paraId="056E468B">
        <w:tblPrEx>
          <w:tblCellMar>
            <w:top w:w="0" w:type="dxa"/>
            <w:left w:w="108" w:type="dxa"/>
            <w:bottom w:w="0" w:type="dxa"/>
            <w:right w:w="108" w:type="dxa"/>
          </w:tblCellMar>
        </w:tblPrEx>
        <w:trPr>
          <w:trHeight w:val="395" w:hRule="atLeast"/>
        </w:trPr>
        <w:tc>
          <w:tcPr>
            <w:tcW w:w="4643" w:type="dxa"/>
            <w:tcBorders>
              <w:top w:val="nil"/>
              <w:left w:val="nil"/>
              <w:bottom w:val="nil"/>
              <w:right w:val="nil"/>
            </w:tcBorders>
            <w:vAlign w:val="center"/>
          </w:tcPr>
          <w:p w14:paraId="5616386B">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签订日期：  年  月  日</w:t>
            </w:r>
          </w:p>
        </w:tc>
        <w:tc>
          <w:tcPr>
            <w:tcW w:w="4643" w:type="dxa"/>
            <w:tcBorders>
              <w:top w:val="nil"/>
              <w:left w:val="nil"/>
              <w:bottom w:val="nil"/>
              <w:right w:val="nil"/>
            </w:tcBorders>
            <w:vAlign w:val="center"/>
          </w:tcPr>
          <w:p w14:paraId="4E235A8D">
            <w:pPr>
              <w:pStyle w:val="129"/>
              <w:keepNext w:val="0"/>
              <w:keepLines w:val="0"/>
              <w:pageBreakBefore w:val="0"/>
              <w:widowControl w:val="0"/>
              <w:kinsoku/>
              <w:wordWrap/>
              <w:overflowPunct/>
              <w:topLinePunct w:val="0"/>
              <w:autoSpaceDE/>
              <w:autoSpaceDN/>
              <w:bidi w:val="0"/>
              <w:adjustRightInd w:val="0"/>
              <w:snapToGrid w:val="0"/>
              <w:spacing w:before="0" w:line="560" w:lineRule="exact"/>
              <w:ind w:firstLine="548" w:firstLineChars="196"/>
              <w:textAlignment w:val="auto"/>
              <w:rPr>
                <w:rFonts w:hint="eastAsia" w:ascii="仿宋" w:hAnsi="仿宋" w:eastAsia="仿宋" w:cs="仿宋"/>
                <w:bCs/>
                <w:color w:val="auto"/>
                <w:sz w:val="28"/>
                <w:szCs w:val="28"/>
                <w:highlight w:val="none"/>
                <w:lang w:val="en-US" w:eastAsia="zh-CN"/>
              </w:rPr>
            </w:pPr>
          </w:p>
        </w:tc>
      </w:tr>
    </w:tbl>
    <w:p w14:paraId="3A77BC84">
      <w:pPr>
        <w:keepNext w:val="0"/>
        <w:keepLines w:val="0"/>
        <w:pageBreakBefore w:val="0"/>
        <w:widowControl w:val="0"/>
        <w:kinsoku/>
        <w:wordWrap/>
        <w:overflowPunct/>
        <w:topLinePunct w:val="0"/>
        <w:bidi w:val="0"/>
        <w:adjustRightInd w:val="0"/>
        <w:spacing w:line="560" w:lineRule="exact"/>
        <w:jc w:val="both"/>
        <w:textAlignment w:val="auto"/>
        <w:outlineLvl w:val="0"/>
        <w:rPr>
          <w:rFonts w:hint="eastAsia" w:ascii="仿宋" w:hAnsi="仿宋" w:eastAsia="仿宋" w:cs="仿宋_GB2312"/>
          <w:b/>
          <w:color w:val="auto"/>
          <w:sz w:val="36"/>
          <w:szCs w:val="20"/>
          <w:highlight w:val="none"/>
        </w:rPr>
      </w:pPr>
    </w:p>
    <w:p w14:paraId="3405190C">
      <w:pPr>
        <w:pStyle w:val="2"/>
        <w:keepNext w:val="0"/>
        <w:keepLines w:val="0"/>
        <w:pageBreakBefore w:val="0"/>
        <w:widowControl w:val="0"/>
        <w:kinsoku/>
        <w:wordWrap/>
        <w:overflowPunct/>
        <w:topLinePunct w:val="0"/>
        <w:bidi w:val="0"/>
        <w:adjustRightInd w:val="0"/>
        <w:spacing w:line="560" w:lineRule="exact"/>
        <w:textAlignment w:val="auto"/>
        <w:rPr>
          <w:rFonts w:hint="eastAsia" w:ascii="仿宋" w:hAnsi="仿宋" w:eastAsia="仿宋" w:cs="仿宋_GB2312"/>
          <w:b/>
          <w:color w:val="auto"/>
          <w:sz w:val="36"/>
          <w:szCs w:val="20"/>
          <w:highlight w:val="none"/>
        </w:rPr>
      </w:pPr>
    </w:p>
    <w:p w14:paraId="560A19CE">
      <w:pPr>
        <w:pStyle w:val="3"/>
        <w:rPr>
          <w:rFonts w:hint="eastAsia" w:ascii="仿宋" w:hAnsi="仿宋" w:eastAsia="仿宋" w:cs="仿宋_GB2312"/>
          <w:b/>
          <w:color w:val="auto"/>
          <w:sz w:val="36"/>
          <w:szCs w:val="20"/>
          <w:highlight w:val="none"/>
        </w:rPr>
      </w:pPr>
    </w:p>
    <w:p w14:paraId="2D1D28AA">
      <w:pPr>
        <w:rPr>
          <w:rFonts w:hint="eastAsia" w:ascii="仿宋" w:hAnsi="仿宋" w:eastAsia="仿宋" w:cs="仿宋_GB2312"/>
          <w:b/>
          <w:color w:val="auto"/>
          <w:sz w:val="36"/>
          <w:szCs w:val="20"/>
          <w:highlight w:val="none"/>
        </w:rPr>
      </w:pPr>
    </w:p>
    <w:p w14:paraId="207A3118">
      <w:pPr>
        <w:pStyle w:val="2"/>
        <w:rPr>
          <w:rFonts w:hint="eastAsia" w:ascii="仿宋" w:hAnsi="仿宋" w:eastAsia="仿宋" w:cs="仿宋_GB2312"/>
          <w:b/>
          <w:color w:val="auto"/>
          <w:sz w:val="36"/>
          <w:szCs w:val="20"/>
          <w:highlight w:val="none"/>
        </w:rPr>
      </w:pPr>
    </w:p>
    <w:p w14:paraId="429E01E0">
      <w:pPr>
        <w:pStyle w:val="3"/>
        <w:rPr>
          <w:rFonts w:hint="eastAsia" w:ascii="仿宋" w:hAnsi="仿宋" w:eastAsia="仿宋" w:cs="仿宋_GB2312"/>
          <w:b/>
          <w:color w:val="auto"/>
          <w:sz w:val="36"/>
          <w:szCs w:val="20"/>
          <w:highlight w:val="none"/>
        </w:rPr>
      </w:pPr>
    </w:p>
    <w:p w14:paraId="4F9B5205">
      <w:pPr>
        <w:rPr>
          <w:rFonts w:hint="eastAsia" w:ascii="仿宋" w:hAnsi="仿宋" w:eastAsia="仿宋" w:cs="仿宋_GB2312"/>
          <w:b/>
          <w:color w:val="auto"/>
          <w:sz w:val="36"/>
          <w:szCs w:val="20"/>
          <w:highlight w:val="none"/>
        </w:rPr>
      </w:pPr>
    </w:p>
    <w:p w14:paraId="66E3C71F">
      <w:pPr>
        <w:pStyle w:val="2"/>
        <w:rPr>
          <w:rFonts w:hint="eastAsia" w:ascii="仿宋" w:hAnsi="仿宋" w:eastAsia="仿宋" w:cs="仿宋_GB2312"/>
          <w:b/>
          <w:color w:val="auto"/>
          <w:sz w:val="36"/>
          <w:szCs w:val="20"/>
          <w:highlight w:val="none"/>
        </w:rPr>
      </w:pPr>
    </w:p>
    <w:p w14:paraId="11A14B4F">
      <w:pPr>
        <w:pStyle w:val="3"/>
        <w:rPr>
          <w:rFonts w:hint="eastAsia" w:ascii="仿宋" w:hAnsi="仿宋" w:eastAsia="仿宋" w:cs="仿宋_GB2312"/>
          <w:b/>
          <w:color w:val="auto"/>
          <w:sz w:val="36"/>
          <w:szCs w:val="20"/>
          <w:highlight w:val="none"/>
        </w:rPr>
      </w:pPr>
    </w:p>
    <w:p w14:paraId="42E89533">
      <w:pPr>
        <w:rPr>
          <w:rFonts w:hint="eastAsia" w:ascii="仿宋" w:hAnsi="仿宋" w:eastAsia="仿宋" w:cs="仿宋_GB2312"/>
          <w:b/>
          <w:color w:val="auto"/>
          <w:sz w:val="36"/>
          <w:szCs w:val="20"/>
          <w:highlight w:val="none"/>
        </w:rPr>
      </w:pPr>
    </w:p>
    <w:p w14:paraId="157E9C20">
      <w:pPr>
        <w:pStyle w:val="2"/>
        <w:rPr>
          <w:rFonts w:hint="eastAsia" w:ascii="仿宋" w:hAnsi="仿宋" w:eastAsia="仿宋" w:cs="仿宋_GB2312"/>
          <w:b/>
          <w:color w:val="auto"/>
          <w:sz w:val="36"/>
          <w:szCs w:val="20"/>
          <w:highlight w:val="none"/>
        </w:rPr>
      </w:pPr>
    </w:p>
    <w:p w14:paraId="74F74250">
      <w:pPr>
        <w:pStyle w:val="3"/>
        <w:rPr>
          <w:rFonts w:hint="eastAsia" w:ascii="仿宋" w:hAnsi="仿宋" w:eastAsia="仿宋" w:cs="仿宋_GB2312"/>
          <w:b/>
          <w:color w:val="auto"/>
          <w:sz w:val="36"/>
          <w:szCs w:val="20"/>
          <w:highlight w:val="none"/>
        </w:rPr>
      </w:pPr>
    </w:p>
    <w:p w14:paraId="2793D05D">
      <w:pPr>
        <w:rPr>
          <w:rFonts w:hint="eastAsia" w:ascii="仿宋" w:hAnsi="仿宋" w:eastAsia="仿宋" w:cs="仿宋_GB2312"/>
          <w:b/>
          <w:color w:val="auto"/>
          <w:sz w:val="36"/>
          <w:szCs w:val="20"/>
          <w:highlight w:val="none"/>
        </w:rPr>
      </w:pPr>
    </w:p>
    <w:p w14:paraId="6C816532">
      <w:pPr>
        <w:pStyle w:val="2"/>
        <w:rPr>
          <w:rFonts w:hint="eastAsia" w:ascii="仿宋" w:hAnsi="仿宋" w:eastAsia="仿宋" w:cs="仿宋_GB2312"/>
          <w:b/>
          <w:color w:val="auto"/>
          <w:sz w:val="36"/>
          <w:szCs w:val="20"/>
          <w:highlight w:val="none"/>
        </w:rPr>
      </w:pPr>
    </w:p>
    <w:p w14:paraId="4C7F7FD4">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28"/>
      <w:r>
        <w:rPr>
          <w:rFonts w:ascii="仿宋" w:hAnsi="仿宋" w:eastAsia="仿宋" w:cs="仿宋_GB2312"/>
          <w:b/>
          <w:color w:val="auto"/>
          <w:sz w:val="36"/>
          <w:szCs w:val="20"/>
          <w:highlight w:val="none"/>
        </w:rPr>
        <w:t xml:space="preserve"> </w:t>
      </w:r>
      <w:bookmarkEnd w:id="29"/>
      <w:r>
        <w:rPr>
          <w:rFonts w:hint="eastAsia" w:ascii="仿宋" w:hAnsi="仿宋" w:eastAsia="仿宋" w:cs="仿宋_GB2312"/>
          <w:b/>
          <w:color w:val="auto"/>
          <w:sz w:val="36"/>
          <w:szCs w:val="20"/>
          <w:highlight w:val="none"/>
        </w:rPr>
        <w:t>应提交的有关格式范例</w:t>
      </w:r>
    </w:p>
    <w:p w14:paraId="078469F3">
      <w:pPr>
        <w:snapToGrid w:val="0"/>
        <w:spacing w:line="560" w:lineRule="exact"/>
        <w:rPr>
          <w:rFonts w:ascii="仿宋" w:hAnsi="仿宋" w:eastAsia="仿宋" w:cs="仿宋"/>
          <w:color w:val="auto"/>
          <w:kern w:val="56"/>
          <w:sz w:val="28"/>
          <w:szCs w:val="28"/>
          <w:highlight w:val="none"/>
          <w:shd w:val="clear" w:color="auto" w:fill="FFFFFF"/>
        </w:rPr>
      </w:pPr>
      <w:bookmarkStart w:id="399" w:name="_Toc208051217"/>
      <w:bookmarkStart w:id="400" w:name="_Toc191897612"/>
      <w:bookmarkStart w:id="401" w:name="_Toc303030579"/>
      <w:bookmarkStart w:id="402" w:name="_Toc208484563"/>
      <w:bookmarkStart w:id="403" w:name="_Toc179801516"/>
      <w:bookmarkStart w:id="404" w:name="_Toc335138377"/>
      <w:bookmarkStart w:id="405" w:name="_Toc227658253"/>
      <w:bookmarkStart w:id="406" w:name="_Toc179623474"/>
      <w:bookmarkStart w:id="407" w:name="_Toc204944490"/>
      <w:r>
        <w:rPr>
          <w:rFonts w:ascii="仿宋" w:hAnsi="仿宋" w:eastAsia="仿宋" w:cs="仿宋"/>
          <w:color w:val="auto"/>
          <w:kern w:val="56"/>
          <w:sz w:val="28"/>
          <w:szCs w:val="28"/>
          <w:highlight w:val="none"/>
          <w:shd w:val="clear" w:color="auto" w:fill="FFFFFF"/>
        </w:rPr>
        <w:t>第</w:t>
      </w:r>
      <w:r>
        <w:rPr>
          <w:rFonts w:hint="eastAsia" w:ascii="仿宋" w:hAnsi="仿宋" w:eastAsia="仿宋" w:cs="仿宋"/>
          <w:color w:val="auto"/>
          <w:kern w:val="56"/>
          <w:sz w:val="28"/>
          <w:szCs w:val="28"/>
          <w:highlight w:val="none"/>
          <w:shd w:val="clear" w:color="auto" w:fill="FFFFFF"/>
        </w:rPr>
        <w:t>一</w:t>
      </w:r>
      <w:r>
        <w:rPr>
          <w:rFonts w:ascii="仿宋" w:hAnsi="仿宋" w:eastAsia="仿宋" w:cs="仿宋"/>
          <w:color w:val="auto"/>
          <w:kern w:val="56"/>
          <w:sz w:val="28"/>
          <w:szCs w:val="28"/>
          <w:highlight w:val="none"/>
          <w:shd w:val="clear" w:color="auto" w:fill="FFFFFF"/>
        </w:rPr>
        <w:t xml:space="preserve">部分 </w:t>
      </w:r>
      <w:r>
        <w:rPr>
          <w:rFonts w:hint="eastAsia" w:ascii="仿宋" w:hAnsi="仿宋" w:eastAsia="仿宋" w:cs="仿宋"/>
          <w:color w:val="auto"/>
          <w:kern w:val="56"/>
          <w:sz w:val="28"/>
          <w:szCs w:val="28"/>
          <w:highlight w:val="none"/>
          <w:shd w:val="clear" w:color="auto" w:fill="FFFFFF"/>
        </w:rPr>
        <w:t>资格审查</w:t>
      </w:r>
      <w:r>
        <w:rPr>
          <w:rFonts w:ascii="仿宋" w:hAnsi="仿宋" w:eastAsia="仿宋" w:cs="仿宋"/>
          <w:color w:val="auto"/>
          <w:kern w:val="56"/>
          <w:sz w:val="28"/>
          <w:szCs w:val="28"/>
          <w:highlight w:val="none"/>
          <w:shd w:val="clear" w:color="auto" w:fill="FFFFFF"/>
        </w:rPr>
        <w:t>文件</w:t>
      </w:r>
    </w:p>
    <w:p w14:paraId="24DD1AB3">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封面</w:t>
      </w:r>
    </w:p>
    <w:p w14:paraId="0E118FD1">
      <w:pPr>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2024-2025年度衢州市级优化用电营商环境综合保险服务项目（</w:t>
      </w:r>
      <w:r>
        <w:rPr>
          <w:rFonts w:hint="eastAsia" w:ascii="仿宋" w:hAnsi="仿宋" w:eastAsia="仿宋" w:cs="仿宋"/>
          <w:b/>
          <w:color w:val="auto"/>
          <w:sz w:val="48"/>
          <w:szCs w:val="48"/>
          <w:highlight w:val="none"/>
          <w:lang w:val="en-US" w:eastAsia="zh-CN"/>
        </w:rPr>
        <w:t>标项：</w:t>
      </w:r>
      <w:r>
        <w:rPr>
          <w:rFonts w:hint="eastAsia" w:ascii="仿宋" w:hAnsi="仿宋" w:eastAsia="仿宋" w:cs="仿宋"/>
          <w:b/>
          <w:color w:val="auto"/>
          <w:sz w:val="48"/>
          <w:szCs w:val="48"/>
          <w:highlight w:val="none"/>
          <w:u w:val="single"/>
          <w:lang w:val="en-US" w:eastAsia="zh-CN"/>
        </w:rPr>
        <w:t xml:space="preserve">    </w:t>
      </w:r>
      <w:r>
        <w:rPr>
          <w:rFonts w:hint="eastAsia" w:ascii="仿宋" w:hAnsi="仿宋" w:eastAsia="仿宋" w:cs="仿宋"/>
          <w:b/>
          <w:color w:val="auto"/>
          <w:sz w:val="48"/>
          <w:szCs w:val="48"/>
          <w:highlight w:val="none"/>
          <w:lang w:eastAsia="zh-CN"/>
        </w:rPr>
        <w:t>）</w:t>
      </w:r>
    </w:p>
    <w:p w14:paraId="016A586E">
      <w:pPr>
        <w:pStyle w:val="2"/>
        <w:rPr>
          <w:rFonts w:hint="eastAsia"/>
          <w:color w:val="auto"/>
          <w:highlight w:val="none"/>
        </w:rPr>
      </w:pPr>
    </w:p>
    <w:p w14:paraId="3841C5DE">
      <w:pPr>
        <w:spacing w:line="360" w:lineRule="auto"/>
        <w:jc w:val="center"/>
        <w:rPr>
          <w:rFonts w:hint="eastAsia" w:ascii="仿宋" w:hAnsi="仿宋" w:eastAsia="仿宋" w:cs="仿宋"/>
          <w:b/>
          <w:color w:val="auto"/>
          <w:sz w:val="48"/>
          <w:szCs w:val="48"/>
          <w:highlight w:val="none"/>
        </w:rPr>
      </w:pPr>
    </w:p>
    <w:p w14:paraId="51BEA446">
      <w:pPr>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响应文件</w:t>
      </w:r>
    </w:p>
    <w:p w14:paraId="71692BC2">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（资格审查</w:t>
      </w:r>
      <w:r>
        <w:rPr>
          <w:rFonts w:hint="eastAsia" w:ascii="仿宋" w:hAnsi="仿宋" w:eastAsia="仿宋" w:cs="仿宋"/>
          <w:color w:val="auto"/>
          <w:kern w:val="0"/>
          <w:sz w:val="32"/>
          <w:szCs w:val="32"/>
          <w:highlight w:val="none"/>
          <w:lang w:eastAsia="zh-CN"/>
        </w:rPr>
        <w:t>文件</w:t>
      </w:r>
      <w:r>
        <w:rPr>
          <w:rFonts w:hint="eastAsia" w:ascii="仿宋" w:hAnsi="仿宋" w:eastAsia="仿宋" w:cs="仿宋"/>
          <w:color w:val="auto"/>
          <w:kern w:val="0"/>
          <w:sz w:val="32"/>
          <w:szCs w:val="32"/>
          <w:highlight w:val="none"/>
        </w:rPr>
        <w:t>）</w:t>
      </w:r>
    </w:p>
    <w:p w14:paraId="3CF09FFC">
      <w:pPr>
        <w:rPr>
          <w:rFonts w:ascii="仿宋" w:hAnsi="仿宋" w:eastAsia="仿宋" w:cs="仿宋"/>
          <w:color w:val="auto"/>
          <w:kern w:val="0"/>
          <w:sz w:val="32"/>
          <w:szCs w:val="32"/>
          <w:highlight w:val="none"/>
        </w:rPr>
      </w:pPr>
    </w:p>
    <w:p w14:paraId="08706123">
      <w:pPr>
        <w:pStyle w:val="39"/>
        <w:rPr>
          <w:color w:val="auto"/>
          <w:highlight w:val="none"/>
        </w:rPr>
      </w:pPr>
    </w:p>
    <w:p w14:paraId="0378B521">
      <w:pPr>
        <w:jc w:val="center"/>
        <w:rPr>
          <w:rFonts w:ascii="仿宋" w:hAnsi="仿宋" w:eastAsia="仿宋" w:cs="仿宋"/>
          <w:color w:val="auto"/>
          <w:kern w:val="0"/>
          <w:sz w:val="32"/>
          <w:szCs w:val="32"/>
          <w:highlight w:val="none"/>
        </w:rPr>
      </w:pPr>
    </w:p>
    <w:p w14:paraId="18FBB6D3">
      <w:pPr>
        <w:snapToGrid w:val="0"/>
        <w:spacing w:line="480" w:lineRule="auto"/>
        <w:rPr>
          <w:rFonts w:ascii="仿宋" w:hAnsi="仿宋" w:eastAsia="仿宋" w:cs="仿宋"/>
          <w:color w:val="auto"/>
          <w:kern w:val="0"/>
          <w:sz w:val="32"/>
          <w:szCs w:val="32"/>
          <w:highlight w:val="none"/>
        </w:rPr>
      </w:pPr>
    </w:p>
    <w:p w14:paraId="4735CA22">
      <w:pPr>
        <w:pStyle w:val="39"/>
        <w:rPr>
          <w:color w:val="auto"/>
          <w:highlight w:val="none"/>
        </w:rPr>
      </w:pPr>
    </w:p>
    <w:p w14:paraId="73190CE2">
      <w:pPr>
        <w:snapToGrid w:val="0"/>
        <w:spacing w:line="480" w:lineRule="auto"/>
        <w:jc w:val="center"/>
        <w:rPr>
          <w:rFonts w:ascii="仿宋" w:hAnsi="仿宋" w:eastAsia="仿宋" w:cs="仿宋"/>
          <w:color w:val="auto"/>
          <w:kern w:val="0"/>
          <w:sz w:val="32"/>
          <w:szCs w:val="32"/>
          <w:highlight w:val="none"/>
        </w:rPr>
      </w:pPr>
    </w:p>
    <w:p w14:paraId="078B7A1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供应商</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lang w:val="en-US" w:eastAsia="zh-CN"/>
        </w:rPr>
        <w:t xml:space="preserve">                </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（盖 章）</w:t>
      </w:r>
    </w:p>
    <w:p w14:paraId="2E532F79">
      <w:pPr>
        <w:pStyle w:val="39"/>
        <w:rPr>
          <w:color w:val="auto"/>
          <w:highlight w:val="none"/>
        </w:rPr>
      </w:pPr>
    </w:p>
    <w:p w14:paraId="2F92FE5D">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lang w:val="en-US" w:eastAsia="zh-CN"/>
        </w:rPr>
        <w:t xml:space="preserve">             </w:t>
      </w:r>
      <w:r>
        <w:rPr>
          <w:rFonts w:hint="eastAsia" w:ascii="仿宋" w:hAnsi="仿宋" w:eastAsia="仿宋" w:cs="仿宋"/>
          <w:color w:val="auto"/>
          <w:kern w:val="0"/>
          <w:sz w:val="32"/>
          <w:szCs w:val="32"/>
          <w:highlight w:val="none"/>
        </w:rPr>
        <w:t>（签字</w:t>
      </w:r>
      <w:r>
        <w:rPr>
          <w:rFonts w:hint="eastAsia" w:ascii="仿宋" w:hAnsi="仿宋" w:eastAsia="仿宋" w:cs="仿宋"/>
          <w:color w:val="auto"/>
          <w:kern w:val="0"/>
          <w:sz w:val="32"/>
          <w:szCs w:val="32"/>
          <w:highlight w:val="none"/>
          <w:lang w:val="en-US" w:eastAsia="zh-CN"/>
        </w:rPr>
        <w:t>或盖章</w:t>
      </w:r>
      <w:r>
        <w:rPr>
          <w:rFonts w:hint="eastAsia" w:ascii="仿宋" w:hAnsi="仿宋" w:eastAsia="仿宋" w:cs="仿宋"/>
          <w:color w:val="auto"/>
          <w:kern w:val="0"/>
          <w:sz w:val="32"/>
          <w:szCs w:val="32"/>
          <w:highlight w:val="none"/>
        </w:rPr>
        <w:t>）</w:t>
      </w:r>
    </w:p>
    <w:p w14:paraId="1609477C">
      <w:pPr>
        <w:snapToGrid w:val="0"/>
        <w:spacing w:before="480" w:line="36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bookmarkEnd w:id="399"/>
    <w:bookmarkEnd w:id="400"/>
    <w:bookmarkEnd w:id="401"/>
    <w:bookmarkEnd w:id="402"/>
    <w:bookmarkEnd w:id="403"/>
    <w:bookmarkEnd w:id="404"/>
    <w:bookmarkEnd w:id="405"/>
    <w:bookmarkEnd w:id="406"/>
    <w:bookmarkEnd w:id="407"/>
    <w:p w14:paraId="1590D593">
      <w:pPr>
        <w:snapToGrid w:val="0"/>
        <w:spacing w:line="560" w:lineRule="exact"/>
        <w:jc w:val="center"/>
        <w:rPr>
          <w:rFonts w:ascii="仿宋" w:hAnsi="仿宋" w:eastAsia="仿宋" w:cs="仿宋"/>
          <w:color w:val="auto"/>
          <w:kern w:val="56"/>
          <w:sz w:val="28"/>
          <w:szCs w:val="28"/>
          <w:highlight w:val="none"/>
          <w:shd w:val="clear" w:color="auto" w:fill="FFFFFF"/>
        </w:rPr>
      </w:pPr>
      <w:bookmarkStart w:id="408" w:name="_Toc437953149"/>
      <w:r>
        <w:rPr>
          <w:rFonts w:hint="eastAsia" w:ascii="仿宋" w:hAnsi="仿宋" w:eastAsia="仿宋" w:cs="仿宋"/>
          <w:color w:val="auto"/>
          <w:kern w:val="56"/>
          <w:sz w:val="28"/>
          <w:szCs w:val="28"/>
          <w:highlight w:val="none"/>
          <w:shd w:val="clear" w:color="auto" w:fill="FFFFFF"/>
        </w:rPr>
        <w:t>投标资格承诺书</w:t>
      </w:r>
    </w:p>
    <w:p w14:paraId="24797A22">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p>
    <w:p w14:paraId="3E652DA3">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衢州市发展和改革委员会</w:t>
      </w:r>
      <w:r>
        <w:rPr>
          <w:rFonts w:ascii="仿宋" w:hAnsi="仿宋" w:eastAsia="仿宋" w:cs="仿宋"/>
          <w:color w:val="auto"/>
          <w:kern w:val="56"/>
          <w:sz w:val="28"/>
          <w:szCs w:val="28"/>
          <w:highlight w:val="none"/>
          <w:shd w:val="clear" w:color="auto" w:fill="FFFFFF"/>
        </w:rPr>
        <w:t>：</w:t>
      </w:r>
    </w:p>
    <w:p w14:paraId="61AA32AC">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衢州艾凌项目管理咨询有限公司</w:t>
      </w:r>
      <w:r>
        <w:rPr>
          <w:rFonts w:ascii="仿宋" w:hAnsi="仿宋" w:eastAsia="仿宋" w:cs="仿宋"/>
          <w:color w:val="auto"/>
          <w:kern w:val="56"/>
          <w:sz w:val="28"/>
          <w:szCs w:val="28"/>
          <w:highlight w:val="none"/>
          <w:shd w:val="clear" w:color="auto" w:fill="FFFFFF"/>
        </w:rPr>
        <w:t>：</w:t>
      </w:r>
    </w:p>
    <w:p w14:paraId="3D2AADA0">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我</w:t>
      </w:r>
      <w:r>
        <w:rPr>
          <w:rFonts w:hint="eastAsia" w:ascii="仿宋" w:hAnsi="仿宋" w:eastAsia="仿宋" w:cs="仿宋"/>
          <w:color w:val="auto"/>
          <w:kern w:val="56"/>
          <w:sz w:val="28"/>
          <w:szCs w:val="28"/>
          <w:highlight w:val="none"/>
          <w:shd w:val="clear" w:color="auto" w:fill="FFFFFF"/>
        </w:rPr>
        <w:t>方</w:t>
      </w:r>
      <w:r>
        <w:rPr>
          <w:rFonts w:ascii="仿宋" w:hAnsi="仿宋" w:eastAsia="仿宋" w:cs="仿宋"/>
          <w:color w:val="auto"/>
          <w:kern w:val="56"/>
          <w:sz w:val="28"/>
          <w:szCs w:val="28"/>
          <w:highlight w:val="none"/>
          <w:shd w:val="clear" w:color="auto" w:fill="FFFFFF"/>
        </w:rPr>
        <w:t>郑重承诺，我方</w:t>
      </w:r>
      <w:r>
        <w:rPr>
          <w:rFonts w:hint="eastAsia" w:ascii="仿宋" w:hAnsi="仿宋" w:eastAsia="仿宋" w:cs="仿宋"/>
          <w:color w:val="auto"/>
          <w:kern w:val="56"/>
          <w:sz w:val="28"/>
          <w:szCs w:val="28"/>
          <w:highlight w:val="none"/>
          <w:shd w:val="clear" w:color="auto" w:fill="FFFFFF"/>
        </w:rPr>
        <w:t>符合《中华人民共和国政府采购法》第二十二条的相关规定且</w:t>
      </w:r>
      <w:r>
        <w:rPr>
          <w:rFonts w:ascii="仿宋" w:hAnsi="仿宋" w:eastAsia="仿宋" w:cs="仿宋"/>
          <w:color w:val="auto"/>
          <w:kern w:val="56"/>
          <w:sz w:val="28"/>
          <w:szCs w:val="28"/>
          <w:highlight w:val="none"/>
          <w:shd w:val="clear" w:color="auto" w:fill="FFFFFF"/>
        </w:rPr>
        <w:t>未与其他单位组成联合体。</w:t>
      </w:r>
    </w:p>
    <w:p w14:paraId="572F89E2">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如成交，我方将保证合同顺利履行。</w:t>
      </w:r>
    </w:p>
    <w:p w14:paraId="2D286BBF">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本</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对上述声明的真实性负责。如有虚假，愿意承担相应责任，对此无任何异议。</w:t>
      </w:r>
    </w:p>
    <w:p w14:paraId="502878CE">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特此声明！</w:t>
      </w:r>
    </w:p>
    <w:p w14:paraId="56244A96">
      <w:pPr>
        <w:pStyle w:val="962"/>
        <w:rPr>
          <w:color w:val="auto"/>
          <w:highlight w:val="none"/>
        </w:rPr>
      </w:pPr>
    </w:p>
    <w:p w14:paraId="0EB6BEE5">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186A90E6">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w:t>
      </w:r>
      <w:r>
        <w:rPr>
          <w:rFonts w:hint="eastAsia" w:ascii="仿宋" w:hAnsi="仿宋" w:eastAsia="仿宋" w:cs="仿宋"/>
          <w:color w:val="auto"/>
          <w:kern w:val="56"/>
          <w:sz w:val="28"/>
          <w:szCs w:val="28"/>
          <w:highlight w:val="none"/>
          <w:shd w:val="clear" w:color="auto" w:fill="FFFFFF"/>
        </w:rPr>
        <w:t>盖章</w:t>
      </w:r>
      <w:r>
        <w:rPr>
          <w:rFonts w:ascii="仿宋" w:hAnsi="仿宋" w:eastAsia="仿宋" w:cs="仿宋"/>
          <w:color w:val="auto"/>
          <w:kern w:val="56"/>
          <w:sz w:val="28"/>
          <w:szCs w:val="28"/>
          <w:highlight w:val="none"/>
          <w:shd w:val="clear" w:color="auto" w:fill="FFFFFF"/>
        </w:rPr>
        <w:t>）</w:t>
      </w:r>
    </w:p>
    <w:p w14:paraId="6C653665">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rPr>
        <w:t xml:space="preserve">    年  月  日</w:t>
      </w:r>
    </w:p>
    <w:p w14:paraId="6FB68CD7">
      <w:pPr>
        <w:snapToGrid w:val="0"/>
        <w:spacing w:before="50" w:after="50" w:line="360" w:lineRule="auto"/>
        <w:jc w:val="center"/>
        <w:rPr>
          <w:rFonts w:ascii="仿宋_GB2312" w:hAnsi="仿宋" w:eastAsia="仿宋_GB2312" w:cs="仿宋_GB2312"/>
          <w:b/>
          <w:color w:val="auto"/>
          <w:kern w:val="0"/>
          <w:sz w:val="32"/>
          <w:szCs w:val="32"/>
          <w:highlight w:val="none"/>
          <w:lang w:val="zh-CN"/>
        </w:rPr>
      </w:pPr>
    </w:p>
    <w:p w14:paraId="2EF314B7">
      <w:pPr>
        <w:snapToGrid w:val="0"/>
        <w:spacing w:before="50" w:after="50" w:line="360" w:lineRule="auto"/>
        <w:jc w:val="center"/>
        <w:rPr>
          <w:rFonts w:ascii="仿宋_GB2312" w:hAnsi="仿宋" w:eastAsia="仿宋_GB2312" w:cs="仿宋_GB2312"/>
          <w:b/>
          <w:color w:val="auto"/>
          <w:kern w:val="0"/>
          <w:sz w:val="32"/>
          <w:szCs w:val="32"/>
          <w:highlight w:val="none"/>
          <w:lang w:val="zh-CN"/>
        </w:rPr>
      </w:pPr>
    </w:p>
    <w:p w14:paraId="053AF071">
      <w:pPr>
        <w:snapToGrid w:val="0"/>
        <w:spacing w:before="50" w:after="50" w:line="360" w:lineRule="auto"/>
        <w:jc w:val="center"/>
        <w:rPr>
          <w:rFonts w:ascii="仿宋_GB2312" w:hAnsi="仿宋" w:eastAsia="仿宋_GB2312" w:cs="仿宋_GB2312"/>
          <w:b/>
          <w:color w:val="auto"/>
          <w:kern w:val="0"/>
          <w:sz w:val="32"/>
          <w:szCs w:val="32"/>
          <w:highlight w:val="none"/>
          <w:lang w:val="zh-CN"/>
        </w:rPr>
      </w:pPr>
    </w:p>
    <w:p w14:paraId="60EEC29A">
      <w:pPr>
        <w:snapToGrid w:val="0"/>
        <w:spacing w:before="50" w:after="50" w:line="360" w:lineRule="auto"/>
        <w:jc w:val="center"/>
        <w:rPr>
          <w:rFonts w:ascii="仿宋_GB2312" w:hAnsi="仿宋" w:eastAsia="仿宋_GB2312" w:cs="仿宋_GB2312"/>
          <w:b/>
          <w:color w:val="auto"/>
          <w:kern w:val="0"/>
          <w:sz w:val="32"/>
          <w:szCs w:val="32"/>
          <w:highlight w:val="none"/>
          <w:lang w:val="zh-CN"/>
        </w:rPr>
      </w:pPr>
    </w:p>
    <w:p w14:paraId="0307043D">
      <w:pPr>
        <w:snapToGrid w:val="0"/>
        <w:spacing w:before="50" w:after="50" w:line="360" w:lineRule="auto"/>
        <w:jc w:val="center"/>
        <w:rPr>
          <w:rFonts w:ascii="仿宋_GB2312" w:hAnsi="仿宋" w:eastAsia="仿宋_GB2312" w:cs="仿宋_GB2312"/>
          <w:b/>
          <w:color w:val="auto"/>
          <w:kern w:val="0"/>
          <w:sz w:val="32"/>
          <w:szCs w:val="32"/>
          <w:highlight w:val="none"/>
          <w:lang w:val="zh-CN"/>
        </w:rPr>
      </w:pPr>
    </w:p>
    <w:p w14:paraId="599F53FF">
      <w:pPr>
        <w:spacing w:line="560" w:lineRule="exact"/>
        <w:rPr>
          <w:rFonts w:ascii="仿宋" w:hAnsi="仿宋" w:eastAsia="仿宋" w:cs="仿宋"/>
          <w:color w:val="auto"/>
          <w:sz w:val="28"/>
          <w:szCs w:val="28"/>
          <w:highlight w:val="none"/>
        </w:rPr>
      </w:pPr>
    </w:p>
    <w:p w14:paraId="1BE18E68">
      <w:pPr>
        <w:spacing w:line="560" w:lineRule="exact"/>
        <w:rPr>
          <w:rFonts w:ascii="仿宋" w:hAnsi="仿宋" w:eastAsia="仿宋" w:cs="仿宋"/>
          <w:color w:val="auto"/>
          <w:sz w:val="28"/>
          <w:szCs w:val="28"/>
          <w:highlight w:val="none"/>
        </w:rPr>
      </w:pPr>
    </w:p>
    <w:p w14:paraId="7EED0C42">
      <w:pPr>
        <w:spacing w:line="560" w:lineRule="exact"/>
        <w:rPr>
          <w:rFonts w:ascii="仿宋" w:hAnsi="仿宋" w:eastAsia="仿宋" w:cs="仿宋"/>
          <w:color w:val="auto"/>
          <w:sz w:val="28"/>
          <w:szCs w:val="28"/>
          <w:highlight w:val="none"/>
        </w:rPr>
      </w:pPr>
    </w:p>
    <w:p w14:paraId="3AA49A0E">
      <w:pPr>
        <w:spacing w:line="560" w:lineRule="exact"/>
        <w:rPr>
          <w:rFonts w:hint="eastAsia" w:ascii="仿宋" w:hAnsi="仿宋" w:eastAsia="仿宋" w:cs="仿宋"/>
          <w:color w:val="auto"/>
          <w:sz w:val="28"/>
          <w:szCs w:val="28"/>
          <w:highlight w:val="none"/>
        </w:rPr>
      </w:pPr>
    </w:p>
    <w:p w14:paraId="63020AEF">
      <w:pPr>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法定代表人证明书格式</w:t>
      </w:r>
    </w:p>
    <w:p w14:paraId="6E31AF3F">
      <w:pPr>
        <w:spacing w:line="560" w:lineRule="exact"/>
        <w:jc w:val="center"/>
        <w:rPr>
          <w:rFonts w:ascii="黑体" w:hAnsi="黑体" w:eastAsia="黑体" w:cs="黑体"/>
          <w:b/>
          <w:bCs/>
          <w:color w:val="auto"/>
          <w:sz w:val="32"/>
          <w:szCs w:val="32"/>
          <w:highlight w:val="none"/>
        </w:rPr>
      </w:pPr>
      <w:r>
        <w:rPr>
          <w:rFonts w:hint="eastAsia" w:ascii="黑体" w:hAnsi="黑体" w:eastAsia="黑体" w:cs="黑体"/>
          <w:b/>
          <w:color w:val="auto"/>
          <w:sz w:val="32"/>
          <w:szCs w:val="32"/>
          <w:highlight w:val="none"/>
        </w:rPr>
        <w:t>（1）</w:t>
      </w:r>
      <w:r>
        <w:rPr>
          <w:rFonts w:hint="eastAsia" w:ascii="黑体" w:hAnsi="黑体" w:eastAsia="黑体" w:cs="黑体"/>
          <w:b/>
          <w:bCs/>
          <w:color w:val="auto"/>
          <w:sz w:val="32"/>
          <w:szCs w:val="32"/>
          <w:highlight w:val="none"/>
        </w:rPr>
        <w:t>法定代表人证明书</w:t>
      </w:r>
    </w:p>
    <w:p w14:paraId="10F826F2">
      <w:pPr>
        <w:spacing w:line="560" w:lineRule="exact"/>
        <w:jc w:val="center"/>
        <w:rPr>
          <w:rFonts w:ascii="宋体" w:hAnsi="宋体"/>
          <w:b/>
          <w:bCs/>
          <w:color w:val="auto"/>
          <w:szCs w:val="21"/>
          <w:highlight w:val="none"/>
        </w:rPr>
      </w:pPr>
    </w:p>
    <w:p w14:paraId="3EC148B3">
      <w:pPr>
        <w:spacing w:line="560" w:lineRule="exact"/>
        <w:jc w:val="center"/>
        <w:rPr>
          <w:rFonts w:ascii="宋体" w:hAnsi="宋体"/>
          <w:b/>
          <w:bCs/>
          <w:color w:val="auto"/>
          <w:szCs w:val="21"/>
          <w:highlight w:val="none"/>
        </w:rPr>
      </w:pPr>
    </w:p>
    <w:p w14:paraId="7EAE41DF">
      <w:p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（姓名）</w:t>
      </w:r>
      <w:r>
        <w:rPr>
          <w:rFonts w:hint="eastAsia" w:ascii="仿宋" w:hAnsi="仿宋" w:eastAsia="仿宋" w:cs="仿宋"/>
          <w:color w:val="auto"/>
          <w:sz w:val="28"/>
          <w:szCs w:val="28"/>
          <w:highlight w:val="none"/>
        </w:rPr>
        <w:t>同志现任我单位职务，为法定代表人。</w:t>
      </w:r>
    </w:p>
    <w:p w14:paraId="3082EDD2">
      <w:pPr>
        <w:spacing w:line="560" w:lineRule="exact"/>
        <w:ind w:left="630" w:leftChars="300"/>
        <w:rPr>
          <w:rFonts w:ascii="仿宋" w:hAnsi="仿宋" w:eastAsia="仿宋" w:cs="仿宋"/>
          <w:color w:val="auto"/>
          <w:sz w:val="28"/>
          <w:szCs w:val="28"/>
          <w:highlight w:val="none"/>
        </w:rPr>
      </w:pPr>
    </w:p>
    <w:p w14:paraId="053C8BDD">
      <w:pPr>
        <w:spacing w:line="560" w:lineRule="exact"/>
        <w:ind w:left="630" w:leftChars="300"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2FF69B23">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171DC041">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供应商全称（盖章）：                  </w:t>
      </w:r>
    </w:p>
    <w:p w14:paraId="631E29B2">
      <w:pPr>
        <w:spacing w:line="560" w:lineRule="exact"/>
        <w:ind w:left="630" w:leftChars="300"/>
        <w:rPr>
          <w:rFonts w:ascii="仿宋" w:hAnsi="仿宋" w:eastAsia="仿宋" w:cs="仿宋"/>
          <w:color w:val="auto"/>
          <w:sz w:val="28"/>
          <w:szCs w:val="28"/>
          <w:highlight w:val="none"/>
        </w:rPr>
      </w:pPr>
    </w:p>
    <w:p w14:paraId="4F1F87E7">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年    月    日</w:t>
      </w:r>
    </w:p>
    <w:p w14:paraId="19A794C3">
      <w:pPr>
        <w:spacing w:line="560" w:lineRule="exact"/>
        <w:ind w:left="630" w:leftChars="300"/>
        <w:rPr>
          <w:rFonts w:ascii="仿宋" w:hAnsi="仿宋" w:eastAsia="仿宋" w:cs="仿宋"/>
          <w:color w:val="auto"/>
          <w:sz w:val="28"/>
          <w:szCs w:val="28"/>
          <w:highlight w:val="none"/>
        </w:rPr>
      </w:pPr>
    </w:p>
    <w:p w14:paraId="28A52AA0">
      <w:pPr>
        <w:spacing w:line="560" w:lineRule="exact"/>
        <w:ind w:left="630" w:leftChars="300"/>
        <w:rPr>
          <w:rFonts w:ascii="仿宋" w:hAnsi="仿宋" w:eastAsia="仿宋" w:cs="仿宋"/>
          <w:color w:val="auto"/>
          <w:sz w:val="28"/>
          <w:szCs w:val="28"/>
          <w:highlight w:val="none"/>
        </w:rPr>
      </w:pPr>
    </w:p>
    <w:p w14:paraId="6542E717">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w:t>
      </w:r>
    </w:p>
    <w:p w14:paraId="76889CAC">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法定代表人（单位负责人）性别：________________         </w:t>
      </w:r>
    </w:p>
    <w:p w14:paraId="3E7130CA">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年龄：____________________      </w:t>
      </w:r>
    </w:p>
    <w:p w14:paraId="6080FEA6">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身份证号码：____________________     </w:t>
      </w:r>
    </w:p>
    <w:p w14:paraId="159123BB">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电话：____________________</w:t>
      </w:r>
    </w:p>
    <w:p w14:paraId="0CA9D541">
      <w:pPr>
        <w:spacing w:line="560" w:lineRule="exact"/>
        <w:ind w:left="630" w:leftChars="300"/>
        <w:rPr>
          <w:rFonts w:ascii="仿宋" w:hAnsi="仿宋" w:eastAsia="仿宋" w:cs="仿宋"/>
          <w:color w:val="auto"/>
          <w:sz w:val="28"/>
          <w:szCs w:val="28"/>
          <w:highlight w:val="none"/>
        </w:rPr>
      </w:pPr>
    </w:p>
    <w:p w14:paraId="59B27074">
      <w:pPr>
        <w:spacing w:line="560" w:lineRule="exact"/>
        <w:ind w:left="630" w:leftChars="300"/>
        <w:rPr>
          <w:rFonts w:ascii="仿宋" w:hAnsi="仿宋" w:eastAsia="仿宋" w:cs="仿宋"/>
          <w:color w:val="auto"/>
          <w:sz w:val="28"/>
          <w:szCs w:val="28"/>
          <w:highlight w:val="none"/>
        </w:rPr>
      </w:pPr>
    </w:p>
    <w:p w14:paraId="14F22E21">
      <w:pPr>
        <w:rPr>
          <w:rFonts w:hint="eastAsia"/>
          <w:color w:val="auto"/>
          <w:highlight w:val="none"/>
          <w:lang w:eastAsia="zh-CN"/>
        </w:rPr>
      </w:pPr>
    </w:p>
    <w:p w14:paraId="7174494A">
      <w:pPr>
        <w:pStyle w:val="2"/>
        <w:rPr>
          <w:rFonts w:hint="eastAsia"/>
          <w:color w:val="auto"/>
          <w:highlight w:val="none"/>
          <w:lang w:eastAsia="zh-CN"/>
        </w:rPr>
      </w:pPr>
    </w:p>
    <w:p w14:paraId="06A34E5F">
      <w:pPr>
        <w:snapToGrid w:val="0"/>
        <w:spacing w:line="360" w:lineRule="auto"/>
        <w:ind w:right="480"/>
        <w:jc w:val="center"/>
        <w:rPr>
          <w:rFonts w:ascii="仿宋_GB2312" w:hAnsi="仿宋" w:eastAsia="仿宋_GB2312" w:cs="仿宋_GB2312"/>
          <w:b/>
          <w:color w:val="auto"/>
          <w:kern w:val="0"/>
          <w:sz w:val="32"/>
          <w:szCs w:val="32"/>
          <w:highlight w:val="none"/>
        </w:rPr>
      </w:pPr>
    </w:p>
    <w:p w14:paraId="3A10A9D1">
      <w:pPr>
        <w:autoSpaceDE w:val="0"/>
        <w:autoSpaceDN w:val="0"/>
        <w:spacing w:line="560" w:lineRule="exact"/>
        <w:rPr>
          <w:rFonts w:ascii="仿宋" w:hAnsi="仿宋" w:eastAsia="仿宋" w:cs="仿宋"/>
          <w:b/>
          <w:color w:val="auto"/>
          <w:kern w:val="0"/>
          <w:sz w:val="28"/>
          <w:szCs w:val="28"/>
          <w:highlight w:val="none"/>
          <w:lang w:val="zh-CN"/>
        </w:rPr>
      </w:pPr>
    </w:p>
    <w:p w14:paraId="3C487545">
      <w:pPr>
        <w:spacing w:line="560" w:lineRule="exact"/>
        <w:rPr>
          <w:rFonts w:hint="eastAsia" w:ascii="仿宋" w:hAnsi="仿宋" w:eastAsia="仿宋" w:cs="仿宋"/>
          <w:color w:val="auto"/>
          <w:sz w:val="28"/>
          <w:szCs w:val="28"/>
          <w:highlight w:val="none"/>
          <w:lang w:val="zh-CN"/>
        </w:rPr>
      </w:pPr>
    </w:p>
    <w:p w14:paraId="550F2563">
      <w:pPr>
        <w:spacing w:line="560" w:lineRule="exact"/>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授权委托书（单位负责人、自然人本人）身份证明</w:t>
      </w:r>
    </w:p>
    <w:p w14:paraId="697FA73A">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5EA70E8C">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14:paraId="5A5DF35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F9F1605">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6B08D4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r>
        <w:rPr>
          <w:rFonts w:hint="eastAsia" w:ascii="仿宋" w:hAnsi="仿宋" w:eastAsia="仿宋" w:cs="仿宋"/>
          <w:color w:val="auto"/>
          <w:kern w:val="0"/>
          <w:sz w:val="24"/>
          <w:highlight w:val="none"/>
          <w:lang w:val="en-US" w:eastAsia="zh-CN"/>
        </w:rPr>
        <w:t>须不少于90天</w:t>
      </w:r>
      <w:r>
        <w:rPr>
          <w:rFonts w:hint="eastAsia" w:ascii="仿宋" w:hAnsi="仿宋" w:eastAsia="仿宋" w:cs="仿宋"/>
          <w:color w:val="auto"/>
          <w:kern w:val="0"/>
          <w:sz w:val="24"/>
          <w:highlight w:val="none"/>
          <w:lang w:val="zh-CN"/>
        </w:rPr>
        <w:t>）</w:t>
      </w:r>
    </w:p>
    <w:p w14:paraId="5EE8877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A07326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供应商名称(盖章)：</w:t>
      </w:r>
    </w:p>
    <w:p w14:paraId="56DA45F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AFA07F9">
      <w:pPr>
        <w:autoSpaceDE w:val="0"/>
        <w:autoSpaceDN w:val="0"/>
        <w:spacing w:line="56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val="zh-CN"/>
        </w:rPr>
        <w:t>法定代表人、单位负责人或自然人本人</w:t>
      </w:r>
      <w:r>
        <w:rPr>
          <w:rFonts w:hint="eastAsia" w:ascii="仿宋" w:hAnsi="仿宋" w:eastAsia="仿宋" w:cs="仿宋"/>
          <w:b/>
          <w:color w:val="auto"/>
          <w:sz w:val="28"/>
          <w:szCs w:val="28"/>
          <w:highlight w:val="none"/>
        </w:rPr>
        <w:t>的身份证明（适用于法定代表人、单位负责人或者自然人本人代表供应商参加投标）</w:t>
      </w:r>
    </w:p>
    <w:p w14:paraId="400E7BEA">
      <w:pPr>
        <w:pStyle w:val="147"/>
        <w:spacing w:line="56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11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207" w:type="dxa"/>
          </w:tcPr>
          <w:p w14:paraId="7888AE87">
            <w:pPr>
              <w:pStyle w:val="147"/>
              <w:adjustRightInd w:val="0"/>
              <w:spacing w:line="56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正面：                                 </w:t>
            </w:r>
          </w:p>
          <w:p w14:paraId="10022965">
            <w:pPr>
              <w:pStyle w:val="147"/>
              <w:adjustRightInd w:val="0"/>
              <w:spacing w:line="560" w:lineRule="exact"/>
              <w:rPr>
                <w:rFonts w:ascii="仿宋" w:hAnsi="仿宋" w:eastAsia="仿宋" w:cs="仿宋"/>
                <w:bCs/>
                <w:color w:val="auto"/>
                <w:sz w:val="28"/>
                <w:szCs w:val="28"/>
                <w:highlight w:val="none"/>
              </w:rPr>
            </w:pPr>
          </w:p>
        </w:tc>
      </w:tr>
    </w:tbl>
    <w:p w14:paraId="1324526A">
      <w:pPr>
        <w:snapToGrid w:val="0"/>
        <w:spacing w:line="560" w:lineRule="exact"/>
        <w:ind w:firstLine="576"/>
        <w:jc w:val="center"/>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79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9207" w:type="dxa"/>
          </w:tcPr>
          <w:p w14:paraId="4BDDA975">
            <w:pPr>
              <w:pStyle w:val="147"/>
              <w:adjustRightInd w:val="0"/>
              <w:spacing w:line="56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反面：</w:t>
            </w:r>
          </w:p>
          <w:p w14:paraId="559B0D27">
            <w:pPr>
              <w:pStyle w:val="147"/>
              <w:adjustRightInd w:val="0"/>
              <w:spacing w:line="560" w:lineRule="exact"/>
              <w:rPr>
                <w:rFonts w:ascii="仿宋" w:hAnsi="仿宋" w:eastAsia="仿宋" w:cs="仿宋"/>
                <w:bCs/>
                <w:color w:val="auto"/>
                <w:sz w:val="28"/>
                <w:szCs w:val="28"/>
                <w:highlight w:val="none"/>
              </w:rPr>
            </w:pPr>
          </w:p>
        </w:tc>
      </w:tr>
    </w:tbl>
    <w:p w14:paraId="61F5C28A">
      <w:pPr>
        <w:snapToGrid w:val="0"/>
        <w:spacing w:line="560" w:lineRule="exact"/>
        <w:ind w:firstLine="576"/>
        <w:jc w:val="center"/>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zh-CN"/>
        </w:rPr>
        <w:t>供应商名称（</w:t>
      </w:r>
      <w:r>
        <w:rPr>
          <w:rFonts w:hint="eastAsia" w:ascii="仿宋" w:hAnsi="仿宋" w:eastAsia="仿宋" w:cs="仿宋"/>
          <w:color w:val="auto"/>
          <w:kern w:val="0"/>
          <w:sz w:val="28"/>
          <w:szCs w:val="28"/>
          <w:highlight w:val="none"/>
        </w:rPr>
        <w:t>盖章</w:t>
      </w:r>
      <w:r>
        <w:rPr>
          <w:rFonts w:hint="eastAsia" w:ascii="仿宋" w:hAnsi="仿宋" w:eastAsia="仿宋" w:cs="仿宋"/>
          <w:color w:val="auto"/>
          <w:kern w:val="0"/>
          <w:sz w:val="28"/>
          <w:szCs w:val="28"/>
          <w:highlight w:val="none"/>
          <w:lang w:val="zh-CN"/>
        </w:rPr>
        <w:t xml:space="preserve">）：                              </w:t>
      </w:r>
    </w:p>
    <w:p w14:paraId="3BBBE52A">
      <w:pPr>
        <w:snapToGrid w:val="0"/>
        <w:spacing w:line="560" w:lineRule="exac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zh-CN"/>
        </w:rPr>
        <w:t>日期：  年  月  日</w:t>
      </w:r>
    </w:p>
    <w:p w14:paraId="68474D16">
      <w:pPr>
        <w:snapToGrid w:val="0"/>
        <w:spacing w:line="560" w:lineRule="exact"/>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第</w:t>
      </w:r>
      <w:r>
        <w:rPr>
          <w:rFonts w:hint="eastAsia" w:ascii="仿宋" w:hAnsi="仿宋" w:eastAsia="仿宋" w:cs="仿宋"/>
          <w:color w:val="auto"/>
          <w:kern w:val="56"/>
          <w:sz w:val="28"/>
          <w:szCs w:val="28"/>
          <w:highlight w:val="none"/>
          <w:shd w:val="clear" w:color="auto" w:fill="FFFFFF"/>
        </w:rPr>
        <w:t>二</w:t>
      </w:r>
      <w:r>
        <w:rPr>
          <w:rFonts w:ascii="仿宋" w:hAnsi="仿宋" w:eastAsia="仿宋" w:cs="仿宋"/>
          <w:color w:val="auto"/>
          <w:kern w:val="56"/>
          <w:sz w:val="28"/>
          <w:szCs w:val="28"/>
          <w:highlight w:val="none"/>
          <w:shd w:val="clear" w:color="auto" w:fill="FFFFFF"/>
        </w:rPr>
        <w:t>部分 技术文件</w:t>
      </w:r>
    </w:p>
    <w:p w14:paraId="53DA784A">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封面</w:t>
      </w:r>
      <w:bookmarkEnd w:id="408"/>
    </w:p>
    <w:p w14:paraId="2BA0E6D0">
      <w:pPr>
        <w:snapToGrid w:val="0"/>
        <w:spacing w:line="560" w:lineRule="exact"/>
        <w:rPr>
          <w:rFonts w:ascii="仿宋" w:hAnsi="仿宋" w:eastAsia="仿宋" w:cs="仿宋"/>
          <w:color w:val="auto"/>
          <w:kern w:val="56"/>
          <w:sz w:val="28"/>
          <w:szCs w:val="28"/>
          <w:highlight w:val="none"/>
          <w:shd w:val="clear" w:color="auto" w:fill="FFFFFF"/>
        </w:rPr>
      </w:pPr>
    </w:p>
    <w:p w14:paraId="38B13DA8">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2024-2025年度衢州市级优化用电营商环境综合保险服务项目（</w:t>
      </w:r>
      <w:r>
        <w:rPr>
          <w:rFonts w:hint="eastAsia" w:ascii="仿宋" w:hAnsi="仿宋" w:eastAsia="仿宋" w:cs="仿宋"/>
          <w:b/>
          <w:color w:val="auto"/>
          <w:sz w:val="44"/>
          <w:szCs w:val="44"/>
          <w:highlight w:val="none"/>
          <w:lang w:val="en-US" w:eastAsia="zh-CN"/>
        </w:rPr>
        <w:t>标项：</w:t>
      </w:r>
      <w:r>
        <w:rPr>
          <w:rFonts w:hint="eastAsia" w:ascii="仿宋" w:hAnsi="仿宋" w:eastAsia="仿宋" w:cs="仿宋"/>
          <w:b/>
          <w:color w:val="auto"/>
          <w:sz w:val="44"/>
          <w:szCs w:val="44"/>
          <w:highlight w:val="none"/>
          <w:u w:val="single"/>
          <w:lang w:val="en-US" w:eastAsia="zh-CN"/>
        </w:rPr>
        <w:t xml:space="preserve">     </w:t>
      </w:r>
      <w:r>
        <w:rPr>
          <w:rFonts w:hint="eastAsia" w:ascii="仿宋" w:hAnsi="仿宋" w:eastAsia="仿宋" w:cs="仿宋"/>
          <w:b/>
          <w:color w:val="auto"/>
          <w:sz w:val="44"/>
          <w:szCs w:val="44"/>
          <w:highlight w:val="none"/>
          <w:lang w:eastAsia="zh-CN"/>
        </w:rPr>
        <w:t>）</w:t>
      </w:r>
      <w:r>
        <w:rPr>
          <w:rFonts w:hint="eastAsia" w:ascii="仿宋" w:hAnsi="仿宋" w:eastAsia="仿宋" w:cs="仿宋"/>
          <w:b/>
          <w:color w:val="auto"/>
          <w:sz w:val="44"/>
          <w:szCs w:val="44"/>
          <w:highlight w:val="none"/>
        </w:rPr>
        <w:t xml:space="preserve"> </w:t>
      </w:r>
    </w:p>
    <w:p w14:paraId="386D86CA">
      <w:pPr>
        <w:spacing w:line="360" w:lineRule="auto"/>
        <w:jc w:val="center"/>
        <w:rPr>
          <w:rFonts w:hint="eastAsia" w:ascii="仿宋" w:hAnsi="仿宋" w:eastAsia="仿宋" w:cs="仿宋"/>
          <w:b/>
          <w:color w:val="auto"/>
          <w:sz w:val="44"/>
          <w:szCs w:val="44"/>
          <w:highlight w:val="none"/>
        </w:rPr>
      </w:pPr>
    </w:p>
    <w:p w14:paraId="481EBCB4">
      <w:pPr>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响应文件</w:t>
      </w:r>
    </w:p>
    <w:p w14:paraId="1B8AFCCA">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商务技术文件</w:t>
      </w:r>
      <w:r>
        <w:rPr>
          <w:rFonts w:hint="eastAsia" w:ascii="仿宋" w:hAnsi="仿宋" w:eastAsia="仿宋" w:cs="仿宋"/>
          <w:color w:val="auto"/>
          <w:kern w:val="0"/>
          <w:sz w:val="32"/>
          <w:szCs w:val="32"/>
          <w:highlight w:val="none"/>
        </w:rPr>
        <w:t>）</w:t>
      </w:r>
    </w:p>
    <w:p w14:paraId="1B77D677">
      <w:pPr>
        <w:rPr>
          <w:rFonts w:ascii="仿宋" w:hAnsi="仿宋" w:eastAsia="仿宋" w:cs="仿宋"/>
          <w:color w:val="auto"/>
          <w:kern w:val="0"/>
          <w:sz w:val="32"/>
          <w:szCs w:val="32"/>
          <w:highlight w:val="none"/>
        </w:rPr>
      </w:pPr>
    </w:p>
    <w:p w14:paraId="237E82D3">
      <w:pPr>
        <w:pStyle w:val="39"/>
        <w:rPr>
          <w:rFonts w:ascii="仿宋" w:hAnsi="仿宋" w:eastAsia="仿宋" w:cs="仿宋"/>
          <w:color w:val="auto"/>
          <w:kern w:val="0"/>
          <w:sz w:val="32"/>
          <w:szCs w:val="32"/>
          <w:highlight w:val="none"/>
        </w:rPr>
      </w:pPr>
    </w:p>
    <w:p w14:paraId="0709EEC7">
      <w:pPr>
        <w:pStyle w:val="39"/>
        <w:rPr>
          <w:rFonts w:ascii="仿宋" w:hAnsi="仿宋" w:eastAsia="仿宋" w:cs="仿宋"/>
          <w:color w:val="auto"/>
          <w:kern w:val="0"/>
          <w:sz w:val="32"/>
          <w:szCs w:val="32"/>
          <w:highlight w:val="none"/>
        </w:rPr>
      </w:pPr>
    </w:p>
    <w:p w14:paraId="5F6CDC4E">
      <w:pPr>
        <w:jc w:val="center"/>
        <w:rPr>
          <w:rFonts w:ascii="仿宋" w:hAnsi="仿宋" w:eastAsia="仿宋" w:cs="仿宋"/>
          <w:color w:val="auto"/>
          <w:kern w:val="0"/>
          <w:sz w:val="32"/>
          <w:szCs w:val="32"/>
          <w:highlight w:val="none"/>
        </w:rPr>
      </w:pPr>
    </w:p>
    <w:p w14:paraId="354932A3">
      <w:pPr>
        <w:snapToGrid w:val="0"/>
        <w:spacing w:line="480" w:lineRule="auto"/>
        <w:rPr>
          <w:rFonts w:ascii="仿宋" w:hAnsi="仿宋" w:eastAsia="仿宋" w:cs="仿宋"/>
          <w:color w:val="auto"/>
          <w:kern w:val="0"/>
          <w:sz w:val="32"/>
          <w:szCs w:val="32"/>
          <w:highlight w:val="none"/>
        </w:rPr>
      </w:pPr>
    </w:p>
    <w:p w14:paraId="09A1C9F9">
      <w:pPr>
        <w:snapToGrid w:val="0"/>
        <w:spacing w:line="480" w:lineRule="auto"/>
        <w:jc w:val="center"/>
        <w:rPr>
          <w:rFonts w:ascii="仿宋" w:hAnsi="仿宋" w:eastAsia="仿宋" w:cs="仿宋"/>
          <w:color w:val="auto"/>
          <w:kern w:val="0"/>
          <w:sz w:val="32"/>
          <w:szCs w:val="32"/>
          <w:highlight w:val="none"/>
        </w:rPr>
      </w:pPr>
    </w:p>
    <w:p w14:paraId="0E9DEE0C">
      <w:pPr>
        <w:snapToGrid w:val="0"/>
        <w:spacing w:line="48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供应商</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（盖 章）</w:t>
      </w:r>
    </w:p>
    <w:p w14:paraId="1FE0A4CC">
      <w:pPr>
        <w:snapToGrid w:val="0"/>
        <w:spacing w:line="480" w:lineRule="auto"/>
        <w:jc w:val="center"/>
        <w:rPr>
          <w:rFonts w:ascii="仿宋" w:hAnsi="仿宋" w:eastAsia="仿宋" w:cs="仿宋"/>
          <w:color w:val="auto"/>
          <w:kern w:val="0"/>
          <w:sz w:val="32"/>
          <w:szCs w:val="32"/>
          <w:highlight w:val="none"/>
        </w:rPr>
      </w:pPr>
    </w:p>
    <w:p w14:paraId="45629BC4">
      <w:pPr>
        <w:snapToGrid w:val="0"/>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 定 代 表 人：</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（签字</w:t>
      </w:r>
      <w:r>
        <w:rPr>
          <w:rFonts w:hint="eastAsia" w:ascii="仿宋" w:hAnsi="仿宋" w:eastAsia="仿宋" w:cs="仿宋"/>
          <w:color w:val="auto"/>
          <w:kern w:val="0"/>
          <w:sz w:val="32"/>
          <w:szCs w:val="32"/>
          <w:highlight w:val="none"/>
          <w:lang w:val="en-US" w:eastAsia="zh-CN"/>
        </w:rPr>
        <w:t>或盖章</w:t>
      </w:r>
      <w:r>
        <w:rPr>
          <w:rFonts w:hint="eastAsia" w:ascii="仿宋" w:hAnsi="仿宋" w:eastAsia="仿宋" w:cs="仿宋"/>
          <w:color w:val="auto"/>
          <w:kern w:val="0"/>
          <w:sz w:val="32"/>
          <w:szCs w:val="32"/>
          <w:highlight w:val="none"/>
        </w:rPr>
        <w:t>）</w:t>
      </w:r>
    </w:p>
    <w:p w14:paraId="684B91D3">
      <w:pPr>
        <w:snapToGrid w:val="0"/>
        <w:spacing w:before="480" w:line="360" w:lineRule="auto"/>
        <w:ind w:firstLine="3526" w:firstLineChars="1102"/>
        <w:jc w:val="center"/>
        <w:rPr>
          <w:rFonts w:ascii="仿宋" w:hAnsi="仿宋" w:eastAsia="仿宋" w:cs="仿宋"/>
          <w:color w:val="auto"/>
          <w:kern w:val="0"/>
          <w:sz w:val="32"/>
          <w:szCs w:val="32"/>
          <w:highlight w:val="none"/>
        </w:rPr>
      </w:pPr>
    </w:p>
    <w:p w14:paraId="1E28B355">
      <w:pPr>
        <w:snapToGrid w:val="0"/>
        <w:spacing w:before="480" w:line="36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090F2354">
      <w:pPr>
        <w:snapToGrid w:val="0"/>
        <w:spacing w:line="560" w:lineRule="exact"/>
        <w:jc w:val="both"/>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第</w:t>
      </w:r>
      <w:r>
        <w:rPr>
          <w:rFonts w:hint="eastAsia" w:ascii="仿宋" w:hAnsi="仿宋" w:eastAsia="仿宋" w:cs="仿宋"/>
          <w:color w:val="auto"/>
          <w:kern w:val="56"/>
          <w:sz w:val="28"/>
          <w:szCs w:val="28"/>
          <w:highlight w:val="none"/>
          <w:shd w:val="clear" w:color="auto" w:fill="FFFFFF"/>
        </w:rPr>
        <w:t>三</w:t>
      </w:r>
      <w:r>
        <w:rPr>
          <w:rFonts w:ascii="仿宋" w:hAnsi="仿宋" w:eastAsia="仿宋" w:cs="仿宋"/>
          <w:color w:val="auto"/>
          <w:kern w:val="56"/>
          <w:sz w:val="28"/>
          <w:szCs w:val="28"/>
          <w:highlight w:val="none"/>
          <w:shd w:val="clear" w:color="auto" w:fill="FFFFFF"/>
        </w:rPr>
        <w:t xml:space="preserve">部分 </w:t>
      </w:r>
      <w:r>
        <w:rPr>
          <w:rFonts w:hint="eastAsia" w:ascii="仿宋" w:hAnsi="仿宋" w:eastAsia="仿宋" w:cs="仿宋"/>
          <w:color w:val="auto"/>
          <w:kern w:val="56"/>
          <w:sz w:val="28"/>
          <w:szCs w:val="28"/>
          <w:highlight w:val="none"/>
          <w:shd w:val="clear" w:color="auto" w:fill="FFFFFF"/>
          <w:lang w:eastAsia="zh-CN"/>
        </w:rPr>
        <w:t>报价文件</w:t>
      </w:r>
    </w:p>
    <w:p w14:paraId="11259909">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封面</w:t>
      </w:r>
    </w:p>
    <w:p w14:paraId="7039C4F0">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2024-2025年度衢州市级优化用电营商环境综合保险服务项目（</w:t>
      </w:r>
      <w:r>
        <w:rPr>
          <w:rFonts w:hint="eastAsia" w:ascii="仿宋" w:hAnsi="仿宋" w:eastAsia="仿宋" w:cs="仿宋"/>
          <w:b/>
          <w:color w:val="auto"/>
          <w:sz w:val="44"/>
          <w:szCs w:val="44"/>
          <w:highlight w:val="none"/>
          <w:lang w:val="en-US" w:eastAsia="zh-CN"/>
        </w:rPr>
        <w:t>标项：</w:t>
      </w:r>
      <w:r>
        <w:rPr>
          <w:rFonts w:hint="eastAsia" w:ascii="仿宋" w:hAnsi="仿宋" w:eastAsia="仿宋" w:cs="仿宋"/>
          <w:b/>
          <w:color w:val="auto"/>
          <w:sz w:val="44"/>
          <w:szCs w:val="44"/>
          <w:highlight w:val="none"/>
          <w:u w:val="single"/>
          <w:lang w:val="en-US" w:eastAsia="zh-CN"/>
        </w:rPr>
        <w:t xml:space="preserve">     </w:t>
      </w:r>
      <w:r>
        <w:rPr>
          <w:rFonts w:hint="eastAsia" w:ascii="仿宋" w:hAnsi="仿宋" w:eastAsia="仿宋" w:cs="仿宋"/>
          <w:b/>
          <w:color w:val="auto"/>
          <w:sz w:val="44"/>
          <w:szCs w:val="44"/>
          <w:highlight w:val="none"/>
          <w:lang w:eastAsia="zh-CN"/>
        </w:rPr>
        <w:t>）</w:t>
      </w:r>
      <w:r>
        <w:rPr>
          <w:rFonts w:hint="eastAsia" w:ascii="仿宋" w:hAnsi="仿宋" w:eastAsia="仿宋" w:cs="仿宋"/>
          <w:b/>
          <w:color w:val="auto"/>
          <w:sz w:val="44"/>
          <w:szCs w:val="44"/>
          <w:highlight w:val="none"/>
        </w:rPr>
        <w:t xml:space="preserve"> </w:t>
      </w:r>
    </w:p>
    <w:p w14:paraId="05A8BB6F">
      <w:pPr>
        <w:spacing w:line="360" w:lineRule="auto"/>
        <w:jc w:val="center"/>
        <w:rPr>
          <w:rFonts w:hint="eastAsia" w:ascii="仿宋" w:hAnsi="仿宋" w:eastAsia="仿宋" w:cs="仿宋"/>
          <w:b/>
          <w:color w:val="auto"/>
          <w:sz w:val="44"/>
          <w:szCs w:val="44"/>
          <w:highlight w:val="none"/>
        </w:rPr>
      </w:pPr>
    </w:p>
    <w:p w14:paraId="13DA3EFE">
      <w:pPr>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响应文件</w:t>
      </w:r>
    </w:p>
    <w:p w14:paraId="7D9BB818">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报价文件</w:t>
      </w:r>
      <w:r>
        <w:rPr>
          <w:rFonts w:hint="eastAsia" w:ascii="仿宋" w:hAnsi="仿宋" w:eastAsia="仿宋" w:cs="仿宋"/>
          <w:color w:val="auto"/>
          <w:kern w:val="0"/>
          <w:sz w:val="32"/>
          <w:szCs w:val="32"/>
          <w:highlight w:val="none"/>
        </w:rPr>
        <w:t>）</w:t>
      </w:r>
    </w:p>
    <w:p w14:paraId="543575B9">
      <w:pPr>
        <w:rPr>
          <w:rFonts w:ascii="仿宋" w:hAnsi="仿宋" w:eastAsia="仿宋" w:cs="仿宋"/>
          <w:color w:val="auto"/>
          <w:kern w:val="0"/>
          <w:sz w:val="32"/>
          <w:szCs w:val="32"/>
          <w:highlight w:val="none"/>
        </w:rPr>
      </w:pPr>
    </w:p>
    <w:p w14:paraId="1333EB84">
      <w:pPr>
        <w:pStyle w:val="39"/>
        <w:rPr>
          <w:rFonts w:ascii="仿宋" w:hAnsi="仿宋" w:eastAsia="仿宋" w:cs="仿宋"/>
          <w:color w:val="auto"/>
          <w:kern w:val="0"/>
          <w:sz w:val="32"/>
          <w:szCs w:val="32"/>
          <w:highlight w:val="none"/>
        </w:rPr>
      </w:pPr>
    </w:p>
    <w:p w14:paraId="4FCD02E0">
      <w:pPr>
        <w:pStyle w:val="39"/>
        <w:rPr>
          <w:rFonts w:ascii="仿宋" w:hAnsi="仿宋" w:eastAsia="仿宋" w:cs="仿宋"/>
          <w:color w:val="auto"/>
          <w:kern w:val="0"/>
          <w:sz w:val="32"/>
          <w:szCs w:val="32"/>
          <w:highlight w:val="none"/>
        </w:rPr>
      </w:pPr>
    </w:p>
    <w:p w14:paraId="3C18B041">
      <w:pPr>
        <w:jc w:val="center"/>
        <w:rPr>
          <w:rFonts w:ascii="仿宋" w:hAnsi="仿宋" w:eastAsia="仿宋" w:cs="仿宋"/>
          <w:color w:val="auto"/>
          <w:kern w:val="0"/>
          <w:sz w:val="32"/>
          <w:szCs w:val="32"/>
          <w:highlight w:val="none"/>
        </w:rPr>
      </w:pPr>
    </w:p>
    <w:p w14:paraId="4DFC826D">
      <w:pPr>
        <w:snapToGrid w:val="0"/>
        <w:spacing w:line="480" w:lineRule="auto"/>
        <w:rPr>
          <w:rFonts w:ascii="仿宋" w:hAnsi="仿宋" w:eastAsia="仿宋" w:cs="仿宋"/>
          <w:color w:val="auto"/>
          <w:kern w:val="0"/>
          <w:sz w:val="32"/>
          <w:szCs w:val="32"/>
          <w:highlight w:val="none"/>
        </w:rPr>
      </w:pPr>
    </w:p>
    <w:p w14:paraId="1DA8986B">
      <w:pPr>
        <w:snapToGrid w:val="0"/>
        <w:spacing w:line="480" w:lineRule="auto"/>
        <w:jc w:val="center"/>
        <w:rPr>
          <w:rFonts w:ascii="仿宋" w:hAnsi="仿宋" w:eastAsia="仿宋" w:cs="仿宋"/>
          <w:color w:val="auto"/>
          <w:kern w:val="0"/>
          <w:sz w:val="32"/>
          <w:szCs w:val="32"/>
          <w:highlight w:val="none"/>
        </w:rPr>
      </w:pPr>
    </w:p>
    <w:p w14:paraId="2B3F3E53">
      <w:pPr>
        <w:snapToGrid w:val="0"/>
        <w:spacing w:line="48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供应商</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（盖 章）</w:t>
      </w:r>
    </w:p>
    <w:p w14:paraId="1893713C">
      <w:pPr>
        <w:snapToGrid w:val="0"/>
        <w:spacing w:line="480" w:lineRule="auto"/>
        <w:jc w:val="center"/>
        <w:rPr>
          <w:rFonts w:ascii="仿宋" w:hAnsi="仿宋" w:eastAsia="仿宋" w:cs="仿宋"/>
          <w:color w:val="auto"/>
          <w:kern w:val="0"/>
          <w:sz w:val="32"/>
          <w:szCs w:val="32"/>
          <w:highlight w:val="none"/>
        </w:rPr>
      </w:pPr>
    </w:p>
    <w:p w14:paraId="330F96EE">
      <w:pPr>
        <w:snapToGrid w:val="0"/>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lang w:val="en-US" w:eastAsia="zh-CN"/>
        </w:rPr>
        <w:t xml:space="preserve">         </w:t>
      </w:r>
      <w:r>
        <w:rPr>
          <w:rFonts w:hint="eastAsia" w:ascii="仿宋" w:hAnsi="仿宋" w:eastAsia="仿宋" w:cs="仿宋"/>
          <w:color w:val="auto"/>
          <w:kern w:val="0"/>
          <w:sz w:val="32"/>
          <w:szCs w:val="32"/>
          <w:highlight w:val="none"/>
        </w:rPr>
        <w:t>（签字</w:t>
      </w:r>
      <w:r>
        <w:rPr>
          <w:rFonts w:hint="eastAsia" w:ascii="仿宋" w:hAnsi="仿宋" w:eastAsia="仿宋" w:cs="仿宋"/>
          <w:color w:val="auto"/>
          <w:kern w:val="0"/>
          <w:sz w:val="32"/>
          <w:szCs w:val="32"/>
          <w:highlight w:val="none"/>
          <w:lang w:val="en-US" w:eastAsia="zh-CN"/>
        </w:rPr>
        <w:t>或盖章</w:t>
      </w:r>
      <w:r>
        <w:rPr>
          <w:rFonts w:hint="eastAsia" w:ascii="仿宋" w:hAnsi="仿宋" w:eastAsia="仿宋" w:cs="仿宋"/>
          <w:color w:val="auto"/>
          <w:kern w:val="0"/>
          <w:sz w:val="32"/>
          <w:szCs w:val="32"/>
          <w:highlight w:val="none"/>
        </w:rPr>
        <w:t>）</w:t>
      </w:r>
    </w:p>
    <w:p w14:paraId="1B2B4FCF">
      <w:pPr>
        <w:snapToGrid w:val="0"/>
        <w:spacing w:before="480" w:line="360" w:lineRule="auto"/>
        <w:ind w:firstLine="3526" w:firstLineChars="1102"/>
        <w:jc w:val="center"/>
        <w:rPr>
          <w:rFonts w:ascii="仿宋" w:hAnsi="仿宋" w:eastAsia="仿宋" w:cs="仿宋"/>
          <w:color w:val="auto"/>
          <w:kern w:val="0"/>
          <w:sz w:val="32"/>
          <w:szCs w:val="32"/>
          <w:highlight w:val="none"/>
        </w:rPr>
      </w:pPr>
    </w:p>
    <w:p w14:paraId="7680AA15">
      <w:pPr>
        <w:snapToGrid w:val="0"/>
        <w:spacing w:before="480" w:line="36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096FEB0F">
      <w:pPr>
        <w:pStyle w:val="2"/>
        <w:rPr>
          <w:rFonts w:ascii="仿宋" w:hAnsi="仿宋" w:eastAsia="仿宋" w:cs="仿宋"/>
          <w:color w:val="auto"/>
          <w:kern w:val="56"/>
          <w:sz w:val="28"/>
          <w:szCs w:val="28"/>
          <w:highlight w:val="none"/>
          <w:shd w:val="clear" w:color="auto" w:fill="FFFFFF"/>
        </w:rPr>
      </w:pPr>
    </w:p>
    <w:p w14:paraId="3C356620">
      <w:pPr>
        <w:snapToGrid w:val="0"/>
        <w:spacing w:line="560" w:lineRule="exact"/>
        <w:rPr>
          <w:rFonts w:hint="default" w:ascii="仿宋" w:hAnsi="仿宋" w:eastAsia="仿宋" w:cs="仿宋"/>
          <w:color w:val="auto"/>
          <w:kern w:val="56"/>
          <w:sz w:val="28"/>
          <w:szCs w:val="28"/>
          <w:highlight w:val="none"/>
          <w:shd w:val="clear" w:color="auto" w:fill="FFFFFF"/>
          <w:lang w:val="en-US" w:eastAsia="zh-CN"/>
        </w:rPr>
      </w:pPr>
      <w:bookmarkStart w:id="409" w:name="_Toc345575538"/>
      <w:bookmarkStart w:id="410" w:name="_Toc350453714"/>
      <w:bookmarkStart w:id="411" w:name="_Toc336683578"/>
      <w:r>
        <w:rPr>
          <w:rFonts w:ascii="仿宋" w:hAnsi="仿宋" w:eastAsia="仿宋" w:cs="仿宋"/>
          <w:color w:val="auto"/>
          <w:kern w:val="56"/>
          <w:sz w:val="28"/>
          <w:szCs w:val="28"/>
          <w:highlight w:val="none"/>
          <w:shd w:val="clear" w:color="auto" w:fill="FFFFFF"/>
        </w:rPr>
        <w:t>一、</w:t>
      </w:r>
      <w:bookmarkEnd w:id="409"/>
      <w:bookmarkEnd w:id="410"/>
      <w:bookmarkEnd w:id="411"/>
      <w:r>
        <w:rPr>
          <w:rFonts w:hint="eastAsia" w:ascii="仿宋" w:hAnsi="仿宋" w:eastAsia="仿宋" w:cs="仿宋"/>
          <w:color w:val="auto"/>
          <w:kern w:val="56"/>
          <w:sz w:val="28"/>
          <w:szCs w:val="28"/>
          <w:highlight w:val="none"/>
          <w:shd w:val="clear" w:color="auto" w:fill="FFFFFF"/>
          <w:lang w:val="en-US" w:eastAsia="zh-CN"/>
        </w:rPr>
        <w:t>投标函格式</w:t>
      </w:r>
    </w:p>
    <w:p w14:paraId="2EEAF7B4">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center"/>
        <w:textAlignment w:val="auto"/>
        <w:rPr>
          <w:rFonts w:hint="eastAsia" w:ascii="仿宋" w:hAnsi="仿宋" w:eastAsia="仿宋" w:cs="仿宋"/>
          <w:color w:val="auto"/>
          <w:kern w:val="56"/>
          <w:sz w:val="36"/>
          <w:szCs w:val="36"/>
          <w:highlight w:val="none"/>
          <w:shd w:val="clear" w:color="auto" w:fill="FFFFFF"/>
          <w:lang w:val="en-US" w:eastAsia="zh-CN"/>
        </w:rPr>
      </w:pPr>
      <w:r>
        <w:rPr>
          <w:rFonts w:hint="eastAsia" w:ascii="仿宋" w:hAnsi="仿宋" w:eastAsia="仿宋" w:cs="仿宋"/>
          <w:color w:val="auto"/>
          <w:kern w:val="56"/>
          <w:sz w:val="36"/>
          <w:szCs w:val="36"/>
          <w:highlight w:val="none"/>
          <w:shd w:val="clear" w:color="auto" w:fill="FFFFFF"/>
          <w:lang w:val="en-US" w:eastAsia="zh-CN"/>
        </w:rPr>
        <w:t>投标函</w:t>
      </w:r>
    </w:p>
    <w:p w14:paraId="430954D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衢州市发展和改革委员会</w:t>
      </w:r>
      <w:r>
        <w:rPr>
          <w:rFonts w:ascii="仿宋" w:hAnsi="仿宋" w:eastAsia="仿宋" w:cs="仿宋"/>
          <w:color w:val="auto"/>
          <w:kern w:val="56"/>
          <w:sz w:val="28"/>
          <w:szCs w:val="28"/>
          <w:highlight w:val="none"/>
          <w:shd w:val="clear" w:color="auto" w:fill="FFFFFF"/>
        </w:rPr>
        <w:t>：</w:t>
      </w:r>
    </w:p>
    <w:p w14:paraId="5E56999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衢州艾凌项目管理咨询有限公司</w:t>
      </w:r>
      <w:r>
        <w:rPr>
          <w:rFonts w:ascii="仿宋" w:hAnsi="仿宋" w:eastAsia="仿宋" w:cs="仿宋"/>
          <w:color w:val="auto"/>
          <w:kern w:val="56"/>
          <w:sz w:val="28"/>
          <w:szCs w:val="28"/>
          <w:highlight w:val="none"/>
          <w:shd w:val="clear" w:color="auto" w:fill="FFFFFF"/>
        </w:rPr>
        <w:t>：</w:t>
      </w:r>
    </w:p>
    <w:p w14:paraId="45B492F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u w:val="single"/>
          <w:shd w:val="clear" w:color="auto" w:fill="FFFFFF"/>
        </w:rPr>
        <w:t xml:space="preserve">（供应商全称）     </w:t>
      </w:r>
      <w:r>
        <w:rPr>
          <w:rFonts w:ascii="仿宋" w:hAnsi="仿宋" w:eastAsia="仿宋" w:cs="仿宋"/>
          <w:color w:val="auto"/>
          <w:kern w:val="56"/>
          <w:sz w:val="28"/>
          <w:szCs w:val="28"/>
          <w:highlight w:val="none"/>
          <w:shd w:val="clear" w:color="auto" w:fill="FFFFFF"/>
        </w:rPr>
        <w:t>参加你方组织的</w:t>
      </w:r>
      <w:r>
        <w:rPr>
          <w:rFonts w:hint="eastAsia" w:ascii="仿宋" w:hAnsi="仿宋" w:eastAsia="仿宋" w:cs="仿宋"/>
          <w:color w:val="auto"/>
          <w:kern w:val="56"/>
          <w:sz w:val="28"/>
          <w:szCs w:val="28"/>
          <w:highlight w:val="none"/>
          <w:shd w:val="clear" w:color="auto" w:fill="FFFFFF"/>
          <w:lang w:eastAsia="zh-CN"/>
        </w:rPr>
        <w:t>衢州市发展和改革委员会</w:t>
      </w:r>
      <w:r>
        <w:rPr>
          <w:rFonts w:ascii="仿宋" w:hAnsi="仿宋" w:eastAsia="仿宋" w:cs="仿宋"/>
          <w:color w:val="auto"/>
          <w:kern w:val="56"/>
          <w:sz w:val="28"/>
          <w:szCs w:val="28"/>
          <w:highlight w:val="none"/>
          <w:shd w:val="clear" w:color="auto" w:fill="FFFFFF"/>
        </w:rPr>
        <w:t>（采购人）</w:t>
      </w:r>
      <w:r>
        <w:rPr>
          <w:rFonts w:hint="eastAsia" w:ascii="仿宋" w:hAnsi="仿宋" w:eastAsia="仿宋" w:cs="仿宋"/>
          <w:color w:val="auto"/>
          <w:kern w:val="56"/>
          <w:sz w:val="28"/>
          <w:szCs w:val="28"/>
          <w:highlight w:val="none"/>
          <w:shd w:val="clear" w:color="auto" w:fill="FFFFFF"/>
          <w:lang w:eastAsia="zh-CN"/>
        </w:rPr>
        <w:t>2024-2025年度衢州市级优化用电营商环境综合保险服务项目</w:t>
      </w: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shd w:val="clear" w:color="auto" w:fill="FFFFFF"/>
          <w:lang w:eastAsia="zh-CN"/>
        </w:rPr>
        <w:t>qzal2024-030</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（项目编号）的采购活动，并对</w:t>
      </w:r>
      <w:r>
        <w:rPr>
          <w:rFonts w:hint="eastAsia" w:ascii="仿宋" w:hAnsi="仿宋" w:eastAsia="仿宋" w:cs="仿宋"/>
          <w:color w:val="auto"/>
          <w:kern w:val="56"/>
          <w:sz w:val="28"/>
          <w:szCs w:val="28"/>
          <w:highlight w:val="none"/>
          <w:shd w:val="clear" w:color="auto" w:fill="FFFFFF"/>
          <w:lang w:eastAsia="zh-CN"/>
        </w:rPr>
        <w:t>2024-2025年度衢州市级优化用电营商环境综合保险服务项目</w:t>
      </w:r>
      <w:r>
        <w:rPr>
          <w:rFonts w:ascii="仿宋" w:hAnsi="仿宋" w:eastAsia="仿宋" w:cs="仿宋"/>
          <w:color w:val="auto"/>
          <w:kern w:val="56"/>
          <w:sz w:val="28"/>
          <w:szCs w:val="28"/>
          <w:highlight w:val="none"/>
          <w:shd w:val="clear" w:color="auto" w:fill="FFFFFF"/>
        </w:rPr>
        <w:t>（标项名称）进行响应。为此我方：</w:t>
      </w:r>
    </w:p>
    <w:p w14:paraId="2C22BB6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1、承诺在</w:t>
      </w:r>
      <w:r>
        <w:rPr>
          <w:rFonts w:hint="eastAsia" w:ascii="仿宋" w:hAnsi="仿宋" w:eastAsia="仿宋" w:cs="仿宋"/>
          <w:color w:val="auto"/>
          <w:kern w:val="56"/>
          <w:sz w:val="28"/>
          <w:szCs w:val="28"/>
          <w:highlight w:val="none"/>
          <w:shd w:val="clear" w:color="auto" w:fill="FFFFFF"/>
          <w:lang w:val="en-US" w:eastAsia="zh-CN"/>
        </w:rPr>
        <w:t>投标</w:t>
      </w:r>
      <w:r>
        <w:rPr>
          <w:rFonts w:ascii="仿宋" w:hAnsi="仿宋" w:eastAsia="仿宋" w:cs="仿宋"/>
          <w:color w:val="auto"/>
          <w:kern w:val="56"/>
          <w:sz w:val="28"/>
          <w:szCs w:val="28"/>
          <w:highlight w:val="none"/>
          <w:shd w:val="clear" w:color="auto" w:fill="FFFFFF"/>
        </w:rPr>
        <w:t>须知规定的</w:t>
      </w:r>
      <w:r>
        <w:rPr>
          <w:rFonts w:hint="eastAsia" w:ascii="仿宋" w:hAnsi="仿宋" w:eastAsia="仿宋" w:cs="仿宋"/>
          <w:color w:val="auto"/>
          <w:kern w:val="56"/>
          <w:sz w:val="28"/>
          <w:szCs w:val="28"/>
          <w:highlight w:val="none"/>
          <w:shd w:val="clear" w:color="auto" w:fill="FFFFFF"/>
          <w:lang w:eastAsia="zh-CN"/>
        </w:rPr>
        <w:t>响应文件</w:t>
      </w:r>
      <w:r>
        <w:rPr>
          <w:rFonts w:ascii="仿宋" w:hAnsi="仿宋" w:eastAsia="仿宋" w:cs="仿宋"/>
          <w:color w:val="auto"/>
          <w:kern w:val="56"/>
          <w:sz w:val="28"/>
          <w:szCs w:val="28"/>
          <w:highlight w:val="none"/>
          <w:shd w:val="clear" w:color="auto" w:fill="FFFFFF"/>
        </w:rPr>
        <w:t>提交截止日起遵守本</w:t>
      </w:r>
      <w:r>
        <w:rPr>
          <w:rFonts w:hint="eastAsia" w:ascii="仿宋" w:hAnsi="仿宋" w:eastAsia="仿宋" w:cs="仿宋"/>
          <w:color w:val="auto"/>
          <w:kern w:val="56"/>
          <w:sz w:val="28"/>
          <w:szCs w:val="28"/>
          <w:highlight w:val="none"/>
          <w:shd w:val="clear" w:color="auto" w:fill="FFFFFF"/>
          <w:lang w:eastAsia="zh-CN"/>
        </w:rPr>
        <w:t>响应文件</w:t>
      </w:r>
      <w:r>
        <w:rPr>
          <w:rFonts w:ascii="仿宋" w:hAnsi="仿宋" w:eastAsia="仿宋" w:cs="仿宋"/>
          <w:color w:val="auto"/>
          <w:kern w:val="56"/>
          <w:sz w:val="28"/>
          <w:szCs w:val="28"/>
          <w:highlight w:val="none"/>
          <w:shd w:val="clear" w:color="auto" w:fill="FFFFFF"/>
        </w:rPr>
        <w:t>中的承诺，且在</w:t>
      </w:r>
      <w:r>
        <w:rPr>
          <w:rFonts w:hint="eastAsia" w:ascii="仿宋" w:hAnsi="仿宋" w:eastAsia="仿宋" w:cs="仿宋"/>
          <w:color w:val="auto"/>
          <w:kern w:val="56"/>
          <w:sz w:val="28"/>
          <w:szCs w:val="28"/>
          <w:highlight w:val="none"/>
          <w:shd w:val="clear" w:color="auto" w:fill="FFFFFF"/>
          <w:lang w:eastAsia="zh-CN"/>
        </w:rPr>
        <w:t>响应文件</w:t>
      </w:r>
      <w:r>
        <w:rPr>
          <w:rFonts w:ascii="仿宋" w:hAnsi="仿宋" w:eastAsia="仿宋" w:cs="仿宋"/>
          <w:color w:val="auto"/>
          <w:kern w:val="56"/>
          <w:sz w:val="28"/>
          <w:szCs w:val="28"/>
          <w:highlight w:val="none"/>
          <w:shd w:val="clear" w:color="auto" w:fill="FFFFFF"/>
        </w:rPr>
        <w:t>有效期满之前均具有约束力。</w:t>
      </w:r>
    </w:p>
    <w:p w14:paraId="78023F1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2、承诺已经具备本项目采购文件规定的参加本项目政府采购活动的供应商应当具备的资格条件。</w:t>
      </w:r>
    </w:p>
    <w:p w14:paraId="35D610B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3、已详细审核全部采购文件，包括采购文件补充文件（如果有）、有关附件，确认无误。</w:t>
      </w:r>
    </w:p>
    <w:p w14:paraId="02270A4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4、提供</w:t>
      </w:r>
      <w:r>
        <w:rPr>
          <w:rFonts w:hint="eastAsia" w:ascii="仿宋" w:hAnsi="仿宋" w:eastAsia="仿宋" w:cs="仿宋"/>
          <w:color w:val="auto"/>
          <w:kern w:val="56"/>
          <w:sz w:val="28"/>
          <w:szCs w:val="28"/>
          <w:highlight w:val="none"/>
          <w:shd w:val="clear" w:color="auto" w:fill="FFFFFF"/>
          <w:lang w:val="en-US" w:eastAsia="zh-CN"/>
        </w:rPr>
        <w:t>投标</w:t>
      </w:r>
      <w:r>
        <w:rPr>
          <w:rFonts w:ascii="仿宋" w:hAnsi="仿宋" w:eastAsia="仿宋" w:cs="仿宋"/>
          <w:color w:val="auto"/>
          <w:kern w:val="56"/>
          <w:sz w:val="28"/>
          <w:szCs w:val="28"/>
          <w:highlight w:val="none"/>
          <w:shd w:val="clear" w:color="auto" w:fill="FFFFFF"/>
        </w:rPr>
        <w:t>须知规定的全部</w:t>
      </w:r>
      <w:r>
        <w:rPr>
          <w:rFonts w:hint="eastAsia" w:ascii="仿宋" w:hAnsi="仿宋" w:eastAsia="仿宋" w:cs="仿宋"/>
          <w:color w:val="auto"/>
          <w:kern w:val="56"/>
          <w:sz w:val="28"/>
          <w:szCs w:val="28"/>
          <w:highlight w:val="none"/>
          <w:shd w:val="clear" w:color="auto" w:fill="FFFFFF"/>
          <w:lang w:eastAsia="zh-CN"/>
        </w:rPr>
        <w:t>响应文件</w:t>
      </w:r>
      <w:r>
        <w:rPr>
          <w:rFonts w:ascii="仿宋" w:hAnsi="仿宋" w:eastAsia="仿宋" w:cs="仿宋"/>
          <w:color w:val="auto"/>
          <w:kern w:val="56"/>
          <w:sz w:val="28"/>
          <w:szCs w:val="28"/>
          <w:highlight w:val="none"/>
          <w:shd w:val="clear" w:color="auto" w:fill="FFFFFF"/>
        </w:rPr>
        <w:t>。</w:t>
      </w:r>
    </w:p>
    <w:p w14:paraId="1693165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5、报价详见《报价一览表》。</w:t>
      </w:r>
    </w:p>
    <w:p w14:paraId="2CE4228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6、保证遵守采购文件中的其他有关规定。</w:t>
      </w:r>
    </w:p>
    <w:p w14:paraId="349DEDE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7、我</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自愿参加本项目的</w:t>
      </w:r>
      <w:r>
        <w:rPr>
          <w:rFonts w:hint="eastAsia" w:ascii="仿宋" w:hAnsi="仿宋" w:eastAsia="仿宋" w:cs="仿宋"/>
          <w:color w:val="auto"/>
          <w:kern w:val="56"/>
          <w:sz w:val="28"/>
          <w:szCs w:val="28"/>
          <w:highlight w:val="none"/>
          <w:shd w:val="clear" w:color="auto" w:fill="FFFFFF"/>
        </w:rPr>
        <w:t>询价</w:t>
      </w:r>
      <w:r>
        <w:rPr>
          <w:rFonts w:ascii="仿宋" w:hAnsi="仿宋" w:eastAsia="仿宋" w:cs="仿宋"/>
          <w:color w:val="auto"/>
          <w:kern w:val="56"/>
          <w:sz w:val="28"/>
          <w:szCs w:val="28"/>
          <w:highlight w:val="none"/>
          <w:shd w:val="clear" w:color="auto" w:fill="FFFFFF"/>
        </w:rPr>
        <w:t>，并保证响应文件中所列举的报价文件及相关资料和</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基本情况资料是真实的、合法的。愿意向你方提供任何与该项目</w:t>
      </w:r>
      <w:r>
        <w:rPr>
          <w:rFonts w:hint="eastAsia" w:ascii="仿宋" w:hAnsi="仿宋" w:eastAsia="仿宋" w:cs="仿宋"/>
          <w:color w:val="auto"/>
          <w:kern w:val="56"/>
          <w:sz w:val="28"/>
          <w:szCs w:val="28"/>
          <w:highlight w:val="none"/>
          <w:shd w:val="clear" w:color="auto" w:fill="FFFFFF"/>
        </w:rPr>
        <w:t>采购</w:t>
      </w:r>
      <w:r>
        <w:rPr>
          <w:rFonts w:ascii="仿宋" w:hAnsi="仿宋" w:eastAsia="仿宋" w:cs="仿宋"/>
          <w:color w:val="auto"/>
          <w:kern w:val="56"/>
          <w:sz w:val="28"/>
          <w:szCs w:val="28"/>
          <w:highlight w:val="none"/>
          <w:shd w:val="clear" w:color="auto" w:fill="FFFFFF"/>
        </w:rPr>
        <w:t>有关的数据、情况和技术资料。若你方需要，愿意提供我方做出的一切承诺的证明材料。</w:t>
      </w:r>
    </w:p>
    <w:p w14:paraId="313CD24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8、保证忠实地执行双方所签订的合同，并承担合同规定的责任和义务。</w:t>
      </w:r>
    </w:p>
    <w:p w14:paraId="7128094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9、承诺不存在以下行为：</w:t>
      </w:r>
    </w:p>
    <w:p w14:paraId="7BC7495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a）提供虚假材料谋取中标、成交的；</w:t>
      </w:r>
    </w:p>
    <w:p w14:paraId="7C75971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b）采取不正当手段诋毁、排挤其他供应商的；</w:t>
      </w:r>
    </w:p>
    <w:p w14:paraId="64E9B8F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c）与采购人、其它供应商或者采购代理机构恶意串通的；</w:t>
      </w:r>
    </w:p>
    <w:p w14:paraId="7E86201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d）向采购人、采购代理机构行贿或者提供其他不正当利益的；</w:t>
      </w:r>
    </w:p>
    <w:p w14:paraId="1809081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e）拒绝有关部门监督检查或提供虚假情况的。</w:t>
      </w:r>
    </w:p>
    <w:p w14:paraId="5B8D5E1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10、本</w:t>
      </w:r>
      <w:r>
        <w:rPr>
          <w:rFonts w:hint="eastAsia" w:ascii="仿宋" w:hAnsi="仿宋" w:eastAsia="仿宋" w:cs="仿宋"/>
          <w:color w:val="auto"/>
          <w:kern w:val="56"/>
          <w:sz w:val="28"/>
          <w:szCs w:val="28"/>
          <w:highlight w:val="none"/>
          <w:shd w:val="clear" w:color="auto" w:fill="FFFFFF"/>
          <w:lang w:eastAsia="zh-CN"/>
        </w:rPr>
        <w:t>响应文件</w:t>
      </w:r>
      <w:r>
        <w:rPr>
          <w:rFonts w:ascii="仿宋" w:hAnsi="仿宋" w:eastAsia="仿宋" w:cs="仿宋"/>
          <w:color w:val="auto"/>
          <w:kern w:val="56"/>
          <w:sz w:val="28"/>
          <w:szCs w:val="28"/>
          <w:highlight w:val="none"/>
          <w:shd w:val="clear" w:color="auto" w:fill="FFFFFF"/>
        </w:rPr>
        <w:t>自</w:t>
      </w:r>
      <w:r>
        <w:rPr>
          <w:rFonts w:hint="eastAsia" w:ascii="仿宋" w:hAnsi="仿宋" w:eastAsia="仿宋" w:cs="仿宋"/>
          <w:color w:val="auto"/>
          <w:kern w:val="56"/>
          <w:sz w:val="28"/>
          <w:szCs w:val="28"/>
          <w:highlight w:val="none"/>
          <w:shd w:val="clear" w:color="auto" w:fill="FFFFFF"/>
        </w:rPr>
        <w:t>询价</w:t>
      </w:r>
      <w:r>
        <w:rPr>
          <w:rFonts w:ascii="仿宋" w:hAnsi="仿宋" w:eastAsia="仿宋" w:cs="仿宋"/>
          <w:color w:val="auto"/>
          <w:kern w:val="56"/>
          <w:sz w:val="28"/>
          <w:szCs w:val="28"/>
          <w:highlight w:val="none"/>
          <w:shd w:val="clear" w:color="auto" w:fill="FFFFFF"/>
        </w:rPr>
        <w:t>之日起</w:t>
      </w:r>
      <w:r>
        <w:rPr>
          <w:rFonts w:hint="eastAsia" w:ascii="仿宋" w:hAnsi="仿宋" w:eastAsia="仿宋" w:cs="仿宋"/>
          <w:color w:val="auto"/>
          <w:kern w:val="56"/>
          <w:sz w:val="28"/>
          <w:szCs w:val="28"/>
          <w:highlight w:val="none"/>
          <w:shd w:val="clear" w:color="auto" w:fill="FFFFFF"/>
        </w:rPr>
        <w:t>90</w:t>
      </w:r>
      <w:r>
        <w:rPr>
          <w:rFonts w:ascii="仿宋" w:hAnsi="仿宋" w:eastAsia="仿宋" w:cs="仿宋"/>
          <w:color w:val="auto"/>
          <w:kern w:val="56"/>
          <w:sz w:val="28"/>
          <w:szCs w:val="28"/>
          <w:highlight w:val="none"/>
          <w:shd w:val="clear" w:color="auto" w:fill="FFFFFF"/>
        </w:rPr>
        <w:t>天内有效（如成交，顺延至合同结束）。</w:t>
      </w:r>
    </w:p>
    <w:p w14:paraId="1480402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11、承诺，</w:t>
      </w:r>
      <w:r>
        <w:rPr>
          <w:rFonts w:hint="eastAsia" w:ascii="仿宋" w:hAnsi="仿宋" w:eastAsia="仿宋" w:cs="仿宋"/>
          <w:color w:val="auto"/>
          <w:kern w:val="56"/>
          <w:sz w:val="28"/>
          <w:szCs w:val="28"/>
          <w:highlight w:val="none"/>
          <w:shd w:val="clear" w:color="auto" w:fill="FFFFFF"/>
          <w:lang w:eastAsia="zh-CN"/>
        </w:rPr>
        <w:t>响应文件</w:t>
      </w:r>
      <w:r>
        <w:rPr>
          <w:rFonts w:ascii="仿宋" w:hAnsi="仿宋" w:eastAsia="仿宋" w:cs="仿宋"/>
          <w:color w:val="auto"/>
          <w:kern w:val="56"/>
          <w:sz w:val="28"/>
          <w:szCs w:val="28"/>
          <w:highlight w:val="none"/>
          <w:shd w:val="clear" w:color="auto" w:fill="FFFFFF"/>
        </w:rPr>
        <w:t>有效期内我</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如果撤销</w:t>
      </w:r>
      <w:r>
        <w:rPr>
          <w:rFonts w:hint="eastAsia" w:ascii="仿宋" w:hAnsi="仿宋" w:eastAsia="仿宋" w:cs="仿宋"/>
          <w:color w:val="auto"/>
          <w:kern w:val="56"/>
          <w:sz w:val="28"/>
          <w:szCs w:val="28"/>
          <w:highlight w:val="none"/>
          <w:shd w:val="clear" w:color="auto" w:fill="FFFFFF"/>
          <w:lang w:eastAsia="zh-CN"/>
        </w:rPr>
        <w:t>响应文件</w:t>
      </w:r>
      <w:r>
        <w:rPr>
          <w:rFonts w:ascii="仿宋" w:hAnsi="仿宋" w:eastAsia="仿宋" w:cs="仿宋"/>
          <w:color w:val="auto"/>
          <w:kern w:val="56"/>
          <w:sz w:val="28"/>
          <w:szCs w:val="28"/>
          <w:highlight w:val="none"/>
          <w:shd w:val="clear" w:color="auto" w:fill="FFFFFF"/>
        </w:rPr>
        <w:t>的，我</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接受采购人提出的索赔。</w:t>
      </w:r>
    </w:p>
    <w:p w14:paraId="7D71F9D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p>
    <w:p w14:paraId="17AB8C0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p>
    <w:p w14:paraId="7686083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w:t>
      </w:r>
      <w:r>
        <w:rPr>
          <w:rFonts w:hint="eastAsia" w:ascii="仿宋" w:hAnsi="仿宋" w:eastAsia="仿宋" w:cs="仿宋"/>
          <w:color w:val="auto"/>
          <w:kern w:val="56"/>
          <w:sz w:val="28"/>
          <w:szCs w:val="28"/>
          <w:highlight w:val="none"/>
          <w:shd w:val="clear" w:color="auto" w:fill="FFFFFF"/>
          <w:lang w:val="en-US" w:eastAsia="zh-CN"/>
        </w:rPr>
        <w:t>电子签章</w:t>
      </w:r>
      <w:r>
        <w:rPr>
          <w:rFonts w:ascii="仿宋" w:hAnsi="仿宋" w:eastAsia="仿宋" w:cs="仿宋"/>
          <w:color w:val="auto"/>
          <w:kern w:val="56"/>
          <w:sz w:val="28"/>
          <w:szCs w:val="28"/>
          <w:highlight w:val="none"/>
          <w:shd w:val="clear" w:color="auto" w:fill="FFFFFF"/>
        </w:rPr>
        <w:t>）</w:t>
      </w:r>
    </w:p>
    <w:p w14:paraId="01FE27C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val="en-US" w:eastAsia="zh-CN"/>
        </w:rPr>
        <w:t xml:space="preserve">  </w:t>
      </w:r>
      <w:r>
        <w:rPr>
          <w:rFonts w:ascii="仿宋" w:hAnsi="仿宋" w:eastAsia="仿宋" w:cs="仿宋"/>
          <w:color w:val="auto"/>
          <w:kern w:val="56"/>
          <w:sz w:val="28"/>
          <w:szCs w:val="28"/>
          <w:highlight w:val="none"/>
          <w:shd w:val="clear" w:color="auto" w:fill="FFFFFF"/>
        </w:rPr>
        <w:t>年</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月</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日</w:t>
      </w:r>
    </w:p>
    <w:p w14:paraId="6E3DE3B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单位地址：    </w:t>
      </w:r>
    </w:p>
    <w:p w14:paraId="42AC6CB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邮编：     </w:t>
      </w:r>
    </w:p>
    <w:p w14:paraId="69C6B9F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电话：     </w:t>
      </w:r>
    </w:p>
    <w:p w14:paraId="4E01E9D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 w:eastAsia="仿宋_GB2312" w:cs="仿宋_GB2312"/>
          <w:color w:val="auto"/>
          <w:kern w:val="0"/>
          <w:sz w:val="24"/>
          <w:highlight w:val="none"/>
          <w:u w:val="single"/>
          <w:lang w:val="zh-CN"/>
        </w:rPr>
      </w:pPr>
      <w:r>
        <w:rPr>
          <w:rFonts w:ascii="仿宋" w:hAnsi="仿宋" w:eastAsia="仿宋" w:cs="仿宋"/>
          <w:color w:val="auto"/>
          <w:kern w:val="56"/>
          <w:sz w:val="28"/>
          <w:szCs w:val="28"/>
          <w:highlight w:val="none"/>
          <w:shd w:val="clear" w:color="auto" w:fill="FFFFFF"/>
        </w:rPr>
        <w:t>传真：</w:t>
      </w:r>
    </w:p>
    <w:p w14:paraId="76E0FD7A">
      <w:pPr>
        <w:snapToGrid w:val="0"/>
        <w:spacing w:line="360" w:lineRule="auto"/>
        <w:jc w:val="center"/>
        <w:rPr>
          <w:rFonts w:ascii="仿宋_GB2312" w:hAnsi="仿宋" w:eastAsia="仿宋_GB2312" w:cs="仿宋_GB2312"/>
          <w:b/>
          <w:color w:val="auto"/>
          <w:kern w:val="0"/>
          <w:sz w:val="32"/>
          <w:szCs w:val="32"/>
          <w:highlight w:val="none"/>
          <w:lang w:val="zh-CN"/>
        </w:rPr>
      </w:pPr>
    </w:p>
    <w:p w14:paraId="45B27266">
      <w:pPr>
        <w:snapToGrid w:val="0"/>
        <w:spacing w:line="360" w:lineRule="auto"/>
        <w:rPr>
          <w:rFonts w:ascii="仿宋_GB2312" w:hAnsi="仿宋" w:eastAsia="仿宋_GB2312" w:cs="仿宋_GB2312"/>
          <w:color w:val="auto"/>
          <w:sz w:val="24"/>
          <w:highlight w:val="none"/>
        </w:rPr>
      </w:pPr>
    </w:p>
    <w:p w14:paraId="5CAC3F58">
      <w:pPr>
        <w:jc w:val="center"/>
        <w:rPr>
          <w:rFonts w:ascii="仿宋_GB2312" w:hAnsi="仿宋" w:eastAsia="仿宋_GB2312" w:cs="仿宋_GB2312"/>
          <w:b/>
          <w:color w:val="auto"/>
          <w:kern w:val="0"/>
          <w:sz w:val="32"/>
          <w:szCs w:val="32"/>
          <w:highlight w:val="none"/>
          <w:lang w:val="zh-CN"/>
        </w:rPr>
      </w:pPr>
    </w:p>
    <w:p w14:paraId="45DE9E94">
      <w:pPr>
        <w:jc w:val="center"/>
        <w:rPr>
          <w:rFonts w:ascii="仿宋_GB2312" w:hAnsi="仿宋" w:eastAsia="仿宋_GB2312" w:cs="仿宋_GB2312"/>
          <w:b/>
          <w:color w:val="auto"/>
          <w:kern w:val="0"/>
          <w:sz w:val="32"/>
          <w:szCs w:val="32"/>
          <w:highlight w:val="none"/>
          <w:lang w:val="zh-CN"/>
        </w:rPr>
      </w:pPr>
    </w:p>
    <w:p w14:paraId="64F584E1">
      <w:pPr>
        <w:jc w:val="center"/>
        <w:rPr>
          <w:rFonts w:ascii="仿宋_GB2312" w:hAnsi="仿宋" w:eastAsia="仿宋_GB2312" w:cs="仿宋_GB2312"/>
          <w:b/>
          <w:color w:val="auto"/>
          <w:kern w:val="0"/>
          <w:sz w:val="32"/>
          <w:szCs w:val="32"/>
          <w:highlight w:val="none"/>
          <w:lang w:val="zh-CN"/>
        </w:rPr>
      </w:pPr>
    </w:p>
    <w:p w14:paraId="47E0CB7F">
      <w:pPr>
        <w:jc w:val="center"/>
        <w:rPr>
          <w:rFonts w:ascii="仿宋_GB2312" w:hAnsi="仿宋" w:eastAsia="仿宋_GB2312" w:cs="仿宋_GB2312"/>
          <w:b/>
          <w:color w:val="auto"/>
          <w:kern w:val="0"/>
          <w:sz w:val="32"/>
          <w:szCs w:val="32"/>
          <w:highlight w:val="none"/>
          <w:lang w:val="zh-CN"/>
        </w:rPr>
      </w:pPr>
    </w:p>
    <w:p w14:paraId="088336AB">
      <w:pPr>
        <w:jc w:val="center"/>
        <w:rPr>
          <w:rFonts w:ascii="仿宋_GB2312" w:hAnsi="仿宋" w:eastAsia="仿宋_GB2312" w:cs="仿宋_GB2312"/>
          <w:b/>
          <w:color w:val="auto"/>
          <w:kern w:val="0"/>
          <w:sz w:val="32"/>
          <w:szCs w:val="32"/>
          <w:highlight w:val="none"/>
          <w:lang w:val="zh-CN"/>
        </w:rPr>
      </w:pPr>
    </w:p>
    <w:p w14:paraId="6F54CF69">
      <w:pPr>
        <w:jc w:val="both"/>
        <w:rPr>
          <w:rFonts w:ascii="仿宋_GB2312" w:hAnsi="仿宋" w:eastAsia="仿宋_GB2312" w:cs="仿宋_GB2312"/>
          <w:b/>
          <w:color w:val="auto"/>
          <w:kern w:val="0"/>
          <w:sz w:val="32"/>
          <w:szCs w:val="32"/>
          <w:highlight w:val="none"/>
          <w:lang w:val="zh-CN"/>
        </w:rPr>
      </w:pPr>
    </w:p>
    <w:p w14:paraId="1AAC32BC">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bookmarkStart w:id="412" w:name="_Toc345575539"/>
      <w:bookmarkStart w:id="413" w:name="_Toc336683579"/>
      <w:bookmarkStart w:id="414" w:name="_Toc350453715"/>
      <w:r>
        <w:rPr>
          <w:rFonts w:ascii="仿宋" w:hAnsi="仿宋" w:eastAsia="仿宋" w:cs="仿宋"/>
          <w:color w:val="auto"/>
          <w:kern w:val="56"/>
          <w:sz w:val="28"/>
          <w:szCs w:val="28"/>
          <w:highlight w:val="none"/>
          <w:shd w:val="clear" w:color="auto" w:fill="FFFFFF"/>
        </w:rPr>
        <w:t>二、报价一览表格式</w:t>
      </w:r>
      <w:bookmarkEnd w:id="412"/>
      <w:bookmarkEnd w:id="413"/>
      <w:bookmarkEnd w:id="414"/>
    </w:p>
    <w:p w14:paraId="16B627D7">
      <w:pPr>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报价一览表</w:t>
      </w:r>
      <w:r>
        <w:rPr>
          <w:rFonts w:hint="eastAsia" w:ascii="仿宋" w:hAnsi="仿宋" w:eastAsia="仿宋" w:cs="仿宋"/>
          <w:color w:val="auto"/>
          <w:kern w:val="56"/>
          <w:sz w:val="28"/>
          <w:szCs w:val="28"/>
          <w:highlight w:val="none"/>
          <w:shd w:val="clear" w:color="auto" w:fill="FFFFFF"/>
          <w:lang w:eastAsia="zh-CN"/>
        </w:rPr>
        <w:t>（</w:t>
      </w:r>
      <w:r>
        <w:rPr>
          <w:rFonts w:hint="eastAsia" w:ascii="仿宋" w:hAnsi="仿宋" w:eastAsia="仿宋" w:cs="仿宋"/>
          <w:color w:val="auto"/>
          <w:kern w:val="56"/>
          <w:sz w:val="28"/>
          <w:szCs w:val="28"/>
          <w:highlight w:val="none"/>
          <w:shd w:val="clear" w:color="auto" w:fill="FFFFFF"/>
          <w:lang w:val="en-US" w:eastAsia="zh-CN"/>
        </w:rPr>
        <w:t>标项一/标项二</w:t>
      </w:r>
      <w:r>
        <w:rPr>
          <w:rFonts w:hint="eastAsia" w:ascii="仿宋" w:hAnsi="仿宋" w:eastAsia="仿宋" w:cs="仿宋"/>
          <w:color w:val="auto"/>
          <w:kern w:val="56"/>
          <w:sz w:val="28"/>
          <w:szCs w:val="28"/>
          <w:highlight w:val="none"/>
          <w:shd w:val="clear" w:color="auto" w:fill="FFFFFF"/>
          <w:lang w:eastAsia="zh-CN"/>
        </w:rPr>
        <w:t>）</w:t>
      </w:r>
    </w:p>
    <w:p w14:paraId="55CCF75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采购人：</w:t>
      </w:r>
      <w:r>
        <w:rPr>
          <w:rFonts w:hint="eastAsia" w:ascii="仿宋" w:hAnsi="仿宋" w:eastAsia="仿宋" w:cs="仿宋"/>
          <w:color w:val="auto"/>
          <w:kern w:val="56"/>
          <w:sz w:val="28"/>
          <w:szCs w:val="28"/>
          <w:highlight w:val="none"/>
          <w:shd w:val="clear" w:color="auto" w:fill="FFFFFF"/>
          <w:lang w:eastAsia="zh-CN"/>
        </w:rPr>
        <w:t>衢州市发展和改革委员会</w:t>
      </w:r>
    </w:p>
    <w:p w14:paraId="7FB9E4F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shd w:val="clear" w:color="auto" w:fill="FFFFFF"/>
          <w:lang w:eastAsia="zh-CN"/>
        </w:rPr>
        <w:t>2024-2025年度衢州市级优化用电营商环境综合保险服务项目</w:t>
      </w:r>
    </w:p>
    <w:p w14:paraId="78101BAC">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项目编号：</w:t>
      </w:r>
      <w:r>
        <w:rPr>
          <w:rFonts w:hint="eastAsia" w:ascii="仿宋" w:hAnsi="仿宋" w:eastAsia="仿宋" w:cs="仿宋"/>
          <w:color w:val="auto"/>
          <w:kern w:val="56"/>
          <w:sz w:val="28"/>
          <w:szCs w:val="28"/>
          <w:highlight w:val="none"/>
          <w:shd w:val="clear" w:color="auto" w:fill="FFFFFF"/>
          <w:lang w:eastAsia="zh-CN"/>
        </w:rPr>
        <w:t>qzal2024-030</w:t>
      </w:r>
      <w:r>
        <w:rPr>
          <w:rFonts w:hint="eastAsia" w:ascii="仿宋" w:hAnsi="仿宋" w:eastAsia="仿宋" w:cs="仿宋"/>
          <w:color w:val="auto"/>
          <w:kern w:val="56"/>
          <w:sz w:val="28"/>
          <w:szCs w:val="28"/>
          <w:highlight w:val="none"/>
          <w:shd w:val="clear" w:color="auto" w:fill="FFFFFF"/>
        </w:rPr>
        <w:t xml:space="preserve"> </w:t>
      </w:r>
    </w:p>
    <w:tbl>
      <w:tblPr>
        <w:tblStyle w:val="63"/>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488"/>
        <w:gridCol w:w="838"/>
        <w:gridCol w:w="875"/>
        <w:gridCol w:w="3169"/>
      </w:tblGrid>
      <w:tr w14:paraId="23EB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08" w:type="dxa"/>
            <w:vAlign w:val="center"/>
          </w:tcPr>
          <w:p w14:paraId="2666E7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序号</w:t>
            </w:r>
          </w:p>
        </w:tc>
        <w:tc>
          <w:tcPr>
            <w:tcW w:w="3488" w:type="dxa"/>
            <w:vAlign w:val="center"/>
          </w:tcPr>
          <w:p w14:paraId="050AEA7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标项名称</w:t>
            </w:r>
          </w:p>
        </w:tc>
        <w:tc>
          <w:tcPr>
            <w:tcW w:w="838" w:type="dxa"/>
            <w:vAlign w:val="center"/>
          </w:tcPr>
          <w:p w14:paraId="61D0DF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数量</w:t>
            </w:r>
          </w:p>
        </w:tc>
        <w:tc>
          <w:tcPr>
            <w:tcW w:w="875" w:type="dxa"/>
            <w:vAlign w:val="center"/>
          </w:tcPr>
          <w:p w14:paraId="26A3FF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单位</w:t>
            </w:r>
          </w:p>
        </w:tc>
        <w:tc>
          <w:tcPr>
            <w:tcW w:w="3169" w:type="dxa"/>
            <w:vAlign w:val="center"/>
          </w:tcPr>
          <w:p w14:paraId="18E9AE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56"/>
                <w:sz w:val="28"/>
                <w:szCs w:val="28"/>
                <w:highlight w:val="none"/>
                <w:shd w:val="clear" w:color="auto" w:fill="FFFFFF"/>
                <w:lang w:eastAsia="zh-CN"/>
              </w:rPr>
            </w:pPr>
            <w:r>
              <w:rPr>
                <w:rFonts w:hint="eastAsia" w:ascii="仿宋" w:hAnsi="仿宋" w:eastAsia="仿宋" w:cs="仿宋"/>
                <w:color w:val="auto"/>
                <w:kern w:val="56"/>
                <w:sz w:val="28"/>
                <w:szCs w:val="28"/>
                <w:highlight w:val="none"/>
                <w:shd w:val="clear" w:color="auto" w:fill="FFFFFF"/>
                <w:lang w:eastAsia="zh-CN"/>
              </w:rPr>
              <w:t>备注</w:t>
            </w:r>
          </w:p>
        </w:tc>
      </w:tr>
      <w:tr w14:paraId="35E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908" w:type="dxa"/>
            <w:vAlign w:val="center"/>
          </w:tcPr>
          <w:p w14:paraId="3FD793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w:t>
            </w:r>
          </w:p>
        </w:tc>
        <w:tc>
          <w:tcPr>
            <w:tcW w:w="3488" w:type="dxa"/>
            <w:vAlign w:val="center"/>
          </w:tcPr>
          <w:p w14:paraId="595CA6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2024-2025年度衢州市级优化用电营商环境综合保险服务项目</w:t>
            </w:r>
          </w:p>
        </w:tc>
        <w:tc>
          <w:tcPr>
            <w:tcW w:w="838" w:type="dxa"/>
            <w:vAlign w:val="center"/>
          </w:tcPr>
          <w:p w14:paraId="647ADF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w:t>
            </w:r>
          </w:p>
        </w:tc>
        <w:tc>
          <w:tcPr>
            <w:tcW w:w="875" w:type="dxa"/>
            <w:vAlign w:val="center"/>
          </w:tcPr>
          <w:p w14:paraId="6F60ED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项</w:t>
            </w:r>
          </w:p>
        </w:tc>
        <w:tc>
          <w:tcPr>
            <w:tcW w:w="3169" w:type="dxa"/>
            <w:vAlign w:val="center"/>
          </w:tcPr>
          <w:p w14:paraId="3B5FBC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56"/>
                <w:sz w:val="28"/>
                <w:szCs w:val="28"/>
                <w:highlight w:val="none"/>
                <w:shd w:val="clear" w:color="auto" w:fill="FFFFFF"/>
                <w:lang w:eastAsia="zh-CN"/>
              </w:rPr>
            </w:pPr>
            <w:r>
              <w:rPr>
                <w:rFonts w:hint="eastAsia" w:ascii="仿宋" w:hAnsi="仿宋" w:eastAsia="仿宋" w:cs="仿宋"/>
                <w:color w:val="auto"/>
                <w:kern w:val="56"/>
                <w:sz w:val="28"/>
                <w:szCs w:val="28"/>
                <w:highlight w:val="none"/>
                <w:shd w:val="clear" w:color="auto" w:fill="FFFFFF"/>
                <w:lang w:eastAsia="zh-CN"/>
              </w:rPr>
              <w:t>不得高于最高限价，否则作无效标处理</w:t>
            </w:r>
          </w:p>
        </w:tc>
      </w:tr>
      <w:tr w14:paraId="06F4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08" w:type="dxa"/>
            <w:vAlign w:val="center"/>
          </w:tcPr>
          <w:p w14:paraId="1A108D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w:t>
            </w:r>
          </w:p>
        </w:tc>
        <w:tc>
          <w:tcPr>
            <w:tcW w:w="3488" w:type="dxa"/>
            <w:vAlign w:val="center"/>
          </w:tcPr>
          <w:p w14:paraId="4192BDE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 w:hAnsi="仿宋" w:eastAsia="仿宋" w:cs="仿宋"/>
                <w:color w:val="auto"/>
                <w:kern w:val="56"/>
                <w:sz w:val="28"/>
                <w:szCs w:val="28"/>
                <w:highlight w:val="none"/>
                <w:shd w:val="clear" w:color="auto" w:fill="FFFFFF"/>
                <w:lang w:val="en-US" w:eastAsia="zh-CN"/>
              </w:rPr>
            </w:pPr>
            <w:r>
              <w:rPr>
                <w:rFonts w:hint="eastAsia" w:ascii="仿宋" w:hAnsi="仿宋" w:eastAsia="仿宋" w:cs="仿宋"/>
                <w:color w:val="auto"/>
                <w:kern w:val="56"/>
                <w:sz w:val="28"/>
                <w:szCs w:val="28"/>
                <w:highlight w:val="none"/>
                <w:shd w:val="clear" w:color="auto" w:fill="FFFFFF"/>
                <w:lang w:val="en-US" w:eastAsia="zh-CN"/>
              </w:rPr>
              <w:t>报价</w:t>
            </w:r>
          </w:p>
        </w:tc>
        <w:tc>
          <w:tcPr>
            <w:tcW w:w="4882" w:type="dxa"/>
            <w:gridSpan w:val="3"/>
            <w:vAlign w:val="center"/>
          </w:tcPr>
          <w:p w14:paraId="1DFB95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小写：￥</w:t>
            </w:r>
            <w:r>
              <w:rPr>
                <w:rFonts w:hint="eastAsia" w:ascii="仿宋" w:hAnsi="仿宋" w:eastAsia="仿宋" w:cs="仿宋"/>
                <w:color w:val="auto"/>
                <w:kern w:val="56"/>
                <w:sz w:val="28"/>
                <w:szCs w:val="28"/>
                <w:highlight w:val="none"/>
                <w:shd w:val="clear" w:color="auto" w:fill="FFFFFF"/>
              </w:rPr>
              <w:t xml:space="preserve"> </w:t>
            </w:r>
            <w:r>
              <w:rPr>
                <w:rFonts w:hint="eastAsia" w:ascii="仿宋" w:hAnsi="仿宋" w:eastAsia="仿宋" w:cs="仿宋"/>
                <w:color w:val="auto"/>
                <w:kern w:val="56"/>
                <w:sz w:val="28"/>
                <w:szCs w:val="28"/>
                <w:highlight w:val="none"/>
                <w:u w:val="single"/>
                <w:shd w:val="clear" w:color="auto" w:fill="FFFFFF"/>
              </w:rPr>
              <w:t xml:space="preserve">        </w:t>
            </w:r>
            <w:r>
              <w:rPr>
                <w:rFonts w:hint="eastAsia" w:ascii="仿宋" w:hAnsi="仿宋" w:eastAsia="仿宋" w:cs="仿宋"/>
                <w:color w:val="auto"/>
                <w:kern w:val="56"/>
                <w:sz w:val="28"/>
                <w:szCs w:val="28"/>
                <w:highlight w:val="none"/>
                <w:shd w:val="clear" w:color="auto" w:fill="FFFFFF"/>
              </w:rPr>
              <w:t>元</w:t>
            </w:r>
          </w:p>
          <w:p w14:paraId="2E8383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56"/>
                <w:sz w:val="28"/>
                <w:szCs w:val="28"/>
                <w:highlight w:val="none"/>
                <w:shd w:val="clear" w:color="auto" w:fill="FFFFFF"/>
                <w:lang w:val="en-US" w:eastAsia="zh-CN"/>
              </w:rPr>
            </w:pPr>
            <w:r>
              <w:rPr>
                <w:rFonts w:ascii="仿宋" w:hAnsi="仿宋" w:eastAsia="仿宋" w:cs="仿宋"/>
                <w:color w:val="auto"/>
                <w:kern w:val="56"/>
                <w:sz w:val="28"/>
                <w:szCs w:val="28"/>
                <w:highlight w:val="none"/>
                <w:shd w:val="clear" w:color="auto" w:fill="FFFFFF"/>
              </w:rPr>
              <w:t>大写：人民币</w:t>
            </w:r>
            <w:r>
              <w:rPr>
                <w:rFonts w:hint="eastAsia" w:ascii="仿宋" w:hAnsi="仿宋" w:eastAsia="仿宋" w:cs="仿宋"/>
                <w:color w:val="auto"/>
                <w:kern w:val="56"/>
                <w:sz w:val="28"/>
                <w:szCs w:val="28"/>
                <w:highlight w:val="none"/>
                <w:u w:val="single"/>
                <w:shd w:val="clear" w:color="auto" w:fill="FFFFFF"/>
              </w:rPr>
              <w:t xml:space="preserve">           </w:t>
            </w:r>
            <w:r>
              <w:rPr>
                <w:rFonts w:hint="eastAsia" w:ascii="仿宋" w:hAnsi="仿宋" w:eastAsia="仿宋" w:cs="仿宋"/>
                <w:color w:val="auto"/>
                <w:kern w:val="56"/>
                <w:sz w:val="28"/>
                <w:szCs w:val="28"/>
                <w:highlight w:val="none"/>
                <w:shd w:val="clear" w:color="auto" w:fill="FFFFFF"/>
              </w:rPr>
              <w:t>元</w:t>
            </w:r>
            <w:r>
              <w:rPr>
                <w:rFonts w:hint="eastAsia" w:ascii="仿宋" w:hAnsi="仿宋" w:eastAsia="仿宋" w:cs="仿宋"/>
                <w:color w:val="auto"/>
                <w:kern w:val="56"/>
                <w:sz w:val="28"/>
                <w:szCs w:val="28"/>
                <w:highlight w:val="none"/>
                <w:shd w:val="clear" w:color="auto" w:fill="FFFFFF"/>
                <w:lang w:val="en-US" w:eastAsia="zh-CN"/>
              </w:rPr>
              <w:t>整</w:t>
            </w:r>
          </w:p>
        </w:tc>
      </w:tr>
    </w:tbl>
    <w:p w14:paraId="49952CC0">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713335D9">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w:t>
      </w:r>
      <w:r>
        <w:rPr>
          <w:rFonts w:hint="eastAsia" w:ascii="仿宋" w:hAnsi="仿宋" w:eastAsia="仿宋" w:cs="仿宋"/>
          <w:color w:val="auto"/>
          <w:kern w:val="56"/>
          <w:sz w:val="28"/>
          <w:szCs w:val="28"/>
          <w:highlight w:val="none"/>
          <w:shd w:val="clear" w:color="auto" w:fill="FFFFFF"/>
          <w:lang w:eastAsia="zh-CN"/>
        </w:rPr>
        <w:t>电子签章</w:t>
      </w:r>
      <w:r>
        <w:rPr>
          <w:rFonts w:ascii="仿宋" w:hAnsi="仿宋" w:eastAsia="仿宋" w:cs="仿宋"/>
          <w:color w:val="auto"/>
          <w:kern w:val="56"/>
          <w:sz w:val="28"/>
          <w:szCs w:val="28"/>
          <w:highlight w:val="none"/>
          <w:shd w:val="clear" w:color="auto" w:fill="FFFFFF"/>
        </w:rPr>
        <w:t>）</w:t>
      </w:r>
    </w:p>
    <w:p w14:paraId="113537EE">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val="en-US" w:eastAsia="zh-CN"/>
        </w:rPr>
        <w:t xml:space="preserve">    </w:t>
      </w:r>
      <w:r>
        <w:rPr>
          <w:rFonts w:ascii="仿宋" w:hAnsi="仿宋" w:eastAsia="仿宋" w:cs="仿宋"/>
          <w:color w:val="auto"/>
          <w:kern w:val="56"/>
          <w:sz w:val="28"/>
          <w:szCs w:val="28"/>
          <w:highlight w:val="none"/>
          <w:shd w:val="clear" w:color="auto" w:fill="FFFFFF"/>
        </w:rPr>
        <w:t>年</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月</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日</w:t>
      </w:r>
    </w:p>
    <w:p w14:paraId="72E2330B">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48199833">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填写说明：大写金额与小写金额不一致时，以大写金额为准。</w:t>
      </w:r>
    </w:p>
    <w:p w14:paraId="3E781002">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2782D587">
      <w:pPr>
        <w:snapToGrid w:val="0"/>
        <w:spacing w:line="560" w:lineRule="exact"/>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br w:type="page"/>
      </w:r>
      <w:bookmarkStart w:id="415" w:name="_Toc14797"/>
      <w:bookmarkStart w:id="416" w:name="_Toc28113"/>
      <w:r>
        <w:rPr>
          <w:rFonts w:hint="eastAsia" w:ascii="仿宋" w:hAnsi="仿宋" w:eastAsia="仿宋" w:cs="仿宋"/>
          <w:color w:val="auto"/>
          <w:kern w:val="56"/>
          <w:sz w:val="28"/>
          <w:szCs w:val="28"/>
          <w:highlight w:val="none"/>
          <w:shd w:val="clear" w:color="auto" w:fill="FFFFFF"/>
        </w:rPr>
        <w:t>三</w:t>
      </w:r>
      <w:r>
        <w:rPr>
          <w:rFonts w:ascii="仿宋" w:hAnsi="仿宋" w:eastAsia="仿宋" w:cs="仿宋"/>
          <w:color w:val="auto"/>
          <w:kern w:val="56"/>
          <w:sz w:val="28"/>
          <w:szCs w:val="28"/>
          <w:highlight w:val="none"/>
          <w:shd w:val="clear" w:color="auto" w:fill="FFFFFF"/>
        </w:rPr>
        <w:t>、交纳采购代理服务费承诺书</w:t>
      </w:r>
      <w:bookmarkEnd w:id="415"/>
      <w:bookmarkEnd w:id="416"/>
    </w:p>
    <w:p w14:paraId="228C79F4">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70D3494F">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交纳采购代理服务费承诺书</w:t>
      </w:r>
    </w:p>
    <w:p w14:paraId="1B9309B5">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衢州艾凌项目管理咨询有限公司</w:t>
      </w:r>
      <w:r>
        <w:rPr>
          <w:rFonts w:ascii="仿宋" w:hAnsi="仿宋" w:eastAsia="仿宋" w:cs="仿宋"/>
          <w:color w:val="auto"/>
          <w:kern w:val="56"/>
          <w:sz w:val="28"/>
          <w:szCs w:val="28"/>
          <w:highlight w:val="none"/>
          <w:shd w:val="clear" w:color="auto" w:fill="FFFFFF"/>
        </w:rPr>
        <w:t>：</w:t>
      </w:r>
    </w:p>
    <w:p w14:paraId="51B2D3D6">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我单位在你公司组织的 </w:t>
      </w:r>
      <w:r>
        <w:rPr>
          <w:rFonts w:hint="eastAsia" w:ascii="仿宋" w:hAnsi="仿宋" w:eastAsia="仿宋" w:cs="仿宋"/>
          <w:color w:val="auto"/>
          <w:kern w:val="56"/>
          <w:sz w:val="28"/>
          <w:szCs w:val="28"/>
          <w:highlight w:val="none"/>
          <w:u w:val="single"/>
          <w:shd w:val="clear" w:color="auto" w:fill="FFFFFF"/>
          <w:lang w:eastAsia="zh-CN"/>
        </w:rPr>
        <w:t>衢州市发展和改革委员会</w:t>
      </w:r>
      <w:r>
        <w:rPr>
          <w:rFonts w:ascii="仿宋" w:hAnsi="仿宋" w:eastAsia="仿宋" w:cs="仿宋"/>
          <w:color w:val="auto"/>
          <w:kern w:val="56"/>
          <w:sz w:val="28"/>
          <w:szCs w:val="28"/>
          <w:highlight w:val="none"/>
          <w:u w:val="single"/>
          <w:shd w:val="clear" w:color="auto" w:fill="FFFFFF"/>
        </w:rPr>
        <w:t>（采购人）</w:t>
      </w:r>
      <w:r>
        <w:rPr>
          <w:rFonts w:hint="eastAsia" w:ascii="仿宋" w:hAnsi="仿宋" w:eastAsia="仿宋" w:cs="仿宋"/>
          <w:color w:val="auto"/>
          <w:kern w:val="56"/>
          <w:sz w:val="28"/>
          <w:szCs w:val="28"/>
          <w:highlight w:val="none"/>
          <w:u w:val="single"/>
          <w:shd w:val="clear" w:color="auto" w:fill="FFFFFF"/>
          <w:lang w:eastAsia="zh-CN"/>
        </w:rPr>
        <w:t>2024-2025年度衢州市级优化用电营商环境综合保险服务项目</w:t>
      </w: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u w:val="single"/>
          <w:shd w:val="clear" w:color="auto" w:fill="FFFFFF"/>
          <w:lang w:eastAsia="zh-CN"/>
        </w:rPr>
        <w:t>qzal2024-030</w:t>
      </w:r>
      <w:r>
        <w:rPr>
          <w:rFonts w:hint="eastAsia" w:ascii="仿宋" w:hAnsi="仿宋" w:eastAsia="仿宋" w:cs="仿宋"/>
          <w:color w:val="auto"/>
          <w:kern w:val="56"/>
          <w:sz w:val="28"/>
          <w:szCs w:val="28"/>
          <w:highlight w:val="none"/>
          <w:u w:val="single"/>
          <w:shd w:val="clear" w:color="auto" w:fill="FFFFFF"/>
        </w:rPr>
        <w:t xml:space="preserve"> </w:t>
      </w:r>
      <w:r>
        <w:rPr>
          <w:rFonts w:ascii="仿宋" w:hAnsi="仿宋" w:eastAsia="仿宋" w:cs="仿宋"/>
          <w:color w:val="auto"/>
          <w:kern w:val="56"/>
          <w:sz w:val="28"/>
          <w:szCs w:val="28"/>
          <w:highlight w:val="none"/>
          <w:shd w:val="clear" w:color="auto" w:fill="FFFFFF"/>
        </w:rPr>
        <w:t>（项目编号）的采购中若获成交，我单位保证按采购文件的规定，向你公司（即：</w:t>
      </w:r>
      <w:r>
        <w:rPr>
          <w:rFonts w:hint="eastAsia" w:ascii="仿宋" w:hAnsi="仿宋" w:eastAsia="仿宋" w:cs="仿宋"/>
          <w:color w:val="auto"/>
          <w:kern w:val="56"/>
          <w:sz w:val="28"/>
          <w:szCs w:val="28"/>
          <w:highlight w:val="none"/>
          <w:shd w:val="clear" w:color="auto" w:fill="FFFFFF"/>
          <w:lang w:eastAsia="zh-CN"/>
        </w:rPr>
        <w:t>衢州艾凌项目管理咨询有限公司</w:t>
      </w:r>
      <w:r>
        <w:rPr>
          <w:rFonts w:ascii="仿宋" w:hAnsi="仿宋" w:eastAsia="仿宋" w:cs="仿宋"/>
          <w:color w:val="auto"/>
          <w:kern w:val="56"/>
          <w:sz w:val="28"/>
          <w:szCs w:val="28"/>
          <w:highlight w:val="none"/>
          <w:shd w:val="clear" w:color="auto" w:fill="FFFFFF"/>
        </w:rPr>
        <w:t>）支付采购代理服务费。如我单位未按上述承诺支付采购代理服务费，你公司有权取消我单位成交资格，由此产生的一切法律后果和责任由我单位承担。我单位声明放弃对此提出任何异议和追索的权利。</w:t>
      </w:r>
    </w:p>
    <w:p w14:paraId="50DCBFE0">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0D640DFC">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特此承诺。</w:t>
      </w:r>
    </w:p>
    <w:p w14:paraId="6C1F7EB8">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w:t>
      </w:r>
      <w:r>
        <w:rPr>
          <w:rFonts w:hint="eastAsia" w:ascii="仿宋" w:hAnsi="仿宋" w:eastAsia="仿宋" w:cs="仿宋"/>
          <w:color w:val="auto"/>
          <w:kern w:val="56"/>
          <w:sz w:val="28"/>
          <w:szCs w:val="28"/>
          <w:highlight w:val="none"/>
          <w:shd w:val="clear" w:color="auto" w:fill="FFFFFF"/>
          <w:lang w:eastAsia="zh-CN"/>
        </w:rPr>
        <w:t>电子签章</w:t>
      </w:r>
      <w:r>
        <w:rPr>
          <w:rFonts w:ascii="仿宋" w:hAnsi="仿宋" w:eastAsia="仿宋" w:cs="仿宋"/>
          <w:color w:val="auto"/>
          <w:kern w:val="56"/>
          <w:sz w:val="28"/>
          <w:szCs w:val="28"/>
          <w:highlight w:val="none"/>
          <w:shd w:val="clear" w:color="auto" w:fill="FFFFFF"/>
        </w:rPr>
        <w:t>）</w:t>
      </w:r>
    </w:p>
    <w:p w14:paraId="55BDEDE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val="en-US" w:eastAsia="zh-CN"/>
        </w:rPr>
        <w:t xml:space="preserve">    </w:t>
      </w:r>
      <w:r>
        <w:rPr>
          <w:rFonts w:ascii="仿宋" w:hAnsi="仿宋" w:eastAsia="仿宋" w:cs="仿宋"/>
          <w:color w:val="auto"/>
          <w:kern w:val="56"/>
          <w:sz w:val="28"/>
          <w:szCs w:val="28"/>
          <w:highlight w:val="none"/>
          <w:shd w:val="clear" w:color="auto" w:fill="FFFFFF"/>
        </w:rPr>
        <w:t>年</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月</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日</w:t>
      </w:r>
    </w:p>
    <w:p w14:paraId="269EB6D3">
      <w:pPr>
        <w:snapToGrid w:val="0"/>
        <w:spacing w:line="560" w:lineRule="exact"/>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br w:type="page"/>
      </w:r>
      <w:bookmarkStart w:id="417" w:name="_Toc345575550"/>
      <w:bookmarkStart w:id="418" w:name="_Toc245088215"/>
      <w:r>
        <w:rPr>
          <w:rFonts w:hint="eastAsia" w:ascii="仿宋" w:hAnsi="仿宋" w:eastAsia="仿宋" w:cs="仿宋"/>
          <w:color w:val="auto"/>
          <w:kern w:val="56"/>
          <w:sz w:val="28"/>
          <w:szCs w:val="28"/>
          <w:highlight w:val="none"/>
          <w:shd w:val="clear" w:color="auto" w:fill="FFFFFF"/>
        </w:rPr>
        <w:t>四</w:t>
      </w:r>
      <w:r>
        <w:rPr>
          <w:rFonts w:ascii="仿宋" w:hAnsi="仿宋" w:eastAsia="仿宋" w:cs="仿宋"/>
          <w:color w:val="auto"/>
          <w:kern w:val="56"/>
          <w:sz w:val="28"/>
          <w:szCs w:val="28"/>
          <w:highlight w:val="none"/>
          <w:shd w:val="clear" w:color="auto" w:fill="FFFFFF"/>
        </w:rPr>
        <w:t>、</w:t>
      </w:r>
      <w:bookmarkEnd w:id="417"/>
      <w:bookmarkEnd w:id="418"/>
      <w:r>
        <w:rPr>
          <w:rFonts w:ascii="仿宋" w:hAnsi="仿宋" w:eastAsia="仿宋" w:cs="仿宋"/>
          <w:color w:val="auto"/>
          <w:kern w:val="56"/>
          <w:sz w:val="28"/>
          <w:szCs w:val="28"/>
          <w:highlight w:val="none"/>
          <w:shd w:val="clear" w:color="auto" w:fill="FFFFFF"/>
        </w:rPr>
        <w:t>廉政承诺书</w:t>
      </w:r>
    </w:p>
    <w:p w14:paraId="5406D1A2">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廉政承诺书</w:t>
      </w:r>
    </w:p>
    <w:p w14:paraId="2D6F554D">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衢州市发展和改革委员会</w:t>
      </w:r>
      <w:r>
        <w:rPr>
          <w:rFonts w:ascii="仿宋" w:hAnsi="仿宋" w:eastAsia="仿宋" w:cs="仿宋"/>
          <w:color w:val="auto"/>
          <w:kern w:val="56"/>
          <w:sz w:val="28"/>
          <w:szCs w:val="28"/>
          <w:highlight w:val="none"/>
          <w:shd w:val="clear" w:color="auto" w:fill="FFFFFF"/>
        </w:rPr>
        <w:t>：</w:t>
      </w:r>
    </w:p>
    <w:p w14:paraId="0E810ED5">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我单位响应</w:t>
      </w:r>
      <w:r>
        <w:rPr>
          <w:rFonts w:hint="eastAsia" w:ascii="仿宋" w:hAnsi="仿宋" w:eastAsia="仿宋" w:cs="仿宋"/>
          <w:color w:val="auto"/>
          <w:kern w:val="56"/>
          <w:sz w:val="28"/>
          <w:szCs w:val="28"/>
          <w:highlight w:val="none"/>
          <w:u w:val="single"/>
          <w:shd w:val="clear" w:color="auto" w:fill="FFFFFF"/>
          <w:lang w:eastAsia="zh-CN"/>
        </w:rPr>
        <w:t>衢州市发展和改革委员会</w:t>
      </w:r>
      <w:r>
        <w:rPr>
          <w:rFonts w:ascii="仿宋" w:hAnsi="仿宋" w:eastAsia="仿宋" w:cs="仿宋"/>
          <w:color w:val="auto"/>
          <w:kern w:val="56"/>
          <w:sz w:val="28"/>
          <w:szCs w:val="28"/>
          <w:highlight w:val="none"/>
          <w:shd w:val="clear" w:color="auto" w:fill="FFFFFF"/>
        </w:rPr>
        <w:t>（采购人）</w:t>
      </w:r>
      <w:r>
        <w:rPr>
          <w:rFonts w:hint="eastAsia" w:ascii="仿宋" w:hAnsi="仿宋" w:eastAsia="仿宋" w:cs="仿宋"/>
          <w:color w:val="auto"/>
          <w:kern w:val="56"/>
          <w:sz w:val="28"/>
          <w:szCs w:val="28"/>
          <w:highlight w:val="none"/>
          <w:u w:val="single"/>
          <w:shd w:val="clear" w:color="auto" w:fill="FFFFFF"/>
          <w:lang w:eastAsia="zh-CN"/>
        </w:rPr>
        <w:t>2024-2025年度衢州市级优化用电营商环境综合保险服务项目</w:t>
      </w: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u w:val="single"/>
          <w:shd w:val="clear" w:color="auto" w:fill="FFFFFF"/>
          <w:lang w:eastAsia="zh-CN"/>
        </w:rPr>
        <w:t>qzal2024-030</w:t>
      </w:r>
      <w:r>
        <w:rPr>
          <w:rFonts w:hint="eastAsia" w:ascii="仿宋" w:hAnsi="仿宋" w:eastAsia="仿宋" w:cs="仿宋"/>
          <w:color w:val="auto"/>
          <w:kern w:val="56"/>
          <w:sz w:val="28"/>
          <w:szCs w:val="28"/>
          <w:highlight w:val="none"/>
          <w:u w:val="single"/>
          <w:shd w:val="clear" w:color="auto" w:fill="FFFFFF"/>
        </w:rPr>
        <w:t xml:space="preserve"> </w:t>
      </w:r>
      <w:r>
        <w:rPr>
          <w:rFonts w:ascii="仿宋" w:hAnsi="仿宋" w:eastAsia="仿宋" w:cs="仿宋"/>
          <w:color w:val="auto"/>
          <w:kern w:val="56"/>
          <w:sz w:val="28"/>
          <w:szCs w:val="28"/>
          <w:highlight w:val="none"/>
          <w:shd w:val="clear" w:color="auto" w:fill="FFFFFF"/>
        </w:rPr>
        <w:t>（项目编号）</w:t>
      </w:r>
      <w:r>
        <w:rPr>
          <w:rFonts w:hint="eastAsia" w:ascii="仿宋" w:hAnsi="仿宋" w:eastAsia="仿宋" w:cs="仿宋"/>
          <w:color w:val="auto"/>
          <w:kern w:val="56"/>
          <w:sz w:val="28"/>
          <w:szCs w:val="28"/>
          <w:highlight w:val="none"/>
          <w:shd w:val="clear" w:color="auto" w:fill="FFFFFF"/>
          <w:lang w:eastAsia="zh-CN"/>
        </w:rPr>
        <w:t>2024-2025年度衢州市级优化用电营商环境综合保险服务项目</w:t>
      </w:r>
      <w:r>
        <w:rPr>
          <w:rFonts w:ascii="仿宋" w:hAnsi="仿宋" w:eastAsia="仿宋" w:cs="仿宋"/>
          <w:color w:val="auto"/>
          <w:kern w:val="56"/>
          <w:sz w:val="28"/>
          <w:szCs w:val="28"/>
          <w:highlight w:val="none"/>
          <w:shd w:val="clear" w:color="auto" w:fill="FFFFFF"/>
        </w:rPr>
        <w:t>（标项名称）项目采购要求并参加</w:t>
      </w:r>
      <w:r>
        <w:rPr>
          <w:rFonts w:hint="eastAsia" w:ascii="仿宋" w:hAnsi="仿宋" w:eastAsia="仿宋" w:cs="仿宋"/>
          <w:color w:val="auto"/>
          <w:kern w:val="56"/>
          <w:sz w:val="28"/>
          <w:szCs w:val="28"/>
          <w:highlight w:val="none"/>
          <w:shd w:val="clear" w:color="auto" w:fill="FFFFFF"/>
        </w:rPr>
        <w:t>采购活动</w:t>
      </w:r>
      <w:r>
        <w:rPr>
          <w:rFonts w:ascii="仿宋" w:hAnsi="仿宋" w:eastAsia="仿宋" w:cs="仿宋"/>
          <w:color w:val="auto"/>
          <w:kern w:val="56"/>
          <w:sz w:val="28"/>
          <w:szCs w:val="28"/>
          <w:highlight w:val="none"/>
          <w:shd w:val="clear" w:color="auto" w:fill="FFFFFF"/>
        </w:rPr>
        <w:t>。在这次</w:t>
      </w:r>
      <w:r>
        <w:rPr>
          <w:rFonts w:hint="eastAsia" w:ascii="仿宋" w:hAnsi="仿宋" w:eastAsia="仿宋" w:cs="仿宋"/>
          <w:color w:val="auto"/>
          <w:kern w:val="56"/>
          <w:sz w:val="28"/>
          <w:szCs w:val="28"/>
          <w:highlight w:val="none"/>
          <w:shd w:val="clear" w:color="auto" w:fill="FFFFFF"/>
        </w:rPr>
        <w:t>采购</w:t>
      </w:r>
      <w:r>
        <w:rPr>
          <w:rFonts w:ascii="仿宋" w:hAnsi="仿宋" w:eastAsia="仿宋" w:cs="仿宋"/>
          <w:color w:val="auto"/>
          <w:kern w:val="56"/>
          <w:sz w:val="28"/>
          <w:szCs w:val="28"/>
          <w:highlight w:val="none"/>
          <w:shd w:val="clear" w:color="auto" w:fill="FFFFFF"/>
        </w:rPr>
        <w:t>过程中和成交后，我们将严格遵守国家法律法规要求，并郑重承诺：</w:t>
      </w:r>
    </w:p>
    <w:p w14:paraId="1F10AC12">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一、不向项目有关人员及部门赠送礼金礼物、有价证券、回扣以及中介费、介绍费、咨询费等好处费；</w:t>
      </w:r>
    </w:p>
    <w:p w14:paraId="558F428B">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二、不为项目有关人员及部门报销应由你方单位或个人支付的费用；</w:t>
      </w:r>
    </w:p>
    <w:p w14:paraId="6523D7A6">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三、不向项目有关人员及部门提供有可能影响公正的宴请和健身娱乐等活动；</w:t>
      </w:r>
    </w:p>
    <w:p w14:paraId="1CDC1D0D">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四、不为项目有关人员及部门出国（境）、旅游等提供方便；</w:t>
      </w:r>
    </w:p>
    <w:p w14:paraId="01024A55">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五、不为项目有关人员个人装修住房、婚丧嫁娶、配偶子女工作安排等提供好处；</w:t>
      </w:r>
    </w:p>
    <w:p w14:paraId="412D5583">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3DF0DBBB">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354CEEAE">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52BED4C6">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w:t>
      </w:r>
      <w:r>
        <w:rPr>
          <w:rFonts w:hint="eastAsia" w:ascii="仿宋" w:hAnsi="仿宋" w:eastAsia="仿宋" w:cs="仿宋"/>
          <w:color w:val="auto"/>
          <w:kern w:val="56"/>
          <w:sz w:val="28"/>
          <w:szCs w:val="28"/>
          <w:highlight w:val="none"/>
          <w:shd w:val="clear" w:color="auto" w:fill="FFFFFF"/>
          <w:lang w:eastAsia="zh-CN"/>
        </w:rPr>
        <w:t>电子签章</w:t>
      </w:r>
      <w:r>
        <w:rPr>
          <w:rFonts w:ascii="仿宋" w:hAnsi="仿宋" w:eastAsia="仿宋" w:cs="仿宋"/>
          <w:color w:val="auto"/>
          <w:kern w:val="56"/>
          <w:sz w:val="28"/>
          <w:szCs w:val="28"/>
          <w:highlight w:val="none"/>
          <w:shd w:val="clear" w:color="auto" w:fill="FFFFFF"/>
        </w:rPr>
        <w:t>）</w:t>
      </w:r>
    </w:p>
    <w:p w14:paraId="051EB69A">
      <w:pPr>
        <w:snapToGrid w:val="0"/>
        <w:spacing w:line="560" w:lineRule="exact"/>
        <w:ind w:firstLine="560" w:firstLineChars="200"/>
        <w:rPr>
          <w:rFonts w:hint="eastAsia" w:ascii="仿宋_GB2312" w:hAnsi="仿宋" w:eastAsia="仿宋" w:cs="仿宋_GB2312"/>
          <w:b/>
          <w:bCs/>
          <w:color w:val="auto"/>
          <w:sz w:val="24"/>
          <w:highlight w:val="none"/>
          <w:lang w:eastAsia="zh-CN"/>
        </w:rPr>
        <w:sectPr>
          <w:headerReference r:id="rId10" w:type="first"/>
          <w:footerReference r:id="rId12" w:type="first"/>
          <w:headerReference r:id="rId9" w:type="default"/>
          <w:footerReference r:id="rId11" w:type="default"/>
          <w:pgSz w:w="11906" w:h="16838"/>
          <w:pgMar w:top="1553" w:right="1553" w:bottom="1553" w:left="1553" w:header="851" w:footer="992" w:gutter="0"/>
          <w:pgNumType w:fmt="decimal"/>
          <w:cols w:space="0" w:num="1"/>
          <w:titlePg/>
          <w:rtlGutter w:val="0"/>
          <w:docGrid w:linePitch="312" w:charSpace="0"/>
        </w:sect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val="en-US" w:eastAsia="zh-CN"/>
        </w:rPr>
        <w:t xml:space="preserve">     </w:t>
      </w:r>
      <w:r>
        <w:rPr>
          <w:rFonts w:ascii="仿宋" w:hAnsi="仿宋" w:eastAsia="仿宋" w:cs="仿宋"/>
          <w:color w:val="auto"/>
          <w:kern w:val="56"/>
          <w:sz w:val="28"/>
          <w:szCs w:val="28"/>
          <w:highlight w:val="none"/>
          <w:shd w:val="clear" w:color="auto" w:fill="FFFFFF"/>
        </w:rPr>
        <w:t>年</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月</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日</w:t>
      </w:r>
    </w:p>
    <w:p w14:paraId="192D2BC6">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五、中小企业声明函、监狱企业声明函及其相关的充分的证明材料、残疾人福利性单位声明函；</w:t>
      </w:r>
    </w:p>
    <w:p w14:paraId="6D666382">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14:paraId="37AF42BB">
      <w:pPr>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szCs w:val="24"/>
          <w:highlight w:val="none"/>
          <w:lang w:eastAsia="zh-CN"/>
        </w:rPr>
        <w:t>2024-2025年度衢州市级优化用电营商环境综合保险服务项目</w:t>
      </w:r>
      <w:r>
        <w:rPr>
          <w:rFonts w:hint="eastAsia" w:ascii="仿宋" w:hAnsi="仿宋" w:eastAsia="仿宋" w:cs="仿宋"/>
          <w:color w:val="auto"/>
          <w:sz w:val="24"/>
          <w:szCs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0C382F6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3DF7215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236F870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B42B4B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2EE182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172B2BB3">
      <w:pPr>
        <w:spacing w:line="360" w:lineRule="auto"/>
        <w:ind w:right="17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名称（电子签名）：</w:t>
      </w:r>
    </w:p>
    <w:p w14:paraId="21E30192">
      <w:pPr>
        <w:spacing w:line="360" w:lineRule="auto"/>
        <w:ind w:right="1120" w:firstLine="4680" w:firstLineChars="19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33CDB204">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14:paraId="3D91E525">
      <w:pPr>
        <w:spacing w:line="360" w:lineRule="auto"/>
        <w:ind w:right="420"/>
        <w:rPr>
          <w:rFonts w:hint="eastAsia" w:ascii="仿宋" w:hAnsi="仿宋" w:eastAsia="仿宋" w:cs="仿宋"/>
          <w:color w:val="auto"/>
          <w:sz w:val="24"/>
          <w:szCs w:val="24"/>
          <w:highlight w:val="none"/>
        </w:rPr>
      </w:pPr>
    </w:p>
    <w:p w14:paraId="5D22C255">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提供由省级以上监狱管理局、戒毒管理局（含新疆生产建设兵团）出具的属于监狱企业证明文件的，视同为小型和微型企业。</w:t>
      </w:r>
    </w:p>
    <w:p w14:paraId="4FB71A26">
      <w:pPr>
        <w:snapToGrid w:val="0"/>
        <w:spacing w:line="560" w:lineRule="exact"/>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残疾人福利性单位声明函</w:t>
      </w:r>
    </w:p>
    <w:p w14:paraId="7E727E8E">
      <w:pPr>
        <w:snapToGrid w:val="0"/>
        <w:spacing w:line="560" w:lineRule="exact"/>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【不属于残疾人福利性单位，不用提供此函】</w:t>
      </w:r>
    </w:p>
    <w:p w14:paraId="36C3925A">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56"/>
          <w:sz w:val="28"/>
          <w:szCs w:val="28"/>
          <w:highlight w:val="none"/>
          <w:shd w:val="clear" w:color="auto" w:fill="FFFFFF"/>
          <w:lang w:eastAsia="zh-CN"/>
        </w:rPr>
        <w:t>衢州市发展和改革委员会</w:t>
      </w:r>
      <w:r>
        <w:rPr>
          <w:rFonts w:ascii="仿宋" w:hAnsi="仿宋" w:eastAsia="仿宋" w:cs="仿宋"/>
          <w:color w:val="auto"/>
          <w:kern w:val="56"/>
          <w:sz w:val="28"/>
          <w:szCs w:val="28"/>
          <w:highlight w:val="none"/>
          <w:shd w:val="clear" w:color="auto" w:fill="FFFFFF"/>
        </w:rPr>
        <w:t>（采购人）</w:t>
      </w:r>
      <w:r>
        <w:rPr>
          <w:rFonts w:hint="eastAsia" w:ascii="仿宋" w:hAnsi="仿宋" w:eastAsia="仿宋" w:cs="仿宋"/>
          <w:color w:val="auto"/>
          <w:kern w:val="56"/>
          <w:sz w:val="28"/>
          <w:szCs w:val="28"/>
          <w:highlight w:val="none"/>
          <w:shd w:val="clear" w:color="auto" w:fill="FFFFFF"/>
          <w:lang w:eastAsia="zh-CN"/>
        </w:rPr>
        <w:t>2024-2025年度衢州市级优化用电营商环境综合保险服务项目</w:t>
      </w: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shd w:val="clear" w:color="auto" w:fill="FFFFFF"/>
          <w:lang w:eastAsia="zh-CN"/>
        </w:rPr>
        <w:t>qzal2024-030</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（项目编号）</w:t>
      </w:r>
      <w:r>
        <w:rPr>
          <w:rFonts w:hint="eastAsia" w:ascii="仿宋" w:hAnsi="仿宋" w:eastAsia="仿宋" w:cs="仿宋"/>
          <w:color w:val="auto"/>
          <w:kern w:val="56"/>
          <w:sz w:val="28"/>
          <w:szCs w:val="28"/>
          <w:highlight w:val="none"/>
          <w:shd w:val="clear" w:color="auto" w:fill="FFFFFF"/>
          <w:lang w:eastAsia="zh-CN"/>
        </w:rPr>
        <w:t>2024-2025年度衢州市级优化用电营商环境综合保险服务项目</w:t>
      </w:r>
      <w:r>
        <w:rPr>
          <w:rFonts w:ascii="仿宋" w:hAnsi="仿宋" w:eastAsia="仿宋" w:cs="仿宋"/>
          <w:color w:val="auto"/>
          <w:kern w:val="56"/>
          <w:sz w:val="28"/>
          <w:szCs w:val="28"/>
          <w:highlight w:val="none"/>
          <w:shd w:val="clear" w:color="auto" w:fill="FFFFFF"/>
        </w:rPr>
        <w:t>（标项名称）采购活动提供本单位制造的货物，或者提供其他残疾人福利性单位制造的货物（不包括使用非残疾人福利性单位注册商标的货物）。</w:t>
      </w:r>
    </w:p>
    <w:p w14:paraId="68AE700B">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本单位对上述声明的真实性负责。如有虚假，将依法承担相应责任。</w:t>
      </w:r>
    </w:p>
    <w:p w14:paraId="64AFE62C">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5DCCEA53">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1EF8B5D0">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（盖单位公章）</w:t>
      </w:r>
    </w:p>
    <w:p w14:paraId="10DDBEE6">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val="en-US" w:eastAsia="zh-CN"/>
        </w:rPr>
        <w:t xml:space="preserve">    </w:t>
      </w:r>
      <w:r>
        <w:rPr>
          <w:rFonts w:ascii="仿宋" w:hAnsi="仿宋" w:eastAsia="仿宋" w:cs="仿宋"/>
          <w:color w:val="auto"/>
          <w:kern w:val="56"/>
          <w:sz w:val="28"/>
          <w:szCs w:val="28"/>
          <w:highlight w:val="none"/>
          <w:shd w:val="clear" w:color="auto" w:fill="FFFFFF"/>
        </w:rPr>
        <w:t>年</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月</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lang w:eastAsia="zh-CN"/>
        </w:rPr>
        <w:t>日</w:t>
      </w:r>
    </w:p>
    <w:p w14:paraId="5DDD5153">
      <w:pPr>
        <w:spacing w:line="360" w:lineRule="auto"/>
        <w:ind w:left="5060" w:hanging="5060" w:hangingChars="2100"/>
        <w:rPr>
          <w:rFonts w:ascii="仿宋_GB2312" w:hAnsi="仿宋" w:eastAsia="仿宋_GB2312" w:cs="仿宋_GB2312"/>
          <w:b/>
          <w:bCs/>
          <w:color w:val="auto"/>
          <w:kern w:val="0"/>
          <w:sz w:val="24"/>
          <w:highlight w:val="none"/>
        </w:rPr>
      </w:pPr>
    </w:p>
    <w:p w14:paraId="6F34FC67">
      <w:pPr>
        <w:spacing w:line="360" w:lineRule="auto"/>
        <w:jc w:val="left"/>
        <w:rPr>
          <w:rFonts w:hint="eastAsia" w:ascii="仿宋_GB2312" w:hAnsi="仿宋" w:eastAsia="仿宋_GB2312"/>
          <w:b/>
          <w:color w:val="auto"/>
          <w:spacing w:val="6"/>
          <w:sz w:val="32"/>
          <w:szCs w:val="32"/>
          <w:highlight w:val="none"/>
        </w:rPr>
      </w:pPr>
    </w:p>
    <w:p w14:paraId="22B17207">
      <w:pPr>
        <w:spacing w:line="360" w:lineRule="auto"/>
        <w:jc w:val="left"/>
        <w:rPr>
          <w:rFonts w:hint="eastAsia" w:ascii="仿宋_GB2312" w:hAnsi="仿宋" w:eastAsia="仿宋_GB2312"/>
          <w:b/>
          <w:color w:val="auto"/>
          <w:spacing w:val="6"/>
          <w:sz w:val="32"/>
          <w:szCs w:val="32"/>
          <w:highlight w:val="none"/>
        </w:rPr>
      </w:pPr>
    </w:p>
    <w:p w14:paraId="52750027">
      <w:pPr>
        <w:spacing w:line="360" w:lineRule="auto"/>
        <w:jc w:val="left"/>
        <w:rPr>
          <w:rFonts w:hint="default" w:ascii="仿宋_GB2312" w:hAnsi="仿宋" w:eastAsia="仿宋_GB2312"/>
          <w:b/>
          <w:color w:val="auto"/>
          <w:spacing w:val="6"/>
          <w:sz w:val="32"/>
          <w:szCs w:val="32"/>
          <w:highlight w:val="none"/>
          <w:lang w:val="en-US" w:eastAsia="zh-CN"/>
        </w:rPr>
      </w:pPr>
    </w:p>
    <w:sectPr>
      <w:headerReference r:id="rId14" w:type="first"/>
      <w:footerReference r:id="rId17" w:type="first"/>
      <w:headerReference r:id="rId13" w:type="default"/>
      <w:footerReference r:id="rId15" w:type="default"/>
      <w:footerReference r:id="rId16" w:type="even"/>
      <w:pgSz w:w="11906" w:h="16838"/>
      <w:pgMar w:top="1553" w:right="1553" w:bottom="1553" w:left="1553"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EC6BD">
    <w:pPr>
      <w:pStyle w:val="42"/>
      <w:framePr w:wrap="around" w:vAnchor="text" w:hAnchor="margin" w:xAlign="right" w:y="1"/>
      <w:rPr>
        <w:rStyle w:val="73"/>
      </w:rPr>
    </w:pPr>
    <w:r>
      <w:fldChar w:fldCharType="begin"/>
    </w:r>
    <w:r>
      <w:rPr>
        <w:rStyle w:val="73"/>
      </w:rPr>
      <w:instrText xml:space="preserve">PAGE  </w:instrText>
    </w:r>
    <w:r>
      <w:fldChar w:fldCharType="end"/>
    </w:r>
  </w:p>
  <w:p w14:paraId="310C4A81">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4757">
    <w:pPr>
      <w:pStyle w:val="42"/>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C81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7DD5">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44F52">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F44F52">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9CB6">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707E2">
                          <w:pPr>
                            <w:pStyle w:val="4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2707E2">
                    <w:pPr>
                      <w:pStyle w:val="4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A25F">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1F29C">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11F29C">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6245">
    <w:pPr>
      <w:pStyle w:val="42"/>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DD125">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BDD125">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27B1A">
    <w:pPr>
      <w:pStyle w:val="42"/>
      <w:framePr w:wrap="around" w:vAnchor="text" w:hAnchor="margin" w:xAlign="right" w:y="1"/>
      <w:rPr>
        <w:rStyle w:val="73"/>
      </w:rPr>
    </w:pPr>
    <w:r>
      <w:fldChar w:fldCharType="begin"/>
    </w:r>
    <w:r>
      <w:rPr>
        <w:rStyle w:val="73"/>
      </w:rPr>
      <w:instrText xml:space="preserve">PAGE  </w:instrText>
    </w:r>
    <w:r>
      <w:fldChar w:fldCharType="end"/>
    </w:r>
  </w:p>
  <w:p w14:paraId="17586552">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FFA8">
    <w:pPr>
      <w:pStyle w:val="42"/>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D86AD">
                          <w:pPr>
                            <w:pStyle w:val="4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7D86AD">
                    <w:pPr>
                      <w:pStyle w:val="4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E4B39">
    <w:pPr>
      <w:pStyle w:val="61"/>
      <w:tabs>
        <w:tab w:val="center" w:pos="4535"/>
        <w:tab w:val="right" w:pos="9070"/>
      </w:tabs>
      <w:jc w:val="both"/>
      <w:rPr>
        <w:rFonts w:hint="default" w:ascii="仿宋_GB2312" w:eastAsia="仿宋_GB2312"/>
        <w:b w:val="0"/>
        <w:i/>
        <w:sz w:val="18"/>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FBD8">
    <w:pPr>
      <w:pStyle w:val="43"/>
      <w:pBdr>
        <w:bottom w:val="single" w:color="auto" w:sz="6" w:space="0"/>
      </w:pBdr>
      <w:tabs>
        <w:tab w:val="center" w:pos="4535"/>
        <w:tab w:val="right" w:pos="9070"/>
        <w:tab w:val="clear" w:pos="4153"/>
        <w:tab w:val="clear" w:pos="8306"/>
      </w:tabs>
      <w:jc w:val="right"/>
      <w:rPr>
        <w:rFonts w:hint="default" w:eastAsia="宋体"/>
        <w:lang w:val="en-US" w:eastAsia="zh-CN"/>
      </w:rPr>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D2D30">
    <w:pPr>
      <w:pStyle w:val="43"/>
      <w:rPr>
        <w:rFonts w:ascii="仿宋_GB2312" w:eastAsia="仿宋_GB2312"/>
        <w:b/>
        <w:i/>
        <w:sz w:val="18"/>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BC88">
    <w:pPr>
      <w:pStyle w:val="43"/>
    </w:pPr>
    <w:r>
      <w:t></w:t>
    </w:r>
    <w:r>
      <w:rPr>
        <w:rFonts w:hint="eastAsia"/>
      </w:rPr>
      <w:t xml:space="preserve">         </w:t>
    </w:r>
  </w:p>
  <w:p w14:paraId="01921170">
    <w:pPr>
      <w:pStyle w:val="43"/>
      <w:rPr>
        <w:rFonts w:hint="eastAsia" w:eastAsia="宋体"/>
        <w:lang w:eastAsia="zh-CN"/>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31072">
    <w:pPr>
      <w:pStyle w:val="43"/>
      <w:jc w:val="right"/>
      <w:rPr>
        <w:rFonts w:hint="eastAsia" w:ascii="仿宋_GB2312" w:eastAsia="宋体"/>
        <w:b/>
        <w:i/>
        <w:iCs/>
        <w:u w:val="single"/>
        <w:lang w:eastAsia="zh-CN"/>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B10C">
    <w:pPr>
      <w:pStyle w:val="43"/>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0950"/>
    <w:multiLevelType w:val="singleLevel"/>
    <w:tmpl w:val="15810950"/>
    <w:lvl w:ilvl="0" w:tentative="0">
      <w:start w:val="5"/>
      <w:numFmt w:val="decimal"/>
      <w:suff w:val="nothing"/>
      <w:lvlText w:val="（%1）"/>
      <w:lvlJc w:val="left"/>
    </w:lvl>
  </w:abstractNum>
  <w:abstractNum w:abstractNumId="1">
    <w:nsid w:val="62EAFF3F"/>
    <w:multiLevelType w:val="singleLevel"/>
    <w:tmpl w:val="62EAFF3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WRiN2E0ZWQ5NTdlMDdmNzhmMzVhNmM5YmJhZD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6B21"/>
    <w:rsid w:val="011F6449"/>
    <w:rsid w:val="01236AFB"/>
    <w:rsid w:val="01633136"/>
    <w:rsid w:val="019F7441"/>
    <w:rsid w:val="01B37585"/>
    <w:rsid w:val="01D55165"/>
    <w:rsid w:val="01DF6BF8"/>
    <w:rsid w:val="01E90844"/>
    <w:rsid w:val="01EC2C57"/>
    <w:rsid w:val="022E50B9"/>
    <w:rsid w:val="026B2E25"/>
    <w:rsid w:val="02824D4D"/>
    <w:rsid w:val="0293255D"/>
    <w:rsid w:val="02DC4B10"/>
    <w:rsid w:val="02DD76CE"/>
    <w:rsid w:val="02F36323"/>
    <w:rsid w:val="02F5619C"/>
    <w:rsid w:val="0326446A"/>
    <w:rsid w:val="032D5555"/>
    <w:rsid w:val="036634D2"/>
    <w:rsid w:val="03A95BF6"/>
    <w:rsid w:val="03DD35E4"/>
    <w:rsid w:val="04076900"/>
    <w:rsid w:val="041A5A3B"/>
    <w:rsid w:val="042311BA"/>
    <w:rsid w:val="042B157A"/>
    <w:rsid w:val="043C2616"/>
    <w:rsid w:val="048F763B"/>
    <w:rsid w:val="049F330E"/>
    <w:rsid w:val="04AA775C"/>
    <w:rsid w:val="04AF1889"/>
    <w:rsid w:val="04C021A0"/>
    <w:rsid w:val="04D7371F"/>
    <w:rsid w:val="04D75415"/>
    <w:rsid w:val="04F66F48"/>
    <w:rsid w:val="05251E14"/>
    <w:rsid w:val="05A16594"/>
    <w:rsid w:val="05A7762D"/>
    <w:rsid w:val="05C32781"/>
    <w:rsid w:val="060E5941"/>
    <w:rsid w:val="06110FAF"/>
    <w:rsid w:val="06493CA7"/>
    <w:rsid w:val="065A6178"/>
    <w:rsid w:val="066F1CF3"/>
    <w:rsid w:val="06930BB8"/>
    <w:rsid w:val="06B5358E"/>
    <w:rsid w:val="06C47189"/>
    <w:rsid w:val="07245D42"/>
    <w:rsid w:val="07264C62"/>
    <w:rsid w:val="0774295E"/>
    <w:rsid w:val="0779354C"/>
    <w:rsid w:val="07D956F0"/>
    <w:rsid w:val="08061376"/>
    <w:rsid w:val="08280E0F"/>
    <w:rsid w:val="08452D77"/>
    <w:rsid w:val="086401F8"/>
    <w:rsid w:val="08751CAA"/>
    <w:rsid w:val="087E4C40"/>
    <w:rsid w:val="08D66AD6"/>
    <w:rsid w:val="08DA33A3"/>
    <w:rsid w:val="08E80F13"/>
    <w:rsid w:val="090917CB"/>
    <w:rsid w:val="09335624"/>
    <w:rsid w:val="0944690F"/>
    <w:rsid w:val="09535675"/>
    <w:rsid w:val="095F057D"/>
    <w:rsid w:val="09642282"/>
    <w:rsid w:val="09733572"/>
    <w:rsid w:val="09772C16"/>
    <w:rsid w:val="098353B5"/>
    <w:rsid w:val="09A92330"/>
    <w:rsid w:val="09B06B87"/>
    <w:rsid w:val="09C13146"/>
    <w:rsid w:val="09CE6BE6"/>
    <w:rsid w:val="09D65B51"/>
    <w:rsid w:val="09E04166"/>
    <w:rsid w:val="0A1C0718"/>
    <w:rsid w:val="0A3E7710"/>
    <w:rsid w:val="0A5B7E63"/>
    <w:rsid w:val="0A7F0BB4"/>
    <w:rsid w:val="0AA374A5"/>
    <w:rsid w:val="0AAB7649"/>
    <w:rsid w:val="0ABC5606"/>
    <w:rsid w:val="0AD46D35"/>
    <w:rsid w:val="0AFB9841"/>
    <w:rsid w:val="0B2B2A6B"/>
    <w:rsid w:val="0B30404E"/>
    <w:rsid w:val="0B4C6C14"/>
    <w:rsid w:val="0B57681E"/>
    <w:rsid w:val="0B631A88"/>
    <w:rsid w:val="0B683D45"/>
    <w:rsid w:val="0B7F3F11"/>
    <w:rsid w:val="0B884417"/>
    <w:rsid w:val="0B8D5538"/>
    <w:rsid w:val="0BF6188C"/>
    <w:rsid w:val="0BF73C91"/>
    <w:rsid w:val="0C170175"/>
    <w:rsid w:val="0C571A41"/>
    <w:rsid w:val="0C5C1171"/>
    <w:rsid w:val="0C5E1CBC"/>
    <w:rsid w:val="0C615B50"/>
    <w:rsid w:val="0C692894"/>
    <w:rsid w:val="0C8445DA"/>
    <w:rsid w:val="0C87121B"/>
    <w:rsid w:val="0C8856F8"/>
    <w:rsid w:val="0CC007F7"/>
    <w:rsid w:val="0CF87B8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D1792"/>
    <w:rsid w:val="0F4958DC"/>
    <w:rsid w:val="0F515DF7"/>
    <w:rsid w:val="0F596BA8"/>
    <w:rsid w:val="0F6248D2"/>
    <w:rsid w:val="0F693536"/>
    <w:rsid w:val="0F7B0511"/>
    <w:rsid w:val="0F7B76D9"/>
    <w:rsid w:val="0F816ACD"/>
    <w:rsid w:val="0F9832DB"/>
    <w:rsid w:val="0FA36EF6"/>
    <w:rsid w:val="0FA66971"/>
    <w:rsid w:val="0FBF3FD2"/>
    <w:rsid w:val="0FBF7FF3"/>
    <w:rsid w:val="0FCB6EBE"/>
    <w:rsid w:val="0FEF29DF"/>
    <w:rsid w:val="10646583"/>
    <w:rsid w:val="107D4B15"/>
    <w:rsid w:val="108A3C80"/>
    <w:rsid w:val="10C26171"/>
    <w:rsid w:val="10F33360"/>
    <w:rsid w:val="10FC16EA"/>
    <w:rsid w:val="110F1D40"/>
    <w:rsid w:val="11266F33"/>
    <w:rsid w:val="118963A1"/>
    <w:rsid w:val="11C6522A"/>
    <w:rsid w:val="11E104CC"/>
    <w:rsid w:val="11E20309"/>
    <w:rsid w:val="121501C0"/>
    <w:rsid w:val="12255233"/>
    <w:rsid w:val="12530213"/>
    <w:rsid w:val="127723A9"/>
    <w:rsid w:val="12862074"/>
    <w:rsid w:val="12883966"/>
    <w:rsid w:val="129E45B4"/>
    <w:rsid w:val="12CA6462"/>
    <w:rsid w:val="12D81596"/>
    <w:rsid w:val="13072A44"/>
    <w:rsid w:val="135F4BE2"/>
    <w:rsid w:val="139B1A0A"/>
    <w:rsid w:val="139D25C7"/>
    <w:rsid w:val="13BF3CE4"/>
    <w:rsid w:val="141008D8"/>
    <w:rsid w:val="14125FE6"/>
    <w:rsid w:val="143218E2"/>
    <w:rsid w:val="14581832"/>
    <w:rsid w:val="146D271E"/>
    <w:rsid w:val="14982588"/>
    <w:rsid w:val="149A5AD9"/>
    <w:rsid w:val="14A7619D"/>
    <w:rsid w:val="14D717AC"/>
    <w:rsid w:val="150536C3"/>
    <w:rsid w:val="150C1963"/>
    <w:rsid w:val="151447A0"/>
    <w:rsid w:val="15314652"/>
    <w:rsid w:val="15427DF9"/>
    <w:rsid w:val="154A6454"/>
    <w:rsid w:val="15762120"/>
    <w:rsid w:val="15F555B1"/>
    <w:rsid w:val="16A8729C"/>
    <w:rsid w:val="16B33777"/>
    <w:rsid w:val="16BC70A7"/>
    <w:rsid w:val="16C46D32"/>
    <w:rsid w:val="16C6339E"/>
    <w:rsid w:val="172F2D79"/>
    <w:rsid w:val="17557BEF"/>
    <w:rsid w:val="17CD0495"/>
    <w:rsid w:val="17D349C1"/>
    <w:rsid w:val="18173287"/>
    <w:rsid w:val="181C2A9C"/>
    <w:rsid w:val="1830729E"/>
    <w:rsid w:val="185145F5"/>
    <w:rsid w:val="1870062C"/>
    <w:rsid w:val="18817102"/>
    <w:rsid w:val="18830A15"/>
    <w:rsid w:val="18852B28"/>
    <w:rsid w:val="188B5321"/>
    <w:rsid w:val="18F45DA5"/>
    <w:rsid w:val="19932372"/>
    <w:rsid w:val="19A20DD5"/>
    <w:rsid w:val="19AE03F1"/>
    <w:rsid w:val="19C92FDD"/>
    <w:rsid w:val="1A071A03"/>
    <w:rsid w:val="1A1F16AE"/>
    <w:rsid w:val="1A3B5C77"/>
    <w:rsid w:val="1A984BAD"/>
    <w:rsid w:val="1AB8220E"/>
    <w:rsid w:val="1AE4166C"/>
    <w:rsid w:val="1AF06CFB"/>
    <w:rsid w:val="1AF11B8D"/>
    <w:rsid w:val="1AFF6057"/>
    <w:rsid w:val="1B11359C"/>
    <w:rsid w:val="1B2A271F"/>
    <w:rsid w:val="1B326960"/>
    <w:rsid w:val="1B530544"/>
    <w:rsid w:val="1B6013C4"/>
    <w:rsid w:val="1B713184"/>
    <w:rsid w:val="1B713AB5"/>
    <w:rsid w:val="1BA209CF"/>
    <w:rsid w:val="1BB4777D"/>
    <w:rsid w:val="1BD75AB8"/>
    <w:rsid w:val="1C0459C2"/>
    <w:rsid w:val="1C1B3B4A"/>
    <w:rsid w:val="1C442E6B"/>
    <w:rsid w:val="1C6B037B"/>
    <w:rsid w:val="1C88086E"/>
    <w:rsid w:val="1D266CE1"/>
    <w:rsid w:val="1D3963AF"/>
    <w:rsid w:val="1D6A673C"/>
    <w:rsid w:val="1D9247AE"/>
    <w:rsid w:val="1DB567EC"/>
    <w:rsid w:val="1DF51A98"/>
    <w:rsid w:val="1E3D060F"/>
    <w:rsid w:val="1E3F7D2E"/>
    <w:rsid w:val="1E4134E4"/>
    <w:rsid w:val="1E5062B3"/>
    <w:rsid w:val="1E523514"/>
    <w:rsid w:val="1E714A66"/>
    <w:rsid w:val="1E74103D"/>
    <w:rsid w:val="1E802593"/>
    <w:rsid w:val="1EA703CC"/>
    <w:rsid w:val="1EB7330C"/>
    <w:rsid w:val="1EE07337"/>
    <w:rsid w:val="1F0A0FF3"/>
    <w:rsid w:val="1F5771FF"/>
    <w:rsid w:val="1FE868A9"/>
    <w:rsid w:val="20034907"/>
    <w:rsid w:val="20173E4B"/>
    <w:rsid w:val="204E48BC"/>
    <w:rsid w:val="20831F67"/>
    <w:rsid w:val="208921B3"/>
    <w:rsid w:val="20973DEB"/>
    <w:rsid w:val="20B26522"/>
    <w:rsid w:val="20B44310"/>
    <w:rsid w:val="20CD246B"/>
    <w:rsid w:val="211116EB"/>
    <w:rsid w:val="211A1725"/>
    <w:rsid w:val="216133FC"/>
    <w:rsid w:val="21D56769"/>
    <w:rsid w:val="21E52EF3"/>
    <w:rsid w:val="21FB5D7B"/>
    <w:rsid w:val="21FC72FA"/>
    <w:rsid w:val="220B1C3D"/>
    <w:rsid w:val="221D1D20"/>
    <w:rsid w:val="22334A87"/>
    <w:rsid w:val="22BE6801"/>
    <w:rsid w:val="233500BF"/>
    <w:rsid w:val="23377FF7"/>
    <w:rsid w:val="236B425F"/>
    <w:rsid w:val="23836192"/>
    <w:rsid w:val="23901F29"/>
    <w:rsid w:val="239C0061"/>
    <w:rsid w:val="23B908A4"/>
    <w:rsid w:val="23E95BEF"/>
    <w:rsid w:val="23FD0064"/>
    <w:rsid w:val="24037C86"/>
    <w:rsid w:val="24191BDB"/>
    <w:rsid w:val="241D272A"/>
    <w:rsid w:val="245375B0"/>
    <w:rsid w:val="24642C0A"/>
    <w:rsid w:val="24B22173"/>
    <w:rsid w:val="24B95AD9"/>
    <w:rsid w:val="24BE24DA"/>
    <w:rsid w:val="24CF5825"/>
    <w:rsid w:val="24D663E6"/>
    <w:rsid w:val="24D77F2B"/>
    <w:rsid w:val="2516456C"/>
    <w:rsid w:val="258B00E2"/>
    <w:rsid w:val="259E6B16"/>
    <w:rsid w:val="25A917A6"/>
    <w:rsid w:val="25BE27CC"/>
    <w:rsid w:val="25F74A5C"/>
    <w:rsid w:val="261750D0"/>
    <w:rsid w:val="2628662C"/>
    <w:rsid w:val="262D45DE"/>
    <w:rsid w:val="26A53EF9"/>
    <w:rsid w:val="26A94201"/>
    <w:rsid w:val="26AC274F"/>
    <w:rsid w:val="26ED1B68"/>
    <w:rsid w:val="270218DC"/>
    <w:rsid w:val="27044A29"/>
    <w:rsid w:val="271D34C8"/>
    <w:rsid w:val="276142BF"/>
    <w:rsid w:val="27783712"/>
    <w:rsid w:val="278B1509"/>
    <w:rsid w:val="27907362"/>
    <w:rsid w:val="27AD1C26"/>
    <w:rsid w:val="27E4074E"/>
    <w:rsid w:val="27FC457D"/>
    <w:rsid w:val="27FD40FF"/>
    <w:rsid w:val="28333E1D"/>
    <w:rsid w:val="28454BD6"/>
    <w:rsid w:val="28455253"/>
    <w:rsid w:val="28545AF4"/>
    <w:rsid w:val="28551971"/>
    <w:rsid w:val="285B1C53"/>
    <w:rsid w:val="289F7086"/>
    <w:rsid w:val="28C32028"/>
    <w:rsid w:val="28CC490F"/>
    <w:rsid w:val="28CD2BE8"/>
    <w:rsid w:val="28DE40AA"/>
    <w:rsid w:val="29345E77"/>
    <w:rsid w:val="294C65AD"/>
    <w:rsid w:val="29806583"/>
    <w:rsid w:val="298B3C4C"/>
    <w:rsid w:val="299E4635"/>
    <w:rsid w:val="29E01A82"/>
    <w:rsid w:val="29F26D24"/>
    <w:rsid w:val="2A0A5043"/>
    <w:rsid w:val="2A15033F"/>
    <w:rsid w:val="2A1662C1"/>
    <w:rsid w:val="2A1C7367"/>
    <w:rsid w:val="2A2815FA"/>
    <w:rsid w:val="2A5A1B87"/>
    <w:rsid w:val="2A6D6092"/>
    <w:rsid w:val="2A7D76B4"/>
    <w:rsid w:val="2B437463"/>
    <w:rsid w:val="2B7807EE"/>
    <w:rsid w:val="2BBF00EC"/>
    <w:rsid w:val="2BC37CFD"/>
    <w:rsid w:val="2BD5237F"/>
    <w:rsid w:val="2BE536CE"/>
    <w:rsid w:val="2BE758D9"/>
    <w:rsid w:val="2C09049E"/>
    <w:rsid w:val="2C0A653C"/>
    <w:rsid w:val="2C191F85"/>
    <w:rsid w:val="2C7D7012"/>
    <w:rsid w:val="2CE82D6F"/>
    <w:rsid w:val="2D343236"/>
    <w:rsid w:val="2DD15014"/>
    <w:rsid w:val="2DF72DE4"/>
    <w:rsid w:val="2E0220AF"/>
    <w:rsid w:val="2E4B082A"/>
    <w:rsid w:val="2E5D4E86"/>
    <w:rsid w:val="2E5D790B"/>
    <w:rsid w:val="2E6A2D37"/>
    <w:rsid w:val="2E9A3C18"/>
    <w:rsid w:val="2EBB0FEE"/>
    <w:rsid w:val="2EC63002"/>
    <w:rsid w:val="2EFF0E58"/>
    <w:rsid w:val="2F0A6B38"/>
    <w:rsid w:val="2F946CCB"/>
    <w:rsid w:val="2FAC6F1A"/>
    <w:rsid w:val="2FD25781"/>
    <w:rsid w:val="2FFD7934"/>
    <w:rsid w:val="30064D92"/>
    <w:rsid w:val="30733ACD"/>
    <w:rsid w:val="308C3862"/>
    <w:rsid w:val="309379D8"/>
    <w:rsid w:val="30A270F7"/>
    <w:rsid w:val="30DF1478"/>
    <w:rsid w:val="30EC1B20"/>
    <w:rsid w:val="30EC586F"/>
    <w:rsid w:val="319C6071"/>
    <w:rsid w:val="31AC537E"/>
    <w:rsid w:val="31D9592F"/>
    <w:rsid w:val="31E3679B"/>
    <w:rsid w:val="31E732FD"/>
    <w:rsid w:val="32517576"/>
    <w:rsid w:val="32BE5C2C"/>
    <w:rsid w:val="32C761FC"/>
    <w:rsid w:val="32D75706"/>
    <w:rsid w:val="32FB6478"/>
    <w:rsid w:val="33263B3F"/>
    <w:rsid w:val="336963EB"/>
    <w:rsid w:val="33816EEB"/>
    <w:rsid w:val="33EB55CD"/>
    <w:rsid w:val="33EC4C02"/>
    <w:rsid w:val="340D2360"/>
    <w:rsid w:val="3410665D"/>
    <w:rsid w:val="34211214"/>
    <w:rsid w:val="342E63AB"/>
    <w:rsid w:val="347F4EB0"/>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9F227E"/>
    <w:rsid w:val="37C82A9F"/>
    <w:rsid w:val="37EE7094"/>
    <w:rsid w:val="38296C89"/>
    <w:rsid w:val="382A3B86"/>
    <w:rsid w:val="383002EB"/>
    <w:rsid w:val="384F69B9"/>
    <w:rsid w:val="38586797"/>
    <w:rsid w:val="385C2E16"/>
    <w:rsid w:val="38653A79"/>
    <w:rsid w:val="38B9223A"/>
    <w:rsid w:val="38BC0149"/>
    <w:rsid w:val="38D87D1C"/>
    <w:rsid w:val="39636459"/>
    <w:rsid w:val="396B7F6C"/>
    <w:rsid w:val="39B417A9"/>
    <w:rsid w:val="39FC5695"/>
    <w:rsid w:val="3A006D8E"/>
    <w:rsid w:val="3A24449B"/>
    <w:rsid w:val="3A3651E5"/>
    <w:rsid w:val="3A561168"/>
    <w:rsid w:val="3A744481"/>
    <w:rsid w:val="3A8C7BEF"/>
    <w:rsid w:val="3A906246"/>
    <w:rsid w:val="3ABB5125"/>
    <w:rsid w:val="3AF62B6C"/>
    <w:rsid w:val="3B2349B7"/>
    <w:rsid w:val="3B2F65C0"/>
    <w:rsid w:val="3B521614"/>
    <w:rsid w:val="3B616CFF"/>
    <w:rsid w:val="3B6259F6"/>
    <w:rsid w:val="3B976654"/>
    <w:rsid w:val="3BC01EFC"/>
    <w:rsid w:val="3BCA786A"/>
    <w:rsid w:val="3BD31E2F"/>
    <w:rsid w:val="3BF15831"/>
    <w:rsid w:val="3C105946"/>
    <w:rsid w:val="3C471448"/>
    <w:rsid w:val="3C5F759A"/>
    <w:rsid w:val="3C6329C5"/>
    <w:rsid w:val="3C6C525A"/>
    <w:rsid w:val="3C84022B"/>
    <w:rsid w:val="3CCE23CB"/>
    <w:rsid w:val="3CD17D17"/>
    <w:rsid w:val="3D347EBE"/>
    <w:rsid w:val="3D3C7F39"/>
    <w:rsid w:val="3D440F09"/>
    <w:rsid w:val="3D4504A0"/>
    <w:rsid w:val="3D8734BB"/>
    <w:rsid w:val="3D9A11D4"/>
    <w:rsid w:val="3DA16D89"/>
    <w:rsid w:val="3DA364BE"/>
    <w:rsid w:val="3DE041CB"/>
    <w:rsid w:val="3E061CFB"/>
    <w:rsid w:val="3E0D48F6"/>
    <w:rsid w:val="3E1868B4"/>
    <w:rsid w:val="3E377251"/>
    <w:rsid w:val="3E42664B"/>
    <w:rsid w:val="3E5A7334"/>
    <w:rsid w:val="3E6339C0"/>
    <w:rsid w:val="3E7B5D6B"/>
    <w:rsid w:val="3E843E66"/>
    <w:rsid w:val="3E8F51FE"/>
    <w:rsid w:val="3E926F87"/>
    <w:rsid w:val="3E9A59DE"/>
    <w:rsid w:val="3EAF4836"/>
    <w:rsid w:val="3EC33DFA"/>
    <w:rsid w:val="3F060E16"/>
    <w:rsid w:val="3F14330B"/>
    <w:rsid w:val="3F1D1096"/>
    <w:rsid w:val="3F277CDA"/>
    <w:rsid w:val="3F2F0234"/>
    <w:rsid w:val="3F6363FE"/>
    <w:rsid w:val="3F756B8F"/>
    <w:rsid w:val="3F95482B"/>
    <w:rsid w:val="400C38A3"/>
    <w:rsid w:val="4019356B"/>
    <w:rsid w:val="40577FCD"/>
    <w:rsid w:val="40592157"/>
    <w:rsid w:val="406D6DBF"/>
    <w:rsid w:val="406E1CAE"/>
    <w:rsid w:val="40A0133A"/>
    <w:rsid w:val="40C31A53"/>
    <w:rsid w:val="40FF545D"/>
    <w:rsid w:val="410067C8"/>
    <w:rsid w:val="418F0D2A"/>
    <w:rsid w:val="41D01505"/>
    <w:rsid w:val="420E33D3"/>
    <w:rsid w:val="42474939"/>
    <w:rsid w:val="424C3C57"/>
    <w:rsid w:val="42613FF3"/>
    <w:rsid w:val="42660D96"/>
    <w:rsid w:val="428667D2"/>
    <w:rsid w:val="42CD1CE0"/>
    <w:rsid w:val="42E1381E"/>
    <w:rsid w:val="42ED6459"/>
    <w:rsid w:val="42FE58DD"/>
    <w:rsid w:val="43174B3D"/>
    <w:rsid w:val="434B790E"/>
    <w:rsid w:val="435B43F6"/>
    <w:rsid w:val="435E5C94"/>
    <w:rsid w:val="4360274F"/>
    <w:rsid w:val="43977AB6"/>
    <w:rsid w:val="43A3342B"/>
    <w:rsid w:val="43C31F9B"/>
    <w:rsid w:val="43C77C27"/>
    <w:rsid w:val="43DE09EE"/>
    <w:rsid w:val="44002FAD"/>
    <w:rsid w:val="449101DD"/>
    <w:rsid w:val="44A939E6"/>
    <w:rsid w:val="44B813D4"/>
    <w:rsid w:val="44DE1391"/>
    <w:rsid w:val="451B225C"/>
    <w:rsid w:val="452410C9"/>
    <w:rsid w:val="45317DFB"/>
    <w:rsid w:val="453C3DB3"/>
    <w:rsid w:val="456D3CE4"/>
    <w:rsid w:val="45781C02"/>
    <w:rsid w:val="4579042C"/>
    <w:rsid w:val="457F0571"/>
    <w:rsid w:val="45851176"/>
    <w:rsid w:val="45C63B94"/>
    <w:rsid w:val="460E7DA5"/>
    <w:rsid w:val="46314134"/>
    <w:rsid w:val="46422483"/>
    <w:rsid w:val="4659254A"/>
    <w:rsid w:val="465B0637"/>
    <w:rsid w:val="465E3F0D"/>
    <w:rsid w:val="466A16E6"/>
    <w:rsid w:val="46893F2B"/>
    <w:rsid w:val="46C4686E"/>
    <w:rsid w:val="477B778F"/>
    <w:rsid w:val="478203EC"/>
    <w:rsid w:val="47B025FA"/>
    <w:rsid w:val="4809698F"/>
    <w:rsid w:val="4811697D"/>
    <w:rsid w:val="481728B6"/>
    <w:rsid w:val="484E277B"/>
    <w:rsid w:val="487A3E25"/>
    <w:rsid w:val="488B5503"/>
    <w:rsid w:val="48937E21"/>
    <w:rsid w:val="489A0361"/>
    <w:rsid w:val="48B94FF3"/>
    <w:rsid w:val="48E37AAB"/>
    <w:rsid w:val="48FD4B4C"/>
    <w:rsid w:val="490A68E0"/>
    <w:rsid w:val="491055FE"/>
    <w:rsid w:val="495F5B3E"/>
    <w:rsid w:val="496F77D7"/>
    <w:rsid w:val="497654FD"/>
    <w:rsid w:val="49A4503C"/>
    <w:rsid w:val="49B605B7"/>
    <w:rsid w:val="49B64211"/>
    <w:rsid w:val="49F6167F"/>
    <w:rsid w:val="4A064FA0"/>
    <w:rsid w:val="4A16615C"/>
    <w:rsid w:val="4A1B33F3"/>
    <w:rsid w:val="4A1E7312"/>
    <w:rsid w:val="4A4424D7"/>
    <w:rsid w:val="4A484BB9"/>
    <w:rsid w:val="4AB82D0F"/>
    <w:rsid w:val="4AEB7664"/>
    <w:rsid w:val="4AF00322"/>
    <w:rsid w:val="4AFD7C19"/>
    <w:rsid w:val="4B0567D1"/>
    <w:rsid w:val="4B236AAE"/>
    <w:rsid w:val="4B6127C6"/>
    <w:rsid w:val="4B707271"/>
    <w:rsid w:val="4B773D97"/>
    <w:rsid w:val="4B9739F7"/>
    <w:rsid w:val="4BC97669"/>
    <w:rsid w:val="4BEE2503"/>
    <w:rsid w:val="4C245A30"/>
    <w:rsid w:val="4CA22C0D"/>
    <w:rsid w:val="4CB6685F"/>
    <w:rsid w:val="4CB774C4"/>
    <w:rsid w:val="4CC367FE"/>
    <w:rsid w:val="4CE86409"/>
    <w:rsid w:val="4D077F3C"/>
    <w:rsid w:val="4D123355"/>
    <w:rsid w:val="4D2A3B31"/>
    <w:rsid w:val="4D312C52"/>
    <w:rsid w:val="4D3B1641"/>
    <w:rsid w:val="4D905305"/>
    <w:rsid w:val="4D964A72"/>
    <w:rsid w:val="4D9B2981"/>
    <w:rsid w:val="4D9C1254"/>
    <w:rsid w:val="4DDF2317"/>
    <w:rsid w:val="4E56772F"/>
    <w:rsid w:val="4E793892"/>
    <w:rsid w:val="4E800872"/>
    <w:rsid w:val="4EC569ED"/>
    <w:rsid w:val="4ED41501"/>
    <w:rsid w:val="4ED50EA1"/>
    <w:rsid w:val="4EEC050C"/>
    <w:rsid w:val="4F104EC3"/>
    <w:rsid w:val="4F47354A"/>
    <w:rsid w:val="4F585E71"/>
    <w:rsid w:val="4F911C54"/>
    <w:rsid w:val="4FE625E0"/>
    <w:rsid w:val="5021480F"/>
    <w:rsid w:val="50365B27"/>
    <w:rsid w:val="505F4DFA"/>
    <w:rsid w:val="50962ECB"/>
    <w:rsid w:val="50A42E38"/>
    <w:rsid w:val="50A4577F"/>
    <w:rsid w:val="50B73D1F"/>
    <w:rsid w:val="50BD5BC9"/>
    <w:rsid w:val="50C11EEE"/>
    <w:rsid w:val="50C34D9C"/>
    <w:rsid w:val="50E97CFC"/>
    <w:rsid w:val="50FA4028"/>
    <w:rsid w:val="510D65B7"/>
    <w:rsid w:val="511157AB"/>
    <w:rsid w:val="5142540C"/>
    <w:rsid w:val="518832C8"/>
    <w:rsid w:val="51A0432A"/>
    <w:rsid w:val="51A86090"/>
    <w:rsid w:val="51B11B1B"/>
    <w:rsid w:val="51B7396D"/>
    <w:rsid w:val="522E4CC3"/>
    <w:rsid w:val="523F0EEF"/>
    <w:rsid w:val="5244713B"/>
    <w:rsid w:val="525371FC"/>
    <w:rsid w:val="52615633"/>
    <w:rsid w:val="52665D0E"/>
    <w:rsid w:val="52977FD4"/>
    <w:rsid w:val="52A25790"/>
    <w:rsid w:val="52A96B6F"/>
    <w:rsid w:val="52B45975"/>
    <w:rsid w:val="52D94AA4"/>
    <w:rsid w:val="52EA3A62"/>
    <w:rsid w:val="52F50BB8"/>
    <w:rsid w:val="53097272"/>
    <w:rsid w:val="53544462"/>
    <w:rsid w:val="536040EB"/>
    <w:rsid w:val="536C0791"/>
    <w:rsid w:val="537454B4"/>
    <w:rsid w:val="5397158E"/>
    <w:rsid w:val="539D0113"/>
    <w:rsid w:val="54013861"/>
    <w:rsid w:val="54487265"/>
    <w:rsid w:val="544D6070"/>
    <w:rsid w:val="54605E1E"/>
    <w:rsid w:val="54B3506A"/>
    <w:rsid w:val="54CA0D16"/>
    <w:rsid w:val="54DD4057"/>
    <w:rsid w:val="54E7490F"/>
    <w:rsid w:val="550764A4"/>
    <w:rsid w:val="550B2BF6"/>
    <w:rsid w:val="55214EB5"/>
    <w:rsid w:val="55364EFD"/>
    <w:rsid w:val="5539030F"/>
    <w:rsid w:val="555D4828"/>
    <w:rsid w:val="55747B81"/>
    <w:rsid w:val="557A4C8B"/>
    <w:rsid w:val="558931E1"/>
    <w:rsid w:val="55923347"/>
    <w:rsid w:val="55925180"/>
    <w:rsid w:val="55983B1B"/>
    <w:rsid w:val="559E5653"/>
    <w:rsid w:val="55A8376B"/>
    <w:rsid w:val="55DC29B6"/>
    <w:rsid w:val="55DD4241"/>
    <w:rsid w:val="561E7717"/>
    <w:rsid w:val="566B6D1E"/>
    <w:rsid w:val="57032A2C"/>
    <w:rsid w:val="570F5219"/>
    <w:rsid w:val="571A50E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60716"/>
    <w:rsid w:val="58AE4F0C"/>
    <w:rsid w:val="58B85899"/>
    <w:rsid w:val="58E363A9"/>
    <w:rsid w:val="5908144D"/>
    <w:rsid w:val="595E1678"/>
    <w:rsid w:val="596D5BD4"/>
    <w:rsid w:val="597E3DD8"/>
    <w:rsid w:val="59887B32"/>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886317"/>
    <w:rsid w:val="5BC54E92"/>
    <w:rsid w:val="5C02690E"/>
    <w:rsid w:val="5C196DA7"/>
    <w:rsid w:val="5C2A048C"/>
    <w:rsid w:val="5C7E3D7C"/>
    <w:rsid w:val="5C80234E"/>
    <w:rsid w:val="5C8A680C"/>
    <w:rsid w:val="5CD8266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D60526"/>
    <w:rsid w:val="5EFC7377"/>
    <w:rsid w:val="5F06174D"/>
    <w:rsid w:val="5F3A3602"/>
    <w:rsid w:val="5F6277C6"/>
    <w:rsid w:val="5F6D0B1D"/>
    <w:rsid w:val="5F8B0050"/>
    <w:rsid w:val="5F8D0B82"/>
    <w:rsid w:val="5FCC5339"/>
    <w:rsid w:val="5FE34A5B"/>
    <w:rsid w:val="5FFE1E36"/>
    <w:rsid w:val="60232584"/>
    <w:rsid w:val="60474C82"/>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8F5832"/>
    <w:rsid w:val="62CE02E9"/>
    <w:rsid w:val="62F40B65"/>
    <w:rsid w:val="62FC2CFE"/>
    <w:rsid w:val="63024505"/>
    <w:rsid w:val="635B1DB5"/>
    <w:rsid w:val="63711FED"/>
    <w:rsid w:val="63880DDC"/>
    <w:rsid w:val="638D750D"/>
    <w:rsid w:val="63AC6CC0"/>
    <w:rsid w:val="64055776"/>
    <w:rsid w:val="64240056"/>
    <w:rsid w:val="643A2EF8"/>
    <w:rsid w:val="643E143A"/>
    <w:rsid w:val="648B6EEF"/>
    <w:rsid w:val="64C158BF"/>
    <w:rsid w:val="64CE2EAA"/>
    <w:rsid w:val="64DA4701"/>
    <w:rsid w:val="65146E65"/>
    <w:rsid w:val="653C3090"/>
    <w:rsid w:val="65854376"/>
    <w:rsid w:val="658767BE"/>
    <w:rsid w:val="65892531"/>
    <w:rsid w:val="66195831"/>
    <w:rsid w:val="662E75B1"/>
    <w:rsid w:val="66342C2E"/>
    <w:rsid w:val="663E784C"/>
    <w:rsid w:val="664D59C9"/>
    <w:rsid w:val="668B6A45"/>
    <w:rsid w:val="668F4233"/>
    <w:rsid w:val="66FB2F5F"/>
    <w:rsid w:val="672F3F24"/>
    <w:rsid w:val="673E055F"/>
    <w:rsid w:val="673F17B5"/>
    <w:rsid w:val="67551CE3"/>
    <w:rsid w:val="67A22552"/>
    <w:rsid w:val="67B22DCC"/>
    <w:rsid w:val="67BD3705"/>
    <w:rsid w:val="67BE71AA"/>
    <w:rsid w:val="67C63C85"/>
    <w:rsid w:val="67C955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35746"/>
    <w:rsid w:val="6977531D"/>
    <w:rsid w:val="69CC2BFF"/>
    <w:rsid w:val="69D1246D"/>
    <w:rsid w:val="69FD55B8"/>
    <w:rsid w:val="6A0B1C62"/>
    <w:rsid w:val="6A2406C8"/>
    <w:rsid w:val="6A484E25"/>
    <w:rsid w:val="6ADE0BD1"/>
    <w:rsid w:val="6AE96859"/>
    <w:rsid w:val="6B042BF3"/>
    <w:rsid w:val="6B0E4852"/>
    <w:rsid w:val="6B147746"/>
    <w:rsid w:val="6B24787C"/>
    <w:rsid w:val="6B573233"/>
    <w:rsid w:val="6B5B6274"/>
    <w:rsid w:val="6B6F50E4"/>
    <w:rsid w:val="6B8A02CD"/>
    <w:rsid w:val="6B935D53"/>
    <w:rsid w:val="6BD84BEA"/>
    <w:rsid w:val="6C196F71"/>
    <w:rsid w:val="6C226FCB"/>
    <w:rsid w:val="6C31226F"/>
    <w:rsid w:val="6C552F0B"/>
    <w:rsid w:val="6C8639E2"/>
    <w:rsid w:val="6C8C67B7"/>
    <w:rsid w:val="6C9D744C"/>
    <w:rsid w:val="6D167928"/>
    <w:rsid w:val="6D26299B"/>
    <w:rsid w:val="6D4772EC"/>
    <w:rsid w:val="6D7B72BF"/>
    <w:rsid w:val="6D7C6B93"/>
    <w:rsid w:val="6D9078AF"/>
    <w:rsid w:val="6DAA3FEF"/>
    <w:rsid w:val="6DB475E6"/>
    <w:rsid w:val="6DC0172B"/>
    <w:rsid w:val="6DCB690C"/>
    <w:rsid w:val="6DD41A5B"/>
    <w:rsid w:val="6DF43C2E"/>
    <w:rsid w:val="6DF51CA3"/>
    <w:rsid w:val="6E146DCC"/>
    <w:rsid w:val="6E5B75A9"/>
    <w:rsid w:val="6E8335BD"/>
    <w:rsid w:val="6E8E12EF"/>
    <w:rsid w:val="6E972936"/>
    <w:rsid w:val="6ED446C5"/>
    <w:rsid w:val="6EF745B1"/>
    <w:rsid w:val="6F0C1BBE"/>
    <w:rsid w:val="6F2A7D94"/>
    <w:rsid w:val="6F8331F1"/>
    <w:rsid w:val="6FAE1A09"/>
    <w:rsid w:val="6FD75BF8"/>
    <w:rsid w:val="707723D0"/>
    <w:rsid w:val="70F5661B"/>
    <w:rsid w:val="71360107"/>
    <w:rsid w:val="713B688E"/>
    <w:rsid w:val="716438C5"/>
    <w:rsid w:val="71AF2191"/>
    <w:rsid w:val="71D43752"/>
    <w:rsid w:val="71F1796A"/>
    <w:rsid w:val="72154626"/>
    <w:rsid w:val="72262B5D"/>
    <w:rsid w:val="72283FF7"/>
    <w:rsid w:val="722E7212"/>
    <w:rsid w:val="723A0474"/>
    <w:rsid w:val="725923E4"/>
    <w:rsid w:val="7280532C"/>
    <w:rsid w:val="72864BF7"/>
    <w:rsid w:val="728C21FB"/>
    <w:rsid w:val="729023FC"/>
    <w:rsid w:val="736842D5"/>
    <w:rsid w:val="736F3ED3"/>
    <w:rsid w:val="73C0646E"/>
    <w:rsid w:val="73E85453"/>
    <w:rsid w:val="742222F5"/>
    <w:rsid w:val="743C47B8"/>
    <w:rsid w:val="74476126"/>
    <w:rsid w:val="74533184"/>
    <w:rsid w:val="746B13F6"/>
    <w:rsid w:val="74706664"/>
    <w:rsid w:val="747F3682"/>
    <w:rsid w:val="749C4185"/>
    <w:rsid w:val="749F4BD9"/>
    <w:rsid w:val="75067759"/>
    <w:rsid w:val="75157FF9"/>
    <w:rsid w:val="752514B2"/>
    <w:rsid w:val="752E6DCD"/>
    <w:rsid w:val="7551380D"/>
    <w:rsid w:val="75600BE5"/>
    <w:rsid w:val="7564475C"/>
    <w:rsid w:val="7583797F"/>
    <w:rsid w:val="75D20F1D"/>
    <w:rsid w:val="75DA2C18"/>
    <w:rsid w:val="75DE5B2A"/>
    <w:rsid w:val="75F54412"/>
    <w:rsid w:val="75FA1462"/>
    <w:rsid w:val="761D08E0"/>
    <w:rsid w:val="765D347C"/>
    <w:rsid w:val="76826699"/>
    <w:rsid w:val="76C87133"/>
    <w:rsid w:val="76CD08D5"/>
    <w:rsid w:val="76DB4B92"/>
    <w:rsid w:val="77052AA4"/>
    <w:rsid w:val="77136511"/>
    <w:rsid w:val="77340A39"/>
    <w:rsid w:val="77351FD0"/>
    <w:rsid w:val="77437D2B"/>
    <w:rsid w:val="77472422"/>
    <w:rsid w:val="777F31F2"/>
    <w:rsid w:val="77AE203F"/>
    <w:rsid w:val="77D1700D"/>
    <w:rsid w:val="77EC04CC"/>
    <w:rsid w:val="78775729"/>
    <w:rsid w:val="78A42DB0"/>
    <w:rsid w:val="78A656AB"/>
    <w:rsid w:val="78B2245C"/>
    <w:rsid w:val="78E172CC"/>
    <w:rsid w:val="78EA1D1F"/>
    <w:rsid w:val="78EE551A"/>
    <w:rsid w:val="78F85C68"/>
    <w:rsid w:val="7904172F"/>
    <w:rsid w:val="790F7E27"/>
    <w:rsid w:val="79167CD3"/>
    <w:rsid w:val="792A231A"/>
    <w:rsid w:val="79316829"/>
    <w:rsid w:val="79417B92"/>
    <w:rsid w:val="79645FB5"/>
    <w:rsid w:val="797E66A9"/>
    <w:rsid w:val="79A97383"/>
    <w:rsid w:val="79E27E8B"/>
    <w:rsid w:val="79F850CE"/>
    <w:rsid w:val="79FD443C"/>
    <w:rsid w:val="7A1D1975"/>
    <w:rsid w:val="7A286FF8"/>
    <w:rsid w:val="7A3E5150"/>
    <w:rsid w:val="7A4670D6"/>
    <w:rsid w:val="7A534B63"/>
    <w:rsid w:val="7A615382"/>
    <w:rsid w:val="7A67303B"/>
    <w:rsid w:val="7A6B56B2"/>
    <w:rsid w:val="7AAB1D04"/>
    <w:rsid w:val="7AB0486A"/>
    <w:rsid w:val="7ABA4368"/>
    <w:rsid w:val="7ACB5C70"/>
    <w:rsid w:val="7AD05746"/>
    <w:rsid w:val="7B257FFD"/>
    <w:rsid w:val="7B343476"/>
    <w:rsid w:val="7B5A2978"/>
    <w:rsid w:val="7B5A7E4C"/>
    <w:rsid w:val="7B667AF9"/>
    <w:rsid w:val="7B711D02"/>
    <w:rsid w:val="7B7468F8"/>
    <w:rsid w:val="7B7EB183"/>
    <w:rsid w:val="7BEE0103"/>
    <w:rsid w:val="7BF546E1"/>
    <w:rsid w:val="7C0A0FE4"/>
    <w:rsid w:val="7C254906"/>
    <w:rsid w:val="7C590818"/>
    <w:rsid w:val="7C7C10F6"/>
    <w:rsid w:val="7C853BEA"/>
    <w:rsid w:val="7C881368"/>
    <w:rsid w:val="7CE27788"/>
    <w:rsid w:val="7CE72774"/>
    <w:rsid w:val="7D0C32F1"/>
    <w:rsid w:val="7D0F408D"/>
    <w:rsid w:val="7D2D3DED"/>
    <w:rsid w:val="7D491C6C"/>
    <w:rsid w:val="7D5429C0"/>
    <w:rsid w:val="7D6E6D43"/>
    <w:rsid w:val="7DB57A34"/>
    <w:rsid w:val="7DBC01D8"/>
    <w:rsid w:val="7DE60973"/>
    <w:rsid w:val="7DEF0916"/>
    <w:rsid w:val="7E1E5218"/>
    <w:rsid w:val="7E9A4E1F"/>
    <w:rsid w:val="7EA7723A"/>
    <w:rsid w:val="7EF56FBB"/>
    <w:rsid w:val="7F0768EB"/>
    <w:rsid w:val="7F111831"/>
    <w:rsid w:val="7F143BEC"/>
    <w:rsid w:val="7F715AF2"/>
    <w:rsid w:val="7F886E69"/>
    <w:rsid w:val="7FDA5C0C"/>
    <w:rsid w:val="BB7FA927"/>
    <w:rsid w:val="F5FFD31F"/>
    <w:rsid w:val="FBFEA105"/>
    <w:rsid w:val="FF3E13AF"/>
    <w:rsid w:val="FFF9B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9"/>
    <w:qFormat/>
    <w:uiPriority w:val="0"/>
    <w:pPr>
      <w:ind w:firstLine="420"/>
    </w:pPr>
    <w:rPr>
      <w:rFonts w:hAnsi="Calibri" w:cs="Times New Roman"/>
      <w:snapToGrid/>
      <w:szCs w:val="20"/>
    </w:rPr>
  </w:style>
  <w:style w:type="paragraph" w:styleId="7">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next w:val="27"/>
    <w:link w:val="119"/>
    <w:qFormat/>
    <w:uiPriority w:val="0"/>
    <w:pPr>
      <w:adjustRightInd/>
      <w:spacing w:after="120" w:line="240" w:lineRule="auto"/>
      <w:ind w:left="420" w:leftChars="200" w:firstLine="210"/>
    </w:pPr>
    <w:rPr>
      <w:sz w:val="21"/>
    </w:rPr>
  </w:style>
  <w:style w:type="paragraph" w:customStyle="1" w:styleId="2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2"/>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6"/>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next w:val="45"/>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9"/>
    <w:qFormat/>
    <w:uiPriority w:val="0"/>
    <w:rPr>
      <w:rFonts w:ascii="黑体" w:hAnsi="Courier New" w:eastAsia="黑体"/>
    </w:rPr>
  </w:style>
  <w:style w:type="character" w:customStyle="1" w:styleId="300">
    <w:name w:val="正文文本 2 Char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Body Text First Indent 21"/>
    <w:basedOn w:val="963"/>
    <w:qFormat/>
    <w:uiPriority w:val="0"/>
    <w:pPr>
      <w:ind w:firstLine="420"/>
    </w:pPr>
    <w:rPr>
      <w:rFonts w:cs="宋体"/>
    </w:rPr>
  </w:style>
  <w:style w:type="paragraph" w:customStyle="1" w:styleId="963">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58</Pages>
  <Words>25105</Words>
  <Characters>26853</Characters>
  <Lines>287</Lines>
  <Paragraphs>81</Paragraphs>
  <TotalTime>52</TotalTime>
  <ScaleCrop>false</ScaleCrop>
  <LinksUpToDate>false</LinksUpToDate>
  <CharactersWithSpaces>28640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Administrator</cp:lastModifiedBy>
  <cp:lastPrinted>2022-09-02T09:55:00Z</cp:lastPrinted>
  <dcterms:modified xsi:type="dcterms:W3CDTF">2024-08-26T07:06:15Z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0857B127C0F64321A2873276E6BFDA97_13</vt:lpwstr>
  </property>
</Properties>
</file>