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2BED7F">
      <w:pPr>
        <w:spacing w:line="360" w:lineRule="auto"/>
        <w:jc w:val="center"/>
        <w:rPr>
          <w:rFonts w:hint="eastAsia" w:ascii="宋体" w:hAnsi="宋体" w:cs="宋体" w:eastAsiaTheme="minorEastAsia"/>
          <w:sz w:val="44"/>
          <w:szCs w:val="44"/>
          <w:highlight w:val="none"/>
          <w:lang w:eastAsia="zh-CN"/>
        </w:rPr>
      </w:pPr>
      <w:r>
        <w:rPr>
          <w:rFonts w:hint="eastAsia" w:asciiTheme="minorEastAsia" w:hAnsiTheme="minorEastAsia" w:eastAsiaTheme="minorEastAsia" w:cstheme="minorEastAsia"/>
          <w:b/>
          <w:sz w:val="44"/>
          <w:szCs w:val="44"/>
          <w:highlight w:val="none"/>
          <w:lang w:eastAsia="zh-CN"/>
        </w:rPr>
        <w:t>浙江衢州公信工程管理有限公司</w:t>
      </w:r>
      <w:r>
        <w:rPr>
          <w:rFonts w:hint="eastAsia" w:asciiTheme="minorEastAsia" w:hAnsiTheme="minorEastAsia" w:eastAsiaTheme="minorEastAsia" w:cstheme="minorEastAsia"/>
          <w:b/>
          <w:sz w:val="44"/>
          <w:szCs w:val="44"/>
          <w:highlight w:val="none"/>
        </w:rPr>
        <w:t>关于</w:t>
      </w:r>
      <w:r>
        <w:rPr>
          <w:rFonts w:hint="eastAsia" w:asciiTheme="minorEastAsia" w:hAnsiTheme="minorEastAsia" w:eastAsiaTheme="minorEastAsia" w:cstheme="minorEastAsia"/>
          <w:b/>
          <w:sz w:val="44"/>
          <w:szCs w:val="44"/>
          <w:highlight w:val="none"/>
          <w:lang w:eastAsia="zh-CN"/>
        </w:rPr>
        <w:t>敖溪杭温高铁拆迁安置区市政工程项目</w:t>
      </w:r>
    </w:p>
    <w:p w14:paraId="5CAF17D2">
      <w:pPr>
        <w:pStyle w:val="28"/>
        <w:rPr>
          <w:rFonts w:ascii="宋体" w:hAnsi="宋体" w:cs="宋体"/>
          <w:sz w:val="40"/>
          <w:szCs w:val="40"/>
          <w:highlight w:val="none"/>
        </w:rPr>
      </w:pPr>
    </w:p>
    <w:p w14:paraId="654CBB72">
      <w:pPr>
        <w:pStyle w:val="28"/>
        <w:rPr>
          <w:rFonts w:ascii="宋体" w:hAnsi="宋体" w:cs="宋体"/>
          <w:sz w:val="40"/>
          <w:szCs w:val="40"/>
          <w:highlight w:val="none"/>
        </w:rPr>
      </w:pPr>
    </w:p>
    <w:p w14:paraId="66F6C683">
      <w:pPr>
        <w:pStyle w:val="28"/>
        <w:rPr>
          <w:rFonts w:ascii="宋体" w:hAnsi="宋体" w:cs="宋体"/>
          <w:sz w:val="40"/>
          <w:szCs w:val="40"/>
          <w:highlight w:val="none"/>
        </w:rPr>
      </w:pPr>
    </w:p>
    <w:p w14:paraId="79C8EE88">
      <w:pPr>
        <w:pStyle w:val="28"/>
        <w:rPr>
          <w:rFonts w:ascii="宋体" w:hAnsi="宋体" w:cs="宋体"/>
          <w:sz w:val="40"/>
          <w:szCs w:val="40"/>
          <w:highlight w:val="none"/>
        </w:rPr>
      </w:pPr>
    </w:p>
    <w:p w14:paraId="11416016">
      <w:pPr>
        <w:pStyle w:val="28"/>
        <w:rPr>
          <w:rFonts w:ascii="宋体" w:hAnsi="宋体" w:cs="宋体"/>
          <w:sz w:val="40"/>
          <w:szCs w:val="40"/>
          <w:highlight w:val="none"/>
        </w:rPr>
      </w:pPr>
    </w:p>
    <w:p w14:paraId="6E1C9E9F">
      <w:pPr>
        <w:rPr>
          <w:rFonts w:ascii="宋体" w:hAnsi="宋体" w:cs="宋体"/>
          <w:sz w:val="24"/>
          <w:highlight w:val="none"/>
        </w:rPr>
      </w:pPr>
    </w:p>
    <w:p w14:paraId="147813FC">
      <w:pPr>
        <w:pStyle w:val="18"/>
        <w:jc w:val="center"/>
        <w:rPr>
          <w:highlight w:val="none"/>
        </w:rPr>
      </w:pPr>
      <w:r>
        <w:rPr>
          <w:rFonts w:hint="eastAsia" w:ascii="宋体" w:hAnsi="宋体" w:cs="宋体"/>
          <w:b/>
          <w:bCs/>
          <w:sz w:val="72"/>
          <w:szCs w:val="72"/>
          <w:highlight w:val="none"/>
        </w:rPr>
        <w:t>竞争性磋商文件</w:t>
      </w:r>
    </w:p>
    <w:p w14:paraId="0DEADA96">
      <w:pPr>
        <w:pStyle w:val="28"/>
        <w:rPr>
          <w:rFonts w:ascii="宋体" w:hAnsi="宋体" w:cs="宋体"/>
          <w:sz w:val="40"/>
          <w:szCs w:val="40"/>
          <w:highlight w:val="none"/>
        </w:rPr>
      </w:pPr>
    </w:p>
    <w:p w14:paraId="46E9227F">
      <w:pPr>
        <w:pStyle w:val="28"/>
        <w:rPr>
          <w:rFonts w:ascii="宋体" w:hAnsi="宋体" w:cs="宋体"/>
          <w:sz w:val="40"/>
          <w:szCs w:val="40"/>
          <w:highlight w:val="none"/>
        </w:rPr>
      </w:pPr>
    </w:p>
    <w:p w14:paraId="2F6A0C94">
      <w:pPr>
        <w:pStyle w:val="28"/>
        <w:rPr>
          <w:rFonts w:ascii="宋体" w:hAnsi="宋体" w:cs="宋体"/>
          <w:sz w:val="40"/>
          <w:szCs w:val="40"/>
          <w:highlight w:val="none"/>
        </w:rPr>
      </w:pPr>
    </w:p>
    <w:p w14:paraId="0248DE84">
      <w:pPr>
        <w:pStyle w:val="28"/>
        <w:rPr>
          <w:rFonts w:ascii="宋体" w:hAnsi="宋体" w:cs="宋体"/>
          <w:sz w:val="40"/>
          <w:szCs w:val="40"/>
          <w:highlight w:val="none"/>
        </w:rPr>
      </w:pPr>
    </w:p>
    <w:p w14:paraId="155AE292">
      <w:pPr>
        <w:pStyle w:val="28"/>
        <w:rPr>
          <w:rFonts w:ascii="宋体" w:hAnsi="宋体" w:cs="宋体"/>
          <w:sz w:val="40"/>
          <w:szCs w:val="40"/>
          <w:highlight w:val="none"/>
        </w:rPr>
      </w:pPr>
    </w:p>
    <w:p w14:paraId="0D526F4C">
      <w:pPr>
        <w:spacing w:line="480" w:lineRule="auto"/>
        <w:ind w:firstLine="643" w:firstLineChars="200"/>
        <w:jc w:val="left"/>
        <w:rPr>
          <w:rFonts w:hint="eastAsia" w:ascii="宋体" w:hAnsi="宋体" w:eastAsia="宋体" w:cs="宋体"/>
          <w:b/>
          <w:bCs/>
          <w:sz w:val="32"/>
          <w:szCs w:val="32"/>
          <w:highlight w:val="none"/>
          <w:lang w:eastAsia="zh-CN"/>
        </w:rPr>
      </w:pPr>
      <w:r>
        <w:rPr>
          <w:rFonts w:hint="eastAsia" w:ascii="宋体" w:hAnsi="宋体" w:cs="宋体"/>
          <w:b/>
          <w:bCs/>
          <w:kern w:val="0"/>
          <w:sz w:val="32"/>
          <w:szCs w:val="32"/>
          <w:highlight w:val="none"/>
        </w:rPr>
        <w:t>磋商编号：</w:t>
      </w:r>
      <w:r>
        <w:rPr>
          <w:rFonts w:hint="eastAsia" w:ascii="宋体" w:hAnsi="宋体" w:cs="宋体"/>
          <w:b/>
          <w:bCs/>
          <w:sz w:val="32"/>
          <w:szCs w:val="32"/>
          <w:highlight w:val="none"/>
          <w:lang w:eastAsia="zh-CN"/>
        </w:rPr>
        <w:t>ZJQZGX2024-021</w:t>
      </w:r>
    </w:p>
    <w:p w14:paraId="4DD95320">
      <w:pPr>
        <w:spacing w:line="480" w:lineRule="auto"/>
        <w:ind w:left="2244" w:leftChars="304" w:hanging="1606" w:hangingChars="500"/>
        <w:jc w:val="left"/>
        <w:rPr>
          <w:rFonts w:hint="eastAsia" w:ascii="宋体" w:hAnsi="宋体" w:eastAsia="宋体" w:cs="宋体"/>
          <w:b/>
          <w:bCs/>
          <w:kern w:val="0"/>
          <w:sz w:val="32"/>
          <w:szCs w:val="32"/>
          <w:highlight w:val="none"/>
          <w:lang w:eastAsia="zh-CN"/>
        </w:rPr>
      </w:pPr>
      <w:r>
        <w:rPr>
          <w:rFonts w:hint="eastAsia" w:ascii="宋体" w:hAnsi="宋体" w:cs="宋体"/>
          <w:b/>
          <w:bCs/>
          <w:kern w:val="0"/>
          <w:sz w:val="32"/>
          <w:szCs w:val="32"/>
          <w:highlight w:val="none"/>
        </w:rPr>
        <w:t>项目名称：</w:t>
      </w:r>
      <w:r>
        <w:rPr>
          <w:rFonts w:hint="eastAsia" w:ascii="宋体" w:hAnsi="宋体" w:cs="宋体"/>
          <w:b/>
          <w:bCs/>
          <w:kern w:val="0"/>
          <w:sz w:val="32"/>
          <w:szCs w:val="32"/>
          <w:highlight w:val="none"/>
          <w:lang w:eastAsia="zh-CN"/>
        </w:rPr>
        <w:t>敖溪杭温高铁拆迁安置区市政工程项目</w:t>
      </w:r>
    </w:p>
    <w:p w14:paraId="689F947A">
      <w:pPr>
        <w:spacing w:line="480" w:lineRule="auto"/>
        <w:ind w:firstLine="643" w:firstLineChars="200"/>
        <w:jc w:val="left"/>
        <w:rPr>
          <w:rFonts w:hint="eastAsia" w:ascii="宋体" w:hAnsi="宋体" w:eastAsia="宋体" w:cs="宋体"/>
          <w:b/>
          <w:bCs/>
          <w:kern w:val="0"/>
          <w:sz w:val="32"/>
          <w:szCs w:val="32"/>
          <w:highlight w:val="none"/>
          <w:lang w:eastAsia="zh-CN"/>
        </w:rPr>
      </w:pPr>
      <w:r>
        <w:rPr>
          <w:rFonts w:hint="eastAsia" w:ascii="宋体" w:hAnsi="宋体" w:cs="宋体"/>
          <w:b/>
          <w:bCs/>
          <w:kern w:val="0"/>
          <w:sz w:val="32"/>
          <w:szCs w:val="32"/>
          <w:highlight w:val="none"/>
        </w:rPr>
        <w:t>采购单位：</w:t>
      </w:r>
      <w:r>
        <w:rPr>
          <w:rFonts w:hint="eastAsia" w:ascii="宋体" w:hAnsi="宋体" w:cs="宋体"/>
          <w:b/>
          <w:bCs/>
          <w:kern w:val="0"/>
          <w:sz w:val="32"/>
          <w:szCs w:val="32"/>
          <w:highlight w:val="none"/>
          <w:lang w:eastAsia="zh-CN"/>
        </w:rPr>
        <w:t>东阳市南市街道办事处</w:t>
      </w:r>
    </w:p>
    <w:p w14:paraId="26E2B55A">
      <w:pPr>
        <w:spacing w:line="480" w:lineRule="auto"/>
        <w:ind w:firstLine="643" w:firstLineChars="200"/>
        <w:jc w:val="left"/>
        <w:rPr>
          <w:rFonts w:hint="eastAsia" w:ascii="宋体" w:hAnsi="宋体" w:eastAsia="宋体" w:cs="宋体"/>
          <w:b/>
          <w:bCs/>
          <w:w w:val="95"/>
          <w:sz w:val="30"/>
          <w:szCs w:val="30"/>
          <w:highlight w:val="none"/>
          <w:lang w:eastAsia="zh-CN"/>
        </w:rPr>
      </w:pPr>
      <w:r>
        <w:rPr>
          <w:rFonts w:hint="eastAsia" w:ascii="宋体" w:hAnsi="宋体" w:cs="宋体"/>
          <w:b/>
          <w:bCs/>
          <w:kern w:val="0"/>
          <w:sz w:val="32"/>
          <w:szCs w:val="32"/>
          <w:highlight w:val="none"/>
        </w:rPr>
        <w:t>招标机构：</w:t>
      </w:r>
      <w:r>
        <w:rPr>
          <w:rFonts w:hint="eastAsia" w:ascii="宋体" w:hAnsi="宋体" w:cs="宋体"/>
          <w:b/>
          <w:bCs/>
          <w:kern w:val="0"/>
          <w:sz w:val="32"/>
          <w:szCs w:val="32"/>
          <w:highlight w:val="none"/>
          <w:lang w:eastAsia="zh-CN"/>
        </w:rPr>
        <w:t>浙江衢州公信工程管理有限公司</w:t>
      </w:r>
    </w:p>
    <w:p w14:paraId="37C9349F">
      <w:pPr>
        <w:pStyle w:val="23"/>
        <w:spacing w:line="480" w:lineRule="auto"/>
        <w:jc w:val="center"/>
        <w:rPr>
          <w:rFonts w:ascii="宋体" w:hAnsi="宋体" w:cs="宋体"/>
          <w:b/>
          <w:sz w:val="32"/>
          <w:szCs w:val="32"/>
          <w:highlight w:val="none"/>
        </w:rPr>
      </w:pPr>
      <w:r>
        <w:rPr>
          <w:rFonts w:hint="eastAsia" w:ascii="宋体" w:hAnsi="宋体" w:cs="宋体"/>
          <w:b/>
          <w:bCs/>
          <w:w w:val="95"/>
          <w:sz w:val="30"/>
          <w:szCs w:val="30"/>
          <w:highlight w:val="none"/>
        </w:rPr>
        <w:t>2024年</w:t>
      </w:r>
      <w:r>
        <w:rPr>
          <w:rFonts w:hint="eastAsia" w:ascii="宋体" w:hAnsi="宋体" w:cs="宋体"/>
          <w:b/>
          <w:bCs/>
          <w:w w:val="95"/>
          <w:sz w:val="30"/>
          <w:szCs w:val="30"/>
          <w:highlight w:val="none"/>
          <w:lang w:val="en-US" w:eastAsia="zh-CN"/>
        </w:rPr>
        <w:t>10</w:t>
      </w:r>
      <w:r>
        <w:rPr>
          <w:rFonts w:hint="eastAsia" w:ascii="宋体" w:hAnsi="宋体" w:cs="宋体"/>
          <w:b/>
          <w:bCs/>
          <w:w w:val="95"/>
          <w:sz w:val="30"/>
          <w:szCs w:val="30"/>
          <w:highlight w:val="none"/>
        </w:rPr>
        <w:t>月</w:t>
      </w:r>
    </w:p>
    <w:p w14:paraId="7A10AD1A">
      <w:pPr>
        <w:pStyle w:val="23"/>
        <w:pageBreakBefore/>
        <w:spacing w:line="276" w:lineRule="auto"/>
        <w:jc w:val="center"/>
        <w:rPr>
          <w:rFonts w:hint="eastAsia" w:ascii="宋体" w:hAnsi="宋体" w:cs="宋体"/>
          <w:b/>
          <w:szCs w:val="24"/>
          <w:highlight w:val="none"/>
        </w:rPr>
        <w:sectPr>
          <w:headerReference r:id="rId4" w:type="first"/>
          <w:footerReference r:id="rId6" w:type="first"/>
          <w:headerReference r:id="rId3" w:type="default"/>
          <w:footerReference r:id="rId5" w:type="default"/>
          <w:pgSz w:w="11906" w:h="16838"/>
          <w:pgMar w:top="1276" w:right="1361" w:bottom="1247" w:left="1418" w:header="851" w:footer="992" w:gutter="0"/>
          <w:cols w:space="720" w:num="1"/>
          <w:docGrid w:linePitch="312" w:charSpace="0"/>
        </w:sectPr>
      </w:pPr>
    </w:p>
    <w:p w14:paraId="42B7CB10">
      <w:pPr>
        <w:pStyle w:val="23"/>
        <w:pageBreakBefore/>
        <w:spacing w:line="276" w:lineRule="auto"/>
        <w:jc w:val="center"/>
        <w:rPr>
          <w:rFonts w:ascii="宋体" w:hAnsi="宋体" w:cs="宋体"/>
          <w:b/>
          <w:szCs w:val="24"/>
          <w:highlight w:val="none"/>
        </w:rPr>
      </w:pPr>
      <w:r>
        <w:rPr>
          <w:rFonts w:hint="eastAsia" w:ascii="宋体" w:hAnsi="宋体" w:cs="宋体"/>
          <w:b/>
          <w:szCs w:val="24"/>
          <w:highlight w:val="none"/>
        </w:rPr>
        <w:t>目    录</w:t>
      </w:r>
    </w:p>
    <w:p w14:paraId="2241C03A">
      <w:pPr>
        <w:pStyle w:val="30"/>
        <w:tabs>
          <w:tab w:val="right" w:leader="dot" w:pos="9117"/>
        </w:tabs>
        <w:rPr>
          <w:rFonts w:asciiTheme="minorHAnsi" w:hAnsiTheme="minorHAnsi" w:eastAsiaTheme="minorEastAsia" w:cstheme="minorBidi"/>
          <w:szCs w:val="22"/>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TOC \o "1-2" \h \z \u </w:instrText>
      </w:r>
      <w:r>
        <w:rPr>
          <w:rFonts w:hint="eastAsia" w:ascii="宋体" w:hAnsi="宋体" w:cs="宋体"/>
          <w:sz w:val="24"/>
          <w:highlight w:val="none"/>
        </w:rPr>
        <w:fldChar w:fldCharType="separate"/>
      </w:r>
      <w:r>
        <w:rPr>
          <w:highlight w:val="none"/>
        </w:rPr>
        <w:fldChar w:fldCharType="begin"/>
      </w:r>
      <w:r>
        <w:rPr>
          <w:highlight w:val="none"/>
        </w:rPr>
        <w:instrText xml:space="preserve"> HYPERLINK \l "_Toc174369991" </w:instrText>
      </w:r>
      <w:r>
        <w:rPr>
          <w:highlight w:val="none"/>
        </w:rPr>
        <w:fldChar w:fldCharType="separate"/>
      </w:r>
      <w:r>
        <w:rPr>
          <w:rStyle w:val="46"/>
          <w:rFonts w:hint="eastAsia" w:ascii="宋体" w:hAnsi="宋体" w:cs="宋体"/>
          <w:b/>
          <w:highlight w:val="none"/>
        </w:rPr>
        <w:t>第一章</w:t>
      </w:r>
      <w:r>
        <w:rPr>
          <w:rStyle w:val="46"/>
          <w:rFonts w:ascii="宋体" w:hAnsi="宋体" w:cs="宋体"/>
          <w:b/>
          <w:highlight w:val="none"/>
        </w:rPr>
        <w:t xml:space="preserve">  </w:t>
      </w:r>
      <w:r>
        <w:rPr>
          <w:rStyle w:val="46"/>
          <w:rFonts w:hint="eastAsia" w:ascii="宋体" w:hAnsi="宋体" w:cs="宋体"/>
          <w:b/>
          <w:highlight w:val="none"/>
        </w:rPr>
        <w:t>竞争性磋商公告</w:t>
      </w:r>
      <w:r>
        <w:rPr>
          <w:highlight w:val="none"/>
        </w:rPr>
        <w:tab/>
      </w:r>
      <w:r>
        <w:rPr>
          <w:highlight w:val="none"/>
        </w:rPr>
        <w:fldChar w:fldCharType="begin"/>
      </w:r>
      <w:r>
        <w:rPr>
          <w:highlight w:val="none"/>
        </w:rPr>
        <w:instrText xml:space="preserve"> PAGEREF _Toc174369991 \h </w:instrText>
      </w:r>
      <w:r>
        <w:rPr>
          <w:highlight w:val="none"/>
        </w:rPr>
        <w:fldChar w:fldCharType="separate"/>
      </w:r>
      <w:r>
        <w:rPr>
          <w:highlight w:val="none"/>
        </w:rPr>
        <w:t>1</w:t>
      </w:r>
      <w:r>
        <w:rPr>
          <w:highlight w:val="none"/>
        </w:rPr>
        <w:fldChar w:fldCharType="end"/>
      </w:r>
      <w:r>
        <w:rPr>
          <w:highlight w:val="none"/>
        </w:rPr>
        <w:fldChar w:fldCharType="end"/>
      </w:r>
    </w:p>
    <w:p w14:paraId="7540B28A">
      <w:pPr>
        <w:pStyle w:val="30"/>
        <w:tabs>
          <w:tab w:val="right" w:leader="dot" w:pos="9117"/>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"_Toc174369992" </w:instrText>
      </w:r>
      <w:r>
        <w:rPr>
          <w:highlight w:val="none"/>
        </w:rPr>
        <w:fldChar w:fldCharType="separate"/>
      </w:r>
      <w:r>
        <w:rPr>
          <w:rStyle w:val="46"/>
          <w:rFonts w:hint="eastAsia" w:ascii="宋体" w:hAnsi="宋体" w:cs="宋体"/>
          <w:b/>
          <w:highlight w:val="none"/>
        </w:rPr>
        <w:t>第二章</w:t>
      </w:r>
      <w:r>
        <w:rPr>
          <w:rStyle w:val="46"/>
          <w:rFonts w:ascii="宋体" w:hAnsi="宋体" w:cs="宋体"/>
          <w:b/>
          <w:highlight w:val="none"/>
        </w:rPr>
        <w:t xml:space="preserve">  </w:t>
      </w:r>
      <w:r>
        <w:rPr>
          <w:rStyle w:val="46"/>
          <w:rFonts w:hint="eastAsia" w:ascii="宋体" w:hAnsi="宋体" w:cs="宋体"/>
          <w:b/>
          <w:highlight w:val="none"/>
        </w:rPr>
        <w:t>招标需求</w:t>
      </w:r>
      <w:r>
        <w:rPr>
          <w:highlight w:val="none"/>
        </w:rPr>
        <w:tab/>
      </w:r>
      <w:r>
        <w:rPr>
          <w:highlight w:val="none"/>
        </w:rPr>
        <w:fldChar w:fldCharType="begin"/>
      </w:r>
      <w:r>
        <w:rPr>
          <w:highlight w:val="none"/>
        </w:rPr>
        <w:instrText xml:space="preserve"> PAGEREF _Toc174369992 \h </w:instrText>
      </w:r>
      <w:r>
        <w:rPr>
          <w:highlight w:val="none"/>
        </w:rPr>
        <w:fldChar w:fldCharType="separate"/>
      </w:r>
      <w:r>
        <w:rPr>
          <w:highlight w:val="none"/>
        </w:rPr>
        <w:t>6</w:t>
      </w:r>
      <w:r>
        <w:rPr>
          <w:highlight w:val="none"/>
        </w:rPr>
        <w:fldChar w:fldCharType="end"/>
      </w:r>
      <w:r>
        <w:rPr>
          <w:highlight w:val="none"/>
        </w:rPr>
        <w:fldChar w:fldCharType="end"/>
      </w:r>
    </w:p>
    <w:p w14:paraId="4CD26E96">
      <w:pPr>
        <w:pStyle w:val="30"/>
        <w:tabs>
          <w:tab w:val="right" w:leader="dot" w:pos="9117"/>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"_Toc174369993" </w:instrText>
      </w:r>
      <w:r>
        <w:rPr>
          <w:highlight w:val="none"/>
        </w:rPr>
        <w:fldChar w:fldCharType="separate"/>
      </w:r>
      <w:r>
        <w:rPr>
          <w:rStyle w:val="46"/>
          <w:rFonts w:hint="eastAsia" w:ascii="宋体" w:hAnsi="宋体" w:cs="宋体"/>
          <w:highlight w:val="none"/>
        </w:rPr>
        <w:t>第三章</w:t>
      </w:r>
      <w:r>
        <w:rPr>
          <w:rStyle w:val="46"/>
          <w:rFonts w:ascii="宋体" w:hAnsi="宋体" w:cs="宋体"/>
          <w:highlight w:val="none"/>
        </w:rPr>
        <w:t xml:space="preserve">   </w:t>
      </w:r>
      <w:r>
        <w:rPr>
          <w:rStyle w:val="46"/>
          <w:rFonts w:hint="eastAsia" w:ascii="宋体" w:hAnsi="宋体" w:cs="宋体"/>
          <w:highlight w:val="none"/>
        </w:rPr>
        <w:t>供应商须知</w:t>
      </w:r>
      <w:r>
        <w:rPr>
          <w:highlight w:val="none"/>
        </w:rPr>
        <w:tab/>
      </w:r>
      <w:r>
        <w:rPr>
          <w:highlight w:val="none"/>
        </w:rPr>
        <w:fldChar w:fldCharType="begin"/>
      </w:r>
      <w:r>
        <w:rPr>
          <w:highlight w:val="none"/>
        </w:rPr>
        <w:instrText xml:space="preserve"> PAGEREF _Toc174369993 \h </w:instrText>
      </w:r>
      <w:r>
        <w:rPr>
          <w:highlight w:val="none"/>
        </w:rPr>
        <w:fldChar w:fldCharType="separate"/>
      </w:r>
      <w:r>
        <w:rPr>
          <w:highlight w:val="none"/>
        </w:rPr>
        <w:t>9</w:t>
      </w:r>
      <w:r>
        <w:rPr>
          <w:highlight w:val="none"/>
        </w:rPr>
        <w:fldChar w:fldCharType="end"/>
      </w:r>
      <w:r>
        <w:rPr>
          <w:highlight w:val="none"/>
        </w:rPr>
        <w:fldChar w:fldCharType="end"/>
      </w:r>
    </w:p>
    <w:p w14:paraId="2AB8C53F">
      <w:pPr>
        <w:pStyle w:val="33"/>
        <w:tabs>
          <w:tab w:val="right" w:leader="dot" w:pos="9117"/>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"_Toc174369994" </w:instrText>
      </w:r>
      <w:r>
        <w:rPr>
          <w:highlight w:val="none"/>
        </w:rPr>
        <w:fldChar w:fldCharType="separate"/>
      </w:r>
      <w:r>
        <w:rPr>
          <w:rStyle w:val="46"/>
          <w:rFonts w:hint="eastAsia" w:ascii="宋体" w:hAnsi="宋体" w:cs="宋体"/>
          <w:b/>
          <w:highlight w:val="none"/>
        </w:rPr>
        <w:t>前附表</w:t>
      </w:r>
      <w:r>
        <w:rPr>
          <w:highlight w:val="none"/>
        </w:rPr>
        <w:tab/>
      </w:r>
      <w:r>
        <w:rPr>
          <w:highlight w:val="none"/>
        </w:rPr>
        <w:fldChar w:fldCharType="begin"/>
      </w:r>
      <w:r>
        <w:rPr>
          <w:highlight w:val="none"/>
        </w:rPr>
        <w:instrText xml:space="preserve"> PAGEREF _Toc174369994 \h </w:instrText>
      </w:r>
      <w:r>
        <w:rPr>
          <w:highlight w:val="none"/>
        </w:rPr>
        <w:fldChar w:fldCharType="separate"/>
      </w:r>
      <w:r>
        <w:rPr>
          <w:highlight w:val="none"/>
        </w:rPr>
        <w:t>9</w:t>
      </w:r>
      <w:r>
        <w:rPr>
          <w:highlight w:val="none"/>
        </w:rPr>
        <w:fldChar w:fldCharType="end"/>
      </w:r>
      <w:r>
        <w:rPr>
          <w:highlight w:val="none"/>
        </w:rPr>
        <w:fldChar w:fldCharType="end"/>
      </w:r>
    </w:p>
    <w:p w14:paraId="2E9897D4">
      <w:pPr>
        <w:pStyle w:val="33"/>
        <w:tabs>
          <w:tab w:val="left" w:pos="2100"/>
          <w:tab w:val="right" w:leader="dot" w:pos="9117"/>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"_Toc174369995" </w:instrText>
      </w:r>
      <w:r>
        <w:rPr>
          <w:highlight w:val="none"/>
        </w:rPr>
        <w:fldChar w:fldCharType="separate"/>
      </w:r>
      <w:r>
        <w:rPr>
          <w:rStyle w:val="46"/>
          <w:rFonts w:hint="eastAsia" w:ascii="宋体" w:hAnsi="宋体" w:cs="宋体"/>
          <w:b/>
          <w:highlight w:val="none"/>
        </w:rPr>
        <w:t>一、</w:t>
      </w:r>
      <w:r>
        <w:rPr>
          <w:rFonts w:asciiTheme="minorHAnsi" w:hAnsiTheme="minorHAnsi" w:eastAsiaTheme="minorEastAsia" w:cstheme="minorBidi"/>
          <w:szCs w:val="22"/>
          <w:highlight w:val="none"/>
        </w:rPr>
        <w:tab/>
      </w:r>
      <w:r>
        <w:rPr>
          <w:rStyle w:val="46"/>
          <w:rFonts w:hint="eastAsia" w:ascii="宋体" w:hAnsi="宋体" w:cs="宋体"/>
          <w:b/>
          <w:highlight w:val="none"/>
        </w:rPr>
        <w:t>总则</w:t>
      </w:r>
      <w:r>
        <w:rPr>
          <w:highlight w:val="none"/>
        </w:rPr>
        <w:tab/>
      </w:r>
      <w:r>
        <w:rPr>
          <w:highlight w:val="none"/>
        </w:rPr>
        <w:fldChar w:fldCharType="begin"/>
      </w:r>
      <w:r>
        <w:rPr>
          <w:highlight w:val="none"/>
        </w:rPr>
        <w:instrText xml:space="preserve"> PAGEREF _Toc174369995 \h </w:instrText>
      </w:r>
      <w:r>
        <w:rPr>
          <w:highlight w:val="none"/>
        </w:rPr>
        <w:fldChar w:fldCharType="separate"/>
      </w:r>
      <w:r>
        <w:rPr>
          <w:highlight w:val="none"/>
        </w:rPr>
        <w:t>14</w:t>
      </w:r>
      <w:r>
        <w:rPr>
          <w:highlight w:val="none"/>
        </w:rPr>
        <w:fldChar w:fldCharType="end"/>
      </w:r>
      <w:r>
        <w:rPr>
          <w:highlight w:val="none"/>
        </w:rPr>
        <w:fldChar w:fldCharType="end"/>
      </w:r>
    </w:p>
    <w:p w14:paraId="0E94AF28">
      <w:pPr>
        <w:pStyle w:val="33"/>
        <w:tabs>
          <w:tab w:val="right" w:leader="dot" w:pos="9117"/>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"_Toc174369996" </w:instrText>
      </w:r>
      <w:r>
        <w:rPr>
          <w:highlight w:val="none"/>
        </w:rPr>
        <w:fldChar w:fldCharType="separate"/>
      </w:r>
      <w:r>
        <w:rPr>
          <w:rStyle w:val="46"/>
          <w:rFonts w:hint="eastAsia" w:ascii="宋体" w:hAnsi="宋体" w:cs="宋体"/>
          <w:highlight w:val="none"/>
        </w:rPr>
        <w:t>二、磋商文件</w:t>
      </w:r>
      <w:r>
        <w:rPr>
          <w:highlight w:val="none"/>
        </w:rPr>
        <w:tab/>
      </w:r>
      <w:r>
        <w:rPr>
          <w:highlight w:val="none"/>
        </w:rPr>
        <w:fldChar w:fldCharType="begin"/>
      </w:r>
      <w:r>
        <w:rPr>
          <w:highlight w:val="none"/>
        </w:rPr>
        <w:instrText xml:space="preserve"> PAGEREF _Toc174369996 \h </w:instrText>
      </w:r>
      <w:r>
        <w:rPr>
          <w:highlight w:val="none"/>
        </w:rPr>
        <w:fldChar w:fldCharType="separate"/>
      </w:r>
      <w:r>
        <w:rPr>
          <w:highlight w:val="none"/>
        </w:rPr>
        <w:t>17</w:t>
      </w:r>
      <w:r>
        <w:rPr>
          <w:highlight w:val="none"/>
        </w:rPr>
        <w:fldChar w:fldCharType="end"/>
      </w:r>
      <w:r>
        <w:rPr>
          <w:highlight w:val="none"/>
        </w:rPr>
        <w:fldChar w:fldCharType="end"/>
      </w:r>
    </w:p>
    <w:p w14:paraId="7BAD566C">
      <w:pPr>
        <w:pStyle w:val="33"/>
        <w:tabs>
          <w:tab w:val="right" w:leader="dot" w:pos="9117"/>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"_Toc174369997" </w:instrText>
      </w:r>
      <w:r>
        <w:rPr>
          <w:highlight w:val="none"/>
        </w:rPr>
        <w:fldChar w:fldCharType="separate"/>
      </w:r>
      <w:r>
        <w:rPr>
          <w:rStyle w:val="46"/>
          <w:rFonts w:hint="eastAsia" w:ascii="宋体" w:hAnsi="宋体" w:cs="宋体"/>
          <w:highlight w:val="none"/>
        </w:rPr>
        <w:t>三、磋商响应文件的编制</w:t>
      </w:r>
      <w:r>
        <w:rPr>
          <w:highlight w:val="none"/>
        </w:rPr>
        <w:tab/>
      </w:r>
      <w:r>
        <w:rPr>
          <w:highlight w:val="none"/>
        </w:rPr>
        <w:fldChar w:fldCharType="begin"/>
      </w:r>
      <w:r>
        <w:rPr>
          <w:highlight w:val="none"/>
        </w:rPr>
        <w:instrText xml:space="preserve"> PAGEREF _Toc174369997 \h </w:instrText>
      </w:r>
      <w:r>
        <w:rPr>
          <w:highlight w:val="none"/>
        </w:rPr>
        <w:fldChar w:fldCharType="separate"/>
      </w:r>
      <w:r>
        <w:rPr>
          <w:highlight w:val="none"/>
        </w:rPr>
        <w:t>19</w:t>
      </w:r>
      <w:r>
        <w:rPr>
          <w:highlight w:val="none"/>
        </w:rPr>
        <w:fldChar w:fldCharType="end"/>
      </w:r>
      <w:r>
        <w:rPr>
          <w:highlight w:val="none"/>
        </w:rPr>
        <w:fldChar w:fldCharType="end"/>
      </w:r>
    </w:p>
    <w:p w14:paraId="16B0D109">
      <w:pPr>
        <w:pStyle w:val="33"/>
        <w:tabs>
          <w:tab w:val="right" w:leader="dot" w:pos="9117"/>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"_Toc174369998" </w:instrText>
      </w:r>
      <w:r>
        <w:rPr>
          <w:highlight w:val="none"/>
        </w:rPr>
        <w:fldChar w:fldCharType="separate"/>
      </w:r>
      <w:r>
        <w:rPr>
          <w:rStyle w:val="46"/>
          <w:rFonts w:hint="eastAsia" w:ascii="宋体" w:hAnsi="宋体" w:cs="宋体"/>
          <w:highlight w:val="none"/>
        </w:rPr>
        <w:t>四、开标</w:t>
      </w:r>
      <w:r>
        <w:rPr>
          <w:highlight w:val="none"/>
        </w:rPr>
        <w:tab/>
      </w:r>
      <w:r>
        <w:rPr>
          <w:highlight w:val="none"/>
        </w:rPr>
        <w:fldChar w:fldCharType="begin"/>
      </w:r>
      <w:r>
        <w:rPr>
          <w:highlight w:val="none"/>
        </w:rPr>
        <w:instrText xml:space="preserve"> PAGEREF _Toc174369998 \h </w:instrText>
      </w:r>
      <w:r>
        <w:rPr>
          <w:highlight w:val="none"/>
        </w:rPr>
        <w:fldChar w:fldCharType="separate"/>
      </w:r>
      <w:r>
        <w:rPr>
          <w:highlight w:val="none"/>
        </w:rPr>
        <w:t>24</w:t>
      </w:r>
      <w:r>
        <w:rPr>
          <w:highlight w:val="none"/>
        </w:rPr>
        <w:fldChar w:fldCharType="end"/>
      </w:r>
      <w:r>
        <w:rPr>
          <w:highlight w:val="none"/>
        </w:rPr>
        <w:fldChar w:fldCharType="end"/>
      </w:r>
    </w:p>
    <w:p w14:paraId="490020F4">
      <w:pPr>
        <w:pStyle w:val="33"/>
        <w:tabs>
          <w:tab w:val="right" w:leader="dot" w:pos="9117"/>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"_Toc174369999" </w:instrText>
      </w:r>
      <w:r>
        <w:rPr>
          <w:highlight w:val="none"/>
        </w:rPr>
        <w:fldChar w:fldCharType="separate"/>
      </w:r>
      <w:r>
        <w:rPr>
          <w:rStyle w:val="46"/>
          <w:rFonts w:hint="eastAsia" w:ascii="宋体" w:hAnsi="宋体" w:cs="宋体"/>
          <w:highlight w:val="none"/>
        </w:rPr>
        <w:t>五、磋商</w:t>
      </w:r>
      <w:r>
        <w:rPr>
          <w:highlight w:val="none"/>
        </w:rPr>
        <w:tab/>
      </w:r>
      <w:r>
        <w:rPr>
          <w:highlight w:val="none"/>
        </w:rPr>
        <w:fldChar w:fldCharType="begin"/>
      </w:r>
      <w:r>
        <w:rPr>
          <w:highlight w:val="none"/>
        </w:rPr>
        <w:instrText xml:space="preserve"> PAGEREF _Toc174369999 \h </w:instrText>
      </w:r>
      <w:r>
        <w:rPr>
          <w:highlight w:val="none"/>
        </w:rPr>
        <w:fldChar w:fldCharType="separate"/>
      </w:r>
      <w:r>
        <w:rPr>
          <w:highlight w:val="none"/>
        </w:rPr>
        <w:t>26</w:t>
      </w:r>
      <w:r>
        <w:rPr>
          <w:highlight w:val="none"/>
        </w:rPr>
        <w:fldChar w:fldCharType="end"/>
      </w:r>
      <w:r>
        <w:rPr>
          <w:highlight w:val="none"/>
        </w:rPr>
        <w:fldChar w:fldCharType="end"/>
      </w:r>
    </w:p>
    <w:p w14:paraId="48A64747">
      <w:pPr>
        <w:pStyle w:val="33"/>
        <w:tabs>
          <w:tab w:val="right" w:leader="dot" w:pos="9117"/>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"_Toc174370000" </w:instrText>
      </w:r>
      <w:r>
        <w:rPr>
          <w:highlight w:val="none"/>
        </w:rPr>
        <w:fldChar w:fldCharType="separate"/>
      </w:r>
      <w:r>
        <w:rPr>
          <w:rStyle w:val="46"/>
          <w:rFonts w:hint="eastAsia" w:ascii="宋体" w:hAnsi="宋体" w:cs="宋体"/>
          <w:highlight w:val="none"/>
        </w:rPr>
        <w:t>六、定标</w:t>
      </w:r>
      <w:r>
        <w:rPr>
          <w:highlight w:val="none"/>
        </w:rPr>
        <w:tab/>
      </w:r>
      <w:r>
        <w:rPr>
          <w:highlight w:val="none"/>
        </w:rPr>
        <w:fldChar w:fldCharType="begin"/>
      </w:r>
      <w:r>
        <w:rPr>
          <w:highlight w:val="none"/>
        </w:rPr>
        <w:instrText xml:space="preserve"> PAGEREF _Toc174370000 \h </w:instrText>
      </w:r>
      <w:r>
        <w:rPr>
          <w:highlight w:val="none"/>
        </w:rPr>
        <w:fldChar w:fldCharType="separate"/>
      </w:r>
      <w:r>
        <w:rPr>
          <w:highlight w:val="none"/>
        </w:rPr>
        <w:t>30</w:t>
      </w:r>
      <w:r>
        <w:rPr>
          <w:highlight w:val="none"/>
        </w:rPr>
        <w:fldChar w:fldCharType="end"/>
      </w:r>
      <w:r>
        <w:rPr>
          <w:highlight w:val="none"/>
        </w:rPr>
        <w:fldChar w:fldCharType="end"/>
      </w:r>
    </w:p>
    <w:p w14:paraId="06E9E011">
      <w:pPr>
        <w:pStyle w:val="33"/>
        <w:tabs>
          <w:tab w:val="right" w:leader="dot" w:pos="9117"/>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"_Toc174370001" </w:instrText>
      </w:r>
      <w:r>
        <w:rPr>
          <w:highlight w:val="none"/>
        </w:rPr>
        <w:fldChar w:fldCharType="separate"/>
      </w:r>
      <w:r>
        <w:rPr>
          <w:rStyle w:val="46"/>
          <w:rFonts w:hint="eastAsia" w:ascii="宋体" w:hAnsi="宋体" w:cs="宋体"/>
          <w:highlight w:val="none"/>
        </w:rPr>
        <w:t>七、合同授予</w:t>
      </w:r>
      <w:r>
        <w:rPr>
          <w:highlight w:val="none"/>
        </w:rPr>
        <w:tab/>
      </w:r>
      <w:r>
        <w:rPr>
          <w:highlight w:val="none"/>
        </w:rPr>
        <w:fldChar w:fldCharType="begin"/>
      </w:r>
      <w:r>
        <w:rPr>
          <w:highlight w:val="none"/>
        </w:rPr>
        <w:instrText xml:space="preserve"> PAGEREF _Toc174370001 \h </w:instrText>
      </w:r>
      <w:r>
        <w:rPr>
          <w:highlight w:val="none"/>
        </w:rPr>
        <w:fldChar w:fldCharType="separate"/>
      </w:r>
      <w:r>
        <w:rPr>
          <w:highlight w:val="none"/>
        </w:rPr>
        <w:t>31</w:t>
      </w:r>
      <w:r>
        <w:rPr>
          <w:highlight w:val="none"/>
        </w:rPr>
        <w:fldChar w:fldCharType="end"/>
      </w:r>
      <w:r>
        <w:rPr>
          <w:highlight w:val="none"/>
        </w:rPr>
        <w:fldChar w:fldCharType="end"/>
      </w:r>
    </w:p>
    <w:p w14:paraId="7422912E">
      <w:pPr>
        <w:pStyle w:val="30"/>
        <w:tabs>
          <w:tab w:val="right" w:leader="dot" w:pos="9117"/>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"_Toc174370002" </w:instrText>
      </w:r>
      <w:r>
        <w:rPr>
          <w:highlight w:val="none"/>
        </w:rPr>
        <w:fldChar w:fldCharType="separate"/>
      </w:r>
      <w:r>
        <w:rPr>
          <w:rStyle w:val="46"/>
          <w:rFonts w:hint="eastAsia" w:ascii="宋体" w:hAnsi="宋体" w:cs="宋体"/>
          <w:b/>
          <w:highlight w:val="none"/>
        </w:rPr>
        <w:t>第四章</w:t>
      </w:r>
      <w:r>
        <w:rPr>
          <w:rStyle w:val="46"/>
          <w:rFonts w:ascii="宋体" w:hAnsi="宋体" w:cs="宋体"/>
          <w:b/>
          <w:highlight w:val="none"/>
        </w:rPr>
        <w:t xml:space="preserve">  </w:t>
      </w:r>
      <w:r>
        <w:rPr>
          <w:rStyle w:val="46"/>
          <w:rFonts w:hint="eastAsia" w:ascii="宋体" w:hAnsi="宋体" w:cs="宋体"/>
          <w:b/>
          <w:highlight w:val="none"/>
        </w:rPr>
        <w:t>磋商办法及评分标准</w:t>
      </w:r>
      <w:r>
        <w:rPr>
          <w:highlight w:val="none"/>
        </w:rPr>
        <w:tab/>
      </w:r>
      <w:r>
        <w:rPr>
          <w:highlight w:val="none"/>
        </w:rPr>
        <w:fldChar w:fldCharType="begin"/>
      </w:r>
      <w:r>
        <w:rPr>
          <w:highlight w:val="none"/>
        </w:rPr>
        <w:instrText xml:space="preserve"> PAGEREF _Toc174370002 \h </w:instrText>
      </w:r>
      <w:r>
        <w:rPr>
          <w:highlight w:val="none"/>
        </w:rPr>
        <w:fldChar w:fldCharType="separate"/>
      </w:r>
      <w:r>
        <w:rPr>
          <w:highlight w:val="none"/>
        </w:rPr>
        <w:t>32</w:t>
      </w:r>
      <w:r>
        <w:rPr>
          <w:highlight w:val="none"/>
        </w:rPr>
        <w:fldChar w:fldCharType="end"/>
      </w:r>
      <w:r>
        <w:rPr>
          <w:highlight w:val="none"/>
        </w:rPr>
        <w:fldChar w:fldCharType="end"/>
      </w:r>
    </w:p>
    <w:p w14:paraId="1950845C">
      <w:pPr>
        <w:pStyle w:val="30"/>
        <w:tabs>
          <w:tab w:val="right" w:leader="dot" w:pos="9117"/>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"_Toc174370003" </w:instrText>
      </w:r>
      <w:r>
        <w:rPr>
          <w:highlight w:val="none"/>
        </w:rPr>
        <w:fldChar w:fldCharType="separate"/>
      </w:r>
      <w:r>
        <w:rPr>
          <w:rStyle w:val="46"/>
          <w:rFonts w:hint="eastAsia" w:ascii="宋体" w:hAnsi="宋体" w:cs="宋体"/>
          <w:highlight w:val="none"/>
        </w:rPr>
        <w:t>第五章 合同主要条款</w:t>
      </w:r>
      <w:r>
        <w:rPr>
          <w:highlight w:val="none"/>
        </w:rPr>
        <w:tab/>
      </w:r>
      <w:r>
        <w:rPr>
          <w:highlight w:val="none"/>
        </w:rPr>
        <w:fldChar w:fldCharType="begin"/>
      </w:r>
      <w:r>
        <w:rPr>
          <w:highlight w:val="none"/>
        </w:rPr>
        <w:instrText xml:space="preserve"> PAGEREF _Toc174370003 \h </w:instrText>
      </w:r>
      <w:r>
        <w:rPr>
          <w:highlight w:val="none"/>
        </w:rPr>
        <w:fldChar w:fldCharType="separate"/>
      </w:r>
      <w:r>
        <w:rPr>
          <w:highlight w:val="none"/>
        </w:rPr>
        <w:t>36</w:t>
      </w:r>
      <w:r>
        <w:rPr>
          <w:highlight w:val="none"/>
        </w:rPr>
        <w:fldChar w:fldCharType="end"/>
      </w:r>
      <w:r>
        <w:rPr>
          <w:highlight w:val="none"/>
        </w:rPr>
        <w:fldChar w:fldCharType="end"/>
      </w:r>
    </w:p>
    <w:p w14:paraId="267E156F">
      <w:pPr>
        <w:pStyle w:val="33"/>
        <w:tabs>
          <w:tab w:val="right" w:leader="dot" w:pos="9117"/>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"_Toc174370004" </w:instrText>
      </w:r>
      <w:r>
        <w:rPr>
          <w:highlight w:val="none"/>
        </w:rPr>
        <w:fldChar w:fldCharType="separate"/>
      </w:r>
      <w:r>
        <w:rPr>
          <w:rStyle w:val="46"/>
          <w:rFonts w:hint="eastAsia" w:ascii="宋体" w:hAnsi="宋体"/>
          <w:highlight w:val="none"/>
        </w:rPr>
        <w:t>东阳市政府采购合同（样本）</w:t>
      </w:r>
      <w:r>
        <w:rPr>
          <w:highlight w:val="none"/>
        </w:rPr>
        <w:tab/>
      </w:r>
      <w:r>
        <w:rPr>
          <w:highlight w:val="none"/>
        </w:rPr>
        <w:fldChar w:fldCharType="begin"/>
      </w:r>
      <w:r>
        <w:rPr>
          <w:highlight w:val="none"/>
        </w:rPr>
        <w:instrText xml:space="preserve"> PAGEREF _Toc174370004 \h </w:instrText>
      </w:r>
      <w:r>
        <w:rPr>
          <w:highlight w:val="none"/>
        </w:rPr>
        <w:fldChar w:fldCharType="separate"/>
      </w:r>
      <w:r>
        <w:rPr>
          <w:highlight w:val="none"/>
        </w:rPr>
        <w:t>36</w:t>
      </w:r>
      <w:r>
        <w:rPr>
          <w:highlight w:val="none"/>
        </w:rPr>
        <w:fldChar w:fldCharType="end"/>
      </w:r>
      <w:r>
        <w:rPr>
          <w:highlight w:val="none"/>
        </w:rPr>
        <w:fldChar w:fldCharType="end"/>
      </w:r>
    </w:p>
    <w:p w14:paraId="08030687">
      <w:pPr>
        <w:pStyle w:val="30"/>
        <w:tabs>
          <w:tab w:val="right" w:leader="dot" w:pos="9117"/>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"_Toc174370005" </w:instrText>
      </w:r>
      <w:r>
        <w:rPr>
          <w:highlight w:val="none"/>
        </w:rPr>
        <w:fldChar w:fldCharType="separate"/>
      </w:r>
      <w:r>
        <w:rPr>
          <w:rStyle w:val="46"/>
          <w:rFonts w:hint="eastAsia" w:ascii="宋体" w:hAnsi="宋体" w:cs="宋体"/>
          <w:highlight w:val="none"/>
        </w:rPr>
        <w:t>第六章　磋商响应文件组成内容及格式</w:t>
      </w:r>
      <w:r>
        <w:rPr>
          <w:highlight w:val="none"/>
        </w:rPr>
        <w:tab/>
      </w:r>
      <w:r>
        <w:rPr>
          <w:highlight w:val="none"/>
        </w:rPr>
        <w:fldChar w:fldCharType="begin"/>
      </w:r>
      <w:r>
        <w:rPr>
          <w:highlight w:val="none"/>
        </w:rPr>
        <w:instrText xml:space="preserve"> PAGEREF _Toc174370005 \h </w:instrText>
      </w:r>
      <w:r>
        <w:rPr>
          <w:highlight w:val="none"/>
        </w:rPr>
        <w:fldChar w:fldCharType="separate"/>
      </w:r>
      <w:r>
        <w:rPr>
          <w:highlight w:val="none"/>
        </w:rPr>
        <w:t>42</w:t>
      </w:r>
      <w:r>
        <w:rPr>
          <w:highlight w:val="none"/>
        </w:rPr>
        <w:fldChar w:fldCharType="end"/>
      </w:r>
      <w:r>
        <w:rPr>
          <w:highlight w:val="none"/>
        </w:rPr>
        <w:fldChar w:fldCharType="end"/>
      </w:r>
    </w:p>
    <w:p w14:paraId="74B03A5B">
      <w:pPr>
        <w:pStyle w:val="33"/>
        <w:tabs>
          <w:tab w:val="right" w:leader="dot" w:pos="9117"/>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"_Toc174370006" </w:instrText>
      </w:r>
      <w:r>
        <w:rPr>
          <w:highlight w:val="none"/>
        </w:rPr>
        <w:fldChar w:fldCharType="separate"/>
      </w:r>
      <w:r>
        <w:rPr>
          <w:rStyle w:val="46"/>
          <w:rFonts w:hint="eastAsia" w:ascii="宋体" w:hAnsi="宋体" w:cs="宋体"/>
          <w:highlight w:val="none"/>
        </w:rPr>
        <w:t>附件一：磋商声明书</w:t>
      </w:r>
      <w:r>
        <w:rPr>
          <w:highlight w:val="none"/>
        </w:rPr>
        <w:tab/>
      </w:r>
      <w:r>
        <w:rPr>
          <w:highlight w:val="none"/>
        </w:rPr>
        <w:fldChar w:fldCharType="begin"/>
      </w:r>
      <w:r>
        <w:rPr>
          <w:highlight w:val="none"/>
        </w:rPr>
        <w:instrText xml:space="preserve"> PAGEREF _Toc174370006 \h </w:instrText>
      </w:r>
      <w:r>
        <w:rPr>
          <w:highlight w:val="none"/>
        </w:rPr>
        <w:fldChar w:fldCharType="separate"/>
      </w:r>
      <w:r>
        <w:rPr>
          <w:highlight w:val="none"/>
        </w:rPr>
        <w:t>46</w:t>
      </w:r>
      <w:r>
        <w:rPr>
          <w:highlight w:val="none"/>
        </w:rPr>
        <w:fldChar w:fldCharType="end"/>
      </w:r>
      <w:r>
        <w:rPr>
          <w:highlight w:val="none"/>
        </w:rPr>
        <w:fldChar w:fldCharType="end"/>
      </w:r>
    </w:p>
    <w:p w14:paraId="02B5A37B">
      <w:pPr>
        <w:pStyle w:val="33"/>
        <w:tabs>
          <w:tab w:val="right" w:leader="dot" w:pos="9117"/>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"_Toc174370007" </w:instrText>
      </w:r>
      <w:r>
        <w:rPr>
          <w:highlight w:val="none"/>
        </w:rPr>
        <w:fldChar w:fldCharType="separate"/>
      </w:r>
      <w:r>
        <w:rPr>
          <w:rStyle w:val="46"/>
          <w:rFonts w:hint="eastAsia" w:ascii="宋体" w:hAnsi="宋体" w:cs="宋体"/>
          <w:highlight w:val="none"/>
        </w:rPr>
        <w:t>附件二：符合参加政府采购活动应当具备的一般条件的承诺函</w:t>
      </w:r>
      <w:r>
        <w:rPr>
          <w:highlight w:val="none"/>
        </w:rPr>
        <w:tab/>
      </w:r>
      <w:r>
        <w:rPr>
          <w:highlight w:val="none"/>
        </w:rPr>
        <w:fldChar w:fldCharType="begin"/>
      </w:r>
      <w:r>
        <w:rPr>
          <w:highlight w:val="none"/>
        </w:rPr>
        <w:instrText xml:space="preserve"> PAGEREF _Toc174370007 \h </w:instrText>
      </w:r>
      <w:r>
        <w:rPr>
          <w:highlight w:val="none"/>
        </w:rPr>
        <w:fldChar w:fldCharType="separate"/>
      </w:r>
      <w:r>
        <w:rPr>
          <w:highlight w:val="none"/>
        </w:rPr>
        <w:t>47</w:t>
      </w:r>
      <w:r>
        <w:rPr>
          <w:highlight w:val="none"/>
        </w:rPr>
        <w:fldChar w:fldCharType="end"/>
      </w:r>
      <w:r>
        <w:rPr>
          <w:highlight w:val="none"/>
        </w:rPr>
        <w:fldChar w:fldCharType="end"/>
      </w:r>
    </w:p>
    <w:p w14:paraId="7D28929F">
      <w:pPr>
        <w:pStyle w:val="33"/>
        <w:tabs>
          <w:tab w:val="right" w:leader="dot" w:pos="9117"/>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"_Toc174370008" </w:instrText>
      </w:r>
      <w:r>
        <w:rPr>
          <w:highlight w:val="none"/>
        </w:rPr>
        <w:fldChar w:fldCharType="separate"/>
      </w:r>
      <w:r>
        <w:rPr>
          <w:rStyle w:val="46"/>
          <w:rFonts w:hint="eastAsia" w:ascii="宋体" w:hAnsi="宋体" w:cs="宋体"/>
          <w:highlight w:val="none"/>
        </w:rPr>
        <w:t>附件三：政府采购活动现场确认声明书</w:t>
      </w:r>
      <w:r>
        <w:rPr>
          <w:highlight w:val="none"/>
        </w:rPr>
        <w:tab/>
      </w:r>
      <w:r>
        <w:rPr>
          <w:highlight w:val="none"/>
        </w:rPr>
        <w:fldChar w:fldCharType="begin"/>
      </w:r>
      <w:r>
        <w:rPr>
          <w:highlight w:val="none"/>
        </w:rPr>
        <w:instrText xml:space="preserve"> PAGEREF _Toc174370008 \h </w:instrText>
      </w:r>
      <w:r>
        <w:rPr>
          <w:highlight w:val="none"/>
        </w:rPr>
        <w:fldChar w:fldCharType="separate"/>
      </w:r>
      <w:r>
        <w:rPr>
          <w:highlight w:val="none"/>
        </w:rPr>
        <w:t>48</w:t>
      </w:r>
      <w:r>
        <w:rPr>
          <w:highlight w:val="none"/>
        </w:rPr>
        <w:fldChar w:fldCharType="end"/>
      </w:r>
      <w:r>
        <w:rPr>
          <w:highlight w:val="none"/>
        </w:rPr>
        <w:fldChar w:fldCharType="end"/>
      </w:r>
    </w:p>
    <w:p w14:paraId="53D903B8">
      <w:pPr>
        <w:pStyle w:val="33"/>
        <w:tabs>
          <w:tab w:val="right" w:leader="dot" w:pos="9117"/>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"_Toc174370009" </w:instrText>
      </w:r>
      <w:r>
        <w:rPr>
          <w:highlight w:val="none"/>
        </w:rPr>
        <w:fldChar w:fldCharType="separate"/>
      </w:r>
      <w:r>
        <w:rPr>
          <w:rStyle w:val="46"/>
          <w:rFonts w:hint="eastAsia" w:ascii="宋体" w:hAnsi="宋体" w:cs="宋体"/>
          <w:highlight w:val="none"/>
        </w:rPr>
        <w:t>附件四：法定代表人授权委托书</w:t>
      </w:r>
      <w:r>
        <w:rPr>
          <w:highlight w:val="none"/>
        </w:rPr>
        <w:tab/>
      </w:r>
      <w:r>
        <w:rPr>
          <w:highlight w:val="none"/>
        </w:rPr>
        <w:fldChar w:fldCharType="begin"/>
      </w:r>
      <w:r>
        <w:rPr>
          <w:highlight w:val="none"/>
        </w:rPr>
        <w:instrText xml:space="preserve"> PAGEREF _Toc174370009 \h </w:instrText>
      </w:r>
      <w:r>
        <w:rPr>
          <w:highlight w:val="none"/>
        </w:rPr>
        <w:fldChar w:fldCharType="separate"/>
      </w:r>
      <w:r>
        <w:rPr>
          <w:highlight w:val="none"/>
        </w:rPr>
        <w:t>49</w:t>
      </w:r>
      <w:r>
        <w:rPr>
          <w:highlight w:val="none"/>
        </w:rPr>
        <w:fldChar w:fldCharType="end"/>
      </w:r>
      <w:r>
        <w:rPr>
          <w:highlight w:val="none"/>
        </w:rPr>
        <w:fldChar w:fldCharType="end"/>
      </w:r>
    </w:p>
    <w:p w14:paraId="05FD4A0B">
      <w:pPr>
        <w:pStyle w:val="33"/>
        <w:tabs>
          <w:tab w:val="right" w:leader="dot" w:pos="9117"/>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"_Toc174370010" </w:instrText>
      </w:r>
      <w:r>
        <w:rPr>
          <w:highlight w:val="none"/>
        </w:rPr>
        <w:fldChar w:fldCharType="separate"/>
      </w:r>
      <w:r>
        <w:rPr>
          <w:rStyle w:val="46"/>
          <w:rFonts w:hint="eastAsia" w:ascii="宋体" w:hAnsi="宋体" w:cs="宋体"/>
          <w:highlight w:val="none"/>
        </w:rPr>
        <w:t>附件五：联合体协议</w:t>
      </w:r>
      <w:r>
        <w:rPr>
          <w:highlight w:val="none"/>
        </w:rPr>
        <w:tab/>
      </w:r>
      <w:r>
        <w:rPr>
          <w:highlight w:val="none"/>
        </w:rPr>
        <w:fldChar w:fldCharType="begin"/>
      </w:r>
      <w:r>
        <w:rPr>
          <w:highlight w:val="none"/>
        </w:rPr>
        <w:instrText xml:space="preserve"> PAGEREF _Toc174370010 \h </w:instrText>
      </w:r>
      <w:r>
        <w:rPr>
          <w:highlight w:val="none"/>
        </w:rPr>
        <w:fldChar w:fldCharType="separate"/>
      </w:r>
      <w:r>
        <w:rPr>
          <w:highlight w:val="none"/>
        </w:rPr>
        <w:t>50</w:t>
      </w:r>
      <w:r>
        <w:rPr>
          <w:highlight w:val="none"/>
        </w:rPr>
        <w:fldChar w:fldCharType="end"/>
      </w:r>
      <w:r>
        <w:rPr>
          <w:highlight w:val="none"/>
        </w:rPr>
        <w:fldChar w:fldCharType="end"/>
      </w:r>
    </w:p>
    <w:p w14:paraId="7444608A">
      <w:pPr>
        <w:pStyle w:val="33"/>
        <w:tabs>
          <w:tab w:val="right" w:leader="dot" w:pos="9117"/>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"_Toc174370011" </w:instrText>
      </w:r>
      <w:r>
        <w:rPr>
          <w:highlight w:val="none"/>
        </w:rPr>
        <w:fldChar w:fldCharType="separate"/>
      </w:r>
      <w:r>
        <w:rPr>
          <w:rStyle w:val="46"/>
          <w:rFonts w:hint="eastAsia" w:ascii="宋体" w:hAnsi="宋体" w:cs="宋体"/>
          <w:highlight w:val="none"/>
        </w:rPr>
        <w:t>附件六：分包意向协议</w:t>
      </w:r>
      <w:r>
        <w:rPr>
          <w:highlight w:val="none"/>
        </w:rPr>
        <w:tab/>
      </w:r>
      <w:r>
        <w:rPr>
          <w:highlight w:val="none"/>
        </w:rPr>
        <w:fldChar w:fldCharType="begin"/>
      </w:r>
      <w:r>
        <w:rPr>
          <w:highlight w:val="none"/>
        </w:rPr>
        <w:instrText xml:space="preserve"> PAGEREF _Toc174370011 \h </w:instrText>
      </w:r>
      <w:r>
        <w:rPr>
          <w:highlight w:val="none"/>
        </w:rPr>
        <w:fldChar w:fldCharType="separate"/>
      </w:r>
      <w:r>
        <w:rPr>
          <w:highlight w:val="none"/>
        </w:rPr>
        <w:t>51</w:t>
      </w:r>
      <w:r>
        <w:rPr>
          <w:highlight w:val="none"/>
        </w:rPr>
        <w:fldChar w:fldCharType="end"/>
      </w:r>
      <w:r>
        <w:rPr>
          <w:highlight w:val="none"/>
        </w:rPr>
        <w:fldChar w:fldCharType="end"/>
      </w:r>
    </w:p>
    <w:p w14:paraId="30FE7092">
      <w:pPr>
        <w:pStyle w:val="33"/>
        <w:tabs>
          <w:tab w:val="right" w:leader="dot" w:pos="9117"/>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"_Toc174370012" </w:instrText>
      </w:r>
      <w:r>
        <w:rPr>
          <w:highlight w:val="none"/>
        </w:rPr>
        <w:fldChar w:fldCharType="separate"/>
      </w:r>
      <w:r>
        <w:rPr>
          <w:rStyle w:val="46"/>
          <w:rFonts w:hint="eastAsia" w:ascii="宋体" w:hAnsi="宋体" w:cs="宋体"/>
          <w:highlight w:val="none"/>
        </w:rPr>
        <w:t>附件七：磋商响应方资信商务、技术自评得分表</w:t>
      </w:r>
      <w:r>
        <w:rPr>
          <w:highlight w:val="none"/>
        </w:rPr>
        <w:tab/>
      </w:r>
      <w:r>
        <w:rPr>
          <w:highlight w:val="none"/>
        </w:rPr>
        <w:fldChar w:fldCharType="begin"/>
      </w:r>
      <w:r>
        <w:rPr>
          <w:highlight w:val="none"/>
        </w:rPr>
        <w:instrText xml:space="preserve"> PAGEREF _Toc174370012 \h </w:instrText>
      </w:r>
      <w:r>
        <w:rPr>
          <w:highlight w:val="none"/>
        </w:rPr>
        <w:fldChar w:fldCharType="separate"/>
      </w:r>
      <w:r>
        <w:rPr>
          <w:highlight w:val="none"/>
        </w:rPr>
        <w:t>52</w:t>
      </w:r>
      <w:r>
        <w:rPr>
          <w:highlight w:val="none"/>
        </w:rPr>
        <w:fldChar w:fldCharType="end"/>
      </w:r>
      <w:r>
        <w:rPr>
          <w:highlight w:val="none"/>
        </w:rPr>
        <w:fldChar w:fldCharType="end"/>
      </w:r>
    </w:p>
    <w:p w14:paraId="249BF01D">
      <w:pPr>
        <w:pStyle w:val="33"/>
        <w:tabs>
          <w:tab w:val="right" w:leader="dot" w:pos="9117"/>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"_Toc174370013" </w:instrText>
      </w:r>
      <w:r>
        <w:rPr>
          <w:highlight w:val="none"/>
        </w:rPr>
        <w:fldChar w:fldCharType="separate"/>
      </w:r>
      <w:r>
        <w:rPr>
          <w:rStyle w:val="46"/>
          <w:rFonts w:hint="eastAsia" w:ascii="宋体" w:hAnsi="宋体" w:cs="宋体"/>
          <w:highlight w:val="none"/>
        </w:rPr>
        <w:t>附件八：商务响应表</w:t>
      </w:r>
      <w:r>
        <w:rPr>
          <w:highlight w:val="none"/>
        </w:rPr>
        <w:tab/>
      </w:r>
      <w:r>
        <w:rPr>
          <w:highlight w:val="none"/>
        </w:rPr>
        <w:fldChar w:fldCharType="begin"/>
      </w:r>
      <w:r>
        <w:rPr>
          <w:highlight w:val="none"/>
        </w:rPr>
        <w:instrText xml:space="preserve"> PAGEREF _Toc174370013 \h </w:instrText>
      </w:r>
      <w:r>
        <w:rPr>
          <w:highlight w:val="none"/>
        </w:rPr>
        <w:fldChar w:fldCharType="separate"/>
      </w:r>
      <w:r>
        <w:rPr>
          <w:highlight w:val="none"/>
        </w:rPr>
        <w:t>53</w:t>
      </w:r>
      <w:r>
        <w:rPr>
          <w:highlight w:val="none"/>
        </w:rPr>
        <w:fldChar w:fldCharType="end"/>
      </w:r>
      <w:r>
        <w:rPr>
          <w:highlight w:val="none"/>
        </w:rPr>
        <w:fldChar w:fldCharType="end"/>
      </w:r>
    </w:p>
    <w:p w14:paraId="52B6823D">
      <w:pPr>
        <w:pStyle w:val="33"/>
        <w:tabs>
          <w:tab w:val="right" w:leader="dot" w:pos="9117"/>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"_Toc174370014" </w:instrText>
      </w:r>
      <w:r>
        <w:rPr>
          <w:highlight w:val="none"/>
        </w:rPr>
        <w:fldChar w:fldCharType="separate"/>
      </w:r>
      <w:r>
        <w:rPr>
          <w:rStyle w:val="46"/>
          <w:rFonts w:hint="eastAsia" w:ascii="宋体" w:hAnsi="宋体" w:cs="宋体"/>
          <w:highlight w:val="none"/>
        </w:rPr>
        <w:t>附件九：技术响应表</w:t>
      </w:r>
      <w:r>
        <w:rPr>
          <w:highlight w:val="none"/>
        </w:rPr>
        <w:tab/>
      </w:r>
      <w:r>
        <w:rPr>
          <w:highlight w:val="none"/>
        </w:rPr>
        <w:fldChar w:fldCharType="begin"/>
      </w:r>
      <w:r>
        <w:rPr>
          <w:highlight w:val="none"/>
        </w:rPr>
        <w:instrText xml:space="preserve"> PAGEREF _Toc174370014 \h </w:instrText>
      </w:r>
      <w:r>
        <w:rPr>
          <w:highlight w:val="none"/>
        </w:rPr>
        <w:fldChar w:fldCharType="separate"/>
      </w:r>
      <w:r>
        <w:rPr>
          <w:highlight w:val="none"/>
        </w:rPr>
        <w:t>54</w:t>
      </w:r>
      <w:r>
        <w:rPr>
          <w:highlight w:val="none"/>
        </w:rPr>
        <w:fldChar w:fldCharType="end"/>
      </w:r>
      <w:r>
        <w:rPr>
          <w:highlight w:val="none"/>
        </w:rPr>
        <w:fldChar w:fldCharType="end"/>
      </w:r>
    </w:p>
    <w:p w14:paraId="4CA0598C">
      <w:pPr>
        <w:pStyle w:val="33"/>
        <w:tabs>
          <w:tab w:val="right" w:leader="dot" w:pos="9117"/>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"_Toc174370015" </w:instrText>
      </w:r>
      <w:r>
        <w:rPr>
          <w:highlight w:val="none"/>
        </w:rPr>
        <w:fldChar w:fldCharType="separate"/>
      </w:r>
      <w:r>
        <w:rPr>
          <w:rStyle w:val="46"/>
          <w:rFonts w:hint="eastAsia" w:ascii="宋体" w:hAnsi="宋体" w:cs="宋体"/>
          <w:highlight w:val="none"/>
        </w:rPr>
        <w:t>附件十：人员现场到位率承诺书</w:t>
      </w:r>
      <w:r>
        <w:rPr>
          <w:highlight w:val="none"/>
        </w:rPr>
        <w:tab/>
      </w:r>
      <w:r>
        <w:rPr>
          <w:highlight w:val="none"/>
        </w:rPr>
        <w:fldChar w:fldCharType="begin"/>
      </w:r>
      <w:r>
        <w:rPr>
          <w:highlight w:val="none"/>
        </w:rPr>
        <w:instrText xml:space="preserve"> PAGEREF _Toc174370015 \h </w:instrText>
      </w:r>
      <w:r>
        <w:rPr>
          <w:highlight w:val="none"/>
        </w:rPr>
        <w:fldChar w:fldCharType="separate"/>
      </w:r>
      <w:r>
        <w:rPr>
          <w:highlight w:val="none"/>
        </w:rPr>
        <w:t>55</w:t>
      </w:r>
      <w:r>
        <w:rPr>
          <w:highlight w:val="none"/>
        </w:rPr>
        <w:fldChar w:fldCharType="end"/>
      </w:r>
      <w:r>
        <w:rPr>
          <w:highlight w:val="none"/>
        </w:rPr>
        <w:fldChar w:fldCharType="end"/>
      </w:r>
    </w:p>
    <w:p w14:paraId="2A59E7F8">
      <w:pPr>
        <w:pStyle w:val="33"/>
        <w:tabs>
          <w:tab w:val="right" w:leader="dot" w:pos="9117"/>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"_Toc174370016" </w:instrText>
      </w:r>
      <w:r>
        <w:rPr>
          <w:highlight w:val="none"/>
        </w:rPr>
        <w:fldChar w:fldCharType="separate"/>
      </w:r>
      <w:r>
        <w:rPr>
          <w:rStyle w:val="46"/>
          <w:rFonts w:hint="eastAsia" w:ascii="宋体" w:hAnsi="宋体" w:cs="宋体"/>
          <w:highlight w:val="none"/>
        </w:rPr>
        <w:t>附件十一：安全生产及其他承诺函</w:t>
      </w:r>
      <w:r>
        <w:rPr>
          <w:highlight w:val="none"/>
        </w:rPr>
        <w:tab/>
      </w:r>
      <w:r>
        <w:rPr>
          <w:highlight w:val="none"/>
        </w:rPr>
        <w:fldChar w:fldCharType="begin"/>
      </w:r>
      <w:r>
        <w:rPr>
          <w:highlight w:val="none"/>
        </w:rPr>
        <w:instrText xml:space="preserve"> PAGEREF _Toc174370016 \h </w:instrText>
      </w:r>
      <w:r>
        <w:rPr>
          <w:highlight w:val="none"/>
        </w:rPr>
        <w:fldChar w:fldCharType="separate"/>
      </w:r>
      <w:r>
        <w:rPr>
          <w:highlight w:val="none"/>
        </w:rPr>
        <w:t>56</w:t>
      </w:r>
      <w:r>
        <w:rPr>
          <w:highlight w:val="none"/>
        </w:rPr>
        <w:fldChar w:fldCharType="end"/>
      </w:r>
      <w:r>
        <w:rPr>
          <w:highlight w:val="none"/>
        </w:rPr>
        <w:fldChar w:fldCharType="end"/>
      </w:r>
    </w:p>
    <w:p w14:paraId="6AA6D953">
      <w:pPr>
        <w:pStyle w:val="33"/>
        <w:tabs>
          <w:tab w:val="right" w:leader="dot" w:pos="9117"/>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"_Toc174370017" </w:instrText>
      </w:r>
      <w:r>
        <w:rPr>
          <w:highlight w:val="none"/>
        </w:rPr>
        <w:fldChar w:fldCharType="separate"/>
      </w:r>
      <w:r>
        <w:rPr>
          <w:rStyle w:val="46"/>
          <w:rFonts w:hint="eastAsia" w:ascii="宋体" w:hAnsi="宋体" w:cs="宋体"/>
          <w:highlight w:val="none"/>
        </w:rPr>
        <w:t>附件十二：拟投入本项目人员一览表</w:t>
      </w:r>
      <w:r>
        <w:rPr>
          <w:highlight w:val="none"/>
        </w:rPr>
        <w:tab/>
      </w:r>
      <w:r>
        <w:rPr>
          <w:highlight w:val="none"/>
        </w:rPr>
        <w:fldChar w:fldCharType="begin"/>
      </w:r>
      <w:r>
        <w:rPr>
          <w:highlight w:val="none"/>
        </w:rPr>
        <w:instrText xml:space="preserve"> PAGEREF _Toc174370017 \h </w:instrText>
      </w:r>
      <w:r>
        <w:rPr>
          <w:highlight w:val="none"/>
        </w:rPr>
        <w:fldChar w:fldCharType="separate"/>
      </w:r>
      <w:r>
        <w:rPr>
          <w:highlight w:val="none"/>
        </w:rPr>
        <w:t>57</w:t>
      </w:r>
      <w:r>
        <w:rPr>
          <w:highlight w:val="none"/>
        </w:rPr>
        <w:fldChar w:fldCharType="end"/>
      </w:r>
      <w:r>
        <w:rPr>
          <w:highlight w:val="none"/>
        </w:rPr>
        <w:fldChar w:fldCharType="end"/>
      </w:r>
    </w:p>
    <w:p w14:paraId="3A6C7B6E">
      <w:pPr>
        <w:pStyle w:val="33"/>
        <w:tabs>
          <w:tab w:val="right" w:leader="dot" w:pos="9117"/>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"_Toc174370018" </w:instrText>
      </w:r>
      <w:r>
        <w:rPr>
          <w:highlight w:val="none"/>
        </w:rPr>
        <w:fldChar w:fldCharType="separate"/>
      </w:r>
      <w:r>
        <w:rPr>
          <w:rStyle w:val="46"/>
          <w:rFonts w:hint="eastAsia" w:ascii="宋体" w:hAnsi="宋体" w:cs="宋体"/>
          <w:kern w:val="0"/>
          <w:highlight w:val="none"/>
        </w:rPr>
        <w:t>附件十三：同类项目业绩</w:t>
      </w:r>
      <w:r>
        <w:rPr>
          <w:highlight w:val="none"/>
        </w:rPr>
        <w:tab/>
      </w:r>
      <w:r>
        <w:rPr>
          <w:highlight w:val="none"/>
        </w:rPr>
        <w:fldChar w:fldCharType="begin"/>
      </w:r>
      <w:r>
        <w:rPr>
          <w:highlight w:val="none"/>
        </w:rPr>
        <w:instrText xml:space="preserve"> PAGEREF _Toc174370018 \h </w:instrText>
      </w:r>
      <w:r>
        <w:rPr>
          <w:highlight w:val="none"/>
        </w:rPr>
        <w:fldChar w:fldCharType="separate"/>
      </w:r>
      <w:r>
        <w:rPr>
          <w:highlight w:val="none"/>
        </w:rPr>
        <w:t>58</w:t>
      </w:r>
      <w:r>
        <w:rPr>
          <w:highlight w:val="none"/>
        </w:rPr>
        <w:fldChar w:fldCharType="end"/>
      </w:r>
      <w:r>
        <w:rPr>
          <w:highlight w:val="none"/>
        </w:rPr>
        <w:fldChar w:fldCharType="end"/>
      </w:r>
    </w:p>
    <w:p w14:paraId="572DDB8B">
      <w:pPr>
        <w:pStyle w:val="33"/>
        <w:tabs>
          <w:tab w:val="right" w:leader="dot" w:pos="9117"/>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"_Toc174370019" </w:instrText>
      </w:r>
      <w:r>
        <w:rPr>
          <w:highlight w:val="none"/>
        </w:rPr>
        <w:fldChar w:fldCharType="separate"/>
      </w:r>
      <w:r>
        <w:rPr>
          <w:rStyle w:val="46"/>
          <w:rFonts w:hint="eastAsia" w:ascii="宋体" w:hAnsi="宋体" w:cs="宋体"/>
          <w:bCs/>
          <w:highlight w:val="none"/>
        </w:rPr>
        <w:t>附件十四：服务费承诺书</w:t>
      </w:r>
      <w:r>
        <w:rPr>
          <w:highlight w:val="none"/>
        </w:rPr>
        <w:tab/>
      </w:r>
      <w:r>
        <w:rPr>
          <w:highlight w:val="none"/>
        </w:rPr>
        <w:fldChar w:fldCharType="begin"/>
      </w:r>
      <w:r>
        <w:rPr>
          <w:highlight w:val="none"/>
        </w:rPr>
        <w:instrText xml:space="preserve"> PAGEREF _Toc174370019 \h </w:instrText>
      </w:r>
      <w:r>
        <w:rPr>
          <w:highlight w:val="none"/>
        </w:rPr>
        <w:fldChar w:fldCharType="separate"/>
      </w:r>
      <w:r>
        <w:rPr>
          <w:highlight w:val="none"/>
        </w:rPr>
        <w:t>59</w:t>
      </w:r>
      <w:r>
        <w:rPr>
          <w:highlight w:val="none"/>
        </w:rPr>
        <w:fldChar w:fldCharType="end"/>
      </w:r>
      <w:r>
        <w:rPr>
          <w:highlight w:val="none"/>
        </w:rPr>
        <w:fldChar w:fldCharType="end"/>
      </w:r>
    </w:p>
    <w:p w14:paraId="36E66C99">
      <w:pPr>
        <w:pStyle w:val="33"/>
        <w:tabs>
          <w:tab w:val="right" w:leader="dot" w:pos="9117"/>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"_Toc174370020" </w:instrText>
      </w:r>
      <w:r>
        <w:rPr>
          <w:highlight w:val="none"/>
        </w:rPr>
        <w:fldChar w:fldCharType="separate"/>
      </w:r>
      <w:r>
        <w:rPr>
          <w:rStyle w:val="46"/>
          <w:rFonts w:hint="eastAsia" w:ascii="宋体" w:hAnsi="宋体" w:cs="宋体"/>
          <w:bCs/>
          <w:highlight w:val="none"/>
        </w:rPr>
        <w:t>附件十五</w:t>
      </w:r>
      <w:r>
        <w:rPr>
          <w:rStyle w:val="46"/>
          <w:rFonts w:ascii="宋体" w:hAnsi="宋体" w:cs="宋体"/>
          <w:bCs/>
          <w:highlight w:val="none"/>
        </w:rPr>
        <w:t>:</w:t>
      </w:r>
      <w:r>
        <w:rPr>
          <w:rStyle w:val="46"/>
          <w:rFonts w:hint="eastAsia" w:ascii="宋体" w:hAnsi="宋体" w:cs="宋体"/>
          <w:bCs/>
          <w:highlight w:val="none"/>
        </w:rPr>
        <w:t>磋商函</w:t>
      </w:r>
      <w:r>
        <w:rPr>
          <w:highlight w:val="none"/>
        </w:rPr>
        <w:tab/>
      </w:r>
      <w:r>
        <w:rPr>
          <w:highlight w:val="none"/>
        </w:rPr>
        <w:fldChar w:fldCharType="begin"/>
      </w:r>
      <w:r>
        <w:rPr>
          <w:highlight w:val="none"/>
        </w:rPr>
        <w:instrText xml:space="preserve"> PAGEREF _Toc174370020 \h </w:instrText>
      </w:r>
      <w:r>
        <w:rPr>
          <w:highlight w:val="none"/>
        </w:rPr>
        <w:fldChar w:fldCharType="separate"/>
      </w:r>
      <w:r>
        <w:rPr>
          <w:highlight w:val="none"/>
        </w:rPr>
        <w:t>60</w:t>
      </w:r>
      <w:r>
        <w:rPr>
          <w:highlight w:val="none"/>
        </w:rPr>
        <w:fldChar w:fldCharType="end"/>
      </w:r>
      <w:r>
        <w:rPr>
          <w:highlight w:val="none"/>
        </w:rPr>
        <w:fldChar w:fldCharType="end"/>
      </w:r>
    </w:p>
    <w:p w14:paraId="7A392CEF">
      <w:pPr>
        <w:pStyle w:val="33"/>
        <w:tabs>
          <w:tab w:val="right" w:leader="dot" w:pos="9117"/>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"_Toc174370021" </w:instrText>
      </w:r>
      <w:r>
        <w:rPr>
          <w:highlight w:val="none"/>
        </w:rPr>
        <w:fldChar w:fldCharType="separate"/>
      </w:r>
      <w:r>
        <w:rPr>
          <w:rStyle w:val="46"/>
          <w:rFonts w:hint="eastAsia" w:ascii="宋体" w:hAnsi="宋体"/>
          <w:bCs/>
          <w:highlight w:val="none"/>
        </w:rPr>
        <w:t>附件十六：初次报价表</w:t>
      </w:r>
      <w:r>
        <w:rPr>
          <w:highlight w:val="none"/>
        </w:rPr>
        <w:tab/>
      </w:r>
      <w:r>
        <w:rPr>
          <w:highlight w:val="none"/>
        </w:rPr>
        <w:fldChar w:fldCharType="begin"/>
      </w:r>
      <w:r>
        <w:rPr>
          <w:highlight w:val="none"/>
        </w:rPr>
        <w:instrText xml:space="preserve"> PAGEREF _Toc174370021 \h </w:instrText>
      </w:r>
      <w:r>
        <w:rPr>
          <w:highlight w:val="none"/>
        </w:rPr>
        <w:fldChar w:fldCharType="separate"/>
      </w:r>
      <w:r>
        <w:rPr>
          <w:highlight w:val="none"/>
        </w:rPr>
        <w:t>61</w:t>
      </w:r>
      <w:r>
        <w:rPr>
          <w:highlight w:val="none"/>
        </w:rPr>
        <w:fldChar w:fldCharType="end"/>
      </w:r>
      <w:r>
        <w:rPr>
          <w:highlight w:val="none"/>
        </w:rPr>
        <w:fldChar w:fldCharType="end"/>
      </w:r>
    </w:p>
    <w:p w14:paraId="09E792E6">
      <w:pPr>
        <w:pStyle w:val="33"/>
        <w:tabs>
          <w:tab w:val="right" w:leader="dot" w:pos="9117"/>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"_Toc174370022" </w:instrText>
      </w:r>
      <w:r>
        <w:rPr>
          <w:highlight w:val="none"/>
        </w:rPr>
        <w:fldChar w:fldCharType="separate"/>
      </w:r>
      <w:r>
        <w:rPr>
          <w:rStyle w:val="46"/>
          <w:rFonts w:hint="eastAsia" w:ascii="宋体" w:hAnsi="宋体"/>
          <w:bCs/>
          <w:highlight w:val="none"/>
        </w:rPr>
        <w:t>附件十七：最终报价表</w:t>
      </w:r>
      <w:r>
        <w:rPr>
          <w:highlight w:val="none"/>
        </w:rPr>
        <w:tab/>
      </w:r>
      <w:r>
        <w:rPr>
          <w:highlight w:val="none"/>
        </w:rPr>
        <w:fldChar w:fldCharType="begin"/>
      </w:r>
      <w:r>
        <w:rPr>
          <w:highlight w:val="none"/>
        </w:rPr>
        <w:instrText xml:space="preserve"> PAGEREF _Toc174370022 \h </w:instrText>
      </w:r>
      <w:r>
        <w:rPr>
          <w:highlight w:val="none"/>
        </w:rPr>
        <w:fldChar w:fldCharType="separate"/>
      </w:r>
      <w:r>
        <w:rPr>
          <w:highlight w:val="none"/>
        </w:rPr>
        <w:t>62</w:t>
      </w:r>
      <w:r>
        <w:rPr>
          <w:highlight w:val="none"/>
        </w:rPr>
        <w:fldChar w:fldCharType="end"/>
      </w:r>
      <w:r>
        <w:rPr>
          <w:highlight w:val="none"/>
        </w:rPr>
        <w:fldChar w:fldCharType="end"/>
      </w:r>
    </w:p>
    <w:p w14:paraId="14565923">
      <w:pPr>
        <w:pStyle w:val="33"/>
        <w:tabs>
          <w:tab w:val="right" w:leader="dot" w:pos="9117"/>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"_Toc174370023" </w:instrText>
      </w:r>
      <w:r>
        <w:rPr>
          <w:highlight w:val="none"/>
        </w:rPr>
        <w:fldChar w:fldCharType="separate"/>
      </w:r>
      <w:r>
        <w:rPr>
          <w:rStyle w:val="46"/>
          <w:rFonts w:hint="eastAsia" w:ascii="宋体" w:hAnsi="宋体" w:cs="宋体"/>
          <w:bCs/>
          <w:highlight w:val="none"/>
        </w:rPr>
        <w:t>附件十八：中小企业声明函（工程、服务）</w:t>
      </w:r>
      <w:r>
        <w:rPr>
          <w:highlight w:val="none"/>
        </w:rPr>
        <w:tab/>
      </w:r>
      <w:r>
        <w:rPr>
          <w:highlight w:val="none"/>
        </w:rPr>
        <w:fldChar w:fldCharType="begin"/>
      </w:r>
      <w:r>
        <w:rPr>
          <w:highlight w:val="none"/>
        </w:rPr>
        <w:instrText xml:space="preserve"> PAGEREF _Toc174370023 \h </w:instrText>
      </w:r>
      <w:r>
        <w:rPr>
          <w:highlight w:val="none"/>
        </w:rPr>
        <w:fldChar w:fldCharType="separate"/>
      </w:r>
      <w:r>
        <w:rPr>
          <w:highlight w:val="none"/>
        </w:rPr>
        <w:t>63</w:t>
      </w:r>
      <w:r>
        <w:rPr>
          <w:highlight w:val="none"/>
        </w:rPr>
        <w:fldChar w:fldCharType="end"/>
      </w:r>
      <w:r>
        <w:rPr>
          <w:highlight w:val="none"/>
        </w:rPr>
        <w:fldChar w:fldCharType="end"/>
      </w:r>
    </w:p>
    <w:p w14:paraId="40604FAE">
      <w:pPr>
        <w:pStyle w:val="33"/>
        <w:tabs>
          <w:tab w:val="right" w:leader="dot" w:pos="9117"/>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"_Toc174370024" </w:instrText>
      </w:r>
      <w:r>
        <w:rPr>
          <w:highlight w:val="none"/>
        </w:rPr>
        <w:fldChar w:fldCharType="separate"/>
      </w:r>
      <w:r>
        <w:rPr>
          <w:rStyle w:val="46"/>
          <w:rFonts w:hint="eastAsia" w:ascii="宋体" w:hAnsi="宋体" w:cs="宋体"/>
          <w:bCs/>
          <w:highlight w:val="none"/>
        </w:rPr>
        <w:t>附件十九：东阳市采购项目验收方案（投标时无需提供）</w:t>
      </w:r>
      <w:r>
        <w:rPr>
          <w:highlight w:val="none"/>
        </w:rPr>
        <w:tab/>
      </w:r>
      <w:r>
        <w:rPr>
          <w:highlight w:val="none"/>
        </w:rPr>
        <w:fldChar w:fldCharType="begin"/>
      </w:r>
      <w:r>
        <w:rPr>
          <w:highlight w:val="none"/>
        </w:rPr>
        <w:instrText xml:space="preserve"> PAGEREF _Toc174370024 \h </w:instrText>
      </w:r>
      <w:r>
        <w:rPr>
          <w:highlight w:val="none"/>
        </w:rPr>
        <w:fldChar w:fldCharType="separate"/>
      </w:r>
      <w:r>
        <w:rPr>
          <w:highlight w:val="none"/>
        </w:rPr>
        <w:t>64</w:t>
      </w:r>
      <w:r>
        <w:rPr>
          <w:highlight w:val="none"/>
        </w:rPr>
        <w:fldChar w:fldCharType="end"/>
      </w:r>
      <w:r>
        <w:rPr>
          <w:highlight w:val="none"/>
        </w:rPr>
        <w:fldChar w:fldCharType="end"/>
      </w:r>
    </w:p>
    <w:p w14:paraId="129157B8">
      <w:pPr>
        <w:pStyle w:val="33"/>
        <w:tabs>
          <w:tab w:val="right" w:leader="dot" w:pos="9117"/>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"_Toc174370025" </w:instrText>
      </w:r>
      <w:r>
        <w:rPr>
          <w:highlight w:val="none"/>
        </w:rPr>
        <w:fldChar w:fldCharType="separate"/>
      </w:r>
      <w:r>
        <w:rPr>
          <w:rStyle w:val="46"/>
          <w:rFonts w:hint="eastAsia" w:ascii="宋体" w:hAnsi="宋体" w:cs="宋体"/>
          <w:bCs/>
          <w:highlight w:val="none"/>
        </w:rPr>
        <w:t>附件二十：东阳市政府采购代理机构社会评价表</w:t>
      </w:r>
      <w:r>
        <w:rPr>
          <w:highlight w:val="none"/>
        </w:rPr>
        <w:tab/>
      </w:r>
      <w:r>
        <w:rPr>
          <w:highlight w:val="none"/>
        </w:rPr>
        <w:fldChar w:fldCharType="begin"/>
      </w:r>
      <w:r>
        <w:rPr>
          <w:highlight w:val="none"/>
        </w:rPr>
        <w:instrText xml:space="preserve"> PAGEREF _Toc174370025 \h </w:instrText>
      </w:r>
      <w:r>
        <w:rPr>
          <w:highlight w:val="none"/>
        </w:rPr>
        <w:fldChar w:fldCharType="separate"/>
      </w:r>
      <w:r>
        <w:rPr>
          <w:highlight w:val="none"/>
        </w:rPr>
        <w:t>65</w:t>
      </w:r>
      <w:r>
        <w:rPr>
          <w:highlight w:val="none"/>
        </w:rPr>
        <w:fldChar w:fldCharType="end"/>
      </w:r>
      <w:r>
        <w:rPr>
          <w:highlight w:val="none"/>
        </w:rPr>
        <w:fldChar w:fldCharType="end"/>
      </w:r>
    </w:p>
    <w:p w14:paraId="795EDAA7">
      <w:pPr>
        <w:pStyle w:val="33"/>
        <w:tabs>
          <w:tab w:val="right" w:leader="dot" w:pos="9117"/>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"_Toc174370026" </w:instrText>
      </w:r>
      <w:r>
        <w:rPr>
          <w:highlight w:val="none"/>
        </w:rPr>
        <w:fldChar w:fldCharType="separate"/>
      </w:r>
      <w:r>
        <w:rPr>
          <w:rStyle w:val="46"/>
          <w:rFonts w:hint="eastAsia" w:ascii="宋体" w:hAnsi="宋体" w:cs="宋体"/>
          <w:highlight w:val="none"/>
        </w:rPr>
        <w:t>附件二十一：办理保函需提供资料</w:t>
      </w:r>
      <w:r>
        <w:rPr>
          <w:highlight w:val="none"/>
        </w:rPr>
        <w:tab/>
      </w:r>
      <w:r>
        <w:rPr>
          <w:highlight w:val="none"/>
        </w:rPr>
        <w:fldChar w:fldCharType="begin"/>
      </w:r>
      <w:r>
        <w:rPr>
          <w:highlight w:val="none"/>
        </w:rPr>
        <w:instrText xml:space="preserve"> PAGEREF _Toc174370026 \h </w:instrText>
      </w:r>
      <w:r>
        <w:rPr>
          <w:highlight w:val="none"/>
        </w:rPr>
        <w:fldChar w:fldCharType="separate"/>
      </w:r>
      <w:r>
        <w:rPr>
          <w:highlight w:val="none"/>
        </w:rPr>
        <w:t>66</w:t>
      </w:r>
      <w:r>
        <w:rPr>
          <w:highlight w:val="none"/>
        </w:rPr>
        <w:fldChar w:fldCharType="end"/>
      </w:r>
      <w:r>
        <w:rPr>
          <w:highlight w:val="none"/>
        </w:rPr>
        <w:fldChar w:fldCharType="end"/>
      </w:r>
    </w:p>
    <w:p w14:paraId="78112171">
      <w:pPr>
        <w:pStyle w:val="33"/>
        <w:tabs>
          <w:tab w:val="right" w:leader="dot" w:pos="9117"/>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"_Toc174370027" </w:instrText>
      </w:r>
      <w:r>
        <w:rPr>
          <w:highlight w:val="none"/>
        </w:rPr>
        <w:fldChar w:fldCharType="separate"/>
      </w:r>
      <w:r>
        <w:rPr>
          <w:rStyle w:val="46"/>
          <w:rFonts w:hint="eastAsia" w:ascii="宋体" w:hAnsi="宋体" w:cs="宋体"/>
          <w:highlight w:val="none"/>
        </w:rPr>
        <w:t>附件二十二：质疑函范本</w:t>
      </w:r>
      <w:r>
        <w:rPr>
          <w:highlight w:val="none"/>
        </w:rPr>
        <w:tab/>
      </w:r>
      <w:r>
        <w:rPr>
          <w:highlight w:val="none"/>
        </w:rPr>
        <w:fldChar w:fldCharType="begin"/>
      </w:r>
      <w:r>
        <w:rPr>
          <w:highlight w:val="none"/>
        </w:rPr>
        <w:instrText xml:space="preserve"> PAGEREF _Toc174370027 \h </w:instrText>
      </w:r>
      <w:r>
        <w:rPr>
          <w:highlight w:val="none"/>
        </w:rPr>
        <w:fldChar w:fldCharType="separate"/>
      </w:r>
      <w:r>
        <w:rPr>
          <w:highlight w:val="none"/>
        </w:rPr>
        <w:t>68</w:t>
      </w:r>
      <w:r>
        <w:rPr>
          <w:highlight w:val="none"/>
        </w:rPr>
        <w:fldChar w:fldCharType="end"/>
      </w:r>
      <w:r>
        <w:rPr>
          <w:highlight w:val="none"/>
        </w:rPr>
        <w:fldChar w:fldCharType="end"/>
      </w:r>
    </w:p>
    <w:p w14:paraId="500B8CC5">
      <w:pPr>
        <w:pStyle w:val="33"/>
        <w:tabs>
          <w:tab w:val="right" w:leader="dot" w:pos="9117"/>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"_Toc174370028" </w:instrText>
      </w:r>
      <w:r>
        <w:rPr>
          <w:highlight w:val="none"/>
        </w:rPr>
        <w:fldChar w:fldCharType="separate"/>
      </w:r>
      <w:r>
        <w:rPr>
          <w:rStyle w:val="46"/>
          <w:rFonts w:hint="eastAsia" w:asciiTheme="minorEastAsia" w:hAnsiTheme="minorEastAsia" w:cstheme="minorEastAsia"/>
          <w:highlight w:val="none"/>
        </w:rPr>
        <w:t>附件二十三：投诉书范本</w:t>
      </w:r>
      <w:r>
        <w:rPr>
          <w:highlight w:val="none"/>
        </w:rPr>
        <w:tab/>
      </w:r>
      <w:r>
        <w:rPr>
          <w:highlight w:val="none"/>
        </w:rPr>
        <w:fldChar w:fldCharType="begin"/>
      </w:r>
      <w:r>
        <w:rPr>
          <w:highlight w:val="none"/>
        </w:rPr>
        <w:instrText xml:space="preserve"> PAGEREF _Toc174370028 \h </w:instrText>
      </w:r>
      <w:r>
        <w:rPr>
          <w:highlight w:val="none"/>
        </w:rPr>
        <w:fldChar w:fldCharType="separate"/>
      </w:r>
      <w:r>
        <w:rPr>
          <w:highlight w:val="none"/>
        </w:rPr>
        <w:t>70</w:t>
      </w:r>
      <w:r>
        <w:rPr>
          <w:highlight w:val="none"/>
        </w:rPr>
        <w:fldChar w:fldCharType="end"/>
      </w:r>
      <w:r>
        <w:rPr>
          <w:highlight w:val="none"/>
        </w:rPr>
        <w:fldChar w:fldCharType="end"/>
      </w:r>
    </w:p>
    <w:p w14:paraId="7E6004AA">
      <w:pPr>
        <w:pStyle w:val="30"/>
        <w:tabs>
          <w:tab w:val="right" w:leader="dot" w:pos="9402"/>
        </w:tabs>
        <w:spacing w:line="360" w:lineRule="auto"/>
        <w:jc w:val="center"/>
        <w:rPr>
          <w:rFonts w:ascii="宋体" w:hAnsi="宋体" w:cs="宋体"/>
          <w:sz w:val="24"/>
          <w:highlight w:val="none"/>
        </w:rPr>
      </w:pPr>
      <w:r>
        <w:rPr>
          <w:rFonts w:hint="eastAsia" w:ascii="宋体" w:hAnsi="宋体" w:cs="宋体"/>
          <w:highlight w:val="none"/>
        </w:rPr>
        <w:fldChar w:fldCharType="end"/>
      </w:r>
    </w:p>
    <w:p w14:paraId="145CE953">
      <w:pPr>
        <w:spacing w:line="360" w:lineRule="auto"/>
        <w:rPr>
          <w:rFonts w:ascii="宋体" w:hAnsi="宋体" w:cs="宋体"/>
          <w:sz w:val="24"/>
          <w:highlight w:val="none"/>
        </w:rPr>
      </w:pPr>
    </w:p>
    <w:p w14:paraId="010575A0">
      <w:pPr>
        <w:pStyle w:val="30"/>
        <w:pageBreakBefore/>
        <w:tabs>
          <w:tab w:val="right" w:leader="dot" w:pos="9402"/>
        </w:tabs>
        <w:spacing w:line="460" w:lineRule="exact"/>
        <w:jc w:val="center"/>
        <w:outlineLvl w:val="0"/>
        <w:rPr>
          <w:rFonts w:hint="eastAsia" w:ascii="宋体" w:hAnsi="宋体" w:cs="宋体"/>
          <w:b/>
          <w:sz w:val="24"/>
          <w:highlight w:val="none"/>
        </w:rPr>
        <w:sectPr>
          <w:footerReference r:id="rId7" w:type="default"/>
          <w:pgSz w:w="11906" w:h="16838"/>
          <w:pgMar w:top="1276" w:right="1361" w:bottom="1247" w:left="1418" w:header="851" w:footer="992" w:gutter="0"/>
          <w:pgNumType w:start="1"/>
          <w:cols w:space="720" w:num="1"/>
          <w:docGrid w:linePitch="312" w:charSpace="0"/>
        </w:sectPr>
      </w:pPr>
      <w:bookmarkStart w:id="0" w:name="_Toc174369991"/>
    </w:p>
    <w:p w14:paraId="5798C309">
      <w:pPr>
        <w:pStyle w:val="30"/>
        <w:pageBreakBefore/>
        <w:tabs>
          <w:tab w:val="right" w:leader="dot" w:pos="9402"/>
        </w:tabs>
        <w:spacing w:line="460" w:lineRule="exact"/>
        <w:jc w:val="center"/>
        <w:outlineLvl w:val="0"/>
        <w:rPr>
          <w:rFonts w:ascii="宋体" w:hAnsi="宋体" w:cs="宋体"/>
          <w:b/>
          <w:sz w:val="24"/>
          <w:highlight w:val="none"/>
        </w:rPr>
      </w:pPr>
      <w:r>
        <w:rPr>
          <w:rFonts w:hint="eastAsia" w:ascii="宋体" w:hAnsi="宋体" w:cs="宋体"/>
          <w:b/>
          <w:sz w:val="24"/>
          <w:highlight w:val="none"/>
        </w:rPr>
        <w:t>第一章  竞争性磋商公告</w:t>
      </w:r>
      <w:bookmarkEnd w:id="0"/>
      <w:r>
        <w:rPr>
          <w:rFonts w:hint="eastAsia" w:ascii="宋体" w:hAnsi="宋体" w:cs="宋体"/>
          <w:b/>
          <w:sz w:val="24"/>
          <w:highlight w:val="none"/>
        </w:rPr>
        <w:t xml:space="preserve"> </w:t>
      </w:r>
    </w:p>
    <w:p w14:paraId="1EDF93E6">
      <w:pPr>
        <w:pBdr>
          <w:top w:val="single" w:color="auto" w:sz="4" w:space="1"/>
          <w:left w:val="single" w:color="auto" w:sz="4" w:space="4"/>
          <w:bottom w:val="single" w:color="auto" w:sz="4" w:space="1"/>
          <w:right w:val="single" w:color="auto" w:sz="4" w:space="4"/>
        </w:pBdr>
        <w:spacing w:line="440" w:lineRule="exact"/>
        <w:ind w:firstLine="482" w:firstLineChars="200"/>
        <w:rPr>
          <w:rFonts w:ascii="宋体" w:hAnsi="宋体" w:cs="宋体"/>
          <w:b/>
          <w:bCs/>
          <w:sz w:val="24"/>
          <w:highlight w:val="none"/>
        </w:rPr>
      </w:pPr>
      <w:r>
        <w:rPr>
          <w:rFonts w:hint="eastAsia" w:ascii="宋体" w:hAnsi="宋体" w:cs="宋体"/>
          <w:b/>
          <w:bCs/>
          <w:sz w:val="24"/>
          <w:highlight w:val="none"/>
        </w:rPr>
        <w:t>项目概况</w:t>
      </w:r>
    </w:p>
    <w:p w14:paraId="6F251D25">
      <w:pPr>
        <w:pBdr>
          <w:top w:val="single" w:color="auto" w:sz="4" w:space="1"/>
          <w:left w:val="single" w:color="auto" w:sz="4" w:space="4"/>
          <w:bottom w:val="single" w:color="auto" w:sz="4" w:space="1"/>
          <w:right w:val="single" w:color="auto" w:sz="4" w:space="4"/>
        </w:pBdr>
        <w:spacing w:line="440" w:lineRule="exact"/>
        <w:ind w:firstLine="482" w:firstLineChars="200"/>
        <w:rPr>
          <w:rFonts w:ascii="宋体" w:hAnsi="宋体" w:cs="宋体"/>
          <w:sz w:val="24"/>
          <w:highlight w:val="none"/>
        </w:rPr>
      </w:pPr>
      <w:r>
        <w:rPr>
          <w:rFonts w:hint="eastAsia" w:ascii="宋体" w:hAnsi="宋体" w:cs="宋体"/>
          <w:b/>
          <w:bCs/>
          <w:sz w:val="24"/>
          <w:highlight w:val="none"/>
          <w:lang w:eastAsia="zh-CN"/>
        </w:rPr>
        <w:t>敖溪杭温高铁拆迁安置区市政工程项目</w:t>
      </w:r>
      <w:r>
        <w:rPr>
          <w:rFonts w:hint="eastAsia" w:ascii="宋体" w:hAnsi="宋体" w:cs="宋体"/>
          <w:sz w:val="24"/>
          <w:highlight w:val="none"/>
        </w:rPr>
        <w:t>的潜在供应商应在浙江政府采购网（http://zfcg.czt.zj.gov.cn/）；东阳市公共资源交易网(http://www.dongyang.gov.cn/ggzyjy/index.html)获取（下载）磋商文件，并于2024年</w:t>
      </w:r>
      <w:r>
        <w:rPr>
          <w:rFonts w:hint="eastAsia" w:ascii="宋体" w:hAnsi="宋体" w:cs="宋体"/>
          <w:sz w:val="24"/>
          <w:highlight w:val="none"/>
          <w:lang w:val="en-US" w:eastAsia="zh-CN"/>
        </w:rPr>
        <w:t>10</w:t>
      </w:r>
      <w:r>
        <w:rPr>
          <w:rFonts w:hint="eastAsia" w:ascii="宋体" w:hAnsi="宋体" w:cs="宋体"/>
          <w:sz w:val="24"/>
          <w:highlight w:val="none"/>
        </w:rPr>
        <w:t>月</w:t>
      </w:r>
      <w:r>
        <w:rPr>
          <w:rFonts w:hint="eastAsia" w:ascii="宋体" w:hAnsi="宋体" w:cs="宋体"/>
          <w:sz w:val="24"/>
          <w:highlight w:val="none"/>
          <w:lang w:val="en-US" w:eastAsia="zh-CN"/>
        </w:rPr>
        <w:t>28</w:t>
      </w:r>
      <w:r>
        <w:rPr>
          <w:rFonts w:hint="eastAsia" w:ascii="宋体" w:hAnsi="宋体" w:cs="宋体"/>
          <w:sz w:val="24"/>
          <w:highlight w:val="none"/>
        </w:rPr>
        <w:t>日1</w:t>
      </w:r>
      <w:r>
        <w:rPr>
          <w:rFonts w:hint="eastAsia" w:ascii="宋体" w:hAnsi="宋体" w:cs="宋体"/>
          <w:sz w:val="24"/>
          <w:highlight w:val="none"/>
          <w:lang w:val="en-US" w:eastAsia="zh-CN"/>
        </w:rPr>
        <w:t>3</w:t>
      </w:r>
      <w:r>
        <w:rPr>
          <w:rFonts w:hint="eastAsia" w:ascii="宋体" w:hAnsi="宋体" w:cs="宋体"/>
          <w:sz w:val="24"/>
          <w:highlight w:val="none"/>
        </w:rPr>
        <w:t>时</w:t>
      </w:r>
      <w:r>
        <w:rPr>
          <w:rFonts w:hint="eastAsia" w:ascii="宋体" w:hAnsi="宋体" w:cs="宋体"/>
          <w:sz w:val="24"/>
          <w:highlight w:val="none"/>
          <w:lang w:val="en-US" w:eastAsia="zh-CN"/>
        </w:rPr>
        <w:t>3</w:t>
      </w:r>
      <w:r>
        <w:rPr>
          <w:rFonts w:hint="eastAsia" w:ascii="宋体" w:hAnsi="宋体" w:cs="宋体"/>
          <w:sz w:val="24"/>
          <w:highlight w:val="none"/>
        </w:rPr>
        <w:t>0分（北京时间）前递交（上传）电子磋商响应文件。</w:t>
      </w:r>
    </w:p>
    <w:p w14:paraId="38E07D4E">
      <w:pPr>
        <w:numPr>
          <w:ilvl w:val="0"/>
          <w:numId w:val="4"/>
        </w:numPr>
        <w:snapToGrid w:val="0"/>
        <w:spacing w:line="440" w:lineRule="exact"/>
        <w:rPr>
          <w:rFonts w:ascii="宋体" w:hAnsi="宋体" w:cs="宋体"/>
          <w:b/>
          <w:bCs/>
          <w:sz w:val="24"/>
          <w:highlight w:val="none"/>
        </w:rPr>
      </w:pPr>
      <w:r>
        <w:rPr>
          <w:rFonts w:hint="eastAsia" w:ascii="宋体" w:hAnsi="宋体" w:cs="宋体"/>
          <w:b/>
          <w:bCs/>
          <w:sz w:val="24"/>
          <w:highlight w:val="none"/>
        </w:rPr>
        <w:t>项目基本情况</w:t>
      </w:r>
    </w:p>
    <w:p w14:paraId="084D285D">
      <w:pPr>
        <w:spacing w:line="440" w:lineRule="exact"/>
        <w:rPr>
          <w:rFonts w:hint="eastAsia" w:ascii="宋体" w:hAnsi="宋体" w:eastAsia="宋体" w:cs="宋体"/>
          <w:sz w:val="24"/>
          <w:highlight w:val="none"/>
          <w:lang w:eastAsia="zh-CN"/>
        </w:rPr>
      </w:pPr>
      <w:r>
        <w:rPr>
          <w:rFonts w:hint="eastAsia" w:ascii="宋体" w:hAnsi="宋体" w:cs="宋体"/>
          <w:b/>
          <w:bCs/>
          <w:sz w:val="24"/>
          <w:highlight w:val="none"/>
        </w:rPr>
        <w:t>项目编号：</w:t>
      </w:r>
      <w:r>
        <w:rPr>
          <w:rFonts w:hint="eastAsia" w:ascii="宋体" w:hAnsi="宋体" w:cs="宋体"/>
          <w:sz w:val="24"/>
          <w:highlight w:val="none"/>
          <w:lang w:eastAsia="zh-CN"/>
        </w:rPr>
        <w:t>ZJQZGX2024-021</w:t>
      </w:r>
    </w:p>
    <w:p w14:paraId="3E34FA11">
      <w:pPr>
        <w:spacing w:line="440" w:lineRule="exact"/>
        <w:rPr>
          <w:rFonts w:hint="eastAsia" w:ascii="宋体" w:hAnsi="宋体" w:eastAsia="宋体" w:cs="宋体"/>
          <w:b/>
          <w:bCs/>
          <w:sz w:val="24"/>
          <w:highlight w:val="none"/>
          <w:lang w:eastAsia="zh-CN"/>
        </w:rPr>
      </w:pPr>
      <w:r>
        <w:rPr>
          <w:rFonts w:hint="eastAsia" w:ascii="宋体" w:hAnsi="宋体" w:cs="宋体"/>
          <w:b/>
          <w:bCs/>
          <w:sz w:val="24"/>
          <w:highlight w:val="none"/>
        </w:rPr>
        <w:t>项目名称：</w:t>
      </w:r>
      <w:r>
        <w:rPr>
          <w:rFonts w:hint="eastAsia" w:ascii="宋体" w:hAnsi="宋体" w:cs="宋体"/>
          <w:b/>
          <w:bCs/>
          <w:sz w:val="24"/>
          <w:highlight w:val="none"/>
          <w:lang w:eastAsia="zh-CN"/>
        </w:rPr>
        <w:t>敖溪杭温高铁拆迁安置区市政工程项目</w:t>
      </w:r>
    </w:p>
    <w:p w14:paraId="2BB3C07C">
      <w:pPr>
        <w:spacing w:line="440" w:lineRule="exact"/>
        <w:rPr>
          <w:rFonts w:ascii="宋体" w:hAnsi="宋体" w:cs="宋体"/>
          <w:b/>
          <w:bCs/>
          <w:sz w:val="24"/>
          <w:highlight w:val="none"/>
        </w:rPr>
      </w:pPr>
      <w:r>
        <w:rPr>
          <w:rFonts w:hint="eastAsia" w:ascii="宋体" w:hAnsi="宋体" w:cs="宋体"/>
          <w:b/>
          <w:bCs/>
          <w:sz w:val="24"/>
          <w:highlight w:val="none"/>
        </w:rPr>
        <w:t>采购方式：竞争性磋商</w:t>
      </w:r>
    </w:p>
    <w:p w14:paraId="6FA8B0E2">
      <w:pPr>
        <w:spacing w:line="440" w:lineRule="exact"/>
        <w:rPr>
          <w:highlight w:val="none"/>
        </w:rPr>
      </w:pPr>
      <w:r>
        <w:rPr>
          <w:rFonts w:hint="eastAsia" w:ascii="宋体" w:hAnsi="宋体" w:cs="宋体"/>
          <w:b/>
          <w:bCs/>
          <w:sz w:val="24"/>
          <w:highlight w:val="none"/>
        </w:rPr>
        <w:t>预算金额（元）：</w:t>
      </w:r>
      <w:r>
        <w:rPr>
          <w:rFonts w:hint="eastAsia" w:ascii="宋体" w:hAnsi="宋体" w:cs="宋体"/>
          <w:b/>
          <w:bCs/>
          <w:sz w:val="24"/>
          <w:highlight w:val="none"/>
          <w:lang w:val="en-US" w:eastAsia="zh-CN"/>
        </w:rPr>
        <w:t>1</w:t>
      </w:r>
      <w:r>
        <w:rPr>
          <w:rFonts w:hint="eastAsia" w:ascii="宋体" w:hAnsi="宋体" w:cs="宋体"/>
          <w:b/>
          <w:bCs/>
          <w:sz w:val="24"/>
          <w:highlight w:val="none"/>
        </w:rPr>
        <w:t>900000元</w:t>
      </w:r>
    </w:p>
    <w:p w14:paraId="0EDF2F31">
      <w:pPr>
        <w:spacing w:line="440" w:lineRule="exact"/>
        <w:rPr>
          <w:rFonts w:ascii="宋体" w:hAnsi="宋体" w:cs="宋体"/>
          <w:b/>
          <w:bCs/>
          <w:sz w:val="24"/>
          <w:highlight w:val="none"/>
        </w:rPr>
      </w:pPr>
      <w:r>
        <w:rPr>
          <w:rFonts w:hint="eastAsia" w:ascii="宋体" w:hAnsi="宋体" w:cs="宋体"/>
          <w:b/>
          <w:bCs/>
          <w:sz w:val="24"/>
          <w:highlight w:val="none"/>
        </w:rPr>
        <w:t>最高限价（元）：</w:t>
      </w:r>
      <w:r>
        <w:rPr>
          <w:rFonts w:hint="eastAsia" w:ascii="宋体" w:hAnsi="宋体" w:cs="宋体"/>
          <w:b/>
          <w:bCs/>
          <w:sz w:val="24"/>
          <w:highlight w:val="none"/>
          <w:lang w:val="en-US" w:eastAsia="zh-CN"/>
        </w:rPr>
        <w:t xml:space="preserve">1699687 </w:t>
      </w:r>
      <w:r>
        <w:rPr>
          <w:rFonts w:hint="eastAsia" w:ascii="宋体" w:hAnsi="宋体" w:cs="宋体"/>
          <w:b/>
          <w:bCs/>
          <w:sz w:val="24"/>
          <w:highlight w:val="none"/>
        </w:rPr>
        <w:t>元</w:t>
      </w:r>
    </w:p>
    <w:p w14:paraId="4A271BBF">
      <w:pPr>
        <w:spacing w:line="440" w:lineRule="exact"/>
        <w:rPr>
          <w:rFonts w:ascii="宋体" w:hAnsi="宋体" w:cs="宋体"/>
          <w:b/>
          <w:bCs/>
          <w:sz w:val="24"/>
          <w:highlight w:val="none"/>
        </w:rPr>
      </w:pPr>
      <w:r>
        <w:rPr>
          <w:rFonts w:hint="eastAsia" w:ascii="宋体" w:hAnsi="宋体" w:cs="宋体"/>
          <w:b/>
          <w:bCs/>
          <w:sz w:val="24"/>
          <w:highlight w:val="none"/>
        </w:rPr>
        <w:t>采购需求：</w:t>
      </w:r>
    </w:p>
    <w:p w14:paraId="015907CD">
      <w:pPr>
        <w:pStyle w:val="18"/>
        <w:spacing w:line="440" w:lineRule="exact"/>
        <w:ind w:firstLine="480"/>
        <w:rPr>
          <w:rFonts w:hint="eastAsia" w:ascii="宋体" w:hAnsi="宋体" w:eastAsia="宋体" w:cs="宋体"/>
          <w:b/>
          <w:bCs/>
          <w:sz w:val="24"/>
          <w:highlight w:val="none"/>
          <w:lang w:eastAsia="zh-CN"/>
        </w:rPr>
      </w:pPr>
      <w:r>
        <w:rPr>
          <w:rFonts w:hint="eastAsia" w:ascii="宋体" w:hAnsi="宋体" w:cs="宋体"/>
          <w:sz w:val="24"/>
          <w:highlight w:val="none"/>
        </w:rPr>
        <w:t>标项名称：</w:t>
      </w:r>
      <w:r>
        <w:rPr>
          <w:rFonts w:hint="eastAsia" w:ascii="宋体" w:hAnsi="宋体" w:cs="宋体"/>
          <w:b/>
          <w:bCs/>
          <w:sz w:val="24"/>
          <w:highlight w:val="none"/>
          <w:lang w:eastAsia="zh-CN"/>
        </w:rPr>
        <w:t>敖溪杭温高铁拆迁安置区市政工程项目</w:t>
      </w:r>
    </w:p>
    <w:p w14:paraId="17E24FC5">
      <w:pPr>
        <w:pStyle w:val="18"/>
        <w:spacing w:line="440" w:lineRule="exact"/>
        <w:ind w:firstLine="480"/>
        <w:rPr>
          <w:rFonts w:ascii="宋体" w:hAnsi="宋体" w:cs="宋体"/>
          <w:sz w:val="24"/>
          <w:highlight w:val="none"/>
        </w:rPr>
      </w:pPr>
      <w:r>
        <w:rPr>
          <w:rFonts w:hint="eastAsia" w:ascii="宋体" w:hAnsi="宋体" w:cs="宋体"/>
          <w:sz w:val="24"/>
          <w:highlight w:val="none"/>
        </w:rPr>
        <w:t>数量：1项</w:t>
      </w:r>
    </w:p>
    <w:p w14:paraId="4CA9DF06">
      <w:pPr>
        <w:pStyle w:val="18"/>
        <w:spacing w:line="440" w:lineRule="exact"/>
        <w:ind w:firstLine="480"/>
        <w:rPr>
          <w:rFonts w:ascii="宋体" w:hAnsi="宋体" w:cs="宋体"/>
          <w:sz w:val="24"/>
          <w:highlight w:val="none"/>
        </w:rPr>
      </w:pPr>
      <w:r>
        <w:rPr>
          <w:rFonts w:hint="eastAsia" w:ascii="宋体" w:hAnsi="宋体" w:cs="宋体"/>
          <w:sz w:val="24"/>
          <w:highlight w:val="none"/>
        </w:rPr>
        <w:t>预算金额（元）：</w:t>
      </w:r>
      <w:r>
        <w:rPr>
          <w:rFonts w:hint="eastAsia" w:ascii="宋体" w:hAnsi="宋体" w:cs="宋体"/>
          <w:sz w:val="24"/>
          <w:highlight w:val="none"/>
          <w:lang w:val="en-US" w:eastAsia="zh-CN"/>
        </w:rPr>
        <w:t>1</w:t>
      </w:r>
      <w:r>
        <w:rPr>
          <w:rFonts w:hint="eastAsia" w:ascii="宋体" w:hAnsi="宋体" w:cs="宋体"/>
          <w:sz w:val="24"/>
          <w:highlight w:val="none"/>
        </w:rPr>
        <w:t>900000元</w:t>
      </w:r>
    </w:p>
    <w:p w14:paraId="5AE28379">
      <w:pPr>
        <w:pStyle w:val="18"/>
        <w:spacing w:line="440" w:lineRule="exact"/>
        <w:ind w:firstLine="480"/>
        <w:rPr>
          <w:rFonts w:ascii="宋体" w:hAnsi="宋体" w:cs="宋体"/>
          <w:sz w:val="24"/>
          <w:highlight w:val="none"/>
        </w:rPr>
      </w:pPr>
      <w:r>
        <w:rPr>
          <w:rFonts w:hint="eastAsia" w:ascii="宋体" w:hAnsi="宋体" w:cs="宋体"/>
          <w:sz w:val="24"/>
          <w:highlight w:val="none"/>
        </w:rPr>
        <w:t>简要规格描述或项目基本概况介绍、用途：具体要求详见第二章招标需求</w:t>
      </w:r>
    </w:p>
    <w:p w14:paraId="123B61BA">
      <w:pPr>
        <w:pStyle w:val="18"/>
        <w:spacing w:line="440" w:lineRule="exact"/>
        <w:ind w:firstLine="480"/>
        <w:rPr>
          <w:rFonts w:ascii="宋体" w:hAnsi="宋体" w:cs="宋体"/>
          <w:sz w:val="24"/>
          <w:highlight w:val="none"/>
        </w:rPr>
      </w:pPr>
      <w:r>
        <w:rPr>
          <w:rFonts w:hint="eastAsia" w:ascii="宋体" w:hAnsi="宋体" w:cs="宋体"/>
          <w:sz w:val="24"/>
          <w:highlight w:val="none"/>
        </w:rPr>
        <w:t>备注：</w:t>
      </w:r>
    </w:p>
    <w:p w14:paraId="7F47EC42">
      <w:pPr>
        <w:pStyle w:val="18"/>
        <w:spacing w:line="440" w:lineRule="exact"/>
        <w:ind w:firstLine="480"/>
        <w:rPr>
          <w:rFonts w:ascii="宋体" w:hAnsi="宋体" w:cs="宋体"/>
          <w:sz w:val="24"/>
          <w:highlight w:val="none"/>
        </w:rPr>
      </w:pPr>
      <w:r>
        <w:rPr>
          <w:rFonts w:hint="eastAsia" w:ascii="宋体" w:hAnsi="宋体" w:cs="宋体"/>
          <w:sz w:val="24"/>
          <w:highlight w:val="none"/>
        </w:rPr>
        <w:t>合同履约期限：详见竞争性磋商文件</w:t>
      </w:r>
    </w:p>
    <w:p w14:paraId="61DEC721">
      <w:pPr>
        <w:pStyle w:val="18"/>
        <w:spacing w:line="440" w:lineRule="exact"/>
        <w:ind w:firstLine="480"/>
        <w:rPr>
          <w:highlight w:val="none"/>
        </w:rPr>
      </w:pPr>
      <w:r>
        <w:rPr>
          <w:rFonts w:hint="eastAsia" w:ascii="宋体" w:hAnsi="宋体" w:cs="宋体"/>
          <w:sz w:val="24"/>
          <w:highlight w:val="none"/>
        </w:rPr>
        <w:t xml:space="preserve">本项目（是）接受联合体投标。  </w:t>
      </w:r>
    </w:p>
    <w:p w14:paraId="25509736">
      <w:pPr>
        <w:snapToGrid w:val="0"/>
        <w:spacing w:line="440" w:lineRule="exact"/>
        <w:rPr>
          <w:rFonts w:ascii="宋体" w:hAnsi="宋体" w:cs="宋体"/>
          <w:b/>
          <w:bCs/>
          <w:strike/>
          <w:sz w:val="24"/>
          <w:highlight w:val="none"/>
        </w:rPr>
      </w:pPr>
      <w:r>
        <w:rPr>
          <w:rFonts w:hint="eastAsia" w:ascii="宋体" w:hAnsi="宋体" w:cs="宋体"/>
          <w:b/>
          <w:bCs/>
          <w:sz w:val="24"/>
          <w:highlight w:val="none"/>
        </w:rPr>
        <w:t xml:space="preserve">▲二、申请人的资格要求： </w:t>
      </w:r>
    </w:p>
    <w:p w14:paraId="0E3C6DA4">
      <w:pPr>
        <w:pStyle w:val="18"/>
        <w:spacing w:line="440" w:lineRule="exact"/>
        <w:ind w:firstLine="720" w:firstLineChars="300"/>
        <w:rPr>
          <w:rFonts w:ascii="宋体" w:hAnsi="宋体" w:cs="宋体"/>
          <w:sz w:val="24"/>
          <w:highlight w:val="none"/>
        </w:rPr>
      </w:pPr>
      <w:r>
        <w:rPr>
          <w:rFonts w:hint="eastAsia" w:ascii="宋体" w:hAnsi="宋体" w:cs="宋体"/>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79D35FAF">
      <w:pPr>
        <w:spacing w:line="440" w:lineRule="exact"/>
        <w:ind w:firstLine="480" w:firstLineChars="200"/>
        <w:rPr>
          <w:rFonts w:ascii="宋体" w:hAnsi="宋体" w:cs="宋体"/>
          <w:sz w:val="24"/>
          <w:highlight w:val="none"/>
        </w:rPr>
      </w:pPr>
      <w:r>
        <w:rPr>
          <w:rFonts w:hint="eastAsia" w:ascii="宋体" w:hAnsi="宋体" w:cs="宋体"/>
          <w:sz w:val="24"/>
          <w:highlight w:val="none"/>
        </w:rPr>
        <w:t>2、落实政府采购政策需满足的资格要求：</w:t>
      </w:r>
    </w:p>
    <w:p w14:paraId="27424F3B">
      <w:pPr>
        <w:spacing w:line="440" w:lineRule="exact"/>
        <w:ind w:firstLine="480" w:firstLineChars="200"/>
        <w:rPr>
          <w:rFonts w:ascii="宋体" w:hAnsi="宋体" w:cs="宋体"/>
          <w:sz w:val="24"/>
          <w:highlight w:val="none"/>
        </w:rPr>
      </w:pPr>
      <w:r>
        <w:rPr>
          <w:rFonts w:hint="eastAsia" w:ascii="宋体" w:hAnsi="宋体" w:cs="宋体"/>
          <w:sz w:val="24"/>
          <w:highlight w:val="none"/>
        </w:rPr>
        <w:t>A、本项目专门面向中小微企业，服务全部由符合政策要求的中小微企业提供，供应商参加投标时，投标文件中须提供中小企业声明函。</w:t>
      </w:r>
    </w:p>
    <w:p w14:paraId="550F06B9">
      <w:pPr>
        <w:spacing w:line="440" w:lineRule="exact"/>
        <w:ind w:firstLine="480" w:firstLineChars="200"/>
        <w:rPr>
          <w:rFonts w:ascii="宋体" w:hAnsi="宋体" w:cs="宋体"/>
          <w:sz w:val="24"/>
          <w:highlight w:val="none"/>
        </w:rPr>
      </w:pPr>
      <w:r>
        <w:rPr>
          <w:rFonts w:hint="eastAsia" w:ascii="宋体" w:hAnsi="宋体" w:cs="宋体"/>
          <w:sz w:val="24"/>
          <w:highlight w:val="none"/>
        </w:rPr>
        <w:t>B、本项目接收接受中型企业与小微企业组成联合体投标，接受中型企业向一家或者多家小微企业分包。组成联合体投标的，需提供联合协议和中小企业声明函；向小微企业分包的，提供分包意向协议和中小企业声明函。本项目已对中小微企业进行预留，不再重复享受价格扣除的优惠政策。</w:t>
      </w:r>
    </w:p>
    <w:p w14:paraId="53168616">
      <w:pPr>
        <w:spacing w:line="440" w:lineRule="exact"/>
        <w:ind w:firstLine="482" w:firstLineChars="200"/>
        <w:rPr>
          <w:rFonts w:ascii="宋体" w:hAnsi="宋体" w:cs="宋体"/>
          <w:b/>
          <w:bCs/>
          <w:color w:val="auto"/>
          <w:sz w:val="24"/>
          <w:highlight w:val="none"/>
        </w:rPr>
      </w:pPr>
      <w:r>
        <w:rPr>
          <w:rFonts w:hint="eastAsia" w:ascii="宋体" w:hAnsi="宋体" w:cs="宋体"/>
          <w:b/>
          <w:bCs/>
          <w:sz w:val="24"/>
          <w:highlight w:val="none"/>
        </w:rPr>
        <w:t>3、本</w:t>
      </w:r>
      <w:r>
        <w:rPr>
          <w:rFonts w:hint="eastAsia" w:ascii="宋体" w:hAnsi="宋体" w:cs="宋体"/>
          <w:b/>
          <w:bCs/>
          <w:color w:val="auto"/>
          <w:sz w:val="24"/>
          <w:highlight w:val="none"/>
        </w:rPr>
        <w:t xml:space="preserve">项目的特定资格要求：   </w:t>
      </w:r>
    </w:p>
    <w:p w14:paraId="2010FE74">
      <w:pPr>
        <w:pStyle w:val="18"/>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（1）磋商</w:t>
      </w:r>
      <w:r>
        <w:rPr>
          <w:rFonts w:hint="eastAsia" w:ascii="宋体" w:hAnsi="宋体"/>
          <w:color w:val="auto"/>
          <w:sz w:val="24"/>
          <w:highlight w:val="none"/>
        </w:rPr>
        <w:t>响应方</w:t>
      </w:r>
      <w:r>
        <w:rPr>
          <w:rFonts w:hint="eastAsia" w:ascii="宋体" w:hAnsi="宋体" w:cs="宋体"/>
          <w:color w:val="auto"/>
          <w:sz w:val="24"/>
          <w:highlight w:val="none"/>
        </w:rPr>
        <w:t>具备市政工程施工总承包叁级及以上资质。</w:t>
      </w:r>
    </w:p>
    <w:p w14:paraId="18CC39A9">
      <w:pPr>
        <w:pStyle w:val="18"/>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（2）磋商响应方具备有效的企业安全生产许可证。</w:t>
      </w:r>
    </w:p>
    <w:p w14:paraId="2A622F47">
      <w:pPr>
        <w:pStyle w:val="18"/>
        <w:spacing w:line="440" w:lineRule="exact"/>
        <w:ind w:firstLine="480" w:firstLineChars="200"/>
        <w:rPr>
          <w:rFonts w:ascii="宋体" w:hAnsi="宋体" w:cs="宋体"/>
          <w:color w:val="auto"/>
          <w:highlight w:val="none"/>
        </w:rPr>
      </w:pPr>
      <w:r>
        <w:rPr>
          <w:rFonts w:hint="eastAsia" w:ascii="宋体" w:hAnsi="宋体" w:cs="宋体"/>
          <w:color w:val="auto"/>
          <w:sz w:val="24"/>
          <w:highlight w:val="none"/>
        </w:rPr>
        <w:t>（3）磋商响应方须为浙江政府采购网注册的正式供应商或承诺中标后30天内注册为浙江政府采购网正式供应商。</w:t>
      </w:r>
    </w:p>
    <w:p w14:paraId="788DAF10">
      <w:pPr>
        <w:snapToGrid w:val="0"/>
        <w:spacing w:line="440" w:lineRule="exact"/>
        <w:rPr>
          <w:rFonts w:ascii="宋体" w:hAnsi="宋体" w:cs="宋体"/>
          <w:b/>
          <w:bCs/>
          <w:color w:val="auto"/>
          <w:sz w:val="24"/>
          <w:highlight w:val="none"/>
        </w:rPr>
      </w:pPr>
      <w:r>
        <w:rPr>
          <w:rFonts w:hint="eastAsia" w:ascii="宋体" w:hAnsi="宋体" w:cs="宋体"/>
          <w:b/>
          <w:bCs/>
          <w:color w:val="auto"/>
          <w:sz w:val="24"/>
          <w:highlight w:val="none"/>
        </w:rPr>
        <w:t xml:space="preserve">▲三、获取磋商文件： </w:t>
      </w:r>
    </w:p>
    <w:p w14:paraId="032116D0">
      <w:pPr>
        <w:spacing w:line="440" w:lineRule="exact"/>
        <w:ind w:firstLine="640"/>
        <w:rPr>
          <w:rFonts w:ascii="宋体" w:hAnsi="宋体" w:cs="宋体"/>
          <w:sz w:val="24"/>
          <w:highlight w:val="none"/>
        </w:rPr>
      </w:pPr>
      <w:r>
        <w:rPr>
          <w:rFonts w:hint="eastAsia" w:ascii="宋体" w:hAnsi="宋体" w:cs="宋体"/>
          <w:color w:val="auto"/>
          <w:sz w:val="24"/>
          <w:highlight w:val="none"/>
        </w:rPr>
        <w:t>时间：/至2024年</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28</w:t>
      </w:r>
      <w:r>
        <w:rPr>
          <w:rFonts w:hint="eastAsia" w:ascii="宋体" w:hAnsi="宋体" w:cs="宋体"/>
          <w:color w:val="auto"/>
          <w:sz w:val="24"/>
          <w:highlight w:val="none"/>
        </w:rPr>
        <w:t>日1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时</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0分，每天上午00：00至12:00，下午12:00至23:59（北京时间，线上获取法定节假日均可，线下获</w:t>
      </w:r>
      <w:r>
        <w:rPr>
          <w:rFonts w:hint="eastAsia" w:ascii="宋体" w:hAnsi="宋体" w:cs="宋体"/>
          <w:sz w:val="24"/>
          <w:highlight w:val="none"/>
        </w:rPr>
        <w:t>取文件法定节假日除外）</w:t>
      </w:r>
    </w:p>
    <w:p w14:paraId="36F2C566">
      <w:pPr>
        <w:spacing w:line="440" w:lineRule="exact"/>
        <w:ind w:firstLine="640"/>
        <w:rPr>
          <w:rFonts w:ascii="宋体" w:hAnsi="宋体" w:cs="宋体"/>
          <w:sz w:val="24"/>
          <w:highlight w:val="none"/>
        </w:rPr>
      </w:pPr>
      <w:r>
        <w:rPr>
          <w:rFonts w:hint="eastAsia" w:ascii="宋体" w:hAnsi="宋体" w:cs="宋体"/>
          <w:sz w:val="24"/>
          <w:highlight w:val="none"/>
        </w:rPr>
        <w:t>地点（网址）：浙江政府采购网（http://zfcg.czt.zj.gov.cn/）； 东阳市公共资源交易网(http://www.dongyang.gov.cn/ggzyjy/index.html)</w:t>
      </w:r>
    </w:p>
    <w:p w14:paraId="12670A5B">
      <w:pPr>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方式：1、由供应商通过登录浙江省政府采购网(http://zfcg.czt.zj.gov.cn/)上的政采云系统进行获取（首次参加谈判的单位应先登录浙江省政府采购网(http://zfcg.czt.zj.gov.cn/)进行账户注册，注册完毕待审核成功后方可登录政采云系统获取；注册流程见网址</w:t>
      </w:r>
    </w:p>
    <w:p w14:paraId="09DDBCE5">
      <w:pPr>
        <w:snapToGrid w:val="0"/>
        <w:spacing w:line="440" w:lineRule="exact"/>
        <w:rPr>
          <w:rFonts w:ascii="宋体" w:hAnsi="宋体" w:cs="宋体"/>
          <w:sz w:val="24"/>
          <w:highlight w:val="none"/>
        </w:rPr>
      </w:pPr>
      <w:r>
        <w:rPr>
          <w:rFonts w:hint="eastAsia" w:ascii="宋体" w:hAnsi="宋体" w:cs="宋体"/>
          <w:sz w:val="24"/>
          <w:highlight w:val="none"/>
        </w:rPr>
        <w:t>http://zfcg.czt.zj.gov.cn/register/2017-07-24/6728.html?_=2017-11-13%2011:10:28）；</w:t>
      </w:r>
    </w:p>
    <w:p w14:paraId="2DBDAF12">
      <w:pPr>
        <w:snapToGrid w:val="0"/>
        <w:spacing w:line="440" w:lineRule="exact"/>
        <w:ind w:firstLine="480" w:firstLineChars="200"/>
        <w:rPr>
          <w:rFonts w:ascii="宋体" w:hAnsi="宋体" w:cs="宋体"/>
          <w:highlight w:val="none"/>
        </w:rPr>
      </w:pPr>
      <w:r>
        <w:rPr>
          <w:rFonts w:hint="eastAsia" w:ascii="宋体" w:hAnsi="宋体" w:cs="宋体"/>
          <w:sz w:val="24"/>
          <w:highlight w:val="none"/>
        </w:rPr>
        <w:t>2、竞争性磋商文件获取流程：浙江政府采购网-政采云用户登录-用户中心-项目采购-获取采购文件管理。</w:t>
      </w:r>
    </w:p>
    <w:p w14:paraId="54742F25">
      <w:pPr>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3、浙江政府采购网上以“游客”身份获取的采购文件仅供阅览；潜在供应商应按上述方式获取采购文件；未按上述方式获取采购文件的，不得对采购文件提起质疑投诉。</w:t>
      </w:r>
    </w:p>
    <w:p w14:paraId="30825E20">
      <w:pPr>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 xml:space="preserve"> 售价（元）：0</w:t>
      </w:r>
    </w:p>
    <w:p w14:paraId="2C74A72A">
      <w:pPr>
        <w:snapToGrid w:val="0"/>
        <w:spacing w:line="440" w:lineRule="exact"/>
        <w:rPr>
          <w:rFonts w:ascii="宋体" w:hAnsi="宋体" w:cs="宋体"/>
          <w:b/>
          <w:bCs/>
          <w:sz w:val="24"/>
          <w:highlight w:val="none"/>
        </w:rPr>
      </w:pPr>
      <w:r>
        <w:rPr>
          <w:rFonts w:hint="eastAsia" w:ascii="宋体" w:hAnsi="宋体" w:cs="宋体"/>
          <w:b/>
          <w:bCs/>
          <w:sz w:val="24"/>
          <w:highlight w:val="none"/>
        </w:rPr>
        <w:t>四、响应文件提交</w:t>
      </w:r>
    </w:p>
    <w:p w14:paraId="0868742D">
      <w:pPr>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截止时间：2024年</w:t>
      </w:r>
      <w:r>
        <w:rPr>
          <w:rFonts w:hint="eastAsia" w:ascii="宋体" w:hAnsi="宋体" w:cs="宋体"/>
          <w:sz w:val="24"/>
          <w:highlight w:val="none"/>
          <w:lang w:val="en-US" w:eastAsia="zh-CN"/>
        </w:rPr>
        <w:t>10</w:t>
      </w:r>
      <w:r>
        <w:rPr>
          <w:rFonts w:hint="eastAsia" w:ascii="宋体" w:hAnsi="宋体" w:cs="宋体"/>
          <w:sz w:val="24"/>
          <w:highlight w:val="none"/>
        </w:rPr>
        <w:t>月</w:t>
      </w:r>
      <w:r>
        <w:rPr>
          <w:rFonts w:hint="eastAsia" w:ascii="宋体" w:hAnsi="宋体" w:cs="宋体"/>
          <w:sz w:val="24"/>
          <w:highlight w:val="none"/>
          <w:lang w:val="en-US" w:eastAsia="zh-CN"/>
        </w:rPr>
        <w:t>28</w:t>
      </w:r>
      <w:r>
        <w:rPr>
          <w:rFonts w:hint="eastAsia" w:ascii="宋体" w:hAnsi="宋体" w:cs="宋体"/>
          <w:sz w:val="24"/>
          <w:highlight w:val="none"/>
        </w:rPr>
        <w:t>日1</w:t>
      </w:r>
      <w:r>
        <w:rPr>
          <w:rFonts w:hint="eastAsia" w:ascii="宋体" w:hAnsi="宋体" w:cs="宋体"/>
          <w:sz w:val="24"/>
          <w:highlight w:val="none"/>
          <w:lang w:val="en-US" w:eastAsia="zh-CN"/>
        </w:rPr>
        <w:t>3</w:t>
      </w:r>
      <w:r>
        <w:rPr>
          <w:rFonts w:hint="eastAsia" w:ascii="宋体" w:hAnsi="宋体" w:cs="宋体"/>
          <w:sz w:val="24"/>
          <w:highlight w:val="none"/>
        </w:rPr>
        <w:t>时</w:t>
      </w:r>
      <w:r>
        <w:rPr>
          <w:rFonts w:hint="eastAsia" w:ascii="宋体" w:hAnsi="宋体" w:cs="宋体"/>
          <w:sz w:val="24"/>
          <w:highlight w:val="none"/>
          <w:lang w:val="en-US" w:eastAsia="zh-CN"/>
        </w:rPr>
        <w:t>3</w:t>
      </w:r>
      <w:r>
        <w:rPr>
          <w:rFonts w:hint="eastAsia" w:ascii="宋体" w:hAnsi="宋体" w:cs="宋体"/>
          <w:sz w:val="24"/>
          <w:highlight w:val="none"/>
        </w:rPr>
        <w:t>0分 （北京时间）</w:t>
      </w:r>
    </w:p>
    <w:p w14:paraId="7FA95A6D">
      <w:pPr>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地点（网址）：政采云平台</w:t>
      </w:r>
    </w:p>
    <w:p w14:paraId="37A82B45">
      <w:pPr>
        <w:snapToGrid w:val="0"/>
        <w:spacing w:line="440" w:lineRule="exact"/>
        <w:rPr>
          <w:rFonts w:ascii="宋体" w:hAnsi="宋体" w:cs="宋体"/>
          <w:b/>
          <w:bCs/>
          <w:sz w:val="24"/>
          <w:highlight w:val="none"/>
        </w:rPr>
      </w:pPr>
      <w:r>
        <w:rPr>
          <w:rFonts w:hint="eastAsia" w:ascii="宋体" w:hAnsi="宋体" w:cs="宋体"/>
          <w:b/>
          <w:bCs/>
          <w:sz w:val="24"/>
          <w:highlight w:val="none"/>
        </w:rPr>
        <w:t>五、响应文件开启</w:t>
      </w:r>
    </w:p>
    <w:p w14:paraId="1B31AEAF">
      <w:pPr>
        <w:snapToGrid w:val="0"/>
        <w:spacing w:line="440" w:lineRule="exact"/>
        <w:ind w:firstLine="482" w:firstLineChars="200"/>
        <w:rPr>
          <w:rFonts w:ascii="宋体" w:hAnsi="宋体" w:cs="宋体"/>
          <w:sz w:val="24"/>
          <w:highlight w:val="none"/>
        </w:rPr>
      </w:pPr>
      <w:r>
        <w:rPr>
          <w:rFonts w:hint="eastAsia" w:ascii="宋体" w:hAnsi="宋体" w:cs="宋体"/>
          <w:b/>
          <w:bCs/>
          <w:sz w:val="24"/>
          <w:highlight w:val="none"/>
        </w:rPr>
        <w:t>开启时间：</w:t>
      </w:r>
      <w:r>
        <w:rPr>
          <w:rFonts w:hint="eastAsia" w:ascii="宋体" w:hAnsi="宋体" w:cs="宋体"/>
          <w:sz w:val="24"/>
          <w:highlight w:val="none"/>
        </w:rPr>
        <w:t>2024年</w:t>
      </w:r>
      <w:r>
        <w:rPr>
          <w:rFonts w:hint="eastAsia" w:ascii="宋体" w:hAnsi="宋体" w:cs="宋体"/>
          <w:sz w:val="24"/>
          <w:highlight w:val="none"/>
          <w:lang w:val="en-US" w:eastAsia="zh-CN"/>
        </w:rPr>
        <w:t>10</w:t>
      </w:r>
      <w:r>
        <w:rPr>
          <w:rFonts w:hint="eastAsia" w:ascii="宋体" w:hAnsi="宋体" w:cs="宋体"/>
          <w:sz w:val="24"/>
          <w:highlight w:val="none"/>
        </w:rPr>
        <w:t>月</w:t>
      </w:r>
      <w:r>
        <w:rPr>
          <w:rFonts w:hint="eastAsia" w:ascii="宋体" w:hAnsi="宋体" w:cs="宋体"/>
          <w:sz w:val="24"/>
          <w:highlight w:val="none"/>
          <w:lang w:val="en-US" w:eastAsia="zh-CN"/>
        </w:rPr>
        <w:t>28</w:t>
      </w:r>
      <w:r>
        <w:rPr>
          <w:rFonts w:hint="eastAsia" w:ascii="宋体" w:hAnsi="宋体" w:cs="宋体"/>
          <w:sz w:val="24"/>
          <w:highlight w:val="none"/>
        </w:rPr>
        <w:t>日1</w:t>
      </w:r>
      <w:r>
        <w:rPr>
          <w:rFonts w:hint="eastAsia" w:ascii="宋体" w:hAnsi="宋体" w:cs="宋体"/>
          <w:sz w:val="24"/>
          <w:highlight w:val="none"/>
          <w:lang w:val="en-US" w:eastAsia="zh-CN"/>
        </w:rPr>
        <w:t>3</w:t>
      </w:r>
      <w:r>
        <w:rPr>
          <w:rFonts w:hint="eastAsia" w:ascii="宋体" w:hAnsi="宋体" w:cs="宋体"/>
          <w:sz w:val="24"/>
          <w:highlight w:val="none"/>
        </w:rPr>
        <w:t>时</w:t>
      </w:r>
      <w:r>
        <w:rPr>
          <w:rFonts w:hint="eastAsia" w:ascii="宋体" w:hAnsi="宋体" w:cs="宋体"/>
          <w:sz w:val="24"/>
          <w:highlight w:val="none"/>
          <w:lang w:val="en-US" w:eastAsia="zh-CN"/>
        </w:rPr>
        <w:t>3</w:t>
      </w:r>
      <w:r>
        <w:rPr>
          <w:rFonts w:hint="eastAsia" w:ascii="宋体" w:hAnsi="宋体" w:cs="宋体"/>
          <w:sz w:val="24"/>
          <w:highlight w:val="none"/>
        </w:rPr>
        <w:t>0分（北京时间）</w:t>
      </w:r>
    </w:p>
    <w:p w14:paraId="1AAFCA2C">
      <w:pPr>
        <w:snapToGrid w:val="0"/>
        <w:spacing w:line="440" w:lineRule="exact"/>
        <w:ind w:firstLine="481"/>
        <w:rPr>
          <w:rFonts w:ascii="宋体" w:hAnsi="宋体" w:cs="宋体"/>
          <w:sz w:val="24"/>
          <w:highlight w:val="none"/>
        </w:rPr>
      </w:pPr>
      <w:r>
        <w:rPr>
          <w:rFonts w:hint="eastAsia" w:ascii="宋体" w:hAnsi="宋体" w:cs="宋体"/>
          <w:sz w:val="24"/>
          <w:highlight w:val="none"/>
        </w:rPr>
        <w:t>地点（网址）：政采云平台</w:t>
      </w:r>
    </w:p>
    <w:p w14:paraId="06A2D927">
      <w:pPr>
        <w:snapToGrid w:val="0"/>
        <w:spacing w:line="440" w:lineRule="exact"/>
        <w:rPr>
          <w:rFonts w:ascii="宋体" w:hAnsi="宋体" w:cs="宋体"/>
          <w:b/>
          <w:bCs/>
          <w:sz w:val="24"/>
          <w:highlight w:val="none"/>
        </w:rPr>
      </w:pPr>
      <w:r>
        <w:rPr>
          <w:rFonts w:hint="eastAsia" w:ascii="宋体" w:hAnsi="宋体" w:cs="宋体"/>
          <w:b/>
          <w:bCs/>
          <w:sz w:val="24"/>
          <w:highlight w:val="none"/>
        </w:rPr>
        <w:t>六、采购意向公开链接</w:t>
      </w:r>
    </w:p>
    <w:p w14:paraId="69C68011">
      <w:pPr>
        <w:snapToGrid w:val="0"/>
        <w:spacing w:line="440" w:lineRule="exact"/>
        <w:rPr>
          <w:rFonts w:ascii="宋体" w:hAnsi="宋体" w:cs="宋体"/>
          <w:b/>
          <w:bCs/>
          <w:sz w:val="24"/>
          <w:highlight w:val="none"/>
        </w:rPr>
      </w:pPr>
      <w:r>
        <w:rPr>
          <w:rFonts w:hint="eastAsia"/>
          <w:highlight w:val="none"/>
        </w:rPr>
        <w:t>https://zfcg.czt.zj.gov.cn/site/detail?parentId=600007&amp;articleId=REgS4yMpNjrSdFjvKNpLRw%3D%3D</w:t>
      </w:r>
      <w:r>
        <w:rPr>
          <w:rFonts w:hint="eastAsia" w:ascii="宋体" w:hAnsi="宋体" w:cs="宋体"/>
          <w:b/>
          <w:bCs/>
          <w:sz w:val="24"/>
          <w:highlight w:val="none"/>
        </w:rPr>
        <w:t>七、公告期限</w:t>
      </w:r>
    </w:p>
    <w:p w14:paraId="64FD8DCA">
      <w:pPr>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自本公告发布之日起3个工作日</w:t>
      </w:r>
    </w:p>
    <w:p w14:paraId="0614642C">
      <w:pPr>
        <w:snapToGrid w:val="0"/>
        <w:spacing w:line="440" w:lineRule="exact"/>
        <w:rPr>
          <w:rFonts w:ascii="宋体" w:hAnsi="宋体" w:cs="宋体"/>
          <w:b/>
          <w:bCs/>
          <w:sz w:val="24"/>
          <w:highlight w:val="none"/>
        </w:rPr>
      </w:pPr>
      <w:r>
        <w:rPr>
          <w:rFonts w:hint="eastAsia" w:ascii="宋体" w:hAnsi="宋体" w:cs="宋体"/>
          <w:b/>
          <w:bCs/>
          <w:sz w:val="24"/>
          <w:highlight w:val="none"/>
        </w:rPr>
        <w:t>八、其他补充事宜</w:t>
      </w:r>
    </w:p>
    <w:p w14:paraId="1CCA7414">
      <w:pPr>
        <w:pStyle w:val="35"/>
        <w:adjustRightInd w:val="0"/>
        <w:snapToGrid w:val="0"/>
        <w:spacing w:line="440" w:lineRule="exact"/>
        <w:rPr>
          <w:kern w:val="2"/>
          <w:highlight w:val="none"/>
        </w:rPr>
      </w:pPr>
      <w:r>
        <w:rPr>
          <w:rFonts w:hint="eastAsia"/>
          <w:highlight w:val="none"/>
        </w:rPr>
        <w:t xml:space="preserve">  </w:t>
      </w:r>
      <w:r>
        <w:rPr>
          <w:rFonts w:hint="eastAsia"/>
          <w:kern w:val="2"/>
          <w:highlight w:val="none"/>
        </w:rPr>
        <w:t xml:space="preserve"> 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D43E40A">
      <w:pPr>
        <w:pStyle w:val="35"/>
        <w:adjustRightInd w:val="0"/>
        <w:snapToGrid w:val="0"/>
        <w:spacing w:line="440" w:lineRule="exact"/>
        <w:ind w:firstLine="480" w:firstLineChars="200"/>
        <w:jc w:val="both"/>
        <w:rPr>
          <w:kern w:val="2"/>
          <w:highlight w:val="none"/>
        </w:rPr>
      </w:pPr>
      <w:r>
        <w:rPr>
          <w:rFonts w:hint="eastAsia"/>
          <w:kern w:val="2"/>
          <w:highlight w:val="none"/>
        </w:rPr>
        <w:t>2、其他事项：1.《浙江省财政厅关于进一步发挥政府采购政策功能全力推动经济稳进提质的通知》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14:paraId="79192EEC">
      <w:pPr>
        <w:pStyle w:val="35"/>
        <w:adjustRightInd w:val="0"/>
        <w:snapToGrid w:val="0"/>
        <w:spacing w:line="440" w:lineRule="exact"/>
        <w:ind w:firstLine="480" w:firstLineChars="200"/>
        <w:jc w:val="both"/>
        <w:rPr>
          <w:kern w:val="2"/>
          <w:highlight w:val="none"/>
        </w:rPr>
      </w:pPr>
      <w:r>
        <w:rPr>
          <w:rFonts w:hint="eastAsia"/>
          <w:kern w:val="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8BF905A">
      <w:pPr>
        <w:spacing w:line="440" w:lineRule="exact"/>
        <w:ind w:firstLine="480" w:firstLineChars="200"/>
        <w:rPr>
          <w:rFonts w:ascii="宋体" w:hAnsi="宋体" w:cs="宋体"/>
          <w:sz w:val="24"/>
          <w:highlight w:val="none"/>
        </w:rPr>
      </w:pPr>
      <w:r>
        <w:rPr>
          <w:rFonts w:hint="eastAsia" w:ascii="宋体" w:hAnsi="宋体" w:cs="宋体"/>
          <w:sz w:val="24"/>
          <w:highlight w:val="none"/>
        </w:rPr>
        <w:t>3.企业信用融资: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录浙江政府采购( https://zfcg.czt.zj.gov.cn)的中小企业信用融资栏目了解相关信息。 供应商可以通过浙江政府采购网(https://zfcg. czt.zj. gov.cn/)首页的“浙江政采贷”模块进入申请，还可以通过政府采购云平台(https://www.zcygov.cn/)首页的“金融服务”模块进入申请。</w:t>
      </w:r>
    </w:p>
    <w:p w14:paraId="31BE5142">
      <w:pPr>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4.根据《浙江省财政厅关于进一步加大政府采购支持中小企业力度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424CD8E7">
      <w:pPr>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5.本项目实行电子磋商，磋商响应文件应按照本项目竞争性磋商文件和政采云平台的要求编制、加密并递交。供应商在使用系统进行谈判的过程中遇到涉及平台使用的任何问题，可致电政采云平台技术支持热线咨询，联系方式：95763。</w:t>
      </w:r>
    </w:p>
    <w:p w14:paraId="50888159">
      <w:pPr>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6.供应商应 在 开 标 前 完 成 CA 数 字 证 书 办 理 。 （ 办 理 流 程 详 见http://zfcg.czt.zj.gov.cn/bidClientTemplate/2019-05-27/12945.html）。完成 CA 数字证书办理预计一周左右，建议各供应商抓紧时间办理。</w:t>
      </w:r>
    </w:p>
    <w:p w14:paraId="4684F0C5">
      <w:pPr>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7.供应商通过政采云平台电子磋商工具制作磋商响应文件，电子磋商工具请供应商自行前往浙江省政府采购网下载并安装，（下载网址：http://zfcg.czt.zj.gov.cn/bidClientTemplate/2019-08-30/12975.html），</w:t>
      </w:r>
    </w:p>
    <w:p w14:paraId="059287D7">
      <w:pPr>
        <w:snapToGrid w:val="0"/>
        <w:spacing w:line="440" w:lineRule="exact"/>
        <w:rPr>
          <w:rFonts w:ascii="宋体" w:hAnsi="宋体" w:cs="宋体"/>
          <w:sz w:val="24"/>
          <w:highlight w:val="none"/>
        </w:rPr>
      </w:pPr>
      <w:r>
        <w:rPr>
          <w:rFonts w:hint="eastAsia" w:ascii="宋体" w:hAnsi="宋体" w:cs="宋体"/>
          <w:sz w:val="24"/>
          <w:highlight w:val="none"/>
        </w:rPr>
        <w:t xml:space="preserve">（ 电 子 投 标 相 关 学 习 网 址 ： </w:t>
      </w:r>
      <w:r>
        <w:rPr>
          <w:highlight w:val="none"/>
        </w:rPr>
        <w:fldChar w:fldCharType="begin"/>
      </w:r>
      <w:r>
        <w:rPr>
          <w:highlight w:val="none"/>
        </w:rPr>
        <w:instrText xml:space="preserve"> HYPERLINK "https://edu.zcygov.cn/luban/e-biding?utm=a0004.2ef5001f.0001.0109.2d44db10df9111e9b92b0f36d4889416。）" </w:instrText>
      </w:r>
      <w:r>
        <w:rPr>
          <w:highlight w:val="none"/>
        </w:rPr>
        <w:fldChar w:fldCharType="separate"/>
      </w:r>
      <w:r>
        <w:rPr>
          <w:rStyle w:val="46"/>
          <w:rFonts w:hint="eastAsia" w:ascii="宋体" w:hAnsi="宋体" w:cs="宋体"/>
          <w:color w:val="auto"/>
          <w:sz w:val="24"/>
          <w:highlight w:val="none"/>
        </w:rPr>
        <w:t>https://edu.zcygov.cn/luban/e-biding?utm=a0004.2ef5001f.0001.0109.2d44db10df9111e9b92b0f36d4889416。）</w:t>
      </w:r>
      <w:r>
        <w:rPr>
          <w:rStyle w:val="46"/>
          <w:rFonts w:hint="eastAsia" w:ascii="宋体" w:hAnsi="宋体" w:cs="宋体"/>
          <w:color w:val="auto"/>
          <w:sz w:val="24"/>
          <w:highlight w:val="none"/>
        </w:rPr>
        <w:fldChar w:fldCharType="end"/>
      </w:r>
    </w:p>
    <w:p w14:paraId="4841FAED">
      <w:pPr>
        <w:spacing w:line="440" w:lineRule="exact"/>
        <w:ind w:firstLine="482" w:firstLineChars="200"/>
        <w:rPr>
          <w:rFonts w:ascii="宋体" w:hAnsi="宋体" w:cs="宋体"/>
          <w:b/>
          <w:bCs/>
          <w:sz w:val="24"/>
          <w:highlight w:val="none"/>
        </w:rPr>
      </w:pPr>
      <w:r>
        <w:rPr>
          <w:rFonts w:hint="eastAsia" w:ascii="宋体" w:hAnsi="宋体" w:cs="宋体"/>
          <w:b/>
          <w:bCs/>
          <w:sz w:val="24"/>
          <w:highlight w:val="none"/>
        </w:rPr>
        <w:t xml:space="preserve">8.政府采购金融服务提示：为扩大政府采购金融服务面，除政采云网上金融服务合作银行外，东阳市范围内增加浙商银行金华分行东阳支行作为线下合作银行。   </w:t>
      </w:r>
    </w:p>
    <w:p w14:paraId="307DFB83">
      <w:pPr>
        <w:spacing w:line="440" w:lineRule="exact"/>
        <w:ind w:firstLine="482" w:firstLineChars="200"/>
        <w:rPr>
          <w:rFonts w:ascii="宋体" w:hAnsi="宋体" w:cs="宋体"/>
          <w:b/>
          <w:bCs/>
          <w:sz w:val="24"/>
          <w:highlight w:val="none"/>
        </w:rPr>
      </w:pPr>
      <w:r>
        <w:rPr>
          <w:rFonts w:hint="eastAsia" w:ascii="宋体" w:hAnsi="宋体" w:cs="宋体"/>
          <w:b/>
          <w:bCs/>
          <w:sz w:val="24"/>
          <w:highlight w:val="none"/>
        </w:rPr>
        <w:t>浙商银行金华东阳支行  联系人：许燕  联系电话：13967983441  0579-86222992</w:t>
      </w:r>
    </w:p>
    <w:p w14:paraId="34452EB3">
      <w:pPr>
        <w:spacing w:line="440" w:lineRule="exact"/>
        <w:rPr>
          <w:rFonts w:ascii="宋体" w:hAnsi="宋体" w:cs="宋体"/>
          <w:b/>
          <w:sz w:val="28"/>
          <w:szCs w:val="28"/>
          <w:highlight w:val="none"/>
        </w:rPr>
      </w:pPr>
      <w:r>
        <w:rPr>
          <w:rFonts w:hint="eastAsia" w:ascii="宋体" w:hAnsi="宋体" w:cs="宋体"/>
          <w:b/>
          <w:sz w:val="24"/>
          <w:highlight w:val="none"/>
        </w:rPr>
        <w:t>九、对本次采购提出询问、质疑、投诉，请按以下方式联系。</w:t>
      </w:r>
    </w:p>
    <w:p w14:paraId="382FC9E0">
      <w:pPr>
        <w:spacing w:line="440" w:lineRule="exact"/>
        <w:ind w:firstLine="723" w:firstLineChars="300"/>
        <w:rPr>
          <w:rFonts w:ascii="宋体" w:hAnsi="宋体" w:cs="宋体"/>
          <w:b/>
          <w:bCs/>
          <w:sz w:val="24"/>
          <w:highlight w:val="none"/>
        </w:rPr>
      </w:pPr>
      <w:r>
        <w:rPr>
          <w:rFonts w:hint="eastAsia" w:ascii="宋体" w:hAnsi="宋体" w:cs="宋体"/>
          <w:b/>
          <w:bCs/>
          <w:sz w:val="24"/>
          <w:highlight w:val="none"/>
        </w:rPr>
        <w:t xml:space="preserve">1.采购人信息  </w:t>
      </w:r>
    </w:p>
    <w:p w14:paraId="3512B5C0">
      <w:pPr>
        <w:spacing w:line="44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东阳市南市街道办事处</w:t>
      </w:r>
      <w:r>
        <w:rPr>
          <w:rFonts w:hint="eastAsia" w:ascii="宋体" w:hAnsi="宋体" w:cs="宋体"/>
          <w:color w:val="auto"/>
          <w:sz w:val="24"/>
          <w:highlight w:val="none"/>
        </w:rPr>
        <w:t xml:space="preserve">             </w:t>
      </w:r>
    </w:p>
    <w:p w14:paraId="5ECE6F18">
      <w:pPr>
        <w:spacing w:line="44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东阳市南市街道</w:t>
      </w:r>
      <w:r>
        <w:rPr>
          <w:rFonts w:hint="eastAsia" w:ascii="宋体" w:hAnsi="宋体" w:cs="宋体"/>
          <w:color w:val="auto"/>
          <w:sz w:val="24"/>
          <w:highlight w:val="none"/>
        </w:rPr>
        <w:t xml:space="preserve">    </w:t>
      </w:r>
    </w:p>
    <w:p w14:paraId="4FC5FD43">
      <w:pPr>
        <w:spacing w:line="440" w:lineRule="exact"/>
        <w:ind w:left="718" w:leftChars="342"/>
        <w:rPr>
          <w:rFonts w:ascii="宋体" w:hAnsi="宋体" w:cs="宋体"/>
          <w:color w:val="auto"/>
          <w:sz w:val="24"/>
          <w:highlight w:val="none"/>
        </w:rPr>
      </w:pPr>
      <w:r>
        <w:rPr>
          <w:rFonts w:hint="eastAsia" w:ascii="宋体" w:hAnsi="宋体" w:cs="宋体"/>
          <w:color w:val="auto"/>
          <w:sz w:val="24"/>
          <w:highlight w:val="none"/>
        </w:rPr>
        <w:t>项目联系人： 方先生             项目联系方式：0579-86010192</w:t>
      </w:r>
    </w:p>
    <w:p w14:paraId="4022B54C">
      <w:pPr>
        <w:spacing w:line="440" w:lineRule="exact"/>
        <w:ind w:left="718" w:leftChars="342"/>
        <w:rPr>
          <w:rFonts w:ascii="宋体" w:hAnsi="宋体" w:cs="宋体"/>
          <w:color w:val="auto"/>
          <w:sz w:val="24"/>
          <w:highlight w:val="none"/>
        </w:rPr>
      </w:pPr>
      <w:r>
        <w:rPr>
          <w:rFonts w:hint="eastAsia" w:ascii="宋体" w:hAnsi="宋体" w:cs="宋体"/>
          <w:color w:val="auto"/>
          <w:sz w:val="24"/>
          <w:highlight w:val="none"/>
        </w:rPr>
        <w:t>质疑联系人： 马先生            质疑联系方式：0579-86010192</w:t>
      </w:r>
    </w:p>
    <w:p w14:paraId="1787AAD8">
      <w:pPr>
        <w:spacing w:line="440" w:lineRule="exact"/>
        <w:ind w:firstLine="723" w:firstLineChars="300"/>
        <w:rPr>
          <w:rFonts w:ascii="宋体" w:hAnsi="宋体" w:cs="宋体"/>
          <w:b/>
          <w:bCs/>
          <w:color w:val="auto"/>
          <w:sz w:val="24"/>
          <w:highlight w:val="none"/>
        </w:rPr>
      </w:pPr>
      <w:r>
        <w:rPr>
          <w:rFonts w:hint="eastAsia" w:ascii="宋体" w:hAnsi="宋体" w:cs="宋体"/>
          <w:b/>
          <w:bCs/>
          <w:color w:val="auto"/>
          <w:sz w:val="24"/>
          <w:highlight w:val="none"/>
        </w:rPr>
        <w:t>2.采购代理机构信息</w:t>
      </w:r>
    </w:p>
    <w:p w14:paraId="3A186D1A">
      <w:pPr>
        <w:spacing w:line="440" w:lineRule="exact"/>
        <w:ind w:firstLine="720" w:firstLineChars="300"/>
        <w:rPr>
          <w:rFonts w:ascii="宋体" w:hAnsi="宋体" w:cs="宋体"/>
          <w:sz w:val="24"/>
          <w:highlight w:val="none"/>
        </w:rPr>
      </w:pPr>
      <w:r>
        <w:rPr>
          <w:rFonts w:hint="eastAsia" w:ascii="宋体" w:hAnsi="宋体" w:cs="宋体"/>
          <w:sz w:val="24"/>
          <w:highlight w:val="none"/>
        </w:rPr>
        <w:t>名 称：</w:t>
      </w:r>
      <w:r>
        <w:rPr>
          <w:rFonts w:hint="eastAsia" w:ascii="宋体" w:hAnsi="宋体" w:cs="宋体"/>
          <w:sz w:val="24"/>
          <w:highlight w:val="none"/>
          <w:lang w:eastAsia="zh-CN"/>
        </w:rPr>
        <w:t>浙江衢州公信工程管理有限公司</w:t>
      </w:r>
      <w:r>
        <w:rPr>
          <w:rFonts w:hint="eastAsia" w:ascii="宋体" w:hAnsi="宋体" w:cs="宋体"/>
          <w:sz w:val="24"/>
          <w:highlight w:val="none"/>
        </w:rPr>
        <w:t xml:space="preserve"> </w:t>
      </w:r>
    </w:p>
    <w:p w14:paraId="008AE916">
      <w:pPr>
        <w:spacing w:line="440" w:lineRule="exact"/>
        <w:ind w:firstLine="720" w:firstLineChars="300"/>
        <w:rPr>
          <w:rFonts w:ascii="宋体" w:hAnsi="宋体" w:cs="宋体"/>
          <w:sz w:val="24"/>
          <w:highlight w:val="none"/>
        </w:rPr>
      </w:pPr>
      <w:r>
        <w:rPr>
          <w:rFonts w:hint="eastAsia" w:ascii="宋体" w:hAnsi="宋体" w:cs="宋体"/>
          <w:sz w:val="24"/>
          <w:highlight w:val="none"/>
        </w:rPr>
        <w:t>地 址：</w:t>
      </w:r>
      <w:r>
        <w:rPr>
          <w:rFonts w:hint="eastAsia" w:ascii="宋体" w:hAnsi="宋体" w:cs="宋体"/>
          <w:sz w:val="24"/>
          <w:highlight w:val="none"/>
          <w:lang w:eastAsia="zh-CN"/>
        </w:rPr>
        <w:t>东阳市江滨南街555号</w:t>
      </w:r>
      <w:r>
        <w:rPr>
          <w:rFonts w:hint="eastAsia" w:ascii="宋体" w:hAnsi="宋体" w:cs="宋体"/>
          <w:sz w:val="24"/>
          <w:highlight w:val="none"/>
        </w:rPr>
        <w:t xml:space="preserve">  </w:t>
      </w:r>
    </w:p>
    <w:p w14:paraId="3B5A9B86">
      <w:pPr>
        <w:spacing w:line="440" w:lineRule="exact"/>
        <w:ind w:firstLine="720" w:firstLineChars="300"/>
        <w:rPr>
          <w:rFonts w:ascii="宋体" w:hAnsi="宋体" w:cs="宋体"/>
          <w:sz w:val="24"/>
          <w:highlight w:val="none"/>
        </w:rPr>
      </w:pPr>
      <w:r>
        <w:rPr>
          <w:rFonts w:hint="eastAsia" w:ascii="宋体" w:hAnsi="宋体" w:cs="宋体"/>
          <w:sz w:val="24"/>
          <w:highlight w:val="none"/>
        </w:rPr>
        <w:t>项目联系人（询问）：</w:t>
      </w:r>
      <w:r>
        <w:rPr>
          <w:rFonts w:hint="eastAsia" w:ascii="宋体" w:hAnsi="宋体" w:cs="宋体"/>
          <w:sz w:val="24"/>
          <w:highlight w:val="none"/>
          <w:lang w:eastAsia="zh-CN"/>
        </w:rPr>
        <w:t>张先生</w:t>
      </w:r>
      <w:r>
        <w:rPr>
          <w:rFonts w:hint="eastAsia" w:ascii="宋体" w:hAnsi="宋体" w:cs="宋体"/>
          <w:sz w:val="24"/>
          <w:highlight w:val="none"/>
        </w:rPr>
        <w:t xml:space="preserve">             项目联系方式（询问）：</w:t>
      </w:r>
      <w:r>
        <w:rPr>
          <w:rFonts w:hint="eastAsia" w:ascii="宋体" w:hAnsi="宋体" w:cs="宋体"/>
          <w:sz w:val="24"/>
          <w:highlight w:val="none"/>
          <w:lang w:eastAsia="zh-CN"/>
        </w:rPr>
        <w:t>18267906178</w:t>
      </w:r>
      <w:r>
        <w:rPr>
          <w:rFonts w:hint="eastAsia" w:ascii="宋体" w:hAnsi="宋体" w:cs="宋体"/>
          <w:sz w:val="24"/>
          <w:highlight w:val="none"/>
        </w:rPr>
        <w:t xml:space="preserve"> </w:t>
      </w:r>
    </w:p>
    <w:p w14:paraId="4174A89C">
      <w:pPr>
        <w:spacing w:line="440" w:lineRule="exact"/>
        <w:ind w:firstLine="720" w:firstLineChars="300"/>
        <w:rPr>
          <w:rFonts w:ascii="宋体" w:hAnsi="宋体" w:cs="宋体"/>
          <w:sz w:val="24"/>
          <w:highlight w:val="none"/>
        </w:rPr>
      </w:pPr>
      <w:r>
        <w:rPr>
          <w:rFonts w:hint="eastAsia" w:ascii="宋体" w:hAnsi="宋体" w:cs="宋体"/>
          <w:sz w:val="24"/>
          <w:highlight w:val="none"/>
        </w:rPr>
        <w:t>质疑联系人：</w:t>
      </w:r>
      <w:r>
        <w:rPr>
          <w:rFonts w:hint="eastAsia" w:ascii="宋体" w:hAnsi="宋体" w:cs="宋体"/>
          <w:sz w:val="24"/>
          <w:highlight w:val="none"/>
          <w:lang w:eastAsia="zh-CN"/>
        </w:rPr>
        <w:t>卜先生</w:t>
      </w:r>
      <w:r>
        <w:rPr>
          <w:rFonts w:hint="eastAsia" w:ascii="宋体" w:hAnsi="宋体" w:cs="宋体"/>
          <w:sz w:val="24"/>
          <w:highlight w:val="none"/>
        </w:rPr>
        <w:t xml:space="preserve">                    质疑联系方式：</w:t>
      </w:r>
      <w:r>
        <w:rPr>
          <w:rFonts w:hint="eastAsia" w:ascii="宋体" w:hAnsi="宋体" w:cs="宋体"/>
          <w:color w:val="auto"/>
          <w:sz w:val="24"/>
          <w:highlight w:val="none"/>
        </w:rPr>
        <w:t>15957956000</w:t>
      </w:r>
    </w:p>
    <w:p w14:paraId="71D7E00C">
      <w:pPr>
        <w:spacing w:line="440" w:lineRule="exact"/>
        <w:ind w:firstLine="723" w:firstLineChars="300"/>
        <w:rPr>
          <w:rFonts w:ascii="宋体" w:hAnsi="宋体" w:cs="宋体"/>
          <w:b/>
          <w:bCs/>
          <w:sz w:val="24"/>
          <w:highlight w:val="none"/>
        </w:rPr>
      </w:pPr>
      <w:r>
        <w:rPr>
          <w:rFonts w:hint="eastAsia" w:ascii="宋体" w:hAnsi="宋体" w:cs="宋体"/>
          <w:b/>
          <w:bCs/>
          <w:sz w:val="24"/>
          <w:highlight w:val="none"/>
        </w:rPr>
        <w:t>3.同级政府采购监督管理部门：</w:t>
      </w:r>
    </w:p>
    <w:p w14:paraId="0D3AADBC">
      <w:pPr>
        <w:spacing w:line="440" w:lineRule="exact"/>
        <w:ind w:firstLine="720" w:firstLineChars="300"/>
        <w:rPr>
          <w:rFonts w:ascii="宋体" w:hAnsi="宋体" w:cs="宋体"/>
          <w:sz w:val="24"/>
          <w:highlight w:val="none"/>
        </w:rPr>
      </w:pPr>
      <w:r>
        <w:rPr>
          <w:rFonts w:hint="eastAsia" w:ascii="宋体" w:hAnsi="宋体" w:cs="宋体"/>
          <w:sz w:val="24"/>
          <w:highlight w:val="none"/>
        </w:rPr>
        <w:t>名称：东阳市财政局采监科             地址：东阳市人民路8号</w:t>
      </w:r>
    </w:p>
    <w:p w14:paraId="68871727">
      <w:pPr>
        <w:spacing w:line="440" w:lineRule="exact"/>
        <w:ind w:firstLine="720" w:firstLineChars="300"/>
        <w:rPr>
          <w:rFonts w:ascii="宋体" w:hAnsi="宋体" w:cs="宋体"/>
          <w:sz w:val="24"/>
          <w:highlight w:val="none"/>
        </w:rPr>
      </w:pPr>
      <w:r>
        <w:rPr>
          <w:rFonts w:hint="eastAsia" w:ascii="宋体" w:hAnsi="宋体" w:cs="宋体"/>
          <w:sz w:val="24"/>
          <w:highlight w:val="none"/>
        </w:rPr>
        <w:t>监督投诉电话：0579-86662677</w:t>
      </w:r>
    </w:p>
    <w:p w14:paraId="7F2CBECF">
      <w:pPr>
        <w:snapToGrid w:val="0"/>
        <w:spacing w:line="440" w:lineRule="exact"/>
        <w:ind w:firstLine="482" w:firstLineChars="200"/>
        <w:rPr>
          <w:rFonts w:ascii="宋体" w:hAnsi="宋体" w:cs="宋体"/>
          <w:b/>
          <w:sz w:val="24"/>
          <w:szCs w:val="20"/>
          <w:highlight w:val="none"/>
        </w:rPr>
      </w:pPr>
      <w:r>
        <w:rPr>
          <w:rFonts w:hint="eastAsia" w:ascii="宋体" w:hAnsi="宋体" w:cs="宋体"/>
          <w:b/>
          <w:sz w:val="24"/>
          <w:szCs w:val="20"/>
          <w:highlight w:val="none"/>
        </w:rPr>
        <w:t>附件：</w:t>
      </w:r>
      <w:r>
        <w:rPr>
          <w:rFonts w:hint="eastAsia" w:ascii="宋体" w:hAnsi="宋体" w:cs="宋体"/>
          <w:b/>
          <w:bCs/>
          <w:sz w:val="24"/>
          <w:highlight w:val="none"/>
          <w:lang w:eastAsia="zh-CN"/>
        </w:rPr>
        <w:t>敖溪杭温高铁拆迁安置区市政工程项目</w:t>
      </w:r>
      <w:r>
        <w:rPr>
          <w:rFonts w:hint="eastAsia" w:ascii="宋体" w:hAnsi="宋体" w:cs="宋体"/>
          <w:b/>
          <w:sz w:val="24"/>
          <w:szCs w:val="20"/>
          <w:highlight w:val="none"/>
        </w:rPr>
        <w:t>磋商文件</w:t>
      </w:r>
    </w:p>
    <w:p w14:paraId="26153216">
      <w:pPr>
        <w:pStyle w:val="18"/>
        <w:spacing w:line="440" w:lineRule="exact"/>
        <w:rPr>
          <w:rFonts w:ascii="宋体" w:hAnsi="宋体" w:cs="宋体"/>
          <w:b/>
          <w:sz w:val="24"/>
          <w:szCs w:val="20"/>
          <w:highlight w:val="none"/>
        </w:rPr>
      </w:pPr>
    </w:p>
    <w:p w14:paraId="22E6B443">
      <w:pPr>
        <w:snapToGrid w:val="0"/>
        <w:spacing w:line="440" w:lineRule="exact"/>
        <w:ind w:left="4819" w:right="198" w:hanging="4819" w:hangingChars="2000"/>
        <w:rPr>
          <w:rFonts w:ascii="宋体" w:hAnsi="宋体" w:cs="宋体"/>
          <w:b/>
          <w:sz w:val="24"/>
          <w:highlight w:val="none"/>
        </w:rPr>
      </w:pPr>
      <w:r>
        <w:rPr>
          <w:rFonts w:hint="eastAsia" w:ascii="宋体" w:hAnsi="宋体" w:cs="宋体"/>
          <w:b/>
          <w:sz w:val="24"/>
          <w:highlight w:val="none"/>
        </w:rPr>
        <w:t xml:space="preserve">                                                   </w:t>
      </w:r>
      <w:r>
        <w:rPr>
          <w:rFonts w:hint="eastAsia" w:ascii="宋体" w:hAnsi="宋体" w:cs="宋体"/>
          <w:b/>
          <w:sz w:val="24"/>
          <w:highlight w:val="none"/>
          <w:lang w:eastAsia="zh-CN"/>
        </w:rPr>
        <w:t>东阳市南市街道办事处</w:t>
      </w:r>
      <w:r>
        <w:rPr>
          <w:rFonts w:hint="eastAsia" w:ascii="宋体" w:hAnsi="宋体" w:cs="宋体"/>
          <w:b/>
          <w:sz w:val="24"/>
          <w:highlight w:val="none"/>
        </w:rPr>
        <w:t xml:space="preserve"> </w:t>
      </w:r>
    </w:p>
    <w:p w14:paraId="761FD112">
      <w:pPr>
        <w:snapToGrid w:val="0"/>
        <w:spacing w:line="440" w:lineRule="exact"/>
        <w:ind w:right="198" w:firstLine="5542" w:firstLineChars="2300"/>
        <w:rPr>
          <w:rFonts w:hint="eastAsia" w:ascii="宋体" w:hAnsi="宋体" w:eastAsia="宋体" w:cs="宋体"/>
          <w:b/>
          <w:sz w:val="24"/>
          <w:highlight w:val="none"/>
          <w:lang w:eastAsia="zh-CN"/>
        </w:rPr>
      </w:pPr>
      <w:r>
        <w:rPr>
          <w:rFonts w:hint="eastAsia" w:ascii="宋体" w:hAnsi="宋体" w:cs="宋体"/>
          <w:b/>
          <w:sz w:val="24"/>
          <w:highlight w:val="none"/>
          <w:lang w:eastAsia="zh-CN"/>
        </w:rPr>
        <w:t>浙江衢州公信工程管理有限公司</w:t>
      </w:r>
    </w:p>
    <w:p w14:paraId="00F2B4D8">
      <w:pPr>
        <w:snapToGrid w:val="0"/>
        <w:spacing w:line="440" w:lineRule="exact"/>
        <w:ind w:right="198" w:firstLine="6505" w:firstLineChars="2700"/>
        <w:rPr>
          <w:rFonts w:ascii="宋体" w:hAnsi="宋体" w:cs="宋体"/>
          <w:b/>
          <w:sz w:val="24"/>
          <w:highlight w:val="none"/>
        </w:rPr>
      </w:pPr>
      <w:r>
        <w:rPr>
          <w:rFonts w:hint="eastAsia" w:ascii="宋体" w:hAnsi="宋体" w:cs="宋体"/>
          <w:b/>
          <w:sz w:val="24"/>
          <w:highlight w:val="none"/>
        </w:rPr>
        <w:t>2024年</w:t>
      </w:r>
      <w:r>
        <w:rPr>
          <w:rFonts w:hint="eastAsia" w:ascii="宋体" w:hAnsi="宋体" w:cs="宋体"/>
          <w:b/>
          <w:sz w:val="24"/>
          <w:highlight w:val="none"/>
          <w:lang w:val="en-US" w:eastAsia="zh-CN"/>
        </w:rPr>
        <w:t>10</w:t>
      </w:r>
      <w:r>
        <w:rPr>
          <w:rFonts w:hint="eastAsia" w:ascii="宋体" w:hAnsi="宋体" w:cs="宋体"/>
          <w:b/>
          <w:sz w:val="24"/>
          <w:highlight w:val="none"/>
        </w:rPr>
        <w:t>月</w:t>
      </w:r>
      <w:r>
        <w:rPr>
          <w:rFonts w:hint="eastAsia" w:ascii="宋体" w:hAnsi="宋体" w:cs="宋体"/>
          <w:b/>
          <w:sz w:val="24"/>
          <w:highlight w:val="none"/>
          <w:lang w:val="en-US" w:eastAsia="zh-CN"/>
        </w:rPr>
        <w:t>17</w:t>
      </w:r>
      <w:r>
        <w:rPr>
          <w:rFonts w:hint="eastAsia" w:ascii="宋体" w:hAnsi="宋体" w:cs="宋体"/>
          <w:b/>
          <w:sz w:val="24"/>
          <w:highlight w:val="none"/>
        </w:rPr>
        <w:t>日</w:t>
      </w:r>
    </w:p>
    <w:p w14:paraId="5AB20824">
      <w:pPr>
        <w:widowControl/>
        <w:spacing w:line="440" w:lineRule="exact"/>
        <w:jc w:val="left"/>
        <w:rPr>
          <w:rFonts w:ascii="宋体" w:hAnsi="宋体" w:cs="宋体"/>
          <w:kern w:val="0"/>
          <w:sz w:val="24"/>
          <w:highlight w:val="none"/>
        </w:rPr>
      </w:pPr>
    </w:p>
    <w:p w14:paraId="4FAE58D8">
      <w:pPr>
        <w:widowControl/>
        <w:spacing w:line="440" w:lineRule="exact"/>
        <w:jc w:val="left"/>
        <w:rPr>
          <w:rFonts w:ascii="宋体" w:hAnsi="宋体" w:cs="宋体"/>
          <w:kern w:val="0"/>
          <w:sz w:val="24"/>
          <w:highlight w:val="none"/>
        </w:rPr>
      </w:pPr>
    </w:p>
    <w:p w14:paraId="790CD037">
      <w:pPr>
        <w:widowControl/>
        <w:spacing w:line="440" w:lineRule="exact"/>
        <w:jc w:val="left"/>
        <w:rPr>
          <w:rFonts w:ascii="宋体" w:hAnsi="宋体" w:cs="宋体"/>
          <w:kern w:val="0"/>
          <w:sz w:val="24"/>
          <w:highlight w:val="none"/>
        </w:rPr>
      </w:pPr>
    </w:p>
    <w:p w14:paraId="01123D4A">
      <w:pPr>
        <w:widowControl/>
        <w:spacing w:line="440" w:lineRule="exact"/>
        <w:jc w:val="left"/>
        <w:rPr>
          <w:rFonts w:ascii="宋体" w:hAnsi="宋体" w:cs="宋体"/>
          <w:sz w:val="20"/>
          <w:szCs w:val="22"/>
          <w:highlight w:val="none"/>
        </w:rPr>
      </w:pPr>
      <w:r>
        <w:rPr>
          <w:rFonts w:hint="eastAsia" w:ascii="宋体" w:hAnsi="宋体" w:cs="宋体"/>
          <w:kern w:val="0"/>
          <w:sz w:val="22"/>
          <w:szCs w:val="22"/>
          <w:highlight w:val="none"/>
        </w:rPr>
        <w:t>若对项目采购电子交易系统操作有疑问，可登录政采云（https://www.zcygov.cn/），点击右侧咨询小采，获取采小蜜智能服务管家帮助，或拨打政采云服务热线95763获取热线服务帮助。</w:t>
      </w:r>
    </w:p>
    <w:p w14:paraId="6593A820">
      <w:pPr>
        <w:widowControl/>
        <w:spacing w:line="440" w:lineRule="exact"/>
        <w:jc w:val="left"/>
        <w:rPr>
          <w:rFonts w:ascii="宋体" w:hAnsi="宋体" w:cs="宋体"/>
          <w:sz w:val="22"/>
          <w:szCs w:val="22"/>
          <w:highlight w:val="none"/>
        </w:rPr>
      </w:pPr>
      <w:r>
        <w:rPr>
          <w:rFonts w:hint="eastAsia" w:ascii="宋体" w:hAnsi="宋体" w:cs="宋体"/>
          <w:kern w:val="0"/>
          <w:sz w:val="22"/>
          <w:szCs w:val="22"/>
          <w:highlight w:val="none"/>
        </w:rPr>
        <w:t>CA问题联系电话（人工）：汇信CA 400-888-4636；天谷CA 400-087-8198。</w:t>
      </w:r>
    </w:p>
    <w:p w14:paraId="56D9912B">
      <w:pPr>
        <w:pStyle w:val="23"/>
        <w:pageBreakBefore/>
        <w:snapToGrid w:val="0"/>
        <w:spacing w:before="120" w:after="120" w:line="360" w:lineRule="auto"/>
        <w:jc w:val="center"/>
        <w:outlineLvl w:val="0"/>
        <w:rPr>
          <w:rFonts w:ascii="宋体" w:hAnsi="宋体" w:cs="宋体"/>
          <w:b/>
          <w:szCs w:val="24"/>
          <w:highlight w:val="none"/>
        </w:rPr>
      </w:pPr>
      <w:bookmarkStart w:id="1" w:name="_Toc174369992"/>
      <w:r>
        <w:rPr>
          <w:rFonts w:hint="eastAsia" w:ascii="宋体" w:hAnsi="宋体" w:cs="宋体"/>
          <w:b/>
          <w:szCs w:val="24"/>
          <w:highlight w:val="none"/>
        </w:rPr>
        <w:t>第二章  招标需求</w:t>
      </w:r>
      <w:bookmarkEnd w:id="1"/>
    </w:p>
    <w:p w14:paraId="03B94263">
      <w:pPr>
        <w:numPr>
          <w:ilvl w:val="0"/>
          <w:numId w:val="5"/>
        </w:numPr>
        <w:spacing w:line="360" w:lineRule="auto"/>
        <w:rPr>
          <w:rFonts w:ascii="宋体" w:hAnsi="宋体" w:cs="宋体"/>
          <w:sz w:val="24"/>
          <w:highlight w:val="none"/>
        </w:rPr>
      </w:pPr>
      <w:r>
        <w:rPr>
          <w:rFonts w:hint="eastAsia" w:ascii="宋体" w:hAnsi="宋体" w:cs="宋体"/>
          <w:b/>
          <w:bCs/>
          <w:sz w:val="24"/>
          <w:highlight w:val="none"/>
        </w:rPr>
        <w:t>项目编号：</w:t>
      </w:r>
      <w:r>
        <w:rPr>
          <w:rFonts w:hint="eastAsia" w:ascii="宋体" w:hAnsi="宋体" w:cs="宋体"/>
          <w:sz w:val="24"/>
          <w:highlight w:val="none"/>
          <w:lang w:eastAsia="zh-CN"/>
        </w:rPr>
        <w:t>ZJQZGX2024-021</w:t>
      </w:r>
    </w:p>
    <w:p w14:paraId="5D615BCD">
      <w:pPr>
        <w:numPr>
          <w:ilvl w:val="0"/>
          <w:numId w:val="5"/>
        </w:numPr>
        <w:spacing w:line="360" w:lineRule="auto"/>
        <w:rPr>
          <w:rFonts w:ascii="宋体" w:hAnsi="宋体" w:cs="宋体"/>
          <w:b/>
          <w:sz w:val="24"/>
          <w:highlight w:val="none"/>
        </w:rPr>
      </w:pPr>
      <w:r>
        <w:rPr>
          <w:rFonts w:hint="eastAsia" w:ascii="宋体" w:hAnsi="宋体" w:cs="宋体"/>
          <w:b/>
          <w:bCs/>
          <w:sz w:val="24"/>
          <w:highlight w:val="none"/>
        </w:rPr>
        <w:t>采购项目名称：</w:t>
      </w:r>
      <w:bookmarkStart w:id="2" w:name="_Toc495926918"/>
      <w:r>
        <w:rPr>
          <w:rFonts w:hint="eastAsia" w:ascii="宋体" w:hAnsi="宋体" w:cs="宋体"/>
          <w:b/>
          <w:bCs/>
          <w:sz w:val="24"/>
          <w:highlight w:val="none"/>
          <w:lang w:eastAsia="zh-CN"/>
        </w:rPr>
        <w:t>敖溪杭温高铁拆迁安置区市政工程项目</w:t>
      </w:r>
      <w:r>
        <w:rPr>
          <w:rFonts w:hint="eastAsia" w:ascii="宋体" w:hAnsi="宋体" w:cs="宋体"/>
          <w:b/>
          <w:bCs/>
          <w:sz w:val="24"/>
          <w:highlight w:val="none"/>
        </w:rPr>
        <w:t xml:space="preserve"> </w:t>
      </w:r>
      <w:r>
        <w:rPr>
          <w:rFonts w:hint="eastAsia" w:ascii="宋体" w:hAnsi="宋体" w:cs="宋体"/>
          <w:b/>
          <w:sz w:val="24"/>
          <w:highlight w:val="none"/>
        </w:rPr>
        <w:t xml:space="preserve"> </w:t>
      </w:r>
    </w:p>
    <w:tbl>
      <w:tblPr>
        <w:tblStyle w:val="39"/>
        <w:tblW w:w="94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4125"/>
        <w:gridCol w:w="889"/>
        <w:gridCol w:w="1781"/>
        <w:gridCol w:w="1716"/>
      </w:tblGrid>
      <w:tr w14:paraId="28710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932" w:type="dxa"/>
            <w:vAlign w:val="center"/>
          </w:tcPr>
          <w:p w14:paraId="33675B87">
            <w:pPr>
              <w:widowControl/>
              <w:overflowPunct w:val="0"/>
              <w:autoSpaceDE w:val="0"/>
              <w:autoSpaceDN w:val="0"/>
              <w:adjustRightInd w:val="0"/>
              <w:spacing w:line="360" w:lineRule="auto"/>
              <w:jc w:val="center"/>
              <w:textAlignment w:val="baseline"/>
              <w:rPr>
                <w:rFonts w:ascii="宋体" w:hAnsi="宋体" w:cs="宋体"/>
                <w:b/>
                <w:sz w:val="24"/>
                <w:highlight w:val="none"/>
              </w:rPr>
            </w:pPr>
            <w:r>
              <w:rPr>
                <w:rFonts w:hint="eastAsia" w:ascii="宋体" w:hAnsi="宋体" w:cs="宋体"/>
                <w:b/>
                <w:sz w:val="24"/>
                <w:highlight w:val="none"/>
              </w:rPr>
              <w:t>标项</w:t>
            </w:r>
          </w:p>
        </w:tc>
        <w:tc>
          <w:tcPr>
            <w:tcW w:w="4125" w:type="dxa"/>
            <w:vAlign w:val="center"/>
          </w:tcPr>
          <w:p w14:paraId="652811A6">
            <w:pPr>
              <w:widowControl/>
              <w:overflowPunct w:val="0"/>
              <w:autoSpaceDE w:val="0"/>
              <w:autoSpaceDN w:val="0"/>
              <w:adjustRightInd w:val="0"/>
              <w:spacing w:line="360" w:lineRule="auto"/>
              <w:jc w:val="center"/>
              <w:textAlignment w:val="baseline"/>
              <w:rPr>
                <w:rFonts w:ascii="宋体" w:hAnsi="宋体" w:cs="宋体"/>
                <w:b/>
                <w:sz w:val="24"/>
                <w:highlight w:val="none"/>
              </w:rPr>
            </w:pPr>
            <w:r>
              <w:rPr>
                <w:rFonts w:hint="eastAsia" w:ascii="宋体" w:hAnsi="宋体"/>
                <w:b/>
                <w:bCs/>
                <w:kern w:val="0"/>
                <w:sz w:val="24"/>
                <w:highlight w:val="none"/>
              </w:rPr>
              <w:t>采购内容</w:t>
            </w:r>
          </w:p>
        </w:tc>
        <w:tc>
          <w:tcPr>
            <w:tcW w:w="889" w:type="dxa"/>
            <w:vAlign w:val="center"/>
          </w:tcPr>
          <w:p w14:paraId="795EADD2">
            <w:pPr>
              <w:widowControl/>
              <w:overflowPunct w:val="0"/>
              <w:autoSpaceDE w:val="0"/>
              <w:autoSpaceDN w:val="0"/>
              <w:adjustRightInd w:val="0"/>
              <w:spacing w:line="360" w:lineRule="auto"/>
              <w:jc w:val="center"/>
              <w:textAlignment w:val="baseline"/>
              <w:rPr>
                <w:rFonts w:ascii="宋体" w:hAnsi="宋体" w:cs="宋体"/>
                <w:b/>
                <w:sz w:val="24"/>
                <w:highlight w:val="none"/>
              </w:rPr>
            </w:pPr>
            <w:r>
              <w:rPr>
                <w:rFonts w:hint="eastAsia" w:ascii="宋体" w:hAnsi="宋体"/>
                <w:b/>
                <w:bCs/>
                <w:kern w:val="0"/>
                <w:sz w:val="24"/>
                <w:highlight w:val="none"/>
              </w:rPr>
              <w:t>数量</w:t>
            </w:r>
          </w:p>
        </w:tc>
        <w:tc>
          <w:tcPr>
            <w:tcW w:w="1781" w:type="dxa"/>
            <w:vAlign w:val="center"/>
          </w:tcPr>
          <w:p w14:paraId="477A4867">
            <w:pPr>
              <w:widowControl/>
              <w:overflowPunct w:val="0"/>
              <w:autoSpaceDE w:val="0"/>
              <w:autoSpaceDN w:val="0"/>
              <w:adjustRightInd w:val="0"/>
              <w:spacing w:line="360" w:lineRule="auto"/>
              <w:jc w:val="center"/>
              <w:textAlignment w:val="baseline"/>
              <w:rPr>
                <w:rFonts w:ascii="宋体" w:hAnsi="宋体" w:cs="宋体"/>
                <w:b/>
                <w:sz w:val="24"/>
                <w:highlight w:val="none"/>
              </w:rPr>
            </w:pPr>
            <w:r>
              <w:rPr>
                <w:rFonts w:hint="eastAsia" w:ascii="宋体" w:hAnsi="宋体" w:cs="宋体"/>
                <w:b/>
                <w:sz w:val="24"/>
                <w:highlight w:val="none"/>
              </w:rPr>
              <w:t>最高限价</w:t>
            </w:r>
          </w:p>
        </w:tc>
        <w:tc>
          <w:tcPr>
            <w:tcW w:w="1716" w:type="dxa"/>
            <w:vAlign w:val="center"/>
          </w:tcPr>
          <w:p w14:paraId="7F83C54E">
            <w:pPr>
              <w:widowControl/>
              <w:overflowPunct w:val="0"/>
              <w:autoSpaceDE w:val="0"/>
              <w:autoSpaceDN w:val="0"/>
              <w:adjustRightInd w:val="0"/>
              <w:spacing w:line="360" w:lineRule="auto"/>
              <w:jc w:val="center"/>
              <w:textAlignment w:val="baseline"/>
              <w:rPr>
                <w:rFonts w:ascii="宋体" w:hAnsi="宋体" w:cs="宋体"/>
                <w:b/>
                <w:sz w:val="24"/>
                <w:highlight w:val="none"/>
              </w:rPr>
            </w:pPr>
            <w:r>
              <w:rPr>
                <w:rFonts w:hint="eastAsia" w:ascii="宋体" w:hAnsi="宋体"/>
                <w:b/>
                <w:bCs/>
                <w:kern w:val="0"/>
                <w:sz w:val="24"/>
                <w:highlight w:val="none"/>
              </w:rPr>
              <w:t>预算金额</w:t>
            </w:r>
          </w:p>
        </w:tc>
      </w:tr>
      <w:tr w14:paraId="687B5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932" w:type="dxa"/>
            <w:vAlign w:val="center"/>
          </w:tcPr>
          <w:p w14:paraId="2300765F">
            <w:pPr>
              <w:widowControl/>
              <w:overflowPunct w:val="0"/>
              <w:autoSpaceDE w:val="0"/>
              <w:autoSpaceDN w:val="0"/>
              <w:adjustRightInd w:val="0"/>
              <w:spacing w:line="360" w:lineRule="auto"/>
              <w:jc w:val="center"/>
              <w:textAlignment w:val="baseline"/>
              <w:rPr>
                <w:rFonts w:ascii="宋体" w:hAnsi="宋体"/>
                <w:bCs/>
                <w:kern w:val="0"/>
                <w:sz w:val="24"/>
                <w:highlight w:val="none"/>
              </w:rPr>
            </w:pPr>
            <w:r>
              <w:rPr>
                <w:rFonts w:hint="eastAsia" w:ascii="宋体" w:hAnsi="宋体"/>
                <w:bCs/>
                <w:kern w:val="0"/>
                <w:sz w:val="24"/>
                <w:highlight w:val="none"/>
              </w:rPr>
              <w:t>一</w:t>
            </w:r>
          </w:p>
        </w:tc>
        <w:tc>
          <w:tcPr>
            <w:tcW w:w="4125" w:type="dxa"/>
            <w:vAlign w:val="center"/>
          </w:tcPr>
          <w:p w14:paraId="5E6E0522">
            <w:pPr>
              <w:spacing w:line="360" w:lineRule="auto"/>
              <w:jc w:val="center"/>
              <w:rPr>
                <w:rFonts w:ascii="宋体" w:hAnsi="宋体" w:cs="宋体"/>
                <w:b/>
                <w:bCs/>
                <w:sz w:val="24"/>
                <w:highlight w:val="none"/>
              </w:rPr>
            </w:pPr>
            <w:r>
              <w:rPr>
                <w:rFonts w:hint="eastAsia" w:ascii="宋体" w:hAnsi="宋体" w:cs="宋体"/>
                <w:b/>
                <w:bCs/>
                <w:sz w:val="24"/>
                <w:highlight w:val="none"/>
                <w:lang w:eastAsia="zh-CN"/>
              </w:rPr>
              <w:t>敖溪杭温高铁拆迁安置区市政工程项目</w:t>
            </w:r>
            <w:r>
              <w:rPr>
                <w:rFonts w:hint="eastAsia" w:ascii="宋体" w:hAnsi="宋体" w:cs="宋体"/>
                <w:b/>
                <w:bCs/>
                <w:sz w:val="24"/>
                <w:highlight w:val="none"/>
              </w:rPr>
              <w:t xml:space="preserve"> </w:t>
            </w:r>
          </w:p>
        </w:tc>
        <w:tc>
          <w:tcPr>
            <w:tcW w:w="889" w:type="dxa"/>
            <w:vAlign w:val="center"/>
          </w:tcPr>
          <w:p w14:paraId="24D5446B">
            <w:pPr>
              <w:widowControl/>
              <w:overflowPunct w:val="0"/>
              <w:autoSpaceDE w:val="0"/>
              <w:autoSpaceDN w:val="0"/>
              <w:adjustRightInd w:val="0"/>
              <w:spacing w:line="360" w:lineRule="auto"/>
              <w:jc w:val="center"/>
              <w:textAlignment w:val="baseline"/>
              <w:rPr>
                <w:rFonts w:ascii="宋体" w:hAnsi="宋体" w:cs="宋体"/>
                <w:sz w:val="24"/>
                <w:highlight w:val="none"/>
              </w:rPr>
            </w:pPr>
            <w:r>
              <w:rPr>
                <w:rFonts w:hint="eastAsia" w:ascii="宋体" w:hAnsi="宋体" w:cs="宋体"/>
                <w:sz w:val="24"/>
                <w:highlight w:val="none"/>
              </w:rPr>
              <w:t>1项</w:t>
            </w:r>
          </w:p>
        </w:tc>
        <w:tc>
          <w:tcPr>
            <w:tcW w:w="1781" w:type="dxa"/>
            <w:vAlign w:val="center"/>
          </w:tcPr>
          <w:p w14:paraId="210B81C7">
            <w:pPr>
              <w:widowControl/>
              <w:overflowPunct w:val="0"/>
              <w:autoSpaceDE w:val="0"/>
              <w:autoSpaceDN w:val="0"/>
              <w:adjustRightInd w:val="0"/>
              <w:spacing w:line="360" w:lineRule="auto"/>
              <w:jc w:val="center"/>
              <w:textAlignment w:val="baseline"/>
              <w:rPr>
                <w:rFonts w:ascii="宋体" w:hAnsi="宋体" w:cs="宋体"/>
                <w:sz w:val="24"/>
                <w:highlight w:val="none"/>
              </w:rPr>
            </w:pPr>
            <w:r>
              <w:rPr>
                <w:rFonts w:hint="eastAsia" w:ascii="宋体" w:hAnsi="宋体" w:cs="宋体"/>
                <w:b/>
                <w:bCs/>
                <w:sz w:val="24"/>
                <w:highlight w:val="none"/>
              </w:rPr>
              <w:t>843525元</w:t>
            </w:r>
          </w:p>
        </w:tc>
        <w:tc>
          <w:tcPr>
            <w:tcW w:w="1716" w:type="dxa"/>
            <w:vAlign w:val="center"/>
          </w:tcPr>
          <w:p w14:paraId="47451CE7">
            <w:pPr>
              <w:widowControl/>
              <w:overflowPunct w:val="0"/>
              <w:autoSpaceDE w:val="0"/>
              <w:autoSpaceDN w:val="0"/>
              <w:adjustRightInd w:val="0"/>
              <w:spacing w:line="360" w:lineRule="auto"/>
              <w:jc w:val="center"/>
              <w:textAlignment w:val="baseline"/>
              <w:rPr>
                <w:rFonts w:ascii="宋体" w:hAnsi="宋体" w:cs="宋体"/>
                <w:sz w:val="24"/>
                <w:highlight w:val="none"/>
              </w:rPr>
            </w:pPr>
            <w:r>
              <w:rPr>
                <w:rFonts w:hint="eastAsia" w:ascii="宋体" w:hAnsi="宋体" w:cs="宋体"/>
                <w:sz w:val="24"/>
                <w:highlight w:val="none"/>
              </w:rPr>
              <w:t>900000元</w:t>
            </w:r>
          </w:p>
        </w:tc>
      </w:tr>
    </w:tbl>
    <w:p w14:paraId="2A28C58C">
      <w:pPr>
        <w:spacing w:line="360" w:lineRule="auto"/>
        <w:rPr>
          <w:rFonts w:ascii="宋体" w:hAnsi="宋体" w:cs="宋体"/>
          <w:b/>
          <w:sz w:val="24"/>
          <w:highlight w:val="none"/>
        </w:rPr>
      </w:pPr>
      <w:r>
        <w:rPr>
          <w:rFonts w:hint="eastAsia" w:ascii="宋体" w:hAnsi="宋体" w:cs="宋体"/>
          <w:b/>
          <w:bCs/>
          <w:sz w:val="24"/>
          <w:highlight w:val="none"/>
        </w:rPr>
        <w:t>三、项目</w:t>
      </w:r>
      <w:r>
        <w:rPr>
          <w:rFonts w:hint="eastAsia" w:ascii="宋体" w:hAnsi="宋体" w:cs="宋体"/>
          <w:b/>
          <w:sz w:val="24"/>
          <w:highlight w:val="none"/>
        </w:rPr>
        <w:t xml:space="preserve">内容  </w:t>
      </w:r>
    </w:p>
    <w:p w14:paraId="2EB71D58">
      <w:pPr>
        <w:pStyle w:val="89"/>
        <w:spacing w:line="360" w:lineRule="auto"/>
        <w:ind w:firstLine="241" w:firstLineChars="100"/>
        <w:rPr>
          <w:rFonts w:ascii="宋体" w:hAnsi="宋体" w:cs="宋体"/>
          <w:b/>
          <w:bCs/>
          <w:sz w:val="24"/>
          <w:highlight w:val="none"/>
        </w:rPr>
      </w:pPr>
      <w:r>
        <w:rPr>
          <w:rFonts w:hint="eastAsia" w:ascii="宋体" w:hAnsi="宋体" w:cs="宋体"/>
          <w:b/>
          <w:sz w:val="24"/>
          <w:highlight w:val="none"/>
        </w:rPr>
        <w:t xml:space="preserve"> </w:t>
      </w:r>
      <w:r>
        <w:rPr>
          <w:rFonts w:hint="eastAsia" w:ascii="宋体" w:hAnsi="宋体" w:cs="宋体"/>
          <w:b/>
          <w:bCs/>
          <w:sz w:val="24"/>
          <w:highlight w:val="none"/>
        </w:rPr>
        <w:t>（一）工程概况：</w:t>
      </w:r>
    </w:p>
    <w:p w14:paraId="285897C3">
      <w:pPr>
        <w:pStyle w:val="35"/>
        <w:spacing w:before="0" w:after="0" w:line="360" w:lineRule="auto"/>
        <w:ind w:firstLine="480" w:firstLineChars="200"/>
        <w:rPr>
          <w:rFonts w:hint="eastAsia" w:ascii="宋体" w:hAnsi="宋体" w:eastAsia="宋体" w:cs="新宋体"/>
          <w:highlight w:val="none"/>
          <w:lang w:val="en-US" w:eastAsia="zh-CN"/>
        </w:rPr>
      </w:pPr>
      <w:r>
        <w:rPr>
          <w:rFonts w:hint="eastAsia" w:ascii="宋体" w:hAnsi="宋体" w:eastAsia="宋体" w:cs="新宋体"/>
          <w:highlight w:val="none"/>
          <w:lang w:val="en-US" w:eastAsia="zh-CN"/>
        </w:rPr>
        <w:t>本工程为敖溪杭温高铁拆迁安置区市政工程，</w:t>
      </w:r>
      <w:r>
        <w:rPr>
          <w:rFonts w:hint="eastAsia" w:ascii="宋体" w:hAnsi="宋体" w:eastAsia="宋体" w:cs="新宋体"/>
          <w:highlight w:val="none"/>
          <w:lang w:val="zh-CN" w:eastAsia="zh-CN"/>
        </w:rPr>
        <w:t>包括</w:t>
      </w:r>
      <w:r>
        <w:rPr>
          <w:rFonts w:hint="eastAsia" w:ascii="宋体" w:hAnsi="宋体" w:eastAsia="宋体" w:cs="新宋体"/>
          <w:highlight w:val="none"/>
          <w:lang w:val="en-US" w:eastAsia="zh-CN"/>
        </w:rPr>
        <w:t>土方开挖、道路浇筑、挡墙浇筑</w:t>
      </w:r>
      <w:r>
        <w:rPr>
          <w:rFonts w:hint="eastAsia" w:ascii="宋体" w:hAnsi="宋体" w:eastAsia="宋体" w:cs="新宋体"/>
          <w:highlight w:val="none"/>
          <w:lang w:val="zh-CN" w:eastAsia="zh-CN"/>
        </w:rPr>
        <w:t>等工程。</w:t>
      </w:r>
    </w:p>
    <w:p w14:paraId="17DF9599">
      <w:pPr>
        <w:pStyle w:val="35"/>
        <w:spacing w:before="0" w:after="0" w:line="360" w:lineRule="auto"/>
        <w:ind w:firstLine="241" w:firstLineChars="100"/>
        <w:rPr>
          <w:b/>
          <w:bCs/>
          <w:highlight w:val="none"/>
        </w:rPr>
      </w:pPr>
      <w:r>
        <w:rPr>
          <w:rFonts w:hint="eastAsia"/>
          <w:b/>
          <w:bCs/>
          <w:highlight w:val="none"/>
        </w:rPr>
        <w:t>（二）工作内容：</w:t>
      </w:r>
    </w:p>
    <w:p w14:paraId="550859E0">
      <w:pPr>
        <w:pStyle w:val="35"/>
        <w:spacing w:before="0" w:after="0" w:line="360" w:lineRule="auto"/>
        <w:ind w:firstLine="480" w:firstLineChars="200"/>
        <w:rPr>
          <w:rFonts w:cs="新宋体"/>
          <w:color w:val="auto"/>
          <w:highlight w:val="none"/>
        </w:rPr>
      </w:pPr>
      <w:r>
        <w:rPr>
          <w:rFonts w:hint="eastAsia" w:cs="新宋体"/>
          <w:highlight w:val="none"/>
        </w:rPr>
        <w:t>1、按图纸设计内</w:t>
      </w:r>
      <w:r>
        <w:rPr>
          <w:rFonts w:hint="eastAsia" w:cs="新宋体"/>
          <w:color w:val="auto"/>
          <w:highlight w:val="none"/>
        </w:rPr>
        <w:t>容进行施工（包括施工所需的所有工作）。</w:t>
      </w:r>
    </w:p>
    <w:p w14:paraId="089B4514">
      <w:pPr>
        <w:pStyle w:val="35"/>
        <w:spacing w:before="0" w:after="0" w:line="360" w:lineRule="auto"/>
        <w:ind w:firstLine="480" w:firstLineChars="200"/>
        <w:rPr>
          <w:rFonts w:cs="新宋体"/>
          <w:color w:val="auto"/>
          <w:highlight w:val="none"/>
        </w:rPr>
      </w:pPr>
      <w:r>
        <w:rPr>
          <w:rFonts w:hint="eastAsia" w:cs="新宋体"/>
          <w:color w:val="auto"/>
          <w:highlight w:val="none"/>
        </w:rPr>
        <w:t>2、工程量：根据采购人提供的施工图纸、预算书等资料。（详见附件）</w:t>
      </w:r>
    </w:p>
    <w:p w14:paraId="1C63B584">
      <w:pPr>
        <w:pStyle w:val="35"/>
        <w:spacing w:before="0" w:after="0" w:line="360" w:lineRule="auto"/>
        <w:ind w:firstLine="480" w:firstLineChars="200"/>
        <w:rPr>
          <w:rFonts w:cs="新宋体"/>
          <w:color w:val="auto"/>
          <w:highlight w:val="none"/>
        </w:rPr>
      </w:pPr>
      <w:r>
        <w:rPr>
          <w:rFonts w:hint="eastAsia" w:cs="新宋体"/>
          <w:color w:val="auto"/>
          <w:highlight w:val="none"/>
        </w:rPr>
        <w:t>3、工程造价包括一切与施工相关的材料、人工、检测、检验、税收等其它费用。</w:t>
      </w:r>
    </w:p>
    <w:p w14:paraId="72313017">
      <w:pPr>
        <w:pStyle w:val="18"/>
        <w:spacing w:line="360" w:lineRule="auto"/>
        <w:ind w:firstLine="241" w:firstLineChars="100"/>
        <w:rPr>
          <w:rFonts w:ascii="宋体" w:hAnsi="宋体" w:cs="宋体"/>
          <w:b/>
          <w:bCs/>
          <w:color w:val="auto"/>
          <w:sz w:val="24"/>
          <w:highlight w:val="none"/>
        </w:rPr>
      </w:pPr>
      <w:r>
        <w:rPr>
          <w:rFonts w:hint="eastAsia" w:ascii="宋体" w:hAnsi="宋体" w:cs="宋体"/>
          <w:b/>
          <w:bCs/>
          <w:color w:val="auto"/>
          <w:sz w:val="24"/>
          <w:highlight w:val="none"/>
        </w:rPr>
        <w:t xml:space="preserve">（三）对拟派项目班子的要求  </w:t>
      </w:r>
    </w:p>
    <w:p w14:paraId="6D270689">
      <w:pPr>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▲1、项目负责人具有市政专业注册建造师执业资格，且持有安全生产任职资格B类证，未担任本公司的法定代表人（或总经理）或企业技术负责人职务；</w:t>
      </w:r>
    </w:p>
    <w:p w14:paraId="60A63F7E">
      <w:pPr>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项目组成员必须每天到岗到位，施工</w:t>
      </w:r>
      <w:r>
        <w:rPr>
          <w:rFonts w:hint="eastAsia" w:ascii="宋体" w:hAnsi="宋体" w:cs="宋体"/>
          <w:color w:val="auto"/>
          <w:sz w:val="24"/>
          <w:highlight w:val="none"/>
        </w:rPr>
        <w:t>项目</w:t>
      </w:r>
      <w:r>
        <w:rPr>
          <w:rFonts w:ascii="宋体" w:hAnsi="宋体" w:cs="宋体"/>
          <w:color w:val="auto"/>
          <w:sz w:val="24"/>
          <w:highlight w:val="none"/>
        </w:rPr>
        <w:t>负责人每缺勤一天罚款</w:t>
      </w:r>
      <w:r>
        <w:rPr>
          <w:rFonts w:hint="eastAsia" w:ascii="宋体" w:hAnsi="宋体" w:cs="宋体"/>
          <w:color w:val="auto"/>
          <w:sz w:val="24"/>
          <w:highlight w:val="none"/>
          <w:u w:val="single"/>
        </w:rPr>
        <w:t>5000</w:t>
      </w:r>
      <w:r>
        <w:rPr>
          <w:rFonts w:ascii="宋体" w:hAnsi="宋体" w:cs="宋体"/>
          <w:color w:val="auto"/>
          <w:sz w:val="24"/>
          <w:highlight w:val="none"/>
        </w:rPr>
        <w:t>元/天，管理人员每缺勤一天罚款</w:t>
      </w:r>
      <w:r>
        <w:rPr>
          <w:rFonts w:hint="eastAsia" w:ascii="宋体" w:hAnsi="宋体" w:cs="宋体"/>
          <w:color w:val="auto"/>
          <w:sz w:val="24"/>
          <w:highlight w:val="none"/>
          <w:u w:val="single"/>
        </w:rPr>
        <w:t>1000</w:t>
      </w:r>
      <w:r>
        <w:rPr>
          <w:rFonts w:ascii="宋体" w:hAnsi="宋体" w:cs="宋体"/>
          <w:color w:val="auto"/>
          <w:sz w:val="24"/>
          <w:highlight w:val="none"/>
        </w:rPr>
        <w:t>元/天。到岗率低于50%或连续无故不到岗时，采购人有权终止合同，并追究因此给采购人造成的损失。在施工期间，采购人认为中标</w:t>
      </w:r>
      <w:r>
        <w:rPr>
          <w:rFonts w:hint="eastAsia" w:ascii="宋体" w:hAnsi="宋体" w:cs="宋体"/>
          <w:color w:val="auto"/>
          <w:sz w:val="24"/>
          <w:highlight w:val="none"/>
        </w:rPr>
        <w:t>人</w:t>
      </w:r>
      <w:r>
        <w:rPr>
          <w:rFonts w:ascii="宋体" w:hAnsi="宋体" w:cs="宋体"/>
          <w:color w:val="auto"/>
          <w:sz w:val="24"/>
          <w:highlight w:val="none"/>
        </w:rPr>
        <w:t>所选派的施工</w:t>
      </w:r>
      <w:r>
        <w:rPr>
          <w:rFonts w:hint="eastAsia" w:ascii="宋体" w:hAnsi="宋体" w:cs="宋体"/>
          <w:color w:val="auto"/>
          <w:sz w:val="24"/>
          <w:highlight w:val="none"/>
        </w:rPr>
        <w:t>项目</w:t>
      </w:r>
      <w:r>
        <w:rPr>
          <w:rFonts w:ascii="宋体" w:hAnsi="宋体" w:cs="宋体"/>
          <w:color w:val="auto"/>
          <w:sz w:val="24"/>
          <w:highlight w:val="none"/>
        </w:rPr>
        <w:t>负责人、管理人员的现场管理能力、水平不能满足工程建设需要时，有权要求</w:t>
      </w:r>
      <w:r>
        <w:rPr>
          <w:rFonts w:hint="eastAsia" w:ascii="宋体" w:hAnsi="宋体" w:cs="宋体"/>
          <w:color w:val="auto"/>
          <w:sz w:val="24"/>
          <w:highlight w:val="none"/>
        </w:rPr>
        <w:t>中标人</w:t>
      </w:r>
      <w:r>
        <w:rPr>
          <w:rFonts w:ascii="宋体" w:hAnsi="宋体" w:cs="宋体"/>
          <w:color w:val="auto"/>
          <w:sz w:val="24"/>
          <w:highlight w:val="none"/>
        </w:rPr>
        <w:t>选换施工</w:t>
      </w:r>
      <w:r>
        <w:rPr>
          <w:rFonts w:hint="eastAsia" w:ascii="宋体" w:hAnsi="宋体" w:cs="宋体"/>
          <w:color w:val="auto"/>
          <w:sz w:val="24"/>
          <w:highlight w:val="none"/>
        </w:rPr>
        <w:t>项目</w:t>
      </w:r>
      <w:r>
        <w:rPr>
          <w:rFonts w:ascii="宋体" w:hAnsi="宋体" w:cs="宋体"/>
          <w:color w:val="auto"/>
          <w:sz w:val="24"/>
          <w:highlight w:val="none"/>
        </w:rPr>
        <w:t>负责人、管理人员。</w:t>
      </w:r>
      <w:r>
        <w:rPr>
          <w:rFonts w:hint="eastAsia" w:ascii="宋体" w:hAnsi="宋体" w:cs="宋体"/>
          <w:color w:val="auto"/>
          <w:sz w:val="24"/>
          <w:highlight w:val="none"/>
        </w:rPr>
        <w:t>中标人</w:t>
      </w:r>
      <w:r>
        <w:rPr>
          <w:rFonts w:ascii="宋体" w:hAnsi="宋体" w:cs="宋体"/>
          <w:color w:val="auto"/>
          <w:sz w:val="24"/>
          <w:highlight w:val="none"/>
        </w:rPr>
        <w:t>擅自更换施工项目负责人、管理人员的，分别罚款人民币</w:t>
      </w:r>
      <w:r>
        <w:rPr>
          <w:rFonts w:hint="eastAsia" w:ascii="宋体" w:hAnsi="宋体" w:cs="宋体"/>
          <w:color w:val="auto"/>
          <w:sz w:val="24"/>
          <w:highlight w:val="none"/>
          <w:u w:val="single"/>
        </w:rPr>
        <w:t>20000</w:t>
      </w:r>
      <w:r>
        <w:rPr>
          <w:rFonts w:ascii="宋体" w:hAnsi="宋体" w:cs="宋体"/>
          <w:color w:val="auto"/>
          <w:sz w:val="24"/>
          <w:highlight w:val="none"/>
        </w:rPr>
        <w:t>元/人次、</w:t>
      </w:r>
      <w:r>
        <w:rPr>
          <w:rFonts w:hint="eastAsia" w:ascii="宋体" w:hAnsi="宋体" w:cs="宋体"/>
          <w:color w:val="auto"/>
          <w:sz w:val="24"/>
          <w:highlight w:val="none"/>
          <w:u w:val="single"/>
        </w:rPr>
        <w:t>10000</w:t>
      </w:r>
      <w:r>
        <w:rPr>
          <w:rFonts w:ascii="宋体" w:hAnsi="宋体" w:cs="宋体"/>
          <w:color w:val="auto"/>
          <w:sz w:val="24"/>
          <w:highlight w:val="none"/>
        </w:rPr>
        <w:t>元/人次。</w:t>
      </w:r>
    </w:p>
    <w:p w14:paraId="76B7EE8F">
      <w:pPr>
        <w:spacing w:line="360" w:lineRule="auto"/>
        <w:ind w:left="210" w:leftChars="100"/>
        <w:rPr>
          <w:rFonts w:ascii="宋体" w:hAnsi="宋体" w:cs="宋体"/>
          <w:b/>
          <w:bCs/>
          <w:color w:val="auto"/>
          <w:sz w:val="24"/>
          <w:highlight w:val="none"/>
        </w:rPr>
      </w:pPr>
      <w:r>
        <w:rPr>
          <w:rFonts w:hint="eastAsia" w:ascii="宋体" w:hAnsi="宋体" w:cs="宋体"/>
          <w:b/>
          <w:bCs/>
          <w:color w:val="auto"/>
          <w:sz w:val="24"/>
          <w:highlight w:val="none"/>
        </w:rPr>
        <w:t>▲（四）项目质量及施工安全</w:t>
      </w:r>
    </w:p>
    <w:p w14:paraId="463E3267">
      <w:pPr>
        <w:spacing w:line="360" w:lineRule="auto"/>
        <w:ind w:left="210" w:leftChars="100" w:firstLine="480" w:firstLineChars="200"/>
        <w:rPr>
          <w:rFonts w:ascii="宋体" w:hAnsi="宋体" w:cs="宋体"/>
          <w:sz w:val="24"/>
          <w:highlight w:val="none"/>
        </w:rPr>
      </w:pPr>
      <w:r>
        <w:rPr>
          <w:rFonts w:hint="eastAsia" w:ascii="宋体" w:hAnsi="宋体" w:cs="宋体"/>
          <w:color w:val="auto"/>
          <w:sz w:val="24"/>
          <w:highlight w:val="none"/>
        </w:rPr>
        <w:t>1、本项目所用材料应必须有合格证，工程质量以国家相关标准规范验收</w:t>
      </w:r>
      <w:r>
        <w:rPr>
          <w:rFonts w:hint="eastAsia" w:ascii="宋体" w:hAnsi="宋体" w:cs="宋体"/>
          <w:sz w:val="24"/>
          <w:highlight w:val="none"/>
        </w:rPr>
        <w:t xml:space="preserve">合格为准。   </w:t>
      </w:r>
    </w:p>
    <w:p w14:paraId="4E532E54">
      <w:pPr>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2、项目施工材料应按相关规定进行检验，合格后方可使用。</w:t>
      </w:r>
    </w:p>
    <w:p w14:paraId="1D6B94B4">
      <w:pPr>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3、应按国家、行业现行规范进行施工。</w:t>
      </w:r>
    </w:p>
    <w:p w14:paraId="20E1B5C8">
      <w:pPr>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4、施工过程应做好相关资料记录。</w:t>
      </w:r>
    </w:p>
    <w:p w14:paraId="1E48AA52">
      <w:pPr>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5、必须按相关规定接受采购人委托单位的监督和检查，并提供相关资料。</w:t>
      </w:r>
    </w:p>
    <w:p w14:paraId="71BA1915">
      <w:pPr>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6、中标人在施工期间发生安全事故、人身安全和交通安全等大小事故，一切责任和经济补偿均由中标人负责,采购人不承担任何责任。</w:t>
      </w:r>
    </w:p>
    <w:p w14:paraId="4D2CF53D">
      <w:pPr>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7、中标人不服从采购人施工管理、施工管理不规范、安全质量达不到要求、不能在规定工期内完成等情形；采购人有权暂停或取消其施工资格。</w:t>
      </w:r>
    </w:p>
    <w:p w14:paraId="25B856D7">
      <w:pPr>
        <w:spacing w:line="360" w:lineRule="auto"/>
        <w:ind w:left="210" w:leftChars="100" w:firstLine="480" w:firstLineChars="200"/>
        <w:rPr>
          <w:rFonts w:ascii="宋体" w:hAnsi="宋体" w:cs="宋体"/>
          <w:kern w:val="0"/>
          <w:sz w:val="24"/>
          <w:highlight w:val="none"/>
        </w:rPr>
      </w:pPr>
      <w:r>
        <w:rPr>
          <w:rFonts w:hint="eastAsia" w:ascii="宋体" w:hAnsi="宋体" w:cs="宋体"/>
          <w:kern w:val="0"/>
          <w:sz w:val="24"/>
          <w:highlight w:val="none"/>
        </w:rPr>
        <w:t>8、中标人应做好现场施工噪音、环境卫生、材料堆放、安全警示等工作，并负责施工期间与环保、交通城管等部门的沟通协调工作，做好现场秩序的维护，如因中标人原因受到处罚、赔款、纠纷或因此而引起采购人经济损失的，均由中标人承担责任。</w:t>
      </w:r>
    </w:p>
    <w:p w14:paraId="3BEA0E92">
      <w:pPr>
        <w:spacing w:line="360" w:lineRule="auto"/>
        <w:ind w:left="210" w:leftChars="100" w:firstLine="480" w:firstLineChars="200"/>
        <w:rPr>
          <w:rFonts w:ascii="宋体" w:hAnsi="宋体" w:cs="宋体"/>
          <w:kern w:val="0"/>
          <w:sz w:val="24"/>
          <w:highlight w:val="none"/>
        </w:rPr>
      </w:pPr>
      <w:r>
        <w:rPr>
          <w:rFonts w:hint="eastAsia" w:ascii="宋体" w:hAnsi="宋体" w:cs="宋体"/>
          <w:kern w:val="0"/>
          <w:sz w:val="24"/>
          <w:highlight w:val="none"/>
        </w:rPr>
        <w:t>9、工程质量以国家相关标准规范验收合格为准，如达不到约定的质量标准，采购人可要求中标人返工，直至达到约定的质量标准，并由中标人承担返工的一切费用。</w:t>
      </w:r>
    </w:p>
    <w:p w14:paraId="15529DA3">
      <w:pPr>
        <w:spacing w:line="360" w:lineRule="auto"/>
        <w:rPr>
          <w:rFonts w:ascii="宋体" w:hAnsi="宋体"/>
          <w:sz w:val="24"/>
          <w:highlight w:val="none"/>
        </w:rPr>
      </w:pPr>
      <w:bookmarkStart w:id="3" w:name="_Toc65075441"/>
      <w:r>
        <w:rPr>
          <w:rFonts w:hint="eastAsia" w:ascii="宋体" w:hAnsi="宋体" w:cs="Arial"/>
          <w:b/>
          <w:sz w:val="24"/>
          <w:highlight w:val="none"/>
        </w:rPr>
        <w:t>（五）付款方式</w:t>
      </w:r>
      <w:bookmarkEnd w:id="3"/>
      <w:r>
        <w:rPr>
          <w:rFonts w:hint="eastAsia" w:ascii="宋体" w:hAnsi="宋体" w:cs="Arial"/>
          <w:b/>
          <w:sz w:val="24"/>
          <w:highlight w:val="none"/>
        </w:rPr>
        <w:t xml:space="preserve">  </w:t>
      </w:r>
    </w:p>
    <w:p w14:paraId="7763E1D8">
      <w:pPr>
        <w:spacing w:line="360" w:lineRule="auto"/>
        <w:ind w:firstLine="480" w:firstLineChars="200"/>
        <w:rPr>
          <w:rFonts w:ascii="宋体" w:hAnsi="宋体"/>
          <w:sz w:val="24"/>
          <w:highlight w:val="none"/>
        </w:rPr>
      </w:pPr>
      <w:r>
        <w:rPr>
          <w:rFonts w:hint="eastAsia" w:ascii="宋体" w:hAnsi="宋体"/>
          <w:sz w:val="24"/>
          <w:highlight w:val="none"/>
        </w:rPr>
        <w:t>（1）合同生效以及具备实施条件后7个工作日内支付合同价款的40%作为预付款（若供应商为大型企业，或合同签订时，供应商明确表示无需预付款或主动降低预付款比例的，采购人可不适用前述规定）；</w:t>
      </w:r>
    </w:p>
    <w:p w14:paraId="14E5CA09">
      <w:pPr>
        <w:spacing w:line="360" w:lineRule="auto"/>
        <w:ind w:firstLine="480" w:firstLineChars="200"/>
        <w:rPr>
          <w:rFonts w:ascii="宋体" w:hAnsi="宋体"/>
          <w:color w:val="auto"/>
          <w:sz w:val="24"/>
          <w:highlight w:val="none"/>
        </w:rPr>
      </w:pPr>
      <w:r>
        <w:rPr>
          <w:rFonts w:hint="eastAsia" w:ascii="宋体" w:hAnsi="宋体"/>
          <w:sz w:val="24"/>
          <w:highlight w:val="none"/>
        </w:rPr>
        <w:t>（2）全部工程完工后在7</w:t>
      </w:r>
      <w:r>
        <w:rPr>
          <w:rFonts w:hint="eastAsia" w:ascii="宋体" w:hAnsi="宋体"/>
          <w:color w:val="auto"/>
          <w:sz w:val="24"/>
          <w:highlight w:val="none"/>
        </w:rPr>
        <w:t>个工作日内支付至合同价款的80%；</w:t>
      </w:r>
    </w:p>
    <w:p w14:paraId="0391CF3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（3）工程通过竣工验收合格后凭竣工验收报告在7个工作日内支付至合同价款的100%。</w:t>
      </w:r>
    </w:p>
    <w:p w14:paraId="2D0CEE6E">
      <w:pPr>
        <w:spacing w:line="360" w:lineRule="auto"/>
        <w:rPr>
          <w:color w:val="auto"/>
          <w:highlight w:val="none"/>
        </w:rPr>
      </w:pPr>
      <w:r>
        <w:rPr>
          <w:rFonts w:hint="eastAsia" w:ascii="宋体" w:hAnsi="宋体" w:cs="Arial"/>
          <w:b/>
          <w:bCs/>
          <w:color w:val="auto"/>
          <w:sz w:val="24"/>
          <w:highlight w:val="none"/>
        </w:rPr>
        <w:t>▲（六）</w:t>
      </w:r>
      <w:r>
        <w:rPr>
          <w:rFonts w:hint="eastAsia" w:ascii="宋体" w:hAnsi="宋体" w:cs="宋体..鍼笁鍼."/>
          <w:b/>
          <w:color w:val="auto"/>
          <w:kern w:val="0"/>
          <w:sz w:val="24"/>
          <w:highlight w:val="none"/>
        </w:rPr>
        <w:t>采购预算价</w:t>
      </w:r>
      <w:r>
        <w:rPr>
          <w:rFonts w:hint="eastAsia" w:ascii="宋体" w:hAnsi="宋体" w:cs="宋体..鍼笁鍼."/>
          <w:b/>
          <w:color w:val="auto"/>
          <w:kern w:val="0"/>
          <w:sz w:val="24"/>
          <w:highlight w:val="none"/>
          <w:lang w:val="en-US" w:eastAsia="zh-CN"/>
        </w:rPr>
        <w:t>1</w:t>
      </w:r>
      <w:r>
        <w:rPr>
          <w:rFonts w:hint="eastAsia" w:ascii="宋体" w:hAnsi="宋体" w:cs="宋体..鍼笁鍼."/>
          <w:b/>
          <w:color w:val="auto"/>
          <w:kern w:val="0"/>
          <w:sz w:val="24"/>
          <w:highlight w:val="none"/>
        </w:rPr>
        <w:t>900000元，最高限价（即控制价）：</w:t>
      </w:r>
      <w:r>
        <w:rPr>
          <w:rFonts w:hint="eastAsia" w:ascii="宋体" w:hAnsi="宋体" w:cs="宋体..鍼笁鍼."/>
          <w:b/>
          <w:color w:val="auto"/>
          <w:kern w:val="0"/>
          <w:sz w:val="24"/>
          <w:highlight w:val="none"/>
          <w:lang w:val="en-US" w:eastAsia="zh-CN"/>
        </w:rPr>
        <w:t>1699687</w:t>
      </w:r>
      <w:r>
        <w:rPr>
          <w:rFonts w:hint="eastAsia" w:ascii="宋体" w:hAnsi="宋体" w:cs="宋体..鍼笁鍼."/>
          <w:b/>
          <w:color w:val="auto"/>
          <w:kern w:val="0"/>
          <w:sz w:val="24"/>
          <w:highlight w:val="none"/>
        </w:rPr>
        <w:t>元，超过最高限价的报价为无效报价。本工程的报价采用最高限价（即控制价</w:t>
      </w:r>
      <w:r>
        <w:rPr>
          <w:rFonts w:hint="eastAsia" w:ascii="宋体" w:hAnsi="宋体" w:cs="宋体..鍼笁鍼."/>
          <w:b/>
          <w:color w:val="auto"/>
          <w:kern w:val="0"/>
          <w:sz w:val="24"/>
          <w:highlight w:val="none"/>
          <w:lang w:val="en-US" w:eastAsia="zh-CN"/>
        </w:rPr>
        <w:t>1699687</w:t>
      </w:r>
      <w:r>
        <w:rPr>
          <w:rFonts w:hint="eastAsia" w:ascii="宋体" w:hAnsi="宋体" w:cs="宋体..鍼笁鍼."/>
          <w:b/>
          <w:color w:val="auto"/>
          <w:kern w:val="0"/>
          <w:sz w:val="24"/>
          <w:highlight w:val="none"/>
        </w:rPr>
        <w:t>元）同比例下浮率方式报价</w:t>
      </w:r>
      <w:r>
        <w:rPr>
          <w:rFonts w:hint="eastAsia" w:ascii="宋体" w:hAnsi="宋体" w:cs="Arial"/>
          <w:b/>
          <w:bCs/>
          <w:color w:val="auto"/>
          <w:sz w:val="24"/>
          <w:highlight w:val="none"/>
        </w:rPr>
        <w:t>。</w:t>
      </w:r>
    </w:p>
    <w:p w14:paraId="7C727931">
      <w:pPr>
        <w:spacing w:line="360" w:lineRule="auto"/>
        <w:rPr>
          <w:rFonts w:ascii="宋体" w:hAnsi="宋体" w:cs="Arial"/>
          <w:b/>
          <w:bCs/>
          <w:color w:val="auto"/>
          <w:sz w:val="24"/>
          <w:highlight w:val="none"/>
        </w:rPr>
      </w:pPr>
      <w:r>
        <w:rPr>
          <w:rFonts w:hint="eastAsia" w:ascii="宋体" w:hAnsi="宋体" w:cs="Arial"/>
          <w:b/>
          <w:bCs/>
          <w:color w:val="auto"/>
          <w:sz w:val="24"/>
          <w:highlight w:val="none"/>
        </w:rPr>
        <w:t>（七）商务条款及其他要求</w:t>
      </w:r>
    </w:p>
    <w:p w14:paraId="1E0A252F">
      <w:pPr>
        <w:spacing w:line="360" w:lineRule="auto"/>
        <w:rPr>
          <w:rFonts w:ascii="宋体" w:hAnsi="宋体"/>
          <w:color w:val="auto"/>
          <w:sz w:val="24"/>
          <w:highlight w:val="none"/>
        </w:rPr>
      </w:pPr>
      <w:r>
        <w:rPr>
          <w:rFonts w:hint="eastAsia" w:ascii="宋体" w:hAnsi="宋体" w:cs="宋体"/>
          <w:color w:val="auto"/>
          <w:sz w:val="24"/>
          <w:highlight w:val="none"/>
        </w:rPr>
        <w:t>▲1、工期：合同签订后90日历天。</w:t>
      </w:r>
      <w:r>
        <w:rPr>
          <w:rFonts w:hint="eastAsia" w:ascii="宋体" w:hAnsi="宋体"/>
          <w:color w:val="auto"/>
          <w:sz w:val="24"/>
          <w:highlight w:val="none"/>
        </w:rPr>
        <w:t>（每延迟一天罚1000元，限额为合同总价的 1 %。如果实际施工工期提前于合同工期，采购人不给予奖励。如因采购人原因造成工期延误，工期顺延。）</w:t>
      </w:r>
    </w:p>
    <w:p w14:paraId="0F60A5BA">
      <w:pPr>
        <w:spacing w:line="360" w:lineRule="auto"/>
        <w:ind w:left="210" w:leftChars="100" w:firstLine="240" w:firstLineChars="100"/>
        <w:rPr>
          <w:rFonts w:ascii="宋体" w:hAnsi="宋体" w:cs="宋体"/>
          <w:color w:val="auto"/>
          <w:sz w:val="24"/>
          <w:highlight w:val="none"/>
        </w:rPr>
      </w:pPr>
      <w:r>
        <w:rPr>
          <w:rFonts w:hint="eastAsia" w:ascii="宋体" w:hAnsi="宋体" w:cs="宋体"/>
          <w:color w:val="auto"/>
          <w:sz w:val="24"/>
          <w:highlight w:val="none"/>
        </w:rPr>
        <w:t>▲2、施工质保期：2年，自验收合格之日起计算。</w:t>
      </w:r>
    </w:p>
    <w:p w14:paraId="0F2C1F09">
      <w:pPr>
        <w:autoSpaceDE w:val="0"/>
        <w:autoSpaceDN w:val="0"/>
        <w:adjustRightIn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Arial"/>
          <w:bCs/>
          <w:color w:val="auto"/>
          <w:sz w:val="24"/>
          <w:highlight w:val="none"/>
        </w:rPr>
        <w:t>本合同为固定总价合同，其合同总价已包含采购人确认的施工图、磋商响应方报价所列内容及所涉及的各项风险费用，施工过程中工程量不做增项调整。</w:t>
      </w:r>
    </w:p>
    <w:p w14:paraId="62F223D0">
      <w:pPr>
        <w:autoSpaceDE w:val="0"/>
        <w:autoSpaceDN w:val="0"/>
        <w:adjustRightInd w:val="0"/>
        <w:spacing w:line="360" w:lineRule="auto"/>
        <w:ind w:firstLine="480" w:firstLineChars="200"/>
        <w:jc w:val="left"/>
        <w:rPr>
          <w:rFonts w:ascii="宋体" w:hAnsi="宋体" w:cs="Arial"/>
          <w:bCs/>
          <w:color w:val="auto"/>
          <w:sz w:val="24"/>
          <w:highlight w:val="none"/>
        </w:rPr>
      </w:pPr>
      <w:r>
        <w:rPr>
          <w:rFonts w:hint="eastAsia" w:ascii="宋体" w:hAnsi="宋体" w:cs="Arial"/>
          <w:bCs/>
          <w:color w:val="auto"/>
          <w:sz w:val="24"/>
          <w:highlight w:val="none"/>
        </w:rPr>
        <w:t>4、</w:t>
      </w:r>
      <w:r>
        <w:rPr>
          <w:rFonts w:hint="eastAsia" w:ascii="宋体" w:hAnsi="宋体"/>
          <w:color w:val="auto"/>
          <w:sz w:val="24"/>
          <w:highlight w:val="none"/>
        </w:rPr>
        <w:t>磋商报价包括施工所需的施工费、材料费、机械费、人工费、服务费、运输费、安全措施费、招标代理费等实施本项目相关的一切费用及税金。</w:t>
      </w:r>
    </w:p>
    <w:p w14:paraId="0C7A16D4">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5、</w:t>
      </w:r>
      <w:r>
        <w:rPr>
          <w:rFonts w:hint="eastAsia" w:ascii="宋体" w:hAnsi="宋体" w:cs="Arial"/>
          <w:bCs/>
          <w:color w:val="auto"/>
          <w:sz w:val="24"/>
          <w:highlight w:val="none"/>
        </w:rPr>
        <w:t>磋商响应方</w:t>
      </w:r>
      <w:r>
        <w:rPr>
          <w:rFonts w:hint="eastAsia" w:ascii="宋体" w:hAnsi="宋体"/>
          <w:bCs/>
          <w:color w:val="auto"/>
          <w:sz w:val="24"/>
          <w:highlight w:val="none"/>
        </w:rPr>
        <w:t>应自行勘察现场，工程风险由</w:t>
      </w:r>
      <w:r>
        <w:rPr>
          <w:rFonts w:hint="eastAsia" w:ascii="宋体" w:hAnsi="宋体" w:cs="Arial"/>
          <w:bCs/>
          <w:color w:val="auto"/>
          <w:sz w:val="24"/>
          <w:highlight w:val="none"/>
        </w:rPr>
        <w:t>磋商响应方</w:t>
      </w:r>
      <w:r>
        <w:rPr>
          <w:rFonts w:hint="eastAsia" w:ascii="宋体" w:hAnsi="宋体"/>
          <w:bCs/>
          <w:color w:val="auto"/>
          <w:sz w:val="24"/>
          <w:highlight w:val="none"/>
        </w:rPr>
        <w:t>自行承担，结合自身能力进行磋商报价。</w:t>
      </w:r>
    </w:p>
    <w:p w14:paraId="5D8167B5">
      <w:pPr>
        <w:snapToGrid w:val="0"/>
        <w:spacing w:line="360" w:lineRule="auto"/>
        <w:ind w:firstLine="480" w:firstLineChars="200"/>
        <w:rPr>
          <w:rFonts w:ascii="宋体" w:hAnsi="宋体" w:cs="宋体"/>
          <w:bCs/>
          <w:color w:val="auto"/>
          <w:kern w:val="0"/>
          <w:sz w:val="24"/>
          <w:highlight w:val="none"/>
        </w:rPr>
      </w:pPr>
      <w:r>
        <w:rPr>
          <w:rFonts w:hint="eastAsia" w:ascii="宋体" w:hAnsi="宋体" w:cs="宋体"/>
          <w:color w:val="auto"/>
          <w:sz w:val="24"/>
          <w:highlight w:val="none"/>
        </w:rPr>
        <w:t>▲</w:t>
      </w:r>
      <w:r>
        <w:rPr>
          <w:rFonts w:hint="eastAsia" w:ascii="宋体" w:hAnsi="宋体"/>
          <w:bCs/>
          <w:color w:val="auto"/>
          <w:sz w:val="24"/>
          <w:highlight w:val="none"/>
        </w:rPr>
        <w:t>6、</w:t>
      </w:r>
      <w:r>
        <w:rPr>
          <w:rFonts w:hint="eastAsia" w:ascii="宋体" w:hAnsi="宋体" w:cs="宋体"/>
          <w:bCs/>
          <w:color w:val="auto"/>
          <w:kern w:val="0"/>
          <w:sz w:val="24"/>
          <w:highlight w:val="none"/>
        </w:rPr>
        <w:t>（1）磋商响应方自2020年1月1日以来在建设工程招投标领域有行政处罚记录、重大违法记录的作无效标处理（以省级及以上政府采购网、信用中国查询截图为准）；</w:t>
      </w:r>
    </w:p>
    <w:p w14:paraId="2AEF2473">
      <w:pPr>
        <w:snapToGrid w:val="0"/>
        <w:spacing w:line="360" w:lineRule="auto"/>
        <w:ind w:firstLine="480" w:firstLineChars="200"/>
        <w:rPr>
          <w:rFonts w:cs="宋体"/>
          <w:bCs/>
          <w:color w:val="auto"/>
          <w:kern w:val="0"/>
          <w:sz w:val="24"/>
          <w:szCs w:val="22"/>
          <w:highlight w:val="none"/>
        </w:rPr>
      </w:pPr>
      <w:r>
        <w:rPr>
          <w:rFonts w:hint="eastAsia" w:ascii="宋体" w:hAnsi="宋体" w:cs="宋体"/>
          <w:bCs/>
          <w:color w:val="auto"/>
          <w:kern w:val="0"/>
          <w:sz w:val="24"/>
          <w:highlight w:val="none"/>
        </w:rPr>
        <w:t>（2）磋商响应方自2020年1月1日以来供应商存在串标、围标等不良行为未被处罚的也作无效标处理。</w:t>
      </w:r>
    </w:p>
    <w:p w14:paraId="153696FD">
      <w:pPr>
        <w:pStyle w:val="11"/>
        <w:ind w:firstLine="0"/>
        <w:rPr>
          <w:color w:val="auto"/>
          <w:highlight w:val="none"/>
        </w:rPr>
      </w:pPr>
    </w:p>
    <w:p w14:paraId="6B283767">
      <w:pPr>
        <w:pStyle w:val="51"/>
        <w:spacing w:before="60" w:after="60"/>
        <w:jc w:val="both"/>
        <w:rPr>
          <w:color w:val="auto"/>
          <w:szCs w:val="24"/>
          <w:highlight w:val="none"/>
        </w:rPr>
      </w:pPr>
    </w:p>
    <w:p w14:paraId="44149AA5">
      <w:pPr>
        <w:spacing w:line="360" w:lineRule="auto"/>
        <w:rPr>
          <w:rFonts w:ascii="宋体" w:hAnsi="宋体" w:cs="宋体"/>
          <w:b/>
          <w:color w:val="auto"/>
          <w:sz w:val="32"/>
          <w:szCs w:val="32"/>
          <w:highlight w:val="none"/>
        </w:rPr>
      </w:pPr>
    </w:p>
    <w:p w14:paraId="4D19363B">
      <w:pPr>
        <w:pStyle w:val="19"/>
        <w:ind w:firstLine="0" w:firstLineChars="0"/>
        <w:rPr>
          <w:rFonts w:ascii="宋体" w:hAnsi="宋体" w:cs="宋体"/>
          <w:b/>
          <w:color w:val="auto"/>
          <w:sz w:val="32"/>
          <w:szCs w:val="32"/>
          <w:highlight w:val="none"/>
        </w:rPr>
      </w:pPr>
    </w:p>
    <w:p w14:paraId="566AD569">
      <w:pPr>
        <w:widowControl/>
        <w:jc w:val="left"/>
        <w:rPr>
          <w:rFonts w:ascii="宋体" w:cs="宋体"/>
          <w:b/>
          <w:sz w:val="44"/>
          <w:szCs w:val="44"/>
          <w:highlight w:val="none"/>
        </w:rPr>
      </w:pPr>
      <w:r>
        <w:rPr>
          <w:rFonts w:ascii="宋体" w:cs="宋体"/>
          <w:b/>
          <w:sz w:val="44"/>
          <w:szCs w:val="44"/>
          <w:highlight w:val="none"/>
        </w:rPr>
        <w:br w:type="page"/>
      </w:r>
    </w:p>
    <w:bookmarkEnd w:id="2"/>
    <w:p w14:paraId="7BAB3E06">
      <w:pPr>
        <w:pStyle w:val="3"/>
        <w:keepNext w:val="0"/>
        <w:keepLines w:val="0"/>
        <w:pageBreakBefore/>
        <w:spacing w:line="240" w:lineRule="auto"/>
        <w:jc w:val="center"/>
        <w:rPr>
          <w:rFonts w:ascii="宋体" w:hAnsi="宋体" w:cs="宋体"/>
          <w:kern w:val="0"/>
          <w:sz w:val="24"/>
          <w:szCs w:val="24"/>
          <w:highlight w:val="none"/>
        </w:rPr>
      </w:pPr>
      <w:bookmarkStart w:id="4" w:name="第三部分__供应商须知"/>
      <w:bookmarkEnd w:id="4"/>
      <w:bookmarkStart w:id="5" w:name="_bookmark2"/>
      <w:bookmarkEnd w:id="5"/>
      <w:bookmarkStart w:id="6" w:name="_Toc174369993"/>
      <w:r>
        <w:rPr>
          <w:rFonts w:hint="eastAsia" w:ascii="宋体" w:hAnsi="宋体" w:cs="宋体"/>
          <w:sz w:val="24"/>
          <w:szCs w:val="24"/>
          <w:highlight w:val="none"/>
        </w:rPr>
        <w:t>第三章   供应商须知</w:t>
      </w:r>
      <w:bookmarkEnd w:id="6"/>
    </w:p>
    <w:p w14:paraId="6B84FCB7">
      <w:pPr>
        <w:pStyle w:val="23"/>
        <w:snapToGrid w:val="0"/>
        <w:spacing w:before="120" w:after="120"/>
        <w:ind w:firstLine="472" w:firstLineChars="196"/>
        <w:jc w:val="center"/>
        <w:outlineLvl w:val="1"/>
        <w:rPr>
          <w:rFonts w:ascii="宋体" w:hAnsi="宋体" w:cs="宋体"/>
          <w:b/>
          <w:szCs w:val="24"/>
          <w:highlight w:val="none"/>
        </w:rPr>
      </w:pPr>
      <w:bookmarkStart w:id="7" w:name="_Toc174369994"/>
      <w:r>
        <w:rPr>
          <w:rFonts w:hint="eastAsia" w:ascii="宋体" w:hAnsi="宋体" w:cs="宋体"/>
          <w:b/>
          <w:szCs w:val="24"/>
          <w:highlight w:val="none"/>
        </w:rPr>
        <w:t>前附表</w:t>
      </w:r>
      <w:bookmarkEnd w:id="7"/>
    </w:p>
    <w:tbl>
      <w:tblPr>
        <w:tblStyle w:val="39"/>
        <w:tblW w:w="949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0"/>
        <w:gridCol w:w="8743"/>
      </w:tblGrid>
      <w:tr w14:paraId="0B98B4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6C6D6027">
            <w:pPr>
              <w:snapToGrid w:val="0"/>
              <w:spacing w:line="360" w:lineRule="auto"/>
              <w:jc w:val="center"/>
              <w:rPr>
                <w:rFonts w:ascii="宋体" w:hAnsi="宋体" w:cs="宋体"/>
                <w:sz w:val="24"/>
                <w:highlight w:val="none"/>
              </w:rPr>
            </w:pPr>
            <w:r>
              <w:rPr>
                <w:rFonts w:hint="eastAsia" w:ascii="宋体" w:hAnsi="宋体" w:cs="宋体"/>
                <w:sz w:val="24"/>
                <w:highlight w:val="none"/>
              </w:rPr>
              <w:t>序号</w:t>
            </w:r>
          </w:p>
        </w:tc>
        <w:tc>
          <w:tcPr>
            <w:tcW w:w="8743" w:type="dxa"/>
            <w:tcBorders>
              <w:top w:val="single" w:color="auto" w:sz="4" w:space="0"/>
              <w:left w:val="single" w:color="auto" w:sz="4" w:space="0"/>
              <w:bottom w:val="single" w:color="auto" w:sz="4" w:space="0"/>
              <w:right w:val="single" w:color="auto" w:sz="4" w:space="0"/>
            </w:tcBorders>
            <w:vAlign w:val="center"/>
          </w:tcPr>
          <w:p w14:paraId="7090B079">
            <w:pPr>
              <w:snapToGrid w:val="0"/>
              <w:spacing w:line="360" w:lineRule="auto"/>
              <w:jc w:val="center"/>
              <w:rPr>
                <w:rFonts w:ascii="宋体" w:hAnsi="宋体" w:cs="宋体"/>
                <w:sz w:val="24"/>
                <w:highlight w:val="none"/>
              </w:rPr>
            </w:pPr>
            <w:r>
              <w:rPr>
                <w:rFonts w:hint="eastAsia" w:ascii="宋体" w:hAnsi="宋体" w:cs="宋体"/>
                <w:sz w:val="24"/>
                <w:highlight w:val="none"/>
              </w:rPr>
              <w:t>内容、要求</w:t>
            </w:r>
          </w:p>
        </w:tc>
      </w:tr>
      <w:tr w14:paraId="24A07F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77FBD75D">
            <w:pPr>
              <w:snapToGrid w:val="0"/>
              <w:spacing w:line="420" w:lineRule="exact"/>
              <w:ind w:firstLine="240" w:firstLineChars="100"/>
              <w:jc w:val="left"/>
              <w:rPr>
                <w:rFonts w:ascii="宋体" w:hAnsi="宋体" w:cs="宋体"/>
                <w:sz w:val="24"/>
                <w:highlight w:val="none"/>
              </w:rPr>
            </w:pPr>
            <w:r>
              <w:rPr>
                <w:rFonts w:hint="eastAsia" w:ascii="宋体" w:hAnsi="宋体" w:cs="宋体"/>
                <w:sz w:val="24"/>
                <w:highlight w:val="none"/>
              </w:rPr>
              <w:t>1</w:t>
            </w:r>
          </w:p>
        </w:tc>
        <w:tc>
          <w:tcPr>
            <w:tcW w:w="8743" w:type="dxa"/>
            <w:tcBorders>
              <w:top w:val="single" w:color="auto" w:sz="4" w:space="0"/>
              <w:left w:val="single" w:color="auto" w:sz="4" w:space="0"/>
              <w:bottom w:val="single" w:color="auto" w:sz="4" w:space="0"/>
              <w:right w:val="single" w:color="auto" w:sz="4" w:space="0"/>
            </w:tcBorders>
            <w:vAlign w:val="center"/>
          </w:tcPr>
          <w:p w14:paraId="1A86B254">
            <w:pPr>
              <w:snapToGrid w:val="0"/>
              <w:spacing w:line="420" w:lineRule="exact"/>
              <w:jc w:val="left"/>
              <w:rPr>
                <w:rFonts w:ascii="宋体" w:hAnsi="宋体" w:cs="宋体"/>
                <w:b/>
                <w:bCs/>
                <w:sz w:val="24"/>
                <w:highlight w:val="none"/>
              </w:rPr>
            </w:pPr>
            <w:r>
              <w:rPr>
                <w:rFonts w:hint="eastAsia" w:ascii="宋体" w:hAnsi="宋体" w:cs="宋体"/>
                <w:sz w:val="24"/>
                <w:highlight w:val="none"/>
              </w:rPr>
              <w:t>项目名称：</w:t>
            </w:r>
            <w:r>
              <w:rPr>
                <w:rFonts w:hint="eastAsia" w:ascii="宋体" w:hAnsi="宋体" w:cs="宋体"/>
                <w:sz w:val="24"/>
                <w:highlight w:val="none"/>
                <w:lang w:eastAsia="zh-CN"/>
              </w:rPr>
              <w:t>敖溪杭温高铁拆迁安置区市政工程项目</w:t>
            </w:r>
            <w:r>
              <w:rPr>
                <w:rFonts w:hint="eastAsia" w:ascii="宋体" w:hAnsi="宋体" w:cs="宋体"/>
                <w:sz w:val="24"/>
                <w:highlight w:val="none"/>
              </w:rPr>
              <w:t xml:space="preserve"> </w:t>
            </w:r>
          </w:p>
        </w:tc>
      </w:tr>
      <w:tr w14:paraId="30BD6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698A9BEB">
            <w:pPr>
              <w:snapToGrid w:val="0"/>
              <w:spacing w:line="420" w:lineRule="exact"/>
              <w:jc w:val="center"/>
              <w:rPr>
                <w:rFonts w:ascii="宋体" w:hAnsi="宋体" w:cs="宋体"/>
                <w:sz w:val="24"/>
                <w:highlight w:val="none"/>
              </w:rPr>
            </w:pPr>
            <w:r>
              <w:rPr>
                <w:rFonts w:hint="eastAsia" w:ascii="宋体" w:hAnsi="宋体" w:cs="宋体"/>
                <w:sz w:val="24"/>
                <w:highlight w:val="none"/>
              </w:rPr>
              <w:t>2</w:t>
            </w:r>
          </w:p>
        </w:tc>
        <w:tc>
          <w:tcPr>
            <w:tcW w:w="8743" w:type="dxa"/>
            <w:tcBorders>
              <w:top w:val="single" w:color="auto" w:sz="4" w:space="0"/>
              <w:left w:val="single" w:color="auto" w:sz="4" w:space="0"/>
              <w:bottom w:val="single" w:color="auto" w:sz="4" w:space="0"/>
              <w:right w:val="single" w:color="auto" w:sz="4" w:space="0"/>
            </w:tcBorders>
            <w:vAlign w:val="center"/>
          </w:tcPr>
          <w:p w14:paraId="22202E95">
            <w:pPr>
              <w:snapToGrid w:val="0"/>
              <w:spacing w:line="420" w:lineRule="exact"/>
              <w:rPr>
                <w:rFonts w:ascii="宋体" w:hAnsi="宋体" w:cs="宋体"/>
                <w:sz w:val="24"/>
                <w:highlight w:val="none"/>
              </w:rPr>
            </w:pPr>
            <w:r>
              <w:rPr>
                <w:rFonts w:hint="eastAsia" w:ascii="宋体" w:hAnsi="宋体" w:cs="宋体"/>
                <w:sz w:val="24"/>
                <w:highlight w:val="none"/>
              </w:rPr>
              <w:t>磋商报价及费用：1、本项目磋商应以</w:t>
            </w:r>
            <w:r>
              <w:rPr>
                <w:rFonts w:hint="eastAsia" w:ascii="宋体" w:hAnsi="宋体"/>
                <w:sz w:val="24"/>
                <w:highlight w:val="none"/>
              </w:rPr>
              <w:t>人民币</w:t>
            </w:r>
            <w:r>
              <w:rPr>
                <w:rFonts w:hint="eastAsia" w:ascii="宋体" w:hAnsi="宋体" w:cs="宋体"/>
                <w:sz w:val="24"/>
                <w:highlight w:val="none"/>
              </w:rPr>
              <w:t>报价；2、不论磋商结果如何，供应商均应自行承担所有与磋商有关的全部费用；3、磋商费用：</w:t>
            </w:r>
            <w:r>
              <w:rPr>
                <w:rFonts w:hint="eastAsia" w:ascii="宋体" w:hAnsi="宋体" w:cs="宋体"/>
                <w:sz w:val="24"/>
                <w:highlight w:val="none"/>
                <w:lang w:eastAsia="zh-CN"/>
              </w:rPr>
              <w:t>浙江衢州公信工程管理有限公司</w:t>
            </w:r>
            <w:r>
              <w:rPr>
                <w:rFonts w:hint="eastAsia" w:ascii="宋体" w:hAnsi="宋体" w:cs="宋体"/>
                <w:sz w:val="24"/>
                <w:highlight w:val="none"/>
              </w:rPr>
              <w:t>按照本磋商文件总则第（五）条规定向中标人收取中标服务费。</w:t>
            </w:r>
          </w:p>
        </w:tc>
      </w:tr>
      <w:tr w14:paraId="587832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7B257D9C">
            <w:pPr>
              <w:snapToGrid w:val="0"/>
              <w:spacing w:line="420" w:lineRule="exact"/>
              <w:jc w:val="center"/>
              <w:rPr>
                <w:rFonts w:ascii="宋体" w:hAnsi="宋体" w:cs="宋体"/>
                <w:sz w:val="24"/>
                <w:highlight w:val="none"/>
              </w:rPr>
            </w:pPr>
            <w:r>
              <w:rPr>
                <w:rFonts w:hint="eastAsia" w:ascii="宋体" w:hAnsi="宋体" w:cs="宋体"/>
                <w:sz w:val="24"/>
                <w:highlight w:val="none"/>
              </w:rPr>
              <w:t>3</w:t>
            </w:r>
          </w:p>
        </w:tc>
        <w:tc>
          <w:tcPr>
            <w:tcW w:w="8743" w:type="dxa"/>
            <w:tcBorders>
              <w:top w:val="single" w:color="auto" w:sz="4" w:space="0"/>
              <w:left w:val="single" w:color="auto" w:sz="4" w:space="0"/>
              <w:bottom w:val="single" w:color="auto" w:sz="4" w:space="0"/>
              <w:right w:val="single" w:color="auto" w:sz="4" w:space="0"/>
            </w:tcBorders>
            <w:vAlign w:val="center"/>
          </w:tcPr>
          <w:p w14:paraId="4DE0B1BA">
            <w:pPr>
              <w:snapToGrid w:val="0"/>
              <w:spacing w:line="420" w:lineRule="exact"/>
              <w:rPr>
                <w:rFonts w:ascii="宋体" w:hAnsi="宋体" w:cs="宋体"/>
                <w:sz w:val="24"/>
                <w:highlight w:val="none"/>
              </w:rPr>
            </w:pPr>
            <w:r>
              <w:rPr>
                <w:rFonts w:hint="eastAsia" w:ascii="宋体" w:hAnsi="宋体" w:cs="宋体"/>
                <w:b/>
                <w:bCs/>
                <w:sz w:val="24"/>
                <w:highlight w:val="none"/>
              </w:rPr>
              <w:t>根据《政府采购促进中小企业管理办法》及《关于印发中小企业划型标准规定的通知工信部联企业》（〔2011〕300号）有关规定，</w:t>
            </w:r>
            <w:r>
              <w:rPr>
                <w:rFonts w:hint="eastAsia" w:ascii="宋体" w:hAnsi="宋体" w:cs="宋体"/>
                <w:b/>
                <w:bCs/>
                <w:sz w:val="24"/>
                <w:highlight w:val="none"/>
              </w:rPr>
              <w:t>本采购标的对应的所属行业为：建筑类。</w:t>
            </w:r>
          </w:p>
        </w:tc>
      </w:tr>
      <w:tr w14:paraId="4E3288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74CCC92E">
            <w:pPr>
              <w:snapToGrid w:val="0"/>
              <w:spacing w:line="420" w:lineRule="exact"/>
              <w:jc w:val="center"/>
              <w:rPr>
                <w:rFonts w:ascii="宋体" w:hAnsi="宋体" w:cs="宋体"/>
                <w:sz w:val="24"/>
                <w:highlight w:val="none"/>
              </w:rPr>
            </w:pPr>
            <w:r>
              <w:rPr>
                <w:rFonts w:hint="eastAsia" w:ascii="宋体" w:hAnsi="宋体" w:cs="宋体"/>
                <w:sz w:val="24"/>
                <w:highlight w:val="none"/>
              </w:rPr>
              <w:t>4</w:t>
            </w:r>
          </w:p>
        </w:tc>
        <w:tc>
          <w:tcPr>
            <w:tcW w:w="8743" w:type="dxa"/>
            <w:tcBorders>
              <w:top w:val="single" w:color="auto" w:sz="4" w:space="0"/>
              <w:left w:val="single" w:color="auto" w:sz="4" w:space="0"/>
              <w:bottom w:val="single" w:color="auto" w:sz="4" w:space="0"/>
              <w:right w:val="single" w:color="auto" w:sz="4" w:space="0"/>
            </w:tcBorders>
            <w:vAlign w:val="center"/>
          </w:tcPr>
          <w:p w14:paraId="7E049380">
            <w:pPr>
              <w:snapToGrid w:val="0"/>
              <w:spacing w:line="348" w:lineRule="auto"/>
              <w:rPr>
                <w:rFonts w:ascii="宋体" w:hAnsi="宋体" w:cs="宋体"/>
                <w:sz w:val="24"/>
                <w:highlight w:val="none"/>
              </w:rPr>
            </w:pPr>
            <w:r>
              <w:rPr>
                <w:rFonts w:hint="eastAsia" w:ascii="宋体" w:hAnsi="宋体" w:cs="宋体"/>
                <w:sz w:val="24"/>
                <w:highlight w:val="none"/>
              </w:rPr>
              <w:t>根据《关于在政府采购活动中查询及使用信用记录有关问题的通知》财库[2016]125号的规定：</w:t>
            </w:r>
          </w:p>
          <w:p w14:paraId="5876673D">
            <w:pPr>
              <w:snapToGrid w:val="0"/>
              <w:spacing w:line="348" w:lineRule="auto"/>
              <w:rPr>
                <w:rFonts w:ascii="宋体" w:hAnsi="宋体" w:cs="宋体"/>
                <w:sz w:val="24"/>
                <w:highlight w:val="none"/>
              </w:rPr>
            </w:pPr>
            <w:r>
              <w:rPr>
                <w:rFonts w:hint="eastAsia" w:ascii="宋体" w:hAnsi="宋体" w:cs="宋体"/>
                <w:sz w:val="24"/>
                <w:highlight w:val="none"/>
              </w:rPr>
              <w:t>（1）采购人或采购代理机构将对本项目供应商的信用记录进行查询。查询渠道为信用中国网站（www.creditchina.gov.cn）、中国政府采购网（www.ccgp.gov.cn）；</w:t>
            </w:r>
          </w:p>
          <w:p w14:paraId="6BD3F8CB">
            <w:pPr>
              <w:snapToGrid w:val="0"/>
              <w:spacing w:line="348" w:lineRule="auto"/>
              <w:rPr>
                <w:rFonts w:ascii="宋体" w:hAnsi="宋体" w:cs="宋体"/>
                <w:sz w:val="24"/>
                <w:highlight w:val="none"/>
              </w:rPr>
            </w:pPr>
            <w:r>
              <w:rPr>
                <w:rFonts w:hint="eastAsia" w:ascii="宋体" w:hAnsi="宋体" w:cs="宋体"/>
                <w:sz w:val="24"/>
                <w:highlight w:val="none"/>
              </w:rPr>
              <w:t>（2）截止时点：提交投标文件（响应文件）截止时间前3年内；</w:t>
            </w:r>
          </w:p>
          <w:p w14:paraId="2A0A7F90">
            <w:pPr>
              <w:snapToGrid w:val="0"/>
              <w:spacing w:line="348" w:lineRule="auto"/>
              <w:rPr>
                <w:rFonts w:ascii="宋体" w:hAnsi="宋体" w:cs="宋体"/>
                <w:sz w:val="24"/>
                <w:highlight w:val="none"/>
              </w:rPr>
            </w:pPr>
            <w:r>
              <w:rPr>
                <w:rFonts w:hint="eastAsia" w:ascii="宋体" w:hAnsi="宋体" w:cs="宋体"/>
                <w:sz w:val="24"/>
                <w:highlight w:val="none"/>
              </w:rPr>
              <w:t>（3）查询记录和证据的留存：信用信息查询记录和证据以网页截图等方式留存。</w:t>
            </w:r>
          </w:p>
          <w:p w14:paraId="4996F940">
            <w:pPr>
              <w:snapToGrid w:val="0"/>
              <w:spacing w:line="348" w:lineRule="auto"/>
              <w:rPr>
                <w:rFonts w:ascii="宋体" w:hAnsi="宋体" w:cs="宋体"/>
                <w:sz w:val="24"/>
                <w:highlight w:val="none"/>
              </w:rPr>
            </w:pPr>
            <w:r>
              <w:rPr>
                <w:rFonts w:hint="eastAsia" w:ascii="宋体" w:hAnsi="宋体" w:cs="宋体"/>
                <w:sz w:val="24"/>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4839C0E1">
            <w:pPr>
              <w:snapToGrid w:val="0"/>
              <w:spacing w:line="420" w:lineRule="exact"/>
              <w:rPr>
                <w:rFonts w:ascii="宋体" w:hAnsi="宋体" w:cs="宋体"/>
                <w:sz w:val="24"/>
                <w:highlight w:val="none"/>
              </w:rPr>
            </w:pPr>
            <w:r>
              <w:rPr>
                <w:rFonts w:hint="eastAsia" w:ascii="宋体" w:hAnsi="宋体" w:cs="宋体"/>
                <w:sz w:val="24"/>
                <w:highlight w:val="none"/>
              </w:rPr>
              <w:t>（5）联合体成员任意一方存在不良信用记录的，视同联合体存在不良信用记录。</w:t>
            </w:r>
          </w:p>
        </w:tc>
      </w:tr>
      <w:tr w14:paraId="1D1310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33"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6DACA2CD">
            <w:pPr>
              <w:snapToGrid w:val="0"/>
              <w:spacing w:line="420" w:lineRule="exact"/>
              <w:jc w:val="center"/>
              <w:rPr>
                <w:rFonts w:ascii="宋体" w:hAnsi="宋体" w:cs="宋体"/>
                <w:sz w:val="24"/>
                <w:highlight w:val="none"/>
              </w:rPr>
            </w:pPr>
            <w:r>
              <w:rPr>
                <w:rFonts w:hint="eastAsia" w:ascii="宋体" w:hAnsi="宋体" w:cs="宋体"/>
                <w:sz w:val="24"/>
                <w:highlight w:val="none"/>
              </w:rPr>
              <w:t>5</w:t>
            </w:r>
          </w:p>
        </w:tc>
        <w:tc>
          <w:tcPr>
            <w:tcW w:w="8743" w:type="dxa"/>
            <w:tcBorders>
              <w:top w:val="single" w:color="auto" w:sz="4" w:space="0"/>
              <w:left w:val="single" w:color="auto" w:sz="4" w:space="0"/>
              <w:bottom w:val="single" w:color="auto" w:sz="4" w:space="0"/>
              <w:right w:val="single" w:color="auto" w:sz="4" w:space="0"/>
            </w:tcBorders>
            <w:vAlign w:val="center"/>
          </w:tcPr>
          <w:p w14:paraId="13E5274E">
            <w:pPr>
              <w:snapToGrid w:val="0"/>
              <w:spacing w:line="420" w:lineRule="exact"/>
              <w:rPr>
                <w:rFonts w:ascii="宋体" w:hAnsi="宋体" w:cs="宋体"/>
                <w:sz w:val="24"/>
                <w:highlight w:val="none"/>
              </w:rPr>
            </w:pPr>
            <w:r>
              <w:rPr>
                <w:rFonts w:hint="eastAsia" w:ascii="宋体" w:hAnsi="宋体" w:cs="宋体"/>
                <w:sz w:val="24"/>
                <w:highlight w:val="none"/>
              </w:rPr>
              <w:t>答疑与澄清：供应商如认为磋商文件表述不清晰、存在歧视性、排他性或者其他违法内容的，应当按照磋商公告第三、八条规定以书面形式要求招标方作出书面解释、澄清或者向招标方提出书面质疑；</w:t>
            </w:r>
            <w:r>
              <w:rPr>
                <w:rFonts w:hint="eastAsia" w:ascii="宋体" w:hAnsi="宋体" w:cs="宋体"/>
                <w:b/>
                <w:sz w:val="24"/>
                <w:highlight w:val="none"/>
              </w:rPr>
              <w:t>在质疑截止时间前，未对磋商文件提出质疑时，视供应商对磋商文件的默认；</w:t>
            </w:r>
            <w:r>
              <w:rPr>
                <w:rFonts w:hint="eastAsia" w:ascii="宋体" w:hAnsi="宋体" w:cs="宋体"/>
                <w:sz w:val="24"/>
                <w:highlight w:val="none"/>
              </w:rPr>
              <w:t>招标采购单位对已发出的磋商文件进行必要澄清、答复、修改或者补充的，在财政部门指定的政府采购信息发布媒体上发布更正公告，并以书面形式通知所有已获取磋商文件的供应商；答疑内容是磋商文件的组成部分；澄清或者修改的内容可能影响磋商响应文件编制的，应当在磋商截止时间至少5日前，以书面形式通知所有获取磋商文件的潜在供应商；不足5日的，顺延提交磋商响应文件的截止时间。</w:t>
            </w:r>
          </w:p>
        </w:tc>
      </w:tr>
      <w:tr w14:paraId="3FB6E6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625D6158">
            <w:pPr>
              <w:snapToGrid w:val="0"/>
              <w:spacing w:line="420" w:lineRule="exact"/>
              <w:jc w:val="center"/>
              <w:rPr>
                <w:rFonts w:ascii="宋体" w:hAnsi="宋体" w:cs="宋体"/>
                <w:sz w:val="24"/>
                <w:highlight w:val="none"/>
              </w:rPr>
            </w:pPr>
            <w:r>
              <w:rPr>
                <w:rFonts w:hint="eastAsia" w:ascii="宋体" w:hAnsi="宋体" w:cs="宋体"/>
                <w:sz w:val="24"/>
                <w:highlight w:val="none"/>
              </w:rPr>
              <w:t>6</w:t>
            </w:r>
          </w:p>
        </w:tc>
        <w:tc>
          <w:tcPr>
            <w:tcW w:w="8743" w:type="dxa"/>
            <w:tcBorders>
              <w:top w:val="single" w:color="auto" w:sz="4" w:space="0"/>
              <w:left w:val="single" w:color="auto" w:sz="4" w:space="0"/>
              <w:bottom w:val="single" w:color="auto" w:sz="4" w:space="0"/>
              <w:right w:val="single" w:color="auto" w:sz="4" w:space="0"/>
            </w:tcBorders>
            <w:vAlign w:val="center"/>
          </w:tcPr>
          <w:p w14:paraId="4CD5EA19">
            <w:pPr>
              <w:autoSpaceDE w:val="0"/>
              <w:autoSpaceDN w:val="0"/>
              <w:snapToGrid w:val="0"/>
              <w:spacing w:line="420" w:lineRule="exact"/>
              <w:textAlignment w:val="bottom"/>
              <w:rPr>
                <w:rFonts w:ascii="宋体" w:hAnsi="宋体" w:cs="宋体"/>
                <w:sz w:val="24"/>
                <w:highlight w:val="none"/>
              </w:rPr>
            </w:pPr>
            <w:r>
              <w:rPr>
                <w:rFonts w:hint="eastAsia" w:ascii="宋体" w:hAnsi="宋体" w:cs="宋体"/>
                <w:sz w:val="24"/>
                <w:highlight w:val="none"/>
              </w:rPr>
              <w:t>磋商响应文件的递交：</w:t>
            </w:r>
          </w:p>
          <w:p w14:paraId="53CB9AB1">
            <w:pPr>
              <w:autoSpaceDE w:val="0"/>
              <w:autoSpaceDN w:val="0"/>
              <w:snapToGrid w:val="0"/>
              <w:spacing w:line="420" w:lineRule="exact"/>
              <w:textAlignment w:val="bottom"/>
              <w:rPr>
                <w:rFonts w:ascii="宋体" w:hAnsi="宋体" w:cs="宋体"/>
                <w:sz w:val="24"/>
                <w:highlight w:val="none"/>
              </w:rPr>
            </w:pPr>
            <w:r>
              <w:rPr>
                <w:rFonts w:hint="eastAsia" w:ascii="宋体" w:hAnsi="宋体" w:cs="宋体"/>
                <w:sz w:val="24"/>
                <w:highlight w:val="none"/>
              </w:rPr>
              <w:t>本项目磋商响应文件由资格审查文件、商务技术文件和报价文件三部分组成。供应商应按以下方式递交磋商响应文件：</w:t>
            </w:r>
          </w:p>
          <w:p w14:paraId="1B9AA1FE">
            <w:pPr>
              <w:autoSpaceDE w:val="0"/>
              <w:autoSpaceDN w:val="0"/>
              <w:snapToGrid w:val="0"/>
              <w:spacing w:line="420" w:lineRule="exact"/>
              <w:textAlignment w:val="bottom"/>
              <w:rPr>
                <w:rFonts w:ascii="宋体" w:hAnsi="宋体" w:cs="宋体"/>
                <w:sz w:val="24"/>
                <w:highlight w:val="none"/>
              </w:rPr>
            </w:pPr>
            <w:r>
              <w:rPr>
                <w:rFonts w:hint="eastAsia" w:ascii="宋体" w:hAnsi="宋体" w:cs="宋体"/>
                <w:sz w:val="24"/>
                <w:highlight w:val="none"/>
              </w:rPr>
              <w:t>▲1、本项目实行“网上磋商、电子评标”，供应商应于磋商截止时间前在“政采云”（电子交易平台）上传输、递交电子版磋商响应文件（包括资格审查文件、商务技术文件和报价文件）；</w:t>
            </w:r>
          </w:p>
          <w:p w14:paraId="6CE9BD93">
            <w:pPr>
              <w:autoSpaceDE w:val="0"/>
              <w:autoSpaceDN w:val="0"/>
              <w:snapToGrid w:val="0"/>
              <w:spacing w:line="420" w:lineRule="exact"/>
              <w:textAlignment w:val="bottom"/>
              <w:rPr>
                <w:rFonts w:ascii="宋体" w:hAnsi="宋体" w:cs="宋体"/>
                <w:sz w:val="24"/>
                <w:highlight w:val="none"/>
              </w:rPr>
            </w:pPr>
            <w:r>
              <w:rPr>
                <w:rFonts w:hint="eastAsia" w:ascii="宋体" w:hAnsi="宋体" w:cs="宋体"/>
                <w:sz w:val="24"/>
                <w:highlight w:val="none"/>
              </w:rPr>
              <w:t>2、为了避免由于电子交易平台无法正常运行等技术、安全故障原因造成磋商响应文件无法解密或解密失败，导致磋商无效的情况，供应商可以在磋商截止时间前将电子备份磋商响应文件（经政采云电子交易客户端和CA驱动制作出的后缀名为“bfbs”的加密电子备份磋商响应文件）发送至</w:t>
            </w:r>
            <w:r>
              <w:rPr>
                <w:rFonts w:hint="eastAsia" w:ascii="宋体" w:hAnsi="宋体" w:cs="宋体"/>
                <w:sz w:val="24"/>
                <w:highlight w:val="none"/>
                <w:lang w:eastAsia="zh-CN"/>
              </w:rPr>
              <w:t>浙江衢州公信工程管理有限公司</w:t>
            </w:r>
            <w:r>
              <w:rPr>
                <w:rFonts w:hint="eastAsia" w:ascii="宋体" w:hAnsi="宋体" w:cs="宋体"/>
                <w:sz w:val="24"/>
                <w:highlight w:val="none"/>
              </w:rPr>
              <w:t>邮箱：</w:t>
            </w:r>
            <w:r>
              <w:rPr>
                <w:rFonts w:hint="eastAsia" w:ascii="宋体" w:hAnsi="宋体" w:cs="宋体"/>
                <w:sz w:val="24"/>
                <w:highlight w:val="none"/>
                <w:lang w:eastAsia="zh-CN"/>
              </w:rPr>
              <w:t>477628472@qq.com</w:t>
            </w:r>
            <w:r>
              <w:rPr>
                <w:rFonts w:hint="eastAsia" w:ascii="宋体" w:hAnsi="宋体" w:cs="宋体"/>
                <w:sz w:val="24"/>
                <w:highlight w:val="none"/>
              </w:rPr>
              <w:t>，逾期发送或发错后缀名的备份磋商响应文件将被视为无效；</w:t>
            </w:r>
          </w:p>
          <w:p w14:paraId="338897A5">
            <w:pPr>
              <w:autoSpaceDE w:val="0"/>
              <w:autoSpaceDN w:val="0"/>
              <w:snapToGrid w:val="0"/>
              <w:spacing w:line="420" w:lineRule="exact"/>
              <w:textAlignment w:val="bottom"/>
              <w:rPr>
                <w:rFonts w:ascii="宋体" w:hAnsi="宋体" w:cs="宋体"/>
                <w:sz w:val="24"/>
                <w:highlight w:val="none"/>
              </w:rPr>
            </w:pPr>
            <w:r>
              <w:rPr>
                <w:rFonts w:hint="eastAsia" w:ascii="宋体" w:hAnsi="宋体" w:cs="宋体"/>
                <w:sz w:val="24"/>
                <w:highlight w:val="none"/>
              </w:rPr>
              <w:t>3、供应商仅提交电子备份磋商响应文件的，磋商无效；</w:t>
            </w:r>
          </w:p>
          <w:p w14:paraId="68C1BAF0">
            <w:pPr>
              <w:autoSpaceDE w:val="0"/>
              <w:autoSpaceDN w:val="0"/>
              <w:snapToGrid w:val="0"/>
              <w:spacing w:line="420" w:lineRule="exact"/>
              <w:textAlignment w:val="bottom"/>
              <w:rPr>
                <w:rFonts w:ascii="宋体" w:hAnsi="宋体" w:cs="宋体"/>
                <w:sz w:val="24"/>
                <w:highlight w:val="none"/>
              </w:rPr>
            </w:pPr>
            <w:r>
              <w:rPr>
                <w:rFonts w:hint="eastAsia" w:ascii="宋体" w:hAnsi="宋体" w:cs="宋体"/>
                <w:sz w:val="24"/>
                <w:highlight w:val="none"/>
              </w:rPr>
              <w:t>4、本项目不强制供应商提交电子备份磋商响应文件；如在开评标时出现电子磋商响应文件无法解密或解密失败等情况，因供应商未提供电子备份磋商响应文件而造成磋商无效等一切后果和风险由供应商自行承担。</w:t>
            </w:r>
          </w:p>
        </w:tc>
      </w:tr>
      <w:tr w14:paraId="6B5865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4"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586777B5">
            <w:pPr>
              <w:snapToGrid w:val="0"/>
              <w:spacing w:line="420" w:lineRule="exact"/>
              <w:jc w:val="center"/>
              <w:rPr>
                <w:rFonts w:ascii="宋体" w:hAnsi="宋体" w:cs="宋体"/>
                <w:sz w:val="24"/>
                <w:highlight w:val="none"/>
              </w:rPr>
            </w:pPr>
            <w:r>
              <w:rPr>
                <w:rFonts w:hint="eastAsia" w:ascii="宋体" w:hAnsi="宋体" w:cs="宋体"/>
                <w:sz w:val="24"/>
                <w:highlight w:val="none"/>
              </w:rPr>
              <w:t>7</w:t>
            </w:r>
          </w:p>
        </w:tc>
        <w:tc>
          <w:tcPr>
            <w:tcW w:w="8743" w:type="dxa"/>
            <w:tcBorders>
              <w:top w:val="single" w:color="auto" w:sz="4" w:space="0"/>
              <w:left w:val="single" w:color="auto" w:sz="4" w:space="0"/>
              <w:bottom w:val="single" w:color="auto" w:sz="4" w:space="0"/>
              <w:right w:val="single" w:color="auto" w:sz="4" w:space="0"/>
            </w:tcBorders>
            <w:vAlign w:val="center"/>
          </w:tcPr>
          <w:p w14:paraId="746DCD88">
            <w:pPr>
              <w:snapToGrid w:val="0"/>
              <w:spacing w:line="420" w:lineRule="exact"/>
              <w:rPr>
                <w:rFonts w:ascii="宋体" w:hAnsi="宋体" w:cs="宋体"/>
                <w:bCs/>
                <w:sz w:val="24"/>
                <w:highlight w:val="none"/>
                <w:u w:val="single"/>
              </w:rPr>
            </w:pPr>
            <w:r>
              <w:rPr>
                <w:rFonts w:hint="eastAsia" w:ascii="宋体" w:hAnsi="宋体" w:cs="宋体"/>
                <w:bCs/>
                <w:sz w:val="24"/>
                <w:highlight w:val="none"/>
              </w:rPr>
              <w:t>磋商截止时间：</w:t>
            </w:r>
            <w:r>
              <w:rPr>
                <w:rFonts w:hint="eastAsia" w:ascii="宋体" w:hAnsi="宋体" w:cs="宋体"/>
                <w:sz w:val="24"/>
                <w:highlight w:val="none"/>
              </w:rPr>
              <w:t>2024年</w:t>
            </w:r>
            <w:r>
              <w:rPr>
                <w:rFonts w:hint="eastAsia" w:ascii="宋体" w:hAnsi="宋体" w:cs="宋体"/>
                <w:sz w:val="24"/>
                <w:highlight w:val="none"/>
                <w:lang w:val="en-US" w:eastAsia="zh-CN"/>
              </w:rPr>
              <w:t>10</w:t>
            </w:r>
            <w:r>
              <w:rPr>
                <w:rFonts w:hint="eastAsia" w:ascii="宋体" w:hAnsi="宋体" w:cs="宋体"/>
                <w:sz w:val="24"/>
                <w:highlight w:val="none"/>
              </w:rPr>
              <w:t>月</w:t>
            </w:r>
            <w:r>
              <w:rPr>
                <w:rFonts w:hint="eastAsia" w:ascii="宋体" w:hAnsi="宋体" w:cs="宋体"/>
                <w:sz w:val="24"/>
                <w:highlight w:val="none"/>
                <w:lang w:val="en-US" w:eastAsia="zh-CN"/>
              </w:rPr>
              <w:t>28</w:t>
            </w:r>
            <w:r>
              <w:rPr>
                <w:rFonts w:hint="eastAsia" w:ascii="宋体" w:hAnsi="宋体" w:cs="宋体"/>
                <w:sz w:val="24"/>
                <w:highlight w:val="none"/>
              </w:rPr>
              <w:t>日1</w:t>
            </w:r>
            <w:r>
              <w:rPr>
                <w:rFonts w:hint="eastAsia" w:ascii="宋体" w:hAnsi="宋体" w:cs="宋体"/>
                <w:sz w:val="24"/>
                <w:highlight w:val="none"/>
                <w:lang w:val="en-US" w:eastAsia="zh-CN"/>
              </w:rPr>
              <w:t>3</w:t>
            </w:r>
            <w:r>
              <w:rPr>
                <w:rFonts w:hint="eastAsia" w:ascii="宋体" w:hAnsi="宋体" w:cs="宋体"/>
                <w:sz w:val="24"/>
                <w:highlight w:val="none"/>
              </w:rPr>
              <w:t>时</w:t>
            </w:r>
            <w:r>
              <w:rPr>
                <w:rFonts w:hint="eastAsia" w:ascii="宋体" w:hAnsi="宋体" w:cs="宋体"/>
                <w:sz w:val="24"/>
                <w:highlight w:val="none"/>
                <w:lang w:val="en-US" w:eastAsia="zh-CN"/>
              </w:rPr>
              <w:t>3</w:t>
            </w:r>
            <w:r>
              <w:rPr>
                <w:rFonts w:hint="eastAsia" w:ascii="宋体" w:hAnsi="宋体" w:cs="宋体"/>
                <w:sz w:val="24"/>
                <w:highlight w:val="none"/>
              </w:rPr>
              <w:t>0分</w:t>
            </w:r>
          </w:p>
          <w:p w14:paraId="1E668D85">
            <w:pPr>
              <w:pStyle w:val="23"/>
              <w:spacing w:line="420" w:lineRule="exact"/>
              <w:rPr>
                <w:rFonts w:ascii="宋体" w:hAnsi="宋体" w:cs="宋体"/>
                <w:bCs/>
                <w:szCs w:val="24"/>
                <w:highlight w:val="none"/>
              </w:rPr>
            </w:pPr>
            <w:r>
              <w:rPr>
                <w:rFonts w:hint="eastAsia" w:ascii="宋体" w:hAnsi="宋体" w:cs="宋体"/>
                <w:bCs/>
                <w:szCs w:val="24"/>
                <w:highlight w:val="none"/>
              </w:rPr>
              <w:t>1、供应商应当在磋商截止时间前在“政采云”（电子交易平台）上自行上传加密的电子磋商响应文件。磋商截止时间前未完成传输的，视为撤回电子磋商响应文件。磋商截止时间后递交的电子磋商响应文件，将被政采云平台拒收。</w:t>
            </w:r>
          </w:p>
          <w:p w14:paraId="3033674F">
            <w:pPr>
              <w:snapToGrid w:val="0"/>
              <w:spacing w:line="420" w:lineRule="exact"/>
              <w:rPr>
                <w:rFonts w:ascii="宋体" w:hAnsi="宋体" w:cs="宋体"/>
                <w:bCs/>
                <w:sz w:val="24"/>
                <w:highlight w:val="none"/>
              </w:rPr>
            </w:pPr>
            <w:r>
              <w:rPr>
                <w:rFonts w:hint="eastAsia" w:ascii="宋体" w:hAnsi="宋体" w:cs="宋体"/>
                <w:bCs/>
                <w:sz w:val="24"/>
                <w:highlight w:val="none"/>
              </w:rPr>
              <w:t>2、电子备份磋商响应文件的递交时间：供应商应当在磋商截止时间前，逾期未递交的视为自动放弃。</w:t>
            </w:r>
          </w:p>
          <w:p w14:paraId="3DE5CF68">
            <w:pPr>
              <w:pStyle w:val="23"/>
              <w:spacing w:line="420" w:lineRule="exact"/>
              <w:rPr>
                <w:rFonts w:ascii="宋体" w:hAnsi="宋体" w:cs="宋体"/>
                <w:szCs w:val="24"/>
                <w:highlight w:val="none"/>
              </w:rPr>
            </w:pPr>
            <w:r>
              <w:rPr>
                <w:rFonts w:hint="eastAsia" w:ascii="宋体" w:hAnsi="宋体" w:cs="宋体"/>
                <w:bCs/>
                <w:szCs w:val="24"/>
                <w:highlight w:val="none"/>
              </w:rPr>
              <w:t>3、供应商应当在磋商截止时间前完成磋商准备事宜（应具备上网的技术条件并保持网络及联系方式畅通）及电子磋商响应文件的传输递交，可以补充、修改或者撤回电子磋商响应文件。补充或者修改电子磋商响应文件的，应当先行撤回原文件，补充、修改后重新传输递交。</w:t>
            </w:r>
          </w:p>
        </w:tc>
      </w:tr>
      <w:tr w14:paraId="7EC8CC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44AF712E">
            <w:pPr>
              <w:snapToGrid w:val="0"/>
              <w:spacing w:line="420" w:lineRule="exact"/>
              <w:jc w:val="center"/>
              <w:rPr>
                <w:rFonts w:ascii="宋体" w:hAnsi="宋体" w:cs="宋体"/>
                <w:sz w:val="24"/>
                <w:highlight w:val="none"/>
              </w:rPr>
            </w:pPr>
            <w:r>
              <w:rPr>
                <w:rFonts w:hint="eastAsia" w:ascii="宋体" w:hAnsi="宋体" w:cs="宋体"/>
                <w:sz w:val="24"/>
                <w:highlight w:val="none"/>
              </w:rPr>
              <w:t>8</w:t>
            </w:r>
          </w:p>
        </w:tc>
        <w:tc>
          <w:tcPr>
            <w:tcW w:w="8743" w:type="dxa"/>
            <w:tcBorders>
              <w:top w:val="single" w:color="auto" w:sz="4" w:space="0"/>
              <w:left w:val="single" w:color="auto" w:sz="4" w:space="0"/>
              <w:bottom w:val="single" w:color="auto" w:sz="4" w:space="0"/>
              <w:right w:val="single" w:color="auto" w:sz="4" w:space="0"/>
            </w:tcBorders>
            <w:vAlign w:val="center"/>
          </w:tcPr>
          <w:p w14:paraId="6544DC54">
            <w:pPr>
              <w:snapToGrid w:val="0"/>
              <w:spacing w:line="420" w:lineRule="exact"/>
              <w:rPr>
                <w:rFonts w:ascii="宋体" w:hAnsi="宋体" w:cs="宋体"/>
                <w:sz w:val="24"/>
                <w:highlight w:val="none"/>
              </w:rPr>
            </w:pPr>
            <w:r>
              <w:rPr>
                <w:rFonts w:hint="eastAsia" w:ascii="宋体" w:hAnsi="宋体" w:cs="宋体"/>
                <w:sz w:val="24"/>
                <w:highlight w:val="none"/>
              </w:rPr>
              <w:t>开标时间：2024年</w:t>
            </w:r>
            <w:r>
              <w:rPr>
                <w:rFonts w:hint="eastAsia" w:ascii="宋体" w:hAnsi="宋体" w:cs="宋体"/>
                <w:sz w:val="24"/>
                <w:highlight w:val="none"/>
                <w:lang w:val="en-US" w:eastAsia="zh-CN"/>
              </w:rPr>
              <w:t>10</w:t>
            </w:r>
            <w:r>
              <w:rPr>
                <w:rFonts w:hint="eastAsia" w:ascii="宋体" w:hAnsi="宋体" w:cs="宋体"/>
                <w:sz w:val="24"/>
                <w:highlight w:val="none"/>
              </w:rPr>
              <w:t>月</w:t>
            </w:r>
            <w:r>
              <w:rPr>
                <w:rFonts w:hint="eastAsia" w:ascii="宋体" w:hAnsi="宋体" w:cs="宋体"/>
                <w:sz w:val="24"/>
                <w:highlight w:val="none"/>
                <w:lang w:val="en-US" w:eastAsia="zh-CN"/>
              </w:rPr>
              <w:t>28</w:t>
            </w:r>
            <w:r>
              <w:rPr>
                <w:rFonts w:hint="eastAsia" w:ascii="宋体" w:hAnsi="宋体" w:cs="宋体"/>
                <w:sz w:val="24"/>
                <w:highlight w:val="none"/>
              </w:rPr>
              <w:t>日1</w:t>
            </w:r>
            <w:r>
              <w:rPr>
                <w:rFonts w:hint="eastAsia" w:ascii="宋体" w:hAnsi="宋体" w:cs="宋体"/>
                <w:sz w:val="24"/>
                <w:highlight w:val="none"/>
                <w:lang w:val="en-US" w:eastAsia="zh-CN"/>
              </w:rPr>
              <w:t>3</w:t>
            </w:r>
            <w:r>
              <w:rPr>
                <w:rFonts w:hint="eastAsia" w:ascii="宋体" w:hAnsi="宋体" w:cs="宋体"/>
                <w:sz w:val="24"/>
                <w:highlight w:val="none"/>
              </w:rPr>
              <w:t>时</w:t>
            </w:r>
            <w:r>
              <w:rPr>
                <w:rFonts w:hint="eastAsia" w:ascii="宋体" w:hAnsi="宋体" w:cs="宋体"/>
                <w:sz w:val="24"/>
                <w:highlight w:val="none"/>
                <w:lang w:val="en-US" w:eastAsia="zh-CN"/>
              </w:rPr>
              <w:t>3</w:t>
            </w:r>
            <w:r>
              <w:rPr>
                <w:rFonts w:hint="eastAsia" w:ascii="宋体" w:hAnsi="宋体" w:cs="宋体"/>
                <w:sz w:val="24"/>
                <w:highlight w:val="none"/>
              </w:rPr>
              <w:t>0分</w:t>
            </w:r>
          </w:p>
          <w:p w14:paraId="7276C08D">
            <w:pPr>
              <w:snapToGrid w:val="0"/>
              <w:spacing w:line="420" w:lineRule="exact"/>
              <w:ind w:firstLine="480" w:firstLineChars="200"/>
              <w:rPr>
                <w:rFonts w:ascii="宋体" w:hAnsi="宋体" w:cs="宋体"/>
                <w:sz w:val="24"/>
                <w:highlight w:val="none"/>
              </w:rPr>
            </w:pPr>
            <w:r>
              <w:rPr>
                <w:rFonts w:hint="eastAsia" w:ascii="宋体" w:hAnsi="宋体" w:cs="宋体"/>
                <w:sz w:val="24"/>
                <w:highlight w:val="none"/>
              </w:rPr>
              <w:t>本项目不要求供应商到开标现场开标，但供应商应派法定代表人或委托代理人【委托代理人应当是供应商的在职正式职工（以供应商本单位缴纳社保花名册为准）】准时在线出席电子开标会议，随时关注开标进度，如在开标过程中有电子询标，应在规定的时间内对电子询标函进行澄清回复。</w:t>
            </w:r>
          </w:p>
          <w:p w14:paraId="275836F1">
            <w:pPr>
              <w:snapToGrid w:val="0"/>
              <w:spacing w:line="420" w:lineRule="exact"/>
              <w:ind w:firstLine="480" w:firstLineChars="200"/>
              <w:rPr>
                <w:rFonts w:ascii="宋体" w:hAnsi="宋体" w:cs="宋体"/>
                <w:sz w:val="24"/>
                <w:highlight w:val="none"/>
              </w:rPr>
            </w:pPr>
            <w:r>
              <w:rPr>
                <w:rFonts w:hint="eastAsia" w:ascii="宋体" w:hAnsi="宋体" w:cs="宋体"/>
                <w:sz w:val="24"/>
                <w:highlight w:val="none"/>
              </w:rPr>
              <w:t>截止开标时间，政采云（电子交易平台）自动提取所有磋商响应文件，供应商须在开标时间截止后30分钟内对上传政采云的磋商响应文件进行解密，所有供应商在规定的解密时限内解密完成或解密时限到后，采购代理机构开启磋商响应文件；供应商超过解密时限的，系统默认自动放弃。</w:t>
            </w:r>
          </w:p>
        </w:tc>
      </w:tr>
      <w:tr w14:paraId="34450F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5B31F1B5">
            <w:pPr>
              <w:snapToGrid w:val="0"/>
              <w:spacing w:line="420" w:lineRule="exact"/>
              <w:jc w:val="center"/>
              <w:rPr>
                <w:rFonts w:ascii="宋体" w:hAnsi="宋体" w:cs="宋体"/>
                <w:sz w:val="24"/>
                <w:highlight w:val="none"/>
              </w:rPr>
            </w:pPr>
            <w:r>
              <w:rPr>
                <w:rFonts w:hint="eastAsia" w:ascii="宋体" w:hAnsi="宋体" w:cs="宋体"/>
                <w:sz w:val="24"/>
                <w:highlight w:val="none"/>
              </w:rPr>
              <w:t>9</w:t>
            </w:r>
          </w:p>
        </w:tc>
        <w:tc>
          <w:tcPr>
            <w:tcW w:w="8743" w:type="dxa"/>
            <w:tcBorders>
              <w:top w:val="single" w:color="auto" w:sz="4" w:space="0"/>
              <w:left w:val="single" w:color="auto" w:sz="4" w:space="0"/>
              <w:bottom w:val="single" w:color="auto" w:sz="4" w:space="0"/>
              <w:right w:val="single" w:color="auto" w:sz="4" w:space="0"/>
            </w:tcBorders>
            <w:vAlign w:val="center"/>
          </w:tcPr>
          <w:p w14:paraId="043CB118">
            <w:pPr>
              <w:autoSpaceDE w:val="0"/>
              <w:autoSpaceDN w:val="0"/>
              <w:snapToGrid w:val="0"/>
              <w:spacing w:line="420" w:lineRule="exact"/>
              <w:textAlignment w:val="bottom"/>
              <w:rPr>
                <w:rFonts w:ascii="宋体" w:hAnsi="宋体" w:cs="宋体"/>
                <w:sz w:val="24"/>
                <w:highlight w:val="none"/>
              </w:rPr>
            </w:pPr>
            <w:r>
              <w:rPr>
                <w:rFonts w:hint="eastAsia" w:ascii="宋体" w:hAnsi="宋体" w:cs="宋体"/>
                <w:b/>
                <w:bCs/>
                <w:sz w:val="24"/>
                <w:highlight w:val="none"/>
              </w:rPr>
              <w:t>磋商办法：综合评分法（其中报价分为两轮）</w:t>
            </w:r>
          </w:p>
        </w:tc>
      </w:tr>
      <w:tr w14:paraId="64E21D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338642DA">
            <w:pPr>
              <w:snapToGrid w:val="0"/>
              <w:spacing w:line="420" w:lineRule="exact"/>
              <w:jc w:val="center"/>
              <w:rPr>
                <w:rFonts w:ascii="宋体" w:hAnsi="宋体" w:cs="宋体"/>
                <w:sz w:val="24"/>
                <w:highlight w:val="none"/>
              </w:rPr>
            </w:pPr>
            <w:r>
              <w:rPr>
                <w:rFonts w:hint="eastAsia" w:ascii="宋体" w:hAnsi="宋体" w:cs="宋体"/>
                <w:sz w:val="24"/>
                <w:highlight w:val="none"/>
              </w:rPr>
              <w:t>10</w:t>
            </w:r>
          </w:p>
        </w:tc>
        <w:tc>
          <w:tcPr>
            <w:tcW w:w="8743" w:type="dxa"/>
            <w:tcBorders>
              <w:top w:val="single" w:color="auto" w:sz="4" w:space="0"/>
              <w:left w:val="single" w:color="auto" w:sz="4" w:space="0"/>
              <w:bottom w:val="single" w:color="auto" w:sz="4" w:space="0"/>
              <w:right w:val="single" w:color="auto" w:sz="4" w:space="0"/>
            </w:tcBorders>
            <w:vAlign w:val="center"/>
          </w:tcPr>
          <w:p w14:paraId="2C376A9E">
            <w:pPr>
              <w:autoSpaceDE w:val="0"/>
              <w:autoSpaceDN w:val="0"/>
              <w:snapToGrid w:val="0"/>
              <w:spacing w:line="420" w:lineRule="exact"/>
              <w:textAlignment w:val="bottom"/>
              <w:rPr>
                <w:rFonts w:ascii="宋体" w:hAnsi="宋体" w:cs="宋体"/>
                <w:sz w:val="24"/>
                <w:highlight w:val="none"/>
              </w:rPr>
            </w:pPr>
            <w:bookmarkStart w:id="8" w:name="_Toc457480905"/>
            <w:r>
              <w:rPr>
                <w:rFonts w:hint="eastAsia" w:ascii="宋体" w:hAnsi="宋体" w:cs="宋体"/>
                <w:sz w:val="24"/>
                <w:highlight w:val="none"/>
              </w:rPr>
              <w:t>中标结果公告：自中标人确定之日起2个工作日内，中标结果公告于浙江省政府采购网(http://zfcg.czt.zj.gov.cn/)、东阳市公共资源交易网(http://www.dongyang.gov.cn/ggzyjy/index.html)，公告1个工作日</w:t>
            </w:r>
            <w:bookmarkEnd w:id="8"/>
            <w:r>
              <w:rPr>
                <w:rFonts w:hint="eastAsia" w:ascii="宋体" w:hAnsi="宋体" w:cs="宋体"/>
                <w:sz w:val="24"/>
                <w:highlight w:val="none"/>
              </w:rPr>
              <w:t>。</w:t>
            </w:r>
          </w:p>
        </w:tc>
      </w:tr>
      <w:tr w14:paraId="360F04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6E14D28B">
            <w:pPr>
              <w:snapToGrid w:val="0"/>
              <w:spacing w:line="420" w:lineRule="exact"/>
              <w:jc w:val="center"/>
              <w:rPr>
                <w:rFonts w:ascii="宋体" w:hAnsi="宋体" w:cs="宋体"/>
                <w:sz w:val="24"/>
                <w:highlight w:val="none"/>
              </w:rPr>
            </w:pPr>
            <w:r>
              <w:rPr>
                <w:rFonts w:hint="eastAsia" w:ascii="宋体" w:hAnsi="宋体" w:cs="宋体"/>
                <w:sz w:val="24"/>
                <w:highlight w:val="none"/>
              </w:rPr>
              <w:t>11</w:t>
            </w:r>
          </w:p>
        </w:tc>
        <w:tc>
          <w:tcPr>
            <w:tcW w:w="8743" w:type="dxa"/>
            <w:tcBorders>
              <w:top w:val="single" w:color="auto" w:sz="4" w:space="0"/>
              <w:left w:val="single" w:color="auto" w:sz="4" w:space="0"/>
              <w:bottom w:val="single" w:color="auto" w:sz="4" w:space="0"/>
              <w:right w:val="single" w:color="auto" w:sz="4" w:space="0"/>
            </w:tcBorders>
            <w:vAlign w:val="center"/>
          </w:tcPr>
          <w:p w14:paraId="70F2AC0F">
            <w:pPr>
              <w:autoSpaceDE w:val="0"/>
              <w:autoSpaceDN w:val="0"/>
              <w:snapToGrid w:val="0"/>
              <w:spacing w:line="420" w:lineRule="exact"/>
              <w:textAlignment w:val="bottom"/>
              <w:rPr>
                <w:rFonts w:ascii="宋体" w:hAnsi="宋体" w:cs="宋体"/>
                <w:sz w:val="24"/>
                <w:highlight w:val="none"/>
              </w:rPr>
            </w:pPr>
            <w:r>
              <w:rPr>
                <w:rFonts w:hint="eastAsia" w:ascii="宋体" w:hAnsi="宋体" w:cs="宋体"/>
                <w:sz w:val="24"/>
                <w:highlight w:val="none"/>
              </w:rPr>
              <w:t>《中标通知书》的领取时间：中标人应自中标结果公告结束日起，在3个工作日内领取，否则按放弃中标资格处理，并因违反诚信原则，提交财政部门列入政府采购黑名单。</w:t>
            </w:r>
          </w:p>
        </w:tc>
      </w:tr>
      <w:tr w14:paraId="7072B3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5BC3D3EA">
            <w:pPr>
              <w:snapToGrid w:val="0"/>
              <w:spacing w:line="420" w:lineRule="exact"/>
              <w:jc w:val="center"/>
              <w:rPr>
                <w:rFonts w:ascii="宋体" w:hAnsi="宋体" w:cs="宋体"/>
                <w:sz w:val="24"/>
                <w:highlight w:val="none"/>
              </w:rPr>
            </w:pPr>
            <w:r>
              <w:rPr>
                <w:rFonts w:hint="eastAsia" w:ascii="宋体" w:hAnsi="宋体" w:cs="宋体"/>
                <w:sz w:val="24"/>
                <w:highlight w:val="none"/>
              </w:rPr>
              <w:t>12</w:t>
            </w:r>
          </w:p>
        </w:tc>
        <w:tc>
          <w:tcPr>
            <w:tcW w:w="8743" w:type="dxa"/>
            <w:tcBorders>
              <w:top w:val="single" w:color="auto" w:sz="4" w:space="0"/>
              <w:left w:val="single" w:color="auto" w:sz="4" w:space="0"/>
              <w:bottom w:val="single" w:color="auto" w:sz="4" w:space="0"/>
              <w:right w:val="single" w:color="auto" w:sz="4" w:space="0"/>
            </w:tcBorders>
            <w:vAlign w:val="center"/>
          </w:tcPr>
          <w:p w14:paraId="17984392">
            <w:pPr>
              <w:autoSpaceDE w:val="0"/>
              <w:autoSpaceDN w:val="0"/>
              <w:snapToGrid w:val="0"/>
              <w:spacing w:line="360" w:lineRule="auto"/>
              <w:textAlignment w:val="bottom"/>
              <w:rPr>
                <w:rFonts w:ascii="宋体" w:hAnsi="宋体" w:cs="宋体"/>
                <w:sz w:val="24"/>
                <w:highlight w:val="none"/>
              </w:rPr>
            </w:pPr>
            <w:r>
              <w:rPr>
                <w:rFonts w:hint="eastAsia" w:ascii="宋体" w:hAnsi="宋体" w:cs="宋体"/>
                <w:sz w:val="24"/>
                <w:highlight w:val="none"/>
              </w:rPr>
              <w:t>履约保证金：</w:t>
            </w:r>
          </w:p>
          <w:p w14:paraId="26F8D138">
            <w:pPr>
              <w:autoSpaceDE w:val="0"/>
              <w:autoSpaceDN w:val="0"/>
              <w:snapToGrid w:val="0"/>
              <w:spacing w:line="360" w:lineRule="auto"/>
              <w:textAlignment w:val="bottom"/>
              <w:rPr>
                <w:rFonts w:ascii="宋体" w:hAnsi="宋体" w:cs="宋体"/>
                <w:sz w:val="24"/>
                <w:highlight w:val="none"/>
              </w:rPr>
            </w:pPr>
            <w:r>
              <w:rPr>
                <w:rFonts w:hint="eastAsia" w:ascii="宋体" w:hAnsi="宋体" w:cs="宋体"/>
                <w:sz w:val="24"/>
                <w:highlight w:val="none"/>
              </w:rPr>
              <w:t>中标人在收到中标通知书后，需向采购人提供中标价的1%的履约保证金，在中标人与采购人签订合同前递交，投标人需以支票、汇票、本票或者金融机构、保险公司、担保机构出具的保函（可在政采云平台购买，咨询热线4009039583）等非现金形式提交。</w:t>
            </w:r>
          </w:p>
          <w:p w14:paraId="19B11527">
            <w:pPr>
              <w:autoSpaceDE w:val="0"/>
              <w:autoSpaceDN w:val="0"/>
              <w:snapToGrid w:val="0"/>
              <w:spacing w:line="420" w:lineRule="exact"/>
              <w:textAlignment w:val="bottom"/>
              <w:rPr>
                <w:rFonts w:ascii="宋体" w:hAnsi="宋体" w:cs="宋体"/>
                <w:sz w:val="24"/>
                <w:highlight w:val="none"/>
              </w:rPr>
            </w:pPr>
            <w:r>
              <w:rPr>
                <w:rFonts w:hint="eastAsia" w:ascii="宋体" w:hAnsi="宋体" w:cs="宋体"/>
                <w:sz w:val="24"/>
                <w:highlight w:val="none"/>
              </w:rPr>
              <w:t>中标人也可登录政采云平台-【金融服务】—【我的项目】—【已备案合同】以保函形式提供：（1）中标人在合同列表选择需要投保的合同，点击[保函推荐]。（2）在弹框里查看推荐的保函产品，中标人自行选择保函产品，点击[立即申请]。（3）在弹框里填写保函申请信息。具体步骤：选择产品—填写供应商信息—选择中标项目—确认信息—等待保险/保函受理—确认保单—支付保费—成功出单。政采云金融专线400-903-9583。</w:t>
            </w:r>
          </w:p>
        </w:tc>
      </w:tr>
      <w:tr w14:paraId="776109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6"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2A2690A5">
            <w:pPr>
              <w:snapToGrid w:val="0"/>
              <w:spacing w:line="420" w:lineRule="exact"/>
              <w:jc w:val="center"/>
              <w:rPr>
                <w:rFonts w:ascii="宋体" w:hAnsi="宋体" w:cs="宋体"/>
                <w:sz w:val="24"/>
                <w:highlight w:val="none"/>
              </w:rPr>
            </w:pPr>
            <w:r>
              <w:rPr>
                <w:rFonts w:hint="eastAsia" w:ascii="宋体" w:hAnsi="宋体" w:cs="宋体"/>
                <w:sz w:val="24"/>
                <w:highlight w:val="none"/>
              </w:rPr>
              <w:t>13</w:t>
            </w:r>
          </w:p>
        </w:tc>
        <w:tc>
          <w:tcPr>
            <w:tcW w:w="8743" w:type="dxa"/>
            <w:tcBorders>
              <w:top w:val="single" w:color="auto" w:sz="4" w:space="0"/>
              <w:left w:val="single" w:color="auto" w:sz="4" w:space="0"/>
              <w:bottom w:val="single" w:color="auto" w:sz="4" w:space="0"/>
              <w:right w:val="single" w:color="auto" w:sz="4" w:space="0"/>
            </w:tcBorders>
            <w:vAlign w:val="center"/>
          </w:tcPr>
          <w:p w14:paraId="639BACF2">
            <w:pPr>
              <w:snapToGrid w:val="0"/>
              <w:spacing w:line="348" w:lineRule="auto"/>
              <w:jc w:val="left"/>
              <w:rPr>
                <w:rFonts w:ascii="宋体" w:hAnsi="宋体" w:cs="宋体"/>
                <w:sz w:val="24"/>
                <w:highlight w:val="none"/>
              </w:rPr>
            </w:pPr>
            <w:r>
              <w:rPr>
                <w:rFonts w:hint="eastAsia" w:ascii="宋体" w:hAnsi="宋体" w:cs="宋体"/>
                <w:sz w:val="24"/>
                <w:highlight w:val="none"/>
              </w:rPr>
              <w:t>1、企业信用融资: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录浙江政府采购网(http://zfcg.czt.zj.gov.cn/)的中小企业信用融资栏目了解相关信息。 供应商可以通过浙江政府采购网(http://zfcg.czt.zj.gov.cn/)首页的“浙江政采贷”模块进入申请，还可以通过政府采购云平台(https://www.zcygov.cn/)首页的“金融服务”模块进入申请。</w:t>
            </w:r>
          </w:p>
          <w:p w14:paraId="75CB33D7">
            <w:pPr>
              <w:snapToGrid w:val="0"/>
              <w:spacing w:line="348" w:lineRule="auto"/>
              <w:jc w:val="left"/>
              <w:rPr>
                <w:rFonts w:ascii="宋体" w:hAnsi="宋体" w:cs="宋体"/>
                <w:sz w:val="24"/>
                <w:highlight w:val="none"/>
              </w:rPr>
            </w:pPr>
            <w:r>
              <w:rPr>
                <w:rFonts w:hint="eastAsia" w:ascii="宋体" w:hAnsi="宋体" w:cs="宋体"/>
                <w:sz w:val="24"/>
                <w:highlight w:val="none"/>
              </w:rPr>
              <w:t xml:space="preserve">2、政府采购金融服务提示：为扩大政府采购金融服务面，除政采云网上金融服务合作银行外，东阳市范围内增加浙商银行金华分行东阳支行作为线下合作银行。   </w:t>
            </w:r>
          </w:p>
          <w:p w14:paraId="5A3662A9">
            <w:pPr>
              <w:snapToGrid w:val="0"/>
              <w:spacing w:line="420" w:lineRule="exact"/>
              <w:rPr>
                <w:rFonts w:ascii="宋体" w:hAnsi="宋体" w:cs="宋体"/>
                <w:sz w:val="24"/>
                <w:highlight w:val="none"/>
              </w:rPr>
            </w:pPr>
            <w:r>
              <w:rPr>
                <w:rFonts w:hint="eastAsia" w:ascii="宋体" w:hAnsi="宋体" w:cs="宋体"/>
                <w:sz w:val="24"/>
                <w:highlight w:val="none"/>
              </w:rPr>
              <w:t>浙商银行金华东阳支行联系人：许燕  联系电话：13967983441  0579-86222992</w:t>
            </w:r>
          </w:p>
        </w:tc>
      </w:tr>
      <w:tr w14:paraId="61D857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38BAED88">
            <w:pPr>
              <w:snapToGrid w:val="0"/>
              <w:spacing w:line="420" w:lineRule="exact"/>
              <w:jc w:val="center"/>
              <w:rPr>
                <w:rFonts w:ascii="宋体" w:hAnsi="宋体" w:cs="宋体"/>
                <w:sz w:val="24"/>
                <w:highlight w:val="none"/>
              </w:rPr>
            </w:pPr>
            <w:r>
              <w:rPr>
                <w:rFonts w:hint="eastAsia" w:ascii="宋体" w:hAnsi="宋体" w:cs="宋体"/>
                <w:sz w:val="24"/>
                <w:highlight w:val="none"/>
              </w:rPr>
              <w:t>14</w:t>
            </w:r>
          </w:p>
        </w:tc>
        <w:tc>
          <w:tcPr>
            <w:tcW w:w="8743" w:type="dxa"/>
            <w:tcBorders>
              <w:top w:val="single" w:color="auto" w:sz="4" w:space="0"/>
              <w:left w:val="single" w:color="auto" w:sz="4" w:space="0"/>
              <w:bottom w:val="single" w:color="auto" w:sz="4" w:space="0"/>
              <w:right w:val="single" w:color="auto" w:sz="4" w:space="0"/>
            </w:tcBorders>
            <w:vAlign w:val="center"/>
          </w:tcPr>
          <w:p w14:paraId="0740ECF6">
            <w:pPr>
              <w:autoSpaceDE w:val="0"/>
              <w:autoSpaceDN w:val="0"/>
              <w:snapToGrid w:val="0"/>
              <w:spacing w:line="420" w:lineRule="exact"/>
              <w:textAlignment w:val="bottom"/>
              <w:rPr>
                <w:rFonts w:ascii="宋体" w:hAnsi="宋体" w:cs="宋体"/>
                <w:sz w:val="24"/>
                <w:highlight w:val="none"/>
              </w:rPr>
            </w:pPr>
            <w:r>
              <w:rPr>
                <w:rFonts w:hint="eastAsia" w:ascii="宋体" w:hAnsi="宋体" w:cs="宋体"/>
                <w:sz w:val="24"/>
                <w:highlight w:val="none"/>
              </w:rPr>
              <w:t>签订合同时间：发出《中标通知书》之日起20天内。</w:t>
            </w:r>
          </w:p>
        </w:tc>
      </w:tr>
      <w:tr w14:paraId="41545D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1"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5B254AA4">
            <w:pPr>
              <w:snapToGrid w:val="0"/>
              <w:spacing w:line="420" w:lineRule="exact"/>
              <w:jc w:val="center"/>
              <w:rPr>
                <w:rFonts w:hint="eastAsia" w:ascii="宋体" w:hAnsi="宋体" w:eastAsia="宋体" w:cs="宋体"/>
                <w:sz w:val="24"/>
                <w:highlight w:val="none"/>
                <w:lang w:eastAsia="zh-CN"/>
              </w:rPr>
            </w:pPr>
            <w:r>
              <w:rPr>
                <w:rFonts w:hint="eastAsia" w:ascii="宋体" w:hAnsi="宋体" w:cs="宋体"/>
                <w:sz w:val="24"/>
                <w:highlight w:val="none"/>
              </w:rPr>
              <w:t>1</w:t>
            </w:r>
            <w:r>
              <w:rPr>
                <w:rFonts w:hint="eastAsia" w:ascii="宋体" w:hAnsi="宋体" w:cs="宋体"/>
                <w:sz w:val="24"/>
                <w:highlight w:val="none"/>
                <w:lang w:val="en-US" w:eastAsia="zh-CN"/>
              </w:rPr>
              <w:t>5</w:t>
            </w:r>
          </w:p>
        </w:tc>
        <w:tc>
          <w:tcPr>
            <w:tcW w:w="8743" w:type="dxa"/>
            <w:tcBorders>
              <w:top w:val="single" w:color="auto" w:sz="4" w:space="0"/>
              <w:left w:val="single" w:color="auto" w:sz="4" w:space="0"/>
              <w:bottom w:val="single" w:color="auto" w:sz="4" w:space="0"/>
              <w:right w:val="single" w:color="auto" w:sz="4" w:space="0"/>
            </w:tcBorders>
            <w:vAlign w:val="center"/>
          </w:tcPr>
          <w:p w14:paraId="42F7675F">
            <w:pPr>
              <w:autoSpaceDE w:val="0"/>
              <w:autoSpaceDN w:val="0"/>
              <w:snapToGrid w:val="0"/>
              <w:spacing w:line="420" w:lineRule="exact"/>
              <w:textAlignment w:val="bottom"/>
              <w:rPr>
                <w:rFonts w:ascii="宋体" w:hAnsi="宋体" w:cs="宋体"/>
                <w:color w:val="auto"/>
                <w:sz w:val="24"/>
                <w:highlight w:val="none"/>
              </w:rPr>
            </w:pPr>
            <w:r>
              <w:rPr>
                <w:rFonts w:hint="eastAsia" w:ascii="宋体" w:hAnsi="宋体" w:cs="宋体"/>
                <w:color w:val="auto"/>
                <w:sz w:val="24"/>
                <w:highlight w:val="none"/>
              </w:rPr>
              <w:t>付款方式：</w:t>
            </w:r>
          </w:p>
          <w:p w14:paraId="40AACE15">
            <w:pPr>
              <w:spacing w:line="360" w:lineRule="auto"/>
              <w:rPr>
                <w:rFonts w:ascii="宋体" w:hAnsi="宋体"/>
                <w:color w:val="auto"/>
                <w:sz w:val="24"/>
                <w:highlight w:val="none"/>
              </w:rPr>
            </w:pPr>
            <w:r>
              <w:rPr>
                <w:rFonts w:hint="eastAsia" w:ascii="宋体" w:hAnsi="宋体"/>
                <w:color w:val="auto"/>
                <w:sz w:val="24"/>
                <w:highlight w:val="none"/>
              </w:rPr>
              <w:t>（1）合同生效以及具备实施条件后7个工作日内支付合同价款的40%作为预付款（若供应商为大型企业，或合同签订时，供应商明确表示无需预付款或主动降低预付款比例的，采购人可不适用前述规定）；</w:t>
            </w:r>
          </w:p>
          <w:p w14:paraId="42020118">
            <w:pPr>
              <w:spacing w:line="360" w:lineRule="auto"/>
              <w:rPr>
                <w:rFonts w:ascii="宋体" w:hAnsi="宋体"/>
                <w:color w:val="auto"/>
                <w:sz w:val="24"/>
                <w:highlight w:val="none"/>
              </w:rPr>
            </w:pPr>
            <w:r>
              <w:rPr>
                <w:rFonts w:hint="eastAsia" w:ascii="宋体" w:hAnsi="宋体"/>
                <w:color w:val="auto"/>
                <w:sz w:val="24"/>
                <w:highlight w:val="none"/>
              </w:rPr>
              <w:t>（2）全部工程完工后在7个工作日内支付至合同价款的80%；</w:t>
            </w:r>
          </w:p>
          <w:p w14:paraId="192B84F7">
            <w:pPr>
              <w:spacing w:line="360" w:lineRule="auto"/>
              <w:rPr>
                <w:rFonts w:ascii="宋体" w:hAnsi="宋体"/>
                <w:color w:val="auto"/>
                <w:sz w:val="24"/>
                <w:highlight w:val="none"/>
              </w:rPr>
            </w:pPr>
            <w:r>
              <w:rPr>
                <w:rFonts w:hint="eastAsia" w:ascii="宋体" w:hAnsi="宋体"/>
                <w:color w:val="auto"/>
                <w:sz w:val="24"/>
                <w:highlight w:val="none"/>
              </w:rPr>
              <w:t>（3）工程通过竣工验收合格后凭竣工验收报告在7个工作日内支付至合同价款的100%。</w:t>
            </w:r>
          </w:p>
        </w:tc>
      </w:tr>
      <w:tr w14:paraId="2F0766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73E19DB7">
            <w:pPr>
              <w:snapToGrid w:val="0"/>
              <w:spacing w:line="420" w:lineRule="exact"/>
              <w:jc w:val="center"/>
              <w:rPr>
                <w:rFonts w:hint="eastAsia" w:ascii="宋体" w:hAnsi="宋体" w:eastAsia="宋体" w:cs="宋体"/>
                <w:sz w:val="24"/>
                <w:highlight w:val="none"/>
                <w:lang w:eastAsia="zh-CN"/>
              </w:rPr>
            </w:pPr>
            <w:r>
              <w:rPr>
                <w:rFonts w:hint="eastAsia" w:ascii="宋体" w:hAnsi="宋体" w:cs="宋体"/>
                <w:sz w:val="24"/>
                <w:highlight w:val="none"/>
              </w:rPr>
              <w:t>1</w:t>
            </w:r>
            <w:r>
              <w:rPr>
                <w:rFonts w:hint="eastAsia" w:ascii="宋体" w:hAnsi="宋体" w:cs="宋体"/>
                <w:sz w:val="24"/>
                <w:highlight w:val="none"/>
                <w:lang w:val="en-US" w:eastAsia="zh-CN"/>
              </w:rPr>
              <w:t>6</w:t>
            </w:r>
          </w:p>
        </w:tc>
        <w:tc>
          <w:tcPr>
            <w:tcW w:w="8743" w:type="dxa"/>
            <w:tcBorders>
              <w:top w:val="single" w:color="auto" w:sz="4" w:space="0"/>
              <w:left w:val="single" w:color="auto" w:sz="4" w:space="0"/>
              <w:bottom w:val="single" w:color="auto" w:sz="4" w:space="0"/>
              <w:right w:val="single" w:color="auto" w:sz="4" w:space="0"/>
            </w:tcBorders>
            <w:vAlign w:val="center"/>
          </w:tcPr>
          <w:p w14:paraId="2033CC6F">
            <w:pPr>
              <w:snapToGrid w:val="0"/>
              <w:spacing w:line="420" w:lineRule="exact"/>
              <w:rPr>
                <w:rFonts w:ascii="宋体" w:hAnsi="宋体" w:cs="宋体"/>
                <w:color w:val="auto"/>
                <w:sz w:val="24"/>
                <w:highlight w:val="none"/>
              </w:rPr>
            </w:pPr>
            <w:r>
              <w:rPr>
                <w:rFonts w:hint="eastAsia" w:ascii="宋体" w:hAnsi="宋体" w:cs="宋体"/>
                <w:color w:val="auto"/>
                <w:sz w:val="24"/>
                <w:highlight w:val="none"/>
              </w:rPr>
              <w:t>服务地点：东阳市内，采购人指定的地点。</w:t>
            </w:r>
          </w:p>
          <w:p w14:paraId="3E084C18">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验收：</w:t>
            </w:r>
          </w:p>
          <w:p w14:paraId="2BE0C161">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1.采购人组织相关人员对供应商履约的验收，验收费用由中标人承担；采购人出具一式二份验收报告，一份由中标人保管，一份由</w:t>
            </w:r>
            <w:r>
              <w:rPr>
                <w:rFonts w:hint="eastAsia" w:ascii="宋体" w:hAnsi="宋体" w:cs="宋体"/>
                <w:color w:val="auto"/>
                <w:sz w:val="24"/>
                <w:highlight w:val="none"/>
                <w:lang w:eastAsia="zh-CN"/>
              </w:rPr>
              <w:t>浙江衢州公信工程管理有限公司</w:t>
            </w:r>
            <w:r>
              <w:rPr>
                <w:rFonts w:hint="eastAsia" w:ascii="宋体" w:hAnsi="宋体" w:cs="宋体"/>
                <w:color w:val="auto"/>
                <w:sz w:val="24"/>
                <w:highlight w:val="none"/>
              </w:rPr>
              <w:t>（原件）存档。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F2D5DB8">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2.采购人可以邀请参加本项目的其他供应商或者第三方机构参与验收。参与验收的供应商或者第三方机构的意见作为验收书的参考资料一并存档。</w:t>
            </w:r>
          </w:p>
          <w:p w14:paraId="0CE25E04">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FA0678F">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4.采购人原则上应当在履约验收之日起2个工作日内，将履约验收结果在浙江政府采购网上公告。</w:t>
            </w:r>
          </w:p>
          <w:p w14:paraId="20088552">
            <w:pPr>
              <w:snapToGrid w:val="0"/>
              <w:spacing w:line="420" w:lineRule="exact"/>
              <w:rPr>
                <w:rFonts w:ascii="宋体" w:hAnsi="宋体" w:cs="宋体"/>
                <w:color w:val="auto"/>
                <w:sz w:val="24"/>
                <w:highlight w:val="none"/>
              </w:rPr>
            </w:pPr>
            <w:r>
              <w:rPr>
                <w:rFonts w:hint="eastAsia" w:ascii="宋体" w:hAnsi="宋体" w:cs="宋体"/>
                <w:color w:val="auto"/>
                <w:sz w:val="24"/>
                <w:highlight w:val="none"/>
              </w:rPr>
              <w:t>5.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tc>
      </w:tr>
      <w:tr w14:paraId="3118CB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5DFA289C">
            <w:pPr>
              <w:snapToGrid w:val="0"/>
              <w:spacing w:line="420" w:lineRule="exact"/>
              <w:jc w:val="center"/>
              <w:rPr>
                <w:rFonts w:hint="eastAsia" w:ascii="宋体" w:hAnsi="宋体" w:eastAsia="宋体" w:cs="宋体"/>
                <w:sz w:val="24"/>
                <w:highlight w:val="none"/>
                <w:lang w:eastAsia="zh-CN"/>
              </w:rPr>
            </w:pPr>
            <w:r>
              <w:rPr>
                <w:rFonts w:hint="eastAsia" w:ascii="宋体" w:hAnsi="宋体" w:cs="宋体"/>
                <w:sz w:val="24"/>
                <w:highlight w:val="none"/>
              </w:rPr>
              <w:t>1</w:t>
            </w:r>
            <w:r>
              <w:rPr>
                <w:rFonts w:hint="eastAsia" w:ascii="宋体" w:hAnsi="宋体" w:cs="宋体"/>
                <w:sz w:val="24"/>
                <w:highlight w:val="none"/>
                <w:lang w:val="en-US" w:eastAsia="zh-CN"/>
              </w:rPr>
              <w:t>7</w:t>
            </w:r>
          </w:p>
        </w:tc>
        <w:tc>
          <w:tcPr>
            <w:tcW w:w="8743" w:type="dxa"/>
            <w:tcBorders>
              <w:top w:val="single" w:color="auto" w:sz="4" w:space="0"/>
              <w:left w:val="single" w:color="auto" w:sz="4" w:space="0"/>
              <w:bottom w:val="single" w:color="auto" w:sz="4" w:space="0"/>
              <w:right w:val="single" w:color="auto" w:sz="4" w:space="0"/>
            </w:tcBorders>
            <w:vAlign w:val="center"/>
          </w:tcPr>
          <w:p w14:paraId="0363E43D">
            <w:pPr>
              <w:snapToGrid w:val="0"/>
              <w:spacing w:before="120" w:beforeLines="50" w:line="348" w:lineRule="auto"/>
              <w:outlineLvl w:val="2"/>
              <w:rPr>
                <w:rFonts w:ascii="宋体" w:hAnsi="宋体"/>
                <w:b/>
                <w:sz w:val="24"/>
                <w:highlight w:val="none"/>
              </w:rPr>
            </w:pPr>
            <w:r>
              <w:rPr>
                <w:rFonts w:hint="eastAsia" w:ascii="宋体" w:hAnsi="宋体"/>
                <w:b/>
                <w:sz w:val="24"/>
                <w:highlight w:val="none"/>
              </w:rPr>
              <w:t>供应商有下列情形之一的，列入失信名单，同时依照《政府采购法》第七十七条及《中华人民共和国政府采购法实施条例》第七十二条规定处罚并追求法律责任。</w:t>
            </w:r>
          </w:p>
          <w:p w14:paraId="27A85B8A">
            <w:pPr>
              <w:snapToGrid w:val="0"/>
              <w:spacing w:line="348" w:lineRule="auto"/>
              <w:jc w:val="left"/>
              <w:rPr>
                <w:rFonts w:ascii="宋体" w:hAnsi="宋体"/>
                <w:sz w:val="24"/>
                <w:highlight w:val="none"/>
              </w:rPr>
            </w:pPr>
            <w:r>
              <w:rPr>
                <w:rFonts w:hint="eastAsia" w:ascii="宋体" w:hAnsi="宋体"/>
                <w:sz w:val="24"/>
                <w:highlight w:val="none"/>
              </w:rPr>
              <w:t xml:space="preserve">1、提供虚假材料谋取中标、成交的； </w:t>
            </w:r>
          </w:p>
          <w:p w14:paraId="5D19FBD6">
            <w:pPr>
              <w:snapToGrid w:val="0"/>
              <w:spacing w:line="348" w:lineRule="auto"/>
              <w:jc w:val="left"/>
              <w:rPr>
                <w:rFonts w:ascii="宋体" w:hAnsi="宋体"/>
                <w:sz w:val="24"/>
                <w:highlight w:val="none"/>
              </w:rPr>
            </w:pPr>
            <w:r>
              <w:rPr>
                <w:rFonts w:hint="eastAsia" w:ascii="宋体" w:hAnsi="宋体"/>
                <w:sz w:val="24"/>
                <w:highlight w:val="none"/>
              </w:rPr>
              <w:t xml:space="preserve">2、采取不正当手段诋毁、排挤其他供应商的； </w:t>
            </w:r>
          </w:p>
          <w:p w14:paraId="216F698D">
            <w:pPr>
              <w:snapToGrid w:val="0"/>
              <w:spacing w:line="348" w:lineRule="auto"/>
              <w:jc w:val="left"/>
              <w:rPr>
                <w:rFonts w:ascii="宋体" w:hAnsi="宋体"/>
                <w:sz w:val="24"/>
                <w:highlight w:val="none"/>
              </w:rPr>
            </w:pPr>
            <w:r>
              <w:rPr>
                <w:rFonts w:hint="eastAsia" w:ascii="宋体" w:hAnsi="宋体"/>
                <w:sz w:val="24"/>
                <w:highlight w:val="none"/>
              </w:rPr>
              <w:t xml:space="preserve">3、与采购人、其他供应商或者采购代理机构恶意串通的； </w:t>
            </w:r>
          </w:p>
          <w:p w14:paraId="72A11784">
            <w:pPr>
              <w:snapToGrid w:val="0"/>
              <w:spacing w:line="348" w:lineRule="auto"/>
              <w:jc w:val="left"/>
              <w:rPr>
                <w:rFonts w:ascii="宋体" w:hAnsi="宋体"/>
                <w:sz w:val="24"/>
                <w:highlight w:val="none"/>
              </w:rPr>
            </w:pPr>
            <w:r>
              <w:rPr>
                <w:rFonts w:hint="eastAsia" w:ascii="宋体" w:hAnsi="宋体"/>
                <w:sz w:val="24"/>
                <w:highlight w:val="none"/>
              </w:rPr>
              <w:t xml:space="preserve">4、向采购人、采购代理机构行贿或者提供其他不正当利益的； </w:t>
            </w:r>
          </w:p>
          <w:p w14:paraId="2CC8FEE7">
            <w:pPr>
              <w:snapToGrid w:val="0"/>
              <w:spacing w:line="348" w:lineRule="auto"/>
              <w:jc w:val="left"/>
              <w:rPr>
                <w:rFonts w:ascii="宋体" w:hAnsi="宋体"/>
                <w:sz w:val="24"/>
                <w:highlight w:val="none"/>
              </w:rPr>
            </w:pPr>
            <w:r>
              <w:rPr>
                <w:rFonts w:hint="eastAsia" w:ascii="宋体" w:hAnsi="宋体"/>
                <w:sz w:val="24"/>
                <w:highlight w:val="none"/>
              </w:rPr>
              <w:t xml:space="preserve">5、在招标采购过程中与采购人进行协商谈判的； </w:t>
            </w:r>
          </w:p>
          <w:p w14:paraId="3F04D104">
            <w:pPr>
              <w:snapToGrid w:val="0"/>
              <w:spacing w:line="348" w:lineRule="auto"/>
              <w:jc w:val="left"/>
              <w:rPr>
                <w:rFonts w:ascii="宋体" w:hAnsi="宋体"/>
                <w:sz w:val="24"/>
                <w:highlight w:val="none"/>
              </w:rPr>
            </w:pPr>
            <w:r>
              <w:rPr>
                <w:rFonts w:hint="eastAsia" w:ascii="宋体" w:hAnsi="宋体"/>
                <w:sz w:val="24"/>
                <w:highlight w:val="none"/>
              </w:rPr>
              <w:t>6、向评标委员会、竞争性谈判小组或者询价小组成员行贿或者提供其他不正当利益；</w:t>
            </w:r>
          </w:p>
          <w:p w14:paraId="227F0CF2">
            <w:pPr>
              <w:snapToGrid w:val="0"/>
              <w:spacing w:line="348" w:lineRule="auto"/>
              <w:jc w:val="left"/>
              <w:rPr>
                <w:rFonts w:ascii="宋体" w:hAnsi="宋体"/>
                <w:sz w:val="24"/>
                <w:highlight w:val="none"/>
              </w:rPr>
            </w:pPr>
            <w:r>
              <w:rPr>
                <w:rFonts w:hint="eastAsia" w:ascii="宋体" w:hAnsi="宋体"/>
                <w:sz w:val="24"/>
                <w:highlight w:val="none"/>
              </w:rPr>
              <w:t>7、中标或者成交后无正当理由拒不与采购人签订政府采购合同；</w:t>
            </w:r>
          </w:p>
          <w:p w14:paraId="0E1DB7B5">
            <w:pPr>
              <w:snapToGrid w:val="0"/>
              <w:spacing w:line="348" w:lineRule="auto"/>
              <w:jc w:val="left"/>
              <w:rPr>
                <w:rFonts w:ascii="宋体" w:hAnsi="宋体"/>
                <w:sz w:val="24"/>
                <w:highlight w:val="none"/>
              </w:rPr>
            </w:pPr>
            <w:r>
              <w:rPr>
                <w:rFonts w:hint="eastAsia" w:ascii="宋体" w:hAnsi="宋体"/>
                <w:sz w:val="24"/>
                <w:highlight w:val="none"/>
              </w:rPr>
              <w:t>8、未按照采购文件确定的事项签订政府采购合同；</w:t>
            </w:r>
          </w:p>
          <w:p w14:paraId="3F7595C3">
            <w:pPr>
              <w:snapToGrid w:val="0"/>
              <w:spacing w:line="348" w:lineRule="auto"/>
              <w:jc w:val="left"/>
              <w:rPr>
                <w:rFonts w:ascii="宋体" w:hAnsi="宋体"/>
                <w:sz w:val="24"/>
                <w:highlight w:val="none"/>
              </w:rPr>
            </w:pPr>
            <w:r>
              <w:rPr>
                <w:rFonts w:hint="eastAsia" w:ascii="宋体" w:hAnsi="宋体"/>
                <w:sz w:val="24"/>
                <w:highlight w:val="none"/>
              </w:rPr>
              <w:t>9、将政府采购合同转包；</w:t>
            </w:r>
          </w:p>
          <w:p w14:paraId="366ADC09">
            <w:pPr>
              <w:snapToGrid w:val="0"/>
              <w:spacing w:line="348" w:lineRule="auto"/>
              <w:jc w:val="left"/>
              <w:rPr>
                <w:rFonts w:ascii="宋体" w:hAnsi="宋体"/>
                <w:sz w:val="24"/>
                <w:highlight w:val="none"/>
              </w:rPr>
            </w:pPr>
            <w:r>
              <w:rPr>
                <w:rFonts w:hint="eastAsia" w:ascii="宋体" w:hAnsi="宋体"/>
                <w:sz w:val="24"/>
                <w:highlight w:val="none"/>
              </w:rPr>
              <w:t>10、提供假冒伪劣产品；</w:t>
            </w:r>
          </w:p>
          <w:p w14:paraId="15908875">
            <w:pPr>
              <w:snapToGrid w:val="0"/>
              <w:spacing w:line="348" w:lineRule="auto"/>
              <w:jc w:val="left"/>
              <w:rPr>
                <w:rFonts w:ascii="宋体" w:hAnsi="宋体"/>
                <w:sz w:val="24"/>
                <w:highlight w:val="none"/>
              </w:rPr>
            </w:pPr>
            <w:r>
              <w:rPr>
                <w:rFonts w:hint="eastAsia" w:ascii="宋体" w:hAnsi="宋体"/>
                <w:sz w:val="24"/>
                <w:highlight w:val="none"/>
              </w:rPr>
              <w:t>11、擅自变更、中止或者终止政府采购合同。</w:t>
            </w:r>
          </w:p>
          <w:p w14:paraId="7E2D0D4A">
            <w:pPr>
              <w:snapToGrid w:val="0"/>
              <w:spacing w:line="348" w:lineRule="auto"/>
              <w:rPr>
                <w:rFonts w:ascii="宋体" w:hAnsi="宋体" w:cs="宋体"/>
                <w:sz w:val="24"/>
                <w:highlight w:val="none"/>
              </w:rPr>
            </w:pPr>
            <w:r>
              <w:rPr>
                <w:rFonts w:hint="eastAsia" w:ascii="宋体" w:hAnsi="宋体"/>
                <w:sz w:val="24"/>
                <w:highlight w:val="none"/>
              </w:rPr>
              <w:t>12、其他严重扰乱招投标程序的。</w:t>
            </w:r>
          </w:p>
        </w:tc>
      </w:tr>
      <w:tr w14:paraId="74ED17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23464B90">
            <w:pPr>
              <w:snapToGrid w:val="0"/>
              <w:spacing w:line="420" w:lineRule="exact"/>
              <w:jc w:val="center"/>
              <w:rPr>
                <w:rFonts w:hint="eastAsia" w:ascii="宋体" w:hAnsi="宋体" w:cs="宋体"/>
                <w:sz w:val="24"/>
                <w:highlight w:val="none"/>
              </w:rPr>
            </w:pPr>
            <w:r>
              <w:rPr>
                <w:rFonts w:hint="eastAsia" w:ascii="宋体" w:hAnsi="宋体" w:cs="宋体"/>
                <w:sz w:val="24"/>
                <w:highlight w:val="none"/>
                <w:lang w:val="en-US" w:eastAsia="zh-CN"/>
              </w:rPr>
              <w:t>18</w:t>
            </w:r>
          </w:p>
        </w:tc>
        <w:tc>
          <w:tcPr>
            <w:tcW w:w="8743" w:type="dxa"/>
            <w:tcBorders>
              <w:top w:val="single" w:color="auto" w:sz="4" w:space="0"/>
              <w:left w:val="single" w:color="auto" w:sz="4" w:space="0"/>
              <w:bottom w:val="single" w:color="auto" w:sz="4" w:space="0"/>
              <w:right w:val="single" w:color="auto" w:sz="4" w:space="0"/>
            </w:tcBorders>
            <w:vAlign w:val="center"/>
          </w:tcPr>
          <w:p w14:paraId="2D1FAD40">
            <w:pPr>
              <w:keepNext w:val="0"/>
              <w:keepLines w:val="0"/>
              <w:pageBreakBefore w:val="0"/>
              <w:widowControl w:val="0"/>
              <w:kinsoku/>
              <w:wordWrap/>
              <w:overflowPunct/>
              <w:topLinePunct w:val="0"/>
              <w:bidi w:val="0"/>
              <w:adjustRightInd/>
              <w:spacing w:line="360" w:lineRule="exact"/>
              <w:jc w:val="left"/>
              <w:rPr>
                <w:rFonts w:ascii="宋体" w:hAnsi="宋体" w:cs="宋体"/>
                <w:color w:val="auto"/>
                <w:sz w:val="24"/>
                <w:highlight w:val="none"/>
              </w:rPr>
            </w:pPr>
            <w:r>
              <w:rPr>
                <w:rFonts w:hint="eastAsia" w:ascii="宋体" w:hAnsi="宋体" w:cs="宋体"/>
                <w:color w:val="auto"/>
                <w:sz w:val="24"/>
                <w:highlight w:val="none"/>
              </w:rPr>
              <w:t xml:space="preserve">节能产品：□ 强制采购节能产品  </w:t>
            </w:r>
            <w:r>
              <w:rPr>
                <w:rFonts w:hint="eastAsia" w:ascii="宋体" w:hAnsi="宋体" w:cs="宋体"/>
                <w:color w:val="auto"/>
                <w:sz w:val="24"/>
                <w:highlight w:val="none"/>
              </w:rPr>
              <w:sym w:font="Wingdings 2" w:char="00A3"/>
            </w:r>
            <w:r>
              <w:rPr>
                <w:rFonts w:hint="eastAsia" w:ascii="宋体" w:hAnsi="宋体" w:cs="宋体"/>
                <w:color w:val="auto"/>
                <w:sz w:val="24"/>
                <w:highlight w:val="none"/>
              </w:rPr>
              <w:t xml:space="preserve"> 优先采购节能产品   </w:t>
            </w:r>
            <w:r>
              <w:rPr>
                <w:rFonts w:hint="eastAsia" w:ascii="宋体" w:hAnsi="宋体" w:cs="宋体"/>
                <w:color w:val="auto"/>
                <w:sz w:val="24"/>
                <w:highlight w:val="none"/>
              </w:rPr>
              <w:sym w:font="Wingdings" w:char="00FE"/>
            </w:r>
            <w:r>
              <w:rPr>
                <w:rFonts w:hint="eastAsia" w:ascii="宋体" w:hAnsi="宋体" w:cs="宋体"/>
                <w:color w:val="auto"/>
                <w:sz w:val="24"/>
                <w:highlight w:val="none"/>
              </w:rPr>
              <w:t xml:space="preserve"> 不适用</w:t>
            </w:r>
          </w:p>
          <w:p w14:paraId="4A0544B8">
            <w:pPr>
              <w:snapToGrid w:val="0"/>
              <w:spacing w:line="420" w:lineRule="exact"/>
              <w:rPr>
                <w:rFonts w:hint="eastAsia" w:ascii="宋体" w:hAnsi="宋体" w:cs="宋体"/>
                <w:sz w:val="24"/>
                <w:highlight w:val="none"/>
              </w:rPr>
            </w:pPr>
            <w:r>
              <w:rPr>
                <w:rFonts w:hint="eastAsia" w:ascii="宋体" w:hAnsi="宋体" w:cs="宋体"/>
                <w:color w:val="auto"/>
                <w:sz w:val="24"/>
                <w:highlight w:val="none"/>
              </w:rPr>
              <w:t xml:space="preserve">环境标志产品： </w:t>
            </w:r>
            <w:r>
              <w:rPr>
                <w:rFonts w:hint="eastAsia" w:ascii="宋体" w:hAnsi="宋体" w:cs="宋体"/>
                <w:color w:val="auto"/>
                <w:sz w:val="24"/>
                <w:highlight w:val="none"/>
              </w:rPr>
              <w:sym w:font="Wingdings 2" w:char="00A3"/>
            </w:r>
            <w:r>
              <w:rPr>
                <w:rFonts w:hint="eastAsia" w:ascii="宋体" w:hAnsi="宋体" w:cs="宋体"/>
                <w:color w:val="auto"/>
                <w:sz w:val="24"/>
                <w:highlight w:val="none"/>
              </w:rPr>
              <w:t xml:space="preserve"> 优先采购环境标志产品   </w:t>
            </w:r>
            <w:r>
              <w:rPr>
                <w:rFonts w:hint="eastAsia" w:ascii="宋体" w:hAnsi="宋体" w:cs="宋体"/>
                <w:color w:val="auto"/>
                <w:sz w:val="24"/>
                <w:highlight w:val="none"/>
              </w:rPr>
              <w:sym w:font="Wingdings" w:char="00FE"/>
            </w:r>
            <w:r>
              <w:rPr>
                <w:rFonts w:hint="eastAsia" w:ascii="宋体" w:hAnsi="宋体" w:cs="宋体"/>
                <w:color w:val="auto"/>
                <w:sz w:val="24"/>
                <w:highlight w:val="none"/>
              </w:rPr>
              <w:t xml:space="preserve"> 不适用</w:t>
            </w:r>
          </w:p>
        </w:tc>
      </w:tr>
      <w:tr w14:paraId="73D44B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4BCBD620">
            <w:pPr>
              <w:snapToGrid w:val="0"/>
              <w:spacing w:line="420" w:lineRule="exact"/>
              <w:jc w:val="center"/>
              <w:rPr>
                <w:rFonts w:hint="default" w:ascii="宋体" w:hAnsi="宋体" w:cs="宋体"/>
                <w:sz w:val="24"/>
                <w:highlight w:val="none"/>
                <w:lang w:val="en-US"/>
              </w:rPr>
            </w:pPr>
            <w:r>
              <w:rPr>
                <w:rFonts w:hint="eastAsia" w:ascii="宋体" w:hAnsi="宋体" w:cs="宋体"/>
                <w:sz w:val="24"/>
                <w:highlight w:val="none"/>
                <w:lang w:val="en-US" w:eastAsia="zh-CN"/>
              </w:rPr>
              <w:t>19</w:t>
            </w:r>
          </w:p>
        </w:tc>
        <w:tc>
          <w:tcPr>
            <w:tcW w:w="8743" w:type="dxa"/>
            <w:tcBorders>
              <w:top w:val="single" w:color="auto" w:sz="4" w:space="0"/>
              <w:left w:val="single" w:color="auto" w:sz="4" w:space="0"/>
              <w:bottom w:val="single" w:color="auto" w:sz="4" w:space="0"/>
              <w:right w:val="single" w:color="auto" w:sz="4" w:space="0"/>
            </w:tcBorders>
            <w:vAlign w:val="center"/>
          </w:tcPr>
          <w:p w14:paraId="6FB0A5A2">
            <w:pPr>
              <w:snapToGrid w:val="0"/>
              <w:spacing w:line="420" w:lineRule="exact"/>
              <w:rPr>
                <w:rFonts w:ascii="宋体" w:hAnsi="宋体" w:cs="宋体"/>
                <w:sz w:val="24"/>
                <w:highlight w:val="none"/>
              </w:rPr>
            </w:pPr>
            <w:r>
              <w:rPr>
                <w:rFonts w:hint="eastAsia" w:ascii="宋体" w:hAnsi="宋体" w:cs="宋体"/>
                <w:sz w:val="24"/>
                <w:highlight w:val="none"/>
              </w:rPr>
              <w:t>磋商响应文件有效期：</w:t>
            </w:r>
            <w:r>
              <w:rPr>
                <w:rFonts w:hint="eastAsia" w:ascii="宋体" w:hAnsi="宋体" w:cs="宋体"/>
                <w:sz w:val="24"/>
                <w:highlight w:val="none"/>
                <w:u w:val="single"/>
              </w:rPr>
              <w:t>60</w:t>
            </w:r>
            <w:r>
              <w:rPr>
                <w:rFonts w:hint="eastAsia" w:ascii="宋体" w:hAnsi="宋体" w:cs="宋体"/>
                <w:sz w:val="24"/>
                <w:highlight w:val="none"/>
              </w:rPr>
              <w:t>天</w:t>
            </w:r>
          </w:p>
        </w:tc>
      </w:tr>
      <w:tr w14:paraId="72F666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78D45A4A">
            <w:pPr>
              <w:snapToGrid w:val="0"/>
              <w:spacing w:line="420" w:lineRule="exact"/>
              <w:jc w:val="center"/>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en-US" w:eastAsia="zh-CN"/>
              </w:rPr>
              <w:t>0</w:t>
            </w:r>
          </w:p>
        </w:tc>
        <w:tc>
          <w:tcPr>
            <w:tcW w:w="8743" w:type="dxa"/>
            <w:tcBorders>
              <w:top w:val="single" w:color="auto" w:sz="4" w:space="0"/>
              <w:left w:val="single" w:color="auto" w:sz="4" w:space="0"/>
              <w:bottom w:val="single" w:color="auto" w:sz="4" w:space="0"/>
              <w:right w:val="single" w:color="auto" w:sz="4" w:space="0"/>
            </w:tcBorders>
            <w:vAlign w:val="center"/>
          </w:tcPr>
          <w:p w14:paraId="4A3EE5D8">
            <w:pPr>
              <w:snapToGrid w:val="0"/>
              <w:spacing w:line="420" w:lineRule="exact"/>
              <w:rPr>
                <w:rFonts w:ascii="宋体" w:hAnsi="宋体" w:cs="宋体"/>
                <w:b/>
                <w:sz w:val="24"/>
                <w:highlight w:val="none"/>
              </w:rPr>
            </w:pPr>
            <w:r>
              <w:rPr>
                <w:rFonts w:hint="eastAsia" w:ascii="宋体" w:hAnsi="宋体" w:cs="宋体"/>
                <w:b/>
                <w:sz w:val="24"/>
                <w:highlight w:val="none"/>
              </w:rPr>
              <w:t>招标方对供应商的落选不作出任何解释。</w:t>
            </w:r>
          </w:p>
        </w:tc>
      </w:tr>
      <w:tr w14:paraId="12DF52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1"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4E616316">
            <w:pPr>
              <w:snapToGrid w:val="0"/>
              <w:spacing w:line="420" w:lineRule="exact"/>
              <w:jc w:val="center"/>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en-US" w:eastAsia="zh-CN"/>
              </w:rPr>
              <w:t>1</w:t>
            </w:r>
          </w:p>
        </w:tc>
        <w:tc>
          <w:tcPr>
            <w:tcW w:w="8743" w:type="dxa"/>
            <w:tcBorders>
              <w:top w:val="single" w:color="auto" w:sz="4" w:space="0"/>
              <w:left w:val="single" w:color="auto" w:sz="4" w:space="0"/>
              <w:bottom w:val="single" w:color="auto" w:sz="4" w:space="0"/>
              <w:right w:val="single" w:color="auto" w:sz="4" w:space="0"/>
            </w:tcBorders>
            <w:vAlign w:val="center"/>
          </w:tcPr>
          <w:p w14:paraId="1179B57F">
            <w:pPr>
              <w:spacing w:line="420" w:lineRule="exact"/>
              <w:rPr>
                <w:rFonts w:ascii="宋体" w:hAnsi="宋体" w:cs="宋体"/>
                <w:b/>
                <w:sz w:val="24"/>
                <w:highlight w:val="none"/>
              </w:rPr>
            </w:pPr>
            <w:r>
              <w:rPr>
                <w:rFonts w:hint="eastAsia" w:ascii="宋体" w:hAnsi="宋体" w:cs="宋体"/>
                <w:b/>
                <w:kern w:val="0"/>
                <w:sz w:val="24"/>
                <w:highlight w:val="none"/>
              </w:rPr>
              <w:t>采购人和招标代理机构的任何工作人员对供应商所作的任何口头解释、介绍、答复，仅供供应商参考，不作为磋商依据，对采购人、招标代理机构和供应商无任何约束力，一切以网上公告及书面形式为准。</w:t>
            </w:r>
          </w:p>
        </w:tc>
      </w:tr>
      <w:tr w14:paraId="5D2628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5DF6C163">
            <w:pPr>
              <w:snapToGrid w:val="0"/>
              <w:spacing w:line="420" w:lineRule="exact"/>
              <w:jc w:val="center"/>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en-US" w:eastAsia="zh-CN"/>
              </w:rPr>
              <w:t>2</w:t>
            </w:r>
          </w:p>
        </w:tc>
        <w:tc>
          <w:tcPr>
            <w:tcW w:w="8743" w:type="dxa"/>
            <w:tcBorders>
              <w:top w:val="single" w:color="auto" w:sz="4" w:space="0"/>
              <w:left w:val="single" w:color="auto" w:sz="4" w:space="0"/>
              <w:bottom w:val="single" w:color="auto" w:sz="4" w:space="0"/>
              <w:right w:val="single" w:color="auto" w:sz="4" w:space="0"/>
            </w:tcBorders>
            <w:vAlign w:val="center"/>
          </w:tcPr>
          <w:p w14:paraId="3A815F3E">
            <w:pPr>
              <w:snapToGrid w:val="0"/>
              <w:spacing w:line="420" w:lineRule="exact"/>
              <w:rPr>
                <w:rFonts w:ascii="宋体" w:hAnsi="宋体" w:cs="宋体"/>
                <w:sz w:val="24"/>
                <w:highlight w:val="none"/>
              </w:rPr>
            </w:pPr>
            <w:r>
              <w:rPr>
                <w:rFonts w:hint="eastAsia" w:ascii="宋体" w:hAnsi="宋体" w:cs="宋体"/>
                <w:sz w:val="24"/>
                <w:highlight w:val="none"/>
              </w:rPr>
              <w:t>解释：本磋商文件的解释权属于</w:t>
            </w:r>
            <w:r>
              <w:rPr>
                <w:rFonts w:hint="eastAsia" w:ascii="宋体" w:hAnsi="宋体" w:cs="宋体"/>
                <w:sz w:val="24"/>
                <w:highlight w:val="none"/>
                <w:lang w:eastAsia="zh-CN"/>
              </w:rPr>
              <w:t>浙江衢州公信工程管理有限公司</w:t>
            </w:r>
            <w:r>
              <w:rPr>
                <w:rFonts w:hint="eastAsia" w:ascii="宋体" w:hAnsi="宋体" w:cs="宋体"/>
                <w:sz w:val="24"/>
                <w:highlight w:val="none"/>
              </w:rPr>
              <w:t>。</w:t>
            </w:r>
          </w:p>
        </w:tc>
      </w:tr>
    </w:tbl>
    <w:p w14:paraId="167E51F9">
      <w:pPr>
        <w:pStyle w:val="23"/>
        <w:snapToGrid w:val="0"/>
        <w:spacing w:before="120" w:after="120" w:line="420" w:lineRule="exact"/>
        <w:rPr>
          <w:rFonts w:ascii="宋体" w:hAnsi="宋体" w:cs="宋体"/>
          <w:b/>
          <w:szCs w:val="24"/>
          <w:highlight w:val="none"/>
        </w:rPr>
      </w:pPr>
      <w:r>
        <w:rPr>
          <w:rFonts w:hint="eastAsia" w:ascii="宋体" w:hAnsi="宋体" w:cs="宋体"/>
          <w:b/>
          <w:szCs w:val="24"/>
          <w:highlight w:val="none"/>
        </w:rPr>
        <w:t>注：如本磋商文件后面的条款与本表有矛盾的以本表的内容为准。</w:t>
      </w:r>
    </w:p>
    <w:p w14:paraId="57B63F16">
      <w:pPr>
        <w:pStyle w:val="23"/>
        <w:pageBreakBefore/>
        <w:numPr>
          <w:ilvl w:val="0"/>
          <w:numId w:val="6"/>
        </w:numPr>
        <w:snapToGrid w:val="0"/>
        <w:spacing w:line="360" w:lineRule="auto"/>
        <w:ind w:left="826" w:hanging="826" w:hangingChars="343"/>
        <w:jc w:val="left"/>
        <w:outlineLvl w:val="1"/>
        <w:rPr>
          <w:rFonts w:ascii="宋体" w:hAnsi="宋体" w:cs="宋体"/>
          <w:b/>
          <w:szCs w:val="24"/>
          <w:highlight w:val="none"/>
        </w:rPr>
      </w:pPr>
      <w:bookmarkStart w:id="9" w:name="_Toc174369995"/>
      <w:r>
        <w:rPr>
          <w:rFonts w:hint="eastAsia" w:ascii="宋体" w:hAnsi="宋体" w:cs="宋体"/>
          <w:b/>
          <w:szCs w:val="24"/>
          <w:highlight w:val="none"/>
        </w:rPr>
        <w:t>总则</w:t>
      </w:r>
      <w:bookmarkEnd w:id="9"/>
    </w:p>
    <w:p w14:paraId="5ECBEB92">
      <w:pPr>
        <w:spacing w:line="440" w:lineRule="exact"/>
        <w:rPr>
          <w:rFonts w:ascii="宋体" w:hAnsi="宋体" w:cs="宋体"/>
          <w:b/>
          <w:sz w:val="24"/>
          <w:highlight w:val="none"/>
        </w:rPr>
      </w:pPr>
      <w:bookmarkStart w:id="10" w:name="_Toc407182093"/>
      <w:r>
        <w:rPr>
          <w:rFonts w:hint="eastAsia" w:ascii="宋体" w:hAnsi="宋体" w:cs="宋体"/>
          <w:b/>
          <w:sz w:val="24"/>
          <w:highlight w:val="none"/>
        </w:rPr>
        <w:t>（一） 适用范围</w:t>
      </w:r>
      <w:bookmarkEnd w:id="10"/>
    </w:p>
    <w:p w14:paraId="1B12EA20">
      <w:pPr>
        <w:spacing w:line="440" w:lineRule="exact"/>
        <w:ind w:firstLine="480" w:firstLineChars="200"/>
        <w:rPr>
          <w:rFonts w:ascii="宋体" w:hAnsi="宋体" w:cs="宋体"/>
          <w:b/>
          <w:sz w:val="24"/>
          <w:highlight w:val="none"/>
        </w:rPr>
      </w:pPr>
      <w:r>
        <w:rPr>
          <w:rFonts w:hint="eastAsia" w:ascii="宋体" w:hAnsi="宋体" w:cs="宋体"/>
          <w:sz w:val="24"/>
          <w:highlight w:val="none"/>
        </w:rPr>
        <w:t>本磋商文件适用于</w:t>
      </w:r>
      <w:r>
        <w:rPr>
          <w:rFonts w:hint="eastAsia" w:ascii="宋体" w:hAnsi="宋体" w:cs="宋体"/>
          <w:sz w:val="24"/>
          <w:highlight w:val="none"/>
          <w:lang w:eastAsia="zh-CN"/>
        </w:rPr>
        <w:t>敖溪杭温高铁拆迁安置区市政工程项目</w:t>
      </w:r>
      <w:r>
        <w:rPr>
          <w:rFonts w:hint="eastAsia" w:ascii="宋体" w:hAnsi="宋体" w:cs="宋体"/>
          <w:sz w:val="24"/>
          <w:highlight w:val="none"/>
        </w:rPr>
        <w:t>的招标、磋商、定标、验收、合同履约、付款等行为（法律、法规另有规定的，从其规定）。</w:t>
      </w:r>
    </w:p>
    <w:p w14:paraId="3C8C40A7">
      <w:pPr>
        <w:spacing w:line="440" w:lineRule="exact"/>
        <w:rPr>
          <w:rFonts w:ascii="宋体" w:hAnsi="宋体" w:cs="宋体"/>
          <w:b/>
          <w:sz w:val="24"/>
          <w:highlight w:val="none"/>
        </w:rPr>
      </w:pPr>
      <w:bookmarkStart w:id="11" w:name="_Toc407182094"/>
      <w:r>
        <w:rPr>
          <w:rFonts w:hint="eastAsia" w:ascii="宋体" w:hAnsi="宋体" w:cs="宋体"/>
          <w:b/>
          <w:sz w:val="24"/>
          <w:highlight w:val="none"/>
        </w:rPr>
        <w:t>（二）定义</w:t>
      </w:r>
      <w:bookmarkEnd w:id="11"/>
    </w:p>
    <w:p w14:paraId="6BA93406">
      <w:pPr>
        <w:snapToGrid w:val="0"/>
        <w:spacing w:line="440" w:lineRule="exact"/>
        <w:jc w:val="left"/>
        <w:rPr>
          <w:rFonts w:ascii="宋体" w:hAnsi="宋体" w:cs="宋体"/>
          <w:sz w:val="24"/>
          <w:highlight w:val="none"/>
        </w:rPr>
      </w:pPr>
      <w:r>
        <w:rPr>
          <w:rFonts w:hint="eastAsia" w:ascii="宋体" w:hAnsi="宋体" w:cs="宋体"/>
          <w:sz w:val="24"/>
          <w:highlight w:val="none"/>
        </w:rPr>
        <w:t>1.招标采购单位系指组织本次招标的</w:t>
      </w:r>
      <w:r>
        <w:rPr>
          <w:rFonts w:hint="eastAsia" w:ascii="宋体" w:hAnsi="宋体" w:cs="宋体"/>
          <w:sz w:val="24"/>
          <w:highlight w:val="none"/>
          <w:lang w:eastAsia="zh-CN"/>
        </w:rPr>
        <w:t>浙江衢州公信工程管理有限公司</w:t>
      </w:r>
      <w:r>
        <w:rPr>
          <w:rFonts w:hint="eastAsia" w:ascii="宋体" w:hAnsi="宋体" w:cs="宋体"/>
          <w:sz w:val="24"/>
          <w:highlight w:val="none"/>
        </w:rPr>
        <w:t>（“招标方”）和</w:t>
      </w:r>
      <w:r>
        <w:rPr>
          <w:rFonts w:hint="eastAsia" w:ascii="宋体" w:hAnsi="宋体" w:cs="宋体"/>
          <w:sz w:val="24"/>
          <w:highlight w:val="none"/>
          <w:lang w:eastAsia="zh-CN"/>
        </w:rPr>
        <w:t>东阳市南市街道办事处</w:t>
      </w:r>
      <w:r>
        <w:rPr>
          <w:rFonts w:hint="eastAsia" w:ascii="宋体" w:hAnsi="宋体" w:cs="宋体"/>
          <w:sz w:val="24"/>
          <w:highlight w:val="none"/>
        </w:rPr>
        <w:t>（“采购人”）。</w:t>
      </w:r>
    </w:p>
    <w:p w14:paraId="3CA1B3DF">
      <w:pPr>
        <w:spacing w:line="440" w:lineRule="exact"/>
        <w:rPr>
          <w:rFonts w:ascii="宋体" w:hAnsi="宋体" w:cs="宋体"/>
          <w:sz w:val="24"/>
          <w:highlight w:val="none"/>
        </w:rPr>
      </w:pPr>
      <w:r>
        <w:rPr>
          <w:rFonts w:hint="eastAsia" w:ascii="宋体" w:hAnsi="宋体" w:cs="宋体"/>
          <w:sz w:val="24"/>
          <w:highlight w:val="none"/>
        </w:rPr>
        <w:t>2.“供应商”系指向招标方提交磋商响应文件的单位或个人。</w:t>
      </w:r>
    </w:p>
    <w:p w14:paraId="11FE8273">
      <w:pPr>
        <w:spacing w:line="440" w:lineRule="exact"/>
        <w:rPr>
          <w:rFonts w:ascii="宋体" w:hAnsi="宋体" w:cs="宋体"/>
          <w:sz w:val="24"/>
          <w:highlight w:val="none"/>
        </w:rPr>
      </w:pPr>
      <w:r>
        <w:rPr>
          <w:rFonts w:hint="eastAsia" w:ascii="宋体" w:hAnsi="宋体" w:cs="宋体"/>
          <w:sz w:val="24"/>
          <w:highlight w:val="none"/>
        </w:rPr>
        <w:t xml:space="preserve">3.“服务”系指磋商文件规定供应商须承担的本项目所衍生的一切服务义务。 </w:t>
      </w:r>
    </w:p>
    <w:p w14:paraId="273397EB">
      <w:pPr>
        <w:spacing w:line="440" w:lineRule="exact"/>
        <w:rPr>
          <w:rFonts w:ascii="宋体" w:hAnsi="宋体" w:cs="宋体"/>
          <w:sz w:val="24"/>
          <w:highlight w:val="none"/>
        </w:rPr>
      </w:pPr>
      <w:r>
        <w:rPr>
          <w:rFonts w:hint="eastAsia" w:ascii="宋体" w:hAnsi="宋体" w:cs="宋体"/>
          <w:sz w:val="24"/>
          <w:highlight w:val="none"/>
        </w:rPr>
        <w:t>4.“项目”系指供应商按磋商文件规定向采购人提供的成果和项目服务。</w:t>
      </w:r>
    </w:p>
    <w:p w14:paraId="43941E60">
      <w:pPr>
        <w:spacing w:line="440" w:lineRule="exact"/>
        <w:rPr>
          <w:rFonts w:ascii="宋体" w:hAnsi="宋体" w:cs="宋体"/>
          <w:sz w:val="24"/>
          <w:highlight w:val="none"/>
        </w:rPr>
      </w:pPr>
      <w:r>
        <w:rPr>
          <w:rFonts w:hint="eastAsia" w:ascii="宋体" w:hAnsi="宋体" w:cs="宋体"/>
          <w:sz w:val="24"/>
          <w:highlight w:val="none"/>
        </w:rPr>
        <w:t>5.“书面形式”包括信函、传真、电报等。</w:t>
      </w:r>
    </w:p>
    <w:p w14:paraId="6F4E6292">
      <w:pPr>
        <w:spacing w:line="440" w:lineRule="exact"/>
        <w:rPr>
          <w:rFonts w:ascii="宋体" w:hAnsi="宋体" w:cs="宋体"/>
          <w:sz w:val="24"/>
          <w:highlight w:val="none"/>
        </w:rPr>
      </w:pPr>
      <w:r>
        <w:rPr>
          <w:rFonts w:hint="eastAsia" w:ascii="宋体" w:hAnsi="宋体" w:cs="宋体"/>
          <w:sz w:val="24"/>
          <w:highlight w:val="none"/>
        </w:rPr>
        <w:t>6.“*”、 “▲”、 “※”系指实质性要求条款。</w:t>
      </w:r>
    </w:p>
    <w:p w14:paraId="729BDE20">
      <w:pPr>
        <w:spacing w:line="440" w:lineRule="exact"/>
        <w:rPr>
          <w:rFonts w:ascii="宋体" w:hAnsi="宋体" w:cs="宋体"/>
          <w:b/>
          <w:sz w:val="24"/>
          <w:highlight w:val="none"/>
        </w:rPr>
      </w:pPr>
      <w:r>
        <w:rPr>
          <w:rFonts w:hint="eastAsia" w:ascii="宋体" w:hAnsi="宋体" w:cs="宋体"/>
          <w:b/>
          <w:sz w:val="24"/>
          <w:highlight w:val="none"/>
        </w:rPr>
        <w:t>（三）磋商方式</w:t>
      </w:r>
    </w:p>
    <w:p w14:paraId="48F0DC85">
      <w:pPr>
        <w:spacing w:line="440" w:lineRule="exact"/>
        <w:ind w:firstLine="480" w:firstLineChars="200"/>
        <w:rPr>
          <w:rFonts w:ascii="宋体" w:hAnsi="宋体" w:cs="宋体"/>
          <w:sz w:val="24"/>
          <w:highlight w:val="none"/>
        </w:rPr>
      </w:pPr>
      <w:r>
        <w:rPr>
          <w:rFonts w:hint="eastAsia" w:ascii="宋体" w:hAnsi="宋体" w:cs="宋体"/>
          <w:sz w:val="24"/>
          <w:highlight w:val="none"/>
        </w:rPr>
        <w:t>本次招标采用公开招标方式进行。</w:t>
      </w:r>
    </w:p>
    <w:p w14:paraId="4171F0CD">
      <w:pPr>
        <w:spacing w:line="440" w:lineRule="exact"/>
        <w:rPr>
          <w:rFonts w:ascii="宋体" w:hAnsi="宋体" w:cs="宋体"/>
          <w:b/>
          <w:sz w:val="24"/>
          <w:highlight w:val="none"/>
        </w:rPr>
      </w:pPr>
      <w:r>
        <w:rPr>
          <w:rFonts w:hint="eastAsia" w:ascii="宋体" w:hAnsi="宋体" w:cs="宋体"/>
          <w:b/>
          <w:sz w:val="24"/>
          <w:highlight w:val="none"/>
        </w:rPr>
        <w:t>（四）磋商委托</w:t>
      </w:r>
    </w:p>
    <w:p w14:paraId="41F7E46D">
      <w:pPr>
        <w:spacing w:line="440" w:lineRule="exact"/>
        <w:ind w:firstLine="480" w:firstLineChars="200"/>
        <w:rPr>
          <w:rFonts w:ascii="宋体" w:hAnsi="宋体" w:cs="宋体"/>
          <w:sz w:val="24"/>
          <w:highlight w:val="none"/>
        </w:rPr>
      </w:pPr>
      <w:r>
        <w:rPr>
          <w:rFonts w:hint="eastAsia" w:ascii="宋体" w:hAnsi="宋体" w:cs="宋体"/>
          <w:sz w:val="24"/>
          <w:highlight w:val="none"/>
        </w:rPr>
        <w:t>如供应商代表不是法定代表人，须有法定代表人出具的授权委托书，委托代理人必须为供应商的在职正式职工（以供应商本单位缴纳社保花名册为准）。</w:t>
      </w:r>
    </w:p>
    <w:p w14:paraId="626D3C11">
      <w:pPr>
        <w:spacing w:line="440" w:lineRule="exact"/>
        <w:rPr>
          <w:rFonts w:ascii="宋体" w:hAnsi="宋体" w:cs="宋体"/>
          <w:b/>
          <w:sz w:val="24"/>
          <w:highlight w:val="none"/>
        </w:rPr>
      </w:pPr>
      <w:r>
        <w:rPr>
          <w:rFonts w:hint="eastAsia" w:ascii="宋体" w:hAnsi="宋体" w:cs="宋体"/>
          <w:b/>
          <w:sz w:val="24"/>
          <w:highlight w:val="none"/>
        </w:rPr>
        <w:t>▲（五）磋商费用</w:t>
      </w:r>
    </w:p>
    <w:p w14:paraId="4C78F5B0">
      <w:pPr>
        <w:spacing w:line="440" w:lineRule="exact"/>
        <w:ind w:firstLine="480" w:firstLineChars="200"/>
        <w:rPr>
          <w:rFonts w:ascii="宋体" w:hAnsi="宋体" w:cs="宋体"/>
          <w:sz w:val="24"/>
          <w:highlight w:val="none"/>
        </w:rPr>
      </w:pPr>
      <w:r>
        <w:rPr>
          <w:rFonts w:hint="eastAsia" w:ascii="宋体" w:hAnsi="宋体" w:cs="宋体"/>
          <w:sz w:val="24"/>
          <w:highlight w:val="none"/>
        </w:rPr>
        <w:t>1.不论磋商结果如何，供应商均应自行承担所有与磋商有关的全部费用（磋商文件有相反规定除外）。</w:t>
      </w:r>
    </w:p>
    <w:p w14:paraId="7B7D64BF">
      <w:pPr>
        <w:snapToGrid w:val="0"/>
        <w:spacing w:line="360" w:lineRule="auto"/>
        <w:ind w:firstLine="482" w:firstLineChars="200"/>
        <w:textAlignment w:val="baseline"/>
        <w:rPr>
          <w:rFonts w:ascii="宋体" w:hAnsi="宋体" w:cs="宋体"/>
          <w:b/>
          <w:bCs/>
          <w:sz w:val="24"/>
          <w:highlight w:val="none"/>
        </w:rPr>
      </w:pPr>
      <w:r>
        <w:rPr>
          <w:rFonts w:hint="eastAsia" w:ascii="宋体" w:hAnsi="宋体" w:cs="宋体"/>
          <w:b/>
          <w:sz w:val="24"/>
          <w:highlight w:val="none"/>
        </w:rPr>
        <w:t>2.</w:t>
      </w:r>
      <w:r>
        <w:rPr>
          <w:rFonts w:hint="eastAsia" w:ascii="宋体" w:hAnsi="宋体" w:cs="宋体"/>
          <w:b/>
          <w:bCs/>
          <w:sz w:val="24"/>
          <w:highlight w:val="none"/>
          <w:lang w:eastAsia="zh-CN"/>
        </w:rPr>
        <w:t>浙江衢州公信工程管理有限公司</w:t>
      </w:r>
      <w:r>
        <w:rPr>
          <w:rFonts w:hint="eastAsia" w:ascii="宋体" w:hAnsi="宋体" w:cs="宋体"/>
          <w:b/>
          <w:bCs/>
          <w:sz w:val="24"/>
          <w:highlight w:val="none"/>
        </w:rPr>
        <w:t>按差额定率累进法计算（详见本条下列表格收费标准），向中标人收取中标服务费，在中标结果公示结束之日起3天内（在领取中标通知书前）交纳。</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5"/>
        <w:gridCol w:w="4004"/>
      </w:tblGrid>
      <w:tr w14:paraId="7D6E0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5195" w:type="dxa"/>
            <w:tcBorders>
              <w:top w:val="single" w:color="auto" w:sz="4" w:space="0"/>
              <w:left w:val="single" w:color="auto" w:sz="4" w:space="0"/>
              <w:bottom w:val="single" w:color="auto" w:sz="4" w:space="0"/>
              <w:right w:val="single" w:color="auto" w:sz="4" w:space="0"/>
              <w:tl2br w:val="single" w:color="auto" w:sz="4" w:space="0"/>
            </w:tcBorders>
          </w:tcPr>
          <w:p w14:paraId="4910E4A6">
            <w:pPr>
              <w:snapToGrid w:val="0"/>
              <w:ind w:firstLine="1400" w:firstLineChars="700"/>
              <w:textAlignment w:val="baseline"/>
              <w:rPr>
                <w:rFonts w:ascii="宋体" w:hAnsi="宋体" w:cs="宋体"/>
                <w:b/>
                <w:sz w:val="24"/>
                <w:highlight w:val="none"/>
              </w:rPr>
            </w:pPr>
            <w:r>
              <w:rPr>
                <w:rFonts w:ascii="宋体" w:hAnsi="宋体" w:cs="宋体"/>
                <w:sz w:val="20"/>
                <w:highlight w:val="none"/>
              </w:rPr>
              <mc:AlternateContent>
                <mc:Choice Requires="wps">
                  <w:drawing>
                    <wp:anchor distT="0" distB="0" distL="114300" distR="114300" simplePos="0" relativeHeight="251660288" behindDoc="0" locked="0" layoutInCell="0" allowOverlap="1">
                      <wp:simplePos x="0" y="0"/>
                      <wp:positionH relativeFrom="column">
                        <wp:posOffset>-114300</wp:posOffset>
                      </wp:positionH>
                      <wp:positionV relativeFrom="paragraph">
                        <wp:posOffset>-6350</wp:posOffset>
                      </wp:positionV>
                      <wp:extent cx="635"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pt;margin-top:-0.5pt;height:0pt;width:0.05pt;z-index:251660288;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m08huEBAACyAwAADgAAAGRycy9lMm9Eb2MueG1srVPNjtMw&#10;EL4j8Q6W7zRtpEUQNd1Dq+WyQKVdHmDqOI2F7bE8btO+BC+AxA1OHLnzNuw+BrbTlGW57IEcLHt+&#10;vpnvm8n88mA020tPCm3NZ5MpZ9IKbJTd1vzD7dWLV5xRANuARitrfpTELxfPn817V8kSO9SN9CyC&#10;WKp6V/MuBFcVBYlOGqAJOmmjs0VvIMSn3xaNhz6iG12U0+nLokffOI9CEkXranDyE6J/CiC2rRJy&#10;hWJnpA0DqpcaQqREnXLEF7nbtpUivG9bkoHpmkemIZ+xSLxv0lks5lBtPbhOiVML8JQWHnEyoGws&#10;eoZaQQC28+ofKKOER8I2TASaYiCSFYksZtNH2tx04GTmEqUmdxad/h+seLdfe6aampecWTBx4Hef&#10;f/z69PX+55d43n3/xsokUu+oirFLu/aJpjjYG3eN4iMxi8sO7FbmZm+PLiLMUkbxV0p6kIulNv1b&#10;bGIM7AJmxQ6tNwkyasEOeTDH82DkITAxGMVoLaAaU5yn8EaiYelSc61sUgsq2F9TSC1ANYYks8Ur&#10;pXWeuLasr/nri/IiJxBq1SRnCiO/3Sy1Z3tIO5O/zCd6HoZ53NlmKKJtypN53U6VR76Dchtsjms/&#10;ihJHmXs7rV3alYfvLN2fX23x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uR037VAAAACQEAAA8A&#10;AAAAAAAAAQAgAAAAIgAAAGRycy9kb3ducmV2LnhtbFBLAQIUABQAAAAIAIdO4kD+bTyG4QEAALID&#10;AAAOAAAAAAAAAAEAIAAAACQBAABkcnMvZTJvRG9jLnhtbFBLBQYAAAAABgAGAFkBAAB3BQAAAAA=&#10;">
                      <v:fill on="f" focussize="0,0"/>
                      <v:stroke color="#000000" joinstyle="round"/>
                      <v:imagedata o:title=""/>
                      <o:lock v:ext="edit" aspectratio="f"/>
                    </v:line>
                  </w:pict>
                </mc:Fallback>
              </mc:AlternateContent>
            </w:r>
            <w:r>
              <w:rPr>
                <w:rFonts w:hint="eastAsia" w:ascii="宋体" w:hAnsi="宋体" w:cs="宋体"/>
                <w:b/>
                <w:sz w:val="24"/>
                <w:highlight w:val="none"/>
              </w:rPr>
              <w:t>服务类型</w:t>
            </w:r>
          </w:p>
          <w:p w14:paraId="6D1CD9DC">
            <w:pPr>
              <w:snapToGrid w:val="0"/>
              <w:textAlignment w:val="baseline"/>
              <w:rPr>
                <w:rFonts w:ascii="宋体" w:hAnsi="宋体" w:cs="宋体"/>
                <w:b/>
                <w:sz w:val="24"/>
                <w:highlight w:val="none"/>
              </w:rPr>
            </w:pPr>
            <w:r>
              <w:rPr>
                <w:rFonts w:hint="eastAsia" w:ascii="宋体" w:hAnsi="宋体" w:cs="宋体"/>
                <w:b/>
                <w:sz w:val="24"/>
                <w:highlight w:val="none"/>
              </w:rPr>
              <w:t>费率</w:t>
            </w:r>
          </w:p>
          <w:p w14:paraId="50D36D55">
            <w:pPr>
              <w:snapToGrid w:val="0"/>
              <w:textAlignment w:val="baseline"/>
              <w:rPr>
                <w:rFonts w:ascii="宋体" w:hAnsi="宋体" w:cs="宋体"/>
                <w:b/>
                <w:sz w:val="24"/>
                <w:highlight w:val="none"/>
              </w:rPr>
            </w:pPr>
            <w:r>
              <w:rPr>
                <w:rFonts w:ascii="宋体" w:hAnsi="宋体" w:cs="宋体"/>
                <w:sz w:val="20"/>
                <w:highlight w:val="none"/>
              </w:rPr>
              <mc:AlternateContent>
                <mc:Choice Requires="wps">
                  <w:drawing>
                    <wp:anchor distT="0" distB="0" distL="114300" distR="114300" simplePos="0" relativeHeight="251661312" behindDoc="0" locked="0" layoutInCell="1" allowOverlap="1">
                      <wp:simplePos x="0" y="0"/>
                      <wp:positionH relativeFrom="column">
                        <wp:posOffset>-70485</wp:posOffset>
                      </wp:positionH>
                      <wp:positionV relativeFrom="paragraph">
                        <wp:posOffset>40005</wp:posOffset>
                      </wp:positionV>
                      <wp:extent cx="3260090" cy="335280"/>
                      <wp:effectExtent l="635" t="4445" r="3175" b="1587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3260090" cy="33528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5.55pt;margin-top:3.15pt;height:26.4pt;width:256.7pt;z-index:251661312;mso-width-relative:page;mso-height-relative:page;" filled="f" stroked="t" coordsize="21600,21600" o:gfxdata="UEsDBAoAAAAAAIdO4kAAAAAAAAAAAAAAAAAEAAAAZHJzL1BLAwQUAAAACACHTuJAFCkFk9YAAAAI&#10;AQAADwAAAGRycy9kb3ducmV2LnhtbE2PzU7DMBCE70i8g7VIXKrWdioqCHF6AHLjQgviuk2WJCJe&#10;p7H7A0/PcoLbrGY0+02xPvtBHWmKfWAHdmFAEdeh6bl18Lqt5regYkJucAhMDr4owrq8vCgwb8KJ&#10;X+i4Sa2SEo45OuhSGnOtY92Rx7gII7F4H2HymOScWt1MeJJyP+jMmJX22LN86HCkh47qz83BO4jV&#10;G+2r71k9M+/LNlC2f3x+Queur6y5B5XonP7C8Isv6FAK0y4cuIlqcDC31krUwWoJSvwbk4nYibiz&#10;oMtC/x9Q/gBQSwMEFAAAAAgAh07iQOCRXcnvAQAAvQMAAA4AAABkcnMvZTJvRG9jLnhtbK1TzW4T&#10;MRC+I/EOlu9kN4lStatsekhULgUitTzAxOvNWtgey3ayyUvwAkjc4MSRO29DeQzGzg+lXHpgD5bH&#10;M/PNfN/MTq93RrOt9EGhrflwUHImrcBG2XXN39/fvLrkLESwDWi0suZ7Gfj17OWLae8qOcIOdSM9&#10;IxAbqt7VvIvRVUURRCcNhAE6acnZojcQyfTrovHQE7rRxagsL4oefeM8ChkCvS4OTn5E9M8BxLZV&#10;Qi5QbIy08YDqpYZIlEKnXOCz3G3bShHftW2QkemaE9OYTypC91U6i9kUqrUH1ylxbAGe08ITTgaU&#10;paJnqAVEYBuv/oEySngM2MaBQFMciGRFiMWwfKLNXQdOZi4kdXBn0cP/gxVvt0vPVFPzMWcWDA38&#10;4dP3nx+//Prxmc6Hb1/ZOInUu1BR7NwufaIpdvbO3aL4EJjFeQd2LXOz93tHCMOUUfyVkozgqNSq&#10;f4MNxcAmYlZs13qTIEkLtsuD2Z8HI3eRCXocjy7K8opmJsg3Hk9Gl3lyBVSnbOdDfC3RsHSpuVY2&#10;CQcVbG9DTN1AdQpJzxZvlNZ5+NqyvuZXk9EkJwTUqknOFBb8ejXXnm0hrU/+MjXyPA7zuLHNoYi2&#10;KU/mzTtWPlE/iLjCZr/0J31oqrm34wamtXlsZxX//HWz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QpBZPWAAAACAEAAA8AAAAAAAAAAQAgAAAAIgAAAGRycy9kb3ducmV2LnhtbFBLAQIUABQAAAAI&#10;AIdO4kDgkV3J7wEAAL0DAAAOAAAAAAAAAAEAIAAAACUBAABkcnMvZTJvRG9jLnhtbFBLBQYAAAAA&#10;BgAGAFkBAACGBQAAAAA=&#10;">
                      <v:fill on="f" focussize="0,0"/>
                      <v:stroke color="#000000" joinstyle="round"/>
                      <v:imagedata o:title=""/>
                      <o:lock v:ext="edit" aspectratio="f"/>
                    </v:line>
                  </w:pict>
                </mc:Fallback>
              </mc:AlternateContent>
            </w:r>
          </w:p>
          <w:p w14:paraId="40191AC9">
            <w:pPr>
              <w:snapToGrid w:val="0"/>
              <w:textAlignment w:val="baseline"/>
              <w:rPr>
                <w:rFonts w:ascii="宋体" w:hAnsi="宋体" w:cs="宋体"/>
                <w:b/>
                <w:sz w:val="24"/>
                <w:highlight w:val="none"/>
              </w:rPr>
            </w:pPr>
            <w:r>
              <w:rPr>
                <w:rFonts w:hint="eastAsia" w:ascii="宋体" w:hAnsi="宋体" w:cs="宋体"/>
                <w:b/>
                <w:sz w:val="24"/>
                <w:highlight w:val="none"/>
              </w:rPr>
              <w:t>中标金额（万元）</w:t>
            </w:r>
          </w:p>
        </w:tc>
        <w:tc>
          <w:tcPr>
            <w:tcW w:w="4004" w:type="dxa"/>
            <w:tcBorders>
              <w:top w:val="single" w:color="auto" w:sz="4" w:space="0"/>
              <w:left w:val="single" w:color="auto" w:sz="4" w:space="0"/>
              <w:bottom w:val="single" w:color="auto" w:sz="4" w:space="0"/>
              <w:right w:val="single" w:color="auto" w:sz="4" w:space="0"/>
            </w:tcBorders>
            <w:vAlign w:val="center"/>
          </w:tcPr>
          <w:p w14:paraId="1AC228C0">
            <w:pPr>
              <w:snapToGrid w:val="0"/>
              <w:jc w:val="center"/>
              <w:textAlignment w:val="baseline"/>
              <w:rPr>
                <w:rFonts w:ascii="宋体" w:hAnsi="宋体" w:cs="宋体"/>
                <w:b/>
                <w:sz w:val="24"/>
                <w:highlight w:val="none"/>
              </w:rPr>
            </w:pPr>
            <w:r>
              <w:rPr>
                <w:rFonts w:hint="eastAsia" w:ascii="宋体" w:hAnsi="宋体" w:cs="宋体"/>
                <w:b/>
                <w:sz w:val="24"/>
                <w:highlight w:val="none"/>
              </w:rPr>
              <w:t>工程招标</w:t>
            </w:r>
          </w:p>
        </w:tc>
      </w:tr>
      <w:tr w14:paraId="4145A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5195" w:type="dxa"/>
            <w:tcBorders>
              <w:top w:val="single" w:color="auto" w:sz="4" w:space="0"/>
              <w:left w:val="single" w:color="auto" w:sz="4" w:space="0"/>
              <w:bottom w:val="single" w:color="auto" w:sz="4" w:space="0"/>
              <w:right w:val="single" w:color="auto" w:sz="4" w:space="0"/>
            </w:tcBorders>
          </w:tcPr>
          <w:p w14:paraId="0D9F154D">
            <w:pPr>
              <w:snapToGrid w:val="0"/>
              <w:spacing w:line="360" w:lineRule="auto"/>
              <w:jc w:val="center"/>
              <w:textAlignment w:val="baseline"/>
              <w:rPr>
                <w:rFonts w:ascii="宋体" w:hAnsi="宋体" w:cs="宋体"/>
                <w:sz w:val="24"/>
                <w:highlight w:val="none"/>
              </w:rPr>
            </w:pPr>
            <w:r>
              <w:rPr>
                <w:rFonts w:hint="eastAsia" w:ascii="宋体" w:hAnsi="宋体" w:cs="宋体"/>
                <w:sz w:val="24"/>
                <w:highlight w:val="none"/>
              </w:rPr>
              <w:t>100以下</w:t>
            </w:r>
          </w:p>
        </w:tc>
        <w:tc>
          <w:tcPr>
            <w:tcW w:w="4004" w:type="dxa"/>
            <w:tcBorders>
              <w:top w:val="single" w:color="auto" w:sz="4" w:space="0"/>
              <w:left w:val="single" w:color="auto" w:sz="4" w:space="0"/>
              <w:bottom w:val="single" w:color="auto" w:sz="4" w:space="0"/>
              <w:right w:val="single" w:color="auto" w:sz="4" w:space="0"/>
            </w:tcBorders>
          </w:tcPr>
          <w:p w14:paraId="2A56DF77">
            <w:pPr>
              <w:snapToGrid w:val="0"/>
              <w:spacing w:line="360" w:lineRule="auto"/>
              <w:jc w:val="center"/>
              <w:textAlignment w:val="baseline"/>
              <w:rPr>
                <w:rFonts w:ascii="宋体" w:hAnsi="宋体" w:cs="宋体"/>
                <w:sz w:val="24"/>
                <w:highlight w:val="none"/>
              </w:rPr>
            </w:pPr>
            <w:r>
              <w:rPr>
                <w:rFonts w:hint="eastAsia" w:ascii="宋体" w:hAnsi="宋体" w:cs="宋体"/>
                <w:sz w:val="24"/>
                <w:highlight w:val="none"/>
              </w:rPr>
              <w:t>1.0%</w:t>
            </w:r>
          </w:p>
        </w:tc>
      </w:tr>
      <w:tr w14:paraId="40966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5195" w:type="dxa"/>
            <w:tcBorders>
              <w:top w:val="single" w:color="auto" w:sz="4" w:space="0"/>
              <w:left w:val="single" w:color="auto" w:sz="4" w:space="0"/>
              <w:bottom w:val="single" w:color="auto" w:sz="4" w:space="0"/>
              <w:right w:val="single" w:color="auto" w:sz="4" w:space="0"/>
            </w:tcBorders>
          </w:tcPr>
          <w:p w14:paraId="18906D2B">
            <w:pPr>
              <w:snapToGrid w:val="0"/>
              <w:spacing w:line="360" w:lineRule="auto"/>
              <w:jc w:val="center"/>
              <w:textAlignment w:val="baseline"/>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100-500</w:t>
            </w:r>
          </w:p>
        </w:tc>
        <w:tc>
          <w:tcPr>
            <w:tcW w:w="4004" w:type="dxa"/>
            <w:tcBorders>
              <w:top w:val="single" w:color="auto" w:sz="4" w:space="0"/>
              <w:left w:val="single" w:color="auto" w:sz="4" w:space="0"/>
              <w:bottom w:val="single" w:color="auto" w:sz="4" w:space="0"/>
              <w:right w:val="single" w:color="auto" w:sz="4" w:space="0"/>
            </w:tcBorders>
          </w:tcPr>
          <w:p w14:paraId="65D01CA5">
            <w:pPr>
              <w:snapToGrid w:val="0"/>
              <w:spacing w:line="360" w:lineRule="auto"/>
              <w:jc w:val="center"/>
              <w:textAlignment w:val="baseline"/>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0.7%</w:t>
            </w:r>
          </w:p>
        </w:tc>
      </w:tr>
    </w:tbl>
    <w:p w14:paraId="7FDDBAB9">
      <w:pPr>
        <w:snapToGrid w:val="0"/>
        <w:spacing w:line="360" w:lineRule="auto"/>
        <w:ind w:firstLine="482" w:firstLineChars="200"/>
        <w:textAlignment w:val="baseline"/>
        <w:rPr>
          <w:rFonts w:ascii="宋体" w:hAnsi="宋体" w:cs="宋体"/>
          <w:b/>
          <w:bCs/>
          <w:sz w:val="24"/>
          <w:highlight w:val="none"/>
        </w:rPr>
      </w:pPr>
    </w:p>
    <w:p w14:paraId="24D48B37">
      <w:pPr>
        <w:snapToGrid w:val="0"/>
        <w:spacing w:line="360" w:lineRule="auto"/>
        <w:ind w:firstLine="482" w:firstLineChars="200"/>
        <w:textAlignment w:val="baseline"/>
        <w:rPr>
          <w:rFonts w:ascii="宋体" w:hAnsi="宋体" w:cs="宋体"/>
          <w:b/>
          <w:bCs/>
          <w:sz w:val="24"/>
          <w:highlight w:val="none"/>
        </w:rPr>
      </w:pPr>
      <w:r>
        <w:rPr>
          <w:rFonts w:hint="eastAsia" w:ascii="宋体" w:hAnsi="宋体" w:cs="宋体"/>
          <w:b/>
          <w:bCs/>
          <w:sz w:val="24"/>
          <w:highlight w:val="none"/>
        </w:rPr>
        <w:t>中标服务费由中标供应商汇至以下账户：</w:t>
      </w:r>
    </w:p>
    <w:p w14:paraId="15FAAA52">
      <w:pPr>
        <w:pStyle w:val="23"/>
        <w:snapToGrid w:val="0"/>
        <w:spacing w:before="0" w:beforeLines="0" w:after="0" w:afterLines="0" w:line="360" w:lineRule="auto"/>
        <w:ind w:firstLine="420"/>
        <w:rPr>
          <w:rFonts w:hAnsi="宋体" w:cs="宋体"/>
          <w:color w:val="auto"/>
          <w:highlight w:val="none"/>
        </w:rPr>
      </w:pPr>
      <w:r>
        <w:rPr>
          <w:rFonts w:hint="eastAsia" w:hAnsi="宋体" w:cs="宋体"/>
          <w:color w:val="auto"/>
          <w:highlight w:val="none"/>
        </w:rPr>
        <w:t>汇款帐户名称：浙江衢州公信工程管理有限公司东阳分公司</w:t>
      </w:r>
    </w:p>
    <w:p w14:paraId="20CA4714">
      <w:pPr>
        <w:pStyle w:val="23"/>
        <w:snapToGrid w:val="0"/>
        <w:spacing w:before="120" w:after="120" w:line="360" w:lineRule="auto"/>
        <w:ind w:firstLine="480" w:firstLineChars="200"/>
        <w:rPr>
          <w:rFonts w:hAnsi="宋体" w:cs="宋体"/>
          <w:color w:val="auto"/>
          <w:highlight w:val="none"/>
        </w:rPr>
      </w:pPr>
      <w:r>
        <w:rPr>
          <w:rFonts w:hint="eastAsia" w:hAnsi="宋体" w:cs="宋体"/>
          <w:color w:val="auto"/>
          <w:highlight w:val="none"/>
        </w:rPr>
        <w:t>银行账号：1208040009200230330</w:t>
      </w:r>
    </w:p>
    <w:p w14:paraId="1CA75D32">
      <w:pPr>
        <w:pStyle w:val="23"/>
        <w:snapToGrid w:val="0"/>
        <w:spacing w:before="120" w:after="120" w:line="360" w:lineRule="auto"/>
        <w:ind w:firstLine="480" w:firstLineChars="200"/>
        <w:rPr>
          <w:color w:val="auto"/>
          <w:highlight w:val="none"/>
        </w:rPr>
      </w:pPr>
      <w:r>
        <w:rPr>
          <w:rFonts w:hint="eastAsia" w:hAnsi="宋体" w:cs="宋体"/>
          <w:color w:val="auto"/>
          <w:highlight w:val="none"/>
        </w:rPr>
        <w:t>开户银行：工商银行东阳支行</w:t>
      </w:r>
    </w:p>
    <w:p w14:paraId="65AFEFBB">
      <w:pPr>
        <w:spacing w:line="440" w:lineRule="exact"/>
        <w:rPr>
          <w:rFonts w:ascii="宋体" w:hAnsi="宋体" w:cs="宋体"/>
          <w:sz w:val="24"/>
          <w:highlight w:val="none"/>
        </w:rPr>
      </w:pPr>
      <w:r>
        <w:rPr>
          <w:rFonts w:hint="eastAsia" w:ascii="宋体" w:hAnsi="宋体" w:cs="宋体"/>
          <w:b/>
          <w:sz w:val="24"/>
          <w:highlight w:val="none"/>
        </w:rPr>
        <w:t>（六）联合体</w:t>
      </w:r>
      <w:r>
        <w:rPr>
          <w:rFonts w:hint="eastAsia" w:ascii="宋体" w:hAnsi="宋体" w:cs="宋体"/>
          <w:b/>
          <w:bCs/>
          <w:sz w:val="24"/>
          <w:highlight w:val="none"/>
        </w:rPr>
        <w:t>投标</w:t>
      </w:r>
      <w:r>
        <w:rPr>
          <w:rFonts w:hint="eastAsia" w:ascii="宋体" w:hAnsi="宋体" w:cs="宋体"/>
          <w:b/>
          <w:sz w:val="24"/>
          <w:highlight w:val="none"/>
        </w:rPr>
        <w:tab/>
      </w:r>
    </w:p>
    <w:p w14:paraId="78461C09">
      <w:pPr>
        <w:spacing w:line="440" w:lineRule="exact"/>
        <w:ind w:firstLine="240" w:firstLineChars="100"/>
        <w:rPr>
          <w:rFonts w:ascii="宋体" w:hAnsi="宋体" w:cs="宋体"/>
          <w:sz w:val="24"/>
          <w:highlight w:val="none"/>
        </w:rPr>
      </w:pPr>
      <w:r>
        <w:rPr>
          <w:rFonts w:hint="eastAsia" w:ascii="宋体" w:hAnsi="宋体" w:cs="宋体"/>
          <w:sz w:val="24"/>
          <w:highlight w:val="none"/>
        </w:rPr>
        <w:t>本项目接受联合体投标。</w:t>
      </w:r>
    </w:p>
    <w:p w14:paraId="0786EFC0">
      <w:pPr>
        <w:spacing w:line="440" w:lineRule="exact"/>
        <w:rPr>
          <w:rFonts w:ascii="宋体" w:hAnsi="宋体" w:cs="宋体"/>
          <w:b/>
          <w:kern w:val="0"/>
          <w:sz w:val="24"/>
          <w:highlight w:val="none"/>
        </w:rPr>
      </w:pPr>
      <w:r>
        <w:rPr>
          <w:rFonts w:hint="eastAsia" w:ascii="宋体" w:hAnsi="宋体" w:cs="宋体"/>
          <w:b/>
          <w:sz w:val="24"/>
          <w:highlight w:val="none"/>
        </w:rPr>
        <w:t>（七）</w:t>
      </w:r>
      <w:r>
        <w:rPr>
          <w:rFonts w:hint="eastAsia" w:ascii="宋体" w:hAnsi="宋体" w:cs="宋体"/>
          <w:b/>
          <w:kern w:val="0"/>
          <w:sz w:val="24"/>
          <w:highlight w:val="none"/>
        </w:rPr>
        <w:t>转包与分包</w:t>
      </w:r>
    </w:p>
    <w:p w14:paraId="3D8939BF">
      <w:pPr>
        <w:spacing w:line="440" w:lineRule="exact"/>
        <w:ind w:firstLine="240" w:firstLineChars="100"/>
        <w:rPr>
          <w:rFonts w:ascii="宋体" w:hAnsi="宋体" w:cs="宋体"/>
          <w:kern w:val="0"/>
          <w:sz w:val="24"/>
          <w:highlight w:val="none"/>
        </w:rPr>
      </w:pPr>
      <w:r>
        <w:rPr>
          <w:rFonts w:hint="eastAsia" w:ascii="宋体" w:hAnsi="宋体" w:cs="宋体"/>
          <w:kern w:val="0"/>
          <w:sz w:val="24"/>
          <w:highlight w:val="none"/>
        </w:rPr>
        <w:t>1.本项目不允许转包。</w:t>
      </w:r>
    </w:p>
    <w:p w14:paraId="0AA5D88B">
      <w:pPr>
        <w:spacing w:line="440" w:lineRule="exact"/>
        <w:ind w:firstLine="240" w:firstLineChars="100"/>
        <w:rPr>
          <w:rFonts w:ascii="宋体" w:hAnsi="宋体" w:cs="宋体"/>
          <w:kern w:val="0"/>
          <w:sz w:val="24"/>
          <w:highlight w:val="none"/>
        </w:rPr>
      </w:pPr>
      <w:r>
        <w:rPr>
          <w:rFonts w:hint="eastAsia" w:ascii="宋体" w:hAnsi="宋体" w:cs="宋体"/>
          <w:kern w:val="0"/>
          <w:sz w:val="24"/>
          <w:highlight w:val="none"/>
        </w:rPr>
        <w:t>2.本项目允许分包。</w:t>
      </w:r>
    </w:p>
    <w:p w14:paraId="7BA70969">
      <w:pPr>
        <w:spacing w:line="440" w:lineRule="exact"/>
        <w:rPr>
          <w:rFonts w:ascii="宋体" w:hAnsi="宋体" w:cs="宋体"/>
          <w:b/>
          <w:bCs/>
          <w:sz w:val="24"/>
          <w:highlight w:val="none"/>
        </w:rPr>
      </w:pPr>
      <w:r>
        <w:rPr>
          <w:rFonts w:hint="eastAsia" w:ascii="宋体" w:hAnsi="宋体" w:cs="宋体"/>
          <w:b/>
          <w:bCs/>
          <w:sz w:val="24"/>
          <w:highlight w:val="none"/>
        </w:rPr>
        <w:t>（八）特别说明：</w:t>
      </w:r>
    </w:p>
    <w:p w14:paraId="155E34C9">
      <w:pPr>
        <w:spacing w:line="440" w:lineRule="exact"/>
        <w:rPr>
          <w:rFonts w:ascii="宋体" w:hAnsi="宋体"/>
          <w:b/>
          <w:sz w:val="24"/>
          <w:highlight w:val="none"/>
        </w:rPr>
      </w:pPr>
      <w:r>
        <w:rPr>
          <w:rFonts w:ascii="宋体" w:hAnsi="宋体"/>
          <w:b/>
          <w:sz w:val="24"/>
          <w:highlight w:val="none"/>
        </w:rPr>
        <w:t>*1</w:t>
      </w:r>
      <w:r>
        <w:rPr>
          <w:rFonts w:hint="eastAsia" w:ascii="宋体" w:hAnsi="宋体"/>
          <w:b/>
          <w:sz w:val="24"/>
          <w:highlight w:val="none"/>
        </w:rPr>
        <w:t>.</w:t>
      </w:r>
      <w:r>
        <w:rPr>
          <w:rFonts w:hint="eastAsia" w:ascii="宋体" w:hAnsi="宋体"/>
          <w:sz w:val="24"/>
          <w:highlight w:val="none"/>
        </w:rPr>
        <w:t>多个供应商参加磋商，如其中两家或两家以上供应商的法定代表人为同一人或相互之间存在投资关系且达到控股的，应当按一个供应商认定。</w:t>
      </w:r>
    </w:p>
    <w:p w14:paraId="2DE59AFB">
      <w:pPr>
        <w:spacing w:line="440" w:lineRule="exact"/>
        <w:rPr>
          <w:rFonts w:ascii="宋体" w:hAnsi="宋体"/>
          <w:sz w:val="24"/>
          <w:highlight w:val="none"/>
        </w:rPr>
      </w:pPr>
      <w:r>
        <w:rPr>
          <w:rFonts w:hint="eastAsia" w:ascii="宋体" w:hAnsi="宋体"/>
          <w:b/>
          <w:sz w:val="24"/>
          <w:highlight w:val="none"/>
        </w:rPr>
        <w:t>*</w:t>
      </w:r>
      <w:r>
        <w:rPr>
          <w:rFonts w:hint="eastAsia" w:ascii="宋体" w:hAnsi="宋体"/>
          <w:sz w:val="24"/>
          <w:highlight w:val="none"/>
        </w:rPr>
        <w:t>2.供应商磋商所使用的资格、信誉、荣誉与企业认证必须为本法人所拥有。供应商磋商所使用的采购项目实施人员必须为本法人员工（或必须为本法人或控股公司正式员工）。</w:t>
      </w:r>
    </w:p>
    <w:p w14:paraId="34ADA24A">
      <w:pPr>
        <w:spacing w:line="440" w:lineRule="exact"/>
        <w:rPr>
          <w:rFonts w:ascii="宋体" w:hAnsi="宋体"/>
          <w:sz w:val="24"/>
          <w:highlight w:val="none"/>
        </w:rPr>
      </w:pPr>
      <w:r>
        <w:rPr>
          <w:rFonts w:hint="eastAsia" w:ascii="宋体" w:hAnsi="宋体"/>
          <w:b/>
          <w:sz w:val="24"/>
          <w:highlight w:val="none"/>
        </w:rPr>
        <w:t>*</w:t>
      </w:r>
      <w:r>
        <w:rPr>
          <w:rFonts w:hint="eastAsia" w:ascii="宋体" w:hAnsi="宋体"/>
          <w:sz w:val="24"/>
          <w:highlight w:val="none"/>
        </w:rPr>
        <w:t>3.供应商应仔细阅读磋商文件的所有内容，按照磋商文件的要求提交磋商响应文件，并对所提供的全部资料的真实性承担法律责任。</w:t>
      </w:r>
    </w:p>
    <w:p w14:paraId="7DF6FDC4">
      <w:pPr>
        <w:spacing w:line="440" w:lineRule="exact"/>
        <w:rPr>
          <w:rFonts w:ascii="宋体" w:hAnsi="宋体"/>
          <w:sz w:val="24"/>
          <w:highlight w:val="none"/>
        </w:rPr>
      </w:pPr>
      <w:r>
        <w:rPr>
          <w:rFonts w:hint="eastAsia" w:ascii="宋体" w:hAnsi="宋体"/>
          <w:b/>
          <w:sz w:val="24"/>
          <w:highlight w:val="none"/>
        </w:rPr>
        <w:t>*</w:t>
      </w:r>
      <w:r>
        <w:rPr>
          <w:rFonts w:hint="eastAsia" w:ascii="宋体" w:hAnsi="宋体"/>
          <w:sz w:val="24"/>
          <w:highlight w:val="none"/>
        </w:rPr>
        <w:t>4.供应商在磋商活动中提供任何虚假材料,其磋商无效，并报监管部门查处；中标后发现的,中标人须依照《中华人民共和国消费者权益保护法》第49条之规定双倍赔偿采购人，且民事赔偿并不免除违法供应商的行政与刑事责任。</w:t>
      </w:r>
    </w:p>
    <w:p w14:paraId="66AD074A">
      <w:pPr>
        <w:spacing w:line="440" w:lineRule="exact"/>
        <w:rPr>
          <w:sz w:val="24"/>
          <w:highlight w:val="none"/>
        </w:rPr>
      </w:pPr>
      <w:r>
        <w:rPr>
          <w:rFonts w:hint="eastAsia" w:ascii="宋体" w:hAnsi="宋体" w:cs="宋体"/>
          <w:sz w:val="24"/>
          <w:highlight w:val="none"/>
        </w:rPr>
        <w:t>*5. 磋商小组认为预中标人的磋商报价明显低于其他通过符合性审查供应商的报价，有可能影响产品质量或者不能诚信履约的，应当要求其在磋商现场合理的时间内提供书面说明，必要时提交相关证明材料，预中标人不能证明其报价合理性的，磋商小组应当将其作为无效磋商响应处理。</w:t>
      </w:r>
    </w:p>
    <w:p w14:paraId="3902E8D1">
      <w:pPr>
        <w:spacing w:line="440" w:lineRule="exact"/>
        <w:rPr>
          <w:rFonts w:ascii="宋体" w:hAnsi="宋体"/>
          <w:sz w:val="24"/>
          <w:highlight w:val="none"/>
        </w:rPr>
      </w:pPr>
      <w:r>
        <w:rPr>
          <w:rFonts w:ascii="宋体" w:hAnsi="宋体"/>
          <w:sz w:val="24"/>
          <w:highlight w:val="none"/>
        </w:rPr>
        <w:t>*</w:t>
      </w:r>
      <w:r>
        <w:rPr>
          <w:rFonts w:hint="eastAsia" w:ascii="宋体" w:hAnsi="宋体"/>
          <w:sz w:val="24"/>
          <w:highlight w:val="none"/>
        </w:rPr>
        <w:t>6.</w:t>
      </w:r>
      <w:r>
        <w:rPr>
          <w:rFonts w:ascii="宋体" w:hAnsi="宋体"/>
          <w:sz w:val="24"/>
          <w:highlight w:val="none"/>
        </w:rPr>
        <w:t xml:space="preserve"> 招标方不保证最低报价者为中标方。</w:t>
      </w:r>
    </w:p>
    <w:p w14:paraId="31B2E6DD">
      <w:pPr>
        <w:spacing w:line="440" w:lineRule="exact"/>
        <w:rPr>
          <w:rFonts w:ascii="宋体" w:hAnsi="宋体"/>
          <w:sz w:val="24"/>
          <w:highlight w:val="none"/>
        </w:rPr>
      </w:pPr>
      <w:r>
        <w:rPr>
          <w:rFonts w:ascii="宋体" w:hAnsi="宋体"/>
          <w:sz w:val="24"/>
          <w:highlight w:val="none"/>
        </w:rPr>
        <w:t>*</w:t>
      </w:r>
      <w:r>
        <w:rPr>
          <w:rFonts w:hint="eastAsia" w:ascii="宋体" w:hAnsi="宋体"/>
          <w:sz w:val="24"/>
          <w:highlight w:val="none"/>
        </w:rPr>
        <w:t>7</w:t>
      </w:r>
      <w:r>
        <w:rPr>
          <w:rFonts w:ascii="宋体" w:hAnsi="宋体"/>
          <w:sz w:val="24"/>
          <w:highlight w:val="none"/>
        </w:rPr>
        <w:t>.</w:t>
      </w:r>
      <w:r>
        <w:rPr>
          <w:rFonts w:hint="eastAsia" w:ascii="宋体" w:hAnsi="宋体"/>
          <w:sz w:val="24"/>
          <w:highlight w:val="none"/>
        </w:rPr>
        <w:t>“政采云”平台运营机构，以及与该机构有直接控股或者管理关系可能影响采购公正性的任何单位和个人，不得在该平台进行的政府采购项目电子交易中磋商、响应政府采购项目。</w:t>
      </w:r>
    </w:p>
    <w:p w14:paraId="1376452D">
      <w:pPr>
        <w:spacing w:line="440" w:lineRule="exact"/>
        <w:rPr>
          <w:rFonts w:ascii="宋体" w:hAnsi="宋体" w:cs="宋体"/>
          <w:b/>
          <w:bCs/>
          <w:sz w:val="24"/>
          <w:highlight w:val="none"/>
        </w:rPr>
      </w:pPr>
      <w:r>
        <w:rPr>
          <w:rFonts w:hint="eastAsia" w:ascii="宋体" w:hAnsi="宋体" w:cs="宋体"/>
          <w:b/>
          <w:bCs/>
          <w:sz w:val="24"/>
          <w:highlight w:val="none"/>
        </w:rPr>
        <w:t>（九）质疑和投诉</w:t>
      </w:r>
    </w:p>
    <w:p w14:paraId="7B7CF20C">
      <w:pPr>
        <w:spacing w:line="440" w:lineRule="exact"/>
        <w:rPr>
          <w:rFonts w:ascii="宋体" w:hAnsi="宋体" w:cs="宋体"/>
          <w:sz w:val="24"/>
          <w:highlight w:val="none"/>
        </w:rPr>
      </w:pPr>
      <w:r>
        <w:rPr>
          <w:rFonts w:hint="eastAsia" w:ascii="宋体" w:hAnsi="宋体" w:cs="宋体"/>
          <w:sz w:val="24"/>
          <w:highlight w:val="none"/>
        </w:rPr>
        <w:t>1.供应商认为磋商文件、招标过程或中标结果使自己的合法权益受到损害的，应当在知道或者应知其权益受到损害之日起七个工作日内，以书面形式向采购人、招标方提出质疑。供应商对招标方的质疑答复不满意或者招标方未在规定时间内作出答复的，可以在答复期满后十五个工作日内向同级采购监管部门投诉。</w:t>
      </w:r>
    </w:p>
    <w:p w14:paraId="212CEA18">
      <w:pPr>
        <w:spacing w:line="440" w:lineRule="exact"/>
        <w:rPr>
          <w:rFonts w:ascii="宋体" w:hAnsi="宋体" w:cs="宋体"/>
          <w:sz w:val="24"/>
          <w:highlight w:val="none"/>
        </w:rPr>
      </w:pPr>
      <w:r>
        <w:rPr>
          <w:rFonts w:hint="eastAsia" w:ascii="宋体" w:hAnsi="宋体" w:cs="宋体"/>
          <w:sz w:val="24"/>
          <w:highlight w:val="none"/>
        </w:rPr>
        <w:t>2.质疑、投诉应当采用书面形式，质疑书、投诉书均应明确阐述磋商文件、招标过程或中标结果中使自己合法权益受到损害的实质性内容，提供相关事实、依据和证据及其来源或线索，便于有关单位调查、答复和处理。</w:t>
      </w:r>
    </w:p>
    <w:p w14:paraId="4773F511">
      <w:pPr>
        <w:spacing w:line="440" w:lineRule="exact"/>
        <w:rPr>
          <w:rFonts w:ascii="宋体" w:hAnsi="宋体" w:cs="宋体"/>
          <w:sz w:val="24"/>
          <w:highlight w:val="none"/>
        </w:rPr>
      </w:pPr>
      <w:r>
        <w:rPr>
          <w:rFonts w:hint="eastAsia" w:ascii="宋体" w:hAnsi="宋体" w:cs="宋体"/>
          <w:sz w:val="24"/>
          <w:highlight w:val="none"/>
        </w:rPr>
        <w:t>3. 采购人、招标方应当按照《浙江省政府采购供应商质疑处理办法》、中华人民共和国财政部第94号令《政府采购质疑和投诉办法》、《政府采购竞争性磋商采购方式管理暂行办法》进行受理与答复质疑。</w:t>
      </w:r>
    </w:p>
    <w:p w14:paraId="41BD3DD8">
      <w:pPr>
        <w:pStyle w:val="4"/>
        <w:keepNext w:val="0"/>
        <w:keepLines w:val="0"/>
        <w:pageBreakBefore/>
        <w:spacing w:line="360" w:lineRule="auto"/>
        <w:jc w:val="center"/>
        <w:rPr>
          <w:rFonts w:ascii="宋体" w:hAnsi="宋体" w:eastAsia="宋体" w:cs="宋体"/>
          <w:sz w:val="24"/>
          <w:szCs w:val="24"/>
          <w:highlight w:val="none"/>
        </w:rPr>
      </w:pPr>
      <w:bookmarkStart w:id="12" w:name="_Toc454196066"/>
      <w:bookmarkStart w:id="13" w:name="_Toc458697268"/>
      <w:bookmarkStart w:id="14" w:name="_Toc174369996"/>
      <w:r>
        <w:rPr>
          <w:rFonts w:hint="eastAsia" w:ascii="宋体" w:hAnsi="宋体" w:eastAsia="宋体" w:cs="宋体"/>
          <w:sz w:val="24"/>
          <w:szCs w:val="24"/>
          <w:highlight w:val="none"/>
        </w:rPr>
        <w:t>二、</w:t>
      </w:r>
      <w:bookmarkEnd w:id="12"/>
      <w:bookmarkEnd w:id="13"/>
      <w:r>
        <w:rPr>
          <w:rFonts w:hint="eastAsia" w:ascii="宋体" w:hAnsi="宋体" w:eastAsia="宋体" w:cs="宋体"/>
          <w:sz w:val="24"/>
          <w:szCs w:val="24"/>
          <w:highlight w:val="none"/>
        </w:rPr>
        <w:t>磋商文件</w:t>
      </w:r>
      <w:bookmarkEnd w:id="14"/>
    </w:p>
    <w:p w14:paraId="2A3A10EB">
      <w:pPr>
        <w:spacing w:line="360" w:lineRule="auto"/>
        <w:rPr>
          <w:rFonts w:ascii="宋体" w:hAnsi="宋体" w:cs="宋体"/>
          <w:b/>
          <w:sz w:val="24"/>
          <w:highlight w:val="none"/>
        </w:rPr>
      </w:pPr>
      <w:r>
        <w:rPr>
          <w:rFonts w:hint="eastAsia" w:ascii="宋体" w:hAnsi="宋体" w:cs="宋体"/>
          <w:b/>
          <w:sz w:val="24"/>
          <w:highlight w:val="none"/>
        </w:rPr>
        <w:t>（一）磋商文件的构成。本磋商文件由以下部分组成：</w:t>
      </w:r>
    </w:p>
    <w:p w14:paraId="0215B0EE">
      <w:pPr>
        <w:spacing w:line="360" w:lineRule="auto"/>
        <w:rPr>
          <w:rFonts w:ascii="宋体" w:hAnsi="宋体" w:cs="宋体"/>
          <w:sz w:val="24"/>
          <w:highlight w:val="none"/>
        </w:rPr>
      </w:pPr>
      <w:r>
        <w:rPr>
          <w:rFonts w:hint="eastAsia" w:ascii="宋体" w:hAnsi="宋体" w:cs="宋体"/>
          <w:sz w:val="24"/>
          <w:highlight w:val="none"/>
        </w:rPr>
        <w:t>1.磋商公告</w:t>
      </w:r>
    </w:p>
    <w:p w14:paraId="0B0E390D">
      <w:pPr>
        <w:spacing w:line="360" w:lineRule="auto"/>
        <w:rPr>
          <w:rFonts w:ascii="宋体" w:hAnsi="宋体" w:cs="宋体"/>
          <w:sz w:val="24"/>
          <w:highlight w:val="none"/>
        </w:rPr>
      </w:pPr>
      <w:r>
        <w:rPr>
          <w:rFonts w:hint="eastAsia" w:ascii="宋体" w:hAnsi="宋体" w:cs="宋体"/>
          <w:sz w:val="24"/>
          <w:highlight w:val="none"/>
        </w:rPr>
        <w:t>2.招标需求</w:t>
      </w:r>
    </w:p>
    <w:p w14:paraId="4B9C43DD">
      <w:pPr>
        <w:spacing w:line="360" w:lineRule="auto"/>
        <w:rPr>
          <w:rFonts w:ascii="宋体" w:hAnsi="宋体" w:cs="宋体"/>
          <w:sz w:val="24"/>
          <w:highlight w:val="none"/>
        </w:rPr>
      </w:pPr>
      <w:r>
        <w:rPr>
          <w:rFonts w:hint="eastAsia" w:ascii="宋体" w:hAnsi="宋体" w:cs="宋体"/>
          <w:sz w:val="24"/>
          <w:highlight w:val="none"/>
        </w:rPr>
        <w:t>3.供应商须知</w:t>
      </w:r>
    </w:p>
    <w:p w14:paraId="4934ACAA">
      <w:pPr>
        <w:spacing w:line="360" w:lineRule="auto"/>
        <w:rPr>
          <w:rFonts w:ascii="宋体" w:hAnsi="宋体" w:cs="宋体"/>
          <w:sz w:val="24"/>
          <w:highlight w:val="none"/>
        </w:rPr>
      </w:pPr>
      <w:r>
        <w:rPr>
          <w:rFonts w:hint="eastAsia" w:ascii="宋体" w:hAnsi="宋体" w:cs="宋体"/>
          <w:sz w:val="24"/>
          <w:highlight w:val="none"/>
        </w:rPr>
        <w:t>4.磋商办法及标准</w:t>
      </w:r>
    </w:p>
    <w:p w14:paraId="34FD0D97">
      <w:pPr>
        <w:spacing w:line="360" w:lineRule="auto"/>
        <w:rPr>
          <w:rFonts w:ascii="宋体" w:hAnsi="宋体" w:cs="宋体"/>
          <w:sz w:val="24"/>
          <w:highlight w:val="none"/>
        </w:rPr>
      </w:pPr>
      <w:r>
        <w:rPr>
          <w:rFonts w:hint="eastAsia" w:ascii="宋体" w:hAnsi="宋体" w:cs="宋体"/>
          <w:sz w:val="24"/>
          <w:highlight w:val="none"/>
        </w:rPr>
        <w:t>5.合同主要条款</w:t>
      </w:r>
    </w:p>
    <w:p w14:paraId="3C55F51B">
      <w:pPr>
        <w:spacing w:line="360" w:lineRule="auto"/>
        <w:rPr>
          <w:rFonts w:ascii="宋体" w:hAnsi="宋体" w:cs="宋体"/>
          <w:sz w:val="24"/>
          <w:highlight w:val="none"/>
        </w:rPr>
      </w:pPr>
      <w:r>
        <w:rPr>
          <w:rFonts w:hint="eastAsia" w:ascii="宋体" w:hAnsi="宋体" w:cs="宋体"/>
          <w:sz w:val="24"/>
          <w:highlight w:val="none"/>
        </w:rPr>
        <w:t>6.磋商响应文件格式</w:t>
      </w:r>
    </w:p>
    <w:p w14:paraId="43310D3B">
      <w:pPr>
        <w:spacing w:line="360" w:lineRule="auto"/>
        <w:rPr>
          <w:rFonts w:ascii="宋体" w:hAnsi="宋体" w:cs="宋体"/>
          <w:sz w:val="24"/>
          <w:highlight w:val="none"/>
        </w:rPr>
      </w:pPr>
      <w:r>
        <w:rPr>
          <w:rFonts w:hint="eastAsia" w:ascii="宋体" w:hAnsi="宋体" w:cs="宋体"/>
          <w:sz w:val="24"/>
          <w:highlight w:val="none"/>
        </w:rPr>
        <w:t>7.本项目磋商文件的澄清、答复、修改、补充的内容</w:t>
      </w:r>
    </w:p>
    <w:p w14:paraId="5EA64693">
      <w:pPr>
        <w:spacing w:line="360" w:lineRule="auto"/>
        <w:rPr>
          <w:rFonts w:ascii="宋体" w:hAnsi="宋体" w:cs="宋体"/>
          <w:b/>
          <w:sz w:val="24"/>
          <w:highlight w:val="none"/>
        </w:rPr>
      </w:pPr>
      <w:r>
        <w:rPr>
          <w:rFonts w:hint="eastAsia" w:ascii="宋体" w:hAnsi="宋体" w:cs="宋体"/>
          <w:b/>
          <w:sz w:val="24"/>
          <w:highlight w:val="none"/>
        </w:rPr>
        <w:t>（二）供应商的风险</w:t>
      </w:r>
    </w:p>
    <w:p w14:paraId="05187B39">
      <w:pPr>
        <w:spacing w:line="360" w:lineRule="auto"/>
        <w:ind w:firstLine="480" w:firstLineChars="200"/>
        <w:rPr>
          <w:rFonts w:ascii="宋体" w:hAnsi="宋体" w:cs="宋体"/>
          <w:sz w:val="24"/>
          <w:highlight w:val="none"/>
        </w:rPr>
      </w:pPr>
      <w:r>
        <w:rPr>
          <w:rFonts w:hint="eastAsia" w:ascii="宋体" w:hAnsi="宋体" w:cs="宋体"/>
          <w:sz w:val="24"/>
          <w:highlight w:val="none"/>
        </w:rPr>
        <w:t>供应商没有按照磋商文件要求提供全部资料，或者供应商没有对磋商文件在各方面作出实质性响应是供应商的风险，并可能导致其磋商被拒绝。</w:t>
      </w:r>
    </w:p>
    <w:p w14:paraId="2D05442B">
      <w:pPr>
        <w:spacing w:line="360" w:lineRule="auto"/>
        <w:rPr>
          <w:rFonts w:ascii="宋体" w:hAnsi="宋体" w:cs="宋体"/>
          <w:b/>
          <w:sz w:val="24"/>
          <w:highlight w:val="none"/>
        </w:rPr>
      </w:pPr>
      <w:r>
        <w:rPr>
          <w:rFonts w:hint="eastAsia" w:ascii="宋体" w:hAnsi="宋体" w:cs="宋体"/>
          <w:b/>
          <w:sz w:val="24"/>
          <w:highlight w:val="none"/>
        </w:rPr>
        <w:t xml:space="preserve">（三）磋商文件的澄清与修改 </w:t>
      </w:r>
    </w:p>
    <w:p w14:paraId="61C45111">
      <w:pPr>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bCs/>
          <w:sz w:val="24"/>
          <w:highlight w:val="none"/>
        </w:rPr>
        <w:t>供应商应认真阅读本磋商文件，发现其中有误或有不合理要求的，供应商应当按照磋商公告第三、八条规定以书面形式要求招标方澄清</w:t>
      </w:r>
      <w:r>
        <w:rPr>
          <w:rFonts w:hint="eastAsia" w:ascii="宋体" w:hAnsi="宋体" w:cs="宋体"/>
          <w:sz w:val="24"/>
          <w:highlight w:val="none"/>
        </w:rPr>
        <w:t>。招标方对已发出的磋商文件进行必要澄清、答复、修改或补充的，应当在磋商文件要求提交磋商响应文件截止时间5日前，在财政部门指定的政府采购信息发布媒体上发布更正公告，并以书面形式通知所有磋商文件收受人。</w:t>
      </w:r>
    </w:p>
    <w:p w14:paraId="20CBE23C">
      <w:pPr>
        <w:spacing w:line="360" w:lineRule="auto"/>
        <w:ind w:firstLine="480" w:firstLineChars="200"/>
        <w:rPr>
          <w:rFonts w:ascii="宋体" w:hAnsi="宋体" w:cs="宋体"/>
          <w:sz w:val="24"/>
          <w:highlight w:val="none"/>
        </w:rPr>
      </w:pPr>
      <w:r>
        <w:rPr>
          <w:rFonts w:hint="eastAsia" w:ascii="宋体" w:hAnsi="宋体" w:cs="宋体"/>
          <w:sz w:val="24"/>
          <w:highlight w:val="none"/>
        </w:rPr>
        <w:t>2.招标方必须以书面形式答复供应商要求澄清的问题，并将不包含问题来源的答复书面通知所有购买磋商文件的供应商；除书面答复以外的其他澄清方式及澄清内容均无效。</w:t>
      </w:r>
    </w:p>
    <w:p w14:paraId="17919858">
      <w:pPr>
        <w:spacing w:line="360" w:lineRule="auto"/>
        <w:ind w:firstLine="480" w:firstLineChars="200"/>
        <w:rPr>
          <w:rFonts w:ascii="宋体" w:hAnsi="宋体" w:cs="宋体"/>
          <w:sz w:val="24"/>
          <w:highlight w:val="none"/>
        </w:rPr>
      </w:pPr>
      <w:r>
        <w:rPr>
          <w:rFonts w:hint="eastAsia" w:ascii="宋体" w:hAnsi="宋体" w:cs="宋体"/>
          <w:sz w:val="24"/>
          <w:highlight w:val="none"/>
        </w:rPr>
        <w:t>3.磋商文件澄清、答复、修改、补充的内容为磋商文件的组成部分。当磋商文件与磋商文件的答复、澄清、修改、补充通知就同一内容的表述不一致时，以最后发出的书面文件为准。</w:t>
      </w:r>
    </w:p>
    <w:p w14:paraId="6069915C">
      <w:pPr>
        <w:spacing w:line="360" w:lineRule="auto"/>
        <w:ind w:firstLine="480"/>
        <w:rPr>
          <w:rFonts w:ascii="宋体" w:hAnsi="宋体" w:cs="宋体"/>
          <w:sz w:val="24"/>
          <w:highlight w:val="none"/>
        </w:rPr>
      </w:pPr>
      <w:r>
        <w:rPr>
          <w:rFonts w:hint="eastAsia" w:ascii="宋体" w:hAnsi="宋体" w:cs="宋体"/>
          <w:sz w:val="24"/>
          <w:highlight w:val="none"/>
        </w:rPr>
        <w:t>4.磋商文件的澄清、答复、修改或补充都应该通过本招标机构以法定形式发布，采购人非通过本机构，不得擅自澄清、答复、修改或补充磋商文件。</w:t>
      </w:r>
    </w:p>
    <w:p w14:paraId="597C4965">
      <w:pPr>
        <w:spacing w:line="360" w:lineRule="auto"/>
        <w:ind w:firstLine="480"/>
        <w:rPr>
          <w:rFonts w:ascii="宋体" w:hAnsi="宋体" w:cs="宋体"/>
          <w:sz w:val="24"/>
          <w:highlight w:val="none"/>
        </w:rPr>
      </w:pPr>
      <w:r>
        <w:rPr>
          <w:rFonts w:hint="eastAsia" w:ascii="宋体" w:hAnsi="宋体" w:cs="宋体"/>
          <w:sz w:val="24"/>
          <w:highlight w:val="none"/>
        </w:rPr>
        <w:t>5、磋商过程中，实质性变动的内容，经采购人代表确认后，磋商小组可以根据磋商文件和磋商情况实质性变动采购需求中的技术、服务要求以及合同草案条款，但不得变动磋商文件中其他内容，否则磋商小组不得变动磋商文件中的实质性内容。供应商应当根据磋商变动情况和磋商小组的要求重新提交响应内容，响应内容应当通过电子交易平台交换数据电文的形式提交。</w:t>
      </w:r>
    </w:p>
    <w:p w14:paraId="30392F96">
      <w:pPr>
        <w:pStyle w:val="4"/>
        <w:keepNext w:val="0"/>
        <w:keepLines w:val="0"/>
        <w:pageBreakBefore/>
        <w:spacing w:line="240" w:lineRule="auto"/>
        <w:jc w:val="center"/>
        <w:rPr>
          <w:rFonts w:ascii="宋体" w:hAnsi="宋体" w:eastAsia="宋体" w:cs="宋体"/>
          <w:sz w:val="24"/>
          <w:szCs w:val="24"/>
          <w:highlight w:val="none"/>
        </w:rPr>
      </w:pPr>
      <w:bookmarkStart w:id="15" w:name="_Toc458697269"/>
      <w:bookmarkStart w:id="16" w:name="_Toc454196067"/>
      <w:bookmarkStart w:id="17" w:name="_Toc174369997"/>
      <w:r>
        <w:rPr>
          <w:rFonts w:hint="eastAsia" w:ascii="宋体" w:hAnsi="宋体" w:eastAsia="宋体" w:cs="宋体"/>
          <w:sz w:val="24"/>
          <w:szCs w:val="24"/>
          <w:highlight w:val="none"/>
        </w:rPr>
        <w:t>三、磋商响应文件的编制</w:t>
      </w:r>
      <w:bookmarkEnd w:id="15"/>
      <w:bookmarkEnd w:id="16"/>
      <w:bookmarkEnd w:id="17"/>
    </w:p>
    <w:p w14:paraId="007158EA">
      <w:pPr>
        <w:spacing w:line="430" w:lineRule="exact"/>
        <w:rPr>
          <w:rFonts w:ascii="宋体" w:hAnsi="宋体" w:cs="宋体"/>
          <w:b/>
          <w:sz w:val="24"/>
          <w:highlight w:val="none"/>
        </w:rPr>
      </w:pPr>
      <w:r>
        <w:rPr>
          <w:rFonts w:hint="eastAsia" w:ascii="宋体" w:hAnsi="宋体" w:cs="宋体"/>
          <w:b/>
          <w:sz w:val="24"/>
          <w:highlight w:val="none"/>
        </w:rPr>
        <w:t>▲（一）磋商响应文件的组成</w:t>
      </w:r>
    </w:p>
    <w:p w14:paraId="6E95850D">
      <w:pPr>
        <w:spacing w:line="430" w:lineRule="exact"/>
        <w:rPr>
          <w:rFonts w:ascii="宋体" w:hAnsi="宋体" w:cs="宋体"/>
          <w:sz w:val="24"/>
          <w:highlight w:val="none"/>
        </w:rPr>
      </w:pPr>
      <w:r>
        <w:rPr>
          <w:rFonts w:hint="eastAsia" w:ascii="宋体" w:hAnsi="宋体" w:cs="宋体"/>
          <w:sz w:val="24"/>
          <w:highlight w:val="none"/>
        </w:rPr>
        <w:t>磋商响应文件由资格审查文件、商务技术文件、报价文件三部分组成。</w:t>
      </w:r>
    </w:p>
    <w:p w14:paraId="60EF2B83">
      <w:pPr>
        <w:spacing w:line="430" w:lineRule="exact"/>
        <w:rPr>
          <w:rFonts w:ascii="宋体" w:hAnsi="宋体" w:cs="宋体"/>
          <w:b/>
          <w:sz w:val="24"/>
          <w:highlight w:val="none"/>
        </w:rPr>
      </w:pPr>
      <w:r>
        <w:rPr>
          <w:rFonts w:hint="eastAsia" w:ascii="宋体" w:hAnsi="宋体" w:cs="宋体"/>
          <w:b/>
          <w:sz w:val="24"/>
          <w:highlight w:val="none"/>
        </w:rPr>
        <w:t>1.资格审查文件：</w:t>
      </w:r>
    </w:p>
    <w:p w14:paraId="57CD434A">
      <w:pPr>
        <w:spacing w:line="360" w:lineRule="auto"/>
        <w:rPr>
          <w:rFonts w:ascii="宋体" w:hAnsi="宋体" w:cs="宋体"/>
          <w:sz w:val="24"/>
          <w:highlight w:val="none"/>
        </w:rPr>
      </w:pPr>
      <w:r>
        <w:rPr>
          <w:rFonts w:hint="eastAsia" w:ascii="宋体" w:hAnsi="宋体" w:cs="宋体"/>
          <w:sz w:val="24"/>
          <w:highlight w:val="none"/>
        </w:rPr>
        <w:t>（1）具有独立承担民事责任的能力：供应商须在投标文件中出具符合以下情况的证明材料复印件（五选一）：</w:t>
      </w:r>
    </w:p>
    <w:p w14:paraId="57A80AD9">
      <w:pPr>
        <w:spacing w:line="360" w:lineRule="auto"/>
        <w:rPr>
          <w:rFonts w:ascii="宋体" w:hAnsi="宋体" w:cs="宋体"/>
          <w:sz w:val="24"/>
          <w:highlight w:val="none"/>
        </w:rPr>
      </w:pPr>
      <w:r>
        <w:rPr>
          <w:rFonts w:hint="eastAsia" w:ascii="宋体" w:hAnsi="宋体" w:cs="宋体"/>
          <w:sz w:val="24"/>
          <w:highlight w:val="none"/>
        </w:rPr>
        <w:t>①如供应商是企业（包括合伙企业），提供在工商部门注册的有效“企业法人营业执照”或“营业执照”；</w:t>
      </w:r>
    </w:p>
    <w:p w14:paraId="21D17069">
      <w:pPr>
        <w:spacing w:line="360" w:lineRule="auto"/>
        <w:rPr>
          <w:rFonts w:ascii="宋体" w:hAnsi="宋体" w:cs="宋体"/>
          <w:color w:val="auto"/>
          <w:sz w:val="24"/>
          <w:highlight w:val="none"/>
        </w:rPr>
      </w:pPr>
      <w:r>
        <w:rPr>
          <w:rFonts w:hint="eastAsia" w:ascii="宋体" w:hAnsi="宋体" w:cs="宋体"/>
          <w:sz w:val="24"/>
          <w:highlight w:val="none"/>
        </w:rPr>
        <w:t>②如供应商是事业单位，提供有效的“事业单位</w:t>
      </w:r>
      <w:r>
        <w:rPr>
          <w:rFonts w:hint="eastAsia" w:ascii="宋体" w:hAnsi="宋体" w:cs="宋体"/>
          <w:color w:val="auto"/>
          <w:sz w:val="24"/>
          <w:highlight w:val="none"/>
        </w:rPr>
        <w:t>法人证书”；</w:t>
      </w:r>
    </w:p>
    <w:p w14:paraId="50EAC1A2">
      <w:pPr>
        <w:spacing w:line="360" w:lineRule="auto"/>
        <w:rPr>
          <w:rFonts w:ascii="宋体" w:hAnsi="宋体" w:cs="宋体"/>
          <w:color w:val="auto"/>
          <w:sz w:val="24"/>
          <w:highlight w:val="none"/>
        </w:rPr>
      </w:pPr>
      <w:r>
        <w:rPr>
          <w:rFonts w:hint="eastAsia" w:ascii="宋体" w:hAnsi="宋体" w:cs="宋体"/>
          <w:color w:val="auto"/>
          <w:sz w:val="24"/>
          <w:highlight w:val="none"/>
        </w:rPr>
        <w:t>③如供应商是非企业专业服务机构的，提供执业许可证等证明文件；</w:t>
      </w:r>
    </w:p>
    <w:p w14:paraId="57CAE389">
      <w:pPr>
        <w:spacing w:line="360" w:lineRule="auto"/>
        <w:rPr>
          <w:rFonts w:ascii="宋体" w:hAnsi="宋体" w:cs="宋体"/>
          <w:color w:val="auto"/>
          <w:sz w:val="24"/>
          <w:highlight w:val="none"/>
        </w:rPr>
      </w:pPr>
      <w:r>
        <w:rPr>
          <w:rFonts w:hint="eastAsia" w:ascii="宋体" w:hAnsi="宋体" w:cs="宋体"/>
          <w:color w:val="auto"/>
          <w:sz w:val="24"/>
          <w:highlight w:val="none"/>
        </w:rPr>
        <w:t>④如供应商是个体工商户，提供有效的“个体工商户营业执照”；</w:t>
      </w:r>
    </w:p>
    <w:p w14:paraId="5165D74C">
      <w:pPr>
        <w:spacing w:line="360" w:lineRule="auto"/>
        <w:rPr>
          <w:rFonts w:ascii="宋体" w:hAnsi="宋体" w:cs="宋体"/>
          <w:color w:val="auto"/>
          <w:sz w:val="24"/>
          <w:highlight w:val="none"/>
        </w:rPr>
      </w:pPr>
      <w:r>
        <w:rPr>
          <w:rFonts w:hint="eastAsia" w:ascii="宋体" w:hAnsi="宋体" w:cs="宋体"/>
          <w:color w:val="auto"/>
          <w:sz w:val="24"/>
          <w:highlight w:val="none"/>
        </w:rPr>
        <w:t>⑤如供应商是自然人，提供有效的自然人身份证明（居民身份证正反面或公安机关出具的临时居民身份证正反面或港澳台胞证或护照）。</w:t>
      </w:r>
    </w:p>
    <w:p w14:paraId="70855AEE">
      <w:pPr>
        <w:spacing w:line="360" w:lineRule="auto"/>
        <w:rPr>
          <w:rFonts w:ascii="宋体" w:hAnsi="宋体" w:cs="宋体"/>
          <w:color w:val="auto"/>
          <w:sz w:val="24"/>
          <w:highlight w:val="none"/>
        </w:rPr>
      </w:pPr>
      <w:r>
        <w:rPr>
          <w:rFonts w:hint="eastAsia" w:ascii="宋体" w:hAnsi="宋体" w:cs="宋体"/>
          <w:color w:val="auto"/>
          <w:sz w:val="24"/>
          <w:highlight w:val="none"/>
        </w:rPr>
        <w:t>（2）法定代表人身份证复印件或法定代表人授权委托书(格式见附件)；</w:t>
      </w:r>
    </w:p>
    <w:p w14:paraId="3D7E7C62">
      <w:pPr>
        <w:spacing w:line="360" w:lineRule="auto"/>
        <w:rPr>
          <w:rFonts w:ascii="宋体" w:hAnsi="宋体" w:cs="宋体"/>
          <w:color w:val="auto"/>
          <w:sz w:val="24"/>
          <w:highlight w:val="none"/>
        </w:rPr>
      </w:pPr>
      <w:r>
        <w:rPr>
          <w:rFonts w:hint="eastAsia" w:ascii="宋体" w:hAnsi="宋体" w:cs="宋体"/>
          <w:color w:val="auto"/>
          <w:sz w:val="24"/>
          <w:highlight w:val="none"/>
        </w:rPr>
        <w:t>（3）符合参加政府采购活动应当具备的一般条件的承诺函（格式见附件）；</w:t>
      </w:r>
    </w:p>
    <w:p w14:paraId="05DC16BA">
      <w:pPr>
        <w:pStyle w:val="18"/>
        <w:spacing w:line="420" w:lineRule="exact"/>
        <w:rPr>
          <w:rFonts w:ascii="宋体" w:hAnsi="宋体" w:cs="宋体"/>
          <w:color w:val="auto"/>
          <w:sz w:val="24"/>
          <w:highlight w:val="none"/>
        </w:rPr>
      </w:pPr>
      <w:r>
        <w:rPr>
          <w:rFonts w:hint="eastAsia" w:ascii="宋体" w:hAnsi="宋体" w:cs="宋体"/>
          <w:color w:val="auto"/>
          <w:sz w:val="24"/>
          <w:highlight w:val="none"/>
        </w:rPr>
        <w:t>（4）磋商</w:t>
      </w:r>
      <w:r>
        <w:rPr>
          <w:rFonts w:hint="eastAsia" w:ascii="宋体" w:hAnsi="宋体"/>
          <w:color w:val="auto"/>
          <w:sz w:val="24"/>
          <w:highlight w:val="none"/>
        </w:rPr>
        <w:t>响应方</w:t>
      </w:r>
      <w:r>
        <w:rPr>
          <w:rFonts w:hint="eastAsia" w:ascii="宋体" w:hAnsi="宋体" w:cs="宋体"/>
          <w:color w:val="auto"/>
          <w:sz w:val="24"/>
          <w:highlight w:val="none"/>
        </w:rPr>
        <w:t>具有市政的工程施工总承包叁级及以上资质。</w:t>
      </w:r>
    </w:p>
    <w:p w14:paraId="6364419F">
      <w:pPr>
        <w:pStyle w:val="18"/>
        <w:spacing w:line="420" w:lineRule="exact"/>
        <w:rPr>
          <w:rFonts w:ascii="宋体" w:hAnsi="宋体" w:cs="宋体"/>
          <w:color w:val="auto"/>
          <w:sz w:val="24"/>
          <w:highlight w:val="none"/>
        </w:rPr>
      </w:pPr>
      <w:r>
        <w:rPr>
          <w:rFonts w:hint="eastAsia" w:ascii="宋体" w:hAnsi="宋体" w:cs="宋体"/>
          <w:color w:val="auto"/>
          <w:sz w:val="24"/>
          <w:highlight w:val="none"/>
        </w:rPr>
        <w:t>（5）磋商响应方具备有效的企业安全生产许可证。</w:t>
      </w:r>
    </w:p>
    <w:p w14:paraId="6E24EF21">
      <w:pPr>
        <w:spacing w:line="360" w:lineRule="auto"/>
        <w:rPr>
          <w:color w:val="auto"/>
          <w:highlight w:val="none"/>
        </w:rPr>
      </w:pPr>
      <w:r>
        <w:rPr>
          <w:rFonts w:hint="eastAsia" w:ascii="宋体" w:hAnsi="宋体" w:cs="宋体"/>
          <w:color w:val="auto"/>
          <w:sz w:val="24"/>
          <w:highlight w:val="none"/>
        </w:rPr>
        <w:t xml:space="preserve">（6）项目负责人具有市政专业的注册建造师二级及以上证书，且持有安全生产任职资格B类证； </w:t>
      </w:r>
    </w:p>
    <w:p w14:paraId="1A3C5D76">
      <w:pPr>
        <w:spacing w:line="360" w:lineRule="auto"/>
        <w:rPr>
          <w:rFonts w:ascii="宋体" w:hAnsi="宋体" w:cs="宋体"/>
          <w:color w:val="auto"/>
          <w:sz w:val="24"/>
          <w:highlight w:val="none"/>
        </w:rPr>
      </w:pPr>
      <w:r>
        <w:rPr>
          <w:rFonts w:hint="eastAsia" w:ascii="宋体" w:hAnsi="宋体" w:cs="宋体"/>
          <w:color w:val="auto"/>
          <w:sz w:val="24"/>
          <w:highlight w:val="none"/>
        </w:rPr>
        <w:t>（7）信用记录网络查询页面截图（信用中国与中国政府采购网）；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A601257">
      <w:pPr>
        <w:spacing w:line="360" w:lineRule="auto"/>
        <w:rPr>
          <w:rFonts w:ascii="宋体" w:hAnsi="宋体" w:cs="宋体"/>
          <w:color w:val="auto"/>
          <w:sz w:val="24"/>
          <w:highlight w:val="none"/>
        </w:rPr>
      </w:pPr>
      <w:r>
        <w:rPr>
          <w:rFonts w:hint="eastAsia" w:ascii="宋体" w:hAnsi="宋体" w:cs="宋体"/>
          <w:color w:val="auto"/>
          <w:sz w:val="24"/>
          <w:highlight w:val="none"/>
        </w:rPr>
        <w:t>（8）浙江政府采购网注册正式供应商的网络截图或承诺中标后30天内注册为浙江政府采购网正式供应商（须提供承诺书）；</w:t>
      </w:r>
    </w:p>
    <w:p w14:paraId="0DD42ADE">
      <w:pPr>
        <w:spacing w:line="360" w:lineRule="auto"/>
        <w:rPr>
          <w:rFonts w:ascii="宋体" w:hAnsi="宋体" w:cs="宋体"/>
          <w:color w:val="auto"/>
          <w:sz w:val="24"/>
          <w:highlight w:val="none"/>
        </w:rPr>
      </w:pPr>
      <w:r>
        <w:rPr>
          <w:rFonts w:hint="eastAsia" w:ascii="宋体" w:hAnsi="宋体" w:cs="宋体"/>
          <w:color w:val="auto"/>
          <w:sz w:val="24"/>
          <w:highlight w:val="none"/>
        </w:rPr>
        <w:t>（9）东阳市政府采购代理机构社会评价表（格式见附件）；</w:t>
      </w:r>
    </w:p>
    <w:p w14:paraId="1B65A9B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（10）磋商声明书 (格式见附件) ；</w:t>
      </w:r>
    </w:p>
    <w:p w14:paraId="235B28E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（11）政府采购活动现场确认声明书 (格式见附件) ；</w:t>
      </w:r>
    </w:p>
    <w:p w14:paraId="218528A9">
      <w:pPr>
        <w:spacing w:line="360" w:lineRule="auto"/>
        <w:rPr>
          <w:rFonts w:ascii="宋体" w:hAnsi="宋体" w:cs="宋体"/>
          <w:color w:val="auto"/>
          <w:sz w:val="24"/>
          <w:highlight w:val="none"/>
        </w:rPr>
      </w:pPr>
      <w:r>
        <w:rPr>
          <w:rFonts w:hint="eastAsia" w:ascii="宋体" w:hAnsi="宋体" w:cs="宋体"/>
          <w:color w:val="auto"/>
          <w:sz w:val="24"/>
          <w:highlight w:val="none"/>
        </w:rPr>
        <w:t>（12）联合体协议书（联合体投标时提供）（格式见附件）；</w:t>
      </w:r>
    </w:p>
    <w:p w14:paraId="2655D08F">
      <w:pPr>
        <w:spacing w:line="360" w:lineRule="auto"/>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3）</w:t>
      </w:r>
      <w:r>
        <w:rPr>
          <w:rFonts w:hint="eastAsia" w:ascii="宋体" w:hAnsi="宋体" w:cs="宋体"/>
          <w:color w:val="auto"/>
          <w:sz w:val="24"/>
          <w:highlight w:val="none"/>
        </w:rPr>
        <w:t>落实政府采购政策需满足的资格：供应商为中小企业/小微企业，提供《中小企业声明函》（格式见附件）；</w:t>
      </w:r>
    </w:p>
    <w:p w14:paraId="7E380984">
      <w:pPr>
        <w:spacing w:line="360" w:lineRule="auto"/>
        <w:rPr>
          <w:rFonts w:ascii="宋体" w:hAnsi="宋体" w:cs="宋体"/>
          <w:color w:val="auto"/>
          <w:sz w:val="24"/>
          <w:highlight w:val="none"/>
        </w:rPr>
      </w:pPr>
      <w:r>
        <w:rPr>
          <w:rFonts w:hint="eastAsia" w:ascii="宋体" w:hAnsi="宋体" w:cs="宋体"/>
          <w:color w:val="auto"/>
          <w:sz w:val="24"/>
          <w:highlight w:val="none"/>
        </w:rPr>
        <w:t>（14）分包意向协议；（分包时提供，格式见附件）；</w:t>
      </w:r>
    </w:p>
    <w:p w14:paraId="006E8CF3">
      <w:pPr>
        <w:spacing w:line="360" w:lineRule="auto"/>
        <w:rPr>
          <w:rFonts w:ascii="宋体" w:hAnsi="宋体" w:cs="宋体"/>
          <w:color w:val="auto"/>
          <w:sz w:val="24"/>
          <w:highlight w:val="none"/>
        </w:rPr>
      </w:pPr>
      <w:r>
        <w:rPr>
          <w:rFonts w:hint="eastAsia" w:ascii="宋体" w:hAnsi="宋体" w:cs="宋体"/>
          <w:color w:val="auto"/>
          <w:sz w:val="24"/>
          <w:highlight w:val="none"/>
        </w:rPr>
        <w:t>（15）供应商情况介绍；</w:t>
      </w:r>
    </w:p>
    <w:p w14:paraId="3E8FE026">
      <w:pPr>
        <w:spacing w:line="360" w:lineRule="auto"/>
        <w:rPr>
          <w:rFonts w:ascii="宋体" w:hAnsi="宋体" w:cs="宋体"/>
          <w:color w:val="auto"/>
          <w:sz w:val="24"/>
          <w:highlight w:val="none"/>
        </w:rPr>
      </w:pPr>
      <w:r>
        <w:rPr>
          <w:rFonts w:hint="eastAsia" w:ascii="宋体" w:hAnsi="宋体" w:cs="宋体"/>
          <w:color w:val="auto"/>
          <w:sz w:val="24"/>
          <w:highlight w:val="none"/>
        </w:rPr>
        <w:t>（16）供应商认为有必要提供的其它文件。</w:t>
      </w:r>
    </w:p>
    <w:p w14:paraId="7B6A979E">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2.商务技术文件</w:t>
      </w:r>
    </w:p>
    <w:p w14:paraId="59ABA2B9">
      <w:pPr>
        <w:spacing w:line="360" w:lineRule="auto"/>
        <w:rPr>
          <w:rFonts w:ascii="宋体" w:hAnsi="宋体"/>
          <w:color w:val="auto"/>
          <w:sz w:val="24"/>
          <w:highlight w:val="none"/>
        </w:rPr>
      </w:pPr>
      <w:r>
        <w:rPr>
          <w:rFonts w:hint="eastAsia" w:ascii="宋体" w:hAnsi="宋体"/>
          <w:color w:val="auto"/>
          <w:sz w:val="24"/>
          <w:highlight w:val="none"/>
        </w:rPr>
        <w:t>（1）供应商资信商务、技术自评得分表（格式见附件）；</w:t>
      </w:r>
    </w:p>
    <w:p w14:paraId="7199933D">
      <w:pPr>
        <w:spacing w:line="360" w:lineRule="auto"/>
        <w:rPr>
          <w:rFonts w:ascii="宋体" w:hAnsi="宋体"/>
          <w:bCs/>
          <w:color w:val="auto"/>
          <w:sz w:val="24"/>
          <w:highlight w:val="none"/>
        </w:rPr>
      </w:pPr>
      <w:r>
        <w:rPr>
          <w:rFonts w:hint="eastAsia" w:ascii="宋体" w:hAnsi="宋体"/>
          <w:bCs/>
          <w:color w:val="auto"/>
          <w:sz w:val="24"/>
          <w:highlight w:val="none"/>
        </w:rPr>
        <w:t>（2）商务响应表（格式见附件）；</w:t>
      </w:r>
    </w:p>
    <w:p w14:paraId="6753B7F9">
      <w:pPr>
        <w:snapToGrid w:val="0"/>
        <w:spacing w:line="360" w:lineRule="auto"/>
        <w:jc w:val="left"/>
        <w:rPr>
          <w:rFonts w:ascii="宋体" w:hAnsi="宋体" w:cs="宋体"/>
          <w:color w:val="auto"/>
          <w:sz w:val="24"/>
          <w:highlight w:val="none"/>
        </w:rPr>
      </w:pPr>
      <w:r>
        <w:rPr>
          <w:rFonts w:hint="eastAsia" w:ascii="宋体" w:hAnsi="宋体"/>
          <w:color w:val="auto"/>
          <w:sz w:val="24"/>
          <w:highlight w:val="none"/>
        </w:rPr>
        <w:t>（3）技术响应表（格式见附件）；</w:t>
      </w:r>
    </w:p>
    <w:p w14:paraId="17C5D7EB">
      <w:pPr>
        <w:spacing w:line="360" w:lineRule="auto"/>
        <w:rPr>
          <w:rFonts w:ascii="宋体" w:hAnsi="宋体" w:cs="宋体"/>
          <w:color w:val="auto"/>
          <w:sz w:val="24"/>
          <w:highlight w:val="none"/>
        </w:rPr>
      </w:pPr>
      <w:r>
        <w:rPr>
          <w:rFonts w:hint="eastAsia" w:ascii="宋体" w:hAnsi="宋体" w:cs="宋体"/>
          <w:color w:val="auto"/>
          <w:sz w:val="24"/>
          <w:highlight w:val="none"/>
        </w:rPr>
        <w:t>（4）项目理解情况；</w:t>
      </w:r>
    </w:p>
    <w:p w14:paraId="569B64F8">
      <w:pPr>
        <w:spacing w:line="360" w:lineRule="auto"/>
        <w:rPr>
          <w:rFonts w:ascii="宋体" w:hAnsi="宋体" w:cs="宋体"/>
          <w:color w:val="auto"/>
          <w:sz w:val="24"/>
          <w:highlight w:val="none"/>
        </w:rPr>
      </w:pPr>
      <w:r>
        <w:rPr>
          <w:rFonts w:hint="eastAsia" w:ascii="宋体" w:hAnsi="宋体" w:cs="宋体"/>
          <w:color w:val="auto"/>
          <w:sz w:val="24"/>
          <w:highlight w:val="none"/>
        </w:rPr>
        <w:t>（5）施工方案；</w:t>
      </w:r>
    </w:p>
    <w:p w14:paraId="112608B0">
      <w:pPr>
        <w:spacing w:line="360" w:lineRule="auto"/>
        <w:rPr>
          <w:rFonts w:ascii="宋体" w:hAnsi="宋体" w:cs="宋体"/>
          <w:color w:val="auto"/>
          <w:sz w:val="24"/>
          <w:highlight w:val="none"/>
        </w:rPr>
      </w:pPr>
      <w:r>
        <w:rPr>
          <w:rFonts w:hint="eastAsia" w:ascii="宋体" w:hAnsi="宋体" w:cs="宋体"/>
          <w:color w:val="auto"/>
          <w:sz w:val="24"/>
          <w:highlight w:val="none"/>
        </w:rPr>
        <w:t>（6）施工技术；</w:t>
      </w:r>
    </w:p>
    <w:p w14:paraId="790D6297">
      <w:pPr>
        <w:spacing w:line="360" w:lineRule="auto"/>
        <w:rPr>
          <w:rFonts w:ascii="宋体" w:hAnsi="宋体" w:cs="宋体"/>
          <w:color w:val="auto"/>
          <w:sz w:val="24"/>
          <w:highlight w:val="none"/>
        </w:rPr>
      </w:pPr>
      <w:r>
        <w:rPr>
          <w:rFonts w:hint="eastAsia" w:ascii="宋体" w:hAnsi="宋体" w:cs="宋体"/>
          <w:color w:val="auto"/>
          <w:sz w:val="24"/>
          <w:highlight w:val="none"/>
        </w:rPr>
        <w:t>（7）施工进度；</w:t>
      </w:r>
    </w:p>
    <w:p w14:paraId="4A74C98C">
      <w:pPr>
        <w:spacing w:line="360" w:lineRule="auto"/>
        <w:rPr>
          <w:rFonts w:ascii="宋体" w:hAnsi="宋体" w:cs="宋体"/>
          <w:color w:val="auto"/>
          <w:sz w:val="24"/>
          <w:highlight w:val="none"/>
        </w:rPr>
      </w:pPr>
      <w:r>
        <w:rPr>
          <w:rFonts w:hint="eastAsia" w:ascii="宋体" w:hAnsi="宋体" w:cs="宋体"/>
          <w:color w:val="auto"/>
          <w:sz w:val="24"/>
          <w:highlight w:val="none"/>
        </w:rPr>
        <w:t>（8）</w:t>
      </w:r>
      <w:r>
        <w:rPr>
          <w:rFonts w:hint="eastAsia" w:asciiTheme="minorEastAsia" w:hAnsiTheme="minorEastAsia" w:eastAsiaTheme="minorEastAsia" w:cstheme="minorEastAsia"/>
          <w:color w:val="auto"/>
          <w:kern w:val="0"/>
          <w:sz w:val="24"/>
          <w:highlight w:val="none"/>
        </w:rPr>
        <w:t>安全生产应急预案</w:t>
      </w:r>
      <w:r>
        <w:rPr>
          <w:rFonts w:hint="eastAsia" w:ascii="宋体" w:hAnsi="宋体" w:cs="宋体"/>
          <w:color w:val="auto"/>
          <w:sz w:val="24"/>
          <w:highlight w:val="none"/>
        </w:rPr>
        <w:t>；</w:t>
      </w:r>
    </w:p>
    <w:p w14:paraId="32D33E0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（9）质量保障； </w:t>
      </w:r>
    </w:p>
    <w:p w14:paraId="0B226794">
      <w:pPr>
        <w:spacing w:line="360" w:lineRule="auto"/>
        <w:rPr>
          <w:rFonts w:ascii="宋体" w:hAnsi="宋体" w:cs="宋体"/>
          <w:color w:val="auto"/>
          <w:sz w:val="24"/>
          <w:highlight w:val="none"/>
        </w:rPr>
      </w:pPr>
      <w:r>
        <w:rPr>
          <w:rFonts w:hint="eastAsia" w:ascii="宋体" w:hAnsi="宋体" w:cs="宋体"/>
          <w:color w:val="auto"/>
          <w:sz w:val="24"/>
          <w:highlight w:val="none"/>
        </w:rPr>
        <w:t>（10）安全、文明施工等的保证措施；</w:t>
      </w:r>
    </w:p>
    <w:p w14:paraId="0A3D7737">
      <w:pPr>
        <w:spacing w:line="360" w:lineRule="auto"/>
        <w:rPr>
          <w:rFonts w:ascii="宋体" w:hAnsi="宋体" w:cs="宋体"/>
          <w:color w:val="auto"/>
          <w:sz w:val="24"/>
          <w:highlight w:val="none"/>
        </w:rPr>
      </w:pPr>
      <w:r>
        <w:rPr>
          <w:rFonts w:hint="eastAsia" w:ascii="宋体" w:hAnsi="宋体" w:cs="宋体"/>
          <w:color w:val="auto"/>
          <w:sz w:val="24"/>
          <w:highlight w:val="none"/>
        </w:rPr>
        <w:t>（11）施工机具设备；</w:t>
      </w:r>
    </w:p>
    <w:p w14:paraId="29114977">
      <w:pPr>
        <w:spacing w:line="360" w:lineRule="auto"/>
        <w:rPr>
          <w:rFonts w:ascii="宋体" w:hAnsi="宋体" w:cs="宋体"/>
          <w:color w:val="auto"/>
          <w:sz w:val="24"/>
          <w:highlight w:val="none"/>
        </w:rPr>
      </w:pPr>
      <w:r>
        <w:rPr>
          <w:rFonts w:hint="eastAsia" w:ascii="宋体" w:hAnsi="宋体" w:cs="宋体"/>
          <w:color w:val="auto"/>
          <w:sz w:val="24"/>
          <w:highlight w:val="none"/>
        </w:rPr>
        <w:t>（12）材料设备进场计划；</w:t>
      </w:r>
    </w:p>
    <w:p w14:paraId="7EDA1105">
      <w:pPr>
        <w:spacing w:line="360" w:lineRule="auto"/>
        <w:rPr>
          <w:rFonts w:ascii="宋体" w:hAnsi="宋体" w:cs="宋体"/>
          <w:color w:val="auto"/>
          <w:sz w:val="24"/>
          <w:highlight w:val="none"/>
        </w:rPr>
      </w:pPr>
      <w:r>
        <w:rPr>
          <w:rFonts w:hint="eastAsia" w:ascii="宋体" w:hAnsi="宋体" w:cs="宋体"/>
          <w:color w:val="auto"/>
          <w:sz w:val="24"/>
          <w:highlight w:val="none"/>
        </w:rPr>
        <w:t>（13）人员情况；</w:t>
      </w:r>
    </w:p>
    <w:p w14:paraId="4361FBA7">
      <w:pPr>
        <w:spacing w:line="360" w:lineRule="auto"/>
        <w:rPr>
          <w:rFonts w:ascii="宋体" w:hAnsi="宋体" w:cs="宋体"/>
          <w:color w:val="auto"/>
          <w:sz w:val="24"/>
          <w:highlight w:val="none"/>
        </w:rPr>
      </w:pPr>
      <w:r>
        <w:rPr>
          <w:rFonts w:hint="eastAsia" w:ascii="宋体" w:hAnsi="宋体" w:cs="宋体"/>
          <w:color w:val="auto"/>
          <w:sz w:val="24"/>
          <w:highlight w:val="none"/>
        </w:rPr>
        <w:t>（14）布置情况；</w:t>
      </w:r>
    </w:p>
    <w:p w14:paraId="4FE7E1B0">
      <w:pPr>
        <w:spacing w:line="360" w:lineRule="auto"/>
        <w:rPr>
          <w:rFonts w:ascii="宋体" w:hAnsi="宋体" w:cs="宋体"/>
          <w:color w:val="auto"/>
          <w:sz w:val="24"/>
          <w:highlight w:val="none"/>
        </w:rPr>
      </w:pPr>
      <w:r>
        <w:rPr>
          <w:rFonts w:hint="eastAsia" w:ascii="宋体" w:hAnsi="宋体" w:cs="宋体"/>
          <w:color w:val="auto"/>
          <w:sz w:val="24"/>
          <w:highlight w:val="none"/>
        </w:rPr>
        <w:t>（15）关键工序、复杂环节的相应技术措施；</w:t>
      </w:r>
    </w:p>
    <w:p w14:paraId="58ADF00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（16）施工重点难点分析； </w:t>
      </w:r>
    </w:p>
    <w:p w14:paraId="166642B9">
      <w:pPr>
        <w:spacing w:line="360" w:lineRule="auto"/>
        <w:rPr>
          <w:rFonts w:ascii="宋体" w:hAnsi="宋体" w:cs="宋体"/>
          <w:color w:val="auto"/>
          <w:sz w:val="24"/>
          <w:highlight w:val="none"/>
        </w:rPr>
      </w:pPr>
      <w:r>
        <w:rPr>
          <w:rFonts w:hint="eastAsia" w:ascii="宋体" w:hAnsi="宋体" w:cs="宋体"/>
          <w:color w:val="auto"/>
          <w:sz w:val="24"/>
          <w:highlight w:val="none"/>
        </w:rPr>
        <w:t>（17）成品保护的保证措施；</w:t>
      </w:r>
    </w:p>
    <w:p w14:paraId="66038718">
      <w:pPr>
        <w:spacing w:line="360" w:lineRule="auto"/>
        <w:rPr>
          <w:rFonts w:ascii="宋体" w:hAnsi="宋体" w:cs="宋体"/>
          <w:color w:val="auto"/>
          <w:sz w:val="24"/>
          <w:highlight w:val="none"/>
        </w:rPr>
      </w:pPr>
      <w:r>
        <w:rPr>
          <w:rFonts w:hint="eastAsia" w:ascii="宋体" w:hAnsi="宋体" w:cs="宋体"/>
          <w:color w:val="auto"/>
          <w:sz w:val="24"/>
          <w:highlight w:val="none"/>
        </w:rPr>
        <w:t>（18）管理协调；</w:t>
      </w:r>
    </w:p>
    <w:p w14:paraId="7FA7C1C9">
      <w:pPr>
        <w:spacing w:line="360" w:lineRule="auto"/>
        <w:rPr>
          <w:rFonts w:ascii="宋体" w:hAnsi="宋体" w:cs="宋体"/>
          <w:color w:val="auto"/>
          <w:sz w:val="24"/>
          <w:highlight w:val="none"/>
        </w:rPr>
      </w:pPr>
      <w:r>
        <w:rPr>
          <w:rFonts w:hint="eastAsia" w:ascii="宋体" w:hAnsi="宋体" w:cs="宋体"/>
          <w:color w:val="auto"/>
          <w:sz w:val="24"/>
          <w:highlight w:val="none"/>
        </w:rPr>
        <w:t>（19）认证证书；</w:t>
      </w:r>
    </w:p>
    <w:p w14:paraId="1A12B85F">
      <w:pPr>
        <w:spacing w:line="360" w:lineRule="auto"/>
        <w:rPr>
          <w:rFonts w:ascii="宋体" w:hAnsi="宋体" w:cs="宋体"/>
          <w:color w:val="auto"/>
          <w:sz w:val="24"/>
          <w:highlight w:val="none"/>
        </w:rPr>
      </w:pPr>
      <w:r>
        <w:rPr>
          <w:rFonts w:hint="eastAsia" w:ascii="宋体" w:hAnsi="宋体" w:cs="宋体"/>
          <w:color w:val="auto"/>
          <w:sz w:val="24"/>
          <w:highlight w:val="none"/>
        </w:rPr>
        <w:t>（20）同类项目业绩；</w:t>
      </w:r>
    </w:p>
    <w:p w14:paraId="1438D0E7">
      <w:pPr>
        <w:spacing w:line="360" w:lineRule="auto"/>
        <w:rPr>
          <w:rFonts w:ascii="宋体" w:hAnsi="宋体" w:cs="宋体"/>
          <w:color w:val="auto"/>
          <w:sz w:val="24"/>
          <w:highlight w:val="none"/>
        </w:rPr>
      </w:pPr>
      <w:r>
        <w:rPr>
          <w:rFonts w:hint="eastAsia" w:ascii="宋体" w:hAnsi="宋体" w:cs="宋体"/>
          <w:color w:val="auto"/>
          <w:sz w:val="24"/>
          <w:highlight w:val="none"/>
        </w:rPr>
        <w:t>（21）售后保障；</w:t>
      </w:r>
    </w:p>
    <w:p w14:paraId="43125F2F">
      <w:pPr>
        <w:spacing w:line="360" w:lineRule="auto"/>
        <w:rPr>
          <w:rFonts w:ascii="宋体" w:hAnsi="宋体" w:cs="宋体"/>
          <w:color w:val="auto"/>
          <w:sz w:val="24"/>
          <w:highlight w:val="none"/>
        </w:rPr>
      </w:pPr>
      <w:r>
        <w:rPr>
          <w:rFonts w:hint="eastAsia" w:ascii="宋体" w:hAnsi="宋体" w:cs="宋体"/>
          <w:color w:val="auto"/>
          <w:sz w:val="24"/>
          <w:highlight w:val="none"/>
        </w:rPr>
        <w:t>（22）合理化建议；</w:t>
      </w:r>
    </w:p>
    <w:p w14:paraId="13E39D19">
      <w:pPr>
        <w:spacing w:line="360" w:lineRule="auto"/>
        <w:rPr>
          <w:rFonts w:ascii="宋体" w:hAnsi="宋体" w:cs="宋体"/>
          <w:color w:val="auto"/>
          <w:sz w:val="24"/>
          <w:highlight w:val="none"/>
        </w:rPr>
      </w:pPr>
      <w:r>
        <w:rPr>
          <w:rFonts w:hint="eastAsia" w:ascii="宋体" w:hAnsi="宋体" w:cs="宋体"/>
          <w:color w:val="auto"/>
          <w:sz w:val="24"/>
          <w:highlight w:val="none"/>
        </w:rPr>
        <w:t>（23）安全生产及其他承诺函（格式见附件）；</w:t>
      </w:r>
    </w:p>
    <w:p w14:paraId="2740EDBF">
      <w:pPr>
        <w:spacing w:line="360" w:lineRule="auto"/>
        <w:rPr>
          <w:rFonts w:ascii="宋体" w:hAnsi="宋体" w:cs="宋体"/>
          <w:color w:val="auto"/>
          <w:sz w:val="24"/>
          <w:highlight w:val="none"/>
        </w:rPr>
      </w:pPr>
      <w:r>
        <w:rPr>
          <w:rFonts w:hint="eastAsia" w:ascii="宋体" w:hAnsi="宋体" w:cs="宋体"/>
          <w:color w:val="auto"/>
          <w:sz w:val="24"/>
          <w:highlight w:val="none"/>
        </w:rPr>
        <w:t>（24）人员现场到位率承诺书（格式见附件）；</w:t>
      </w:r>
    </w:p>
    <w:p w14:paraId="5840ECCD">
      <w:pPr>
        <w:spacing w:line="360" w:lineRule="auto"/>
        <w:rPr>
          <w:rFonts w:ascii="宋体" w:hAnsi="宋体" w:cs="宋体"/>
          <w:color w:val="auto"/>
          <w:sz w:val="24"/>
          <w:highlight w:val="none"/>
        </w:rPr>
      </w:pPr>
      <w:r>
        <w:rPr>
          <w:rFonts w:hint="eastAsia" w:ascii="宋体" w:hAnsi="宋体" w:cs="宋体"/>
          <w:color w:val="auto"/>
          <w:sz w:val="24"/>
          <w:highlight w:val="none"/>
        </w:rPr>
        <w:t>（25）服务费承诺书（格式见附件）；</w:t>
      </w:r>
    </w:p>
    <w:p w14:paraId="638C96CA">
      <w:pPr>
        <w:spacing w:line="360" w:lineRule="auto"/>
        <w:rPr>
          <w:rFonts w:ascii="宋体" w:hAnsi="宋体"/>
          <w:bCs/>
          <w:color w:val="auto"/>
          <w:sz w:val="24"/>
          <w:highlight w:val="none"/>
        </w:rPr>
      </w:pPr>
      <w:r>
        <w:rPr>
          <w:rFonts w:hint="eastAsia" w:ascii="宋体" w:hAnsi="宋体"/>
          <w:bCs/>
          <w:color w:val="auto"/>
          <w:sz w:val="24"/>
          <w:highlight w:val="none"/>
        </w:rPr>
        <w:t>（26）</w:t>
      </w:r>
      <w:r>
        <w:rPr>
          <w:rFonts w:hint="eastAsia" w:ascii="宋体" w:hAnsi="宋体" w:cs="宋体"/>
          <w:color w:val="auto"/>
          <w:sz w:val="24"/>
          <w:highlight w:val="none"/>
        </w:rPr>
        <w:t>供应商</w:t>
      </w:r>
      <w:r>
        <w:rPr>
          <w:rFonts w:hint="eastAsia" w:ascii="宋体" w:hAnsi="宋体"/>
          <w:bCs/>
          <w:color w:val="auto"/>
          <w:sz w:val="24"/>
          <w:highlight w:val="none"/>
        </w:rPr>
        <w:t>需要说明的其他文件和说明。</w:t>
      </w:r>
    </w:p>
    <w:p w14:paraId="22AB3183">
      <w:pPr>
        <w:spacing w:line="430" w:lineRule="exact"/>
        <w:rPr>
          <w:rFonts w:ascii="宋体" w:hAnsi="宋体" w:cs="宋体"/>
          <w:b/>
          <w:color w:val="auto"/>
          <w:sz w:val="24"/>
          <w:highlight w:val="none"/>
        </w:rPr>
      </w:pPr>
      <w:r>
        <w:rPr>
          <w:rFonts w:hint="eastAsia" w:ascii="宋体" w:hAnsi="宋体" w:cs="宋体"/>
          <w:b/>
          <w:color w:val="auto"/>
          <w:sz w:val="24"/>
          <w:highlight w:val="none"/>
        </w:rPr>
        <w:t>3.报价文件</w:t>
      </w:r>
    </w:p>
    <w:p w14:paraId="5454C69C">
      <w:pPr>
        <w:spacing w:line="430" w:lineRule="exact"/>
        <w:rPr>
          <w:rFonts w:ascii="宋体" w:hAnsi="宋体" w:cs="宋体"/>
          <w:color w:val="auto"/>
          <w:sz w:val="24"/>
          <w:highlight w:val="none"/>
        </w:rPr>
      </w:pPr>
      <w:r>
        <w:rPr>
          <w:rFonts w:hint="eastAsia" w:ascii="宋体" w:hAnsi="宋体" w:cs="宋体"/>
          <w:color w:val="auto"/>
          <w:sz w:val="24"/>
          <w:highlight w:val="none"/>
        </w:rPr>
        <w:t xml:space="preserve">（1）磋商响应函（格式见附件）； </w:t>
      </w:r>
    </w:p>
    <w:p w14:paraId="783084CA">
      <w:pPr>
        <w:spacing w:line="430" w:lineRule="exact"/>
        <w:rPr>
          <w:rFonts w:ascii="宋体" w:hAnsi="宋体" w:cs="宋体"/>
          <w:color w:val="auto"/>
          <w:sz w:val="24"/>
          <w:highlight w:val="none"/>
        </w:rPr>
      </w:pPr>
      <w:r>
        <w:rPr>
          <w:rFonts w:hint="eastAsia" w:ascii="宋体" w:hAnsi="宋体" w:cs="宋体"/>
          <w:color w:val="auto"/>
          <w:sz w:val="24"/>
          <w:highlight w:val="none"/>
        </w:rPr>
        <w:t xml:space="preserve">（2）初次报价表（格式见附件）； </w:t>
      </w:r>
    </w:p>
    <w:p w14:paraId="116D0A36">
      <w:pPr>
        <w:spacing w:line="430" w:lineRule="exact"/>
        <w:rPr>
          <w:rFonts w:ascii="宋体" w:hAnsi="宋体" w:cs="宋体"/>
          <w:b/>
          <w:bCs/>
          <w:color w:val="auto"/>
          <w:sz w:val="24"/>
          <w:highlight w:val="none"/>
        </w:rPr>
      </w:pPr>
      <w:r>
        <w:rPr>
          <w:rFonts w:hint="eastAsia" w:ascii="宋体" w:hAnsi="宋体" w:cs="宋体"/>
          <w:color w:val="auto"/>
          <w:sz w:val="24"/>
          <w:highlight w:val="none"/>
        </w:rPr>
        <w:t>（3）供应商针对报价需要说明的其他文件和说明（格式自拟）；</w:t>
      </w:r>
    </w:p>
    <w:p w14:paraId="1959437F">
      <w:pPr>
        <w:spacing w:line="430" w:lineRule="exact"/>
        <w:rPr>
          <w:rFonts w:ascii="宋体" w:hAnsi="宋体" w:cs="宋体"/>
          <w:b/>
          <w:color w:val="auto"/>
          <w:sz w:val="24"/>
          <w:highlight w:val="none"/>
        </w:rPr>
      </w:pPr>
      <w:r>
        <w:rPr>
          <w:rFonts w:hint="eastAsia" w:ascii="宋体" w:hAnsi="宋体" w:cs="宋体"/>
          <w:b/>
          <w:color w:val="auto"/>
          <w:sz w:val="24"/>
          <w:highlight w:val="none"/>
        </w:rPr>
        <w:t>▲（二）磋商响应文件的语言及计量</w:t>
      </w:r>
    </w:p>
    <w:p w14:paraId="5368EB2E">
      <w:pPr>
        <w:spacing w:line="430" w:lineRule="exact"/>
        <w:rPr>
          <w:rFonts w:ascii="宋体" w:hAnsi="宋体" w:cs="宋体"/>
          <w:color w:val="auto"/>
          <w:sz w:val="24"/>
          <w:highlight w:val="none"/>
        </w:rPr>
      </w:pPr>
      <w:r>
        <w:rPr>
          <w:rFonts w:hint="eastAsia" w:ascii="宋体" w:hAnsi="宋体" w:cs="宋体"/>
          <w:color w:val="auto"/>
          <w:sz w:val="24"/>
          <w:highlight w:val="none"/>
        </w:rPr>
        <w:t>1．磋商响应文件以及磋商响应方与招标方就有关磋商事宜的所有来往函电，均应以中文汉语书写。除签名、盖章、专用名称等特殊情形外，以中文汉语以外的文字表述的磋商响应文件视同未提供。</w:t>
      </w:r>
    </w:p>
    <w:p w14:paraId="35CEA1BC">
      <w:pPr>
        <w:spacing w:line="43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2.磋商计量单位，应采用中华人民共和国法定计量单位（货币单位：人民币元），否则视同未响应。</w:t>
      </w:r>
    </w:p>
    <w:p w14:paraId="5386A45E">
      <w:pPr>
        <w:spacing w:line="430" w:lineRule="exact"/>
        <w:rPr>
          <w:rFonts w:ascii="宋体" w:hAnsi="宋体" w:cs="宋体"/>
          <w:b/>
          <w:bCs/>
          <w:color w:val="auto"/>
          <w:sz w:val="24"/>
          <w:highlight w:val="none"/>
        </w:rPr>
      </w:pPr>
      <w:r>
        <w:rPr>
          <w:rFonts w:hint="eastAsia" w:ascii="宋体" w:hAnsi="宋体" w:cs="宋体"/>
          <w:b/>
          <w:bCs/>
          <w:color w:val="auto"/>
          <w:sz w:val="24"/>
          <w:highlight w:val="none"/>
        </w:rPr>
        <w:t>▲（三）磋商报价</w:t>
      </w:r>
    </w:p>
    <w:p w14:paraId="27007BC6">
      <w:pPr>
        <w:spacing w:line="430" w:lineRule="exact"/>
        <w:rPr>
          <w:rFonts w:ascii="宋体" w:hAnsi="宋体" w:cs="宋体"/>
          <w:color w:val="auto"/>
          <w:sz w:val="24"/>
          <w:highlight w:val="none"/>
        </w:rPr>
      </w:pPr>
      <w:r>
        <w:rPr>
          <w:rFonts w:hint="eastAsia" w:ascii="宋体" w:hAnsi="宋体" w:cs="宋体"/>
          <w:color w:val="auto"/>
          <w:sz w:val="24"/>
          <w:highlight w:val="none"/>
        </w:rPr>
        <w:t>1.磋商报价应按磋商文件中相关附表格式填写。</w:t>
      </w:r>
    </w:p>
    <w:p w14:paraId="5DB12665">
      <w:pPr>
        <w:pStyle w:val="19"/>
        <w:spacing w:line="430" w:lineRule="exact"/>
        <w:ind w:firstLine="0" w:firstLineChars="0"/>
        <w:rPr>
          <w:rFonts w:ascii="宋体" w:hAnsi="宋体" w:eastAsia="宋体" w:cs="仿宋_GB2312"/>
          <w:bCs w:val="0"/>
          <w:color w:val="auto"/>
          <w:sz w:val="24"/>
          <w:highlight w:val="none"/>
        </w:rPr>
      </w:pPr>
      <w:r>
        <w:rPr>
          <w:rFonts w:hint="eastAsia" w:ascii="宋体" w:hAnsi="宋体" w:eastAsia="宋体" w:cs="仿宋_GB2312"/>
          <w:bCs w:val="0"/>
          <w:color w:val="auto"/>
          <w:sz w:val="24"/>
          <w:highlight w:val="none"/>
        </w:rPr>
        <w:t>2.磋商报价包括项目所需的人工费、材料费、交通费、机械费、装卸费、管理费、招标代理费等与本项目相关的一切费用和税金。</w:t>
      </w:r>
    </w:p>
    <w:p w14:paraId="18D26AD1">
      <w:pPr>
        <w:spacing w:line="430" w:lineRule="exact"/>
        <w:rPr>
          <w:rFonts w:ascii="宋体" w:hAnsi="宋体" w:cs="宋体"/>
          <w:b/>
          <w:bCs/>
          <w:color w:val="auto"/>
          <w:sz w:val="24"/>
          <w:highlight w:val="none"/>
        </w:rPr>
      </w:pPr>
      <w:r>
        <w:rPr>
          <w:rFonts w:hint="eastAsia" w:ascii="宋体" w:hAnsi="宋体" w:cs="宋体"/>
          <w:b/>
          <w:bCs/>
          <w:color w:val="auto"/>
          <w:sz w:val="24"/>
          <w:highlight w:val="none"/>
        </w:rPr>
        <w:t>（四）磋商响应文件的有效期</w:t>
      </w:r>
    </w:p>
    <w:p w14:paraId="12F86F08">
      <w:pPr>
        <w:spacing w:line="430" w:lineRule="exact"/>
        <w:rPr>
          <w:rFonts w:ascii="宋体" w:hAnsi="宋体" w:cs="宋体"/>
          <w:color w:val="auto"/>
          <w:sz w:val="24"/>
          <w:highlight w:val="none"/>
        </w:rPr>
      </w:pPr>
      <w:bookmarkStart w:id="18" w:name="_Toc405368930"/>
      <w:bookmarkStart w:id="19" w:name="_Toc450548873"/>
      <w:r>
        <w:rPr>
          <w:rFonts w:hint="eastAsia" w:ascii="宋体" w:hAnsi="宋体" w:cs="宋体"/>
          <w:color w:val="auto"/>
          <w:sz w:val="24"/>
          <w:highlight w:val="none"/>
        </w:rPr>
        <w:t>▲1.自磋商截止日起</w:t>
      </w:r>
      <w:r>
        <w:rPr>
          <w:rFonts w:hint="eastAsia" w:ascii="宋体" w:hAnsi="宋体" w:cs="宋体"/>
          <w:color w:val="auto"/>
          <w:sz w:val="24"/>
          <w:highlight w:val="none"/>
          <w:u w:val="single"/>
        </w:rPr>
        <w:t>60</w:t>
      </w:r>
      <w:r>
        <w:rPr>
          <w:rFonts w:hint="eastAsia" w:ascii="宋体" w:hAnsi="宋体" w:cs="宋体"/>
          <w:color w:val="auto"/>
          <w:sz w:val="24"/>
          <w:highlight w:val="none"/>
        </w:rPr>
        <w:t>天磋商响应文件应保持有效。有效期不足的磋商响应文件将被拒绝。</w:t>
      </w:r>
    </w:p>
    <w:p w14:paraId="522B3903">
      <w:pPr>
        <w:spacing w:line="430" w:lineRule="exact"/>
        <w:rPr>
          <w:rFonts w:ascii="宋体" w:hAnsi="宋体" w:cs="宋体"/>
          <w:color w:val="auto"/>
          <w:sz w:val="24"/>
          <w:highlight w:val="none"/>
        </w:rPr>
      </w:pPr>
      <w:r>
        <w:rPr>
          <w:rFonts w:hint="eastAsia" w:ascii="宋体" w:hAnsi="宋体" w:cs="宋体"/>
          <w:color w:val="auto"/>
          <w:sz w:val="24"/>
          <w:highlight w:val="none"/>
        </w:rPr>
        <w:t>2.在特殊情况下，招标人可与供应商协商延长磋商响应文件的有效期，这种要求和答复均以书面形式进行。</w:t>
      </w:r>
    </w:p>
    <w:p w14:paraId="2D2B587D">
      <w:pPr>
        <w:spacing w:line="430" w:lineRule="exact"/>
        <w:rPr>
          <w:rFonts w:ascii="宋体" w:hAnsi="宋体" w:cs="宋体"/>
          <w:color w:val="auto"/>
          <w:sz w:val="24"/>
          <w:highlight w:val="none"/>
        </w:rPr>
      </w:pPr>
      <w:bookmarkStart w:id="20" w:name="_Toc407182105"/>
      <w:r>
        <w:rPr>
          <w:rFonts w:hint="eastAsia" w:ascii="宋体" w:hAnsi="宋体" w:cs="宋体"/>
          <w:color w:val="auto"/>
          <w:sz w:val="24"/>
          <w:highlight w:val="none"/>
        </w:rPr>
        <w:t>3.供应商可拒绝接受延期要求，若同意延长有效期的供应商，则不能修改磋商响应文件。</w:t>
      </w:r>
      <w:bookmarkEnd w:id="20"/>
      <w:r>
        <w:rPr>
          <w:rFonts w:hint="eastAsia" w:ascii="宋体" w:hAnsi="宋体" w:cs="宋体"/>
          <w:color w:val="auto"/>
          <w:sz w:val="24"/>
          <w:highlight w:val="none"/>
        </w:rPr>
        <w:t xml:space="preserve"> </w:t>
      </w:r>
    </w:p>
    <w:p w14:paraId="65DFC8E2">
      <w:pPr>
        <w:spacing w:line="430" w:lineRule="exact"/>
        <w:rPr>
          <w:rFonts w:ascii="宋体" w:hAnsi="宋体" w:cs="宋体"/>
          <w:color w:val="auto"/>
          <w:sz w:val="24"/>
          <w:highlight w:val="none"/>
        </w:rPr>
      </w:pPr>
      <w:r>
        <w:rPr>
          <w:rFonts w:hint="eastAsia" w:ascii="宋体" w:hAnsi="宋体" w:cs="宋体"/>
          <w:color w:val="auto"/>
          <w:sz w:val="24"/>
          <w:highlight w:val="none"/>
        </w:rPr>
        <w:t>4.中标人的磋商响应文件自开标之日起至合同履行完毕止均应保持有效。</w:t>
      </w:r>
    </w:p>
    <w:bookmarkEnd w:id="18"/>
    <w:bookmarkEnd w:id="19"/>
    <w:p w14:paraId="79A048B5">
      <w:pPr>
        <w:spacing w:line="360" w:lineRule="auto"/>
        <w:rPr>
          <w:rFonts w:ascii="宋体" w:hAnsi="宋体" w:cs="宋体"/>
          <w:b/>
          <w:color w:val="auto"/>
          <w:sz w:val="24"/>
          <w:highlight w:val="none"/>
        </w:rPr>
      </w:pPr>
      <w:r>
        <w:rPr>
          <w:rFonts w:hint="eastAsia" w:ascii="宋体" w:hAnsi="宋体" w:cs="宋体"/>
          <w:b/>
          <w:color w:val="auto"/>
          <w:sz w:val="24"/>
          <w:highlight w:val="none"/>
        </w:rPr>
        <w:t>▲（五）履约保证金</w:t>
      </w:r>
    </w:p>
    <w:p w14:paraId="61A50704">
      <w:pPr>
        <w:spacing w:line="360" w:lineRule="auto"/>
        <w:rPr>
          <w:rFonts w:ascii="宋体" w:hAnsi="宋体" w:cs="宋体"/>
          <w:color w:val="auto"/>
          <w:sz w:val="24"/>
          <w:highlight w:val="none"/>
        </w:rPr>
      </w:pPr>
      <w:r>
        <w:rPr>
          <w:rFonts w:hint="eastAsia" w:ascii="宋体" w:hAnsi="宋体" w:cs="宋体"/>
          <w:color w:val="auto"/>
          <w:sz w:val="24"/>
          <w:highlight w:val="none"/>
        </w:rPr>
        <w:t>▲1.保证金形式：</w:t>
      </w:r>
      <w:r>
        <w:rPr>
          <w:rFonts w:hint="eastAsia" w:ascii="宋体" w:hAnsi="宋体" w:cs="宋体"/>
          <w:color w:val="auto"/>
          <w:sz w:val="24"/>
          <w:highlight w:val="none"/>
          <w:u w:val="single"/>
        </w:rPr>
        <w:t>支票、汇票、本票、保函</w:t>
      </w:r>
      <w:r>
        <w:rPr>
          <w:rFonts w:hint="eastAsia" w:ascii="宋体" w:hAnsi="宋体" w:cs="宋体"/>
          <w:color w:val="auto"/>
          <w:sz w:val="24"/>
          <w:highlight w:val="none"/>
        </w:rPr>
        <w:t xml:space="preserve">   </w:t>
      </w:r>
    </w:p>
    <w:p w14:paraId="1C11236D">
      <w:pPr>
        <w:spacing w:line="360" w:lineRule="auto"/>
        <w:rPr>
          <w:rFonts w:ascii="宋体" w:hAnsi="宋体" w:cs="宋体"/>
          <w:color w:val="auto"/>
          <w:sz w:val="24"/>
          <w:highlight w:val="none"/>
        </w:rPr>
      </w:pPr>
      <w:r>
        <w:rPr>
          <w:rFonts w:hint="eastAsia" w:ascii="宋体" w:hAnsi="宋体" w:cs="宋体"/>
          <w:color w:val="auto"/>
          <w:sz w:val="24"/>
          <w:highlight w:val="none"/>
        </w:rPr>
        <w:t>▲2.中标人在收到中标通知书后，需向采购人提供中标价的1%的履约保证金，在中标人与采购人签订合同前递交，中标人需以支票、汇票、本票或者金融机构、保险公司、担保机构出具的保函/保险（可在政采云平台购买，咨询热线4009039583）等非现金形式提交（保函期限应大于履约期限2个月）。</w:t>
      </w:r>
    </w:p>
    <w:p w14:paraId="3A533643">
      <w:pPr>
        <w:spacing w:line="360" w:lineRule="auto"/>
        <w:ind w:firstLine="480" w:firstLineChars="200"/>
        <w:rPr>
          <w:color w:val="auto"/>
          <w:highlight w:val="none"/>
        </w:rPr>
      </w:pPr>
      <w:r>
        <w:rPr>
          <w:rFonts w:hint="eastAsia" w:ascii="宋体" w:hAnsi="宋体" w:cs="宋体"/>
          <w:color w:val="auto"/>
          <w:sz w:val="24"/>
          <w:highlight w:val="none"/>
        </w:rPr>
        <w:t>中标人也可登录政采云平台-【金融服务】—【我的项目】—【已备案合同】以保函形式提供：（1）中标人在合同列表选择需要投保的合同，点击[保函推荐]。（2）在弹框里查看推荐的保函产品，中标人自行选择保函产品，点击[立即申请]。（3）在弹框里填写保函申请信息。具体步骤：选择产品—填写供应商信息—选择中标项目—确认信息—等待保险/保函受理—确认保单—支付保费—成功出单。政采云金融专线400-903-9583。</w:t>
      </w:r>
    </w:p>
    <w:p w14:paraId="24080FC7">
      <w:pPr>
        <w:spacing w:line="430" w:lineRule="exact"/>
        <w:rPr>
          <w:rFonts w:ascii="宋体" w:hAnsi="宋体" w:cs="宋体"/>
          <w:b/>
          <w:color w:val="auto"/>
          <w:sz w:val="24"/>
          <w:highlight w:val="none"/>
        </w:rPr>
      </w:pPr>
      <w:r>
        <w:rPr>
          <w:rFonts w:hint="eastAsia" w:ascii="宋体" w:hAnsi="宋体" w:cs="宋体"/>
          <w:b/>
          <w:color w:val="auto"/>
          <w:sz w:val="24"/>
          <w:highlight w:val="none"/>
        </w:rPr>
        <w:t>（六）磋商响应文件的签署</w:t>
      </w:r>
    </w:p>
    <w:p w14:paraId="5BDD250E">
      <w:pPr>
        <w:numPr>
          <w:ilvl w:val="0"/>
          <w:numId w:val="7"/>
        </w:numPr>
        <w:spacing w:line="430" w:lineRule="exact"/>
        <w:rPr>
          <w:rFonts w:ascii="宋体" w:hAnsi="宋体" w:cs="宋体"/>
          <w:color w:val="auto"/>
          <w:sz w:val="24"/>
          <w:highlight w:val="none"/>
        </w:rPr>
      </w:pPr>
      <w:r>
        <w:rPr>
          <w:rFonts w:hint="eastAsia" w:ascii="宋体" w:hAnsi="宋体" w:cs="宋体"/>
          <w:color w:val="auto"/>
          <w:sz w:val="24"/>
          <w:highlight w:val="none"/>
        </w:rPr>
        <w:t>供应商应按本磋商文件规定的格式和顺序编制磋商响应文件并标注页码，因磋商响应文件内容不完整、编排混乱、放弃关联点或关联点错误等原因导致磋商响应文件被误读、漏读或者查找不到相关内容等风险由供应商自行承担。</w:t>
      </w:r>
    </w:p>
    <w:p w14:paraId="2456B492">
      <w:pPr>
        <w:spacing w:line="430" w:lineRule="exact"/>
        <w:rPr>
          <w:rFonts w:ascii="宋体" w:hAnsi="宋体" w:cs="宋体"/>
          <w:b/>
          <w:color w:val="auto"/>
          <w:sz w:val="24"/>
          <w:highlight w:val="none"/>
        </w:rPr>
      </w:pPr>
      <w:r>
        <w:rPr>
          <w:rFonts w:hint="eastAsia" w:ascii="宋体" w:hAnsi="宋体" w:cs="宋体"/>
          <w:b/>
          <w:color w:val="auto"/>
          <w:sz w:val="24"/>
          <w:highlight w:val="none"/>
        </w:rPr>
        <w:t>2. 磋商响应文件需盖章签字的地方必须由供应商法定代表人或法定代表人的授权委托人签署并加盖单位公章，供应商应写全称。</w:t>
      </w:r>
    </w:p>
    <w:p w14:paraId="70CBE14B">
      <w:pPr>
        <w:spacing w:line="430" w:lineRule="exact"/>
        <w:rPr>
          <w:rFonts w:ascii="宋体" w:hAnsi="宋体" w:cs="宋体"/>
          <w:color w:val="auto"/>
          <w:sz w:val="24"/>
          <w:highlight w:val="none"/>
        </w:rPr>
      </w:pPr>
      <w:r>
        <w:rPr>
          <w:rFonts w:hint="eastAsia" w:ascii="宋体" w:hAnsi="宋体" w:cs="宋体"/>
          <w:color w:val="auto"/>
          <w:sz w:val="24"/>
          <w:highlight w:val="none"/>
        </w:rPr>
        <w:t>3.磋商响应文件不得涂改，若有修改错漏处，须加盖单位公章和由法定代表人或授权委托人签字或盖章。磋商响应文件因字迹潦草或表达不清所引起的后果由供应商负责。</w:t>
      </w:r>
    </w:p>
    <w:p w14:paraId="328255C2">
      <w:pPr>
        <w:spacing w:line="430" w:lineRule="exact"/>
        <w:rPr>
          <w:rFonts w:ascii="宋体" w:hAnsi="宋体" w:cs="宋体"/>
          <w:b/>
          <w:color w:val="auto"/>
          <w:sz w:val="24"/>
          <w:highlight w:val="none"/>
        </w:rPr>
      </w:pPr>
      <w:r>
        <w:rPr>
          <w:rFonts w:hint="eastAsia" w:ascii="宋体" w:hAnsi="宋体" w:cs="宋体"/>
          <w:b/>
          <w:color w:val="auto"/>
          <w:sz w:val="24"/>
          <w:highlight w:val="none"/>
        </w:rPr>
        <w:t>▲（七）磋商响应文件的上传、递交、修改和撤回</w:t>
      </w:r>
    </w:p>
    <w:p w14:paraId="2AF82B67">
      <w:pPr>
        <w:spacing w:line="430" w:lineRule="exact"/>
        <w:ind w:firstLine="495"/>
        <w:rPr>
          <w:rFonts w:ascii="宋体" w:hAnsi="宋体" w:cs="宋体"/>
          <w:color w:val="auto"/>
          <w:sz w:val="24"/>
          <w:highlight w:val="none"/>
        </w:rPr>
      </w:pPr>
      <w:r>
        <w:rPr>
          <w:rFonts w:hint="eastAsia" w:ascii="宋体" w:hAnsi="宋体" w:cs="宋体"/>
          <w:color w:val="auto"/>
          <w:sz w:val="24"/>
          <w:highlight w:val="none"/>
        </w:rPr>
        <w:t>1. 供应商应当在磋商截止时间前在“政采云”（电子交易平台）上自行上传加密的电子磋商响应文件。</w:t>
      </w:r>
    </w:p>
    <w:p w14:paraId="6408CFB4">
      <w:pPr>
        <w:spacing w:line="4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2.未按规定上传的磋商响应文件将被拒绝，由此造成磋商响应文件解密失败或被误投的风险由供应商承担。</w:t>
      </w:r>
    </w:p>
    <w:p w14:paraId="138CF3D0">
      <w:pPr>
        <w:spacing w:line="4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 供应商未在“政采云”（电子交易平台）上自行上传加密的电子磋商响应文件，仅提交电子备份磋商响应文件的，磋商无效。</w:t>
      </w:r>
    </w:p>
    <w:p w14:paraId="5F2BC6A6">
      <w:pPr>
        <w:spacing w:line="4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 供应商应当在磋商截止时间前完成电子磋商响应文件的传输递交，并可以补充、修改或者撤回电子磋商响应文件。补充或者修改电子磋商响应文件的，应当先行撤回原文件，补充、修改后重新传输递交。磋商截止时间前未完成传输的，视为撤回磋商响应文件。磋商、响应截止时间后上传的磋商响应文件，将被政采云平台拒收。</w:t>
      </w:r>
    </w:p>
    <w:p w14:paraId="230AA8E8">
      <w:pPr>
        <w:spacing w:line="4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供应商在磋商截止时间之前，可以对已提交的电子备份磋商响应文件进行修改或撤回，并书面通知招标采购单位；修改后重新递交的电子备份磋商响应文件应当按本磋商文件的要求签署、盖章。磋商截止时间后，供应商不得撤回、修改电子备份磋商响应文件。</w:t>
      </w:r>
    </w:p>
    <w:p w14:paraId="421CF5F1">
      <w:pPr>
        <w:spacing w:line="4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 截止开标时间，政采云（电子交易平台）自动提取所有磋商响应文件，供应商须在开标时间截止后30分钟内对上传政采云的磋商响应文件进行解密，所有供应商在规定的解密时限内解密完成或解密时限到后，采购代理机构开启磋商响应文件；供应商超过解密时限的，系统默认自动放弃。</w:t>
      </w:r>
    </w:p>
    <w:p w14:paraId="012B3DF1">
      <w:pPr>
        <w:spacing w:line="4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 电子磋商响应文件无法解密或解密失败时，供应商提供了电子备份磋商响应文件的，以电子备份磋商响应文件作为评审依据，否则视为磋商响应文件撤回。磋商响应文件已按时解密的，电子备份磋商响应文件自动失效。</w:t>
      </w:r>
    </w:p>
    <w:p w14:paraId="6E0059FC">
      <w:pPr>
        <w:spacing w:line="430" w:lineRule="exact"/>
        <w:rPr>
          <w:rFonts w:ascii="宋体" w:hAnsi="宋体" w:cs="宋体"/>
          <w:b/>
          <w:color w:val="auto"/>
          <w:sz w:val="24"/>
          <w:highlight w:val="none"/>
        </w:rPr>
      </w:pPr>
      <w:r>
        <w:rPr>
          <w:rFonts w:hint="eastAsia" w:ascii="宋体" w:hAnsi="宋体" w:cs="宋体"/>
          <w:b/>
          <w:color w:val="auto"/>
          <w:sz w:val="24"/>
          <w:highlight w:val="none"/>
        </w:rPr>
        <w:t>（八）磋商无效的情形</w:t>
      </w:r>
    </w:p>
    <w:p w14:paraId="6B8123EF">
      <w:pPr>
        <w:spacing w:line="4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实质上没有响应磋商文件要求的磋商将被视为无效磋商。供应商不得通过修正或撤消不合要求的偏离或保留从而使其磋商成为实质上响应的磋商，但经磋商小组认定属于供应商疏忽、笔误所造成的差错，应当允许其在磋商结束之前进行修改或者补正。限期内不补正或经补正后仍不符合磋商文件要求的，应认定其磋商无效。供应商修改、补正磋商响应文件后，不影响磋商小组对其磋商响应文件所作的评价和评分结果。</w:t>
      </w:r>
    </w:p>
    <w:p w14:paraId="3763A53B">
      <w:pPr>
        <w:spacing w:line="430" w:lineRule="exact"/>
        <w:rPr>
          <w:rFonts w:ascii="宋体" w:hAnsi="宋体" w:cs="宋体"/>
          <w:b/>
          <w:color w:val="auto"/>
          <w:sz w:val="24"/>
          <w:highlight w:val="none"/>
        </w:rPr>
      </w:pPr>
      <w:r>
        <w:rPr>
          <w:rFonts w:hint="eastAsia" w:ascii="宋体" w:hAnsi="宋体" w:cs="宋体"/>
          <w:b/>
          <w:color w:val="auto"/>
          <w:sz w:val="24"/>
          <w:highlight w:val="none"/>
        </w:rPr>
        <w:t>1.在符合性审查和商务评审时，如发现下列情形之一的，磋商响应文件将被视为无效：</w:t>
      </w:r>
    </w:p>
    <w:p w14:paraId="4943F952">
      <w:pPr>
        <w:spacing w:line="430" w:lineRule="exact"/>
        <w:rPr>
          <w:rFonts w:ascii="宋体" w:hAnsi="宋体" w:cs="宋体"/>
          <w:color w:val="auto"/>
          <w:sz w:val="24"/>
          <w:highlight w:val="none"/>
        </w:rPr>
      </w:pPr>
      <w:r>
        <w:rPr>
          <w:rFonts w:hint="eastAsia" w:ascii="宋体" w:hAnsi="宋体" w:cs="宋体"/>
          <w:color w:val="auto"/>
          <w:sz w:val="24"/>
          <w:highlight w:val="none"/>
        </w:rPr>
        <w:t>（1）供应商仅提交电子备份磋商响应文件的；</w:t>
      </w:r>
    </w:p>
    <w:p w14:paraId="7472D0C4">
      <w:pPr>
        <w:spacing w:line="430" w:lineRule="exact"/>
        <w:ind w:firstLine="120" w:firstLineChars="50"/>
        <w:rPr>
          <w:rFonts w:ascii="宋体" w:hAnsi="宋体" w:cs="宋体"/>
          <w:color w:val="auto"/>
          <w:sz w:val="24"/>
          <w:highlight w:val="none"/>
        </w:rPr>
      </w:pPr>
      <w:r>
        <w:rPr>
          <w:rFonts w:hint="eastAsia" w:ascii="宋体" w:hAnsi="宋体" w:cs="宋体"/>
          <w:color w:val="auto"/>
          <w:sz w:val="24"/>
          <w:highlight w:val="none"/>
        </w:rPr>
        <w:t>(2) 在开磋商时出现电子磋商响应文件无法解密或解密失败等情况，供应商未提供电子备份磋商响应文件，无法对供应商继续进行评审的；</w:t>
      </w:r>
    </w:p>
    <w:p w14:paraId="0B653CC5">
      <w:pPr>
        <w:spacing w:line="430" w:lineRule="exact"/>
        <w:rPr>
          <w:rFonts w:ascii="宋体" w:hAnsi="宋体" w:cs="宋体"/>
          <w:color w:val="auto"/>
          <w:sz w:val="24"/>
          <w:highlight w:val="none"/>
        </w:rPr>
      </w:pPr>
      <w:r>
        <w:rPr>
          <w:rFonts w:hint="eastAsia" w:ascii="宋体" w:hAnsi="宋体" w:cs="宋体"/>
          <w:color w:val="auto"/>
          <w:sz w:val="24"/>
          <w:highlight w:val="none"/>
        </w:rPr>
        <w:t>（3）供应商未在规定的时间内对电子询标函进行澄清回复、拒绝澄清回复或澄清回复的内容改变了磋商响应文件的实质性内容的；</w:t>
      </w:r>
    </w:p>
    <w:p w14:paraId="1E2C718B">
      <w:pPr>
        <w:spacing w:line="430" w:lineRule="exact"/>
        <w:rPr>
          <w:rFonts w:ascii="宋体" w:hAnsi="宋体" w:cs="宋体"/>
          <w:color w:val="auto"/>
          <w:sz w:val="24"/>
          <w:highlight w:val="none"/>
        </w:rPr>
      </w:pPr>
      <w:r>
        <w:rPr>
          <w:rFonts w:hint="eastAsia" w:ascii="宋体" w:hAnsi="宋体" w:cs="宋体"/>
          <w:color w:val="auto"/>
          <w:sz w:val="24"/>
          <w:highlight w:val="none"/>
        </w:rPr>
        <w:t xml:space="preserve">（4）网上下载的证明文件，不能通过真实性验证的（发现提供虚假资料的，按照提供虚假资料处理）； </w:t>
      </w:r>
    </w:p>
    <w:p w14:paraId="783C177D">
      <w:pPr>
        <w:spacing w:line="430" w:lineRule="exact"/>
        <w:rPr>
          <w:rFonts w:ascii="宋体" w:hAnsi="宋体" w:cs="宋体"/>
          <w:color w:val="auto"/>
          <w:sz w:val="24"/>
          <w:highlight w:val="none"/>
        </w:rPr>
      </w:pPr>
      <w:r>
        <w:rPr>
          <w:rFonts w:hint="eastAsia" w:ascii="宋体" w:hAnsi="宋体" w:cs="宋体"/>
          <w:color w:val="auto"/>
          <w:sz w:val="24"/>
          <w:highlight w:val="none"/>
        </w:rPr>
        <w:t>（5）资格证明文件不全的，或者不符合磋商文件标明的资格要求的，及未提供磋商文件中标有“*”、“ ▲”、“※”、“★”等特殊符号的证明文件的；</w:t>
      </w:r>
    </w:p>
    <w:p w14:paraId="31E5FE77">
      <w:pPr>
        <w:spacing w:line="430" w:lineRule="exact"/>
        <w:rPr>
          <w:rFonts w:ascii="宋体" w:hAnsi="宋体" w:cs="宋体"/>
          <w:color w:val="auto"/>
          <w:sz w:val="24"/>
          <w:highlight w:val="none"/>
        </w:rPr>
      </w:pPr>
      <w:r>
        <w:rPr>
          <w:rFonts w:hint="eastAsia" w:ascii="宋体" w:hAnsi="宋体" w:cs="宋体"/>
          <w:color w:val="auto"/>
          <w:sz w:val="24"/>
          <w:highlight w:val="none"/>
        </w:rPr>
        <w:t>（6）本项目投标截止之日前三年内，相关主体在“信用中国”网站、中国政府采购网有失信行为或被列入受惩黑名单。</w:t>
      </w:r>
    </w:p>
    <w:p w14:paraId="24763F27">
      <w:pPr>
        <w:spacing w:line="430" w:lineRule="exact"/>
        <w:rPr>
          <w:rFonts w:ascii="宋体" w:hAnsi="宋体" w:cs="宋体"/>
          <w:color w:val="auto"/>
          <w:sz w:val="24"/>
          <w:highlight w:val="none"/>
        </w:rPr>
      </w:pPr>
      <w:r>
        <w:rPr>
          <w:rFonts w:hint="eastAsia" w:ascii="宋体" w:hAnsi="宋体" w:cs="宋体"/>
          <w:color w:val="auto"/>
          <w:sz w:val="24"/>
          <w:highlight w:val="none"/>
        </w:rPr>
        <w:t>（7）磋商响应文件无法定代表人签字,或未提供法定代表人授权委托书、磋商声明书或者填写项目不齐全的；</w:t>
      </w:r>
    </w:p>
    <w:p w14:paraId="7EAD5EDE">
      <w:pPr>
        <w:spacing w:line="430" w:lineRule="exact"/>
        <w:rPr>
          <w:rFonts w:ascii="宋体" w:hAnsi="宋体" w:cs="宋体"/>
          <w:color w:val="auto"/>
          <w:sz w:val="24"/>
          <w:highlight w:val="none"/>
        </w:rPr>
      </w:pPr>
      <w:r>
        <w:rPr>
          <w:rFonts w:hint="eastAsia" w:ascii="宋体" w:hAnsi="宋体" w:cs="宋体"/>
          <w:color w:val="auto"/>
          <w:sz w:val="24"/>
          <w:highlight w:val="none"/>
        </w:rPr>
        <w:t xml:space="preserve">（8）磋商代表人未能出具身份证明或与法定代表人授权委托人身份不符的； </w:t>
      </w:r>
    </w:p>
    <w:p w14:paraId="3F109047">
      <w:pPr>
        <w:spacing w:line="430" w:lineRule="exact"/>
        <w:rPr>
          <w:rFonts w:ascii="宋体" w:hAnsi="宋体" w:cs="宋体"/>
          <w:color w:val="auto"/>
          <w:sz w:val="24"/>
          <w:highlight w:val="none"/>
        </w:rPr>
      </w:pPr>
      <w:r>
        <w:rPr>
          <w:rFonts w:hint="eastAsia" w:ascii="宋体" w:hAnsi="宋体" w:cs="宋体"/>
          <w:color w:val="auto"/>
          <w:sz w:val="24"/>
          <w:highlight w:val="none"/>
        </w:rPr>
        <w:t>（9）磋商响应文件格式未按磋商文件附件规定的格式、未按磋商文件规定的内容编制磋商响应文件的或者内容虚假的、未按规定签字或盖章的；</w:t>
      </w:r>
    </w:p>
    <w:p w14:paraId="7055D6AE">
      <w:pPr>
        <w:spacing w:line="430" w:lineRule="exact"/>
        <w:rPr>
          <w:rFonts w:ascii="宋体" w:hAnsi="宋体" w:cs="宋体"/>
          <w:color w:val="auto"/>
          <w:sz w:val="24"/>
          <w:highlight w:val="none"/>
        </w:rPr>
      </w:pPr>
      <w:r>
        <w:rPr>
          <w:rFonts w:hint="eastAsia" w:ascii="宋体" w:hAnsi="宋体" w:cs="宋体"/>
          <w:color w:val="auto"/>
          <w:sz w:val="24"/>
          <w:highlight w:val="none"/>
        </w:rPr>
        <w:t>（10）磋商响应文件的实质性内容未使用中文表述的或意思表述不明确、前后矛盾的或者使用计量单位不符合磋商文件要求的（经磋商小组认定并允许其当场更正的笔误除外）；</w:t>
      </w:r>
    </w:p>
    <w:p w14:paraId="3D33B662">
      <w:pPr>
        <w:spacing w:line="430" w:lineRule="exact"/>
        <w:rPr>
          <w:rFonts w:ascii="宋体" w:hAnsi="宋体" w:cs="宋体"/>
          <w:color w:val="auto"/>
          <w:sz w:val="24"/>
          <w:highlight w:val="none"/>
        </w:rPr>
      </w:pPr>
      <w:r>
        <w:rPr>
          <w:rFonts w:hint="eastAsia" w:ascii="宋体" w:hAnsi="宋体" w:cs="宋体"/>
          <w:color w:val="auto"/>
          <w:sz w:val="24"/>
          <w:highlight w:val="none"/>
        </w:rPr>
        <w:t>（11）磋商有效期、服务期（交货期）、质保期、付款方式等商务条款不能满足磋商文件要求的；</w:t>
      </w:r>
    </w:p>
    <w:p w14:paraId="14F7C7C6">
      <w:pPr>
        <w:spacing w:line="430" w:lineRule="exact"/>
        <w:rPr>
          <w:rFonts w:ascii="宋体" w:hAnsi="宋体" w:cs="宋体"/>
          <w:color w:val="auto"/>
          <w:sz w:val="24"/>
          <w:highlight w:val="none"/>
        </w:rPr>
      </w:pPr>
      <w:r>
        <w:rPr>
          <w:rFonts w:hint="eastAsia" w:ascii="宋体" w:hAnsi="宋体" w:cs="宋体"/>
          <w:color w:val="auto"/>
          <w:sz w:val="24"/>
          <w:highlight w:val="none"/>
        </w:rPr>
        <w:t>（12）未实质性响应磋商文件要求或者磋商响应文件有招标方不能接受的附加条件的；</w:t>
      </w:r>
    </w:p>
    <w:p w14:paraId="15545898">
      <w:pPr>
        <w:spacing w:line="430" w:lineRule="exact"/>
        <w:rPr>
          <w:rFonts w:ascii="宋体" w:hAnsi="宋体" w:cs="宋体"/>
          <w:color w:val="auto"/>
          <w:sz w:val="24"/>
          <w:highlight w:val="none"/>
        </w:rPr>
      </w:pPr>
      <w:r>
        <w:rPr>
          <w:rFonts w:hint="eastAsia" w:ascii="宋体" w:hAnsi="宋体" w:cs="宋体"/>
          <w:color w:val="auto"/>
          <w:sz w:val="24"/>
          <w:highlight w:val="none"/>
        </w:rPr>
        <w:t>（13）磋商文件规定的其它磋商无效的情况；</w:t>
      </w:r>
    </w:p>
    <w:p w14:paraId="7F3EB939">
      <w:pPr>
        <w:tabs>
          <w:tab w:val="left" w:pos="401"/>
        </w:tabs>
        <w:spacing w:line="430" w:lineRule="exact"/>
        <w:rPr>
          <w:rFonts w:ascii="宋体" w:hAnsi="宋体" w:cs="宋体"/>
          <w:color w:val="auto"/>
          <w:sz w:val="24"/>
          <w:highlight w:val="none"/>
        </w:rPr>
      </w:pPr>
      <w:r>
        <w:rPr>
          <w:rFonts w:hint="eastAsia" w:ascii="宋体" w:hAnsi="宋体" w:cs="宋体"/>
          <w:color w:val="auto"/>
          <w:sz w:val="24"/>
          <w:highlight w:val="none"/>
        </w:rPr>
        <w:t>（14）法律、法规规定的其它磋商无效情况。</w:t>
      </w:r>
    </w:p>
    <w:p w14:paraId="49396286">
      <w:pPr>
        <w:spacing w:line="430" w:lineRule="exact"/>
        <w:rPr>
          <w:rFonts w:ascii="宋体" w:hAnsi="宋体" w:cs="宋体"/>
          <w:b/>
          <w:color w:val="auto"/>
          <w:sz w:val="24"/>
          <w:highlight w:val="none"/>
        </w:rPr>
      </w:pPr>
      <w:r>
        <w:rPr>
          <w:rFonts w:hint="eastAsia" w:ascii="宋体" w:hAnsi="宋体" w:cs="宋体"/>
          <w:b/>
          <w:color w:val="auto"/>
          <w:sz w:val="24"/>
          <w:highlight w:val="none"/>
        </w:rPr>
        <w:t>2.在技术资信评审时，如发现下列情形之一的，磋商响应文件将被视为无效：</w:t>
      </w:r>
    </w:p>
    <w:p w14:paraId="33504EAB">
      <w:pPr>
        <w:spacing w:line="430" w:lineRule="exact"/>
        <w:rPr>
          <w:rFonts w:ascii="宋体" w:hAnsi="宋体" w:cs="宋体"/>
          <w:b/>
          <w:color w:val="auto"/>
          <w:sz w:val="24"/>
          <w:highlight w:val="none"/>
        </w:rPr>
      </w:pPr>
      <w:r>
        <w:rPr>
          <w:rFonts w:hint="eastAsia" w:ascii="宋体" w:hAnsi="宋体" w:cs="宋体"/>
          <w:color w:val="auto"/>
          <w:sz w:val="24"/>
          <w:highlight w:val="none"/>
        </w:rPr>
        <w:t>（1）供应商未在规定的时间内对电子询标函进行澄清回复、拒绝澄清回复或澄清回复的内容改变了磋商响应文件的实质性内容的；</w:t>
      </w:r>
    </w:p>
    <w:p w14:paraId="681E6C65">
      <w:pPr>
        <w:spacing w:line="430" w:lineRule="exact"/>
        <w:rPr>
          <w:rFonts w:ascii="宋体" w:hAnsi="宋体" w:cs="宋体"/>
          <w:color w:val="auto"/>
          <w:sz w:val="24"/>
          <w:highlight w:val="none"/>
        </w:rPr>
      </w:pPr>
      <w:r>
        <w:rPr>
          <w:rFonts w:hint="eastAsia" w:ascii="宋体" w:hAnsi="宋体" w:cs="宋体"/>
          <w:color w:val="auto"/>
          <w:sz w:val="24"/>
          <w:highlight w:val="none"/>
        </w:rPr>
        <w:t>（2）磋商响应文件标明的响应或偏离与事实不符的或虚假响应的；</w:t>
      </w:r>
    </w:p>
    <w:p w14:paraId="272CAAC2">
      <w:pPr>
        <w:spacing w:line="430" w:lineRule="exact"/>
        <w:rPr>
          <w:rFonts w:ascii="宋体" w:hAnsi="宋体" w:cs="宋体"/>
          <w:color w:val="auto"/>
          <w:sz w:val="24"/>
          <w:highlight w:val="none"/>
        </w:rPr>
      </w:pPr>
      <w:r>
        <w:rPr>
          <w:rFonts w:hint="eastAsia" w:ascii="宋体" w:hAnsi="宋体" w:cs="宋体"/>
          <w:color w:val="auto"/>
          <w:sz w:val="24"/>
          <w:highlight w:val="none"/>
        </w:rPr>
        <w:t>（3）明显不符合磋商文件质量标准的，或者与磋商文件中标有“*”、“ ▲”、“※”、“★”等特殊符号的技术指标、主要功能项目发生实质性偏离的；</w:t>
      </w:r>
    </w:p>
    <w:p w14:paraId="5B13F06D">
      <w:pPr>
        <w:spacing w:line="430" w:lineRule="exact"/>
        <w:rPr>
          <w:rFonts w:ascii="宋体" w:hAnsi="宋体" w:cs="宋体"/>
          <w:color w:val="auto"/>
          <w:sz w:val="24"/>
          <w:highlight w:val="none"/>
        </w:rPr>
      </w:pPr>
      <w:r>
        <w:rPr>
          <w:rFonts w:hint="eastAsia" w:ascii="宋体" w:hAnsi="宋体" w:cs="宋体"/>
          <w:color w:val="auto"/>
          <w:sz w:val="24"/>
          <w:highlight w:val="none"/>
        </w:rPr>
        <w:t>（4）磋商文件中允许偏离的技术、性能指标或者辅助功能发生较大负偏离的，经磋商小组认定对项目实际使用造成影响的；</w:t>
      </w:r>
    </w:p>
    <w:p w14:paraId="2759F6E7">
      <w:pPr>
        <w:spacing w:line="430" w:lineRule="exact"/>
        <w:rPr>
          <w:rFonts w:ascii="宋体" w:hAnsi="宋体" w:cs="宋体"/>
          <w:color w:val="auto"/>
          <w:sz w:val="24"/>
          <w:highlight w:val="none"/>
        </w:rPr>
      </w:pPr>
      <w:r>
        <w:rPr>
          <w:rFonts w:hint="eastAsia" w:ascii="宋体" w:hAnsi="宋体" w:cs="宋体"/>
          <w:color w:val="auto"/>
          <w:sz w:val="24"/>
          <w:highlight w:val="none"/>
        </w:rPr>
        <w:t>（5）磋商响应文件技术方案不明确，存在一个或一个以上备选（替代）磋商响应方案的；</w:t>
      </w:r>
    </w:p>
    <w:p w14:paraId="76B56543">
      <w:pPr>
        <w:spacing w:line="430" w:lineRule="exact"/>
        <w:rPr>
          <w:rFonts w:ascii="宋体" w:hAnsi="宋体" w:cs="宋体"/>
          <w:color w:val="auto"/>
          <w:sz w:val="24"/>
          <w:highlight w:val="none"/>
        </w:rPr>
      </w:pPr>
      <w:r>
        <w:rPr>
          <w:rFonts w:hint="eastAsia" w:ascii="宋体" w:hAnsi="宋体" w:cs="宋体"/>
          <w:color w:val="auto"/>
          <w:sz w:val="24"/>
          <w:highlight w:val="none"/>
        </w:rPr>
        <w:t>（6）与其他参加本次磋商供应商的磋商响应文件的文字表述内容相同连续20行以上或者差错相同2处以上的；</w:t>
      </w:r>
    </w:p>
    <w:p w14:paraId="5D0A260F">
      <w:pPr>
        <w:spacing w:line="430" w:lineRule="exact"/>
        <w:rPr>
          <w:rFonts w:ascii="宋体" w:hAnsi="宋体" w:cs="宋体"/>
          <w:color w:val="auto"/>
          <w:sz w:val="24"/>
          <w:highlight w:val="none"/>
        </w:rPr>
      </w:pPr>
      <w:r>
        <w:rPr>
          <w:rFonts w:hint="eastAsia" w:ascii="宋体" w:hAnsi="宋体" w:cs="宋体"/>
          <w:color w:val="auto"/>
          <w:sz w:val="24"/>
          <w:highlight w:val="none"/>
        </w:rPr>
        <w:t>（7）在资信及商务标、技术标内出现商务报价；</w:t>
      </w:r>
    </w:p>
    <w:p w14:paraId="4277F07F">
      <w:pPr>
        <w:spacing w:line="430" w:lineRule="exact"/>
        <w:rPr>
          <w:rFonts w:ascii="宋体" w:hAnsi="宋体" w:cs="宋体"/>
          <w:color w:val="auto"/>
          <w:sz w:val="24"/>
          <w:highlight w:val="none"/>
        </w:rPr>
      </w:pPr>
      <w:r>
        <w:rPr>
          <w:rFonts w:hint="eastAsia" w:ascii="宋体" w:hAnsi="宋体" w:cs="宋体"/>
          <w:color w:val="auto"/>
          <w:sz w:val="24"/>
          <w:highlight w:val="none"/>
        </w:rPr>
        <w:t>（8）磋商文件规定的其它磋商无效的情况；</w:t>
      </w:r>
    </w:p>
    <w:p w14:paraId="03B4308F">
      <w:pPr>
        <w:spacing w:line="430" w:lineRule="exact"/>
        <w:rPr>
          <w:rFonts w:ascii="宋体" w:hAnsi="宋体" w:cs="宋体"/>
          <w:color w:val="auto"/>
          <w:sz w:val="24"/>
          <w:highlight w:val="none"/>
        </w:rPr>
      </w:pPr>
      <w:r>
        <w:rPr>
          <w:rFonts w:hint="eastAsia" w:ascii="宋体" w:hAnsi="宋体" w:cs="宋体"/>
          <w:color w:val="auto"/>
          <w:sz w:val="24"/>
          <w:highlight w:val="none"/>
        </w:rPr>
        <w:t>（9）法律、法规规定的其它磋商无效情况。</w:t>
      </w:r>
    </w:p>
    <w:p w14:paraId="22538E0E">
      <w:pPr>
        <w:spacing w:line="430" w:lineRule="exact"/>
        <w:rPr>
          <w:rFonts w:ascii="宋体" w:hAnsi="宋体" w:cs="宋体"/>
          <w:b/>
          <w:color w:val="auto"/>
          <w:sz w:val="24"/>
          <w:highlight w:val="none"/>
        </w:rPr>
      </w:pPr>
      <w:r>
        <w:rPr>
          <w:rFonts w:hint="eastAsia" w:ascii="宋体" w:hAnsi="宋体" w:cs="宋体"/>
          <w:b/>
          <w:color w:val="auto"/>
          <w:sz w:val="24"/>
          <w:highlight w:val="none"/>
        </w:rPr>
        <w:t>3.在报价评审时，如发现下列情形之一的，磋商响应文件将被视为无效：</w:t>
      </w:r>
    </w:p>
    <w:p w14:paraId="4A1F7F48">
      <w:pPr>
        <w:spacing w:line="430" w:lineRule="exact"/>
        <w:rPr>
          <w:rFonts w:ascii="宋体" w:hAnsi="宋体" w:cs="宋体"/>
          <w:color w:val="auto"/>
          <w:sz w:val="24"/>
          <w:highlight w:val="none"/>
        </w:rPr>
      </w:pPr>
      <w:r>
        <w:rPr>
          <w:rFonts w:hint="eastAsia" w:ascii="宋体" w:hAnsi="宋体" w:cs="宋体"/>
          <w:color w:val="auto"/>
          <w:sz w:val="24"/>
          <w:highlight w:val="none"/>
        </w:rPr>
        <w:t>（1）供应商未在规定的时间内对电子询标函进行澄清回复、拒绝澄清回复或者澄清回复的内容改变了磋商响应文件的实质性内容的；</w:t>
      </w:r>
    </w:p>
    <w:p w14:paraId="14B085EB">
      <w:pPr>
        <w:spacing w:line="430" w:lineRule="exact"/>
        <w:rPr>
          <w:rFonts w:ascii="宋体" w:hAnsi="宋体" w:cs="宋体"/>
          <w:color w:val="auto"/>
          <w:sz w:val="24"/>
          <w:highlight w:val="none"/>
        </w:rPr>
      </w:pPr>
      <w:r>
        <w:rPr>
          <w:rFonts w:hint="eastAsia" w:ascii="宋体" w:hAnsi="宋体" w:cs="宋体"/>
          <w:color w:val="auto"/>
          <w:sz w:val="24"/>
          <w:highlight w:val="none"/>
        </w:rPr>
        <w:t>（2）未采用人民币报价或者未按照磋商文件标明的币种报价的；</w:t>
      </w:r>
    </w:p>
    <w:p w14:paraId="69B1F7DE">
      <w:pPr>
        <w:spacing w:line="430" w:lineRule="exact"/>
        <w:rPr>
          <w:rFonts w:ascii="宋体" w:hAnsi="宋体" w:cs="宋体"/>
          <w:color w:val="auto"/>
          <w:sz w:val="24"/>
          <w:highlight w:val="none"/>
        </w:rPr>
      </w:pPr>
      <w:r>
        <w:rPr>
          <w:rFonts w:hint="eastAsia" w:ascii="宋体" w:hAnsi="宋体" w:cs="宋体"/>
          <w:color w:val="auto"/>
          <w:sz w:val="24"/>
          <w:highlight w:val="none"/>
        </w:rPr>
        <w:t>（3）磋商报价具有选择性的，或者开标价格与磋商响应文件承诺的优惠（折扣）价格不一致的；</w:t>
      </w:r>
    </w:p>
    <w:p w14:paraId="640AB314">
      <w:pPr>
        <w:spacing w:line="430" w:lineRule="exact"/>
        <w:rPr>
          <w:rFonts w:ascii="宋体" w:hAnsi="宋体" w:cs="宋体"/>
          <w:color w:val="auto"/>
          <w:sz w:val="24"/>
          <w:highlight w:val="none"/>
        </w:rPr>
      </w:pPr>
      <w:r>
        <w:rPr>
          <w:rFonts w:hint="eastAsia" w:ascii="宋体" w:hAnsi="宋体" w:cs="宋体"/>
          <w:color w:val="auto"/>
          <w:sz w:val="24"/>
          <w:highlight w:val="none"/>
        </w:rPr>
        <w:t>（4）报价超出用户设定的最高限价或预算金额的；</w:t>
      </w:r>
    </w:p>
    <w:p w14:paraId="444F6D92">
      <w:pPr>
        <w:spacing w:line="430" w:lineRule="exact"/>
        <w:rPr>
          <w:rFonts w:ascii="宋体" w:hAnsi="宋体" w:cs="宋体"/>
          <w:color w:val="auto"/>
          <w:sz w:val="24"/>
          <w:highlight w:val="none"/>
        </w:rPr>
      </w:pPr>
      <w:r>
        <w:rPr>
          <w:rFonts w:hint="eastAsia" w:ascii="宋体" w:hAnsi="宋体" w:cs="宋体"/>
          <w:color w:val="auto"/>
          <w:sz w:val="24"/>
          <w:highlight w:val="none"/>
        </w:rPr>
        <w:t>（5）磋商文件规定的其它磋商无效的情况；</w:t>
      </w:r>
    </w:p>
    <w:p w14:paraId="2EB1A839">
      <w:pPr>
        <w:spacing w:line="430" w:lineRule="exact"/>
        <w:rPr>
          <w:rFonts w:ascii="宋体" w:hAnsi="宋体" w:cs="宋体"/>
          <w:color w:val="auto"/>
          <w:sz w:val="24"/>
          <w:highlight w:val="none"/>
        </w:rPr>
      </w:pPr>
      <w:r>
        <w:rPr>
          <w:rFonts w:hint="eastAsia" w:ascii="宋体" w:hAnsi="宋体" w:cs="宋体"/>
          <w:color w:val="auto"/>
          <w:sz w:val="24"/>
          <w:highlight w:val="none"/>
        </w:rPr>
        <w:t>（6）法律、法规规定的其它磋商无效情况。</w:t>
      </w:r>
    </w:p>
    <w:p w14:paraId="6AE63510">
      <w:pPr>
        <w:spacing w:line="430" w:lineRule="exact"/>
        <w:rPr>
          <w:rFonts w:hint="eastAsia" w:ascii="宋体" w:hAnsi="宋体" w:cs="宋体"/>
          <w:b/>
          <w:bCs/>
          <w:color w:val="auto"/>
          <w:sz w:val="24"/>
          <w:highlight w:val="none"/>
          <w:lang w:val="en-US" w:eastAsia="zh-CN"/>
        </w:rPr>
      </w:pPr>
      <w:bookmarkStart w:id="21" w:name="_Toc458697270"/>
      <w:bookmarkStart w:id="22" w:name="_Toc174369998"/>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w:t>
      </w:r>
      <w:r>
        <w:rPr>
          <w:rFonts w:hint="eastAsia" w:ascii="宋体" w:hAnsi="宋体" w:cs="宋体"/>
          <w:b/>
          <w:color w:val="auto"/>
          <w:sz w:val="24"/>
          <w:highlight w:val="none"/>
        </w:rPr>
        <w:t>如发现下列情形之一的，磋商响应文件将被视为无效</w:t>
      </w:r>
      <w:r>
        <w:rPr>
          <w:rFonts w:hint="eastAsia" w:ascii="宋体" w:hAnsi="宋体" w:cs="宋体"/>
          <w:b/>
          <w:color w:val="auto"/>
          <w:sz w:val="24"/>
          <w:highlight w:val="none"/>
          <w:lang w:eastAsia="zh-CN"/>
        </w:rPr>
        <w:t>，</w:t>
      </w:r>
      <w:r>
        <w:rPr>
          <w:rFonts w:hint="eastAsia" w:ascii="宋体" w:hAnsi="宋体" w:cs="宋体"/>
          <w:b/>
          <w:bCs/>
          <w:color w:val="auto"/>
          <w:sz w:val="24"/>
          <w:highlight w:val="none"/>
          <w:lang w:val="en-US" w:eastAsia="zh-CN"/>
        </w:rPr>
        <w:t>投标（响应）文件无效：</w:t>
      </w:r>
    </w:p>
    <w:p w14:paraId="5709202F">
      <w:pPr>
        <w:spacing w:line="43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（1）不同供应商制作电子投标（响应）文件的计算机网卡MAC地址相同的；</w:t>
      </w:r>
    </w:p>
    <w:p w14:paraId="2B0D8790">
      <w:pPr>
        <w:spacing w:line="43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（2）不同供应商制作电子投标（响应）文件的计算机硬盘序列号相同的；</w:t>
      </w:r>
    </w:p>
    <w:p w14:paraId="189C90A8">
      <w:pPr>
        <w:spacing w:line="43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（3）不同供应商的投标（响应）文件的内容存在两处以上细节错误一致，且无法合理解释的。”</w:t>
      </w:r>
    </w:p>
    <w:p w14:paraId="1CF01CA3">
      <w:pPr>
        <w:spacing w:line="430" w:lineRule="exact"/>
        <w:rPr>
          <w:rFonts w:ascii="宋体" w:hAnsi="宋体" w:cs="宋体"/>
          <w:b/>
          <w:color w:val="auto"/>
          <w:sz w:val="24"/>
          <w:highlight w:val="none"/>
        </w:rPr>
      </w:pP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.被拒绝的磋商响应文件为无效。</w:t>
      </w:r>
    </w:p>
    <w:p w14:paraId="6D72A318">
      <w:pPr>
        <w:spacing w:line="430" w:lineRule="exact"/>
        <w:rPr>
          <w:rFonts w:ascii="宋体" w:hAnsi="宋体" w:cs="宋体"/>
          <w:b/>
          <w:color w:val="auto"/>
          <w:sz w:val="24"/>
          <w:highlight w:val="none"/>
        </w:rPr>
      </w:pP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.根据有关法律、法规规定为无效、废标的，按法律、法规规定执行。</w:t>
      </w:r>
    </w:p>
    <w:p w14:paraId="051A88B3">
      <w:pPr>
        <w:pStyle w:val="4"/>
        <w:keepNext w:val="0"/>
        <w:keepLines w:val="0"/>
        <w:pageBreakBefore/>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四、开标</w:t>
      </w:r>
      <w:bookmarkEnd w:id="21"/>
      <w:bookmarkEnd w:id="22"/>
    </w:p>
    <w:p w14:paraId="6781D749">
      <w:pPr>
        <w:spacing w:line="360" w:lineRule="auto"/>
        <w:rPr>
          <w:rFonts w:ascii="宋体" w:hAnsi="宋体" w:cs="宋体"/>
          <w:b/>
          <w:color w:val="auto"/>
          <w:sz w:val="24"/>
          <w:highlight w:val="none"/>
        </w:rPr>
      </w:pPr>
      <w:bookmarkStart w:id="23" w:name="_Toc458697271"/>
      <w:r>
        <w:rPr>
          <w:rFonts w:hint="eastAsia" w:ascii="宋体" w:hAnsi="宋体" w:cs="宋体"/>
          <w:b/>
          <w:color w:val="auto"/>
          <w:sz w:val="24"/>
          <w:highlight w:val="none"/>
        </w:rPr>
        <w:t xml:space="preserve">（一）开标准备   </w:t>
      </w:r>
    </w:p>
    <w:p w14:paraId="570246F7">
      <w:pPr>
        <w:spacing w:line="360" w:lineRule="auto"/>
        <w:ind w:firstLine="720" w:firstLineChars="300"/>
        <w:rPr>
          <w:rFonts w:ascii="宋体" w:hAnsi="宋体" w:cs="宋体"/>
          <w:bCs/>
          <w:color w:val="auto"/>
          <w:sz w:val="24"/>
          <w:highlight w:val="none"/>
        </w:rPr>
      </w:pPr>
      <w:r>
        <w:rPr>
          <w:rFonts w:hint="eastAsia" w:ascii="宋体" w:hAnsi="宋体" w:cs="宋体"/>
          <w:bCs/>
          <w:color w:val="auto"/>
          <w:sz w:val="24"/>
          <w:highlight w:val="none"/>
        </w:rPr>
        <w:t>采购代理机构将在规定的时间和地点进行电子开标，供应商的法定代表人或其委托代理人【委托代理人应当是供应商的在职正式职工（以供应商本单位缴纳社保花名册为准）】应做好磋商准备，准时在线参加电子开标会议，随时关注磋商进度。</w:t>
      </w:r>
    </w:p>
    <w:p w14:paraId="1F667CEB">
      <w:pPr>
        <w:spacing w:line="360" w:lineRule="auto"/>
        <w:rPr>
          <w:rFonts w:ascii="宋体" w:hAnsi="宋体" w:cs="宋体"/>
          <w:b/>
          <w:color w:val="auto"/>
          <w:sz w:val="24"/>
          <w:highlight w:val="none"/>
        </w:rPr>
      </w:pPr>
      <w:r>
        <w:rPr>
          <w:rFonts w:hint="eastAsia" w:ascii="宋体" w:hAnsi="宋体" w:cs="宋体"/>
          <w:b/>
          <w:color w:val="auto"/>
          <w:sz w:val="24"/>
          <w:highlight w:val="none"/>
        </w:rPr>
        <w:t>（二）电子磋商开标程序</w:t>
      </w:r>
    </w:p>
    <w:p w14:paraId="4B78206C">
      <w:pPr>
        <w:spacing w:line="360" w:lineRule="auto"/>
        <w:rPr>
          <w:rFonts w:ascii="宋体" w:hAnsi="宋体" w:cs="宋体"/>
          <w:bCs/>
          <w:color w:val="auto"/>
          <w:sz w:val="24"/>
          <w:highlight w:val="none"/>
        </w:rPr>
      </w:pPr>
      <w:r>
        <w:rPr>
          <w:rFonts w:hint="eastAsia" w:ascii="宋体" w:hAnsi="宋体" w:cs="宋体"/>
          <w:bCs/>
          <w:color w:val="auto"/>
          <w:sz w:val="24"/>
          <w:highlight w:val="none"/>
        </w:rPr>
        <w:t>1.开标会由招标代理机构主持，主持人宣布开标会议开始；</w:t>
      </w:r>
    </w:p>
    <w:p w14:paraId="4EEE7F46">
      <w:pPr>
        <w:spacing w:line="360" w:lineRule="auto"/>
        <w:rPr>
          <w:rFonts w:ascii="宋体" w:hAnsi="宋体" w:cs="宋体"/>
          <w:bCs/>
          <w:color w:val="auto"/>
          <w:sz w:val="24"/>
          <w:highlight w:val="none"/>
        </w:rPr>
      </w:pPr>
      <w:r>
        <w:rPr>
          <w:rFonts w:hint="eastAsia" w:ascii="宋体" w:hAnsi="宋体" w:cs="宋体"/>
          <w:bCs/>
          <w:color w:val="auto"/>
          <w:sz w:val="24"/>
          <w:highlight w:val="none"/>
        </w:rPr>
        <w:t>2.主持人宣布会议纪律及磋商期间的有关事项；告知应当回避的情形,提请有关人员回避；</w:t>
      </w:r>
    </w:p>
    <w:p w14:paraId="2FB4C83B">
      <w:pPr>
        <w:spacing w:line="360" w:lineRule="auto"/>
        <w:rPr>
          <w:rFonts w:ascii="宋体" w:hAnsi="宋体" w:cs="宋体"/>
          <w:color w:val="auto"/>
          <w:sz w:val="24"/>
          <w:highlight w:val="none"/>
        </w:rPr>
      </w:pPr>
      <w:r>
        <w:rPr>
          <w:rFonts w:hint="eastAsia" w:ascii="宋体" w:hAnsi="宋体" w:cs="宋体"/>
          <w:color w:val="auto"/>
          <w:sz w:val="24"/>
          <w:highlight w:val="none"/>
        </w:rPr>
        <w:t>3.开标及评审程序</w:t>
      </w:r>
    </w:p>
    <w:p w14:paraId="6A18B6B0">
      <w:pPr>
        <w:spacing w:line="360" w:lineRule="auto"/>
        <w:rPr>
          <w:rFonts w:ascii="宋体" w:hAnsi="宋体" w:cs="宋体"/>
          <w:color w:val="auto"/>
          <w:sz w:val="24"/>
          <w:highlight w:val="none"/>
        </w:rPr>
      </w:pPr>
      <w:r>
        <w:rPr>
          <w:rFonts w:hint="eastAsia" w:ascii="宋体" w:hAnsi="宋体" w:cs="宋体"/>
          <w:color w:val="auto"/>
          <w:sz w:val="24"/>
          <w:highlight w:val="none"/>
        </w:rPr>
        <w:t>3.1在开标时间截止后30分钟内由各供应商自行对磋商响应文件进行解密；</w:t>
      </w:r>
    </w:p>
    <w:p w14:paraId="7A87E461">
      <w:pPr>
        <w:spacing w:line="360" w:lineRule="auto"/>
        <w:ind w:left="480" w:hanging="480" w:hangingChars="200"/>
        <w:rPr>
          <w:rFonts w:ascii="宋体" w:hAnsi="宋体" w:cs="宋体"/>
          <w:color w:val="auto"/>
          <w:sz w:val="24"/>
          <w:highlight w:val="none"/>
        </w:rPr>
      </w:pPr>
      <w:r>
        <w:rPr>
          <w:rFonts w:hint="eastAsia" w:ascii="宋体" w:hAnsi="宋体" w:cs="宋体"/>
          <w:color w:val="auto"/>
          <w:sz w:val="24"/>
          <w:highlight w:val="none"/>
        </w:rPr>
        <w:t>3.2由采购人进行资格审查；</w:t>
      </w:r>
    </w:p>
    <w:p w14:paraId="593A67C8">
      <w:pPr>
        <w:spacing w:line="360" w:lineRule="auto"/>
        <w:rPr>
          <w:rFonts w:ascii="宋体" w:hAnsi="宋体" w:cs="宋体"/>
          <w:color w:val="auto"/>
          <w:sz w:val="24"/>
          <w:highlight w:val="none"/>
        </w:rPr>
      </w:pPr>
      <w:r>
        <w:rPr>
          <w:rFonts w:hint="eastAsia" w:ascii="宋体" w:hAnsi="宋体" w:cs="宋体"/>
          <w:color w:val="auto"/>
          <w:sz w:val="24"/>
          <w:highlight w:val="none"/>
        </w:rPr>
        <w:t>3.3通过资格审查的供应商进行在线磋商；</w:t>
      </w:r>
    </w:p>
    <w:p w14:paraId="1E3558F6">
      <w:pPr>
        <w:spacing w:line="360" w:lineRule="auto"/>
        <w:rPr>
          <w:rFonts w:ascii="宋体" w:hAnsi="宋体" w:cs="宋体"/>
          <w:color w:val="auto"/>
          <w:sz w:val="24"/>
          <w:highlight w:val="none"/>
        </w:rPr>
      </w:pPr>
      <w:r>
        <w:rPr>
          <w:rFonts w:hint="eastAsia" w:ascii="宋体" w:hAnsi="宋体" w:cs="宋体"/>
          <w:color w:val="auto"/>
          <w:sz w:val="24"/>
          <w:highlight w:val="none"/>
        </w:rPr>
        <w:t>3.4供应商提交最终报价；</w:t>
      </w:r>
    </w:p>
    <w:p w14:paraId="4309CE59">
      <w:pPr>
        <w:spacing w:line="360" w:lineRule="auto"/>
        <w:rPr>
          <w:rFonts w:ascii="宋体" w:hAnsi="宋体" w:cs="宋体"/>
          <w:color w:val="auto"/>
          <w:sz w:val="24"/>
          <w:highlight w:val="none"/>
        </w:rPr>
      </w:pPr>
      <w:r>
        <w:rPr>
          <w:rFonts w:hint="eastAsia" w:ascii="宋体" w:hAnsi="宋体" w:cs="宋体"/>
          <w:color w:val="auto"/>
          <w:sz w:val="24"/>
          <w:highlight w:val="none"/>
        </w:rPr>
        <w:t>3.5专家对商务技术响应文件进行评审，系统对各供应商的商务技术进行汇总；</w:t>
      </w:r>
    </w:p>
    <w:p w14:paraId="37AF5B87">
      <w:pPr>
        <w:spacing w:line="360" w:lineRule="auto"/>
        <w:rPr>
          <w:rFonts w:ascii="宋体" w:hAnsi="宋体" w:cs="宋体"/>
          <w:color w:val="auto"/>
          <w:sz w:val="24"/>
          <w:highlight w:val="none"/>
        </w:rPr>
      </w:pPr>
      <w:r>
        <w:rPr>
          <w:rFonts w:hint="eastAsia" w:ascii="宋体" w:hAnsi="宋体" w:cs="宋体"/>
          <w:color w:val="auto"/>
          <w:sz w:val="24"/>
          <w:highlight w:val="none"/>
        </w:rPr>
        <w:t>3.6在系统上公布评审结果。</w:t>
      </w:r>
    </w:p>
    <w:p w14:paraId="35FA9F42">
      <w:pPr>
        <w:spacing w:line="360" w:lineRule="auto"/>
        <w:rPr>
          <w:rFonts w:ascii="宋体" w:hAnsi="宋体" w:cs="宋体"/>
          <w:b/>
          <w:color w:val="auto"/>
          <w:sz w:val="24"/>
          <w:highlight w:val="none"/>
        </w:rPr>
      </w:pPr>
      <w:r>
        <w:rPr>
          <w:rFonts w:hint="eastAsia" w:ascii="宋体" w:hAnsi="宋体" w:cs="宋体"/>
          <w:b/>
          <w:color w:val="auto"/>
          <w:sz w:val="24"/>
          <w:highlight w:val="none"/>
        </w:rPr>
        <w:t>特别说明：政采云公司如对电子化开标及评审程序有调整的，按调整后的程序操作。</w:t>
      </w:r>
    </w:p>
    <w:p w14:paraId="24247C16">
      <w:pPr>
        <w:spacing w:line="360" w:lineRule="auto"/>
        <w:rPr>
          <w:rFonts w:ascii="宋体" w:hAnsi="宋体" w:cs="宋体"/>
          <w:color w:val="auto"/>
          <w:sz w:val="24"/>
          <w:highlight w:val="none"/>
        </w:rPr>
      </w:pPr>
      <w:r>
        <w:rPr>
          <w:rFonts w:hint="eastAsia" w:ascii="宋体" w:hAnsi="宋体" w:cs="宋体"/>
          <w:color w:val="auto"/>
          <w:sz w:val="24"/>
          <w:highlight w:val="none"/>
        </w:rPr>
        <w:t>4、本项目采用政采云电子磋商开标及评审程序，磋商时出现电子磋商响应文件无法解密或解密失败等情况时，采购代理机构可上传供应商的电子备份磋商响应文件继续评审。</w:t>
      </w:r>
    </w:p>
    <w:p w14:paraId="13381F85">
      <w:pPr>
        <w:pStyle w:val="4"/>
        <w:keepNext w:val="0"/>
        <w:keepLines w:val="0"/>
        <w:pageBreakBefore/>
        <w:spacing w:line="360" w:lineRule="auto"/>
        <w:jc w:val="center"/>
        <w:rPr>
          <w:rFonts w:ascii="宋体" w:hAnsi="宋体" w:eastAsia="宋体" w:cs="宋体"/>
          <w:color w:val="auto"/>
          <w:sz w:val="24"/>
          <w:szCs w:val="24"/>
          <w:highlight w:val="none"/>
        </w:rPr>
      </w:pPr>
      <w:bookmarkStart w:id="24" w:name="_Toc174369999"/>
      <w:r>
        <w:rPr>
          <w:rFonts w:hint="eastAsia" w:ascii="宋体" w:hAnsi="宋体" w:eastAsia="宋体" w:cs="宋体"/>
          <w:color w:val="auto"/>
          <w:sz w:val="24"/>
          <w:szCs w:val="24"/>
          <w:highlight w:val="none"/>
        </w:rPr>
        <w:t>五、</w:t>
      </w:r>
      <w:bookmarkEnd w:id="23"/>
      <w:r>
        <w:rPr>
          <w:rFonts w:hint="eastAsia" w:ascii="宋体" w:hAnsi="宋体" w:eastAsia="宋体" w:cs="宋体"/>
          <w:color w:val="auto"/>
          <w:sz w:val="24"/>
          <w:szCs w:val="24"/>
          <w:highlight w:val="none"/>
        </w:rPr>
        <w:t>磋商</w:t>
      </w:r>
      <w:bookmarkEnd w:id="24"/>
    </w:p>
    <w:p w14:paraId="78359F58">
      <w:pPr>
        <w:spacing w:line="360" w:lineRule="auto"/>
        <w:rPr>
          <w:rFonts w:ascii="宋体" w:hAnsi="宋体" w:cs="宋体"/>
          <w:b/>
          <w:color w:val="auto"/>
          <w:sz w:val="24"/>
          <w:highlight w:val="none"/>
        </w:rPr>
      </w:pPr>
      <w:r>
        <w:rPr>
          <w:rFonts w:hint="eastAsia" w:ascii="宋体" w:hAnsi="宋体" w:cs="宋体"/>
          <w:b/>
          <w:color w:val="auto"/>
          <w:sz w:val="24"/>
          <w:highlight w:val="none"/>
        </w:rPr>
        <w:t>（一）组建磋商小组</w:t>
      </w:r>
    </w:p>
    <w:p w14:paraId="183E1659">
      <w:pPr>
        <w:spacing w:line="360" w:lineRule="auto"/>
        <w:rPr>
          <w:rFonts w:ascii="宋体" w:hAnsi="宋体" w:cs="宋体"/>
          <w:color w:val="auto"/>
          <w:sz w:val="24"/>
          <w:highlight w:val="none"/>
        </w:rPr>
      </w:pPr>
      <w:r>
        <w:rPr>
          <w:rFonts w:hint="eastAsia" w:ascii="宋体" w:hAnsi="宋体" w:cs="宋体"/>
          <w:color w:val="auto"/>
          <w:sz w:val="24"/>
          <w:highlight w:val="none"/>
        </w:rPr>
        <w:t>本项目磋商小组由政府采购评审专家2人和采购人代表1人,共3人组成。（允许采购人不推荐采购人代表参加，如采购人不推荐采购人代表参加评审时，磋商小组（3人）都从评标专家库中抽取）。</w:t>
      </w:r>
    </w:p>
    <w:p w14:paraId="4C002BD4">
      <w:pPr>
        <w:spacing w:line="360" w:lineRule="auto"/>
        <w:rPr>
          <w:rFonts w:ascii="宋体" w:hAnsi="宋体" w:cs="宋体"/>
          <w:b/>
          <w:color w:val="auto"/>
          <w:sz w:val="24"/>
          <w:highlight w:val="none"/>
        </w:rPr>
      </w:pPr>
      <w:r>
        <w:rPr>
          <w:rFonts w:hint="eastAsia" w:ascii="宋体" w:hAnsi="宋体" w:cs="宋体"/>
          <w:b/>
          <w:color w:val="auto"/>
          <w:sz w:val="24"/>
          <w:highlight w:val="none"/>
        </w:rPr>
        <w:t>（二）磋商的方式</w:t>
      </w:r>
    </w:p>
    <w:p w14:paraId="36DBD344">
      <w:pPr>
        <w:spacing w:line="360" w:lineRule="auto"/>
        <w:rPr>
          <w:rFonts w:ascii="宋体" w:hAnsi="宋体" w:cs="宋体"/>
          <w:color w:val="auto"/>
          <w:sz w:val="24"/>
          <w:highlight w:val="none"/>
        </w:rPr>
      </w:pPr>
      <w:r>
        <w:rPr>
          <w:rFonts w:hint="eastAsia" w:ascii="宋体" w:hAnsi="宋体" w:cs="宋体"/>
          <w:color w:val="auto"/>
          <w:sz w:val="24"/>
          <w:highlight w:val="none"/>
        </w:rPr>
        <w:t>本项目采用不公开方式磋商，磋商的依据为磋商文件和磋商响应文件。</w:t>
      </w:r>
    </w:p>
    <w:p w14:paraId="4F757B85">
      <w:pPr>
        <w:spacing w:line="360" w:lineRule="auto"/>
        <w:rPr>
          <w:rFonts w:ascii="宋体" w:hAnsi="宋体" w:cs="宋体"/>
          <w:b/>
          <w:color w:val="auto"/>
          <w:sz w:val="24"/>
          <w:highlight w:val="none"/>
        </w:rPr>
      </w:pPr>
      <w:r>
        <w:rPr>
          <w:rFonts w:hint="eastAsia" w:ascii="宋体" w:hAnsi="宋体" w:cs="宋体"/>
          <w:b/>
          <w:color w:val="auto"/>
          <w:sz w:val="24"/>
          <w:highlight w:val="none"/>
        </w:rPr>
        <w:t>（三）磋商程序</w:t>
      </w:r>
    </w:p>
    <w:p w14:paraId="2F04E48C">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1.形式审查</w:t>
      </w:r>
    </w:p>
    <w:p w14:paraId="78DE036D">
      <w:pPr>
        <w:spacing w:line="360" w:lineRule="auto"/>
        <w:rPr>
          <w:rFonts w:ascii="宋体" w:hAnsi="宋体" w:cs="宋体"/>
          <w:b/>
          <w:color w:val="auto"/>
          <w:sz w:val="24"/>
          <w:highlight w:val="none"/>
        </w:rPr>
      </w:pPr>
      <w:r>
        <w:rPr>
          <w:rFonts w:hint="eastAsia" w:ascii="宋体" w:hAnsi="宋体" w:cs="宋体"/>
          <w:color w:val="auto"/>
          <w:sz w:val="24"/>
          <w:highlight w:val="none"/>
        </w:rPr>
        <w:t>招标方工作人员协助磋商小组对供应商的商务技术文件、报价文件的完整性、合法性等进行审查。</w:t>
      </w:r>
    </w:p>
    <w:p w14:paraId="61A664B5">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2.实质审查与比较</w:t>
      </w:r>
    </w:p>
    <w:p w14:paraId="18EF1163">
      <w:pPr>
        <w:spacing w:line="360" w:lineRule="auto"/>
        <w:rPr>
          <w:rFonts w:ascii="宋体" w:hAnsi="宋体" w:cs="宋体"/>
          <w:color w:val="auto"/>
          <w:sz w:val="24"/>
          <w:highlight w:val="none"/>
        </w:rPr>
      </w:pPr>
      <w:r>
        <w:rPr>
          <w:rFonts w:hint="eastAsia" w:ascii="宋体" w:hAnsi="宋体" w:cs="宋体"/>
          <w:color w:val="auto"/>
          <w:sz w:val="24"/>
          <w:highlight w:val="none"/>
        </w:rPr>
        <w:t>（1）磋商小组审查磋商响应文件的实质性内容是否符合磋商文件的实质性要求。</w:t>
      </w:r>
    </w:p>
    <w:p w14:paraId="37CC1794">
      <w:pPr>
        <w:spacing w:line="360" w:lineRule="auto"/>
        <w:rPr>
          <w:rFonts w:ascii="宋体" w:hAnsi="宋体" w:cs="宋体"/>
          <w:color w:val="auto"/>
          <w:sz w:val="24"/>
          <w:highlight w:val="none"/>
        </w:rPr>
      </w:pPr>
      <w:r>
        <w:rPr>
          <w:rFonts w:hint="eastAsia" w:ascii="宋体" w:hAnsi="宋体" w:cs="宋体"/>
          <w:color w:val="auto"/>
          <w:sz w:val="24"/>
          <w:highlight w:val="none"/>
        </w:rPr>
        <w:t>（2）磋商小组将对供应商的磋商响应文件进行审查、核对,如有疑问,将对供应商进行电子询标,供应商须在规定的时间内向磋商小组澄清有关问题,并在政采云上进行询标答复。</w:t>
      </w:r>
    </w:p>
    <w:p w14:paraId="2B79F7B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供应商代表未在规定的时间内进行澄清、拒绝澄清或者澄清的内容改变了磋商响应文件的实质性内容的，磋商小组有权对该磋商响应文件作出不利于供应商的评判。</w:t>
      </w:r>
    </w:p>
    <w:p w14:paraId="1BDD4B2B">
      <w:pPr>
        <w:spacing w:line="360" w:lineRule="auto"/>
        <w:rPr>
          <w:rFonts w:ascii="宋体" w:hAnsi="宋体" w:cs="宋体"/>
          <w:color w:val="auto"/>
          <w:sz w:val="24"/>
          <w:highlight w:val="none"/>
        </w:rPr>
      </w:pPr>
      <w:r>
        <w:rPr>
          <w:rFonts w:hint="eastAsia" w:ascii="宋体" w:hAnsi="宋体" w:cs="宋体"/>
          <w:color w:val="auto"/>
          <w:sz w:val="24"/>
          <w:highlight w:val="none"/>
        </w:rPr>
        <w:t>（3）各供应商的技术得分为所有评委的有效评分的算术平均数，由指定专人进行计算复核。</w:t>
      </w:r>
    </w:p>
    <w:p w14:paraId="465EC592">
      <w:pPr>
        <w:spacing w:line="360" w:lineRule="auto"/>
        <w:rPr>
          <w:rFonts w:ascii="宋体" w:hAnsi="宋体" w:cs="宋体"/>
          <w:color w:val="auto"/>
          <w:sz w:val="24"/>
          <w:highlight w:val="none"/>
        </w:rPr>
      </w:pPr>
      <w:r>
        <w:rPr>
          <w:rFonts w:hint="eastAsia" w:ascii="宋体" w:hAnsi="宋体" w:cs="宋体"/>
          <w:color w:val="auto"/>
          <w:sz w:val="24"/>
          <w:highlight w:val="none"/>
        </w:rPr>
        <w:t>（4）招标方工作人员协助磋商小组审核商务报价有无计算错误，并根据本项目的评分标准计算各供应商的商务报价得分。</w:t>
      </w:r>
    </w:p>
    <w:p w14:paraId="0C44660D">
      <w:pPr>
        <w:spacing w:line="360" w:lineRule="auto"/>
        <w:rPr>
          <w:rFonts w:ascii="宋体" w:hAnsi="宋体" w:cs="宋体"/>
          <w:color w:val="auto"/>
          <w:sz w:val="24"/>
          <w:highlight w:val="none"/>
        </w:rPr>
      </w:pPr>
      <w:r>
        <w:rPr>
          <w:rFonts w:hint="eastAsia" w:ascii="宋体" w:hAnsi="宋体" w:cs="宋体"/>
          <w:color w:val="auto"/>
          <w:sz w:val="24"/>
          <w:highlight w:val="none"/>
        </w:rPr>
        <w:t>（5）磋商小组完成磋商后,招标方工作人员对系统中的得分汇总进行复核,计算出本项目最终得分，磋商小组按磋商原则推荐中标候选人并起草磋商报告。</w:t>
      </w:r>
    </w:p>
    <w:p w14:paraId="2EFCF6D5">
      <w:pPr>
        <w:spacing w:line="360" w:lineRule="auto"/>
        <w:rPr>
          <w:rFonts w:ascii="宋体" w:hAnsi="宋体" w:cs="宋体"/>
          <w:b/>
          <w:color w:val="auto"/>
          <w:sz w:val="24"/>
          <w:highlight w:val="none"/>
        </w:rPr>
      </w:pPr>
      <w:r>
        <w:rPr>
          <w:rFonts w:hint="eastAsia" w:ascii="宋体" w:hAnsi="宋体" w:cs="宋体"/>
          <w:b/>
          <w:color w:val="auto"/>
          <w:sz w:val="24"/>
          <w:highlight w:val="none"/>
        </w:rPr>
        <w:t>（四）澄清问题的形式</w:t>
      </w:r>
    </w:p>
    <w:p w14:paraId="58A9199E">
      <w:pPr>
        <w:spacing w:line="360" w:lineRule="auto"/>
        <w:rPr>
          <w:rFonts w:ascii="宋体" w:hAnsi="宋体" w:cs="宋体"/>
          <w:color w:val="auto"/>
          <w:sz w:val="24"/>
          <w:highlight w:val="none"/>
        </w:rPr>
      </w:pPr>
      <w:r>
        <w:rPr>
          <w:rFonts w:hint="eastAsia" w:ascii="宋体" w:hAnsi="宋体" w:cs="宋体"/>
          <w:color w:val="auto"/>
          <w:sz w:val="24"/>
          <w:highlight w:val="none"/>
        </w:rPr>
        <w:t>对磋商响应文件中含义不明确、同类问题表述不一致或者有明显文字和计算错误的内容，磋商小组可要求供应商作出必要的澄清、说明或者纠正，供应商应在询标规定时间内进行澄清或说明（需盖CA电子签章或实体公章），并不得超出磋商响应文件的范围或者改变磋商响应文件的实质性内容。</w:t>
      </w:r>
    </w:p>
    <w:p w14:paraId="7F3CFF09">
      <w:pPr>
        <w:spacing w:line="360" w:lineRule="auto"/>
        <w:rPr>
          <w:rFonts w:ascii="宋体" w:hAnsi="宋体" w:cs="宋体"/>
          <w:b/>
          <w:color w:val="auto"/>
          <w:sz w:val="24"/>
          <w:highlight w:val="none"/>
        </w:rPr>
      </w:pPr>
      <w:r>
        <w:rPr>
          <w:rFonts w:hint="eastAsia" w:ascii="宋体" w:hAnsi="宋体" w:cs="宋体"/>
          <w:b/>
          <w:color w:val="auto"/>
          <w:sz w:val="24"/>
          <w:highlight w:val="none"/>
        </w:rPr>
        <w:t>（五）错误修正</w:t>
      </w:r>
    </w:p>
    <w:p w14:paraId="59797299">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磋商响应文件如果出现计算或表达上的错误，修正错误的原则如下：</w:t>
      </w:r>
    </w:p>
    <w:p w14:paraId="464579EB">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1. 磋商响应文件中开标一览表（报价表）内容与与磋商响应文件中相应内容不一致的，以开标一览表（报价表）为准；</w:t>
      </w:r>
    </w:p>
    <w:p w14:paraId="37E67CF0">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2.大写金额和小写金额不一致的，以大写金额为准；</w:t>
      </w:r>
    </w:p>
    <w:p w14:paraId="01C7F73C">
      <w:pPr>
        <w:spacing w:line="360" w:lineRule="auto"/>
        <w:ind w:left="359" w:leftChars="171"/>
        <w:rPr>
          <w:rFonts w:ascii="宋体" w:hAnsi="宋体" w:cs="宋体"/>
          <w:color w:val="auto"/>
          <w:sz w:val="24"/>
          <w:highlight w:val="none"/>
        </w:rPr>
      </w:pPr>
      <w:r>
        <w:rPr>
          <w:rFonts w:hint="eastAsia" w:ascii="宋体" w:hAnsi="宋体" w:cs="宋体"/>
          <w:color w:val="auto"/>
          <w:sz w:val="24"/>
          <w:highlight w:val="none"/>
        </w:rPr>
        <w:t>3.单价金额小数点或者百分比有明显错位的，以开标一览表的总价为准，并修改单价；4.总价金额与按单价汇总金额不一致的，以单价金额计算结果为准；</w:t>
      </w:r>
    </w:p>
    <w:p w14:paraId="1BCE186C">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5.政采云系统磋商报价与磋商响应文件中开标一览表（报价表）相应内容不一致的，以开标一览表（报价表）为准。</w:t>
      </w:r>
    </w:p>
    <w:p w14:paraId="00893C7B">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6.对不同文字文本磋商响应文件的解释发生异议的，以中文文本为准。</w:t>
      </w:r>
    </w:p>
    <w:p w14:paraId="2754EE7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同时出现两种以上不一致的，按照前款规定的顺序修正。修正后的报价按照《政府采购货物和服务招标投标管理办法》（第87号令）第五十一条第二款规定：供应商的澄清、说明或者补正应当采用书面形式，并加盖公章，或者由法定代表人或其授权的代表签字。供应商的澄清、说明或者补正不得超出磋商响应文件的范围或者改变磋商响应文件的实质性内容的规定经供应商确认后产生约束力，供应商不确认的，其磋商无效。</w:t>
      </w:r>
    </w:p>
    <w:p w14:paraId="1F9D32C6">
      <w:pPr>
        <w:spacing w:line="360" w:lineRule="auto"/>
        <w:rPr>
          <w:rFonts w:ascii="宋体" w:hAnsi="宋体" w:cs="宋体"/>
          <w:b/>
          <w:bCs/>
          <w:color w:val="auto"/>
          <w:sz w:val="24"/>
          <w:highlight w:val="none"/>
        </w:rPr>
      </w:pPr>
      <w:r>
        <w:rPr>
          <w:rFonts w:hint="eastAsia" w:ascii="宋体" w:hAnsi="宋体" w:cs="宋体"/>
          <w:b/>
          <w:color w:val="auto"/>
          <w:sz w:val="24"/>
          <w:highlight w:val="none"/>
        </w:rPr>
        <w:t>（六）磋商原则和磋商办法</w:t>
      </w:r>
    </w:p>
    <w:p w14:paraId="0574DD4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1.磋商小组必须公平、公正评审，遵纪守法，客观、廉洁地履行职责。</w:t>
      </w:r>
    </w:p>
    <w:p w14:paraId="18AF7CD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2.磋商小组在评审开始前，应关闭并上交随身携带的各种通信工具。</w:t>
      </w:r>
    </w:p>
    <w:p w14:paraId="1077182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3.磋商小组在评审过程中，未经许可不得中途离开评审现场，不得迟到早退。</w:t>
      </w:r>
    </w:p>
    <w:p w14:paraId="76EE6EC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4.磋商小组和工作人员不得透露评审过程中的讨论情况和评审结果。</w:t>
      </w:r>
    </w:p>
    <w:p w14:paraId="50D8B0A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5.评审时，磋商小组须按竞争性磋商文件规定的程序、条件和标准，对供应商投标文件的合规性、完整性和有效性进行审查、比较和评估，其中对供应商的资格条件、主要技术参数、商务报价和其他评审要素等，磋商小组应逐项进行审查、比较，不得漏评少评。如发现与竞争性磋商文件要求相偏离的，应对其偏离情形进行必要的核实，并在工作底稿中予以说明；如属于实质性偏离或符合无效投标文件的，可询问供应商，并允许供应商进行陈述申辩，但不允许其对偏离条款进行补充、修正或撤回。</w:t>
      </w:r>
    </w:p>
    <w:p w14:paraId="0969772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6.采购人、采购代理机构不得向评审委员会的磋商小组作倾向性、误导性的解释或者说明。</w:t>
      </w:r>
    </w:p>
    <w:p w14:paraId="4A647C2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7.采购代理机构应当为磋商小组提供必要的评审条件和相应的评审工作底稿，并严格按规定程序组织磋商小组有步骤地进行项目评审，对各磋商小组的评审情况和评审意见进行合理性和合规性审查，对明显畸高、畸低的重大差异评审情况（其总评分偏离平均分30%以上），提醒相关磋商小组进行复核或书面说明理由。</w:t>
      </w:r>
    </w:p>
    <w:p w14:paraId="211EA4A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8.磋商小组在评审过程中不得将自己的观点强加给其他磋商小组，磋商小组应自主发表见解，对评审意见承担个人责任。</w:t>
      </w:r>
    </w:p>
    <w:p w14:paraId="101AD1D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9.评审结束后，评审委员会应向采购代理机构提交项目评审报告。评审报告是采购人确定中标人的合法依据，评审委员会应当如实、客观地反映评审情况，按竞争性磋商文件的评审办法和细则的规定推荐中标候选人，说明推荐理由，并重点对中标候选人的技术、服务和价格等情况进行评价和比较。如排名第一的供应商报价为最高报价的，评审报告中须对其报价的合理性等进行分析和特别说明。</w:t>
      </w:r>
    </w:p>
    <w:p w14:paraId="1AEA7E1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10.磋商小组应当独立、客观、公正地提出评审意见，不得带有倾向性，不得影响其他磋商小组评审，并在评审报告上签字；如对评审报告有异议的，可在报告上签署不同意见，并说明理由，否则将视为同意。</w:t>
      </w:r>
    </w:p>
    <w:p w14:paraId="68D52B5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11.磋商小组应当遵守评审工作纪律，不得泄露评审文件、评审情况和评审中获悉的商业秘密。</w:t>
      </w:r>
    </w:p>
    <w:p w14:paraId="515D6C7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评审委员会在评审过程中发现供应商有行贿、提供虚假材料或者串通等违法行为的，应当及时向财政部门报告。</w:t>
      </w:r>
    </w:p>
    <w:p w14:paraId="2086527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12.竞争性磋商文件内容违反国家有关强制性规定的，评审委员会应当停止评审并向采购代理机构说明情况。</w:t>
      </w:r>
    </w:p>
    <w:p w14:paraId="2948F8F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13.磋商小组应当配合采购代理机构答复供应商提出的质疑。</w:t>
      </w:r>
    </w:p>
    <w:p w14:paraId="2DD957A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14.磋商小组应当配合财政部门的投诉处理工作。</w:t>
      </w:r>
    </w:p>
    <w:p w14:paraId="6668915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15.磋商小组有如下行为之一的，责令改正，给予警告，可以并处一千元以下的罚款：</w:t>
      </w:r>
    </w:p>
    <w:p w14:paraId="02D9C2A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①明知应当回避而未主动回避的；</w:t>
      </w:r>
    </w:p>
    <w:p w14:paraId="3AF7239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②在得知自己为磋商小组身份后至评审结束前时段内私下接触供应商的；</w:t>
      </w:r>
    </w:p>
    <w:p w14:paraId="5DA5615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③在评审过程中擅离职守，影响评审程序正常进行的；</w:t>
      </w:r>
    </w:p>
    <w:p w14:paraId="30BE5FF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④在评审过程有明显不合理或者不正当倾向性的；</w:t>
      </w:r>
    </w:p>
    <w:p w14:paraId="68ED344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⑤未按竞争性磋商文件规定的评审方法和标准进行评审的。</w:t>
      </w:r>
    </w:p>
    <w:p w14:paraId="0C394F9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⑥上述①至⑤行为影响中标结果的，中标结果无效。</w:t>
      </w:r>
    </w:p>
    <w:p w14:paraId="459B51E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16.政府采购磋商小组未按照竞争性磋商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0D72FE7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政府采购磋商小组与供应商存在利害关系未回避的，处2万元以上5万元以下的罚款，禁止其参加政府采购评审活动。</w:t>
      </w:r>
    </w:p>
    <w:p w14:paraId="59F96E3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政府采购磋商小组收受采购人、采购代理机构、供应商贿赂或者获取其他不正当利益，构成犯罪的，依法追究刑事责任；尚不构成犯罪的，处2万元以上5万元以下的罚款，禁止其参加政府采购评审活动。</w:t>
      </w:r>
    </w:p>
    <w:p w14:paraId="4FBD78F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政府采购磋商小组有上述违法行为的，其评审意见无效，不得获取评审费；有违法所得的，没收违法所得；给他人造成损失的，依法承担民事责任。</w:t>
      </w:r>
    </w:p>
    <w:p w14:paraId="050DA36C">
      <w:pPr>
        <w:spacing w:line="360" w:lineRule="auto"/>
        <w:rPr>
          <w:rFonts w:ascii="宋体" w:hAnsi="宋体" w:cs="宋体"/>
          <w:color w:val="auto"/>
          <w:sz w:val="24"/>
          <w:highlight w:val="none"/>
        </w:rPr>
      </w:pPr>
      <w:r>
        <w:rPr>
          <w:rFonts w:hint="eastAsia" w:ascii="宋体" w:hAnsi="宋体" w:cs="宋体"/>
          <w:color w:val="auto"/>
          <w:sz w:val="24"/>
          <w:highlight w:val="none"/>
        </w:rPr>
        <w:t>17.磋商办法。本项目磋商办法是：综合评分法（其中报价分为两轮），具体磋商内容及评分标准等详见《第四章：磋商办法及评分标准》。</w:t>
      </w:r>
    </w:p>
    <w:p w14:paraId="37CA5E4A">
      <w:pPr>
        <w:spacing w:line="360" w:lineRule="auto"/>
        <w:rPr>
          <w:rFonts w:ascii="宋体" w:hAnsi="宋体" w:cs="宋体"/>
          <w:b/>
          <w:color w:val="auto"/>
          <w:sz w:val="24"/>
          <w:highlight w:val="none"/>
        </w:rPr>
      </w:pPr>
      <w:r>
        <w:rPr>
          <w:rFonts w:hint="eastAsia" w:ascii="宋体" w:hAnsi="宋体" w:cs="宋体"/>
          <w:b/>
          <w:color w:val="auto"/>
          <w:sz w:val="24"/>
          <w:highlight w:val="none"/>
        </w:rPr>
        <w:t>（七）</w:t>
      </w:r>
      <w:r>
        <w:rPr>
          <w:rFonts w:hint="eastAsia" w:ascii="宋体" w:hAnsi="宋体" w:cs="宋体"/>
          <w:b/>
          <w:bCs/>
          <w:color w:val="auto"/>
          <w:sz w:val="24"/>
          <w:highlight w:val="none"/>
        </w:rPr>
        <w:t>磋商</w:t>
      </w:r>
      <w:r>
        <w:rPr>
          <w:rFonts w:hint="eastAsia" w:ascii="宋体" w:hAnsi="宋体" w:cs="宋体"/>
          <w:b/>
          <w:color w:val="auto"/>
          <w:sz w:val="24"/>
          <w:highlight w:val="none"/>
        </w:rPr>
        <w:t>过程的监控</w:t>
      </w:r>
    </w:p>
    <w:p w14:paraId="6D0D26D4">
      <w:pPr>
        <w:spacing w:line="360" w:lineRule="auto"/>
        <w:ind w:firstLine="120" w:firstLineChars="50"/>
        <w:rPr>
          <w:rFonts w:ascii="宋体" w:hAnsi="宋体" w:cs="宋体"/>
          <w:color w:val="auto"/>
          <w:sz w:val="24"/>
          <w:highlight w:val="none"/>
        </w:rPr>
      </w:pPr>
      <w:r>
        <w:rPr>
          <w:rFonts w:hint="eastAsia" w:ascii="宋体" w:hAnsi="宋体" w:cs="宋体"/>
          <w:color w:val="auto"/>
          <w:sz w:val="24"/>
          <w:highlight w:val="none"/>
        </w:rPr>
        <w:t>本项目磋商过程实行全程录音、录像监控，供应商在磋商过程中所进行的试图影响磋商结果的不公正活动，可能导致其磋商被拒绝。</w:t>
      </w:r>
    </w:p>
    <w:p w14:paraId="7F89AB64">
      <w:pPr>
        <w:spacing w:line="360" w:lineRule="auto"/>
        <w:rPr>
          <w:rFonts w:ascii="宋体" w:hAnsi="宋体" w:cs="宋体"/>
          <w:b/>
          <w:color w:val="auto"/>
          <w:sz w:val="24"/>
          <w:highlight w:val="none"/>
        </w:rPr>
      </w:pPr>
      <w:r>
        <w:rPr>
          <w:rFonts w:hint="eastAsia" w:ascii="宋体" w:hAnsi="宋体" w:cs="宋体"/>
          <w:b/>
          <w:color w:val="auto"/>
          <w:sz w:val="24"/>
          <w:highlight w:val="none"/>
        </w:rPr>
        <w:t>（八）其他</w:t>
      </w:r>
    </w:p>
    <w:p w14:paraId="21F8353A">
      <w:pPr>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采购过程中出现以下情形，导致电子交易平台无法正常运行，或者无法保证电子交易的公平、公正和安全时，采购组织机构可中止电子交易活动：</w:t>
      </w:r>
    </w:p>
    <w:p w14:paraId="48B75196">
      <w:pPr>
        <w:spacing w:line="400" w:lineRule="exact"/>
        <w:ind w:firstLine="352" w:firstLineChars="147"/>
        <w:rPr>
          <w:rFonts w:ascii="宋体" w:hAnsi="宋体" w:cs="宋体"/>
          <w:color w:val="auto"/>
          <w:sz w:val="24"/>
          <w:highlight w:val="none"/>
        </w:rPr>
      </w:pPr>
      <w:r>
        <w:rPr>
          <w:rFonts w:hint="eastAsia" w:ascii="宋体" w:hAnsi="宋体" w:cs="宋体"/>
          <w:color w:val="auto"/>
          <w:sz w:val="24"/>
          <w:highlight w:val="none"/>
        </w:rPr>
        <w:t>1、电子交易平台发生故障而无法登录访问的；</w:t>
      </w:r>
    </w:p>
    <w:p w14:paraId="4A08CEE5">
      <w:pPr>
        <w:spacing w:line="400" w:lineRule="exact"/>
        <w:ind w:firstLine="352" w:firstLineChars="147"/>
        <w:rPr>
          <w:rFonts w:ascii="宋体" w:hAnsi="宋体" w:cs="宋体"/>
          <w:color w:val="auto"/>
          <w:sz w:val="24"/>
          <w:highlight w:val="none"/>
        </w:rPr>
      </w:pPr>
      <w:r>
        <w:rPr>
          <w:rFonts w:hint="eastAsia" w:ascii="宋体" w:hAnsi="宋体" w:cs="宋体"/>
          <w:color w:val="auto"/>
          <w:sz w:val="24"/>
          <w:highlight w:val="none"/>
        </w:rPr>
        <w:t>2、电子交易平台应用或数据库出现错误，不能进行正常操作的；</w:t>
      </w:r>
    </w:p>
    <w:p w14:paraId="18ADFDE9">
      <w:pPr>
        <w:spacing w:line="400" w:lineRule="exact"/>
        <w:ind w:firstLine="352" w:firstLineChars="147"/>
        <w:rPr>
          <w:rFonts w:ascii="宋体" w:hAnsi="宋体" w:cs="宋体"/>
          <w:color w:val="auto"/>
          <w:sz w:val="24"/>
          <w:highlight w:val="none"/>
        </w:rPr>
      </w:pPr>
      <w:r>
        <w:rPr>
          <w:rFonts w:hint="eastAsia" w:ascii="宋体" w:hAnsi="宋体" w:cs="宋体"/>
          <w:color w:val="auto"/>
          <w:sz w:val="24"/>
          <w:highlight w:val="none"/>
        </w:rPr>
        <w:t>3、电子交易平台发现严重安全漏洞，有潜在泄密危险的；</w:t>
      </w:r>
    </w:p>
    <w:p w14:paraId="6F6CE51F">
      <w:pPr>
        <w:spacing w:line="400" w:lineRule="exact"/>
        <w:ind w:firstLine="352" w:firstLineChars="147"/>
        <w:rPr>
          <w:rFonts w:ascii="宋体" w:hAnsi="宋体" w:cs="宋体"/>
          <w:color w:val="auto"/>
          <w:sz w:val="24"/>
          <w:highlight w:val="none"/>
        </w:rPr>
      </w:pPr>
      <w:r>
        <w:rPr>
          <w:rFonts w:hint="eastAsia" w:ascii="宋体" w:hAnsi="宋体" w:cs="宋体"/>
          <w:color w:val="auto"/>
          <w:sz w:val="24"/>
          <w:highlight w:val="none"/>
        </w:rPr>
        <w:t>4、病毒发作导致不能进行正常操作的；</w:t>
      </w:r>
    </w:p>
    <w:p w14:paraId="66E089C2">
      <w:pPr>
        <w:spacing w:line="400" w:lineRule="exact"/>
        <w:ind w:firstLine="352" w:firstLineChars="147"/>
        <w:rPr>
          <w:rFonts w:ascii="宋体" w:hAnsi="宋体" w:cs="宋体"/>
          <w:color w:val="auto"/>
          <w:sz w:val="24"/>
          <w:highlight w:val="none"/>
        </w:rPr>
      </w:pPr>
      <w:r>
        <w:rPr>
          <w:rFonts w:hint="eastAsia" w:ascii="宋体" w:hAnsi="宋体" w:cs="宋体"/>
          <w:color w:val="auto"/>
          <w:sz w:val="24"/>
          <w:highlight w:val="none"/>
        </w:rPr>
        <w:t>5、其他无法保证电子交易的公平、公正和安全的情况。</w:t>
      </w:r>
    </w:p>
    <w:p w14:paraId="727BDB6A">
      <w:pPr>
        <w:spacing w:line="400" w:lineRule="exact"/>
        <w:ind w:firstLine="352" w:firstLineChars="147"/>
        <w:rPr>
          <w:rFonts w:ascii="宋体" w:hAnsi="宋体" w:cs="宋体"/>
          <w:color w:val="auto"/>
          <w:sz w:val="24"/>
          <w:highlight w:val="none"/>
        </w:rPr>
      </w:pPr>
      <w:r>
        <w:rPr>
          <w:rFonts w:hint="eastAsia" w:ascii="宋体" w:hAnsi="宋体" w:cs="宋体"/>
          <w:color w:val="auto"/>
          <w:sz w:val="24"/>
          <w:highlight w:val="none"/>
        </w:rPr>
        <w:t>出现前款规定情形，不影响采购公平、公正性的，采购组织机构可以待上述情形消除后继续组织电子交易活动；影响或可能影响采购公平、公正性的，应当重新采购。</w:t>
      </w:r>
    </w:p>
    <w:p w14:paraId="030BAE5F">
      <w:pPr>
        <w:spacing w:line="400" w:lineRule="exact"/>
        <w:ind w:firstLine="352" w:firstLineChars="147"/>
        <w:rPr>
          <w:rFonts w:ascii="宋体" w:hAnsi="宋体" w:cs="宋体"/>
          <w:color w:val="auto"/>
          <w:sz w:val="24"/>
          <w:highlight w:val="none"/>
        </w:rPr>
      </w:pPr>
      <w:r>
        <w:rPr>
          <w:rFonts w:hint="eastAsia" w:ascii="宋体" w:hAnsi="宋体" w:cs="宋体"/>
          <w:color w:val="auto"/>
          <w:sz w:val="24"/>
          <w:highlight w:val="none"/>
        </w:rPr>
        <w:t>6、投标截止时间后及评审过程中，有效供应商不足2家的项目，则予以废标。</w:t>
      </w:r>
    </w:p>
    <w:p w14:paraId="1D7CED8E">
      <w:pPr>
        <w:pStyle w:val="4"/>
        <w:keepNext w:val="0"/>
        <w:keepLines w:val="0"/>
        <w:pageBreakBefore/>
        <w:spacing w:line="360" w:lineRule="auto"/>
        <w:jc w:val="center"/>
        <w:rPr>
          <w:rFonts w:ascii="宋体" w:hAnsi="宋体" w:eastAsia="宋体" w:cs="宋体"/>
          <w:color w:val="auto"/>
          <w:sz w:val="24"/>
          <w:szCs w:val="24"/>
          <w:highlight w:val="none"/>
        </w:rPr>
      </w:pPr>
      <w:bookmarkStart w:id="25" w:name="_Toc174370000"/>
      <w:bookmarkStart w:id="26" w:name="_Toc458697272"/>
      <w:r>
        <w:rPr>
          <w:rFonts w:hint="eastAsia" w:ascii="宋体" w:hAnsi="宋体" w:eastAsia="宋体" w:cs="宋体"/>
          <w:color w:val="auto"/>
          <w:sz w:val="24"/>
          <w:szCs w:val="24"/>
          <w:highlight w:val="none"/>
        </w:rPr>
        <w:t>六、定标</w:t>
      </w:r>
      <w:bookmarkEnd w:id="25"/>
      <w:bookmarkEnd w:id="26"/>
    </w:p>
    <w:p w14:paraId="4A1D5E43">
      <w:pPr>
        <w:spacing w:line="360" w:lineRule="auto"/>
        <w:rPr>
          <w:rFonts w:ascii="宋体" w:hAnsi="宋体" w:cs="宋体"/>
          <w:color w:val="auto"/>
          <w:sz w:val="24"/>
          <w:highlight w:val="none"/>
        </w:rPr>
      </w:pPr>
      <w:r>
        <w:rPr>
          <w:rFonts w:hint="eastAsia" w:ascii="宋体" w:hAnsi="宋体" w:cs="宋体"/>
          <w:color w:val="auto"/>
          <w:sz w:val="24"/>
          <w:highlight w:val="none"/>
        </w:rPr>
        <w:t>（一）确定中标人 。</w:t>
      </w:r>
      <w:r>
        <w:rPr>
          <w:rFonts w:hint="eastAsia" w:ascii="宋体" w:hAnsi="宋体" w:cs="宋体"/>
          <w:b/>
          <w:bCs/>
          <w:color w:val="auto"/>
          <w:sz w:val="24"/>
          <w:highlight w:val="none"/>
        </w:rPr>
        <w:t>本项目由采购人授权磋商小组确定中标人。</w:t>
      </w:r>
    </w:p>
    <w:p w14:paraId="09CA10EC">
      <w:pPr>
        <w:spacing w:line="360" w:lineRule="auto"/>
        <w:rPr>
          <w:rFonts w:ascii="宋体" w:hAnsi="宋体" w:cs="宋体"/>
          <w:color w:val="auto"/>
          <w:sz w:val="24"/>
          <w:highlight w:val="none"/>
        </w:rPr>
      </w:pPr>
      <w:r>
        <w:rPr>
          <w:rFonts w:hint="eastAsia" w:ascii="宋体" w:hAnsi="宋体" w:cs="宋体"/>
          <w:color w:val="auto"/>
          <w:sz w:val="24"/>
          <w:highlight w:val="none"/>
        </w:rPr>
        <w:t>1.招标方在磋商结束后2个工作日内将磋商报告交采购人确认。</w:t>
      </w:r>
    </w:p>
    <w:p w14:paraId="0F5FB5E7">
      <w:pPr>
        <w:spacing w:line="360" w:lineRule="auto"/>
        <w:rPr>
          <w:rFonts w:ascii="宋体" w:hAnsi="宋体" w:cs="宋体"/>
          <w:color w:val="auto"/>
          <w:sz w:val="24"/>
          <w:highlight w:val="none"/>
        </w:rPr>
      </w:pPr>
      <w:r>
        <w:rPr>
          <w:rFonts w:hint="eastAsia" w:ascii="宋体" w:hAnsi="宋体" w:cs="宋体"/>
          <w:color w:val="auto"/>
          <w:sz w:val="24"/>
          <w:highlight w:val="none"/>
        </w:rPr>
        <w:t>2.采购人应在收到磋商报告后5个工作日内对磋商结果进行确认。如有供应商对磋商结果提出质疑的，采购人可在质疑处理完毕后确定中标人。</w:t>
      </w:r>
    </w:p>
    <w:p w14:paraId="5998757E">
      <w:pPr>
        <w:spacing w:line="360" w:lineRule="auto"/>
        <w:rPr>
          <w:rFonts w:ascii="宋体" w:hAnsi="宋体" w:cs="宋体"/>
          <w:sz w:val="24"/>
          <w:highlight w:val="none"/>
        </w:rPr>
      </w:pPr>
      <w:r>
        <w:rPr>
          <w:rFonts w:hint="eastAsia" w:ascii="宋体" w:hAnsi="宋体" w:cs="宋体"/>
          <w:sz w:val="24"/>
          <w:highlight w:val="none"/>
        </w:rPr>
        <w:t>3.采购人依法确定中标人后2个工作日内，招标方以书面形式发出《中标通知书》,并同时在相关网站上发布中标公告。</w:t>
      </w:r>
    </w:p>
    <w:p w14:paraId="06D52910">
      <w:pPr>
        <w:spacing w:line="360" w:lineRule="auto"/>
        <w:rPr>
          <w:rFonts w:ascii="宋体" w:hAnsi="宋体" w:cs="宋体"/>
          <w:sz w:val="24"/>
          <w:highlight w:val="none"/>
        </w:rPr>
      </w:pPr>
      <w:r>
        <w:rPr>
          <w:rFonts w:hint="eastAsia" w:ascii="宋体" w:hAnsi="宋体" w:cs="宋体"/>
          <w:sz w:val="24"/>
          <w:highlight w:val="none"/>
        </w:rPr>
        <w:t>4. 确定中标人后，中标人应在三个工作日内，向招标方领取《中标通知书》，否则按放弃中标资格处理，并因违反诚信原则，提交财政部门列入政府采购黑名单。</w:t>
      </w:r>
    </w:p>
    <w:p w14:paraId="1F04C234">
      <w:pPr>
        <w:pStyle w:val="4"/>
        <w:keepNext w:val="0"/>
        <w:keepLines w:val="0"/>
        <w:pageBreakBefore/>
        <w:spacing w:line="360" w:lineRule="auto"/>
        <w:jc w:val="center"/>
        <w:rPr>
          <w:rFonts w:ascii="宋体" w:hAnsi="宋体" w:eastAsia="宋体" w:cs="宋体"/>
          <w:sz w:val="24"/>
          <w:szCs w:val="24"/>
          <w:highlight w:val="none"/>
        </w:rPr>
      </w:pPr>
      <w:bookmarkStart w:id="27" w:name="_Toc458697273"/>
      <w:bookmarkStart w:id="28" w:name="_Toc174370001"/>
      <w:r>
        <w:rPr>
          <w:rFonts w:hint="eastAsia" w:ascii="宋体" w:hAnsi="宋体" w:eastAsia="宋体" w:cs="宋体"/>
          <w:sz w:val="24"/>
          <w:szCs w:val="24"/>
          <w:highlight w:val="none"/>
        </w:rPr>
        <w:t>七、合同授予</w:t>
      </w:r>
      <w:bookmarkEnd w:id="27"/>
      <w:bookmarkEnd w:id="28"/>
    </w:p>
    <w:p w14:paraId="0D1C86ED">
      <w:pPr>
        <w:spacing w:line="360" w:lineRule="auto"/>
        <w:rPr>
          <w:rFonts w:ascii="宋体" w:hAnsi="宋体" w:cs="宋体"/>
          <w:b/>
          <w:sz w:val="24"/>
          <w:highlight w:val="none"/>
        </w:rPr>
      </w:pPr>
      <w:r>
        <w:rPr>
          <w:rFonts w:hint="eastAsia" w:ascii="宋体" w:hAnsi="宋体" w:cs="宋体"/>
          <w:b/>
          <w:sz w:val="24"/>
          <w:highlight w:val="none"/>
        </w:rPr>
        <w:t>（一）签订合同</w:t>
      </w:r>
    </w:p>
    <w:p w14:paraId="586845B6">
      <w:pPr>
        <w:spacing w:line="360" w:lineRule="auto"/>
        <w:rPr>
          <w:rFonts w:ascii="宋体" w:hAnsi="宋体" w:cs="宋体"/>
          <w:sz w:val="24"/>
          <w:highlight w:val="none"/>
        </w:rPr>
      </w:pPr>
      <w:r>
        <w:rPr>
          <w:rFonts w:hint="eastAsia" w:ascii="宋体" w:hAnsi="宋体" w:cs="宋体"/>
          <w:sz w:val="24"/>
          <w:highlight w:val="none"/>
        </w:rPr>
        <w:t>1.除不可抗力等特殊情况外，采购人原则上应当在中标通知书发出之日起20日内，与成交人按照采购文件确定的事项签订政府采购合同，并在签订之日起2个工作日内将政府采购合同在浙江政府采购网上公告。</w:t>
      </w:r>
    </w:p>
    <w:p w14:paraId="2561D674">
      <w:pPr>
        <w:spacing w:line="360" w:lineRule="auto"/>
        <w:rPr>
          <w:rFonts w:ascii="宋体" w:hAnsi="宋体" w:cs="宋体"/>
          <w:sz w:val="24"/>
          <w:highlight w:val="none"/>
        </w:rPr>
      </w:pPr>
      <w:r>
        <w:rPr>
          <w:rFonts w:hint="eastAsia" w:ascii="宋体" w:hAnsi="宋体" w:cs="宋体"/>
          <w:sz w:val="24"/>
          <w:highlight w:val="none"/>
        </w:rPr>
        <w:t>2.成交人按规定的日期、时间、地点，由法定代表人或其授权代表与采购人代表签订合同。如成交人为联合体的，由联合体成员各方法定代表人或其授权代表与采购人代表签订合同。</w:t>
      </w:r>
    </w:p>
    <w:p w14:paraId="6ECE7105">
      <w:pPr>
        <w:spacing w:line="360" w:lineRule="auto"/>
        <w:rPr>
          <w:rFonts w:ascii="宋体" w:hAnsi="宋体" w:cs="宋体"/>
          <w:sz w:val="24"/>
          <w:highlight w:val="none"/>
        </w:rPr>
      </w:pPr>
      <w:r>
        <w:rPr>
          <w:rFonts w:hint="eastAsia" w:ascii="宋体" w:hAnsi="宋体" w:cs="宋体"/>
          <w:sz w:val="24"/>
          <w:highlight w:val="none"/>
        </w:rPr>
        <w:t>3.如签订合同并生效后，供应商无故拒绝或延期，除按照合同条款处理外，列入不良行为记录一次，并给予通报。</w:t>
      </w:r>
    </w:p>
    <w:p w14:paraId="6CDA3BA8">
      <w:pPr>
        <w:spacing w:line="360" w:lineRule="auto"/>
        <w:rPr>
          <w:rFonts w:ascii="宋体" w:hAnsi="宋体" w:cs="宋体"/>
          <w:sz w:val="24"/>
          <w:highlight w:val="none"/>
        </w:rPr>
      </w:pPr>
      <w:r>
        <w:rPr>
          <w:rFonts w:hint="eastAsia" w:ascii="宋体" w:hAnsi="宋体" w:cs="宋体"/>
          <w:sz w:val="24"/>
          <w:highlight w:val="none"/>
        </w:rPr>
        <w:t>4.成交人拒绝与采购人签订合同的，采购人可以按照评审报告推荐的中标或者成交候选人名单排序，确定下一候选人为成交人，也可以重新开展政府采购活动。</w:t>
      </w:r>
    </w:p>
    <w:p w14:paraId="7ACE43D2">
      <w:pPr>
        <w:spacing w:line="360" w:lineRule="auto"/>
        <w:rPr>
          <w:rFonts w:ascii="宋体" w:hAnsi="宋体" w:cs="宋体"/>
          <w:sz w:val="24"/>
          <w:highlight w:val="none"/>
        </w:rPr>
      </w:pPr>
      <w:r>
        <w:rPr>
          <w:rFonts w:hint="eastAsia" w:ascii="宋体" w:hAnsi="宋体" w:cs="宋体"/>
          <w:sz w:val="24"/>
          <w:highlight w:val="none"/>
        </w:rPr>
        <w:t>5.采购人与成交人根据采购文件、磋商响应文件等内容签订政府采购合同，合同签订后送东阳市财政局采监科备案。</w:t>
      </w:r>
    </w:p>
    <w:p w14:paraId="55BA3B92">
      <w:pPr>
        <w:spacing w:line="360" w:lineRule="auto"/>
        <w:rPr>
          <w:rFonts w:ascii="宋体" w:hAnsi="宋体" w:cs="宋体"/>
          <w:bCs/>
          <w:sz w:val="24"/>
          <w:highlight w:val="none"/>
        </w:rPr>
      </w:pPr>
      <w:r>
        <w:rPr>
          <w:rFonts w:hint="eastAsia" w:ascii="宋体" w:hAnsi="宋体" w:cs="宋体"/>
          <w:bCs/>
          <w:sz w:val="24"/>
          <w:highlight w:val="none"/>
        </w:rPr>
        <w:t>6.政府采购货物和服务项目不得收取质量保证金。政府采购工程以及与工程建设有关的货物、服务，采用招标方式采购的，按国家和省有关规定执行。</w:t>
      </w:r>
    </w:p>
    <w:p w14:paraId="23BB9849">
      <w:pPr>
        <w:spacing w:line="440" w:lineRule="exact"/>
        <w:rPr>
          <w:rFonts w:ascii="宋体" w:hAnsi="宋体" w:cs="宋体"/>
          <w:b/>
          <w:sz w:val="24"/>
          <w:highlight w:val="none"/>
        </w:rPr>
      </w:pPr>
      <w:r>
        <w:rPr>
          <w:rFonts w:hint="eastAsia" w:ascii="宋体" w:hAnsi="宋体" w:cs="宋体"/>
          <w:b/>
          <w:sz w:val="24"/>
          <w:highlight w:val="none"/>
        </w:rPr>
        <w:t>（二）履约保证金</w:t>
      </w:r>
    </w:p>
    <w:p w14:paraId="46A43C6F">
      <w:pPr>
        <w:spacing w:line="440" w:lineRule="exact"/>
        <w:rPr>
          <w:rFonts w:ascii="宋体" w:hAnsi="宋体" w:cs="宋体"/>
          <w:sz w:val="24"/>
          <w:highlight w:val="none"/>
        </w:rPr>
      </w:pPr>
      <w:r>
        <w:rPr>
          <w:rFonts w:hint="eastAsia" w:ascii="宋体" w:hAnsi="宋体" w:cs="宋体"/>
          <w:sz w:val="24"/>
          <w:highlight w:val="none"/>
        </w:rPr>
        <w:t>1.中标人在收到中标通知书后，需向采购人提供中标价的1%的履约保证金，在中标人与采购人签订合同前递交，投标人需以支票、汇票、本票或者金融机构、保险公司、担保机构出具的保函/保险（可在政采云平台购买，咨询热线4009039583）等非现金形式提交（保函期限应大于履约期限2个月）。</w:t>
      </w:r>
    </w:p>
    <w:p w14:paraId="28354F6B">
      <w:pPr>
        <w:spacing w:line="440" w:lineRule="exact"/>
        <w:ind w:firstLine="480" w:firstLineChars="200"/>
        <w:rPr>
          <w:highlight w:val="none"/>
        </w:rPr>
      </w:pPr>
      <w:r>
        <w:rPr>
          <w:rFonts w:hint="eastAsia" w:ascii="宋体" w:hAnsi="宋体" w:cs="宋体"/>
          <w:sz w:val="24"/>
          <w:highlight w:val="none"/>
        </w:rPr>
        <w:t>中标人也可登录政采云平台-【金融服务】—【我的项目】—【已备案合同】以保函形式提供：（1）中标人在合同列表选择需要投保的合同，点击[保函推荐]。（2）在弹框里查看推荐的保函产品，中标人自行选择保函产品，点击[立即申请]。（3）在弹框里填写保函申请信息。具体步骤：选择产品—填写供应商信息—选择中标项目—确认信息—等待保险/保函受理—确认保单—支付保费—成功出单。政采云金融专线400-903-9583。</w:t>
      </w:r>
    </w:p>
    <w:p w14:paraId="0A29F2DB">
      <w:pPr>
        <w:spacing w:line="440" w:lineRule="exact"/>
        <w:rPr>
          <w:highlight w:val="none"/>
        </w:rPr>
      </w:pPr>
      <w:r>
        <w:rPr>
          <w:rFonts w:hint="eastAsia" w:ascii="宋体" w:hAnsi="宋体" w:cs="宋体"/>
          <w:sz w:val="24"/>
          <w:highlight w:val="none"/>
        </w:rPr>
        <w:t>2.签订合同后，如中标人不按双方合同约定履约，则没收其全部履约保证金，履约保证金不足以赔偿损失的，按实际损失赔偿。</w:t>
      </w:r>
    </w:p>
    <w:p w14:paraId="4C382BC9">
      <w:pPr>
        <w:pStyle w:val="23"/>
        <w:pageBreakBefore/>
        <w:snapToGrid w:val="0"/>
        <w:spacing w:before="120" w:after="120" w:line="360" w:lineRule="auto"/>
        <w:jc w:val="center"/>
        <w:outlineLvl w:val="0"/>
        <w:rPr>
          <w:rFonts w:ascii="宋体" w:hAnsi="宋体" w:cs="宋体"/>
          <w:b/>
          <w:szCs w:val="24"/>
          <w:highlight w:val="none"/>
        </w:rPr>
      </w:pPr>
      <w:bookmarkStart w:id="29" w:name="_Toc174370002"/>
      <w:r>
        <w:rPr>
          <w:rFonts w:hint="eastAsia" w:ascii="宋体" w:hAnsi="宋体" w:cs="宋体"/>
          <w:b/>
          <w:szCs w:val="24"/>
          <w:highlight w:val="none"/>
        </w:rPr>
        <w:t>第四章  磋商办法及评分标准</w:t>
      </w:r>
      <w:bookmarkEnd w:id="29"/>
    </w:p>
    <w:p w14:paraId="40B018FE">
      <w:pPr>
        <w:spacing w:line="540" w:lineRule="exact"/>
        <w:ind w:firstLine="480" w:firstLineChars="200"/>
        <w:rPr>
          <w:rFonts w:ascii="宋体" w:hAnsi="宋体" w:cs="宋体"/>
          <w:sz w:val="24"/>
          <w:highlight w:val="none"/>
        </w:rPr>
      </w:pPr>
      <w:r>
        <w:rPr>
          <w:rFonts w:hint="eastAsia" w:ascii="宋体" w:hAnsi="宋体" w:cs="宋体"/>
          <w:sz w:val="24"/>
          <w:highlight w:val="none"/>
        </w:rPr>
        <w:t>为公正、公平、科学地选择中标人，根据《中华人民共和国政府采购法》等有关法律法规的规定，并结合本项目的实际，制定本办法。</w:t>
      </w:r>
    </w:p>
    <w:p w14:paraId="7E7C69AB">
      <w:pPr>
        <w:spacing w:line="540" w:lineRule="exact"/>
        <w:ind w:firstLine="480" w:firstLineChars="200"/>
        <w:rPr>
          <w:rFonts w:ascii="宋体" w:hAnsi="宋体" w:cs="宋体"/>
          <w:sz w:val="24"/>
          <w:highlight w:val="none"/>
        </w:rPr>
      </w:pPr>
      <w:r>
        <w:rPr>
          <w:rFonts w:hint="eastAsia" w:ascii="宋体" w:hAnsi="宋体" w:cs="宋体"/>
          <w:sz w:val="24"/>
          <w:highlight w:val="none"/>
        </w:rPr>
        <w:t>本办法适用于</w:t>
      </w:r>
      <w:r>
        <w:rPr>
          <w:rFonts w:hint="eastAsia" w:ascii="宋体" w:hAnsi="宋体" w:cs="宋体"/>
          <w:sz w:val="24"/>
          <w:highlight w:val="none"/>
          <w:lang w:eastAsia="zh-CN"/>
        </w:rPr>
        <w:t>敖溪杭温高铁拆迁安置区市政工程项目</w:t>
      </w:r>
      <w:r>
        <w:rPr>
          <w:rFonts w:hint="eastAsia" w:ascii="宋体" w:hAnsi="宋体" w:cs="宋体"/>
          <w:sz w:val="24"/>
          <w:highlight w:val="none"/>
        </w:rPr>
        <w:t xml:space="preserve"> 的磋商。</w:t>
      </w:r>
    </w:p>
    <w:p w14:paraId="008699BB">
      <w:pPr>
        <w:spacing w:line="540" w:lineRule="exact"/>
        <w:rPr>
          <w:rFonts w:ascii="宋体" w:hAnsi="宋体" w:cs="宋体"/>
          <w:b/>
          <w:sz w:val="24"/>
          <w:highlight w:val="none"/>
        </w:rPr>
      </w:pPr>
      <w:bookmarkStart w:id="30" w:name="_Toc12525"/>
      <w:bookmarkStart w:id="31" w:name="_Toc452728219"/>
      <w:bookmarkStart w:id="32" w:name="_Toc31315"/>
      <w:bookmarkStart w:id="33" w:name="_Toc26574"/>
      <w:r>
        <w:rPr>
          <w:rFonts w:hint="eastAsia" w:ascii="宋体" w:hAnsi="宋体" w:cs="宋体"/>
          <w:b/>
          <w:sz w:val="24"/>
          <w:highlight w:val="none"/>
        </w:rPr>
        <w:t>一、总则</w:t>
      </w:r>
      <w:bookmarkEnd w:id="30"/>
      <w:bookmarkEnd w:id="31"/>
      <w:bookmarkEnd w:id="32"/>
      <w:bookmarkEnd w:id="33"/>
    </w:p>
    <w:p w14:paraId="5EFBC6B5">
      <w:pPr>
        <w:spacing w:line="540" w:lineRule="exact"/>
        <w:ind w:firstLine="480" w:firstLineChars="200"/>
        <w:rPr>
          <w:rFonts w:ascii="宋体" w:hAnsi="宋体" w:cs="宋体"/>
          <w:sz w:val="24"/>
          <w:highlight w:val="none"/>
        </w:rPr>
      </w:pPr>
      <w:r>
        <w:rPr>
          <w:rFonts w:hint="eastAsia" w:ascii="宋体" w:hAnsi="宋体" w:cs="宋体"/>
          <w:sz w:val="24"/>
          <w:highlight w:val="none"/>
        </w:rPr>
        <w:t>本次磋商采用综合评分法，总分为100分，其中价格分30分，技术、商务、资信及其他分70分；合格供应商的磋商得分为各项目汇总得分，中标候选资格按磋商综合得分由高到低顺序排列，得分相同的，按最终轮磋商报价由低到高顺序排列；得分且最终轮磋商报价相同的，按技术得分由高到低顺序排列。有效投标人为 3家时推荐2名中标候选人，有效投标人大于 3 家时，推荐 3名中标候选人……其他供应商中标候选资格依此类推。评分过程中采用四舍五入法，并保留小数2位。</w:t>
      </w:r>
    </w:p>
    <w:p w14:paraId="3893BB20">
      <w:pPr>
        <w:spacing w:line="540" w:lineRule="exact"/>
        <w:ind w:firstLine="480" w:firstLineChars="200"/>
        <w:rPr>
          <w:rFonts w:ascii="宋体" w:hAnsi="宋体" w:cs="宋体"/>
          <w:sz w:val="24"/>
          <w:highlight w:val="none"/>
        </w:rPr>
      </w:pPr>
      <w:r>
        <w:rPr>
          <w:rFonts w:hint="eastAsia" w:ascii="宋体" w:hAnsi="宋体" w:cs="宋体"/>
          <w:sz w:val="24"/>
          <w:highlight w:val="none"/>
        </w:rPr>
        <w:t>供应商磋商综合得分=价格分+(技术分+商务分+资信及其他分)</w:t>
      </w:r>
    </w:p>
    <w:p w14:paraId="74C95A3D">
      <w:pPr>
        <w:numPr>
          <w:ilvl w:val="0"/>
          <w:numId w:val="6"/>
        </w:numPr>
        <w:spacing w:line="540" w:lineRule="exact"/>
        <w:rPr>
          <w:rFonts w:ascii="宋体" w:hAnsi="宋体" w:cs="宋体"/>
          <w:b/>
          <w:sz w:val="24"/>
          <w:highlight w:val="none"/>
        </w:rPr>
      </w:pPr>
      <w:bookmarkStart w:id="34" w:name="_Toc12387"/>
      <w:bookmarkStart w:id="35" w:name="_Toc16785"/>
      <w:bookmarkStart w:id="36" w:name="_Toc452728220"/>
      <w:bookmarkStart w:id="37" w:name="_Toc6122"/>
      <w:r>
        <w:rPr>
          <w:rFonts w:hint="eastAsia" w:ascii="宋体" w:hAnsi="宋体" w:cs="宋体"/>
          <w:b/>
          <w:sz w:val="24"/>
          <w:highlight w:val="none"/>
        </w:rPr>
        <w:t>磋商内容及标准</w:t>
      </w:r>
      <w:bookmarkEnd w:id="34"/>
      <w:bookmarkEnd w:id="35"/>
      <w:bookmarkEnd w:id="36"/>
      <w:bookmarkEnd w:id="37"/>
      <w:bookmarkStart w:id="38" w:name="_Toc502652282"/>
      <w:bookmarkStart w:id="39" w:name="_Hlt452359758"/>
      <w:bookmarkStart w:id="40" w:name="_Hlt452359757"/>
    </w:p>
    <w:p w14:paraId="3535EA76">
      <w:pPr>
        <w:pStyle w:val="23"/>
        <w:spacing w:before="120" w:after="120" w:line="540" w:lineRule="exact"/>
        <w:rPr>
          <w:rFonts w:ascii="宋体" w:hAnsi="宋体"/>
          <w:b/>
          <w:bCs/>
          <w:szCs w:val="24"/>
          <w:highlight w:val="none"/>
        </w:rPr>
      </w:pPr>
      <w:r>
        <w:rPr>
          <w:rFonts w:hint="eastAsia" w:ascii="宋体" w:hAnsi="宋体"/>
          <w:b/>
          <w:bCs/>
          <w:szCs w:val="24"/>
          <w:highlight w:val="none"/>
        </w:rPr>
        <w:t>（一）技术、商务、资信及其他分（70分）</w:t>
      </w:r>
    </w:p>
    <w:p w14:paraId="4F66E841">
      <w:pPr>
        <w:spacing w:line="540" w:lineRule="exact"/>
        <w:ind w:firstLine="480" w:firstLineChars="200"/>
        <w:rPr>
          <w:rFonts w:ascii="宋体" w:hAnsi="宋体"/>
          <w:sz w:val="24"/>
          <w:highlight w:val="none"/>
        </w:rPr>
      </w:pPr>
      <w:r>
        <w:rPr>
          <w:rFonts w:hint="eastAsia" w:ascii="宋体" w:hAnsi="宋体"/>
          <w:sz w:val="24"/>
          <w:highlight w:val="none"/>
        </w:rPr>
        <w:t>技术、商务资信及其他分响应标书要求的磋商单位全部进入商务报价评审。</w:t>
      </w:r>
    </w:p>
    <w:p w14:paraId="2A7731A1">
      <w:pPr>
        <w:pStyle w:val="12"/>
        <w:spacing w:line="540" w:lineRule="exact"/>
        <w:ind w:left="0" w:leftChars="0"/>
        <w:rPr>
          <w:rFonts w:ascii="宋体" w:hAnsi="宋体"/>
          <w:b/>
          <w:bCs/>
          <w:sz w:val="24"/>
          <w:highlight w:val="none"/>
        </w:rPr>
      </w:pPr>
      <w:r>
        <w:rPr>
          <w:rFonts w:hint="eastAsia" w:ascii="宋体" w:hAnsi="宋体"/>
          <w:b/>
          <w:sz w:val="24"/>
          <w:highlight w:val="none"/>
        </w:rPr>
        <w:t>（二）</w:t>
      </w:r>
      <w:r>
        <w:rPr>
          <w:rFonts w:hint="eastAsia" w:ascii="宋体" w:hAnsi="宋体"/>
          <w:b/>
          <w:bCs/>
          <w:sz w:val="24"/>
          <w:highlight w:val="none"/>
        </w:rPr>
        <w:t xml:space="preserve">价格分（30分） </w:t>
      </w:r>
    </w:p>
    <w:p w14:paraId="7D6F0484">
      <w:pPr>
        <w:spacing w:before="120" w:beforeLines="50" w:after="120" w:afterLines="50" w:line="540" w:lineRule="exact"/>
        <w:ind w:firstLine="464" w:firstLineChars="200"/>
        <w:rPr>
          <w:rFonts w:hAnsi="宋体"/>
          <w:bCs/>
          <w:sz w:val="24"/>
          <w:highlight w:val="none"/>
        </w:rPr>
      </w:pPr>
      <w:r>
        <w:rPr>
          <w:rFonts w:hint="eastAsia" w:ascii="宋体" w:hAnsi="宋体"/>
          <w:bCs/>
          <w:spacing w:val="-4"/>
          <w:sz w:val="24"/>
          <w:szCs w:val="20"/>
          <w:highlight w:val="none"/>
        </w:rPr>
        <w:t>（1）</w:t>
      </w:r>
      <w:r>
        <w:rPr>
          <w:rFonts w:hint="eastAsia" w:hAnsi="宋体"/>
          <w:bCs/>
          <w:sz w:val="24"/>
          <w:highlight w:val="none"/>
        </w:rPr>
        <w:t>价格分采用低价优先法计算，取所有技术、资信商务得分入围供应商中，</w:t>
      </w:r>
      <w:r>
        <w:rPr>
          <w:rFonts w:hint="eastAsia" w:ascii="宋体" w:hAnsi="宋体" w:cs="宋体"/>
          <w:sz w:val="24"/>
          <w:highlight w:val="none"/>
        </w:rPr>
        <w:t>最终轮磋商报价以</w:t>
      </w:r>
      <w:r>
        <w:rPr>
          <w:rFonts w:hint="eastAsia" w:hAnsi="宋体"/>
          <w:bCs/>
          <w:sz w:val="24"/>
          <w:highlight w:val="none"/>
        </w:rPr>
        <w:t>最低的磋商报价为基准价，其他供应商的价格分按照下列公式计算：</w:t>
      </w:r>
    </w:p>
    <w:p w14:paraId="508BCE0A">
      <w:pPr>
        <w:spacing w:before="120" w:beforeLines="50" w:after="120" w:afterLines="50" w:line="540" w:lineRule="exact"/>
        <w:ind w:firstLine="720" w:firstLineChars="300"/>
        <w:rPr>
          <w:rFonts w:ascii="宋体" w:hAnsi="宋体" w:cs="宋体"/>
          <w:sz w:val="24"/>
          <w:highlight w:val="none"/>
        </w:rPr>
      </w:pPr>
      <w:r>
        <w:rPr>
          <w:rFonts w:hint="eastAsia" w:ascii="宋体" w:hAnsi="宋体" w:cs="宋体"/>
          <w:sz w:val="24"/>
          <w:highlight w:val="none"/>
        </w:rPr>
        <w:t>价格分=基准价/最终轮磋商报价×30</w:t>
      </w:r>
    </w:p>
    <w:p w14:paraId="69147160">
      <w:pPr>
        <w:spacing w:line="540" w:lineRule="exact"/>
        <w:rPr>
          <w:rFonts w:ascii="宋体" w:hAnsi="宋体"/>
          <w:b/>
          <w:bCs/>
          <w:sz w:val="24"/>
          <w:highlight w:val="none"/>
        </w:rPr>
      </w:pPr>
      <w:r>
        <w:rPr>
          <w:rFonts w:hint="eastAsia" w:ascii="宋体" w:hAnsi="宋体"/>
          <w:b/>
          <w:bCs/>
          <w:sz w:val="24"/>
          <w:highlight w:val="none"/>
        </w:rPr>
        <w:t>（三）技术、商务、资信及其他分的计算</w:t>
      </w:r>
    </w:p>
    <w:p w14:paraId="2CB72ECA">
      <w:pPr>
        <w:spacing w:before="120" w:beforeLines="50" w:after="120" w:afterLines="50" w:line="540" w:lineRule="exact"/>
        <w:ind w:firstLine="480" w:firstLineChars="200"/>
        <w:rPr>
          <w:rFonts w:ascii="宋体" w:hAnsi="宋体"/>
          <w:sz w:val="24"/>
          <w:highlight w:val="none"/>
        </w:rPr>
      </w:pPr>
      <w:r>
        <w:rPr>
          <w:rFonts w:hint="eastAsia" w:ascii="宋体" w:hAnsi="宋体"/>
          <w:sz w:val="24"/>
          <w:highlight w:val="none"/>
        </w:rPr>
        <w:t>技术、商务、资信及其他分按照磋商小组成员的独立评分结果的算术平均分计算，计算公式为：</w:t>
      </w:r>
    </w:p>
    <w:p w14:paraId="7646FA63">
      <w:pPr>
        <w:spacing w:before="120" w:beforeLines="50" w:after="120" w:afterLines="50" w:line="540" w:lineRule="exact"/>
        <w:ind w:firstLine="480" w:firstLineChars="200"/>
        <w:rPr>
          <w:rFonts w:ascii="宋体" w:hAnsi="宋体"/>
          <w:b/>
          <w:sz w:val="24"/>
          <w:highlight w:val="none"/>
        </w:rPr>
      </w:pPr>
      <w:r>
        <w:rPr>
          <w:rFonts w:hint="eastAsia" w:ascii="宋体" w:hAnsi="宋体"/>
          <w:sz w:val="24"/>
          <w:highlight w:val="none"/>
        </w:rPr>
        <w:t>技术商务资信及其他分=磋商小组所有成员有效评分合计数/3</w:t>
      </w:r>
    </w:p>
    <w:p w14:paraId="59F1D99E">
      <w:pPr>
        <w:numPr>
          <w:ilvl w:val="0"/>
          <w:numId w:val="8"/>
        </w:numPr>
        <w:spacing w:line="540" w:lineRule="exact"/>
        <w:rPr>
          <w:rFonts w:ascii="宋体" w:hAnsi="宋体"/>
          <w:b/>
          <w:sz w:val="24"/>
          <w:highlight w:val="none"/>
        </w:rPr>
      </w:pPr>
      <w:r>
        <w:rPr>
          <w:rFonts w:hint="eastAsia" w:ascii="宋体" w:hAnsi="宋体"/>
          <w:b/>
          <w:sz w:val="24"/>
          <w:highlight w:val="none"/>
        </w:rPr>
        <w:t>技术分、商务分、资信及其他分评分标准，共70分</w:t>
      </w:r>
    </w:p>
    <w:tbl>
      <w:tblPr>
        <w:tblStyle w:val="39"/>
        <w:tblpPr w:leftFromText="180" w:rightFromText="180" w:vertAnchor="text" w:horzAnchor="page" w:tblpX="1000" w:tblpY="539"/>
        <w:tblOverlap w:val="never"/>
        <w:tblW w:w="1015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8"/>
        <w:gridCol w:w="462"/>
        <w:gridCol w:w="1637"/>
        <w:gridCol w:w="6411"/>
        <w:gridCol w:w="810"/>
      </w:tblGrid>
      <w:tr w14:paraId="6A9673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838" w:type="dxa"/>
            <w:tcBorders>
              <w:top w:val="single" w:color="auto" w:sz="4" w:space="0"/>
              <w:left w:val="single" w:color="auto" w:sz="4" w:space="0"/>
              <w:bottom w:val="single" w:color="auto" w:sz="4" w:space="0"/>
              <w:right w:val="single" w:color="auto" w:sz="4" w:space="0"/>
            </w:tcBorders>
            <w:vAlign w:val="center"/>
          </w:tcPr>
          <w:p w14:paraId="574E08F2">
            <w:pPr>
              <w:spacing w:line="360" w:lineRule="auto"/>
              <w:rPr>
                <w:rFonts w:ascii="宋体" w:hAnsi="宋体" w:cs="宋体"/>
                <w:sz w:val="24"/>
                <w:highlight w:val="none"/>
              </w:rPr>
            </w:pPr>
            <w:r>
              <w:rPr>
                <w:rFonts w:hint="eastAsia" w:ascii="宋体" w:hAnsi="宋体" w:cs="宋体"/>
                <w:sz w:val="24"/>
                <w:highlight w:val="none"/>
              </w:rPr>
              <w:t>序号</w:t>
            </w:r>
          </w:p>
        </w:tc>
        <w:tc>
          <w:tcPr>
            <w:tcW w:w="2099" w:type="dxa"/>
            <w:gridSpan w:val="2"/>
            <w:tcBorders>
              <w:top w:val="single" w:color="auto" w:sz="4" w:space="0"/>
              <w:left w:val="single" w:color="auto" w:sz="4" w:space="0"/>
              <w:bottom w:val="single" w:color="auto" w:sz="4" w:space="0"/>
              <w:right w:val="single" w:color="auto" w:sz="4" w:space="0"/>
            </w:tcBorders>
            <w:vAlign w:val="center"/>
          </w:tcPr>
          <w:p w14:paraId="3F64764C">
            <w:pPr>
              <w:spacing w:line="360" w:lineRule="auto"/>
              <w:rPr>
                <w:rFonts w:ascii="宋体" w:hAnsi="宋体" w:cs="宋体"/>
                <w:sz w:val="24"/>
                <w:highlight w:val="none"/>
              </w:rPr>
            </w:pPr>
            <w:r>
              <w:rPr>
                <w:rFonts w:hint="eastAsia" w:ascii="宋体" w:hAnsi="宋体" w:cs="宋体"/>
                <w:sz w:val="24"/>
                <w:highlight w:val="none"/>
              </w:rPr>
              <w:t>评审内容</w:t>
            </w:r>
          </w:p>
        </w:tc>
        <w:tc>
          <w:tcPr>
            <w:tcW w:w="6411" w:type="dxa"/>
            <w:tcBorders>
              <w:top w:val="single" w:color="auto" w:sz="4" w:space="0"/>
              <w:left w:val="single" w:color="auto" w:sz="4" w:space="0"/>
              <w:bottom w:val="single" w:color="auto" w:sz="4" w:space="0"/>
              <w:right w:val="single" w:color="auto" w:sz="4" w:space="0"/>
            </w:tcBorders>
            <w:vAlign w:val="center"/>
          </w:tcPr>
          <w:p w14:paraId="13856C3F">
            <w:pPr>
              <w:spacing w:line="360" w:lineRule="auto"/>
              <w:rPr>
                <w:rFonts w:ascii="宋体" w:hAnsi="宋体" w:cs="宋体"/>
                <w:sz w:val="24"/>
                <w:highlight w:val="none"/>
              </w:rPr>
            </w:pPr>
            <w:r>
              <w:rPr>
                <w:rFonts w:hint="eastAsia" w:ascii="宋体" w:hAnsi="宋体" w:cs="宋体"/>
                <w:sz w:val="24"/>
                <w:highlight w:val="none"/>
              </w:rPr>
              <w:t>评分标准</w:t>
            </w:r>
          </w:p>
        </w:tc>
        <w:tc>
          <w:tcPr>
            <w:tcW w:w="810" w:type="dxa"/>
            <w:tcBorders>
              <w:top w:val="single" w:color="auto" w:sz="4" w:space="0"/>
              <w:left w:val="single" w:color="auto" w:sz="4" w:space="0"/>
              <w:bottom w:val="single" w:color="auto" w:sz="4" w:space="0"/>
              <w:right w:val="single" w:color="auto" w:sz="4" w:space="0"/>
            </w:tcBorders>
            <w:vAlign w:val="center"/>
          </w:tcPr>
          <w:p w14:paraId="1880933C">
            <w:pPr>
              <w:spacing w:line="360" w:lineRule="auto"/>
              <w:rPr>
                <w:rFonts w:ascii="宋体" w:hAnsi="宋体" w:cs="宋体"/>
                <w:sz w:val="24"/>
                <w:highlight w:val="none"/>
              </w:rPr>
            </w:pPr>
            <w:r>
              <w:rPr>
                <w:rFonts w:hint="eastAsia" w:ascii="宋体" w:hAnsi="宋体" w:cs="宋体"/>
                <w:sz w:val="24"/>
                <w:highlight w:val="none"/>
              </w:rPr>
              <w:t>分值</w:t>
            </w:r>
          </w:p>
        </w:tc>
      </w:tr>
      <w:tr w14:paraId="435DF6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838" w:type="dxa"/>
            <w:tcBorders>
              <w:top w:val="single" w:color="auto" w:sz="4" w:space="0"/>
              <w:left w:val="single" w:color="auto" w:sz="4" w:space="0"/>
              <w:bottom w:val="single" w:color="auto" w:sz="4" w:space="0"/>
              <w:right w:val="single" w:color="auto" w:sz="4" w:space="0"/>
            </w:tcBorders>
            <w:vAlign w:val="center"/>
          </w:tcPr>
          <w:p w14:paraId="228E3511">
            <w:pPr>
              <w:spacing w:line="360" w:lineRule="auto"/>
              <w:rPr>
                <w:rFonts w:ascii="宋体" w:hAnsi="宋体" w:cs="宋体"/>
                <w:sz w:val="24"/>
                <w:highlight w:val="none"/>
              </w:rPr>
            </w:pPr>
            <w:r>
              <w:rPr>
                <w:rFonts w:hint="eastAsia" w:ascii="宋体" w:hAnsi="宋体" w:cs="宋体"/>
                <w:sz w:val="24"/>
                <w:highlight w:val="none"/>
              </w:rPr>
              <w:t>一</w:t>
            </w:r>
          </w:p>
        </w:tc>
        <w:tc>
          <w:tcPr>
            <w:tcW w:w="8510" w:type="dxa"/>
            <w:gridSpan w:val="3"/>
            <w:tcBorders>
              <w:top w:val="single" w:color="auto" w:sz="4" w:space="0"/>
              <w:left w:val="single" w:color="auto" w:sz="4" w:space="0"/>
              <w:bottom w:val="single" w:color="auto" w:sz="4" w:space="0"/>
              <w:right w:val="single" w:color="auto" w:sz="4" w:space="0"/>
            </w:tcBorders>
            <w:vAlign w:val="center"/>
          </w:tcPr>
          <w:p w14:paraId="140A30AE">
            <w:pPr>
              <w:spacing w:line="360" w:lineRule="auto"/>
              <w:jc w:val="center"/>
              <w:rPr>
                <w:rFonts w:ascii="宋体" w:hAnsi="宋体" w:cs="宋体"/>
                <w:sz w:val="24"/>
                <w:highlight w:val="none"/>
              </w:rPr>
            </w:pPr>
            <w:r>
              <w:rPr>
                <w:rFonts w:hint="eastAsia" w:ascii="宋体" w:hAnsi="宋体" w:cs="宋体"/>
                <w:sz w:val="24"/>
                <w:highlight w:val="none"/>
              </w:rPr>
              <w:t>技术分</w:t>
            </w:r>
          </w:p>
        </w:tc>
        <w:tc>
          <w:tcPr>
            <w:tcW w:w="810" w:type="dxa"/>
            <w:tcBorders>
              <w:top w:val="single" w:color="auto" w:sz="4" w:space="0"/>
              <w:left w:val="single" w:color="auto" w:sz="4" w:space="0"/>
              <w:bottom w:val="single" w:color="auto" w:sz="4" w:space="0"/>
              <w:right w:val="single" w:color="auto" w:sz="4" w:space="0"/>
            </w:tcBorders>
            <w:vAlign w:val="center"/>
          </w:tcPr>
          <w:p w14:paraId="340B0542">
            <w:pPr>
              <w:spacing w:line="360" w:lineRule="auto"/>
              <w:rPr>
                <w:rFonts w:ascii="宋体" w:hAnsi="宋体" w:cs="宋体"/>
                <w:sz w:val="24"/>
                <w:highlight w:val="none"/>
              </w:rPr>
            </w:pPr>
            <w:r>
              <w:rPr>
                <w:rFonts w:hint="eastAsia" w:ascii="宋体" w:hAnsi="宋体" w:cs="宋体"/>
                <w:sz w:val="24"/>
                <w:highlight w:val="none"/>
              </w:rPr>
              <w:t>58分</w:t>
            </w:r>
          </w:p>
        </w:tc>
      </w:tr>
      <w:tr w14:paraId="7A64E4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838" w:type="dxa"/>
            <w:tcBorders>
              <w:top w:val="single" w:color="auto" w:sz="4" w:space="0"/>
              <w:left w:val="single" w:color="auto" w:sz="4" w:space="0"/>
              <w:bottom w:val="single" w:color="auto" w:sz="4" w:space="0"/>
              <w:right w:val="single" w:color="auto" w:sz="4" w:space="0"/>
            </w:tcBorders>
            <w:vAlign w:val="center"/>
          </w:tcPr>
          <w:p w14:paraId="5B316A51">
            <w:pPr>
              <w:spacing w:line="360" w:lineRule="auto"/>
              <w:jc w:val="center"/>
              <w:rPr>
                <w:rFonts w:ascii="宋体" w:hAnsi="宋体" w:cs="宋体"/>
                <w:sz w:val="24"/>
                <w:highlight w:val="none"/>
              </w:rPr>
            </w:pPr>
            <w:r>
              <w:rPr>
                <w:rFonts w:hint="eastAsia" w:ascii="宋体" w:hAnsi="宋体" w:cs="宋体"/>
                <w:sz w:val="24"/>
                <w:highlight w:val="none"/>
              </w:rPr>
              <w:t>1</w:t>
            </w:r>
          </w:p>
        </w:tc>
        <w:tc>
          <w:tcPr>
            <w:tcW w:w="462" w:type="dxa"/>
            <w:vMerge w:val="restart"/>
            <w:tcBorders>
              <w:top w:val="nil"/>
              <w:left w:val="single" w:color="auto" w:sz="4" w:space="0"/>
              <w:right w:val="single" w:color="auto" w:sz="4" w:space="0"/>
            </w:tcBorders>
            <w:vAlign w:val="center"/>
          </w:tcPr>
          <w:p w14:paraId="47FBA972">
            <w:pPr>
              <w:spacing w:line="360" w:lineRule="auto"/>
              <w:rPr>
                <w:rFonts w:ascii="宋体" w:hAnsi="宋体" w:cs="宋体"/>
                <w:sz w:val="24"/>
                <w:highlight w:val="none"/>
              </w:rPr>
            </w:pPr>
          </w:p>
          <w:p w14:paraId="34DF27F7">
            <w:pPr>
              <w:spacing w:line="360" w:lineRule="auto"/>
              <w:rPr>
                <w:rFonts w:ascii="宋体" w:hAnsi="宋体" w:cs="宋体"/>
                <w:sz w:val="24"/>
                <w:highlight w:val="none"/>
              </w:rPr>
            </w:pPr>
          </w:p>
          <w:p w14:paraId="77A5625D">
            <w:pPr>
              <w:spacing w:line="360" w:lineRule="auto"/>
              <w:rPr>
                <w:rFonts w:ascii="宋体" w:hAnsi="宋体" w:cs="宋体"/>
                <w:sz w:val="24"/>
                <w:highlight w:val="none"/>
              </w:rPr>
            </w:pPr>
          </w:p>
          <w:p w14:paraId="180D67DF">
            <w:pPr>
              <w:spacing w:line="360" w:lineRule="auto"/>
              <w:rPr>
                <w:rFonts w:ascii="宋体" w:hAnsi="宋体" w:cs="宋体"/>
                <w:sz w:val="24"/>
                <w:highlight w:val="none"/>
              </w:rPr>
            </w:pPr>
          </w:p>
          <w:p w14:paraId="679EE839">
            <w:pPr>
              <w:spacing w:line="360" w:lineRule="auto"/>
              <w:rPr>
                <w:rFonts w:ascii="宋体" w:hAnsi="宋体" w:cs="宋体"/>
                <w:sz w:val="24"/>
                <w:highlight w:val="none"/>
              </w:rPr>
            </w:pPr>
          </w:p>
          <w:p w14:paraId="0600BF38">
            <w:pPr>
              <w:spacing w:line="360" w:lineRule="auto"/>
              <w:rPr>
                <w:rFonts w:ascii="宋体" w:hAnsi="宋体" w:cs="宋体"/>
                <w:sz w:val="24"/>
                <w:highlight w:val="none"/>
              </w:rPr>
            </w:pPr>
          </w:p>
          <w:p w14:paraId="3FA29DD8">
            <w:pPr>
              <w:spacing w:line="360" w:lineRule="auto"/>
              <w:rPr>
                <w:rFonts w:ascii="宋体" w:hAnsi="宋体" w:cs="宋体"/>
                <w:sz w:val="24"/>
                <w:highlight w:val="none"/>
              </w:rPr>
            </w:pPr>
            <w:r>
              <w:rPr>
                <w:rFonts w:hint="eastAsia" w:ascii="宋体" w:hAnsi="宋体" w:cs="宋体"/>
                <w:sz w:val="24"/>
                <w:highlight w:val="none"/>
              </w:rPr>
              <w:t>技术服务水平</w:t>
            </w:r>
          </w:p>
        </w:tc>
        <w:tc>
          <w:tcPr>
            <w:tcW w:w="1637" w:type="dxa"/>
            <w:tcBorders>
              <w:top w:val="single" w:color="auto" w:sz="4" w:space="0"/>
              <w:left w:val="single" w:color="auto" w:sz="4" w:space="0"/>
              <w:bottom w:val="single" w:color="auto" w:sz="4" w:space="0"/>
              <w:right w:val="single" w:color="auto" w:sz="4" w:space="0"/>
            </w:tcBorders>
            <w:vAlign w:val="center"/>
          </w:tcPr>
          <w:p w14:paraId="2CEA77C5">
            <w:pPr>
              <w:spacing w:line="360" w:lineRule="auto"/>
              <w:jc w:val="center"/>
              <w:rPr>
                <w:rFonts w:ascii="宋体" w:hAnsi="宋体" w:cs="宋体"/>
                <w:sz w:val="24"/>
                <w:highlight w:val="none"/>
              </w:rPr>
            </w:pPr>
            <w:r>
              <w:rPr>
                <w:rFonts w:hint="eastAsia" w:ascii="宋体" w:hAnsi="宋体" w:cs="宋体"/>
                <w:sz w:val="24"/>
                <w:highlight w:val="none"/>
              </w:rPr>
              <w:t>项目理解</w:t>
            </w:r>
          </w:p>
          <w:p w14:paraId="78653DC2">
            <w:pPr>
              <w:spacing w:line="360" w:lineRule="auto"/>
              <w:jc w:val="center"/>
              <w:rPr>
                <w:rFonts w:ascii="宋体" w:hAnsi="宋体" w:cs="宋体"/>
                <w:sz w:val="24"/>
                <w:highlight w:val="none"/>
              </w:rPr>
            </w:pPr>
            <w:r>
              <w:rPr>
                <w:rFonts w:hint="eastAsia" w:ascii="宋体" w:hAnsi="宋体" w:cs="宋体"/>
                <w:sz w:val="24"/>
                <w:highlight w:val="none"/>
              </w:rPr>
              <w:t>情况</w:t>
            </w:r>
          </w:p>
        </w:tc>
        <w:tc>
          <w:tcPr>
            <w:tcW w:w="6411" w:type="dxa"/>
            <w:tcBorders>
              <w:top w:val="single" w:color="auto" w:sz="4" w:space="0"/>
              <w:left w:val="single" w:color="auto" w:sz="4" w:space="0"/>
              <w:bottom w:val="single" w:color="auto" w:sz="4" w:space="0"/>
              <w:right w:val="single" w:color="auto" w:sz="4" w:space="0"/>
            </w:tcBorders>
            <w:vAlign w:val="center"/>
          </w:tcPr>
          <w:p w14:paraId="3043EDB2">
            <w:pPr>
              <w:spacing w:line="360" w:lineRule="auto"/>
              <w:rPr>
                <w:rFonts w:ascii="宋体" w:hAnsi="宋体" w:cs="宋体"/>
                <w:sz w:val="24"/>
                <w:highlight w:val="none"/>
              </w:rPr>
            </w:pPr>
            <w:r>
              <w:rPr>
                <w:rFonts w:hint="eastAsia" w:ascii="宋体" w:hAnsi="宋体" w:cs="宋体"/>
                <w:sz w:val="24"/>
                <w:highlight w:val="none"/>
              </w:rPr>
              <w:t>对项目实施思路（0-1分）、技术要求（0-1分）、项目特点（0-1分）的理解情况，根据其科学性、合理性进行打分。</w:t>
            </w:r>
          </w:p>
        </w:tc>
        <w:tc>
          <w:tcPr>
            <w:tcW w:w="810" w:type="dxa"/>
            <w:tcBorders>
              <w:top w:val="single" w:color="auto" w:sz="4" w:space="0"/>
              <w:left w:val="single" w:color="auto" w:sz="4" w:space="0"/>
              <w:bottom w:val="single" w:color="auto" w:sz="4" w:space="0"/>
              <w:right w:val="single" w:color="auto" w:sz="4" w:space="0"/>
            </w:tcBorders>
            <w:vAlign w:val="center"/>
          </w:tcPr>
          <w:p w14:paraId="26B6841B">
            <w:pPr>
              <w:spacing w:line="360" w:lineRule="auto"/>
              <w:jc w:val="center"/>
              <w:rPr>
                <w:rFonts w:ascii="宋体" w:hAnsi="宋体" w:cs="宋体"/>
                <w:sz w:val="24"/>
                <w:highlight w:val="none"/>
              </w:rPr>
            </w:pPr>
            <w:r>
              <w:rPr>
                <w:rFonts w:hint="eastAsia" w:ascii="宋体" w:hAnsi="宋体" w:cs="宋体"/>
                <w:sz w:val="24"/>
                <w:highlight w:val="none"/>
              </w:rPr>
              <w:t>3</w:t>
            </w:r>
          </w:p>
        </w:tc>
      </w:tr>
      <w:tr w14:paraId="7C72F9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3" w:hRule="atLeast"/>
        </w:trPr>
        <w:tc>
          <w:tcPr>
            <w:tcW w:w="838" w:type="dxa"/>
            <w:tcBorders>
              <w:top w:val="single" w:color="auto" w:sz="4" w:space="0"/>
              <w:left w:val="single" w:color="auto" w:sz="4" w:space="0"/>
              <w:bottom w:val="single" w:color="auto" w:sz="4" w:space="0"/>
              <w:right w:val="single" w:color="auto" w:sz="4" w:space="0"/>
            </w:tcBorders>
            <w:vAlign w:val="center"/>
          </w:tcPr>
          <w:p w14:paraId="1C1D9A2F">
            <w:pPr>
              <w:spacing w:line="360" w:lineRule="auto"/>
              <w:jc w:val="center"/>
              <w:rPr>
                <w:rFonts w:ascii="宋体" w:hAnsi="宋体" w:cs="宋体"/>
                <w:sz w:val="24"/>
                <w:highlight w:val="none"/>
              </w:rPr>
            </w:pPr>
            <w:r>
              <w:rPr>
                <w:rFonts w:hint="eastAsia" w:ascii="宋体" w:hAnsi="宋体" w:cs="宋体"/>
                <w:sz w:val="24"/>
                <w:highlight w:val="none"/>
              </w:rPr>
              <w:t>2</w:t>
            </w:r>
          </w:p>
        </w:tc>
        <w:tc>
          <w:tcPr>
            <w:tcW w:w="462" w:type="dxa"/>
            <w:vMerge w:val="continue"/>
            <w:tcBorders>
              <w:left w:val="single" w:color="auto" w:sz="4" w:space="0"/>
              <w:right w:val="single" w:color="auto" w:sz="4" w:space="0"/>
            </w:tcBorders>
            <w:vAlign w:val="center"/>
          </w:tcPr>
          <w:p w14:paraId="654FA51D">
            <w:pPr>
              <w:spacing w:line="360" w:lineRule="auto"/>
              <w:rPr>
                <w:rFonts w:ascii="宋体" w:hAnsi="宋体" w:cs="宋体"/>
                <w:sz w:val="24"/>
                <w:highlight w:val="none"/>
              </w:rPr>
            </w:pPr>
          </w:p>
        </w:tc>
        <w:tc>
          <w:tcPr>
            <w:tcW w:w="1637" w:type="dxa"/>
            <w:tcBorders>
              <w:top w:val="single" w:color="auto" w:sz="4" w:space="0"/>
              <w:left w:val="single" w:color="auto" w:sz="4" w:space="0"/>
              <w:bottom w:val="single" w:color="auto" w:sz="4" w:space="0"/>
              <w:right w:val="single" w:color="auto" w:sz="4" w:space="0"/>
            </w:tcBorders>
            <w:vAlign w:val="center"/>
          </w:tcPr>
          <w:p w14:paraId="2F7D4966">
            <w:pPr>
              <w:spacing w:line="360" w:lineRule="auto"/>
              <w:jc w:val="center"/>
              <w:rPr>
                <w:rFonts w:ascii="宋体" w:hAnsi="宋体" w:cs="宋体"/>
                <w:sz w:val="24"/>
                <w:highlight w:val="none"/>
              </w:rPr>
            </w:pPr>
            <w:r>
              <w:rPr>
                <w:rFonts w:hint="eastAsia" w:ascii="宋体" w:hAnsi="宋体" w:cs="宋体"/>
                <w:sz w:val="24"/>
                <w:highlight w:val="none"/>
              </w:rPr>
              <w:t>施工方案</w:t>
            </w:r>
          </w:p>
        </w:tc>
        <w:tc>
          <w:tcPr>
            <w:tcW w:w="6411" w:type="dxa"/>
            <w:tcBorders>
              <w:top w:val="single" w:color="auto" w:sz="4" w:space="0"/>
              <w:left w:val="single" w:color="auto" w:sz="4" w:space="0"/>
              <w:bottom w:val="single" w:color="auto" w:sz="4" w:space="0"/>
              <w:right w:val="single" w:color="auto" w:sz="4" w:space="0"/>
            </w:tcBorders>
            <w:vAlign w:val="center"/>
          </w:tcPr>
          <w:p w14:paraId="4F4AD832">
            <w:pPr>
              <w:spacing w:line="360" w:lineRule="auto"/>
              <w:rPr>
                <w:rFonts w:ascii="宋体" w:hAnsi="宋体" w:cs="宋体"/>
                <w:sz w:val="24"/>
                <w:highlight w:val="none"/>
              </w:rPr>
            </w:pPr>
            <w:r>
              <w:rPr>
                <w:rFonts w:hint="eastAsia" w:ascii="宋体" w:hAnsi="宋体" w:cs="宋体"/>
                <w:sz w:val="24"/>
                <w:highlight w:val="none"/>
              </w:rPr>
              <w:t>施工方案内容齐全、结构完整、表述准确、条理清晰程度，与需求的吻合程度（0-3分），是否涵盖本次工程实施有关的内容（0-3分），包括方案的先进性、可行性和扩展性，进行打分。</w:t>
            </w:r>
          </w:p>
        </w:tc>
        <w:tc>
          <w:tcPr>
            <w:tcW w:w="810" w:type="dxa"/>
            <w:tcBorders>
              <w:top w:val="single" w:color="auto" w:sz="4" w:space="0"/>
              <w:left w:val="single" w:color="auto" w:sz="4" w:space="0"/>
              <w:bottom w:val="single" w:color="auto" w:sz="4" w:space="0"/>
              <w:right w:val="single" w:color="auto" w:sz="4" w:space="0"/>
            </w:tcBorders>
            <w:vAlign w:val="center"/>
          </w:tcPr>
          <w:p w14:paraId="20613AB2">
            <w:pPr>
              <w:spacing w:line="360" w:lineRule="auto"/>
              <w:jc w:val="center"/>
              <w:rPr>
                <w:rFonts w:ascii="宋体" w:hAnsi="宋体" w:cs="宋体"/>
                <w:sz w:val="24"/>
                <w:highlight w:val="none"/>
              </w:rPr>
            </w:pPr>
            <w:r>
              <w:rPr>
                <w:rFonts w:hint="eastAsia" w:ascii="宋体" w:hAnsi="宋体" w:cs="宋体"/>
                <w:sz w:val="24"/>
                <w:highlight w:val="none"/>
              </w:rPr>
              <w:t>6</w:t>
            </w:r>
          </w:p>
        </w:tc>
      </w:tr>
      <w:tr w14:paraId="086334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8" w:type="dxa"/>
            <w:tcBorders>
              <w:top w:val="single" w:color="auto" w:sz="4" w:space="0"/>
              <w:left w:val="single" w:color="auto" w:sz="4" w:space="0"/>
              <w:bottom w:val="single" w:color="auto" w:sz="4" w:space="0"/>
              <w:right w:val="single" w:color="auto" w:sz="4" w:space="0"/>
            </w:tcBorders>
            <w:vAlign w:val="center"/>
          </w:tcPr>
          <w:p w14:paraId="566C92E1">
            <w:pPr>
              <w:spacing w:line="360" w:lineRule="auto"/>
              <w:jc w:val="center"/>
              <w:rPr>
                <w:rFonts w:ascii="宋体" w:hAnsi="宋体" w:cs="宋体"/>
                <w:sz w:val="24"/>
                <w:highlight w:val="none"/>
              </w:rPr>
            </w:pPr>
            <w:r>
              <w:rPr>
                <w:rFonts w:hint="eastAsia" w:ascii="宋体" w:hAnsi="宋体" w:cs="宋体"/>
                <w:sz w:val="24"/>
                <w:highlight w:val="none"/>
              </w:rPr>
              <w:t>3</w:t>
            </w:r>
          </w:p>
        </w:tc>
        <w:tc>
          <w:tcPr>
            <w:tcW w:w="462" w:type="dxa"/>
            <w:vMerge w:val="continue"/>
            <w:tcBorders>
              <w:left w:val="single" w:color="auto" w:sz="4" w:space="0"/>
              <w:right w:val="single" w:color="auto" w:sz="4" w:space="0"/>
            </w:tcBorders>
            <w:vAlign w:val="center"/>
          </w:tcPr>
          <w:p w14:paraId="3CCAF169">
            <w:pPr>
              <w:spacing w:line="360" w:lineRule="auto"/>
              <w:rPr>
                <w:rFonts w:ascii="宋体" w:hAnsi="宋体" w:cs="宋体"/>
                <w:sz w:val="24"/>
                <w:highlight w:val="none"/>
              </w:rPr>
            </w:pPr>
          </w:p>
        </w:tc>
        <w:tc>
          <w:tcPr>
            <w:tcW w:w="1637" w:type="dxa"/>
            <w:tcBorders>
              <w:top w:val="single" w:color="auto" w:sz="4" w:space="0"/>
              <w:left w:val="single" w:color="auto" w:sz="4" w:space="0"/>
              <w:bottom w:val="single" w:color="auto" w:sz="4" w:space="0"/>
              <w:right w:val="single" w:color="auto" w:sz="4" w:space="0"/>
            </w:tcBorders>
            <w:vAlign w:val="center"/>
          </w:tcPr>
          <w:p w14:paraId="293336D4">
            <w:pPr>
              <w:spacing w:line="360" w:lineRule="auto"/>
              <w:jc w:val="center"/>
              <w:rPr>
                <w:rFonts w:ascii="宋体" w:hAnsi="宋体" w:cs="宋体"/>
                <w:sz w:val="24"/>
                <w:highlight w:val="none"/>
              </w:rPr>
            </w:pPr>
            <w:r>
              <w:rPr>
                <w:rFonts w:hint="eastAsia" w:ascii="宋体" w:hAnsi="宋体" w:cs="宋体"/>
                <w:sz w:val="24"/>
                <w:highlight w:val="none"/>
              </w:rPr>
              <w:t>施工技术</w:t>
            </w:r>
          </w:p>
        </w:tc>
        <w:tc>
          <w:tcPr>
            <w:tcW w:w="6411" w:type="dxa"/>
            <w:tcBorders>
              <w:top w:val="single" w:color="auto" w:sz="4" w:space="0"/>
              <w:left w:val="single" w:color="auto" w:sz="4" w:space="0"/>
              <w:bottom w:val="single" w:color="auto" w:sz="4" w:space="0"/>
              <w:right w:val="single" w:color="auto" w:sz="4" w:space="0"/>
            </w:tcBorders>
            <w:vAlign w:val="center"/>
          </w:tcPr>
          <w:p w14:paraId="393CC090">
            <w:pPr>
              <w:spacing w:line="360" w:lineRule="auto"/>
              <w:rPr>
                <w:rFonts w:ascii="宋体" w:hAnsi="宋体" w:cs="宋体"/>
                <w:sz w:val="24"/>
                <w:highlight w:val="none"/>
              </w:rPr>
            </w:pPr>
            <w:r>
              <w:rPr>
                <w:rFonts w:hint="eastAsia" w:ascii="宋体" w:hAnsi="宋体" w:cs="宋体"/>
                <w:sz w:val="24"/>
                <w:highlight w:val="none"/>
              </w:rPr>
              <w:t>针对本项目施工环境需要采取的专门的施工技术内容是否科学合理且针对性强等进行打分。</w:t>
            </w:r>
          </w:p>
        </w:tc>
        <w:tc>
          <w:tcPr>
            <w:tcW w:w="810" w:type="dxa"/>
            <w:tcBorders>
              <w:top w:val="single" w:color="auto" w:sz="4" w:space="0"/>
              <w:left w:val="single" w:color="auto" w:sz="4" w:space="0"/>
              <w:bottom w:val="single" w:color="auto" w:sz="4" w:space="0"/>
              <w:right w:val="single" w:color="auto" w:sz="4" w:space="0"/>
            </w:tcBorders>
            <w:vAlign w:val="center"/>
          </w:tcPr>
          <w:p w14:paraId="660BECCC">
            <w:pPr>
              <w:spacing w:line="360" w:lineRule="auto"/>
              <w:jc w:val="center"/>
              <w:rPr>
                <w:rFonts w:ascii="宋体" w:hAnsi="宋体" w:cs="宋体"/>
                <w:sz w:val="24"/>
                <w:highlight w:val="none"/>
              </w:rPr>
            </w:pPr>
            <w:r>
              <w:rPr>
                <w:rFonts w:hint="eastAsia" w:ascii="宋体" w:hAnsi="宋体" w:cs="宋体"/>
                <w:sz w:val="24"/>
                <w:highlight w:val="none"/>
              </w:rPr>
              <w:t>5</w:t>
            </w:r>
          </w:p>
        </w:tc>
      </w:tr>
      <w:tr w14:paraId="2C2DF0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trPr>
        <w:tc>
          <w:tcPr>
            <w:tcW w:w="838" w:type="dxa"/>
            <w:tcBorders>
              <w:top w:val="single" w:color="auto" w:sz="4" w:space="0"/>
              <w:left w:val="single" w:color="auto" w:sz="4" w:space="0"/>
              <w:bottom w:val="single" w:color="auto" w:sz="4" w:space="0"/>
              <w:right w:val="single" w:color="auto" w:sz="4" w:space="0"/>
            </w:tcBorders>
            <w:vAlign w:val="center"/>
          </w:tcPr>
          <w:p w14:paraId="608D7CEB">
            <w:pPr>
              <w:spacing w:line="360" w:lineRule="auto"/>
              <w:jc w:val="center"/>
              <w:rPr>
                <w:rFonts w:ascii="宋体" w:hAnsi="宋体" w:cs="宋体"/>
                <w:sz w:val="24"/>
                <w:highlight w:val="none"/>
              </w:rPr>
            </w:pPr>
            <w:r>
              <w:rPr>
                <w:rFonts w:hint="eastAsia" w:ascii="宋体" w:hAnsi="宋体" w:cs="宋体"/>
                <w:sz w:val="24"/>
                <w:highlight w:val="none"/>
              </w:rPr>
              <w:t>4</w:t>
            </w:r>
          </w:p>
        </w:tc>
        <w:tc>
          <w:tcPr>
            <w:tcW w:w="462" w:type="dxa"/>
            <w:vMerge w:val="continue"/>
            <w:tcBorders>
              <w:left w:val="single" w:color="auto" w:sz="4" w:space="0"/>
              <w:right w:val="single" w:color="auto" w:sz="4" w:space="0"/>
            </w:tcBorders>
            <w:vAlign w:val="center"/>
          </w:tcPr>
          <w:p w14:paraId="027C8A04">
            <w:pPr>
              <w:spacing w:line="360" w:lineRule="auto"/>
              <w:rPr>
                <w:rFonts w:ascii="宋体" w:hAnsi="宋体" w:cs="宋体"/>
                <w:sz w:val="24"/>
                <w:highlight w:val="none"/>
              </w:rPr>
            </w:pPr>
          </w:p>
        </w:tc>
        <w:tc>
          <w:tcPr>
            <w:tcW w:w="1637" w:type="dxa"/>
            <w:tcBorders>
              <w:top w:val="single" w:color="auto" w:sz="4" w:space="0"/>
              <w:left w:val="single" w:color="auto" w:sz="4" w:space="0"/>
              <w:bottom w:val="single" w:color="auto" w:sz="4" w:space="0"/>
              <w:right w:val="single" w:color="auto" w:sz="4" w:space="0"/>
            </w:tcBorders>
            <w:vAlign w:val="center"/>
          </w:tcPr>
          <w:p w14:paraId="169B12B8">
            <w:pPr>
              <w:spacing w:line="360" w:lineRule="auto"/>
              <w:jc w:val="center"/>
              <w:rPr>
                <w:rFonts w:ascii="宋体" w:hAnsi="宋体" w:cs="宋体"/>
                <w:sz w:val="24"/>
                <w:highlight w:val="none"/>
              </w:rPr>
            </w:pPr>
            <w:r>
              <w:rPr>
                <w:rFonts w:hint="eastAsia" w:ascii="宋体" w:hAnsi="宋体" w:cs="宋体"/>
                <w:sz w:val="24"/>
                <w:highlight w:val="none"/>
              </w:rPr>
              <w:t>施工进度</w:t>
            </w:r>
          </w:p>
        </w:tc>
        <w:tc>
          <w:tcPr>
            <w:tcW w:w="6411" w:type="dxa"/>
            <w:tcBorders>
              <w:top w:val="single" w:color="auto" w:sz="4" w:space="0"/>
              <w:left w:val="single" w:color="auto" w:sz="4" w:space="0"/>
              <w:bottom w:val="single" w:color="auto" w:sz="4" w:space="0"/>
              <w:right w:val="single" w:color="auto" w:sz="4" w:space="0"/>
            </w:tcBorders>
            <w:vAlign w:val="center"/>
          </w:tcPr>
          <w:p w14:paraId="22BB5F5B">
            <w:pPr>
              <w:spacing w:line="360" w:lineRule="auto"/>
              <w:rPr>
                <w:rFonts w:ascii="宋体" w:hAnsi="宋体" w:cs="宋体"/>
                <w:sz w:val="24"/>
                <w:highlight w:val="none"/>
              </w:rPr>
            </w:pPr>
            <w:r>
              <w:rPr>
                <w:rFonts w:hint="eastAsia" w:ascii="宋体" w:hAnsi="宋体" w:cs="宋体"/>
                <w:sz w:val="24"/>
                <w:highlight w:val="none"/>
              </w:rPr>
              <w:t>根据项目工期要求，施工进度安排合理、准确（0-1分），关键节点的控制措施（0-1分）进行打分。</w:t>
            </w:r>
          </w:p>
        </w:tc>
        <w:tc>
          <w:tcPr>
            <w:tcW w:w="810" w:type="dxa"/>
            <w:tcBorders>
              <w:top w:val="single" w:color="auto" w:sz="4" w:space="0"/>
              <w:left w:val="single" w:color="auto" w:sz="4" w:space="0"/>
              <w:bottom w:val="single" w:color="auto" w:sz="4" w:space="0"/>
              <w:right w:val="single" w:color="auto" w:sz="4" w:space="0"/>
            </w:tcBorders>
            <w:vAlign w:val="center"/>
          </w:tcPr>
          <w:p w14:paraId="34B766FE">
            <w:pPr>
              <w:spacing w:line="360" w:lineRule="auto"/>
              <w:jc w:val="center"/>
              <w:rPr>
                <w:rFonts w:ascii="宋体" w:hAnsi="宋体" w:cs="宋体"/>
                <w:sz w:val="24"/>
                <w:highlight w:val="none"/>
              </w:rPr>
            </w:pPr>
            <w:r>
              <w:rPr>
                <w:rFonts w:hint="eastAsia" w:ascii="宋体" w:hAnsi="宋体" w:cs="宋体"/>
                <w:sz w:val="24"/>
                <w:highlight w:val="none"/>
              </w:rPr>
              <w:t>2</w:t>
            </w:r>
          </w:p>
        </w:tc>
      </w:tr>
      <w:tr w14:paraId="247997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trPr>
        <w:tc>
          <w:tcPr>
            <w:tcW w:w="838" w:type="dxa"/>
            <w:tcBorders>
              <w:top w:val="single" w:color="auto" w:sz="4" w:space="0"/>
              <w:left w:val="single" w:color="auto" w:sz="4" w:space="0"/>
              <w:bottom w:val="single" w:color="auto" w:sz="4" w:space="0"/>
              <w:right w:val="single" w:color="auto" w:sz="4" w:space="0"/>
            </w:tcBorders>
            <w:vAlign w:val="center"/>
          </w:tcPr>
          <w:p w14:paraId="4CC1B646">
            <w:pPr>
              <w:spacing w:line="360" w:lineRule="auto"/>
              <w:jc w:val="center"/>
              <w:rPr>
                <w:rFonts w:ascii="宋体" w:hAnsi="宋体" w:cs="宋体"/>
                <w:sz w:val="24"/>
                <w:highlight w:val="none"/>
              </w:rPr>
            </w:pPr>
            <w:r>
              <w:rPr>
                <w:rFonts w:hint="eastAsia" w:ascii="宋体" w:hAnsi="宋体" w:cs="宋体"/>
                <w:sz w:val="24"/>
                <w:highlight w:val="none"/>
              </w:rPr>
              <w:t>5</w:t>
            </w:r>
          </w:p>
        </w:tc>
        <w:tc>
          <w:tcPr>
            <w:tcW w:w="462" w:type="dxa"/>
            <w:vMerge w:val="continue"/>
            <w:tcBorders>
              <w:left w:val="single" w:color="auto" w:sz="4" w:space="0"/>
              <w:right w:val="single" w:color="auto" w:sz="4" w:space="0"/>
            </w:tcBorders>
            <w:vAlign w:val="center"/>
          </w:tcPr>
          <w:p w14:paraId="2041D5DE">
            <w:pPr>
              <w:spacing w:line="360" w:lineRule="auto"/>
              <w:rPr>
                <w:rFonts w:ascii="宋体" w:hAnsi="宋体" w:cs="宋体"/>
                <w:sz w:val="24"/>
                <w:highlight w:val="none"/>
              </w:rPr>
            </w:pPr>
          </w:p>
        </w:tc>
        <w:tc>
          <w:tcPr>
            <w:tcW w:w="1637" w:type="dxa"/>
            <w:tcBorders>
              <w:top w:val="single" w:color="auto" w:sz="4" w:space="0"/>
              <w:left w:val="single" w:color="auto" w:sz="4" w:space="0"/>
              <w:bottom w:val="single" w:color="auto" w:sz="4" w:space="0"/>
              <w:right w:val="single" w:color="auto" w:sz="4" w:space="0"/>
            </w:tcBorders>
            <w:vAlign w:val="center"/>
          </w:tcPr>
          <w:p w14:paraId="1D5640EE">
            <w:pPr>
              <w:widowControl/>
              <w:spacing w:line="360" w:lineRule="auto"/>
              <w:jc w:val="center"/>
              <w:textAlignment w:val="center"/>
              <w:rPr>
                <w:rFonts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安全生产</w:t>
            </w:r>
          </w:p>
          <w:p w14:paraId="08345659">
            <w:pPr>
              <w:widowControl/>
              <w:spacing w:line="360" w:lineRule="auto"/>
              <w:jc w:val="center"/>
              <w:textAlignment w:val="center"/>
              <w:rPr>
                <w:rFonts w:ascii="宋体" w:hAnsi="宋体" w:cs="宋体"/>
                <w:sz w:val="24"/>
                <w:highlight w:val="none"/>
              </w:rPr>
            </w:pPr>
            <w:r>
              <w:rPr>
                <w:rFonts w:hint="eastAsia" w:asciiTheme="minorEastAsia" w:hAnsiTheme="minorEastAsia" w:eastAsiaTheme="minorEastAsia" w:cstheme="minorEastAsia"/>
                <w:kern w:val="0"/>
                <w:sz w:val="24"/>
                <w:highlight w:val="none"/>
              </w:rPr>
              <w:t>应急预案</w:t>
            </w:r>
          </w:p>
        </w:tc>
        <w:tc>
          <w:tcPr>
            <w:tcW w:w="6411" w:type="dxa"/>
            <w:tcBorders>
              <w:top w:val="single" w:color="auto" w:sz="4" w:space="0"/>
              <w:left w:val="single" w:color="auto" w:sz="4" w:space="0"/>
              <w:bottom w:val="single" w:color="auto" w:sz="4" w:space="0"/>
              <w:right w:val="single" w:color="auto" w:sz="4" w:space="0"/>
            </w:tcBorders>
            <w:vAlign w:val="center"/>
          </w:tcPr>
          <w:p w14:paraId="1330B02D">
            <w:pPr>
              <w:widowControl/>
              <w:spacing w:line="360" w:lineRule="auto"/>
              <w:textAlignment w:val="center"/>
              <w:rPr>
                <w:rFonts w:ascii="宋体" w:hAnsi="宋体" w:cs="宋体"/>
                <w:sz w:val="24"/>
                <w:highlight w:val="none"/>
              </w:rPr>
            </w:pPr>
            <w:r>
              <w:rPr>
                <w:rFonts w:hint="eastAsia" w:asciiTheme="minorEastAsia" w:hAnsiTheme="minorEastAsia" w:eastAsiaTheme="minorEastAsia" w:cstheme="minorEastAsia"/>
                <w:sz w:val="24"/>
                <w:highlight w:val="none"/>
              </w:rPr>
              <w:t>根据</w:t>
            </w:r>
            <w:r>
              <w:rPr>
                <w:rFonts w:hint="eastAsia" w:ascii="宋体" w:hAnsi="宋体" w:cs="宋体"/>
                <w:sz w:val="24"/>
                <w:highlight w:val="none"/>
              </w:rPr>
              <w:t>磋商响应方</w:t>
            </w:r>
            <w:r>
              <w:rPr>
                <w:rFonts w:hint="eastAsia" w:asciiTheme="minorEastAsia" w:hAnsiTheme="minorEastAsia" w:eastAsiaTheme="minorEastAsia" w:cstheme="minorEastAsia"/>
                <w:sz w:val="24"/>
                <w:highlight w:val="none"/>
              </w:rPr>
              <w:t>的应急预案措施全面性、合理性及可行性等内容进行打分。</w:t>
            </w:r>
          </w:p>
        </w:tc>
        <w:tc>
          <w:tcPr>
            <w:tcW w:w="810" w:type="dxa"/>
            <w:tcBorders>
              <w:top w:val="single" w:color="auto" w:sz="4" w:space="0"/>
              <w:left w:val="single" w:color="auto" w:sz="4" w:space="0"/>
              <w:bottom w:val="single" w:color="auto" w:sz="4" w:space="0"/>
              <w:right w:val="single" w:color="auto" w:sz="4" w:space="0"/>
            </w:tcBorders>
            <w:vAlign w:val="center"/>
          </w:tcPr>
          <w:p w14:paraId="0BE81A3D">
            <w:pPr>
              <w:spacing w:line="360" w:lineRule="auto"/>
              <w:jc w:val="center"/>
              <w:rPr>
                <w:rFonts w:ascii="宋体" w:hAnsi="宋体" w:cs="宋体"/>
                <w:sz w:val="24"/>
                <w:highlight w:val="none"/>
              </w:rPr>
            </w:pPr>
            <w:r>
              <w:rPr>
                <w:rFonts w:hint="eastAsia" w:ascii="宋体" w:hAnsi="宋体" w:cs="宋体"/>
                <w:sz w:val="24"/>
                <w:highlight w:val="none"/>
              </w:rPr>
              <w:t>2</w:t>
            </w:r>
          </w:p>
        </w:tc>
      </w:tr>
      <w:tr w14:paraId="70D64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3" w:hRule="atLeast"/>
        </w:trPr>
        <w:tc>
          <w:tcPr>
            <w:tcW w:w="838" w:type="dxa"/>
            <w:tcBorders>
              <w:top w:val="single" w:color="auto" w:sz="4" w:space="0"/>
              <w:left w:val="single" w:color="auto" w:sz="4" w:space="0"/>
              <w:bottom w:val="single" w:color="auto" w:sz="4" w:space="0"/>
              <w:right w:val="single" w:color="auto" w:sz="4" w:space="0"/>
            </w:tcBorders>
            <w:vAlign w:val="center"/>
          </w:tcPr>
          <w:p w14:paraId="1D58959A">
            <w:pPr>
              <w:spacing w:line="360" w:lineRule="auto"/>
              <w:jc w:val="center"/>
              <w:rPr>
                <w:rFonts w:ascii="宋体" w:hAnsi="宋体" w:cs="宋体"/>
                <w:sz w:val="24"/>
                <w:highlight w:val="none"/>
              </w:rPr>
            </w:pPr>
            <w:r>
              <w:rPr>
                <w:rFonts w:hint="eastAsia" w:ascii="宋体" w:hAnsi="宋体" w:cs="宋体"/>
                <w:sz w:val="24"/>
                <w:highlight w:val="none"/>
              </w:rPr>
              <w:t>6</w:t>
            </w:r>
          </w:p>
        </w:tc>
        <w:tc>
          <w:tcPr>
            <w:tcW w:w="462" w:type="dxa"/>
            <w:vMerge w:val="continue"/>
            <w:tcBorders>
              <w:left w:val="single" w:color="auto" w:sz="4" w:space="0"/>
              <w:right w:val="single" w:color="auto" w:sz="4" w:space="0"/>
            </w:tcBorders>
            <w:vAlign w:val="center"/>
          </w:tcPr>
          <w:p w14:paraId="3F2C9D86">
            <w:pPr>
              <w:spacing w:line="360" w:lineRule="auto"/>
              <w:rPr>
                <w:rFonts w:ascii="宋体" w:hAnsi="宋体" w:cs="宋体"/>
                <w:sz w:val="24"/>
                <w:highlight w:val="none"/>
              </w:rPr>
            </w:pPr>
          </w:p>
        </w:tc>
        <w:tc>
          <w:tcPr>
            <w:tcW w:w="1637" w:type="dxa"/>
            <w:tcBorders>
              <w:top w:val="single" w:color="auto" w:sz="4" w:space="0"/>
              <w:left w:val="single" w:color="auto" w:sz="4" w:space="0"/>
              <w:bottom w:val="single" w:color="auto" w:sz="4" w:space="0"/>
              <w:right w:val="single" w:color="auto" w:sz="4" w:space="0"/>
            </w:tcBorders>
            <w:vAlign w:val="center"/>
          </w:tcPr>
          <w:p w14:paraId="1993AE9C">
            <w:pPr>
              <w:spacing w:line="360" w:lineRule="auto"/>
              <w:jc w:val="center"/>
              <w:rPr>
                <w:rFonts w:ascii="宋体" w:hAnsi="宋体" w:cs="宋体"/>
                <w:sz w:val="24"/>
                <w:highlight w:val="none"/>
              </w:rPr>
            </w:pPr>
            <w:r>
              <w:rPr>
                <w:rFonts w:hint="eastAsia" w:ascii="宋体" w:hAnsi="宋体" w:cs="宋体"/>
                <w:sz w:val="24"/>
                <w:highlight w:val="none"/>
              </w:rPr>
              <w:t>质量保障</w:t>
            </w:r>
          </w:p>
        </w:tc>
        <w:tc>
          <w:tcPr>
            <w:tcW w:w="6411" w:type="dxa"/>
            <w:tcBorders>
              <w:top w:val="single" w:color="auto" w:sz="4" w:space="0"/>
              <w:left w:val="single" w:color="auto" w:sz="4" w:space="0"/>
              <w:bottom w:val="single" w:color="auto" w:sz="4" w:space="0"/>
              <w:right w:val="single" w:color="auto" w:sz="4" w:space="0"/>
            </w:tcBorders>
            <w:vAlign w:val="center"/>
          </w:tcPr>
          <w:p w14:paraId="0BF5E51E">
            <w:pPr>
              <w:spacing w:line="360" w:lineRule="auto"/>
              <w:rPr>
                <w:rFonts w:ascii="宋体" w:hAnsi="宋体" w:cs="宋体"/>
                <w:sz w:val="24"/>
                <w:highlight w:val="none"/>
              </w:rPr>
            </w:pPr>
            <w:r>
              <w:rPr>
                <w:rFonts w:hint="eastAsia" w:ascii="宋体" w:hAnsi="宋体" w:cs="宋体"/>
                <w:sz w:val="24"/>
                <w:highlight w:val="none"/>
              </w:rPr>
              <w:t>施工质量目标明确（0-2分），质量控制措施（0-2分）科学、合理、有技术支撑进行打分。</w:t>
            </w:r>
          </w:p>
        </w:tc>
        <w:tc>
          <w:tcPr>
            <w:tcW w:w="810" w:type="dxa"/>
            <w:tcBorders>
              <w:top w:val="single" w:color="auto" w:sz="4" w:space="0"/>
              <w:left w:val="single" w:color="auto" w:sz="4" w:space="0"/>
              <w:bottom w:val="single" w:color="auto" w:sz="4" w:space="0"/>
              <w:right w:val="single" w:color="auto" w:sz="4" w:space="0"/>
            </w:tcBorders>
            <w:vAlign w:val="center"/>
          </w:tcPr>
          <w:p w14:paraId="1079C4F2">
            <w:pPr>
              <w:spacing w:line="360" w:lineRule="auto"/>
              <w:jc w:val="center"/>
              <w:rPr>
                <w:rFonts w:ascii="宋体" w:hAnsi="宋体" w:cs="宋体"/>
                <w:sz w:val="24"/>
                <w:highlight w:val="none"/>
              </w:rPr>
            </w:pPr>
            <w:r>
              <w:rPr>
                <w:rFonts w:hint="eastAsia" w:ascii="宋体" w:hAnsi="宋体" w:cs="宋体"/>
                <w:sz w:val="24"/>
                <w:highlight w:val="none"/>
              </w:rPr>
              <w:t>4</w:t>
            </w:r>
          </w:p>
        </w:tc>
      </w:tr>
      <w:tr w14:paraId="114F24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838" w:type="dxa"/>
            <w:tcBorders>
              <w:top w:val="single" w:color="auto" w:sz="4" w:space="0"/>
              <w:left w:val="single" w:color="auto" w:sz="4" w:space="0"/>
              <w:bottom w:val="single" w:color="auto" w:sz="4" w:space="0"/>
              <w:right w:val="single" w:color="auto" w:sz="4" w:space="0"/>
            </w:tcBorders>
            <w:vAlign w:val="center"/>
          </w:tcPr>
          <w:p w14:paraId="675AA3EA">
            <w:pPr>
              <w:spacing w:line="360" w:lineRule="auto"/>
              <w:jc w:val="center"/>
              <w:rPr>
                <w:rFonts w:ascii="宋体" w:hAnsi="宋体" w:cs="宋体"/>
                <w:sz w:val="24"/>
                <w:highlight w:val="none"/>
              </w:rPr>
            </w:pPr>
            <w:r>
              <w:rPr>
                <w:rFonts w:hint="eastAsia" w:ascii="宋体" w:hAnsi="宋体" w:cs="宋体"/>
                <w:sz w:val="24"/>
                <w:highlight w:val="none"/>
              </w:rPr>
              <w:t>7</w:t>
            </w:r>
          </w:p>
        </w:tc>
        <w:tc>
          <w:tcPr>
            <w:tcW w:w="462" w:type="dxa"/>
            <w:vMerge w:val="continue"/>
            <w:tcBorders>
              <w:left w:val="single" w:color="auto" w:sz="4" w:space="0"/>
              <w:right w:val="single" w:color="auto" w:sz="4" w:space="0"/>
            </w:tcBorders>
            <w:vAlign w:val="center"/>
          </w:tcPr>
          <w:p w14:paraId="08303697">
            <w:pPr>
              <w:spacing w:line="360" w:lineRule="auto"/>
              <w:rPr>
                <w:rFonts w:ascii="宋体" w:hAnsi="宋体" w:cs="宋体"/>
                <w:sz w:val="24"/>
                <w:highlight w:val="none"/>
              </w:rPr>
            </w:pPr>
          </w:p>
        </w:tc>
        <w:tc>
          <w:tcPr>
            <w:tcW w:w="1637" w:type="dxa"/>
            <w:vMerge w:val="restart"/>
            <w:tcBorders>
              <w:top w:val="single" w:color="auto" w:sz="4" w:space="0"/>
              <w:left w:val="single" w:color="auto" w:sz="4" w:space="0"/>
              <w:right w:val="single" w:color="auto" w:sz="4" w:space="0"/>
            </w:tcBorders>
            <w:vAlign w:val="center"/>
          </w:tcPr>
          <w:p w14:paraId="1E3DC13E">
            <w:pPr>
              <w:spacing w:line="360" w:lineRule="auto"/>
              <w:jc w:val="center"/>
              <w:rPr>
                <w:rFonts w:ascii="宋体" w:hAnsi="宋体" w:cs="宋体"/>
                <w:sz w:val="24"/>
                <w:highlight w:val="none"/>
              </w:rPr>
            </w:pPr>
            <w:r>
              <w:rPr>
                <w:rFonts w:hint="eastAsia" w:ascii="宋体" w:hAnsi="宋体" w:cs="宋体"/>
                <w:sz w:val="24"/>
                <w:highlight w:val="none"/>
              </w:rPr>
              <w:t>安全、文明施工等的保证措施</w:t>
            </w:r>
          </w:p>
        </w:tc>
        <w:tc>
          <w:tcPr>
            <w:tcW w:w="6411" w:type="dxa"/>
            <w:tcBorders>
              <w:top w:val="single" w:color="auto" w:sz="4" w:space="0"/>
              <w:left w:val="single" w:color="auto" w:sz="4" w:space="0"/>
              <w:bottom w:val="single" w:color="auto" w:sz="4" w:space="0"/>
              <w:right w:val="single" w:color="auto" w:sz="4" w:space="0"/>
            </w:tcBorders>
            <w:vAlign w:val="center"/>
          </w:tcPr>
          <w:p w14:paraId="532CAF6B">
            <w:pPr>
              <w:spacing w:line="360" w:lineRule="auto"/>
              <w:rPr>
                <w:rFonts w:ascii="宋体" w:hAnsi="宋体" w:cs="宋体"/>
                <w:sz w:val="24"/>
                <w:highlight w:val="none"/>
              </w:rPr>
            </w:pPr>
            <w:r>
              <w:rPr>
                <w:rFonts w:hint="eastAsia" w:ascii="宋体" w:hAnsi="宋体" w:cs="宋体"/>
                <w:sz w:val="24"/>
                <w:highlight w:val="none"/>
              </w:rPr>
              <w:t>根据安全、文明施工及市政、市容、环保、消防的保证措施，并具有详细可行的实施内容，进行打分。</w:t>
            </w:r>
          </w:p>
        </w:tc>
        <w:tc>
          <w:tcPr>
            <w:tcW w:w="810" w:type="dxa"/>
            <w:tcBorders>
              <w:top w:val="single" w:color="auto" w:sz="4" w:space="0"/>
              <w:left w:val="single" w:color="auto" w:sz="4" w:space="0"/>
              <w:bottom w:val="single" w:color="auto" w:sz="4" w:space="0"/>
              <w:right w:val="single" w:color="auto" w:sz="4" w:space="0"/>
            </w:tcBorders>
            <w:vAlign w:val="center"/>
          </w:tcPr>
          <w:p w14:paraId="07C833C9">
            <w:pPr>
              <w:spacing w:line="360" w:lineRule="auto"/>
              <w:jc w:val="center"/>
              <w:rPr>
                <w:rFonts w:ascii="宋体" w:hAnsi="宋体" w:cs="宋体"/>
                <w:sz w:val="24"/>
                <w:highlight w:val="none"/>
              </w:rPr>
            </w:pPr>
            <w:r>
              <w:rPr>
                <w:rFonts w:hint="eastAsia" w:ascii="宋体" w:hAnsi="宋体" w:cs="宋体"/>
                <w:sz w:val="24"/>
                <w:highlight w:val="none"/>
              </w:rPr>
              <w:t>2</w:t>
            </w:r>
          </w:p>
        </w:tc>
      </w:tr>
      <w:tr w14:paraId="79CE06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838" w:type="dxa"/>
            <w:tcBorders>
              <w:top w:val="single" w:color="auto" w:sz="4" w:space="0"/>
              <w:left w:val="single" w:color="auto" w:sz="4" w:space="0"/>
              <w:bottom w:val="single" w:color="auto" w:sz="4" w:space="0"/>
              <w:right w:val="single" w:color="auto" w:sz="4" w:space="0"/>
            </w:tcBorders>
            <w:vAlign w:val="center"/>
          </w:tcPr>
          <w:p w14:paraId="193211FC">
            <w:pPr>
              <w:spacing w:line="360" w:lineRule="auto"/>
              <w:jc w:val="center"/>
              <w:rPr>
                <w:rFonts w:ascii="宋体" w:hAnsi="宋体" w:cs="宋体"/>
                <w:sz w:val="24"/>
                <w:highlight w:val="none"/>
              </w:rPr>
            </w:pPr>
            <w:r>
              <w:rPr>
                <w:rFonts w:hint="eastAsia" w:ascii="宋体" w:hAnsi="宋体" w:cs="宋体"/>
                <w:sz w:val="24"/>
                <w:highlight w:val="none"/>
              </w:rPr>
              <w:t>8</w:t>
            </w:r>
          </w:p>
        </w:tc>
        <w:tc>
          <w:tcPr>
            <w:tcW w:w="462" w:type="dxa"/>
            <w:vMerge w:val="continue"/>
            <w:tcBorders>
              <w:left w:val="single" w:color="auto" w:sz="4" w:space="0"/>
              <w:right w:val="single" w:color="auto" w:sz="4" w:space="0"/>
            </w:tcBorders>
            <w:vAlign w:val="center"/>
          </w:tcPr>
          <w:p w14:paraId="514FAFC2">
            <w:pPr>
              <w:spacing w:line="360" w:lineRule="auto"/>
              <w:rPr>
                <w:rFonts w:ascii="宋体" w:hAnsi="宋体" w:cs="宋体"/>
                <w:sz w:val="24"/>
                <w:highlight w:val="none"/>
              </w:rPr>
            </w:pPr>
          </w:p>
        </w:tc>
        <w:tc>
          <w:tcPr>
            <w:tcW w:w="1637" w:type="dxa"/>
            <w:vMerge w:val="continue"/>
            <w:tcBorders>
              <w:left w:val="single" w:color="auto" w:sz="4" w:space="0"/>
              <w:bottom w:val="single" w:color="auto" w:sz="4" w:space="0"/>
              <w:right w:val="single" w:color="auto" w:sz="4" w:space="0"/>
            </w:tcBorders>
            <w:vAlign w:val="center"/>
          </w:tcPr>
          <w:p w14:paraId="59FFD3A5">
            <w:pPr>
              <w:spacing w:line="360" w:lineRule="auto"/>
              <w:jc w:val="center"/>
              <w:rPr>
                <w:rFonts w:ascii="宋体" w:hAnsi="宋体" w:cs="宋体"/>
                <w:sz w:val="24"/>
                <w:highlight w:val="none"/>
              </w:rPr>
            </w:pPr>
          </w:p>
        </w:tc>
        <w:tc>
          <w:tcPr>
            <w:tcW w:w="6411" w:type="dxa"/>
            <w:tcBorders>
              <w:top w:val="single" w:color="auto" w:sz="4" w:space="0"/>
              <w:left w:val="single" w:color="auto" w:sz="4" w:space="0"/>
              <w:bottom w:val="single" w:color="auto" w:sz="4" w:space="0"/>
              <w:right w:val="single" w:color="auto" w:sz="4" w:space="0"/>
            </w:tcBorders>
            <w:vAlign w:val="center"/>
          </w:tcPr>
          <w:p w14:paraId="45BBA906">
            <w:pPr>
              <w:spacing w:line="360" w:lineRule="auto"/>
              <w:rPr>
                <w:rFonts w:ascii="宋体" w:hAnsi="宋体" w:cs="宋体"/>
                <w:sz w:val="24"/>
                <w:highlight w:val="none"/>
              </w:rPr>
            </w:pPr>
            <w:r>
              <w:rPr>
                <w:rFonts w:hint="eastAsia" w:ascii="宋体" w:hAnsi="宋体" w:cs="宋体"/>
                <w:sz w:val="24"/>
                <w:highlight w:val="none"/>
              </w:rPr>
              <w:t>根据施工场地周边情况对扬尘治理、垃圾清运、人员管理、降噪等措施进行打分。</w:t>
            </w:r>
          </w:p>
        </w:tc>
        <w:tc>
          <w:tcPr>
            <w:tcW w:w="810" w:type="dxa"/>
            <w:tcBorders>
              <w:top w:val="single" w:color="auto" w:sz="4" w:space="0"/>
              <w:left w:val="single" w:color="auto" w:sz="4" w:space="0"/>
              <w:bottom w:val="single" w:color="auto" w:sz="4" w:space="0"/>
              <w:right w:val="single" w:color="auto" w:sz="4" w:space="0"/>
            </w:tcBorders>
            <w:vAlign w:val="center"/>
          </w:tcPr>
          <w:p w14:paraId="4CD8B18A">
            <w:pPr>
              <w:spacing w:line="360" w:lineRule="auto"/>
              <w:jc w:val="center"/>
              <w:rPr>
                <w:rFonts w:ascii="宋体" w:hAnsi="宋体" w:cs="宋体"/>
                <w:sz w:val="24"/>
                <w:highlight w:val="none"/>
              </w:rPr>
            </w:pPr>
            <w:r>
              <w:rPr>
                <w:rFonts w:hint="eastAsia" w:ascii="宋体" w:hAnsi="宋体" w:cs="宋体"/>
                <w:sz w:val="24"/>
                <w:highlight w:val="none"/>
              </w:rPr>
              <w:t>2</w:t>
            </w:r>
          </w:p>
        </w:tc>
      </w:tr>
      <w:tr w14:paraId="491298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8" w:type="dxa"/>
            <w:tcBorders>
              <w:top w:val="single" w:color="auto" w:sz="4" w:space="0"/>
              <w:left w:val="single" w:color="auto" w:sz="4" w:space="0"/>
              <w:bottom w:val="single" w:color="auto" w:sz="4" w:space="0"/>
              <w:right w:val="single" w:color="auto" w:sz="4" w:space="0"/>
            </w:tcBorders>
            <w:vAlign w:val="center"/>
          </w:tcPr>
          <w:p w14:paraId="3D4CFC38">
            <w:pPr>
              <w:spacing w:line="360" w:lineRule="auto"/>
              <w:jc w:val="center"/>
              <w:rPr>
                <w:rFonts w:ascii="宋体" w:hAnsi="宋体" w:cs="宋体"/>
                <w:sz w:val="24"/>
                <w:highlight w:val="none"/>
              </w:rPr>
            </w:pPr>
            <w:r>
              <w:rPr>
                <w:rFonts w:hint="eastAsia" w:ascii="宋体" w:hAnsi="宋体" w:cs="宋体"/>
                <w:sz w:val="24"/>
                <w:highlight w:val="none"/>
              </w:rPr>
              <w:t>9</w:t>
            </w:r>
          </w:p>
        </w:tc>
        <w:tc>
          <w:tcPr>
            <w:tcW w:w="462" w:type="dxa"/>
            <w:vMerge w:val="continue"/>
            <w:tcBorders>
              <w:left w:val="single" w:color="auto" w:sz="4" w:space="0"/>
              <w:right w:val="single" w:color="auto" w:sz="4" w:space="0"/>
            </w:tcBorders>
            <w:vAlign w:val="center"/>
          </w:tcPr>
          <w:p w14:paraId="6AD58025">
            <w:pPr>
              <w:spacing w:line="360" w:lineRule="auto"/>
              <w:rPr>
                <w:rFonts w:ascii="宋体" w:hAnsi="宋体" w:cs="宋体"/>
                <w:sz w:val="24"/>
                <w:highlight w:val="none"/>
              </w:rPr>
            </w:pPr>
          </w:p>
        </w:tc>
        <w:tc>
          <w:tcPr>
            <w:tcW w:w="1637" w:type="dxa"/>
            <w:tcBorders>
              <w:top w:val="single" w:color="auto" w:sz="4" w:space="0"/>
              <w:left w:val="single" w:color="auto" w:sz="4" w:space="0"/>
              <w:bottom w:val="single" w:color="auto" w:sz="4" w:space="0"/>
              <w:right w:val="single" w:color="auto" w:sz="4" w:space="0"/>
            </w:tcBorders>
            <w:vAlign w:val="center"/>
          </w:tcPr>
          <w:p w14:paraId="450309FF">
            <w:pPr>
              <w:spacing w:line="360" w:lineRule="auto"/>
              <w:jc w:val="center"/>
              <w:rPr>
                <w:rFonts w:ascii="宋体" w:hAnsi="宋体" w:cs="宋体"/>
                <w:sz w:val="24"/>
                <w:highlight w:val="none"/>
              </w:rPr>
            </w:pPr>
            <w:r>
              <w:rPr>
                <w:rFonts w:hint="eastAsia" w:ascii="宋体" w:hAnsi="宋体" w:cs="宋体"/>
                <w:sz w:val="24"/>
                <w:highlight w:val="none"/>
              </w:rPr>
              <w:t>施工机具</w:t>
            </w:r>
          </w:p>
          <w:p w14:paraId="7AFD895E">
            <w:pPr>
              <w:spacing w:line="360" w:lineRule="auto"/>
              <w:jc w:val="center"/>
              <w:rPr>
                <w:rFonts w:ascii="宋体" w:hAnsi="宋体" w:cs="宋体"/>
                <w:sz w:val="24"/>
                <w:highlight w:val="none"/>
              </w:rPr>
            </w:pPr>
            <w:r>
              <w:rPr>
                <w:rFonts w:hint="eastAsia" w:ascii="宋体" w:hAnsi="宋体" w:cs="宋体"/>
                <w:sz w:val="24"/>
                <w:highlight w:val="none"/>
              </w:rPr>
              <w:t>设备</w:t>
            </w:r>
          </w:p>
        </w:tc>
        <w:tc>
          <w:tcPr>
            <w:tcW w:w="6411" w:type="dxa"/>
            <w:tcBorders>
              <w:top w:val="single" w:color="auto" w:sz="4" w:space="0"/>
              <w:left w:val="single" w:color="auto" w:sz="4" w:space="0"/>
              <w:bottom w:val="single" w:color="auto" w:sz="4" w:space="0"/>
              <w:right w:val="single" w:color="auto" w:sz="4" w:space="0"/>
            </w:tcBorders>
            <w:vAlign w:val="center"/>
          </w:tcPr>
          <w:p w14:paraId="5134801E">
            <w:pPr>
              <w:spacing w:line="360" w:lineRule="auto"/>
              <w:rPr>
                <w:rFonts w:ascii="宋体" w:hAnsi="宋体" w:cs="宋体"/>
                <w:sz w:val="24"/>
                <w:highlight w:val="none"/>
              </w:rPr>
            </w:pPr>
            <w:r>
              <w:rPr>
                <w:rFonts w:hint="eastAsia" w:ascii="宋体" w:hAnsi="宋体" w:cs="宋体"/>
                <w:sz w:val="24"/>
                <w:highlight w:val="none"/>
              </w:rPr>
              <w:t>施工机具设备的投入能够优于工程实施的需要，且与项目相适应，根据其针对性、合理性进行打分。</w:t>
            </w:r>
          </w:p>
        </w:tc>
        <w:tc>
          <w:tcPr>
            <w:tcW w:w="810" w:type="dxa"/>
            <w:tcBorders>
              <w:top w:val="single" w:color="auto" w:sz="4" w:space="0"/>
              <w:left w:val="single" w:color="auto" w:sz="4" w:space="0"/>
              <w:bottom w:val="single" w:color="auto" w:sz="4" w:space="0"/>
              <w:right w:val="single" w:color="auto" w:sz="4" w:space="0"/>
            </w:tcBorders>
            <w:vAlign w:val="center"/>
          </w:tcPr>
          <w:p w14:paraId="7211DE12">
            <w:pPr>
              <w:spacing w:line="360" w:lineRule="auto"/>
              <w:jc w:val="center"/>
              <w:rPr>
                <w:rFonts w:ascii="宋体" w:hAnsi="宋体" w:cs="宋体"/>
                <w:sz w:val="24"/>
                <w:highlight w:val="none"/>
              </w:rPr>
            </w:pPr>
            <w:r>
              <w:rPr>
                <w:rFonts w:hint="eastAsia" w:ascii="宋体" w:hAnsi="宋体" w:cs="宋体"/>
                <w:sz w:val="24"/>
                <w:highlight w:val="none"/>
              </w:rPr>
              <w:t>3</w:t>
            </w:r>
          </w:p>
        </w:tc>
      </w:tr>
      <w:tr w14:paraId="0D6212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2" w:hRule="atLeast"/>
        </w:trPr>
        <w:tc>
          <w:tcPr>
            <w:tcW w:w="838" w:type="dxa"/>
            <w:tcBorders>
              <w:top w:val="single" w:color="auto" w:sz="4" w:space="0"/>
              <w:left w:val="single" w:color="auto" w:sz="4" w:space="0"/>
              <w:bottom w:val="single" w:color="auto" w:sz="4" w:space="0"/>
              <w:right w:val="single" w:color="auto" w:sz="4" w:space="0"/>
            </w:tcBorders>
            <w:vAlign w:val="center"/>
          </w:tcPr>
          <w:p w14:paraId="6A20D55A">
            <w:pPr>
              <w:spacing w:line="360" w:lineRule="auto"/>
              <w:jc w:val="center"/>
              <w:rPr>
                <w:rFonts w:ascii="宋体" w:hAnsi="宋体" w:cs="宋体"/>
                <w:sz w:val="24"/>
                <w:highlight w:val="none"/>
              </w:rPr>
            </w:pPr>
            <w:r>
              <w:rPr>
                <w:rFonts w:hint="eastAsia" w:ascii="宋体" w:hAnsi="宋体" w:cs="宋体"/>
                <w:sz w:val="24"/>
                <w:highlight w:val="none"/>
              </w:rPr>
              <w:t>10</w:t>
            </w:r>
          </w:p>
        </w:tc>
        <w:tc>
          <w:tcPr>
            <w:tcW w:w="462" w:type="dxa"/>
            <w:vMerge w:val="continue"/>
            <w:tcBorders>
              <w:left w:val="single" w:color="auto" w:sz="4" w:space="0"/>
              <w:right w:val="single" w:color="auto" w:sz="4" w:space="0"/>
            </w:tcBorders>
            <w:vAlign w:val="center"/>
          </w:tcPr>
          <w:p w14:paraId="3BFB4E79">
            <w:pPr>
              <w:spacing w:line="360" w:lineRule="auto"/>
              <w:rPr>
                <w:rFonts w:ascii="宋体" w:hAnsi="宋体" w:cs="宋体"/>
                <w:sz w:val="24"/>
                <w:highlight w:val="none"/>
              </w:rPr>
            </w:pPr>
          </w:p>
        </w:tc>
        <w:tc>
          <w:tcPr>
            <w:tcW w:w="1637" w:type="dxa"/>
            <w:tcBorders>
              <w:top w:val="single" w:color="auto" w:sz="4" w:space="0"/>
              <w:left w:val="single" w:color="auto" w:sz="4" w:space="0"/>
              <w:bottom w:val="single" w:color="auto" w:sz="4" w:space="0"/>
              <w:right w:val="single" w:color="auto" w:sz="4" w:space="0"/>
            </w:tcBorders>
            <w:vAlign w:val="center"/>
          </w:tcPr>
          <w:p w14:paraId="64055ADE">
            <w:pPr>
              <w:spacing w:line="360" w:lineRule="auto"/>
              <w:jc w:val="center"/>
              <w:rPr>
                <w:rFonts w:ascii="宋体" w:hAnsi="宋体" w:cs="宋体"/>
                <w:sz w:val="24"/>
                <w:highlight w:val="none"/>
              </w:rPr>
            </w:pPr>
            <w:r>
              <w:rPr>
                <w:rFonts w:hint="eastAsia" w:ascii="宋体" w:hAnsi="宋体" w:cs="宋体"/>
                <w:sz w:val="24"/>
                <w:highlight w:val="none"/>
              </w:rPr>
              <w:t>材料设备进场计划</w:t>
            </w:r>
          </w:p>
        </w:tc>
        <w:tc>
          <w:tcPr>
            <w:tcW w:w="6411" w:type="dxa"/>
            <w:tcBorders>
              <w:top w:val="single" w:color="auto" w:sz="4" w:space="0"/>
              <w:left w:val="single" w:color="auto" w:sz="4" w:space="0"/>
              <w:bottom w:val="single" w:color="auto" w:sz="4" w:space="0"/>
              <w:right w:val="single" w:color="auto" w:sz="4" w:space="0"/>
            </w:tcBorders>
            <w:vAlign w:val="center"/>
          </w:tcPr>
          <w:p w14:paraId="329F7F01">
            <w:pPr>
              <w:spacing w:line="360" w:lineRule="auto"/>
              <w:rPr>
                <w:rFonts w:ascii="宋体" w:hAnsi="宋体" w:cs="宋体"/>
                <w:sz w:val="24"/>
                <w:highlight w:val="none"/>
              </w:rPr>
            </w:pPr>
            <w:r>
              <w:rPr>
                <w:rFonts w:hint="eastAsia" w:ascii="宋体" w:hAnsi="宋体" w:cs="宋体"/>
                <w:sz w:val="24"/>
                <w:highlight w:val="none"/>
              </w:rPr>
              <w:t xml:space="preserve">材料设备进场计划及施工计划情况：是否具有详细的材料设备进场计划、时间安排合理（0-1分）、材料数量清点情况（0-1分）、材料质量控制情况（0-1分）进行打分。 </w:t>
            </w:r>
          </w:p>
        </w:tc>
        <w:tc>
          <w:tcPr>
            <w:tcW w:w="810" w:type="dxa"/>
            <w:tcBorders>
              <w:top w:val="single" w:color="auto" w:sz="4" w:space="0"/>
              <w:left w:val="single" w:color="auto" w:sz="4" w:space="0"/>
              <w:bottom w:val="single" w:color="auto" w:sz="4" w:space="0"/>
              <w:right w:val="single" w:color="auto" w:sz="4" w:space="0"/>
            </w:tcBorders>
            <w:vAlign w:val="center"/>
          </w:tcPr>
          <w:p w14:paraId="41E4DEA5">
            <w:pPr>
              <w:spacing w:line="360" w:lineRule="auto"/>
              <w:jc w:val="center"/>
              <w:rPr>
                <w:rFonts w:ascii="宋体" w:hAnsi="宋体" w:cs="宋体"/>
                <w:sz w:val="24"/>
                <w:highlight w:val="none"/>
              </w:rPr>
            </w:pPr>
            <w:r>
              <w:rPr>
                <w:rFonts w:hint="eastAsia" w:ascii="宋体" w:hAnsi="宋体" w:cs="宋体"/>
                <w:sz w:val="24"/>
                <w:highlight w:val="none"/>
              </w:rPr>
              <w:t>3</w:t>
            </w:r>
          </w:p>
        </w:tc>
      </w:tr>
      <w:tr w14:paraId="4A8C31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38" w:type="dxa"/>
            <w:tcBorders>
              <w:top w:val="single" w:color="auto" w:sz="4" w:space="0"/>
              <w:left w:val="single" w:color="auto" w:sz="4" w:space="0"/>
              <w:bottom w:val="single" w:color="auto" w:sz="4" w:space="0"/>
              <w:right w:val="single" w:color="auto" w:sz="4" w:space="0"/>
            </w:tcBorders>
            <w:vAlign w:val="center"/>
          </w:tcPr>
          <w:p w14:paraId="2500C1B6">
            <w:pPr>
              <w:spacing w:line="360" w:lineRule="auto"/>
              <w:jc w:val="center"/>
              <w:rPr>
                <w:rFonts w:ascii="宋体" w:hAnsi="宋体" w:cs="宋体"/>
                <w:sz w:val="24"/>
                <w:highlight w:val="none"/>
              </w:rPr>
            </w:pPr>
            <w:r>
              <w:rPr>
                <w:rFonts w:hint="eastAsia" w:ascii="宋体" w:hAnsi="宋体" w:cs="宋体"/>
                <w:sz w:val="24"/>
                <w:highlight w:val="none"/>
              </w:rPr>
              <w:t>11</w:t>
            </w:r>
          </w:p>
        </w:tc>
        <w:tc>
          <w:tcPr>
            <w:tcW w:w="462" w:type="dxa"/>
            <w:vMerge w:val="continue"/>
            <w:tcBorders>
              <w:left w:val="single" w:color="auto" w:sz="4" w:space="0"/>
              <w:right w:val="single" w:color="auto" w:sz="4" w:space="0"/>
            </w:tcBorders>
            <w:vAlign w:val="center"/>
          </w:tcPr>
          <w:p w14:paraId="4BDA2C63">
            <w:pPr>
              <w:spacing w:line="360" w:lineRule="auto"/>
              <w:rPr>
                <w:rFonts w:ascii="宋体" w:hAnsi="宋体" w:cs="宋体"/>
                <w:sz w:val="24"/>
                <w:highlight w:val="none"/>
              </w:rPr>
            </w:pPr>
          </w:p>
        </w:tc>
        <w:tc>
          <w:tcPr>
            <w:tcW w:w="1637" w:type="dxa"/>
            <w:vMerge w:val="restart"/>
            <w:tcBorders>
              <w:top w:val="single" w:color="auto" w:sz="4" w:space="0"/>
              <w:left w:val="single" w:color="auto" w:sz="4" w:space="0"/>
              <w:bottom w:val="single" w:color="auto" w:sz="4" w:space="0"/>
              <w:right w:val="single" w:color="auto" w:sz="4" w:space="0"/>
            </w:tcBorders>
            <w:vAlign w:val="center"/>
          </w:tcPr>
          <w:p w14:paraId="627E8351">
            <w:pPr>
              <w:spacing w:line="360" w:lineRule="auto"/>
              <w:jc w:val="center"/>
              <w:rPr>
                <w:rFonts w:ascii="宋体" w:hAnsi="宋体" w:cs="宋体"/>
                <w:sz w:val="24"/>
                <w:highlight w:val="none"/>
              </w:rPr>
            </w:pPr>
            <w:r>
              <w:rPr>
                <w:rFonts w:hint="eastAsia" w:ascii="宋体" w:hAnsi="宋体" w:cs="宋体"/>
                <w:sz w:val="24"/>
                <w:highlight w:val="none"/>
              </w:rPr>
              <w:t>人员情况</w:t>
            </w:r>
          </w:p>
        </w:tc>
        <w:tc>
          <w:tcPr>
            <w:tcW w:w="6411" w:type="dxa"/>
            <w:tcBorders>
              <w:top w:val="single" w:color="auto" w:sz="4" w:space="0"/>
              <w:left w:val="single" w:color="auto" w:sz="4" w:space="0"/>
              <w:bottom w:val="single" w:color="auto" w:sz="4" w:space="0"/>
              <w:right w:val="single" w:color="auto" w:sz="4" w:space="0"/>
            </w:tcBorders>
            <w:vAlign w:val="center"/>
          </w:tcPr>
          <w:p w14:paraId="0C28A2DF">
            <w:pPr>
              <w:spacing w:line="360" w:lineRule="auto"/>
              <w:rPr>
                <w:rFonts w:ascii="宋体" w:hAnsi="宋体" w:cs="宋体"/>
                <w:color w:val="auto"/>
                <w:sz w:val="24"/>
                <w:highlight w:val="none"/>
              </w:rPr>
            </w:pPr>
            <w:r>
              <w:rPr>
                <w:rFonts w:hint="eastAsia" w:ascii="宋体" w:hAnsi="宋体" w:cs="宋体"/>
                <w:color w:val="auto"/>
                <w:sz w:val="24"/>
                <w:highlight w:val="none"/>
              </w:rPr>
              <w:t>根据项目负责人的专业素质、资历、荣誉奖项、工作经验等方面，进行打分。</w:t>
            </w:r>
          </w:p>
          <w:p w14:paraId="0DF7075A">
            <w:pPr>
              <w:spacing w:line="360" w:lineRule="auto"/>
              <w:rPr>
                <w:rFonts w:ascii="宋体" w:hAnsi="宋体" w:cs="宋体"/>
                <w:color w:val="auto"/>
                <w:sz w:val="24"/>
                <w:highlight w:val="none"/>
              </w:rPr>
            </w:pPr>
            <w:r>
              <w:rPr>
                <w:rFonts w:hint="eastAsia" w:ascii="宋体" w:hAnsi="宋体" w:cs="宋体"/>
                <w:color w:val="auto"/>
                <w:sz w:val="24"/>
                <w:highlight w:val="none"/>
              </w:rPr>
              <w:t>注：须提供相关证明材料，并且项目负责人必须是供应商本单位在职员工，还须提供</w:t>
            </w:r>
            <w:r>
              <w:rPr>
                <w:rFonts w:hint="eastAsia" w:ascii="宋体" w:hAnsi="宋体" w:cs="宋体"/>
                <w:color w:val="auto"/>
                <w:sz w:val="24"/>
                <w:highlight w:val="none"/>
                <w:lang w:val="en-US" w:eastAsia="zh-CN"/>
              </w:rPr>
              <w:t>近三个月</w:t>
            </w:r>
            <w:r>
              <w:rPr>
                <w:rFonts w:hint="eastAsia" w:ascii="宋体" w:hAnsi="宋体" w:cs="宋体"/>
                <w:color w:val="auto"/>
                <w:sz w:val="24"/>
                <w:highlight w:val="none"/>
              </w:rPr>
              <w:t>已在本单位缴纳社保的</w:t>
            </w:r>
            <w:r>
              <w:rPr>
                <w:rFonts w:hint="eastAsia" w:ascii="宋体" w:hAnsi="宋体" w:cs="宋体"/>
                <w:color w:val="auto"/>
                <w:sz w:val="24"/>
                <w:highlight w:val="none"/>
                <w:lang w:val="en-US" w:eastAsia="zh-CN"/>
              </w:rPr>
              <w:t>凭证或</w:t>
            </w:r>
            <w:r>
              <w:rPr>
                <w:rFonts w:hint="eastAsia" w:ascii="宋体" w:hAnsi="宋体" w:cs="宋体"/>
                <w:color w:val="auto"/>
                <w:sz w:val="24"/>
                <w:highlight w:val="none"/>
              </w:rPr>
              <w:t>承诺书并加盖供应商公章，否则不得分。</w:t>
            </w:r>
          </w:p>
        </w:tc>
        <w:tc>
          <w:tcPr>
            <w:tcW w:w="810" w:type="dxa"/>
            <w:tcBorders>
              <w:top w:val="single" w:color="auto" w:sz="4" w:space="0"/>
              <w:left w:val="single" w:color="auto" w:sz="4" w:space="0"/>
              <w:bottom w:val="single" w:color="auto" w:sz="4" w:space="0"/>
              <w:right w:val="single" w:color="auto" w:sz="4" w:space="0"/>
            </w:tcBorders>
            <w:vAlign w:val="center"/>
          </w:tcPr>
          <w:p w14:paraId="61ED00C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r>
      <w:tr w14:paraId="55EFBD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92" w:hRule="atLeast"/>
        </w:trPr>
        <w:tc>
          <w:tcPr>
            <w:tcW w:w="838" w:type="dxa"/>
            <w:tcBorders>
              <w:top w:val="single" w:color="auto" w:sz="4" w:space="0"/>
              <w:left w:val="single" w:color="auto" w:sz="4" w:space="0"/>
              <w:bottom w:val="single" w:color="auto" w:sz="4" w:space="0"/>
              <w:right w:val="single" w:color="auto" w:sz="4" w:space="0"/>
            </w:tcBorders>
            <w:vAlign w:val="center"/>
          </w:tcPr>
          <w:p w14:paraId="7D7ACFF3">
            <w:pPr>
              <w:spacing w:line="360" w:lineRule="auto"/>
              <w:jc w:val="center"/>
              <w:rPr>
                <w:rFonts w:ascii="宋体" w:hAnsi="宋体" w:cs="宋体"/>
                <w:sz w:val="24"/>
                <w:highlight w:val="none"/>
              </w:rPr>
            </w:pPr>
            <w:r>
              <w:rPr>
                <w:rFonts w:hint="eastAsia" w:ascii="宋体" w:hAnsi="宋体" w:cs="宋体"/>
                <w:sz w:val="24"/>
                <w:highlight w:val="none"/>
              </w:rPr>
              <w:t>12</w:t>
            </w:r>
          </w:p>
        </w:tc>
        <w:tc>
          <w:tcPr>
            <w:tcW w:w="462" w:type="dxa"/>
            <w:vMerge w:val="continue"/>
            <w:tcBorders>
              <w:left w:val="single" w:color="auto" w:sz="4" w:space="0"/>
              <w:right w:val="single" w:color="auto" w:sz="4" w:space="0"/>
            </w:tcBorders>
            <w:vAlign w:val="center"/>
          </w:tcPr>
          <w:p w14:paraId="55B9757F">
            <w:pPr>
              <w:spacing w:line="360" w:lineRule="auto"/>
              <w:rPr>
                <w:rFonts w:ascii="宋体" w:hAnsi="宋体" w:cs="宋体"/>
                <w:sz w:val="24"/>
                <w:highlight w:val="none"/>
              </w:rPr>
            </w:pPr>
          </w:p>
        </w:tc>
        <w:tc>
          <w:tcPr>
            <w:tcW w:w="1637" w:type="dxa"/>
            <w:vMerge w:val="continue"/>
            <w:tcBorders>
              <w:top w:val="single" w:color="auto" w:sz="4" w:space="0"/>
              <w:left w:val="single" w:color="auto" w:sz="4" w:space="0"/>
              <w:bottom w:val="single" w:color="auto" w:sz="4" w:space="0"/>
              <w:right w:val="single" w:color="auto" w:sz="4" w:space="0"/>
            </w:tcBorders>
            <w:vAlign w:val="center"/>
          </w:tcPr>
          <w:p w14:paraId="4D67BD33">
            <w:pPr>
              <w:spacing w:line="360" w:lineRule="auto"/>
              <w:jc w:val="center"/>
              <w:rPr>
                <w:rFonts w:ascii="宋体" w:hAnsi="宋体" w:cs="宋体"/>
                <w:sz w:val="24"/>
                <w:highlight w:val="none"/>
              </w:rPr>
            </w:pPr>
          </w:p>
        </w:tc>
        <w:tc>
          <w:tcPr>
            <w:tcW w:w="6411" w:type="dxa"/>
            <w:tcBorders>
              <w:top w:val="single" w:color="auto" w:sz="4" w:space="0"/>
              <w:left w:val="single" w:color="auto" w:sz="4" w:space="0"/>
              <w:bottom w:val="single" w:color="auto" w:sz="4" w:space="0"/>
              <w:right w:val="single" w:color="auto" w:sz="4" w:space="0"/>
            </w:tcBorders>
            <w:vAlign w:val="center"/>
          </w:tcPr>
          <w:p w14:paraId="763A8714">
            <w:pPr>
              <w:spacing w:line="360" w:lineRule="auto"/>
              <w:rPr>
                <w:rFonts w:ascii="宋体" w:hAnsi="宋体" w:cs="宋体"/>
                <w:color w:val="auto"/>
                <w:sz w:val="24"/>
                <w:highlight w:val="none"/>
              </w:rPr>
            </w:pPr>
            <w:r>
              <w:rPr>
                <w:rFonts w:hint="eastAsia" w:ascii="宋体" w:hAnsi="宋体" w:cs="宋体"/>
                <w:color w:val="auto"/>
                <w:sz w:val="24"/>
                <w:highlight w:val="none"/>
              </w:rPr>
              <w:t>根据拟派项目组成员（除项目负责人外）的人员结构、专业配备的合理性、岗位设置情况（0-2分），专业素质、资质等级（0-2分），同类工作经验（0-1分）等情况进行打分。注：须提供相关证明材料，并且项目组成员必须是供应商本单位在职员工，还须提供</w:t>
            </w:r>
            <w:r>
              <w:rPr>
                <w:rFonts w:hint="eastAsia" w:ascii="宋体" w:hAnsi="宋体" w:cs="宋体"/>
                <w:color w:val="auto"/>
                <w:sz w:val="24"/>
                <w:highlight w:val="none"/>
                <w:lang w:val="en-US" w:eastAsia="zh-CN"/>
              </w:rPr>
              <w:t>近三个月</w:t>
            </w:r>
            <w:r>
              <w:rPr>
                <w:rFonts w:hint="eastAsia" w:ascii="宋体" w:hAnsi="宋体" w:cs="宋体"/>
                <w:color w:val="auto"/>
                <w:sz w:val="24"/>
                <w:highlight w:val="none"/>
              </w:rPr>
              <w:t>已在本单位缴纳社保的</w:t>
            </w:r>
            <w:r>
              <w:rPr>
                <w:rFonts w:hint="eastAsia" w:ascii="宋体" w:hAnsi="宋体" w:cs="宋体"/>
                <w:color w:val="auto"/>
                <w:sz w:val="24"/>
                <w:highlight w:val="none"/>
                <w:lang w:val="en-US" w:eastAsia="zh-CN"/>
              </w:rPr>
              <w:t>凭证或</w:t>
            </w:r>
            <w:r>
              <w:rPr>
                <w:rFonts w:hint="eastAsia" w:ascii="宋体" w:hAnsi="宋体" w:cs="宋体"/>
                <w:color w:val="auto"/>
                <w:sz w:val="24"/>
                <w:highlight w:val="none"/>
              </w:rPr>
              <w:t>承诺书并加盖供应商公章，否则不得分。</w:t>
            </w:r>
          </w:p>
        </w:tc>
        <w:tc>
          <w:tcPr>
            <w:tcW w:w="810" w:type="dxa"/>
            <w:tcBorders>
              <w:top w:val="single" w:color="auto" w:sz="4" w:space="0"/>
              <w:left w:val="single" w:color="auto" w:sz="4" w:space="0"/>
              <w:bottom w:val="single" w:color="auto" w:sz="4" w:space="0"/>
              <w:right w:val="single" w:color="auto" w:sz="4" w:space="0"/>
            </w:tcBorders>
            <w:vAlign w:val="center"/>
          </w:tcPr>
          <w:p w14:paraId="7EFE586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r>
      <w:tr w14:paraId="33B6AC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4" w:hRule="atLeast"/>
        </w:trPr>
        <w:tc>
          <w:tcPr>
            <w:tcW w:w="838" w:type="dxa"/>
            <w:tcBorders>
              <w:top w:val="single" w:color="auto" w:sz="4" w:space="0"/>
              <w:left w:val="single" w:color="auto" w:sz="4" w:space="0"/>
              <w:bottom w:val="single" w:color="auto" w:sz="4" w:space="0"/>
              <w:right w:val="single" w:color="auto" w:sz="4" w:space="0"/>
            </w:tcBorders>
            <w:vAlign w:val="center"/>
          </w:tcPr>
          <w:p w14:paraId="4DC22ADC">
            <w:pPr>
              <w:spacing w:line="360" w:lineRule="auto"/>
              <w:jc w:val="center"/>
              <w:rPr>
                <w:rFonts w:ascii="宋体" w:hAnsi="宋体" w:cs="宋体"/>
                <w:sz w:val="24"/>
                <w:highlight w:val="none"/>
              </w:rPr>
            </w:pPr>
            <w:r>
              <w:rPr>
                <w:rFonts w:hint="eastAsia" w:ascii="宋体" w:hAnsi="宋体" w:cs="宋体"/>
                <w:sz w:val="24"/>
                <w:highlight w:val="none"/>
              </w:rPr>
              <w:t>13</w:t>
            </w:r>
          </w:p>
        </w:tc>
        <w:tc>
          <w:tcPr>
            <w:tcW w:w="462" w:type="dxa"/>
            <w:vMerge w:val="continue"/>
            <w:tcBorders>
              <w:left w:val="single" w:color="auto" w:sz="4" w:space="0"/>
              <w:right w:val="single" w:color="auto" w:sz="4" w:space="0"/>
            </w:tcBorders>
            <w:vAlign w:val="center"/>
          </w:tcPr>
          <w:p w14:paraId="674500A4">
            <w:pPr>
              <w:spacing w:line="360" w:lineRule="auto"/>
              <w:rPr>
                <w:rFonts w:ascii="宋体" w:hAnsi="宋体" w:cs="宋体"/>
                <w:sz w:val="24"/>
                <w:highlight w:val="none"/>
              </w:rPr>
            </w:pPr>
          </w:p>
        </w:tc>
        <w:tc>
          <w:tcPr>
            <w:tcW w:w="1637" w:type="dxa"/>
            <w:tcBorders>
              <w:top w:val="single" w:color="auto" w:sz="4" w:space="0"/>
              <w:left w:val="single" w:color="auto" w:sz="4" w:space="0"/>
              <w:bottom w:val="single" w:color="auto" w:sz="4" w:space="0"/>
              <w:right w:val="single" w:color="auto" w:sz="4" w:space="0"/>
            </w:tcBorders>
            <w:vAlign w:val="center"/>
          </w:tcPr>
          <w:p w14:paraId="4ACF1BFD">
            <w:pPr>
              <w:spacing w:line="360" w:lineRule="auto"/>
              <w:jc w:val="center"/>
              <w:rPr>
                <w:rFonts w:ascii="宋体" w:hAnsi="宋体" w:cs="宋体"/>
                <w:sz w:val="24"/>
                <w:highlight w:val="none"/>
              </w:rPr>
            </w:pPr>
            <w:r>
              <w:rPr>
                <w:rFonts w:hint="eastAsia" w:ascii="宋体" w:hAnsi="宋体" w:cs="宋体"/>
                <w:sz w:val="24"/>
                <w:highlight w:val="none"/>
              </w:rPr>
              <w:t>布置情况</w:t>
            </w:r>
          </w:p>
        </w:tc>
        <w:tc>
          <w:tcPr>
            <w:tcW w:w="6411" w:type="dxa"/>
            <w:tcBorders>
              <w:top w:val="single" w:color="auto" w:sz="4" w:space="0"/>
              <w:left w:val="single" w:color="auto" w:sz="4" w:space="0"/>
              <w:bottom w:val="single" w:color="auto" w:sz="4" w:space="0"/>
              <w:right w:val="single" w:color="auto" w:sz="4" w:space="0"/>
            </w:tcBorders>
            <w:vAlign w:val="center"/>
          </w:tcPr>
          <w:p w14:paraId="035AB3E4">
            <w:pPr>
              <w:spacing w:line="360" w:lineRule="auto"/>
              <w:rPr>
                <w:rFonts w:ascii="宋体" w:hAnsi="宋体" w:cs="宋体"/>
                <w:color w:val="auto"/>
                <w:sz w:val="24"/>
                <w:highlight w:val="none"/>
              </w:rPr>
            </w:pPr>
            <w:r>
              <w:rPr>
                <w:rFonts w:hint="eastAsia" w:ascii="宋体" w:hAnsi="宋体" w:cs="宋体"/>
                <w:color w:val="auto"/>
                <w:sz w:val="24"/>
                <w:highlight w:val="none"/>
              </w:rPr>
              <w:t>根据磋商响应方提供的材料堆场、施工通道的安排计划是否符合施工现场实际情况，安排是否科学、合理进行打分。</w:t>
            </w:r>
          </w:p>
        </w:tc>
        <w:tc>
          <w:tcPr>
            <w:tcW w:w="810" w:type="dxa"/>
            <w:tcBorders>
              <w:top w:val="single" w:color="auto" w:sz="4" w:space="0"/>
              <w:left w:val="single" w:color="auto" w:sz="4" w:space="0"/>
              <w:bottom w:val="single" w:color="auto" w:sz="4" w:space="0"/>
              <w:right w:val="single" w:color="auto" w:sz="4" w:space="0"/>
            </w:tcBorders>
            <w:vAlign w:val="center"/>
          </w:tcPr>
          <w:p w14:paraId="1BE45F4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r>
      <w:tr w14:paraId="2AE864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39" w:hRule="atLeast"/>
        </w:trPr>
        <w:tc>
          <w:tcPr>
            <w:tcW w:w="838" w:type="dxa"/>
            <w:tcBorders>
              <w:top w:val="single" w:color="auto" w:sz="4" w:space="0"/>
              <w:left w:val="single" w:color="auto" w:sz="4" w:space="0"/>
              <w:bottom w:val="single" w:color="auto" w:sz="4" w:space="0"/>
              <w:right w:val="single" w:color="auto" w:sz="4" w:space="0"/>
            </w:tcBorders>
            <w:vAlign w:val="center"/>
          </w:tcPr>
          <w:p w14:paraId="251EDE71">
            <w:pPr>
              <w:spacing w:line="360" w:lineRule="auto"/>
              <w:jc w:val="center"/>
              <w:rPr>
                <w:rFonts w:ascii="宋体" w:hAnsi="宋体" w:cs="宋体"/>
                <w:sz w:val="24"/>
                <w:highlight w:val="none"/>
              </w:rPr>
            </w:pPr>
            <w:r>
              <w:rPr>
                <w:rFonts w:hint="eastAsia" w:ascii="宋体" w:hAnsi="宋体" w:cs="宋体"/>
                <w:sz w:val="24"/>
                <w:highlight w:val="none"/>
              </w:rPr>
              <w:t>14</w:t>
            </w:r>
          </w:p>
        </w:tc>
        <w:tc>
          <w:tcPr>
            <w:tcW w:w="462" w:type="dxa"/>
            <w:vMerge w:val="continue"/>
            <w:tcBorders>
              <w:left w:val="single" w:color="auto" w:sz="4" w:space="0"/>
              <w:right w:val="single" w:color="auto" w:sz="4" w:space="0"/>
            </w:tcBorders>
            <w:vAlign w:val="center"/>
          </w:tcPr>
          <w:p w14:paraId="11057227">
            <w:pPr>
              <w:spacing w:line="360" w:lineRule="auto"/>
              <w:rPr>
                <w:rFonts w:ascii="宋体" w:hAnsi="宋体" w:cs="宋体"/>
                <w:sz w:val="24"/>
                <w:highlight w:val="none"/>
              </w:rPr>
            </w:pPr>
          </w:p>
        </w:tc>
        <w:tc>
          <w:tcPr>
            <w:tcW w:w="1637" w:type="dxa"/>
            <w:tcBorders>
              <w:top w:val="single" w:color="auto" w:sz="4" w:space="0"/>
              <w:left w:val="single" w:color="auto" w:sz="4" w:space="0"/>
              <w:bottom w:val="single" w:color="auto" w:sz="4" w:space="0"/>
              <w:right w:val="single" w:color="auto" w:sz="4" w:space="0"/>
            </w:tcBorders>
            <w:vAlign w:val="center"/>
          </w:tcPr>
          <w:p w14:paraId="77130F42">
            <w:pPr>
              <w:spacing w:line="360" w:lineRule="auto"/>
              <w:jc w:val="center"/>
              <w:rPr>
                <w:rFonts w:ascii="宋体" w:hAnsi="宋体" w:cs="宋体"/>
                <w:sz w:val="24"/>
                <w:highlight w:val="none"/>
              </w:rPr>
            </w:pPr>
            <w:r>
              <w:rPr>
                <w:rFonts w:hint="eastAsia" w:ascii="宋体" w:hAnsi="宋体" w:cs="宋体"/>
                <w:sz w:val="24"/>
                <w:highlight w:val="none"/>
              </w:rPr>
              <w:t>关键工序、复杂环节的相应技术措施</w:t>
            </w:r>
          </w:p>
        </w:tc>
        <w:tc>
          <w:tcPr>
            <w:tcW w:w="6411" w:type="dxa"/>
            <w:tcBorders>
              <w:top w:val="single" w:color="auto" w:sz="4" w:space="0"/>
              <w:left w:val="single" w:color="auto" w:sz="4" w:space="0"/>
              <w:bottom w:val="single" w:color="auto" w:sz="4" w:space="0"/>
              <w:right w:val="single" w:color="auto" w:sz="4" w:space="0"/>
            </w:tcBorders>
            <w:vAlign w:val="center"/>
          </w:tcPr>
          <w:p w14:paraId="0CF84151">
            <w:pPr>
              <w:spacing w:line="360" w:lineRule="auto"/>
              <w:rPr>
                <w:rFonts w:ascii="宋体" w:hAnsi="宋体" w:cs="宋体"/>
                <w:color w:val="auto"/>
                <w:sz w:val="24"/>
                <w:highlight w:val="none"/>
              </w:rPr>
            </w:pPr>
            <w:r>
              <w:rPr>
                <w:rFonts w:hint="eastAsia" w:ascii="宋体" w:hAnsi="宋体" w:cs="宋体"/>
                <w:color w:val="auto"/>
                <w:sz w:val="24"/>
                <w:highlight w:val="none"/>
              </w:rPr>
              <w:t>关键工序（0-2分）、复杂环节（0-2分）的相应技术措施内容，根据其是否科学合理，针对性强进行打分。</w:t>
            </w:r>
          </w:p>
        </w:tc>
        <w:tc>
          <w:tcPr>
            <w:tcW w:w="810" w:type="dxa"/>
            <w:tcBorders>
              <w:top w:val="single" w:color="auto" w:sz="4" w:space="0"/>
              <w:left w:val="single" w:color="auto" w:sz="4" w:space="0"/>
              <w:bottom w:val="single" w:color="auto" w:sz="4" w:space="0"/>
              <w:right w:val="single" w:color="auto" w:sz="4" w:space="0"/>
            </w:tcBorders>
            <w:vAlign w:val="center"/>
          </w:tcPr>
          <w:p w14:paraId="1E18D87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r>
      <w:tr w14:paraId="443A5E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838" w:type="dxa"/>
            <w:tcBorders>
              <w:top w:val="single" w:color="auto" w:sz="4" w:space="0"/>
              <w:left w:val="single" w:color="auto" w:sz="4" w:space="0"/>
              <w:bottom w:val="single" w:color="auto" w:sz="4" w:space="0"/>
              <w:right w:val="single" w:color="auto" w:sz="4" w:space="0"/>
            </w:tcBorders>
            <w:vAlign w:val="center"/>
          </w:tcPr>
          <w:p w14:paraId="0D7D10E1">
            <w:pPr>
              <w:spacing w:line="360" w:lineRule="auto"/>
              <w:jc w:val="center"/>
              <w:rPr>
                <w:rFonts w:ascii="宋体" w:hAnsi="宋体" w:cs="宋体"/>
                <w:sz w:val="24"/>
                <w:highlight w:val="none"/>
              </w:rPr>
            </w:pPr>
            <w:r>
              <w:rPr>
                <w:rFonts w:hint="eastAsia" w:ascii="宋体" w:hAnsi="宋体" w:cs="宋体"/>
                <w:sz w:val="24"/>
                <w:highlight w:val="none"/>
              </w:rPr>
              <w:t>15</w:t>
            </w:r>
          </w:p>
        </w:tc>
        <w:tc>
          <w:tcPr>
            <w:tcW w:w="462" w:type="dxa"/>
            <w:vMerge w:val="continue"/>
            <w:tcBorders>
              <w:left w:val="single" w:color="auto" w:sz="4" w:space="0"/>
              <w:right w:val="single" w:color="auto" w:sz="4" w:space="0"/>
            </w:tcBorders>
            <w:vAlign w:val="center"/>
          </w:tcPr>
          <w:p w14:paraId="188B3746">
            <w:pPr>
              <w:spacing w:line="360" w:lineRule="auto"/>
              <w:rPr>
                <w:rFonts w:ascii="宋体" w:hAnsi="宋体" w:cs="宋体"/>
                <w:sz w:val="24"/>
                <w:highlight w:val="none"/>
              </w:rPr>
            </w:pPr>
          </w:p>
        </w:tc>
        <w:tc>
          <w:tcPr>
            <w:tcW w:w="1637" w:type="dxa"/>
            <w:tcBorders>
              <w:top w:val="single" w:color="auto" w:sz="4" w:space="0"/>
              <w:left w:val="single" w:color="auto" w:sz="4" w:space="0"/>
              <w:bottom w:val="single" w:color="auto" w:sz="4" w:space="0"/>
              <w:right w:val="single" w:color="auto" w:sz="4" w:space="0"/>
            </w:tcBorders>
            <w:vAlign w:val="center"/>
          </w:tcPr>
          <w:p w14:paraId="17F0ACC8">
            <w:pPr>
              <w:spacing w:line="360" w:lineRule="auto"/>
              <w:jc w:val="center"/>
              <w:rPr>
                <w:rFonts w:ascii="宋体" w:hAnsi="宋体" w:cs="宋体"/>
                <w:sz w:val="24"/>
                <w:highlight w:val="none"/>
              </w:rPr>
            </w:pPr>
            <w:r>
              <w:rPr>
                <w:rFonts w:hint="eastAsia" w:ascii="宋体" w:hAnsi="宋体" w:cs="宋体"/>
                <w:sz w:val="24"/>
                <w:highlight w:val="none"/>
              </w:rPr>
              <w:t>施工重点</w:t>
            </w:r>
          </w:p>
          <w:p w14:paraId="33D419DB">
            <w:pPr>
              <w:spacing w:line="360" w:lineRule="auto"/>
              <w:jc w:val="center"/>
              <w:rPr>
                <w:rFonts w:ascii="宋体" w:hAnsi="宋体" w:cs="宋体"/>
                <w:sz w:val="24"/>
                <w:highlight w:val="none"/>
              </w:rPr>
            </w:pPr>
            <w:r>
              <w:rPr>
                <w:rFonts w:hint="eastAsia" w:ascii="宋体" w:hAnsi="宋体" w:cs="宋体"/>
                <w:sz w:val="24"/>
                <w:highlight w:val="none"/>
              </w:rPr>
              <w:t>难点分析</w:t>
            </w:r>
          </w:p>
        </w:tc>
        <w:tc>
          <w:tcPr>
            <w:tcW w:w="6411" w:type="dxa"/>
            <w:tcBorders>
              <w:top w:val="single" w:color="auto" w:sz="4" w:space="0"/>
              <w:left w:val="single" w:color="auto" w:sz="4" w:space="0"/>
              <w:bottom w:val="single" w:color="auto" w:sz="4" w:space="0"/>
              <w:right w:val="single" w:color="auto" w:sz="4" w:space="0"/>
            </w:tcBorders>
            <w:vAlign w:val="center"/>
          </w:tcPr>
          <w:p w14:paraId="16D9524B">
            <w:pPr>
              <w:spacing w:line="360" w:lineRule="auto"/>
              <w:rPr>
                <w:rFonts w:ascii="宋体" w:hAnsi="宋体" w:cs="宋体"/>
                <w:sz w:val="24"/>
                <w:highlight w:val="none"/>
              </w:rPr>
            </w:pPr>
            <w:r>
              <w:rPr>
                <w:rFonts w:hint="eastAsia" w:ascii="宋体" w:hAnsi="宋体" w:cs="宋体"/>
                <w:sz w:val="24"/>
                <w:highlight w:val="none"/>
              </w:rPr>
              <w:t>针对本项目施工重点、难点分析（0-2分），以及提出的重点、难点的相应解决方案（0-2分），根据其分析的全面性，解决方案的针对性，进行打分。</w:t>
            </w:r>
          </w:p>
        </w:tc>
        <w:tc>
          <w:tcPr>
            <w:tcW w:w="810" w:type="dxa"/>
            <w:tcBorders>
              <w:top w:val="single" w:color="auto" w:sz="4" w:space="0"/>
              <w:left w:val="single" w:color="auto" w:sz="4" w:space="0"/>
              <w:bottom w:val="single" w:color="auto" w:sz="4" w:space="0"/>
              <w:right w:val="single" w:color="auto" w:sz="4" w:space="0"/>
            </w:tcBorders>
            <w:vAlign w:val="center"/>
          </w:tcPr>
          <w:p w14:paraId="27149A70">
            <w:pPr>
              <w:spacing w:line="360" w:lineRule="auto"/>
              <w:jc w:val="center"/>
              <w:rPr>
                <w:rFonts w:ascii="宋体" w:hAnsi="宋体" w:cs="宋体"/>
                <w:sz w:val="24"/>
                <w:highlight w:val="none"/>
              </w:rPr>
            </w:pPr>
            <w:r>
              <w:rPr>
                <w:rFonts w:hint="eastAsia" w:ascii="宋体" w:hAnsi="宋体" w:cs="宋体"/>
                <w:sz w:val="24"/>
                <w:highlight w:val="none"/>
              </w:rPr>
              <w:t>4</w:t>
            </w:r>
          </w:p>
        </w:tc>
      </w:tr>
      <w:tr w14:paraId="15F61A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1" w:hRule="atLeast"/>
        </w:trPr>
        <w:tc>
          <w:tcPr>
            <w:tcW w:w="838" w:type="dxa"/>
            <w:tcBorders>
              <w:top w:val="single" w:color="auto" w:sz="4" w:space="0"/>
              <w:left w:val="single" w:color="auto" w:sz="4" w:space="0"/>
              <w:bottom w:val="single" w:color="auto" w:sz="4" w:space="0"/>
              <w:right w:val="single" w:color="auto" w:sz="4" w:space="0"/>
            </w:tcBorders>
            <w:vAlign w:val="center"/>
          </w:tcPr>
          <w:p w14:paraId="0D64B122">
            <w:pPr>
              <w:spacing w:line="360" w:lineRule="auto"/>
              <w:jc w:val="center"/>
              <w:rPr>
                <w:rFonts w:ascii="宋体" w:hAnsi="宋体" w:cs="宋体"/>
                <w:sz w:val="24"/>
                <w:highlight w:val="none"/>
              </w:rPr>
            </w:pPr>
            <w:r>
              <w:rPr>
                <w:rFonts w:hint="eastAsia" w:ascii="宋体" w:hAnsi="宋体" w:cs="宋体"/>
                <w:sz w:val="24"/>
                <w:highlight w:val="none"/>
              </w:rPr>
              <w:t>16</w:t>
            </w:r>
          </w:p>
        </w:tc>
        <w:tc>
          <w:tcPr>
            <w:tcW w:w="462" w:type="dxa"/>
            <w:vMerge w:val="continue"/>
            <w:tcBorders>
              <w:left w:val="single" w:color="auto" w:sz="4" w:space="0"/>
              <w:right w:val="single" w:color="auto" w:sz="4" w:space="0"/>
            </w:tcBorders>
            <w:vAlign w:val="center"/>
          </w:tcPr>
          <w:p w14:paraId="542440BE">
            <w:pPr>
              <w:spacing w:line="360" w:lineRule="auto"/>
              <w:rPr>
                <w:rFonts w:ascii="宋体" w:hAnsi="宋体" w:cs="宋体"/>
                <w:sz w:val="24"/>
                <w:highlight w:val="none"/>
              </w:rPr>
            </w:pPr>
          </w:p>
        </w:tc>
        <w:tc>
          <w:tcPr>
            <w:tcW w:w="1637" w:type="dxa"/>
            <w:tcBorders>
              <w:top w:val="single" w:color="auto" w:sz="4" w:space="0"/>
              <w:left w:val="single" w:color="auto" w:sz="4" w:space="0"/>
              <w:bottom w:val="single" w:color="auto" w:sz="4" w:space="0"/>
              <w:right w:val="single" w:color="auto" w:sz="4" w:space="0"/>
            </w:tcBorders>
            <w:vAlign w:val="center"/>
          </w:tcPr>
          <w:p w14:paraId="542EDD6C">
            <w:pPr>
              <w:spacing w:line="360" w:lineRule="auto"/>
              <w:jc w:val="center"/>
              <w:rPr>
                <w:rFonts w:ascii="宋体" w:hAnsi="宋体" w:cs="宋体"/>
                <w:sz w:val="24"/>
                <w:highlight w:val="none"/>
              </w:rPr>
            </w:pPr>
            <w:r>
              <w:rPr>
                <w:rFonts w:hint="eastAsia" w:ascii="宋体" w:hAnsi="宋体" w:cs="宋体"/>
                <w:sz w:val="24"/>
                <w:highlight w:val="none"/>
              </w:rPr>
              <w:t>成品保护的保证措施</w:t>
            </w:r>
          </w:p>
        </w:tc>
        <w:tc>
          <w:tcPr>
            <w:tcW w:w="6411" w:type="dxa"/>
            <w:tcBorders>
              <w:top w:val="single" w:color="auto" w:sz="4" w:space="0"/>
              <w:left w:val="single" w:color="auto" w:sz="4" w:space="0"/>
              <w:bottom w:val="single" w:color="auto" w:sz="4" w:space="0"/>
              <w:right w:val="single" w:color="auto" w:sz="4" w:space="0"/>
            </w:tcBorders>
            <w:vAlign w:val="center"/>
          </w:tcPr>
          <w:p w14:paraId="241ECBBB">
            <w:pPr>
              <w:spacing w:line="360" w:lineRule="auto"/>
              <w:rPr>
                <w:rFonts w:ascii="宋体" w:hAnsi="宋体" w:cs="宋体"/>
                <w:sz w:val="24"/>
                <w:highlight w:val="none"/>
              </w:rPr>
            </w:pPr>
            <w:r>
              <w:rPr>
                <w:rFonts w:hint="eastAsia" w:ascii="宋体" w:hAnsi="宋体" w:cs="宋体"/>
                <w:sz w:val="24"/>
                <w:highlight w:val="none"/>
              </w:rPr>
              <w:t>磋商响应方对成品保护的保证措施，是否合理、科学，具有可操作性，进行打分。</w:t>
            </w:r>
          </w:p>
        </w:tc>
        <w:tc>
          <w:tcPr>
            <w:tcW w:w="810" w:type="dxa"/>
            <w:tcBorders>
              <w:top w:val="single" w:color="auto" w:sz="4" w:space="0"/>
              <w:left w:val="single" w:color="auto" w:sz="4" w:space="0"/>
              <w:bottom w:val="single" w:color="auto" w:sz="4" w:space="0"/>
              <w:right w:val="single" w:color="auto" w:sz="4" w:space="0"/>
            </w:tcBorders>
            <w:vAlign w:val="center"/>
          </w:tcPr>
          <w:p w14:paraId="3784DB59">
            <w:pPr>
              <w:spacing w:line="360" w:lineRule="auto"/>
              <w:jc w:val="center"/>
              <w:rPr>
                <w:rFonts w:ascii="宋体" w:hAnsi="宋体" w:cs="宋体"/>
                <w:sz w:val="24"/>
                <w:highlight w:val="none"/>
              </w:rPr>
            </w:pPr>
            <w:r>
              <w:rPr>
                <w:rFonts w:hint="eastAsia" w:ascii="宋体" w:hAnsi="宋体" w:cs="宋体"/>
                <w:sz w:val="24"/>
                <w:highlight w:val="none"/>
              </w:rPr>
              <w:t>3</w:t>
            </w:r>
          </w:p>
        </w:tc>
      </w:tr>
      <w:tr w14:paraId="3ADA28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4" w:hRule="atLeast"/>
        </w:trPr>
        <w:tc>
          <w:tcPr>
            <w:tcW w:w="838" w:type="dxa"/>
            <w:tcBorders>
              <w:top w:val="single" w:color="auto" w:sz="4" w:space="0"/>
              <w:left w:val="single" w:color="auto" w:sz="4" w:space="0"/>
              <w:bottom w:val="single" w:color="auto" w:sz="4" w:space="0"/>
              <w:right w:val="single" w:color="auto" w:sz="4" w:space="0"/>
            </w:tcBorders>
            <w:vAlign w:val="center"/>
          </w:tcPr>
          <w:p w14:paraId="4BE963BE">
            <w:pPr>
              <w:spacing w:line="360" w:lineRule="auto"/>
              <w:jc w:val="center"/>
              <w:rPr>
                <w:rFonts w:ascii="宋体" w:hAnsi="宋体" w:cs="宋体"/>
                <w:sz w:val="24"/>
                <w:highlight w:val="none"/>
              </w:rPr>
            </w:pPr>
            <w:r>
              <w:rPr>
                <w:rFonts w:hint="eastAsia" w:ascii="宋体" w:hAnsi="宋体" w:cs="宋体"/>
                <w:sz w:val="24"/>
                <w:highlight w:val="none"/>
              </w:rPr>
              <w:t>17</w:t>
            </w:r>
          </w:p>
        </w:tc>
        <w:tc>
          <w:tcPr>
            <w:tcW w:w="462" w:type="dxa"/>
            <w:vMerge w:val="continue"/>
            <w:tcBorders>
              <w:left w:val="single" w:color="auto" w:sz="4" w:space="0"/>
              <w:bottom w:val="single" w:color="auto" w:sz="4" w:space="0"/>
              <w:right w:val="single" w:color="auto" w:sz="4" w:space="0"/>
            </w:tcBorders>
            <w:vAlign w:val="center"/>
          </w:tcPr>
          <w:p w14:paraId="61D9F505">
            <w:pPr>
              <w:spacing w:line="360" w:lineRule="auto"/>
              <w:rPr>
                <w:rFonts w:ascii="宋体" w:hAnsi="宋体" w:cs="宋体"/>
                <w:sz w:val="24"/>
                <w:highlight w:val="none"/>
              </w:rPr>
            </w:pPr>
          </w:p>
        </w:tc>
        <w:tc>
          <w:tcPr>
            <w:tcW w:w="1637" w:type="dxa"/>
            <w:tcBorders>
              <w:top w:val="single" w:color="auto" w:sz="4" w:space="0"/>
              <w:left w:val="single" w:color="auto" w:sz="4" w:space="0"/>
              <w:bottom w:val="single" w:color="auto" w:sz="4" w:space="0"/>
              <w:right w:val="single" w:color="auto" w:sz="4" w:space="0"/>
            </w:tcBorders>
            <w:vAlign w:val="center"/>
          </w:tcPr>
          <w:p w14:paraId="5D12306B">
            <w:pPr>
              <w:spacing w:line="360" w:lineRule="auto"/>
              <w:jc w:val="center"/>
              <w:rPr>
                <w:rFonts w:ascii="宋体" w:hAnsi="宋体" w:cs="宋体"/>
                <w:sz w:val="24"/>
                <w:highlight w:val="none"/>
              </w:rPr>
            </w:pPr>
            <w:r>
              <w:rPr>
                <w:rFonts w:hint="eastAsia" w:ascii="宋体" w:hAnsi="宋体" w:cs="宋体"/>
                <w:sz w:val="24"/>
                <w:highlight w:val="none"/>
              </w:rPr>
              <w:t>管理协调</w:t>
            </w:r>
          </w:p>
        </w:tc>
        <w:tc>
          <w:tcPr>
            <w:tcW w:w="6411" w:type="dxa"/>
            <w:tcBorders>
              <w:top w:val="single" w:color="auto" w:sz="4" w:space="0"/>
              <w:left w:val="single" w:color="auto" w:sz="4" w:space="0"/>
              <w:bottom w:val="single" w:color="auto" w:sz="4" w:space="0"/>
              <w:right w:val="single" w:color="auto" w:sz="4" w:space="0"/>
            </w:tcBorders>
            <w:vAlign w:val="center"/>
          </w:tcPr>
          <w:p w14:paraId="63CAE1B1">
            <w:pPr>
              <w:spacing w:line="360" w:lineRule="auto"/>
              <w:rPr>
                <w:rFonts w:ascii="宋体" w:hAnsi="宋体" w:cs="宋体"/>
                <w:sz w:val="24"/>
                <w:highlight w:val="none"/>
              </w:rPr>
            </w:pPr>
            <w:r>
              <w:rPr>
                <w:rFonts w:hint="eastAsia" w:ascii="宋体" w:hAnsi="宋体" w:cs="宋体"/>
                <w:sz w:val="24"/>
                <w:highlight w:val="none"/>
              </w:rPr>
              <w:t>与其他部门或人员的管理和协调具体措施进行打分。</w:t>
            </w:r>
          </w:p>
        </w:tc>
        <w:tc>
          <w:tcPr>
            <w:tcW w:w="810" w:type="dxa"/>
            <w:tcBorders>
              <w:top w:val="single" w:color="auto" w:sz="4" w:space="0"/>
              <w:left w:val="single" w:color="auto" w:sz="4" w:space="0"/>
              <w:bottom w:val="single" w:color="auto" w:sz="4" w:space="0"/>
              <w:right w:val="single" w:color="auto" w:sz="4" w:space="0"/>
            </w:tcBorders>
            <w:vAlign w:val="center"/>
          </w:tcPr>
          <w:p w14:paraId="0A64AC9C">
            <w:pPr>
              <w:spacing w:line="360" w:lineRule="auto"/>
              <w:jc w:val="center"/>
              <w:rPr>
                <w:rFonts w:ascii="宋体" w:hAnsi="宋体" w:cs="宋体"/>
                <w:sz w:val="24"/>
                <w:highlight w:val="none"/>
              </w:rPr>
            </w:pPr>
            <w:r>
              <w:rPr>
                <w:rFonts w:hint="eastAsia" w:ascii="宋体" w:hAnsi="宋体" w:cs="宋体"/>
                <w:sz w:val="24"/>
                <w:highlight w:val="none"/>
              </w:rPr>
              <w:t>3</w:t>
            </w:r>
          </w:p>
        </w:tc>
      </w:tr>
      <w:tr w14:paraId="09930A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1" w:hRule="atLeast"/>
        </w:trPr>
        <w:tc>
          <w:tcPr>
            <w:tcW w:w="838" w:type="dxa"/>
            <w:tcBorders>
              <w:top w:val="single" w:color="auto" w:sz="4" w:space="0"/>
              <w:left w:val="single" w:color="auto" w:sz="4" w:space="0"/>
              <w:bottom w:val="single" w:color="auto" w:sz="4" w:space="0"/>
              <w:right w:val="single" w:color="auto" w:sz="4" w:space="0"/>
            </w:tcBorders>
            <w:vAlign w:val="center"/>
          </w:tcPr>
          <w:p w14:paraId="35AB23DE">
            <w:pPr>
              <w:spacing w:line="360" w:lineRule="auto"/>
              <w:rPr>
                <w:rFonts w:ascii="宋体" w:hAnsi="宋体" w:cs="宋体"/>
                <w:sz w:val="24"/>
                <w:highlight w:val="none"/>
              </w:rPr>
            </w:pPr>
            <w:r>
              <w:rPr>
                <w:rFonts w:hint="eastAsia" w:ascii="宋体" w:hAnsi="宋体" w:cs="宋体"/>
                <w:sz w:val="24"/>
                <w:highlight w:val="none"/>
              </w:rPr>
              <w:t>二</w:t>
            </w:r>
          </w:p>
        </w:tc>
        <w:tc>
          <w:tcPr>
            <w:tcW w:w="8510" w:type="dxa"/>
            <w:gridSpan w:val="3"/>
            <w:tcBorders>
              <w:left w:val="single" w:color="auto" w:sz="4" w:space="0"/>
              <w:right w:val="single" w:color="auto" w:sz="4" w:space="0"/>
            </w:tcBorders>
            <w:vAlign w:val="center"/>
          </w:tcPr>
          <w:p w14:paraId="1C87F2D7">
            <w:pPr>
              <w:spacing w:line="360" w:lineRule="auto"/>
              <w:jc w:val="center"/>
              <w:rPr>
                <w:rFonts w:ascii="宋体" w:hAnsi="宋体" w:cs="宋体"/>
                <w:sz w:val="24"/>
                <w:highlight w:val="none"/>
              </w:rPr>
            </w:pPr>
            <w:r>
              <w:rPr>
                <w:rFonts w:hint="eastAsia" w:ascii="宋体" w:hAnsi="宋体" w:cs="宋体"/>
                <w:sz w:val="24"/>
                <w:highlight w:val="none"/>
              </w:rPr>
              <w:t>商务、资信及其他分</w:t>
            </w:r>
          </w:p>
        </w:tc>
        <w:tc>
          <w:tcPr>
            <w:tcW w:w="810" w:type="dxa"/>
            <w:tcBorders>
              <w:top w:val="single" w:color="auto" w:sz="4" w:space="0"/>
              <w:left w:val="single" w:color="auto" w:sz="4" w:space="0"/>
              <w:bottom w:val="single" w:color="auto" w:sz="4" w:space="0"/>
              <w:right w:val="single" w:color="auto" w:sz="4" w:space="0"/>
            </w:tcBorders>
            <w:vAlign w:val="center"/>
          </w:tcPr>
          <w:p w14:paraId="04AF0526">
            <w:pPr>
              <w:spacing w:line="360" w:lineRule="auto"/>
              <w:jc w:val="center"/>
              <w:rPr>
                <w:rFonts w:ascii="宋体" w:hAnsi="宋体" w:cs="宋体"/>
                <w:sz w:val="24"/>
                <w:highlight w:val="none"/>
              </w:rPr>
            </w:pPr>
            <w:r>
              <w:rPr>
                <w:rFonts w:hint="eastAsia" w:ascii="宋体" w:hAnsi="宋体" w:cs="宋体"/>
                <w:sz w:val="24"/>
                <w:highlight w:val="none"/>
              </w:rPr>
              <w:t>12分</w:t>
            </w:r>
          </w:p>
        </w:tc>
      </w:tr>
      <w:tr w14:paraId="20EF88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89" w:hRule="atLeast"/>
        </w:trPr>
        <w:tc>
          <w:tcPr>
            <w:tcW w:w="838" w:type="dxa"/>
            <w:tcBorders>
              <w:top w:val="single" w:color="auto" w:sz="4" w:space="0"/>
              <w:left w:val="single" w:color="auto" w:sz="4" w:space="0"/>
              <w:bottom w:val="single" w:color="auto" w:sz="4" w:space="0"/>
              <w:right w:val="single" w:color="auto" w:sz="4" w:space="0"/>
            </w:tcBorders>
            <w:vAlign w:val="center"/>
          </w:tcPr>
          <w:p w14:paraId="371138E0">
            <w:pPr>
              <w:spacing w:line="360" w:lineRule="auto"/>
              <w:jc w:val="center"/>
              <w:rPr>
                <w:rFonts w:ascii="宋体" w:hAnsi="宋体" w:cs="宋体"/>
                <w:sz w:val="24"/>
                <w:highlight w:val="none"/>
              </w:rPr>
            </w:pPr>
            <w:r>
              <w:rPr>
                <w:rFonts w:hint="eastAsia" w:ascii="宋体" w:hAnsi="宋体" w:cs="宋体"/>
                <w:sz w:val="24"/>
                <w:highlight w:val="none"/>
              </w:rPr>
              <w:t>18</w:t>
            </w:r>
          </w:p>
        </w:tc>
        <w:tc>
          <w:tcPr>
            <w:tcW w:w="462" w:type="dxa"/>
            <w:vMerge w:val="restart"/>
            <w:tcBorders>
              <w:top w:val="single" w:color="auto" w:sz="4" w:space="0"/>
              <w:left w:val="single" w:color="auto" w:sz="4" w:space="0"/>
              <w:right w:val="single" w:color="auto" w:sz="4" w:space="0"/>
            </w:tcBorders>
            <w:vAlign w:val="center"/>
          </w:tcPr>
          <w:p w14:paraId="11A48694">
            <w:pPr>
              <w:spacing w:line="360" w:lineRule="auto"/>
              <w:rPr>
                <w:rFonts w:ascii="宋体" w:hAnsi="宋体" w:cs="宋体"/>
                <w:sz w:val="24"/>
                <w:highlight w:val="none"/>
              </w:rPr>
            </w:pPr>
            <w:r>
              <w:rPr>
                <w:rFonts w:hint="eastAsia" w:ascii="宋体" w:hAnsi="宋体" w:cs="宋体"/>
                <w:sz w:val="24"/>
                <w:highlight w:val="none"/>
              </w:rPr>
              <w:t>履约及售后服务能力</w:t>
            </w:r>
          </w:p>
        </w:tc>
        <w:tc>
          <w:tcPr>
            <w:tcW w:w="1637" w:type="dxa"/>
            <w:tcBorders>
              <w:top w:val="single" w:color="auto" w:sz="4" w:space="0"/>
              <w:left w:val="single" w:color="auto" w:sz="4" w:space="0"/>
              <w:bottom w:val="single" w:color="auto" w:sz="4" w:space="0"/>
              <w:right w:val="single" w:color="auto" w:sz="4" w:space="0"/>
            </w:tcBorders>
            <w:vAlign w:val="center"/>
          </w:tcPr>
          <w:p w14:paraId="11D3E45E">
            <w:pPr>
              <w:spacing w:line="360" w:lineRule="auto"/>
              <w:jc w:val="center"/>
              <w:rPr>
                <w:rFonts w:ascii="宋体" w:hAnsi="宋体" w:cs="宋体"/>
                <w:sz w:val="24"/>
                <w:highlight w:val="none"/>
              </w:rPr>
            </w:pPr>
            <w:r>
              <w:rPr>
                <w:rFonts w:hint="eastAsia" w:ascii="宋体" w:hAnsi="宋体" w:cs="宋体"/>
                <w:sz w:val="24"/>
                <w:highlight w:val="none"/>
              </w:rPr>
              <w:t>认证证书</w:t>
            </w:r>
          </w:p>
        </w:tc>
        <w:tc>
          <w:tcPr>
            <w:tcW w:w="6411" w:type="dxa"/>
            <w:tcBorders>
              <w:top w:val="single" w:color="auto" w:sz="4" w:space="0"/>
              <w:left w:val="single" w:color="auto" w:sz="4" w:space="0"/>
              <w:bottom w:val="single" w:color="auto" w:sz="4" w:space="0"/>
              <w:right w:val="single" w:color="auto" w:sz="4" w:space="0"/>
            </w:tcBorders>
            <w:vAlign w:val="center"/>
          </w:tcPr>
          <w:p w14:paraId="31591AEF">
            <w:pPr>
              <w:spacing w:line="360" w:lineRule="auto"/>
              <w:rPr>
                <w:rFonts w:ascii="宋体" w:hAnsi="宋体" w:cs="宋体"/>
                <w:sz w:val="24"/>
                <w:highlight w:val="none"/>
              </w:rPr>
            </w:pPr>
            <w:r>
              <w:rPr>
                <w:rFonts w:hint="eastAsia" w:ascii="宋体" w:hAnsi="宋体" w:cs="宋体"/>
                <w:sz w:val="24"/>
                <w:highlight w:val="none"/>
              </w:rPr>
              <w:t>磋商响应方具有质量管理体系认证证书、环境管理体系认证证书、职业健康安全管理认证证书，且在有效期内，每个证书得1分，最多得3分，没有不得分。</w:t>
            </w:r>
          </w:p>
        </w:tc>
        <w:tc>
          <w:tcPr>
            <w:tcW w:w="810" w:type="dxa"/>
            <w:tcBorders>
              <w:top w:val="single" w:color="auto" w:sz="4" w:space="0"/>
              <w:left w:val="single" w:color="auto" w:sz="4" w:space="0"/>
              <w:bottom w:val="single" w:color="auto" w:sz="4" w:space="0"/>
              <w:right w:val="single" w:color="auto" w:sz="4" w:space="0"/>
            </w:tcBorders>
            <w:vAlign w:val="center"/>
          </w:tcPr>
          <w:p w14:paraId="1AEB91B1">
            <w:pPr>
              <w:spacing w:line="360" w:lineRule="auto"/>
              <w:jc w:val="center"/>
              <w:rPr>
                <w:rFonts w:ascii="宋体" w:hAnsi="宋体" w:cs="宋体"/>
                <w:sz w:val="24"/>
                <w:highlight w:val="none"/>
              </w:rPr>
            </w:pPr>
            <w:r>
              <w:rPr>
                <w:rFonts w:hint="eastAsia" w:ascii="宋体" w:hAnsi="宋体" w:cs="宋体"/>
                <w:sz w:val="24"/>
                <w:highlight w:val="none"/>
              </w:rPr>
              <w:t>3</w:t>
            </w:r>
          </w:p>
        </w:tc>
      </w:tr>
      <w:tr w14:paraId="07A89E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21" w:hRule="atLeast"/>
        </w:trPr>
        <w:tc>
          <w:tcPr>
            <w:tcW w:w="838" w:type="dxa"/>
            <w:tcBorders>
              <w:top w:val="single" w:color="auto" w:sz="4" w:space="0"/>
              <w:left w:val="single" w:color="auto" w:sz="4" w:space="0"/>
              <w:bottom w:val="single" w:color="auto" w:sz="4" w:space="0"/>
              <w:right w:val="single" w:color="auto" w:sz="4" w:space="0"/>
            </w:tcBorders>
            <w:vAlign w:val="center"/>
          </w:tcPr>
          <w:p w14:paraId="73DA7387">
            <w:pPr>
              <w:spacing w:line="360" w:lineRule="auto"/>
              <w:jc w:val="center"/>
              <w:rPr>
                <w:rFonts w:ascii="宋体" w:hAnsi="宋体" w:cs="宋体"/>
                <w:sz w:val="24"/>
                <w:highlight w:val="none"/>
              </w:rPr>
            </w:pPr>
            <w:r>
              <w:rPr>
                <w:rFonts w:hint="eastAsia" w:ascii="宋体" w:hAnsi="宋体" w:cs="宋体"/>
                <w:sz w:val="24"/>
                <w:highlight w:val="none"/>
              </w:rPr>
              <w:t>19</w:t>
            </w:r>
          </w:p>
        </w:tc>
        <w:tc>
          <w:tcPr>
            <w:tcW w:w="462" w:type="dxa"/>
            <w:vMerge w:val="continue"/>
            <w:tcBorders>
              <w:left w:val="single" w:color="auto" w:sz="4" w:space="0"/>
              <w:right w:val="single" w:color="auto" w:sz="4" w:space="0"/>
            </w:tcBorders>
            <w:vAlign w:val="center"/>
          </w:tcPr>
          <w:p w14:paraId="2F02F21D">
            <w:pPr>
              <w:spacing w:line="360" w:lineRule="auto"/>
              <w:rPr>
                <w:rFonts w:ascii="宋体" w:hAnsi="宋体" w:cs="宋体"/>
                <w:sz w:val="24"/>
                <w:highlight w:val="none"/>
              </w:rPr>
            </w:pPr>
          </w:p>
        </w:tc>
        <w:tc>
          <w:tcPr>
            <w:tcW w:w="1637" w:type="dxa"/>
            <w:tcBorders>
              <w:top w:val="single" w:color="auto" w:sz="4" w:space="0"/>
              <w:left w:val="single" w:color="auto" w:sz="4" w:space="0"/>
              <w:bottom w:val="single" w:color="auto" w:sz="4" w:space="0"/>
              <w:right w:val="single" w:color="auto" w:sz="4" w:space="0"/>
            </w:tcBorders>
            <w:vAlign w:val="center"/>
          </w:tcPr>
          <w:p w14:paraId="212BDB0E">
            <w:pPr>
              <w:spacing w:line="360" w:lineRule="auto"/>
              <w:jc w:val="center"/>
              <w:rPr>
                <w:rFonts w:ascii="宋体" w:hAnsi="宋体" w:cs="宋体"/>
                <w:sz w:val="24"/>
                <w:highlight w:val="none"/>
              </w:rPr>
            </w:pPr>
            <w:r>
              <w:rPr>
                <w:rFonts w:hint="eastAsia" w:ascii="宋体" w:hAnsi="宋体" w:cs="宋体"/>
                <w:sz w:val="24"/>
                <w:highlight w:val="none"/>
              </w:rPr>
              <w:t>同类项目</w:t>
            </w:r>
          </w:p>
          <w:p w14:paraId="042085A8">
            <w:pPr>
              <w:spacing w:line="360" w:lineRule="auto"/>
              <w:jc w:val="center"/>
              <w:rPr>
                <w:rFonts w:ascii="宋体" w:hAnsi="宋体" w:cs="宋体"/>
                <w:sz w:val="24"/>
                <w:highlight w:val="none"/>
              </w:rPr>
            </w:pPr>
            <w:r>
              <w:rPr>
                <w:rFonts w:hint="eastAsia" w:ascii="宋体" w:hAnsi="宋体" w:cs="宋体"/>
                <w:sz w:val="24"/>
                <w:highlight w:val="none"/>
              </w:rPr>
              <w:t>业绩</w:t>
            </w:r>
          </w:p>
        </w:tc>
        <w:tc>
          <w:tcPr>
            <w:tcW w:w="6411" w:type="dxa"/>
            <w:tcBorders>
              <w:top w:val="single" w:color="auto" w:sz="4" w:space="0"/>
              <w:left w:val="single" w:color="auto" w:sz="4" w:space="0"/>
              <w:bottom w:val="single" w:color="auto" w:sz="4" w:space="0"/>
              <w:right w:val="single" w:color="auto" w:sz="4" w:space="0"/>
            </w:tcBorders>
            <w:vAlign w:val="center"/>
          </w:tcPr>
          <w:p w14:paraId="337944DC">
            <w:pPr>
              <w:spacing w:line="360" w:lineRule="auto"/>
              <w:rPr>
                <w:rFonts w:ascii="宋体" w:hAnsi="宋体" w:cs="宋体"/>
                <w:sz w:val="24"/>
                <w:highlight w:val="none"/>
              </w:rPr>
            </w:pPr>
            <w:r>
              <w:rPr>
                <w:rFonts w:hint="eastAsia" w:ascii="宋体" w:hAnsi="宋体" w:cs="宋体"/>
                <w:sz w:val="24"/>
                <w:highlight w:val="none"/>
              </w:rPr>
              <w:t>磋商响应方自2021年1月以来有同类项目业绩的，每个业绩得0.5分，最高得1.5分。（以提供中标通知书或合同复印件为准）</w:t>
            </w:r>
          </w:p>
        </w:tc>
        <w:tc>
          <w:tcPr>
            <w:tcW w:w="810" w:type="dxa"/>
            <w:tcBorders>
              <w:top w:val="single" w:color="auto" w:sz="4" w:space="0"/>
              <w:left w:val="single" w:color="auto" w:sz="4" w:space="0"/>
              <w:bottom w:val="single" w:color="auto" w:sz="4" w:space="0"/>
              <w:right w:val="single" w:color="auto" w:sz="4" w:space="0"/>
            </w:tcBorders>
            <w:vAlign w:val="center"/>
          </w:tcPr>
          <w:p w14:paraId="0A504D71">
            <w:pPr>
              <w:spacing w:line="360" w:lineRule="auto"/>
              <w:jc w:val="center"/>
              <w:rPr>
                <w:rFonts w:ascii="宋体" w:hAnsi="宋体" w:cs="宋体"/>
                <w:sz w:val="24"/>
                <w:highlight w:val="none"/>
              </w:rPr>
            </w:pPr>
            <w:r>
              <w:rPr>
                <w:rFonts w:hint="eastAsia" w:ascii="宋体" w:hAnsi="宋体" w:cs="宋体"/>
                <w:sz w:val="24"/>
                <w:highlight w:val="none"/>
              </w:rPr>
              <w:t>1.5</w:t>
            </w:r>
          </w:p>
        </w:tc>
      </w:tr>
      <w:tr w14:paraId="78E77F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4" w:hRule="atLeast"/>
        </w:trPr>
        <w:tc>
          <w:tcPr>
            <w:tcW w:w="838" w:type="dxa"/>
            <w:tcBorders>
              <w:top w:val="single" w:color="auto" w:sz="4" w:space="0"/>
              <w:left w:val="single" w:color="auto" w:sz="4" w:space="0"/>
              <w:bottom w:val="single" w:color="auto" w:sz="4" w:space="0"/>
              <w:right w:val="single" w:color="auto" w:sz="4" w:space="0"/>
            </w:tcBorders>
            <w:vAlign w:val="center"/>
          </w:tcPr>
          <w:p w14:paraId="7DFD07C4">
            <w:pPr>
              <w:spacing w:line="360" w:lineRule="auto"/>
              <w:jc w:val="center"/>
              <w:rPr>
                <w:rFonts w:ascii="宋体" w:hAnsi="宋体" w:cs="宋体"/>
                <w:sz w:val="24"/>
                <w:highlight w:val="none"/>
              </w:rPr>
            </w:pPr>
            <w:r>
              <w:rPr>
                <w:rFonts w:hint="eastAsia" w:ascii="宋体" w:hAnsi="宋体" w:cs="宋体"/>
                <w:sz w:val="24"/>
                <w:highlight w:val="none"/>
              </w:rPr>
              <w:t>20</w:t>
            </w:r>
          </w:p>
        </w:tc>
        <w:tc>
          <w:tcPr>
            <w:tcW w:w="462" w:type="dxa"/>
            <w:vMerge w:val="continue"/>
            <w:tcBorders>
              <w:left w:val="single" w:color="auto" w:sz="4" w:space="0"/>
              <w:right w:val="single" w:color="auto" w:sz="4" w:space="0"/>
            </w:tcBorders>
            <w:vAlign w:val="center"/>
          </w:tcPr>
          <w:p w14:paraId="6FDD4D72">
            <w:pPr>
              <w:spacing w:line="360" w:lineRule="auto"/>
              <w:rPr>
                <w:rFonts w:ascii="宋体" w:hAnsi="宋体" w:cs="宋体"/>
                <w:sz w:val="24"/>
                <w:highlight w:val="none"/>
              </w:rPr>
            </w:pPr>
          </w:p>
        </w:tc>
        <w:tc>
          <w:tcPr>
            <w:tcW w:w="1637" w:type="dxa"/>
            <w:vMerge w:val="restart"/>
            <w:tcBorders>
              <w:top w:val="single" w:color="auto" w:sz="4" w:space="0"/>
              <w:left w:val="single" w:color="auto" w:sz="4" w:space="0"/>
              <w:bottom w:val="single" w:color="auto" w:sz="4" w:space="0"/>
              <w:right w:val="single" w:color="auto" w:sz="4" w:space="0"/>
            </w:tcBorders>
            <w:vAlign w:val="center"/>
          </w:tcPr>
          <w:p w14:paraId="68F7C715">
            <w:pPr>
              <w:spacing w:line="360" w:lineRule="auto"/>
              <w:jc w:val="center"/>
              <w:rPr>
                <w:rFonts w:ascii="宋体" w:hAnsi="宋体" w:cs="宋体"/>
                <w:sz w:val="24"/>
                <w:highlight w:val="none"/>
              </w:rPr>
            </w:pPr>
            <w:r>
              <w:rPr>
                <w:rFonts w:hint="eastAsia" w:ascii="宋体" w:hAnsi="宋体" w:cs="宋体"/>
                <w:sz w:val="24"/>
                <w:highlight w:val="none"/>
              </w:rPr>
              <w:t>售后保障</w:t>
            </w:r>
          </w:p>
        </w:tc>
        <w:tc>
          <w:tcPr>
            <w:tcW w:w="6411" w:type="dxa"/>
            <w:tcBorders>
              <w:top w:val="single" w:color="auto" w:sz="4" w:space="0"/>
              <w:left w:val="single" w:color="auto" w:sz="4" w:space="0"/>
              <w:bottom w:val="single" w:color="auto" w:sz="4" w:space="0"/>
              <w:right w:val="single" w:color="auto" w:sz="4" w:space="0"/>
            </w:tcBorders>
            <w:vAlign w:val="center"/>
          </w:tcPr>
          <w:p w14:paraId="188AFA29">
            <w:pPr>
              <w:spacing w:line="360" w:lineRule="auto"/>
              <w:rPr>
                <w:rFonts w:ascii="宋体" w:hAnsi="宋体" w:cs="宋体"/>
                <w:sz w:val="24"/>
                <w:highlight w:val="none"/>
              </w:rPr>
            </w:pPr>
            <w:r>
              <w:rPr>
                <w:rFonts w:hint="eastAsia" w:ascii="宋体" w:hAnsi="宋体" w:cs="宋体"/>
                <w:sz w:val="24"/>
                <w:highlight w:val="none"/>
              </w:rPr>
              <w:t>根据磋商响应方提供的售后服务方案、售后服务承诺的可行性、完整性进行打分。</w:t>
            </w:r>
          </w:p>
        </w:tc>
        <w:tc>
          <w:tcPr>
            <w:tcW w:w="810" w:type="dxa"/>
            <w:tcBorders>
              <w:top w:val="single" w:color="auto" w:sz="4" w:space="0"/>
              <w:left w:val="single" w:color="auto" w:sz="4" w:space="0"/>
              <w:bottom w:val="single" w:color="auto" w:sz="4" w:space="0"/>
              <w:right w:val="single" w:color="auto" w:sz="4" w:space="0"/>
            </w:tcBorders>
            <w:vAlign w:val="center"/>
          </w:tcPr>
          <w:p w14:paraId="48F4A1D5">
            <w:pPr>
              <w:spacing w:line="360" w:lineRule="auto"/>
              <w:jc w:val="center"/>
              <w:rPr>
                <w:rFonts w:ascii="宋体" w:hAnsi="宋体" w:cs="宋体"/>
                <w:sz w:val="24"/>
                <w:highlight w:val="none"/>
              </w:rPr>
            </w:pPr>
            <w:r>
              <w:rPr>
                <w:rFonts w:hint="eastAsia" w:ascii="宋体" w:hAnsi="宋体" w:cs="宋体"/>
                <w:sz w:val="24"/>
                <w:highlight w:val="none"/>
              </w:rPr>
              <w:t>3.5</w:t>
            </w:r>
          </w:p>
        </w:tc>
      </w:tr>
      <w:tr w14:paraId="4A3202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5" w:hRule="atLeast"/>
        </w:trPr>
        <w:tc>
          <w:tcPr>
            <w:tcW w:w="838" w:type="dxa"/>
            <w:tcBorders>
              <w:top w:val="single" w:color="auto" w:sz="4" w:space="0"/>
              <w:left w:val="single" w:color="auto" w:sz="4" w:space="0"/>
              <w:bottom w:val="single" w:color="auto" w:sz="4" w:space="0"/>
              <w:right w:val="single" w:color="auto" w:sz="4" w:space="0"/>
            </w:tcBorders>
            <w:vAlign w:val="center"/>
          </w:tcPr>
          <w:p w14:paraId="09BC0AA1">
            <w:pPr>
              <w:spacing w:line="360" w:lineRule="auto"/>
              <w:jc w:val="center"/>
              <w:rPr>
                <w:rFonts w:ascii="宋体" w:hAnsi="宋体" w:cs="宋体"/>
                <w:sz w:val="24"/>
                <w:highlight w:val="none"/>
              </w:rPr>
            </w:pPr>
            <w:r>
              <w:rPr>
                <w:rFonts w:hint="eastAsia" w:ascii="宋体" w:hAnsi="宋体" w:cs="宋体"/>
                <w:sz w:val="24"/>
                <w:highlight w:val="none"/>
              </w:rPr>
              <w:t>21</w:t>
            </w:r>
          </w:p>
        </w:tc>
        <w:tc>
          <w:tcPr>
            <w:tcW w:w="462" w:type="dxa"/>
            <w:vMerge w:val="continue"/>
            <w:tcBorders>
              <w:left w:val="single" w:color="auto" w:sz="4" w:space="0"/>
              <w:right w:val="single" w:color="auto" w:sz="4" w:space="0"/>
            </w:tcBorders>
            <w:vAlign w:val="center"/>
          </w:tcPr>
          <w:p w14:paraId="3AC32922">
            <w:pPr>
              <w:spacing w:line="360" w:lineRule="auto"/>
              <w:rPr>
                <w:rFonts w:ascii="宋体" w:hAnsi="宋体" w:cs="宋体"/>
                <w:sz w:val="24"/>
                <w:highlight w:val="none"/>
              </w:rPr>
            </w:pPr>
          </w:p>
        </w:tc>
        <w:tc>
          <w:tcPr>
            <w:tcW w:w="1637" w:type="dxa"/>
            <w:vMerge w:val="continue"/>
            <w:tcBorders>
              <w:top w:val="single" w:color="auto" w:sz="4" w:space="0"/>
              <w:left w:val="single" w:color="auto" w:sz="4" w:space="0"/>
              <w:bottom w:val="single" w:color="auto" w:sz="4" w:space="0"/>
              <w:right w:val="single" w:color="auto" w:sz="4" w:space="0"/>
            </w:tcBorders>
            <w:vAlign w:val="center"/>
          </w:tcPr>
          <w:p w14:paraId="35FD0925">
            <w:pPr>
              <w:spacing w:line="360" w:lineRule="auto"/>
              <w:jc w:val="center"/>
              <w:rPr>
                <w:rFonts w:ascii="宋体" w:hAnsi="宋体" w:cs="宋体"/>
                <w:sz w:val="24"/>
                <w:highlight w:val="none"/>
              </w:rPr>
            </w:pPr>
          </w:p>
        </w:tc>
        <w:tc>
          <w:tcPr>
            <w:tcW w:w="6411" w:type="dxa"/>
            <w:tcBorders>
              <w:top w:val="single" w:color="auto" w:sz="4" w:space="0"/>
              <w:left w:val="single" w:color="auto" w:sz="4" w:space="0"/>
              <w:bottom w:val="single" w:color="auto" w:sz="4" w:space="0"/>
              <w:right w:val="single" w:color="auto" w:sz="4" w:space="0"/>
            </w:tcBorders>
            <w:vAlign w:val="center"/>
          </w:tcPr>
          <w:p w14:paraId="18B61975">
            <w:pPr>
              <w:spacing w:line="360" w:lineRule="auto"/>
              <w:rPr>
                <w:rFonts w:ascii="宋体" w:hAnsi="宋体" w:cs="宋体"/>
                <w:sz w:val="24"/>
                <w:highlight w:val="none"/>
              </w:rPr>
            </w:pPr>
            <w:r>
              <w:rPr>
                <w:rFonts w:hint="eastAsia" w:ascii="宋体" w:hAnsi="宋体" w:cs="宋体"/>
                <w:sz w:val="24"/>
                <w:highlight w:val="none"/>
              </w:rPr>
              <w:t>根据磋商响应方提供售后服务的便捷性、售后服务响应时间的及时性进行打分。</w:t>
            </w:r>
          </w:p>
        </w:tc>
        <w:tc>
          <w:tcPr>
            <w:tcW w:w="810" w:type="dxa"/>
            <w:tcBorders>
              <w:top w:val="single" w:color="auto" w:sz="4" w:space="0"/>
              <w:left w:val="single" w:color="auto" w:sz="4" w:space="0"/>
              <w:bottom w:val="single" w:color="auto" w:sz="4" w:space="0"/>
              <w:right w:val="single" w:color="auto" w:sz="4" w:space="0"/>
            </w:tcBorders>
            <w:vAlign w:val="center"/>
          </w:tcPr>
          <w:p w14:paraId="5B808D92">
            <w:pPr>
              <w:spacing w:line="360" w:lineRule="auto"/>
              <w:jc w:val="center"/>
              <w:rPr>
                <w:rFonts w:ascii="宋体" w:hAnsi="宋体" w:cs="宋体"/>
                <w:sz w:val="24"/>
                <w:highlight w:val="none"/>
              </w:rPr>
            </w:pPr>
            <w:r>
              <w:rPr>
                <w:rFonts w:hint="eastAsia" w:ascii="宋体" w:hAnsi="宋体" w:cs="宋体"/>
                <w:sz w:val="24"/>
                <w:highlight w:val="none"/>
              </w:rPr>
              <w:t>2</w:t>
            </w:r>
          </w:p>
        </w:tc>
      </w:tr>
      <w:tr w14:paraId="2DEFBD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32" w:hRule="atLeast"/>
        </w:trPr>
        <w:tc>
          <w:tcPr>
            <w:tcW w:w="838" w:type="dxa"/>
            <w:tcBorders>
              <w:top w:val="single" w:color="auto" w:sz="4" w:space="0"/>
              <w:left w:val="single" w:color="auto" w:sz="4" w:space="0"/>
              <w:bottom w:val="single" w:color="auto" w:sz="4" w:space="0"/>
              <w:right w:val="single" w:color="auto" w:sz="4" w:space="0"/>
            </w:tcBorders>
            <w:vAlign w:val="center"/>
          </w:tcPr>
          <w:p w14:paraId="550DC23C">
            <w:pPr>
              <w:spacing w:line="360" w:lineRule="auto"/>
              <w:jc w:val="center"/>
              <w:rPr>
                <w:rFonts w:ascii="宋体" w:hAnsi="宋体" w:cs="宋体"/>
                <w:sz w:val="24"/>
                <w:highlight w:val="none"/>
              </w:rPr>
            </w:pPr>
            <w:r>
              <w:rPr>
                <w:rFonts w:hint="eastAsia" w:ascii="宋体" w:hAnsi="宋体" w:cs="宋体"/>
                <w:sz w:val="24"/>
                <w:highlight w:val="none"/>
              </w:rPr>
              <w:t>22</w:t>
            </w:r>
          </w:p>
        </w:tc>
        <w:tc>
          <w:tcPr>
            <w:tcW w:w="462" w:type="dxa"/>
            <w:vMerge w:val="continue"/>
            <w:tcBorders>
              <w:left w:val="single" w:color="auto" w:sz="4" w:space="0"/>
              <w:bottom w:val="single" w:color="auto" w:sz="4" w:space="0"/>
              <w:right w:val="single" w:color="auto" w:sz="4" w:space="0"/>
            </w:tcBorders>
            <w:vAlign w:val="center"/>
          </w:tcPr>
          <w:p w14:paraId="1FCC01D2">
            <w:pPr>
              <w:spacing w:line="360" w:lineRule="auto"/>
              <w:rPr>
                <w:rFonts w:ascii="宋体" w:hAnsi="宋体" w:cs="宋体"/>
                <w:sz w:val="24"/>
                <w:highlight w:val="none"/>
              </w:rPr>
            </w:pPr>
          </w:p>
        </w:tc>
        <w:tc>
          <w:tcPr>
            <w:tcW w:w="1637" w:type="dxa"/>
            <w:tcBorders>
              <w:top w:val="single" w:color="auto" w:sz="4" w:space="0"/>
              <w:left w:val="single" w:color="auto" w:sz="4" w:space="0"/>
              <w:bottom w:val="single" w:color="auto" w:sz="4" w:space="0"/>
              <w:right w:val="single" w:color="auto" w:sz="4" w:space="0"/>
            </w:tcBorders>
            <w:vAlign w:val="center"/>
          </w:tcPr>
          <w:p w14:paraId="36725144">
            <w:pPr>
              <w:spacing w:line="360" w:lineRule="auto"/>
              <w:jc w:val="center"/>
              <w:rPr>
                <w:rFonts w:ascii="宋体" w:hAnsi="宋体" w:cs="宋体"/>
                <w:sz w:val="24"/>
                <w:highlight w:val="none"/>
              </w:rPr>
            </w:pPr>
            <w:r>
              <w:rPr>
                <w:rFonts w:hint="eastAsia" w:ascii="宋体" w:hAnsi="宋体" w:cs="宋体"/>
                <w:sz w:val="24"/>
                <w:highlight w:val="none"/>
              </w:rPr>
              <w:t>合理化建议</w:t>
            </w:r>
          </w:p>
        </w:tc>
        <w:tc>
          <w:tcPr>
            <w:tcW w:w="6411" w:type="dxa"/>
            <w:tcBorders>
              <w:top w:val="single" w:color="auto" w:sz="4" w:space="0"/>
              <w:left w:val="single" w:color="auto" w:sz="4" w:space="0"/>
              <w:bottom w:val="single" w:color="auto" w:sz="4" w:space="0"/>
              <w:right w:val="single" w:color="auto" w:sz="4" w:space="0"/>
            </w:tcBorders>
            <w:vAlign w:val="center"/>
          </w:tcPr>
          <w:p w14:paraId="1721FF03">
            <w:pPr>
              <w:spacing w:line="360" w:lineRule="auto"/>
              <w:rPr>
                <w:rFonts w:ascii="宋体" w:hAnsi="宋体" w:cs="宋体"/>
                <w:sz w:val="24"/>
                <w:highlight w:val="none"/>
              </w:rPr>
            </w:pPr>
            <w:r>
              <w:rPr>
                <w:rFonts w:hint="eastAsia" w:ascii="宋体" w:hAnsi="宋体" w:cs="宋体"/>
                <w:sz w:val="24"/>
                <w:highlight w:val="none"/>
              </w:rPr>
              <w:t>根据磋商响应方提供的针对本项目合理化建议，是否具有可操作性、针对性，进行打分。</w:t>
            </w:r>
          </w:p>
        </w:tc>
        <w:tc>
          <w:tcPr>
            <w:tcW w:w="810" w:type="dxa"/>
            <w:tcBorders>
              <w:top w:val="single" w:color="auto" w:sz="4" w:space="0"/>
              <w:left w:val="single" w:color="auto" w:sz="4" w:space="0"/>
              <w:bottom w:val="single" w:color="auto" w:sz="4" w:space="0"/>
              <w:right w:val="single" w:color="auto" w:sz="4" w:space="0"/>
            </w:tcBorders>
            <w:vAlign w:val="center"/>
          </w:tcPr>
          <w:p w14:paraId="1128D46D">
            <w:pPr>
              <w:spacing w:line="360" w:lineRule="auto"/>
              <w:jc w:val="center"/>
              <w:rPr>
                <w:rFonts w:ascii="宋体" w:hAnsi="宋体" w:cs="宋体"/>
                <w:sz w:val="24"/>
                <w:highlight w:val="none"/>
              </w:rPr>
            </w:pPr>
            <w:r>
              <w:rPr>
                <w:rFonts w:hint="eastAsia" w:ascii="宋体" w:hAnsi="宋体" w:cs="宋体"/>
                <w:sz w:val="24"/>
                <w:highlight w:val="none"/>
              </w:rPr>
              <w:t>2</w:t>
            </w:r>
          </w:p>
        </w:tc>
      </w:tr>
    </w:tbl>
    <w:p w14:paraId="72823168">
      <w:pPr>
        <w:spacing w:before="120" w:beforeLines="50" w:after="120" w:afterLines="50" w:line="360" w:lineRule="auto"/>
        <w:ind w:firstLine="480" w:firstLineChars="200"/>
        <w:rPr>
          <w:rFonts w:ascii="宋体" w:hAnsi="宋体"/>
          <w:sz w:val="24"/>
          <w:highlight w:val="none"/>
        </w:rPr>
      </w:pPr>
    </w:p>
    <w:p w14:paraId="54FCD76E">
      <w:pPr>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1.1开启参加磋商的供应商的第一次报价。</w:t>
      </w:r>
    </w:p>
    <w:p w14:paraId="3BE0F7FA">
      <w:pPr>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1.2磋商小组会对上述供应商的报价文件进行评审。</w:t>
      </w:r>
    </w:p>
    <w:p w14:paraId="4C6720D1">
      <w:pPr>
        <w:spacing w:before="120" w:beforeLines="50" w:after="120" w:afterLines="50" w:line="360" w:lineRule="auto"/>
        <w:ind w:firstLine="480" w:firstLineChars="200"/>
        <w:rPr>
          <w:rFonts w:ascii="宋体" w:hAnsi="宋体"/>
          <w:strike/>
          <w:sz w:val="24"/>
          <w:highlight w:val="none"/>
        </w:rPr>
      </w:pPr>
      <w:r>
        <w:rPr>
          <w:rFonts w:hint="eastAsia" w:ascii="宋体" w:hAnsi="宋体"/>
          <w:sz w:val="24"/>
          <w:highlight w:val="none"/>
        </w:rPr>
        <w:t>1.3第一次报价评审有效的供应商在规定时间在线进行最终报价（如果出现异常，无法通过在线提交的，供应商应及时联系采购代理机构，通过指定的电子邮箱提供（最终报价表格式见附件，指定邮箱：</w:t>
      </w:r>
      <w:r>
        <w:rPr>
          <w:rFonts w:hint="eastAsia" w:ascii="宋体" w:hAnsi="宋体"/>
          <w:sz w:val="24"/>
          <w:highlight w:val="none"/>
          <w:lang w:eastAsia="zh-CN"/>
        </w:rPr>
        <w:t>477628472@qq.com</w:t>
      </w:r>
      <w:r>
        <w:rPr>
          <w:rFonts w:hint="eastAsia" w:ascii="宋体" w:hAnsi="宋体"/>
          <w:sz w:val="24"/>
          <w:highlight w:val="none"/>
        </w:rPr>
        <w:t>）。</w:t>
      </w:r>
    </w:p>
    <w:p w14:paraId="0DE09682">
      <w:pPr>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1.4磋商小组对供应商的最终报价进行评审，磋商小组认为供应商的报价明显低于其他通过符合性审查供应商的报价，有可能影响服务质量或者不能诚信履约的，要求其在评审系统合理的时间内提供书面说明，必要时提交相关证明材料；供应商不能证明其报价合理性的，磋商小组应当将其作为无效磋商响应处理。</w:t>
      </w:r>
    </w:p>
    <w:p w14:paraId="56E82681">
      <w:pPr>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1.5磋商小组对最终报价审核有效的供应商，采用综合评分法进行综合评分（详见评分细则）。</w:t>
      </w:r>
    </w:p>
    <w:p w14:paraId="224782F7">
      <w:pPr>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1.6磋商小组根据评审相关情况作出评审报告。</w:t>
      </w:r>
    </w:p>
    <w:p w14:paraId="423CFD94">
      <w:pPr>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1.7磋商结束后，在线公布最终的评审结果和成交供应商。</w:t>
      </w:r>
    </w:p>
    <w:p w14:paraId="64A0B979">
      <w:pPr>
        <w:spacing w:before="120" w:beforeLines="50" w:after="120" w:afterLines="50" w:line="360" w:lineRule="auto"/>
        <w:ind w:firstLine="482" w:firstLineChars="200"/>
        <w:rPr>
          <w:rFonts w:ascii="宋体" w:hAnsi="宋体"/>
          <w:b/>
          <w:bCs/>
          <w:sz w:val="24"/>
          <w:highlight w:val="none"/>
        </w:rPr>
      </w:pPr>
      <w:r>
        <w:rPr>
          <w:rFonts w:hint="eastAsia" w:ascii="宋体" w:hAnsi="宋体"/>
          <w:b/>
          <w:bCs/>
          <w:sz w:val="24"/>
          <w:highlight w:val="none"/>
        </w:rPr>
        <w:t>特别说明：“政采云”如对电子化磋商程序有调整的，按调整后的程序操作。</w:t>
      </w:r>
    </w:p>
    <w:p w14:paraId="025A1D97">
      <w:pPr>
        <w:pStyle w:val="3"/>
        <w:keepNext w:val="0"/>
        <w:keepLines w:val="0"/>
        <w:pageBreakBefore/>
        <w:numPr>
          <w:ilvl w:val="0"/>
          <w:numId w:val="9"/>
        </w:numPr>
        <w:spacing w:line="240" w:lineRule="auto"/>
        <w:jc w:val="center"/>
        <w:rPr>
          <w:rFonts w:ascii="宋体" w:hAnsi="宋体" w:cs="宋体"/>
          <w:bCs w:val="0"/>
          <w:sz w:val="32"/>
          <w:szCs w:val="32"/>
          <w:highlight w:val="none"/>
        </w:rPr>
      </w:pPr>
      <w:bookmarkStart w:id="41" w:name="_Toc174370003"/>
      <w:r>
        <w:rPr>
          <w:rFonts w:hint="eastAsia" w:ascii="宋体" w:hAnsi="宋体" w:cs="宋体"/>
          <w:bCs w:val="0"/>
          <w:sz w:val="32"/>
          <w:szCs w:val="32"/>
          <w:highlight w:val="none"/>
        </w:rPr>
        <w:t>合同主要条款</w:t>
      </w:r>
      <w:bookmarkEnd w:id="38"/>
      <w:bookmarkEnd w:id="41"/>
    </w:p>
    <w:p w14:paraId="47AC5898">
      <w:pPr>
        <w:pStyle w:val="4"/>
        <w:jc w:val="center"/>
        <w:rPr>
          <w:rFonts w:ascii="宋体" w:hAnsi="宋体" w:eastAsia="宋体"/>
          <w:bCs w:val="0"/>
          <w:sz w:val="24"/>
          <w:szCs w:val="24"/>
          <w:highlight w:val="none"/>
        </w:rPr>
      </w:pPr>
      <w:bookmarkStart w:id="42" w:name="_Toc26017"/>
      <w:bookmarkStart w:id="43" w:name="_Toc22775"/>
      <w:bookmarkStart w:id="44" w:name="_Toc14942605"/>
      <w:bookmarkStart w:id="45" w:name="_Toc174370004"/>
      <w:r>
        <w:rPr>
          <w:rFonts w:hint="eastAsia" w:ascii="宋体" w:hAnsi="宋体" w:eastAsia="宋体"/>
          <w:bCs w:val="0"/>
          <w:sz w:val="24"/>
          <w:szCs w:val="24"/>
          <w:highlight w:val="none"/>
        </w:rPr>
        <w:t>东阳市政府采购合同（样本）</w:t>
      </w:r>
      <w:bookmarkEnd w:id="42"/>
      <w:bookmarkEnd w:id="43"/>
      <w:bookmarkEnd w:id="44"/>
      <w:bookmarkEnd w:id="45"/>
    </w:p>
    <w:p w14:paraId="652D3001">
      <w:pPr>
        <w:snapToGrid w:val="0"/>
        <w:spacing w:before="120" w:after="120" w:line="440" w:lineRule="exact"/>
        <w:rPr>
          <w:rFonts w:ascii="宋体" w:hAnsi="宋体"/>
          <w:sz w:val="24"/>
          <w:highlight w:val="none"/>
        </w:rPr>
      </w:pPr>
      <w:r>
        <w:rPr>
          <w:rFonts w:ascii="宋体" w:hAnsi="宋体"/>
          <w:sz w:val="24"/>
          <w:highlight w:val="none"/>
        </w:rPr>
        <w:t>项目名称：</w:t>
      </w:r>
      <w:r>
        <w:rPr>
          <w:rFonts w:hint="eastAsia" w:ascii="宋体" w:hAnsi="宋体"/>
          <w:sz w:val="24"/>
          <w:highlight w:val="none"/>
        </w:rPr>
        <w:t xml:space="preserve">   </w:t>
      </w:r>
    </w:p>
    <w:p w14:paraId="15B2A14C">
      <w:pPr>
        <w:snapToGrid w:val="0"/>
        <w:spacing w:before="120" w:after="120" w:line="440" w:lineRule="exact"/>
        <w:rPr>
          <w:rFonts w:ascii="宋体" w:hAnsi="宋体"/>
          <w:sz w:val="24"/>
          <w:highlight w:val="none"/>
        </w:rPr>
      </w:pPr>
      <w:r>
        <w:rPr>
          <w:rFonts w:ascii="宋体" w:hAnsi="宋体"/>
          <w:sz w:val="24"/>
          <w:highlight w:val="none"/>
        </w:rPr>
        <w:t>项目编号：</w:t>
      </w:r>
      <w:r>
        <w:rPr>
          <w:rFonts w:hint="eastAsia" w:ascii="宋体" w:hAnsi="宋体"/>
          <w:sz w:val="24"/>
          <w:highlight w:val="none"/>
        </w:rPr>
        <w:t xml:space="preserve">                                            合同号：</w:t>
      </w:r>
    </w:p>
    <w:p w14:paraId="43380176">
      <w:pPr>
        <w:snapToGrid w:val="0"/>
        <w:spacing w:before="120" w:after="120" w:line="440" w:lineRule="exact"/>
        <w:rPr>
          <w:rFonts w:ascii="宋体" w:hAnsi="宋体"/>
          <w:sz w:val="24"/>
          <w:highlight w:val="none"/>
        </w:rPr>
      </w:pPr>
      <w:r>
        <w:rPr>
          <w:rFonts w:ascii="宋体" w:hAnsi="宋体"/>
          <w:sz w:val="24"/>
          <w:highlight w:val="none"/>
        </w:rPr>
        <w:t>甲方</w:t>
      </w:r>
      <w:r>
        <w:rPr>
          <w:rFonts w:hint="eastAsia" w:ascii="宋体" w:hAnsi="宋体"/>
          <w:sz w:val="24"/>
          <w:highlight w:val="none"/>
        </w:rPr>
        <w:t>：</w:t>
      </w:r>
    </w:p>
    <w:p w14:paraId="3CB1C6FB">
      <w:pPr>
        <w:snapToGrid w:val="0"/>
        <w:spacing w:before="120" w:after="120" w:line="440" w:lineRule="exact"/>
        <w:rPr>
          <w:rFonts w:ascii="宋体" w:hAnsi="宋体"/>
          <w:sz w:val="24"/>
          <w:highlight w:val="none"/>
        </w:rPr>
      </w:pPr>
      <w:r>
        <w:rPr>
          <w:rFonts w:ascii="宋体" w:hAnsi="宋体"/>
          <w:sz w:val="24"/>
          <w:highlight w:val="none"/>
        </w:rPr>
        <w:t>乙方</w:t>
      </w:r>
      <w:r>
        <w:rPr>
          <w:rFonts w:hint="eastAsia" w:ascii="宋体" w:hAnsi="宋体"/>
          <w:sz w:val="24"/>
          <w:highlight w:val="none"/>
        </w:rPr>
        <w:t>：</w:t>
      </w:r>
    </w:p>
    <w:p w14:paraId="1A81E7CF">
      <w:pPr>
        <w:snapToGrid w:val="0"/>
        <w:spacing w:before="120" w:after="120" w:line="440" w:lineRule="exact"/>
        <w:rPr>
          <w:rFonts w:ascii="宋体" w:hAnsi="宋体"/>
          <w:sz w:val="24"/>
          <w:highlight w:val="none"/>
        </w:rPr>
      </w:pPr>
      <w:r>
        <w:rPr>
          <w:rFonts w:hint="eastAsia" w:ascii="宋体" w:hAnsi="宋体"/>
          <w:sz w:val="24"/>
          <w:highlight w:val="none"/>
        </w:rPr>
        <w:t>鉴证方（招标方）：</w:t>
      </w:r>
    </w:p>
    <w:p w14:paraId="43E2588D">
      <w:pPr>
        <w:snapToGrid w:val="0"/>
        <w:spacing w:before="120" w:after="120" w:line="440" w:lineRule="exact"/>
        <w:ind w:firstLine="495"/>
        <w:rPr>
          <w:rFonts w:ascii="宋体" w:hAnsi="宋体"/>
          <w:sz w:val="24"/>
          <w:highlight w:val="none"/>
          <w:u w:val="single"/>
        </w:rPr>
      </w:pPr>
      <w:r>
        <w:rPr>
          <w:rFonts w:hint="eastAsia" w:ascii="宋体" w:hAnsi="宋体"/>
          <w:sz w:val="24"/>
          <w:highlight w:val="none"/>
        </w:rPr>
        <w:t>甲、乙双方根据   年  月  日</w:t>
      </w:r>
      <w:r>
        <w:rPr>
          <w:rFonts w:hint="eastAsia" w:ascii="宋体" w:hAnsi="宋体"/>
          <w:sz w:val="24"/>
          <w:highlight w:val="none"/>
          <w:lang w:eastAsia="zh-CN"/>
        </w:rPr>
        <w:t>浙江衢州公信工程管理有限公司</w:t>
      </w:r>
      <w:r>
        <w:rPr>
          <w:rFonts w:hint="eastAsia" w:ascii="宋体" w:hAnsi="宋体"/>
          <w:sz w:val="24"/>
          <w:highlight w:val="none"/>
        </w:rPr>
        <w:t>关于</w:t>
      </w:r>
      <w:r>
        <w:rPr>
          <w:rFonts w:hint="eastAsia" w:ascii="宋体" w:hAnsi="宋体"/>
          <w:sz w:val="24"/>
          <w:highlight w:val="none"/>
          <w:lang w:eastAsia="zh-CN"/>
        </w:rPr>
        <w:t>敖溪杭温高铁拆迁安置区市政工程项目</w:t>
      </w:r>
      <w:r>
        <w:rPr>
          <w:rFonts w:hint="eastAsia" w:ascii="宋体" w:hAnsi="宋体"/>
          <w:sz w:val="24"/>
          <w:highlight w:val="none"/>
        </w:rPr>
        <w:t>竞争性磋商的结果，签署本合同。</w:t>
      </w:r>
    </w:p>
    <w:p w14:paraId="18021592">
      <w:pPr>
        <w:snapToGrid w:val="0"/>
        <w:spacing w:before="120" w:after="120" w:line="440" w:lineRule="exact"/>
        <w:rPr>
          <w:rFonts w:ascii="宋体" w:hAnsi="宋体"/>
          <w:b/>
          <w:sz w:val="24"/>
          <w:highlight w:val="none"/>
        </w:rPr>
      </w:pPr>
      <w:r>
        <w:rPr>
          <w:rFonts w:ascii="宋体" w:hAnsi="宋体"/>
          <w:b/>
          <w:sz w:val="24"/>
          <w:highlight w:val="none"/>
        </w:rPr>
        <w:t>一、服务内容</w:t>
      </w:r>
      <w:r>
        <w:rPr>
          <w:rFonts w:hint="eastAsia" w:ascii="宋体" w:hAnsi="宋体"/>
          <w:b/>
          <w:sz w:val="24"/>
          <w:highlight w:val="none"/>
        </w:rPr>
        <w:t>：详见竞争性磋商文件、图纸、预算书</w:t>
      </w:r>
    </w:p>
    <w:p w14:paraId="703B4296">
      <w:pPr>
        <w:snapToGrid w:val="0"/>
        <w:spacing w:before="120" w:after="120" w:line="440" w:lineRule="exact"/>
        <w:rPr>
          <w:rFonts w:ascii="宋体" w:hAnsi="宋体"/>
          <w:b/>
          <w:sz w:val="24"/>
          <w:highlight w:val="none"/>
        </w:rPr>
      </w:pPr>
      <w:r>
        <w:rPr>
          <w:rFonts w:ascii="宋体" w:hAnsi="宋体"/>
          <w:b/>
          <w:sz w:val="24"/>
          <w:highlight w:val="none"/>
        </w:rPr>
        <w:t>二、合同金额</w:t>
      </w:r>
    </w:p>
    <w:p w14:paraId="5296E3EE">
      <w:pPr>
        <w:snapToGrid w:val="0"/>
        <w:spacing w:before="120" w:after="120" w:line="440" w:lineRule="exact"/>
        <w:ind w:firstLine="495"/>
        <w:rPr>
          <w:rFonts w:ascii="宋体" w:hAnsi="宋体"/>
          <w:sz w:val="24"/>
          <w:highlight w:val="none"/>
        </w:rPr>
      </w:pPr>
      <w:r>
        <w:rPr>
          <w:rFonts w:hint="eastAsia" w:ascii="宋体" w:hAnsi="宋体"/>
          <w:sz w:val="24"/>
          <w:highlight w:val="none"/>
        </w:rPr>
        <w:t>本合同金额为（人民币大写）：</w:t>
      </w:r>
      <w:r>
        <w:rPr>
          <w:rFonts w:hint="eastAsia" w:ascii="宋体" w:hAnsi="宋体"/>
          <w:sz w:val="24"/>
          <w:highlight w:val="none"/>
          <w:u w:val="single"/>
        </w:rPr>
        <w:t xml:space="preserve">              </w:t>
      </w:r>
      <w:r>
        <w:rPr>
          <w:rFonts w:hint="eastAsia" w:ascii="宋体" w:hAnsi="宋体"/>
          <w:sz w:val="24"/>
          <w:highlight w:val="none"/>
        </w:rPr>
        <w:t>，让利下浮率：</w:t>
      </w:r>
      <w:r>
        <w:rPr>
          <w:rFonts w:hint="eastAsia" w:ascii="宋体" w:hAnsi="宋体"/>
          <w:sz w:val="24"/>
          <w:highlight w:val="none"/>
          <w:u w:val="single"/>
        </w:rPr>
        <w:t xml:space="preserve">        </w:t>
      </w:r>
      <w:r>
        <w:rPr>
          <w:rFonts w:hint="eastAsia" w:ascii="宋体" w:hAnsi="宋体"/>
          <w:sz w:val="24"/>
          <w:highlight w:val="none"/>
        </w:rPr>
        <w:t>。</w:t>
      </w:r>
    </w:p>
    <w:p w14:paraId="7EB88CE2">
      <w:pPr>
        <w:snapToGrid w:val="0"/>
        <w:spacing w:before="120" w:after="120" w:line="440" w:lineRule="exact"/>
        <w:ind w:firstLine="495"/>
        <w:rPr>
          <w:rFonts w:ascii="宋体" w:hAnsi="宋体"/>
          <w:sz w:val="24"/>
          <w:highlight w:val="none"/>
        </w:rPr>
      </w:pPr>
      <w:r>
        <w:rPr>
          <w:rFonts w:hint="eastAsia" w:ascii="宋体" w:hAnsi="宋体"/>
          <w:sz w:val="24"/>
          <w:highlight w:val="none"/>
        </w:rPr>
        <w:t>本合同为固定总价合同，其合同总价已包含采购人确认的施工图、磋商响应方报价所列内容及所涉及的各项风险费用，施工过程中工程量不做增项调整。</w:t>
      </w:r>
    </w:p>
    <w:p w14:paraId="77A183BA">
      <w:pPr>
        <w:snapToGrid w:val="0"/>
        <w:spacing w:before="120" w:after="120" w:line="440" w:lineRule="exact"/>
        <w:ind w:left="408" w:hanging="408"/>
        <w:rPr>
          <w:rFonts w:ascii="宋体" w:hAnsi="宋体"/>
          <w:b/>
          <w:sz w:val="24"/>
          <w:highlight w:val="none"/>
        </w:rPr>
      </w:pPr>
      <w:r>
        <w:rPr>
          <w:rFonts w:hint="eastAsia" w:ascii="宋体" w:hAnsi="宋体"/>
          <w:b/>
          <w:sz w:val="24"/>
          <w:highlight w:val="none"/>
        </w:rPr>
        <w:t>三</w:t>
      </w:r>
      <w:r>
        <w:rPr>
          <w:rFonts w:ascii="宋体" w:hAnsi="宋体"/>
          <w:b/>
          <w:sz w:val="24"/>
          <w:highlight w:val="none"/>
        </w:rPr>
        <w:t>、</w:t>
      </w:r>
      <w:r>
        <w:rPr>
          <w:rFonts w:hint="eastAsia" w:ascii="宋体" w:hAnsi="宋体"/>
          <w:b/>
          <w:sz w:val="24"/>
          <w:highlight w:val="none"/>
        </w:rPr>
        <w:t>人员、项目质量及施工安全要求</w:t>
      </w:r>
    </w:p>
    <w:p w14:paraId="7FE459D7">
      <w:pPr>
        <w:spacing w:line="440" w:lineRule="exact"/>
        <w:ind w:firstLine="480" w:firstLineChars="200"/>
        <w:rPr>
          <w:rFonts w:ascii="宋体" w:hAnsi="宋体" w:cs="宋体"/>
          <w:sz w:val="24"/>
          <w:highlight w:val="none"/>
        </w:rPr>
      </w:pPr>
      <w:r>
        <w:rPr>
          <w:rFonts w:hint="eastAsia" w:ascii="宋体" w:hAnsi="宋体" w:cs="宋体"/>
          <w:sz w:val="24"/>
          <w:highlight w:val="none"/>
        </w:rPr>
        <w:t>1、项目组成员必须每天到岗到位，实行人脸考勤，施工项目负责人每缺勤一天罚款5000元/天，管理人员每缺勤一天罚款1000元/天。到岗率低于50%或连续无故不到岗时，甲方有权终止合同，并追究因此给甲方造成的损失。在施工期间，甲方认为乙方所选派的施工项目负责人、管理人员的现场管理能力、水平不能满足工程建设需要时，有权要求乙方选换施工项目负责人、管理人员。乙方擅自更换施工项目负责人、管理人员的，分别罚款人民币20000元/人次、10000元/人次。</w:t>
      </w:r>
    </w:p>
    <w:p w14:paraId="750908CA">
      <w:pPr>
        <w:spacing w:line="440" w:lineRule="exact"/>
        <w:ind w:firstLine="480" w:firstLineChars="200"/>
        <w:rPr>
          <w:rFonts w:ascii="宋体" w:hAnsi="宋体" w:cs="宋体"/>
          <w:sz w:val="24"/>
          <w:highlight w:val="none"/>
        </w:rPr>
      </w:pPr>
      <w:r>
        <w:rPr>
          <w:rFonts w:hint="eastAsia" w:ascii="宋体" w:hAnsi="宋体" w:cs="宋体"/>
          <w:sz w:val="24"/>
          <w:highlight w:val="none"/>
        </w:rPr>
        <w:t>2、施工质保期：2年，自验收合格之日起计算。</w:t>
      </w:r>
    </w:p>
    <w:p w14:paraId="44B543E8">
      <w:pPr>
        <w:spacing w:line="440" w:lineRule="exact"/>
        <w:ind w:firstLine="480" w:firstLineChars="200"/>
        <w:rPr>
          <w:rFonts w:ascii="宋体" w:hAnsi="宋体" w:cs="宋体"/>
          <w:sz w:val="24"/>
          <w:highlight w:val="none"/>
        </w:rPr>
      </w:pPr>
      <w:r>
        <w:rPr>
          <w:rFonts w:hint="eastAsia" w:ascii="宋体" w:hAnsi="宋体" w:cs="宋体"/>
          <w:sz w:val="24"/>
          <w:highlight w:val="none"/>
        </w:rPr>
        <w:t xml:space="preserve">3、本项目所用材料应必须有合格证，工程质量以国家相关标准规范验收合格为准。   </w:t>
      </w:r>
    </w:p>
    <w:p w14:paraId="698B6F75">
      <w:pPr>
        <w:spacing w:line="440" w:lineRule="exact"/>
        <w:ind w:firstLine="480" w:firstLineChars="200"/>
        <w:rPr>
          <w:rFonts w:ascii="宋体" w:hAnsi="宋体" w:cs="宋体"/>
          <w:sz w:val="24"/>
          <w:highlight w:val="none"/>
        </w:rPr>
      </w:pPr>
      <w:r>
        <w:rPr>
          <w:rFonts w:hint="eastAsia" w:ascii="宋体" w:hAnsi="宋体" w:cs="宋体"/>
          <w:sz w:val="24"/>
          <w:highlight w:val="none"/>
        </w:rPr>
        <w:t>4、项目施工材料应按相关规定进行检验，合格后方可使用。</w:t>
      </w:r>
    </w:p>
    <w:p w14:paraId="766BE0ED">
      <w:pPr>
        <w:spacing w:line="440" w:lineRule="exact"/>
        <w:ind w:firstLine="480" w:firstLineChars="200"/>
        <w:rPr>
          <w:rFonts w:ascii="宋体" w:hAnsi="宋体" w:cs="宋体"/>
          <w:sz w:val="24"/>
          <w:highlight w:val="none"/>
        </w:rPr>
      </w:pPr>
      <w:r>
        <w:rPr>
          <w:rFonts w:hint="eastAsia" w:ascii="宋体" w:hAnsi="宋体" w:cs="宋体"/>
          <w:sz w:val="24"/>
          <w:highlight w:val="none"/>
        </w:rPr>
        <w:t>5、应按国家、行业现行规范进行施工。</w:t>
      </w:r>
    </w:p>
    <w:p w14:paraId="493CCF28">
      <w:pPr>
        <w:spacing w:line="440" w:lineRule="exact"/>
        <w:ind w:firstLine="480" w:firstLineChars="200"/>
        <w:rPr>
          <w:rFonts w:ascii="宋体" w:hAnsi="宋体" w:cs="宋体"/>
          <w:sz w:val="24"/>
          <w:highlight w:val="none"/>
        </w:rPr>
      </w:pPr>
      <w:r>
        <w:rPr>
          <w:rFonts w:hint="eastAsia" w:ascii="宋体" w:hAnsi="宋体" w:cs="宋体"/>
          <w:sz w:val="24"/>
          <w:highlight w:val="none"/>
        </w:rPr>
        <w:t>6、施工过程应做好相关资料记录。</w:t>
      </w:r>
    </w:p>
    <w:p w14:paraId="790E4DD8">
      <w:pPr>
        <w:spacing w:line="440" w:lineRule="exact"/>
        <w:ind w:firstLine="480" w:firstLineChars="200"/>
        <w:rPr>
          <w:rFonts w:ascii="宋体" w:hAnsi="宋体" w:cs="宋体"/>
          <w:sz w:val="24"/>
          <w:highlight w:val="none"/>
        </w:rPr>
      </w:pPr>
      <w:r>
        <w:rPr>
          <w:rFonts w:hint="eastAsia" w:ascii="宋体" w:hAnsi="宋体" w:cs="宋体"/>
          <w:sz w:val="24"/>
          <w:highlight w:val="none"/>
        </w:rPr>
        <w:t>7、必须按相关规定接受甲方委托单位的监督和检查，并提供相关资料。</w:t>
      </w:r>
    </w:p>
    <w:p w14:paraId="5B0F0E38">
      <w:pPr>
        <w:spacing w:line="440" w:lineRule="exact"/>
        <w:ind w:firstLine="480" w:firstLineChars="200"/>
        <w:rPr>
          <w:rFonts w:ascii="宋体" w:hAnsi="宋体" w:cs="宋体"/>
          <w:sz w:val="24"/>
          <w:highlight w:val="none"/>
        </w:rPr>
      </w:pPr>
      <w:r>
        <w:rPr>
          <w:rFonts w:hint="eastAsia" w:ascii="宋体" w:hAnsi="宋体" w:cs="宋体"/>
          <w:sz w:val="24"/>
          <w:highlight w:val="none"/>
        </w:rPr>
        <w:t>8、乙方在施工期间发生安全事故、人身安全和交通安全等大小事故，一切责任和经济补偿均由乙方负责,甲方不承担任何责任。</w:t>
      </w:r>
    </w:p>
    <w:p w14:paraId="32921710">
      <w:pPr>
        <w:spacing w:line="440" w:lineRule="exact"/>
        <w:ind w:firstLine="480" w:firstLineChars="200"/>
        <w:rPr>
          <w:rFonts w:ascii="宋体" w:hAnsi="宋体" w:cs="宋体"/>
          <w:sz w:val="24"/>
          <w:highlight w:val="none"/>
        </w:rPr>
      </w:pPr>
      <w:r>
        <w:rPr>
          <w:rFonts w:hint="eastAsia" w:ascii="宋体" w:hAnsi="宋体" w:cs="宋体"/>
          <w:sz w:val="24"/>
          <w:highlight w:val="none"/>
        </w:rPr>
        <w:t>9、乙方不服从甲方施工管理、施工管理不规范、安全质量达不到要求、不能在规定工期内完成等情形；甲方有权暂停或取消其施工资格。</w:t>
      </w:r>
    </w:p>
    <w:p w14:paraId="094FA535">
      <w:pPr>
        <w:spacing w:line="440" w:lineRule="exact"/>
        <w:ind w:firstLine="480" w:firstLineChars="200"/>
        <w:rPr>
          <w:rFonts w:ascii="宋体" w:hAnsi="宋体" w:cs="宋体"/>
          <w:kern w:val="0"/>
          <w:sz w:val="24"/>
          <w:highlight w:val="none"/>
        </w:rPr>
      </w:pPr>
      <w:r>
        <w:rPr>
          <w:rFonts w:hint="eastAsia" w:ascii="宋体" w:hAnsi="宋体" w:cs="宋体"/>
          <w:kern w:val="0"/>
          <w:sz w:val="24"/>
          <w:highlight w:val="none"/>
        </w:rPr>
        <w:t>10、乙方应做好现场施工噪音、环境卫生、材料堆放、安全警示等工作，并负责施工期间与环保、交通城管等部门的沟通协调工作，做好现场秩序的维护，如因乙方原因受到处罚、赔款、纠纷或因此而引起甲方经济损失的，均由乙方承担责任。</w:t>
      </w:r>
    </w:p>
    <w:p w14:paraId="0816B8DC">
      <w:pPr>
        <w:spacing w:line="440" w:lineRule="exact"/>
        <w:ind w:firstLine="480" w:firstLineChars="200"/>
        <w:rPr>
          <w:rFonts w:ascii="宋体" w:hAnsi="宋体" w:cs="宋体"/>
          <w:kern w:val="0"/>
          <w:sz w:val="24"/>
          <w:highlight w:val="none"/>
        </w:rPr>
      </w:pPr>
      <w:r>
        <w:rPr>
          <w:rFonts w:hint="eastAsia" w:ascii="宋体" w:hAnsi="宋体" w:cs="宋体"/>
          <w:kern w:val="0"/>
          <w:sz w:val="24"/>
          <w:highlight w:val="none"/>
        </w:rPr>
        <w:t>11、工程质量以国家相关标准规范验收合格为准，如达不到约定的质量标准，甲方可要求乙方返工，直至达到约定的质量标准，并由乙方承担返工的一切费用。</w:t>
      </w:r>
    </w:p>
    <w:p w14:paraId="0ABE2C6A">
      <w:pPr>
        <w:spacing w:line="440" w:lineRule="exact"/>
        <w:ind w:firstLine="480" w:firstLineChars="200"/>
        <w:rPr>
          <w:rFonts w:ascii="宋体" w:hAnsi="宋体" w:cs="宋体"/>
          <w:kern w:val="0"/>
          <w:sz w:val="24"/>
          <w:highlight w:val="none"/>
        </w:rPr>
      </w:pPr>
      <w:r>
        <w:rPr>
          <w:rFonts w:hint="eastAsia" w:ascii="宋体" w:hAnsi="宋体" w:cs="宋体"/>
          <w:kern w:val="0"/>
          <w:sz w:val="24"/>
          <w:highlight w:val="none"/>
        </w:rPr>
        <w:t>12、项目实施过程中，若乙方有任何违规违法行为，由乙方负责整改到位且消除影响，甲方不负任何责任。</w:t>
      </w:r>
    </w:p>
    <w:p w14:paraId="075B4BE0">
      <w:pPr>
        <w:spacing w:line="440" w:lineRule="exact"/>
        <w:ind w:firstLine="480" w:firstLineChars="200"/>
        <w:rPr>
          <w:rFonts w:ascii="宋体" w:hAnsi="宋体" w:cs="宋体"/>
          <w:kern w:val="0"/>
          <w:sz w:val="24"/>
          <w:highlight w:val="none"/>
        </w:rPr>
      </w:pPr>
      <w:r>
        <w:rPr>
          <w:rFonts w:hint="eastAsia" w:ascii="宋体" w:hAnsi="宋体" w:cs="宋体"/>
          <w:kern w:val="0"/>
          <w:sz w:val="24"/>
          <w:highlight w:val="none"/>
        </w:rPr>
        <w:t>13、乙方在施工过程中，如果发生随意更改设计不按图施工，存在偷工减料和在设计的施工范围外损坏林地、耕地等违法违规行为，甲方概不负责，一切责任全部由乙方承担。</w:t>
      </w:r>
    </w:p>
    <w:p w14:paraId="4F5DE77D">
      <w:pPr>
        <w:snapToGrid w:val="0"/>
        <w:spacing w:before="120" w:after="120" w:line="440" w:lineRule="exact"/>
        <w:rPr>
          <w:rFonts w:ascii="宋体" w:hAnsi="宋体"/>
          <w:b/>
          <w:sz w:val="24"/>
          <w:highlight w:val="none"/>
        </w:rPr>
      </w:pPr>
      <w:r>
        <w:rPr>
          <w:rFonts w:hint="eastAsia" w:ascii="宋体" w:hAnsi="宋体"/>
          <w:b/>
          <w:sz w:val="24"/>
          <w:highlight w:val="none"/>
        </w:rPr>
        <w:t>四</w:t>
      </w:r>
      <w:r>
        <w:rPr>
          <w:rFonts w:ascii="宋体" w:hAnsi="宋体"/>
          <w:b/>
          <w:sz w:val="24"/>
          <w:highlight w:val="none"/>
        </w:rPr>
        <w:t>、技术资料</w:t>
      </w:r>
    </w:p>
    <w:p w14:paraId="7D75648A">
      <w:pPr>
        <w:snapToGrid w:val="0"/>
        <w:spacing w:before="120" w:after="120" w:line="440" w:lineRule="exact"/>
        <w:ind w:firstLine="480" w:firstLineChars="200"/>
        <w:rPr>
          <w:rFonts w:ascii="宋体" w:hAnsi="宋体"/>
          <w:sz w:val="24"/>
          <w:highlight w:val="none"/>
        </w:rPr>
      </w:pPr>
      <w:r>
        <w:rPr>
          <w:rFonts w:hint="eastAsia" w:ascii="宋体" w:hAnsi="宋体"/>
          <w:sz w:val="24"/>
          <w:highlight w:val="none"/>
        </w:rPr>
        <w:t>1、</w:t>
      </w:r>
      <w:r>
        <w:rPr>
          <w:rFonts w:ascii="宋体" w:hAnsi="宋体"/>
          <w:sz w:val="24"/>
          <w:highlight w:val="none"/>
        </w:rPr>
        <w:t>乙方应按招标文件规定的时间向甲方提供有关技术资料。</w:t>
      </w:r>
    </w:p>
    <w:p w14:paraId="7F2D0D0A">
      <w:pPr>
        <w:snapToGrid w:val="0"/>
        <w:spacing w:before="120" w:after="120" w:line="440" w:lineRule="exact"/>
        <w:ind w:firstLine="480" w:firstLineChars="200"/>
        <w:rPr>
          <w:rFonts w:ascii="宋体" w:hAnsi="宋体"/>
          <w:sz w:val="24"/>
          <w:highlight w:val="none"/>
        </w:rPr>
      </w:pPr>
      <w:r>
        <w:rPr>
          <w:rFonts w:hint="eastAsia" w:ascii="宋体" w:hAnsi="宋体"/>
          <w:sz w:val="24"/>
          <w:highlight w:val="none"/>
        </w:rPr>
        <w:t>2、</w:t>
      </w:r>
      <w:r>
        <w:rPr>
          <w:rFonts w:ascii="宋体" w:hAnsi="宋体"/>
          <w:sz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671EB06">
      <w:pPr>
        <w:snapToGrid w:val="0"/>
        <w:spacing w:before="120" w:after="120" w:line="440" w:lineRule="exact"/>
        <w:ind w:left="410" w:hanging="410"/>
        <w:rPr>
          <w:rFonts w:ascii="宋体" w:hAnsi="宋体"/>
          <w:b/>
          <w:sz w:val="24"/>
          <w:highlight w:val="none"/>
        </w:rPr>
      </w:pPr>
      <w:r>
        <w:rPr>
          <w:rFonts w:hint="eastAsia" w:ascii="宋体" w:hAnsi="宋体"/>
          <w:b/>
          <w:sz w:val="24"/>
          <w:highlight w:val="none"/>
        </w:rPr>
        <w:t>五</w:t>
      </w:r>
      <w:r>
        <w:rPr>
          <w:rFonts w:ascii="宋体" w:hAnsi="宋体"/>
          <w:b/>
          <w:sz w:val="24"/>
          <w:highlight w:val="none"/>
        </w:rPr>
        <w:t>、知识产权</w:t>
      </w:r>
    </w:p>
    <w:p w14:paraId="31B252DC">
      <w:pPr>
        <w:snapToGrid w:val="0"/>
        <w:spacing w:before="120" w:after="120" w:line="440" w:lineRule="exact"/>
        <w:ind w:left="426" w:leftChars="203" w:firstLine="12" w:firstLineChars="5"/>
        <w:rPr>
          <w:rFonts w:ascii="宋体" w:hAnsi="宋体"/>
          <w:sz w:val="24"/>
          <w:highlight w:val="none"/>
        </w:rPr>
      </w:pPr>
      <w:r>
        <w:rPr>
          <w:rFonts w:ascii="宋体" w:hAnsi="宋体"/>
          <w:sz w:val="24"/>
          <w:highlight w:val="none"/>
        </w:rPr>
        <w:t>乙方应保证提供服务过程中不会侵犯任何第三方的知识产权。</w:t>
      </w:r>
    </w:p>
    <w:p w14:paraId="5025CD79">
      <w:pPr>
        <w:snapToGrid w:val="0"/>
        <w:spacing w:before="120" w:after="120" w:line="440" w:lineRule="exact"/>
        <w:ind w:left="426" w:leftChars="203" w:firstLine="12" w:firstLineChars="5"/>
        <w:rPr>
          <w:rFonts w:ascii="宋体" w:hAnsi="宋体"/>
          <w:sz w:val="24"/>
          <w:highlight w:val="none"/>
        </w:rPr>
      </w:pPr>
      <w:r>
        <w:rPr>
          <w:rFonts w:hint="eastAsia" w:ascii="宋体" w:hAnsi="宋体"/>
          <w:sz w:val="24"/>
          <w:highlight w:val="none"/>
        </w:rPr>
        <w:t>若乙方提供的服务或资料侵犯他人知识产权的，则乙方承担相应赔偿责任。</w:t>
      </w:r>
    </w:p>
    <w:p w14:paraId="251C28D3">
      <w:pPr>
        <w:snapToGrid w:val="0"/>
        <w:spacing w:before="120" w:after="120" w:line="440" w:lineRule="exact"/>
        <w:rPr>
          <w:rFonts w:ascii="宋体" w:hAnsi="宋体"/>
          <w:b/>
          <w:sz w:val="24"/>
          <w:highlight w:val="none"/>
        </w:rPr>
      </w:pPr>
      <w:r>
        <w:rPr>
          <w:rFonts w:hint="eastAsia" w:ascii="宋体" w:hAnsi="宋体"/>
          <w:b/>
          <w:sz w:val="24"/>
          <w:highlight w:val="none"/>
        </w:rPr>
        <w:t>六、转包</w:t>
      </w:r>
    </w:p>
    <w:p w14:paraId="00782601">
      <w:pPr>
        <w:snapToGrid w:val="0"/>
        <w:spacing w:before="120" w:after="120" w:line="440" w:lineRule="exact"/>
        <w:ind w:firstLine="480" w:firstLineChars="200"/>
        <w:rPr>
          <w:rFonts w:ascii="宋体" w:hAnsi="宋体"/>
          <w:sz w:val="24"/>
          <w:highlight w:val="none"/>
        </w:rPr>
      </w:pPr>
      <w:r>
        <w:rPr>
          <w:rFonts w:hint="eastAsia" w:ascii="宋体" w:hAnsi="宋体"/>
          <w:sz w:val="24"/>
          <w:highlight w:val="none"/>
        </w:rPr>
        <w:t>1、本合同范围的服务，应由乙方直接供应，不得转让他人供应；</w:t>
      </w:r>
    </w:p>
    <w:p w14:paraId="7F8A93F5">
      <w:pPr>
        <w:snapToGrid w:val="0"/>
        <w:spacing w:before="120" w:after="120" w:line="440" w:lineRule="exact"/>
        <w:ind w:left="426" w:leftChars="203" w:firstLine="12" w:firstLineChars="5"/>
        <w:rPr>
          <w:rFonts w:ascii="宋体" w:hAnsi="宋体"/>
          <w:sz w:val="24"/>
          <w:highlight w:val="none"/>
        </w:rPr>
      </w:pPr>
      <w:r>
        <w:rPr>
          <w:rFonts w:hint="eastAsia" w:ascii="宋体" w:hAnsi="宋体"/>
          <w:sz w:val="24"/>
          <w:highlight w:val="none"/>
        </w:rPr>
        <w:t>2、如发现转包行为，甲方有权解除合同，并追究乙方的违约责任。</w:t>
      </w:r>
    </w:p>
    <w:p w14:paraId="5C18FD2B">
      <w:pPr>
        <w:snapToGrid w:val="0"/>
        <w:spacing w:before="120" w:after="120" w:line="440" w:lineRule="exact"/>
        <w:rPr>
          <w:rFonts w:ascii="宋体" w:hAnsi="宋体"/>
          <w:b/>
          <w:sz w:val="24"/>
          <w:highlight w:val="none"/>
        </w:rPr>
      </w:pPr>
      <w:r>
        <w:rPr>
          <w:rFonts w:hint="eastAsia" w:ascii="宋体" w:hAnsi="宋体"/>
          <w:b/>
          <w:sz w:val="24"/>
          <w:highlight w:val="none"/>
        </w:rPr>
        <w:t>七</w:t>
      </w:r>
      <w:r>
        <w:rPr>
          <w:rFonts w:ascii="宋体" w:hAnsi="宋体"/>
          <w:b/>
          <w:sz w:val="24"/>
          <w:highlight w:val="none"/>
        </w:rPr>
        <w:t>、合同履行时间、履行地点</w:t>
      </w:r>
    </w:p>
    <w:p w14:paraId="6715FBC3">
      <w:pPr>
        <w:snapToGrid w:val="0"/>
        <w:spacing w:before="120" w:after="120" w:line="440" w:lineRule="exact"/>
        <w:ind w:firstLine="480" w:firstLineChars="200"/>
        <w:rPr>
          <w:rFonts w:ascii="宋体" w:hAnsi="宋体"/>
          <w:bCs/>
          <w:color w:val="auto"/>
          <w:sz w:val="24"/>
          <w:highlight w:val="none"/>
        </w:rPr>
      </w:pPr>
      <w:r>
        <w:rPr>
          <w:rFonts w:hint="eastAsia" w:ascii="宋体" w:hAnsi="宋体"/>
          <w:sz w:val="24"/>
          <w:highlight w:val="none"/>
        </w:rPr>
        <w:t>1、</w:t>
      </w:r>
      <w:r>
        <w:rPr>
          <w:rFonts w:ascii="宋体" w:hAnsi="宋体"/>
          <w:sz w:val="24"/>
          <w:highlight w:val="none"/>
        </w:rPr>
        <w:t>履行时间</w:t>
      </w:r>
      <w:r>
        <w:rPr>
          <w:rFonts w:ascii="宋体" w:hAnsi="宋体"/>
          <w:bCs/>
          <w:sz w:val="24"/>
          <w:highlight w:val="none"/>
        </w:rPr>
        <w:t>：</w:t>
      </w:r>
      <w:r>
        <w:rPr>
          <w:rFonts w:hint="eastAsia" w:ascii="宋体" w:hAnsi="宋体"/>
          <w:bCs/>
          <w:sz w:val="24"/>
          <w:highlight w:val="none"/>
        </w:rPr>
        <w:t>90日历天。乙方不得以任</w:t>
      </w:r>
      <w:r>
        <w:rPr>
          <w:rFonts w:hint="eastAsia" w:ascii="宋体" w:hAnsi="宋体"/>
          <w:bCs/>
          <w:sz w:val="24"/>
          <w:highlight w:val="none"/>
        </w:rPr>
        <w:t>何理由提出工程延期要求，如工期延误的，按1000</w:t>
      </w:r>
      <w:r>
        <w:rPr>
          <w:rFonts w:hint="eastAsia" w:ascii="宋体" w:hAnsi="宋体"/>
          <w:bCs/>
          <w:color w:val="auto"/>
          <w:sz w:val="24"/>
          <w:highlight w:val="none"/>
        </w:rPr>
        <w:t>元/天扣除工程款，且承担甲方全部损失。</w:t>
      </w:r>
    </w:p>
    <w:p w14:paraId="0E3F2DA1">
      <w:pPr>
        <w:snapToGrid w:val="0"/>
        <w:spacing w:before="120" w:after="120" w:line="440" w:lineRule="exact"/>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履行地点</w:t>
      </w:r>
      <w:r>
        <w:rPr>
          <w:rFonts w:ascii="宋体" w:hAnsi="宋体"/>
          <w:bCs/>
          <w:color w:val="auto"/>
          <w:sz w:val="24"/>
          <w:highlight w:val="none"/>
        </w:rPr>
        <w:t>：</w:t>
      </w:r>
    </w:p>
    <w:p w14:paraId="6DDF05D1">
      <w:pPr>
        <w:spacing w:line="440" w:lineRule="exact"/>
        <w:rPr>
          <w:rFonts w:ascii="宋体" w:hAnsi="宋体"/>
          <w:b/>
          <w:color w:val="auto"/>
          <w:sz w:val="24"/>
          <w:highlight w:val="none"/>
        </w:rPr>
      </w:pPr>
      <w:r>
        <w:rPr>
          <w:rFonts w:hint="eastAsia" w:ascii="宋体" w:hAnsi="宋体"/>
          <w:b/>
          <w:color w:val="auto"/>
          <w:sz w:val="24"/>
          <w:highlight w:val="none"/>
        </w:rPr>
        <w:t>八</w:t>
      </w:r>
      <w:r>
        <w:rPr>
          <w:rFonts w:ascii="宋体" w:hAnsi="宋体"/>
          <w:b/>
          <w:color w:val="auto"/>
          <w:sz w:val="24"/>
          <w:highlight w:val="none"/>
        </w:rPr>
        <w:t>、付款方式</w:t>
      </w:r>
      <w:r>
        <w:rPr>
          <w:rFonts w:hint="eastAsia" w:ascii="宋体" w:hAnsi="宋体"/>
          <w:b/>
          <w:color w:val="auto"/>
          <w:sz w:val="24"/>
          <w:highlight w:val="none"/>
        </w:rPr>
        <w:t>：</w:t>
      </w:r>
    </w:p>
    <w:p w14:paraId="0E432373">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 xml:space="preserve">1、合同生效以及具备实施条件后7个工作日内支付合同价款的40%作为预付款（若供应商为大型企业，或合同签订时，供应商明确表示无需预付款或主动降低预付款比例的，采购人可不适用前述规定）； </w:t>
      </w:r>
    </w:p>
    <w:p w14:paraId="089620BE">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2、全部工程完工后在7个工作日内支付至合同价款的80%；</w:t>
      </w:r>
    </w:p>
    <w:p w14:paraId="16B8765D">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3、工程通过竣工验收合格后凭竣工验收报告在7个工作日内支付至合同价款的100%。</w:t>
      </w:r>
    </w:p>
    <w:p w14:paraId="7C8E9E82">
      <w:pPr>
        <w:snapToGrid w:val="0"/>
        <w:spacing w:before="120" w:after="120" w:line="440" w:lineRule="exact"/>
        <w:rPr>
          <w:rFonts w:ascii="宋体" w:hAnsi="宋体"/>
          <w:b/>
          <w:color w:val="auto"/>
          <w:sz w:val="24"/>
          <w:highlight w:val="none"/>
        </w:rPr>
      </w:pPr>
      <w:r>
        <w:rPr>
          <w:rFonts w:hint="eastAsia" w:ascii="宋体" w:hAnsi="宋体"/>
          <w:b/>
          <w:color w:val="auto"/>
          <w:sz w:val="24"/>
          <w:highlight w:val="none"/>
        </w:rPr>
        <w:t>九、税费</w:t>
      </w:r>
    </w:p>
    <w:p w14:paraId="26B901A2">
      <w:pPr>
        <w:snapToGrid w:val="0"/>
        <w:spacing w:before="120" w:after="120" w:line="440" w:lineRule="exact"/>
        <w:ind w:firstLine="480" w:firstLineChars="200"/>
        <w:rPr>
          <w:rFonts w:ascii="宋体" w:hAnsi="宋体"/>
          <w:color w:val="auto"/>
          <w:sz w:val="24"/>
          <w:highlight w:val="none"/>
        </w:rPr>
      </w:pPr>
      <w:r>
        <w:rPr>
          <w:rFonts w:hint="eastAsia" w:ascii="宋体" w:hAnsi="宋体"/>
          <w:color w:val="auto"/>
          <w:sz w:val="24"/>
          <w:highlight w:val="none"/>
        </w:rPr>
        <w:t>本合同执行中相关的一切税费均由</w:t>
      </w:r>
      <w:r>
        <w:rPr>
          <w:rFonts w:hAnsi="宋体"/>
          <w:color w:val="auto"/>
          <w:sz w:val="24"/>
          <w:highlight w:val="none"/>
        </w:rPr>
        <w:t>乙</w:t>
      </w:r>
      <w:r>
        <w:rPr>
          <w:rFonts w:hint="eastAsia" w:ascii="宋体" w:hAnsi="宋体"/>
          <w:color w:val="auto"/>
          <w:sz w:val="24"/>
          <w:highlight w:val="none"/>
        </w:rPr>
        <w:t>方负担。</w:t>
      </w:r>
    </w:p>
    <w:p w14:paraId="1F76560B">
      <w:pPr>
        <w:snapToGrid w:val="0"/>
        <w:spacing w:before="120" w:after="120" w:line="440" w:lineRule="exact"/>
        <w:rPr>
          <w:color w:val="auto"/>
          <w:sz w:val="24"/>
          <w:highlight w:val="none"/>
        </w:rPr>
      </w:pPr>
      <w:r>
        <w:rPr>
          <w:rFonts w:hint="eastAsia"/>
          <w:b/>
          <w:bCs/>
          <w:color w:val="auto"/>
          <w:sz w:val="24"/>
          <w:highlight w:val="none"/>
        </w:rPr>
        <w:t>十、履约</w:t>
      </w:r>
      <w:r>
        <w:rPr>
          <w:b/>
          <w:bCs/>
          <w:color w:val="auto"/>
          <w:sz w:val="24"/>
          <w:highlight w:val="none"/>
        </w:rPr>
        <w:t>保证金</w:t>
      </w:r>
      <w:r>
        <w:rPr>
          <w:rFonts w:hint="eastAsia"/>
          <w:b/>
          <w:bCs/>
          <w:color w:val="auto"/>
          <w:sz w:val="24"/>
          <w:highlight w:val="none"/>
        </w:rPr>
        <w:t>：</w:t>
      </w:r>
      <w:r>
        <w:rPr>
          <w:rFonts w:hint="eastAsia" w:ascii="宋体" w:hAnsi="宋体" w:cs="宋体"/>
          <w:color w:val="auto"/>
          <w:sz w:val="24"/>
          <w:highlight w:val="none"/>
        </w:rPr>
        <w:t>中标价的1%。</w:t>
      </w:r>
    </w:p>
    <w:p w14:paraId="6E4C46FC">
      <w:pPr>
        <w:snapToGrid w:val="0"/>
        <w:spacing w:before="120" w:after="120" w:line="440" w:lineRule="exact"/>
        <w:ind w:left="410" w:hanging="410"/>
        <w:rPr>
          <w:rFonts w:ascii="宋体" w:hAnsi="宋体"/>
          <w:color w:val="auto"/>
          <w:sz w:val="24"/>
          <w:highlight w:val="none"/>
        </w:rPr>
      </w:pPr>
      <w:r>
        <w:rPr>
          <w:rFonts w:ascii="宋体" w:hAnsi="宋体"/>
          <w:b/>
          <w:color w:val="auto"/>
          <w:sz w:val="24"/>
          <w:highlight w:val="none"/>
        </w:rPr>
        <w:t>十</w:t>
      </w:r>
      <w:r>
        <w:rPr>
          <w:rFonts w:hint="eastAsia" w:ascii="宋体" w:hAnsi="宋体"/>
          <w:b/>
          <w:color w:val="auto"/>
          <w:sz w:val="24"/>
          <w:highlight w:val="none"/>
        </w:rPr>
        <w:t>一</w:t>
      </w:r>
      <w:r>
        <w:rPr>
          <w:rFonts w:ascii="宋体" w:hAnsi="宋体"/>
          <w:b/>
          <w:color w:val="auto"/>
          <w:sz w:val="24"/>
          <w:highlight w:val="none"/>
        </w:rPr>
        <w:t>、质量保证及后续服务</w:t>
      </w:r>
    </w:p>
    <w:p w14:paraId="78BA3BE3">
      <w:pPr>
        <w:snapToGrid w:val="0"/>
        <w:spacing w:before="120" w:after="120" w:line="440" w:lineRule="exact"/>
        <w:ind w:left="426" w:leftChars="203" w:firstLine="12" w:firstLineChars="5"/>
        <w:rPr>
          <w:rFonts w:ascii="宋体" w:hAnsi="宋体"/>
          <w:sz w:val="24"/>
          <w:highlight w:val="none"/>
        </w:rPr>
      </w:pPr>
      <w:r>
        <w:rPr>
          <w:rFonts w:hint="eastAsia" w:ascii="宋体" w:hAnsi="宋体"/>
          <w:sz w:val="24"/>
          <w:highlight w:val="none"/>
        </w:rPr>
        <w:t>1、</w:t>
      </w:r>
      <w:r>
        <w:rPr>
          <w:rFonts w:ascii="宋体" w:hAnsi="宋体"/>
          <w:sz w:val="24"/>
          <w:highlight w:val="none"/>
        </w:rPr>
        <w:t>乙方应按招标文件规定向甲方提供服务。</w:t>
      </w:r>
    </w:p>
    <w:p w14:paraId="1E2A9A79">
      <w:pPr>
        <w:snapToGrid w:val="0"/>
        <w:spacing w:before="120" w:after="120" w:line="440" w:lineRule="exact"/>
        <w:ind w:firstLine="480" w:firstLineChars="200"/>
        <w:rPr>
          <w:rFonts w:ascii="宋体" w:hAnsi="宋体"/>
          <w:sz w:val="24"/>
          <w:highlight w:val="none"/>
        </w:rPr>
      </w:pPr>
      <w:r>
        <w:rPr>
          <w:rFonts w:hint="eastAsia" w:ascii="宋体" w:hAnsi="宋体"/>
          <w:sz w:val="24"/>
          <w:highlight w:val="none"/>
        </w:rPr>
        <w:t>2、</w:t>
      </w:r>
      <w:r>
        <w:rPr>
          <w:rFonts w:ascii="宋体" w:hAnsi="宋体"/>
          <w:sz w:val="24"/>
          <w:highlight w:val="none"/>
        </w:rPr>
        <w:t>乙方提供的服务成果在服务质量保证期内发生故障，乙方应负责免费提供后续服务。对达不到要求者，根据实际情况，经双方协商，可按以下办法处理：</w:t>
      </w:r>
    </w:p>
    <w:p w14:paraId="01B34584">
      <w:pPr>
        <w:snapToGrid w:val="0"/>
        <w:spacing w:before="120" w:after="120" w:line="440" w:lineRule="exact"/>
        <w:ind w:firstLine="420"/>
        <w:rPr>
          <w:rFonts w:ascii="宋体" w:hAnsi="宋体"/>
          <w:sz w:val="24"/>
          <w:highlight w:val="none"/>
        </w:rPr>
      </w:pPr>
      <w:r>
        <w:rPr>
          <w:rFonts w:ascii="宋体" w:hAnsi="宋体"/>
          <w:sz w:val="24"/>
          <w:highlight w:val="none"/>
        </w:rPr>
        <w:t>⑴重做：由乙方承担所发生的全部费用。</w:t>
      </w:r>
    </w:p>
    <w:p w14:paraId="7D27C5B7">
      <w:pPr>
        <w:snapToGrid w:val="0"/>
        <w:spacing w:before="120" w:after="120" w:line="440" w:lineRule="exact"/>
        <w:ind w:firstLine="420"/>
        <w:rPr>
          <w:rFonts w:ascii="宋体" w:hAnsi="宋体"/>
          <w:sz w:val="24"/>
          <w:highlight w:val="none"/>
        </w:rPr>
      </w:pPr>
      <w:r>
        <w:rPr>
          <w:rFonts w:ascii="宋体" w:hAnsi="宋体"/>
          <w:sz w:val="24"/>
          <w:highlight w:val="none"/>
        </w:rPr>
        <w:t>⑵贬值处理：由甲乙双方合议定价。</w:t>
      </w:r>
    </w:p>
    <w:p w14:paraId="43CD6D93">
      <w:pPr>
        <w:snapToGrid w:val="0"/>
        <w:spacing w:before="120" w:after="120" w:line="440" w:lineRule="exact"/>
        <w:ind w:left="420" w:leftChars="200"/>
        <w:rPr>
          <w:rFonts w:ascii="宋体" w:hAnsi="宋体"/>
          <w:sz w:val="24"/>
          <w:highlight w:val="none"/>
        </w:rPr>
      </w:pPr>
      <w:r>
        <w:rPr>
          <w:rFonts w:ascii="宋体" w:hAnsi="宋体"/>
          <w:sz w:val="24"/>
          <w:highlight w:val="none"/>
        </w:rPr>
        <w:t>⑶解除合同。</w:t>
      </w:r>
    </w:p>
    <w:p w14:paraId="1519667C">
      <w:pPr>
        <w:snapToGrid w:val="0"/>
        <w:spacing w:before="120" w:after="120" w:line="440" w:lineRule="exact"/>
        <w:ind w:firstLine="480" w:firstLineChars="200"/>
        <w:rPr>
          <w:rFonts w:ascii="宋体" w:hAnsi="宋体"/>
          <w:sz w:val="24"/>
          <w:highlight w:val="none"/>
        </w:rPr>
      </w:pPr>
      <w:r>
        <w:rPr>
          <w:rFonts w:hint="eastAsia" w:ascii="宋体" w:hAnsi="宋体"/>
          <w:sz w:val="24"/>
          <w:highlight w:val="none"/>
        </w:rPr>
        <w:t>3、</w:t>
      </w:r>
      <w:r>
        <w:rPr>
          <w:rFonts w:ascii="宋体" w:hAnsi="宋体"/>
          <w:sz w:val="24"/>
          <w:highlight w:val="none"/>
        </w:rPr>
        <w:t>如在使用过程中发生问题，乙方在接到甲方通知后</w:t>
      </w:r>
      <w:r>
        <w:rPr>
          <w:rFonts w:hint="eastAsia" w:ascii="宋体" w:hAnsi="宋体"/>
          <w:sz w:val="24"/>
          <w:highlight w:val="none"/>
          <w:u w:val="single"/>
        </w:rPr>
        <w:t>48</w:t>
      </w:r>
      <w:r>
        <w:rPr>
          <w:rFonts w:ascii="宋体" w:hAnsi="宋体"/>
          <w:sz w:val="24"/>
          <w:highlight w:val="none"/>
        </w:rPr>
        <w:t>小时内到达甲方现场。</w:t>
      </w:r>
    </w:p>
    <w:p w14:paraId="13CA621B">
      <w:pPr>
        <w:snapToGrid w:val="0"/>
        <w:spacing w:before="120" w:after="120" w:line="440" w:lineRule="exact"/>
        <w:ind w:firstLine="480" w:firstLineChars="200"/>
        <w:rPr>
          <w:rFonts w:ascii="宋体" w:hAnsi="宋体"/>
          <w:sz w:val="24"/>
          <w:highlight w:val="none"/>
        </w:rPr>
      </w:pPr>
      <w:r>
        <w:rPr>
          <w:rFonts w:hint="eastAsia" w:ascii="宋体" w:hAnsi="宋体"/>
          <w:sz w:val="24"/>
          <w:highlight w:val="none"/>
        </w:rPr>
        <w:t>4、</w:t>
      </w:r>
      <w:r>
        <w:rPr>
          <w:rFonts w:ascii="宋体" w:hAnsi="宋体"/>
          <w:sz w:val="24"/>
          <w:highlight w:val="none"/>
        </w:rPr>
        <w:t>在服务质量保证期内，乙方应对出现的质量及安全问题负责处理解决并承担一切费用。</w:t>
      </w:r>
    </w:p>
    <w:p w14:paraId="19C72E50">
      <w:pPr>
        <w:snapToGrid w:val="0"/>
        <w:spacing w:before="120" w:after="120" w:line="440" w:lineRule="exact"/>
        <w:rPr>
          <w:rFonts w:ascii="宋体" w:hAnsi="宋体"/>
          <w:b/>
          <w:sz w:val="24"/>
          <w:highlight w:val="none"/>
        </w:rPr>
      </w:pPr>
      <w:r>
        <w:rPr>
          <w:rFonts w:ascii="宋体" w:hAnsi="宋体"/>
          <w:b/>
          <w:sz w:val="24"/>
          <w:highlight w:val="none"/>
        </w:rPr>
        <w:t>十</w:t>
      </w:r>
      <w:r>
        <w:rPr>
          <w:rFonts w:hint="eastAsia" w:ascii="宋体" w:hAnsi="宋体"/>
          <w:b/>
          <w:sz w:val="24"/>
          <w:highlight w:val="none"/>
        </w:rPr>
        <w:t>二</w:t>
      </w:r>
      <w:r>
        <w:rPr>
          <w:rFonts w:ascii="宋体" w:hAnsi="宋体"/>
          <w:b/>
          <w:sz w:val="24"/>
          <w:highlight w:val="none"/>
        </w:rPr>
        <w:t>、违约责任</w:t>
      </w:r>
    </w:p>
    <w:p w14:paraId="6FE3D04D">
      <w:pPr>
        <w:snapToGrid w:val="0"/>
        <w:spacing w:before="120" w:after="120" w:line="440" w:lineRule="exact"/>
        <w:ind w:left="426" w:leftChars="203" w:firstLine="12" w:firstLineChars="5"/>
        <w:rPr>
          <w:rFonts w:ascii="宋体" w:hAnsi="宋体"/>
          <w:sz w:val="24"/>
          <w:highlight w:val="none"/>
        </w:rPr>
      </w:pPr>
      <w:r>
        <w:rPr>
          <w:rFonts w:hint="eastAsia" w:ascii="宋体" w:hAnsi="宋体"/>
          <w:sz w:val="24"/>
          <w:highlight w:val="none"/>
        </w:rPr>
        <w:t>1、</w:t>
      </w:r>
      <w:r>
        <w:rPr>
          <w:rFonts w:ascii="宋体" w:hAnsi="宋体"/>
          <w:sz w:val="24"/>
          <w:highlight w:val="none"/>
        </w:rPr>
        <w:t>甲方无正当理由拒收接受服务的，甲方向乙方偿付合同款项百分之五作为违约金。</w:t>
      </w:r>
    </w:p>
    <w:p w14:paraId="3A585612">
      <w:pPr>
        <w:snapToGrid w:val="0"/>
        <w:spacing w:before="120" w:after="120" w:line="440" w:lineRule="exact"/>
        <w:ind w:firstLine="480" w:firstLineChars="200"/>
        <w:rPr>
          <w:rFonts w:ascii="宋体" w:hAnsi="宋体"/>
          <w:sz w:val="24"/>
          <w:highlight w:val="none"/>
        </w:rPr>
      </w:pPr>
      <w:r>
        <w:rPr>
          <w:rFonts w:hint="eastAsia" w:ascii="宋体" w:hAnsi="宋体"/>
          <w:sz w:val="24"/>
          <w:highlight w:val="none"/>
        </w:rPr>
        <w:t>2、</w:t>
      </w:r>
      <w:r>
        <w:rPr>
          <w:rFonts w:ascii="宋体" w:hAnsi="宋体"/>
          <w:sz w:val="24"/>
          <w:highlight w:val="none"/>
        </w:rPr>
        <w:t>甲方无故逾期验收和办理款项支付手续的,甲方应按逾期付款总额每日万分之五向乙方支付违约金。</w:t>
      </w:r>
    </w:p>
    <w:p w14:paraId="7B9195C1">
      <w:pPr>
        <w:snapToGrid w:val="0"/>
        <w:spacing w:before="120" w:after="120" w:line="440" w:lineRule="exact"/>
        <w:ind w:firstLine="480" w:firstLineChars="200"/>
        <w:rPr>
          <w:rFonts w:ascii="宋体" w:hAnsi="宋体"/>
          <w:sz w:val="24"/>
          <w:highlight w:val="none"/>
        </w:rPr>
      </w:pPr>
      <w:r>
        <w:rPr>
          <w:rFonts w:hint="eastAsia" w:ascii="宋体" w:hAnsi="宋体"/>
          <w:sz w:val="24"/>
          <w:highlight w:val="none"/>
        </w:rPr>
        <w:t>3、</w:t>
      </w:r>
      <w:r>
        <w:rPr>
          <w:rFonts w:ascii="宋体" w:hAnsi="宋体"/>
          <w:sz w:val="24"/>
          <w:highlight w:val="none"/>
        </w:rPr>
        <w:t>乙方</w:t>
      </w:r>
      <w:r>
        <w:rPr>
          <w:rFonts w:hint="eastAsia" w:ascii="宋体" w:hAnsi="宋体"/>
          <w:sz w:val="24"/>
          <w:highlight w:val="none"/>
        </w:rPr>
        <w:t>未能如</w:t>
      </w:r>
      <w:r>
        <w:rPr>
          <w:rFonts w:ascii="宋体" w:hAnsi="宋体"/>
          <w:sz w:val="24"/>
          <w:highlight w:val="none"/>
        </w:rPr>
        <w:t>期提供服务的，每日向甲方支付</w:t>
      </w:r>
      <w:r>
        <w:rPr>
          <w:rFonts w:hint="eastAsia" w:ascii="宋体" w:hAnsi="宋体"/>
          <w:sz w:val="24"/>
          <w:highlight w:val="none"/>
        </w:rPr>
        <w:t>合同款项的</w:t>
      </w:r>
      <w:r>
        <w:rPr>
          <w:rFonts w:ascii="宋体" w:hAnsi="宋体"/>
          <w:sz w:val="24"/>
          <w:highlight w:val="none"/>
        </w:rPr>
        <w:t>千分之六</w:t>
      </w:r>
      <w:r>
        <w:rPr>
          <w:rFonts w:hint="eastAsia" w:ascii="宋体" w:hAnsi="宋体"/>
          <w:sz w:val="24"/>
          <w:highlight w:val="none"/>
        </w:rPr>
        <w:t>作为</w:t>
      </w:r>
      <w:r>
        <w:rPr>
          <w:rFonts w:ascii="宋体" w:hAnsi="宋体"/>
          <w:sz w:val="24"/>
          <w:highlight w:val="none"/>
        </w:rPr>
        <w:t>违约金。乙方超过约定日期10个工作日</w:t>
      </w:r>
      <w:r>
        <w:rPr>
          <w:rFonts w:hint="eastAsia" w:ascii="宋体" w:hAnsi="宋体"/>
          <w:sz w:val="24"/>
          <w:highlight w:val="none"/>
        </w:rPr>
        <w:t>仍</w:t>
      </w:r>
      <w:r>
        <w:rPr>
          <w:rFonts w:ascii="宋体" w:hAnsi="宋体"/>
          <w:sz w:val="24"/>
          <w:highlight w:val="none"/>
        </w:rPr>
        <w:t>不能</w:t>
      </w:r>
      <w:r>
        <w:rPr>
          <w:rFonts w:hint="eastAsia" w:ascii="宋体" w:hAnsi="宋体"/>
          <w:sz w:val="24"/>
          <w:highlight w:val="none"/>
        </w:rPr>
        <w:t>提供服务</w:t>
      </w:r>
      <w:r>
        <w:rPr>
          <w:rFonts w:ascii="宋体" w:hAnsi="宋体"/>
          <w:sz w:val="24"/>
          <w:highlight w:val="none"/>
        </w:rPr>
        <w:t>的，甲方可解除本合同。乙方因</w:t>
      </w:r>
      <w:r>
        <w:rPr>
          <w:rFonts w:hint="eastAsia" w:ascii="宋体" w:hAnsi="宋体"/>
          <w:sz w:val="24"/>
          <w:highlight w:val="none"/>
        </w:rPr>
        <w:t>未能如</w:t>
      </w:r>
      <w:r>
        <w:rPr>
          <w:rFonts w:ascii="宋体" w:hAnsi="宋体"/>
          <w:sz w:val="24"/>
          <w:highlight w:val="none"/>
        </w:rPr>
        <w:t xml:space="preserve">期提供服务或因其他违约行为导致甲方解除合同的，乙方应向甲方支付合同总值5%的违约金，如造成甲方损失超过违约金的，超出部分由乙方继续承担赔偿责任。 </w:t>
      </w:r>
    </w:p>
    <w:p w14:paraId="076EDEEA">
      <w:pPr>
        <w:snapToGrid w:val="0"/>
        <w:spacing w:before="120" w:after="120" w:line="440" w:lineRule="exact"/>
        <w:rPr>
          <w:rFonts w:ascii="宋体" w:hAnsi="宋体"/>
          <w:b/>
          <w:sz w:val="24"/>
          <w:highlight w:val="none"/>
        </w:rPr>
      </w:pPr>
      <w:r>
        <w:rPr>
          <w:rFonts w:ascii="宋体" w:hAnsi="宋体"/>
          <w:b/>
          <w:sz w:val="24"/>
          <w:highlight w:val="none"/>
        </w:rPr>
        <w:t>十</w:t>
      </w:r>
      <w:r>
        <w:rPr>
          <w:rFonts w:hint="eastAsia" w:ascii="宋体" w:hAnsi="宋体"/>
          <w:b/>
          <w:sz w:val="24"/>
          <w:highlight w:val="none"/>
        </w:rPr>
        <w:t>三</w:t>
      </w:r>
      <w:r>
        <w:rPr>
          <w:rFonts w:ascii="宋体" w:hAnsi="宋体"/>
          <w:b/>
          <w:sz w:val="24"/>
          <w:highlight w:val="none"/>
        </w:rPr>
        <w:t>、不可抗力事件处理</w:t>
      </w:r>
    </w:p>
    <w:p w14:paraId="45F6DE77">
      <w:pPr>
        <w:snapToGrid w:val="0"/>
        <w:spacing w:before="120" w:after="120" w:line="440" w:lineRule="exact"/>
        <w:ind w:firstLine="480" w:firstLineChars="200"/>
        <w:rPr>
          <w:rFonts w:ascii="宋体" w:hAnsi="宋体"/>
          <w:sz w:val="24"/>
          <w:highlight w:val="none"/>
        </w:rPr>
      </w:pPr>
      <w:r>
        <w:rPr>
          <w:rFonts w:hint="eastAsia" w:ascii="宋体" w:hAnsi="宋体"/>
          <w:sz w:val="24"/>
          <w:highlight w:val="none"/>
        </w:rPr>
        <w:t>1、</w:t>
      </w:r>
      <w:r>
        <w:rPr>
          <w:rFonts w:ascii="宋体" w:hAnsi="宋体"/>
          <w:sz w:val="24"/>
          <w:highlight w:val="none"/>
        </w:rPr>
        <w:t>在合同有效期内，任何一方因不可抗力事件导致不能履行合同，则合同履行期可延长，其延长期与不可抗力影响期相同。</w:t>
      </w:r>
    </w:p>
    <w:p w14:paraId="11AC6C4C">
      <w:pPr>
        <w:snapToGrid w:val="0"/>
        <w:spacing w:before="120" w:after="120" w:line="440" w:lineRule="exact"/>
        <w:ind w:firstLine="480" w:firstLineChars="200"/>
        <w:rPr>
          <w:rFonts w:ascii="宋体" w:hAnsi="宋体"/>
          <w:sz w:val="24"/>
          <w:highlight w:val="none"/>
        </w:rPr>
      </w:pPr>
      <w:r>
        <w:rPr>
          <w:rFonts w:hint="eastAsia" w:ascii="宋体" w:hAnsi="宋体"/>
          <w:sz w:val="24"/>
          <w:highlight w:val="none"/>
        </w:rPr>
        <w:t>2、</w:t>
      </w:r>
      <w:r>
        <w:rPr>
          <w:rFonts w:ascii="宋体" w:hAnsi="宋体"/>
          <w:sz w:val="24"/>
          <w:highlight w:val="none"/>
        </w:rPr>
        <w:t>不可抗力事件发生后，应立即通知对方，并寄送有关权威机构出具的证明。</w:t>
      </w:r>
    </w:p>
    <w:p w14:paraId="60C1F4CD">
      <w:pPr>
        <w:snapToGrid w:val="0"/>
        <w:spacing w:before="120" w:after="120" w:line="440" w:lineRule="exact"/>
        <w:ind w:firstLine="480" w:firstLineChars="200"/>
        <w:rPr>
          <w:rFonts w:ascii="宋体" w:hAnsi="宋体"/>
          <w:sz w:val="24"/>
          <w:highlight w:val="none"/>
        </w:rPr>
      </w:pPr>
      <w:r>
        <w:rPr>
          <w:rFonts w:hint="eastAsia" w:ascii="宋体" w:hAnsi="宋体"/>
          <w:sz w:val="24"/>
          <w:highlight w:val="none"/>
        </w:rPr>
        <w:t>3、</w:t>
      </w:r>
      <w:r>
        <w:rPr>
          <w:rFonts w:ascii="宋体" w:hAnsi="宋体"/>
          <w:sz w:val="24"/>
          <w:highlight w:val="none"/>
        </w:rPr>
        <w:t>不可抗力事件延续120天以上，双方应通过友好协商，确定是否继续履行合同。</w:t>
      </w:r>
    </w:p>
    <w:p w14:paraId="1203093D">
      <w:pPr>
        <w:snapToGrid w:val="0"/>
        <w:spacing w:before="120" w:after="120" w:line="440" w:lineRule="exact"/>
        <w:rPr>
          <w:rFonts w:ascii="宋体" w:hAnsi="宋体"/>
          <w:b/>
          <w:sz w:val="24"/>
          <w:highlight w:val="none"/>
        </w:rPr>
      </w:pPr>
      <w:r>
        <w:rPr>
          <w:rFonts w:ascii="宋体" w:hAnsi="宋体"/>
          <w:b/>
          <w:sz w:val="24"/>
          <w:highlight w:val="none"/>
        </w:rPr>
        <w:t>十</w:t>
      </w:r>
      <w:r>
        <w:rPr>
          <w:rFonts w:hint="eastAsia" w:ascii="宋体" w:hAnsi="宋体"/>
          <w:b/>
          <w:sz w:val="24"/>
          <w:highlight w:val="none"/>
        </w:rPr>
        <w:t>四</w:t>
      </w:r>
      <w:r>
        <w:rPr>
          <w:rFonts w:ascii="宋体" w:hAnsi="宋体"/>
          <w:b/>
          <w:sz w:val="24"/>
          <w:highlight w:val="none"/>
        </w:rPr>
        <w:t>、诉讼</w:t>
      </w:r>
    </w:p>
    <w:p w14:paraId="3F4FA15B">
      <w:pPr>
        <w:snapToGrid w:val="0"/>
        <w:spacing w:before="120" w:after="120" w:line="440" w:lineRule="exact"/>
        <w:ind w:firstLine="480" w:firstLineChars="200"/>
        <w:jc w:val="left"/>
        <w:rPr>
          <w:rFonts w:ascii="宋体" w:hAnsi="宋体"/>
          <w:sz w:val="24"/>
          <w:highlight w:val="none"/>
        </w:rPr>
      </w:pPr>
      <w:r>
        <w:rPr>
          <w:rFonts w:ascii="宋体" w:hAnsi="宋体"/>
          <w:sz w:val="24"/>
          <w:highlight w:val="none"/>
        </w:rPr>
        <w:t>双方在执行合同中所发生的一切争议，应通过协商解决。如协商不成，可向</w:t>
      </w:r>
      <w:r>
        <w:rPr>
          <w:rFonts w:hint="eastAsia" w:ascii="宋体" w:hAnsi="宋体"/>
          <w:sz w:val="24"/>
          <w:highlight w:val="none"/>
        </w:rPr>
        <w:t>甲方所在</w:t>
      </w:r>
      <w:r>
        <w:rPr>
          <w:rFonts w:ascii="宋体" w:hAnsi="宋体"/>
          <w:sz w:val="24"/>
          <w:highlight w:val="none"/>
        </w:rPr>
        <w:t>地法院起诉。</w:t>
      </w:r>
    </w:p>
    <w:p w14:paraId="6EE28D8E">
      <w:pPr>
        <w:snapToGrid w:val="0"/>
        <w:spacing w:before="120" w:after="120" w:line="440" w:lineRule="exact"/>
        <w:rPr>
          <w:rFonts w:ascii="宋体" w:hAnsi="宋体"/>
          <w:b/>
          <w:sz w:val="24"/>
          <w:highlight w:val="none"/>
        </w:rPr>
      </w:pPr>
      <w:r>
        <w:rPr>
          <w:rFonts w:ascii="宋体" w:hAnsi="宋体"/>
          <w:b/>
          <w:sz w:val="24"/>
          <w:highlight w:val="none"/>
        </w:rPr>
        <w:t>十</w:t>
      </w:r>
      <w:r>
        <w:rPr>
          <w:rFonts w:hint="eastAsia" w:ascii="宋体" w:hAnsi="宋体"/>
          <w:b/>
          <w:sz w:val="24"/>
          <w:highlight w:val="none"/>
        </w:rPr>
        <w:t>五</w:t>
      </w:r>
      <w:r>
        <w:rPr>
          <w:rFonts w:ascii="宋体" w:hAnsi="宋体"/>
          <w:b/>
          <w:sz w:val="24"/>
          <w:highlight w:val="none"/>
        </w:rPr>
        <w:t>、合同生效及其它</w:t>
      </w:r>
    </w:p>
    <w:p w14:paraId="38B06A3B">
      <w:pPr>
        <w:snapToGrid w:val="0"/>
        <w:spacing w:before="120" w:after="120" w:line="440" w:lineRule="exact"/>
        <w:ind w:firstLine="480" w:firstLineChars="200"/>
        <w:rPr>
          <w:rFonts w:ascii="宋体" w:hAnsi="宋体"/>
          <w:sz w:val="24"/>
          <w:highlight w:val="none"/>
        </w:rPr>
      </w:pPr>
      <w:r>
        <w:rPr>
          <w:rFonts w:hint="eastAsia" w:ascii="宋体" w:hAnsi="宋体"/>
          <w:sz w:val="24"/>
          <w:highlight w:val="none"/>
        </w:rPr>
        <w:t>1、</w:t>
      </w:r>
      <w:r>
        <w:rPr>
          <w:rFonts w:ascii="宋体" w:hAnsi="宋体"/>
          <w:sz w:val="24"/>
          <w:highlight w:val="none"/>
        </w:rPr>
        <w:t>合同经</w:t>
      </w:r>
      <w:r>
        <w:rPr>
          <w:rFonts w:hint="eastAsia" w:ascii="宋体" w:hAnsi="宋体"/>
          <w:sz w:val="24"/>
          <w:highlight w:val="none"/>
        </w:rPr>
        <w:t>三</w:t>
      </w:r>
      <w:r>
        <w:rPr>
          <w:rFonts w:ascii="宋体" w:hAnsi="宋体"/>
          <w:sz w:val="24"/>
          <w:highlight w:val="none"/>
        </w:rPr>
        <w:t>方法定代表人或授权代表签字并加盖单位公章后</w:t>
      </w:r>
      <w:r>
        <w:rPr>
          <w:rFonts w:hint="eastAsia" w:ascii="宋体" w:hAnsi="宋体"/>
          <w:sz w:val="24"/>
          <w:highlight w:val="none"/>
        </w:rPr>
        <w:t>，报东阳市财政局采监科备案后</w:t>
      </w:r>
      <w:r>
        <w:rPr>
          <w:rFonts w:ascii="宋体" w:hAnsi="宋体"/>
          <w:sz w:val="24"/>
          <w:highlight w:val="none"/>
        </w:rPr>
        <w:t>生效。</w:t>
      </w:r>
    </w:p>
    <w:p w14:paraId="310B1B3E">
      <w:pPr>
        <w:snapToGrid w:val="0"/>
        <w:spacing w:before="120" w:after="120" w:line="440" w:lineRule="exact"/>
        <w:ind w:firstLine="480" w:firstLineChars="200"/>
        <w:rPr>
          <w:rFonts w:ascii="宋体" w:hAnsi="宋体"/>
          <w:sz w:val="24"/>
          <w:highlight w:val="none"/>
        </w:rPr>
      </w:pPr>
      <w:r>
        <w:rPr>
          <w:rFonts w:hint="eastAsia" w:ascii="宋体" w:hAnsi="宋体"/>
          <w:sz w:val="24"/>
          <w:highlight w:val="none"/>
        </w:rPr>
        <w:t>2、</w:t>
      </w:r>
      <w:r>
        <w:rPr>
          <w:rFonts w:ascii="宋体" w:hAnsi="宋体"/>
          <w:sz w:val="24"/>
          <w:highlight w:val="none"/>
        </w:rPr>
        <w:t>合同执行中涉及采购资金和采购内容修改或补充的，须经财政部门审批，并签书面补充协议报政府采购监督管理部门备案，方可作为主合同不可分割的一部分。</w:t>
      </w:r>
    </w:p>
    <w:p w14:paraId="125183D4">
      <w:pPr>
        <w:snapToGrid w:val="0"/>
        <w:spacing w:before="120" w:after="120" w:line="440" w:lineRule="exact"/>
        <w:ind w:firstLine="480" w:firstLineChars="200"/>
        <w:rPr>
          <w:rFonts w:ascii="宋体" w:hAnsi="宋体"/>
          <w:sz w:val="24"/>
          <w:highlight w:val="none"/>
        </w:rPr>
      </w:pPr>
      <w:r>
        <w:rPr>
          <w:rFonts w:hint="eastAsia" w:ascii="宋体" w:hAnsi="宋体"/>
          <w:sz w:val="24"/>
          <w:highlight w:val="none"/>
        </w:rPr>
        <w:t>3、</w:t>
      </w:r>
      <w:r>
        <w:rPr>
          <w:rFonts w:ascii="宋体" w:hAnsi="宋体"/>
          <w:sz w:val="24"/>
          <w:highlight w:val="none"/>
        </w:rPr>
        <w:t>本合同未尽事宜，遵照</w:t>
      </w:r>
      <w:r>
        <w:rPr>
          <w:rFonts w:hint="eastAsia" w:ascii="宋体" w:hAnsi="宋体"/>
          <w:sz w:val="24"/>
          <w:highlight w:val="none"/>
        </w:rPr>
        <w:t>《中华人民共和国民法典》</w:t>
      </w:r>
      <w:r>
        <w:rPr>
          <w:rFonts w:ascii="宋体" w:hAnsi="宋体"/>
          <w:sz w:val="24"/>
          <w:highlight w:val="none"/>
        </w:rPr>
        <w:t>有关条文执行。</w:t>
      </w:r>
    </w:p>
    <w:p w14:paraId="60DF0063">
      <w:pPr>
        <w:spacing w:line="440" w:lineRule="exact"/>
        <w:ind w:firstLine="480" w:firstLineChars="200"/>
        <w:rPr>
          <w:rFonts w:ascii="宋体" w:hAnsi="宋体"/>
          <w:sz w:val="24"/>
          <w:highlight w:val="none"/>
        </w:rPr>
      </w:pPr>
      <w:r>
        <w:rPr>
          <w:rFonts w:hint="eastAsia" w:ascii="宋体" w:hAnsi="宋体"/>
          <w:sz w:val="24"/>
          <w:highlight w:val="none"/>
        </w:rPr>
        <w:t>4、本合同一式六份，东阳市财政局采监科、招标代理机构各执一份，甲、乙双方各执二份，其都具有同等法律效力。</w:t>
      </w:r>
    </w:p>
    <w:p w14:paraId="0778EDE8">
      <w:pPr>
        <w:spacing w:line="440" w:lineRule="exact"/>
        <w:ind w:firstLine="482" w:firstLineChars="200"/>
        <w:rPr>
          <w:highlight w:val="none"/>
        </w:rPr>
      </w:pPr>
      <w:r>
        <w:rPr>
          <w:rFonts w:hint="eastAsia" w:ascii="宋体" w:hAnsi="宋体"/>
          <w:b/>
          <w:sz w:val="24"/>
          <w:highlight w:val="none"/>
        </w:rPr>
        <w:t>5、后附政府采购廉洁承诺书。</w:t>
      </w:r>
    </w:p>
    <w:p w14:paraId="432E5FF5">
      <w:pPr>
        <w:spacing w:before="120" w:after="120" w:line="440" w:lineRule="exact"/>
        <w:rPr>
          <w:rFonts w:ascii="宋体" w:hAnsi="宋体"/>
          <w:sz w:val="24"/>
          <w:highlight w:val="none"/>
        </w:rPr>
      </w:pPr>
      <w:r>
        <w:rPr>
          <w:rFonts w:hint="eastAsia" w:ascii="宋体" w:hAnsi="宋体"/>
          <w:b/>
          <w:bCs/>
          <w:sz w:val="24"/>
          <w:highlight w:val="none"/>
        </w:rPr>
        <w:t>甲方（盖公章）：                       乙方（盖公章）：</w:t>
      </w:r>
    </w:p>
    <w:p w14:paraId="39FC904C">
      <w:pPr>
        <w:snapToGrid w:val="0"/>
        <w:spacing w:before="120" w:after="120" w:line="440" w:lineRule="exact"/>
        <w:ind w:leftChars="-1" w:hanging="2"/>
        <w:rPr>
          <w:rFonts w:ascii="宋体" w:hAnsi="宋体"/>
          <w:sz w:val="24"/>
          <w:highlight w:val="none"/>
        </w:rPr>
      </w:pPr>
      <w:r>
        <w:rPr>
          <w:rFonts w:hint="eastAsia" w:ascii="宋体" w:hAnsi="宋体"/>
          <w:sz w:val="24"/>
          <w:highlight w:val="none"/>
        </w:rPr>
        <w:t>法定代表人或受委托人                 法定代表人或受委托人</w:t>
      </w:r>
    </w:p>
    <w:p w14:paraId="76B5AD33">
      <w:pPr>
        <w:snapToGrid w:val="0"/>
        <w:spacing w:before="120" w:after="120" w:line="440" w:lineRule="exact"/>
        <w:ind w:left="1" w:leftChars="-28" w:hanging="60"/>
        <w:rPr>
          <w:rFonts w:ascii="宋体" w:hAnsi="宋体"/>
          <w:sz w:val="24"/>
          <w:highlight w:val="none"/>
        </w:rPr>
      </w:pPr>
      <w:r>
        <w:rPr>
          <w:rFonts w:hint="eastAsia" w:ascii="宋体" w:hAnsi="宋体"/>
          <w:sz w:val="24"/>
          <w:highlight w:val="none"/>
        </w:rPr>
        <w:t>（签字）                             （签字）</w:t>
      </w:r>
    </w:p>
    <w:p w14:paraId="2F1D70DA">
      <w:pPr>
        <w:snapToGrid w:val="0"/>
        <w:spacing w:before="120" w:after="120" w:line="440" w:lineRule="exact"/>
        <w:ind w:leftChars="-1" w:hanging="2"/>
        <w:rPr>
          <w:rFonts w:ascii="宋体" w:hAnsi="宋体"/>
          <w:sz w:val="24"/>
          <w:highlight w:val="none"/>
        </w:rPr>
      </w:pPr>
      <w:r>
        <w:rPr>
          <w:rFonts w:hint="eastAsia" w:ascii="宋体" w:hAnsi="宋体"/>
          <w:sz w:val="24"/>
          <w:highlight w:val="none"/>
        </w:rPr>
        <w:t>地址：                               地址：</w:t>
      </w:r>
    </w:p>
    <w:p w14:paraId="0DFB14FF">
      <w:pPr>
        <w:snapToGrid w:val="0"/>
        <w:spacing w:before="120" w:after="120" w:line="440" w:lineRule="exact"/>
        <w:ind w:leftChars="-1" w:hanging="2"/>
        <w:rPr>
          <w:rFonts w:ascii="宋体" w:hAnsi="宋体"/>
          <w:sz w:val="24"/>
          <w:highlight w:val="none"/>
        </w:rPr>
      </w:pPr>
      <w:r>
        <w:rPr>
          <w:rFonts w:hint="eastAsia" w:ascii="宋体" w:hAnsi="宋体"/>
          <w:sz w:val="24"/>
          <w:highlight w:val="none"/>
        </w:rPr>
        <w:t>邮编：                               邮编：</w:t>
      </w:r>
    </w:p>
    <w:p w14:paraId="587B1811">
      <w:pPr>
        <w:snapToGrid w:val="0"/>
        <w:spacing w:before="120" w:after="120" w:line="440" w:lineRule="exact"/>
        <w:ind w:leftChars="-1" w:hanging="2"/>
        <w:rPr>
          <w:rFonts w:ascii="宋体" w:hAnsi="宋体"/>
          <w:sz w:val="24"/>
          <w:highlight w:val="none"/>
        </w:rPr>
      </w:pPr>
      <w:r>
        <w:rPr>
          <w:rFonts w:hint="eastAsia" w:ascii="宋体" w:hAnsi="宋体"/>
          <w:sz w:val="24"/>
          <w:highlight w:val="none"/>
        </w:rPr>
        <w:t>电话：                               电话：</w:t>
      </w:r>
    </w:p>
    <w:p w14:paraId="551964F8">
      <w:pPr>
        <w:snapToGrid w:val="0"/>
        <w:spacing w:before="120" w:after="120" w:line="440" w:lineRule="exact"/>
        <w:ind w:leftChars="-1" w:hanging="2"/>
        <w:rPr>
          <w:rFonts w:ascii="宋体" w:hAnsi="宋体"/>
          <w:sz w:val="24"/>
          <w:highlight w:val="none"/>
        </w:rPr>
      </w:pPr>
      <w:r>
        <w:rPr>
          <w:rFonts w:hint="eastAsia" w:ascii="宋体" w:hAnsi="宋体"/>
          <w:sz w:val="24"/>
          <w:highlight w:val="none"/>
        </w:rPr>
        <w:t>传真：                               传真：</w:t>
      </w:r>
    </w:p>
    <w:p w14:paraId="74189BA0">
      <w:pPr>
        <w:spacing w:line="440" w:lineRule="exact"/>
        <w:rPr>
          <w:rFonts w:ascii="宋体" w:hAnsi="宋体"/>
          <w:sz w:val="24"/>
          <w:highlight w:val="none"/>
        </w:rPr>
      </w:pPr>
      <w:r>
        <w:rPr>
          <w:rFonts w:hint="eastAsia" w:ascii="宋体" w:hAnsi="宋体"/>
          <w:sz w:val="24"/>
          <w:highlight w:val="none"/>
        </w:rPr>
        <w:t>开户银行：                           开户银行：</w:t>
      </w:r>
    </w:p>
    <w:p w14:paraId="5604CB27">
      <w:pPr>
        <w:snapToGrid w:val="0"/>
        <w:spacing w:before="120" w:after="120" w:line="440" w:lineRule="exact"/>
        <w:ind w:leftChars="-1" w:hanging="2"/>
        <w:rPr>
          <w:rFonts w:ascii="宋体" w:hAnsi="宋体"/>
          <w:sz w:val="24"/>
          <w:highlight w:val="none"/>
        </w:rPr>
      </w:pPr>
      <w:r>
        <w:rPr>
          <w:rFonts w:hint="eastAsia" w:ascii="宋体" w:hAnsi="宋体"/>
          <w:sz w:val="24"/>
          <w:highlight w:val="none"/>
        </w:rPr>
        <w:t>账号：                               账号：</w:t>
      </w:r>
    </w:p>
    <w:p w14:paraId="0C99AE49">
      <w:pPr>
        <w:snapToGrid w:val="0"/>
        <w:spacing w:before="156" w:after="156" w:line="440" w:lineRule="exact"/>
        <w:rPr>
          <w:rFonts w:ascii="宋体" w:hAnsi="宋体"/>
          <w:sz w:val="24"/>
          <w:highlight w:val="none"/>
        </w:rPr>
      </w:pPr>
    </w:p>
    <w:p w14:paraId="5D580113">
      <w:pPr>
        <w:snapToGrid w:val="0"/>
        <w:spacing w:before="156" w:after="156" w:line="440" w:lineRule="exact"/>
        <w:rPr>
          <w:rFonts w:ascii="宋体" w:hAnsi="宋体"/>
          <w:sz w:val="24"/>
          <w:highlight w:val="none"/>
        </w:rPr>
      </w:pPr>
      <w:r>
        <w:rPr>
          <w:rFonts w:hint="eastAsia" w:ascii="宋体" w:hAnsi="宋体"/>
          <w:sz w:val="24"/>
          <w:highlight w:val="none"/>
        </w:rPr>
        <w:t>鉴证方:</w:t>
      </w:r>
    </w:p>
    <w:p w14:paraId="2664147A">
      <w:pPr>
        <w:snapToGrid w:val="0"/>
        <w:spacing w:before="156" w:after="156" w:line="440" w:lineRule="exact"/>
        <w:rPr>
          <w:rFonts w:ascii="宋体" w:hAnsi="宋体"/>
          <w:sz w:val="24"/>
          <w:highlight w:val="none"/>
        </w:rPr>
      </w:pPr>
      <w:r>
        <w:rPr>
          <w:rFonts w:hint="eastAsia" w:ascii="宋体" w:hAnsi="宋体"/>
          <w:sz w:val="24"/>
          <w:highlight w:val="none"/>
        </w:rPr>
        <w:t>法定代表人或主要负责人:</w:t>
      </w:r>
    </w:p>
    <w:p w14:paraId="4F10CD80">
      <w:pPr>
        <w:spacing w:line="440" w:lineRule="exact"/>
        <w:rPr>
          <w:rFonts w:ascii="宋体" w:hAnsi="宋体"/>
          <w:sz w:val="24"/>
          <w:highlight w:val="none"/>
        </w:rPr>
      </w:pPr>
      <w:r>
        <w:rPr>
          <w:rFonts w:hint="eastAsia" w:ascii="宋体" w:hAnsi="宋体"/>
          <w:sz w:val="24"/>
          <w:highlight w:val="none"/>
        </w:rPr>
        <w:t>签约地点：</w:t>
      </w:r>
    </w:p>
    <w:p w14:paraId="10BED00B">
      <w:pPr>
        <w:spacing w:line="440" w:lineRule="exact"/>
        <w:rPr>
          <w:rFonts w:ascii="宋体" w:hAnsi="宋体"/>
          <w:b/>
          <w:sz w:val="24"/>
          <w:highlight w:val="none"/>
        </w:rPr>
      </w:pPr>
      <w:r>
        <w:rPr>
          <w:rFonts w:hint="eastAsia" w:ascii="宋体" w:hAnsi="宋体"/>
          <w:sz w:val="24"/>
          <w:highlight w:val="none"/>
        </w:rPr>
        <w:t>签约时间：</w:t>
      </w:r>
    </w:p>
    <w:p w14:paraId="5452FB46">
      <w:pPr>
        <w:pStyle w:val="11"/>
        <w:rPr>
          <w:rFonts w:ascii="宋体" w:hAnsi="宋体"/>
          <w:sz w:val="24"/>
          <w:szCs w:val="24"/>
          <w:highlight w:val="none"/>
        </w:rPr>
      </w:pPr>
    </w:p>
    <w:p w14:paraId="42C5533E">
      <w:pPr>
        <w:spacing w:line="420" w:lineRule="exact"/>
        <w:jc w:val="center"/>
        <w:rPr>
          <w:rFonts w:ascii="宋体" w:hAnsi="宋体"/>
          <w:sz w:val="24"/>
          <w:highlight w:val="none"/>
        </w:rPr>
      </w:pPr>
      <w:r>
        <w:rPr>
          <w:rFonts w:hint="eastAsia" w:ascii="宋体" w:hAnsi="宋体" w:cs="宋体"/>
          <w:b/>
          <w:sz w:val="24"/>
          <w:highlight w:val="none"/>
        </w:rPr>
        <w:t>注：签订合同时，可以使用项目相关国家标准合同文本。</w:t>
      </w:r>
    </w:p>
    <w:p w14:paraId="5503ABA9">
      <w:pPr>
        <w:pageBreakBefore/>
        <w:spacing w:line="360" w:lineRule="auto"/>
        <w:jc w:val="center"/>
        <w:rPr>
          <w:rFonts w:ascii="宋体" w:hAnsi="宋体" w:cs="宋体"/>
          <w:b/>
          <w:sz w:val="24"/>
          <w:highlight w:val="none"/>
        </w:rPr>
      </w:pPr>
      <w:r>
        <w:rPr>
          <w:rFonts w:hint="eastAsia" w:ascii="宋体" w:hAnsi="宋体" w:cs="宋体"/>
          <w:b/>
          <w:sz w:val="24"/>
          <w:highlight w:val="none"/>
        </w:rPr>
        <w:t>政府采购廉洁承诺书</w:t>
      </w:r>
    </w:p>
    <w:p w14:paraId="70B954D4">
      <w:pPr>
        <w:spacing w:line="360" w:lineRule="auto"/>
        <w:jc w:val="center"/>
        <w:rPr>
          <w:rFonts w:ascii="宋体" w:hAnsi="宋体" w:cs="宋体"/>
          <w:b/>
          <w:sz w:val="24"/>
          <w:highlight w:val="none"/>
        </w:rPr>
      </w:pPr>
      <w:r>
        <w:rPr>
          <w:rFonts w:hint="eastAsia" w:ascii="宋体" w:hAnsi="宋体" w:cs="宋体"/>
          <w:b/>
          <w:sz w:val="24"/>
          <w:highlight w:val="none"/>
        </w:rPr>
        <w:t>（中标人须将此表附在合同后）</w:t>
      </w:r>
    </w:p>
    <w:p w14:paraId="06EDBB47">
      <w:pPr>
        <w:spacing w:line="360" w:lineRule="auto"/>
        <w:jc w:val="center"/>
        <w:rPr>
          <w:rFonts w:ascii="宋体" w:hAnsi="宋体" w:cs="宋体"/>
          <w:b/>
          <w:sz w:val="24"/>
          <w:highlight w:val="none"/>
        </w:rPr>
      </w:pPr>
    </w:p>
    <w:p w14:paraId="6E6AD601">
      <w:pPr>
        <w:spacing w:line="360" w:lineRule="auto"/>
        <w:rPr>
          <w:rFonts w:ascii="宋体" w:hAnsi="宋体" w:cs="宋体"/>
          <w:sz w:val="24"/>
          <w:highlight w:val="none"/>
        </w:rPr>
      </w:pPr>
      <w:r>
        <w:rPr>
          <w:rFonts w:hint="eastAsia" w:ascii="宋体" w:hAnsi="宋体" w:cs="宋体"/>
          <w:sz w:val="24"/>
          <w:highlight w:val="none"/>
        </w:rPr>
        <w:t>项目名称：                                     项目编号：</w:t>
      </w:r>
    </w:p>
    <w:p w14:paraId="374A9DD6">
      <w:pPr>
        <w:spacing w:line="360" w:lineRule="auto"/>
        <w:rPr>
          <w:rFonts w:ascii="宋体" w:hAnsi="宋体" w:cs="宋体"/>
          <w:sz w:val="24"/>
          <w:highlight w:val="none"/>
        </w:rPr>
      </w:pPr>
      <w:r>
        <w:rPr>
          <w:rFonts w:hint="eastAsia" w:ascii="宋体" w:hAnsi="宋体" w:cs="宋体"/>
          <w:sz w:val="24"/>
          <w:highlight w:val="none"/>
        </w:rPr>
        <w:t>中标人：</w:t>
      </w:r>
    </w:p>
    <w:p w14:paraId="2561275E">
      <w:pPr>
        <w:spacing w:line="400" w:lineRule="exact"/>
        <w:ind w:firstLine="480" w:firstLineChars="200"/>
        <w:rPr>
          <w:rFonts w:ascii="宋体" w:hAnsi="宋体" w:cs="宋体"/>
          <w:sz w:val="24"/>
          <w:highlight w:val="none"/>
        </w:rPr>
      </w:pPr>
      <w:r>
        <w:rPr>
          <w:rFonts w:hint="eastAsia" w:ascii="宋体" w:hAnsi="宋体" w:cs="宋体"/>
          <w:sz w:val="24"/>
          <w:highlight w:val="none"/>
        </w:rPr>
        <w:t>为加强政府采购活动中的廉政建设，防止发生商业贿赂等违法违纪行为，保护国家、集体和当事人的合法权益，根据《中华人民共和国政府采购法》和党风廉政建设及反腐败工作有关规定，我方自愿签订本承诺书，并严格执行。</w:t>
      </w:r>
    </w:p>
    <w:p w14:paraId="11CF0DF6">
      <w:pPr>
        <w:spacing w:line="400" w:lineRule="exact"/>
        <w:ind w:firstLine="480" w:firstLineChars="200"/>
        <w:rPr>
          <w:rFonts w:ascii="宋体" w:hAnsi="宋体" w:cs="宋体"/>
          <w:sz w:val="24"/>
          <w:highlight w:val="none"/>
        </w:rPr>
      </w:pPr>
      <w:r>
        <w:rPr>
          <w:rFonts w:hint="eastAsia" w:ascii="宋体" w:hAnsi="宋体" w:cs="宋体"/>
          <w:sz w:val="24"/>
          <w:highlight w:val="none"/>
        </w:rPr>
        <w:t>第一条参与政府采购活动时，除具备采购文件规定的资格、资质要求外，我方还将严格遵守有关法律、法规、政策以及国家、地方关于廉政建设的各项规定。</w:t>
      </w:r>
    </w:p>
    <w:p w14:paraId="52C53A0E">
      <w:pPr>
        <w:spacing w:line="400" w:lineRule="exact"/>
        <w:ind w:firstLine="480" w:firstLineChars="200"/>
        <w:rPr>
          <w:rFonts w:ascii="宋体" w:hAnsi="宋体" w:cs="宋体"/>
          <w:sz w:val="24"/>
          <w:highlight w:val="none"/>
        </w:rPr>
      </w:pPr>
      <w:r>
        <w:rPr>
          <w:rFonts w:hint="eastAsia" w:ascii="宋体" w:hAnsi="宋体" w:cs="宋体"/>
          <w:sz w:val="24"/>
          <w:highlight w:val="none"/>
        </w:rPr>
        <w:t>第二条遵循公开、公平、公正、诚实信用原则，不发生损害上述原则及各方当事人合法权益得不正当竞争行为。</w:t>
      </w:r>
    </w:p>
    <w:p w14:paraId="64B2E3C9">
      <w:pPr>
        <w:spacing w:line="400" w:lineRule="exact"/>
        <w:ind w:firstLine="480" w:firstLineChars="200"/>
        <w:rPr>
          <w:rFonts w:ascii="宋体" w:hAnsi="宋体" w:cs="宋体"/>
          <w:sz w:val="24"/>
          <w:highlight w:val="none"/>
        </w:rPr>
      </w:pPr>
      <w:r>
        <w:rPr>
          <w:rFonts w:hint="eastAsia" w:ascii="宋体" w:hAnsi="宋体" w:cs="宋体"/>
          <w:sz w:val="24"/>
          <w:highlight w:val="none"/>
        </w:rPr>
        <w:t>第三条与政府采购各方当事人保持正常的业务交往，不向采购人、采购代理机构、监督机构、评审专家、工作人员及其他参与采购活动的人员提供不正当利益。主要有：</w:t>
      </w:r>
    </w:p>
    <w:p w14:paraId="65CF8668">
      <w:pPr>
        <w:spacing w:line="400" w:lineRule="exact"/>
        <w:ind w:firstLine="480" w:firstLineChars="200"/>
        <w:rPr>
          <w:rFonts w:ascii="宋体" w:hAnsi="宋体" w:cs="宋体"/>
          <w:sz w:val="24"/>
          <w:highlight w:val="none"/>
        </w:rPr>
      </w:pPr>
      <w:r>
        <w:rPr>
          <w:rFonts w:hint="eastAsia" w:ascii="宋体" w:hAnsi="宋体" w:cs="宋体"/>
          <w:sz w:val="24"/>
          <w:highlight w:val="none"/>
        </w:rPr>
        <w:t>（一）向上述人员赠送礼金、有价证券、贵重物品及回扣、好处费、感谢费等。</w:t>
      </w:r>
    </w:p>
    <w:p w14:paraId="58042C06">
      <w:pPr>
        <w:spacing w:line="400" w:lineRule="exact"/>
        <w:ind w:firstLine="480" w:firstLineChars="200"/>
        <w:rPr>
          <w:rFonts w:ascii="宋体" w:hAnsi="宋体" w:cs="宋体"/>
          <w:sz w:val="24"/>
          <w:highlight w:val="none"/>
        </w:rPr>
      </w:pPr>
      <w:r>
        <w:rPr>
          <w:rFonts w:hint="eastAsia" w:ascii="宋体" w:hAnsi="宋体" w:cs="宋体"/>
          <w:sz w:val="24"/>
          <w:highlight w:val="none"/>
        </w:rPr>
        <w:t>（二）为上述人员或单位报销应由对方支付的费用。</w:t>
      </w:r>
    </w:p>
    <w:p w14:paraId="77FAC9A1">
      <w:pPr>
        <w:spacing w:line="400" w:lineRule="exact"/>
        <w:ind w:firstLine="480" w:firstLineChars="200"/>
        <w:rPr>
          <w:rFonts w:ascii="宋体" w:hAnsi="宋体" w:cs="宋体"/>
          <w:sz w:val="24"/>
          <w:highlight w:val="none"/>
        </w:rPr>
      </w:pPr>
      <w:r>
        <w:rPr>
          <w:rFonts w:hint="eastAsia" w:ascii="宋体" w:hAnsi="宋体" w:cs="宋体"/>
          <w:sz w:val="24"/>
          <w:highlight w:val="none"/>
        </w:rPr>
        <w:t>（三）暗示为上述人员装修住房、婚丧嫁娶、配偶子女的工作安排以及出国（境）、旅游等提供方便。</w:t>
      </w:r>
    </w:p>
    <w:p w14:paraId="046564D9">
      <w:pPr>
        <w:spacing w:line="400" w:lineRule="exact"/>
        <w:ind w:firstLine="480" w:firstLineChars="200"/>
        <w:rPr>
          <w:rFonts w:ascii="宋体" w:hAnsi="宋体" w:cs="宋体"/>
          <w:sz w:val="24"/>
          <w:highlight w:val="none"/>
        </w:rPr>
      </w:pPr>
      <w:r>
        <w:rPr>
          <w:rFonts w:hint="eastAsia" w:ascii="宋体" w:hAnsi="宋体" w:cs="宋体"/>
          <w:sz w:val="24"/>
          <w:highlight w:val="none"/>
        </w:rPr>
        <w:t>（四）为上述人员或单位提供可能影响采购活动开展的宴请、健身、娱乐等活动。</w:t>
      </w:r>
    </w:p>
    <w:p w14:paraId="76E279A6">
      <w:pPr>
        <w:spacing w:line="400" w:lineRule="exact"/>
        <w:ind w:firstLine="480" w:firstLineChars="200"/>
        <w:rPr>
          <w:rFonts w:ascii="宋体" w:hAnsi="宋体" w:cs="宋体"/>
          <w:sz w:val="24"/>
          <w:highlight w:val="none"/>
        </w:rPr>
      </w:pPr>
      <w:r>
        <w:rPr>
          <w:rFonts w:hint="eastAsia" w:ascii="宋体" w:hAnsi="宋体" w:cs="宋体"/>
          <w:sz w:val="24"/>
          <w:highlight w:val="none"/>
        </w:rPr>
        <w:t xml:space="preserve">第四条严格执行采购合同，自觉按合同办事；在合同执行过程中，不发生本承诺书第三条中所列不良行为。    </w:t>
      </w:r>
    </w:p>
    <w:p w14:paraId="505FC16B">
      <w:pPr>
        <w:spacing w:line="400" w:lineRule="exact"/>
        <w:ind w:firstLine="480" w:firstLineChars="200"/>
        <w:rPr>
          <w:rFonts w:ascii="宋体" w:hAnsi="宋体" w:cs="宋体"/>
          <w:sz w:val="24"/>
          <w:highlight w:val="none"/>
        </w:rPr>
      </w:pPr>
      <w:r>
        <w:rPr>
          <w:rFonts w:hint="eastAsia" w:ascii="宋体" w:hAnsi="宋体" w:cs="宋体"/>
          <w:sz w:val="24"/>
          <w:highlight w:val="none"/>
        </w:rPr>
        <w:t>第五条 发现采购活动各方当事人有违规、违纪、违法行为的，及时提醒对方，情节严重的，主动向其主管部门或纪检监察、司法等机关举报。</w:t>
      </w:r>
    </w:p>
    <w:p w14:paraId="5DB13EB8">
      <w:pPr>
        <w:spacing w:line="400" w:lineRule="exact"/>
        <w:ind w:firstLine="480" w:firstLineChars="200"/>
        <w:rPr>
          <w:rFonts w:ascii="宋体" w:hAnsi="宋体" w:cs="宋体"/>
          <w:sz w:val="24"/>
          <w:highlight w:val="none"/>
        </w:rPr>
      </w:pPr>
      <w:r>
        <w:rPr>
          <w:rFonts w:hint="eastAsia" w:ascii="宋体" w:hAnsi="宋体" w:cs="宋体"/>
          <w:sz w:val="24"/>
          <w:highlight w:val="none"/>
        </w:rPr>
        <w:t>第六条 自觉接受政府采购管理部门的监管。在采购活动中出现违反本承诺书规定行为的，自觉接受政府采购管理部门的处罚，因违法违规行为给其他当事人造成经济损失的，按规定予以赔偿。</w:t>
      </w:r>
    </w:p>
    <w:p w14:paraId="66B68195">
      <w:pPr>
        <w:spacing w:line="400" w:lineRule="exact"/>
        <w:ind w:firstLine="480" w:firstLineChars="200"/>
        <w:rPr>
          <w:rFonts w:ascii="宋体" w:hAnsi="宋体" w:cs="宋体"/>
          <w:sz w:val="24"/>
          <w:highlight w:val="none"/>
        </w:rPr>
      </w:pPr>
      <w:r>
        <w:rPr>
          <w:rFonts w:hint="eastAsia" w:ascii="宋体" w:hAnsi="宋体" w:cs="宋体"/>
          <w:sz w:val="24"/>
          <w:highlight w:val="none"/>
        </w:rPr>
        <w:t>第七条 本承诺书自签署之日起生效。</w:t>
      </w:r>
    </w:p>
    <w:p w14:paraId="02AA4363">
      <w:pPr>
        <w:spacing w:line="360" w:lineRule="auto"/>
        <w:ind w:left="840" w:hanging="840" w:hangingChars="350"/>
        <w:jc w:val="center"/>
        <w:rPr>
          <w:rFonts w:ascii="宋体" w:hAnsi="宋体" w:cs="宋体"/>
          <w:sz w:val="24"/>
          <w:highlight w:val="none"/>
        </w:rPr>
      </w:pPr>
    </w:p>
    <w:p w14:paraId="730B44A2">
      <w:pPr>
        <w:spacing w:line="360" w:lineRule="auto"/>
        <w:ind w:left="840" w:hanging="840" w:hangingChars="350"/>
        <w:jc w:val="center"/>
        <w:rPr>
          <w:rFonts w:ascii="宋体" w:hAnsi="宋体" w:cs="宋体"/>
          <w:sz w:val="24"/>
          <w:highlight w:val="none"/>
        </w:rPr>
      </w:pPr>
      <w:r>
        <w:rPr>
          <w:rFonts w:hint="eastAsia" w:ascii="宋体" w:hAnsi="宋体" w:cs="宋体"/>
          <w:sz w:val="24"/>
          <w:highlight w:val="none"/>
        </w:rPr>
        <w:t xml:space="preserve"> 供应商（盖章）：</w:t>
      </w:r>
    </w:p>
    <w:p w14:paraId="2DE81C32">
      <w:pPr>
        <w:spacing w:line="360" w:lineRule="auto"/>
        <w:ind w:left="840" w:hanging="840" w:hangingChars="350"/>
        <w:rPr>
          <w:rFonts w:ascii="宋体" w:hAnsi="宋体" w:cs="宋体"/>
          <w:sz w:val="24"/>
          <w:highlight w:val="none"/>
        </w:rPr>
      </w:pPr>
      <w:r>
        <w:rPr>
          <w:rFonts w:hint="eastAsia" w:ascii="宋体" w:hAnsi="宋体" w:cs="宋体"/>
          <w:sz w:val="24"/>
          <w:highlight w:val="none"/>
        </w:rPr>
        <w:t xml:space="preserve">                               法定代表人：</w:t>
      </w:r>
    </w:p>
    <w:p w14:paraId="021687C3">
      <w:pPr>
        <w:spacing w:line="360" w:lineRule="auto"/>
        <w:ind w:left="840" w:hanging="840" w:hangingChars="350"/>
        <w:rPr>
          <w:rFonts w:ascii="宋体" w:hAnsi="宋体" w:cs="宋体"/>
          <w:sz w:val="24"/>
          <w:highlight w:val="none"/>
        </w:rPr>
      </w:pPr>
      <w:r>
        <w:rPr>
          <w:rFonts w:hint="eastAsia" w:ascii="宋体" w:hAnsi="宋体" w:cs="宋体"/>
          <w:sz w:val="24"/>
          <w:highlight w:val="none"/>
        </w:rPr>
        <w:t xml:space="preserve">                                                    年    月   日</w:t>
      </w:r>
    </w:p>
    <w:p w14:paraId="2415E7DF">
      <w:pPr>
        <w:spacing w:line="360" w:lineRule="auto"/>
        <w:ind w:left="840" w:hanging="840" w:hangingChars="350"/>
        <w:rPr>
          <w:rFonts w:ascii="宋体" w:hAnsi="宋体" w:cs="宋体"/>
          <w:sz w:val="24"/>
          <w:highlight w:val="none"/>
        </w:rPr>
      </w:pPr>
    </w:p>
    <w:p w14:paraId="44FC145B">
      <w:pPr>
        <w:pStyle w:val="3"/>
        <w:jc w:val="center"/>
        <w:rPr>
          <w:rFonts w:ascii="宋体" w:hAnsi="宋体" w:cs="宋体"/>
          <w:sz w:val="24"/>
          <w:szCs w:val="24"/>
          <w:highlight w:val="none"/>
        </w:rPr>
      </w:pPr>
      <w:bookmarkStart w:id="46" w:name="_Toc174370005"/>
      <w:r>
        <w:rPr>
          <w:rFonts w:hint="eastAsia" w:ascii="宋体" w:hAnsi="宋体" w:cs="宋体"/>
          <w:sz w:val="24"/>
          <w:szCs w:val="24"/>
          <w:highlight w:val="none"/>
        </w:rPr>
        <w:t>第六章　磋商响应文件组成内容及格式</w:t>
      </w:r>
      <w:bookmarkEnd w:id="46"/>
    </w:p>
    <w:bookmarkEnd w:id="39"/>
    <w:bookmarkEnd w:id="40"/>
    <w:p w14:paraId="2DC7768B">
      <w:pPr>
        <w:pStyle w:val="23"/>
        <w:spacing w:before="120" w:after="120" w:line="360" w:lineRule="auto"/>
        <w:rPr>
          <w:rFonts w:ascii="宋体" w:hAnsi="宋体" w:cs="宋体"/>
          <w:szCs w:val="24"/>
          <w:highlight w:val="none"/>
          <w:u w:val="single"/>
        </w:rPr>
      </w:pPr>
    </w:p>
    <w:p w14:paraId="3A8DF824">
      <w:pPr>
        <w:jc w:val="center"/>
        <w:rPr>
          <w:rFonts w:ascii="宋体" w:hAnsi="宋体" w:cs="宋体"/>
          <w:sz w:val="24"/>
          <w:highlight w:val="none"/>
        </w:rPr>
      </w:pPr>
      <w:bookmarkStart w:id="47" w:name="_Toc405368940"/>
      <w:r>
        <w:rPr>
          <w:rFonts w:hint="eastAsia" w:ascii="宋体" w:hAnsi="宋体" w:cs="宋体"/>
          <w:sz w:val="24"/>
          <w:highlight w:val="none"/>
        </w:rPr>
        <w:t>一、磋商响应文件封面格式</w:t>
      </w:r>
      <w:bookmarkEnd w:id="47"/>
    </w:p>
    <w:p w14:paraId="66E2126A">
      <w:pPr>
        <w:rPr>
          <w:rFonts w:ascii="宋体" w:hAnsi="宋体" w:cs="宋体"/>
          <w:sz w:val="24"/>
          <w:highlight w:val="none"/>
        </w:rPr>
      </w:pPr>
    </w:p>
    <w:p w14:paraId="76015FF1">
      <w:pPr>
        <w:rPr>
          <w:rFonts w:ascii="宋体" w:hAnsi="宋体" w:cs="宋体"/>
          <w:sz w:val="24"/>
          <w:highlight w:val="none"/>
        </w:rPr>
      </w:pPr>
    </w:p>
    <w:p w14:paraId="02322A9F">
      <w:pPr>
        <w:rPr>
          <w:rFonts w:ascii="宋体" w:hAnsi="宋体" w:cs="宋体"/>
          <w:sz w:val="24"/>
          <w:highlight w:val="none"/>
        </w:rPr>
      </w:pPr>
    </w:p>
    <w:p w14:paraId="07DFF531">
      <w:pPr>
        <w:spacing w:line="360" w:lineRule="auto"/>
        <w:rPr>
          <w:rFonts w:ascii="宋体" w:hAnsi="宋体" w:cs="宋体"/>
          <w:sz w:val="24"/>
          <w:highlight w:val="none"/>
        </w:rPr>
      </w:pPr>
      <w:r>
        <w:rPr>
          <w:rFonts w:hint="eastAsia" w:ascii="宋体" w:hAnsi="宋体" w:cs="宋体"/>
          <w:sz w:val="24"/>
          <w:highlight w:val="none"/>
        </w:rPr>
        <w:t xml:space="preserve">1.磋商响应文件封面格式： </w:t>
      </w:r>
    </w:p>
    <w:p w14:paraId="07B6D113">
      <w:pPr>
        <w:spacing w:line="360" w:lineRule="auto"/>
        <w:rPr>
          <w:rFonts w:ascii="宋体" w:hAnsi="宋体" w:cs="宋体"/>
          <w:sz w:val="24"/>
          <w:highlight w:val="none"/>
        </w:rPr>
      </w:pPr>
      <w:r>
        <w:rPr>
          <w:rFonts w:hint="eastAsia" w:ascii="宋体" w:hAnsi="宋体" w:cs="宋体"/>
          <w:sz w:val="24"/>
          <w:highlight w:val="none"/>
        </w:rPr>
        <w:t xml:space="preserve">                                                    正本/或副本</w:t>
      </w:r>
    </w:p>
    <w:p w14:paraId="675982D8">
      <w:pPr>
        <w:spacing w:line="360" w:lineRule="auto"/>
        <w:rPr>
          <w:rFonts w:ascii="宋体" w:hAnsi="宋体" w:cs="宋体"/>
          <w:sz w:val="24"/>
          <w:highlight w:val="none"/>
        </w:rPr>
      </w:pPr>
    </w:p>
    <w:p w14:paraId="7730E36E">
      <w:pPr>
        <w:spacing w:line="360" w:lineRule="auto"/>
        <w:rPr>
          <w:rFonts w:ascii="宋体" w:hAnsi="宋体" w:cs="宋体"/>
          <w:sz w:val="24"/>
          <w:highlight w:val="none"/>
        </w:rPr>
      </w:pPr>
    </w:p>
    <w:p w14:paraId="71BB9BC4">
      <w:pPr>
        <w:spacing w:line="360" w:lineRule="auto"/>
        <w:rPr>
          <w:rFonts w:ascii="宋体" w:hAnsi="宋体" w:cs="宋体"/>
          <w:sz w:val="24"/>
          <w:highlight w:val="none"/>
        </w:rPr>
      </w:pPr>
    </w:p>
    <w:p w14:paraId="1795956F">
      <w:pPr>
        <w:spacing w:line="360" w:lineRule="auto"/>
        <w:rPr>
          <w:rFonts w:ascii="宋体" w:hAnsi="宋体" w:cs="宋体"/>
          <w:sz w:val="24"/>
          <w:highlight w:val="none"/>
        </w:rPr>
      </w:pPr>
    </w:p>
    <w:p w14:paraId="198F26D1">
      <w:pPr>
        <w:spacing w:line="360" w:lineRule="auto"/>
        <w:rPr>
          <w:rFonts w:ascii="宋体" w:hAnsi="宋体" w:cs="宋体"/>
          <w:sz w:val="24"/>
          <w:highlight w:val="none"/>
        </w:rPr>
      </w:pPr>
    </w:p>
    <w:p w14:paraId="7C074B59">
      <w:pPr>
        <w:spacing w:line="480" w:lineRule="auto"/>
        <w:rPr>
          <w:rFonts w:ascii="宋体" w:hAnsi="宋体" w:cs="宋体"/>
          <w:sz w:val="24"/>
          <w:highlight w:val="none"/>
        </w:rPr>
      </w:pPr>
      <w:r>
        <w:rPr>
          <w:rFonts w:hint="eastAsia" w:ascii="宋体" w:hAnsi="宋体" w:cs="宋体"/>
          <w:sz w:val="24"/>
          <w:highlight w:val="none"/>
        </w:rPr>
        <w:t>资格审查文件、商务技术文件、报价文件（相应选择一个磋商响应文件封面外包装名称）</w:t>
      </w:r>
    </w:p>
    <w:p w14:paraId="68660178">
      <w:pPr>
        <w:spacing w:line="480" w:lineRule="auto"/>
        <w:rPr>
          <w:rFonts w:hint="eastAsia" w:ascii="宋体" w:hAnsi="宋体" w:eastAsia="宋体" w:cs="宋体"/>
          <w:sz w:val="24"/>
          <w:highlight w:val="none"/>
          <w:lang w:eastAsia="zh-CN"/>
        </w:rPr>
      </w:pPr>
      <w:r>
        <w:rPr>
          <w:rFonts w:hint="eastAsia" w:ascii="宋体" w:hAnsi="宋体" w:cs="宋体"/>
          <w:sz w:val="24"/>
          <w:highlight w:val="none"/>
        </w:rPr>
        <w:t>项目名称：</w:t>
      </w:r>
      <w:r>
        <w:rPr>
          <w:rFonts w:hint="eastAsia" w:ascii="宋体" w:hAnsi="宋体" w:cs="宋体"/>
          <w:sz w:val="24"/>
          <w:highlight w:val="none"/>
          <w:lang w:eastAsia="zh-CN"/>
        </w:rPr>
        <w:t>敖溪杭温高铁拆迁安置区市政工程项目</w:t>
      </w:r>
    </w:p>
    <w:p w14:paraId="2D76D889">
      <w:pPr>
        <w:spacing w:line="480" w:lineRule="auto"/>
        <w:rPr>
          <w:rFonts w:hint="eastAsia" w:ascii="宋体" w:hAnsi="宋体" w:eastAsia="宋体" w:cs="宋体"/>
          <w:sz w:val="24"/>
          <w:highlight w:val="none"/>
          <w:lang w:eastAsia="zh-CN"/>
        </w:rPr>
      </w:pPr>
      <w:r>
        <w:rPr>
          <w:rFonts w:hint="eastAsia" w:ascii="宋体" w:hAnsi="宋体" w:cs="宋体"/>
          <w:sz w:val="24"/>
          <w:highlight w:val="none"/>
        </w:rPr>
        <w:t>项目编号：</w:t>
      </w:r>
      <w:r>
        <w:rPr>
          <w:rFonts w:hint="eastAsia" w:ascii="宋体" w:hAnsi="宋体" w:cs="宋体"/>
          <w:sz w:val="24"/>
          <w:highlight w:val="none"/>
          <w:lang w:eastAsia="zh-CN"/>
        </w:rPr>
        <w:t>ZJQZGX2024-021</w:t>
      </w:r>
    </w:p>
    <w:p w14:paraId="49346768">
      <w:pPr>
        <w:spacing w:line="480" w:lineRule="auto"/>
        <w:rPr>
          <w:rFonts w:ascii="宋体" w:hAnsi="宋体" w:cs="宋体"/>
          <w:sz w:val="24"/>
          <w:highlight w:val="none"/>
        </w:rPr>
      </w:pPr>
      <w:r>
        <w:rPr>
          <w:rFonts w:hint="eastAsia" w:ascii="宋体" w:hAnsi="宋体" w:cs="宋体"/>
          <w:sz w:val="24"/>
          <w:highlight w:val="none"/>
        </w:rPr>
        <w:t>标项：</w:t>
      </w:r>
    </w:p>
    <w:p w14:paraId="5B6EC66E">
      <w:pPr>
        <w:spacing w:line="480" w:lineRule="auto"/>
        <w:rPr>
          <w:rFonts w:ascii="宋体" w:hAnsi="宋体" w:cs="宋体"/>
          <w:sz w:val="24"/>
          <w:highlight w:val="none"/>
        </w:rPr>
      </w:pPr>
      <w:r>
        <w:rPr>
          <w:rFonts w:hint="eastAsia" w:ascii="宋体" w:hAnsi="宋体" w:cs="宋体"/>
          <w:sz w:val="24"/>
          <w:highlight w:val="none"/>
        </w:rPr>
        <w:t>供应商名称：</w:t>
      </w:r>
    </w:p>
    <w:p w14:paraId="45114B7C">
      <w:pPr>
        <w:spacing w:line="480" w:lineRule="auto"/>
        <w:rPr>
          <w:rFonts w:ascii="宋体" w:hAnsi="宋体" w:cs="宋体"/>
          <w:sz w:val="24"/>
          <w:highlight w:val="none"/>
        </w:rPr>
      </w:pPr>
      <w:r>
        <w:rPr>
          <w:rFonts w:hint="eastAsia" w:ascii="宋体" w:hAnsi="宋体" w:cs="宋体"/>
          <w:sz w:val="24"/>
          <w:highlight w:val="none"/>
        </w:rPr>
        <w:t>供应商地址：</w:t>
      </w:r>
    </w:p>
    <w:p w14:paraId="253BE912">
      <w:pPr>
        <w:spacing w:line="480" w:lineRule="auto"/>
        <w:rPr>
          <w:rFonts w:ascii="宋体" w:hAnsi="宋体" w:cs="宋体"/>
          <w:sz w:val="24"/>
          <w:highlight w:val="none"/>
        </w:rPr>
      </w:pPr>
      <w:r>
        <w:rPr>
          <w:rFonts w:hint="eastAsia" w:ascii="宋体" w:hAnsi="宋体" w:cs="宋体"/>
          <w:sz w:val="24"/>
          <w:highlight w:val="none"/>
        </w:rPr>
        <w:t xml:space="preserve">       </w:t>
      </w:r>
    </w:p>
    <w:p w14:paraId="43A9EF72">
      <w:pPr>
        <w:spacing w:line="480" w:lineRule="auto"/>
        <w:rPr>
          <w:rFonts w:ascii="宋体" w:hAnsi="宋体" w:cs="宋体"/>
          <w:sz w:val="24"/>
          <w:highlight w:val="none"/>
        </w:rPr>
      </w:pPr>
      <w:r>
        <w:rPr>
          <w:rFonts w:hint="eastAsia" w:ascii="宋体" w:hAnsi="宋体" w:cs="宋体"/>
          <w:sz w:val="24"/>
          <w:highlight w:val="none"/>
        </w:rPr>
        <w:t xml:space="preserve">                                                   年   月   日</w:t>
      </w:r>
    </w:p>
    <w:p w14:paraId="70E9E057">
      <w:pPr>
        <w:spacing w:line="360" w:lineRule="auto"/>
        <w:rPr>
          <w:rFonts w:ascii="宋体" w:hAnsi="宋体" w:cs="宋体"/>
          <w:sz w:val="24"/>
          <w:highlight w:val="none"/>
        </w:rPr>
      </w:pPr>
    </w:p>
    <w:p w14:paraId="46FF5E13">
      <w:pPr>
        <w:rPr>
          <w:rFonts w:ascii="宋体" w:hAnsi="宋体" w:cs="宋体"/>
          <w:sz w:val="24"/>
          <w:highlight w:val="none"/>
        </w:rPr>
      </w:pPr>
    </w:p>
    <w:p w14:paraId="5547EDDE">
      <w:pPr>
        <w:rPr>
          <w:rFonts w:ascii="宋体" w:hAnsi="宋体" w:cs="宋体"/>
          <w:sz w:val="24"/>
          <w:highlight w:val="none"/>
        </w:rPr>
      </w:pPr>
    </w:p>
    <w:p w14:paraId="7D49878C">
      <w:pPr>
        <w:spacing w:line="360" w:lineRule="auto"/>
        <w:rPr>
          <w:rFonts w:ascii="宋体" w:hAnsi="宋体" w:cs="宋体"/>
          <w:b/>
          <w:sz w:val="24"/>
          <w:highlight w:val="none"/>
        </w:rPr>
      </w:pPr>
    </w:p>
    <w:p w14:paraId="313106D9">
      <w:pPr>
        <w:spacing w:line="360" w:lineRule="auto"/>
        <w:rPr>
          <w:rFonts w:ascii="宋体" w:hAnsi="宋体" w:cs="宋体"/>
          <w:b/>
          <w:sz w:val="24"/>
          <w:highlight w:val="none"/>
        </w:rPr>
      </w:pPr>
    </w:p>
    <w:p w14:paraId="242BEF5E">
      <w:pPr>
        <w:rPr>
          <w:highlight w:val="none"/>
        </w:rPr>
      </w:pPr>
    </w:p>
    <w:p w14:paraId="4591DFD4">
      <w:pPr>
        <w:widowControl/>
        <w:jc w:val="left"/>
        <w:rPr>
          <w:rFonts w:ascii="宋体" w:hAnsi="宋体" w:cs="宋体"/>
          <w:b/>
          <w:sz w:val="24"/>
          <w:highlight w:val="none"/>
        </w:rPr>
      </w:pPr>
      <w:r>
        <w:rPr>
          <w:rFonts w:ascii="宋体" w:hAnsi="宋体" w:cs="宋体"/>
          <w:b/>
          <w:sz w:val="24"/>
          <w:highlight w:val="none"/>
        </w:rPr>
        <w:br w:type="page"/>
      </w:r>
    </w:p>
    <w:p w14:paraId="19432623">
      <w:pPr>
        <w:spacing w:line="430" w:lineRule="exact"/>
        <w:rPr>
          <w:rFonts w:ascii="宋体" w:hAnsi="宋体" w:cs="宋体"/>
          <w:b/>
          <w:sz w:val="24"/>
          <w:highlight w:val="none"/>
        </w:rPr>
      </w:pPr>
      <w:r>
        <w:rPr>
          <w:rFonts w:hint="eastAsia" w:ascii="宋体" w:hAnsi="宋体" w:cs="宋体"/>
          <w:b/>
          <w:sz w:val="24"/>
          <w:highlight w:val="none"/>
        </w:rPr>
        <w:t>2.资格审查文件：</w:t>
      </w:r>
    </w:p>
    <w:p w14:paraId="72958F0E">
      <w:pPr>
        <w:spacing w:line="360" w:lineRule="auto"/>
        <w:rPr>
          <w:rFonts w:ascii="宋体" w:hAnsi="宋体" w:cs="宋体"/>
          <w:sz w:val="24"/>
          <w:highlight w:val="none"/>
        </w:rPr>
      </w:pPr>
      <w:r>
        <w:rPr>
          <w:rFonts w:hint="eastAsia" w:ascii="宋体" w:hAnsi="宋体" w:cs="宋体"/>
          <w:sz w:val="24"/>
          <w:highlight w:val="none"/>
        </w:rPr>
        <w:t>（1）具有独立承担民事责任的能力：供应商须在投标文件中出具符合以下情况的证明材料复印件（五选一）：</w:t>
      </w:r>
    </w:p>
    <w:p w14:paraId="5579F3F9">
      <w:pPr>
        <w:spacing w:line="360" w:lineRule="auto"/>
        <w:rPr>
          <w:rFonts w:ascii="宋体" w:hAnsi="宋体" w:cs="宋体"/>
          <w:sz w:val="24"/>
          <w:highlight w:val="none"/>
        </w:rPr>
      </w:pPr>
      <w:r>
        <w:rPr>
          <w:rFonts w:hint="eastAsia" w:ascii="宋体" w:hAnsi="宋体" w:cs="宋体"/>
          <w:sz w:val="24"/>
          <w:highlight w:val="none"/>
        </w:rPr>
        <w:t>①如供应商是企业（包括合伙企业），提供在工商部门注册的有效“企业法人营业执照”或“营业执照”；</w:t>
      </w:r>
    </w:p>
    <w:p w14:paraId="6C826BE3">
      <w:pPr>
        <w:spacing w:line="360" w:lineRule="auto"/>
        <w:rPr>
          <w:rFonts w:ascii="宋体" w:hAnsi="宋体" w:cs="宋体"/>
          <w:sz w:val="24"/>
          <w:highlight w:val="none"/>
        </w:rPr>
      </w:pPr>
      <w:r>
        <w:rPr>
          <w:rFonts w:hint="eastAsia" w:ascii="宋体" w:hAnsi="宋体" w:cs="宋体"/>
          <w:sz w:val="24"/>
          <w:highlight w:val="none"/>
        </w:rPr>
        <w:t>②如供应商是事业单位，提供有效的“事业单位法人证书”；</w:t>
      </w:r>
    </w:p>
    <w:p w14:paraId="4189CB54">
      <w:pPr>
        <w:spacing w:line="360" w:lineRule="auto"/>
        <w:rPr>
          <w:rFonts w:ascii="宋体" w:hAnsi="宋体" w:cs="宋体"/>
          <w:sz w:val="24"/>
          <w:highlight w:val="none"/>
        </w:rPr>
      </w:pPr>
      <w:r>
        <w:rPr>
          <w:rFonts w:hint="eastAsia" w:ascii="宋体" w:hAnsi="宋体" w:cs="宋体"/>
          <w:sz w:val="24"/>
          <w:highlight w:val="none"/>
        </w:rPr>
        <w:t>③如供应商是非企业专业服务机构的，提供执业许可证等证明文件；</w:t>
      </w:r>
    </w:p>
    <w:p w14:paraId="736CFE08">
      <w:pPr>
        <w:spacing w:line="360" w:lineRule="auto"/>
        <w:rPr>
          <w:rFonts w:ascii="宋体" w:hAnsi="宋体" w:cs="宋体"/>
          <w:sz w:val="24"/>
          <w:highlight w:val="none"/>
        </w:rPr>
      </w:pPr>
      <w:r>
        <w:rPr>
          <w:rFonts w:hint="eastAsia" w:ascii="宋体" w:hAnsi="宋体" w:cs="宋体"/>
          <w:sz w:val="24"/>
          <w:highlight w:val="none"/>
        </w:rPr>
        <w:t>④如供应商是个体工商户，提供有效的“个体工商户营业执照”；</w:t>
      </w:r>
    </w:p>
    <w:p w14:paraId="4D883E7D">
      <w:pPr>
        <w:spacing w:line="360" w:lineRule="auto"/>
        <w:rPr>
          <w:rFonts w:ascii="宋体" w:hAnsi="宋体" w:cs="宋体"/>
          <w:sz w:val="24"/>
          <w:highlight w:val="none"/>
        </w:rPr>
      </w:pPr>
      <w:r>
        <w:rPr>
          <w:rFonts w:hint="eastAsia" w:ascii="宋体" w:hAnsi="宋体" w:cs="宋体"/>
          <w:sz w:val="24"/>
          <w:highlight w:val="none"/>
        </w:rPr>
        <w:t>⑤如供应商是自然人，提供有效的</w:t>
      </w:r>
      <w:bookmarkStart w:id="119" w:name="_GoBack"/>
      <w:bookmarkEnd w:id="119"/>
      <w:r>
        <w:rPr>
          <w:rFonts w:hint="eastAsia" w:ascii="宋体" w:hAnsi="宋体" w:cs="宋体"/>
          <w:sz w:val="24"/>
          <w:highlight w:val="none"/>
        </w:rPr>
        <w:t>自然人身份证明（居民身份证正反面或公安机关出具的临时居民身份证正反面或港澳台胞证或护照）。</w:t>
      </w:r>
    </w:p>
    <w:p w14:paraId="2D5A0CEB">
      <w:pPr>
        <w:spacing w:line="360" w:lineRule="auto"/>
        <w:rPr>
          <w:rFonts w:ascii="宋体" w:hAnsi="宋体" w:cs="宋体"/>
          <w:sz w:val="24"/>
          <w:highlight w:val="none"/>
        </w:rPr>
      </w:pPr>
      <w:r>
        <w:rPr>
          <w:rFonts w:hint="eastAsia" w:ascii="宋体" w:hAnsi="宋体" w:cs="宋体"/>
          <w:sz w:val="24"/>
          <w:highlight w:val="none"/>
        </w:rPr>
        <w:t>（2）法定代表人身份证复印件或法定代表人授权委托书(格式见附件)；</w:t>
      </w:r>
    </w:p>
    <w:p w14:paraId="1166D4F5">
      <w:pPr>
        <w:spacing w:line="360" w:lineRule="auto"/>
        <w:rPr>
          <w:rFonts w:ascii="宋体" w:hAnsi="宋体" w:cs="宋体"/>
          <w:sz w:val="24"/>
          <w:highlight w:val="none"/>
        </w:rPr>
      </w:pPr>
      <w:r>
        <w:rPr>
          <w:rFonts w:hint="eastAsia" w:ascii="宋体" w:hAnsi="宋体" w:cs="宋体"/>
          <w:sz w:val="24"/>
          <w:highlight w:val="none"/>
        </w:rPr>
        <w:t>（3）符合参加政府采购活动应当具备的一般条件的承诺函（格式见附件）；</w:t>
      </w:r>
    </w:p>
    <w:p w14:paraId="541CE620">
      <w:pPr>
        <w:pStyle w:val="18"/>
        <w:spacing w:line="420" w:lineRule="exact"/>
        <w:rPr>
          <w:rFonts w:ascii="宋体" w:hAnsi="宋体" w:cs="宋体"/>
          <w:sz w:val="24"/>
          <w:highlight w:val="none"/>
        </w:rPr>
      </w:pPr>
      <w:r>
        <w:rPr>
          <w:rFonts w:hint="eastAsia" w:ascii="宋体" w:hAnsi="宋体" w:cs="宋体"/>
          <w:sz w:val="24"/>
          <w:highlight w:val="none"/>
        </w:rPr>
        <w:t>（4）</w:t>
      </w:r>
      <w:r>
        <w:rPr>
          <w:rFonts w:hint="eastAsia" w:ascii="宋体" w:hAnsi="宋体" w:cs="宋体"/>
          <w:sz w:val="24"/>
          <w:highlight w:val="none"/>
        </w:rPr>
        <w:t>磋商</w:t>
      </w:r>
      <w:r>
        <w:rPr>
          <w:rFonts w:hint="eastAsia" w:ascii="宋体" w:hAnsi="宋体"/>
          <w:sz w:val="24"/>
          <w:highlight w:val="none"/>
        </w:rPr>
        <w:t>响应方</w:t>
      </w:r>
      <w:r>
        <w:rPr>
          <w:rFonts w:hint="eastAsia" w:ascii="宋体" w:hAnsi="宋体" w:cs="宋体"/>
          <w:sz w:val="24"/>
          <w:highlight w:val="none"/>
        </w:rPr>
        <w:t>具有市政专业的工程施工总承包叁级及以上资质。</w:t>
      </w:r>
    </w:p>
    <w:p w14:paraId="7EF30EFE">
      <w:pPr>
        <w:pStyle w:val="18"/>
        <w:spacing w:line="420" w:lineRule="exact"/>
        <w:rPr>
          <w:rFonts w:ascii="宋体" w:hAnsi="宋体" w:cs="宋体"/>
          <w:sz w:val="24"/>
          <w:highlight w:val="none"/>
        </w:rPr>
      </w:pPr>
      <w:r>
        <w:rPr>
          <w:rFonts w:hint="eastAsia" w:ascii="宋体" w:hAnsi="宋体" w:cs="宋体"/>
          <w:sz w:val="24"/>
          <w:highlight w:val="none"/>
        </w:rPr>
        <w:t>（5）磋商响应方具备有效的企业安全生产许可证。</w:t>
      </w:r>
    </w:p>
    <w:p w14:paraId="0F748406">
      <w:pPr>
        <w:spacing w:line="360" w:lineRule="auto"/>
        <w:rPr>
          <w:highlight w:val="none"/>
        </w:rPr>
      </w:pPr>
      <w:r>
        <w:rPr>
          <w:rFonts w:hint="eastAsia" w:ascii="宋体" w:hAnsi="宋体" w:cs="宋体"/>
          <w:sz w:val="24"/>
          <w:highlight w:val="none"/>
        </w:rPr>
        <w:t>（6）</w:t>
      </w:r>
      <w:r>
        <w:rPr>
          <w:rFonts w:hint="eastAsia" w:ascii="宋体" w:hAnsi="宋体" w:cs="宋体"/>
          <w:sz w:val="24"/>
          <w:highlight w:val="none"/>
        </w:rPr>
        <w:t>项目负责人具有市政专业的注册建造师二级及以上证书</w:t>
      </w:r>
      <w:r>
        <w:rPr>
          <w:rFonts w:hint="eastAsia" w:ascii="宋体" w:hAnsi="宋体" w:cs="宋体"/>
          <w:sz w:val="24"/>
          <w:highlight w:val="none"/>
        </w:rPr>
        <w:t xml:space="preserve">，且持有安全生产任职资格B类证； </w:t>
      </w:r>
    </w:p>
    <w:p w14:paraId="0550EA21">
      <w:pPr>
        <w:spacing w:line="360" w:lineRule="auto"/>
        <w:rPr>
          <w:rFonts w:ascii="宋体" w:hAnsi="宋体" w:cs="宋体"/>
          <w:sz w:val="24"/>
          <w:highlight w:val="none"/>
        </w:rPr>
      </w:pPr>
      <w:r>
        <w:rPr>
          <w:rFonts w:hint="eastAsia" w:ascii="宋体" w:hAnsi="宋体" w:cs="宋体"/>
          <w:sz w:val="24"/>
          <w:highlight w:val="none"/>
        </w:rPr>
        <w:t>（7）信用记录网络查询页面截图（信用中国与中国政府采购网）；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A74492E">
      <w:pPr>
        <w:spacing w:line="360" w:lineRule="auto"/>
        <w:rPr>
          <w:rFonts w:ascii="宋体" w:hAnsi="宋体" w:cs="宋体"/>
          <w:sz w:val="24"/>
          <w:highlight w:val="none"/>
        </w:rPr>
      </w:pPr>
      <w:r>
        <w:rPr>
          <w:rFonts w:hint="eastAsia" w:ascii="宋体" w:hAnsi="宋体" w:cs="宋体"/>
          <w:sz w:val="24"/>
          <w:highlight w:val="none"/>
        </w:rPr>
        <w:t>（8）浙江政府采购网注册正式供应商的网络截图或承诺中标后30天内注册为浙江政府采购网正式供应商（须提供承诺书）；</w:t>
      </w:r>
    </w:p>
    <w:p w14:paraId="443BDC28">
      <w:pPr>
        <w:spacing w:line="360" w:lineRule="auto"/>
        <w:rPr>
          <w:rFonts w:ascii="宋体" w:hAnsi="宋体" w:cs="宋体"/>
          <w:sz w:val="24"/>
          <w:highlight w:val="none"/>
        </w:rPr>
      </w:pPr>
      <w:r>
        <w:rPr>
          <w:rFonts w:hint="eastAsia" w:ascii="宋体" w:hAnsi="宋体" w:cs="宋体"/>
          <w:sz w:val="24"/>
          <w:highlight w:val="none"/>
        </w:rPr>
        <w:t>（9）东阳市政府采购代理机构社会评价表（格式见附件）；</w:t>
      </w:r>
    </w:p>
    <w:p w14:paraId="5A0C6E3D">
      <w:pPr>
        <w:snapToGrid w:val="0"/>
        <w:spacing w:line="360" w:lineRule="auto"/>
        <w:rPr>
          <w:rFonts w:ascii="宋体" w:hAnsi="宋体" w:cs="宋体"/>
          <w:sz w:val="24"/>
          <w:highlight w:val="none"/>
        </w:rPr>
      </w:pPr>
      <w:r>
        <w:rPr>
          <w:rFonts w:hint="eastAsia" w:ascii="宋体" w:hAnsi="宋体" w:cs="宋体"/>
          <w:sz w:val="24"/>
          <w:highlight w:val="none"/>
        </w:rPr>
        <w:t>（10）磋商声明书 (格式见附件) ；</w:t>
      </w:r>
    </w:p>
    <w:p w14:paraId="5960A550">
      <w:pPr>
        <w:snapToGrid w:val="0"/>
        <w:spacing w:line="360" w:lineRule="auto"/>
        <w:rPr>
          <w:rFonts w:ascii="宋体" w:hAnsi="宋体" w:cs="宋体"/>
          <w:sz w:val="24"/>
          <w:highlight w:val="none"/>
        </w:rPr>
      </w:pPr>
      <w:r>
        <w:rPr>
          <w:rFonts w:hint="eastAsia" w:ascii="宋体" w:hAnsi="宋体" w:cs="宋体"/>
          <w:sz w:val="24"/>
          <w:highlight w:val="none"/>
        </w:rPr>
        <w:t>（11）政府采购活动现场确认声明书 (格式见附件) ；</w:t>
      </w:r>
    </w:p>
    <w:p w14:paraId="37E20BE1">
      <w:pPr>
        <w:spacing w:line="360" w:lineRule="auto"/>
        <w:rPr>
          <w:rFonts w:ascii="宋体" w:hAnsi="宋体" w:cs="宋体"/>
          <w:sz w:val="24"/>
          <w:highlight w:val="none"/>
        </w:rPr>
      </w:pPr>
      <w:r>
        <w:rPr>
          <w:rFonts w:hint="eastAsia" w:ascii="宋体" w:hAnsi="宋体" w:cs="宋体"/>
          <w:sz w:val="24"/>
          <w:highlight w:val="none"/>
        </w:rPr>
        <w:t>（12）联合体协议书（联合体投标时提供）（格式见附件）；</w:t>
      </w:r>
    </w:p>
    <w:p w14:paraId="48ABC555">
      <w:pPr>
        <w:spacing w:line="360" w:lineRule="auto"/>
        <w:rPr>
          <w:rFonts w:ascii="宋体" w:hAnsi="宋体"/>
          <w:sz w:val="24"/>
          <w:highlight w:val="none"/>
        </w:rPr>
      </w:pP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3）</w:t>
      </w:r>
      <w:r>
        <w:rPr>
          <w:rFonts w:hint="eastAsia" w:ascii="宋体" w:hAnsi="宋体" w:cs="宋体"/>
          <w:sz w:val="24"/>
          <w:highlight w:val="none"/>
        </w:rPr>
        <w:t>落实政府采购政策需满足的资格：供应商为中小企业/小微企业，提供《中小企业声明函》（格式见附件）；</w:t>
      </w:r>
    </w:p>
    <w:p w14:paraId="3C3DD6FA">
      <w:pPr>
        <w:spacing w:line="360" w:lineRule="auto"/>
        <w:rPr>
          <w:rFonts w:ascii="宋体" w:hAnsi="宋体" w:cs="宋体"/>
          <w:sz w:val="24"/>
          <w:highlight w:val="none"/>
        </w:rPr>
      </w:pPr>
      <w:r>
        <w:rPr>
          <w:rFonts w:hint="eastAsia" w:ascii="宋体" w:hAnsi="宋体" w:cs="宋体"/>
          <w:sz w:val="24"/>
          <w:highlight w:val="none"/>
        </w:rPr>
        <w:t>（14）分包意向协议；（分包时提供，格式见附件）；</w:t>
      </w:r>
      <w:r>
        <w:rPr>
          <w:rFonts w:ascii="宋体" w:hAnsi="宋体" w:cs="宋体"/>
          <w:sz w:val="24"/>
          <w:highlight w:val="none"/>
        </w:rPr>
        <w:t xml:space="preserve"> </w:t>
      </w:r>
    </w:p>
    <w:p w14:paraId="5DDFCF9A">
      <w:pPr>
        <w:spacing w:line="360" w:lineRule="auto"/>
        <w:rPr>
          <w:rFonts w:ascii="宋体" w:hAnsi="宋体" w:cs="宋体"/>
          <w:sz w:val="24"/>
          <w:highlight w:val="none"/>
        </w:rPr>
      </w:pPr>
      <w:r>
        <w:rPr>
          <w:rFonts w:hint="eastAsia" w:ascii="宋体" w:hAnsi="宋体" w:cs="宋体"/>
          <w:sz w:val="24"/>
          <w:highlight w:val="none"/>
        </w:rPr>
        <w:t>（15）供应商情况介绍；</w:t>
      </w:r>
    </w:p>
    <w:p w14:paraId="16BAA693">
      <w:pPr>
        <w:spacing w:line="360" w:lineRule="auto"/>
        <w:rPr>
          <w:rFonts w:ascii="宋体" w:hAnsi="宋体" w:cs="宋体"/>
          <w:sz w:val="24"/>
          <w:highlight w:val="none"/>
        </w:rPr>
      </w:pPr>
      <w:r>
        <w:rPr>
          <w:rFonts w:hint="eastAsia" w:ascii="宋体" w:hAnsi="宋体" w:cs="宋体"/>
          <w:sz w:val="24"/>
          <w:highlight w:val="none"/>
        </w:rPr>
        <w:t>（16）供应商认为有必要提供的其它文件。</w:t>
      </w:r>
    </w:p>
    <w:p w14:paraId="2D3D3F16">
      <w:pPr>
        <w:spacing w:line="360" w:lineRule="auto"/>
        <w:rPr>
          <w:rFonts w:ascii="宋体" w:hAnsi="宋体" w:cs="宋体"/>
          <w:b/>
          <w:bCs/>
          <w:sz w:val="24"/>
          <w:highlight w:val="none"/>
        </w:rPr>
      </w:pPr>
      <w:r>
        <w:rPr>
          <w:rFonts w:hint="eastAsia" w:ascii="宋体" w:hAnsi="宋体" w:cs="宋体"/>
          <w:b/>
          <w:bCs/>
          <w:sz w:val="24"/>
          <w:highlight w:val="none"/>
        </w:rPr>
        <w:t>3.商务技术文件</w:t>
      </w:r>
    </w:p>
    <w:p w14:paraId="71D634F4">
      <w:pPr>
        <w:spacing w:line="360" w:lineRule="auto"/>
        <w:rPr>
          <w:rFonts w:ascii="宋体" w:hAnsi="宋体"/>
          <w:sz w:val="24"/>
          <w:highlight w:val="none"/>
        </w:rPr>
      </w:pPr>
      <w:r>
        <w:rPr>
          <w:rFonts w:hint="eastAsia" w:ascii="宋体" w:hAnsi="宋体"/>
          <w:sz w:val="24"/>
          <w:highlight w:val="none"/>
        </w:rPr>
        <w:t>（1）供应商资信商务、技术自评得分表（格式见附件）；</w:t>
      </w:r>
    </w:p>
    <w:p w14:paraId="3C8FA1CD">
      <w:pPr>
        <w:spacing w:line="360" w:lineRule="auto"/>
        <w:rPr>
          <w:rFonts w:ascii="宋体" w:hAnsi="宋体"/>
          <w:bCs/>
          <w:sz w:val="24"/>
          <w:highlight w:val="none"/>
        </w:rPr>
      </w:pPr>
      <w:r>
        <w:rPr>
          <w:rFonts w:hint="eastAsia" w:ascii="宋体" w:hAnsi="宋体"/>
          <w:bCs/>
          <w:sz w:val="24"/>
          <w:highlight w:val="none"/>
        </w:rPr>
        <w:t>（2）商务响应表（格式见附件）；</w:t>
      </w:r>
    </w:p>
    <w:p w14:paraId="5BAECC47">
      <w:pPr>
        <w:snapToGrid w:val="0"/>
        <w:spacing w:line="360" w:lineRule="auto"/>
        <w:jc w:val="left"/>
        <w:rPr>
          <w:rFonts w:ascii="宋体" w:hAnsi="宋体" w:cs="宋体"/>
          <w:sz w:val="24"/>
          <w:highlight w:val="none"/>
        </w:rPr>
      </w:pPr>
      <w:r>
        <w:rPr>
          <w:rFonts w:hint="eastAsia" w:ascii="宋体" w:hAnsi="宋体"/>
          <w:sz w:val="24"/>
          <w:highlight w:val="none"/>
        </w:rPr>
        <w:t>（3）技术响应表（格式见附件）；</w:t>
      </w:r>
    </w:p>
    <w:p w14:paraId="77232F93">
      <w:pPr>
        <w:spacing w:line="360" w:lineRule="auto"/>
        <w:rPr>
          <w:rFonts w:ascii="宋体" w:hAnsi="宋体" w:cs="宋体"/>
          <w:sz w:val="24"/>
          <w:highlight w:val="none"/>
        </w:rPr>
      </w:pPr>
      <w:r>
        <w:rPr>
          <w:rFonts w:hint="eastAsia" w:ascii="宋体" w:hAnsi="宋体" w:cs="宋体"/>
          <w:sz w:val="24"/>
          <w:highlight w:val="none"/>
        </w:rPr>
        <w:t>（4）项目理解情况；</w:t>
      </w:r>
    </w:p>
    <w:p w14:paraId="6C8B1BEF">
      <w:pPr>
        <w:spacing w:line="360" w:lineRule="auto"/>
        <w:rPr>
          <w:rFonts w:ascii="宋体" w:hAnsi="宋体" w:cs="宋体"/>
          <w:sz w:val="24"/>
          <w:highlight w:val="none"/>
        </w:rPr>
      </w:pPr>
      <w:r>
        <w:rPr>
          <w:rFonts w:hint="eastAsia" w:ascii="宋体" w:hAnsi="宋体" w:cs="宋体"/>
          <w:sz w:val="24"/>
          <w:highlight w:val="none"/>
        </w:rPr>
        <w:t>（5）施工方案；</w:t>
      </w:r>
    </w:p>
    <w:p w14:paraId="66D00E4A">
      <w:pPr>
        <w:spacing w:line="360" w:lineRule="auto"/>
        <w:rPr>
          <w:rFonts w:ascii="宋体" w:hAnsi="宋体" w:cs="宋体"/>
          <w:sz w:val="24"/>
          <w:highlight w:val="none"/>
        </w:rPr>
      </w:pPr>
      <w:r>
        <w:rPr>
          <w:rFonts w:hint="eastAsia" w:ascii="宋体" w:hAnsi="宋体" w:cs="宋体"/>
          <w:sz w:val="24"/>
          <w:highlight w:val="none"/>
        </w:rPr>
        <w:t>（6）施工技术；</w:t>
      </w:r>
    </w:p>
    <w:p w14:paraId="013FE502">
      <w:pPr>
        <w:spacing w:line="360" w:lineRule="auto"/>
        <w:rPr>
          <w:rFonts w:ascii="宋体" w:hAnsi="宋体" w:cs="宋体"/>
          <w:sz w:val="24"/>
          <w:highlight w:val="none"/>
        </w:rPr>
      </w:pPr>
      <w:r>
        <w:rPr>
          <w:rFonts w:hint="eastAsia" w:ascii="宋体" w:hAnsi="宋体" w:cs="宋体"/>
          <w:sz w:val="24"/>
          <w:highlight w:val="none"/>
        </w:rPr>
        <w:t>（7）施工进度；</w:t>
      </w:r>
    </w:p>
    <w:p w14:paraId="5E57DF74">
      <w:pPr>
        <w:spacing w:line="360" w:lineRule="auto"/>
        <w:rPr>
          <w:rFonts w:ascii="宋体" w:hAnsi="宋体" w:cs="宋体"/>
          <w:sz w:val="24"/>
          <w:highlight w:val="none"/>
        </w:rPr>
      </w:pPr>
      <w:r>
        <w:rPr>
          <w:rFonts w:hint="eastAsia" w:ascii="宋体" w:hAnsi="宋体" w:cs="宋体"/>
          <w:sz w:val="24"/>
          <w:highlight w:val="none"/>
        </w:rPr>
        <w:t>（8）</w:t>
      </w:r>
      <w:r>
        <w:rPr>
          <w:rFonts w:hint="eastAsia" w:asciiTheme="minorEastAsia" w:hAnsiTheme="minorEastAsia" w:eastAsiaTheme="minorEastAsia" w:cstheme="minorEastAsia"/>
          <w:kern w:val="0"/>
          <w:sz w:val="24"/>
          <w:highlight w:val="none"/>
        </w:rPr>
        <w:t>安全生产应急预案</w:t>
      </w:r>
      <w:r>
        <w:rPr>
          <w:rFonts w:hint="eastAsia" w:ascii="宋体" w:hAnsi="宋体" w:cs="宋体"/>
          <w:sz w:val="24"/>
          <w:highlight w:val="none"/>
        </w:rPr>
        <w:t>；</w:t>
      </w:r>
    </w:p>
    <w:p w14:paraId="63D04D85">
      <w:pPr>
        <w:spacing w:line="360" w:lineRule="auto"/>
        <w:rPr>
          <w:rFonts w:ascii="宋体" w:hAnsi="宋体" w:cs="宋体"/>
          <w:sz w:val="24"/>
          <w:highlight w:val="none"/>
        </w:rPr>
      </w:pPr>
      <w:r>
        <w:rPr>
          <w:rFonts w:hint="eastAsia" w:ascii="宋体" w:hAnsi="宋体" w:cs="宋体"/>
          <w:sz w:val="24"/>
          <w:highlight w:val="none"/>
        </w:rPr>
        <w:t xml:space="preserve">（9）质量保障； </w:t>
      </w:r>
    </w:p>
    <w:p w14:paraId="4B9BC29E">
      <w:pPr>
        <w:spacing w:line="360" w:lineRule="auto"/>
        <w:rPr>
          <w:rFonts w:ascii="宋体" w:hAnsi="宋体" w:cs="宋体"/>
          <w:sz w:val="24"/>
          <w:highlight w:val="none"/>
        </w:rPr>
      </w:pPr>
      <w:r>
        <w:rPr>
          <w:rFonts w:hint="eastAsia" w:ascii="宋体" w:hAnsi="宋体" w:cs="宋体"/>
          <w:sz w:val="24"/>
          <w:highlight w:val="none"/>
        </w:rPr>
        <w:t>（10）安全、文明施工等的保证措施；</w:t>
      </w:r>
    </w:p>
    <w:p w14:paraId="5E2B0826">
      <w:pPr>
        <w:spacing w:line="360" w:lineRule="auto"/>
        <w:rPr>
          <w:rFonts w:ascii="宋体" w:hAnsi="宋体" w:cs="宋体"/>
          <w:sz w:val="24"/>
          <w:highlight w:val="none"/>
        </w:rPr>
      </w:pPr>
      <w:r>
        <w:rPr>
          <w:rFonts w:hint="eastAsia" w:ascii="宋体" w:hAnsi="宋体" w:cs="宋体"/>
          <w:sz w:val="24"/>
          <w:highlight w:val="none"/>
        </w:rPr>
        <w:t>（11）施工机具设备；</w:t>
      </w:r>
    </w:p>
    <w:p w14:paraId="454B7D70">
      <w:pPr>
        <w:spacing w:line="360" w:lineRule="auto"/>
        <w:rPr>
          <w:rFonts w:ascii="宋体" w:hAnsi="宋体" w:cs="宋体"/>
          <w:sz w:val="24"/>
          <w:highlight w:val="none"/>
        </w:rPr>
      </w:pPr>
      <w:r>
        <w:rPr>
          <w:rFonts w:hint="eastAsia" w:ascii="宋体" w:hAnsi="宋体" w:cs="宋体"/>
          <w:sz w:val="24"/>
          <w:highlight w:val="none"/>
        </w:rPr>
        <w:t>（12）材料设备进场计划；</w:t>
      </w:r>
    </w:p>
    <w:p w14:paraId="15631B03">
      <w:pPr>
        <w:spacing w:line="360" w:lineRule="auto"/>
        <w:rPr>
          <w:rFonts w:ascii="宋体" w:hAnsi="宋体" w:cs="宋体"/>
          <w:sz w:val="24"/>
          <w:highlight w:val="none"/>
        </w:rPr>
      </w:pPr>
      <w:r>
        <w:rPr>
          <w:rFonts w:hint="eastAsia" w:ascii="宋体" w:hAnsi="宋体" w:cs="宋体"/>
          <w:sz w:val="24"/>
          <w:highlight w:val="none"/>
        </w:rPr>
        <w:t>（13）人员情况；</w:t>
      </w:r>
    </w:p>
    <w:p w14:paraId="5661CDEB">
      <w:pPr>
        <w:spacing w:line="360" w:lineRule="auto"/>
        <w:rPr>
          <w:rFonts w:ascii="宋体" w:hAnsi="宋体" w:cs="宋体"/>
          <w:sz w:val="24"/>
          <w:highlight w:val="none"/>
        </w:rPr>
      </w:pPr>
      <w:r>
        <w:rPr>
          <w:rFonts w:hint="eastAsia" w:ascii="宋体" w:hAnsi="宋体" w:cs="宋体"/>
          <w:sz w:val="24"/>
          <w:highlight w:val="none"/>
        </w:rPr>
        <w:t>（14）布置情况；</w:t>
      </w:r>
    </w:p>
    <w:p w14:paraId="54BB677D">
      <w:pPr>
        <w:spacing w:line="360" w:lineRule="auto"/>
        <w:rPr>
          <w:rFonts w:ascii="宋体" w:hAnsi="宋体" w:cs="宋体"/>
          <w:sz w:val="24"/>
          <w:highlight w:val="none"/>
        </w:rPr>
      </w:pPr>
      <w:r>
        <w:rPr>
          <w:rFonts w:hint="eastAsia" w:ascii="宋体" w:hAnsi="宋体" w:cs="宋体"/>
          <w:sz w:val="24"/>
          <w:highlight w:val="none"/>
        </w:rPr>
        <w:t>（15）关键工序、复杂环节的相应技术措施；</w:t>
      </w:r>
    </w:p>
    <w:p w14:paraId="12279E50">
      <w:pPr>
        <w:spacing w:line="360" w:lineRule="auto"/>
        <w:rPr>
          <w:rFonts w:ascii="宋体" w:hAnsi="宋体" w:cs="宋体"/>
          <w:sz w:val="24"/>
          <w:highlight w:val="none"/>
        </w:rPr>
      </w:pPr>
      <w:r>
        <w:rPr>
          <w:rFonts w:hint="eastAsia" w:ascii="宋体" w:hAnsi="宋体" w:cs="宋体"/>
          <w:sz w:val="24"/>
          <w:highlight w:val="none"/>
        </w:rPr>
        <w:t xml:space="preserve">（16）施工重点难点分析； </w:t>
      </w:r>
    </w:p>
    <w:p w14:paraId="2D1ECEDB">
      <w:pPr>
        <w:spacing w:line="360" w:lineRule="auto"/>
        <w:rPr>
          <w:rFonts w:ascii="宋体" w:hAnsi="宋体" w:cs="宋体"/>
          <w:sz w:val="24"/>
          <w:highlight w:val="none"/>
        </w:rPr>
      </w:pPr>
      <w:r>
        <w:rPr>
          <w:rFonts w:hint="eastAsia" w:ascii="宋体" w:hAnsi="宋体" w:cs="宋体"/>
          <w:sz w:val="24"/>
          <w:highlight w:val="none"/>
        </w:rPr>
        <w:t>（17）成品保护的保证措施；</w:t>
      </w:r>
    </w:p>
    <w:p w14:paraId="5125E764">
      <w:pPr>
        <w:spacing w:line="360" w:lineRule="auto"/>
        <w:rPr>
          <w:rFonts w:ascii="宋体" w:hAnsi="宋体" w:cs="宋体"/>
          <w:sz w:val="24"/>
          <w:highlight w:val="none"/>
        </w:rPr>
      </w:pPr>
      <w:r>
        <w:rPr>
          <w:rFonts w:hint="eastAsia" w:ascii="宋体" w:hAnsi="宋体" w:cs="宋体"/>
          <w:sz w:val="24"/>
          <w:highlight w:val="none"/>
        </w:rPr>
        <w:t>（18）管理协调；</w:t>
      </w:r>
    </w:p>
    <w:p w14:paraId="7B451A67">
      <w:pPr>
        <w:spacing w:line="360" w:lineRule="auto"/>
        <w:rPr>
          <w:rFonts w:ascii="宋体" w:hAnsi="宋体" w:cs="宋体"/>
          <w:sz w:val="24"/>
          <w:highlight w:val="none"/>
        </w:rPr>
      </w:pPr>
      <w:r>
        <w:rPr>
          <w:rFonts w:hint="eastAsia" w:ascii="宋体" w:hAnsi="宋体" w:cs="宋体"/>
          <w:sz w:val="24"/>
          <w:highlight w:val="none"/>
        </w:rPr>
        <w:t>（19）认证证书；</w:t>
      </w:r>
    </w:p>
    <w:p w14:paraId="392971CB">
      <w:pPr>
        <w:spacing w:line="360" w:lineRule="auto"/>
        <w:rPr>
          <w:rFonts w:ascii="宋体" w:hAnsi="宋体" w:cs="宋体"/>
          <w:sz w:val="24"/>
          <w:highlight w:val="none"/>
        </w:rPr>
      </w:pPr>
      <w:r>
        <w:rPr>
          <w:rFonts w:hint="eastAsia" w:ascii="宋体" w:hAnsi="宋体" w:cs="宋体"/>
          <w:sz w:val="24"/>
          <w:highlight w:val="none"/>
        </w:rPr>
        <w:t>（20）同类项目业绩；</w:t>
      </w:r>
    </w:p>
    <w:p w14:paraId="56F21B65">
      <w:pPr>
        <w:spacing w:line="360" w:lineRule="auto"/>
        <w:rPr>
          <w:rFonts w:ascii="宋体" w:hAnsi="宋体" w:cs="宋体"/>
          <w:sz w:val="24"/>
          <w:highlight w:val="none"/>
        </w:rPr>
      </w:pPr>
      <w:r>
        <w:rPr>
          <w:rFonts w:hint="eastAsia" w:ascii="宋体" w:hAnsi="宋体" w:cs="宋体"/>
          <w:sz w:val="24"/>
          <w:highlight w:val="none"/>
        </w:rPr>
        <w:t>（21）售后保障；</w:t>
      </w:r>
    </w:p>
    <w:p w14:paraId="23BA588D">
      <w:pPr>
        <w:spacing w:line="360" w:lineRule="auto"/>
        <w:rPr>
          <w:rFonts w:ascii="宋体" w:hAnsi="宋体" w:cs="宋体"/>
          <w:sz w:val="24"/>
          <w:highlight w:val="none"/>
        </w:rPr>
      </w:pPr>
      <w:r>
        <w:rPr>
          <w:rFonts w:hint="eastAsia" w:ascii="宋体" w:hAnsi="宋体" w:cs="宋体"/>
          <w:sz w:val="24"/>
          <w:highlight w:val="none"/>
        </w:rPr>
        <w:t>（22）合理化建议；</w:t>
      </w:r>
    </w:p>
    <w:p w14:paraId="02949C41">
      <w:pPr>
        <w:spacing w:line="360" w:lineRule="auto"/>
        <w:rPr>
          <w:rFonts w:ascii="宋体" w:hAnsi="宋体" w:cs="宋体"/>
          <w:sz w:val="24"/>
          <w:highlight w:val="none"/>
        </w:rPr>
      </w:pPr>
      <w:r>
        <w:rPr>
          <w:rFonts w:hint="eastAsia" w:ascii="宋体" w:hAnsi="宋体" w:cs="宋体"/>
          <w:sz w:val="24"/>
          <w:highlight w:val="none"/>
        </w:rPr>
        <w:t>（23）安全生产及其他承诺函（格式见附件）；</w:t>
      </w:r>
    </w:p>
    <w:p w14:paraId="3A5AEC60">
      <w:pPr>
        <w:pStyle w:val="11"/>
        <w:spacing w:line="360" w:lineRule="auto"/>
        <w:ind w:firstLine="0"/>
        <w:rPr>
          <w:highlight w:val="none"/>
        </w:rPr>
      </w:pPr>
      <w:r>
        <w:rPr>
          <w:rFonts w:hint="eastAsia" w:ascii="宋体" w:hAnsi="宋体" w:cs="宋体"/>
          <w:sz w:val="24"/>
          <w:highlight w:val="none"/>
        </w:rPr>
        <w:t>（24）人员现场到位率承诺书（格式见附件）；</w:t>
      </w:r>
    </w:p>
    <w:p w14:paraId="7952DFA9">
      <w:pPr>
        <w:spacing w:line="360" w:lineRule="auto"/>
        <w:rPr>
          <w:rFonts w:ascii="宋体" w:hAnsi="宋体"/>
          <w:bCs/>
          <w:sz w:val="24"/>
          <w:highlight w:val="none"/>
        </w:rPr>
      </w:pPr>
      <w:r>
        <w:rPr>
          <w:rFonts w:hint="eastAsia" w:ascii="宋体" w:hAnsi="宋体"/>
          <w:bCs/>
          <w:sz w:val="24"/>
          <w:highlight w:val="none"/>
        </w:rPr>
        <w:t>（25）服务费承诺书（格式见附件）；</w:t>
      </w:r>
    </w:p>
    <w:p w14:paraId="1375FA72">
      <w:pPr>
        <w:spacing w:line="360" w:lineRule="auto"/>
        <w:rPr>
          <w:rFonts w:ascii="宋体" w:hAnsi="宋体"/>
          <w:bCs/>
          <w:sz w:val="24"/>
          <w:highlight w:val="none"/>
        </w:rPr>
      </w:pPr>
      <w:r>
        <w:rPr>
          <w:rFonts w:hint="eastAsia" w:ascii="宋体" w:hAnsi="宋体"/>
          <w:bCs/>
          <w:sz w:val="24"/>
          <w:highlight w:val="none"/>
        </w:rPr>
        <w:t>（26）</w:t>
      </w:r>
      <w:r>
        <w:rPr>
          <w:rFonts w:hint="eastAsia" w:ascii="宋体" w:hAnsi="宋体" w:cs="宋体"/>
          <w:sz w:val="24"/>
          <w:highlight w:val="none"/>
        </w:rPr>
        <w:t>供应商</w:t>
      </w:r>
      <w:r>
        <w:rPr>
          <w:rFonts w:hint="eastAsia" w:ascii="宋体" w:hAnsi="宋体"/>
          <w:bCs/>
          <w:sz w:val="24"/>
          <w:highlight w:val="none"/>
        </w:rPr>
        <w:t>需要说明的其他文件和说明。</w:t>
      </w:r>
    </w:p>
    <w:p w14:paraId="4629C4A0">
      <w:pPr>
        <w:spacing w:line="430" w:lineRule="exact"/>
        <w:rPr>
          <w:rFonts w:ascii="宋体" w:hAnsi="宋体" w:cs="宋体"/>
          <w:b/>
          <w:sz w:val="24"/>
          <w:highlight w:val="none"/>
        </w:rPr>
      </w:pPr>
      <w:r>
        <w:rPr>
          <w:rFonts w:hint="eastAsia" w:ascii="宋体" w:hAnsi="宋体" w:cs="宋体"/>
          <w:b/>
          <w:sz w:val="24"/>
          <w:highlight w:val="none"/>
        </w:rPr>
        <w:t>4.报价文件</w:t>
      </w:r>
    </w:p>
    <w:p w14:paraId="4CE45049">
      <w:pPr>
        <w:spacing w:line="430" w:lineRule="exact"/>
        <w:rPr>
          <w:rFonts w:ascii="宋体" w:hAnsi="宋体" w:cs="宋体"/>
          <w:sz w:val="24"/>
          <w:highlight w:val="none"/>
        </w:rPr>
      </w:pPr>
      <w:r>
        <w:rPr>
          <w:rFonts w:hint="eastAsia" w:ascii="宋体" w:hAnsi="宋体" w:cs="宋体"/>
          <w:sz w:val="24"/>
          <w:highlight w:val="none"/>
        </w:rPr>
        <w:t xml:space="preserve">（1）磋商响应函（格式见附件）； </w:t>
      </w:r>
    </w:p>
    <w:p w14:paraId="27054BB3">
      <w:pPr>
        <w:spacing w:line="430" w:lineRule="exact"/>
        <w:rPr>
          <w:rFonts w:ascii="宋体" w:hAnsi="宋体" w:cs="宋体"/>
          <w:sz w:val="24"/>
          <w:highlight w:val="none"/>
        </w:rPr>
      </w:pPr>
      <w:r>
        <w:rPr>
          <w:rFonts w:hint="eastAsia" w:ascii="宋体" w:hAnsi="宋体" w:cs="宋体"/>
          <w:sz w:val="24"/>
          <w:highlight w:val="none"/>
        </w:rPr>
        <w:t xml:space="preserve">（2）初次报价表（格式见附件）； </w:t>
      </w:r>
    </w:p>
    <w:p w14:paraId="49B42AFD">
      <w:pPr>
        <w:spacing w:line="430" w:lineRule="exact"/>
        <w:rPr>
          <w:rFonts w:ascii="宋体" w:hAnsi="宋体" w:cs="宋体"/>
          <w:b/>
          <w:bCs/>
          <w:sz w:val="24"/>
          <w:highlight w:val="none"/>
        </w:rPr>
      </w:pPr>
      <w:r>
        <w:rPr>
          <w:rFonts w:hint="eastAsia" w:ascii="宋体" w:hAnsi="宋体" w:cs="宋体"/>
          <w:sz w:val="24"/>
          <w:highlight w:val="none"/>
        </w:rPr>
        <w:t>（3）供应商针对报价需要说明的其他文件和说明（格式自拟）；</w:t>
      </w:r>
    </w:p>
    <w:p w14:paraId="467EB561">
      <w:pPr>
        <w:pStyle w:val="4"/>
        <w:keepNext w:val="0"/>
        <w:keepLines w:val="0"/>
        <w:pageBreakBefore/>
        <w:spacing w:line="360" w:lineRule="auto"/>
        <w:rPr>
          <w:rFonts w:ascii="宋体" w:hAnsi="宋体" w:eastAsia="宋体" w:cs="宋体"/>
          <w:b w:val="0"/>
          <w:sz w:val="24"/>
          <w:szCs w:val="24"/>
          <w:highlight w:val="none"/>
        </w:rPr>
      </w:pPr>
      <w:bookmarkStart w:id="48" w:name="_Toc174370006"/>
      <w:r>
        <w:rPr>
          <w:rFonts w:hint="eastAsia" w:ascii="宋体" w:hAnsi="宋体" w:eastAsia="宋体" w:cs="宋体"/>
          <w:b w:val="0"/>
          <w:sz w:val="24"/>
          <w:szCs w:val="24"/>
          <w:highlight w:val="none"/>
        </w:rPr>
        <w:t>附件一：磋商声明书</w:t>
      </w:r>
      <w:bookmarkEnd w:id="48"/>
    </w:p>
    <w:p w14:paraId="750C6D3A">
      <w:pPr>
        <w:snapToGrid w:val="0"/>
        <w:spacing w:before="120" w:beforeLines="50" w:after="50" w:line="276" w:lineRule="auto"/>
        <w:jc w:val="center"/>
        <w:rPr>
          <w:rFonts w:ascii="宋体" w:hAnsi="宋体" w:cs="宋体"/>
          <w:b/>
          <w:sz w:val="24"/>
          <w:highlight w:val="none"/>
        </w:rPr>
      </w:pPr>
      <w:r>
        <w:rPr>
          <w:rFonts w:hint="eastAsia" w:ascii="宋体" w:hAnsi="宋体" w:cs="宋体"/>
          <w:b/>
          <w:sz w:val="24"/>
          <w:highlight w:val="none"/>
        </w:rPr>
        <w:t>磋商声明书</w:t>
      </w:r>
    </w:p>
    <w:p w14:paraId="217D887E">
      <w:pPr>
        <w:snapToGrid w:val="0"/>
        <w:spacing w:before="120" w:beforeLines="50" w:after="50" w:line="276" w:lineRule="auto"/>
        <w:rPr>
          <w:rFonts w:ascii="宋体" w:hAnsi="宋体" w:cs="宋体"/>
          <w:sz w:val="24"/>
          <w:highlight w:val="none"/>
        </w:rPr>
      </w:pPr>
      <w:r>
        <w:rPr>
          <w:rFonts w:hint="eastAsia" w:ascii="宋体" w:hAnsi="宋体" w:cs="宋体"/>
          <w:sz w:val="24"/>
          <w:highlight w:val="none"/>
        </w:rPr>
        <w:t>致：</w:t>
      </w:r>
      <w:r>
        <w:rPr>
          <w:rFonts w:hint="eastAsia" w:ascii="宋体" w:hAnsi="宋体" w:cs="宋体"/>
          <w:sz w:val="24"/>
          <w:highlight w:val="none"/>
          <w:u w:val="single"/>
        </w:rPr>
        <w:t xml:space="preserve">              </w:t>
      </w:r>
      <w:r>
        <w:rPr>
          <w:rFonts w:hint="eastAsia" w:ascii="宋体" w:hAnsi="宋体" w:cs="宋体"/>
          <w:sz w:val="24"/>
          <w:highlight w:val="none"/>
        </w:rPr>
        <w:t>（招标采购单位名称）：</w:t>
      </w:r>
    </w:p>
    <w:p w14:paraId="5377C350">
      <w:pPr>
        <w:snapToGrid w:val="0"/>
        <w:spacing w:before="120" w:beforeLines="50" w:after="50" w:line="276" w:lineRule="auto"/>
        <w:ind w:firstLine="720" w:firstLineChars="300"/>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（供应商名称）系中华人民共和国合法企业，经营地址</w:t>
      </w:r>
      <w:r>
        <w:rPr>
          <w:rFonts w:hint="eastAsia" w:ascii="宋体" w:hAnsi="宋体" w:cs="宋体"/>
          <w:sz w:val="24"/>
          <w:highlight w:val="none"/>
          <w:u w:val="single"/>
        </w:rPr>
        <w:t xml:space="preserve">                               </w:t>
      </w:r>
      <w:r>
        <w:rPr>
          <w:rFonts w:hint="eastAsia" w:ascii="宋体" w:hAnsi="宋体" w:cs="宋体"/>
          <w:sz w:val="24"/>
          <w:highlight w:val="none"/>
        </w:rPr>
        <w:t>。</w:t>
      </w:r>
    </w:p>
    <w:p w14:paraId="2280625E">
      <w:pPr>
        <w:snapToGrid w:val="0"/>
        <w:spacing w:before="120" w:beforeLines="50" w:after="50" w:line="276" w:lineRule="auto"/>
        <w:ind w:firstLine="645"/>
        <w:rPr>
          <w:rFonts w:ascii="宋体" w:hAnsi="宋体" w:cs="宋体"/>
          <w:sz w:val="24"/>
          <w:highlight w:val="none"/>
        </w:rPr>
      </w:pPr>
      <w:r>
        <w:rPr>
          <w:rFonts w:hint="eastAsia" w:ascii="宋体" w:hAnsi="宋体" w:cs="宋体"/>
          <w:sz w:val="24"/>
          <w:highlight w:val="none"/>
        </w:rPr>
        <w:t>我</w:t>
      </w:r>
      <w:r>
        <w:rPr>
          <w:rFonts w:hint="eastAsia" w:ascii="宋体" w:hAnsi="宋体" w:cs="宋体"/>
          <w:sz w:val="24"/>
          <w:highlight w:val="none"/>
          <w:u w:val="single"/>
        </w:rPr>
        <w:t xml:space="preserve">           </w:t>
      </w:r>
      <w:r>
        <w:rPr>
          <w:rFonts w:hint="eastAsia" w:ascii="宋体" w:hAnsi="宋体" w:cs="宋体"/>
          <w:sz w:val="24"/>
          <w:highlight w:val="none"/>
        </w:rPr>
        <w:t>（姓名）系</w:t>
      </w:r>
      <w:r>
        <w:rPr>
          <w:rFonts w:hint="eastAsia" w:ascii="宋体" w:hAnsi="宋体" w:cs="宋体"/>
          <w:sz w:val="24"/>
          <w:highlight w:val="none"/>
          <w:u w:val="single"/>
        </w:rPr>
        <w:t xml:space="preserve">             </w:t>
      </w:r>
      <w:r>
        <w:rPr>
          <w:rFonts w:hint="eastAsia" w:ascii="宋体" w:hAnsi="宋体" w:cs="宋体"/>
          <w:sz w:val="24"/>
          <w:highlight w:val="none"/>
        </w:rPr>
        <w:t xml:space="preserve">（供应商名称）的法定代表人，我方愿意参加贵方组织的 </w:t>
      </w:r>
      <w:r>
        <w:rPr>
          <w:rFonts w:hint="eastAsia" w:ascii="宋体" w:hAnsi="宋体" w:cs="宋体"/>
          <w:sz w:val="24"/>
          <w:highlight w:val="none"/>
          <w:u w:val="single"/>
        </w:rPr>
        <w:t xml:space="preserve">                    </w:t>
      </w:r>
      <w:r>
        <w:rPr>
          <w:rFonts w:hint="eastAsia" w:ascii="宋体" w:hAnsi="宋体" w:cs="宋体"/>
          <w:sz w:val="24"/>
          <w:highlight w:val="none"/>
        </w:rPr>
        <w:t xml:space="preserve"> 项目的磋商，为便于贵方公正、择优地确定中标人及其磋商服务，我方就本次磋商有关事项郑重声明如下：</w:t>
      </w:r>
    </w:p>
    <w:p w14:paraId="480BF96F">
      <w:pPr>
        <w:spacing w:line="360" w:lineRule="auto"/>
        <w:ind w:firstLine="480" w:firstLineChars="200"/>
        <w:rPr>
          <w:rFonts w:ascii="宋体" w:hAnsi="宋体" w:cs="宋体"/>
          <w:sz w:val="24"/>
          <w:highlight w:val="none"/>
        </w:rPr>
      </w:pPr>
      <w:r>
        <w:rPr>
          <w:rFonts w:hint="eastAsia" w:ascii="宋体" w:hAnsi="宋体" w:cs="宋体"/>
          <w:sz w:val="24"/>
          <w:highlight w:val="none"/>
        </w:rPr>
        <w:t>1.我方向贵方提交的所有磋商响应文件、资料都是准确的和真实的。若有违背，我公司愿为由此而产生的一切后果负责。</w:t>
      </w:r>
    </w:p>
    <w:p w14:paraId="2FB4AE13">
      <w:pPr>
        <w:snapToGrid w:val="0"/>
        <w:spacing w:before="120" w:beforeLines="50" w:line="276" w:lineRule="auto"/>
        <w:ind w:firstLine="480" w:firstLineChars="200"/>
        <w:rPr>
          <w:rFonts w:ascii="宋体" w:hAnsi="宋体" w:cs="宋体"/>
          <w:sz w:val="24"/>
          <w:highlight w:val="none"/>
          <w:u w:val="single"/>
        </w:rPr>
      </w:pPr>
      <w:r>
        <w:rPr>
          <w:rFonts w:hint="eastAsia" w:ascii="宋体" w:hAnsi="宋体" w:cs="宋体"/>
          <w:sz w:val="24"/>
          <w:highlight w:val="none"/>
        </w:rPr>
        <w:t>2.我方不是采购人的附属机构；在获知本项目采购信息后，与采购人聘请的为此项目提供咨询服务的公司及其附属机构没有任何联系。</w:t>
      </w:r>
    </w:p>
    <w:p w14:paraId="49341683">
      <w:pPr>
        <w:snapToGrid w:val="0"/>
        <w:spacing w:before="120" w:beforeLines="50" w:line="276" w:lineRule="auto"/>
        <w:ind w:firstLine="480" w:firstLineChars="200"/>
        <w:rPr>
          <w:rFonts w:ascii="宋体" w:hAnsi="宋体" w:cs="宋体"/>
          <w:sz w:val="24"/>
          <w:highlight w:val="none"/>
        </w:rPr>
      </w:pPr>
      <w:r>
        <w:rPr>
          <w:rFonts w:hint="eastAsia" w:ascii="宋体" w:hAnsi="宋体" w:cs="宋体"/>
          <w:sz w:val="24"/>
          <w:highlight w:val="none"/>
        </w:rPr>
        <w:t>3. 我方诚意提请贵方关注：近期有</w:t>
      </w:r>
      <w:r>
        <w:rPr>
          <w:rFonts w:hint="eastAsia" w:ascii="宋体" w:hAnsi="宋体" w:cs="宋体"/>
          <w:sz w:val="24"/>
          <w:highlight w:val="none"/>
          <w:u w:val="single"/>
        </w:rPr>
        <w:t xml:space="preserve">                   （采购内容）</w:t>
      </w:r>
      <w:r>
        <w:rPr>
          <w:rFonts w:hint="eastAsia" w:ascii="宋体" w:hAnsi="宋体" w:cs="宋体"/>
          <w:sz w:val="24"/>
          <w:highlight w:val="none"/>
        </w:rPr>
        <w:t>等方面的重大决策和事项有：</w:t>
      </w:r>
    </w:p>
    <w:p w14:paraId="0F2BC3EA">
      <w:pPr>
        <w:snapToGrid w:val="0"/>
        <w:spacing w:before="120" w:beforeLines="50" w:line="276" w:lineRule="auto"/>
        <w:ind w:firstLine="480" w:firstLineChars="200"/>
        <w:rPr>
          <w:rFonts w:ascii="宋体" w:hAnsi="宋体" w:cs="宋体"/>
          <w:sz w:val="24"/>
          <w:highlight w:val="none"/>
          <w:u w:val="single"/>
        </w:rPr>
      </w:pPr>
      <w:r>
        <w:rPr>
          <w:rFonts w:hint="eastAsia" w:ascii="宋体" w:hAnsi="宋体" w:cs="宋体"/>
          <w:sz w:val="24"/>
          <w:highlight w:val="none"/>
          <w:u w:val="single"/>
        </w:rPr>
        <w:t>　　　　　　　　　　　　　　　　　　　　　　　　　　　</w:t>
      </w:r>
    </w:p>
    <w:p w14:paraId="503F4B51">
      <w:pPr>
        <w:snapToGrid w:val="0"/>
        <w:spacing w:before="120" w:beforeLines="50" w:line="276" w:lineRule="auto"/>
        <w:ind w:firstLine="480" w:firstLineChars="200"/>
        <w:rPr>
          <w:rFonts w:ascii="宋体" w:hAnsi="宋体" w:cs="宋体"/>
          <w:sz w:val="24"/>
          <w:highlight w:val="none"/>
        </w:rPr>
      </w:pPr>
      <w:r>
        <w:rPr>
          <w:rFonts w:hint="eastAsia" w:ascii="宋体" w:hAnsi="宋体" w:cs="宋体"/>
          <w:sz w:val="24"/>
          <w:highlight w:val="none"/>
          <w:u w:val="single"/>
        </w:rPr>
        <w:t>　　　　　　　　　　　　　　　　　　　　　　　　　　　</w:t>
      </w:r>
    </w:p>
    <w:p w14:paraId="52279E3D">
      <w:pPr>
        <w:pStyle w:val="12"/>
        <w:snapToGrid w:val="0"/>
        <w:spacing w:line="276" w:lineRule="auto"/>
        <w:rPr>
          <w:rFonts w:ascii="宋体" w:hAnsi="宋体" w:cs="宋体"/>
          <w:sz w:val="24"/>
          <w:highlight w:val="none"/>
        </w:rPr>
      </w:pPr>
      <w:r>
        <w:rPr>
          <w:rFonts w:hint="eastAsia" w:ascii="宋体" w:hAnsi="宋体" w:cs="宋体"/>
          <w:sz w:val="24"/>
          <w:highlight w:val="none"/>
        </w:rPr>
        <w:t>4.我方及由本人担任法定代表人的其他机构最近三年内被通报或者被处罚的违法行为有：</w:t>
      </w:r>
    </w:p>
    <w:p w14:paraId="29D40D5A">
      <w:pPr>
        <w:snapToGrid w:val="0"/>
        <w:spacing w:before="120" w:beforeLines="50" w:line="276" w:lineRule="auto"/>
        <w:ind w:firstLine="480" w:firstLineChars="200"/>
        <w:rPr>
          <w:rFonts w:ascii="宋体" w:hAnsi="宋体" w:cs="宋体"/>
          <w:sz w:val="24"/>
          <w:highlight w:val="none"/>
          <w:u w:val="single"/>
        </w:rPr>
      </w:pPr>
      <w:r>
        <w:rPr>
          <w:rFonts w:hint="eastAsia" w:ascii="宋体" w:hAnsi="宋体" w:cs="宋体"/>
          <w:sz w:val="24"/>
          <w:highlight w:val="none"/>
          <w:u w:val="single"/>
        </w:rPr>
        <w:t>　　　　　　　　　　　　　　　　　　　　　　　　　　　</w:t>
      </w:r>
    </w:p>
    <w:p w14:paraId="093CC725">
      <w:pPr>
        <w:snapToGrid w:val="0"/>
        <w:spacing w:before="120" w:beforeLines="50" w:line="276" w:lineRule="auto"/>
        <w:ind w:firstLine="480" w:firstLineChars="200"/>
        <w:rPr>
          <w:rFonts w:ascii="宋体" w:hAnsi="宋体" w:cs="宋体"/>
          <w:sz w:val="24"/>
          <w:highlight w:val="none"/>
          <w:u w:val="single"/>
        </w:rPr>
      </w:pPr>
      <w:r>
        <w:rPr>
          <w:rFonts w:hint="eastAsia" w:ascii="宋体" w:hAnsi="宋体" w:cs="宋体"/>
          <w:sz w:val="24"/>
          <w:highlight w:val="none"/>
          <w:u w:val="single"/>
        </w:rPr>
        <w:t>　　　　　　　　　　　　　　　　　　　　　　　　　　　</w:t>
      </w:r>
    </w:p>
    <w:p w14:paraId="072D51E6">
      <w:pPr>
        <w:snapToGrid w:val="0"/>
        <w:spacing w:line="276" w:lineRule="auto"/>
        <w:ind w:firstLine="480" w:firstLineChars="200"/>
        <w:rPr>
          <w:rFonts w:ascii="宋体" w:hAnsi="宋体" w:cs="宋体"/>
          <w:sz w:val="24"/>
          <w:highlight w:val="none"/>
        </w:rPr>
      </w:pPr>
      <w:r>
        <w:rPr>
          <w:rFonts w:hint="eastAsia" w:ascii="宋体" w:hAnsi="宋体" w:cs="宋体"/>
          <w:sz w:val="24"/>
          <w:highlight w:val="none"/>
        </w:rPr>
        <w:t>5.以上事项如有虚假或隐瞒，我方愿意承担一切后果，并不再寻求任何旨在减轻或免除法律责任的辩解。</w:t>
      </w:r>
    </w:p>
    <w:p w14:paraId="7F7CE796">
      <w:pPr>
        <w:pStyle w:val="21"/>
        <w:tabs>
          <w:tab w:val="left" w:pos="939"/>
        </w:tabs>
        <w:snapToGrid w:val="0"/>
        <w:spacing w:line="276" w:lineRule="auto"/>
        <w:ind w:left="773" w:leftChars="150" w:hanging="458" w:hangingChars="191"/>
        <w:rPr>
          <w:rFonts w:ascii="宋体" w:hAnsi="宋体" w:cs="宋体"/>
          <w:sz w:val="24"/>
          <w:highlight w:val="none"/>
        </w:rPr>
      </w:pPr>
    </w:p>
    <w:p w14:paraId="7C961CD1">
      <w:pPr>
        <w:pStyle w:val="115"/>
        <w:snapToGrid w:val="0"/>
        <w:spacing w:before="120" w:beforeLines="50" w:line="276" w:lineRule="auto"/>
        <w:ind w:firstLine="200"/>
        <w:rPr>
          <w:rFonts w:ascii="宋体" w:hAnsi="宋体" w:cs="宋体"/>
          <w:szCs w:val="24"/>
          <w:highlight w:val="none"/>
        </w:rPr>
      </w:pPr>
    </w:p>
    <w:p w14:paraId="37F3B2F2">
      <w:pPr>
        <w:snapToGrid w:val="0"/>
        <w:spacing w:before="120" w:beforeLines="50" w:line="276" w:lineRule="auto"/>
        <w:ind w:firstLine="319" w:firstLineChars="133"/>
        <w:rPr>
          <w:rFonts w:ascii="宋体" w:hAnsi="宋体" w:cs="宋体"/>
          <w:sz w:val="24"/>
          <w:highlight w:val="none"/>
          <w:u w:val="single"/>
        </w:rPr>
      </w:pPr>
      <w:r>
        <w:rPr>
          <w:rFonts w:hint="eastAsia" w:ascii="宋体" w:hAnsi="宋体" w:cs="宋体"/>
          <w:sz w:val="24"/>
          <w:highlight w:val="none"/>
        </w:rPr>
        <w:t>法定代表人或委托代理人签字：</w:t>
      </w:r>
      <w:r>
        <w:rPr>
          <w:rFonts w:hint="eastAsia" w:ascii="宋体" w:hAnsi="宋体" w:cs="宋体"/>
          <w:sz w:val="24"/>
          <w:highlight w:val="none"/>
          <w:u w:val="single"/>
        </w:rPr>
        <w:t xml:space="preserve">             </w:t>
      </w:r>
    </w:p>
    <w:p w14:paraId="3B9309EF">
      <w:pPr>
        <w:snapToGrid w:val="0"/>
        <w:spacing w:before="120" w:beforeLines="50" w:after="50" w:line="276" w:lineRule="auto"/>
        <w:ind w:firstLine="360" w:firstLineChars="150"/>
        <w:rPr>
          <w:rFonts w:ascii="宋体" w:hAnsi="宋体" w:cs="宋体"/>
          <w:sz w:val="24"/>
          <w:highlight w:val="none"/>
        </w:rPr>
      </w:pPr>
      <w:r>
        <w:rPr>
          <w:rFonts w:hint="eastAsia" w:ascii="宋体" w:hAnsi="宋体" w:cs="宋体"/>
          <w:sz w:val="24"/>
          <w:highlight w:val="none"/>
        </w:rPr>
        <w:t>供应商公章：</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6F238EAF">
      <w:pPr>
        <w:snapToGrid w:val="0"/>
        <w:spacing w:before="120" w:beforeLines="50" w:after="50" w:line="276" w:lineRule="auto"/>
        <w:ind w:firstLine="6240" w:firstLineChars="2600"/>
        <w:rPr>
          <w:rFonts w:ascii="宋体" w:hAnsi="宋体" w:cs="宋体"/>
          <w:sz w:val="24"/>
          <w:highlight w:val="none"/>
        </w:rPr>
      </w:pPr>
      <w:r>
        <w:rPr>
          <w:rFonts w:hint="eastAsia" w:ascii="宋体" w:hAnsi="宋体" w:cs="宋体"/>
          <w:sz w:val="24"/>
          <w:highlight w:val="none"/>
        </w:rPr>
        <w:t>年    月    日</w:t>
      </w:r>
    </w:p>
    <w:p w14:paraId="59B0B7B1">
      <w:pPr>
        <w:snapToGrid w:val="0"/>
        <w:spacing w:before="120" w:beforeLines="50" w:after="50" w:line="276" w:lineRule="auto"/>
        <w:ind w:firstLine="6240" w:firstLineChars="2600"/>
        <w:rPr>
          <w:rFonts w:ascii="宋体" w:hAnsi="宋体" w:cs="宋体"/>
          <w:sz w:val="24"/>
          <w:highlight w:val="none"/>
        </w:rPr>
      </w:pPr>
    </w:p>
    <w:p w14:paraId="4AF47A52">
      <w:pPr>
        <w:snapToGrid w:val="0"/>
        <w:spacing w:before="120" w:beforeLines="50" w:after="50" w:line="276" w:lineRule="auto"/>
        <w:ind w:firstLine="6240" w:firstLineChars="2600"/>
        <w:rPr>
          <w:rFonts w:ascii="宋体" w:hAnsi="宋体" w:cs="宋体"/>
          <w:sz w:val="24"/>
          <w:highlight w:val="none"/>
        </w:rPr>
      </w:pPr>
    </w:p>
    <w:p w14:paraId="06B53A7C">
      <w:pPr>
        <w:snapToGrid w:val="0"/>
        <w:spacing w:before="120" w:beforeLines="50" w:after="50" w:line="276" w:lineRule="auto"/>
        <w:ind w:firstLine="6240" w:firstLineChars="2600"/>
        <w:rPr>
          <w:rFonts w:ascii="宋体" w:hAnsi="宋体" w:cs="宋体"/>
          <w:sz w:val="24"/>
          <w:highlight w:val="none"/>
        </w:rPr>
      </w:pPr>
    </w:p>
    <w:p w14:paraId="77201117">
      <w:pPr>
        <w:snapToGrid w:val="0"/>
        <w:spacing w:before="120" w:beforeLines="50" w:after="50" w:line="276" w:lineRule="auto"/>
        <w:rPr>
          <w:rFonts w:ascii="宋体" w:hAnsi="宋体" w:cs="宋体"/>
          <w:sz w:val="24"/>
          <w:highlight w:val="none"/>
        </w:rPr>
      </w:pPr>
    </w:p>
    <w:p w14:paraId="41AD39A9">
      <w:pPr>
        <w:pStyle w:val="4"/>
        <w:keepNext w:val="0"/>
        <w:keepLines w:val="0"/>
        <w:pageBreakBefore/>
        <w:spacing w:line="360" w:lineRule="auto"/>
        <w:rPr>
          <w:rFonts w:ascii="宋体" w:hAnsi="宋体" w:eastAsia="宋体" w:cs="宋体"/>
          <w:b w:val="0"/>
          <w:bCs w:val="0"/>
          <w:sz w:val="24"/>
          <w:szCs w:val="24"/>
          <w:highlight w:val="none"/>
        </w:rPr>
      </w:pPr>
      <w:bookmarkStart w:id="49" w:name="_Toc24340"/>
      <w:bookmarkStart w:id="50" w:name="_Toc30843"/>
      <w:bookmarkStart w:id="51" w:name="_Toc174370007"/>
      <w:bookmarkStart w:id="52" w:name="_Toc23315"/>
      <w:bookmarkStart w:id="53" w:name="_Toc3669"/>
      <w:bookmarkStart w:id="54" w:name="_Toc10320"/>
      <w:r>
        <w:rPr>
          <w:rFonts w:hint="eastAsia" w:ascii="宋体" w:hAnsi="宋体" w:eastAsia="宋体" w:cs="宋体"/>
          <w:b w:val="0"/>
          <w:bCs w:val="0"/>
          <w:sz w:val="24"/>
          <w:szCs w:val="24"/>
          <w:highlight w:val="none"/>
        </w:rPr>
        <w:t>附件二：</w:t>
      </w:r>
      <w:bookmarkEnd w:id="49"/>
      <w:bookmarkEnd w:id="50"/>
      <w:r>
        <w:rPr>
          <w:rFonts w:hint="eastAsia" w:ascii="宋体" w:hAnsi="宋体" w:eastAsia="宋体" w:cs="宋体"/>
          <w:b w:val="0"/>
          <w:bCs w:val="0"/>
          <w:sz w:val="24"/>
          <w:szCs w:val="24"/>
          <w:highlight w:val="none"/>
        </w:rPr>
        <w:t>符合参加政府采购活动应当具备的一般条件的承诺函</w:t>
      </w:r>
      <w:bookmarkEnd w:id="51"/>
      <w:bookmarkEnd w:id="52"/>
      <w:bookmarkEnd w:id="53"/>
    </w:p>
    <w:p w14:paraId="110FF566">
      <w:pPr>
        <w:pStyle w:val="35"/>
        <w:spacing w:before="100" w:after="100" w:line="360" w:lineRule="auto"/>
        <w:jc w:val="center"/>
        <w:rPr>
          <w:highlight w:val="none"/>
        </w:rPr>
      </w:pPr>
      <w:r>
        <w:rPr>
          <w:rFonts w:hint="eastAsia"/>
          <w:b/>
          <w:bCs/>
          <w:sz w:val="27"/>
          <w:szCs w:val="27"/>
          <w:highlight w:val="none"/>
        </w:rPr>
        <w:t>符合参加政府采购活动应当具备的一般条件的承诺函</w:t>
      </w:r>
    </w:p>
    <w:p w14:paraId="697A7C0F">
      <w:pPr>
        <w:snapToGrid w:val="0"/>
        <w:spacing w:before="120" w:beforeLines="50" w:after="50" w:line="276" w:lineRule="auto"/>
        <w:rPr>
          <w:rFonts w:ascii="宋体" w:hAnsi="宋体" w:cs="宋体"/>
          <w:sz w:val="24"/>
          <w:highlight w:val="none"/>
        </w:rPr>
      </w:pPr>
      <w:r>
        <w:rPr>
          <w:rFonts w:hint="eastAsia" w:ascii="宋体" w:hAnsi="宋体" w:cs="宋体"/>
          <w:sz w:val="24"/>
          <w:highlight w:val="none"/>
        </w:rPr>
        <w:t>致：</w:t>
      </w:r>
      <w:r>
        <w:rPr>
          <w:rFonts w:hint="eastAsia" w:ascii="宋体" w:hAnsi="宋体" w:cs="宋体"/>
          <w:sz w:val="24"/>
          <w:highlight w:val="none"/>
          <w:u w:val="single"/>
        </w:rPr>
        <w:t xml:space="preserve">              </w:t>
      </w:r>
      <w:r>
        <w:rPr>
          <w:rFonts w:hint="eastAsia" w:ascii="宋体" w:hAnsi="宋体" w:cs="宋体"/>
          <w:sz w:val="24"/>
          <w:highlight w:val="none"/>
        </w:rPr>
        <w:t>（招标采购单位名称）：</w:t>
      </w:r>
    </w:p>
    <w:p w14:paraId="260BAFB8">
      <w:pPr>
        <w:pStyle w:val="35"/>
        <w:spacing w:before="0" w:after="0" w:line="360" w:lineRule="auto"/>
        <w:ind w:left="480"/>
        <w:jc w:val="both"/>
        <w:rPr>
          <w:kern w:val="2"/>
          <w:highlight w:val="none"/>
        </w:rPr>
      </w:pPr>
      <w:r>
        <w:rPr>
          <w:rFonts w:hint="eastAsia"/>
          <w:kern w:val="2"/>
          <w:highlight w:val="none"/>
        </w:rPr>
        <w:t>我方参与</w:t>
      </w:r>
      <w:r>
        <w:rPr>
          <w:rFonts w:hint="eastAsia"/>
          <w:highlight w:val="none"/>
          <w:u w:val="single"/>
        </w:rPr>
        <w:t xml:space="preserve">              </w:t>
      </w:r>
      <w:r>
        <w:rPr>
          <w:rFonts w:hint="eastAsia"/>
          <w:kern w:val="2"/>
          <w:highlight w:val="none"/>
        </w:rPr>
        <w:t>项目【项目编号：</w:t>
      </w:r>
      <w:r>
        <w:rPr>
          <w:rFonts w:hint="eastAsia"/>
          <w:highlight w:val="none"/>
          <w:u w:val="single"/>
        </w:rPr>
        <w:t xml:space="preserve">             </w:t>
      </w:r>
      <w:r>
        <w:rPr>
          <w:rFonts w:hint="eastAsia"/>
          <w:kern w:val="2"/>
          <w:highlight w:val="none"/>
        </w:rPr>
        <w:t>】政府采购活动，郑重承诺：</w:t>
      </w:r>
    </w:p>
    <w:p w14:paraId="21AB88F6">
      <w:pPr>
        <w:pStyle w:val="35"/>
        <w:spacing w:before="0" w:after="0" w:line="360" w:lineRule="auto"/>
        <w:ind w:left="480"/>
        <w:jc w:val="both"/>
        <w:rPr>
          <w:kern w:val="2"/>
          <w:highlight w:val="none"/>
        </w:rPr>
      </w:pPr>
      <w:r>
        <w:rPr>
          <w:rFonts w:hint="eastAsia"/>
          <w:kern w:val="2"/>
          <w:highlight w:val="none"/>
        </w:rPr>
        <w:t>（一）具备《中华人民共和国政府采购法》第二十二条第一款规定的条件：</w:t>
      </w:r>
    </w:p>
    <w:p w14:paraId="39E99A9F">
      <w:pPr>
        <w:pStyle w:val="35"/>
        <w:spacing w:before="0" w:after="0" w:line="360" w:lineRule="auto"/>
        <w:ind w:left="480"/>
        <w:jc w:val="both"/>
        <w:rPr>
          <w:kern w:val="2"/>
          <w:highlight w:val="none"/>
        </w:rPr>
      </w:pPr>
      <w:r>
        <w:rPr>
          <w:rFonts w:hint="eastAsia"/>
          <w:kern w:val="2"/>
          <w:highlight w:val="none"/>
        </w:rPr>
        <w:t>1、具有独立承担民事责任的能力；</w:t>
      </w:r>
    </w:p>
    <w:p w14:paraId="62649D3F">
      <w:pPr>
        <w:pStyle w:val="35"/>
        <w:spacing w:before="0" w:after="0" w:line="360" w:lineRule="auto"/>
        <w:ind w:left="480"/>
        <w:jc w:val="both"/>
        <w:rPr>
          <w:kern w:val="2"/>
          <w:highlight w:val="none"/>
        </w:rPr>
      </w:pPr>
      <w:r>
        <w:rPr>
          <w:rFonts w:hint="eastAsia"/>
          <w:kern w:val="2"/>
          <w:highlight w:val="none"/>
        </w:rPr>
        <w:t xml:space="preserve">2、具有良好的商业信誉和健全的财务会计制度； </w:t>
      </w:r>
    </w:p>
    <w:p w14:paraId="410562AA">
      <w:pPr>
        <w:pStyle w:val="35"/>
        <w:spacing w:before="0" w:after="0" w:line="360" w:lineRule="auto"/>
        <w:ind w:left="480"/>
        <w:jc w:val="both"/>
        <w:rPr>
          <w:kern w:val="2"/>
          <w:highlight w:val="none"/>
        </w:rPr>
      </w:pPr>
      <w:r>
        <w:rPr>
          <w:rFonts w:hint="eastAsia"/>
          <w:kern w:val="2"/>
          <w:highlight w:val="none"/>
        </w:rPr>
        <w:t>3、具有履行合同所必需的设备和专业技术能力；</w:t>
      </w:r>
    </w:p>
    <w:p w14:paraId="40763C46">
      <w:pPr>
        <w:pStyle w:val="35"/>
        <w:spacing w:before="0" w:after="0" w:line="360" w:lineRule="auto"/>
        <w:ind w:left="480"/>
        <w:jc w:val="both"/>
        <w:rPr>
          <w:kern w:val="2"/>
          <w:highlight w:val="none"/>
        </w:rPr>
      </w:pPr>
      <w:r>
        <w:rPr>
          <w:rFonts w:hint="eastAsia"/>
          <w:kern w:val="2"/>
          <w:highlight w:val="none"/>
        </w:rPr>
        <w:t>4、有依法缴纳税收和社会保障资金的良好记录；</w:t>
      </w:r>
    </w:p>
    <w:p w14:paraId="29821742">
      <w:pPr>
        <w:pStyle w:val="35"/>
        <w:spacing w:before="0" w:after="0" w:line="360" w:lineRule="auto"/>
        <w:ind w:left="480"/>
        <w:jc w:val="both"/>
        <w:rPr>
          <w:kern w:val="2"/>
          <w:highlight w:val="none"/>
        </w:rPr>
      </w:pPr>
      <w:r>
        <w:rPr>
          <w:rFonts w:hint="eastAsia"/>
          <w:kern w:val="2"/>
          <w:highlight w:val="none"/>
        </w:rPr>
        <w:t>5、参加政府采购活动前三年内，在经营活动中没有重大违法记录；</w:t>
      </w:r>
    </w:p>
    <w:p w14:paraId="54844CB7">
      <w:pPr>
        <w:pStyle w:val="35"/>
        <w:spacing w:before="0" w:after="0" w:line="360" w:lineRule="auto"/>
        <w:ind w:left="480"/>
        <w:jc w:val="both"/>
        <w:rPr>
          <w:kern w:val="2"/>
          <w:highlight w:val="none"/>
        </w:rPr>
      </w:pPr>
      <w:r>
        <w:rPr>
          <w:rFonts w:hint="eastAsia"/>
          <w:kern w:val="2"/>
          <w:highlight w:val="none"/>
        </w:rPr>
        <w:t>6、具有法律、行政法规规定的其他条件。</w:t>
      </w:r>
    </w:p>
    <w:p w14:paraId="1B6C7E97">
      <w:pPr>
        <w:pStyle w:val="35"/>
        <w:spacing w:before="0" w:after="0" w:line="360" w:lineRule="auto"/>
        <w:ind w:left="480"/>
        <w:jc w:val="both"/>
        <w:rPr>
          <w:kern w:val="2"/>
          <w:highlight w:val="none"/>
        </w:rPr>
      </w:pPr>
      <w:r>
        <w:rPr>
          <w:rFonts w:hint="eastAsia"/>
          <w:kern w:val="2"/>
          <w:highlight w:val="none"/>
        </w:rPr>
        <w:t>（二）未被信用中国（www.creditchina.gov.cn)、中国政府采购网（www.ccgp.gov.cn）列入失信被执行人、重大税收违法案件当事人名单、政府采购严重违法失信行为记录名单。</w:t>
      </w:r>
    </w:p>
    <w:p w14:paraId="7AF76511">
      <w:pPr>
        <w:pStyle w:val="35"/>
        <w:spacing w:before="0" w:after="0" w:line="360" w:lineRule="auto"/>
        <w:ind w:left="480"/>
        <w:jc w:val="both"/>
        <w:rPr>
          <w:kern w:val="2"/>
          <w:highlight w:val="none"/>
        </w:rPr>
      </w:pPr>
      <w:r>
        <w:rPr>
          <w:rFonts w:hint="eastAsia"/>
          <w:kern w:val="2"/>
          <w:highlight w:val="none"/>
        </w:rPr>
        <w:t>（三）不存在以下情况：</w:t>
      </w:r>
    </w:p>
    <w:p w14:paraId="3DEB137A">
      <w:pPr>
        <w:pStyle w:val="35"/>
        <w:spacing w:before="0" w:after="0" w:line="360" w:lineRule="auto"/>
        <w:ind w:left="480"/>
        <w:jc w:val="both"/>
        <w:rPr>
          <w:kern w:val="2"/>
          <w:highlight w:val="none"/>
        </w:rPr>
      </w:pPr>
      <w:r>
        <w:rPr>
          <w:rFonts w:hint="eastAsia"/>
          <w:kern w:val="2"/>
          <w:highlight w:val="none"/>
        </w:rPr>
        <w:t>1、单位负责人为同一人或者存在直接控股、管理关系的不同供应商参加同一合同项下的政府采购活动的；</w:t>
      </w:r>
    </w:p>
    <w:p w14:paraId="3525796B">
      <w:pPr>
        <w:pStyle w:val="35"/>
        <w:spacing w:before="0" w:after="0" w:line="360" w:lineRule="auto"/>
        <w:ind w:left="480"/>
        <w:jc w:val="both"/>
        <w:rPr>
          <w:kern w:val="2"/>
          <w:highlight w:val="none"/>
        </w:rPr>
      </w:pPr>
      <w:r>
        <w:rPr>
          <w:rFonts w:hint="eastAsia"/>
          <w:kern w:val="2"/>
          <w:highlight w:val="none"/>
        </w:rPr>
        <w:t>2、为采购项目提供整体设计、规范编制或者项目管理、监理、检测等服务后再参加该采购项目的其他采购活动的。</w:t>
      </w:r>
    </w:p>
    <w:p w14:paraId="4F0F74D1">
      <w:pPr>
        <w:pStyle w:val="35"/>
        <w:spacing w:before="0" w:after="0" w:line="360" w:lineRule="auto"/>
        <w:ind w:left="480"/>
        <w:jc w:val="both"/>
        <w:rPr>
          <w:kern w:val="2"/>
          <w:highlight w:val="none"/>
        </w:rPr>
      </w:pPr>
    </w:p>
    <w:p w14:paraId="1CA48D50">
      <w:pPr>
        <w:pStyle w:val="35"/>
        <w:spacing w:before="0" w:after="0" w:line="360" w:lineRule="auto"/>
        <w:ind w:left="480"/>
        <w:jc w:val="both"/>
        <w:rPr>
          <w:kern w:val="2"/>
          <w:highlight w:val="none"/>
        </w:rPr>
      </w:pPr>
    </w:p>
    <w:p w14:paraId="7A749B44">
      <w:pPr>
        <w:pStyle w:val="35"/>
        <w:spacing w:before="0" w:after="0" w:line="360" w:lineRule="auto"/>
        <w:ind w:left="480"/>
        <w:jc w:val="both"/>
        <w:rPr>
          <w:kern w:val="2"/>
          <w:highlight w:val="none"/>
        </w:rPr>
      </w:pPr>
    </w:p>
    <w:p w14:paraId="1338BA5D">
      <w:pPr>
        <w:snapToGrid w:val="0"/>
        <w:spacing w:before="50" w:after="50"/>
        <w:rPr>
          <w:rFonts w:ascii="宋体" w:hAnsi="宋体" w:cs="宋体"/>
          <w:spacing w:val="20"/>
          <w:sz w:val="24"/>
          <w:highlight w:val="none"/>
          <w:u w:val="single"/>
        </w:rPr>
      </w:pPr>
      <w:r>
        <w:rPr>
          <w:rFonts w:hint="eastAsia" w:ascii="宋体" w:hAnsi="宋体" w:cs="宋体"/>
          <w:sz w:val="24"/>
          <w:highlight w:val="none"/>
        </w:rPr>
        <w:t>法定代表人或委托代理人签字</w:t>
      </w:r>
      <w:r>
        <w:rPr>
          <w:rFonts w:hint="eastAsia" w:ascii="宋体" w:hAnsi="宋体" w:cs="宋体"/>
          <w:spacing w:val="20"/>
          <w:sz w:val="24"/>
          <w:highlight w:val="none"/>
        </w:rPr>
        <w:t>：</w:t>
      </w:r>
      <w:r>
        <w:rPr>
          <w:rFonts w:hint="eastAsia" w:ascii="宋体" w:hAnsi="宋体" w:cs="宋体"/>
          <w:spacing w:val="20"/>
          <w:sz w:val="24"/>
          <w:highlight w:val="none"/>
          <w:u w:val="single"/>
        </w:rPr>
        <w:t xml:space="preserve">        </w:t>
      </w:r>
    </w:p>
    <w:p w14:paraId="40A37808">
      <w:pPr>
        <w:snapToGrid w:val="0"/>
        <w:spacing w:before="120" w:beforeLines="50"/>
        <w:rPr>
          <w:rFonts w:ascii="宋体" w:hAnsi="宋体" w:cs="宋体"/>
          <w:sz w:val="24"/>
          <w:highlight w:val="none"/>
        </w:rPr>
      </w:pPr>
      <w:r>
        <w:rPr>
          <w:rFonts w:hint="eastAsia" w:ascii="宋体" w:hAnsi="宋体" w:cs="宋体"/>
          <w:spacing w:val="20"/>
          <w:sz w:val="24"/>
          <w:highlight w:val="none"/>
        </w:rPr>
        <w:t>供应商盖章：</w:t>
      </w:r>
      <w:r>
        <w:rPr>
          <w:rFonts w:hint="eastAsia" w:ascii="宋体" w:hAnsi="宋体" w:cs="宋体"/>
          <w:spacing w:val="20"/>
          <w:sz w:val="24"/>
          <w:highlight w:val="none"/>
          <w:u w:val="single"/>
        </w:rPr>
        <w:t xml:space="preserve">            </w:t>
      </w:r>
      <w:r>
        <w:rPr>
          <w:rFonts w:hint="eastAsia" w:ascii="宋体" w:hAnsi="宋体" w:cs="宋体"/>
          <w:spacing w:val="20"/>
          <w:sz w:val="24"/>
          <w:highlight w:val="none"/>
        </w:rPr>
        <w:t xml:space="preserve">              日 期：</w:t>
      </w:r>
      <w:r>
        <w:rPr>
          <w:rFonts w:hint="eastAsia" w:ascii="宋体" w:hAnsi="宋体" w:cs="宋体"/>
          <w:spacing w:val="20"/>
          <w:sz w:val="24"/>
          <w:highlight w:val="none"/>
          <w:u w:val="single"/>
        </w:rPr>
        <w:t xml:space="preserve">            </w:t>
      </w:r>
    </w:p>
    <w:p w14:paraId="7892F941">
      <w:pPr>
        <w:rPr>
          <w:rFonts w:ascii="宋体" w:hAnsi="宋体" w:cs="宋体"/>
          <w:sz w:val="24"/>
          <w:highlight w:val="none"/>
        </w:rPr>
      </w:pPr>
    </w:p>
    <w:p w14:paraId="2326792E">
      <w:pPr>
        <w:pStyle w:val="4"/>
        <w:keepNext w:val="0"/>
        <w:keepLines w:val="0"/>
        <w:pageBreakBefore/>
        <w:spacing w:line="360" w:lineRule="auto"/>
        <w:rPr>
          <w:rFonts w:ascii="宋体" w:hAnsi="宋体" w:eastAsia="宋体" w:cs="宋体"/>
          <w:b w:val="0"/>
          <w:bCs w:val="0"/>
          <w:sz w:val="24"/>
          <w:szCs w:val="24"/>
          <w:highlight w:val="none"/>
        </w:rPr>
      </w:pPr>
      <w:bookmarkStart w:id="55" w:name="_Toc174370008"/>
      <w:r>
        <w:rPr>
          <w:rFonts w:hint="eastAsia" w:ascii="宋体" w:hAnsi="宋体" w:eastAsia="宋体" w:cs="宋体"/>
          <w:b w:val="0"/>
          <w:bCs w:val="0"/>
          <w:sz w:val="24"/>
          <w:szCs w:val="24"/>
          <w:highlight w:val="none"/>
        </w:rPr>
        <w:t>附件三：政府采购活动现场确认声明书</w:t>
      </w:r>
      <w:bookmarkEnd w:id="54"/>
      <w:bookmarkEnd w:id="55"/>
    </w:p>
    <w:p w14:paraId="69C36941">
      <w:pPr>
        <w:snapToGrid w:val="0"/>
        <w:spacing w:before="120" w:beforeLines="50" w:after="50" w:line="480" w:lineRule="auto"/>
        <w:jc w:val="center"/>
        <w:rPr>
          <w:rFonts w:ascii="宋体" w:hAnsi="宋体" w:cs="宋体"/>
          <w:b/>
          <w:sz w:val="24"/>
          <w:highlight w:val="none"/>
        </w:rPr>
      </w:pPr>
      <w:r>
        <w:rPr>
          <w:rFonts w:hint="eastAsia" w:ascii="宋体" w:hAnsi="宋体" w:cs="宋体"/>
          <w:b/>
          <w:sz w:val="24"/>
          <w:highlight w:val="none"/>
        </w:rPr>
        <w:t>政府采购活动现场确认声明书</w:t>
      </w:r>
    </w:p>
    <w:p w14:paraId="6D98E537">
      <w:pPr>
        <w:snapToGrid w:val="0"/>
        <w:spacing w:before="120" w:beforeLines="50" w:after="50" w:line="276" w:lineRule="auto"/>
        <w:rPr>
          <w:rFonts w:ascii="宋体" w:hAnsi="宋体" w:cs="宋体"/>
          <w:sz w:val="24"/>
          <w:highlight w:val="none"/>
        </w:rPr>
      </w:pPr>
      <w:r>
        <w:rPr>
          <w:rFonts w:hint="eastAsia" w:ascii="宋体" w:hAnsi="宋体" w:cs="宋体"/>
          <w:sz w:val="24"/>
          <w:highlight w:val="none"/>
          <w:lang w:eastAsia="zh-CN"/>
        </w:rPr>
        <w:t>浙江衢州公信工程管理有限公司</w:t>
      </w:r>
      <w:r>
        <w:rPr>
          <w:rFonts w:hint="eastAsia" w:ascii="宋体" w:hAnsi="宋体" w:cs="宋体"/>
          <w:sz w:val="24"/>
          <w:highlight w:val="none"/>
        </w:rPr>
        <w:t xml:space="preserve"> :</w:t>
      </w:r>
    </w:p>
    <w:p w14:paraId="0FD75132">
      <w:pPr>
        <w:snapToGrid w:val="0"/>
        <w:spacing w:before="120" w:beforeLines="50" w:after="50" w:line="276" w:lineRule="auto"/>
        <w:ind w:firstLine="720" w:firstLineChars="300"/>
        <w:rPr>
          <w:rFonts w:ascii="宋体" w:hAnsi="宋体" w:cs="宋体"/>
          <w:sz w:val="24"/>
          <w:highlight w:val="none"/>
        </w:rPr>
      </w:pPr>
      <w:r>
        <w:rPr>
          <w:rFonts w:hint="eastAsia" w:ascii="宋体" w:hAnsi="宋体" w:cs="宋体"/>
          <w:sz w:val="24"/>
          <w:highlight w:val="none"/>
        </w:rPr>
        <w:t>本人</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rPr>
        <w:t>（授权代表姓名），经由</w:t>
      </w:r>
      <w:r>
        <w:rPr>
          <w:rFonts w:hint="eastAsia" w:ascii="宋体" w:hAnsi="宋体" w:cs="宋体"/>
          <w:sz w:val="24"/>
          <w:highlight w:val="none"/>
          <w:u w:val="single"/>
        </w:rPr>
        <w:t xml:space="preserve">                              </w:t>
      </w:r>
      <w:r>
        <w:rPr>
          <w:rFonts w:hint="eastAsia" w:ascii="宋体" w:hAnsi="宋体" w:cs="宋体"/>
          <w:sz w:val="24"/>
          <w:highlight w:val="none"/>
        </w:rPr>
        <w:t>（单位）</w:t>
      </w:r>
    </w:p>
    <w:p w14:paraId="2D876B4E">
      <w:pPr>
        <w:snapToGrid w:val="0"/>
        <w:spacing w:before="120" w:beforeLines="50" w:after="50" w:line="276" w:lineRule="auto"/>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u w:val="single"/>
        </w:rPr>
        <w:t xml:space="preserve">          </w:t>
      </w:r>
      <w:r>
        <w:rPr>
          <w:rFonts w:hint="eastAsia" w:ascii="宋体" w:hAnsi="宋体" w:cs="宋体"/>
          <w:sz w:val="24"/>
          <w:highlight w:val="none"/>
        </w:rPr>
        <w:t>（法定代表人姓名）合法授权参加</w:t>
      </w:r>
      <w:r>
        <w:rPr>
          <w:rFonts w:hint="eastAsia" w:ascii="宋体" w:hAnsi="宋体" w:cs="宋体"/>
          <w:sz w:val="24"/>
          <w:highlight w:val="none"/>
          <w:u w:val="single"/>
        </w:rPr>
        <w:t xml:space="preserve">               </w:t>
      </w:r>
      <w:r>
        <w:rPr>
          <w:rFonts w:hint="eastAsia" w:ascii="宋体" w:hAnsi="宋体" w:cs="宋体"/>
          <w:sz w:val="24"/>
          <w:highlight w:val="none"/>
        </w:rPr>
        <w:t>项目（编号：</w:t>
      </w:r>
      <w:r>
        <w:rPr>
          <w:rFonts w:hint="eastAsia" w:ascii="宋体" w:hAnsi="宋体" w:cs="宋体"/>
          <w:sz w:val="24"/>
          <w:highlight w:val="none"/>
          <w:u w:val="single"/>
        </w:rPr>
        <w:t xml:space="preserve">               </w:t>
      </w:r>
      <w:r>
        <w:rPr>
          <w:rFonts w:hint="eastAsia" w:ascii="宋体" w:hAnsi="宋体" w:cs="宋体"/>
          <w:sz w:val="24"/>
          <w:highlight w:val="none"/>
        </w:rPr>
        <w:t>）政府采购活动．经与本单位法人代表（负责人）联系确认，现就有关公平竞争事项郑重声明如下:</w:t>
      </w:r>
    </w:p>
    <w:p w14:paraId="7D5B8C07">
      <w:pPr>
        <w:snapToGrid w:val="0"/>
        <w:spacing w:before="120" w:beforeLines="50" w:after="50" w:line="276" w:lineRule="auto"/>
        <w:rPr>
          <w:rFonts w:ascii="宋体" w:hAnsi="宋体" w:cs="宋体"/>
          <w:sz w:val="24"/>
          <w:highlight w:val="none"/>
        </w:rPr>
      </w:pPr>
      <w:r>
        <w:rPr>
          <w:rFonts w:hint="eastAsia" w:ascii="宋体" w:hAnsi="宋体" w:cs="宋体"/>
          <w:sz w:val="24"/>
          <w:highlight w:val="none"/>
        </w:rPr>
        <w:t>一、本单位与采购人之间口不存在利害关系口存在下列利害关系:</w:t>
      </w:r>
    </w:p>
    <w:p w14:paraId="3E2B0A5C">
      <w:pPr>
        <w:snapToGrid w:val="0"/>
        <w:spacing w:before="120" w:beforeLines="50" w:after="50" w:line="276" w:lineRule="auto"/>
        <w:rPr>
          <w:rFonts w:ascii="宋体" w:hAnsi="宋体" w:cs="宋体"/>
          <w:sz w:val="24"/>
          <w:highlight w:val="none"/>
        </w:rPr>
      </w:pPr>
      <w:r>
        <w:rPr>
          <w:rFonts w:hint="eastAsia" w:ascii="宋体" w:hAnsi="宋体" w:cs="宋体"/>
          <w:sz w:val="24"/>
          <w:highlight w:val="none"/>
        </w:rPr>
        <w:t>A．投资关系</w:t>
      </w:r>
      <w:r>
        <w:rPr>
          <w:rFonts w:hint="eastAsia" w:ascii="宋体" w:hAnsi="宋体" w:cs="宋体"/>
          <w:sz w:val="24"/>
          <w:highlight w:val="none"/>
        </w:rPr>
        <w:tab/>
      </w:r>
      <w:r>
        <w:rPr>
          <w:rFonts w:hint="eastAsia" w:ascii="宋体" w:hAnsi="宋体" w:cs="宋体"/>
          <w:sz w:val="24"/>
          <w:highlight w:val="none"/>
        </w:rPr>
        <w:t>B．行政隶属关系</w:t>
      </w:r>
      <w:r>
        <w:rPr>
          <w:rFonts w:hint="eastAsia" w:ascii="宋体" w:hAnsi="宋体" w:cs="宋体"/>
          <w:sz w:val="24"/>
          <w:highlight w:val="none"/>
        </w:rPr>
        <w:tab/>
      </w:r>
      <w:r>
        <w:rPr>
          <w:rFonts w:hint="eastAsia" w:ascii="宋体" w:hAnsi="宋体" w:cs="宋体"/>
          <w:sz w:val="24"/>
          <w:highlight w:val="none"/>
        </w:rPr>
        <w:t>C．业务指导关系  D．其他可能影响采购公正的利害关系（如有，请如实说明）。</w:t>
      </w:r>
    </w:p>
    <w:p w14:paraId="31F93E9D">
      <w:pPr>
        <w:snapToGrid w:val="0"/>
        <w:spacing w:before="120" w:beforeLines="50" w:after="50" w:line="276" w:lineRule="auto"/>
        <w:rPr>
          <w:rFonts w:ascii="宋体" w:hAnsi="宋体" w:cs="宋体"/>
          <w:sz w:val="24"/>
          <w:highlight w:val="none"/>
        </w:rPr>
      </w:pPr>
      <w:r>
        <w:rPr>
          <w:rFonts w:hint="eastAsia" w:ascii="宋体" w:hAnsi="宋体" w:cs="宋体"/>
          <w:sz w:val="24"/>
          <w:highlight w:val="none"/>
        </w:rPr>
        <w:t xml:space="preserve">二、现己清楚知道参加本项目采购活动的其他所有供应商名称，本单位 口与其他所有供应商之间均不存在利害关系 口与 </w:t>
      </w:r>
      <w:r>
        <w:rPr>
          <w:rFonts w:hint="eastAsia" w:ascii="宋体" w:hAnsi="宋体" w:cs="宋体"/>
          <w:sz w:val="24"/>
          <w:highlight w:val="none"/>
          <w:u w:val="single"/>
        </w:rPr>
        <w:tab/>
      </w:r>
      <w:r>
        <w:rPr>
          <w:rFonts w:hint="eastAsia" w:ascii="宋体" w:hAnsi="宋体" w:cs="宋体"/>
          <w:sz w:val="24"/>
          <w:highlight w:val="none"/>
          <w:u w:val="single"/>
        </w:rPr>
        <w:t xml:space="preserve">     </w:t>
      </w:r>
      <w:r>
        <w:rPr>
          <w:rFonts w:hint="eastAsia" w:ascii="宋体" w:hAnsi="宋体" w:cs="宋体"/>
          <w:sz w:val="24"/>
          <w:highlight w:val="none"/>
        </w:rPr>
        <w:t>（供应商名称）之间存在下列利害关系:</w:t>
      </w:r>
    </w:p>
    <w:p w14:paraId="26365C22">
      <w:pPr>
        <w:snapToGrid w:val="0"/>
        <w:spacing w:before="120" w:beforeLines="50" w:after="50" w:line="276" w:lineRule="auto"/>
        <w:rPr>
          <w:rFonts w:ascii="宋体" w:hAnsi="宋体" w:cs="宋体"/>
          <w:sz w:val="24"/>
          <w:highlight w:val="none"/>
        </w:rPr>
      </w:pPr>
      <w:r>
        <w:rPr>
          <w:rFonts w:hint="eastAsia" w:ascii="宋体" w:hAnsi="宋体" w:cs="宋体"/>
          <w:sz w:val="24"/>
          <w:highlight w:val="none"/>
        </w:rPr>
        <w:t>A．法定代表人或负责人或实际控制人是同一人B．法定代表人或负责人或实际控制人是夫妻关系</w:t>
      </w:r>
    </w:p>
    <w:p w14:paraId="3EC61CEA">
      <w:pPr>
        <w:snapToGrid w:val="0"/>
        <w:spacing w:before="120" w:beforeLines="50" w:after="50" w:line="276" w:lineRule="auto"/>
        <w:rPr>
          <w:rFonts w:ascii="宋体" w:hAnsi="宋体" w:cs="宋体"/>
          <w:sz w:val="24"/>
          <w:highlight w:val="none"/>
        </w:rPr>
      </w:pPr>
      <w:r>
        <w:rPr>
          <w:rFonts w:hint="eastAsia" w:ascii="宋体" w:hAnsi="宋体" w:cs="宋体"/>
          <w:sz w:val="24"/>
          <w:highlight w:val="none"/>
        </w:rPr>
        <w:t>C.法定代表人或负责人或实际控制人是直系血亲关系</w:t>
      </w:r>
    </w:p>
    <w:p w14:paraId="03FE27F5">
      <w:pPr>
        <w:snapToGrid w:val="0"/>
        <w:spacing w:before="120" w:beforeLines="50" w:after="50" w:line="276" w:lineRule="auto"/>
        <w:rPr>
          <w:rFonts w:ascii="宋体" w:hAnsi="宋体" w:cs="宋体"/>
          <w:sz w:val="24"/>
          <w:highlight w:val="none"/>
        </w:rPr>
      </w:pPr>
      <w:r>
        <w:rPr>
          <w:rFonts w:hint="eastAsia" w:ascii="宋体" w:hAnsi="宋体" w:cs="宋体"/>
          <w:sz w:val="24"/>
          <w:highlight w:val="none"/>
        </w:rPr>
        <w:t>D.法定代表人或负责人或实际控制人存在三代以内旁系血亲关系</w:t>
      </w:r>
    </w:p>
    <w:p w14:paraId="5D4C4EDA">
      <w:pPr>
        <w:snapToGrid w:val="0"/>
        <w:spacing w:before="120" w:beforeLines="50" w:after="50" w:line="276" w:lineRule="auto"/>
        <w:rPr>
          <w:rFonts w:ascii="宋体" w:hAnsi="宋体" w:cs="宋体"/>
          <w:sz w:val="24"/>
          <w:highlight w:val="none"/>
        </w:rPr>
      </w:pPr>
      <w:r>
        <w:rPr>
          <w:rFonts w:hint="eastAsia" w:ascii="宋体" w:hAnsi="宋体" w:cs="宋体"/>
          <w:sz w:val="24"/>
          <w:highlight w:val="none"/>
        </w:rPr>
        <w:t>E．法定代表人或负责人或实际控制人存在近姻亲关系</w:t>
      </w:r>
    </w:p>
    <w:p w14:paraId="3BA580A0">
      <w:pPr>
        <w:snapToGrid w:val="0"/>
        <w:spacing w:before="120" w:beforeLines="50" w:after="50" w:line="276" w:lineRule="auto"/>
        <w:rPr>
          <w:rFonts w:ascii="宋体" w:hAnsi="宋体" w:cs="宋体"/>
          <w:sz w:val="24"/>
          <w:highlight w:val="none"/>
        </w:rPr>
      </w:pPr>
      <w:r>
        <w:rPr>
          <w:rFonts w:hint="eastAsia" w:ascii="宋体" w:hAnsi="宋体" w:cs="宋体"/>
          <w:sz w:val="24"/>
          <w:highlight w:val="none"/>
        </w:rPr>
        <w:t>F．法定代表人或负责人或实际控制人存在股份控制或实际控制关系</w:t>
      </w:r>
    </w:p>
    <w:p w14:paraId="0D01ECA8">
      <w:pPr>
        <w:snapToGrid w:val="0"/>
        <w:spacing w:before="120" w:beforeLines="50" w:after="50" w:line="276" w:lineRule="auto"/>
        <w:rPr>
          <w:rFonts w:ascii="宋体" w:hAnsi="宋体" w:cs="宋体"/>
          <w:sz w:val="24"/>
          <w:highlight w:val="none"/>
        </w:rPr>
      </w:pPr>
      <w:r>
        <w:rPr>
          <w:rFonts w:hint="eastAsia" w:ascii="宋体" w:hAnsi="宋体" w:cs="宋体"/>
          <w:sz w:val="24"/>
          <w:highlight w:val="none"/>
        </w:rPr>
        <w:t>G．存在共同直接或间接投资设立子公司、联营企业和合营企业情况</w:t>
      </w:r>
    </w:p>
    <w:p w14:paraId="1FBDAA0A">
      <w:pPr>
        <w:snapToGrid w:val="0"/>
        <w:spacing w:before="120" w:beforeLines="50" w:after="50" w:line="276" w:lineRule="auto"/>
        <w:rPr>
          <w:rFonts w:ascii="宋体" w:hAnsi="宋体" w:cs="宋体"/>
          <w:sz w:val="24"/>
          <w:highlight w:val="none"/>
        </w:rPr>
      </w:pPr>
      <w:r>
        <w:rPr>
          <w:rFonts w:hint="eastAsia" w:ascii="宋体" w:hAnsi="宋体" w:cs="宋体"/>
          <w:sz w:val="24"/>
          <w:highlight w:val="none"/>
        </w:rPr>
        <w:t>H.存在分级代理或代销关系、同一生产制造商关系、管理关系、重要业务（占主昔业务收入 50 ％以上）或重要财务往来关系（如融资）等其他实质性控制关系</w:t>
      </w:r>
    </w:p>
    <w:p w14:paraId="7973A241">
      <w:pPr>
        <w:snapToGrid w:val="0"/>
        <w:spacing w:before="120" w:beforeLines="50" w:after="50" w:line="276" w:lineRule="auto"/>
        <w:rPr>
          <w:rFonts w:ascii="宋体" w:hAnsi="宋体" w:cs="宋体"/>
          <w:sz w:val="24"/>
          <w:highlight w:val="none"/>
        </w:rPr>
      </w:pPr>
      <w:r>
        <w:rPr>
          <w:rFonts w:hint="eastAsia" w:ascii="宋体" w:hAnsi="宋体" w:cs="宋体"/>
          <w:sz w:val="24"/>
          <w:highlight w:val="none"/>
        </w:rPr>
        <w:t>I.其他利害关系情况</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rPr>
        <w:t>。</w:t>
      </w:r>
    </w:p>
    <w:p w14:paraId="35E614C6">
      <w:pPr>
        <w:snapToGrid w:val="0"/>
        <w:spacing w:before="120" w:beforeLines="50" w:after="50" w:line="276" w:lineRule="auto"/>
        <w:rPr>
          <w:rFonts w:ascii="宋体" w:hAnsi="宋体" w:cs="宋体"/>
          <w:sz w:val="24"/>
          <w:highlight w:val="none"/>
        </w:rPr>
      </w:pPr>
      <w:r>
        <w:rPr>
          <w:rFonts w:hint="eastAsia" w:ascii="宋体" w:hAnsi="宋体" w:cs="宋体"/>
          <w:sz w:val="24"/>
          <w:highlight w:val="none"/>
        </w:rPr>
        <w:t>三、现己清楚知道并严格遵守政府采购法律法规和现场纪律。</w:t>
      </w:r>
    </w:p>
    <w:p w14:paraId="4D034CD2">
      <w:pPr>
        <w:snapToGrid w:val="0"/>
        <w:spacing w:before="120" w:beforeLines="50" w:after="50" w:line="276" w:lineRule="auto"/>
        <w:rPr>
          <w:rFonts w:ascii="宋体" w:hAnsi="宋体" w:cs="宋体"/>
          <w:sz w:val="24"/>
          <w:highlight w:val="none"/>
        </w:rPr>
      </w:pPr>
      <w:r>
        <w:rPr>
          <w:rFonts w:hint="eastAsia" w:ascii="宋体" w:hAnsi="宋体" w:cs="宋体"/>
          <w:sz w:val="24"/>
          <w:highlight w:val="none"/>
        </w:rPr>
        <w:t>四、我发现</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u w:val="single"/>
        </w:rPr>
        <w:t xml:space="preserve">     </w:t>
      </w:r>
      <w:r>
        <w:rPr>
          <w:rFonts w:hint="eastAsia" w:ascii="宋体" w:hAnsi="宋体" w:cs="宋体"/>
          <w:sz w:val="24"/>
          <w:highlight w:val="none"/>
        </w:rPr>
        <w:t>供应商之间存在或可能存在上述第二条第</w:t>
      </w:r>
      <w:r>
        <w:rPr>
          <w:rFonts w:hint="eastAsia" w:ascii="宋体" w:hAnsi="宋体" w:cs="宋体"/>
          <w:sz w:val="24"/>
          <w:highlight w:val="none"/>
          <w:u w:val="single"/>
        </w:rPr>
        <w:t xml:space="preserve">       </w:t>
      </w:r>
      <w:r>
        <w:rPr>
          <w:rFonts w:hint="eastAsia" w:ascii="宋体" w:hAnsi="宋体" w:cs="宋体"/>
          <w:sz w:val="24"/>
          <w:highlight w:val="none"/>
        </w:rPr>
        <w:t>项利害关系。</w:t>
      </w:r>
    </w:p>
    <w:p w14:paraId="211355C9">
      <w:pPr>
        <w:snapToGrid w:val="0"/>
        <w:spacing w:before="120" w:beforeLines="50" w:after="50" w:line="276" w:lineRule="auto"/>
        <w:rPr>
          <w:rFonts w:ascii="宋体" w:hAnsi="宋体" w:cs="宋体"/>
          <w:sz w:val="24"/>
          <w:highlight w:val="none"/>
        </w:rPr>
      </w:pPr>
    </w:p>
    <w:p w14:paraId="27D9B4AF">
      <w:pPr>
        <w:pStyle w:val="18"/>
        <w:rPr>
          <w:highlight w:val="none"/>
        </w:rPr>
      </w:pPr>
    </w:p>
    <w:p w14:paraId="07CC0A8E">
      <w:pPr>
        <w:snapToGrid w:val="0"/>
        <w:spacing w:before="120" w:beforeLines="50" w:after="50" w:line="276" w:lineRule="auto"/>
        <w:jc w:val="center"/>
        <w:rPr>
          <w:rFonts w:ascii="宋体" w:hAnsi="宋体" w:cs="宋体"/>
          <w:sz w:val="24"/>
          <w:highlight w:val="none"/>
        </w:rPr>
      </w:pPr>
      <w:r>
        <w:rPr>
          <w:rFonts w:hint="eastAsia" w:ascii="宋体" w:hAnsi="宋体" w:cs="宋体"/>
          <w:sz w:val="24"/>
          <w:highlight w:val="none"/>
        </w:rPr>
        <w:t xml:space="preserve">（供应商代表签名）: </w:t>
      </w:r>
    </w:p>
    <w:p w14:paraId="23B72057">
      <w:pPr>
        <w:snapToGrid w:val="0"/>
        <w:spacing w:before="120" w:beforeLines="50" w:after="50" w:line="276" w:lineRule="auto"/>
        <w:jc w:val="center"/>
        <w:rPr>
          <w:rFonts w:ascii="宋体" w:hAnsi="宋体" w:cs="宋体"/>
          <w:b/>
          <w:sz w:val="24"/>
          <w:highlight w:val="none"/>
        </w:rPr>
      </w:pPr>
      <w:r>
        <w:rPr>
          <w:rFonts w:hint="eastAsia" w:ascii="宋体" w:hAnsi="宋体" w:cs="宋体"/>
          <w:sz w:val="24"/>
          <w:highlight w:val="none"/>
        </w:rPr>
        <w:t xml:space="preserve">                                                     年   月   日</w:t>
      </w:r>
    </w:p>
    <w:p w14:paraId="539A08E1">
      <w:pPr>
        <w:pStyle w:val="4"/>
        <w:keepNext w:val="0"/>
        <w:keepLines w:val="0"/>
        <w:pageBreakBefore/>
        <w:spacing w:line="276" w:lineRule="auto"/>
        <w:rPr>
          <w:rFonts w:ascii="宋体" w:hAnsi="宋体" w:eastAsia="宋体" w:cs="宋体"/>
          <w:b w:val="0"/>
          <w:sz w:val="24"/>
          <w:szCs w:val="24"/>
          <w:highlight w:val="none"/>
        </w:rPr>
      </w:pPr>
      <w:bookmarkStart w:id="56" w:name="_Toc174370009"/>
      <w:r>
        <w:rPr>
          <w:rFonts w:hint="eastAsia" w:ascii="宋体" w:hAnsi="宋体" w:eastAsia="宋体" w:cs="宋体"/>
          <w:b w:val="0"/>
          <w:sz w:val="24"/>
          <w:szCs w:val="24"/>
          <w:highlight w:val="none"/>
        </w:rPr>
        <w:t>附件四：法定代表人授权委托书</w:t>
      </w:r>
      <w:bookmarkEnd w:id="56"/>
    </w:p>
    <w:p w14:paraId="4C758A45">
      <w:pPr>
        <w:snapToGrid w:val="0"/>
        <w:spacing w:before="120" w:beforeLines="50" w:after="50" w:line="276" w:lineRule="auto"/>
        <w:jc w:val="center"/>
        <w:rPr>
          <w:rFonts w:ascii="宋体" w:hAnsi="宋体" w:cs="宋体"/>
          <w:b/>
          <w:sz w:val="24"/>
          <w:highlight w:val="none"/>
        </w:rPr>
      </w:pPr>
      <w:r>
        <w:rPr>
          <w:rFonts w:hint="eastAsia" w:ascii="宋体" w:hAnsi="宋体" w:cs="宋体"/>
          <w:b/>
          <w:sz w:val="24"/>
          <w:highlight w:val="none"/>
        </w:rPr>
        <w:t>法定代表人授权委托书</w:t>
      </w:r>
    </w:p>
    <w:p w14:paraId="771DF90B">
      <w:pPr>
        <w:snapToGrid w:val="0"/>
        <w:spacing w:before="120" w:beforeLines="50" w:after="50" w:line="276" w:lineRule="auto"/>
        <w:rPr>
          <w:rFonts w:ascii="宋体" w:hAnsi="宋体" w:cs="宋体"/>
          <w:b/>
          <w:bCs/>
          <w:sz w:val="24"/>
          <w:highlight w:val="none"/>
        </w:rPr>
      </w:pPr>
      <w:r>
        <w:rPr>
          <w:rFonts w:hint="eastAsia" w:ascii="宋体" w:hAnsi="宋体" w:cs="宋体"/>
          <w:bCs/>
          <w:sz w:val="24"/>
          <w:highlight w:val="none"/>
        </w:rPr>
        <w:t>致：</w:t>
      </w:r>
      <w:r>
        <w:rPr>
          <w:rFonts w:hint="eastAsia" w:ascii="宋体" w:hAnsi="宋体" w:cs="宋体"/>
          <w:sz w:val="24"/>
          <w:highlight w:val="none"/>
          <w:u w:val="single"/>
        </w:rPr>
        <w:t xml:space="preserve">                   </w:t>
      </w:r>
      <w:r>
        <w:rPr>
          <w:rFonts w:hint="eastAsia" w:ascii="宋体" w:hAnsi="宋体" w:cs="宋体"/>
          <w:sz w:val="24"/>
          <w:highlight w:val="none"/>
        </w:rPr>
        <w:t>（招标采购单位名称）：</w:t>
      </w:r>
    </w:p>
    <w:p w14:paraId="1C2644AF">
      <w:pPr>
        <w:snapToGrid w:val="0"/>
        <w:spacing w:before="120" w:beforeLines="50" w:after="50" w:line="276" w:lineRule="auto"/>
        <w:ind w:firstLine="720" w:firstLineChars="300"/>
        <w:rPr>
          <w:rFonts w:ascii="宋体" w:hAnsi="宋体" w:cs="宋体"/>
          <w:sz w:val="24"/>
          <w:highlight w:val="none"/>
        </w:rPr>
      </w:pPr>
      <w:r>
        <w:rPr>
          <w:rFonts w:hint="eastAsia" w:ascii="宋体" w:hAnsi="宋体" w:cs="宋体"/>
          <w:sz w:val="24"/>
          <w:highlight w:val="none"/>
        </w:rPr>
        <w:t>我</w:t>
      </w:r>
      <w:r>
        <w:rPr>
          <w:rFonts w:hint="eastAsia" w:ascii="宋体" w:hAnsi="宋体" w:cs="宋体"/>
          <w:sz w:val="24"/>
          <w:highlight w:val="none"/>
          <w:u w:val="single"/>
        </w:rPr>
        <w:t xml:space="preserve">         </w:t>
      </w:r>
      <w:r>
        <w:rPr>
          <w:rFonts w:hint="eastAsia" w:ascii="宋体" w:hAnsi="宋体" w:cs="宋体"/>
          <w:sz w:val="24"/>
          <w:highlight w:val="none"/>
        </w:rPr>
        <w:t>（姓名）系</w:t>
      </w:r>
      <w:r>
        <w:rPr>
          <w:rFonts w:hint="eastAsia" w:ascii="宋体" w:hAnsi="宋体" w:cs="宋体"/>
          <w:sz w:val="24"/>
          <w:highlight w:val="none"/>
          <w:u w:val="single"/>
        </w:rPr>
        <w:t xml:space="preserve">          </w:t>
      </w:r>
      <w:r>
        <w:rPr>
          <w:rFonts w:hint="eastAsia" w:ascii="宋体" w:hAnsi="宋体" w:cs="宋体"/>
          <w:sz w:val="24"/>
          <w:highlight w:val="none"/>
        </w:rPr>
        <w:t xml:space="preserve">（供应商名称）的法定代表人，现授权委托本单位在职职工 </w:t>
      </w:r>
      <w:r>
        <w:rPr>
          <w:rFonts w:hint="eastAsia" w:ascii="宋体" w:hAnsi="宋体" w:cs="宋体"/>
          <w:sz w:val="24"/>
          <w:highlight w:val="none"/>
          <w:u w:val="single"/>
        </w:rPr>
        <w:t xml:space="preserve">              </w:t>
      </w:r>
      <w:r>
        <w:rPr>
          <w:rFonts w:hint="eastAsia" w:ascii="宋体" w:hAnsi="宋体" w:cs="宋体"/>
          <w:sz w:val="24"/>
          <w:highlight w:val="none"/>
        </w:rPr>
        <w:t>（姓名）以我方的名义参加</w:t>
      </w:r>
      <w:r>
        <w:rPr>
          <w:rFonts w:hint="eastAsia" w:ascii="宋体" w:hAnsi="宋体" w:cs="宋体"/>
          <w:sz w:val="24"/>
          <w:highlight w:val="none"/>
          <w:u w:val="single"/>
          <w:lang w:eastAsia="zh-CN"/>
        </w:rPr>
        <w:t>敖溪杭温高铁拆迁安置区市政工程项目</w:t>
      </w:r>
      <w:r>
        <w:rPr>
          <w:rFonts w:hint="eastAsia" w:ascii="宋体" w:hAnsi="宋体" w:cs="宋体"/>
          <w:sz w:val="24"/>
          <w:highlight w:val="none"/>
          <w:u w:val="single"/>
        </w:rPr>
        <w:t xml:space="preserve"> </w:t>
      </w:r>
      <w:r>
        <w:rPr>
          <w:rFonts w:hint="eastAsia" w:ascii="宋体" w:hAnsi="宋体" w:cs="宋体"/>
          <w:sz w:val="24"/>
          <w:highlight w:val="none"/>
        </w:rPr>
        <w:t>的磋商活动，并代表我方全权办理针对上述项目的磋商、开标、签约等具体事务和签署相关文件。</w:t>
      </w:r>
    </w:p>
    <w:p w14:paraId="0BA51894">
      <w:pPr>
        <w:snapToGrid w:val="0"/>
        <w:spacing w:before="120" w:beforeLines="50" w:after="50" w:line="276" w:lineRule="auto"/>
        <w:rPr>
          <w:rFonts w:ascii="宋体" w:hAnsi="宋体" w:cs="宋体"/>
          <w:sz w:val="24"/>
          <w:highlight w:val="none"/>
        </w:rPr>
      </w:pPr>
      <w:r>
        <w:rPr>
          <w:rFonts w:hint="eastAsia" w:ascii="宋体" w:hAnsi="宋体" w:cs="宋体"/>
          <w:sz w:val="24"/>
          <w:highlight w:val="none"/>
        </w:rPr>
        <w:t xml:space="preserve">    我方对委托代理人的签名事项负全部责任。</w:t>
      </w:r>
    </w:p>
    <w:p w14:paraId="745F8013">
      <w:pPr>
        <w:snapToGrid w:val="0"/>
        <w:spacing w:before="120" w:beforeLines="50" w:after="50" w:line="276" w:lineRule="auto"/>
        <w:ind w:firstLine="480"/>
        <w:rPr>
          <w:rFonts w:ascii="宋体" w:hAnsi="宋体" w:cs="宋体"/>
          <w:sz w:val="24"/>
          <w:highlight w:val="none"/>
        </w:rPr>
      </w:pPr>
      <w:r>
        <w:rPr>
          <w:rFonts w:hint="eastAsia" w:ascii="宋体" w:hAnsi="宋体" w:cs="宋体"/>
          <w:sz w:val="24"/>
          <w:highlight w:val="none"/>
          <w:u w:val="single"/>
        </w:rPr>
        <w:t>在撤销授权的书面通知以前，本授权书一直有效。</w:t>
      </w:r>
      <w:r>
        <w:rPr>
          <w:rFonts w:hint="eastAsia" w:ascii="宋体" w:hAnsi="宋体" w:cs="宋体"/>
          <w:sz w:val="24"/>
          <w:highlight w:val="none"/>
        </w:rPr>
        <w:t>委托代理人在授权书有效期内签署的所有文件不因授权的撤销而失效。</w:t>
      </w:r>
    </w:p>
    <w:p w14:paraId="5A00A2CA">
      <w:pPr>
        <w:snapToGrid w:val="0"/>
        <w:spacing w:before="120" w:beforeLines="50" w:after="50" w:line="276" w:lineRule="auto"/>
        <w:ind w:firstLine="480"/>
        <w:rPr>
          <w:rFonts w:ascii="宋体" w:hAnsi="宋体" w:cs="宋体"/>
          <w:sz w:val="24"/>
          <w:highlight w:val="none"/>
        </w:rPr>
      </w:pPr>
      <w:r>
        <w:rPr>
          <w:rFonts w:hint="eastAsia" w:ascii="宋体" w:hAnsi="宋体" w:cs="宋体"/>
          <w:sz w:val="24"/>
          <w:highlight w:val="none"/>
        </w:rPr>
        <w:t>委托代理人无转委托权，特此委托。</w:t>
      </w:r>
    </w:p>
    <w:p w14:paraId="6E676D7D">
      <w:pPr>
        <w:snapToGrid w:val="0"/>
        <w:spacing w:before="120" w:beforeLines="50" w:after="50" w:line="276" w:lineRule="auto"/>
        <w:rPr>
          <w:rFonts w:ascii="宋体" w:hAnsi="宋体" w:cs="宋体"/>
          <w:sz w:val="24"/>
          <w:highlight w:val="none"/>
          <w:u w:val="single"/>
        </w:rPr>
      </w:pPr>
      <w:r>
        <w:rPr>
          <w:rFonts w:hint="eastAsia" w:ascii="宋体" w:hAnsi="宋体" w:cs="宋体"/>
          <w:sz w:val="24"/>
          <w:highlight w:val="none"/>
        </w:rPr>
        <w:t>委托代理人签名：</w:t>
      </w:r>
      <w:r>
        <w:rPr>
          <w:rFonts w:hint="eastAsia" w:ascii="宋体" w:hAnsi="宋体" w:cs="宋体"/>
          <w:sz w:val="24"/>
          <w:highlight w:val="none"/>
          <w:u w:val="single"/>
        </w:rPr>
        <w:t xml:space="preserve">          </w:t>
      </w:r>
      <w:r>
        <w:rPr>
          <w:rFonts w:hint="eastAsia" w:ascii="宋体" w:hAnsi="宋体" w:cs="宋体"/>
          <w:sz w:val="24"/>
          <w:highlight w:val="none"/>
        </w:rPr>
        <w:t xml:space="preserve">                 法定代表人签名：</w:t>
      </w:r>
      <w:r>
        <w:rPr>
          <w:rFonts w:hint="eastAsia" w:ascii="宋体" w:hAnsi="宋体" w:cs="宋体"/>
          <w:sz w:val="24"/>
          <w:highlight w:val="none"/>
          <w:u w:val="single"/>
        </w:rPr>
        <w:t xml:space="preserve">          </w:t>
      </w:r>
    </w:p>
    <w:p w14:paraId="67BF5D18">
      <w:pPr>
        <w:snapToGrid w:val="0"/>
        <w:spacing w:before="120" w:beforeLines="50" w:after="50" w:line="276" w:lineRule="auto"/>
        <w:ind w:firstLine="960" w:firstLineChars="400"/>
        <w:rPr>
          <w:rFonts w:ascii="宋体" w:hAnsi="宋体" w:cs="宋体"/>
          <w:sz w:val="24"/>
          <w:highlight w:val="none"/>
        </w:rPr>
      </w:pPr>
      <w:r>
        <w:rPr>
          <w:rFonts w:hint="eastAsia" w:ascii="宋体" w:hAnsi="宋体" w:cs="宋体"/>
          <w:sz w:val="24"/>
          <w:highlight w:val="none"/>
        </w:rPr>
        <w:t>职务：</w:t>
      </w:r>
      <w:r>
        <w:rPr>
          <w:rFonts w:hint="eastAsia" w:ascii="宋体" w:hAnsi="宋体" w:cs="宋体"/>
          <w:sz w:val="24"/>
          <w:highlight w:val="none"/>
          <w:u w:val="single"/>
        </w:rPr>
        <w:t xml:space="preserve">          </w:t>
      </w:r>
      <w:r>
        <w:rPr>
          <w:rFonts w:hint="eastAsia" w:ascii="宋体" w:hAnsi="宋体" w:cs="宋体"/>
          <w:sz w:val="24"/>
          <w:highlight w:val="none"/>
        </w:rPr>
        <w:t xml:space="preserve">                          职务：</w:t>
      </w:r>
      <w:r>
        <w:rPr>
          <w:rFonts w:hint="eastAsia" w:ascii="宋体" w:hAnsi="宋体" w:cs="宋体"/>
          <w:sz w:val="24"/>
          <w:highlight w:val="none"/>
          <w:u w:val="single"/>
        </w:rPr>
        <w:t xml:space="preserve">          </w:t>
      </w:r>
    </w:p>
    <w:p w14:paraId="5D10A15C">
      <w:pPr>
        <w:snapToGrid w:val="0"/>
        <w:spacing w:before="120" w:beforeLines="50" w:after="50" w:line="276" w:lineRule="auto"/>
        <w:rPr>
          <w:rFonts w:ascii="宋体" w:hAnsi="宋体" w:cs="宋体"/>
          <w:sz w:val="24"/>
          <w:highlight w:val="none"/>
        </w:rPr>
      </w:pPr>
      <w:r>
        <w:rPr>
          <w:rFonts w:hint="eastAsia" w:ascii="宋体" w:hAnsi="宋体" w:cs="宋体"/>
          <w:sz w:val="24"/>
          <w:highlight w:val="none"/>
        </w:rPr>
        <w:t>委托代理人身份证复印件（正反双面）：</w:t>
      </w:r>
    </w:p>
    <w:tbl>
      <w:tblPr>
        <w:tblStyle w:val="39"/>
        <w:tblpPr w:leftFromText="180" w:rightFromText="180" w:vertAnchor="text" w:tblpX="109" w:tblpY="151"/>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328"/>
      </w:tblGrid>
      <w:tr w14:paraId="5B64B3B3">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232" w:hRule="atLeast"/>
        </w:trPr>
        <w:tc>
          <w:tcPr>
            <w:tcW w:w="5328" w:type="dxa"/>
          </w:tcPr>
          <w:p w14:paraId="4F576FB2">
            <w:pPr>
              <w:snapToGrid w:val="0"/>
              <w:spacing w:before="120" w:beforeLines="50" w:after="50" w:line="276" w:lineRule="auto"/>
              <w:rPr>
                <w:rFonts w:ascii="宋体" w:hAnsi="宋体" w:cs="宋体"/>
                <w:sz w:val="24"/>
                <w:highlight w:val="none"/>
              </w:rPr>
            </w:pPr>
          </w:p>
          <w:p w14:paraId="3EC9DBF3">
            <w:pPr>
              <w:snapToGrid w:val="0"/>
              <w:spacing w:before="120" w:beforeLines="50" w:after="50" w:line="276" w:lineRule="auto"/>
              <w:rPr>
                <w:rFonts w:ascii="宋体" w:hAnsi="宋体" w:cs="宋体"/>
                <w:sz w:val="24"/>
                <w:highlight w:val="none"/>
              </w:rPr>
            </w:pPr>
          </w:p>
          <w:p w14:paraId="40719009">
            <w:pPr>
              <w:snapToGrid w:val="0"/>
              <w:spacing w:before="120" w:beforeLines="50" w:after="50" w:line="276" w:lineRule="auto"/>
              <w:rPr>
                <w:rFonts w:ascii="宋体" w:hAnsi="宋体" w:cs="宋体"/>
                <w:sz w:val="24"/>
                <w:highlight w:val="none"/>
              </w:rPr>
            </w:pPr>
          </w:p>
          <w:p w14:paraId="19EC3CEA">
            <w:pPr>
              <w:snapToGrid w:val="0"/>
              <w:spacing w:before="120" w:beforeLines="50" w:after="50" w:line="276" w:lineRule="auto"/>
              <w:jc w:val="center"/>
              <w:rPr>
                <w:rFonts w:ascii="宋体" w:hAnsi="宋体" w:cs="宋体"/>
                <w:sz w:val="24"/>
                <w:highlight w:val="none"/>
              </w:rPr>
            </w:pPr>
            <w:r>
              <w:rPr>
                <w:rFonts w:hint="eastAsia" w:ascii="宋体" w:hAnsi="宋体" w:cs="宋体"/>
                <w:sz w:val="24"/>
                <w:highlight w:val="none"/>
              </w:rPr>
              <w:t>粘</w:t>
            </w:r>
          </w:p>
          <w:p w14:paraId="3DCCF8A1">
            <w:pPr>
              <w:snapToGrid w:val="0"/>
              <w:spacing w:before="120" w:beforeLines="50" w:after="50" w:line="276" w:lineRule="auto"/>
              <w:jc w:val="center"/>
              <w:rPr>
                <w:rFonts w:ascii="宋体" w:hAnsi="宋体" w:cs="宋体"/>
                <w:sz w:val="24"/>
                <w:highlight w:val="none"/>
              </w:rPr>
            </w:pPr>
          </w:p>
          <w:p w14:paraId="3DA90763">
            <w:pPr>
              <w:snapToGrid w:val="0"/>
              <w:spacing w:before="120" w:beforeLines="50" w:after="50" w:line="276" w:lineRule="auto"/>
              <w:jc w:val="center"/>
              <w:rPr>
                <w:rFonts w:ascii="宋体" w:hAnsi="宋体" w:cs="宋体"/>
                <w:sz w:val="24"/>
                <w:highlight w:val="none"/>
              </w:rPr>
            </w:pPr>
            <w:r>
              <w:rPr>
                <w:rFonts w:hint="eastAsia" w:ascii="宋体" w:hAnsi="宋体" w:cs="宋体"/>
                <w:sz w:val="24"/>
                <w:highlight w:val="none"/>
              </w:rPr>
              <w:t>贴</w:t>
            </w:r>
          </w:p>
          <w:p w14:paraId="37A018AE">
            <w:pPr>
              <w:snapToGrid w:val="0"/>
              <w:spacing w:before="120" w:beforeLines="50" w:after="50" w:line="276" w:lineRule="auto"/>
              <w:jc w:val="center"/>
              <w:rPr>
                <w:rFonts w:ascii="宋体" w:hAnsi="宋体" w:cs="宋体"/>
                <w:sz w:val="24"/>
                <w:highlight w:val="none"/>
              </w:rPr>
            </w:pPr>
          </w:p>
          <w:p w14:paraId="62336AE4">
            <w:pPr>
              <w:snapToGrid w:val="0"/>
              <w:spacing w:before="120" w:beforeLines="50" w:after="50" w:line="276" w:lineRule="auto"/>
              <w:jc w:val="center"/>
              <w:rPr>
                <w:rFonts w:ascii="宋体" w:hAnsi="宋体" w:cs="宋体"/>
                <w:sz w:val="24"/>
                <w:highlight w:val="none"/>
              </w:rPr>
            </w:pPr>
            <w:r>
              <w:rPr>
                <w:rFonts w:hint="eastAsia" w:ascii="宋体" w:hAnsi="宋体" w:cs="宋体"/>
                <w:sz w:val="24"/>
                <w:highlight w:val="none"/>
              </w:rPr>
              <w:t>处</w:t>
            </w:r>
          </w:p>
        </w:tc>
      </w:tr>
    </w:tbl>
    <w:p w14:paraId="72858FA2">
      <w:pPr>
        <w:snapToGrid w:val="0"/>
        <w:spacing w:before="120" w:beforeLines="50" w:after="50" w:line="276" w:lineRule="auto"/>
        <w:rPr>
          <w:rFonts w:ascii="宋体" w:hAnsi="宋体" w:cs="宋体"/>
          <w:sz w:val="24"/>
          <w:highlight w:val="none"/>
        </w:rPr>
      </w:pPr>
    </w:p>
    <w:p w14:paraId="43C2896A">
      <w:pPr>
        <w:snapToGrid w:val="0"/>
        <w:spacing w:before="120" w:beforeLines="50" w:after="50" w:line="276" w:lineRule="auto"/>
        <w:rPr>
          <w:rFonts w:ascii="宋体" w:hAnsi="宋体" w:cs="宋体"/>
          <w:sz w:val="24"/>
          <w:highlight w:val="none"/>
        </w:rPr>
      </w:pPr>
    </w:p>
    <w:p w14:paraId="5E2ABBBA">
      <w:pPr>
        <w:snapToGrid w:val="0"/>
        <w:spacing w:before="120" w:beforeLines="50" w:after="50" w:line="276" w:lineRule="auto"/>
        <w:rPr>
          <w:rFonts w:ascii="宋体" w:hAnsi="宋体" w:cs="宋体"/>
          <w:sz w:val="24"/>
          <w:highlight w:val="none"/>
        </w:rPr>
      </w:pPr>
    </w:p>
    <w:p w14:paraId="34AC2D9F">
      <w:pPr>
        <w:snapToGrid w:val="0"/>
        <w:spacing w:before="120" w:beforeLines="50" w:after="50" w:line="276" w:lineRule="auto"/>
        <w:rPr>
          <w:rFonts w:ascii="宋体" w:hAnsi="宋体" w:cs="宋体"/>
          <w:sz w:val="24"/>
          <w:highlight w:val="none"/>
        </w:rPr>
      </w:pPr>
    </w:p>
    <w:p w14:paraId="1D54CCD6">
      <w:pPr>
        <w:snapToGrid w:val="0"/>
        <w:spacing w:before="120" w:beforeLines="50" w:after="50" w:line="276" w:lineRule="auto"/>
        <w:rPr>
          <w:rFonts w:ascii="宋体" w:hAnsi="宋体" w:cs="宋体"/>
          <w:sz w:val="24"/>
          <w:highlight w:val="none"/>
        </w:rPr>
      </w:pPr>
    </w:p>
    <w:p w14:paraId="6CB476CD">
      <w:pPr>
        <w:snapToGrid w:val="0"/>
        <w:spacing w:before="120" w:beforeLines="50" w:after="50" w:line="276" w:lineRule="auto"/>
        <w:rPr>
          <w:rFonts w:ascii="宋体" w:hAnsi="宋体" w:cs="宋体"/>
          <w:sz w:val="24"/>
          <w:highlight w:val="none"/>
        </w:rPr>
      </w:pPr>
    </w:p>
    <w:p w14:paraId="3930E27C">
      <w:pPr>
        <w:snapToGrid w:val="0"/>
        <w:spacing w:before="120" w:beforeLines="50" w:after="50" w:line="276" w:lineRule="auto"/>
        <w:rPr>
          <w:rFonts w:ascii="宋体" w:hAnsi="宋体" w:cs="宋体"/>
          <w:sz w:val="24"/>
          <w:highlight w:val="none"/>
        </w:rPr>
      </w:pPr>
    </w:p>
    <w:p w14:paraId="08E03EA9">
      <w:pPr>
        <w:snapToGrid w:val="0"/>
        <w:spacing w:before="120" w:beforeLines="50" w:after="50" w:line="276" w:lineRule="auto"/>
        <w:rPr>
          <w:rFonts w:ascii="宋体" w:hAnsi="宋体" w:cs="宋体"/>
          <w:sz w:val="24"/>
          <w:highlight w:val="none"/>
        </w:rPr>
      </w:pPr>
    </w:p>
    <w:p w14:paraId="452D8110">
      <w:pPr>
        <w:snapToGrid w:val="0"/>
        <w:spacing w:before="120" w:beforeLines="50" w:after="50" w:line="276" w:lineRule="auto"/>
        <w:rPr>
          <w:rFonts w:ascii="宋体" w:hAnsi="宋体" w:cs="宋体"/>
          <w:sz w:val="24"/>
          <w:highlight w:val="none"/>
        </w:rPr>
      </w:pPr>
      <w:r>
        <w:rPr>
          <w:rFonts w:hint="eastAsia" w:ascii="宋体" w:hAnsi="宋体" w:cs="宋体"/>
          <w:sz w:val="24"/>
          <w:highlight w:val="none"/>
        </w:rPr>
        <w:t xml:space="preserve"> </w:t>
      </w:r>
    </w:p>
    <w:p w14:paraId="5D310790">
      <w:pPr>
        <w:snapToGrid w:val="0"/>
        <w:spacing w:before="120" w:beforeLines="50" w:after="50" w:line="276" w:lineRule="auto"/>
        <w:rPr>
          <w:rFonts w:ascii="宋体" w:hAnsi="宋体" w:cs="宋体"/>
          <w:sz w:val="24"/>
          <w:highlight w:val="none"/>
        </w:rPr>
      </w:pPr>
    </w:p>
    <w:p w14:paraId="52E12759">
      <w:pPr>
        <w:snapToGrid w:val="0"/>
        <w:spacing w:before="120" w:beforeLines="50" w:after="50" w:line="276" w:lineRule="auto"/>
        <w:rPr>
          <w:rFonts w:ascii="宋体" w:hAnsi="宋体" w:cs="宋体"/>
          <w:sz w:val="24"/>
          <w:highlight w:val="none"/>
        </w:rPr>
      </w:pPr>
      <w:r>
        <w:rPr>
          <w:rFonts w:hint="eastAsia" w:ascii="宋体" w:hAnsi="宋体" w:cs="宋体"/>
          <w:sz w:val="24"/>
          <w:highlight w:val="none"/>
        </w:rPr>
        <w:t xml:space="preserve">                                             供应商公章：</w:t>
      </w:r>
    </w:p>
    <w:p w14:paraId="69E7123C">
      <w:pPr>
        <w:snapToGrid w:val="0"/>
        <w:spacing w:before="120" w:beforeLines="50" w:after="50" w:line="276" w:lineRule="auto"/>
        <w:jc w:val="center"/>
        <w:rPr>
          <w:rFonts w:ascii="宋体" w:hAnsi="宋体" w:cs="宋体"/>
          <w:sz w:val="24"/>
          <w:highlight w:val="none"/>
        </w:rPr>
      </w:pPr>
      <w:r>
        <w:rPr>
          <w:rFonts w:hint="eastAsia" w:ascii="宋体" w:hAnsi="宋体" w:cs="宋体"/>
          <w:sz w:val="24"/>
          <w:highlight w:val="none"/>
        </w:rPr>
        <w:t xml:space="preserve">                                          年    月    日</w:t>
      </w:r>
    </w:p>
    <w:p w14:paraId="4B3F2F4A">
      <w:pPr>
        <w:snapToGrid w:val="0"/>
        <w:spacing w:before="120" w:beforeLines="50" w:after="50" w:line="276" w:lineRule="auto"/>
        <w:jc w:val="left"/>
        <w:rPr>
          <w:rFonts w:ascii="宋体" w:hAnsi="宋体" w:cs="宋体"/>
          <w:sz w:val="24"/>
          <w:highlight w:val="none"/>
        </w:rPr>
      </w:pPr>
      <w:r>
        <w:rPr>
          <w:rFonts w:hint="eastAsia" w:ascii="宋体" w:hAnsi="宋体" w:cs="宋体"/>
          <w:b/>
          <w:sz w:val="24"/>
          <w:highlight w:val="none"/>
        </w:rPr>
        <w:t>*</w:t>
      </w:r>
      <w:r>
        <w:rPr>
          <w:rFonts w:hint="eastAsia" w:ascii="宋体" w:hAnsi="宋体" w:cs="宋体"/>
          <w:sz w:val="24"/>
          <w:highlight w:val="none"/>
        </w:rPr>
        <w:t>注；此表格格式不得修改。</w:t>
      </w:r>
    </w:p>
    <w:p w14:paraId="32602105">
      <w:pPr>
        <w:pStyle w:val="4"/>
        <w:keepNext w:val="0"/>
        <w:keepLines w:val="0"/>
        <w:pageBreakBefore/>
        <w:spacing w:line="276" w:lineRule="auto"/>
        <w:rPr>
          <w:rFonts w:ascii="宋体" w:hAnsi="宋体" w:eastAsia="宋体" w:cs="宋体"/>
          <w:b w:val="0"/>
          <w:sz w:val="24"/>
          <w:szCs w:val="24"/>
          <w:highlight w:val="none"/>
        </w:rPr>
      </w:pPr>
      <w:bookmarkStart w:id="57" w:name="_Toc25167"/>
      <w:bookmarkStart w:id="58" w:name="_Toc174370010"/>
      <w:bookmarkStart w:id="59" w:name="_Toc22508"/>
      <w:r>
        <w:rPr>
          <w:rFonts w:hint="eastAsia" w:ascii="宋体" w:hAnsi="宋体" w:eastAsia="宋体" w:cs="宋体"/>
          <w:b w:val="0"/>
          <w:sz w:val="24"/>
          <w:szCs w:val="24"/>
          <w:highlight w:val="none"/>
        </w:rPr>
        <w:t>附件五：联合体协议</w:t>
      </w:r>
      <w:bookmarkEnd w:id="57"/>
      <w:bookmarkEnd w:id="58"/>
      <w:bookmarkEnd w:id="59"/>
    </w:p>
    <w:p w14:paraId="4AED09F5">
      <w:pPr>
        <w:jc w:val="center"/>
        <w:rPr>
          <w:b/>
          <w:bCs/>
          <w:sz w:val="32"/>
          <w:szCs w:val="32"/>
          <w:highlight w:val="none"/>
        </w:rPr>
      </w:pPr>
      <w:r>
        <w:rPr>
          <w:rFonts w:hint="eastAsia" w:ascii="宋体" w:hAnsi="宋体" w:cs="宋体"/>
          <w:b/>
          <w:bCs/>
          <w:sz w:val="32"/>
          <w:szCs w:val="32"/>
          <w:highlight w:val="none"/>
        </w:rPr>
        <w:t>联合体协议</w:t>
      </w:r>
    </w:p>
    <w:p w14:paraId="50CA7489">
      <w:pPr>
        <w:snapToGrid w:val="0"/>
        <w:spacing w:line="360" w:lineRule="auto"/>
        <w:ind w:firstLine="576"/>
        <w:rPr>
          <w:rFonts w:ascii="仿宋_GB2312" w:hAnsi="仿宋" w:eastAsia="仿宋_GB2312" w:cs="仿宋_GB2312"/>
          <w:b/>
          <w:bCs/>
          <w:kern w:val="0"/>
          <w:sz w:val="24"/>
          <w:highlight w:val="none"/>
          <w:u w:val="single"/>
        </w:rPr>
      </w:pPr>
      <w:r>
        <w:rPr>
          <w:rFonts w:hint="eastAsia" w:ascii="仿宋_GB2312" w:hAnsi="仿宋" w:eastAsia="仿宋_GB2312" w:cs="仿宋_GB2312"/>
          <w:b/>
          <w:bCs/>
          <w:kern w:val="0"/>
          <w:sz w:val="24"/>
          <w:highlight w:val="none"/>
          <w:u w:val="single"/>
        </w:rPr>
        <w:t>（以联合体形式投标的，提供联合协议；本项目不接受联合体投标或者供应商不以联合体形式投标的，则不需要提供）</w:t>
      </w:r>
    </w:p>
    <w:p w14:paraId="636077B9">
      <w:pPr>
        <w:snapToGrid w:val="0"/>
        <w:spacing w:line="360" w:lineRule="auto"/>
        <w:ind w:firstLine="576"/>
        <w:rPr>
          <w:rFonts w:asciiTheme="minorEastAsia" w:hAnsiTheme="minorEastAsia" w:eastAsiaTheme="minorEastAsia" w:cstheme="minorEastAsia"/>
          <w:kern w:val="0"/>
          <w:sz w:val="24"/>
          <w:highlight w:val="none"/>
          <w:lang w:val="zh-CN"/>
        </w:rPr>
      </w:pPr>
      <w:r>
        <w:rPr>
          <w:rFonts w:hint="eastAsia" w:asciiTheme="minorEastAsia" w:hAnsiTheme="minorEastAsia" w:eastAsiaTheme="minorEastAsia" w:cstheme="minorEastAsia"/>
          <w:kern w:val="0"/>
          <w:sz w:val="24"/>
          <w:highlight w:val="none"/>
          <w:u w:val="single"/>
        </w:rPr>
        <w:t>（联合体所有成员名称）</w:t>
      </w:r>
      <w:r>
        <w:rPr>
          <w:rFonts w:hint="eastAsia" w:asciiTheme="minorEastAsia" w:hAnsiTheme="minorEastAsia" w:eastAsiaTheme="minorEastAsia" w:cstheme="minorEastAsia"/>
          <w:kern w:val="0"/>
          <w:sz w:val="24"/>
          <w:highlight w:val="none"/>
        </w:rPr>
        <w:t>自愿</w:t>
      </w:r>
      <w:r>
        <w:rPr>
          <w:rFonts w:hint="eastAsia" w:asciiTheme="minorEastAsia" w:hAnsiTheme="minorEastAsia" w:eastAsiaTheme="minorEastAsia" w:cstheme="minorEastAsia"/>
          <w:kern w:val="0"/>
          <w:sz w:val="24"/>
          <w:highlight w:val="none"/>
          <w:lang w:val="zh-CN"/>
        </w:rPr>
        <w:t>组成一个联合体，以一个供应商的身份</w:t>
      </w:r>
      <w:r>
        <w:rPr>
          <w:rFonts w:hint="eastAsia" w:asciiTheme="minorEastAsia" w:hAnsiTheme="minorEastAsia" w:eastAsiaTheme="minorEastAsia" w:cstheme="minorEastAsia"/>
          <w:kern w:val="0"/>
          <w:sz w:val="24"/>
          <w:highlight w:val="none"/>
        </w:rPr>
        <w:t>参加</w:t>
      </w:r>
      <w:r>
        <w:rPr>
          <w:rFonts w:hint="eastAsia" w:asciiTheme="minorEastAsia" w:hAnsiTheme="minorEastAsia" w:eastAsiaTheme="minorEastAsia" w:cstheme="minorEastAsia"/>
          <w:sz w:val="24"/>
          <w:highlight w:val="none"/>
        </w:rPr>
        <w:t>（项目名称）【招标编号：（采购编号）】</w:t>
      </w:r>
      <w:r>
        <w:rPr>
          <w:rFonts w:hint="eastAsia" w:asciiTheme="minorEastAsia" w:hAnsiTheme="minorEastAsia" w:eastAsiaTheme="minorEastAsia" w:cstheme="minorEastAsia"/>
          <w:kern w:val="0"/>
          <w:sz w:val="24"/>
          <w:highlight w:val="none"/>
          <w:lang w:val="zh-CN"/>
        </w:rPr>
        <w:t xml:space="preserve">投标。 </w:t>
      </w:r>
    </w:p>
    <w:p w14:paraId="40E96DDD">
      <w:pPr>
        <w:snapToGrid w:val="0"/>
        <w:spacing w:line="360" w:lineRule="auto"/>
        <w:ind w:firstLine="576"/>
        <w:rPr>
          <w:rFonts w:asciiTheme="minorEastAsia" w:hAnsiTheme="minorEastAsia" w:eastAsiaTheme="minorEastAsia" w:cstheme="minorEastAsia"/>
          <w:kern w:val="0"/>
          <w:sz w:val="24"/>
          <w:highlight w:val="none"/>
          <w:lang w:val="zh-CN"/>
        </w:rPr>
      </w:pPr>
      <w:r>
        <w:rPr>
          <w:rFonts w:hint="eastAsia" w:asciiTheme="minorEastAsia" w:hAnsiTheme="minorEastAsia" w:eastAsiaTheme="minorEastAsia" w:cstheme="minorEastAsia"/>
          <w:kern w:val="0"/>
          <w:sz w:val="24"/>
          <w:highlight w:val="none"/>
          <w:lang w:val="zh-CN"/>
        </w:rPr>
        <w:t>一、各方一致决定，</w:t>
      </w:r>
      <w:r>
        <w:rPr>
          <w:rFonts w:hint="eastAsia" w:asciiTheme="minorEastAsia" w:hAnsiTheme="minorEastAsia" w:eastAsiaTheme="minorEastAsia" w:cstheme="minorEastAsia"/>
          <w:kern w:val="0"/>
          <w:sz w:val="24"/>
          <w:highlight w:val="none"/>
          <w:u w:val="single"/>
        </w:rPr>
        <w:t>（某联合体成员名称）</w:t>
      </w:r>
      <w:r>
        <w:rPr>
          <w:rFonts w:hint="eastAsia" w:asciiTheme="minorEastAsia" w:hAnsiTheme="minorEastAsia" w:eastAsiaTheme="minorEastAsia" w:cstheme="minorEastAsia"/>
          <w:kern w:val="0"/>
          <w:sz w:val="24"/>
          <w:highlight w:val="none"/>
        </w:rPr>
        <w:t>为联合体</w:t>
      </w:r>
      <w:r>
        <w:rPr>
          <w:rFonts w:hint="eastAsia" w:asciiTheme="minorEastAsia" w:hAnsiTheme="minorEastAsia" w:eastAsiaTheme="minorEastAsia" w:cstheme="minorEastAsia"/>
          <w:kern w:val="0"/>
          <w:sz w:val="24"/>
          <w:highlight w:val="none"/>
          <w:lang w:val="zh-CN"/>
        </w:rPr>
        <w:t>牵头人</w:t>
      </w:r>
      <w:r>
        <w:rPr>
          <w:rFonts w:hint="eastAsia" w:asciiTheme="minorEastAsia" w:hAnsiTheme="minorEastAsia" w:eastAsiaTheme="minorEastAsia" w:cstheme="minorEastAsia"/>
          <w:sz w:val="24"/>
          <w:highlight w:val="none"/>
        </w:rPr>
        <w:t>，代表所有联合体成员负责投标和合同实施阶段的主办、协调工作</w:t>
      </w:r>
      <w:r>
        <w:rPr>
          <w:rFonts w:hint="eastAsia" w:asciiTheme="minorEastAsia" w:hAnsiTheme="minorEastAsia" w:eastAsiaTheme="minorEastAsia" w:cstheme="minorEastAsia"/>
          <w:kern w:val="0"/>
          <w:sz w:val="24"/>
          <w:highlight w:val="none"/>
          <w:lang w:val="zh-CN"/>
        </w:rPr>
        <w:t>。</w:t>
      </w:r>
    </w:p>
    <w:p w14:paraId="3710CB6D">
      <w:pPr>
        <w:snapToGrid w:val="0"/>
        <w:spacing w:line="360" w:lineRule="auto"/>
        <w:ind w:firstLine="576"/>
        <w:rPr>
          <w:rFonts w:asciiTheme="minorEastAsia" w:hAnsiTheme="minorEastAsia" w:eastAsiaTheme="minorEastAsia" w:cstheme="minorEastAsia"/>
          <w:kern w:val="0"/>
          <w:sz w:val="24"/>
          <w:highlight w:val="none"/>
          <w:lang w:val="zh-CN"/>
        </w:rPr>
      </w:pPr>
      <w:r>
        <w:rPr>
          <w:rFonts w:hint="eastAsia" w:asciiTheme="minorEastAsia" w:hAnsiTheme="minorEastAsia" w:eastAsiaTheme="minorEastAsia" w:cstheme="minorEastAsia"/>
          <w:kern w:val="0"/>
          <w:sz w:val="24"/>
          <w:highlight w:val="none"/>
          <w:lang w:val="zh-CN"/>
        </w:rPr>
        <w:t>二、</w:t>
      </w:r>
      <w:r>
        <w:rPr>
          <w:rFonts w:hint="eastAsia" w:asciiTheme="minorEastAsia" w:hAnsiTheme="minorEastAsia" w:eastAsiaTheme="minorEastAsia" w:cstheme="minorEastAsia"/>
          <w:sz w:val="24"/>
          <w:highlight w:val="none"/>
        </w:rPr>
        <w:t>所有联合体成员各方签署授权书，授权书载明的</w:t>
      </w:r>
      <w:r>
        <w:rPr>
          <w:rFonts w:hint="eastAsia" w:asciiTheme="minorEastAsia" w:hAnsiTheme="minorEastAsia" w:eastAsiaTheme="minorEastAsia" w:cstheme="minorEastAsia"/>
          <w:kern w:val="0"/>
          <w:sz w:val="24"/>
          <w:highlight w:val="none"/>
          <w:lang w:val="zh-CN"/>
        </w:rPr>
        <w:t>授权代表根据竞争性磋商文件规定及投标内容而对采购人、采购机构所作的任何合法承诺，包括书面澄清及相应等均对联合投标各方产生约束力。</w:t>
      </w:r>
    </w:p>
    <w:p w14:paraId="6CC9334B">
      <w:pPr>
        <w:snapToGrid w:val="0"/>
        <w:spacing w:line="360" w:lineRule="auto"/>
        <w:ind w:firstLine="576"/>
        <w:rPr>
          <w:rFonts w:asciiTheme="minorEastAsia" w:hAnsiTheme="minorEastAsia" w:eastAsiaTheme="minorEastAsia" w:cstheme="minorEastAsia"/>
          <w:kern w:val="0"/>
          <w:sz w:val="24"/>
          <w:highlight w:val="none"/>
          <w:lang w:val="zh-CN"/>
        </w:rPr>
      </w:pPr>
      <w:r>
        <w:rPr>
          <w:rFonts w:hint="eastAsia" w:asciiTheme="minorEastAsia" w:hAnsiTheme="minorEastAsia" w:eastAsiaTheme="minorEastAsia" w:cstheme="minorEastAsia"/>
          <w:kern w:val="0"/>
          <w:sz w:val="24"/>
          <w:highlight w:val="none"/>
          <w:lang w:val="zh-CN"/>
        </w:rPr>
        <w:t>三、本次联合投标中，分工如下：</w:t>
      </w:r>
      <w:r>
        <w:rPr>
          <w:rFonts w:hint="eastAsia" w:asciiTheme="minorEastAsia" w:hAnsiTheme="minorEastAsia" w:eastAsiaTheme="minorEastAsia" w:cstheme="minorEastAsia"/>
          <w:kern w:val="0"/>
          <w:sz w:val="24"/>
          <w:highlight w:val="none"/>
          <w:u w:val="single"/>
        </w:rPr>
        <w:t>（联合体其中一方成员名称）</w:t>
      </w:r>
      <w:r>
        <w:rPr>
          <w:rFonts w:hint="eastAsia" w:asciiTheme="minorEastAsia" w:hAnsiTheme="minorEastAsia" w:eastAsiaTheme="minorEastAsia" w:cstheme="minorEastAsia"/>
          <w:kern w:val="0"/>
          <w:sz w:val="24"/>
          <w:highlight w:val="none"/>
          <w:lang w:val="zh-CN"/>
        </w:rPr>
        <w:t>承担的工作和义务为：</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kern w:val="0"/>
          <w:sz w:val="24"/>
          <w:highlight w:val="none"/>
          <w:lang w:val="zh-CN"/>
        </w:rPr>
        <w:t>；……。</w:t>
      </w:r>
    </w:p>
    <w:p w14:paraId="6DA4C704">
      <w:pPr>
        <w:snapToGrid w:val="0"/>
        <w:spacing w:line="360" w:lineRule="auto"/>
        <w:ind w:firstLine="576"/>
        <w:rPr>
          <w:rFonts w:asciiTheme="minorEastAsia" w:hAnsiTheme="minorEastAsia" w:eastAsiaTheme="minorEastAsia" w:cstheme="minorEastAsia"/>
          <w:kern w:val="0"/>
          <w:sz w:val="24"/>
          <w:highlight w:val="none"/>
          <w:lang w:val="zh-CN"/>
        </w:rPr>
      </w:pPr>
      <w:r>
        <w:rPr>
          <w:rFonts w:hint="eastAsia" w:asciiTheme="minorEastAsia" w:hAnsiTheme="minorEastAsia" w:eastAsiaTheme="minorEastAsia" w:cstheme="minorEastAsia"/>
          <w:kern w:val="0"/>
          <w:sz w:val="24"/>
          <w:highlight w:val="none"/>
          <w:lang w:val="zh-CN"/>
        </w:rPr>
        <w:t>四、</w:t>
      </w:r>
      <w:r>
        <w:rPr>
          <w:rFonts w:hint="eastAsia" w:asciiTheme="minorEastAsia" w:hAnsiTheme="minorEastAsia" w:eastAsiaTheme="minorEastAsia" w:cstheme="minorEastAsia"/>
          <w:kern w:val="0"/>
          <w:sz w:val="24"/>
          <w:highlight w:val="none"/>
          <w:u w:val="single"/>
        </w:rPr>
        <w:t>（联合体其中一方成员名称）</w:t>
      </w:r>
      <w:r>
        <w:rPr>
          <w:rFonts w:hint="eastAsia" w:asciiTheme="minorEastAsia" w:hAnsiTheme="minorEastAsia" w:eastAsiaTheme="minorEastAsia" w:cstheme="minorEastAsia"/>
          <w:kern w:val="0"/>
          <w:sz w:val="24"/>
          <w:highlight w:val="none"/>
        </w:rPr>
        <w:t>提供的全部货物/服务由小微企业制造/服务，其合同份额占到合同总金额</w:t>
      </w:r>
      <w:r>
        <w:rPr>
          <w:rFonts w:hint="eastAsia" w:asciiTheme="minorEastAsia" w:hAnsiTheme="minorEastAsia" w:eastAsiaTheme="minorEastAsia" w:cstheme="minorEastAsia"/>
          <w:kern w:val="0"/>
          <w:sz w:val="24"/>
          <w:highlight w:val="none"/>
          <w:u w:val="single"/>
        </w:rPr>
        <w:t xml:space="preserve">     </w:t>
      </w:r>
      <w:r>
        <w:rPr>
          <w:rFonts w:hint="eastAsia" w:asciiTheme="minorEastAsia" w:hAnsiTheme="minorEastAsia" w:eastAsiaTheme="minorEastAsia" w:cstheme="minorEastAsia"/>
          <w:kern w:val="0"/>
          <w:sz w:val="24"/>
          <w:highlight w:val="none"/>
        </w:rPr>
        <w:t>%以上；</w:t>
      </w:r>
      <w:r>
        <w:rPr>
          <w:rFonts w:hint="eastAsia" w:asciiTheme="minorEastAsia" w:hAnsiTheme="minorEastAsia" w:eastAsiaTheme="minorEastAsia" w:cstheme="minorEastAsia"/>
          <w:kern w:val="0"/>
          <w:sz w:val="24"/>
          <w:highlight w:val="none"/>
          <w:lang w:val="zh-CN"/>
        </w:rPr>
        <w:t>……。</w:t>
      </w:r>
    </w:p>
    <w:p w14:paraId="7BC79AA1">
      <w:pPr>
        <w:snapToGrid w:val="0"/>
        <w:spacing w:line="360" w:lineRule="auto"/>
        <w:ind w:firstLine="576"/>
        <w:rPr>
          <w:rFonts w:asciiTheme="minorEastAsia" w:hAnsiTheme="minorEastAsia" w:eastAsiaTheme="minorEastAsia" w:cstheme="minorEastAsia"/>
          <w:kern w:val="0"/>
          <w:sz w:val="24"/>
          <w:highlight w:val="none"/>
          <w:lang w:val="zh-CN"/>
        </w:rPr>
      </w:pPr>
      <w:r>
        <w:rPr>
          <w:rFonts w:hint="eastAsia" w:asciiTheme="minorEastAsia" w:hAnsiTheme="minorEastAsia" w:eastAsiaTheme="minorEastAsia" w:cstheme="minorEastAsia"/>
          <w:kern w:val="0"/>
          <w:sz w:val="24"/>
          <w:highlight w:val="none"/>
          <w:lang w:val="zh-CN"/>
        </w:rPr>
        <w:t>五、如果中标，</w:t>
      </w:r>
      <w:r>
        <w:rPr>
          <w:rFonts w:hint="eastAsia" w:asciiTheme="minorEastAsia" w:hAnsiTheme="minorEastAsia" w:eastAsiaTheme="minorEastAsia" w:cstheme="minorEastAsia"/>
          <w:sz w:val="24"/>
          <w:highlight w:val="none"/>
        </w:rPr>
        <w:t>联合体各成员方共同与采购人签订合同，并就采购合同约定的事项对采购人承担连带责任。</w:t>
      </w:r>
    </w:p>
    <w:p w14:paraId="44B7A872">
      <w:pPr>
        <w:snapToGrid w:val="0"/>
        <w:spacing w:line="360" w:lineRule="auto"/>
        <w:ind w:firstLine="576"/>
        <w:rPr>
          <w:rFonts w:asciiTheme="minorEastAsia" w:hAnsiTheme="minorEastAsia" w:eastAsiaTheme="minorEastAsia" w:cstheme="minorEastAsia"/>
          <w:kern w:val="0"/>
          <w:sz w:val="24"/>
          <w:highlight w:val="none"/>
          <w:lang w:val="zh-CN"/>
        </w:rPr>
      </w:pPr>
      <w:r>
        <w:rPr>
          <w:rFonts w:hint="eastAsia" w:asciiTheme="minorEastAsia" w:hAnsiTheme="minorEastAsia" w:eastAsiaTheme="minorEastAsia" w:cstheme="minorEastAsia"/>
          <w:kern w:val="0"/>
          <w:sz w:val="24"/>
          <w:highlight w:val="none"/>
          <w:lang w:val="zh-CN"/>
        </w:rPr>
        <w:t>六、有关本次联合投标的其他事宜：</w:t>
      </w:r>
    </w:p>
    <w:p w14:paraId="605842B3">
      <w:pPr>
        <w:snapToGrid w:val="0"/>
        <w:spacing w:line="360" w:lineRule="auto"/>
        <w:ind w:firstLine="576"/>
        <w:rPr>
          <w:rFonts w:asciiTheme="minorEastAsia" w:hAnsiTheme="minorEastAsia" w:eastAsiaTheme="minorEastAsia" w:cstheme="minorEastAsia"/>
          <w:kern w:val="0"/>
          <w:sz w:val="24"/>
          <w:highlight w:val="none"/>
          <w:lang w:val="zh-CN"/>
        </w:rPr>
      </w:pPr>
      <w:r>
        <w:rPr>
          <w:rFonts w:hint="eastAsia" w:asciiTheme="minorEastAsia" w:hAnsiTheme="minorEastAsia" w:eastAsiaTheme="minorEastAsia" w:cstheme="minorEastAsia"/>
          <w:kern w:val="0"/>
          <w:sz w:val="24"/>
          <w:highlight w:val="none"/>
          <w:lang w:val="zh-CN"/>
        </w:rPr>
        <w:t>1、联合体各方不再单独参加或者与其他供应商另外组成联合体参加同一合同项下的政府采购活动。</w:t>
      </w:r>
    </w:p>
    <w:p w14:paraId="2C4E905E">
      <w:pPr>
        <w:snapToGrid w:val="0"/>
        <w:spacing w:line="360" w:lineRule="auto"/>
        <w:ind w:firstLine="576"/>
        <w:rPr>
          <w:rFonts w:asciiTheme="minorEastAsia" w:hAnsiTheme="minorEastAsia" w:eastAsiaTheme="minorEastAsia" w:cstheme="minorEastAsia"/>
          <w:kern w:val="0"/>
          <w:sz w:val="24"/>
          <w:highlight w:val="none"/>
          <w:lang w:val="zh-CN"/>
        </w:rPr>
      </w:pPr>
      <w:r>
        <w:rPr>
          <w:rFonts w:hint="eastAsia" w:asciiTheme="minorEastAsia" w:hAnsiTheme="minorEastAsia" w:eastAsiaTheme="minorEastAsia" w:cstheme="minorEastAsia"/>
          <w:kern w:val="0"/>
          <w:sz w:val="24"/>
          <w:highlight w:val="none"/>
          <w:lang w:val="zh-CN"/>
        </w:rPr>
        <w:t>2、联合体中有同类资质的各方按照联合体分工承担相同工作的，按照资质等级较低的供应商确定资质等级。</w:t>
      </w:r>
    </w:p>
    <w:p w14:paraId="447D1F2C">
      <w:pPr>
        <w:snapToGrid w:val="0"/>
        <w:spacing w:line="360" w:lineRule="auto"/>
        <w:ind w:firstLine="576"/>
        <w:rPr>
          <w:rFonts w:asciiTheme="minorEastAsia" w:hAnsiTheme="minorEastAsia" w:eastAsiaTheme="minorEastAsia" w:cstheme="minorEastAsia"/>
          <w:kern w:val="0"/>
          <w:sz w:val="24"/>
          <w:highlight w:val="none"/>
          <w:lang w:val="zh-CN"/>
        </w:rPr>
      </w:pPr>
      <w:r>
        <w:rPr>
          <w:rFonts w:hint="eastAsia" w:asciiTheme="minorEastAsia" w:hAnsiTheme="minorEastAsia" w:eastAsiaTheme="minorEastAsia" w:cstheme="minorEastAsia"/>
          <w:kern w:val="0"/>
          <w:sz w:val="24"/>
          <w:highlight w:val="none"/>
          <w:lang w:val="zh-CN"/>
        </w:rPr>
        <w:t>3、本协议提交采购人、采购机构后，联合体各方不得以任何形式对上述内容进行修改或撤销。</w:t>
      </w:r>
    </w:p>
    <w:p w14:paraId="7344BAFB">
      <w:pPr>
        <w:snapToGrid w:val="0"/>
        <w:spacing w:line="360" w:lineRule="auto"/>
        <w:ind w:firstLine="5040" w:firstLineChars="2100"/>
        <w:rPr>
          <w:rFonts w:asciiTheme="minorEastAsia" w:hAnsiTheme="minorEastAsia" w:eastAsiaTheme="minorEastAsia" w:cstheme="minorEastAsia"/>
          <w:highlight w:val="none"/>
        </w:rPr>
      </w:pPr>
      <w:r>
        <w:rPr>
          <w:rFonts w:hint="eastAsia" w:asciiTheme="minorEastAsia" w:hAnsiTheme="minorEastAsia" w:eastAsiaTheme="minorEastAsia" w:cstheme="minorEastAsia"/>
          <w:kern w:val="0"/>
          <w:sz w:val="24"/>
          <w:highlight w:val="none"/>
          <w:lang w:val="zh-CN"/>
        </w:rPr>
        <w:t>联合体成员名称(公章)：</w:t>
      </w:r>
    </w:p>
    <w:p w14:paraId="17CC170A">
      <w:pPr>
        <w:snapToGrid w:val="0"/>
        <w:spacing w:line="360" w:lineRule="auto"/>
        <w:rPr>
          <w:rFonts w:asciiTheme="minorEastAsia" w:hAnsiTheme="minorEastAsia" w:eastAsiaTheme="minorEastAsia" w:cstheme="minorEastAsia"/>
          <w:kern w:val="0"/>
          <w:sz w:val="24"/>
          <w:highlight w:val="none"/>
          <w:lang w:val="zh-CN"/>
        </w:rPr>
      </w:pPr>
      <w:r>
        <w:rPr>
          <w:rFonts w:hint="eastAsia" w:asciiTheme="minorEastAsia" w:hAnsiTheme="minorEastAsia" w:eastAsiaTheme="minorEastAsia" w:cstheme="minorEastAsia"/>
          <w:kern w:val="0"/>
          <w:sz w:val="24"/>
          <w:highlight w:val="none"/>
          <w:lang w:val="zh-CN"/>
        </w:rPr>
        <w:t xml:space="preserve">                                               日期：  年  月   日</w:t>
      </w:r>
    </w:p>
    <w:p w14:paraId="16AAC030">
      <w:pPr>
        <w:snapToGrid w:val="0"/>
        <w:spacing w:line="360" w:lineRule="auto"/>
        <w:ind w:right="480"/>
        <w:rPr>
          <w:rFonts w:asciiTheme="minorEastAsia" w:hAnsiTheme="minorEastAsia" w:eastAsiaTheme="minorEastAsia" w:cstheme="minorEastAsia"/>
          <w:b/>
          <w:kern w:val="0"/>
          <w:sz w:val="32"/>
          <w:szCs w:val="32"/>
          <w:highlight w:val="none"/>
          <w:lang w:val="zh-CN"/>
        </w:rPr>
        <w:sectPr>
          <w:footerReference r:id="rId8" w:type="default"/>
          <w:pgSz w:w="11906" w:h="16838"/>
          <w:pgMar w:top="1276" w:right="1361" w:bottom="1247" w:left="1418" w:header="851" w:footer="992" w:gutter="0"/>
          <w:pgNumType w:start="1"/>
          <w:cols w:space="720" w:num="1"/>
          <w:docGrid w:linePitch="312" w:charSpace="0"/>
        </w:sectPr>
      </w:pPr>
    </w:p>
    <w:p w14:paraId="2A288FC3">
      <w:pPr>
        <w:pStyle w:val="4"/>
        <w:rPr>
          <w:rFonts w:ascii="宋体" w:hAnsi="宋体" w:eastAsia="宋体" w:cs="宋体"/>
          <w:b w:val="0"/>
          <w:sz w:val="24"/>
          <w:szCs w:val="24"/>
          <w:highlight w:val="none"/>
        </w:rPr>
      </w:pPr>
      <w:bookmarkStart w:id="60" w:name="_Toc174370011"/>
      <w:bookmarkStart w:id="61" w:name="_Toc2319"/>
      <w:bookmarkStart w:id="62" w:name="_Toc20690"/>
      <w:r>
        <w:rPr>
          <w:rFonts w:hint="eastAsia" w:ascii="宋体" w:hAnsi="宋体" w:eastAsia="宋体" w:cs="宋体"/>
          <w:b w:val="0"/>
          <w:sz w:val="24"/>
          <w:szCs w:val="24"/>
          <w:highlight w:val="none"/>
        </w:rPr>
        <w:t>附件六：分包意向协议</w:t>
      </w:r>
      <w:bookmarkEnd w:id="60"/>
      <w:bookmarkEnd w:id="61"/>
      <w:bookmarkEnd w:id="62"/>
    </w:p>
    <w:p w14:paraId="53FB74AD">
      <w:pPr>
        <w:snapToGrid w:val="0"/>
        <w:spacing w:line="360" w:lineRule="auto"/>
        <w:ind w:firstLine="3534" w:firstLineChars="1100"/>
        <w:rPr>
          <w:rFonts w:asciiTheme="minorEastAsia" w:hAnsiTheme="minorEastAsia" w:eastAsiaTheme="minorEastAsia" w:cstheme="minorEastAsia"/>
          <w:b/>
          <w:kern w:val="0"/>
          <w:sz w:val="32"/>
          <w:szCs w:val="32"/>
          <w:highlight w:val="none"/>
        </w:rPr>
      </w:pPr>
      <w:r>
        <w:rPr>
          <w:rFonts w:hint="eastAsia" w:asciiTheme="minorEastAsia" w:hAnsiTheme="minorEastAsia" w:eastAsiaTheme="minorEastAsia" w:cstheme="minorEastAsia"/>
          <w:b/>
          <w:kern w:val="0"/>
          <w:sz w:val="32"/>
          <w:szCs w:val="32"/>
          <w:highlight w:val="none"/>
        </w:rPr>
        <w:t>分包意向协议</w:t>
      </w:r>
    </w:p>
    <w:p w14:paraId="16011088">
      <w:pPr>
        <w:widowControl/>
        <w:spacing w:line="360" w:lineRule="auto"/>
        <w:ind w:firstLine="120" w:firstLineChars="5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b/>
          <w:sz w:val="24"/>
          <w:highlight w:val="none"/>
        </w:rPr>
        <w:t>中标后以分包方式履行合同的，提供分包意向协议；采购人不同意分包或者供应商中标后不以分包方式履行合同的，则不需要提供。</w:t>
      </w:r>
      <w:r>
        <w:rPr>
          <w:rFonts w:hint="eastAsia" w:asciiTheme="minorEastAsia" w:hAnsiTheme="minorEastAsia" w:eastAsiaTheme="minorEastAsia" w:cstheme="minorEastAsia"/>
          <w:sz w:val="24"/>
          <w:highlight w:val="none"/>
        </w:rPr>
        <w:t>）</w:t>
      </w:r>
    </w:p>
    <w:p w14:paraId="2980537D">
      <w:pPr>
        <w:snapToGrid w:val="0"/>
        <w:spacing w:line="360" w:lineRule="auto"/>
        <w:ind w:firstLine="576"/>
        <w:rPr>
          <w:rFonts w:asciiTheme="minorEastAsia" w:hAnsiTheme="minorEastAsia" w:eastAsiaTheme="minorEastAsia" w:cstheme="minorEastAsia"/>
          <w:kern w:val="0"/>
          <w:sz w:val="24"/>
          <w:highlight w:val="none"/>
          <w:lang w:val="zh-CN"/>
        </w:rPr>
      </w:pPr>
      <w:r>
        <w:rPr>
          <w:rFonts w:hint="eastAsia" w:asciiTheme="minorEastAsia" w:hAnsiTheme="minorEastAsia" w:eastAsiaTheme="minorEastAsia" w:cstheme="minorEastAsia"/>
          <w:kern w:val="0"/>
          <w:sz w:val="24"/>
          <w:highlight w:val="none"/>
          <w:u w:val="single"/>
        </w:rPr>
        <w:t>（供应商名称）</w:t>
      </w:r>
      <w:r>
        <w:rPr>
          <w:rFonts w:hint="eastAsia" w:asciiTheme="minorEastAsia" w:hAnsiTheme="minorEastAsia" w:eastAsiaTheme="minorEastAsia" w:cstheme="minorEastAsia"/>
          <w:kern w:val="0"/>
          <w:sz w:val="24"/>
          <w:highlight w:val="none"/>
          <w:lang w:val="zh-CN"/>
        </w:rPr>
        <w:t>若成为</w:t>
      </w:r>
      <w:r>
        <w:rPr>
          <w:rFonts w:hint="eastAsia" w:asciiTheme="minorEastAsia" w:hAnsiTheme="minorEastAsia" w:eastAsiaTheme="minorEastAsia" w:cstheme="minorEastAsia"/>
          <w:sz w:val="24"/>
          <w:highlight w:val="none"/>
        </w:rPr>
        <w:t>（项目名称）【招标编号：（采购编号）】</w:t>
      </w:r>
      <w:r>
        <w:rPr>
          <w:rFonts w:hint="eastAsia" w:asciiTheme="minorEastAsia" w:hAnsiTheme="minorEastAsia" w:eastAsiaTheme="minorEastAsia" w:cstheme="minorEastAsia"/>
          <w:kern w:val="0"/>
          <w:sz w:val="24"/>
          <w:highlight w:val="none"/>
          <w:lang w:val="zh-CN"/>
        </w:rPr>
        <w:t>的中标供应商，将依法采取分包方式履行合同。</w:t>
      </w:r>
      <w:r>
        <w:rPr>
          <w:rFonts w:hint="eastAsia" w:asciiTheme="minorEastAsia" w:hAnsiTheme="minorEastAsia" w:eastAsiaTheme="minorEastAsia" w:cstheme="minorEastAsia"/>
          <w:kern w:val="0"/>
          <w:sz w:val="24"/>
          <w:highlight w:val="none"/>
          <w:u w:val="single"/>
        </w:rPr>
        <w:t>（供应商名称）</w:t>
      </w:r>
      <w:r>
        <w:rPr>
          <w:rFonts w:hint="eastAsia" w:asciiTheme="minorEastAsia" w:hAnsiTheme="minorEastAsia" w:eastAsiaTheme="minorEastAsia" w:cstheme="minorEastAsia"/>
          <w:kern w:val="0"/>
          <w:sz w:val="24"/>
          <w:highlight w:val="none"/>
        </w:rPr>
        <w:t>与</w:t>
      </w:r>
      <w:r>
        <w:rPr>
          <w:rFonts w:hint="eastAsia" w:asciiTheme="minorEastAsia" w:hAnsiTheme="minorEastAsia" w:eastAsiaTheme="minorEastAsia" w:cstheme="minorEastAsia"/>
          <w:kern w:val="0"/>
          <w:sz w:val="24"/>
          <w:highlight w:val="none"/>
          <w:u w:val="single"/>
        </w:rPr>
        <w:t>（所有分包供应商名称）</w:t>
      </w:r>
      <w:r>
        <w:rPr>
          <w:rFonts w:hint="eastAsia" w:asciiTheme="minorEastAsia" w:hAnsiTheme="minorEastAsia" w:eastAsiaTheme="minorEastAsia" w:cstheme="minorEastAsia"/>
          <w:kern w:val="0"/>
          <w:sz w:val="24"/>
          <w:highlight w:val="none"/>
        </w:rPr>
        <w:t>达成分包意向协议</w:t>
      </w:r>
      <w:r>
        <w:rPr>
          <w:rFonts w:hint="eastAsia" w:asciiTheme="minorEastAsia" w:hAnsiTheme="minorEastAsia" w:eastAsiaTheme="minorEastAsia" w:cstheme="minorEastAsia"/>
          <w:kern w:val="0"/>
          <w:sz w:val="24"/>
          <w:highlight w:val="none"/>
          <w:lang w:val="zh-CN"/>
        </w:rPr>
        <w:t xml:space="preserve">。 </w:t>
      </w:r>
    </w:p>
    <w:p w14:paraId="5C21D843">
      <w:pPr>
        <w:snapToGrid w:val="0"/>
        <w:spacing w:line="360" w:lineRule="auto"/>
        <w:ind w:firstLine="576"/>
        <w:rPr>
          <w:rFonts w:asciiTheme="minorEastAsia" w:hAnsiTheme="minorEastAsia" w:eastAsiaTheme="minorEastAsia" w:cstheme="minorEastAsia"/>
          <w:kern w:val="0"/>
          <w:sz w:val="24"/>
          <w:highlight w:val="none"/>
          <w:lang w:val="zh-CN"/>
        </w:rPr>
      </w:pPr>
      <w:r>
        <w:rPr>
          <w:rFonts w:hint="eastAsia" w:asciiTheme="minorEastAsia" w:hAnsiTheme="minorEastAsia" w:eastAsiaTheme="minorEastAsia" w:cstheme="minorEastAsia"/>
          <w:kern w:val="0"/>
          <w:sz w:val="24"/>
          <w:highlight w:val="none"/>
          <w:lang w:val="zh-CN"/>
        </w:rPr>
        <w:t>一、分包标的及数量</w:t>
      </w:r>
    </w:p>
    <w:p w14:paraId="249631EF">
      <w:pPr>
        <w:snapToGrid w:val="0"/>
        <w:spacing w:line="360" w:lineRule="auto"/>
        <w:ind w:firstLine="576"/>
        <w:rPr>
          <w:rFonts w:asciiTheme="minorEastAsia" w:hAnsiTheme="minorEastAsia" w:eastAsiaTheme="minorEastAsia" w:cstheme="minorEastAsia"/>
          <w:kern w:val="0"/>
          <w:sz w:val="24"/>
          <w:highlight w:val="none"/>
          <w:lang w:val="zh-CN"/>
        </w:rPr>
      </w:pPr>
      <w:r>
        <w:rPr>
          <w:rFonts w:hint="eastAsia" w:asciiTheme="minorEastAsia" w:hAnsiTheme="minorEastAsia" w:eastAsiaTheme="minorEastAsia" w:cstheme="minorEastAsia"/>
          <w:kern w:val="0"/>
          <w:sz w:val="24"/>
          <w:highlight w:val="none"/>
          <w:u w:val="single"/>
        </w:rPr>
        <w:t>（供应商名称）</w:t>
      </w:r>
      <w:r>
        <w:rPr>
          <w:rFonts w:hint="eastAsia" w:asciiTheme="minorEastAsia" w:hAnsiTheme="minorEastAsia" w:eastAsiaTheme="minorEastAsia" w:cstheme="minorEastAsia"/>
          <w:kern w:val="0"/>
          <w:sz w:val="24"/>
          <w:highlight w:val="none"/>
          <w:lang w:val="zh-CN"/>
        </w:rPr>
        <w:t>将</w:t>
      </w:r>
      <w:r>
        <w:rPr>
          <w:rFonts w:hint="eastAsia" w:asciiTheme="minorEastAsia" w:hAnsiTheme="minorEastAsia" w:eastAsiaTheme="minorEastAsia" w:cstheme="minorEastAsia"/>
          <w:sz w:val="24"/>
          <w:highlight w:val="none"/>
          <w:u w:val="single"/>
        </w:rPr>
        <w:t xml:space="preserve">   XX工作内容   </w:t>
      </w:r>
      <w:r>
        <w:rPr>
          <w:rFonts w:hint="eastAsia" w:asciiTheme="minorEastAsia" w:hAnsiTheme="minorEastAsia" w:eastAsiaTheme="minorEastAsia" w:cstheme="minorEastAsia"/>
          <w:sz w:val="24"/>
          <w:highlight w:val="none"/>
        </w:rPr>
        <w:t>分包给</w:t>
      </w:r>
      <w:r>
        <w:rPr>
          <w:rFonts w:hint="eastAsia" w:asciiTheme="minorEastAsia" w:hAnsiTheme="minorEastAsia" w:eastAsiaTheme="minorEastAsia" w:cstheme="minorEastAsia"/>
          <w:kern w:val="0"/>
          <w:sz w:val="24"/>
          <w:highlight w:val="none"/>
          <w:u w:val="single"/>
        </w:rPr>
        <w:t>（某分包供应商名称）</w:t>
      </w:r>
      <w:r>
        <w:rPr>
          <w:rFonts w:hint="eastAsia" w:asciiTheme="minorEastAsia" w:hAnsiTheme="minorEastAsia" w:eastAsiaTheme="minorEastAsia" w:cstheme="minorEastAsia"/>
          <w:kern w:val="0"/>
          <w:sz w:val="24"/>
          <w:highlight w:val="none"/>
          <w:lang w:val="zh-CN"/>
        </w:rPr>
        <w:t>，</w:t>
      </w:r>
      <w:r>
        <w:rPr>
          <w:rFonts w:hint="eastAsia" w:asciiTheme="minorEastAsia" w:hAnsiTheme="minorEastAsia" w:eastAsiaTheme="minorEastAsia" w:cstheme="minorEastAsia"/>
          <w:kern w:val="0"/>
          <w:sz w:val="24"/>
          <w:highlight w:val="none"/>
          <w:u w:val="single"/>
        </w:rPr>
        <w:t>（某分包供应商名称），</w:t>
      </w:r>
      <w:r>
        <w:rPr>
          <w:rFonts w:hint="eastAsia" w:asciiTheme="minorEastAsia" w:hAnsiTheme="minorEastAsia" w:eastAsiaTheme="minorEastAsia" w:cstheme="minorEastAsia"/>
          <w:kern w:val="0"/>
          <w:sz w:val="24"/>
          <w:highlight w:val="none"/>
          <w:lang w:val="zh-CN"/>
        </w:rPr>
        <w:t>具备承</w:t>
      </w:r>
      <w:r>
        <w:rPr>
          <w:rFonts w:hint="eastAsia" w:asciiTheme="minorEastAsia" w:hAnsiTheme="minorEastAsia" w:eastAsiaTheme="minorEastAsia" w:cstheme="minorEastAsia"/>
          <w:kern w:val="0"/>
          <w:sz w:val="24"/>
          <w:highlight w:val="none"/>
        </w:rPr>
        <w:t>担</w:t>
      </w:r>
      <w:r>
        <w:rPr>
          <w:rFonts w:hint="eastAsia" w:asciiTheme="minorEastAsia" w:hAnsiTheme="minorEastAsia" w:eastAsiaTheme="minorEastAsia" w:cstheme="minorEastAsia"/>
          <w:kern w:val="0"/>
          <w:sz w:val="24"/>
          <w:highlight w:val="none"/>
          <w:u w:val="single"/>
          <w:lang w:val="zh-CN"/>
        </w:rPr>
        <w:t>XX工作内容</w:t>
      </w:r>
      <w:r>
        <w:rPr>
          <w:rFonts w:hint="eastAsia" w:asciiTheme="minorEastAsia" w:hAnsiTheme="minorEastAsia" w:eastAsiaTheme="minorEastAsia" w:cstheme="minorEastAsia"/>
          <w:kern w:val="0"/>
          <w:sz w:val="24"/>
          <w:highlight w:val="none"/>
          <w:lang w:val="zh-CN"/>
        </w:rPr>
        <w:t>相应资质条件且不得再次分包；</w:t>
      </w:r>
    </w:p>
    <w:p w14:paraId="1913A0E6">
      <w:pPr>
        <w:snapToGrid w:val="0"/>
        <w:spacing w:line="360" w:lineRule="auto"/>
        <w:ind w:firstLine="576"/>
        <w:rPr>
          <w:rFonts w:asciiTheme="minorEastAsia" w:hAnsiTheme="minorEastAsia" w:eastAsiaTheme="minorEastAsia" w:cstheme="minorEastAsia"/>
          <w:kern w:val="0"/>
          <w:sz w:val="24"/>
          <w:highlight w:val="none"/>
          <w:u w:val="single"/>
        </w:rPr>
      </w:pPr>
      <w:r>
        <w:rPr>
          <w:rFonts w:hint="eastAsia" w:asciiTheme="minorEastAsia" w:hAnsiTheme="minorEastAsia" w:eastAsiaTheme="minorEastAsia" w:cstheme="minorEastAsia"/>
          <w:kern w:val="0"/>
          <w:sz w:val="24"/>
          <w:highlight w:val="none"/>
          <w:u w:val="single"/>
        </w:rPr>
        <w:t>……</w:t>
      </w:r>
    </w:p>
    <w:p w14:paraId="7742F8DD">
      <w:pPr>
        <w:snapToGrid w:val="0"/>
        <w:spacing w:line="360" w:lineRule="auto"/>
        <w:ind w:firstLine="576"/>
        <w:rPr>
          <w:rFonts w:asciiTheme="minorEastAsia" w:hAnsiTheme="minorEastAsia" w:eastAsiaTheme="minorEastAsia" w:cstheme="minorEastAsia"/>
          <w:kern w:val="0"/>
          <w:sz w:val="24"/>
          <w:highlight w:val="none"/>
          <w:lang w:val="zh-CN"/>
        </w:rPr>
      </w:pPr>
      <w:r>
        <w:rPr>
          <w:rFonts w:hint="eastAsia" w:asciiTheme="minorEastAsia" w:hAnsiTheme="minorEastAsia" w:eastAsiaTheme="minorEastAsia" w:cstheme="minorEastAsia"/>
          <w:kern w:val="0"/>
          <w:sz w:val="24"/>
          <w:highlight w:val="none"/>
          <w:lang w:val="zh-CN"/>
        </w:rPr>
        <w:t>二、分包工作履行期限、地点、方式</w:t>
      </w:r>
    </w:p>
    <w:p w14:paraId="74612BD9">
      <w:pPr>
        <w:snapToGrid w:val="0"/>
        <w:spacing w:line="360" w:lineRule="auto"/>
        <w:ind w:firstLine="576"/>
        <w:rPr>
          <w:rFonts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u w:val="single"/>
        </w:rPr>
        <w:t xml:space="preserve">                                                                                  </w:t>
      </w:r>
    </w:p>
    <w:p w14:paraId="3303357E">
      <w:pPr>
        <w:snapToGrid w:val="0"/>
        <w:spacing w:line="360" w:lineRule="auto"/>
        <w:ind w:firstLine="576"/>
        <w:rPr>
          <w:rFonts w:asciiTheme="minorEastAsia" w:hAnsiTheme="minorEastAsia" w:eastAsiaTheme="minorEastAsia" w:cstheme="minorEastAsia"/>
          <w:kern w:val="0"/>
          <w:sz w:val="24"/>
          <w:highlight w:val="none"/>
          <w:lang w:val="zh-CN"/>
        </w:rPr>
      </w:pPr>
      <w:r>
        <w:rPr>
          <w:rFonts w:hint="eastAsia" w:asciiTheme="minorEastAsia" w:hAnsiTheme="minorEastAsia" w:eastAsiaTheme="minorEastAsia" w:cstheme="minorEastAsia"/>
          <w:kern w:val="0"/>
          <w:sz w:val="24"/>
          <w:highlight w:val="none"/>
          <w:lang w:val="zh-CN"/>
        </w:rPr>
        <w:t>三、质量</w:t>
      </w:r>
    </w:p>
    <w:p w14:paraId="06D564BB">
      <w:pPr>
        <w:snapToGrid w:val="0"/>
        <w:spacing w:line="360" w:lineRule="auto"/>
        <w:ind w:firstLine="576"/>
        <w:rPr>
          <w:rFonts w:asciiTheme="minorEastAsia" w:hAnsiTheme="minorEastAsia" w:eastAsiaTheme="minorEastAsia" w:cstheme="minorEastAsia"/>
          <w:kern w:val="0"/>
          <w:sz w:val="24"/>
          <w:highlight w:val="none"/>
          <w:lang w:val="zh-CN"/>
        </w:rPr>
      </w:pPr>
      <w:r>
        <w:rPr>
          <w:rFonts w:hint="eastAsia" w:asciiTheme="minorEastAsia" w:hAnsiTheme="minorEastAsia" w:eastAsiaTheme="minorEastAsia" w:cstheme="minorEastAsia"/>
          <w:sz w:val="24"/>
          <w:highlight w:val="none"/>
          <w:u w:val="single"/>
        </w:rPr>
        <w:t xml:space="preserve">                                                                                       </w:t>
      </w:r>
    </w:p>
    <w:p w14:paraId="635D51E8">
      <w:pPr>
        <w:snapToGrid w:val="0"/>
        <w:spacing w:line="360" w:lineRule="auto"/>
        <w:ind w:firstLine="576"/>
        <w:rPr>
          <w:rFonts w:asciiTheme="minorEastAsia" w:hAnsiTheme="minorEastAsia" w:eastAsiaTheme="minorEastAsia" w:cstheme="minorEastAsia"/>
          <w:kern w:val="0"/>
          <w:sz w:val="24"/>
          <w:highlight w:val="none"/>
          <w:lang w:val="zh-CN"/>
        </w:rPr>
      </w:pPr>
      <w:r>
        <w:rPr>
          <w:rFonts w:hint="eastAsia" w:asciiTheme="minorEastAsia" w:hAnsiTheme="minorEastAsia" w:eastAsiaTheme="minorEastAsia" w:cstheme="minorEastAsia"/>
          <w:kern w:val="0"/>
          <w:sz w:val="24"/>
          <w:highlight w:val="none"/>
          <w:lang w:val="zh-CN"/>
        </w:rPr>
        <w:t>四、价款或者报酬</w:t>
      </w:r>
    </w:p>
    <w:p w14:paraId="5464FDC3">
      <w:pPr>
        <w:snapToGrid w:val="0"/>
        <w:spacing w:line="360" w:lineRule="auto"/>
        <w:ind w:left="573" w:leftChars="273"/>
        <w:rPr>
          <w:rFonts w:asciiTheme="minorEastAsia" w:hAnsiTheme="minorEastAsia" w:eastAsiaTheme="minorEastAsia" w:cstheme="minorEastAsia"/>
          <w:kern w:val="0"/>
          <w:sz w:val="24"/>
          <w:highlight w:val="none"/>
          <w:lang w:val="zh-CN"/>
        </w:rPr>
      </w:pPr>
      <w:r>
        <w:rPr>
          <w:rFonts w:hint="eastAsia" w:asciiTheme="minorEastAsia" w:hAnsiTheme="minorEastAsia" w:eastAsiaTheme="minorEastAsia" w:cstheme="minorEastAsia"/>
          <w:sz w:val="24"/>
          <w:highlight w:val="none"/>
          <w:u w:val="single"/>
        </w:rPr>
        <w:t xml:space="preserve">                                                                                     </w:t>
      </w:r>
    </w:p>
    <w:p w14:paraId="1427ED8E">
      <w:pPr>
        <w:snapToGrid w:val="0"/>
        <w:spacing w:line="360" w:lineRule="auto"/>
        <w:ind w:left="573" w:leftChars="273"/>
        <w:rPr>
          <w:rFonts w:asciiTheme="minorEastAsia" w:hAnsiTheme="minorEastAsia" w:eastAsiaTheme="minorEastAsia" w:cstheme="minorEastAsia"/>
          <w:kern w:val="0"/>
          <w:sz w:val="24"/>
          <w:highlight w:val="none"/>
          <w:lang w:val="zh-CN"/>
        </w:rPr>
      </w:pPr>
      <w:r>
        <w:rPr>
          <w:rFonts w:hint="eastAsia" w:asciiTheme="minorEastAsia" w:hAnsiTheme="minorEastAsia" w:eastAsiaTheme="minorEastAsia" w:cstheme="minorEastAsia"/>
          <w:kern w:val="0"/>
          <w:sz w:val="24"/>
          <w:highlight w:val="none"/>
          <w:lang w:val="zh-CN"/>
        </w:rPr>
        <w:t>五、违约责任</w:t>
      </w:r>
    </w:p>
    <w:p w14:paraId="11C25184">
      <w:pPr>
        <w:snapToGrid w:val="0"/>
        <w:spacing w:line="360" w:lineRule="auto"/>
        <w:ind w:firstLine="576"/>
        <w:rPr>
          <w:rFonts w:asciiTheme="minorEastAsia" w:hAnsiTheme="minorEastAsia" w:eastAsiaTheme="minorEastAsia" w:cstheme="minorEastAsia"/>
          <w:kern w:val="0"/>
          <w:sz w:val="24"/>
          <w:highlight w:val="none"/>
          <w:lang w:val="zh-CN"/>
        </w:rPr>
      </w:pPr>
      <w:r>
        <w:rPr>
          <w:rFonts w:hint="eastAsia" w:asciiTheme="minorEastAsia" w:hAnsiTheme="minorEastAsia" w:eastAsiaTheme="minorEastAsia" w:cstheme="minorEastAsia"/>
          <w:sz w:val="24"/>
          <w:highlight w:val="none"/>
          <w:u w:val="single"/>
        </w:rPr>
        <w:t xml:space="preserve">                                                                                     </w:t>
      </w:r>
    </w:p>
    <w:p w14:paraId="2084F5E4">
      <w:pPr>
        <w:snapToGrid w:val="0"/>
        <w:spacing w:line="360" w:lineRule="auto"/>
        <w:ind w:firstLine="576"/>
        <w:rPr>
          <w:rFonts w:asciiTheme="minorEastAsia" w:hAnsiTheme="minorEastAsia" w:eastAsiaTheme="minorEastAsia" w:cstheme="minorEastAsia"/>
          <w:kern w:val="0"/>
          <w:sz w:val="24"/>
          <w:highlight w:val="none"/>
          <w:lang w:val="zh-CN"/>
        </w:rPr>
      </w:pPr>
      <w:r>
        <w:rPr>
          <w:rFonts w:hint="eastAsia" w:asciiTheme="minorEastAsia" w:hAnsiTheme="minorEastAsia" w:eastAsiaTheme="minorEastAsia" w:cstheme="minorEastAsia"/>
          <w:kern w:val="0"/>
          <w:sz w:val="24"/>
          <w:highlight w:val="none"/>
          <w:lang w:val="zh-CN"/>
        </w:rPr>
        <w:t>六、争议解决的办法</w:t>
      </w:r>
    </w:p>
    <w:p w14:paraId="62829BA3">
      <w:pPr>
        <w:snapToGrid w:val="0"/>
        <w:spacing w:line="360" w:lineRule="auto"/>
        <w:ind w:firstLine="576"/>
        <w:rPr>
          <w:rFonts w:asciiTheme="minorEastAsia" w:hAnsiTheme="minorEastAsia" w:eastAsiaTheme="minorEastAsia" w:cstheme="minorEastAsia"/>
          <w:kern w:val="0"/>
          <w:sz w:val="24"/>
          <w:highlight w:val="none"/>
          <w:lang w:val="zh-CN"/>
        </w:rPr>
      </w:pPr>
      <w:r>
        <w:rPr>
          <w:rFonts w:hint="eastAsia" w:asciiTheme="minorEastAsia" w:hAnsiTheme="minorEastAsia" w:eastAsiaTheme="minorEastAsia" w:cstheme="minorEastAsia"/>
          <w:sz w:val="24"/>
          <w:highlight w:val="none"/>
          <w:u w:val="single"/>
        </w:rPr>
        <w:t xml:space="preserve">                                                                                  </w:t>
      </w:r>
    </w:p>
    <w:p w14:paraId="4FAA3EDA">
      <w:pPr>
        <w:snapToGrid w:val="0"/>
        <w:spacing w:line="360" w:lineRule="auto"/>
        <w:ind w:firstLine="576"/>
        <w:rPr>
          <w:rFonts w:asciiTheme="minorEastAsia" w:hAnsiTheme="minorEastAsia" w:eastAsiaTheme="minorEastAsia" w:cstheme="minorEastAsia"/>
          <w:kern w:val="0"/>
          <w:sz w:val="24"/>
          <w:highlight w:val="none"/>
          <w:lang w:val="zh-CN"/>
        </w:rPr>
      </w:pPr>
      <w:r>
        <w:rPr>
          <w:rFonts w:hint="eastAsia" w:asciiTheme="minorEastAsia" w:hAnsiTheme="minorEastAsia" w:eastAsiaTheme="minorEastAsia" w:cstheme="minorEastAsia"/>
          <w:kern w:val="0"/>
          <w:sz w:val="24"/>
          <w:highlight w:val="none"/>
          <w:lang w:val="zh-CN"/>
        </w:rPr>
        <w:t>七、其他</w:t>
      </w:r>
    </w:p>
    <w:p w14:paraId="39F2BA9B">
      <w:pPr>
        <w:snapToGrid w:val="0"/>
        <w:spacing w:line="360" w:lineRule="auto"/>
        <w:ind w:firstLine="576"/>
        <w:rPr>
          <w:rFonts w:asciiTheme="minorEastAsia" w:hAnsiTheme="minorEastAsia" w:eastAsiaTheme="minorEastAsia" w:cstheme="minorEastAsia"/>
          <w:b/>
          <w:kern w:val="0"/>
          <w:sz w:val="24"/>
          <w:highlight w:val="none"/>
          <w:lang w:val="zh-CN"/>
        </w:rPr>
      </w:pPr>
      <w:r>
        <w:rPr>
          <w:rFonts w:hint="eastAsia" w:asciiTheme="minorEastAsia" w:hAnsiTheme="minorEastAsia" w:eastAsiaTheme="minorEastAsia" w:cstheme="minorEastAsia"/>
          <w:kern w:val="0"/>
          <w:sz w:val="24"/>
          <w:highlight w:val="none"/>
          <w:u w:val="single"/>
        </w:rPr>
        <w:t>（分包供应商名称）提供的货物/服务全部由小微企业制造/服务，</w:t>
      </w:r>
      <w:r>
        <w:rPr>
          <w:rFonts w:hint="eastAsia" w:asciiTheme="minorEastAsia" w:hAnsiTheme="minorEastAsia" w:eastAsiaTheme="minorEastAsia" w:cstheme="minorEastAsia"/>
          <w:kern w:val="0"/>
          <w:sz w:val="24"/>
          <w:highlight w:val="none"/>
        </w:rPr>
        <w:t>其合同份额占到合同总金额</w:t>
      </w:r>
      <w:r>
        <w:rPr>
          <w:rFonts w:hint="eastAsia" w:asciiTheme="minorEastAsia" w:hAnsiTheme="minorEastAsia" w:eastAsiaTheme="minorEastAsia" w:cstheme="minorEastAsia"/>
          <w:kern w:val="0"/>
          <w:sz w:val="24"/>
          <w:highlight w:val="none"/>
          <w:u w:val="single"/>
        </w:rPr>
        <w:t xml:space="preserve">     </w:t>
      </w:r>
      <w:r>
        <w:rPr>
          <w:rFonts w:hint="eastAsia" w:asciiTheme="minorEastAsia" w:hAnsiTheme="minorEastAsia" w:eastAsiaTheme="minorEastAsia" w:cstheme="minorEastAsia"/>
          <w:kern w:val="0"/>
          <w:sz w:val="24"/>
          <w:highlight w:val="none"/>
        </w:rPr>
        <w:t>%以上</w:t>
      </w:r>
      <w:r>
        <w:rPr>
          <w:rFonts w:hint="eastAsia" w:asciiTheme="minorEastAsia" w:hAnsiTheme="minorEastAsia" w:eastAsiaTheme="minorEastAsia" w:cstheme="minorEastAsia"/>
          <w:sz w:val="24"/>
          <w:highlight w:val="none"/>
        </w:rPr>
        <w:t>。</w:t>
      </w:r>
    </w:p>
    <w:p w14:paraId="3BE72FE4">
      <w:pPr>
        <w:snapToGrid w:val="0"/>
        <w:spacing w:line="360" w:lineRule="auto"/>
        <w:rPr>
          <w:rFonts w:asciiTheme="minorEastAsia" w:hAnsiTheme="minorEastAsia" w:eastAsiaTheme="minorEastAsia" w:cstheme="minorEastAsia"/>
          <w:kern w:val="0"/>
          <w:sz w:val="24"/>
          <w:highlight w:val="none"/>
          <w:lang w:val="zh-CN"/>
        </w:rPr>
      </w:pPr>
      <w:r>
        <w:rPr>
          <w:rFonts w:hint="eastAsia" w:asciiTheme="minorEastAsia" w:hAnsiTheme="minorEastAsia" w:eastAsiaTheme="minorEastAsia" w:cstheme="minorEastAsia"/>
          <w:kern w:val="0"/>
          <w:sz w:val="24"/>
          <w:highlight w:val="none"/>
          <w:lang w:val="zh-CN"/>
        </w:rPr>
        <w:t xml:space="preserve">                                               供应商名称(盖章)：</w:t>
      </w:r>
    </w:p>
    <w:p w14:paraId="6F4F5DC6">
      <w:pPr>
        <w:snapToGrid w:val="0"/>
        <w:spacing w:line="360" w:lineRule="auto"/>
        <w:ind w:firstLine="5640" w:firstLineChars="2350"/>
        <w:rPr>
          <w:rFonts w:asciiTheme="minorEastAsia" w:hAnsiTheme="minorEastAsia" w:eastAsiaTheme="minorEastAsia" w:cstheme="minorEastAsia"/>
          <w:kern w:val="0"/>
          <w:sz w:val="24"/>
          <w:highlight w:val="none"/>
          <w:lang w:val="zh-CN"/>
        </w:rPr>
      </w:pPr>
      <w:r>
        <w:rPr>
          <w:rFonts w:hint="eastAsia" w:asciiTheme="minorEastAsia" w:hAnsiTheme="minorEastAsia" w:eastAsiaTheme="minorEastAsia" w:cstheme="minorEastAsia"/>
          <w:kern w:val="0"/>
          <w:sz w:val="24"/>
          <w:highlight w:val="none"/>
          <w:lang w:val="zh-CN"/>
        </w:rPr>
        <w:t>分包供应商名称：</w:t>
      </w:r>
    </w:p>
    <w:p w14:paraId="3797973A">
      <w:pPr>
        <w:snapToGrid w:val="0"/>
        <w:spacing w:line="360" w:lineRule="auto"/>
        <w:ind w:firstLine="5760" w:firstLineChars="24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kern w:val="0"/>
          <w:sz w:val="24"/>
          <w:highlight w:val="none"/>
          <w:lang w:val="zh-CN"/>
        </w:rPr>
        <w:t>……</w:t>
      </w:r>
    </w:p>
    <w:p w14:paraId="36163C1D">
      <w:pPr>
        <w:snapToGrid w:val="0"/>
        <w:spacing w:line="360" w:lineRule="auto"/>
        <w:rPr>
          <w:rFonts w:asciiTheme="minorEastAsia" w:hAnsiTheme="minorEastAsia" w:eastAsiaTheme="minorEastAsia" w:cstheme="minorEastAsia"/>
          <w:kern w:val="0"/>
          <w:sz w:val="24"/>
          <w:highlight w:val="none"/>
          <w:lang w:val="zh-CN"/>
        </w:rPr>
      </w:pPr>
      <w:r>
        <w:rPr>
          <w:rFonts w:hint="eastAsia" w:asciiTheme="minorEastAsia" w:hAnsiTheme="minorEastAsia" w:eastAsiaTheme="minorEastAsia" w:cstheme="minorEastAsia"/>
          <w:kern w:val="0"/>
          <w:sz w:val="24"/>
          <w:highlight w:val="none"/>
          <w:lang w:val="zh-CN"/>
        </w:rPr>
        <w:t xml:space="preserve">                                               日期：  年  月   日</w:t>
      </w:r>
    </w:p>
    <w:p w14:paraId="0FB9FCB2">
      <w:pPr>
        <w:pStyle w:val="4"/>
        <w:rPr>
          <w:rFonts w:ascii="宋体" w:hAnsi="宋体" w:eastAsia="宋体" w:cs="宋体"/>
          <w:b w:val="0"/>
          <w:sz w:val="24"/>
          <w:szCs w:val="24"/>
          <w:highlight w:val="none"/>
        </w:rPr>
      </w:pPr>
      <w:bookmarkStart w:id="63" w:name="_Toc174370012"/>
      <w:r>
        <w:rPr>
          <w:rFonts w:hint="eastAsia" w:ascii="宋体" w:hAnsi="宋体" w:eastAsia="宋体" w:cs="宋体"/>
          <w:b w:val="0"/>
          <w:sz w:val="24"/>
          <w:szCs w:val="24"/>
          <w:highlight w:val="none"/>
        </w:rPr>
        <w:t>附件七：磋商响应方资信商务、技术自评得分表</w:t>
      </w:r>
      <w:bookmarkEnd w:id="63"/>
    </w:p>
    <w:p w14:paraId="0E01AD7A">
      <w:pPr>
        <w:jc w:val="left"/>
        <w:rPr>
          <w:rFonts w:ascii="宋体" w:hAnsi="宋体" w:cs="宋体"/>
          <w:sz w:val="24"/>
          <w:highlight w:val="none"/>
        </w:rPr>
      </w:pPr>
    </w:p>
    <w:p w14:paraId="253A1B22">
      <w:pPr>
        <w:jc w:val="center"/>
        <w:rPr>
          <w:rFonts w:ascii="宋体" w:hAnsi="宋体" w:cs="宋体"/>
          <w:b/>
          <w:sz w:val="24"/>
          <w:highlight w:val="none"/>
        </w:rPr>
      </w:pPr>
      <w:r>
        <w:rPr>
          <w:rFonts w:hint="eastAsia" w:ascii="宋体" w:hAnsi="宋体" w:cs="宋体"/>
          <w:b/>
          <w:sz w:val="24"/>
          <w:highlight w:val="none"/>
        </w:rPr>
        <w:t>磋商响应方资信商务、技术自评得分表</w:t>
      </w:r>
    </w:p>
    <w:p w14:paraId="01590FF4">
      <w:pPr>
        <w:rPr>
          <w:rFonts w:ascii="宋体" w:hAnsi="宋体" w:cs="宋体"/>
          <w:sz w:val="24"/>
          <w:highlight w:val="none"/>
        </w:rPr>
      </w:pPr>
    </w:p>
    <w:p w14:paraId="12F86D0D">
      <w:pPr>
        <w:snapToGrid w:val="0"/>
        <w:spacing w:before="50" w:after="50" w:line="360" w:lineRule="auto"/>
        <w:rPr>
          <w:rFonts w:ascii="宋体"/>
          <w:b/>
          <w:sz w:val="24"/>
          <w:highlight w:val="none"/>
          <w:u w:val="single"/>
        </w:rPr>
      </w:pPr>
      <w:r>
        <w:rPr>
          <w:rFonts w:hint="eastAsia" w:ascii="宋体"/>
          <w:b/>
          <w:sz w:val="24"/>
          <w:highlight w:val="none"/>
        </w:rPr>
        <w:t>投标单位名称：                                    标项：</w:t>
      </w:r>
    </w:p>
    <w:tbl>
      <w:tblPr>
        <w:tblStyle w:val="39"/>
        <w:tblW w:w="96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1"/>
        <w:gridCol w:w="1610"/>
        <w:gridCol w:w="1610"/>
        <w:gridCol w:w="1358"/>
        <w:gridCol w:w="1084"/>
        <w:gridCol w:w="3034"/>
      </w:tblGrid>
      <w:tr w14:paraId="6FDD74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961" w:type="dxa"/>
            <w:tcBorders>
              <w:top w:val="single" w:color="auto" w:sz="4" w:space="0"/>
              <w:left w:val="single" w:color="auto" w:sz="4" w:space="0"/>
              <w:bottom w:val="single" w:color="auto" w:sz="4" w:space="0"/>
              <w:right w:val="single" w:color="auto" w:sz="4" w:space="0"/>
            </w:tcBorders>
            <w:vAlign w:val="center"/>
          </w:tcPr>
          <w:p w14:paraId="59FE6677">
            <w:pPr>
              <w:pStyle w:val="32"/>
              <w:ind w:firstLine="0"/>
              <w:jc w:val="center"/>
              <w:rPr>
                <w:rFonts w:ascii="宋体"/>
                <w:b/>
                <w:bCs/>
                <w:highlight w:val="none"/>
              </w:rPr>
            </w:pPr>
            <w:r>
              <w:rPr>
                <w:rFonts w:hint="eastAsia" w:ascii="宋体"/>
                <w:b/>
                <w:bCs/>
                <w:highlight w:val="none"/>
              </w:rPr>
              <w:t>序号</w:t>
            </w:r>
          </w:p>
        </w:tc>
        <w:tc>
          <w:tcPr>
            <w:tcW w:w="1610" w:type="dxa"/>
            <w:tcBorders>
              <w:top w:val="single" w:color="auto" w:sz="4" w:space="0"/>
              <w:left w:val="single" w:color="auto" w:sz="4" w:space="0"/>
              <w:bottom w:val="single" w:color="auto" w:sz="4" w:space="0"/>
              <w:right w:val="single" w:color="auto" w:sz="4" w:space="0"/>
            </w:tcBorders>
            <w:vAlign w:val="center"/>
          </w:tcPr>
          <w:p w14:paraId="14EEC0D9">
            <w:pPr>
              <w:pStyle w:val="32"/>
              <w:ind w:firstLine="0"/>
              <w:jc w:val="center"/>
              <w:rPr>
                <w:rFonts w:ascii="宋体"/>
                <w:b/>
                <w:bCs/>
                <w:highlight w:val="none"/>
              </w:rPr>
            </w:pPr>
            <w:r>
              <w:rPr>
                <w:rFonts w:hint="eastAsia" w:ascii="宋体"/>
                <w:b/>
                <w:bCs/>
                <w:highlight w:val="none"/>
              </w:rPr>
              <w:t>评审内容</w:t>
            </w:r>
          </w:p>
        </w:tc>
        <w:tc>
          <w:tcPr>
            <w:tcW w:w="1610" w:type="dxa"/>
            <w:tcBorders>
              <w:top w:val="single" w:color="auto" w:sz="4" w:space="0"/>
              <w:left w:val="single" w:color="auto" w:sz="4" w:space="0"/>
              <w:bottom w:val="single" w:color="auto" w:sz="4" w:space="0"/>
              <w:right w:val="single" w:color="auto" w:sz="4" w:space="0"/>
            </w:tcBorders>
            <w:vAlign w:val="center"/>
          </w:tcPr>
          <w:p w14:paraId="3FDF9536">
            <w:pPr>
              <w:pStyle w:val="32"/>
              <w:ind w:firstLine="0"/>
              <w:rPr>
                <w:rFonts w:ascii="宋体"/>
                <w:b/>
                <w:bCs/>
                <w:highlight w:val="none"/>
              </w:rPr>
            </w:pPr>
            <w:r>
              <w:rPr>
                <w:rFonts w:hint="eastAsia" w:ascii="宋体"/>
                <w:b/>
                <w:bCs/>
                <w:highlight w:val="none"/>
              </w:rPr>
              <w:t>评分标准</w:t>
            </w:r>
          </w:p>
        </w:tc>
        <w:tc>
          <w:tcPr>
            <w:tcW w:w="1358" w:type="dxa"/>
            <w:tcBorders>
              <w:top w:val="single" w:color="auto" w:sz="4" w:space="0"/>
              <w:left w:val="single" w:color="auto" w:sz="4" w:space="0"/>
              <w:bottom w:val="single" w:color="auto" w:sz="4" w:space="0"/>
              <w:right w:val="single" w:color="auto" w:sz="4" w:space="0"/>
            </w:tcBorders>
            <w:vAlign w:val="center"/>
          </w:tcPr>
          <w:p w14:paraId="1A0EE3D0">
            <w:pPr>
              <w:pStyle w:val="32"/>
              <w:ind w:firstLine="0"/>
              <w:jc w:val="center"/>
              <w:rPr>
                <w:rFonts w:ascii="宋体"/>
                <w:b/>
                <w:bCs/>
                <w:highlight w:val="none"/>
              </w:rPr>
            </w:pPr>
            <w:r>
              <w:rPr>
                <w:rFonts w:hint="eastAsia" w:ascii="宋体"/>
                <w:b/>
                <w:bCs/>
                <w:highlight w:val="none"/>
              </w:rPr>
              <w:t>评分标准分值</w:t>
            </w:r>
          </w:p>
        </w:tc>
        <w:tc>
          <w:tcPr>
            <w:tcW w:w="1084" w:type="dxa"/>
            <w:tcBorders>
              <w:top w:val="single" w:color="auto" w:sz="4" w:space="0"/>
              <w:left w:val="single" w:color="auto" w:sz="4" w:space="0"/>
              <w:bottom w:val="single" w:color="auto" w:sz="4" w:space="0"/>
              <w:right w:val="single" w:color="auto" w:sz="4" w:space="0"/>
            </w:tcBorders>
            <w:vAlign w:val="center"/>
          </w:tcPr>
          <w:p w14:paraId="5F0707F4">
            <w:pPr>
              <w:pStyle w:val="32"/>
              <w:ind w:firstLine="0"/>
              <w:jc w:val="center"/>
              <w:rPr>
                <w:rFonts w:ascii="宋体"/>
                <w:b/>
                <w:bCs/>
                <w:highlight w:val="none"/>
              </w:rPr>
            </w:pPr>
            <w:r>
              <w:rPr>
                <w:rFonts w:hint="eastAsia" w:ascii="宋体"/>
                <w:b/>
                <w:bCs/>
                <w:highlight w:val="none"/>
              </w:rPr>
              <w:t>自评得分</w:t>
            </w:r>
          </w:p>
        </w:tc>
        <w:tc>
          <w:tcPr>
            <w:tcW w:w="3034" w:type="dxa"/>
            <w:tcBorders>
              <w:top w:val="single" w:color="auto" w:sz="4" w:space="0"/>
              <w:left w:val="single" w:color="auto" w:sz="4" w:space="0"/>
              <w:bottom w:val="single" w:color="auto" w:sz="4" w:space="0"/>
              <w:right w:val="single" w:color="auto" w:sz="4" w:space="0"/>
            </w:tcBorders>
            <w:vAlign w:val="center"/>
          </w:tcPr>
          <w:p w14:paraId="44498BB0">
            <w:pPr>
              <w:pStyle w:val="32"/>
              <w:ind w:firstLine="0"/>
              <w:jc w:val="center"/>
              <w:rPr>
                <w:rFonts w:ascii="宋体"/>
                <w:b/>
                <w:bCs/>
                <w:highlight w:val="none"/>
              </w:rPr>
            </w:pPr>
            <w:r>
              <w:rPr>
                <w:rFonts w:hint="eastAsia" w:ascii="宋体"/>
                <w:b/>
                <w:bCs/>
                <w:highlight w:val="none"/>
              </w:rPr>
              <w:t>页码</w:t>
            </w:r>
          </w:p>
        </w:tc>
      </w:tr>
      <w:tr w14:paraId="570E74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4" w:hRule="atLeast"/>
          <w:jc w:val="center"/>
        </w:trPr>
        <w:tc>
          <w:tcPr>
            <w:tcW w:w="961" w:type="dxa"/>
            <w:tcBorders>
              <w:top w:val="single" w:color="auto" w:sz="4" w:space="0"/>
              <w:left w:val="single" w:color="auto" w:sz="4" w:space="0"/>
              <w:bottom w:val="single" w:color="auto" w:sz="4" w:space="0"/>
              <w:right w:val="single" w:color="auto" w:sz="4" w:space="0"/>
            </w:tcBorders>
            <w:vAlign w:val="center"/>
          </w:tcPr>
          <w:p w14:paraId="03AD3D40">
            <w:pPr>
              <w:pStyle w:val="32"/>
              <w:ind w:firstLine="0"/>
              <w:jc w:val="center"/>
              <w:rPr>
                <w:rFonts w:ascii="宋体"/>
                <w:b/>
                <w:bCs/>
                <w:highlight w:val="none"/>
              </w:rPr>
            </w:pPr>
            <w:r>
              <w:rPr>
                <w:rFonts w:hint="eastAsia" w:ascii="宋体"/>
                <w:b/>
                <w:bCs/>
                <w:highlight w:val="none"/>
              </w:rPr>
              <w:t>一</w:t>
            </w:r>
          </w:p>
        </w:tc>
        <w:tc>
          <w:tcPr>
            <w:tcW w:w="1610" w:type="dxa"/>
            <w:tcBorders>
              <w:top w:val="single" w:color="auto" w:sz="4" w:space="0"/>
              <w:left w:val="single" w:color="auto" w:sz="4" w:space="0"/>
              <w:bottom w:val="single" w:color="auto" w:sz="4" w:space="0"/>
              <w:right w:val="single" w:color="auto" w:sz="4" w:space="0"/>
            </w:tcBorders>
            <w:vAlign w:val="center"/>
          </w:tcPr>
          <w:p w14:paraId="286AF9E9">
            <w:pPr>
              <w:pStyle w:val="32"/>
              <w:ind w:firstLine="0"/>
              <w:jc w:val="center"/>
              <w:rPr>
                <w:rFonts w:ascii="宋体"/>
                <w:b/>
                <w:bCs/>
                <w:highlight w:val="none"/>
              </w:rPr>
            </w:pPr>
            <w:r>
              <w:rPr>
                <w:rFonts w:hint="eastAsia" w:ascii="宋体"/>
                <w:b/>
                <w:bCs/>
                <w:highlight w:val="none"/>
              </w:rPr>
              <w:t>技术分</w:t>
            </w:r>
          </w:p>
        </w:tc>
        <w:tc>
          <w:tcPr>
            <w:tcW w:w="1610" w:type="dxa"/>
            <w:tcBorders>
              <w:top w:val="single" w:color="auto" w:sz="4" w:space="0"/>
              <w:left w:val="single" w:color="auto" w:sz="4" w:space="0"/>
              <w:bottom w:val="single" w:color="auto" w:sz="4" w:space="0"/>
              <w:right w:val="single" w:color="auto" w:sz="4" w:space="0"/>
            </w:tcBorders>
            <w:vAlign w:val="center"/>
          </w:tcPr>
          <w:p w14:paraId="7B06E462">
            <w:pPr>
              <w:pStyle w:val="32"/>
              <w:ind w:firstLine="482"/>
              <w:jc w:val="center"/>
              <w:rPr>
                <w:rFonts w:ascii="宋体"/>
                <w:b/>
                <w:bCs/>
                <w:highlight w:val="none"/>
              </w:rPr>
            </w:pPr>
          </w:p>
        </w:tc>
        <w:tc>
          <w:tcPr>
            <w:tcW w:w="1358" w:type="dxa"/>
            <w:tcBorders>
              <w:top w:val="single" w:color="auto" w:sz="4" w:space="0"/>
              <w:left w:val="single" w:color="auto" w:sz="4" w:space="0"/>
              <w:bottom w:val="single" w:color="auto" w:sz="4" w:space="0"/>
              <w:right w:val="single" w:color="auto" w:sz="4" w:space="0"/>
            </w:tcBorders>
            <w:vAlign w:val="center"/>
          </w:tcPr>
          <w:p w14:paraId="6F2C7B30">
            <w:pPr>
              <w:pStyle w:val="32"/>
              <w:ind w:firstLine="0"/>
              <w:jc w:val="center"/>
              <w:rPr>
                <w:rFonts w:ascii="宋体"/>
                <w:b/>
                <w:bCs/>
                <w:highlight w:val="none"/>
              </w:rPr>
            </w:pPr>
          </w:p>
        </w:tc>
        <w:tc>
          <w:tcPr>
            <w:tcW w:w="1084" w:type="dxa"/>
            <w:tcBorders>
              <w:top w:val="single" w:color="auto" w:sz="4" w:space="0"/>
              <w:left w:val="single" w:color="auto" w:sz="4" w:space="0"/>
              <w:bottom w:val="single" w:color="auto" w:sz="4" w:space="0"/>
              <w:right w:val="single" w:color="auto" w:sz="4" w:space="0"/>
            </w:tcBorders>
            <w:vAlign w:val="center"/>
          </w:tcPr>
          <w:p w14:paraId="56EF0F61">
            <w:pPr>
              <w:pStyle w:val="32"/>
              <w:ind w:firstLine="0"/>
              <w:jc w:val="center"/>
              <w:rPr>
                <w:rFonts w:ascii="宋体"/>
                <w:b/>
                <w:bCs/>
                <w:highlight w:val="none"/>
              </w:rPr>
            </w:pPr>
          </w:p>
        </w:tc>
        <w:tc>
          <w:tcPr>
            <w:tcW w:w="3034" w:type="dxa"/>
            <w:tcBorders>
              <w:top w:val="single" w:color="auto" w:sz="4" w:space="0"/>
              <w:left w:val="single" w:color="auto" w:sz="4" w:space="0"/>
              <w:bottom w:val="single" w:color="auto" w:sz="4" w:space="0"/>
              <w:right w:val="single" w:color="auto" w:sz="4" w:space="0"/>
            </w:tcBorders>
            <w:vAlign w:val="center"/>
          </w:tcPr>
          <w:p w14:paraId="65402837">
            <w:pPr>
              <w:pStyle w:val="32"/>
              <w:ind w:firstLine="0"/>
              <w:jc w:val="center"/>
              <w:rPr>
                <w:rFonts w:ascii="宋体"/>
                <w:b/>
                <w:bCs/>
                <w:highlight w:val="none"/>
              </w:rPr>
            </w:pPr>
          </w:p>
        </w:tc>
      </w:tr>
      <w:tr w14:paraId="224DEE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jc w:val="center"/>
        </w:trPr>
        <w:tc>
          <w:tcPr>
            <w:tcW w:w="961" w:type="dxa"/>
            <w:tcBorders>
              <w:top w:val="single" w:color="auto" w:sz="4" w:space="0"/>
              <w:left w:val="single" w:color="auto" w:sz="4" w:space="0"/>
              <w:bottom w:val="single" w:color="auto" w:sz="4" w:space="0"/>
              <w:right w:val="single" w:color="auto" w:sz="4" w:space="0"/>
            </w:tcBorders>
            <w:vAlign w:val="center"/>
          </w:tcPr>
          <w:p w14:paraId="1E2E4514">
            <w:pPr>
              <w:widowControl/>
              <w:rPr>
                <w:rFonts w:ascii="宋体"/>
                <w:sz w:val="24"/>
                <w:highlight w:val="none"/>
              </w:rPr>
            </w:pPr>
            <w:r>
              <w:rPr>
                <w:rFonts w:hint="eastAsia" w:ascii="宋体"/>
                <w:sz w:val="24"/>
                <w:highlight w:val="none"/>
              </w:rPr>
              <w:t>1</w:t>
            </w:r>
          </w:p>
        </w:tc>
        <w:tc>
          <w:tcPr>
            <w:tcW w:w="1610" w:type="dxa"/>
            <w:tcBorders>
              <w:top w:val="single" w:color="auto" w:sz="4" w:space="0"/>
              <w:left w:val="single" w:color="auto" w:sz="4" w:space="0"/>
              <w:bottom w:val="single" w:color="auto" w:sz="4" w:space="0"/>
              <w:right w:val="single" w:color="auto" w:sz="4" w:space="0"/>
            </w:tcBorders>
            <w:vAlign w:val="center"/>
          </w:tcPr>
          <w:p w14:paraId="50AD1DE4">
            <w:pPr>
              <w:rPr>
                <w:rFonts w:ascii="宋体"/>
                <w:sz w:val="24"/>
                <w:highlight w:val="none"/>
              </w:rPr>
            </w:pPr>
          </w:p>
        </w:tc>
        <w:tc>
          <w:tcPr>
            <w:tcW w:w="1610" w:type="dxa"/>
            <w:tcBorders>
              <w:top w:val="single" w:color="auto" w:sz="4" w:space="0"/>
              <w:left w:val="single" w:color="auto" w:sz="4" w:space="0"/>
              <w:right w:val="single" w:color="auto" w:sz="4" w:space="0"/>
            </w:tcBorders>
            <w:vAlign w:val="center"/>
          </w:tcPr>
          <w:p w14:paraId="062FDEBB">
            <w:pPr>
              <w:rPr>
                <w:rFonts w:ascii="宋体"/>
                <w:sz w:val="24"/>
                <w:highlight w:val="none"/>
              </w:rPr>
            </w:pPr>
          </w:p>
        </w:tc>
        <w:tc>
          <w:tcPr>
            <w:tcW w:w="1358" w:type="dxa"/>
            <w:tcBorders>
              <w:top w:val="single" w:color="auto" w:sz="4" w:space="0"/>
              <w:left w:val="single" w:color="auto" w:sz="4" w:space="0"/>
              <w:right w:val="single" w:color="auto" w:sz="4" w:space="0"/>
            </w:tcBorders>
            <w:vAlign w:val="center"/>
          </w:tcPr>
          <w:p w14:paraId="502C447A">
            <w:pPr>
              <w:jc w:val="center"/>
              <w:rPr>
                <w:rFonts w:ascii="宋体"/>
                <w:bCs/>
                <w:sz w:val="24"/>
                <w:highlight w:val="none"/>
              </w:rPr>
            </w:pPr>
          </w:p>
        </w:tc>
        <w:tc>
          <w:tcPr>
            <w:tcW w:w="1084" w:type="dxa"/>
            <w:tcBorders>
              <w:top w:val="single" w:color="auto" w:sz="4" w:space="0"/>
              <w:left w:val="single" w:color="auto" w:sz="4" w:space="0"/>
              <w:right w:val="single" w:color="auto" w:sz="4" w:space="0"/>
            </w:tcBorders>
            <w:vAlign w:val="center"/>
          </w:tcPr>
          <w:p w14:paraId="5FAFB787">
            <w:pPr>
              <w:jc w:val="center"/>
              <w:rPr>
                <w:rFonts w:ascii="宋体"/>
                <w:bCs/>
                <w:sz w:val="24"/>
                <w:highlight w:val="none"/>
              </w:rPr>
            </w:pPr>
          </w:p>
        </w:tc>
        <w:tc>
          <w:tcPr>
            <w:tcW w:w="3034" w:type="dxa"/>
            <w:tcBorders>
              <w:top w:val="single" w:color="auto" w:sz="4" w:space="0"/>
              <w:left w:val="single" w:color="auto" w:sz="4" w:space="0"/>
              <w:right w:val="single" w:color="auto" w:sz="4" w:space="0"/>
            </w:tcBorders>
            <w:vAlign w:val="center"/>
          </w:tcPr>
          <w:p w14:paraId="3DE6F59E">
            <w:pPr>
              <w:jc w:val="center"/>
              <w:rPr>
                <w:rFonts w:ascii="宋体"/>
                <w:bCs/>
                <w:sz w:val="24"/>
                <w:highlight w:val="none"/>
              </w:rPr>
            </w:pPr>
            <w:r>
              <w:rPr>
                <w:rFonts w:hint="eastAsia" w:ascii="宋体"/>
                <w:bCs/>
                <w:sz w:val="24"/>
                <w:highlight w:val="none"/>
              </w:rPr>
              <w:t>详见</w:t>
            </w:r>
            <w:r>
              <w:rPr>
                <w:rFonts w:hint="eastAsia" w:ascii="宋体"/>
                <w:b/>
                <w:bCs/>
                <w:sz w:val="24"/>
                <w:highlight w:val="none"/>
              </w:rPr>
              <w:t>商务技术响应文件</w:t>
            </w:r>
            <w:r>
              <w:rPr>
                <w:rFonts w:hint="eastAsia" w:ascii="宋体"/>
                <w:bCs/>
                <w:sz w:val="24"/>
                <w:highlight w:val="none"/>
              </w:rPr>
              <w:t>第几页</w:t>
            </w:r>
          </w:p>
        </w:tc>
      </w:tr>
      <w:tr w14:paraId="44333F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69" w:hRule="atLeast"/>
          <w:jc w:val="center"/>
        </w:trPr>
        <w:tc>
          <w:tcPr>
            <w:tcW w:w="961" w:type="dxa"/>
            <w:tcBorders>
              <w:top w:val="single" w:color="auto" w:sz="4" w:space="0"/>
              <w:left w:val="single" w:color="auto" w:sz="4" w:space="0"/>
              <w:bottom w:val="single" w:color="auto" w:sz="4" w:space="0"/>
              <w:right w:val="single" w:color="auto" w:sz="4" w:space="0"/>
            </w:tcBorders>
            <w:vAlign w:val="center"/>
          </w:tcPr>
          <w:p w14:paraId="0D04480C">
            <w:pPr>
              <w:widowControl/>
              <w:rPr>
                <w:rFonts w:ascii="宋体"/>
                <w:sz w:val="24"/>
                <w:highlight w:val="none"/>
              </w:rPr>
            </w:pPr>
            <w:r>
              <w:rPr>
                <w:rFonts w:hint="eastAsia" w:ascii="宋体"/>
                <w:sz w:val="24"/>
                <w:highlight w:val="none"/>
              </w:rPr>
              <w:t>2</w:t>
            </w:r>
          </w:p>
        </w:tc>
        <w:tc>
          <w:tcPr>
            <w:tcW w:w="1610" w:type="dxa"/>
            <w:tcBorders>
              <w:top w:val="single" w:color="auto" w:sz="4" w:space="0"/>
              <w:left w:val="single" w:color="auto" w:sz="4" w:space="0"/>
              <w:bottom w:val="single" w:color="auto" w:sz="4" w:space="0"/>
              <w:right w:val="single" w:color="auto" w:sz="4" w:space="0"/>
            </w:tcBorders>
            <w:vAlign w:val="center"/>
          </w:tcPr>
          <w:p w14:paraId="6A28F381">
            <w:pPr>
              <w:spacing w:line="320" w:lineRule="exact"/>
              <w:rPr>
                <w:rFonts w:ascii="宋体"/>
                <w:sz w:val="24"/>
                <w:highlight w:val="none"/>
              </w:rPr>
            </w:pPr>
          </w:p>
        </w:tc>
        <w:tc>
          <w:tcPr>
            <w:tcW w:w="1610" w:type="dxa"/>
            <w:tcBorders>
              <w:top w:val="single" w:color="auto" w:sz="4" w:space="0"/>
              <w:left w:val="single" w:color="auto" w:sz="4" w:space="0"/>
              <w:right w:val="single" w:color="auto" w:sz="4" w:space="0"/>
            </w:tcBorders>
            <w:vAlign w:val="center"/>
          </w:tcPr>
          <w:p w14:paraId="12C1D4F0">
            <w:pPr>
              <w:widowControl/>
              <w:rPr>
                <w:rFonts w:ascii="宋体" w:cs="宋体"/>
                <w:kern w:val="0"/>
                <w:sz w:val="24"/>
                <w:highlight w:val="none"/>
              </w:rPr>
            </w:pPr>
          </w:p>
        </w:tc>
        <w:tc>
          <w:tcPr>
            <w:tcW w:w="1358" w:type="dxa"/>
            <w:tcBorders>
              <w:top w:val="single" w:color="auto" w:sz="4" w:space="0"/>
              <w:left w:val="single" w:color="auto" w:sz="4" w:space="0"/>
              <w:right w:val="single" w:color="auto" w:sz="4" w:space="0"/>
            </w:tcBorders>
            <w:vAlign w:val="center"/>
          </w:tcPr>
          <w:p w14:paraId="23F5ED43">
            <w:pPr>
              <w:spacing w:line="320" w:lineRule="exact"/>
              <w:jc w:val="center"/>
              <w:rPr>
                <w:rFonts w:ascii="宋体"/>
                <w:bCs/>
                <w:sz w:val="24"/>
                <w:highlight w:val="none"/>
              </w:rPr>
            </w:pPr>
          </w:p>
        </w:tc>
        <w:tc>
          <w:tcPr>
            <w:tcW w:w="1084" w:type="dxa"/>
            <w:tcBorders>
              <w:top w:val="single" w:color="auto" w:sz="4" w:space="0"/>
              <w:left w:val="single" w:color="auto" w:sz="4" w:space="0"/>
              <w:right w:val="single" w:color="auto" w:sz="4" w:space="0"/>
            </w:tcBorders>
            <w:vAlign w:val="center"/>
          </w:tcPr>
          <w:p w14:paraId="0F515588">
            <w:pPr>
              <w:spacing w:line="320" w:lineRule="exact"/>
              <w:jc w:val="center"/>
              <w:rPr>
                <w:rFonts w:ascii="宋体"/>
                <w:bCs/>
                <w:sz w:val="24"/>
                <w:highlight w:val="none"/>
              </w:rPr>
            </w:pPr>
          </w:p>
        </w:tc>
        <w:tc>
          <w:tcPr>
            <w:tcW w:w="3034" w:type="dxa"/>
            <w:tcBorders>
              <w:top w:val="single" w:color="auto" w:sz="4" w:space="0"/>
              <w:left w:val="single" w:color="auto" w:sz="4" w:space="0"/>
              <w:right w:val="single" w:color="auto" w:sz="4" w:space="0"/>
            </w:tcBorders>
            <w:vAlign w:val="center"/>
          </w:tcPr>
          <w:p w14:paraId="6F144473">
            <w:pPr>
              <w:jc w:val="center"/>
              <w:rPr>
                <w:rFonts w:ascii="宋体"/>
                <w:bCs/>
                <w:sz w:val="24"/>
                <w:highlight w:val="none"/>
              </w:rPr>
            </w:pPr>
            <w:r>
              <w:rPr>
                <w:rFonts w:hint="eastAsia" w:ascii="宋体"/>
                <w:bCs/>
                <w:sz w:val="24"/>
                <w:highlight w:val="none"/>
              </w:rPr>
              <w:t>……</w:t>
            </w:r>
          </w:p>
        </w:tc>
      </w:tr>
      <w:tr w14:paraId="4F484F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8" w:hRule="atLeast"/>
          <w:jc w:val="center"/>
        </w:trPr>
        <w:tc>
          <w:tcPr>
            <w:tcW w:w="961" w:type="dxa"/>
            <w:tcBorders>
              <w:left w:val="single" w:color="auto" w:sz="4" w:space="0"/>
              <w:bottom w:val="single" w:color="auto" w:sz="4" w:space="0"/>
              <w:right w:val="single" w:color="auto" w:sz="4" w:space="0"/>
            </w:tcBorders>
            <w:vAlign w:val="center"/>
          </w:tcPr>
          <w:p w14:paraId="1C396185">
            <w:pPr>
              <w:widowControl/>
              <w:rPr>
                <w:rFonts w:ascii="宋体"/>
                <w:sz w:val="24"/>
                <w:highlight w:val="none"/>
              </w:rPr>
            </w:pPr>
            <w:r>
              <w:rPr>
                <w:rFonts w:hint="eastAsia" w:ascii="宋体"/>
                <w:sz w:val="24"/>
                <w:highlight w:val="none"/>
              </w:rPr>
              <w:t>……</w:t>
            </w:r>
          </w:p>
        </w:tc>
        <w:tc>
          <w:tcPr>
            <w:tcW w:w="1610" w:type="dxa"/>
            <w:tcBorders>
              <w:left w:val="single" w:color="auto" w:sz="4" w:space="0"/>
              <w:bottom w:val="single" w:color="auto" w:sz="4" w:space="0"/>
              <w:right w:val="single" w:color="auto" w:sz="4" w:space="0"/>
            </w:tcBorders>
            <w:vAlign w:val="center"/>
          </w:tcPr>
          <w:p w14:paraId="561D6296">
            <w:pPr>
              <w:widowControl/>
              <w:rPr>
                <w:rFonts w:ascii="宋体" w:cs="宋体"/>
                <w:kern w:val="0"/>
                <w:sz w:val="24"/>
                <w:highlight w:val="none"/>
              </w:rPr>
            </w:pPr>
          </w:p>
        </w:tc>
        <w:tc>
          <w:tcPr>
            <w:tcW w:w="1610" w:type="dxa"/>
            <w:tcBorders>
              <w:top w:val="single" w:color="auto" w:sz="4" w:space="0"/>
              <w:left w:val="single" w:color="auto" w:sz="4" w:space="0"/>
              <w:bottom w:val="single" w:color="auto" w:sz="4" w:space="0"/>
              <w:right w:val="single" w:color="auto" w:sz="4" w:space="0"/>
            </w:tcBorders>
            <w:vAlign w:val="center"/>
          </w:tcPr>
          <w:p w14:paraId="176CA76F">
            <w:pPr>
              <w:ind w:left="55" w:leftChars="26"/>
              <w:rPr>
                <w:rFonts w:ascii="宋体" w:cs="宋体"/>
                <w:kern w:val="0"/>
                <w:sz w:val="24"/>
                <w:highlight w:val="none"/>
              </w:rPr>
            </w:pPr>
          </w:p>
        </w:tc>
        <w:tc>
          <w:tcPr>
            <w:tcW w:w="1358" w:type="dxa"/>
            <w:tcBorders>
              <w:top w:val="single" w:color="auto" w:sz="4" w:space="0"/>
              <w:left w:val="single" w:color="auto" w:sz="4" w:space="0"/>
              <w:bottom w:val="single" w:color="auto" w:sz="4" w:space="0"/>
              <w:right w:val="single" w:color="auto" w:sz="4" w:space="0"/>
            </w:tcBorders>
            <w:vAlign w:val="center"/>
          </w:tcPr>
          <w:p w14:paraId="181F050C">
            <w:pPr>
              <w:spacing w:line="320" w:lineRule="exact"/>
              <w:jc w:val="center"/>
              <w:rPr>
                <w:rFonts w:ascii="宋体"/>
                <w:bCs/>
                <w:sz w:val="24"/>
                <w:highlight w:val="none"/>
              </w:rPr>
            </w:pPr>
          </w:p>
        </w:tc>
        <w:tc>
          <w:tcPr>
            <w:tcW w:w="1084" w:type="dxa"/>
            <w:tcBorders>
              <w:top w:val="single" w:color="auto" w:sz="4" w:space="0"/>
              <w:left w:val="single" w:color="auto" w:sz="4" w:space="0"/>
              <w:bottom w:val="single" w:color="auto" w:sz="4" w:space="0"/>
              <w:right w:val="single" w:color="auto" w:sz="4" w:space="0"/>
            </w:tcBorders>
            <w:vAlign w:val="center"/>
          </w:tcPr>
          <w:p w14:paraId="5969B6D8">
            <w:pPr>
              <w:spacing w:line="320" w:lineRule="exact"/>
              <w:jc w:val="center"/>
              <w:rPr>
                <w:rFonts w:ascii="宋体"/>
                <w:bCs/>
                <w:sz w:val="24"/>
                <w:highlight w:val="none"/>
              </w:rPr>
            </w:pPr>
          </w:p>
        </w:tc>
        <w:tc>
          <w:tcPr>
            <w:tcW w:w="3034" w:type="dxa"/>
            <w:tcBorders>
              <w:top w:val="single" w:color="auto" w:sz="4" w:space="0"/>
              <w:left w:val="single" w:color="auto" w:sz="4" w:space="0"/>
              <w:bottom w:val="single" w:color="auto" w:sz="4" w:space="0"/>
              <w:right w:val="single" w:color="auto" w:sz="4" w:space="0"/>
            </w:tcBorders>
            <w:vAlign w:val="center"/>
          </w:tcPr>
          <w:p w14:paraId="1DE75920">
            <w:pPr>
              <w:jc w:val="center"/>
              <w:rPr>
                <w:rFonts w:ascii="宋体"/>
                <w:bCs/>
                <w:sz w:val="24"/>
                <w:highlight w:val="none"/>
              </w:rPr>
            </w:pPr>
          </w:p>
        </w:tc>
      </w:tr>
      <w:tr w14:paraId="7B44D6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65" w:hRule="atLeast"/>
          <w:jc w:val="center"/>
        </w:trPr>
        <w:tc>
          <w:tcPr>
            <w:tcW w:w="961" w:type="dxa"/>
            <w:tcBorders>
              <w:top w:val="single" w:color="auto" w:sz="4" w:space="0"/>
              <w:left w:val="single" w:color="auto" w:sz="4" w:space="0"/>
              <w:bottom w:val="single" w:color="auto" w:sz="4" w:space="0"/>
              <w:right w:val="single" w:color="auto" w:sz="4" w:space="0"/>
            </w:tcBorders>
            <w:vAlign w:val="center"/>
          </w:tcPr>
          <w:p w14:paraId="2700725C">
            <w:pPr>
              <w:widowControl/>
              <w:rPr>
                <w:rFonts w:ascii="宋体"/>
                <w:b/>
                <w:sz w:val="24"/>
                <w:highlight w:val="none"/>
              </w:rPr>
            </w:pPr>
            <w:r>
              <w:rPr>
                <w:rFonts w:hint="eastAsia" w:ascii="宋体"/>
                <w:b/>
                <w:sz w:val="24"/>
                <w:highlight w:val="none"/>
              </w:rPr>
              <w:t>二</w:t>
            </w:r>
          </w:p>
        </w:tc>
        <w:tc>
          <w:tcPr>
            <w:tcW w:w="1610" w:type="dxa"/>
            <w:tcBorders>
              <w:top w:val="single" w:color="auto" w:sz="4" w:space="0"/>
              <w:left w:val="single" w:color="auto" w:sz="4" w:space="0"/>
              <w:bottom w:val="single" w:color="auto" w:sz="4" w:space="0"/>
              <w:right w:val="single" w:color="auto" w:sz="4" w:space="0"/>
            </w:tcBorders>
            <w:vAlign w:val="center"/>
          </w:tcPr>
          <w:p w14:paraId="638CE039">
            <w:pPr>
              <w:widowControl/>
              <w:rPr>
                <w:rFonts w:ascii="宋体"/>
                <w:b/>
                <w:sz w:val="24"/>
                <w:highlight w:val="none"/>
              </w:rPr>
            </w:pPr>
            <w:r>
              <w:rPr>
                <w:rFonts w:hint="eastAsia" w:ascii="宋体"/>
                <w:b/>
                <w:sz w:val="24"/>
                <w:highlight w:val="none"/>
              </w:rPr>
              <w:t>商务资信及其他分分</w:t>
            </w:r>
          </w:p>
        </w:tc>
        <w:tc>
          <w:tcPr>
            <w:tcW w:w="1610" w:type="dxa"/>
            <w:tcBorders>
              <w:top w:val="single" w:color="auto" w:sz="4" w:space="0"/>
              <w:left w:val="single" w:color="auto" w:sz="4" w:space="0"/>
              <w:bottom w:val="single" w:color="auto" w:sz="4" w:space="0"/>
              <w:right w:val="single" w:color="auto" w:sz="4" w:space="0"/>
            </w:tcBorders>
            <w:vAlign w:val="center"/>
          </w:tcPr>
          <w:p w14:paraId="33FE9D67">
            <w:pPr>
              <w:pStyle w:val="32"/>
              <w:ind w:firstLine="0"/>
              <w:rPr>
                <w:rFonts w:ascii="宋体"/>
                <w:b/>
                <w:highlight w:val="none"/>
              </w:rPr>
            </w:pPr>
          </w:p>
        </w:tc>
        <w:tc>
          <w:tcPr>
            <w:tcW w:w="1358" w:type="dxa"/>
            <w:tcBorders>
              <w:top w:val="single" w:color="auto" w:sz="4" w:space="0"/>
              <w:left w:val="single" w:color="auto" w:sz="4" w:space="0"/>
              <w:bottom w:val="single" w:color="auto" w:sz="4" w:space="0"/>
              <w:right w:val="single" w:color="auto" w:sz="4" w:space="0"/>
            </w:tcBorders>
            <w:vAlign w:val="center"/>
          </w:tcPr>
          <w:p w14:paraId="5BBF12EB">
            <w:pPr>
              <w:pStyle w:val="32"/>
              <w:ind w:firstLine="0"/>
              <w:jc w:val="center"/>
              <w:rPr>
                <w:rFonts w:ascii="宋体"/>
                <w:b/>
                <w:highlight w:val="none"/>
              </w:rPr>
            </w:pPr>
          </w:p>
        </w:tc>
        <w:tc>
          <w:tcPr>
            <w:tcW w:w="1084" w:type="dxa"/>
            <w:tcBorders>
              <w:top w:val="single" w:color="auto" w:sz="4" w:space="0"/>
              <w:left w:val="single" w:color="auto" w:sz="4" w:space="0"/>
              <w:bottom w:val="single" w:color="auto" w:sz="4" w:space="0"/>
              <w:right w:val="single" w:color="auto" w:sz="4" w:space="0"/>
            </w:tcBorders>
            <w:vAlign w:val="center"/>
          </w:tcPr>
          <w:p w14:paraId="1F4BA3A9">
            <w:pPr>
              <w:pStyle w:val="32"/>
              <w:ind w:firstLine="0"/>
              <w:jc w:val="center"/>
              <w:rPr>
                <w:rFonts w:ascii="宋体"/>
                <w:b/>
                <w:highlight w:val="none"/>
              </w:rPr>
            </w:pPr>
          </w:p>
        </w:tc>
        <w:tc>
          <w:tcPr>
            <w:tcW w:w="3034" w:type="dxa"/>
            <w:tcBorders>
              <w:top w:val="single" w:color="auto" w:sz="4" w:space="0"/>
              <w:left w:val="single" w:color="auto" w:sz="4" w:space="0"/>
              <w:bottom w:val="single" w:color="auto" w:sz="4" w:space="0"/>
              <w:right w:val="single" w:color="auto" w:sz="4" w:space="0"/>
            </w:tcBorders>
            <w:vAlign w:val="center"/>
          </w:tcPr>
          <w:p w14:paraId="78561884">
            <w:pPr>
              <w:pStyle w:val="32"/>
              <w:ind w:firstLine="0"/>
              <w:jc w:val="center"/>
              <w:rPr>
                <w:rFonts w:ascii="宋体"/>
                <w:b/>
                <w:highlight w:val="none"/>
              </w:rPr>
            </w:pPr>
          </w:p>
        </w:tc>
      </w:tr>
      <w:tr w14:paraId="5DFB17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65" w:hRule="atLeast"/>
          <w:jc w:val="center"/>
        </w:trPr>
        <w:tc>
          <w:tcPr>
            <w:tcW w:w="961" w:type="dxa"/>
            <w:tcBorders>
              <w:top w:val="single" w:color="auto" w:sz="4" w:space="0"/>
              <w:left w:val="single" w:color="auto" w:sz="4" w:space="0"/>
              <w:bottom w:val="single" w:color="auto" w:sz="4" w:space="0"/>
              <w:right w:val="single" w:color="auto" w:sz="4" w:space="0"/>
            </w:tcBorders>
            <w:vAlign w:val="center"/>
          </w:tcPr>
          <w:p w14:paraId="4122D870">
            <w:pPr>
              <w:widowControl/>
              <w:rPr>
                <w:rFonts w:ascii="宋体"/>
                <w:sz w:val="24"/>
                <w:highlight w:val="none"/>
              </w:rPr>
            </w:pPr>
          </w:p>
        </w:tc>
        <w:tc>
          <w:tcPr>
            <w:tcW w:w="1610" w:type="dxa"/>
            <w:tcBorders>
              <w:top w:val="single" w:color="auto" w:sz="4" w:space="0"/>
              <w:left w:val="single" w:color="auto" w:sz="4" w:space="0"/>
              <w:bottom w:val="single" w:color="auto" w:sz="4" w:space="0"/>
              <w:right w:val="single" w:color="auto" w:sz="4" w:space="0"/>
            </w:tcBorders>
            <w:vAlign w:val="center"/>
          </w:tcPr>
          <w:p w14:paraId="3A9CD45E">
            <w:pPr>
              <w:spacing w:line="320" w:lineRule="exact"/>
              <w:rPr>
                <w:rFonts w:ascii="宋体"/>
                <w:kern w:val="0"/>
                <w:sz w:val="24"/>
                <w:highlight w:val="none"/>
              </w:rPr>
            </w:pPr>
          </w:p>
        </w:tc>
        <w:tc>
          <w:tcPr>
            <w:tcW w:w="1610" w:type="dxa"/>
            <w:tcBorders>
              <w:top w:val="single" w:color="auto" w:sz="4" w:space="0"/>
              <w:left w:val="single" w:color="auto" w:sz="4" w:space="0"/>
              <w:bottom w:val="single" w:color="auto" w:sz="4" w:space="0"/>
              <w:right w:val="single" w:color="auto" w:sz="4" w:space="0"/>
            </w:tcBorders>
            <w:vAlign w:val="center"/>
          </w:tcPr>
          <w:p w14:paraId="58069D9B">
            <w:pPr>
              <w:spacing w:line="320" w:lineRule="exact"/>
              <w:rPr>
                <w:rFonts w:ascii="宋体"/>
                <w:kern w:val="0"/>
                <w:sz w:val="24"/>
                <w:highlight w:val="none"/>
              </w:rPr>
            </w:pPr>
          </w:p>
        </w:tc>
        <w:tc>
          <w:tcPr>
            <w:tcW w:w="1358" w:type="dxa"/>
            <w:tcBorders>
              <w:top w:val="single" w:color="auto" w:sz="4" w:space="0"/>
              <w:left w:val="single" w:color="auto" w:sz="4" w:space="0"/>
              <w:bottom w:val="single" w:color="auto" w:sz="4" w:space="0"/>
              <w:right w:val="single" w:color="auto" w:sz="4" w:space="0"/>
            </w:tcBorders>
            <w:vAlign w:val="center"/>
          </w:tcPr>
          <w:p w14:paraId="52D10CEF">
            <w:pPr>
              <w:pStyle w:val="32"/>
              <w:ind w:firstLine="0"/>
              <w:jc w:val="center"/>
              <w:rPr>
                <w:rFonts w:ascii="宋体"/>
                <w:highlight w:val="none"/>
              </w:rPr>
            </w:pPr>
          </w:p>
        </w:tc>
        <w:tc>
          <w:tcPr>
            <w:tcW w:w="1084" w:type="dxa"/>
            <w:tcBorders>
              <w:top w:val="single" w:color="auto" w:sz="4" w:space="0"/>
              <w:left w:val="single" w:color="auto" w:sz="4" w:space="0"/>
              <w:bottom w:val="single" w:color="auto" w:sz="4" w:space="0"/>
              <w:right w:val="single" w:color="auto" w:sz="4" w:space="0"/>
            </w:tcBorders>
            <w:vAlign w:val="center"/>
          </w:tcPr>
          <w:p w14:paraId="56E7F151">
            <w:pPr>
              <w:pStyle w:val="32"/>
              <w:ind w:firstLine="0"/>
              <w:jc w:val="center"/>
              <w:rPr>
                <w:rFonts w:ascii="宋体"/>
                <w:highlight w:val="none"/>
              </w:rPr>
            </w:pPr>
          </w:p>
        </w:tc>
        <w:tc>
          <w:tcPr>
            <w:tcW w:w="3034" w:type="dxa"/>
            <w:tcBorders>
              <w:top w:val="single" w:color="auto" w:sz="4" w:space="0"/>
              <w:left w:val="single" w:color="auto" w:sz="4" w:space="0"/>
              <w:bottom w:val="single" w:color="auto" w:sz="4" w:space="0"/>
              <w:right w:val="single" w:color="auto" w:sz="4" w:space="0"/>
            </w:tcBorders>
            <w:vAlign w:val="center"/>
          </w:tcPr>
          <w:p w14:paraId="33A34437">
            <w:pPr>
              <w:jc w:val="center"/>
              <w:rPr>
                <w:rFonts w:ascii="宋体"/>
                <w:bCs/>
                <w:sz w:val="24"/>
                <w:highlight w:val="none"/>
              </w:rPr>
            </w:pPr>
            <w:r>
              <w:rPr>
                <w:rFonts w:hint="eastAsia" w:ascii="宋体"/>
                <w:bCs/>
                <w:sz w:val="24"/>
                <w:highlight w:val="none"/>
              </w:rPr>
              <w:t>详见</w:t>
            </w:r>
            <w:r>
              <w:rPr>
                <w:rFonts w:hint="eastAsia" w:ascii="宋体"/>
                <w:b/>
                <w:bCs/>
                <w:sz w:val="24"/>
                <w:highlight w:val="none"/>
              </w:rPr>
              <w:t>商务技术响应文件</w:t>
            </w:r>
          </w:p>
          <w:p w14:paraId="0E0AA821">
            <w:pPr>
              <w:jc w:val="center"/>
              <w:rPr>
                <w:rFonts w:ascii="宋体"/>
                <w:bCs/>
                <w:sz w:val="24"/>
                <w:highlight w:val="none"/>
              </w:rPr>
            </w:pPr>
            <w:r>
              <w:rPr>
                <w:rFonts w:hint="eastAsia" w:ascii="宋体"/>
                <w:bCs/>
                <w:sz w:val="24"/>
                <w:highlight w:val="none"/>
              </w:rPr>
              <w:t>第几页</w:t>
            </w:r>
          </w:p>
        </w:tc>
      </w:tr>
      <w:tr w14:paraId="12C8FB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5" w:hRule="atLeast"/>
          <w:jc w:val="center"/>
        </w:trPr>
        <w:tc>
          <w:tcPr>
            <w:tcW w:w="961" w:type="dxa"/>
            <w:tcBorders>
              <w:top w:val="single" w:color="auto" w:sz="4" w:space="0"/>
              <w:left w:val="single" w:color="auto" w:sz="4" w:space="0"/>
              <w:bottom w:val="single" w:color="auto" w:sz="4" w:space="0"/>
              <w:right w:val="single" w:color="auto" w:sz="4" w:space="0"/>
            </w:tcBorders>
            <w:vAlign w:val="center"/>
          </w:tcPr>
          <w:p w14:paraId="5C4C7A79">
            <w:pPr>
              <w:widowControl/>
              <w:rPr>
                <w:rFonts w:ascii="宋体"/>
                <w:sz w:val="24"/>
                <w:highlight w:val="none"/>
              </w:rPr>
            </w:pPr>
          </w:p>
        </w:tc>
        <w:tc>
          <w:tcPr>
            <w:tcW w:w="1610" w:type="dxa"/>
            <w:tcBorders>
              <w:top w:val="single" w:color="auto" w:sz="4" w:space="0"/>
              <w:left w:val="single" w:color="auto" w:sz="4" w:space="0"/>
              <w:bottom w:val="single" w:color="auto" w:sz="4" w:space="0"/>
              <w:right w:val="single" w:color="auto" w:sz="4" w:space="0"/>
            </w:tcBorders>
            <w:vAlign w:val="center"/>
          </w:tcPr>
          <w:p w14:paraId="52280DCB">
            <w:pPr>
              <w:rPr>
                <w:rFonts w:ascii="宋体"/>
                <w:sz w:val="24"/>
                <w:highlight w:val="none"/>
              </w:rPr>
            </w:pPr>
          </w:p>
        </w:tc>
        <w:tc>
          <w:tcPr>
            <w:tcW w:w="1610" w:type="dxa"/>
            <w:tcBorders>
              <w:top w:val="single" w:color="auto" w:sz="4" w:space="0"/>
              <w:left w:val="single" w:color="auto" w:sz="4" w:space="0"/>
              <w:bottom w:val="single" w:color="auto" w:sz="4" w:space="0"/>
              <w:right w:val="single" w:color="auto" w:sz="4" w:space="0"/>
            </w:tcBorders>
            <w:vAlign w:val="center"/>
          </w:tcPr>
          <w:p w14:paraId="60C39162">
            <w:pPr>
              <w:rPr>
                <w:rFonts w:ascii="宋体"/>
                <w:sz w:val="24"/>
                <w:highlight w:val="none"/>
              </w:rPr>
            </w:pPr>
          </w:p>
        </w:tc>
        <w:tc>
          <w:tcPr>
            <w:tcW w:w="1358" w:type="dxa"/>
            <w:tcBorders>
              <w:top w:val="single" w:color="auto" w:sz="4" w:space="0"/>
              <w:left w:val="single" w:color="auto" w:sz="4" w:space="0"/>
              <w:bottom w:val="single" w:color="auto" w:sz="4" w:space="0"/>
              <w:right w:val="single" w:color="auto" w:sz="4" w:space="0"/>
            </w:tcBorders>
            <w:vAlign w:val="center"/>
          </w:tcPr>
          <w:p w14:paraId="20E1B256">
            <w:pPr>
              <w:pStyle w:val="32"/>
              <w:ind w:firstLine="0"/>
              <w:jc w:val="center"/>
              <w:rPr>
                <w:rFonts w:ascii="宋体"/>
                <w:highlight w:val="none"/>
              </w:rPr>
            </w:pPr>
          </w:p>
        </w:tc>
        <w:tc>
          <w:tcPr>
            <w:tcW w:w="1084" w:type="dxa"/>
            <w:tcBorders>
              <w:top w:val="single" w:color="auto" w:sz="4" w:space="0"/>
              <w:left w:val="single" w:color="auto" w:sz="4" w:space="0"/>
              <w:bottom w:val="single" w:color="auto" w:sz="4" w:space="0"/>
              <w:right w:val="single" w:color="auto" w:sz="4" w:space="0"/>
            </w:tcBorders>
            <w:vAlign w:val="center"/>
          </w:tcPr>
          <w:p w14:paraId="51FE2811">
            <w:pPr>
              <w:pStyle w:val="32"/>
              <w:ind w:firstLine="0"/>
              <w:jc w:val="center"/>
              <w:rPr>
                <w:rFonts w:ascii="宋体"/>
                <w:highlight w:val="none"/>
              </w:rPr>
            </w:pPr>
          </w:p>
        </w:tc>
        <w:tc>
          <w:tcPr>
            <w:tcW w:w="3034" w:type="dxa"/>
            <w:tcBorders>
              <w:top w:val="single" w:color="auto" w:sz="4" w:space="0"/>
              <w:left w:val="single" w:color="auto" w:sz="4" w:space="0"/>
              <w:bottom w:val="single" w:color="auto" w:sz="4" w:space="0"/>
              <w:right w:val="single" w:color="auto" w:sz="4" w:space="0"/>
            </w:tcBorders>
            <w:vAlign w:val="center"/>
          </w:tcPr>
          <w:p w14:paraId="79A8E99C">
            <w:pPr>
              <w:pStyle w:val="32"/>
              <w:ind w:firstLine="0"/>
              <w:jc w:val="center"/>
              <w:rPr>
                <w:rFonts w:ascii="宋体"/>
                <w:highlight w:val="none"/>
              </w:rPr>
            </w:pPr>
            <w:r>
              <w:rPr>
                <w:rFonts w:hint="eastAsia" w:ascii="宋体"/>
                <w:highlight w:val="none"/>
              </w:rPr>
              <w:t>……</w:t>
            </w:r>
          </w:p>
        </w:tc>
      </w:tr>
      <w:tr w14:paraId="74A0D1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5" w:hRule="atLeast"/>
          <w:jc w:val="center"/>
        </w:trPr>
        <w:tc>
          <w:tcPr>
            <w:tcW w:w="961" w:type="dxa"/>
            <w:tcBorders>
              <w:top w:val="single" w:color="auto" w:sz="4" w:space="0"/>
              <w:left w:val="single" w:color="auto" w:sz="4" w:space="0"/>
              <w:bottom w:val="single" w:color="auto" w:sz="4" w:space="0"/>
              <w:right w:val="single" w:color="auto" w:sz="4" w:space="0"/>
            </w:tcBorders>
            <w:vAlign w:val="center"/>
          </w:tcPr>
          <w:p w14:paraId="4BF75DBC">
            <w:pPr>
              <w:widowControl/>
              <w:rPr>
                <w:rFonts w:ascii="宋体"/>
                <w:sz w:val="24"/>
                <w:highlight w:val="none"/>
              </w:rPr>
            </w:pPr>
          </w:p>
        </w:tc>
        <w:tc>
          <w:tcPr>
            <w:tcW w:w="1610" w:type="dxa"/>
            <w:tcBorders>
              <w:top w:val="single" w:color="auto" w:sz="4" w:space="0"/>
              <w:left w:val="single" w:color="auto" w:sz="4" w:space="0"/>
              <w:bottom w:val="single" w:color="auto" w:sz="4" w:space="0"/>
              <w:right w:val="single" w:color="auto" w:sz="4" w:space="0"/>
            </w:tcBorders>
            <w:vAlign w:val="center"/>
          </w:tcPr>
          <w:p w14:paraId="699DE269">
            <w:pPr>
              <w:rPr>
                <w:rFonts w:ascii="宋体"/>
                <w:sz w:val="24"/>
                <w:highlight w:val="none"/>
              </w:rPr>
            </w:pPr>
          </w:p>
        </w:tc>
        <w:tc>
          <w:tcPr>
            <w:tcW w:w="1610" w:type="dxa"/>
            <w:tcBorders>
              <w:top w:val="single" w:color="auto" w:sz="4" w:space="0"/>
              <w:left w:val="single" w:color="auto" w:sz="4" w:space="0"/>
              <w:bottom w:val="single" w:color="auto" w:sz="4" w:space="0"/>
              <w:right w:val="single" w:color="auto" w:sz="4" w:space="0"/>
            </w:tcBorders>
            <w:vAlign w:val="center"/>
          </w:tcPr>
          <w:p w14:paraId="409D8C03">
            <w:pPr>
              <w:rPr>
                <w:rFonts w:ascii="宋体"/>
                <w:sz w:val="24"/>
                <w:highlight w:val="none"/>
              </w:rPr>
            </w:pPr>
          </w:p>
        </w:tc>
        <w:tc>
          <w:tcPr>
            <w:tcW w:w="1358" w:type="dxa"/>
            <w:tcBorders>
              <w:top w:val="single" w:color="auto" w:sz="4" w:space="0"/>
              <w:left w:val="single" w:color="auto" w:sz="4" w:space="0"/>
              <w:bottom w:val="single" w:color="auto" w:sz="4" w:space="0"/>
              <w:right w:val="single" w:color="auto" w:sz="4" w:space="0"/>
            </w:tcBorders>
            <w:vAlign w:val="center"/>
          </w:tcPr>
          <w:p w14:paraId="25B7E2A5">
            <w:pPr>
              <w:pStyle w:val="32"/>
              <w:ind w:firstLine="0"/>
              <w:jc w:val="center"/>
              <w:rPr>
                <w:rFonts w:ascii="宋体"/>
                <w:highlight w:val="none"/>
              </w:rPr>
            </w:pPr>
          </w:p>
        </w:tc>
        <w:tc>
          <w:tcPr>
            <w:tcW w:w="1084" w:type="dxa"/>
            <w:tcBorders>
              <w:top w:val="single" w:color="auto" w:sz="4" w:space="0"/>
              <w:left w:val="single" w:color="auto" w:sz="4" w:space="0"/>
              <w:bottom w:val="single" w:color="auto" w:sz="4" w:space="0"/>
              <w:right w:val="single" w:color="auto" w:sz="4" w:space="0"/>
            </w:tcBorders>
            <w:vAlign w:val="center"/>
          </w:tcPr>
          <w:p w14:paraId="44B8DA6C">
            <w:pPr>
              <w:pStyle w:val="32"/>
              <w:ind w:firstLine="0"/>
              <w:jc w:val="center"/>
              <w:rPr>
                <w:rFonts w:ascii="宋体"/>
                <w:highlight w:val="none"/>
              </w:rPr>
            </w:pPr>
          </w:p>
        </w:tc>
        <w:tc>
          <w:tcPr>
            <w:tcW w:w="3034" w:type="dxa"/>
            <w:tcBorders>
              <w:top w:val="single" w:color="auto" w:sz="4" w:space="0"/>
              <w:left w:val="single" w:color="auto" w:sz="4" w:space="0"/>
              <w:bottom w:val="single" w:color="auto" w:sz="4" w:space="0"/>
              <w:right w:val="single" w:color="auto" w:sz="4" w:space="0"/>
            </w:tcBorders>
            <w:vAlign w:val="center"/>
          </w:tcPr>
          <w:p w14:paraId="45B64BA8">
            <w:pPr>
              <w:pStyle w:val="32"/>
              <w:ind w:firstLine="0"/>
              <w:jc w:val="center"/>
              <w:rPr>
                <w:rFonts w:ascii="宋体"/>
                <w:highlight w:val="none"/>
              </w:rPr>
            </w:pPr>
          </w:p>
        </w:tc>
      </w:tr>
      <w:tr w14:paraId="52437F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4" w:hRule="atLeast"/>
          <w:jc w:val="center"/>
        </w:trPr>
        <w:tc>
          <w:tcPr>
            <w:tcW w:w="961" w:type="dxa"/>
            <w:tcBorders>
              <w:top w:val="single" w:color="auto" w:sz="4" w:space="0"/>
              <w:left w:val="single" w:color="auto" w:sz="4" w:space="0"/>
              <w:bottom w:val="single" w:color="auto" w:sz="4" w:space="0"/>
              <w:right w:val="single" w:color="auto" w:sz="4" w:space="0"/>
            </w:tcBorders>
            <w:vAlign w:val="center"/>
          </w:tcPr>
          <w:p w14:paraId="00C23151">
            <w:pPr>
              <w:widowControl/>
              <w:rPr>
                <w:rFonts w:ascii="宋体"/>
                <w:sz w:val="24"/>
                <w:highlight w:val="none"/>
              </w:rPr>
            </w:pPr>
          </w:p>
        </w:tc>
        <w:tc>
          <w:tcPr>
            <w:tcW w:w="1610" w:type="dxa"/>
            <w:tcBorders>
              <w:top w:val="single" w:color="auto" w:sz="4" w:space="0"/>
              <w:left w:val="single" w:color="auto" w:sz="4" w:space="0"/>
              <w:bottom w:val="single" w:color="auto" w:sz="4" w:space="0"/>
              <w:right w:val="single" w:color="auto" w:sz="4" w:space="0"/>
            </w:tcBorders>
            <w:vAlign w:val="center"/>
          </w:tcPr>
          <w:p w14:paraId="114D5F7A">
            <w:pPr>
              <w:spacing w:line="320" w:lineRule="exact"/>
              <w:rPr>
                <w:rFonts w:ascii="宋体"/>
                <w:bCs/>
                <w:sz w:val="24"/>
                <w:highlight w:val="none"/>
              </w:rPr>
            </w:pPr>
          </w:p>
        </w:tc>
        <w:tc>
          <w:tcPr>
            <w:tcW w:w="1610" w:type="dxa"/>
            <w:tcBorders>
              <w:top w:val="single" w:color="auto" w:sz="4" w:space="0"/>
              <w:left w:val="single" w:color="auto" w:sz="4" w:space="0"/>
              <w:bottom w:val="single" w:color="auto" w:sz="4" w:space="0"/>
              <w:right w:val="single" w:color="auto" w:sz="4" w:space="0"/>
            </w:tcBorders>
            <w:vAlign w:val="center"/>
          </w:tcPr>
          <w:p w14:paraId="065AB016">
            <w:pPr>
              <w:rPr>
                <w:rFonts w:ascii="宋体"/>
                <w:bCs/>
                <w:sz w:val="24"/>
                <w:highlight w:val="none"/>
              </w:rPr>
            </w:pPr>
          </w:p>
        </w:tc>
        <w:tc>
          <w:tcPr>
            <w:tcW w:w="1358" w:type="dxa"/>
            <w:tcBorders>
              <w:top w:val="single" w:color="auto" w:sz="4" w:space="0"/>
              <w:left w:val="single" w:color="auto" w:sz="4" w:space="0"/>
              <w:bottom w:val="single" w:color="auto" w:sz="4" w:space="0"/>
              <w:right w:val="single" w:color="auto" w:sz="4" w:space="0"/>
            </w:tcBorders>
            <w:vAlign w:val="center"/>
          </w:tcPr>
          <w:p w14:paraId="6E48FECB">
            <w:pPr>
              <w:spacing w:line="320" w:lineRule="exact"/>
              <w:jc w:val="center"/>
              <w:rPr>
                <w:rFonts w:ascii="宋体"/>
                <w:bCs/>
                <w:sz w:val="24"/>
                <w:highlight w:val="none"/>
              </w:rPr>
            </w:pPr>
          </w:p>
        </w:tc>
        <w:tc>
          <w:tcPr>
            <w:tcW w:w="1084" w:type="dxa"/>
            <w:tcBorders>
              <w:top w:val="single" w:color="auto" w:sz="4" w:space="0"/>
              <w:left w:val="single" w:color="auto" w:sz="4" w:space="0"/>
              <w:bottom w:val="single" w:color="auto" w:sz="4" w:space="0"/>
              <w:right w:val="single" w:color="auto" w:sz="4" w:space="0"/>
            </w:tcBorders>
            <w:vAlign w:val="center"/>
          </w:tcPr>
          <w:p w14:paraId="172682DC">
            <w:pPr>
              <w:spacing w:line="320" w:lineRule="exact"/>
              <w:jc w:val="center"/>
              <w:rPr>
                <w:rFonts w:ascii="宋体"/>
                <w:bCs/>
                <w:sz w:val="24"/>
                <w:highlight w:val="none"/>
              </w:rPr>
            </w:pPr>
          </w:p>
        </w:tc>
        <w:tc>
          <w:tcPr>
            <w:tcW w:w="3034" w:type="dxa"/>
            <w:tcBorders>
              <w:top w:val="single" w:color="auto" w:sz="4" w:space="0"/>
              <w:left w:val="single" w:color="auto" w:sz="4" w:space="0"/>
              <w:bottom w:val="single" w:color="auto" w:sz="4" w:space="0"/>
              <w:right w:val="single" w:color="auto" w:sz="4" w:space="0"/>
            </w:tcBorders>
            <w:vAlign w:val="center"/>
          </w:tcPr>
          <w:p w14:paraId="115C87D8">
            <w:pPr>
              <w:jc w:val="center"/>
              <w:rPr>
                <w:rFonts w:ascii="宋体"/>
                <w:bCs/>
                <w:sz w:val="24"/>
                <w:highlight w:val="none"/>
              </w:rPr>
            </w:pPr>
            <w:r>
              <w:rPr>
                <w:rFonts w:hint="eastAsia" w:ascii="宋体"/>
                <w:bCs/>
                <w:sz w:val="24"/>
                <w:highlight w:val="none"/>
              </w:rPr>
              <w:t>……</w:t>
            </w:r>
          </w:p>
        </w:tc>
      </w:tr>
      <w:tr w14:paraId="57DCE9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3" w:hRule="atLeast"/>
          <w:jc w:val="center"/>
        </w:trPr>
        <w:tc>
          <w:tcPr>
            <w:tcW w:w="961" w:type="dxa"/>
            <w:tcBorders>
              <w:top w:val="single" w:color="auto" w:sz="4" w:space="0"/>
              <w:left w:val="single" w:color="auto" w:sz="4" w:space="0"/>
              <w:bottom w:val="single" w:color="auto" w:sz="4" w:space="0"/>
              <w:right w:val="single" w:color="auto" w:sz="4" w:space="0"/>
            </w:tcBorders>
            <w:vAlign w:val="center"/>
          </w:tcPr>
          <w:p w14:paraId="756009FE">
            <w:pPr>
              <w:widowControl/>
              <w:rPr>
                <w:rFonts w:ascii="宋体"/>
                <w:sz w:val="24"/>
                <w:highlight w:val="none"/>
              </w:rPr>
            </w:pPr>
          </w:p>
        </w:tc>
        <w:tc>
          <w:tcPr>
            <w:tcW w:w="1610" w:type="dxa"/>
            <w:tcBorders>
              <w:top w:val="single" w:color="auto" w:sz="4" w:space="0"/>
              <w:left w:val="single" w:color="auto" w:sz="4" w:space="0"/>
              <w:bottom w:val="single" w:color="auto" w:sz="4" w:space="0"/>
              <w:right w:val="single" w:color="auto" w:sz="4" w:space="0"/>
            </w:tcBorders>
            <w:vAlign w:val="center"/>
          </w:tcPr>
          <w:p w14:paraId="1FA5CFBC">
            <w:pPr>
              <w:spacing w:line="320" w:lineRule="exact"/>
              <w:rPr>
                <w:rFonts w:ascii="宋体"/>
                <w:bCs/>
                <w:sz w:val="24"/>
                <w:highlight w:val="none"/>
              </w:rPr>
            </w:pPr>
          </w:p>
        </w:tc>
        <w:tc>
          <w:tcPr>
            <w:tcW w:w="1610" w:type="dxa"/>
            <w:tcBorders>
              <w:top w:val="single" w:color="auto" w:sz="4" w:space="0"/>
              <w:left w:val="single" w:color="auto" w:sz="4" w:space="0"/>
              <w:bottom w:val="single" w:color="auto" w:sz="4" w:space="0"/>
              <w:right w:val="single" w:color="auto" w:sz="4" w:space="0"/>
            </w:tcBorders>
            <w:vAlign w:val="center"/>
          </w:tcPr>
          <w:p w14:paraId="3224E1CD">
            <w:pPr>
              <w:rPr>
                <w:rFonts w:ascii="宋体"/>
                <w:bCs/>
                <w:sz w:val="24"/>
                <w:highlight w:val="none"/>
              </w:rPr>
            </w:pPr>
          </w:p>
        </w:tc>
        <w:tc>
          <w:tcPr>
            <w:tcW w:w="1358" w:type="dxa"/>
            <w:tcBorders>
              <w:top w:val="single" w:color="auto" w:sz="4" w:space="0"/>
              <w:left w:val="single" w:color="auto" w:sz="4" w:space="0"/>
              <w:right w:val="single" w:color="auto" w:sz="4" w:space="0"/>
            </w:tcBorders>
            <w:vAlign w:val="center"/>
          </w:tcPr>
          <w:p w14:paraId="4AA4727C">
            <w:pPr>
              <w:spacing w:line="320" w:lineRule="exact"/>
              <w:jc w:val="center"/>
              <w:rPr>
                <w:rFonts w:ascii="宋体"/>
                <w:bCs/>
                <w:sz w:val="24"/>
                <w:highlight w:val="none"/>
              </w:rPr>
            </w:pPr>
          </w:p>
        </w:tc>
        <w:tc>
          <w:tcPr>
            <w:tcW w:w="1084" w:type="dxa"/>
            <w:tcBorders>
              <w:top w:val="single" w:color="auto" w:sz="4" w:space="0"/>
              <w:left w:val="single" w:color="auto" w:sz="4" w:space="0"/>
              <w:right w:val="single" w:color="auto" w:sz="4" w:space="0"/>
            </w:tcBorders>
            <w:vAlign w:val="center"/>
          </w:tcPr>
          <w:p w14:paraId="4009577E">
            <w:pPr>
              <w:spacing w:line="320" w:lineRule="exact"/>
              <w:jc w:val="center"/>
              <w:rPr>
                <w:rFonts w:ascii="宋体"/>
                <w:bCs/>
                <w:sz w:val="24"/>
                <w:highlight w:val="none"/>
              </w:rPr>
            </w:pPr>
          </w:p>
        </w:tc>
        <w:tc>
          <w:tcPr>
            <w:tcW w:w="3034" w:type="dxa"/>
            <w:tcBorders>
              <w:top w:val="single" w:color="auto" w:sz="4" w:space="0"/>
              <w:left w:val="single" w:color="auto" w:sz="4" w:space="0"/>
              <w:right w:val="single" w:color="auto" w:sz="4" w:space="0"/>
            </w:tcBorders>
            <w:vAlign w:val="center"/>
          </w:tcPr>
          <w:p w14:paraId="7EE742A3">
            <w:pPr>
              <w:jc w:val="center"/>
              <w:rPr>
                <w:rFonts w:ascii="宋体"/>
                <w:bCs/>
                <w:sz w:val="24"/>
                <w:highlight w:val="none"/>
              </w:rPr>
            </w:pPr>
          </w:p>
        </w:tc>
      </w:tr>
    </w:tbl>
    <w:p w14:paraId="3B9C8B96">
      <w:pPr>
        <w:snapToGrid w:val="0"/>
        <w:spacing w:before="50" w:after="50"/>
        <w:rPr>
          <w:rFonts w:ascii="宋体"/>
          <w:sz w:val="24"/>
          <w:highlight w:val="none"/>
        </w:rPr>
      </w:pPr>
    </w:p>
    <w:p w14:paraId="0E0771E7">
      <w:pPr>
        <w:snapToGrid w:val="0"/>
        <w:rPr>
          <w:rFonts w:ascii="宋体"/>
          <w:sz w:val="24"/>
          <w:highlight w:val="none"/>
        </w:rPr>
      </w:pPr>
      <w:r>
        <w:rPr>
          <w:rFonts w:hint="eastAsia" w:ascii="宋体"/>
          <w:sz w:val="24"/>
          <w:highlight w:val="none"/>
        </w:rPr>
        <w:t>注：1、投标单位根据所投标项的评分表内容，按此格式提供评分响应表置于商务技术响应文件第1页。</w:t>
      </w:r>
    </w:p>
    <w:p w14:paraId="155F517D">
      <w:pPr>
        <w:snapToGrid w:val="0"/>
        <w:rPr>
          <w:rFonts w:ascii="宋体"/>
          <w:sz w:val="24"/>
          <w:highlight w:val="none"/>
        </w:rPr>
      </w:pPr>
      <w:r>
        <w:rPr>
          <w:rFonts w:hint="eastAsia" w:ascii="宋体"/>
          <w:sz w:val="24"/>
          <w:highlight w:val="none"/>
        </w:rPr>
        <w:t>2、上表中客观分得分分值须认真填写。</w:t>
      </w:r>
    </w:p>
    <w:p w14:paraId="2320CBB4">
      <w:pPr>
        <w:pStyle w:val="4"/>
        <w:keepNext w:val="0"/>
        <w:keepLines w:val="0"/>
        <w:pageBreakBefore/>
        <w:rPr>
          <w:rFonts w:ascii="宋体" w:hAnsi="宋体" w:eastAsia="宋体" w:cs="宋体"/>
          <w:b w:val="0"/>
          <w:sz w:val="24"/>
          <w:szCs w:val="24"/>
          <w:highlight w:val="none"/>
        </w:rPr>
      </w:pPr>
      <w:bookmarkStart w:id="64" w:name="_Toc174370013"/>
      <w:r>
        <w:rPr>
          <w:rFonts w:hint="eastAsia" w:ascii="宋体" w:hAnsi="宋体" w:eastAsia="宋体" w:cs="宋体"/>
          <w:b w:val="0"/>
          <w:sz w:val="24"/>
          <w:szCs w:val="24"/>
          <w:highlight w:val="none"/>
        </w:rPr>
        <w:t>附件八：商务响应表</w:t>
      </w:r>
      <w:bookmarkEnd w:id="64"/>
    </w:p>
    <w:p w14:paraId="6D3AC532">
      <w:pPr>
        <w:snapToGrid w:val="0"/>
        <w:spacing w:before="50" w:after="120" w:afterLines="50"/>
        <w:jc w:val="center"/>
        <w:rPr>
          <w:rFonts w:ascii="宋体" w:hAnsi="宋体" w:cs="宋体"/>
          <w:b/>
          <w:sz w:val="24"/>
          <w:highlight w:val="none"/>
        </w:rPr>
      </w:pPr>
      <w:bookmarkStart w:id="65" w:name="_Toc496598991"/>
      <w:r>
        <w:rPr>
          <w:rFonts w:hint="eastAsia" w:ascii="宋体" w:hAnsi="宋体" w:cs="宋体"/>
          <w:b/>
          <w:sz w:val="24"/>
          <w:highlight w:val="none"/>
        </w:rPr>
        <w:t>商务响应表</w:t>
      </w:r>
    </w:p>
    <w:p w14:paraId="14D5B8B9">
      <w:pPr>
        <w:snapToGrid w:val="0"/>
        <w:spacing w:before="50" w:after="120" w:afterLines="50"/>
        <w:jc w:val="left"/>
        <w:rPr>
          <w:rFonts w:ascii="宋体" w:hAnsi="宋体" w:cs="宋体"/>
          <w:sz w:val="24"/>
          <w:highlight w:val="none"/>
          <w:u w:val="single"/>
        </w:rPr>
      </w:pPr>
    </w:p>
    <w:tbl>
      <w:tblPr>
        <w:tblStyle w:val="3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3"/>
        <w:gridCol w:w="2969"/>
        <w:gridCol w:w="1386"/>
        <w:gridCol w:w="3321"/>
      </w:tblGrid>
      <w:tr w14:paraId="22CAF7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7CAA9960">
            <w:pPr>
              <w:jc w:val="center"/>
              <w:rPr>
                <w:rFonts w:ascii="宋体" w:hAnsi="宋体" w:cs="宋体"/>
                <w:sz w:val="24"/>
                <w:highlight w:val="none"/>
              </w:rPr>
            </w:pPr>
            <w:r>
              <w:rPr>
                <w:rFonts w:hint="eastAsia" w:ascii="宋体" w:hAnsi="宋体" w:cs="宋体"/>
                <w:sz w:val="24"/>
                <w:highlight w:val="none"/>
              </w:rPr>
              <w:t>项目</w:t>
            </w:r>
          </w:p>
        </w:tc>
        <w:tc>
          <w:tcPr>
            <w:tcW w:w="2969" w:type="dxa"/>
            <w:tcBorders>
              <w:top w:val="single" w:color="auto" w:sz="4" w:space="0"/>
              <w:left w:val="single" w:color="auto" w:sz="4" w:space="0"/>
              <w:bottom w:val="single" w:color="auto" w:sz="4" w:space="0"/>
              <w:right w:val="single" w:color="auto" w:sz="4" w:space="0"/>
            </w:tcBorders>
            <w:vAlign w:val="center"/>
          </w:tcPr>
          <w:p w14:paraId="7BEB85BF">
            <w:pPr>
              <w:jc w:val="center"/>
              <w:rPr>
                <w:rFonts w:ascii="宋体" w:hAnsi="宋体" w:cs="宋体"/>
                <w:sz w:val="24"/>
                <w:highlight w:val="none"/>
              </w:rPr>
            </w:pPr>
            <w:r>
              <w:rPr>
                <w:rFonts w:hint="eastAsia" w:ascii="宋体" w:hAnsi="宋体" w:cs="宋体"/>
                <w:sz w:val="24"/>
                <w:highlight w:val="none"/>
              </w:rPr>
              <w:t>磋商文件要求</w:t>
            </w:r>
          </w:p>
        </w:tc>
        <w:tc>
          <w:tcPr>
            <w:tcW w:w="1386" w:type="dxa"/>
            <w:tcBorders>
              <w:top w:val="single" w:color="auto" w:sz="4" w:space="0"/>
              <w:left w:val="single" w:color="auto" w:sz="4" w:space="0"/>
              <w:bottom w:val="single" w:color="auto" w:sz="4" w:space="0"/>
              <w:right w:val="single" w:color="auto" w:sz="4" w:space="0"/>
            </w:tcBorders>
            <w:vAlign w:val="center"/>
          </w:tcPr>
          <w:p w14:paraId="2187771C">
            <w:pPr>
              <w:jc w:val="center"/>
              <w:rPr>
                <w:rFonts w:ascii="宋体" w:hAnsi="宋体" w:cs="宋体"/>
                <w:sz w:val="24"/>
                <w:highlight w:val="none"/>
              </w:rPr>
            </w:pPr>
            <w:r>
              <w:rPr>
                <w:rFonts w:hint="eastAsia" w:ascii="宋体" w:hAnsi="宋体" w:cs="宋体"/>
                <w:sz w:val="24"/>
                <w:highlight w:val="none"/>
              </w:rPr>
              <w:t>响应及偏离情况</w:t>
            </w:r>
          </w:p>
        </w:tc>
        <w:tc>
          <w:tcPr>
            <w:tcW w:w="3321" w:type="dxa"/>
            <w:tcBorders>
              <w:top w:val="single" w:color="auto" w:sz="4" w:space="0"/>
              <w:left w:val="single" w:color="auto" w:sz="4" w:space="0"/>
              <w:bottom w:val="single" w:color="auto" w:sz="4" w:space="0"/>
              <w:right w:val="single" w:color="auto" w:sz="4" w:space="0"/>
            </w:tcBorders>
            <w:vAlign w:val="center"/>
          </w:tcPr>
          <w:p w14:paraId="0D72D6ED">
            <w:pPr>
              <w:jc w:val="center"/>
              <w:rPr>
                <w:rFonts w:ascii="宋体" w:hAnsi="宋体" w:cs="宋体"/>
                <w:sz w:val="24"/>
                <w:highlight w:val="none"/>
              </w:rPr>
            </w:pPr>
            <w:r>
              <w:rPr>
                <w:rFonts w:hint="eastAsia" w:ascii="宋体" w:hAnsi="宋体" w:cs="宋体"/>
                <w:sz w:val="24"/>
                <w:highlight w:val="none"/>
              </w:rPr>
              <w:t>供应商的承诺或说明</w:t>
            </w:r>
          </w:p>
        </w:tc>
      </w:tr>
      <w:tr w14:paraId="52D73A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03D6D63B">
            <w:pPr>
              <w:rPr>
                <w:rFonts w:ascii="宋体" w:hAnsi="宋体" w:cs="宋体"/>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6A4329D6">
            <w:pPr>
              <w:rPr>
                <w:rFonts w:ascii="宋体" w:hAnsi="宋体" w:cs="宋体"/>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5F14290C">
            <w:pPr>
              <w:rPr>
                <w:rFonts w:ascii="宋体" w:hAnsi="宋体" w:cs="宋体"/>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4A36332D">
            <w:pPr>
              <w:rPr>
                <w:rFonts w:ascii="宋体" w:hAnsi="宋体" w:cs="宋体"/>
                <w:sz w:val="24"/>
                <w:highlight w:val="none"/>
              </w:rPr>
            </w:pPr>
          </w:p>
        </w:tc>
      </w:tr>
      <w:tr w14:paraId="7FAEF9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6DFF5388">
            <w:pPr>
              <w:rPr>
                <w:rFonts w:ascii="宋体" w:hAnsi="宋体" w:cs="宋体"/>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0A7A402C">
            <w:pPr>
              <w:rPr>
                <w:rFonts w:ascii="宋体" w:hAnsi="宋体" w:cs="宋体"/>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4748BDAB">
            <w:pPr>
              <w:rPr>
                <w:rFonts w:ascii="宋体" w:hAnsi="宋体" w:cs="宋体"/>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4217B1BD">
            <w:pPr>
              <w:rPr>
                <w:rFonts w:ascii="宋体" w:hAnsi="宋体" w:cs="宋体"/>
                <w:sz w:val="24"/>
                <w:highlight w:val="none"/>
              </w:rPr>
            </w:pPr>
          </w:p>
        </w:tc>
      </w:tr>
      <w:tr w14:paraId="14BBF2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20519E3E">
            <w:pPr>
              <w:rPr>
                <w:rFonts w:ascii="宋体" w:hAnsi="宋体" w:cs="宋体"/>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6F032B61">
            <w:pPr>
              <w:rPr>
                <w:rFonts w:ascii="宋体" w:hAnsi="宋体" w:cs="宋体"/>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7B5528E9">
            <w:pPr>
              <w:rPr>
                <w:rFonts w:ascii="宋体" w:hAnsi="宋体" w:cs="宋体"/>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23C2B178">
            <w:pPr>
              <w:rPr>
                <w:rFonts w:ascii="宋体" w:hAnsi="宋体" w:cs="宋体"/>
                <w:sz w:val="24"/>
                <w:highlight w:val="none"/>
              </w:rPr>
            </w:pPr>
          </w:p>
        </w:tc>
      </w:tr>
      <w:tr w14:paraId="4E4466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5892575B">
            <w:pPr>
              <w:rPr>
                <w:rFonts w:ascii="宋体" w:hAnsi="宋体" w:cs="宋体"/>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3D1AC74F">
            <w:pPr>
              <w:rPr>
                <w:rFonts w:ascii="宋体" w:hAnsi="宋体" w:cs="宋体"/>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6D245417">
            <w:pPr>
              <w:rPr>
                <w:rFonts w:ascii="宋体" w:hAnsi="宋体" w:cs="宋体"/>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36F1D1C8">
            <w:pPr>
              <w:rPr>
                <w:rFonts w:ascii="宋体" w:hAnsi="宋体" w:cs="宋体"/>
                <w:sz w:val="24"/>
                <w:highlight w:val="none"/>
              </w:rPr>
            </w:pPr>
          </w:p>
        </w:tc>
      </w:tr>
      <w:tr w14:paraId="0A5A86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703" w:type="dxa"/>
            <w:tcBorders>
              <w:top w:val="single" w:color="auto" w:sz="4" w:space="0"/>
              <w:left w:val="single" w:color="auto" w:sz="4" w:space="0"/>
              <w:bottom w:val="single" w:color="auto" w:sz="4" w:space="0"/>
              <w:right w:val="single" w:color="auto" w:sz="4" w:space="0"/>
            </w:tcBorders>
            <w:vAlign w:val="center"/>
          </w:tcPr>
          <w:p w14:paraId="4650BA15">
            <w:pPr>
              <w:rPr>
                <w:rFonts w:ascii="宋体" w:hAnsi="宋体" w:cs="宋体"/>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5630B5E9">
            <w:pPr>
              <w:rPr>
                <w:rFonts w:ascii="宋体" w:hAnsi="宋体" w:cs="宋体"/>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2CA7A672">
            <w:pPr>
              <w:rPr>
                <w:rFonts w:ascii="宋体" w:hAnsi="宋体" w:cs="宋体"/>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0679B1CE">
            <w:pPr>
              <w:rPr>
                <w:rFonts w:ascii="宋体" w:hAnsi="宋体" w:cs="宋体"/>
                <w:sz w:val="24"/>
                <w:highlight w:val="none"/>
              </w:rPr>
            </w:pPr>
          </w:p>
        </w:tc>
      </w:tr>
      <w:tr w14:paraId="5105AD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539F80C5">
            <w:pPr>
              <w:rPr>
                <w:rFonts w:ascii="宋体" w:hAnsi="宋体" w:cs="宋体"/>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12207D37">
            <w:pPr>
              <w:rPr>
                <w:rFonts w:ascii="宋体" w:hAnsi="宋体" w:cs="宋体"/>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35BB1BE5">
            <w:pPr>
              <w:rPr>
                <w:rFonts w:ascii="宋体" w:hAnsi="宋体" w:cs="宋体"/>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0F08E843">
            <w:pPr>
              <w:rPr>
                <w:rFonts w:ascii="宋体" w:hAnsi="宋体" w:cs="宋体"/>
                <w:sz w:val="24"/>
                <w:highlight w:val="none"/>
              </w:rPr>
            </w:pPr>
          </w:p>
        </w:tc>
      </w:tr>
      <w:tr w14:paraId="67F6CE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4A1EA589">
            <w:pPr>
              <w:rPr>
                <w:rFonts w:ascii="宋体" w:hAnsi="宋体" w:cs="宋体"/>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68E625A5">
            <w:pPr>
              <w:rPr>
                <w:rFonts w:ascii="宋体" w:hAnsi="宋体" w:cs="宋体"/>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1050EBCD">
            <w:pPr>
              <w:rPr>
                <w:rFonts w:ascii="宋体" w:hAnsi="宋体" w:cs="宋体"/>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477AA197">
            <w:pPr>
              <w:rPr>
                <w:rFonts w:ascii="宋体" w:hAnsi="宋体" w:cs="宋体"/>
                <w:sz w:val="24"/>
                <w:highlight w:val="none"/>
              </w:rPr>
            </w:pPr>
          </w:p>
        </w:tc>
      </w:tr>
      <w:tr w14:paraId="0693F1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14D0D94E">
            <w:pPr>
              <w:rPr>
                <w:rFonts w:ascii="宋体" w:hAnsi="宋体" w:cs="宋体"/>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4C10EDD1">
            <w:pPr>
              <w:rPr>
                <w:rFonts w:ascii="宋体" w:hAnsi="宋体" w:cs="宋体"/>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1075BEA5">
            <w:pPr>
              <w:rPr>
                <w:rFonts w:ascii="宋体" w:hAnsi="宋体" w:cs="宋体"/>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66C79177">
            <w:pPr>
              <w:rPr>
                <w:rFonts w:ascii="宋体" w:hAnsi="宋体" w:cs="宋体"/>
                <w:sz w:val="24"/>
                <w:highlight w:val="none"/>
              </w:rPr>
            </w:pPr>
          </w:p>
        </w:tc>
      </w:tr>
      <w:tr w14:paraId="3BBC87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5A0249D5">
            <w:pPr>
              <w:rPr>
                <w:rFonts w:ascii="宋体" w:hAnsi="宋体" w:cs="宋体"/>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6F63C726">
            <w:pPr>
              <w:rPr>
                <w:rFonts w:ascii="宋体" w:hAnsi="宋体" w:cs="宋体"/>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027C773A">
            <w:pPr>
              <w:rPr>
                <w:rFonts w:ascii="宋体" w:hAnsi="宋体" w:cs="宋体"/>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6E5F7048">
            <w:pPr>
              <w:rPr>
                <w:rFonts w:ascii="宋体" w:hAnsi="宋体" w:cs="宋体"/>
                <w:sz w:val="24"/>
                <w:highlight w:val="none"/>
              </w:rPr>
            </w:pPr>
          </w:p>
        </w:tc>
      </w:tr>
      <w:tr w14:paraId="009C70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683CAC3B">
            <w:pPr>
              <w:rPr>
                <w:rFonts w:ascii="宋体" w:hAnsi="宋体" w:cs="宋体"/>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0C113B4D">
            <w:pPr>
              <w:rPr>
                <w:rFonts w:ascii="宋体" w:hAnsi="宋体" w:cs="宋体"/>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386D6647">
            <w:pPr>
              <w:rPr>
                <w:rFonts w:ascii="宋体" w:hAnsi="宋体" w:cs="宋体"/>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75F74037">
            <w:pPr>
              <w:rPr>
                <w:rFonts w:ascii="宋体" w:hAnsi="宋体" w:cs="宋体"/>
                <w:sz w:val="24"/>
                <w:highlight w:val="none"/>
              </w:rPr>
            </w:pPr>
          </w:p>
        </w:tc>
      </w:tr>
    </w:tbl>
    <w:p w14:paraId="16F80496">
      <w:pPr>
        <w:snapToGrid w:val="0"/>
        <w:spacing w:before="120" w:beforeLines="50"/>
        <w:rPr>
          <w:rFonts w:ascii="宋体" w:hAnsi="宋体" w:cs="宋体"/>
          <w:sz w:val="24"/>
          <w:highlight w:val="none"/>
        </w:rPr>
      </w:pPr>
    </w:p>
    <w:p w14:paraId="586152DB">
      <w:pPr>
        <w:snapToGrid w:val="0"/>
        <w:spacing w:before="50" w:after="50"/>
        <w:rPr>
          <w:rFonts w:ascii="宋体" w:hAnsi="宋体" w:cs="宋体"/>
          <w:spacing w:val="20"/>
          <w:sz w:val="24"/>
          <w:highlight w:val="none"/>
          <w:u w:val="single"/>
        </w:rPr>
      </w:pPr>
      <w:r>
        <w:rPr>
          <w:rFonts w:hint="eastAsia" w:ascii="宋体" w:hAnsi="宋体" w:cs="宋体"/>
          <w:sz w:val="24"/>
          <w:highlight w:val="none"/>
        </w:rPr>
        <w:t>法定代表人或委托代理人签字</w:t>
      </w:r>
      <w:r>
        <w:rPr>
          <w:rFonts w:hint="eastAsia" w:ascii="宋体" w:hAnsi="宋体" w:cs="宋体"/>
          <w:spacing w:val="20"/>
          <w:sz w:val="24"/>
          <w:highlight w:val="none"/>
        </w:rPr>
        <w:t>：</w:t>
      </w:r>
      <w:r>
        <w:rPr>
          <w:rFonts w:hint="eastAsia" w:ascii="宋体" w:hAnsi="宋体" w:cs="宋体"/>
          <w:spacing w:val="20"/>
          <w:sz w:val="24"/>
          <w:highlight w:val="none"/>
          <w:u w:val="single"/>
        </w:rPr>
        <w:t xml:space="preserve">        </w:t>
      </w:r>
    </w:p>
    <w:p w14:paraId="6A637B53">
      <w:pPr>
        <w:snapToGrid w:val="0"/>
        <w:spacing w:before="120" w:beforeLines="50"/>
        <w:rPr>
          <w:rFonts w:ascii="宋体" w:hAnsi="宋体" w:cs="宋体"/>
          <w:sz w:val="24"/>
          <w:highlight w:val="none"/>
        </w:rPr>
      </w:pPr>
      <w:r>
        <w:rPr>
          <w:rFonts w:hint="eastAsia" w:ascii="宋体" w:hAnsi="宋体" w:cs="宋体"/>
          <w:spacing w:val="20"/>
          <w:sz w:val="24"/>
          <w:highlight w:val="none"/>
        </w:rPr>
        <w:t>供应商盖章：</w:t>
      </w:r>
      <w:r>
        <w:rPr>
          <w:rFonts w:hint="eastAsia" w:ascii="宋体" w:hAnsi="宋体" w:cs="宋体"/>
          <w:spacing w:val="20"/>
          <w:sz w:val="24"/>
          <w:highlight w:val="none"/>
          <w:u w:val="single"/>
        </w:rPr>
        <w:t xml:space="preserve">            </w:t>
      </w:r>
      <w:r>
        <w:rPr>
          <w:rFonts w:hint="eastAsia" w:ascii="宋体" w:hAnsi="宋体" w:cs="宋体"/>
          <w:spacing w:val="20"/>
          <w:sz w:val="24"/>
          <w:highlight w:val="none"/>
        </w:rPr>
        <w:t xml:space="preserve">              日 期：</w:t>
      </w:r>
      <w:r>
        <w:rPr>
          <w:rFonts w:hint="eastAsia" w:ascii="宋体" w:hAnsi="宋体" w:cs="宋体"/>
          <w:spacing w:val="20"/>
          <w:sz w:val="24"/>
          <w:highlight w:val="none"/>
          <w:u w:val="single"/>
        </w:rPr>
        <w:t xml:space="preserve">            </w:t>
      </w:r>
    </w:p>
    <w:p w14:paraId="775B1879">
      <w:pPr>
        <w:rPr>
          <w:rFonts w:ascii="宋体" w:hAnsi="宋体" w:cs="宋体"/>
          <w:sz w:val="24"/>
          <w:highlight w:val="none"/>
        </w:rPr>
      </w:pPr>
    </w:p>
    <w:p w14:paraId="7E94F748">
      <w:pPr>
        <w:pStyle w:val="4"/>
        <w:keepNext w:val="0"/>
        <w:keepLines w:val="0"/>
        <w:pageBreakBefore/>
        <w:spacing w:line="415" w:lineRule="auto"/>
        <w:rPr>
          <w:rFonts w:ascii="宋体" w:hAnsi="宋体" w:eastAsia="宋体" w:cs="宋体"/>
          <w:b w:val="0"/>
          <w:bCs w:val="0"/>
          <w:sz w:val="24"/>
          <w:szCs w:val="24"/>
          <w:highlight w:val="none"/>
        </w:rPr>
      </w:pPr>
      <w:bookmarkStart w:id="66" w:name="_Toc174370014"/>
      <w:r>
        <w:rPr>
          <w:rFonts w:hint="eastAsia" w:ascii="宋体" w:hAnsi="宋体" w:eastAsia="宋体" w:cs="宋体"/>
          <w:b w:val="0"/>
          <w:bCs w:val="0"/>
          <w:sz w:val="24"/>
          <w:szCs w:val="24"/>
          <w:highlight w:val="none"/>
        </w:rPr>
        <w:t>附件九：</w:t>
      </w:r>
      <w:bookmarkEnd w:id="65"/>
      <w:r>
        <w:rPr>
          <w:rFonts w:hint="eastAsia" w:ascii="宋体" w:hAnsi="宋体" w:eastAsia="宋体" w:cs="宋体"/>
          <w:b w:val="0"/>
          <w:bCs w:val="0"/>
          <w:sz w:val="24"/>
          <w:szCs w:val="24"/>
          <w:highlight w:val="none"/>
        </w:rPr>
        <w:t>技术响应表</w:t>
      </w:r>
      <w:bookmarkEnd w:id="66"/>
    </w:p>
    <w:p w14:paraId="3B0EB5D4">
      <w:pPr>
        <w:snapToGrid w:val="0"/>
        <w:spacing w:before="50" w:after="120" w:afterLines="50"/>
        <w:jc w:val="center"/>
        <w:rPr>
          <w:rFonts w:ascii="宋体" w:hAnsi="宋体" w:cs="宋体"/>
          <w:b/>
          <w:sz w:val="24"/>
          <w:highlight w:val="none"/>
        </w:rPr>
      </w:pPr>
      <w:r>
        <w:rPr>
          <w:rFonts w:hint="eastAsia" w:ascii="宋体" w:hAnsi="宋体" w:cs="宋体"/>
          <w:b/>
          <w:sz w:val="24"/>
          <w:highlight w:val="none"/>
        </w:rPr>
        <w:t>技术响应表</w:t>
      </w:r>
    </w:p>
    <w:p w14:paraId="3417BE01">
      <w:pPr>
        <w:snapToGrid w:val="0"/>
        <w:spacing w:before="50" w:after="120" w:afterLines="50"/>
        <w:jc w:val="left"/>
        <w:rPr>
          <w:rFonts w:ascii="宋体" w:hAnsi="宋体" w:cs="宋体"/>
          <w:sz w:val="24"/>
          <w:highlight w:val="none"/>
        </w:rPr>
      </w:pPr>
      <w:r>
        <w:rPr>
          <w:rFonts w:hint="eastAsia" w:ascii="宋体" w:hAnsi="宋体" w:cs="宋体"/>
          <w:sz w:val="24"/>
          <w:highlight w:val="none"/>
        </w:rPr>
        <w:t>招标编号：</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2004"/>
        <w:gridCol w:w="2113"/>
        <w:gridCol w:w="1750"/>
        <w:gridCol w:w="2514"/>
      </w:tblGrid>
      <w:tr w14:paraId="486F8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9"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4262B3B7">
            <w:pPr>
              <w:jc w:val="center"/>
              <w:rPr>
                <w:rFonts w:ascii="宋体" w:hAnsi="宋体" w:cs="宋体"/>
                <w:sz w:val="24"/>
                <w:highlight w:val="none"/>
              </w:rPr>
            </w:pPr>
            <w:r>
              <w:rPr>
                <w:rFonts w:hint="eastAsia" w:ascii="宋体" w:hAnsi="宋体" w:cs="宋体"/>
                <w:sz w:val="24"/>
                <w:highlight w:val="none"/>
              </w:rPr>
              <w:t>序号</w:t>
            </w:r>
          </w:p>
        </w:tc>
        <w:tc>
          <w:tcPr>
            <w:tcW w:w="2004" w:type="dxa"/>
            <w:tcBorders>
              <w:top w:val="single" w:color="auto" w:sz="4" w:space="0"/>
              <w:left w:val="single" w:color="auto" w:sz="4" w:space="0"/>
              <w:bottom w:val="single" w:color="auto" w:sz="4" w:space="0"/>
              <w:right w:val="single" w:color="auto" w:sz="4" w:space="0"/>
            </w:tcBorders>
            <w:vAlign w:val="center"/>
          </w:tcPr>
          <w:p w14:paraId="754E5214">
            <w:pPr>
              <w:jc w:val="center"/>
              <w:rPr>
                <w:rFonts w:ascii="宋体" w:hAnsi="宋体" w:cs="宋体"/>
                <w:sz w:val="24"/>
                <w:highlight w:val="none"/>
              </w:rPr>
            </w:pPr>
            <w:r>
              <w:rPr>
                <w:rFonts w:hint="eastAsia" w:ascii="宋体" w:hAnsi="宋体" w:cs="宋体"/>
                <w:sz w:val="24"/>
                <w:highlight w:val="none"/>
              </w:rPr>
              <w:t>内  容</w:t>
            </w:r>
          </w:p>
        </w:tc>
        <w:tc>
          <w:tcPr>
            <w:tcW w:w="2113" w:type="dxa"/>
            <w:tcBorders>
              <w:top w:val="single" w:color="auto" w:sz="4" w:space="0"/>
              <w:left w:val="single" w:color="auto" w:sz="4" w:space="0"/>
              <w:bottom w:val="single" w:color="auto" w:sz="4" w:space="0"/>
              <w:right w:val="single" w:color="auto" w:sz="4" w:space="0"/>
            </w:tcBorders>
            <w:vAlign w:val="center"/>
          </w:tcPr>
          <w:p w14:paraId="4446B239">
            <w:pPr>
              <w:jc w:val="center"/>
              <w:rPr>
                <w:rFonts w:ascii="宋体" w:hAnsi="宋体" w:cs="宋体"/>
                <w:sz w:val="24"/>
                <w:highlight w:val="none"/>
              </w:rPr>
            </w:pPr>
            <w:r>
              <w:rPr>
                <w:rFonts w:hint="eastAsia" w:ascii="宋体" w:hAnsi="宋体" w:cs="宋体"/>
                <w:sz w:val="24"/>
                <w:highlight w:val="none"/>
              </w:rPr>
              <w:t>磋商文件</w:t>
            </w:r>
          </w:p>
          <w:p w14:paraId="5B298C02">
            <w:pPr>
              <w:jc w:val="center"/>
              <w:rPr>
                <w:rFonts w:ascii="宋体" w:hAnsi="宋体" w:cs="宋体"/>
                <w:sz w:val="24"/>
                <w:highlight w:val="none"/>
              </w:rPr>
            </w:pPr>
            <w:r>
              <w:rPr>
                <w:rFonts w:hint="eastAsia" w:ascii="宋体" w:hAnsi="宋体" w:cs="宋体"/>
                <w:sz w:val="24"/>
                <w:highlight w:val="none"/>
              </w:rPr>
              <w:t>规范要求</w:t>
            </w:r>
          </w:p>
        </w:tc>
        <w:tc>
          <w:tcPr>
            <w:tcW w:w="1750" w:type="dxa"/>
            <w:tcBorders>
              <w:top w:val="single" w:color="auto" w:sz="4" w:space="0"/>
              <w:left w:val="single" w:color="auto" w:sz="4" w:space="0"/>
              <w:bottom w:val="single" w:color="auto" w:sz="4" w:space="0"/>
              <w:right w:val="single" w:color="auto" w:sz="4" w:space="0"/>
            </w:tcBorders>
            <w:vAlign w:val="center"/>
          </w:tcPr>
          <w:p w14:paraId="4FC4EEE7">
            <w:pPr>
              <w:jc w:val="center"/>
              <w:rPr>
                <w:rFonts w:ascii="宋体" w:hAnsi="宋体" w:cs="宋体"/>
                <w:sz w:val="24"/>
                <w:highlight w:val="none"/>
              </w:rPr>
            </w:pPr>
            <w:r>
              <w:rPr>
                <w:rFonts w:hint="eastAsia" w:ascii="宋体" w:hAnsi="宋体" w:cs="宋体"/>
                <w:sz w:val="24"/>
                <w:highlight w:val="none"/>
              </w:rPr>
              <w:t>磋商响应文件</w:t>
            </w:r>
          </w:p>
          <w:p w14:paraId="272D5A07">
            <w:pPr>
              <w:jc w:val="center"/>
              <w:rPr>
                <w:rFonts w:ascii="宋体" w:hAnsi="宋体" w:cs="宋体"/>
                <w:sz w:val="24"/>
                <w:highlight w:val="none"/>
              </w:rPr>
            </w:pPr>
            <w:r>
              <w:rPr>
                <w:rFonts w:hint="eastAsia" w:ascii="宋体" w:hAnsi="宋体" w:cs="宋体"/>
                <w:sz w:val="24"/>
                <w:highlight w:val="none"/>
              </w:rPr>
              <w:t>对应规范</w:t>
            </w:r>
          </w:p>
        </w:tc>
        <w:tc>
          <w:tcPr>
            <w:tcW w:w="2514" w:type="dxa"/>
            <w:tcBorders>
              <w:top w:val="single" w:color="auto" w:sz="4" w:space="0"/>
              <w:left w:val="single" w:color="auto" w:sz="4" w:space="0"/>
              <w:bottom w:val="single" w:color="auto" w:sz="4" w:space="0"/>
              <w:right w:val="single" w:color="auto" w:sz="4" w:space="0"/>
            </w:tcBorders>
            <w:vAlign w:val="center"/>
          </w:tcPr>
          <w:p w14:paraId="38B85F0A">
            <w:pPr>
              <w:jc w:val="center"/>
              <w:rPr>
                <w:rFonts w:ascii="宋体" w:hAnsi="宋体" w:cs="宋体"/>
                <w:sz w:val="24"/>
                <w:highlight w:val="none"/>
              </w:rPr>
            </w:pPr>
            <w:r>
              <w:rPr>
                <w:rFonts w:hint="eastAsia" w:ascii="宋体" w:hAnsi="宋体" w:cs="宋体"/>
                <w:sz w:val="24"/>
                <w:highlight w:val="none"/>
              </w:rPr>
              <w:t>偏离情况</w:t>
            </w:r>
          </w:p>
          <w:p w14:paraId="0E9642F6">
            <w:pPr>
              <w:jc w:val="center"/>
              <w:rPr>
                <w:rFonts w:ascii="宋体" w:hAnsi="宋体" w:cs="宋体"/>
                <w:sz w:val="24"/>
                <w:highlight w:val="none"/>
              </w:rPr>
            </w:pPr>
            <w:r>
              <w:rPr>
                <w:rFonts w:hint="eastAsia" w:ascii="宋体" w:hAnsi="宋体" w:cs="宋体"/>
                <w:sz w:val="24"/>
                <w:highlight w:val="none"/>
              </w:rPr>
              <w:t>（注明正偏离、负偏离或无偏离）</w:t>
            </w:r>
          </w:p>
        </w:tc>
      </w:tr>
      <w:tr w14:paraId="20407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5E9FAF3A">
            <w:pPr>
              <w:jc w:val="center"/>
              <w:rPr>
                <w:rFonts w:ascii="宋体" w:hAnsi="宋体" w:cs="宋体"/>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4A713A5F">
            <w:pPr>
              <w:rPr>
                <w:rFonts w:ascii="宋体" w:hAnsi="宋体" w:cs="宋体"/>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2C7E5D3E">
            <w:pPr>
              <w:rPr>
                <w:rFonts w:ascii="宋体" w:hAnsi="宋体" w:cs="宋体"/>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6AD13594">
            <w:pPr>
              <w:rPr>
                <w:rFonts w:ascii="宋体" w:hAnsi="宋体" w:cs="宋体"/>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3B631756">
            <w:pPr>
              <w:rPr>
                <w:rFonts w:ascii="宋体" w:hAnsi="宋体" w:cs="宋体"/>
                <w:sz w:val="24"/>
                <w:highlight w:val="none"/>
              </w:rPr>
            </w:pPr>
          </w:p>
        </w:tc>
      </w:tr>
      <w:tr w14:paraId="3225A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3059F109">
            <w:pPr>
              <w:rPr>
                <w:rFonts w:ascii="宋体" w:hAnsi="宋体" w:cs="宋体"/>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2B4613FF">
            <w:pPr>
              <w:rPr>
                <w:rFonts w:ascii="宋体" w:hAnsi="宋体" w:cs="宋体"/>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0200C965">
            <w:pPr>
              <w:rPr>
                <w:rFonts w:ascii="宋体" w:hAnsi="宋体" w:cs="宋体"/>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590D31E5">
            <w:pPr>
              <w:rPr>
                <w:rFonts w:ascii="宋体" w:hAnsi="宋体" w:cs="宋体"/>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22F487E9">
            <w:pPr>
              <w:rPr>
                <w:rFonts w:ascii="宋体" w:hAnsi="宋体" w:cs="宋体"/>
                <w:sz w:val="24"/>
                <w:highlight w:val="none"/>
              </w:rPr>
            </w:pPr>
          </w:p>
        </w:tc>
      </w:tr>
      <w:tr w14:paraId="0EB19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5072B486">
            <w:pPr>
              <w:rPr>
                <w:rFonts w:ascii="宋体" w:hAnsi="宋体" w:cs="宋体"/>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1C68E3B6">
            <w:pPr>
              <w:rPr>
                <w:rFonts w:ascii="宋体" w:hAnsi="宋体" w:cs="宋体"/>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36179144">
            <w:pPr>
              <w:rPr>
                <w:rFonts w:ascii="宋体" w:hAnsi="宋体" w:cs="宋体"/>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04ECB354">
            <w:pPr>
              <w:rPr>
                <w:rFonts w:ascii="宋体" w:hAnsi="宋体" w:cs="宋体"/>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3CC9FCD6">
            <w:pPr>
              <w:rPr>
                <w:rFonts w:ascii="宋体" w:hAnsi="宋体" w:cs="宋体"/>
                <w:sz w:val="24"/>
                <w:highlight w:val="none"/>
              </w:rPr>
            </w:pPr>
          </w:p>
        </w:tc>
      </w:tr>
      <w:tr w14:paraId="12432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9" w:type="dxa"/>
            <w:tcBorders>
              <w:top w:val="single" w:color="auto" w:sz="4" w:space="0"/>
              <w:left w:val="single" w:color="auto" w:sz="4" w:space="0"/>
              <w:bottom w:val="single" w:color="auto" w:sz="4" w:space="0"/>
              <w:right w:val="single" w:color="auto" w:sz="4" w:space="0"/>
            </w:tcBorders>
          </w:tcPr>
          <w:p w14:paraId="705E885F">
            <w:pPr>
              <w:rPr>
                <w:rFonts w:ascii="宋体" w:hAnsi="宋体" w:cs="宋体"/>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7CE96A13">
            <w:pPr>
              <w:rPr>
                <w:rFonts w:ascii="宋体" w:hAnsi="宋体" w:cs="宋体"/>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4BB4BCDF">
            <w:pPr>
              <w:rPr>
                <w:rFonts w:ascii="宋体" w:hAnsi="宋体" w:cs="宋体"/>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4C5C4D9A">
            <w:pPr>
              <w:rPr>
                <w:rFonts w:ascii="宋体" w:hAnsi="宋体" w:cs="宋体"/>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3F2DF274">
            <w:pPr>
              <w:rPr>
                <w:rFonts w:ascii="宋体" w:hAnsi="宋体" w:cs="宋体"/>
                <w:sz w:val="24"/>
                <w:highlight w:val="none"/>
              </w:rPr>
            </w:pPr>
          </w:p>
        </w:tc>
      </w:tr>
      <w:tr w14:paraId="2D0A0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5BA5D057">
            <w:pPr>
              <w:rPr>
                <w:rFonts w:ascii="宋体" w:hAnsi="宋体" w:cs="宋体"/>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0BAE4E62">
            <w:pPr>
              <w:rPr>
                <w:rFonts w:ascii="宋体" w:hAnsi="宋体" w:cs="宋体"/>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62C73626">
            <w:pPr>
              <w:rPr>
                <w:rFonts w:ascii="宋体" w:hAnsi="宋体" w:cs="宋体"/>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0DA6B3D9">
            <w:pPr>
              <w:rPr>
                <w:rFonts w:ascii="宋体" w:hAnsi="宋体" w:cs="宋体"/>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7E47E232">
            <w:pPr>
              <w:rPr>
                <w:rFonts w:ascii="宋体" w:hAnsi="宋体" w:cs="宋体"/>
                <w:sz w:val="24"/>
                <w:highlight w:val="none"/>
              </w:rPr>
            </w:pPr>
          </w:p>
        </w:tc>
      </w:tr>
      <w:tr w14:paraId="4D153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36E69DFA">
            <w:pPr>
              <w:rPr>
                <w:rFonts w:ascii="宋体" w:hAnsi="宋体" w:cs="宋体"/>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18AA2CE3">
            <w:pPr>
              <w:rPr>
                <w:rFonts w:ascii="宋体" w:hAnsi="宋体" w:cs="宋体"/>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4BD092D3">
            <w:pPr>
              <w:rPr>
                <w:rFonts w:ascii="宋体" w:hAnsi="宋体" w:cs="宋体"/>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187FA999">
            <w:pPr>
              <w:rPr>
                <w:rFonts w:ascii="宋体" w:hAnsi="宋体" w:cs="宋体"/>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1397B361">
            <w:pPr>
              <w:rPr>
                <w:rFonts w:ascii="宋体" w:hAnsi="宋体" w:cs="宋体"/>
                <w:sz w:val="24"/>
                <w:highlight w:val="none"/>
              </w:rPr>
            </w:pPr>
          </w:p>
        </w:tc>
      </w:tr>
      <w:tr w14:paraId="32351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0BAF8196">
            <w:pPr>
              <w:rPr>
                <w:rFonts w:ascii="宋体" w:hAnsi="宋体" w:cs="宋体"/>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5128B77C">
            <w:pPr>
              <w:rPr>
                <w:rFonts w:ascii="宋体" w:hAnsi="宋体" w:cs="宋体"/>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4FC64BE1">
            <w:pPr>
              <w:rPr>
                <w:rFonts w:ascii="宋体" w:hAnsi="宋体" w:cs="宋体"/>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01D3523B">
            <w:pPr>
              <w:rPr>
                <w:rFonts w:ascii="宋体" w:hAnsi="宋体" w:cs="宋体"/>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5E26AED0">
            <w:pPr>
              <w:rPr>
                <w:rFonts w:ascii="宋体" w:hAnsi="宋体" w:cs="宋体"/>
                <w:sz w:val="24"/>
                <w:highlight w:val="none"/>
              </w:rPr>
            </w:pPr>
          </w:p>
        </w:tc>
      </w:tr>
      <w:tr w14:paraId="40CFD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3CFB5A28">
            <w:pPr>
              <w:rPr>
                <w:rFonts w:ascii="宋体" w:hAnsi="宋体" w:cs="宋体"/>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04DFBFA3">
            <w:pPr>
              <w:rPr>
                <w:rFonts w:ascii="宋体" w:hAnsi="宋体" w:cs="宋体"/>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02E41C9C">
            <w:pPr>
              <w:rPr>
                <w:rFonts w:ascii="宋体" w:hAnsi="宋体" w:cs="宋体"/>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1130D3FC">
            <w:pPr>
              <w:rPr>
                <w:rFonts w:ascii="宋体" w:hAnsi="宋体" w:cs="宋体"/>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0BF0298E">
            <w:pPr>
              <w:rPr>
                <w:rFonts w:ascii="宋体" w:hAnsi="宋体" w:cs="宋体"/>
                <w:sz w:val="24"/>
                <w:highlight w:val="none"/>
              </w:rPr>
            </w:pPr>
          </w:p>
        </w:tc>
      </w:tr>
      <w:tr w14:paraId="66C07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669E787D">
            <w:pPr>
              <w:rPr>
                <w:rFonts w:ascii="宋体" w:hAnsi="宋体" w:cs="宋体"/>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5B3F7484">
            <w:pPr>
              <w:rPr>
                <w:rFonts w:ascii="宋体" w:hAnsi="宋体" w:cs="宋体"/>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629A255A">
            <w:pPr>
              <w:rPr>
                <w:rFonts w:ascii="宋体" w:hAnsi="宋体" w:cs="宋体"/>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01FEF09C">
            <w:pPr>
              <w:rPr>
                <w:rFonts w:ascii="宋体" w:hAnsi="宋体" w:cs="宋体"/>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30ECFB1D">
            <w:pPr>
              <w:rPr>
                <w:rFonts w:ascii="宋体" w:hAnsi="宋体" w:cs="宋体"/>
                <w:sz w:val="24"/>
                <w:highlight w:val="none"/>
              </w:rPr>
            </w:pPr>
          </w:p>
        </w:tc>
      </w:tr>
      <w:tr w14:paraId="4A0BA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2615ABF4">
            <w:pPr>
              <w:rPr>
                <w:rFonts w:ascii="宋体" w:hAnsi="宋体" w:cs="宋体"/>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637EE017">
            <w:pPr>
              <w:rPr>
                <w:rFonts w:ascii="宋体" w:hAnsi="宋体" w:cs="宋体"/>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3E1EE8F5">
            <w:pPr>
              <w:rPr>
                <w:rFonts w:ascii="宋体" w:hAnsi="宋体" w:cs="宋体"/>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48DC73BB">
            <w:pPr>
              <w:rPr>
                <w:rFonts w:ascii="宋体" w:hAnsi="宋体" w:cs="宋体"/>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3DB568EE">
            <w:pPr>
              <w:rPr>
                <w:rFonts w:ascii="宋体" w:hAnsi="宋体" w:cs="宋体"/>
                <w:sz w:val="24"/>
                <w:highlight w:val="none"/>
              </w:rPr>
            </w:pPr>
          </w:p>
        </w:tc>
      </w:tr>
      <w:tr w14:paraId="58F2A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4C31F35E">
            <w:pPr>
              <w:rPr>
                <w:rFonts w:ascii="宋体" w:hAnsi="宋体" w:cs="宋体"/>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4C689675">
            <w:pPr>
              <w:rPr>
                <w:rFonts w:ascii="宋体" w:hAnsi="宋体" w:cs="宋体"/>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6D8D5D51">
            <w:pPr>
              <w:rPr>
                <w:rFonts w:ascii="宋体" w:hAnsi="宋体" w:cs="宋体"/>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23B8E93C">
            <w:pPr>
              <w:rPr>
                <w:rFonts w:ascii="宋体" w:hAnsi="宋体" w:cs="宋体"/>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2634CC77">
            <w:pPr>
              <w:rPr>
                <w:rFonts w:ascii="宋体" w:hAnsi="宋体" w:cs="宋体"/>
                <w:sz w:val="24"/>
                <w:highlight w:val="none"/>
              </w:rPr>
            </w:pPr>
          </w:p>
        </w:tc>
      </w:tr>
      <w:tr w14:paraId="04CB9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30A68AFA">
            <w:pPr>
              <w:rPr>
                <w:rFonts w:ascii="宋体" w:hAnsi="宋体" w:cs="宋体"/>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55F5C3C6">
            <w:pPr>
              <w:rPr>
                <w:rFonts w:ascii="宋体" w:hAnsi="宋体" w:cs="宋体"/>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69466E3D">
            <w:pPr>
              <w:rPr>
                <w:rFonts w:ascii="宋体" w:hAnsi="宋体" w:cs="宋体"/>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064E5285">
            <w:pPr>
              <w:rPr>
                <w:rFonts w:ascii="宋体" w:hAnsi="宋体" w:cs="宋体"/>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5C8E145A">
            <w:pPr>
              <w:rPr>
                <w:rFonts w:ascii="宋体" w:hAnsi="宋体" w:cs="宋体"/>
                <w:sz w:val="24"/>
                <w:highlight w:val="none"/>
              </w:rPr>
            </w:pPr>
          </w:p>
        </w:tc>
      </w:tr>
    </w:tbl>
    <w:p w14:paraId="4E4A3CA8">
      <w:pPr>
        <w:snapToGrid w:val="0"/>
        <w:spacing w:before="50" w:after="50"/>
        <w:rPr>
          <w:rFonts w:ascii="宋体" w:hAnsi="宋体" w:cs="宋体"/>
          <w:b/>
          <w:bCs/>
          <w:sz w:val="24"/>
          <w:highlight w:val="none"/>
        </w:rPr>
      </w:pPr>
    </w:p>
    <w:p w14:paraId="008498B5">
      <w:pPr>
        <w:snapToGrid w:val="0"/>
        <w:spacing w:before="50" w:after="50"/>
        <w:rPr>
          <w:rFonts w:ascii="宋体" w:hAnsi="宋体" w:cs="宋体"/>
          <w:b/>
          <w:bCs/>
          <w:spacing w:val="20"/>
          <w:sz w:val="24"/>
          <w:highlight w:val="none"/>
        </w:rPr>
      </w:pPr>
      <w:r>
        <w:rPr>
          <w:rFonts w:hint="eastAsia" w:ascii="宋体" w:hAnsi="宋体" w:cs="宋体"/>
          <w:b/>
          <w:bCs/>
          <w:sz w:val="24"/>
          <w:highlight w:val="none"/>
        </w:rPr>
        <w:t>注：供应商应根据磋商文件的指标、对照磋商文件要求在“偏离情况”栏注明“正偏离”、“负偏离”或“无偏离”。</w:t>
      </w:r>
    </w:p>
    <w:p w14:paraId="19DC8D34">
      <w:pPr>
        <w:snapToGrid w:val="0"/>
        <w:spacing w:before="50" w:after="50"/>
        <w:rPr>
          <w:rFonts w:ascii="宋体" w:hAnsi="宋体" w:cs="宋体"/>
          <w:spacing w:val="20"/>
          <w:sz w:val="24"/>
          <w:highlight w:val="none"/>
        </w:rPr>
      </w:pPr>
    </w:p>
    <w:p w14:paraId="4D330041">
      <w:pPr>
        <w:snapToGrid w:val="0"/>
        <w:spacing w:before="50" w:after="50"/>
        <w:rPr>
          <w:rFonts w:ascii="宋体" w:hAnsi="宋体" w:cs="宋体"/>
          <w:spacing w:val="20"/>
          <w:sz w:val="24"/>
          <w:highlight w:val="none"/>
          <w:u w:val="single"/>
        </w:rPr>
      </w:pPr>
      <w:r>
        <w:rPr>
          <w:rFonts w:hint="eastAsia" w:ascii="宋体" w:hAnsi="宋体" w:cs="宋体"/>
          <w:sz w:val="24"/>
          <w:highlight w:val="none"/>
        </w:rPr>
        <w:t>法定代表人或委托代理人签字</w:t>
      </w:r>
      <w:r>
        <w:rPr>
          <w:rFonts w:hint="eastAsia" w:ascii="宋体" w:hAnsi="宋体" w:cs="宋体"/>
          <w:spacing w:val="20"/>
          <w:sz w:val="24"/>
          <w:highlight w:val="none"/>
        </w:rPr>
        <w:t>：</w:t>
      </w:r>
      <w:r>
        <w:rPr>
          <w:rFonts w:hint="eastAsia" w:ascii="宋体" w:hAnsi="宋体" w:cs="宋体"/>
          <w:spacing w:val="20"/>
          <w:sz w:val="24"/>
          <w:highlight w:val="none"/>
          <w:u w:val="single"/>
        </w:rPr>
        <w:t xml:space="preserve">        </w:t>
      </w:r>
    </w:p>
    <w:p w14:paraId="659EBB58">
      <w:pPr>
        <w:snapToGrid w:val="0"/>
        <w:spacing w:before="50" w:after="50"/>
        <w:rPr>
          <w:rFonts w:ascii="宋体" w:hAnsi="宋体" w:cs="宋体"/>
          <w:sz w:val="24"/>
          <w:highlight w:val="none"/>
        </w:rPr>
      </w:pPr>
      <w:r>
        <w:rPr>
          <w:rFonts w:hint="eastAsia" w:ascii="宋体" w:hAnsi="宋体" w:cs="宋体"/>
          <w:spacing w:val="20"/>
          <w:sz w:val="24"/>
          <w:highlight w:val="none"/>
        </w:rPr>
        <w:t>供应商盖章：</w:t>
      </w:r>
      <w:r>
        <w:rPr>
          <w:rFonts w:hint="eastAsia" w:ascii="宋体" w:hAnsi="宋体" w:cs="宋体"/>
          <w:spacing w:val="20"/>
          <w:sz w:val="24"/>
          <w:highlight w:val="none"/>
          <w:u w:val="single"/>
        </w:rPr>
        <w:t xml:space="preserve">            </w:t>
      </w:r>
      <w:r>
        <w:rPr>
          <w:rFonts w:hint="eastAsia" w:ascii="宋体" w:hAnsi="宋体" w:cs="宋体"/>
          <w:spacing w:val="20"/>
          <w:sz w:val="24"/>
          <w:highlight w:val="none"/>
        </w:rPr>
        <w:t xml:space="preserve">              日 期：</w:t>
      </w:r>
      <w:r>
        <w:rPr>
          <w:rFonts w:hint="eastAsia" w:ascii="宋体" w:hAnsi="宋体" w:cs="宋体"/>
          <w:spacing w:val="20"/>
          <w:sz w:val="24"/>
          <w:highlight w:val="none"/>
          <w:u w:val="single"/>
        </w:rPr>
        <w:t xml:space="preserve">            </w:t>
      </w:r>
    </w:p>
    <w:p w14:paraId="633C149A">
      <w:pPr>
        <w:snapToGrid w:val="0"/>
        <w:spacing w:before="50" w:after="120" w:afterLines="50"/>
        <w:jc w:val="left"/>
        <w:rPr>
          <w:rFonts w:ascii="宋体" w:hAnsi="宋体" w:cs="宋体"/>
          <w:sz w:val="24"/>
          <w:highlight w:val="none"/>
        </w:rPr>
      </w:pPr>
    </w:p>
    <w:p w14:paraId="488EB09B">
      <w:pPr>
        <w:spacing w:before="260" w:after="260" w:line="415" w:lineRule="auto"/>
        <w:rPr>
          <w:rFonts w:ascii="宋体" w:hAnsi="宋体" w:cs="宋体"/>
          <w:bCs/>
          <w:sz w:val="24"/>
          <w:highlight w:val="none"/>
        </w:rPr>
      </w:pPr>
    </w:p>
    <w:p w14:paraId="094F9906">
      <w:pPr>
        <w:spacing w:before="260" w:after="260" w:line="415" w:lineRule="auto"/>
        <w:rPr>
          <w:rFonts w:ascii="宋体" w:hAnsi="宋体" w:cs="宋体"/>
          <w:bCs/>
          <w:sz w:val="24"/>
          <w:highlight w:val="none"/>
        </w:rPr>
      </w:pPr>
    </w:p>
    <w:p w14:paraId="2D8E1636">
      <w:pPr>
        <w:spacing w:before="260" w:after="260" w:line="415" w:lineRule="auto"/>
        <w:rPr>
          <w:rFonts w:ascii="宋体" w:hAnsi="宋体" w:cs="宋体"/>
          <w:bCs/>
          <w:sz w:val="24"/>
          <w:highlight w:val="none"/>
        </w:rPr>
      </w:pPr>
    </w:p>
    <w:p w14:paraId="48C7A209">
      <w:pPr>
        <w:pStyle w:val="4"/>
        <w:keepNext w:val="0"/>
        <w:keepLines w:val="0"/>
        <w:pageBreakBefore/>
        <w:spacing w:line="415" w:lineRule="auto"/>
        <w:rPr>
          <w:rFonts w:ascii="宋体" w:hAnsi="宋体" w:eastAsia="宋体" w:cs="宋体"/>
          <w:b w:val="0"/>
          <w:bCs w:val="0"/>
          <w:sz w:val="24"/>
          <w:szCs w:val="24"/>
          <w:highlight w:val="none"/>
        </w:rPr>
      </w:pPr>
      <w:bookmarkStart w:id="67" w:name="_Toc14942619"/>
      <w:bookmarkStart w:id="68" w:name="_Toc25841"/>
      <w:bookmarkStart w:id="69" w:name="_Toc426996341"/>
      <w:bookmarkStart w:id="70" w:name="_Toc21215"/>
      <w:bookmarkStart w:id="71" w:name="_Toc22048"/>
      <w:bookmarkStart w:id="72" w:name="_Toc335039029"/>
      <w:bookmarkStart w:id="73" w:name="_Toc345575541"/>
      <w:bookmarkStart w:id="74" w:name="_Toc3577"/>
      <w:bookmarkStart w:id="75" w:name="_Toc18731"/>
      <w:bookmarkStart w:id="76" w:name="_Toc174370015"/>
      <w:bookmarkStart w:id="77" w:name="_Toc24152"/>
      <w:bookmarkStart w:id="78" w:name="_Toc4581"/>
      <w:bookmarkStart w:id="79" w:name="_Toc13087"/>
      <w:bookmarkStart w:id="80" w:name="_Toc21703809"/>
      <w:bookmarkStart w:id="81" w:name="_Toc21446147"/>
      <w:bookmarkStart w:id="82" w:name="_Toc31640"/>
      <w:bookmarkStart w:id="83" w:name="_Toc536428271"/>
      <w:r>
        <w:rPr>
          <w:rFonts w:hint="eastAsia" w:ascii="宋体" w:hAnsi="宋体" w:eastAsia="宋体" w:cs="宋体"/>
          <w:b w:val="0"/>
          <w:bCs w:val="0"/>
          <w:sz w:val="24"/>
          <w:szCs w:val="24"/>
          <w:highlight w:val="none"/>
        </w:rPr>
        <w:t>附件十：</w:t>
      </w:r>
      <w:bookmarkEnd w:id="67"/>
      <w:bookmarkEnd w:id="68"/>
      <w:bookmarkEnd w:id="69"/>
      <w:bookmarkEnd w:id="70"/>
      <w:bookmarkEnd w:id="71"/>
      <w:bookmarkEnd w:id="72"/>
      <w:bookmarkEnd w:id="73"/>
      <w:r>
        <w:rPr>
          <w:rFonts w:hint="eastAsia" w:ascii="宋体" w:hAnsi="宋体" w:eastAsia="宋体" w:cs="宋体"/>
          <w:b w:val="0"/>
          <w:bCs w:val="0"/>
          <w:sz w:val="24"/>
          <w:szCs w:val="24"/>
          <w:highlight w:val="none"/>
        </w:rPr>
        <w:t>人员现场到位率承诺书</w:t>
      </w:r>
      <w:bookmarkEnd w:id="74"/>
      <w:bookmarkEnd w:id="75"/>
      <w:bookmarkEnd w:id="76"/>
      <w:bookmarkEnd w:id="77"/>
    </w:p>
    <w:p w14:paraId="054758C8">
      <w:pPr>
        <w:snapToGrid w:val="0"/>
        <w:spacing w:before="50" w:after="120" w:afterLines="50"/>
        <w:jc w:val="center"/>
        <w:rPr>
          <w:rFonts w:ascii="宋体" w:hAnsi="宋体" w:cs="宋体"/>
          <w:b/>
          <w:sz w:val="44"/>
          <w:szCs w:val="44"/>
          <w:highlight w:val="none"/>
        </w:rPr>
      </w:pPr>
      <w:r>
        <w:rPr>
          <w:rFonts w:hint="eastAsia" w:ascii="宋体" w:hAnsi="宋体" w:cs="宋体"/>
          <w:b/>
          <w:sz w:val="44"/>
          <w:szCs w:val="44"/>
          <w:highlight w:val="none"/>
        </w:rPr>
        <w:t>人员现场到位率承诺书</w:t>
      </w:r>
    </w:p>
    <w:p w14:paraId="731E4DEE">
      <w:pPr>
        <w:spacing w:line="360" w:lineRule="auto"/>
        <w:rPr>
          <w:rFonts w:ascii="宋体" w:hAnsi="宋体"/>
          <w:bCs/>
          <w:sz w:val="24"/>
          <w:highlight w:val="none"/>
        </w:rPr>
      </w:pPr>
      <w:r>
        <w:rPr>
          <w:rFonts w:hint="eastAsia" w:ascii="宋体" w:hAnsi="宋体"/>
          <w:bCs/>
          <w:sz w:val="24"/>
          <w:highlight w:val="none"/>
        </w:rPr>
        <w:t>致：</w:t>
      </w:r>
      <w:r>
        <w:rPr>
          <w:rFonts w:hint="eastAsia" w:ascii="宋体" w:hAnsi="宋体"/>
          <w:sz w:val="24"/>
          <w:highlight w:val="none"/>
          <w:u w:val="single"/>
        </w:rPr>
        <w:t>东阳市马宅镇人民政府</w:t>
      </w:r>
    </w:p>
    <w:p w14:paraId="48D29BE0">
      <w:pPr>
        <w:spacing w:line="360" w:lineRule="auto"/>
        <w:ind w:firstLine="960" w:firstLineChars="400"/>
        <w:jc w:val="left"/>
        <w:rPr>
          <w:rFonts w:ascii="仿宋_GB2312" w:eastAsia="仿宋_GB2312"/>
          <w:b/>
          <w:bCs/>
          <w:sz w:val="24"/>
          <w:highlight w:val="none"/>
        </w:rPr>
      </w:pPr>
      <w:r>
        <w:rPr>
          <w:rFonts w:hint="eastAsia" w:ascii="宋体" w:hAnsi="宋体"/>
          <w:bCs/>
          <w:sz w:val="24"/>
          <w:highlight w:val="none"/>
        </w:rPr>
        <w:t>如有幸中标并参与</w:t>
      </w:r>
      <w:r>
        <w:rPr>
          <w:rFonts w:hint="eastAsia" w:ascii="宋体" w:hAnsi="宋体"/>
          <w:bCs/>
          <w:sz w:val="24"/>
          <w:highlight w:val="none"/>
          <w:u w:val="single"/>
        </w:rPr>
        <w:t xml:space="preserve">                         项目</w:t>
      </w:r>
      <w:r>
        <w:rPr>
          <w:rFonts w:hint="eastAsia" w:ascii="宋体" w:hAnsi="宋体"/>
          <w:bCs/>
          <w:sz w:val="24"/>
          <w:highlight w:val="none"/>
        </w:rPr>
        <w:t>工程的施工，我公司将派</w:t>
      </w:r>
      <w:r>
        <w:rPr>
          <w:rFonts w:hint="eastAsia" w:ascii="宋体" w:hAnsi="宋体"/>
          <w:bCs/>
          <w:sz w:val="24"/>
          <w:highlight w:val="none"/>
          <w:u w:val="single"/>
        </w:rPr>
        <w:t xml:space="preserve">                                        </w:t>
      </w:r>
      <w:r>
        <w:rPr>
          <w:rFonts w:hint="eastAsia" w:ascii="宋体" w:hAnsi="宋体"/>
          <w:bCs/>
          <w:sz w:val="24"/>
          <w:highlight w:val="none"/>
        </w:rPr>
        <w:t>（填写施工项目负责人姓名、负责人资格证书编号）为本工程的施工项目负责人，并保证施工项目负责人到位率在</w:t>
      </w:r>
      <w:r>
        <w:rPr>
          <w:rFonts w:hint="eastAsia" w:ascii="宋体" w:hAnsi="宋体"/>
          <w:bCs/>
          <w:sz w:val="24"/>
          <w:highlight w:val="none"/>
          <w:u w:val="single"/>
        </w:rPr>
        <w:t xml:space="preserve">     </w:t>
      </w:r>
      <w:r>
        <w:rPr>
          <w:rFonts w:hint="eastAsia" w:ascii="宋体" w:hAnsi="宋体"/>
          <w:bCs/>
          <w:sz w:val="24"/>
          <w:highlight w:val="none"/>
        </w:rPr>
        <w:t>%；保证项目管理人员到位率在</w:t>
      </w:r>
      <w:r>
        <w:rPr>
          <w:rFonts w:hint="eastAsia" w:ascii="宋体" w:hAnsi="宋体"/>
          <w:bCs/>
          <w:sz w:val="24"/>
          <w:highlight w:val="none"/>
          <w:u w:val="single"/>
        </w:rPr>
        <w:t xml:space="preserve">    </w:t>
      </w:r>
      <w:r>
        <w:rPr>
          <w:rFonts w:hint="eastAsia" w:ascii="宋体" w:hAnsi="宋体"/>
          <w:bCs/>
          <w:sz w:val="24"/>
          <w:highlight w:val="none"/>
        </w:rPr>
        <w:t>%；保证所有人员按投标文件中拟派的履行；</w:t>
      </w:r>
      <w:r>
        <w:rPr>
          <w:rFonts w:hint="eastAsia" w:ascii="新宋体" w:hAnsi="新宋体" w:eastAsia="新宋体"/>
          <w:sz w:val="24"/>
          <w:highlight w:val="none"/>
        </w:rPr>
        <w:t>合同执行期间，采购人对不称职人员如提出更换，我方保证不拒绝或拖延。</w:t>
      </w:r>
      <w:r>
        <w:rPr>
          <w:rFonts w:hint="eastAsia" w:ascii="宋体" w:hAnsi="宋体"/>
          <w:bCs/>
          <w:sz w:val="24"/>
          <w:highlight w:val="none"/>
        </w:rPr>
        <w:t>如违反此承诺，愿按以下规定接受处罚：</w:t>
      </w:r>
    </w:p>
    <w:p w14:paraId="7605C979">
      <w:pPr>
        <w:numPr>
          <w:ilvl w:val="0"/>
          <w:numId w:val="10"/>
        </w:numPr>
        <w:spacing w:line="360" w:lineRule="auto"/>
        <w:ind w:firstLine="480" w:firstLineChars="200"/>
        <w:rPr>
          <w:rFonts w:ascii="宋体" w:hAnsi="宋体"/>
          <w:sz w:val="24"/>
          <w:highlight w:val="none"/>
        </w:rPr>
      </w:pPr>
      <w:r>
        <w:rPr>
          <w:rFonts w:hint="eastAsia" w:ascii="宋体" w:hAnsi="宋体"/>
          <w:sz w:val="24"/>
          <w:highlight w:val="none"/>
        </w:rPr>
        <w:t>擅自更换</w:t>
      </w:r>
      <w:r>
        <w:rPr>
          <w:rFonts w:hint="eastAsia" w:ascii="宋体" w:hAnsi="宋体"/>
          <w:bCs/>
          <w:sz w:val="24"/>
          <w:highlight w:val="none"/>
        </w:rPr>
        <w:t>施工项目负责人</w:t>
      </w:r>
      <w:r>
        <w:rPr>
          <w:rFonts w:hint="eastAsia" w:ascii="宋体" w:hAnsi="宋体"/>
          <w:sz w:val="24"/>
          <w:highlight w:val="none"/>
        </w:rPr>
        <w:t>、管理人员的，分别罚款人民币</w:t>
      </w:r>
      <w:r>
        <w:rPr>
          <w:rFonts w:hint="eastAsia" w:ascii="宋体" w:hAnsi="宋体"/>
          <w:sz w:val="24"/>
          <w:highlight w:val="none"/>
          <w:u w:val="single"/>
        </w:rPr>
        <w:t>20000</w:t>
      </w:r>
      <w:r>
        <w:rPr>
          <w:rFonts w:hint="eastAsia" w:ascii="宋体" w:hAnsi="宋体"/>
          <w:sz w:val="24"/>
          <w:highlight w:val="none"/>
        </w:rPr>
        <w:t xml:space="preserve">元/人次、   </w:t>
      </w:r>
    </w:p>
    <w:p w14:paraId="4B4188FD">
      <w:pPr>
        <w:spacing w:line="360" w:lineRule="auto"/>
        <w:rPr>
          <w:rFonts w:ascii="宋体" w:hAnsi="宋体"/>
          <w:sz w:val="24"/>
          <w:highlight w:val="none"/>
        </w:rPr>
      </w:pPr>
      <w:r>
        <w:rPr>
          <w:rFonts w:hint="eastAsia" w:ascii="宋体" w:hAnsi="宋体"/>
          <w:sz w:val="24"/>
          <w:highlight w:val="none"/>
          <w:u w:val="single"/>
        </w:rPr>
        <w:t>10000</w:t>
      </w:r>
      <w:r>
        <w:rPr>
          <w:rFonts w:hint="eastAsia" w:ascii="宋体" w:hAnsi="宋体"/>
          <w:sz w:val="24"/>
          <w:highlight w:val="none"/>
        </w:rPr>
        <w:t>元/人次；（采购人要求更换的除外）；</w:t>
      </w:r>
    </w:p>
    <w:p w14:paraId="2A8A109D">
      <w:pPr>
        <w:spacing w:line="360" w:lineRule="auto"/>
        <w:ind w:firstLine="480" w:firstLineChars="200"/>
        <w:rPr>
          <w:rFonts w:ascii="宋体" w:hAnsi="宋体"/>
          <w:sz w:val="24"/>
          <w:highlight w:val="none"/>
        </w:rPr>
      </w:pPr>
      <w:r>
        <w:rPr>
          <w:rFonts w:hint="eastAsia" w:ascii="宋体" w:hAnsi="宋体"/>
          <w:sz w:val="24"/>
          <w:highlight w:val="none"/>
        </w:rPr>
        <w:t>2、若达不到投标承诺的到位率，每不足一天，</w:t>
      </w:r>
      <w:r>
        <w:rPr>
          <w:rFonts w:hint="eastAsia" w:ascii="宋体" w:hAnsi="宋体"/>
          <w:bCs/>
          <w:sz w:val="24"/>
          <w:highlight w:val="none"/>
        </w:rPr>
        <w:t>施工项目负责人</w:t>
      </w:r>
      <w:r>
        <w:rPr>
          <w:rFonts w:hint="eastAsia" w:ascii="宋体" w:hAnsi="宋体"/>
          <w:sz w:val="24"/>
          <w:highlight w:val="none"/>
        </w:rPr>
        <w:t>、管理人员分别罚款人民币</w:t>
      </w:r>
      <w:r>
        <w:rPr>
          <w:rFonts w:hint="eastAsia" w:ascii="宋体" w:hAnsi="宋体"/>
          <w:sz w:val="24"/>
          <w:highlight w:val="none"/>
          <w:u w:val="single"/>
        </w:rPr>
        <w:t>5000</w:t>
      </w:r>
      <w:r>
        <w:rPr>
          <w:rFonts w:hint="eastAsia" w:ascii="宋体" w:hAnsi="宋体"/>
          <w:sz w:val="24"/>
          <w:highlight w:val="none"/>
        </w:rPr>
        <w:t>元/天、</w:t>
      </w:r>
      <w:r>
        <w:rPr>
          <w:rFonts w:hint="eastAsia" w:ascii="宋体" w:hAnsi="宋体"/>
          <w:sz w:val="24"/>
          <w:highlight w:val="none"/>
          <w:u w:val="single"/>
        </w:rPr>
        <w:t>1000</w:t>
      </w:r>
      <w:r>
        <w:rPr>
          <w:rFonts w:hint="eastAsia" w:ascii="宋体" w:hAnsi="宋体"/>
          <w:sz w:val="24"/>
          <w:highlight w:val="none"/>
        </w:rPr>
        <w:t>元/天；</w:t>
      </w:r>
    </w:p>
    <w:p w14:paraId="6ABB9D37">
      <w:pPr>
        <w:spacing w:line="360" w:lineRule="auto"/>
        <w:ind w:firstLine="480" w:firstLineChars="200"/>
        <w:rPr>
          <w:rFonts w:ascii="新宋体" w:hAnsi="新宋体" w:eastAsia="新宋体"/>
          <w:sz w:val="24"/>
          <w:highlight w:val="none"/>
        </w:rPr>
      </w:pPr>
      <w:r>
        <w:rPr>
          <w:rFonts w:hint="eastAsia" w:ascii="新宋体" w:hAnsi="新宋体" w:eastAsia="新宋体"/>
          <w:sz w:val="24"/>
          <w:highlight w:val="none"/>
        </w:rPr>
        <w:t>3、合同执行期间，采购人对不称职</w:t>
      </w:r>
      <w:r>
        <w:rPr>
          <w:rFonts w:hint="eastAsia" w:ascii="宋体" w:hAnsi="宋体"/>
          <w:bCs/>
          <w:sz w:val="24"/>
          <w:highlight w:val="none"/>
        </w:rPr>
        <w:t>人员</w:t>
      </w:r>
      <w:r>
        <w:rPr>
          <w:rFonts w:hint="eastAsia" w:ascii="新宋体" w:hAnsi="新宋体" w:eastAsia="新宋体"/>
          <w:sz w:val="24"/>
          <w:highlight w:val="none"/>
        </w:rPr>
        <w:t>提出更换意见，我方拒绝或拖延的，采购人有权扣除我方工程款。</w:t>
      </w:r>
    </w:p>
    <w:p w14:paraId="05A1C7B0">
      <w:pPr>
        <w:widowControl/>
        <w:jc w:val="left"/>
        <w:rPr>
          <w:kern w:val="0"/>
          <w:sz w:val="24"/>
          <w:szCs w:val="20"/>
          <w:highlight w:val="none"/>
        </w:rPr>
      </w:pPr>
    </w:p>
    <w:p w14:paraId="48B83AD1">
      <w:pPr>
        <w:widowControl/>
        <w:jc w:val="left"/>
        <w:rPr>
          <w:kern w:val="0"/>
          <w:sz w:val="24"/>
          <w:szCs w:val="20"/>
          <w:highlight w:val="none"/>
        </w:rPr>
      </w:pPr>
    </w:p>
    <w:p w14:paraId="70731325">
      <w:pPr>
        <w:widowControl/>
        <w:jc w:val="left"/>
        <w:rPr>
          <w:kern w:val="0"/>
          <w:sz w:val="24"/>
          <w:szCs w:val="20"/>
          <w:highlight w:val="none"/>
        </w:rPr>
      </w:pPr>
    </w:p>
    <w:p w14:paraId="28F1753E">
      <w:pPr>
        <w:widowControl/>
        <w:jc w:val="left"/>
        <w:rPr>
          <w:kern w:val="0"/>
          <w:sz w:val="24"/>
          <w:szCs w:val="20"/>
          <w:highlight w:val="none"/>
        </w:rPr>
      </w:pPr>
    </w:p>
    <w:p w14:paraId="1F6C1CD9">
      <w:pPr>
        <w:pStyle w:val="11"/>
        <w:overflowPunct w:val="0"/>
        <w:spacing w:line="360" w:lineRule="auto"/>
        <w:ind w:right="420" w:firstLine="3300" w:firstLineChars="1375"/>
        <w:rPr>
          <w:rFonts w:ascii="宋体" w:hAnsi="宋体" w:cs="宋体"/>
          <w:sz w:val="24"/>
          <w:szCs w:val="24"/>
          <w:highlight w:val="none"/>
        </w:rPr>
      </w:pPr>
      <w:r>
        <w:rPr>
          <w:rFonts w:hint="eastAsia" w:ascii="宋体" w:hAnsi="宋体" w:cs="宋体"/>
          <w:sz w:val="24"/>
          <w:szCs w:val="24"/>
          <w:highlight w:val="none"/>
        </w:rPr>
        <w:t>供应商（单位盖章）：</w:t>
      </w:r>
    </w:p>
    <w:p w14:paraId="05B350B1">
      <w:pPr>
        <w:pStyle w:val="11"/>
        <w:overflowPunct w:val="0"/>
        <w:spacing w:line="360" w:lineRule="auto"/>
        <w:ind w:right="420" w:firstLine="3360" w:firstLineChars="1400"/>
        <w:rPr>
          <w:rFonts w:ascii="宋体" w:hAnsi="宋体" w:cs="宋体"/>
          <w:sz w:val="24"/>
          <w:szCs w:val="24"/>
          <w:highlight w:val="none"/>
        </w:rPr>
      </w:pPr>
      <w:r>
        <w:rPr>
          <w:rFonts w:hint="eastAsia" w:ascii="宋体" w:hAnsi="宋体" w:cs="宋体"/>
          <w:sz w:val="24"/>
          <w:szCs w:val="24"/>
          <w:highlight w:val="none"/>
        </w:rPr>
        <w:t xml:space="preserve">法定代表人或委托代理人（签字或盖章）：                         </w:t>
      </w:r>
    </w:p>
    <w:p w14:paraId="599330D9">
      <w:pPr>
        <w:spacing w:before="120" w:beforeLines="50" w:line="360" w:lineRule="auto"/>
        <w:ind w:right="-21" w:rightChars="-10" w:firstLine="470" w:firstLineChars="196"/>
        <w:jc w:val="right"/>
        <w:rPr>
          <w:rFonts w:ascii="宋体" w:hAnsi="宋体" w:cs="宋体"/>
          <w:sz w:val="24"/>
          <w:highlight w:val="none"/>
        </w:rPr>
      </w:pPr>
      <w:r>
        <w:rPr>
          <w:rFonts w:hint="eastAsia" w:ascii="宋体" w:hAnsi="宋体" w:cs="宋体"/>
          <w:sz w:val="24"/>
          <w:highlight w:val="none"/>
        </w:rPr>
        <w:t>年  月  日</w:t>
      </w:r>
    </w:p>
    <w:p w14:paraId="53AB0975">
      <w:pPr>
        <w:rPr>
          <w:highlight w:val="none"/>
        </w:rPr>
      </w:pPr>
    </w:p>
    <w:p w14:paraId="3DB19851">
      <w:pPr>
        <w:pStyle w:val="4"/>
        <w:keepNext w:val="0"/>
        <w:keepLines w:val="0"/>
        <w:pageBreakBefore/>
        <w:spacing w:line="415" w:lineRule="auto"/>
        <w:rPr>
          <w:rFonts w:ascii="宋体" w:hAnsi="宋体" w:eastAsia="宋体" w:cs="宋体"/>
          <w:b w:val="0"/>
          <w:bCs w:val="0"/>
          <w:sz w:val="24"/>
          <w:szCs w:val="24"/>
          <w:highlight w:val="none"/>
        </w:rPr>
      </w:pPr>
      <w:bookmarkStart w:id="84" w:name="_Toc834"/>
      <w:bookmarkStart w:id="85" w:name="_Toc10463"/>
      <w:bookmarkStart w:id="86" w:name="_Toc26142"/>
      <w:bookmarkStart w:id="87" w:name="_Toc174370016"/>
      <w:r>
        <w:rPr>
          <w:rFonts w:hint="eastAsia" w:ascii="宋体" w:hAnsi="宋体" w:eastAsia="宋体" w:cs="宋体"/>
          <w:b w:val="0"/>
          <w:bCs w:val="0"/>
          <w:sz w:val="24"/>
          <w:szCs w:val="24"/>
          <w:highlight w:val="none"/>
        </w:rPr>
        <w:t>附件十一：安全生产及其他承诺函</w:t>
      </w:r>
      <w:bookmarkEnd w:id="84"/>
      <w:bookmarkEnd w:id="85"/>
      <w:bookmarkEnd w:id="86"/>
      <w:bookmarkEnd w:id="87"/>
    </w:p>
    <w:p w14:paraId="7547C63B">
      <w:pPr>
        <w:snapToGrid w:val="0"/>
        <w:spacing w:before="50" w:after="120" w:afterLines="50"/>
        <w:jc w:val="center"/>
        <w:rPr>
          <w:rFonts w:ascii="宋体" w:hAnsi="宋体" w:cs="宋体"/>
          <w:b/>
          <w:sz w:val="44"/>
          <w:szCs w:val="44"/>
          <w:highlight w:val="none"/>
        </w:rPr>
      </w:pPr>
      <w:r>
        <w:rPr>
          <w:rFonts w:hint="eastAsia" w:ascii="宋体" w:hAnsi="宋体" w:cs="宋体"/>
          <w:b/>
          <w:sz w:val="44"/>
          <w:szCs w:val="44"/>
          <w:highlight w:val="none"/>
        </w:rPr>
        <w:t>安全生产及其他承诺函</w:t>
      </w:r>
    </w:p>
    <w:p w14:paraId="026D042D">
      <w:pPr>
        <w:snapToGrid w:val="0"/>
        <w:spacing w:before="50" w:after="120" w:afterLines="50"/>
        <w:jc w:val="left"/>
        <w:rPr>
          <w:rFonts w:ascii="宋体" w:hAnsi="宋体" w:cs="宋体"/>
          <w:b/>
          <w:sz w:val="24"/>
          <w:highlight w:val="none"/>
        </w:rPr>
      </w:pPr>
    </w:p>
    <w:p w14:paraId="27A43B26">
      <w:pPr>
        <w:spacing w:line="360" w:lineRule="auto"/>
        <w:rPr>
          <w:rFonts w:ascii="宋体" w:hAnsi="宋体" w:cs="宋体"/>
          <w:sz w:val="28"/>
          <w:szCs w:val="28"/>
          <w:highlight w:val="none"/>
        </w:rPr>
      </w:pPr>
      <w:r>
        <w:rPr>
          <w:rFonts w:hint="eastAsia" w:ascii="宋体" w:hAnsi="宋体" w:cs="宋体"/>
          <w:sz w:val="28"/>
          <w:szCs w:val="28"/>
          <w:highlight w:val="none"/>
        </w:rPr>
        <w:t>致：东阳市马宅镇人民政府 </w:t>
      </w:r>
    </w:p>
    <w:p w14:paraId="2ED8F76E">
      <w:pPr>
        <w:spacing w:line="360" w:lineRule="auto"/>
        <w:ind w:firstLine="560" w:firstLineChars="200"/>
        <w:rPr>
          <w:rFonts w:ascii="宋体" w:hAnsi="宋体" w:cs="宋体"/>
          <w:sz w:val="28"/>
          <w:szCs w:val="28"/>
          <w:highlight w:val="none"/>
        </w:rPr>
      </w:pPr>
      <w:r>
        <w:rPr>
          <w:rFonts w:hint="eastAsia" w:ascii="宋体" w:hAnsi="宋体"/>
          <w:sz w:val="28"/>
          <w:szCs w:val="28"/>
          <w:highlight w:val="none"/>
        </w:rPr>
        <w:t>根据贵方</w:t>
      </w:r>
      <w:r>
        <w:rPr>
          <w:rFonts w:hint="eastAsia" w:ascii="宋体" w:hAnsi="宋体"/>
          <w:sz w:val="28"/>
          <w:szCs w:val="28"/>
          <w:highlight w:val="none"/>
          <w:u w:val="single"/>
        </w:rPr>
        <w:t xml:space="preserve">                        项目</w:t>
      </w:r>
      <w:r>
        <w:rPr>
          <w:rFonts w:hint="eastAsia" w:ascii="宋体" w:hAnsi="宋体"/>
          <w:sz w:val="28"/>
          <w:szCs w:val="28"/>
          <w:highlight w:val="none"/>
        </w:rPr>
        <w:t>招标公告（项目编号：</w:t>
      </w:r>
      <w:r>
        <w:rPr>
          <w:rFonts w:hint="eastAsia" w:ascii="宋体" w:hAnsi="宋体"/>
          <w:sz w:val="28"/>
          <w:szCs w:val="28"/>
          <w:highlight w:val="none"/>
          <w:u w:val="single"/>
        </w:rPr>
        <w:t xml:space="preserve">         </w:t>
      </w:r>
      <w:r>
        <w:rPr>
          <w:rFonts w:hint="eastAsia" w:ascii="宋体" w:hAnsi="宋体"/>
          <w:sz w:val="28"/>
          <w:szCs w:val="28"/>
          <w:highlight w:val="none"/>
        </w:rPr>
        <w:t>），签字代表</w:t>
      </w:r>
      <w:r>
        <w:rPr>
          <w:rFonts w:hint="eastAsia" w:ascii="宋体" w:hAnsi="宋体"/>
          <w:sz w:val="28"/>
          <w:szCs w:val="28"/>
          <w:highlight w:val="none"/>
          <w:u w:val="single"/>
        </w:rPr>
        <w:t xml:space="preserve">             </w:t>
      </w:r>
      <w:r>
        <w:rPr>
          <w:rFonts w:hint="eastAsia" w:ascii="宋体" w:hAnsi="宋体"/>
          <w:sz w:val="28"/>
          <w:szCs w:val="28"/>
          <w:highlight w:val="none"/>
        </w:rPr>
        <w:t>（全名）经正式授权并代表投标人</w:t>
      </w:r>
      <w:r>
        <w:rPr>
          <w:rFonts w:hint="eastAsia" w:ascii="宋体" w:hAnsi="宋体"/>
          <w:sz w:val="28"/>
          <w:szCs w:val="28"/>
          <w:highlight w:val="none"/>
          <w:u w:val="single"/>
        </w:rPr>
        <w:t xml:space="preserve">                         </w:t>
      </w:r>
      <w:r>
        <w:rPr>
          <w:rFonts w:hint="eastAsia" w:ascii="宋体" w:hAnsi="宋体"/>
          <w:sz w:val="28"/>
          <w:szCs w:val="28"/>
          <w:highlight w:val="none"/>
        </w:rPr>
        <w:t>（投标人名称）作出如下承诺：</w:t>
      </w:r>
    </w:p>
    <w:p w14:paraId="26B22799">
      <w:pPr>
        <w:spacing w:line="360" w:lineRule="auto"/>
        <w:ind w:firstLine="560" w:firstLineChars="200"/>
        <w:rPr>
          <w:rFonts w:ascii="宋体" w:hAnsi="宋体"/>
          <w:sz w:val="28"/>
          <w:szCs w:val="28"/>
          <w:highlight w:val="none"/>
        </w:rPr>
      </w:pPr>
    </w:p>
    <w:p w14:paraId="317EEFC1">
      <w:pPr>
        <w:spacing w:line="360" w:lineRule="auto"/>
        <w:ind w:firstLine="560" w:firstLineChars="200"/>
        <w:rPr>
          <w:rFonts w:ascii="宋体" w:hAnsi="宋体"/>
          <w:sz w:val="28"/>
          <w:szCs w:val="28"/>
          <w:highlight w:val="none"/>
        </w:rPr>
      </w:pPr>
      <w:r>
        <w:rPr>
          <w:rFonts w:hint="eastAsia" w:ascii="宋体" w:hAnsi="宋体"/>
          <w:sz w:val="28"/>
          <w:szCs w:val="28"/>
          <w:highlight w:val="none"/>
        </w:rPr>
        <w:t>（1）我方承诺本项目在验收合格前所发生的一切经济、安全及其他责任事故以及验收合格后因中标人原因导致的一切事故及损失均由我公司承担，与采购人无关。</w:t>
      </w:r>
    </w:p>
    <w:p w14:paraId="79662EB4">
      <w:pPr>
        <w:spacing w:line="360" w:lineRule="auto"/>
        <w:ind w:firstLine="560" w:firstLineChars="200"/>
        <w:rPr>
          <w:rFonts w:ascii="宋体" w:hAnsi="宋体"/>
          <w:sz w:val="28"/>
          <w:szCs w:val="28"/>
          <w:highlight w:val="none"/>
        </w:rPr>
      </w:pPr>
      <w:r>
        <w:rPr>
          <w:rFonts w:hint="eastAsia" w:ascii="宋体" w:hAnsi="宋体"/>
          <w:sz w:val="28"/>
          <w:szCs w:val="28"/>
          <w:highlight w:val="none"/>
        </w:rPr>
        <w:t>（2）工期按招标文件规定实行，如工期延误的，按1000元/天在工程款中扣除，且由我公司承担全部损失。</w:t>
      </w:r>
    </w:p>
    <w:p w14:paraId="051DAFD5">
      <w:pPr>
        <w:spacing w:line="360" w:lineRule="auto"/>
        <w:ind w:firstLine="560" w:firstLineChars="200"/>
        <w:rPr>
          <w:rFonts w:ascii="宋体" w:hAnsi="宋体"/>
          <w:sz w:val="28"/>
          <w:szCs w:val="28"/>
          <w:highlight w:val="none"/>
        </w:rPr>
      </w:pPr>
      <w:r>
        <w:rPr>
          <w:rFonts w:hint="eastAsia" w:ascii="宋体" w:hAnsi="宋体"/>
          <w:sz w:val="28"/>
          <w:szCs w:val="28"/>
          <w:highlight w:val="none"/>
        </w:rPr>
        <w:t>（3）在施工过程中产生的垃圾，由我公司清运、处置。</w:t>
      </w:r>
    </w:p>
    <w:p w14:paraId="78C5978C">
      <w:pPr>
        <w:rPr>
          <w:rFonts w:ascii="宋体" w:hAnsi="宋体" w:cs="宋体"/>
          <w:sz w:val="28"/>
          <w:szCs w:val="28"/>
          <w:highlight w:val="none"/>
        </w:rPr>
      </w:pPr>
    </w:p>
    <w:p w14:paraId="6E54A40C">
      <w:pPr>
        <w:spacing w:line="360" w:lineRule="auto"/>
        <w:rPr>
          <w:rFonts w:ascii="宋体" w:hAnsi="宋体" w:cs="宋体"/>
          <w:sz w:val="28"/>
          <w:szCs w:val="28"/>
          <w:highlight w:val="none"/>
        </w:rPr>
      </w:pPr>
    </w:p>
    <w:p w14:paraId="1C2E9B4A">
      <w:pPr>
        <w:spacing w:line="360" w:lineRule="auto"/>
        <w:ind w:firstLine="560" w:firstLineChars="200"/>
        <w:rPr>
          <w:rFonts w:ascii="宋体" w:hAnsi="宋体"/>
          <w:sz w:val="28"/>
          <w:szCs w:val="28"/>
          <w:highlight w:val="none"/>
        </w:rPr>
      </w:pPr>
    </w:p>
    <w:bookmarkEnd w:id="78"/>
    <w:bookmarkEnd w:id="79"/>
    <w:p w14:paraId="48A26992">
      <w:pPr>
        <w:spacing w:line="360" w:lineRule="auto"/>
        <w:ind w:firstLine="3920" w:firstLineChars="1400"/>
        <w:rPr>
          <w:rFonts w:ascii="宋体" w:hAnsi="宋体"/>
          <w:sz w:val="28"/>
          <w:szCs w:val="28"/>
          <w:highlight w:val="none"/>
        </w:rPr>
      </w:pPr>
      <w:r>
        <w:rPr>
          <w:rFonts w:hint="eastAsia" w:ascii="宋体" w:hAnsi="宋体"/>
          <w:sz w:val="28"/>
          <w:szCs w:val="28"/>
          <w:highlight w:val="none"/>
        </w:rPr>
        <w:t>供应商（单位盖章）：</w:t>
      </w:r>
    </w:p>
    <w:p w14:paraId="55206741">
      <w:pPr>
        <w:spacing w:line="360" w:lineRule="auto"/>
        <w:ind w:firstLine="3920" w:firstLineChars="1400"/>
        <w:rPr>
          <w:rFonts w:ascii="宋体" w:hAnsi="宋体" w:cs="宋体"/>
          <w:sz w:val="24"/>
          <w:highlight w:val="none"/>
        </w:rPr>
      </w:pPr>
      <w:r>
        <w:rPr>
          <w:rFonts w:hint="eastAsia" w:ascii="宋体" w:hAnsi="宋体"/>
          <w:sz w:val="28"/>
          <w:szCs w:val="28"/>
          <w:highlight w:val="none"/>
        </w:rPr>
        <w:t xml:space="preserve">法定代表人或委托代理人（签字或盖章）：   </w:t>
      </w:r>
      <w:r>
        <w:rPr>
          <w:rFonts w:hint="eastAsia" w:ascii="宋体" w:hAnsi="宋体" w:cs="宋体"/>
          <w:sz w:val="24"/>
          <w:highlight w:val="none"/>
        </w:rPr>
        <w:t xml:space="preserve">                      </w:t>
      </w:r>
    </w:p>
    <w:p w14:paraId="6E4E8CCF">
      <w:pPr>
        <w:spacing w:line="360" w:lineRule="auto"/>
        <w:ind w:firstLine="4480" w:firstLineChars="1600"/>
        <w:rPr>
          <w:rFonts w:ascii="宋体" w:hAnsi="宋体"/>
          <w:sz w:val="28"/>
          <w:szCs w:val="28"/>
          <w:highlight w:val="none"/>
        </w:rPr>
      </w:pPr>
      <w:r>
        <w:rPr>
          <w:rFonts w:hint="eastAsia" w:ascii="宋体" w:hAnsi="宋体"/>
          <w:sz w:val="28"/>
          <w:szCs w:val="28"/>
          <w:highlight w:val="none"/>
        </w:rPr>
        <w:t>年  月  日</w:t>
      </w:r>
    </w:p>
    <w:p w14:paraId="1537C201">
      <w:pPr>
        <w:pStyle w:val="4"/>
        <w:keepNext w:val="0"/>
        <w:keepLines w:val="0"/>
        <w:pageBreakBefore/>
        <w:spacing w:line="415" w:lineRule="auto"/>
        <w:rPr>
          <w:rFonts w:ascii="宋体" w:hAnsi="宋体" w:eastAsia="宋体" w:cs="宋体"/>
          <w:b w:val="0"/>
          <w:bCs w:val="0"/>
          <w:sz w:val="24"/>
          <w:szCs w:val="24"/>
          <w:highlight w:val="none"/>
        </w:rPr>
      </w:pPr>
      <w:bookmarkStart w:id="88" w:name="_Toc174370017"/>
      <w:r>
        <w:rPr>
          <w:rFonts w:hint="eastAsia" w:ascii="宋体" w:hAnsi="宋体" w:eastAsia="宋体" w:cs="宋体"/>
          <w:b w:val="0"/>
          <w:bCs w:val="0"/>
          <w:sz w:val="24"/>
          <w:szCs w:val="24"/>
          <w:highlight w:val="none"/>
        </w:rPr>
        <w:t>附件十二：</w:t>
      </w:r>
      <w:bookmarkEnd w:id="80"/>
      <w:bookmarkEnd w:id="81"/>
      <w:bookmarkEnd w:id="82"/>
      <w:bookmarkStart w:id="89" w:name="_Toc20267"/>
      <w:bookmarkStart w:id="90" w:name="_Toc31096"/>
      <w:r>
        <w:rPr>
          <w:rFonts w:hint="eastAsia" w:ascii="宋体" w:hAnsi="宋体" w:eastAsia="宋体" w:cs="宋体"/>
          <w:b w:val="0"/>
          <w:bCs w:val="0"/>
          <w:sz w:val="24"/>
          <w:szCs w:val="24"/>
          <w:highlight w:val="none"/>
        </w:rPr>
        <w:t>拟投入本项目</w:t>
      </w:r>
      <w:bookmarkEnd w:id="89"/>
      <w:r>
        <w:rPr>
          <w:rFonts w:hint="eastAsia" w:ascii="宋体" w:hAnsi="宋体" w:eastAsia="宋体" w:cs="宋体"/>
          <w:b w:val="0"/>
          <w:bCs w:val="0"/>
          <w:sz w:val="24"/>
          <w:szCs w:val="24"/>
          <w:highlight w:val="none"/>
        </w:rPr>
        <w:t>人员一览表</w:t>
      </w:r>
      <w:bookmarkEnd w:id="88"/>
      <w:bookmarkEnd w:id="90"/>
    </w:p>
    <w:p w14:paraId="6483B9AD">
      <w:pPr>
        <w:jc w:val="center"/>
        <w:rPr>
          <w:rFonts w:ascii="宋体" w:hAnsi="宋体"/>
          <w:b/>
          <w:sz w:val="28"/>
          <w:szCs w:val="28"/>
          <w:highlight w:val="none"/>
        </w:rPr>
      </w:pPr>
      <w:r>
        <w:rPr>
          <w:rFonts w:ascii="宋体" w:hAnsi="宋体"/>
          <w:b/>
          <w:sz w:val="28"/>
          <w:szCs w:val="28"/>
          <w:highlight w:val="none"/>
        </w:rPr>
        <w:t>拟投入本项目人员一览表</w:t>
      </w:r>
    </w:p>
    <w:p w14:paraId="389A91AB">
      <w:pPr>
        <w:rPr>
          <w:rFonts w:ascii="宋体" w:hAnsi="宋体"/>
          <w:b/>
          <w:sz w:val="28"/>
          <w:szCs w:val="28"/>
          <w:highlight w:val="none"/>
        </w:rPr>
      </w:pPr>
      <w:r>
        <w:rPr>
          <w:rFonts w:hint="eastAsia" w:ascii="宋体" w:hAnsi="宋体"/>
          <w:sz w:val="24"/>
          <w:highlight w:val="none"/>
        </w:rPr>
        <w:t>项目名称：</w:t>
      </w:r>
      <w:r>
        <w:rPr>
          <w:rFonts w:hint="eastAsia" w:ascii="宋体" w:hAnsi="宋体"/>
          <w:sz w:val="24"/>
          <w:highlight w:val="none"/>
          <w:u w:val="single"/>
        </w:rPr>
        <w:t xml:space="preserve">                             </w:t>
      </w:r>
      <w:r>
        <w:rPr>
          <w:rFonts w:hint="eastAsia" w:ascii="宋体" w:hAnsi="宋体"/>
          <w:sz w:val="24"/>
          <w:highlight w:val="none"/>
        </w:rPr>
        <w:t xml:space="preserve">   招标编号：</w:t>
      </w:r>
      <w:r>
        <w:rPr>
          <w:rFonts w:hint="eastAsia" w:ascii="宋体" w:hAnsi="宋体"/>
          <w:sz w:val="24"/>
          <w:highlight w:val="none"/>
          <w:u w:val="single"/>
        </w:rPr>
        <w:t xml:space="preserve">             </w:t>
      </w:r>
      <w:r>
        <w:rPr>
          <w:rFonts w:hint="eastAsia" w:ascii="宋体" w:hAnsi="宋体"/>
          <w:sz w:val="24"/>
          <w:highlight w:val="none"/>
        </w:rPr>
        <w:t xml:space="preserve">   </w:t>
      </w:r>
    </w:p>
    <w:tbl>
      <w:tblPr>
        <w:tblStyle w:val="3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080"/>
        <w:gridCol w:w="1080"/>
        <w:gridCol w:w="1440"/>
        <w:gridCol w:w="1620"/>
        <w:gridCol w:w="1458"/>
        <w:gridCol w:w="1505"/>
      </w:tblGrid>
      <w:tr w14:paraId="48C14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60" w:type="dxa"/>
            <w:vMerge w:val="restart"/>
            <w:vAlign w:val="center"/>
          </w:tcPr>
          <w:p w14:paraId="7E1D8BD7">
            <w:pPr>
              <w:jc w:val="center"/>
              <w:rPr>
                <w:rFonts w:ascii="宋体" w:hAnsi="宋体"/>
                <w:szCs w:val="21"/>
                <w:highlight w:val="none"/>
              </w:rPr>
            </w:pPr>
            <w:r>
              <w:rPr>
                <w:rFonts w:hint="eastAsia" w:ascii="宋体" w:hAnsi="宋体"/>
                <w:szCs w:val="21"/>
                <w:highlight w:val="none"/>
              </w:rPr>
              <w:t>在本项目任职岗位</w:t>
            </w:r>
          </w:p>
        </w:tc>
        <w:tc>
          <w:tcPr>
            <w:tcW w:w="1080" w:type="dxa"/>
            <w:vMerge w:val="restart"/>
            <w:vAlign w:val="center"/>
          </w:tcPr>
          <w:p w14:paraId="6898D098">
            <w:pPr>
              <w:jc w:val="center"/>
              <w:rPr>
                <w:rFonts w:ascii="宋体" w:hAnsi="宋体"/>
                <w:szCs w:val="21"/>
                <w:highlight w:val="none"/>
              </w:rPr>
            </w:pPr>
            <w:r>
              <w:rPr>
                <w:rFonts w:hint="eastAsia" w:ascii="宋体" w:hAnsi="宋体"/>
                <w:szCs w:val="21"/>
                <w:highlight w:val="none"/>
              </w:rPr>
              <w:t>姓名</w:t>
            </w:r>
          </w:p>
        </w:tc>
        <w:tc>
          <w:tcPr>
            <w:tcW w:w="1080" w:type="dxa"/>
            <w:vMerge w:val="restart"/>
            <w:vAlign w:val="center"/>
          </w:tcPr>
          <w:p w14:paraId="1ABA30D6">
            <w:pPr>
              <w:jc w:val="center"/>
              <w:rPr>
                <w:rFonts w:ascii="宋体" w:hAnsi="宋体"/>
                <w:szCs w:val="21"/>
                <w:highlight w:val="none"/>
              </w:rPr>
            </w:pPr>
            <w:r>
              <w:rPr>
                <w:rFonts w:hint="eastAsia" w:ascii="宋体" w:hAnsi="宋体"/>
                <w:szCs w:val="21"/>
                <w:highlight w:val="none"/>
              </w:rPr>
              <w:t>职称</w:t>
            </w:r>
          </w:p>
        </w:tc>
        <w:tc>
          <w:tcPr>
            <w:tcW w:w="4518" w:type="dxa"/>
            <w:gridSpan w:val="3"/>
            <w:vAlign w:val="center"/>
          </w:tcPr>
          <w:p w14:paraId="289CDA39">
            <w:pPr>
              <w:jc w:val="center"/>
              <w:rPr>
                <w:rFonts w:ascii="宋体" w:hAnsi="宋体"/>
                <w:szCs w:val="21"/>
                <w:highlight w:val="none"/>
              </w:rPr>
            </w:pPr>
            <w:r>
              <w:rPr>
                <w:rFonts w:hint="eastAsia" w:ascii="宋体" w:hAnsi="宋体"/>
                <w:szCs w:val="21"/>
                <w:highlight w:val="none"/>
              </w:rPr>
              <w:t>执业或职业资格证明</w:t>
            </w:r>
          </w:p>
        </w:tc>
        <w:tc>
          <w:tcPr>
            <w:tcW w:w="1505" w:type="dxa"/>
            <w:vMerge w:val="restart"/>
            <w:vAlign w:val="center"/>
          </w:tcPr>
          <w:p w14:paraId="3DDDAC4F">
            <w:pPr>
              <w:jc w:val="center"/>
              <w:rPr>
                <w:rFonts w:ascii="宋体" w:hAnsi="宋体"/>
                <w:szCs w:val="21"/>
                <w:highlight w:val="none"/>
              </w:rPr>
            </w:pPr>
            <w:r>
              <w:rPr>
                <w:rFonts w:hint="eastAsia" w:ascii="宋体" w:hAnsi="宋体"/>
                <w:szCs w:val="21"/>
                <w:highlight w:val="none"/>
              </w:rPr>
              <w:t>备注</w:t>
            </w:r>
          </w:p>
        </w:tc>
      </w:tr>
      <w:tr w14:paraId="18390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260" w:type="dxa"/>
            <w:vMerge w:val="continue"/>
          </w:tcPr>
          <w:p w14:paraId="25A71F06">
            <w:pPr>
              <w:rPr>
                <w:rFonts w:ascii="宋体" w:hAnsi="宋体"/>
                <w:szCs w:val="21"/>
                <w:highlight w:val="none"/>
              </w:rPr>
            </w:pPr>
          </w:p>
        </w:tc>
        <w:tc>
          <w:tcPr>
            <w:tcW w:w="1080" w:type="dxa"/>
            <w:vMerge w:val="continue"/>
          </w:tcPr>
          <w:p w14:paraId="73D1DC90">
            <w:pPr>
              <w:rPr>
                <w:rFonts w:ascii="宋体" w:hAnsi="宋体"/>
                <w:szCs w:val="21"/>
                <w:highlight w:val="none"/>
              </w:rPr>
            </w:pPr>
          </w:p>
        </w:tc>
        <w:tc>
          <w:tcPr>
            <w:tcW w:w="1080" w:type="dxa"/>
            <w:vMerge w:val="continue"/>
          </w:tcPr>
          <w:p w14:paraId="65F702A7">
            <w:pPr>
              <w:rPr>
                <w:rFonts w:ascii="宋体" w:hAnsi="宋体"/>
                <w:szCs w:val="21"/>
                <w:highlight w:val="none"/>
              </w:rPr>
            </w:pPr>
          </w:p>
        </w:tc>
        <w:tc>
          <w:tcPr>
            <w:tcW w:w="1440" w:type="dxa"/>
            <w:vAlign w:val="center"/>
          </w:tcPr>
          <w:p w14:paraId="7D021B7D">
            <w:pPr>
              <w:jc w:val="center"/>
              <w:rPr>
                <w:rFonts w:ascii="宋体" w:hAnsi="宋体"/>
                <w:szCs w:val="21"/>
                <w:highlight w:val="none"/>
              </w:rPr>
            </w:pPr>
            <w:r>
              <w:rPr>
                <w:rFonts w:hint="eastAsia" w:ascii="宋体" w:hAnsi="宋体"/>
                <w:szCs w:val="21"/>
                <w:highlight w:val="none"/>
              </w:rPr>
              <w:t>证书名称</w:t>
            </w:r>
          </w:p>
        </w:tc>
        <w:tc>
          <w:tcPr>
            <w:tcW w:w="1620" w:type="dxa"/>
            <w:vAlign w:val="center"/>
          </w:tcPr>
          <w:p w14:paraId="49A2EC2A">
            <w:pPr>
              <w:jc w:val="center"/>
              <w:rPr>
                <w:rFonts w:ascii="宋体" w:hAnsi="宋体"/>
                <w:szCs w:val="21"/>
                <w:highlight w:val="none"/>
              </w:rPr>
            </w:pPr>
            <w:r>
              <w:rPr>
                <w:rFonts w:hint="eastAsia" w:ascii="宋体" w:hAnsi="宋体"/>
                <w:szCs w:val="21"/>
                <w:highlight w:val="none"/>
              </w:rPr>
              <w:t>级别</w:t>
            </w:r>
          </w:p>
        </w:tc>
        <w:tc>
          <w:tcPr>
            <w:tcW w:w="1458" w:type="dxa"/>
            <w:vAlign w:val="center"/>
          </w:tcPr>
          <w:p w14:paraId="66A9525E">
            <w:pPr>
              <w:jc w:val="center"/>
              <w:rPr>
                <w:rFonts w:ascii="宋体" w:hAnsi="宋体"/>
                <w:szCs w:val="21"/>
                <w:highlight w:val="none"/>
              </w:rPr>
            </w:pPr>
            <w:r>
              <w:rPr>
                <w:rFonts w:hint="eastAsia" w:ascii="宋体" w:hAnsi="宋体"/>
                <w:szCs w:val="21"/>
                <w:highlight w:val="none"/>
              </w:rPr>
              <w:t>证号</w:t>
            </w:r>
          </w:p>
        </w:tc>
        <w:tc>
          <w:tcPr>
            <w:tcW w:w="1505" w:type="dxa"/>
            <w:vMerge w:val="continue"/>
          </w:tcPr>
          <w:p w14:paraId="3F782650">
            <w:pPr>
              <w:rPr>
                <w:rFonts w:ascii="宋体" w:hAnsi="宋体"/>
                <w:szCs w:val="21"/>
                <w:highlight w:val="none"/>
              </w:rPr>
            </w:pPr>
          </w:p>
        </w:tc>
      </w:tr>
      <w:tr w14:paraId="0D990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60" w:type="dxa"/>
          </w:tcPr>
          <w:p w14:paraId="471D1C2B">
            <w:pPr>
              <w:rPr>
                <w:rFonts w:ascii="宋体" w:hAnsi="宋体"/>
                <w:szCs w:val="21"/>
                <w:highlight w:val="none"/>
              </w:rPr>
            </w:pPr>
          </w:p>
        </w:tc>
        <w:tc>
          <w:tcPr>
            <w:tcW w:w="1080" w:type="dxa"/>
          </w:tcPr>
          <w:p w14:paraId="1D37AC54">
            <w:pPr>
              <w:rPr>
                <w:rFonts w:ascii="宋体" w:hAnsi="宋体"/>
                <w:szCs w:val="21"/>
                <w:highlight w:val="none"/>
              </w:rPr>
            </w:pPr>
          </w:p>
        </w:tc>
        <w:tc>
          <w:tcPr>
            <w:tcW w:w="1080" w:type="dxa"/>
          </w:tcPr>
          <w:p w14:paraId="685EB4C3">
            <w:pPr>
              <w:rPr>
                <w:rFonts w:ascii="宋体" w:hAnsi="宋体"/>
                <w:szCs w:val="21"/>
                <w:highlight w:val="none"/>
              </w:rPr>
            </w:pPr>
          </w:p>
        </w:tc>
        <w:tc>
          <w:tcPr>
            <w:tcW w:w="1440" w:type="dxa"/>
          </w:tcPr>
          <w:p w14:paraId="2407F485">
            <w:pPr>
              <w:rPr>
                <w:rFonts w:ascii="宋体" w:hAnsi="宋体"/>
                <w:szCs w:val="21"/>
                <w:highlight w:val="none"/>
              </w:rPr>
            </w:pPr>
          </w:p>
        </w:tc>
        <w:tc>
          <w:tcPr>
            <w:tcW w:w="1620" w:type="dxa"/>
          </w:tcPr>
          <w:p w14:paraId="3C2763CF">
            <w:pPr>
              <w:rPr>
                <w:rFonts w:ascii="宋体" w:hAnsi="宋体"/>
                <w:szCs w:val="21"/>
                <w:highlight w:val="none"/>
              </w:rPr>
            </w:pPr>
          </w:p>
        </w:tc>
        <w:tc>
          <w:tcPr>
            <w:tcW w:w="1458" w:type="dxa"/>
          </w:tcPr>
          <w:p w14:paraId="4D73CFA2">
            <w:pPr>
              <w:rPr>
                <w:rFonts w:ascii="宋体" w:hAnsi="宋体"/>
                <w:szCs w:val="21"/>
                <w:highlight w:val="none"/>
              </w:rPr>
            </w:pPr>
          </w:p>
        </w:tc>
        <w:tc>
          <w:tcPr>
            <w:tcW w:w="1505" w:type="dxa"/>
          </w:tcPr>
          <w:p w14:paraId="1A5075D3">
            <w:pPr>
              <w:rPr>
                <w:rFonts w:ascii="宋体" w:hAnsi="宋体"/>
                <w:szCs w:val="21"/>
                <w:highlight w:val="none"/>
              </w:rPr>
            </w:pPr>
          </w:p>
        </w:tc>
      </w:tr>
      <w:tr w14:paraId="61642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60" w:type="dxa"/>
          </w:tcPr>
          <w:p w14:paraId="7DE5DE13">
            <w:pPr>
              <w:rPr>
                <w:rFonts w:ascii="宋体" w:hAnsi="宋体"/>
                <w:szCs w:val="21"/>
                <w:highlight w:val="none"/>
              </w:rPr>
            </w:pPr>
          </w:p>
        </w:tc>
        <w:tc>
          <w:tcPr>
            <w:tcW w:w="1080" w:type="dxa"/>
          </w:tcPr>
          <w:p w14:paraId="70AFDE08">
            <w:pPr>
              <w:rPr>
                <w:rFonts w:ascii="宋体" w:hAnsi="宋体"/>
                <w:szCs w:val="21"/>
                <w:highlight w:val="none"/>
              </w:rPr>
            </w:pPr>
          </w:p>
        </w:tc>
        <w:tc>
          <w:tcPr>
            <w:tcW w:w="1080" w:type="dxa"/>
          </w:tcPr>
          <w:p w14:paraId="018E15DA">
            <w:pPr>
              <w:rPr>
                <w:rFonts w:ascii="宋体" w:hAnsi="宋体"/>
                <w:szCs w:val="21"/>
                <w:highlight w:val="none"/>
              </w:rPr>
            </w:pPr>
          </w:p>
        </w:tc>
        <w:tc>
          <w:tcPr>
            <w:tcW w:w="1440" w:type="dxa"/>
          </w:tcPr>
          <w:p w14:paraId="72C8796B">
            <w:pPr>
              <w:rPr>
                <w:rFonts w:ascii="宋体" w:hAnsi="宋体"/>
                <w:szCs w:val="21"/>
                <w:highlight w:val="none"/>
              </w:rPr>
            </w:pPr>
          </w:p>
        </w:tc>
        <w:tc>
          <w:tcPr>
            <w:tcW w:w="1620" w:type="dxa"/>
          </w:tcPr>
          <w:p w14:paraId="38B05C9B">
            <w:pPr>
              <w:rPr>
                <w:rFonts w:ascii="宋体" w:hAnsi="宋体"/>
                <w:szCs w:val="21"/>
                <w:highlight w:val="none"/>
              </w:rPr>
            </w:pPr>
          </w:p>
        </w:tc>
        <w:tc>
          <w:tcPr>
            <w:tcW w:w="1458" w:type="dxa"/>
          </w:tcPr>
          <w:p w14:paraId="70F56EFF">
            <w:pPr>
              <w:rPr>
                <w:rFonts w:ascii="宋体" w:hAnsi="宋体"/>
                <w:szCs w:val="21"/>
                <w:highlight w:val="none"/>
              </w:rPr>
            </w:pPr>
          </w:p>
        </w:tc>
        <w:tc>
          <w:tcPr>
            <w:tcW w:w="1505" w:type="dxa"/>
          </w:tcPr>
          <w:p w14:paraId="1D99CEFF">
            <w:pPr>
              <w:rPr>
                <w:rFonts w:ascii="宋体" w:hAnsi="宋体"/>
                <w:szCs w:val="21"/>
                <w:highlight w:val="none"/>
              </w:rPr>
            </w:pPr>
          </w:p>
        </w:tc>
      </w:tr>
      <w:tr w14:paraId="0DEF4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60" w:type="dxa"/>
          </w:tcPr>
          <w:p w14:paraId="58A16CA3">
            <w:pPr>
              <w:rPr>
                <w:rFonts w:ascii="宋体" w:hAnsi="宋体"/>
                <w:szCs w:val="21"/>
                <w:highlight w:val="none"/>
              </w:rPr>
            </w:pPr>
          </w:p>
        </w:tc>
        <w:tc>
          <w:tcPr>
            <w:tcW w:w="1080" w:type="dxa"/>
          </w:tcPr>
          <w:p w14:paraId="2F6E2F4B">
            <w:pPr>
              <w:rPr>
                <w:rFonts w:ascii="宋体" w:hAnsi="宋体"/>
                <w:szCs w:val="21"/>
                <w:highlight w:val="none"/>
              </w:rPr>
            </w:pPr>
          </w:p>
        </w:tc>
        <w:tc>
          <w:tcPr>
            <w:tcW w:w="1080" w:type="dxa"/>
          </w:tcPr>
          <w:p w14:paraId="48207211">
            <w:pPr>
              <w:rPr>
                <w:rFonts w:ascii="宋体" w:hAnsi="宋体"/>
                <w:szCs w:val="21"/>
                <w:highlight w:val="none"/>
              </w:rPr>
            </w:pPr>
          </w:p>
        </w:tc>
        <w:tc>
          <w:tcPr>
            <w:tcW w:w="1440" w:type="dxa"/>
          </w:tcPr>
          <w:p w14:paraId="3DDDD272">
            <w:pPr>
              <w:rPr>
                <w:rFonts w:ascii="宋体" w:hAnsi="宋体"/>
                <w:szCs w:val="21"/>
                <w:highlight w:val="none"/>
              </w:rPr>
            </w:pPr>
          </w:p>
        </w:tc>
        <w:tc>
          <w:tcPr>
            <w:tcW w:w="1620" w:type="dxa"/>
          </w:tcPr>
          <w:p w14:paraId="7DB5208E">
            <w:pPr>
              <w:rPr>
                <w:rFonts w:ascii="宋体" w:hAnsi="宋体"/>
                <w:szCs w:val="21"/>
                <w:highlight w:val="none"/>
              </w:rPr>
            </w:pPr>
          </w:p>
        </w:tc>
        <w:tc>
          <w:tcPr>
            <w:tcW w:w="1458" w:type="dxa"/>
          </w:tcPr>
          <w:p w14:paraId="20C5A5AC">
            <w:pPr>
              <w:rPr>
                <w:rFonts w:ascii="宋体" w:hAnsi="宋体"/>
                <w:szCs w:val="21"/>
                <w:highlight w:val="none"/>
              </w:rPr>
            </w:pPr>
          </w:p>
        </w:tc>
        <w:tc>
          <w:tcPr>
            <w:tcW w:w="1505" w:type="dxa"/>
          </w:tcPr>
          <w:p w14:paraId="152FD9E2">
            <w:pPr>
              <w:rPr>
                <w:rFonts w:ascii="宋体" w:hAnsi="宋体"/>
                <w:szCs w:val="21"/>
                <w:highlight w:val="none"/>
              </w:rPr>
            </w:pPr>
          </w:p>
        </w:tc>
      </w:tr>
      <w:tr w14:paraId="4B818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60" w:type="dxa"/>
          </w:tcPr>
          <w:p w14:paraId="30758CE9">
            <w:pPr>
              <w:rPr>
                <w:rFonts w:ascii="宋体" w:hAnsi="宋体"/>
                <w:szCs w:val="21"/>
                <w:highlight w:val="none"/>
              </w:rPr>
            </w:pPr>
          </w:p>
        </w:tc>
        <w:tc>
          <w:tcPr>
            <w:tcW w:w="1080" w:type="dxa"/>
          </w:tcPr>
          <w:p w14:paraId="2DF55E14">
            <w:pPr>
              <w:rPr>
                <w:rFonts w:ascii="宋体" w:hAnsi="宋体"/>
                <w:szCs w:val="21"/>
                <w:highlight w:val="none"/>
              </w:rPr>
            </w:pPr>
          </w:p>
        </w:tc>
        <w:tc>
          <w:tcPr>
            <w:tcW w:w="1080" w:type="dxa"/>
          </w:tcPr>
          <w:p w14:paraId="1A1DB968">
            <w:pPr>
              <w:rPr>
                <w:rFonts w:ascii="宋体" w:hAnsi="宋体"/>
                <w:szCs w:val="21"/>
                <w:highlight w:val="none"/>
              </w:rPr>
            </w:pPr>
          </w:p>
        </w:tc>
        <w:tc>
          <w:tcPr>
            <w:tcW w:w="1440" w:type="dxa"/>
          </w:tcPr>
          <w:p w14:paraId="5366F5EB">
            <w:pPr>
              <w:rPr>
                <w:rFonts w:ascii="宋体" w:hAnsi="宋体"/>
                <w:szCs w:val="21"/>
                <w:highlight w:val="none"/>
              </w:rPr>
            </w:pPr>
          </w:p>
        </w:tc>
        <w:tc>
          <w:tcPr>
            <w:tcW w:w="1620" w:type="dxa"/>
          </w:tcPr>
          <w:p w14:paraId="3B1F3974">
            <w:pPr>
              <w:rPr>
                <w:rFonts w:ascii="宋体" w:hAnsi="宋体"/>
                <w:szCs w:val="21"/>
                <w:highlight w:val="none"/>
              </w:rPr>
            </w:pPr>
          </w:p>
        </w:tc>
        <w:tc>
          <w:tcPr>
            <w:tcW w:w="1458" w:type="dxa"/>
          </w:tcPr>
          <w:p w14:paraId="1C5EEA76">
            <w:pPr>
              <w:rPr>
                <w:rFonts w:ascii="宋体" w:hAnsi="宋体"/>
                <w:szCs w:val="21"/>
                <w:highlight w:val="none"/>
              </w:rPr>
            </w:pPr>
          </w:p>
        </w:tc>
        <w:tc>
          <w:tcPr>
            <w:tcW w:w="1505" w:type="dxa"/>
          </w:tcPr>
          <w:p w14:paraId="42EF6AE5">
            <w:pPr>
              <w:rPr>
                <w:rFonts w:ascii="宋体" w:hAnsi="宋体"/>
                <w:szCs w:val="21"/>
                <w:highlight w:val="none"/>
              </w:rPr>
            </w:pPr>
          </w:p>
        </w:tc>
      </w:tr>
      <w:tr w14:paraId="08932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60" w:type="dxa"/>
          </w:tcPr>
          <w:p w14:paraId="00183F32">
            <w:pPr>
              <w:rPr>
                <w:rFonts w:ascii="宋体" w:hAnsi="宋体"/>
                <w:szCs w:val="21"/>
                <w:highlight w:val="none"/>
              </w:rPr>
            </w:pPr>
          </w:p>
        </w:tc>
        <w:tc>
          <w:tcPr>
            <w:tcW w:w="1080" w:type="dxa"/>
          </w:tcPr>
          <w:p w14:paraId="5C15AF80">
            <w:pPr>
              <w:rPr>
                <w:rFonts w:ascii="宋体" w:hAnsi="宋体"/>
                <w:szCs w:val="21"/>
                <w:highlight w:val="none"/>
              </w:rPr>
            </w:pPr>
          </w:p>
        </w:tc>
        <w:tc>
          <w:tcPr>
            <w:tcW w:w="1080" w:type="dxa"/>
          </w:tcPr>
          <w:p w14:paraId="5C28991C">
            <w:pPr>
              <w:rPr>
                <w:rFonts w:ascii="宋体" w:hAnsi="宋体"/>
                <w:szCs w:val="21"/>
                <w:highlight w:val="none"/>
              </w:rPr>
            </w:pPr>
          </w:p>
        </w:tc>
        <w:tc>
          <w:tcPr>
            <w:tcW w:w="1440" w:type="dxa"/>
          </w:tcPr>
          <w:p w14:paraId="1901D118">
            <w:pPr>
              <w:rPr>
                <w:rFonts w:ascii="宋体" w:hAnsi="宋体"/>
                <w:szCs w:val="21"/>
                <w:highlight w:val="none"/>
              </w:rPr>
            </w:pPr>
          </w:p>
        </w:tc>
        <w:tc>
          <w:tcPr>
            <w:tcW w:w="1620" w:type="dxa"/>
          </w:tcPr>
          <w:p w14:paraId="0C490A3A">
            <w:pPr>
              <w:rPr>
                <w:rFonts w:ascii="宋体" w:hAnsi="宋体"/>
                <w:szCs w:val="21"/>
                <w:highlight w:val="none"/>
              </w:rPr>
            </w:pPr>
          </w:p>
        </w:tc>
        <w:tc>
          <w:tcPr>
            <w:tcW w:w="1458" w:type="dxa"/>
          </w:tcPr>
          <w:p w14:paraId="7878AEC0">
            <w:pPr>
              <w:rPr>
                <w:rFonts w:ascii="宋体" w:hAnsi="宋体"/>
                <w:szCs w:val="21"/>
                <w:highlight w:val="none"/>
              </w:rPr>
            </w:pPr>
          </w:p>
        </w:tc>
        <w:tc>
          <w:tcPr>
            <w:tcW w:w="1505" w:type="dxa"/>
          </w:tcPr>
          <w:p w14:paraId="2C10B1ED">
            <w:pPr>
              <w:rPr>
                <w:rFonts w:ascii="宋体" w:hAnsi="宋体"/>
                <w:szCs w:val="21"/>
                <w:highlight w:val="none"/>
              </w:rPr>
            </w:pPr>
          </w:p>
        </w:tc>
      </w:tr>
      <w:tr w14:paraId="7DB1E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60" w:type="dxa"/>
          </w:tcPr>
          <w:p w14:paraId="46A66975">
            <w:pPr>
              <w:rPr>
                <w:rFonts w:ascii="宋体" w:hAnsi="宋体"/>
                <w:szCs w:val="21"/>
                <w:highlight w:val="none"/>
              </w:rPr>
            </w:pPr>
          </w:p>
        </w:tc>
        <w:tc>
          <w:tcPr>
            <w:tcW w:w="1080" w:type="dxa"/>
          </w:tcPr>
          <w:p w14:paraId="16F78E1D">
            <w:pPr>
              <w:rPr>
                <w:rFonts w:ascii="宋体" w:hAnsi="宋体"/>
                <w:szCs w:val="21"/>
                <w:highlight w:val="none"/>
              </w:rPr>
            </w:pPr>
          </w:p>
        </w:tc>
        <w:tc>
          <w:tcPr>
            <w:tcW w:w="1080" w:type="dxa"/>
          </w:tcPr>
          <w:p w14:paraId="5F8C64C8">
            <w:pPr>
              <w:rPr>
                <w:rFonts w:ascii="宋体" w:hAnsi="宋体"/>
                <w:szCs w:val="21"/>
                <w:highlight w:val="none"/>
              </w:rPr>
            </w:pPr>
          </w:p>
        </w:tc>
        <w:tc>
          <w:tcPr>
            <w:tcW w:w="1440" w:type="dxa"/>
          </w:tcPr>
          <w:p w14:paraId="71C99EB8">
            <w:pPr>
              <w:rPr>
                <w:rFonts w:ascii="宋体" w:hAnsi="宋体"/>
                <w:szCs w:val="21"/>
                <w:highlight w:val="none"/>
              </w:rPr>
            </w:pPr>
          </w:p>
        </w:tc>
        <w:tc>
          <w:tcPr>
            <w:tcW w:w="1620" w:type="dxa"/>
          </w:tcPr>
          <w:p w14:paraId="63F097E1">
            <w:pPr>
              <w:rPr>
                <w:rFonts w:ascii="宋体" w:hAnsi="宋体"/>
                <w:szCs w:val="21"/>
                <w:highlight w:val="none"/>
              </w:rPr>
            </w:pPr>
          </w:p>
        </w:tc>
        <w:tc>
          <w:tcPr>
            <w:tcW w:w="1458" w:type="dxa"/>
          </w:tcPr>
          <w:p w14:paraId="61D24E6D">
            <w:pPr>
              <w:rPr>
                <w:rFonts w:ascii="宋体" w:hAnsi="宋体"/>
                <w:szCs w:val="21"/>
                <w:highlight w:val="none"/>
              </w:rPr>
            </w:pPr>
          </w:p>
        </w:tc>
        <w:tc>
          <w:tcPr>
            <w:tcW w:w="1505" w:type="dxa"/>
          </w:tcPr>
          <w:p w14:paraId="17B68802">
            <w:pPr>
              <w:rPr>
                <w:rFonts w:ascii="宋体" w:hAnsi="宋体"/>
                <w:szCs w:val="21"/>
                <w:highlight w:val="none"/>
              </w:rPr>
            </w:pPr>
          </w:p>
        </w:tc>
      </w:tr>
      <w:tr w14:paraId="4EDE5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60" w:type="dxa"/>
          </w:tcPr>
          <w:p w14:paraId="6341CA39">
            <w:pPr>
              <w:rPr>
                <w:rFonts w:ascii="宋体" w:hAnsi="宋体"/>
                <w:szCs w:val="21"/>
                <w:highlight w:val="none"/>
              </w:rPr>
            </w:pPr>
          </w:p>
        </w:tc>
        <w:tc>
          <w:tcPr>
            <w:tcW w:w="1080" w:type="dxa"/>
          </w:tcPr>
          <w:p w14:paraId="5615BC00">
            <w:pPr>
              <w:rPr>
                <w:rFonts w:ascii="宋体" w:hAnsi="宋体"/>
                <w:szCs w:val="21"/>
                <w:highlight w:val="none"/>
              </w:rPr>
            </w:pPr>
          </w:p>
        </w:tc>
        <w:tc>
          <w:tcPr>
            <w:tcW w:w="1080" w:type="dxa"/>
          </w:tcPr>
          <w:p w14:paraId="4FE528A1">
            <w:pPr>
              <w:rPr>
                <w:rFonts w:ascii="宋体" w:hAnsi="宋体"/>
                <w:szCs w:val="21"/>
                <w:highlight w:val="none"/>
              </w:rPr>
            </w:pPr>
          </w:p>
        </w:tc>
        <w:tc>
          <w:tcPr>
            <w:tcW w:w="1440" w:type="dxa"/>
          </w:tcPr>
          <w:p w14:paraId="387EFB80">
            <w:pPr>
              <w:rPr>
                <w:rFonts w:ascii="宋体" w:hAnsi="宋体"/>
                <w:szCs w:val="21"/>
                <w:highlight w:val="none"/>
              </w:rPr>
            </w:pPr>
          </w:p>
        </w:tc>
        <w:tc>
          <w:tcPr>
            <w:tcW w:w="1620" w:type="dxa"/>
          </w:tcPr>
          <w:p w14:paraId="09E9D2EA">
            <w:pPr>
              <w:rPr>
                <w:rFonts w:ascii="宋体" w:hAnsi="宋体"/>
                <w:szCs w:val="21"/>
                <w:highlight w:val="none"/>
              </w:rPr>
            </w:pPr>
          </w:p>
        </w:tc>
        <w:tc>
          <w:tcPr>
            <w:tcW w:w="1458" w:type="dxa"/>
          </w:tcPr>
          <w:p w14:paraId="67D602ED">
            <w:pPr>
              <w:rPr>
                <w:rFonts w:ascii="宋体" w:hAnsi="宋体"/>
                <w:szCs w:val="21"/>
                <w:highlight w:val="none"/>
              </w:rPr>
            </w:pPr>
          </w:p>
        </w:tc>
        <w:tc>
          <w:tcPr>
            <w:tcW w:w="1505" w:type="dxa"/>
          </w:tcPr>
          <w:p w14:paraId="0416053A">
            <w:pPr>
              <w:rPr>
                <w:rFonts w:ascii="宋体" w:hAnsi="宋体"/>
                <w:szCs w:val="21"/>
                <w:highlight w:val="none"/>
              </w:rPr>
            </w:pPr>
          </w:p>
        </w:tc>
      </w:tr>
      <w:tr w14:paraId="0F578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60" w:type="dxa"/>
          </w:tcPr>
          <w:p w14:paraId="47522807">
            <w:pPr>
              <w:rPr>
                <w:rFonts w:ascii="宋体" w:hAnsi="宋体"/>
                <w:szCs w:val="21"/>
                <w:highlight w:val="none"/>
              </w:rPr>
            </w:pPr>
          </w:p>
        </w:tc>
        <w:tc>
          <w:tcPr>
            <w:tcW w:w="1080" w:type="dxa"/>
          </w:tcPr>
          <w:p w14:paraId="60976881">
            <w:pPr>
              <w:rPr>
                <w:rFonts w:ascii="宋体" w:hAnsi="宋体"/>
                <w:szCs w:val="21"/>
                <w:highlight w:val="none"/>
              </w:rPr>
            </w:pPr>
          </w:p>
        </w:tc>
        <w:tc>
          <w:tcPr>
            <w:tcW w:w="1080" w:type="dxa"/>
          </w:tcPr>
          <w:p w14:paraId="6D0CEBB3">
            <w:pPr>
              <w:rPr>
                <w:rFonts w:ascii="宋体" w:hAnsi="宋体"/>
                <w:szCs w:val="21"/>
                <w:highlight w:val="none"/>
              </w:rPr>
            </w:pPr>
          </w:p>
        </w:tc>
        <w:tc>
          <w:tcPr>
            <w:tcW w:w="1440" w:type="dxa"/>
          </w:tcPr>
          <w:p w14:paraId="2027CE87">
            <w:pPr>
              <w:rPr>
                <w:rFonts w:ascii="宋体" w:hAnsi="宋体"/>
                <w:szCs w:val="21"/>
                <w:highlight w:val="none"/>
              </w:rPr>
            </w:pPr>
          </w:p>
        </w:tc>
        <w:tc>
          <w:tcPr>
            <w:tcW w:w="1620" w:type="dxa"/>
          </w:tcPr>
          <w:p w14:paraId="63F88531">
            <w:pPr>
              <w:rPr>
                <w:rFonts w:ascii="宋体" w:hAnsi="宋体"/>
                <w:szCs w:val="21"/>
                <w:highlight w:val="none"/>
              </w:rPr>
            </w:pPr>
          </w:p>
        </w:tc>
        <w:tc>
          <w:tcPr>
            <w:tcW w:w="1458" w:type="dxa"/>
          </w:tcPr>
          <w:p w14:paraId="74B7E8D4">
            <w:pPr>
              <w:rPr>
                <w:rFonts w:ascii="宋体" w:hAnsi="宋体"/>
                <w:szCs w:val="21"/>
                <w:highlight w:val="none"/>
              </w:rPr>
            </w:pPr>
          </w:p>
        </w:tc>
        <w:tc>
          <w:tcPr>
            <w:tcW w:w="1505" w:type="dxa"/>
          </w:tcPr>
          <w:p w14:paraId="77D43D90">
            <w:pPr>
              <w:rPr>
                <w:rFonts w:ascii="宋体" w:hAnsi="宋体"/>
                <w:szCs w:val="21"/>
                <w:highlight w:val="none"/>
              </w:rPr>
            </w:pPr>
          </w:p>
        </w:tc>
      </w:tr>
      <w:tr w14:paraId="5FA65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60" w:type="dxa"/>
          </w:tcPr>
          <w:p w14:paraId="3E0D3181">
            <w:pPr>
              <w:rPr>
                <w:rFonts w:ascii="宋体" w:hAnsi="宋体"/>
                <w:szCs w:val="21"/>
                <w:highlight w:val="none"/>
              </w:rPr>
            </w:pPr>
          </w:p>
        </w:tc>
        <w:tc>
          <w:tcPr>
            <w:tcW w:w="1080" w:type="dxa"/>
          </w:tcPr>
          <w:p w14:paraId="6330A632">
            <w:pPr>
              <w:rPr>
                <w:rFonts w:ascii="宋体" w:hAnsi="宋体"/>
                <w:szCs w:val="21"/>
                <w:highlight w:val="none"/>
              </w:rPr>
            </w:pPr>
          </w:p>
        </w:tc>
        <w:tc>
          <w:tcPr>
            <w:tcW w:w="1080" w:type="dxa"/>
          </w:tcPr>
          <w:p w14:paraId="02B16D41">
            <w:pPr>
              <w:rPr>
                <w:rFonts w:ascii="宋体" w:hAnsi="宋体"/>
                <w:szCs w:val="21"/>
                <w:highlight w:val="none"/>
              </w:rPr>
            </w:pPr>
          </w:p>
        </w:tc>
        <w:tc>
          <w:tcPr>
            <w:tcW w:w="1440" w:type="dxa"/>
          </w:tcPr>
          <w:p w14:paraId="6351D553">
            <w:pPr>
              <w:rPr>
                <w:rFonts w:ascii="宋体" w:hAnsi="宋体"/>
                <w:szCs w:val="21"/>
                <w:highlight w:val="none"/>
              </w:rPr>
            </w:pPr>
          </w:p>
        </w:tc>
        <w:tc>
          <w:tcPr>
            <w:tcW w:w="1620" w:type="dxa"/>
          </w:tcPr>
          <w:p w14:paraId="2420E962">
            <w:pPr>
              <w:rPr>
                <w:rFonts w:ascii="宋体" w:hAnsi="宋体"/>
                <w:szCs w:val="21"/>
                <w:highlight w:val="none"/>
              </w:rPr>
            </w:pPr>
          </w:p>
        </w:tc>
        <w:tc>
          <w:tcPr>
            <w:tcW w:w="1458" w:type="dxa"/>
          </w:tcPr>
          <w:p w14:paraId="5EEE37B1">
            <w:pPr>
              <w:rPr>
                <w:rFonts w:ascii="宋体" w:hAnsi="宋体"/>
                <w:szCs w:val="21"/>
                <w:highlight w:val="none"/>
              </w:rPr>
            </w:pPr>
          </w:p>
        </w:tc>
        <w:tc>
          <w:tcPr>
            <w:tcW w:w="1505" w:type="dxa"/>
          </w:tcPr>
          <w:p w14:paraId="1BF735E8">
            <w:pPr>
              <w:rPr>
                <w:rFonts w:ascii="宋体" w:hAnsi="宋体"/>
                <w:szCs w:val="21"/>
                <w:highlight w:val="none"/>
              </w:rPr>
            </w:pPr>
          </w:p>
        </w:tc>
      </w:tr>
      <w:tr w14:paraId="40576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60" w:type="dxa"/>
          </w:tcPr>
          <w:p w14:paraId="0A307354">
            <w:pPr>
              <w:rPr>
                <w:rFonts w:ascii="宋体" w:hAnsi="宋体"/>
                <w:szCs w:val="21"/>
                <w:highlight w:val="none"/>
              </w:rPr>
            </w:pPr>
          </w:p>
        </w:tc>
        <w:tc>
          <w:tcPr>
            <w:tcW w:w="1080" w:type="dxa"/>
          </w:tcPr>
          <w:p w14:paraId="7126CF8C">
            <w:pPr>
              <w:rPr>
                <w:rFonts w:ascii="宋体" w:hAnsi="宋体"/>
                <w:szCs w:val="21"/>
                <w:highlight w:val="none"/>
              </w:rPr>
            </w:pPr>
          </w:p>
        </w:tc>
        <w:tc>
          <w:tcPr>
            <w:tcW w:w="1080" w:type="dxa"/>
          </w:tcPr>
          <w:p w14:paraId="1B5B3B31">
            <w:pPr>
              <w:rPr>
                <w:rFonts w:ascii="宋体" w:hAnsi="宋体"/>
                <w:szCs w:val="21"/>
                <w:highlight w:val="none"/>
              </w:rPr>
            </w:pPr>
          </w:p>
        </w:tc>
        <w:tc>
          <w:tcPr>
            <w:tcW w:w="1440" w:type="dxa"/>
          </w:tcPr>
          <w:p w14:paraId="5C72C6E2">
            <w:pPr>
              <w:rPr>
                <w:rFonts w:ascii="宋体" w:hAnsi="宋体"/>
                <w:szCs w:val="21"/>
                <w:highlight w:val="none"/>
              </w:rPr>
            </w:pPr>
          </w:p>
        </w:tc>
        <w:tc>
          <w:tcPr>
            <w:tcW w:w="1620" w:type="dxa"/>
          </w:tcPr>
          <w:p w14:paraId="200B95BE">
            <w:pPr>
              <w:rPr>
                <w:rFonts w:ascii="宋体" w:hAnsi="宋体"/>
                <w:szCs w:val="21"/>
                <w:highlight w:val="none"/>
              </w:rPr>
            </w:pPr>
          </w:p>
        </w:tc>
        <w:tc>
          <w:tcPr>
            <w:tcW w:w="1458" w:type="dxa"/>
          </w:tcPr>
          <w:p w14:paraId="27263AEA">
            <w:pPr>
              <w:rPr>
                <w:rFonts w:ascii="宋体" w:hAnsi="宋体"/>
                <w:szCs w:val="21"/>
                <w:highlight w:val="none"/>
              </w:rPr>
            </w:pPr>
          </w:p>
        </w:tc>
        <w:tc>
          <w:tcPr>
            <w:tcW w:w="1505" w:type="dxa"/>
          </w:tcPr>
          <w:p w14:paraId="799A5ABB">
            <w:pPr>
              <w:rPr>
                <w:rFonts w:ascii="宋体" w:hAnsi="宋体"/>
                <w:szCs w:val="21"/>
                <w:highlight w:val="none"/>
              </w:rPr>
            </w:pPr>
          </w:p>
        </w:tc>
      </w:tr>
      <w:tr w14:paraId="3D0DB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60" w:type="dxa"/>
          </w:tcPr>
          <w:p w14:paraId="2248DA3D">
            <w:pPr>
              <w:rPr>
                <w:rFonts w:ascii="宋体" w:hAnsi="宋体"/>
                <w:szCs w:val="21"/>
                <w:highlight w:val="none"/>
              </w:rPr>
            </w:pPr>
          </w:p>
        </w:tc>
        <w:tc>
          <w:tcPr>
            <w:tcW w:w="1080" w:type="dxa"/>
          </w:tcPr>
          <w:p w14:paraId="501C82E5">
            <w:pPr>
              <w:rPr>
                <w:rFonts w:ascii="宋体" w:hAnsi="宋体"/>
                <w:szCs w:val="21"/>
                <w:highlight w:val="none"/>
              </w:rPr>
            </w:pPr>
          </w:p>
        </w:tc>
        <w:tc>
          <w:tcPr>
            <w:tcW w:w="1080" w:type="dxa"/>
          </w:tcPr>
          <w:p w14:paraId="46BFFDF4">
            <w:pPr>
              <w:rPr>
                <w:rFonts w:ascii="宋体" w:hAnsi="宋体"/>
                <w:szCs w:val="21"/>
                <w:highlight w:val="none"/>
              </w:rPr>
            </w:pPr>
          </w:p>
        </w:tc>
        <w:tc>
          <w:tcPr>
            <w:tcW w:w="1440" w:type="dxa"/>
          </w:tcPr>
          <w:p w14:paraId="6B3E8C1C">
            <w:pPr>
              <w:rPr>
                <w:rFonts w:ascii="宋体" w:hAnsi="宋体"/>
                <w:szCs w:val="21"/>
                <w:highlight w:val="none"/>
              </w:rPr>
            </w:pPr>
          </w:p>
        </w:tc>
        <w:tc>
          <w:tcPr>
            <w:tcW w:w="1620" w:type="dxa"/>
          </w:tcPr>
          <w:p w14:paraId="628902FB">
            <w:pPr>
              <w:rPr>
                <w:rFonts w:ascii="宋体" w:hAnsi="宋体"/>
                <w:szCs w:val="21"/>
                <w:highlight w:val="none"/>
              </w:rPr>
            </w:pPr>
          </w:p>
        </w:tc>
        <w:tc>
          <w:tcPr>
            <w:tcW w:w="1458" w:type="dxa"/>
          </w:tcPr>
          <w:p w14:paraId="5A6A98B1">
            <w:pPr>
              <w:rPr>
                <w:rFonts w:ascii="宋体" w:hAnsi="宋体"/>
                <w:szCs w:val="21"/>
                <w:highlight w:val="none"/>
              </w:rPr>
            </w:pPr>
          </w:p>
        </w:tc>
        <w:tc>
          <w:tcPr>
            <w:tcW w:w="1505" w:type="dxa"/>
          </w:tcPr>
          <w:p w14:paraId="667A1CED">
            <w:pPr>
              <w:rPr>
                <w:rFonts w:ascii="宋体" w:hAnsi="宋体"/>
                <w:szCs w:val="21"/>
                <w:highlight w:val="none"/>
              </w:rPr>
            </w:pPr>
          </w:p>
        </w:tc>
      </w:tr>
      <w:tr w14:paraId="2698A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60" w:type="dxa"/>
          </w:tcPr>
          <w:p w14:paraId="33F658E1">
            <w:pPr>
              <w:rPr>
                <w:rFonts w:ascii="宋体" w:hAnsi="宋体"/>
                <w:szCs w:val="21"/>
                <w:highlight w:val="none"/>
              </w:rPr>
            </w:pPr>
          </w:p>
        </w:tc>
        <w:tc>
          <w:tcPr>
            <w:tcW w:w="1080" w:type="dxa"/>
          </w:tcPr>
          <w:p w14:paraId="038557FE">
            <w:pPr>
              <w:rPr>
                <w:rFonts w:ascii="宋体" w:hAnsi="宋体"/>
                <w:szCs w:val="21"/>
                <w:highlight w:val="none"/>
              </w:rPr>
            </w:pPr>
          </w:p>
        </w:tc>
        <w:tc>
          <w:tcPr>
            <w:tcW w:w="1080" w:type="dxa"/>
          </w:tcPr>
          <w:p w14:paraId="724A45BC">
            <w:pPr>
              <w:rPr>
                <w:rFonts w:ascii="宋体" w:hAnsi="宋体"/>
                <w:szCs w:val="21"/>
                <w:highlight w:val="none"/>
              </w:rPr>
            </w:pPr>
          </w:p>
        </w:tc>
        <w:tc>
          <w:tcPr>
            <w:tcW w:w="1440" w:type="dxa"/>
          </w:tcPr>
          <w:p w14:paraId="788B0FFF">
            <w:pPr>
              <w:rPr>
                <w:rFonts w:ascii="宋体" w:hAnsi="宋体"/>
                <w:szCs w:val="21"/>
                <w:highlight w:val="none"/>
              </w:rPr>
            </w:pPr>
          </w:p>
        </w:tc>
        <w:tc>
          <w:tcPr>
            <w:tcW w:w="1620" w:type="dxa"/>
          </w:tcPr>
          <w:p w14:paraId="0348FF01">
            <w:pPr>
              <w:rPr>
                <w:rFonts w:ascii="宋体" w:hAnsi="宋体"/>
                <w:szCs w:val="21"/>
                <w:highlight w:val="none"/>
              </w:rPr>
            </w:pPr>
          </w:p>
        </w:tc>
        <w:tc>
          <w:tcPr>
            <w:tcW w:w="1458" w:type="dxa"/>
          </w:tcPr>
          <w:p w14:paraId="63BF6038">
            <w:pPr>
              <w:rPr>
                <w:rFonts w:ascii="宋体" w:hAnsi="宋体"/>
                <w:szCs w:val="21"/>
                <w:highlight w:val="none"/>
              </w:rPr>
            </w:pPr>
          </w:p>
        </w:tc>
        <w:tc>
          <w:tcPr>
            <w:tcW w:w="1505" w:type="dxa"/>
          </w:tcPr>
          <w:p w14:paraId="6D2BFC24">
            <w:pPr>
              <w:rPr>
                <w:rFonts w:ascii="宋体" w:hAnsi="宋体"/>
                <w:szCs w:val="21"/>
                <w:highlight w:val="none"/>
              </w:rPr>
            </w:pPr>
          </w:p>
        </w:tc>
      </w:tr>
    </w:tbl>
    <w:p w14:paraId="2C5E1C62">
      <w:pPr>
        <w:rPr>
          <w:rFonts w:ascii="宋体" w:hAnsi="宋体"/>
          <w:sz w:val="24"/>
          <w:szCs w:val="20"/>
          <w:highlight w:val="none"/>
        </w:rPr>
      </w:pPr>
      <w:r>
        <w:rPr>
          <w:rFonts w:hint="eastAsia" w:ascii="宋体" w:hAnsi="宋体"/>
          <w:szCs w:val="21"/>
          <w:highlight w:val="none"/>
        </w:rPr>
        <w:t>注：本表后附各人员</w:t>
      </w:r>
      <w:r>
        <w:rPr>
          <w:rFonts w:hint="eastAsia"/>
          <w:szCs w:val="21"/>
          <w:highlight w:val="none"/>
        </w:rPr>
        <w:t>相关资料</w:t>
      </w:r>
      <w:r>
        <w:rPr>
          <w:rFonts w:hint="eastAsia" w:ascii="宋体" w:hAnsi="宋体"/>
          <w:szCs w:val="21"/>
          <w:highlight w:val="none"/>
        </w:rPr>
        <w:t>复印件。</w:t>
      </w:r>
    </w:p>
    <w:p w14:paraId="553E5DA9">
      <w:pPr>
        <w:snapToGrid w:val="0"/>
        <w:spacing w:line="360" w:lineRule="auto"/>
        <w:ind w:firstLine="480"/>
        <w:rPr>
          <w:rFonts w:ascii="宋体" w:hAnsi="宋体"/>
          <w:sz w:val="24"/>
          <w:highlight w:val="none"/>
        </w:rPr>
      </w:pPr>
    </w:p>
    <w:p w14:paraId="25271D0D">
      <w:pPr>
        <w:snapToGrid w:val="0"/>
        <w:spacing w:line="360" w:lineRule="auto"/>
        <w:rPr>
          <w:rFonts w:ascii="宋体" w:hAnsi="宋体"/>
          <w:sz w:val="24"/>
          <w:highlight w:val="none"/>
        </w:rPr>
      </w:pPr>
      <w:r>
        <w:rPr>
          <w:rFonts w:hint="eastAsia" w:ascii="宋体" w:hAnsi="宋体"/>
          <w:sz w:val="24"/>
          <w:highlight w:val="none"/>
        </w:rPr>
        <w:t>法定代表人或授权委托人签名：</w:t>
      </w:r>
      <w:r>
        <w:rPr>
          <w:rFonts w:hint="eastAsia" w:ascii="宋体" w:hAnsi="宋体"/>
          <w:spacing w:val="20"/>
          <w:sz w:val="24"/>
          <w:highlight w:val="none"/>
          <w:u w:val="single"/>
        </w:rPr>
        <w:t xml:space="preserve">            </w:t>
      </w:r>
    </w:p>
    <w:p w14:paraId="1A7FA174">
      <w:pPr>
        <w:snapToGrid w:val="0"/>
        <w:spacing w:line="360" w:lineRule="auto"/>
        <w:jc w:val="left"/>
        <w:rPr>
          <w:rFonts w:ascii="宋体" w:hAnsi="宋体"/>
          <w:spacing w:val="20"/>
          <w:sz w:val="24"/>
          <w:highlight w:val="none"/>
        </w:rPr>
      </w:pPr>
      <w:r>
        <w:rPr>
          <w:rFonts w:hint="eastAsia" w:ascii="宋体" w:hAnsi="宋体"/>
          <w:spacing w:val="20"/>
          <w:sz w:val="24"/>
          <w:highlight w:val="none"/>
        </w:rPr>
        <w:t>供应商全称（盖章）：</w:t>
      </w:r>
      <w:r>
        <w:rPr>
          <w:rFonts w:hint="eastAsia" w:ascii="宋体" w:hAnsi="宋体"/>
          <w:spacing w:val="20"/>
          <w:sz w:val="24"/>
          <w:highlight w:val="none"/>
          <w:u w:val="single"/>
        </w:rPr>
        <w:t xml:space="preserve">                    </w:t>
      </w:r>
    </w:p>
    <w:p w14:paraId="680793D8">
      <w:pPr>
        <w:snapToGrid w:val="0"/>
        <w:spacing w:line="360" w:lineRule="auto"/>
        <w:jc w:val="left"/>
        <w:rPr>
          <w:rFonts w:ascii="宋体" w:hAnsi="宋体"/>
          <w:spacing w:val="20"/>
          <w:sz w:val="24"/>
          <w:highlight w:val="none"/>
          <w:u w:val="single"/>
        </w:rPr>
      </w:pPr>
      <w:r>
        <w:rPr>
          <w:rFonts w:hint="eastAsia" w:ascii="宋体" w:hAnsi="宋体"/>
          <w:spacing w:val="20"/>
          <w:sz w:val="24"/>
          <w:highlight w:val="none"/>
        </w:rPr>
        <w:t>日  期：</w:t>
      </w:r>
      <w:r>
        <w:rPr>
          <w:rFonts w:hint="eastAsia" w:ascii="宋体" w:hAnsi="宋体"/>
          <w:spacing w:val="20"/>
          <w:sz w:val="24"/>
          <w:highlight w:val="none"/>
          <w:u w:val="single"/>
        </w:rPr>
        <w:t xml:space="preserve">                             </w:t>
      </w:r>
    </w:p>
    <w:p w14:paraId="66308736">
      <w:pPr>
        <w:snapToGrid w:val="0"/>
        <w:ind w:firstLine="470" w:firstLineChars="196"/>
        <w:jc w:val="left"/>
        <w:rPr>
          <w:rFonts w:ascii="宋体" w:hAnsi="宋体"/>
          <w:sz w:val="24"/>
          <w:highlight w:val="none"/>
        </w:rPr>
      </w:pPr>
    </w:p>
    <w:p w14:paraId="450ADFEA">
      <w:pPr>
        <w:rPr>
          <w:rFonts w:ascii="宋体" w:hAnsi="宋体" w:cs="宋体"/>
          <w:b/>
          <w:bCs/>
          <w:sz w:val="24"/>
          <w:szCs w:val="32"/>
          <w:highlight w:val="none"/>
        </w:rPr>
      </w:pPr>
    </w:p>
    <w:bookmarkEnd w:id="83"/>
    <w:p w14:paraId="0F44003F">
      <w:pPr>
        <w:widowControl/>
        <w:spacing w:line="560" w:lineRule="exact"/>
        <w:ind w:firstLine="4080" w:firstLineChars="1700"/>
        <w:rPr>
          <w:rFonts w:ascii="宋体" w:hAnsi="宋体"/>
          <w:sz w:val="24"/>
          <w:highlight w:val="none"/>
        </w:rPr>
      </w:pPr>
    </w:p>
    <w:p w14:paraId="3E921546">
      <w:pPr>
        <w:pStyle w:val="4"/>
        <w:keepNext w:val="0"/>
        <w:keepLines w:val="0"/>
        <w:pageBreakBefore/>
        <w:rPr>
          <w:rFonts w:ascii="宋体" w:hAnsi="宋体" w:eastAsia="宋体" w:cs="宋体"/>
          <w:b w:val="0"/>
          <w:kern w:val="0"/>
          <w:sz w:val="24"/>
          <w:szCs w:val="20"/>
          <w:highlight w:val="none"/>
        </w:rPr>
      </w:pPr>
      <w:bookmarkStart w:id="91" w:name="_Toc10587"/>
      <w:bookmarkStart w:id="92" w:name="_Toc174370018"/>
      <w:r>
        <w:rPr>
          <w:rFonts w:hint="eastAsia" w:ascii="宋体" w:hAnsi="宋体" w:eastAsia="宋体" w:cs="宋体"/>
          <w:b w:val="0"/>
          <w:kern w:val="0"/>
          <w:sz w:val="24"/>
          <w:szCs w:val="20"/>
          <w:highlight w:val="none"/>
        </w:rPr>
        <w:t>附件十三：同类项目业绩</w:t>
      </w:r>
      <w:bookmarkEnd w:id="91"/>
      <w:bookmarkEnd w:id="92"/>
    </w:p>
    <w:p w14:paraId="1B767AB3">
      <w:pPr>
        <w:widowControl/>
        <w:jc w:val="left"/>
        <w:rPr>
          <w:rFonts w:ascii="宋体" w:hAnsi="宋体" w:cs="宋体"/>
          <w:kern w:val="0"/>
          <w:sz w:val="24"/>
          <w:szCs w:val="20"/>
          <w:highlight w:val="none"/>
        </w:rPr>
      </w:pPr>
    </w:p>
    <w:p w14:paraId="6C7AAD32">
      <w:pPr>
        <w:widowControl/>
        <w:jc w:val="center"/>
        <w:rPr>
          <w:rFonts w:ascii="宋体" w:hAnsi="宋体" w:cs="宋体"/>
          <w:b/>
          <w:kern w:val="0"/>
          <w:sz w:val="28"/>
          <w:szCs w:val="28"/>
          <w:highlight w:val="none"/>
        </w:rPr>
      </w:pPr>
      <w:r>
        <w:rPr>
          <w:rFonts w:hint="eastAsia" w:ascii="宋体" w:hAnsi="宋体" w:cs="宋体"/>
          <w:b/>
          <w:kern w:val="0"/>
          <w:sz w:val="28"/>
          <w:szCs w:val="28"/>
          <w:highlight w:val="none"/>
        </w:rPr>
        <w:t>同类项目业绩</w:t>
      </w:r>
    </w:p>
    <w:p w14:paraId="472F5017">
      <w:pPr>
        <w:rPr>
          <w:highlight w:val="none"/>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2"/>
        <w:gridCol w:w="1312"/>
        <w:gridCol w:w="1312"/>
        <w:gridCol w:w="1312"/>
        <w:gridCol w:w="1313"/>
      </w:tblGrid>
      <w:tr w14:paraId="1E1B0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312" w:type="dxa"/>
            <w:vAlign w:val="center"/>
          </w:tcPr>
          <w:p w14:paraId="535745D7">
            <w:pPr>
              <w:jc w:val="center"/>
              <w:rPr>
                <w:rFonts w:ascii="宋体" w:hAnsi="宋体" w:cs="宋体"/>
                <w:sz w:val="24"/>
                <w:highlight w:val="none"/>
                <w:lang w:val="zh-CN"/>
              </w:rPr>
            </w:pPr>
            <w:r>
              <w:rPr>
                <w:rFonts w:hint="eastAsia" w:ascii="宋体" w:hAnsi="宋体" w:cs="宋体"/>
                <w:sz w:val="24"/>
                <w:highlight w:val="none"/>
                <w:lang w:val="zh-CN"/>
              </w:rPr>
              <w:t>项目名称</w:t>
            </w:r>
          </w:p>
        </w:tc>
        <w:tc>
          <w:tcPr>
            <w:tcW w:w="1312" w:type="dxa"/>
            <w:vAlign w:val="center"/>
          </w:tcPr>
          <w:p w14:paraId="1CF88D51">
            <w:pPr>
              <w:jc w:val="center"/>
              <w:rPr>
                <w:rFonts w:ascii="宋体" w:hAnsi="宋体" w:cs="宋体"/>
                <w:sz w:val="24"/>
                <w:highlight w:val="none"/>
                <w:lang w:val="zh-CN"/>
              </w:rPr>
            </w:pPr>
            <w:r>
              <w:rPr>
                <w:rFonts w:hint="eastAsia" w:ascii="宋体" w:hAnsi="宋体" w:cs="宋体"/>
                <w:sz w:val="24"/>
                <w:highlight w:val="none"/>
                <w:lang w:val="zh-CN"/>
              </w:rPr>
              <w:t>项目</w:t>
            </w:r>
          </w:p>
          <w:p w14:paraId="4F337A05">
            <w:pPr>
              <w:jc w:val="center"/>
              <w:rPr>
                <w:rFonts w:ascii="宋体" w:hAnsi="宋体" w:cs="宋体"/>
                <w:sz w:val="24"/>
                <w:highlight w:val="none"/>
                <w:lang w:val="zh-CN"/>
              </w:rPr>
            </w:pPr>
            <w:r>
              <w:rPr>
                <w:rFonts w:hint="eastAsia" w:ascii="宋体" w:hAnsi="宋体" w:cs="宋体"/>
                <w:sz w:val="24"/>
                <w:highlight w:val="none"/>
                <w:lang w:val="zh-CN"/>
              </w:rPr>
              <w:t>类型</w:t>
            </w:r>
          </w:p>
        </w:tc>
        <w:tc>
          <w:tcPr>
            <w:tcW w:w="1312" w:type="dxa"/>
            <w:vAlign w:val="center"/>
          </w:tcPr>
          <w:p w14:paraId="6C15E5F0">
            <w:pPr>
              <w:jc w:val="center"/>
              <w:rPr>
                <w:rFonts w:ascii="宋体" w:hAnsi="宋体" w:cs="宋体"/>
                <w:sz w:val="24"/>
                <w:highlight w:val="none"/>
                <w:lang w:val="zh-CN"/>
              </w:rPr>
            </w:pPr>
            <w:r>
              <w:rPr>
                <w:rFonts w:hint="eastAsia" w:ascii="宋体" w:hAnsi="宋体" w:cs="宋体"/>
                <w:sz w:val="24"/>
                <w:highlight w:val="none"/>
                <w:lang w:val="zh-CN"/>
              </w:rPr>
              <w:t>简要描述</w:t>
            </w:r>
          </w:p>
        </w:tc>
        <w:tc>
          <w:tcPr>
            <w:tcW w:w="1312" w:type="dxa"/>
            <w:vAlign w:val="center"/>
          </w:tcPr>
          <w:p w14:paraId="50B7E1EC">
            <w:pPr>
              <w:jc w:val="center"/>
              <w:rPr>
                <w:rFonts w:ascii="宋体" w:hAnsi="宋体" w:cs="宋体"/>
                <w:sz w:val="24"/>
                <w:highlight w:val="none"/>
                <w:lang w:val="zh-CN"/>
              </w:rPr>
            </w:pPr>
            <w:r>
              <w:rPr>
                <w:rFonts w:hint="eastAsia" w:ascii="宋体" w:hAnsi="宋体" w:cs="宋体"/>
                <w:sz w:val="24"/>
                <w:highlight w:val="none"/>
                <w:lang w:val="zh-CN"/>
              </w:rPr>
              <w:t>项目</w:t>
            </w:r>
          </w:p>
          <w:p w14:paraId="22AB86F1">
            <w:pPr>
              <w:jc w:val="center"/>
              <w:rPr>
                <w:rFonts w:ascii="宋体" w:hAnsi="宋体" w:cs="宋体"/>
                <w:sz w:val="24"/>
                <w:highlight w:val="none"/>
                <w:lang w:val="zh-CN"/>
              </w:rPr>
            </w:pPr>
            <w:r>
              <w:rPr>
                <w:rFonts w:hint="eastAsia" w:ascii="宋体" w:hAnsi="宋体" w:cs="宋体"/>
                <w:sz w:val="24"/>
                <w:highlight w:val="none"/>
                <w:lang w:val="zh-CN"/>
              </w:rPr>
              <w:t>金额</w:t>
            </w:r>
          </w:p>
          <w:p w14:paraId="41DABABE">
            <w:pPr>
              <w:jc w:val="center"/>
              <w:rPr>
                <w:rFonts w:ascii="宋体" w:hAnsi="宋体" w:cs="宋体"/>
                <w:sz w:val="24"/>
                <w:highlight w:val="none"/>
                <w:lang w:val="zh-CN"/>
              </w:rPr>
            </w:pPr>
            <w:r>
              <w:rPr>
                <w:rFonts w:hint="eastAsia" w:ascii="宋体" w:hAnsi="宋体" w:cs="宋体"/>
                <w:sz w:val="24"/>
                <w:highlight w:val="none"/>
                <w:lang w:val="zh-CN"/>
              </w:rPr>
              <w:t>（万元）</w:t>
            </w:r>
          </w:p>
        </w:tc>
        <w:tc>
          <w:tcPr>
            <w:tcW w:w="1312" w:type="dxa"/>
            <w:vAlign w:val="center"/>
          </w:tcPr>
          <w:p w14:paraId="5DB7FE50">
            <w:pPr>
              <w:jc w:val="center"/>
              <w:rPr>
                <w:rFonts w:ascii="宋体" w:hAnsi="宋体" w:cs="宋体"/>
                <w:sz w:val="24"/>
                <w:highlight w:val="none"/>
                <w:lang w:val="zh-CN"/>
              </w:rPr>
            </w:pPr>
            <w:r>
              <w:rPr>
                <w:rFonts w:hint="eastAsia" w:ascii="宋体" w:hAnsi="宋体" w:cs="宋体"/>
                <w:sz w:val="24"/>
                <w:highlight w:val="none"/>
                <w:lang w:val="zh-CN"/>
              </w:rPr>
              <w:t>实施时间</w:t>
            </w:r>
          </w:p>
        </w:tc>
        <w:tc>
          <w:tcPr>
            <w:tcW w:w="1312" w:type="dxa"/>
            <w:vAlign w:val="center"/>
          </w:tcPr>
          <w:p w14:paraId="75948508">
            <w:pPr>
              <w:jc w:val="center"/>
              <w:rPr>
                <w:rFonts w:ascii="宋体" w:hAnsi="宋体" w:cs="宋体"/>
                <w:sz w:val="24"/>
                <w:highlight w:val="none"/>
                <w:lang w:val="zh-CN"/>
              </w:rPr>
            </w:pPr>
            <w:r>
              <w:rPr>
                <w:rFonts w:hint="eastAsia" w:ascii="宋体" w:hAnsi="宋体" w:cs="宋体"/>
                <w:sz w:val="24"/>
                <w:highlight w:val="none"/>
                <w:lang w:val="zh-CN"/>
              </w:rPr>
              <w:t>项目单位、联系人及电话</w:t>
            </w:r>
          </w:p>
        </w:tc>
        <w:tc>
          <w:tcPr>
            <w:tcW w:w="1313" w:type="dxa"/>
            <w:vAlign w:val="center"/>
          </w:tcPr>
          <w:p w14:paraId="198D9497">
            <w:pPr>
              <w:jc w:val="center"/>
              <w:rPr>
                <w:rFonts w:ascii="宋体" w:hAnsi="宋体" w:cs="宋体"/>
                <w:sz w:val="24"/>
                <w:highlight w:val="none"/>
                <w:lang w:val="zh-CN"/>
              </w:rPr>
            </w:pPr>
            <w:r>
              <w:rPr>
                <w:rFonts w:hint="eastAsia" w:ascii="宋体" w:hAnsi="宋体" w:cs="宋体"/>
                <w:sz w:val="24"/>
                <w:highlight w:val="none"/>
                <w:lang w:val="zh-CN"/>
              </w:rPr>
              <w:t>项目完成情况</w:t>
            </w:r>
          </w:p>
        </w:tc>
      </w:tr>
      <w:tr w14:paraId="033B9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312" w:type="dxa"/>
            <w:vAlign w:val="center"/>
          </w:tcPr>
          <w:p w14:paraId="50F08456">
            <w:pPr>
              <w:autoSpaceDE w:val="0"/>
              <w:autoSpaceDN w:val="0"/>
              <w:adjustRightInd w:val="0"/>
              <w:spacing w:line="360" w:lineRule="auto"/>
              <w:jc w:val="center"/>
              <w:rPr>
                <w:rFonts w:ascii="宋体" w:hAnsi="宋体" w:cs="宋体"/>
                <w:sz w:val="24"/>
                <w:highlight w:val="none"/>
                <w:lang w:val="zh-CN"/>
              </w:rPr>
            </w:pPr>
          </w:p>
        </w:tc>
        <w:tc>
          <w:tcPr>
            <w:tcW w:w="1312" w:type="dxa"/>
            <w:vAlign w:val="center"/>
          </w:tcPr>
          <w:p w14:paraId="2FAAD472">
            <w:pPr>
              <w:autoSpaceDE w:val="0"/>
              <w:autoSpaceDN w:val="0"/>
              <w:adjustRightInd w:val="0"/>
              <w:spacing w:line="360" w:lineRule="auto"/>
              <w:jc w:val="center"/>
              <w:rPr>
                <w:rFonts w:ascii="宋体" w:hAnsi="宋体" w:cs="宋体"/>
                <w:sz w:val="24"/>
                <w:highlight w:val="none"/>
                <w:lang w:val="zh-CN"/>
              </w:rPr>
            </w:pPr>
          </w:p>
        </w:tc>
        <w:tc>
          <w:tcPr>
            <w:tcW w:w="1312" w:type="dxa"/>
            <w:vAlign w:val="center"/>
          </w:tcPr>
          <w:p w14:paraId="601B55D6">
            <w:pPr>
              <w:autoSpaceDE w:val="0"/>
              <w:autoSpaceDN w:val="0"/>
              <w:adjustRightInd w:val="0"/>
              <w:spacing w:line="360" w:lineRule="auto"/>
              <w:jc w:val="center"/>
              <w:rPr>
                <w:rFonts w:ascii="宋体" w:hAnsi="宋体" w:cs="宋体"/>
                <w:sz w:val="24"/>
                <w:highlight w:val="none"/>
                <w:lang w:val="zh-CN"/>
              </w:rPr>
            </w:pPr>
          </w:p>
        </w:tc>
        <w:tc>
          <w:tcPr>
            <w:tcW w:w="1312" w:type="dxa"/>
            <w:vAlign w:val="center"/>
          </w:tcPr>
          <w:p w14:paraId="1F3DACB0">
            <w:pPr>
              <w:autoSpaceDE w:val="0"/>
              <w:autoSpaceDN w:val="0"/>
              <w:adjustRightInd w:val="0"/>
              <w:spacing w:line="360" w:lineRule="auto"/>
              <w:jc w:val="center"/>
              <w:rPr>
                <w:rFonts w:ascii="宋体" w:hAnsi="宋体" w:cs="宋体"/>
                <w:sz w:val="24"/>
                <w:highlight w:val="none"/>
                <w:lang w:val="zh-CN"/>
              </w:rPr>
            </w:pPr>
          </w:p>
        </w:tc>
        <w:tc>
          <w:tcPr>
            <w:tcW w:w="1312" w:type="dxa"/>
            <w:vAlign w:val="center"/>
          </w:tcPr>
          <w:p w14:paraId="27DA4147">
            <w:pPr>
              <w:autoSpaceDE w:val="0"/>
              <w:autoSpaceDN w:val="0"/>
              <w:adjustRightInd w:val="0"/>
              <w:spacing w:line="360" w:lineRule="auto"/>
              <w:jc w:val="center"/>
              <w:rPr>
                <w:rFonts w:ascii="宋体" w:hAnsi="宋体" w:cs="宋体"/>
                <w:sz w:val="24"/>
                <w:highlight w:val="none"/>
                <w:lang w:val="zh-CN"/>
              </w:rPr>
            </w:pPr>
          </w:p>
        </w:tc>
        <w:tc>
          <w:tcPr>
            <w:tcW w:w="1312" w:type="dxa"/>
            <w:vAlign w:val="center"/>
          </w:tcPr>
          <w:p w14:paraId="51DC4926">
            <w:pPr>
              <w:autoSpaceDE w:val="0"/>
              <w:autoSpaceDN w:val="0"/>
              <w:adjustRightInd w:val="0"/>
              <w:spacing w:line="360" w:lineRule="auto"/>
              <w:jc w:val="center"/>
              <w:rPr>
                <w:rFonts w:ascii="宋体" w:hAnsi="宋体" w:cs="宋体"/>
                <w:sz w:val="24"/>
                <w:highlight w:val="none"/>
                <w:lang w:val="zh-CN"/>
              </w:rPr>
            </w:pPr>
          </w:p>
        </w:tc>
        <w:tc>
          <w:tcPr>
            <w:tcW w:w="1313" w:type="dxa"/>
            <w:vAlign w:val="center"/>
          </w:tcPr>
          <w:p w14:paraId="4C617125">
            <w:pPr>
              <w:autoSpaceDE w:val="0"/>
              <w:autoSpaceDN w:val="0"/>
              <w:adjustRightInd w:val="0"/>
              <w:spacing w:line="360" w:lineRule="auto"/>
              <w:jc w:val="center"/>
              <w:rPr>
                <w:rFonts w:ascii="宋体" w:hAnsi="宋体" w:cs="宋体"/>
                <w:sz w:val="24"/>
                <w:highlight w:val="none"/>
                <w:lang w:val="zh-CN"/>
              </w:rPr>
            </w:pPr>
          </w:p>
        </w:tc>
      </w:tr>
      <w:tr w14:paraId="237FD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312" w:type="dxa"/>
            <w:vAlign w:val="center"/>
          </w:tcPr>
          <w:p w14:paraId="10C16D03">
            <w:pPr>
              <w:autoSpaceDE w:val="0"/>
              <w:autoSpaceDN w:val="0"/>
              <w:adjustRightInd w:val="0"/>
              <w:spacing w:line="360" w:lineRule="auto"/>
              <w:jc w:val="center"/>
              <w:rPr>
                <w:rFonts w:ascii="宋体" w:hAnsi="宋体" w:cs="宋体"/>
                <w:sz w:val="24"/>
                <w:highlight w:val="none"/>
                <w:lang w:val="zh-CN"/>
              </w:rPr>
            </w:pPr>
          </w:p>
        </w:tc>
        <w:tc>
          <w:tcPr>
            <w:tcW w:w="1312" w:type="dxa"/>
            <w:vAlign w:val="center"/>
          </w:tcPr>
          <w:p w14:paraId="04DBE4FC">
            <w:pPr>
              <w:autoSpaceDE w:val="0"/>
              <w:autoSpaceDN w:val="0"/>
              <w:adjustRightInd w:val="0"/>
              <w:spacing w:line="360" w:lineRule="auto"/>
              <w:jc w:val="center"/>
              <w:rPr>
                <w:rFonts w:ascii="宋体" w:hAnsi="宋体" w:cs="宋体"/>
                <w:sz w:val="24"/>
                <w:highlight w:val="none"/>
                <w:lang w:val="zh-CN"/>
              </w:rPr>
            </w:pPr>
          </w:p>
        </w:tc>
        <w:tc>
          <w:tcPr>
            <w:tcW w:w="1312" w:type="dxa"/>
            <w:vAlign w:val="center"/>
          </w:tcPr>
          <w:p w14:paraId="06F6BA21">
            <w:pPr>
              <w:autoSpaceDE w:val="0"/>
              <w:autoSpaceDN w:val="0"/>
              <w:adjustRightInd w:val="0"/>
              <w:spacing w:line="360" w:lineRule="auto"/>
              <w:jc w:val="center"/>
              <w:rPr>
                <w:rFonts w:ascii="宋体" w:hAnsi="宋体" w:cs="宋体"/>
                <w:sz w:val="24"/>
                <w:highlight w:val="none"/>
                <w:lang w:val="zh-CN"/>
              </w:rPr>
            </w:pPr>
          </w:p>
        </w:tc>
        <w:tc>
          <w:tcPr>
            <w:tcW w:w="1312" w:type="dxa"/>
            <w:vAlign w:val="center"/>
          </w:tcPr>
          <w:p w14:paraId="2E877DC7">
            <w:pPr>
              <w:autoSpaceDE w:val="0"/>
              <w:autoSpaceDN w:val="0"/>
              <w:adjustRightInd w:val="0"/>
              <w:spacing w:line="360" w:lineRule="auto"/>
              <w:jc w:val="center"/>
              <w:rPr>
                <w:rFonts w:ascii="宋体" w:hAnsi="宋体" w:cs="宋体"/>
                <w:sz w:val="24"/>
                <w:highlight w:val="none"/>
                <w:lang w:val="zh-CN"/>
              </w:rPr>
            </w:pPr>
          </w:p>
        </w:tc>
        <w:tc>
          <w:tcPr>
            <w:tcW w:w="1312" w:type="dxa"/>
            <w:vAlign w:val="center"/>
          </w:tcPr>
          <w:p w14:paraId="41F0FFF8">
            <w:pPr>
              <w:autoSpaceDE w:val="0"/>
              <w:autoSpaceDN w:val="0"/>
              <w:adjustRightInd w:val="0"/>
              <w:spacing w:line="360" w:lineRule="auto"/>
              <w:jc w:val="center"/>
              <w:rPr>
                <w:rFonts w:ascii="宋体" w:hAnsi="宋体" w:cs="宋体"/>
                <w:sz w:val="24"/>
                <w:highlight w:val="none"/>
                <w:lang w:val="zh-CN"/>
              </w:rPr>
            </w:pPr>
          </w:p>
        </w:tc>
        <w:tc>
          <w:tcPr>
            <w:tcW w:w="1312" w:type="dxa"/>
            <w:vAlign w:val="center"/>
          </w:tcPr>
          <w:p w14:paraId="68EB1EDB">
            <w:pPr>
              <w:autoSpaceDE w:val="0"/>
              <w:autoSpaceDN w:val="0"/>
              <w:adjustRightInd w:val="0"/>
              <w:spacing w:line="360" w:lineRule="auto"/>
              <w:jc w:val="center"/>
              <w:rPr>
                <w:rFonts w:ascii="宋体" w:hAnsi="宋体" w:cs="宋体"/>
                <w:sz w:val="24"/>
                <w:highlight w:val="none"/>
                <w:lang w:val="zh-CN"/>
              </w:rPr>
            </w:pPr>
          </w:p>
        </w:tc>
        <w:tc>
          <w:tcPr>
            <w:tcW w:w="1313" w:type="dxa"/>
            <w:vAlign w:val="center"/>
          </w:tcPr>
          <w:p w14:paraId="46D2F21A">
            <w:pPr>
              <w:autoSpaceDE w:val="0"/>
              <w:autoSpaceDN w:val="0"/>
              <w:adjustRightInd w:val="0"/>
              <w:spacing w:line="360" w:lineRule="auto"/>
              <w:jc w:val="center"/>
              <w:rPr>
                <w:rFonts w:ascii="宋体" w:hAnsi="宋体" w:cs="宋体"/>
                <w:sz w:val="24"/>
                <w:highlight w:val="none"/>
                <w:lang w:val="zh-CN"/>
              </w:rPr>
            </w:pPr>
          </w:p>
        </w:tc>
      </w:tr>
      <w:tr w14:paraId="1AD03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312" w:type="dxa"/>
            <w:vAlign w:val="center"/>
          </w:tcPr>
          <w:p w14:paraId="4B4A2FCC">
            <w:pPr>
              <w:autoSpaceDE w:val="0"/>
              <w:autoSpaceDN w:val="0"/>
              <w:adjustRightInd w:val="0"/>
              <w:spacing w:line="360" w:lineRule="auto"/>
              <w:jc w:val="center"/>
              <w:rPr>
                <w:rFonts w:ascii="宋体" w:hAnsi="宋体" w:cs="宋体"/>
                <w:sz w:val="24"/>
                <w:highlight w:val="none"/>
                <w:lang w:val="zh-CN"/>
              </w:rPr>
            </w:pPr>
          </w:p>
        </w:tc>
        <w:tc>
          <w:tcPr>
            <w:tcW w:w="1312" w:type="dxa"/>
            <w:vAlign w:val="center"/>
          </w:tcPr>
          <w:p w14:paraId="3615A77E">
            <w:pPr>
              <w:autoSpaceDE w:val="0"/>
              <w:autoSpaceDN w:val="0"/>
              <w:adjustRightInd w:val="0"/>
              <w:spacing w:line="360" w:lineRule="auto"/>
              <w:jc w:val="center"/>
              <w:rPr>
                <w:rFonts w:ascii="宋体" w:hAnsi="宋体" w:cs="宋体"/>
                <w:sz w:val="24"/>
                <w:highlight w:val="none"/>
                <w:lang w:val="zh-CN"/>
              </w:rPr>
            </w:pPr>
          </w:p>
        </w:tc>
        <w:tc>
          <w:tcPr>
            <w:tcW w:w="1312" w:type="dxa"/>
            <w:vAlign w:val="center"/>
          </w:tcPr>
          <w:p w14:paraId="7A34E098">
            <w:pPr>
              <w:autoSpaceDE w:val="0"/>
              <w:autoSpaceDN w:val="0"/>
              <w:adjustRightInd w:val="0"/>
              <w:spacing w:line="360" w:lineRule="auto"/>
              <w:jc w:val="center"/>
              <w:rPr>
                <w:rFonts w:ascii="宋体" w:hAnsi="宋体" w:cs="宋体"/>
                <w:sz w:val="24"/>
                <w:highlight w:val="none"/>
                <w:lang w:val="zh-CN"/>
              </w:rPr>
            </w:pPr>
          </w:p>
        </w:tc>
        <w:tc>
          <w:tcPr>
            <w:tcW w:w="1312" w:type="dxa"/>
            <w:vAlign w:val="center"/>
          </w:tcPr>
          <w:p w14:paraId="71C419C7">
            <w:pPr>
              <w:autoSpaceDE w:val="0"/>
              <w:autoSpaceDN w:val="0"/>
              <w:adjustRightInd w:val="0"/>
              <w:spacing w:line="360" w:lineRule="auto"/>
              <w:jc w:val="center"/>
              <w:rPr>
                <w:rFonts w:ascii="宋体" w:hAnsi="宋体" w:cs="宋体"/>
                <w:sz w:val="24"/>
                <w:highlight w:val="none"/>
                <w:lang w:val="zh-CN"/>
              </w:rPr>
            </w:pPr>
          </w:p>
        </w:tc>
        <w:tc>
          <w:tcPr>
            <w:tcW w:w="1312" w:type="dxa"/>
            <w:vAlign w:val="center"/>
          </w:tcPr>
          <w:p w14:paraId="688B4093">
            <w:pPr>
              <w:autoSpaceDE w:val="0"/>
              <w:autoSpaceDN w:val="0"/>
              <w:adjustRightInd w:val="0"/>
              <w:spacing w:line="360" w:lineRule="auto"/>
              <w:jc w:val="center"/>
              <w:rPr>
                <w:rFonts w:ascii="宋体" w:hAnsi="宋体" w:cs="宋体"/>
                <w:sz w:val="24"/>
                <w:highlight w:val="none"/>
                <w:lang w:val="zh-CN"/>
              </w:rPr>
            </w:pPr>
          </w:p>
        </w:tc>
        <w:tc>
          <w:tcPr>
            <w:tcW w:w="1312" w:type="dxa"/>
            <w:vAlign w:val="center"/>
          </w:tcPr>
          <w:p w14:paraId="66E6BC7C">
            <w:pPr>
              <w:autoSpaceDE w:val="0"/>
              <w:autoSpaceDN w:val="0"/>
              <w:adjustRightInd w:val="0"/>
              <w:spacing w:line="360" w:lineRule="auto"/>
              <w:jc w:val="center"/>
              <w:rPr>
                <w:rFonts w:ascii="宋体" w:hAnsi="宋体" w:cs="宋体"/>
                <w:sz w:val="24"/>
                <w:highlight w:val="none"/>
                <w:lang w:val="zh-CN"/>
              </w:rPr>
            </w:pPr>
          </w:p>
        </w:tc>
        <w:tc>
          <w:tcPr>
            <w:tcW w:w="1313" w:type="dxa"/>
            <w:vAlign w:val="center"/>
          </w:tcPr>
          <w:p w14:paraId="4F237037">
            <w:pPr>
              <w:autoSpaceDE w:val="0"/>
              <w:autoSpaceDN w:val="0"/>
              <w:adjustRightInd w:val="0"/>
              <w:spacing w:line="360" w:lineRule="auto"/>
              <w:jc w:val="center"/>
              <w:rPr>
                <w:rFonts w:ascii="宋体" w:hAnsi="宋体" w:cs="宋体"/>
                <w:sz w:val="24"/>
                <w:highlight w:val="none"/>
                <w:lang w:val="zh-CN"/>
              </w:rPr>
            </w:pPr>
          </w:p>
        </w:tc>
      </w:tr>
      <w:tr w14:paraId="37630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312" w:type="dxa"/>
            <w:vAlign w:val="center"/>
          </w:tcPr>
          <w:p w14:paraId="52B38482">
            <w:pPr>
              <w:autoSpaceDE w:val="0"/>
              <w:autoSpaceDN w:val="0"/>
              <w:adjustRightInd w:val="0"/>
              <w:spacing w:line="360" w:lineRule="auto"/>
              <w:jc w:val="center"/>
              <w:rPr>
                <w:rFonts w:ascii="宋体" w:hAnsi="宋体" w:cs="宋体"/>
                <w:sz w:val="24"/>
                <w:highlight w:val="none"/>
                <w:lang w:val="zh-CN"/>
              </w:rPr>
            </w:pPr>
          </w:p>
        </w:tc>
        <w:tc>
          <w:tcPr>
            <w:tcW w:w="1312" w:type="dxa"/>
            <w:vAlign w:val="center"/>
          </w:tcPr>
          <w:p w14:paraId="220A6A02">
            <w:pPr>
              <w:autoSpaceDE w:val="0"/>
              <w:autoSpaceDN w:val="0"/>
              <w:adjustRightInd w:val="0"/>
              <w:spacing w:line="360" w:lineRule="auto"/>
              <w:jc w:val="center"/>
              <w:rPr>
                <w:rFonts w:ascii="宋体" w:hAnsi="宋体" w:cs="宋体"/>
                <w:sz w:val="24"/>
                <w:highlight w:val="none"/>
                <w:lang w:val="zh-CN"/>
              </w:rPr>
            </w:pPr>
          </w:p>
        </w:tc>
        <w:tc>
          <w:tcPr>
            <w:tcW w:w="1312" w:type="dxa"/>
            <w:vAlign w:val="center"/>
          </w:tcPr>
          <w:p w14:paraId="7B19F22C">
            <w:pPr>
              <w:autoSpaceDE w:val="0"/>
              <w:autoSpaceDN w:val="0"/>
              <w:adjustRightInd w:val="0"/>
              <w:spacing w:line="360" w:lineRule="auto"/>
              <w:jc w:val="center"/>
              <w:rPr>
                <w:rFonts w:ascii="宋体" w:hAnsi="宋体" w:cs="宋体"/>
                <w:sz w:val="24"/>
                <w:highlight w:val="none"/>
                <w:lang w:val="zh-CN"/>
              </w:rPr>
            </w:pPr>
          </w:p>
        </w:tc>
        <w:tc>
          <w:tcPr>
            <w:tcW w:w="1312" w:type="dxa"/>
            <w:vAlign w:val="center"/>
          </w:tcPr>
          <w:p w14:paraId="637D3349">
            <w:pPr>
              <w:autoSpaceDE w:val="0"/>
              <w:autoSpaceDN w:val="0"/>
              <w:adjustRightInd w:val="0"/>
              <w:spacing w:line="360" w:lineRule="auto"/>
              <w:jc w:val="center"/>
              <w:rPr>
                <w:rFonts w:ascii="宋体" w:hAnsi="宋体" w:cs="宋体"/>
                <w:sz w:val="24"/>
                <w:highlight w:val="none"/>
                <w:lang w:val="zh-CN"/>
              </w:rPr>
            </w:pPr>
          </w:p>
        </w:tc>
        <w:tc>
          <w:tcPr>
            <w:tcW w:w="1312" w:type="dxa"/>
            <w:vAlign w:val="center"/>
          </w:tcPr>
          <w:p w14:paraId="5B82506F">
            <w:pPr>
              <w:autoSpaceDE w:val="0"/>
              <w:autoSpaceDN w:val="0"/>
              <w:adjustRightInd w:val="0"/>
              <w:spacing w:line="360" w:lineRule="auto"/>
              <w:jc w:val="center"/>
              <w:rPr>
                <w:rFonts w:ascii="宋体" w:hAnsi="宋体" w:cs="宋体"/>
                <w:sz w:val="24"/>
                <w:highlight w:val="none"/>
                <w:lang w:val="zh-CN"/>
              </w:rPr>
            </w:pPr>
          </w:p>
        </w:tc>
        <w:tc>
          <w:tcPr>
            <w:tcW w:w="1312" w:type="dxa"/>
            <w:vAlign w:val="center"/>
          </w:tcPr>
          <w:p w14:paraId="03E17EEE">
            <w:pPr>
              <w:autoSpaceDE w:val="0"/>
              <w:autoSpaceDN w:val="0"/>
              <w:adjustRightInd w:val="0"/>
              <w:spacing w:line="360" w:lineRule="auto"/>
              <w:jc w:val="center"/>
              <w:rPr>
                <w:rFonts w:ascii="宋体" w:hAnsi="宋体" w:cs="宋体"/>
                <w:sz w:val="24"/>
                <w:highlight w:val="none"/>
                <w:lang w:val="zh-CN"/>
              </w:rPr>
            </w:pPr>
          </w:p>
        </w:tc>
        <w:tc>
          <w:tcPr>
            <w:tcW w:w="1313" w:type="dxa"/>
            <w:vAlign w:val="center"/>
          </w:tcPr>
          <w:p w14:paraId="461DB5A5">
            <w:pPr>
              <w:autoSpaceDE w:val="0"/>
              <w:autoSpaceDN w:val="0"/>
              <w:adjustRightInd w:val="0"/>
              <w:spacing w:line="360" w:lineRule="auto"/>
              <w:jc w:val="center"/>
              <w:rPr>
                <w:rFonts w:ascii="宋体" w:hAnsi="宋体" w:cs="宋体"/>
                <w:sz w:val="24"/>
                <w:highlight w:val="none"/>
                <w:lang w:val="zh-CN"/>
              </w:rPr>
            </w:pPr>
          </w:p>
        </w:tc>
      </w:tr>
      <w:tr w14:paraId="3E646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312" w:type="dxa"/>
            <w:vAlign w:val="center"/>
          </w:tcPr>
          <w:p w14:paraId="7A986F7A">
            <w:pPr>
              <w:autoSpaceDE w:val="0"/>
              <w:autoSpaceDN w:val="0"/>
              <w:adjustRightInd w:val="0"/>
              <w:spacing w:line="360" w:lineRule="auto"/>
              <w:jc w:val="center"/>
              <w:rPr>
                <w:rFonts w:ascii="宋体" w:hAnsi="宋体" w:cs="宋体"/>
                <w:sz w:val="24"/>
                <w:highlight w:val="none"/>
                <w:lang w:val="zh-CN"/>
              </w:rPr>
            </w:pPr>
          </w:p>
        </w:tc>
        <w:tc>
          <w:tcPr>
            <w:tcW w:w="1312" w:type="dxa"/>
            <w:vAlign w:val="center"/>
          </w:tcPr>
          <w:p w14:paraId="41DA3119">
            <w:pPr>
              <w:autoSpaceDE w:val="0"/>
              <w:autoSpaceDN w:val="0"/>
              <w:adjustRightInd w:val="0"/>
              <w:spacing w:line="360" w:lineRule="auto"/>
              <w:jc w:val="center"/>
              <w:rPr>
                <w:rFonts w:ascii="宋体" w:hAnsi="宋体" w:cs="宋体"/>
                <w:sz w:val="24"/>
                <w:highlight w:val="none"/>
                <w:lang w:val="zh-CN"/>
              </w:rPr>
            </w:pPr>
          </w:p>
        </w:tc>
        <w:tc>
          <w:tcPr>
            <w:tcW w:w="1312" w:type="dxa"/>
            <w:vAlign w:val="center"/>
          </w:tcPr>
          <w:p w14:paraId="0E206FAD">
            <w:pPr>
              <w:autoSpaceDE w:val="0"/>
              <w:autoSpaceDN w:val="0"/>
              <w:adjustRightInd w:val="0"/>
              <w:spacing w:line="360" w:lineRule="auto"/>
              <w:jc w:val="center"/>
              <w:rPr>
                <w:rFonts w:ascii="宋体" w:hAnsi="宋体" w:cs="宋体"/>
                <w:sz w:val="24"/>
                <w:highlight w:val="none"/>
                <w:lang w:val="zh-CN"/>
              </w:rPr>
            </w:pPr>
          </w:p>
        </w:tc>
        <w:tc>
          <w:tcPr>
            <w:tcW w:w="1312" w:type="dxa"/>
            <w:vAlign w:val="center"/>
          </w:tcPr>
          <w:p w14:paraId="51CF684F">
            <w:pPr>
              <w:autoSpaceDE w:val="0"/>
              <w:autoSpaceDN w:val="0"/>
              <w:adjustRightInd w:val="0"/>
              <w:spacing w:line="360" w:lineRule="auto"/>
              <w:jc w:val="center"/>
              <w:rPr>
                <w:rFonts w:ascii="宋体" w:hAnsi="宋体" w:cs="宋体"/>
                <w:sz w:val="24"/>
                <w:highlight w:val="none"/>
                <w:lang w:val="zh-CN"/>
              </w:rPr>
            </w:pPr>
          </w:p>
        </w:tc>
        <w:tc>
          <w:tcPr>
            <w:tcW w:w="1312" w:type="dxa"/>
            <w:vAlign w:val="center"/>
          </w:tcPr>
          <w:p w14:paraId="1A986F1B">
            <w:pPr>
              <w:autoSpaceDE w:val="0"/>
              <w:autoSpaceDN w:val="0"/>
              <w:adjustRightInd w:val="0"/>
              <w:spacing w:line="360" w:lineRule="auto"/>
              <w:jc w:val="center"/>
              <w:rPr>
                <w:rFonts w:ascii="宋体" w:hAnsi="宋体" w:cs="宋体"/>
                <w:sz w:val="24"/>
                <w:highlight w:val="none"/>
                <w:lang w:val="zh-CN"/>
              </w:rPr>
            </w:pPr>
          </w:p>
        </w:tc>
        <w:tc>
          <w:tcPr>
            <w:tcW w:w="1312" w:type="dxa"/>
            <w:vAlign w:val="center"/>
          </w:tcPr>
          <w:p w14:paraId="367748E9">
            <w:pPr>
              <w:autoSpaceDE w:val="0"/>
              <w:autoSpaceDN w:val="0"/>
              <w:adjustRightInd w:val="0"/>
              <w:spacing w:line="360" w:lineRule="auto"/>
              <w:jc w:val="center"/>
              <w:rPr>
                <w:rFonts w:ascii="宋体" w:hAnsi="宋体" w:cs="宋体"/>
                <w:sz w:val="24"/>
                <w:highlight w:val="none"/>
                <w:lang w:val="zh-CN"/>
              </w:rPr>
            </w:pPr>
          </w:p>
        </w:tc>
        <w:tc>
          <w:tcPr>
            <w:tcW w:w="1313" w:type="dxa"/>
            <w:vAlign w:val="center"/>
          </w:tcPr>
          <w:p w14:paraId="3512D6C0">
            <w:pPr>
              <w:autoSpaceDE w:val="0"/>
              <w:autoSpaceDN w:val="0"/>
              <w:adjustRightInd w:val="0"/>
              <w:spacing w:line="360" w:lineRule="auto"/>
              <w:jc w:val="center"/>
              <w:rPr>
                <w:rFonts w:ascii="宋体" w:hAnsi="宋体" w:cs="宋体"/>
                <w:sz w:val="24"/>
                <w:highlight w:val="none"/>
                <w:lang w:val="zh-CN"/>
              </w:rPr>
            </w:pPr>
          </w:p>
        </w:tc>
      </w:tr>
      <w:tr w14:paraId="6B3F4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1312" w:type="dxa"/>
            <w:vAlign w:val="center"/>
          </w:tcPr>
          <w:p w14:paraId="7EE4F876">
            <w:pPr>
              <w:autoSpaceDE w:val="0"/>
              <w:autoSpaceDN w:val="0"/>
              <w:adjustRightInd w:val="0"/>
              <w:spacing w:line="360" w:lineRule="auto"/>
              <w:jc w:val="center"/>
              <w:rPr>
                <w:rFonts w:ascii="宋体" w:hAnsi="宋体" w:cs="宋体"/>
                <w:sz w:val="24"/>
                <w:highlight w:val="none"/>
                <w:lang w:val="zh-CN"/>
              </w:rPr>
            </w:pPr>
          </w:p>
        </w:tc>
        <w:tc>
          <w:tcPr>
            <w:tcW w:w="1312" w:type="dxa"/>
            <w:vAlign w:val="center"/>
          </w:tcPr>
          <w:p w14:paraId="334D3B53">
            <w:pPr>
              <w:autoSpaceDE w:val="0"/>
              <w:autoSpaceDN w:val="0"/>
              <w:adjustRightInd w:val="0"/>
              <w:spacing w:line="360" w:lineRule="auto"/>
              <w:jc w:val="center"/>
              <w:rPr>
                <w:rFonts w:ascii="宋体" w:hAnsi="宋体" w:cs="宋体"/>
                <w:sz w:val="24"/>
                <w:highlight w:val="none"/>
                <w:lang w:val="zh-CN"/>
              </w:rPr>
            </w:pPr>
          </w:p>
        </w:tc>
        <w:tc>
          <w:tcPr>
            <w:tcW w:w="1312" w:type="dxa"/>
            <w:vAlign w:val="center"/>
          </w:tcPr>
          <w:p w14:paraId="7FD35F41">
            <w:pPr>
              <w:autoSpaceDE w:val="0"/>
              <w:autoSpaceDN w:val="0"/>
              <w:adjustRightInd w:val="0"/>
              <w:spacing w:line="360" w:lineRule="auto"/>
              <w:jc w:val="center"/>
              <w:rPr>
                <w:rFonts w:ascii="宋体" w:hAnsi="宋体" w:cs="宋体"/>
                <w:sz w:val="24"/>
                <w:highlight w:val="none"/>
                <w:lang w:val="zh-CN"/>
              </w:rPr>
            </w:pPr>
          </w:p>
        </w:tc>
        <w:tc>
          <w:tcPr>
            <w:tcW w:w="1312" w:type="dxa"/>
            <w:vAlign w:val="center"/>
          </w:tcPr>
          <w:p w14:paraId="367404F0">
            <w:pPr>
              <w:autoSpaceDE w:val="0"/>
              <w:autoSpaceDN w:val="0"/>
              <w:adjustRightInd w:val="0"/>
              <w:spacing w:line="360" w:lineRule="auto"/>
              <w:jc w:val="center"/>
              <w:rPr>
                <w:rFonts w:ascii="宋体" w:hAnsi="宋体" w:cs="宋体"/>
                <w:sz w:val="24"/>
                <w:highlight w:val="none"/>
                <w:lang w:val="zh-CN"/>
              </w:rPr>
            </w:pPr>
          </w:p>
        </w:tc>
        <w:tc>
          <w:tcPr>
            <w:tcW w:w="1312" w:type="dxa"/>
            <w:vAlign w:val="center"/>
          </w:tcPr>
          <w:p w14:paraId="15B6B5CF">
            <w:pPr>
              <w:autoSpaceDE w:val="0"/>
              <w:autoSpaceDN w:val="0"/>
              <w:adjustRightInd w:val="0"/>
              <w:spacing w:line="360" w:lineRule="auto"/>
              <w:jc w:val="center"/>
              <w:rPr>
                <w:rFonts w:ascii="宋体" w:hAnsi="宋体" w:cs="宋体"/>
                <w:sz w:val="24"/>
                <w:highlight w:val="none"/>
                <w:lang w:val="zh-CN"/>
              </w:rPr>
            </w:pPr>
          </w:p>
        </w:tc>
        <w:tc>
          <w:tcPr>
            <w:tcW w:w="1312" w:type="dxa"/>
            <w:vAlign w:val="center"/>
          </w:tcPr>
          <w:p w14:paraId="5638973A">
            <w:pPr>
              <w:autoSpaceDE w:val="0"/>
              <w:autoSpaceDN w:val="0"/>
              <w:adjustRightInd w:val="0"/>
              <w:spacing w:line="360" w:lineRule="auto"/>
              <w:jc w:val="center"/>
              <w:rPr>
                <w:rFonts w:ascii="宋体" w:hAnsi="宋体" w:cs="宋体"/>
                <w:sz w:val="24"/>
                <w:highlight w:val="none"/>
                <w:lang w:val="zh-CN"/>
              </w:rPr>
            </w:pPr>
          </w:p>
        </w:tc>
        <w:tc>
          <w:tcPr>
            <w:tcW w:w="1313" w:type="dxa"/>
            <w:vAlign w:val="center"/>
          </w:tcPr>
          <w:p w14:paraId="23F46934">
            <w:pPr>
              <w:autoSpaceDE w:val="0"/>
              <w:autoSpaceDN w:val="0"/>
              <w:adjustRightInd w:val="0"/>
              <w:spacing w:line="360" w:lineRule="auto"/>
              <w:jc w:val="center"/>
              <w:rPr>
                <w:rFonts w:ascii="宋体" w:hAnsi="宋体" w:cs="宋体"/>
                <w:sz w:val="24"/>
                <w:highlight w:val="none"/>
                <w:lang w:val="zh-CN"/>
              </w:rPr>
            </w:pPr>
          </w:p>
        </w:tc>
      </w:tr>
    </w:tbl>
    <w:p w14:paraId="26E4AED7">
      <w:pPr>
        <w:snapToGrid w:val="0"/>
        <w:spacing w:line="360" w:lineRule="auto"/>
        <w:rPr>
          <w:rFonts w:ascii="宋体" w:hAnsi="宋体" w:cs="宋体"/>
          <w:b/>
          <w:szCs w:val="21"/>
          <w:highlight w:val="none"/>
        </w:rPr>
      </w:pPr>
    </w:p>
    <w:p w14:paraId="7FDFAD9C">
      <w:pPr>
        <w:snapToGrid w:val="0"/>
        <w:spacing w:line="360" w:lineRule="auto"/>
        <w:rPr>
          <w:rFonts w:ascii="宋体" w:hAnsi="宋体" w:cs="宋体"/>
          <w:b/>
          <w:szCs w:val="21"/>
          <w:highlight w:val="none"/>
        </w:rPr>
      </w:pPr>
      <w:r>
        <w:rPr>
          <w:rFonts w:hint="eastAsia" w:ascii="宋体" w:hAnsi="宋体" w:cs="宋体"/>
          <w:b/>
          <w:szCs w:val="21"/>
          <w:highlight w:val="none"/>
        </w:rPr>
        <w:t>注：1、各供应商可以根据各自业绩量准备充分的表格，此页后须附证明材料。</w:t>
      </w:r>
    </w:p>
    <w:p w14:paraId="35DBC5C8">
      <w:pPr>
        <w:snapToGrid w:val="0"/>
        <w:spacing w:line="360" w:lineRule="auto"/>
        <w:rPr>
          <w:rFonts w:ascii="宋体" w:hAnsi="宋体" w:cs="宋体"/>
          <w:b/>
          <w:szCs w:val="21"/>
          <w:highlight w:val="none"/>
        </w:rPr>
      </w:pPr>
      <w:r>
        <w:rPr>
          <w:rFonts w:hint="eastAsia" w:ascii="宋体" w:hAnsi="宋体" w:cs="宋体"/>
          <w:b/>
          <w:szCs w:val="21"/>
          <w:highlight w:val="none"/>
        </w:rPr>
        <w:t xml:space="preserve">    2、供应商须真实仔细地填写本表格。</w:t>
      </w:r>
    </w:p>
    <w:p w14:paraId="198AE8B6">
      <w:pPr>
        <w:widowControl/>
        <w:jc w:val="left"/>
        <w:rPr>
          <w:rFonts w:ascii="宋体" w:hAnsi="宋体" w:cs="宋体"/>
          <w:kern w:val="0"/>
          <w:sz w:val="24"/>
          <w:szCs w:val="20"/>
          <w:highlight w:val="none"/>
        </w:rPr>
      </w:pPr>
    </w:p>
    <w:p w14:paraId="04DAEFA3">
      <w:pPr>
        <w:widowControl/>
        <w:jc w:val="left"/>
        <w:rPr>
          <w:rFonts w:ascii="宋体" w:hAnsi="宋体" w:cs="宋体"/>
          <w:kern w:val="0"/>
          <w:sz w:val="24"/>
          <w:szCs w:val="20"/>
          <w:highlight w:val="none"/>
        </w:rPr>
      </w:pPr>
    </w:p>
    <w:p w14:paraId="03E907B5">
      <w:pPr>
        <w:widowControl/>
        <w:jc w:val="left"/>
        <w:rPr>
          <w:rFonts w:ascii="宋体" w:hAnsi="宋体" w:cs="宋体"/>
          <w:kern w:val="0"/>
          <w:sz w:val="24"/>
          <w:szCs w:val="20"/>
          <w:highlight w:val="none"/>
        </w:rPr>
      </w:pPr>
    </w:p>
    <w:p w14:paraId="47EFA18D">
      <w:pPr>
        <w:pStyle w:val="11"/>
        <w:overflowPunct w:val="0"/>
        <w:spacing w:line="360" w:lineRule="auto"/>
        <w:ind w:right="420" w:firstLine="3300" w:firstLineChars="1375"/>
        <w:rPr>
          <w:rFonts w:ascii="宋体" w:hAnsi="宋体" w:cs="宋体"/>
          <w:sz w:val="24"/>
          <w:szCs w:val="24"/>
          <w:highlight w:val="none"/>
        </w:rPr>
      </w:pPr>
      <w:r>
        <w:rPr>
          <w:rFonts w:hint="eastAsia" w:ascii="宋体" w:hAnsi="宋体" w:cs="宋体"/>
          <w:sz w:val="24"/>
          <w:szCs w:val="24"/>
          <w:highlight w:val="none"/>
        </w:rPr>
        <w:t>供应商（单位盖章）：</w:t>
      </w:r>
    </w:p>
    <w:p w14:paraId="5A2ACD48">
      <w:pPr>
        <w:pStyle w:val="11"/>
        <w:overflowPunct w:val="0"/>
        <w:spacing w:line="360" w:lineRule="auto"/>
        <w:ind w:right="420" w:firstLine="3360" w:firstLineChars="1400"/>
        <w:rPr>
          <w:rFonts w:ascii="宋体" w:hAnsi="宋体" w:cs="宋体"/>
          <w:sz w:val="24"/>
          <w:szCs w:val="24"/>
          <w:highlight w:val="none"/>
        </w:rPr>
      </w:pPr>
      <w:r>
        <w:rPr>
          <w:rFonts w:hint="eastAsia" w:ascii="宋体" w:hAnsi="宋体" w:cs="宋体"/>
          <w:sz w:val="24"/>
          <w:szCs w:val="24"/>
          <w:highlight w:val="none"/>
        </w:rPr>
        <w:t xml:space="preserve">法定代表人或委托代理人（签字或盖章）：                         </w:t>
      </w:r>
    </w:p>
    <w:p w14:paraId="700E6CDB">
      <w:pPr>
        <w:spacing w:before="120" w:beforeLines="50" w:line="360" w:lineRule="auto"/>
        <w:ind w:right="-21" w:rightChars="-10" w:firstLine="470" w:firstLineChars="196"/>
        <w:jc w:val="right"/>
        <w:rPr>
          <w:rFonts w:ascii="宋体" w:hAnsi="宋体" w:cs="宋体"/>
          <w:sz w:val="24"/>
          <w:highlight w:val="none"/>
        </w:rPr>
      </w:pPr>
      <w:r>
        <w:rPr>
          <w:rFonts w:hint="eastAsia" w:ascii="宋体" w:hAnsi="宋体" w:cs="宋体"/>
          <w:sz w:val="24"/>
          <w:highlight w:val="none"/>
        </w:rPr>
        <w:t>年  月  日</w:t>
      </w:r>
    </w:p>
    <w:p w14:paraId="61AA4893">
      <w:pPr>
        <w:widowControl/>
        <w:jc w:val="left"/>
        <w:rPr>
          <w:rFonts w:ascii="宋体" w:hAnsi="宋体" w:cs="宋体"/>
          <w:kern w:val="0"/>
          <w:sz w:val="24"/>
          <w:szCs w:val="20"/>
          <w:highlight w:val="none"/>
        </w:rPr>
      </w:pPr>
    </w:p>
    <w:p w14:paraId="0C3FAC01">
      <w:pPr>
        <w:rPr>
          <w:rFonts w:ascii="宋体" w:hAnsi="宋体" w:cs="宋体"/>
          <w:bCs/>
          <w:sz w:val="24"/>
          <w:szCs w:val="32"/>
          <w:highlight w:val="none"/>
        </w:rPr>
      </w:pPr>
    </w:p>
    <w:p w14:paraId="1A5215F6">
      <w:pPr>
        <w:pageBreakBefore/>
        <w:spacing w:before="260" w:after="260" w:line="415" w:lineRule="auto"/>
        <w:outlineLvl w:val="1"/>
        <w:rPr>
          <w:rFonts w:ascii="宋体" w:hAnsi="宋体" w:cs="宋体"/>
          <w:bCs/>
          <w:sz w:val="24"/>
          <w:highlight w:val="none"/>
        </w:rPr>
      </w:pPr>
      <w:bookmarkStart w:id="93" w:name="_Toc174370019"/>
      <w:r>
        <w:rPr>
          <w:rFonts w:hint="eastAsia" w:ascii="宋体" w:hAnsi="宋体" w:cs="宋体"/>
          <w:bCs/>
          <w:sz w:val="24"/>
          <w:highlight w:val="none"/>
        </w:rPr>
        <w:t>附件十四：服务费承诺书</w:t>
      </w:r>
      <w:bookmarkEnd w:id="93"/>
    </w:p>
    <w:p w14:paraId="7D1527BD">
      <w:pPr>
        <w:snapToGrid w:val="0"/>
        <w:spacing w:before="50" w:after="120" w:afterLines="50"/>
        <w:jc w:val="center"/>
        <w:rPr>
          <w:rFonts w:ascii="宋体" w:hAnsi="宋体" w:cs="宋体"/>
          <w:b/>
          <w:sz w:val="40"/>
          <w:szCs w:val="40"/>
          <w:highlight w:val="none"/>
        </w:rPr>
      </w:pPr>
      <w:r>
        <w:rPr>
          <w:rFonts w:hint="eastAsia" w:ascii="宋体" w:hAnsi="宋体" w:cs="宋体"/>
          <w:b/>
          <w:sz w:val="40"/>
          <w:szCs w:val="40"/>
          <w:highlight w:val="none"/>
        </w:rPr>
        <w:t>承 诺 书</w:t>
      </w:r>
    </w:p>
    <w:p w14:paraId="6DF0F9B0">
      <w:pPr>
        <w:snapToGrid w:val="0"/>
        <w:spacing w:before="50" w:after="120" w:afterLines="50"/>
        <w:jc w:val="left"/>
        <w:rPr>
          <w:rFonts w:ascii="宋体" w:hAnsi="宋体" w:cs="宋体"/>
          <w:b/>
          <w:sz w:val="24"/>
          <w:highlight w:val="none"/>
        </w:rPr>
      </w:pPr>
    </w:p>
    <w:p w14:paraId="246F01BA">
      <w:pPr>
        <w:snapToGrid w:val="0"/>
        <w:spacing w:before="50" w:after="120" w:afterLines="50" w:line="360" w:lineRule="auto"/>
        <w:jc w:val="left"/>
        <w:rPr>
          <w:rFonts w:ascii="宋体" w:hAnsi="宋体" w:cs="宋体"/>
          <w:b/>
          <w:bCs/>
          <w:sz w:val="24"/>
          <w:highlight w:val="none"/>
        </w:rPr>
      </w:pPr>
      <w:r>
        <w:rPr>
          <w:rFonts w:hint="eastAsia" w:ascii="宋体" w:hAnsi="宋体" w:cs="宋体"/>
          <w:b/>
          <w:sz w:val="24"/>
          <w:highlight w:val="none"/>
          <w:lang w:eastAsia="zh-CN"/>
        </w:rPr>
        <w:t>浙江衢州公信工程管理有限公司</w:t>
      </w:r>
      <w:r>
        <w:rPr>
          <w:rFonts w:hint="eastAsia" w:ascii="宋体" w:hAnsi="宋体" w:cs="宋体"/>
          <w:b/>
          <w:bCs/>
          <w:sz w:val="24"/>
          <w:highlight w:val="none"/>
        </w:rPr>
        <w:t>：</w:t>
      </w:r>
    </w:p>
    <w:p w14:paraId="0F27DEB2">
      <w:pPr>
        <w:snapToGrid w:val="0"/>
        <w:spacing w:before="50" w:after="120" w:afterLines="50" w:line="360" w:lineRule="auto"/>
        <w:ind w:firstLine="472" w:firstLineChars="196"/>
        <w:jc w:val="left"/>
        <w:rPr>
          <w:rFonts w:ascii="宋体" w:hAnsi="宋体" w:cs="宋体"/>
          <w:b/>
          <w:sz w:val="24"/>
          <w:highlight w:val="none"/>
        </w:rPr>
      </w:pPr>
      <w:r>
        <w:rPr>
          <w:rFonts w:hint="eastAsia" w:ascii="宋体" w:hAnsi="宋体" w:cs="宋体"/>
          <w:b/>
          <w:sz w:val="24"/>
          <w:highlight w:val="none"/>
        </w:rPr>
        <w:t>若我公司中标时，在中标结果公示结束之日起3天内，愿按本磋商文件总则第（五）条规定向</w:t>
      </w:r>
      <w:r>
        <w:rPr>
          <w:rFonts w:hint="eastAsia" w:ascii="宋体" w:hAnsi="宋体" w:cs="宋体"/>
          <w:b/>
          <w:sz w:val="24"/>
          <w:highlight w:val="none"/>
          <w:lang w:eastAsia="zh-CN"/>
        </w:rPr>
        <w:t>浙江衢州公信工程管理有限公司</w:t>
      </w:r>
      <w:r>
        <w:rPr>
          <w:rFonts w:hint="eastAsia" w:ascii="宋体" w:hAnsi="宋体" w:cs="宋体"/>
          <w:b/>
          <w:sz w:val="24"/>
          <w:highlight w:val="none"/>
        </w:rPr>
        <w:t xml:space="preserve">支付中标服务费。    </w:t>
      </w:r>
    </w:p>
    <w:p w14:paraId="17959D14">
      <w:pPr>
        <w:snapToGrid w:val="0"/>
        <w:spacing w:before="50" w:after="120" w:afterLines="50" w:line="360" w:lineRule="auto"/>
        <w:ind w:firstLine="482" w:firstLineChars="200"/>
        <w:jc w:val="left"/>
        <w:rPr>
          <w:rFonts w:ascii="宋体" w:hAnsi="宋体" w:cs="宋体"/>
          <w:b/>
          <w:sz w:val="24"/>
          <w:highlight w:val="none"/>
        </w:rPr>
      </w:pPr>
      <w:r>
        <w:rPr>
          <w:rFonts w:hint="eastAsia" w:ascii="宋体" w:hAnsi="宋体" w:cs="宋体"/>
          <w:b/>
          <w:sz w:val="24"/>
          <w:highlight w:val="none"/>
        </w:rPr>
        <w:t>特此承诺！</w:t>
      </w:r>
    </w:p>
    <w:p w14:paraId="4827E998">
      <w:pPr>
        <w:snapToGrid w:val="0"/>
        <w:spacing w:before="50" w:after="120" w:afterLines="50" w:line="360" w:lineRule="auto"/>
        <w:jc w:val="left"/>
        <w:rPr>
          <w:rFonts w:ascii="宋体" w:hAnsi="宋体" w:cs="宋体"/>
          <w:b/>
          <w:sz w:val="24"/>
          <w:highlight w:val="none"/>
        </w:rPr>
      </w:pPr>
    </w:p>
    <w:p w14:paraId="2943C735">
      <w:pPr>
        <w:snapToGrid w:val="0"/>
        <w:spacing w:before="50" w:after="120" w:afterLines="50"/>
        <w:jc w:val="left"/>
        <w:rPr>
          <w:rFonts w:ascii="宋体" w:hAnsi="宋体" w:cs="宋体"/>
          <w:b/>
          <w:sz w:val="24"/>
          <w:highlight w:val="none"/>
        </w:rPr>
      </w:pPr>
    </w:p>
    <w:p w14:paraId="5EB4B147">
      <w:pPr>
        <w:snapToGrid w:val="0"/>
        <w:spacing w:before="50" w:after="120" w:afterLines="50"/>
        <w:jc w:val="left"/>
        <w:rPr>
          <w:rFonts w:ascii="宋体" w:hAnsi="宋体" w:cs="宋体"/>
          <w:b/>
          <w:sz w:val="24"/>
          <w:highlight w:val="none"/>
        </w:rPr>
      </w:pPr>
    </w:p>
    <w:p w14:paraId="6E21E073">
      <w:pPr>
        <w:snapToGrid w:val="0"/>
        <w:spacing w:before="50" w:after="120" w:afterLines="50"/>
        <w:jc w:val="left"/>
        <w:rPr>
          <w:rFonts w:ascii="宋体" w:hAnsi="宋体" w:cs="宋体"/>
          <w:b/>
          <w:sz w:val="24"/>
          <w:highlight w:val="none"/>
        </w:rPr>
      </w:pPr>
    </w:p>
    <w:p w14:paraId="60D24610">
      <w:pPr>
        <w:snapToGrid w:val="0"/>
        <w:spacing w:before="50" w:after="120" w:afterLines="50"/>
        <w:jc w:val="left"/>
        <w:rPr>
          <w:rFonts w:ascii="宋体" w:hAnsi="宋体" w:cs="宋体"/>
          <w:b/>
          <w:sz w:val="24"/>
          <w:highlight w:val="none"/>
        </w:rPr>
      </w:pPr>
    </w:p>
    <w:p w14:paraId="16AAE0A3">
      <w:pPr>
        <w:snapToGrid w:val="0"/>
        <w:spacing w:before="50" w:after="120" w:afterLines="50"/>
        <w:jc w:val="left"/>
        <w:rPr>
          <w:rFonts w:ascii="宋体" w:hAnsi="宋体" w:cs="宋体"/>
          <w:b/>
          <w:sz w:val="24"/>
          <w:highlight w:val="none"/>
        </w:rPr>
      </w:pPr>
    </w:p>
    <w:p w14:paraId="3D55562A">
      <w:pPr>
        <w:snapToGrid w:val="0"/>
        <w:spacing w:before="50" w:after="120" w:afterLines="50"/>
        <w:ind w:firstLine="236" w:firstLineChars="98"/>
        <w:jc w:val="left"/>
        <w:rPr>
          <w:rFonts w:ascii="宋体" w:hAnsi="宋体" w:cs="宋体"/>
          <w:b/>
          <w:sz w:val="24"/>
          <w:highlight w:val="none"/>
        </w:rPr>
      </w:pPr>
      <w:r>
        <w:rPr>
          <w:rFonts w:hint="eastAsia" w:ascii="宋体" w:hAnsi="宋体" w:cs="宋体"/>
          <w:b/>
          <w:sz w:val="24"/>
          <w:highlight w:val="none"/>
        </w:rPr>
        <w:t>承诺单位(盖章)：</w:t>
      </w:r>
    </w:p>
    <w:p w14:paraId="72A9DC03">
      <w:pPr>
        <w:snapToGrid w:val="0"/>
        <w:spacing w:before="50" w:after="120" w:afterLines="50"/>
        <w:jc w:val="left"/>
        <w:rPr>
          <w:rFonts w:ascii="宋体" w:hAnsi="宋体" w:cs="宋体"/>
          <w:b/>
          <w:sz w:val="24"/>
          <w:highlight w:val="none"/>
        </w:rPr>
      </w:pPr>
    </w:p>
    <w:p w14:paraId="73DE4DB9">
      <w:pPr>
        <w:snapToGrid w:val="0"/>
        <w:spacing w:before="50" w:after="120" w:afterLines="50"/>
        <w:jc w:val="left"/>
        <w:rPr>
          <w:rFonts w:ascii="宋体" w:hAnsi="宋体" w:cs="宋体"/>
          <w:b/>
          <w:sz w:val="24"/>
          <w:highlight w:val="none"/>
        </w:rPr>
      </w:pPr>
    </w:p>
    <w:p w14:paraId="20026547">
      <w:pPr>
        <w:snapToGrid w:val="0"/>
        <w:spacing w:before="50" w:after="120" w:afterLines="50"/>
        <w:ind w:firstLine="236" w:firstLineChars="98"/>
        <w:jc w:val="left"/>
        <w:rPr>
          <w:rFonts w:ascii="宋体" w:hAnsi="宋体" w:cs="宋体"/>
          <w:b/>
          <w:sz w:val="24"/>
          <w:highlight w:val="none"/>
        </w:rPr>
      </w:pPr>
      <w:r>
        <w:rPr>
          <w:rFonts w:hint="eastAsia" w:ascii="宋体" w:hAnsi="宋体" w:cs="宋体"/>
          <w:b/>
          <w:sz w:val="24"/>
          <w:highlight w:val="none"/>
        </w:rPr>
        <w:t>法定代表人或委托代理人(签字)：</w:t>
      </w:r>
    </w:p>
    <w:p w14:paraId="625C35DC">
      <w:pPr>
        <w:snapToGrid w:val="0"/>
        <w:spacing w:before="50" w:after="120" w:afterLines="50"/>
        <w:jc w:val="left"/>
        <w:rPr>
          <w:rFonts w:ascii="宋体" w:hAnsi="宋体" w:cs="宋体"/>
          <w:b/>
          <w:bCs/>
          <w:sz w:val="24"/>
          <w:highlight w:val="none"/>
        </w:rPr>
      </w:pPr>
    </w:p>
    <w:p w14:paraId="4EBCFA89">
      <w:pPr>
        <w:snapToGrid w:val="0"/>
        <w:spacing w:before="50" w:after="120" w:afterLines="50"/>
        <w:jc w:val="left"/>
        <w:rPr>
          <w:rFonts w:ascii="宋体" w:hAnsi="宋体" w:cs="宋体"/>
          <w:b/>
          <w:bCs/>
          <w:sz w:val="24"/>
          <w:highlight w:val="none"/>
        </w:rPr>
      </w:pPr>
    </w:p>
    <w:p w14:paraId="7B3A7AA1">
      <w:pPr>
        <w:snapToGrid w:val="0"/>
        <w:spacing w:before="50" w:after="120" w:afterLines="50"/>
        <w:ind w:firstLine="5980" w:firstLineChars="2482"/>
        <w:jc w:val="left"/>
        <w:rPr>
          <w:rFonts w:ascii="宋体" w:hAnsi="宋体" w:cs="宋体"/>
          <w:b/>
          <w:bCs/>
          <w:sz w:val="24"/>
          <w:highlight w:val="none"/>
        </w:rPr>
      </w:pPr>
      <w:r>
        <w:rPr>
          <w:rFonts w:hint="eastAsia" w:ascii="宋体" w:hAnsi="宋体" w:cs="宋体"/>
          <w:b/>
          <w:bCs/>
          <w:sz w:val="24"/>
          <w:highlight w:val="none"/>
        </w:rPr>
        <w:t>年     月    日</w:t>
      </w:r>
    </w:p>
    <w:p w14:paraId="6F330539">
      <w:pPr>
        <w:snapToGrid w:val="0"/>
        <w:spacing w:before="50" w:after="120" w:afterLines="50"/>
        <w:jc w:val="left"/>
        <w:rPr>
          <w:rFonts w:ascii="宋体" w:hAnsi="宋体" w:cs="宋体"/>
          <w:b/>
          <w:sz w:val="24"/>
          <w:highlight w:val="none"/>
        </w:rPr>
      </w:pPr>
    </w:p>
    <w:p w14:paraId="6A227533">
      <w:pPr>
        <w:snapToGrid w:val="0"/>
        <w:spacing w:before="120" w:beforeLines="50" w:after="50" w:line="276" w:lineRule="auto"/>
        <w:jc w:val="left"/>
        <w:rPr>
          <w:rFonts w:ascii="宋体" w:hAnsi="宋体" w:cs="宋体"/>
          <w:sz w:val="24"/>
          <w:highlight w:val="none"/>
        </w:rPr>
      </w:pPr>
    </w:p>
    <w:p w14:paraId="5CB0B829">
      <w:pPr>
        <w:snapToGrid w:val="0"/>
        <w:spacing w:before="120" w:beforeLines="50" w:after="50" w:line="276" w:lineRule="auto"/>
        <w:jc w:val="left"/>
        <w:rPr>
          <w:rFonts w:ascii="宋体" w:hAnsi="宋体" w:cs="宋体"/>
          <w:sz w:val="24"/>
          <w:highlight w:val="none"/>
        </w:rPr>
      </w:pPr>
    </w:p>
    <w:p w14:paraId="308EE97F">
      <w:pPr>
        <w:snapToGrid w:val="0"/>
        <w:spacing w:before="120" w:beforeLines="50" w:after="50" w:line="276" w:lineRule="auto"/>
        <w:jc w:val="left"/>
        <w:rPr>
          <w:rFonts w:ascii="宋体" w:hAnsi="宋体" w:cs="宋体"/>
          <w:sz w:val="24"/>
          <w:highlight w:val="none"/>
        </w:rPr>
      </w:pPr>
    </w:p>
    <w:p w14:paraId="3B586B0D">
      <w:pPr>
        <w:rPr>
          <w:rFonts w:ascii="宋体" w:hAnsi="宋体" w:cs="宋体"/>
          <w:bCs/>
          <w:sz w:val="24"/>
          <w:highlight w:val="none"/>
        </w:rPr>
      </w:pPr>
      <w:bookmarkStart w:id="94" w:name="_Toc514425251"/>
      <w:bookmarkStart w:id="95" w:name="_Toc7166659"/>
    </w:p>
    <w:bookmarkEnd w:id="94"/>
    <w:bookmarkEnd w:id="95"/>
    <w:p w14:paraId="477F3DFC">
      <w:pPr>
        <w:rPr>
          <w:rFonts w:ascii="宋体" w:hAnsi="宋体" w:cs="宋体"/>
          <w:b/>
          <w:sz w:val="24"/>
          <w:highlight w:val="none"/>
        </w:rPr>
      </w:pPr>
    </w:p>
    <w:p w14:paraId="13D242D3">
      <w:pPr>
        <w:pageBreakBefore/>
        <w:spacing w:before="260" w:after="260" w:line="415" w:lineRule="auto"/>
        <w:outlineLvl w:val="1"/>
        <w:rPr>
          <w:rFonts w:ascii="宋体" w:hAnsi="宋体" w:cs="宋体"/>
          <w:bCs/>
          <w:sz w:val="24"/>
          <w:highlight w:val="none"/>
        </w:rPr>
      </w:pPr>
      <w:bookmarkStart w:id="96" w:name="_Toc496598995"/>
      <w:bookmarkStart w:id="97" w:name="_Toc174370020"/>
      <w:r>
        <w:rPr>
          <w:rFonts w:hint="eastAsia" w:ascii="宋体" w:hAnsi="宋体" w:cs="宋体"/>
          <w:bCs/>
          <w:sz w:val="24"/>
          <w:highlight w:val="none"/>
        </w:rPr>
        <w:t>附件十五:</w:t>
      </w:r>
      <w:bookmarkEnd w:id="96"/>
      <w:r>
        <w:rPr>
          <w:rFonts w:hint="eastAsia" w:ascii="宋体" w:hAnsi="宋体" w:cs="宋体"/>
          <w:bCs/>
          <w:sz w:val="24"/>
          <w:highlight w:val="none"/>
        </w:rPr>
        <w:t>磋商函</w:t>
      </w:r>
      <w:bookmarkEnd w:id="97"/>
    </w:p>
    <w:p w14:paraId="511943EB">
      <w:pPr>
        <w:snapToGrid w:val="0"/>
        <w:spacing w:before="120" w:beforeLines="50" w:after="50" w:line="480" w:lineRule="auto"/>
        <w:jc w:val="center"/>
        <w:rPr>
          <w:rFonts w:ascii="宋体" w:hAnsi="宋体" w:cs="宋体"/>
          <w:b/>
          <w:sz w:val="40"/>
          <w:szCs w:val="40"/>
          <w:highlight w:val="none"/>
        </w:rPr>
      </w:pPr>
      <w:r>
        <w:rPr>
          <w:rFonts w:hint="eastAsia" w:ascii="宋体" w:hAnsi="宋体" w:cs="宋体"/>
          <w:b/>
          <w:sz w:val="40"/>
          <w:szCs w:val="40"/>
          <w:highlight w:val="none"/>
        </w:rPr>
        <w:t>磋 商 函</w:t>
      </w:r>
    </w:p>
    <w:p w14:paraId="64059A9C">
      <w:pPr>
        <w:snapToGrid w:val="0"/>
        <w:spacing w:line="360" w:lineRule="auto"/>
        <w:rPr>
          <w:rFonts w:ascii="宋体" w:hAnsi="宋体" w:cs="宋体"/>
          <w:sz w:val="24"/>
          <w:highlight w:val="none"/>
        </w:rPr>
      </w:pPr>
      <w:r>
        <w:rPr>
          <w:rFonts w:hint="eastAsia" w:ascii="宋体" w:hAnsi="宋体" w:cs="宋体"/>
          <w:sz w:val="24"/>
          <w:highlight w:val="none"/>
        </w:rPr>
        <w:t>致：</w:t>
      </w:r>
      <w:r>
        <w:rPr>
          <w:rFonts w:hint="eastAsia" w:ascii="宋体" w:hAnsi="宋体" w:cs="宋体"/>
          <w:sz w:val="24"/>
          <w:highlight w:val="none"/>
          <w:u w:val="single"/>
        </w:rPr>
        <w:t xml:space="preserve">                </w:t>
      </w:r>
      <w:r>
        <w:rPr>
          <w:rFonts w:hint="eastAsia" w:ascii="宋体" w:hAnsi="宋体" w:cs="宋体"/>
          <w:sz w:val="24"/>
          <w:highlight w:val="none"/>
        </w:rPr>
        <w:t>（招标采购单位名称）：</w:t>
      </w:r>
    </w:p>
    <w:p w14:paraId="27C8ABFF">
      <w:pPr>
        <w:snapToGrid w:val="0"/>
        <w:spacing w:line="360" w:lineRule="auto"/>
        <w:ind w:firstLine="480"/>
        <w:rPr>
          <w:rFonts w:ascii="宋体" w:hAnsi="宋体" w:cs="宋体"/>
          <w:sz w:val="24"/>
          <w:highlight w:val="none"/>
        </w:rPr>
      </w:pPr>
      <w:r>
        <w:rPr>
          <w:rFonts w:hint="eastAsia" w:ascii="宋体" w:hAnsi="宋体" w:cs="宋体"/>
          <w:sz w:val="24"/>
          <w:highlight w:val="none"/>
        </w:rPr>
        <w:t>根据贵方为</w:t>
      </w:r>
      <w:r>
        <w:rPr>
          <w:rFonts w:hint="eastAsia" w:ascii="宋体" w:hAnsi="宋体" w:cs="宋体"/>
          <w:sz w:val="24"/>
          <w:highlight w:val="none"/>
          <w:u w:val="single"/>
        </w:rPr>
        <w:t xml:space="preserve">                             </w:t>
      </w:r>
      <w:r>
        <w:rPr>
          <w:rFonts w:hint="eastAsia" w:ascii="宋体" w:hAnsi="宋体" w:cs="宋体"/>
          <w:sz w:val="24"/>
          <w:highlight w:val="none"/>
        </w:rPr>
        <w:t>项目的磋商公告/磋商邀请书</w:t>
      </w:r>
    </w:p>
    <w:p w14:paraId="2C1DD379">
      <w:pPr>
        <w:snapToGrid w:val="0"/>
        <w:spacing w:line="360" w:lineRule="auto"/>
        <w:rPr>
          <w:rFonts w:ascii="宋体" w:hAnsi="宋体" w:cs="宋体"/>
          <w:sz w:val="24"/>
          <w:highlight w:val="none"/>
        </w:rPr>
      </w:pPr>
      <w:r>
        <w:rPr>
          <w:rFonts w:hint="eastAsia" w:ascii="宋体" w:hAnsi="宋体" w:cs="宋体"/>
          <w:sz w:val="24"/>
          <w:highlight w:val="none"/>
        </w:rPr>
        <w:t>（项目编号：</w:t>
      </w:r>
      <w:r>
        <w:rPr>
          <w:rFonts w:hint="eastAsia" w:ascii="宋体" w:hAnsi="宋体" w:cs="宋体"/>
          <w:sz w:val="24"/>
          <w:highlight w:val="none"/>
          <w:u w:val="single"/>
        </w:rPr>
        <w:t xml:space="preserve">          </w:t>
      </w:r>
      <w:r>
        <w:rPr>
          <w:rFonts w:hint="eastAsia" w:ascii="宋体" w:hAnsi="宋体" w:cs="宋体"/>
          <w:sz w:val="24"/>
          <w:highlight w:val="none"/>
        </w:rPr>
        <w:t>），签字代表</w:t>
      </w:r>
      <w:r>
        <w:rPr>
          <w:rFonts w:hint="eastAsia" w:ascii="宋体" w:hAnsi="宋体" w:cs="宋体"/>
          <w:sz w:val="24"/>
          <w:highlight w:val="none"/>
          <w:u w:val="single"/>
        </w:rPr>
        <w:t xml:space="preserve">         </w:t>
      </w:r>
      <w:r>
        <w:rPr>
          <w:rFonts w:hint="eastAsia" w:ascii="宋体" w:hAnsi="宋体" w:cs="宋体"/>
          <w:sz w:val="24"/>
          <w:highlight w:val="none"/>
        </w:rPr>
        <w:t>（全名）经正式授权并代表供应商</w:t>
      </w:r>
      <w:r>
        <w:rPr>
          <w:rFonts w:hint="eastAsia" w:ascii="宋体" w:hAnsi="宋体" w:cs="宋体"/>
          <w:sz w:val="24"/>
          <w:highlight w:val="none"/>
          <w:u w:val="single"/>
        </w:rPr>
        <w:t xml:space="preserve">       </w:t>
      </w:r>
      <w:r>
        <w:rPr>
          <w:rFonts w:hint="eastAsia" w:ascii="宋体" w:hAnsi="宋体" w:cs="宋体"/>
          <w:sz w:val="24"/>
          <w:highlight w:val="none"/>
        </w:rPr>
        <w:t>（供应商名称）提交电子磋商响应文件。</w:t>
      </w:r>
    </w:p>
    <w:p w14:paraId="65F257A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据此函，签字代表宣布同意如下：</w:t>
      </w:r>
    </w:p>
    <w:p w14:paraId="7FF84BB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1.供应商已详细审查全部“磋商文件”，包括修改文件（如有的话）以及全部参考资料和有关附件，已经了解我方对于磋商文件、采购过程、采购结果有依法进行询问、质疑、投诉的权利及相关渠道和要求。</w:t>
      </w:r>
    </w:p>
    <w:p w14:paraId="381F32E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2.供应商在磋商之前已经与贵方进行了充分的沟通，完全理解并接受磋商文件的各项规定和要求，对磋商文件的合理性、合法性不再有异议。</w:t>
      </w:r>
    </w:p>
    <w:p w14:paraId="6D40FF7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3.本磋商响应文件有效期自开标日起 ______天。</w:t>
      </w:r>
    </w:p>
    <w:p w14:paraId="052179C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4.如中标，本磋商响应文件至本项目合同履行完毕止均保持有效，本供应商将按“磋商文件”及政府采购法律、法规的规定履行合同责任和义务。</w:t>
      </w:r>
    </w:p>
    <w:p w14:paraId="49831C5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5.供应商同意按照贵方要求提供与磋商有关的一切数据或资料。</w:t>
      </w:r>
    </w:p>
    <w:p w14:paraId="0439099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6.与本磋商有关的一切正式往来信函请寄：</w:t>
      </w:r>
    </w:p>
    <w:p w14:paraId="58295C25">
      <w:pPr>
        <w:snapToGrid w:val="0"/>
        <w:spacing w:line="360" w:lineRule="auto"/>
        <w:rPr>
          <w:rFonts w:ascii="宋体" w:hAnsi="宋体" w:cs="宋体"/>
          <w:sz w:val="24"/>
          <w:highlight w:val="none"/>
        </w:rPr>
      </w:pPr>
      <w:r>
        <w:rPr>
          <w:rFonts w:hint="eastAsia" w:ascii="宋体" w:hAnsi="宋体" w:cs="宋体"/>
          <w:sz w:val="24"/>
          <w:highlight w:val="none"/>
        </w:rPr>
        <w:t>地址：__________</w:t>
      </w:r>
      <w:r>
        <w:rPr>
          <w:rFonts w:hint="eastAsia" w:ascii="宋体" w:hAnsi="宋体" w:cs="宋体"/>
          <w:sz w:val="24"/>
          <w:highlight w:val="none"/>
          <w:u w:val="single"/>
        </w:rPr>
        <w:t xml:space="preserve">        _</w:t>
      </w:r>
      <w:r>
        <w:rPr>
          <w:rFonts w:hint="eastAsia" w:ascii="宋体" w:hAnsi="宋体" w:cs="宋体"/>
          <w:sz w:val="24"/>
          <w:highlight w:val="none"/>
        </w:rPr>
        <w:t>____邮编：__________   电话：______________</w:t>
      </w:r>
    </w:p>
    <w:p w14:paraId="1B619EF7">
      <w:pPr>
        <w:snapToGrid w:val="0"/>
        <w:spacing w:line="360" w:lineRule="auto"/>
        <w:rPr>
          <w:rFonts w:ascii="宋体" w:hAnsi="宋体" w:cs="宋体"/>
          <w:sz w:val="24"/>
          <w:highlight w:val="none"/>
        </w:rPr>
      </w:pPr>
      <w:r>
        <w:rPr>
          <w:rFonts w:hint="eastAsia" w:ascii="宋体" w:hAnsi="宋体" w:cs="宋体"/>
          <w:sz w:val="24"/>
          <w:highlight w:val="none"/>
        </w:rPr>
        <w:t>传真：______________供应商代表姓名 ___________  职务：______</w:t>
      </w:r>
      <w:r>
        <w:rPr>
          <w:rFonts w:hint="eastAsia" w:ascii="宋体" w:hAnsi="宋体" w:cs="宋体"/>
          <w:sz w:val="24"/>
          <w:highlight w:val="none"/>
          <w:u w:val="single"/>
        </w:rPr>
        <w:t xml:space="preserve"> </w:t>
      </w:r>
      <w:r>
        <w:rPr>
          <w:rFonts w:hint="eastAsia" w:ascii="宋体" w:hAnsi="宋体" w:cs="宋体"/>
          <w:sz w:val="24"/>
          <w:highlight w:val="none"/>
        </w:rPr>
        <w:t>_______</w:t>
      </w:r>
    </w:p>
    <w:p w14:paraId="52ED7598">
      <w:pPr>
        <w:snapToGrid w:val="0"/>
        <w:spacing w:line="360" w:lineRule="auto"/>
        <w:rPr>
          <w:rFonts w:ascii="宋体" w:hAnsi="宋体" w:cs="宋体"/>
          <w:sz w:val="24"/>
          <w:highlight w:val="none"/>
        </w:rPr>
      </w:pPr>
    </w:p>
    <w:p w14:paraId="1E6CEA6A">
      <w:pPr>
        <w:snapToGrid w:val="0"/>
        <w:spacing w:line="360" w:lineRule="auto"/>
        <w:rPr>
          <w:rFonts w:ascii="宋体" w:hAnsi="宋体" w:cs="宋体"/>
          <w:sz w:val="24"/>
          <w:highlight w:val="none"/>
        </w:rPr>
      </w:pPr>
    </w:p>
    <w:p w14:paraId="49785521">
      <w:pPr>
        <w:snapToGrid w:val="0"/>
        <w:spacing w:line="360" w:lineRule="auto"/>
        <w:rPr>
          <w:rFonts w:ascii="宋体" w:hAnsi="宋体" w:cs="宋体"/>
          <w:sz w:val="24"/>
          <w:highlight w:val="none"/>
        </w:rPr>
      </w:pPr>
      <w:r>
        <w:rPr>
          <w:rFonts w:hint="eastAsia" w:ascii="宋体" w:hAnsi="宋体" w:cs="宋体"/>
          <w:sz w:val="24"/>
          <w:highlight w:val="none"/>
        </w:rPr>
        <w:t>供应商名称(公章):___________________</w:t>
      </w:r>
    </w:p>
    <w:p w14:paraId="0B89C8A0">
      <w:pPr>
        <w:snapToGrid w:val="0"/>
        <w:spacing w:line="360" w:lineRule="auto"/>
        <w:rPr>
          <w:rFonts w:ascii="宋体" w:hAnsi="宋体" w:cs="宋体"/>
          <w:sz w:val="24"/>
          <w:highlight w:val="none"/>
        </w:rPr>
      </w:pPr>
      <w:r>
        <w:rPr>
          <w:rFonts w:hint="eastAsia" w:ascii="宋体" w:hAnsi="宋体" w:cs="宋体"/>
          <w:sz w:val="24"/>
          <w:highlight w:val="none"/>
        </w:rPr>
        <w:t xml:space="preserve">委托代理人签字:___________ </w:t>
      </w:r>
    </w:p>
    <w:p w14:paraId="395C005B">
      <w:pPr>
        <w:snapToGrid w:val="0"/>
        <w:spacing w:line="360" w:lineRule="auto"/>
        <w:rPr>
          <w:rFonts w:ascii="宋体" w:hAnsi="宋体" w:cs="宋体"/>
          <w:sz w:val="24"/>
          <w:highlight w:val="none"/>
        </w:rPr>
      </w:pPr>
      <w:r>
        <w:rPr>
          <w:rFonts w:hint="eastAsia" w:ascii="宋体" w:hAnsi="宋体" w:cs="宋体"/>
          <w:sz w:val="24"/>
          <w:highlight w:val="none"/>
        </w:rPr>
        <w:t>日期:_____年___月___日</w:t>
      </w:r>
    </w:p>
    <w:p w14:paraId="0BB8980B">
      <w:pPr>
        <w:snapToGrid w:val="0"/>
        <w:spacing w:before="156" w:after="156" w:line="360" w:lineRule="auto"/>
        <w:rPr>
          <w:rFonts w:ascii="宋体" w:hAnsi="宋体" w:cs="宋体"/>
          <w:sz w:val="24"/>
          <w:highlight w:val="none"/>
        </w:rPr>
      </w:pPr>
    </w:p>
    <w:p w14:paraId="365B4290">
      <w:pPr>
        <w:snapToGrid w:val="0"/>
        <w:spacing w:before="50" w:after="120" w:afterLines="50"/>
        <w:jc w:val="left"/>
        <w:rPr>
          <w:rFonts w:ascii="宋体" w:hAnsi="宋体" w:cs="宋体"/>
          <w:b/>
          <w:sz w:val="24"/>
          <w:highlight w:val="none"/>
        </w:rPr>
      </w:pPr>
    </w:p>
    <w:p w14:paraId="23A07DAB">
      <w:pPr>
        <w:snapToGrid w:val="0"/>
        <w:spacing w:before="50" w:after="120" w:afterLines="50"/>
        <w:jc w:val="left"/>
        <w:rPr>
          <w:rFonts w:ascii="宋体" w:hAnsi="宋体" w:cs="宋体"/>
          <w:b/>
          <w:sz w:val="24"/>
          <w:highlight w:val="none"/>
        </w:rPr>
      </w:pPr>
    </w:p>
    <w:p w14:paraId="7CBCD62E">
      <w:pPr>
        <w:snapToGrid w:val="0"/>
        <w:spacing w:before="50" w:after="120" w:afterLines="50"/>
        <w:jc w:val="left"/>
        <w:rPr>
          <w:rFonts w:ascii="宋体" w:hAnsi="宋体" w:cs="宋体"/>
          <w:b/>
          <w:sz w:val="24"/>
          <w:highlight w:val="none"/>
        </w:rPr>
      </w:pPr>
    </w:p>
    <w:p w14:paraId="7CC5BCA1">
      <w:pPr>
        <w:keepNext/>
        <w:keepLines/>
        <w:spacing w:before="260" w:after="260" w:line="360" w:lineRule="auto"/>
        <w:outlineLvl w:val="1"/>
        <w:rPr>
          <w:rFonts w:ascii="宋体" w:hAnsi="宋体"/>
          <w:bCs/>
          <w:sz w:val="24"/>
          <w:highlight w:val="none"/>
        </w:rPr>
      </w:pPr>
      <w:bookmarkStart w:id="98" w:name="_Toc26482"/>
      <w:bookmarkStart w:id="99" w:name="_Toc14942623"/>
      <w:bookmarkStart w:id="100" w:name="_Toc12413"/>
      <w:bookmarkStart w:id="101" w:name="_Toc174370021"/>
      <w:bookmarkStart w:id="102" w:name="_Toc1663"/>
      <w:bookmarkStart w:id="103" w:name="_Toc496598998"/>
      <w:bookmarkStart w:id="104" w:name="_Toc2590"/>
      <w:r>
        <w:rPr>
          <w:rFonts w:hint="eastAsia" w:ascii="宋体" w:hAnsi="宋体"/>
          <w:bCs/>
          <w:sz w:val="24"/>
          <w:highlight w:val="none"/>
        </w:rPr>
        <w:t>附件十六：</w:t>
      </w:r>
      <w:bookmarkEnd w:id="98"/>
      <w:bookmarkEnd w:id="99"/>
      <w:bookmarkEnd w:id="100"/>
      <w:r>
        <w:rPr>
          <w:rFonts w:hint="eastAsia" w:ascii="宋体" w:hAnsi="宋体"/>
          <w:bCs/>
          <w:sz w:val="24"/>
          <w:highlight w:val="none"/>
        </w:rPr>
        <w:t>初次报价表</w:t>
      </w:r>
      <w:bookmarkEnd w:id="101"/>
    </w:p>
    <w:p w14:paraId="1AD4C5D7">
      <w:pPr>
        <w:snapToGrid w:val="0"/>
        <w:spacing w:before="50" w:after="50" w:line="360" w:lineRule="auto"/>
        <w:jc w:val="center"/>
        <w:rPr>
          <w:rFonts w:ascii="宋体" w:hAnsi="宋体"/>
          <w:b/>
          <w:sz w:val="24"/>
          <w:highlight w:val="none"/>
        </w:rPr>
      </w:pPr>
      <w:r>
        <w:rPr>
          <w:rFonts w:hint="eastAsia" w:ascii="宋体" w:hAnsi="宋体"/>
          <w:b/>
          <w:sz w:val="24"/>
          <w:highlight w:val="none"/>
        </w:rPr>
        <w:t>初次报价表</w:t>
      </w:r>
    </w:p>
    <w:p w14:paraId="10680F87">
      <w:pPr>
        <w:spacing w:line="360" w:lineRule="auto"/>
        <w:rPr>
          <w:rFonts w:ascii="宋体" w:hAnsi="宋体"/>
          <w:b/>
          <w:sz w:val="24"/>
          <w:highlight w:val="none"/>
        </w:rPr>
      </w:pPr>
      <w:r>
        <w:rPr>
          <w:rFonts w:hint="eastAsia" w:ascii="宋体" w:hAnsi="宋体"/>
          <w:b/>
          <w:sz w:val="24"/>
          <w:highlight w:val="none"/>
        </w:rPr>
        <w:t xml:space="preserve">项目编号：                             </w:t>
      </w:r>
    </w:p>
    <w:p w14:paraId="15BFE626">
      <w:pPr>
        <w:spacing w:line="360" w:lineRule="auto"/>
        <w:rPr>
          <w:rFonts w:ascii="宋体" w:hAnsi="宋体"/>
          <w:b/>
          <w:sz w:val="24"/>
          <w:highlight w:val="none"/>
        </w:rPr>
      </w:pPr>
      <w:r>
        <w:rPr>
          <w:rFonts w:hint="eastAsia" w:ascii="宋体" w:hAnsi="宋体"/>
          <w:b/>
          <w:sz w:val="24"/>
          <w:highlight w:val="none"/>
        </w:rPr>
        <w:t>供应商名称：                                          单位：元</w:t>
      </w:r>
    </w:p>
    <w:tbl>
      <w:tblPr>
        <w:tblStyle w:val="39"/>
        <w:tblW w:w="98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56"/>
        <w:gridCol w:w="4668"/>
        <w:gridCol w:w="2152"/>
        <w:gridCol w:w="1863"/>
      </w:tblGrid>
      <w:tr w14:paraId="7D485F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156" w:type="dxa"/>
            <w:tcBorders>
              <w:top w:val="single" w:color="auto" w:sz="4" w:space="0"/>
              <w:left w:val="single" w:color="auto" w:sz="4" w:space="0"/>
              <w:bottom w:val="single" w:color="auto" w:sz="4" w:space="0"/>
              <w:right w:val="single" w:color="auto" w:sz="4" w:space="0"/>
            </w:tcBorders>
            <w:vAlign w:val="center"/>
          </w:tcPr>
          <w:p w14:paraId="68897BDC">
            <w:pPr>
              <w:snapToGrid w:val="0"/>
              <w:spacing w:before="50" w:after="50"/>
              <w:jc w:val="center"/>
              <w:rPr>
                <w:rFonts w:ascii="宋体" w:hAnsi="宋体" w:cs="宋体"/>
                <w:b/>
                <w:sz w:val="24"/>
                <w:highlight w:val="none"/>
              </w:rPr>
            </w:pPr>
            <w:r>
              <w:rPr>
                <w:rFonts w:hint="eastAsia" w:ascii="宋体" w:hAnsi="宋体" w:cs="宋体"/>
                <w:b/>
                <w:sz w:val="24"/>
                <w:highlight w:val="none"/>
              </w:rPr>
              <w:t>标项</w:t>
            </w:r>
          </w:p>
        </w:tc>
        <w:tc>
          <w:tcPr>
            <w:tcW w:w="4668" w:type="dxa"/>
            <w:tcBorders>
              <w:top w:val="single" w:color="auto" w:sz="4" w:space="0"/>
              <w:left w:val="single" w:color="auto" w:sz="4" w:space="0"/>
              <w:bottom w:val="single" w:color="auto" w:sz="4" w:space="0"/>
              <w:right w:val="single" w:color="auto" w:sz="4" w:space="0"/>
            </w:tcBorders>
            <w:vAlign w:val="center"/>
          </w:tcPr>
          <w:p w14:paraId="72E14BBB">
            <w:pPr>
              <w:snapToGrid w:val="0"/>
              <w:spacing w:before="50" w:after="50"/>
              <w:jc w:val="center"/>
              <w:rPr>
                <w:rFonts w:ascii="宋体" w:hAnsi="宋体" w:cs="宋体"/>
                <w:b/>
                <w:sz w:val="24"/>
                <w:highlight w:val="none"/>
              </w:rPr>
            </w:pPr>
            <w:r>
              <w:rPr>
                <w:rFonts w:hint="eastAsia" w:ascii="宋体" w:hAnsi="宋体" w:cs="宋体"/>
                <w:b/>
                <w:sz w:val="24"/>
                <w:highlight w:val="none"/>
              </w:rPr>
              <w:t>采购内容</w:t>
            </w:r>
          </w:p>
        </w:tc>
        <w:tc>
          <w:tcPr>
            <w:tcW w:w="2152" w:type="dxa"/>
            <w:tcBorders>
              <w:top w:val="single" w:color="auto" w:sz="4" w:space="0"/>
              <w:left w:val="single" w:color="auto" w:sz="4" w:space="0"/>
              <w:bottom w:val="single" w:color="auto" w:sz="4" w:space="0"/>
              <w:right w:val="single" w:color="auto" w:sz="4" w:space="0"/>
            </w:tcBorders>
            <w:vAlign w:val="center"/>
          </w:tcPr>
          <w:p w14:paraId="19ABE0FA">
            <w:pPr>
              <w:snapToGrid w:val="0"/>
              <w:spacing w:before="50" w:after="50"/>
              <w:jc w:val="center"/>
              <w:rPr>
                <w:rFonts w:ascii="宋体" w:hAnsi="宋体" w:cs="宋体"/>
                <w:b/>
                <w:sz w:val="24"/>
                <w:highlight w:val="none"/>
              </w:rPr>
            </w:pPr>
            <w:r>
              <w:rPr>
                <w:rFonts w:hint="eastAsia" w:ascii="宋体" w:hAnsi="宋体" w:cs="宋体"/>
                <w:b/>
                <w:bCs/>
                <w:sz w:val="24"/>
                <w:highlight w:val="none"/>
              </w:rPr>
              <w:t>让利</w:t>
            </w:r>
            <w:r>
              <w:rPr>
                <w:rFonts w:ascii="宋体" w:hAnsi="宋体" w:cs="宋体"/>
                <w:b/>
                <w:sz w:val="24"/>
                <w:highlight w:val="none"/>
              </w:rPr>
              <w:t>下浮率（%））</w:t>
            </w:r>
          </w:p>
        </w:tc>
        <w:tc>
          <w:tcPr>
            <w:tcW w:w="1863" w:type="dxa"/>
            <w:tcBorders>
              <w:top w:val="single" w:color="auto" w:sz="4" w:space="0"/>
              <w:left w:val="single" w:color="auto" w:sz="4" w:space="0"/>
              <w:bottom w:val="single" w:color="auto" w:sz="4" w:space="0"/>
              <w:right w:val="single" w:color="auto" w:sz="4" w:space="0"/>
            </w:tcBorders>
            <w:vAlign w:val="center"/>
          </w:tcPr>
          <w:p w14:paraId="27564C07">
            <w:pPr>
              <w:snapToGrid w:val="0"/>
              <w:spacing w:before="50" w:after="50"/>
              <w:jc w:val="center"/>
              <w:rPr>
                <w:rFonts w:ascii="宋体" w:hAnsi="宋体" w:cs="宋体"/>
                <w:b/>
                <w:sz w:val="24"/>
                <w:highlight w:val="none"/>
              </w:rPr>
            </w:pPr>
            <w:r>
              <w:rPr>
                <w:rFonts w:hint="eastAsia" w:ascii="宋体" w:hAnsi="宋体" w:cs="宋体"/>
                <w:b/>
                <w:bCs/>
                <w:sz w:val="24"/>
                <w:highlight w:val="none"/>
              </w:rPr>
              <w:t>磋商报价（元）</w:t>
            </w:r>
          </w:p>
        </w:tc>
      </w:tr>
      <w:tr w14:paraId="44521C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7" w:hRule="atLeast"/>
          <w:jc w:val="center"/>
        </w:trPr>
        <w:tc>
          <w:tcPr>
            <w:tcW w:w="1156" w:type="dxa"/>
            <w:tcBorders>
              <w:top w:val="single" w:color="auto" w:sz="4" w:space="0"/>
              <w:left w:val="single" w:color="auto" w:sz="4" w:space="0"/>
              <w:bottom w:val="single" w:color="auto" w:sz="4" w:space="0"/>
              <w:right w:val="single" w:color="auto" w:sz="4" w:space="0"/>
            </w:tcBorders>
            <w:vAlign w:val="center"/>
          </w:tcPr>
          <w:p w14:paraId="2FCCA851">
            <w:pPr>
              <w:snapToGrid w:val="0"/>
              <w:spacing w:before="50" w:after="50"/>
              <w:jc w:val="center"/>
              <w:rPr>
                <w:rFonts w:ascii="宋体" w:hAnsi="宋体" w:cs="宋体"/>
                <w:sz w:val="24"/>
                <w:highlight w:val="none"/>
              </w:rPr>
            </w:pPr>
          </w:p>
        </w:tc>
        <w:tc>
          <w:tcPr>
            <w:tcW w:w="4668" w:type="dxa"/>
            <w:tcBorders>
              <w:top w:val="single" w:color="auto" w:sz="4" w:space="0"/>
              <w:left w:val="single" w:color="auto" w:sz="4" w:space="0"/>
              <w:bottom w:val="single" w:color="auto" w:sz="4" w:space="0"/>
              <w:right w:val="single" w:color="auto" w:sz="4" w:space="0"/>
            </w:tcBorders>
            <w:vAlign w:val="center"/>
          </w:tcPr>
          <w:p w14:paraId="0D32BB21">
            <w:pPr>
              <w:snapToGrid w:val="0"/>
              <w:spacing w:before="50" w:after="50"/>
              <w:jc w:val="center"/>
              <w:rPr>
                <w:rFonts w:ascii="宋体" w:hAnsi="宋体" w:cs="宋体"/>
                <w:sz w:val="24"/>
                <w:highlight w:val="none"/>
              </w:rPr>
            </w:pPr>
          </w:p>
        </w:tc>
        <w:tc>
          <w:tcPr>
            <w:tcW w:w="2152" w:type="dxa"/>
            <w:tcBorders>
              <w:top w:val="single" w:color="auto" w:sz="4" w:space="0"/>
              <w:left w:val="single" w:color="auto" w:sz="4" w:space="0"/>
              <w:bottom w:val="single" w:color="auto" w:sz="4" w:space="0"/>
              <w:right w:val="single" w:color="auto" w:sz="4" w:space="0"/>
            </w:tcBorders>
            <w:vAlign w:val="center"/>
          </w:tcPr>
          <w:p w14:paraId="4DAB5FA8">
            <w:pPr>
              <w:snapToGrid w:val="0"/>
              <w:spacing w:before="50" w:after="50"/>
              <w:jc w:val="center"/>
              <w:rPr>
                <w:rFonts w:ascii="宋体" w:hAnsi="宋体" w:cs="宋体"/>
                <w:b/>
                <w:sz w:val="24"/>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14:paraId="59E898C1">
            <w:pPr>
              <w:snapToGrid w:val="0"/>
              <w:spacing w:before="50" w:after="50"/>
              <w:jc w:val="center"/>
              <w:rPr>
                <w:rFonts w:ascii="宋体" w:hAnsi="宋体" w:cs="宋体"/>
                <w:sz w:val="24"/>
                <w:highlight w:val="none"/>
              </w:rPr>
            </w:pPr>
          </w:p>
        </w:tc>
      </w:tr>
      <w:tr w14:paraId="28A541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9839" w:type="dxa"/>
            <w:gridSpan w:val="4"/>
            <w:tcBorders>
              <w:top w:val="single" w:color="auto" w:sz="4" w:space="0"/>
              <w:left w:val="single" w:color="auto" w:sz="4" w:space="0"/>
              <w:bottom w:val="single" w:color="auto" w:sz="4" w:space="0"/>
              <w:right w:val="single" w:color="auto" w:sz="4" w:space="0"/>
            </w:tcBorders>
            <w:vAlign w:val="center"/>
          </w:tcPr>
          <w:p w14:paraId="74AB4037">
            <w:pPr>
              <w:snapToGrid w:val="0"/>
              <w:spacing w:before="50" w:after="50"/>
              <w:rPr>
                <w:rFonts w:ascii="宋体" w:hAnsi="宋体" w:cs="宋体"/>
                <w:sz w:val="24"/>
                <w:highlight w:val="none"/>
              </w:rPr>
            </w:pPr>
            <w:r>
              <w:rPr>
                <w:rFonts w:hint="eastAsia" w:ascii="宋体" w:hAnsi="宋体" w:cs="宋体"/>
                <w:sz w:val="24"/>
                <w:highlight w:val="none"/>
              </w:rPr>
              <w:t>磋商报价大写（人民币）：</w:t>
            </w:r>
            <w:r>
              <w:rPr>
                <w:rFonts w:hint="eastAsia" w:ascii="宋体" w:hAnsi="宋体" w:cs="宋体"/>
                <w:sz w:val="24"/>
                <w:highlight w:val="none"/>
                <w:u w:val="single"/>
              </w:rPr>
              <w:t xml:space="preserve">                           </w:t>
            </w:r>
            <w:r>
              <w:rPr>
                <w:rFonts w:hint="eastAsia" w:ascii="宋体" w:hAnsi="宋体" w:cs="宋体"/>
                <w:sz w:val="24"/>
                <w:highlight w:val="none"/>
              </w:rPr>
              <w:t xml:space="preserve"> 小写：</w:t>
            </w:r>
            <w:r>
              <w:rPr>
                <w:rFonts w:hint="eastAsia" w:ascii="宋体" w:hAnsi="宋体" w:cs="宋体"/>
                <w:sz w:val="24"/>
                <w:highlight w:val="none"/>
                <w:u w:val="single"/>
              </w:rPr>
              <w:t xml:space="preserve">                     </w:t>
            </w:r>
          </w:p>
        </w:tc>
      </w:tr>
    </w:tbl>
    <w:p w14:paraId="03C62DCC">
      <w:pPr>
        <w:spacing w:line="360" w:lineRule="auto"/>
        <w:jc w:val="left"/>
        <w:rPr>
          <w:rFonts w:ascii="宋体" w:hAnsi="宋体"/>
          <w:sz w:val="24"/>
          <w:highlight w:val="none"/>
        </w:rPr>
      </w:pPr>
    </w:p>
    <w:p w14:paraId="611F5D58">
      <w:pPr>
        <w:spacing w:line="360" w:lineRule="auto"/>
        <w:jc w:val="left"/>
        <w:rPr>
          <w:rFonts w:ascii="宋体" w:hAnsi="宋体"/>
          <w:sz w:val="24"/>
          <w:highlight w:val="none"/>
        </w:rPr>
      </w:pPr>
      <w:r>
        <w:rPr>
          <w:rFonts w:ascii="宋体" w:hAnsi="宋体"/>
          <w:sz w:val="24"/>
          <w:highlight w:val="none"/>
        </w:rPr>
        <w:t>注：</w:t>
      </w:r>
      <w:r>
        <w:rPr>
          <w:rFonts w:hint="eastAsia" w:ascii="宋体" w:hAnsi="宋体"/>
          <w:sz w:val="24"/>
          <w:highlight w:val="none"/>
        </w:rPr>
        <w:t>▲1、磋商报价一栏必须填写，否则其磋商作无效标处理。</w:t>
      </w:r>
    </w:p>
    <w:p w14:paraId="4870CF4F">
      <w:pPr>
        <w:spacing w:line="360" w:lineRule="auto"/>
        <w:ind w:firstLine="480" w:firstLineChars="200"/>
        <w:jc w:val="left"/>
        <w:rPr>
          <w:rFonts w:ascii="宋体" w:hAnsi="宋体"/>
          <w:sz w:val="24"/>
          <w:highlight w:val="none"/>
        </w:rPr>
      </w:pPr>
      <w:r>
        <w:rPr>
          <w:rFonts w:hint="eastAsia" w:ascii="宋体" w:hAnsi="宋体"/>
          <w:sz w:val="24"/>
          <w:highlight w:val="none"/>
        </w:rPr>
        <w:t>▲2、磋商报价一经涂改，应在涂改处加盖单位公章或者由法定代表人或授权委托人签字或盖章，否则其磋商作无效标处理</w:t>
      </w:r>
      <w:r>
        <w:rPr>
          <w:rFonts w:hint="eastAsia" w:ascii="宋体" w:hAnsi="宋体" w:cs="Arial"/>
          <w:bCs/>
          <w:sz w:val="24"/>
          <w:highlight w:val="none"/>
        </w:rPr>
        <w:t>；</w:t>
      </w:r>
    </w:p>
    <w:p w14:paraId="595B3759">
      <w:pPr>
        <w:spacing w:line="360" w:lineRule="auto"/>
        <w:ind w:firstLine="480" w:firstLineChars="200"/>
        <w:jc w:val="left"/>
        <w:rPr>
          <w:rFonts w:ascii="宋体" w:hAnsi="宋体"/>
          <w:sz w:val="24"/>
          <w:highlight w:val="none"/>
        </w:rPr>
      </w:pPr>
      <w:r>
        <w:rPr>
          <w:rFonts w:hint="eastAsia" w:ascii="宋体" w:hAnsi="宋体"/>
          <w:sz w:val="24"/>
          <w:highlight w:val="none"/>
        </w:rPr>
        <w:t>3、磋商报价=</w:t>
      </w:r>
      <w:r>
        <w:rPr>
          <w:rFonts w:hint="eastAsia" w:ascii="宋体" w:hAnsi="宋体" w:cs="宋体"/>
          <w:b/>
          <w:bCs/>
          <w:sz w:val="24"/>
          <w:highlight w:val="none"/>
          <w:lang w:val="en-US" w:eastAsia="zh-CN"/>
        </w:rPr>
        <w:t xml:space="preserve">1699687 </w:t>
      </w:r>
      <w:r>
        <w:rPr>
          <w:rFonts w:hint="eastAsia" w:ascii="宋体" w:hAnsi="宋体"/>
          <w:sz w:val="24"/>
          <w:highlight w:val="none"/>
        </w:rPr>
        <w:t>元*（1-让利下浮率）</w:t>
      </w:r>
    </w:p>
    <w:p w14:paraId="68884C92">
      <w:pPr>
        <w:spacing w:line="360" w:lineRule="auto"/>
        <w:ind w:firstLine="480" w:firstLineChars="200"/>
        <w:jc w:val="left"/>
        <w:rPr>
          <w:rFonts w:ascii="宋体" w:hAnsi="宋体"/>
          <w:sz w:val="24"/>
          <w:highlight w:val="none"/>
        </w:rPr>
      </w:pPr>
      <w:r>
        <w:rPr>
          <w:rFonts w:hint="eastAsia" w:ascii="宋体" w:hAnsi="宋体"/>
          <w:sz w:val="24"/>
          <w:highlight w:val="none"/>
        </w:rPr>
        <w:t>4、磋商报价包括项目所需的人工费、材料费、交通费、机械费、装卸费、管理费、招标代理费等与本项目相关的一切费用和税金。</w:t>
      </w:r>
    </w:p>
    <w:p w14:paraId="026D58C3">
      <w:pPr>
        <w:spacing w:line="360" w:lineRule="auto"/>
        <w:ind w:firstLine="480" w:firstLineChars="200"/>
        <w:jc w:val="left"/>
        <w:rPr>
          <w:rFonts w:ascii="宋体" w:hAnsi="宋体"/>
          <w:sz w:val="24"/>
          <w:highlight w:val="none"/>
        </w:rPr>
      </w:pPr>
      <w:r>
        <w:rPr>
          <w:rFonts w:hint="eastAsia" w:ascii="宋体" w:hAnsi="宋体"/>
          <w:sz w:val="24"/>
          <w:highlight w:val="none"/>
        </w:rPr>
        <w:t>5、本表格式不允许修改，否则作无效标处理。</w:t>
      </w:r>
    </w:p>
    <w:p w14:paraId="1BAA03E4">
      <w:pPr>
        <w:snapToGrid w:val="0"/>
        <w:spacing w:line="360" w:lineRule="auto"/>
        <w:ind w:firstLine="480" w:firstLineChars="200"/>
        <w:jc w:val="left"/>
        <w:rPr>
          <w:rFonts w:ascii="宋体" w:hAnsi="宋体"/>
          <w:sz w:val="24"/>
          <w:highlight w:val="none"/>
        </w:rPr>
      </w:pPr>
    </w:p>
    <w:p w14:paraId="17A67CA1">
      <w:pPr>
        <w:snapToGrid w:val="0"/>
        <w:spacing w:line="360" w:lineRule="auto"/>
        <w:ind w:firstLine="480" w:firstLineChars="200"/>
        <w:jc w:val="left"/>
        <w:rPr>
          <w:rFonts w:ascii="宋体" w:hAnsi="宋体"/>
          <w:sz w:val="24"/>
          <w:highlight w:val="none"/>
        </w:rPr>
      </w:pPr>
    </w:p>
    <w:p w14:paraId="2E93A175">
      <w:pPr>
        <w:snapToGrid w:val="0"/>
        <w:spacing w:before="50" w:after="50"/>
        <w:ind w:left="-2" w:leftChars="-1" w:right="-817" w:rightChars="-389" w:firstLine="360" w:firstLineChars="150"/>
        <w:rPr>
          <w:rFonts w:ascii="宋体" w:hAnsi="宋体"/>
          <w:sz w:val="24"/>
          <w:highlight w:val="none"/>
        </w:rPr>
      </w:pPr>
      <w:r>
        <w:rPr>
          <w:rFonts w:hint="eastAsia" w:ascii="宋体" w:hAnsi="宋体"/>
          <w:sz w:val="24"/>
          <w:highlight w:val="none"/>
        </w:rPr>
        <w:t>法定代表人或委托代理人（签字或盖章）：</w:t>
      </w:r>
    </w:p>
    <w:p w14:paraId="49347EBA">
      <w:pPr>
        <w:snapToGrid w:val="0"/>
        <w:spacing w:before="50" w:after="50"/>
        <w:ind w:left="-2" w:leftChars="-1" w:right="-817" w:rightChars="-389" w:firstLine="360" w:firstLineChars="150"/>
        <w:rPr>
          <w:rFonts w:ascii="宋体" w:hAnsi="宋体"/>
          <w:sz w:val="24"/>
          <w:highlight w:val="none"/>
        </w:rPr>
      </w:pPr>
    </w:p>
    <w:p w14:paraId="5D35B868">
      <w:pPr>
        <w:snapToGrid w:val="0"/>
        <w:spacing w:before="50" w:after="50"/>
        <w:ind w:right="-817" w:rightChars="-389" w:firstLine="360" w:firstLineChars="150"/>
        <w:rPr>
          <w:rFonts w:ascii="宋体" w:hAnsi="宋体"/>
          <w:sz w:val="24"/>
          <w:highlight w:val="none"/>
        </w:rPr>
      </w:pPr>
      <w:r>
        <w:rPr>
          <w:rFonts w:hint="eastAsia" w:ascii="宋体" w:hAnsi="宋体"/>
          <w:sz w:val="24"/>
          <w:highlight w:val="none"/>
        </w:rPr>
        <w:t xml:space="preserve">供应商名称（盖章）：                                         </w:t>
      </w:r>
    </w:p>
    <w:p w14:paraId="02FA5D85">
      <w:pPr>
        <w:snapToGrid w:val="0"/>
        <w:spacing w:before="50" w:after="50"/>
        <w:ind w:right="-817" w:rightChars="-389"/>
        <w:rPr>
          <w:rFonts w:ascii="宋体" w:hAnsi="宋体"/>
          <w:sz w:val="24"/>
          <w:highlight w:val="none"/>
        </w:rPr>
      </w:pPr>
    </w:p>
    <w:p w14:paraId="512FAB17">
      <w:pPr>
        <w:spacing w:line="380" w:lineRule="exact"/>
        <w:ind w:firstLine="6240" w:firstLineChars="2600"/>
        <w:rPr>
          <w:rFonts w:ascii="宋体" w:hAnsi="宋体"/>
          <w:b/>
          <w:sz w:val="24"/>
          <w:highlight w:val="none"/>
        </w:rPr>
      </w:pPr>
      <w:r>
        <w:rPr>
          <w:rFonts w:hint="eastAsia" w:ascii="宋体" w:hAnsi="宋体"/>
          <w:sz w:val="24"/>
          <w:highlight w:val="none"/>
        </w:rPr>
        <w:t>日期：    年   月   日</w:t>
      </w:r>
    </w:p>
    <w:p w14:paraId="5358D700">
      <w:pPr>
        <w:rPr>
          <w:sz w:val="24"/>
          <w:highlight w:val="none"/>
        </w:rPr>
      </w:pPr>
    </w:p>
    <w:p w14:paraId="6CA4882C">
      <w:pPr>
        <w:rPr>
          <w:highlight w:val="none"/>
        </w:rPr>
      </w:pPr>
    </w:p>
    <w:bookmarkEnd w:id="102"/>
    <w:bookmarkEnd w:id="103"/>
    <w:bookmarkEnd w:id="104"/>
    <w:p w14:paraId="2449BE86">
      <w:pPr>
        <w:spacing w:before="260" w:after="260" w:line="360" w:lineRule="auto"/>
        <w:rPr>
          <w:rFonts w:ascii="宋体" w:hAnsi="宋体"/>
          <w:bCs/>
          <w:sz w:val="24"/>
          <w:highlight w:val="none"/>
        </w:rPr>
      </w:pPr>
      <w:bookmarkStart w:id="105" w:name="_Toc496599000"/>
    </w:p>
    <w:p w14:paraId="0D03E878">
      <w:pPr>
        <w:pageBreakBefore/>
        <w:spacing w:before="260" w:after="260" w:line="360" w:lineRule="auto"/>
        <w:outlineLvl w:val="1"/>
        <w:rPr>
          <w:rFonts w:ascii="宋体" w:hAnsi="宋体"/>
          <w:bCs/>
          <w:sz w:val="24"/>
          <w:highlight w:val="none"/>
        </w:rPr>
      </w:pPr>
      <w:bookmarkStart w:id="106" w:name="_Toc174370022"/>
      <w:r>
        <w:rPr>
          <w:rFonts w:hint="eastAsia" w:ascii="宋体" w:hAnsi="宋体"/>
          <w:bCs/>
          <w:sz w:val="24"/>
          <w:highlight w:val="none"/>
        </w:rPr>
        <w:t>附件十七：最终报价表</w:t>
      </w:r>
      <w:bookmarkEnd w:id="106"/>
    </w:p>
    <w:p w14:paraId="75ED43B8">
      <w:pPr>
        <w:spacing w:line="360" w:lineRule="auto"/>
        <w:jc w:val="center"/>
        <w:rPr>
          <w:rFonts w:ascii="宋体" w:hAnsi="宋体"/>
          <w:b/>
          <w:sz w:val="24"/>
          <w:highlight w:val="none"/>
        </w:rPr>
      </w:pPr>
      <w:r>
        <w:rPr>
          <w:rFonts w:hint="eastAsia" w:ascii="宋体" w:hAnsi="宋体"/>
          <w:b/>
          <w:sz w:val="24"/>
          <w:highlight w:val="none"/>
        </w:rPr>
        <w:t>最终报价表</w:t>
      </w:r>
    </w:p>
    <w:p w14:paraId="26EFE99E">
      <w:pPr>
        <w:spacing w:line="360" w:lineRule="auto"/>
        <w:rPr>
          <w:rFonts w:ascii="宋体" w:hAnsi="宋体"/>
          <w:b/>
          <w:sz w:val="24"/>
          <w:highlight w:val="none"/>
        </w:rPr>
      </w:pPr>
      <w:r>
        <w:rPr>
          <w:rFonts w:hint="eastAsia" w:ascii="宋体" w:hAnsi="宋体"/>
          <w:b/>
          <w:sz w:val="24"/>
          <w:highlight w:val="none"/>
        </w:rPr>
        <w:t xml:space="preserve">项目编号：                             </w:t>
      </w:r>
    </w:p>
    <w:p w14:paraId="026FA9E7">
      <w:pPr>
        <w:spacing w:line="360" w:lineRule="auto"/>
        <w:rPr>
          <w:rFonts w:ascii="宋体" w:hAnsi="宋体"/>
          <w:b/>
          <w:sz w:val="24"/>
          <w:highlight w:val="none"/>
        </w:rPr>
      </w:pPr>
      <w:r>
        <w:rPr>
          <w:rFonts w:hint="eastAsia" w:ascii="宋体" w:hAnsi="宋体"/>
          <w:b/>
          <w:sz w:val="24"/>
          <w:highlight w:val="none"/>
        </w:rPr>
        <w:t>供应商名称：                                          单位：元</w:t>
      </w:r>
    </w:p>
    <w:tbl>
      <w:tblPr>
        <w:tblStyle w:val="39"/>
        <w:tblW w:w="98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56"/>
        <w:gridCol w:w="4668"/>
        <w:gridCol w:w="2152"/>
        <w:gridCol w:w="1863"/>
      </w:tblGrid>
      <w:tr w14:paraId="6D11E0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156" w:type="dxa"/>
            <w:tcBorders>
              <w:top w:val="single" w:color="auto" w:sz="4" w:space="0"/>
              <w:left w:val="single" w:color="auto" w:sz="4" w:space="0"/>
              <w:bottom w:val="single" w:color="auto" w:sz="4" w:space="0"/>
              <w:right w:val="single" w:color="auto" w:sz="4" w:space="0"/>
            </w:tcBorders>
            <w:vAlign w:val="center"/>
          </w:tcPr>
          <w:p w14:paraId="739AEDEA">
            <w:pPr>
              <w:snapToGrid w:val="0"/>
              <w:spacing w:before="50" w:after="50"/>
              <w:jc w:val="center"/>
              <w:rPr>
                <w:rFonts w:ascii="宋体" w:hAnsi="宋体" w:cs="宋体"/>
                <w:b/>
                <w:sz w:val="24"/>
                <w:highlight w:val="none"/>
              </w:rPr>
            </w:pPr>
            <w:r>
              <w:rPr>
                <w:rFonts w:hint="eastAsia" w:ascii="宋体" w:hAnsi="宋体" w:cs="宋体"/>
                <w:b/>
                <w:sz w:val="24"/>
                <w:highlight w:val="none"/>
              </w:rPr>
              <w:t>标项</w:t>
            </w:r>
          </w:p>
        </w:tc>
        <w:tc>
          <w:tcPr>
            <w:tcW w:w="4668" w:type="dxa"/>
            <w:tcBorders>
              <w:top w:val="single" w:color="auto" w:sz="4" w:space="0"/>
              <w:left w:val="single" w:color="auto" w:sz="4" w:space="0"/>
              <w:bottom w:val="single" w:color="auto" w:sz="4" w:space="0"/>
              <w:right w:val="single" w:color="auto" w:sz="4" w:space="0"/>
            </w:tcBorders>
            <w:vAlign w:val="center"/>
          </w:tcPr>
          <w:p w14:paraId="730B68A6">
            <w:pPr>
              <w:snapToGrid w:val="0"/>
              <w:spacing w:before="50" w:after="50"/>
              <w:jc w:val="center"/>
              <w:rPr>
                <w:rFonts w:ascii="宋体" w:hAnsi="宋体" w:cs="宋体"/>
                <w:b/>
                <w:sz w:val="24"/>
                <w:highlight w:val="none"/>
              </w:rPr>
            </w:pPr>
            <w:r>
              <w:rPr>
                <w:rFonts w:hint="eastAsia" w:ascii="宋体" w:hAnsi="宋体" w:cs="宋体"/>
                <w:b/>
                <w:sz w:val="24"/>
                <w:highlight w:val="none"/>
              </w:rPr>
              <w:t>采购内容</w:t>
            </w:r>
          </w:p>
        </w:tc>
        <w:tc>
          <w:tcPr>
            <w:tcW w:w="2152" w:type="dxa"/>
            <w:tcBorders>
              <w:top w:val="single" w:color="auto" w:sz="4" w:space="0"/>
              <w:left w:val="single" w:color="auto" w:sz="4" w:space="0"/>
              <w:bottom w:val="single" w:color="auto" w:sz="4" w:space="0"/>
              <w:right w:val="single" w:color="auto" w:sz="4" w:space="0"/>
            </w:tcBorders>
            <w:vAlign w:val="center"/>
          </w:tcPr>
          <w:p w14:paraId="16BF6482">
            <w:pPr>
              <w:snapToGrid w:val="0"/>
              <w:spacing w:before="50" w:after="50"/>
              <w:jc w:val="center"/>
              <w:rPr>
                <w:rFonts w:ascii="宋体" w:hAnsi="宋体" w:cs="宋体"/>
                <w:b/>
                <w:sz w:val="24"/>
                <w:highlight w:val="none"/>
              </w:rPr>
            </w:pPr>
            <w:r>
              <w:rPr>
                <w:rFonts w:hint="eastAsia" w:ascii="宋体" w:hAnsi="宋体" w:cs="宋体"/>
                <w:b/>
                <w:bCs/>
                <w:sz w:val="24"/>
                <w:highlight w:val="none"/>
              </w:rPr>
              <w:t>让利</w:t>
            </w:r>
            <w:r>
              <w:rPr>
                <w:rFonts w:ascii="宋体" w:hAnsi="宋体" w:cs="宋体"/>
                <w:b/>
                <w:sz w:val="24"/>
                <w:highlight w:val="none"/>
              </w:rPr>
              <w:t>下浮率（%））</w:t>
            </w:r>
          </w:p>
        </w:tc>
        <w:tc>
          <w:tcPr>
            <w:tcW w:w="1863" w:type="dxa"/>
            <w:tcBorders>
              <w:top w:val="single" w:color="auto" w:sz="4" w:space="0"/>
              <w:left w:val="single" w:color="auto" w:sz="4" w:space="0"/>
              <w:bottom w:val="single" w:color="auto" w:sz="4" w:space="0"/>
              <w:right w:val="single" w:color="auto" w:sz="4" w:space="0"/>
            </w:tcBorders>
            <w:vAlign w:val="center"/>
          </w:tcPr>
          <w:p w14:paraId="4DE5036D">
            <w:pPr>
              <w:snapToGrid w:val="0"/>
              <w:spacing w:before="50" w:after="50"/>
              <w:jc w:val="center"/>
              <w:rPr>
                <w:rFonts w:ascii="宋体" w:hAnsi="宋体" w:cs="宋体"/>
                <w:b/>
                <w:sz w:val="24"/>
                <w:highlight w:val="none"/>
              </w:rPr>
            </w:pPr>
            <w:r>
              <w:rPr>
                <w:rFonts w:hint="eastAsia" w:ascii="宋体" w:hAnsi="宋体" w:cs="宋体"/>
                <w:b/>
                <w:bCs/>
                <w:sz w:val="24"/>
                <w:highlight w:val="none"/>
              </w:rPr>
              <w:t>磋商报价（元）</w:t>
            </w:r>
          </w:p>
        </w:tc>
      </w:tr>
      <w:tr w14:paraId="284302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7" w:hRule="atLeast"/>
          <w:jc w:val="center"/>
        </w:trPr>
        <w:tc>
          <w:tcPr>
            <w:tcW w:w="1156" w:type="dxa"/>
            <w:tcBorders>
              <w:top w:val="single" w:color="auto" w:sz="4" w:space="0"/>
              <w:left w:val="single" w:color="auto" w:sz="4" w:space="0"/>
              <w:bottom w:val="single" w:color="auto" w:sz="4" w:space="0"/>
              <w:right w:val="single" w:color="auto" w:sz="4" w:space="0"/>
            </w:tcBorders>
            <w:vAlign w:val="center"/>
          </w:tcPr>
          <w:p w14:paraId="7EAB52E4">
            <w:pPr>
              <w:snapToGrid w:val="0"/>
              <w:spacing w:before="50" w:after="50"/>
              <w:jc w:val="center"/>
              <w:rPr>
                <w:rFonts w:ascii="宋体" w:hAnsi="宋体" w:cs="宋体"/>
                <w:sz w:val="24"/>
                <w:highlight w:val="none"/>
              </w:rPr>
            </w:pPr>
          </w:p>
        </w:tc>
        <w:tc>
          <w:tcPr>
            <w:tcW w:w="4668" w:type="dxa"/>
            <w:tcBorders>
              <w:top w:val="single" w:color="auto" w:sz="4" w:space="0"/>
              <w:left w:val="single" w:color="auto" w:sz="4" w:space="0"/>
              <w:bottom w:val="single" w:color="auto" w:sz="4" w:space="0"/>
              <w:right w:val="single" w:color="auto" w:sz="4" w:space="0"/>
            </w:tcBorders>
            <w:vAlign w:val="center"/>
          </w:tcPr>
          <w:p w14:paraId="50DAF1E5">
            <w:pPr>
              <w:snapToGrid w:val="0"/>
              <w:spacing w:before="50" w:after="50"/>
              <w:jc w:val="center"/>
              <w:rPr>
                <w:rFonts w:ascii="宋体" w:hAnsi="宋体" w:cs="宋体"/>
                <w:sz w:val="24"/>
                <w:highlight w:val="none"/>
              </w:rPr>
            </w:pPr>
          </w:p>
        </w:tc>
        <w:tc>
          <w:tcPr>
            <w:tcW w:w="2152" w:type="dxa"/>
            <w:tcBorders>
              <w:top w:val="single" w:color="auto" w:sz="4" w:space="0"/>
              <w:left w:val="single" w:color="auto" w:sz="4" w:space="0"/>
              <w:bottom w:val="single" w:color="auto" w:sz="4" w:space="0"/>
              <w:right w:val="single" w:color="auto" w:sz="4" w:space="0"/>
            </w:tcBorders>
            <w:vAlign w:val="center"/>
          </w:tcPr>
          <w:p w14:paraId="44434DA2">
            <w:pPr>
              <w:snapToGrid w:val="0"/>
              <w:spacing w:before="50" w:after="50"/>
              <w:jc w:val="center"/>
              <w:rPr>
                <w:rFonts w:ascii="宋体" w:hAnsi="宋体" w:cs="宋体"/>
                <w:b/>
                <w:sz w:val="24"/>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14:paraId="1C704606">
            <w:pPr>
              <w:snapToGrid w:val="0"/>
              <w:spacing w:before="50" w:after="50"/>
              <w:jc w:val="center"/>
              <w:rPr>
                <w:rFonts w:ascii="宋体" w:hAnsi="宋体" w:cs="宋体"/>
                <w:sz w:val="24"/>
                <w:highlight w:val="none"/>
              </w:rPr>
            </w:pPr>
          </w:p>
        </w:tc>
      </w:tr>
      <w:tr w14:paraId="56D761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9839" w:type="dxa"/>
            <w:gridSpan w:val="4"/>
            <w:tcBorders>
              <w:top w:val="single" w:color="auto" w:sz="4" w:space="0"/>
              <w:left w:val="single" w:color="auto" w:sz="4" w:space="0"/>
              <w:bottom w:val="single" w:color="auto" w:sz="4" w:space="0"/>
              <w:right w:val="single" w:color="auto" w:sz="4" w:space="0"/>
            </w:tcBorders>
            <w:vAlign w:val="center"/>
          </w:tcPr>
          <w:p w14:paraId="536AA6ED">
            <w:pPr>
              <w:snapToGrid w:val="0"/>
              <w:spacing w:before="50" w:after="50"/>
              <w:rPr>
                <w:rFonts w:ascii="宋体" w:hAnsi="宋体" w:cs="宋体"/>
                <w:sz w:val="24"/>
                <w:highlight w:val="none"/>
              </w:rPr>
            </w:pPr>
            <w:r>
              <w:rPr>
                <w:rFonts w:hint="eastAsia" w:ascii="宋体" w:hAnsi="宋体" w:cs="宋体"/>
                <w:sz w:val="24"/>
                <w:highlight w:val="none"/>
              </w:rPr>
              <w:t>磋商报价大写（人民币）：</w:t>
            </w:r>
            <w:r>
              <w:rPr>
                <w:rFonts w:hint="eastAsia" w:ascii="宋体" w:hAnsi="宋体" w:cs="宋体"/>
                <w:sz w:val="24"/>
                <w:highlight w:val="none"/>
                <w:u w:val="single"/>
              </w:rPr>
              <w:t xml:space="preserve">                           </w:t>
            </w:r>
            <w:r>
              <w:rPr>
                <w:rFonts w:hint="eastAsia" w:ascii="宋体" w:hAnsi="宋体" w:cs="宋体"/>
                <w:sz w:val="24"/>
                <w:highlight w:val="none"/>
              </w:rPr>
              <w:t xml:space="preserve"> 小写：</w:t>
            </w:r>
            <w:r>
              <w:rPr>
                <w:rFonts w:hint="eastAsia" w:ascii="宋体" w:hAnsi="宋体" w:cs="宋体"/>
                <w:sz w:val="24"/>
                <w:highlight w:val="none"/>
                <w:u w:val="single"/>
              </w:rPr>
              <w:t xml:space="preserve">                     </w:t>
            </w:r>
          </w:p>
        </w:tc>
      </w:tr>
    </w:tbl>
    <w:p w14:paraId="2BB59545">
      <w:pPr>
        <w:spacing w:line="360" w:lineRule="auto"/>
        <w:jc w:val="left"/>
        <w:rPr>
          <w:rFonts w:ascii="宋体" w:hAnsi="宋体"/>
          <w:sz w:val="24"/>
          <w:highlight w:val="none"/>
        </w:rPr>
      </w:pPr>
    </w:p>
    <w:p w14:paraId="32536C13">
      <w:pPr>
        <w:spacing w:line="360" w:lineRule="auto"/>
        <w:jc w:val="left"/>
        <w:rPr>
          <w:rFonts w:ascii="宋体" w:hAnsi="宋体"/>
          <w:sz w:val="24"/>
          <w:highlight w:val="none"/>
        </w:rPr>
      </w:pPr>
      <w:r>
        <w:rPr>
          <w:rFonts w:ascii="宋体" w:hAnsi="宋体"/>
          <w:sz w:val="24"/>
          <w:highlight w:val="none"/>
        </w:rPr>
        <w:t>注：</w:t>
      </w:r>
      <w:r>
        <w:rPr>
          <w:rFonts w:hint="eastAsia" w:ascii="宋体" w:hAnsi="宋体"/>
          <w:sz w:val="24"/>
          <w:highlight w:val="none"/>
        </w:rPr>
        <w:t>▲1、磋商报价一栏必须填写，否则其磋商作无效标处理。</w:t>
      </w:r>
    </w:p>
    <w:p w14:paraId="10B2F412">
      <w:pPr>
        <w:spacing w:line="360" w:lineRule="auto"/>
        <w:ind w:firstLine="480" w:firstLineChars="200"/>
        <w:jc w:val="left"/>
        <w:rPr>
          <w:rFonts w:ascii="宋体" w:hAnsi="宋体"/>
          <w:sz w:val="24"/>
          <w:highlight w:val="none"/>
        </w:rPr>
      </w:pPr>
      <w:r>
        <w:rPr>
          <w:rFonts w:hint="eastAsia" w:ascii="宋体" w:hAnsi="宋体"/>
          <w:sz w:val="24"/>
          <w:highlight w:val="none"/>
        </w:rPr>
        <w:t>▲2、磋商报价一经涂改，应在涂改处加盖单位公章或者由法定代表人或授权委托人签字或盖章，否则其磋商作无效标处理</w:t>
      </w:r>
      <w:r>
        <w:rPr>
          <w:rFonts w:hint="eastAsia" w:ascii="宋体" w:hAnsi="宋体" w:cs="Arial"/>
          <w:bCs/>
          <w:sz w:val="24"/>
          <w:highlight w:val="none"/>
        </w:rPr>
        <w:t>；</w:t>
      </w:r>
    </w:p>
    <w:p w14:paraId="5F2D2C1E">
      <w:pPr>
        <w:spacing w:line="360" w:lineRule="auto"/>
        <w:ind w:firstLine="480" w:firstLineChars="200"/>
        <w:jc w:val="left"/>
        <w:rPr>
          <w:rFonts w:ascii="宋体" w:hAnsi="宋体"/>
          <w:sz w:val="24"/>
          <w:highlight w:val="none"/>
        </w:rPr>
      </w:pPr>
      <w:r>
        <w:rPr>
          <w:rFonts w:hint="eastAsia" w:ascii="宋体" w:hAnsi="宋体"/>
          <w:sz w:val="24"/>
          <w:highlight w:val="none"/>
        </w:rPr>
        <w:t>3、磋商报价=</w:t>
      </w:r>
      <w:r>
        <w:rPr>
          <w:rFonts w:hint="eastAsia" w:ascii="宋体" w:hAnsi="宋体" w:cs="宋体"/>
          <w:b/>
          <w:bCs/>
          <w:sz w:val="24"/>
          <w:highlight w:val="none"/>
          <w:lang w:val="en-US" w:eastAsia="zh-CN"/>
        </w:rPr>
        <w:t xml:space="preserve">1699687 </w:t>
      </w:r>
      <w:r>
        <w:rPr>
          <w:rFonts w:hint="eastAsia" w:ascii="宋体" w:hAnsi="宋体"/>
          <w:sz w:val="24"/>
          <w:highlight w:val="none"/>
        </w:rPr>
        <w:t>元*（1-让利下浮率）</w:t>
      </w:r>
    </w:p>
    <w:p w14:paraId="70D2DDDB">
      <w:pPr>
        <w:spacing w:line="360" w:lineRule="auto"/>
        <w:ind w:firstLine="480" w:firstLineChars="200"/>
        <w:jc w:val="left"/>
        <w:rPr>
          <w:rFonts w:ascii="宋体" w:hAnsi="宋体"/>
          <w:sz w:val="24"/>
          <w:highlight w:val="none"/>
        </w:rPr>
      </w:pPr>
      <w:r>
        <w:rPr>
          <w:rFonts w:hint="eastAsia" w:ascii="宋体" w:hAnsi="宋体"/>
          <w:sz w:val="24"/>
          <w:highlight w:val="none"/>
        </w:rPr>
        <w:t>4、磋商报价包括项目所需的人工费、材料费、交通费、机械费、装卸费、管理费、招标代理费等与本项目相关的一切费用和税金。</w:t>
      </w:r>
    </w:p>
    <w:p w14:paraId="3F16582C">
      <w:pPr>
        <w:spacing w:line="360" w:lineRule="auto"/>
        <w:ind w:firstLine="480" w:firstLineChars="200"/>
        <w:jc w:val="left"/>
        <w:rPr>
          <w:rFonts w:ascii="宋体" w:hAnsi="宋体"/>
          <w:sz w:val="24"/>
          <w:highlight w:val="none"/>
        </w:rPr>
      </w:pPr>
      <w:r>
        <w:rPr>
          <w:rFonts w:hint="eastAsia" w:ascii="宋体" w:hAnsi="宋体"/>
          <w:sz w:val="24"/>
          <w:highlight w:val="none"/>
        </w:rPr>
        <w:t>5、本表格式不允许修改，否则作无效标处理。</w:t>
      </w:r>
    </w:p>
    <w:p w14:paraId="56D6E760">
      <w:pPr>
        <w:snapToGrid w:val="0"/>
        <w:spacing w:line="360" w:lineRule="auto"/>
        <w:ind w:firstLine="480" w:firstLineChars="200"/>
        <w:jc w:val="left"/>
        <w:rPr>
          <w:rFonts w:ascii="宋体" w:hAnsi="宋体"/>
          <w:sz w:val="24"/>
          <w:highlight w:val="none"/>
        </w:rPr>
      </w:pPr>
    </w:p>
    <w:p w14:paraId="55A26E04">
      <w:pPr>
        <w:snapToGrid w:val="0"/>
        <w:spacing w:line="360" w:lineRule="auto"/>
        <w:ind w:firstLine="480" w:firstLineChars="200"/>
        <w:jc w:val="left"/>
        <w:rPr>
          <w:rFonts w:ascii="宋体" w:hAnsi="宋体"/>
          <w:sz w:val="24"/>
          <w:highlight w:val="none"/>
        </w:rPr>
      </w:pPr>
    </w:p>
    <w:p w14:paraId="271C6D37">
      <w:pPr>
        <w:snapToGrid w:val="0"/>
        <w:spacing w:before="50" w:after="50"/>
        <w:ind w:left="-2" w:leftChars="-1" w:right="-817" w:rightChars="-389" w:firstLine="360" w:firstLineChars="150"/>
        <w:rPr>
          <w:rFonts w:ascii="宋体" w:hAnsi="宋体"/>
          <w:sz w:val="24"/>
          <w:highlight w:val="none"/>
        </w:rPr>
      </w:pPr>
      <w:r>
        <w:rPr>
          <w:rFonts w:hint="eastAsia" w:ascii="宋体" w:hAnsi="宋体"/>
          <w:sz w:val="24"/>
          <w:highlight w:val="none"/>
        </w:rPr>
        <w:t>法定代表人或委托代理人（签字或盖章）：</w:t>
      </w:r>
    </w:p>
    <w:p w14:paraId="689DE5A5">
      <w:pPr>
        <w:snapToGrid w:val="0"/>
        <w:spacing w:before="50" w:after="50"/>
        <w:ind w:left="-2" w:leftChars="-1" w:right="-817" w:rightChars="-389" w:firstLine="360" w:firstLineChars="150"/>
        <w:rPr>
          <w:rFonts w:ascii="宋体" w:hAnsi="宋体"/>
          <w:sz w:val="24"/>
          <w:highlight w:val="none"/>
        </w:rPr>
      </w:pPr>
    </w:p>
    <w:p w14:paraId="1220C38C">
      <w:pPr>
        <w:snapToGrid w:val="0"/>
        <w:spacing w:before="50" w:after="50"/>
        <w:ind w:right="-817" w:rightChars="-389" w:firstLine="360" w:firstLineChars="150"/>
        <w:rPr>
          <w:rFonts w:ascii="宋体" w:hAnsi="宋体"/>
          <w:sz w:val="24"/>
          <w:highlight w:val="none"/>
        </w:rPr>
      </w:pPr>
      <w:r>
        <w:rPr>
          <w:rFonts w:hint="eastAsia" w:ascii="宋体" w:hAnsi="宋体"/>
          <w:sz w:val="24"/>
          <w:highlight w:val="none"/>
        </w:rPr>
        <w:t xml:space="preserve">供应商名称（盖章）：                                         </w:t>
      </w:r>
    </w:p>
    <w:p w14:paraId="5429CBA2">
      <w:pPr>
        <w:snapToGrid w:val="0"/>
        <w:spacing w:before="50" w:after="50"/>
        <w:ind w:right="-817" w:rightChars="-389"/>
        <w:rPr>
          <w:rFonts w:ascii="宋体" w:hAnsi="宋体"/>
          <w:sz w:val="24"/>
          <w:highlight w:val="none"/>
        </w:rPr>
      </w:pPr>
    </w:p>
    <w:p w14:paraId="0DA3556C">
      <w:pPr>
        <w:spacing w:line="380" w:lineRule="exact"/>
        <w:ind w:firstLine="6240" w:firstLineChars="2600"/>
        <w:rPr>
          <w:rFonts w:ascii="宋体" w:hAnsi="宋体"/>
          <w:b/>
          <w:sz w:val="24"/>
          <w:highlight w:val="none"/>
        </w:rPr>
      </w:pPr>
      <w:r>
        <w:rPr>
          <w:rFonts w:hint="eastAsia" w:ascii="宋体" w:hAnsi="宋体"/>
          <w:sz w:val="24"/>
          <w:highlight w:val="none"/>
        </w:rPr>
        <w:t>日期：    年   月   日</w:t>
      </w:r>
    </w:p>
    <w:p w14:paraId="2870CB54">
      <w:pPr>
        <w:rPr>
          <w:sz w:val="24"/>
          <w:highlight w:val="none"/>
        </w:rPr>
      </w:pPr>
    </w:p>
    <w:p w14:paraId="7001EFEF">
      <w:pPr>
        <w:pageBreakBefore/>
        <w:spacing w:before="260" w:after="260" w:line="415" w:lineRule="auto"/>
        <w:outlineLvl w:val="1"/>
        <w:rPr>
          <w:rFonts w:ascii="宋体" w:hAnsi="宋体" w:cs="宋体"/>
          <w:bCs/>
          <w:sz w:val="24"/>
          <w:highlight w:val="none"/>
        </w:rPr>
      </w:pPr>
      <w:bookmarkStart w:id="107" w:name="_Toc174370023"/>
      <w:r>
        <w:rPr>
          <w:rFonts w:hint="eastAsia" w:ascii="宋体" w:hAnsi="宋体" w:cs="宋体"/>
          <w:bCs/>
          <w:sz w:val="24"/>
          <w:highlight w:val="none"/>
        </w:rPr>
        <w:t>附件十八：</w:t>
      </w:r>
      <w:bookmarkEnd w:id="105"/>
      <w:r>
        <w:rPr>
          <w:rFonts w:hint="eastAsia" w:ascii="宋体" w:hAnsi="宋体" w:cs="宋体"/>
          <w:bCs/>
          <w:sz w:val="24"/>
          <w:highlight w:val="none"/>
        </w:rPr>
        <w:t>中小企业声明函（工程、服务）</w:t>
      </w:r>
      <w:bookmarkEnd w:id="107"/>
    </w:p>
    <w:p w14:paraId="76858565">
      <w:pPr>
        <w:spacing w:line="480" w:lineRule="auto"/>
        <w:jc w:val="center"/>
        <w:rPr>
          <w:rFonts w:ascii="宋体" w:hAnsi="宋体" w:cs="宋体"/>
          <w:b/>
          <w:bCs/>
          <w:sz w:val="40"/>
          <w:szCs w:val="40"/>
          <w:highlight w:val="none"/>
        </w:rPr>
      </w:pPr>
      <w:r>
        <w:rPr>
          <w:rFonts w:hint="eastAsia" w:ascii="宋体" w:hAnsi="宋体" w:cs="宋体"/>
          <w:b/>
          <w:bCs/>
          <w:sz w:val="40"/>
          <w:szCs w:val="40"/>
          <w:highlight w:val="none"/>
        </w:rPr>
        <w:t>中小企业声明函（工程、服务）</w:t>
      </w:r>
    </w:p>
    <w:p w14:paraId="06E53A04">
      <w:pPr>
        <w:jc w:val="center"/>
        <w:rPr>
          <w:rFonts w:ascii="宋体" w:hAnsi="宋体" w:cs="宋体"/>
          <w:sz w:val="24"/>
          <w:highlight w:val="none"/>
        </w:rPr>
      </w:pPr>
    </w:p>
    <w:p w14:paraId="07F89581">
      <w:pPr>
        <w:spacing w:line="360" w:lineRule="auto"/>
        <w:ind w:firstLine="480" w:firstLineChars="200"/>
        <w:rPr>
          <w:rFonts w:ascii="宋体" w:hAnsi="宋体" w:cs="宋体"/>
          <w:sz w:val="24"/>
          <w:highlight w:val="none"/>
        </w:rPr>
      </w:pPr>
      <w:bookmarkStart w:id="108" w:name="_Toc496599001"/>
      <w:r>
        <w:rPr>
          <w:rFonts w:hint="eastAsia" w:ascii="宋体" w:hAnsi="宋体" w:cs="宋体"/>
          <w:sz w:val="24"/>
          <w:highlight w:val="none"/>
        </w:rPr>
        <w:t>本公司（联合体）郑重声明，根据《政府采购促进中小企业发展管理办法》（财库﹝2020﹞46 号）的规定，本公司（联合体）参加</w:t>
      </w:r>
      <w:r>
        <w:rPr>
          <w:rFonts w:hint="eastAsia" w:ascii="宋体" w:hAnsi="宋体" w:cs="宋体"/>
          <w:sz w:val="24"/>
          <w:highlight w:val="none"/>
          <w:u w:val="single"/>
        </w:rPr>
        <w:t xml:space="preserve">  （单位名称）  </w:t>
      </w:r>
      <w:r>
        <w:rPr>
          <w:rFonts w:hint="eastAsia" w:ascii="宋体" w:hAnsi="宋体" w:cs="宋体"/>
          <w:sz w:val="24"/>
          <w:highlight w:val="none"/>
        </w:rPr>
        <w:t>的</w:t>
      </w:r>
      <w:r>
        <w:rPr>
          <w:rFonts w:hint="eastAsia" w:ascii="宋体" w:hAnsi="宋体" w:cs="宋体"/>
          <w:sz w:val="24"/>
          <w:highlight w:val="none"/>
          <w:u w:val="single"/>
        </w:rPr>
        <w:t xml:space="preserve">  （项目名称）  </w:t>
      </w:r>
      <w:r>
        <w:rPr>
          <w:rFonts w:hint="eastAsia" w:ascii="宋体" w:hAnsi="宋体" w:cs="宋体"/>
          <w:sz w:val="24"/>
          <w:highlight w:val="none"/>
        </w:rPr>
        <w:t>采购活动，工程的施工单位全部为符合政策要求的中小企业（或者：服务全部由符合政策要求的中小企业承接）。相关企业（含联合 体中的中小企业、签订分包意向协议的中小企业）的具体情况如下：</w:t>
      </w:r>
    </w:p>
    <w:p w14:paraId="124024E7">
      <w:pPr>
        <w:spacing w:line="360" w:lineRule="auto"/>
        <w:ind w:firstLine="480" w:firstLineChars="200"/>
        <w:rPr>
          <w:rFonts w:ascii="宋体" w:hAnsi="宋体" w:cs="宋体"/>
          <w:sz w:val="24"/>
          <w:szCs w:val="32"/>
          <w:highlight w:val="none"/>
        </w:rPr>
      </w:pPr>
      <w:r>
        <w:rPr>
          <w:rFonts w:hint="eastAsia" w:ascii="宋体" w:hAnsi="宋体" w:cs="宋体"/>
          <w:sz w:val="24"/>
          <w:highlight w:val="none"/>
        </w:rPr>
        <w:t>1、</w:t>
      </w:r>
      <w:r>
        <w:rPr>
          <w:rFonts w:hint="eastAsia" w:ascii="宋体" w:hAnsi="宋体" w:cs="宋体"/>
          <w:sz w:val="24"/>
          <w:highlight w:val="none"/>
          <w:u w:val="single"/>
        </w:rPr>
        <w:t xml:space="preserve">  （标的名称）  </w:t>
      </w:r>
      <w:r>
        <w:rPr>
          <w:rFonts w:hint="eastAsia" w:ascii="宋体" w:hAnsi="宋体" w:cs="宋体"/>
          <w:sz w:val="24"/>
          <w:highlight w:val="none"/>
        </w:rPr>
        <w:t>，属于</w:t>
      </w:r>
      <w:r>
        <w:rPr>
          <w:rFonts w:ascii="宋体" w:hAnsi="宋体" w:cs="宋体"/>
          <w:sz w:val="24"/>
          <w:highlight w:val="none"/>
          <w:u w:val="single"/>
        </w:rPr>
        <w:t>建筑业</w:t>
      </w:r>
      <w:r>
        <w:rPr>
          <w:rFonts w:hint="eastAsia" w:ascii="宋体" w:hAnsi="宋体" w:cs="宋体"/>
          <w:sz w:val="24"/>
          <w:highlight w:val="none"/>
        </w:rPr>
        <w:t>；承建（承接）企业为</w:t>
      </w:r>
      <w:r>
        <w:rPr>
          <w:rFonts w:hint="eastAsia" w:ascii="宋体" w:hAnsi="宋体" w:cs="宋体"/>
          <w:sz w:val="24"/>
          <w:highlight w:val="none"/>
          <w:u w:val="single"/>
        </w:rPr>
        <w:t xml:space="preserve">  （企业名称）  </w:t>
      </w:r>
      <w:r>
        <w:rPr>
          <w:rFonts w:hint="eastAsia" w:ascii="宋体" w:hAnsi="宋体" w:cs="宋体"/>
          <w:sz w:val="24"/>
          <w:highlight w:val="none"/>
        </w:rPr>
        <w:t>，从业人员</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rPr>
        <w:t>万元，</w:t>
      </w:r>
      <w:r>
        <w:rPr>
          <w:rFonts w:hint="eastAsia" w:ascii="宋体" w:hAnsi="宋体" w:cs="宋体"/>
          <w:b/>
          <w:bCs/>
          <w:sz w:val="24"/>
          <w:szCs w:val="32"/>
          <w:highlight w:val="none"/>
        </w:rPr>
        <w:t>属于</w:t>
      </w:r>
      <w:r>
        <w:rPr>
          <w:rFonts w:hint="eastAsia" w:ascii="宋体" w:hAnsi="宋体" w:cs="宋体"/>
          <w:b/>
          <w:bCs/>
          <w:sz w:val="24"/>
          <w:szCs w:val="32"/>
          <w:highlight w:val="none"/>
          <w:u w:val="single"/>
        </w:rPr>
        <w:t xml:space="preserve">         </w:t>
      </w:r>
      <w:r>
        <w:rPr>
          <w:rFonts w:hint="eastAsia" w:ascii="宋体" w:hAnsi="宋体" w:cs="宋体"/>
          <w:b/>
          <w:bCs/>
          <w:sz w:val="24"/>
          <w:szCs w:val="32"/>
          <w:highlight w:val="none"/>
        </w:rPr>
        <w:t>企业</w:t>
      </w:r>
      <w:r>
        <w:rPr>
          <w:rFonts w:hint="eastAsia" w:ascii="宋体" w:hAnsi="宋体" w:cs="宋体"/>
          <w:sz w:val="24"/>
          <w:szCs w:val="32"/>
          <w:highlight w:val="none"/>
        </w:rPr>
        <w:t>（请填写中型企业或小型企业或微型企业）；</w:t>
      </w:r>
    </w:p>
    <w:p w14:paraId="7471D620">
      <w:pPr>
        <w:spacing w:line="360" w:lineRule="auto"/>
        <w:ind w:firstLine="480" w:firstLineChars="200"/>
        <w:rPr>
          <w:rFonts w:ascii="宋体" w:hAnsi="宋体" w:cs="宋体"/>
          <w:sz w:val="24"/>
          <w:szCs w:val="32"/>
          <w:highlight w:val="none"/>
        </w:rPr>
      </w:pPr>
      <w:r>
        <w:rPr>
          <w:rFonts w:hint="eastAsia" w:ascii="宋体" w:hAnsi="宋体" w:cs="宋体"/>
          <w:sz w:val="24"/>
          <w:highlight w:val="none"/>
        </w:rPr>
        <w:t>2、</w:t>
      </w:r>
      <w:r>
        <w:rPr>
          <w:rFonts w:hint="eastAsia" w:ascii="宋体" w:hAnsi="宋体" w:cs="宋体"/>
          <w:sz w:val="24"/>
          <w:highlight w:val="none"/>
          <w:u w:val="single"/>
        </w:rPr>
        <w:t xml:space="preserve">  （标的名称）  </w:t>
      </w:r>
      <w:r>
        <w:rPr>
          <w:rFonts w:hint="eastAsia" w:ascii="宋体" w:hAnsi="宋体" w:cs="宋体"/>
          <w:sz w:val="24"/>
          <w:highlight w:val="none"/>
        </w:rPr>
        <w:t>，属于</w:t>
      </w:r>
      <w:r>
        <w:rPr>
          <w:rFonts w:ascii="宋体" w:hAnsi="宋体" w:cs="宋体"/>
          <w:sz w:val="24"/>
          <w:highlight w:val="none"/>
          <w:u w:val="single"/>
        </w:rPr>
        <w:t>建筑业</w:t>
      </w:r>
      <w:r>
        <w:rPr>
          <w:rFonts w:hint="eastAsia" w:ascii="宋体" w:hAnsi="宋体" w:cs="宋体"/>
          <w:sz w:val="24"/>
          <w:highlight w:val="none"/>
        </w:rPr>
        <w:t>；承建（承接）企业为</w:t>
      </w:r>
      <w:r>
        <w:rPr>
          <w:rFonts w:hint="eastAsia" w:ascii="宋体" w:hAnsi="宋体" w:cs="宋体"/>
          <w:sz w:val="24"/>
          <w:highlight w:val="none"/>
          <w:u w:val="single"/>
        </w:rPr>
        <w:t xml:space="preserve">  （企业名称）  </w:t>
      </w:r>
      <w:r>
        <w:rPr>
          <w:rFonts w:hint="eastAsia" w:ascii="宋体" w:hAnsi="宋体" w:cs="宋体"/>
          <w:sz w:val="24"/>
          <w:highlight w:val="none"/>
        </w:rPr>
        <w:t>，从业人员</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rPr>
        <w:t>万元，</w:t>
      </w:r>
      <w:r>
        <w:rPr>
          <w:rFonts w:hint="eastAsia" w:ascii="宋体" w:hAnsi="宋体" w:cs="宋体"/>
          <w:b/>
          <w:bCs/>
          <w:sz w:val="24"/>
          <w:szCs w:val="32"/>
          <w:highlight w:val="none"/>
        </w:rPr>
        <w:t>属于</w:t>
      </w:r>
      <w:r>
        <w:rPr>
          <w:rFonts w:hint="eastAsia" w:ascii="宋体" w:hAnsi="宋体" w:cs="宋体"/>
          <w:b/>
          <w:bCs/>
          <w:sz w:val="24"/>
          <w:szCs w:val="32"/>
          <w:highlight w:val="none"/>
          <w:u w:val="single"/>
        </w:rPr>
        <w:t xml:space="preserve">         </w:t>
      </w:r>
      <w:r>
        <w:rPr>
          <w:rFonts w:hint="eastAsia" w:ascii="宋体" w:hAnsi="宋体" w:cs="宋体"/>
          <w:b/>
          <w:bCs/>
          <w:sz w:val="24"/>
          <w:szCs w:val="32"/>
          <w:highlight w:val="none"/>
        </w:rPr>
        <w:t>企业</w:t>
      </w:r>
      <w:r>
        <w:rPr>
          <w:rFonts w:hint="eastAsia" w:ascii="宋体" w:hAnsi="宋体" w:cs="宋体"/>
          <w:sz w:val="24"/>
          <w:szCs w:val="32"/>
          <w:highlight w:val="none"/>
        </w:rPr>
        <w:t>（请填写中型企业或小型企业或微型企业）；</w:t>
      </w:r>
    </w:p>
    <w:p w14:paraId="406A2754">
      <w:pPr>
        <w:spacing w:line="360" w:lineRule="auto"/>
        <w:rPr>
          <w:rFonts w:ascii="宋体" w:hAnsi="宋体" w:cs="宋体"/>
          <w:sz w:val="24"/>
          <w:highlight w:val="none"/>
        </w:rPr>
      </w:pPr>
      <w:r>
        <w:rPr>
          <w:rFonts w:hint="eastAsia" w:ascii="宋体" w:hAnsi="宋体" w:cs="宋体"/>
          <w:sz w:val="24"/>
          <w:highlight w:val="none"/>
        </w:rPr>
        <w:t>……</w:t>
      </w:r>
    </w:p>
    <w:p w14:paraId="5131CD5F">
      <w:pPr>
        <w:spacing w:line="360" w:lineRule="auto"/>
        <w:ind w:firstLine="480" w:firstLineChars="200"/>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2DF7EBEE">
      <w:pPr>
        <w:spacing w:line="360" w:lineRule="auto"/>
        <w:ind w:firstLine="480" w:firstLineChars="200"/>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097285C7">
      <w:pPr>
        <w:spacing w:line="360" w:lineRule="auto"/>
        <w:rPr>
          <w:rFonts w:ascii="宋体" w:hAnsi="宋体" w:cs="宋体"/>
          <w:sz w:val="24"/>
          <w:highlight w:val="none"/>
        </w:rPr>
      </w:pPr>
    </w:p>
    <w:p w14:paraId="723FB3AB">
      <w:pPr>
        <w:spacing w:line="360" w:lineRule="auto"/>
        <w:rPr>
          <w:rFonts w:ascii="宋体" w:hAnsi="宋体" w:cs="宋体"/>
          <w:sz w:val="24"/>
          <w:highlight w:val="none"/>
        </w:rPr>
      </w:pPr>
    </w:p>
    <w:p w14:paraId="2BF5DB9F">
      <w:pPr>
        <w:spacing w:line="360" w:lineRule="auto"/>
        <w:ind w:firstLine="5280" w:firstLineChars="2200"/>
        <w:rPr>
          <w:rFonts w:ascii="宋体" w:hAnsi="宋体" w:cs="宋体"/>
          <w:sz w:val="24"/>
          <w:highlight w:val="none"/>
        </w:rPr>
      </w:pPr>
      <w:r>
        <w:rPr>
          <w:rFonts w:hint="eastAsia" w:ascii="宋体" w:hAnsi="宋体" w:cs="宋体"/>
          <w:sz w:val="24"/>
          <w:highlight w:val="none"/>
        </w:rPr>
        <w:t>企业名称（盖章）：</w:t>
      </w:r>
    </w:p>
    <w:p w14:paraId="53FE0515">
      <w:pPr>
        <w:spacing w:line="360" w:lineRule="auto"/>
        <w:ind w:firstLine="5280" w:firstLineChars="2200"/>
        <w:rPr>
          <w:rFonts w:ascii="宋体" w:hAnsi="宋体" w:cs="宋体"/>
          <w:sz w:val="24"/>
          <w:highlight w:val="none"/>
        </w:rPr>
      </w:pPr>
      <w:r>
        <w:rPr>
          <w:rFonts w:hint="eastAsia" w:ascii="宋体" w:hAnsi="宋体" w:cs="宋体"/>
          <w:sz w:val="24"/>
          <w:highlight w:val="none"/>
        </w:rPr>
        <w:t>日期：</w:t>
      </w:r>
    </w:p>
    <w:p w14:paraId="7EF71786">
      <w:pPr>
        <w:spacing w:line="360" w:lineRule="auto"/>
        <w:rPr>
          <w:rFonts w:ascii="宋体" w:hAnsi="宋体" w:cs="宋体"/>
          <w:sz w:val="24"/>
          <w:highlight w:val="none"/>
        </w:rPr>
      </w:pPr>
    </w:p>
    <w:p w14:paraId="09797BD6">
      <w:pPr>
        <w:spacing w:line="360" w:lineRule="auto"/>
        <w:rPr>
          <w:rFonts w:ascii="宋体" w:hAnsi="宋体" w:cs="宋体"/>
          <w:sz w:val="24"/>
          <w:highlight w:val="none"/>
        </w:rPr>
      </w:pPr>
      <w:r>
        <w:rPr>
          <w:rFonts w:ascii="宋体" w:hAnsi="宋体" w:cs="宋体"/>
          <w:sz w:val="24"/>
          <w:highlight w:val="none"/>
        </w:rPr>
        <mc:AlternateContent>
          <mc:Choice Requires="wps">
            <w:drawing>
              <wp:anchor distT="0" distB="0" distL="114300" distR="114300" simplePos="0" relativeHeight="251659264" behindDoc="1" locked="0" layoutInCell="1" allowOverlap="1">
                <wp:simplePos x="0" y="0"/>
                <wp:positionH relativeFrom="page">
                  <wp:posOffset>1143000</wp:posOffset>
                </wp:positionH>
                <wp:positionV relativeFrom="paragraph">
                  <wp:posOffset>111125</wp:posOffset>
                </wp:positionV>
                <wp:extent cx="1828800" cy="0"/>
                <wp:effectExtent l="0" t="0" r="0" b="0"/>
                <wp:wrapTopAndBottom/>
                <wp:docPr id="1" name="直线 6"/>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0" cmpd="sng">
                          <a:solidFill>
                            <a:srgbClr val="000000"/>
                          </a:solidFill>
                          <a:round/>
                        </a:ln>
                        <a:effectLst/>
                      </wps:spPr>
                      <wps:bodyPr/>
                    </wps:wsp>
                  </a:graphicData>
                </a:graphic>
              </wp:anchor>
            </w:drawing>
          </mc:Choice>
          <mc:Fallback>
            <w:pict>
              <v:line id="直线 6" o:spid="_x0000_s1026" o:spt="20" style="position:absolute;left:0pt;margin-left:90pt;margin-top:8.75pt;height:0pt;width:144pt;mso-position-horizontal-relative:page;mso-wrap-distance-bottom:0pt;mso-wrap-distance-top:0pt;z-index:-251657216;mso-width-relative:page;mso-height-relative:page;" filled="f" stroked="t" coordsize="21600,21600" o:gfxdata="UEsDBAoAAAAAAIdO4kAAAAAAAAAAAAAAAAAEAAAAZHJzL1BLAwQUAAAACACHTuJAG2yG49UAAAAJ&#10;AQAADwAAAGRycy9kb3ducmV2LnhtbE1Py07DMBC8I/EP1iJxo3Z4pFGI00MRF0BCDUjluI1NkmKv&#10;o9h98Pcs6gFuOw/NzlSLo3dib6c4BNKQzRQIS20wA3Ua3t8erwoQMSEZdIGshm8bYVGfn1VYmnCg&#10;ld03qRMcQrFEDX1KYyllbHvrMc7CaIm1zzB5TAynTpoJDxzunbxWKpceB+IPPY522dv2q9l5Der1&#10;Of+QL8vtdv30sFJ40ziVNVpfXmTqHkSyx/Rnht/6XB1q7rQJOzJROMaF4i2Jj/kdCDbc5gUTmxMh&#10;60r+X1D/AFBLAwQUAAAACACHTuJAO8rKzdwBAAC3AwAADgAAAGRycy9lMm9Eb2MueG1srVNLbhsx&#10;DN0X6B0E7euxvQiMQcZZ2Eg3aWsg6QFojWZGqCQKouyxz9JrdNVNj5NrlJI/TdNNFp2FIIrkI98j&#10;5/bu4KzY60gGfSNnk6kU2itsje8b+fXp/sNCCkrgW7DodSOPmuTd8v272zHUeo4D2lZHwSCe6jE0&#10;ckgp1FVFatAOaIJBe3Z2GB0kNmNftRFGRne2mk+nN9WIsQ0RlSbi1/XJKc+I8S2A2HVG6TWqndM+&#10;nVCjtpCYEg0mkFyWbrtOq/Sl60gnYRvJTFM5uQjft/mslrdQ9xHCYNS5BXhLC684OTCei16h1pBA&#10;7KL5B8oZFZGwSxOFrjoRKYowi9n0lTaPAwRduLDUFK6i0/+DVZ/3myhMy5sghQfHA3/+/uP55y9x&#10;k7UZA9UcsvKbmNmpg38MD6i+kfC4GsD3uvT4dAycOMsZ1V8p2aDAFbbjJ2w5BnYJi1CHLroMyRKI&#10;Q5nH8ToPfUhC8eNsMV8spjwqdfFVUF8SQ6T0UaMT+dJIa3yWCmrYP1DKjUB9CcnPHu+NtWXc1oux&#10;VFQuMHHyfUkktKbNQTmcYr9d2Sj2kBenfIUde16GRdz59lTM+pyny86dO7iwP+m4xfa4iReJeJ6l&#10;x/Pu5YV5aRch//xvy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bbIbj1QAAAAkBAAAPAAAAAAAA&#10;AAEAIAAAACIAAABkcnMvZG93bnJldi54bWxQSwECFAAUAAAACACHTuJAO8rKzdwBAAC3AwAADgAA&#10;AAAAAAABACAAAAAkAQAAZHJzL2Uyb0RvYy54bWxQSwUGAAAAAAYABgBZAQAAcgUAAAAA&#10;">
                <v:fill on="f" focussize="0,0"/>
                <v:stroke weight="0pt" color="#000000" joinstyle="round"/>
                <v:imagedata o:title=""/>
                <o:lock v:ext="edit" aspectratio="f"/>
                <w10:wrap type="topAndBottom"/>
              </v:line>
            </w:pict>
          </mc:Fallback>
        </mc:AlternateContent>
      </w:r>
    </w:p>
    <w:p w14:paraId="0DFC0128">
      <w:pPr>
        <w:spacing w:line="360" w:lineRule="auto"/>
        <w:rPr>
          <w:rFonts w:ascii="宋体" w:hAnsi="宋体" w:cs="宋体"/>
          <w:b/>
          <w:bCs/>
          <w:sz w:val="24"/>
          <w:highlight w:val="none"/>
        </w:rPr>
      </w:pPr>
      <w:r>
        <w:rPr>
          <w:rFonts w:hint="eastAsia" w:ascii="宋体" w:hAnsi="宋体" w:cs="宋体"/>
          <w:b/>
          <w:bCs/>
          <w:sz w:val="24"/>
          <w:highlight w:val="none"/>
        </w:rPr>
        <w:t>备注：</w:t>
      </w:r>
    </w:p>
    <w:p w14:paraId="09EAC618">
      <w:pPr>
        <w:spacing w:line="360" w:lineRule="auto"/>
        <w:rPr>
          <w:rFonts w:ascii="宋体" w:hAnsi="宋体" w:cs="宋体"/>
          <w:b/>
          <w:bCs/>
          <w:sz w:val="24"/>
          <w:highlight w:val="none"/>
        </w:rPr>
      </w:pPr>
      <w:r>
        <w:rPr>
          <w:rFonts w:hint="eastAsia" w:ascii="宋体" w:hAnsi="宋体" w:cs="宋体"/>
          <w:b/>
          <w:bCs/>
          <w:sz w:val="24"/>
          <w:highlight w:val="none"/>
        </w:rPr>
        <w:t>1、从业人员、营业收入、资产总额填报上一年度数据，无上一年度数据的新成立企业可不填报。</w:t>
      </w:r>
    </w:p>
    <w:p w14:paraId="3CDFD261">
      <w:pPr>
        <w:pStyle w:val="18"/>
        <w:rPr>
          <w:b/>
          <w:bCs/>
          <w:sz w:val="24"/>
          <w:highlight w:val="none"/>
        </w:rPr>
      </w:pPr>
      <w:r>
        <w:rPr>
          <w:rFonts w:hint="eastAsia"/>
          <w:b/>
          <w:bCs/>
          <w:sz w:val="24"/>
          <w:highlight w:val="none"/>
        </w:rPr>
        <w:t>2、本声明函将随中标结果同时公告，接受社会监督。</w:t>
      </w:r>
    </w:p>
    <w:p w14:paraId="5696919F">
      <w:pPr>
        <w:pageBreakBefore/>
        <w:spacing w:before="260" w:after="260" w:line="415" w:lineRule="auto"/>
        <w:outlineLvl w:val="1"/>
        <w:rPr>
          <w:rFonts w:ascii="宋体" w:hAnsi="宋体" w:cs="宋体"/>
          <w:bCs/>
          <w:sz w:val="24"/>
          <w:highlight w:val="none"/>
        </w:rPr>
      </w:pPr>
      <w:bookmarkStart w:id="109" w:name="_Toc174370024"/>
      <w:r>
        <w:rPr>
          <w:rFonts w:hint="eastAsia" w:ascii="宋体" w:hAnsi="宋体" w:cs="宋体"/>
          <w:bCs/>
          <w:sz w:val="24"/>
          <w:highlight w:val="none"/>
        </w:rPr>
        <w:t>附件十九：</w:t>
      </w:r>
      <w:bookmarkEnd w:id="108"/>
      <w:r>
        <w:rPr>
          <w:rFonts w:hint="eastAsia" w:ascii="宋体" w:hAnsi="宋体" w:cs="宋体"/>
          <w:bCs/>
          <w:sz w:val="24"/>
          <w:highlight w:val="none"/>
        </w:rPr>
        <w:t>东阳市采购项目验收方案（投标时无需提供）</w:t>
      </w:r>
      <w:bookmarkEnd w:id="109"/>
    </w:p>
    <w:p w14:paraId="1AB34A00">
      <w:pPr>
        <w:spacing w:after="120"/>
        <w:jc w:val="center"/>
        <w:rPr>
          <w:rFonts w:ascii="宋体" w:hAnsi="宋体" w:cs="宋体"/>
          <w:b/>
          <w:sz w:val="24"/>
          <w:highlight w:val="none"/>
        </w:rPr>
      </w:pPr>
      <w:r>
        <w:rPr>
          <w:rFonts w:hint="eastAsia" w:ascii="宋体" w:hAnsi="宋体" w:cs="宋体"/>
          <w:b/>
          <w:sz w:val="24"/>
          <w:highlight w:val="none"/>
        </w:rPr>
        <w:t>东阳市采购项目验收方案</w:t>
      </w:r>
    </w:p>
    <w:p w14:paraId="5E50EBCC">
      <w:pPr>
        <w:spacing w:before="120" w:beforeLines="50" w:after="120" w:afterLines="50" w:line="360" w:lineRule="auto"/>
        <w:ind w:firstLine="480" w:firstLineChars="200"/>
        <w:rPr>
          <w:rFonts w:ascii="宋体" w:hAnsi="宋体" w:cs="宋体"/>
          <w:sz w:val="24"/>
          <w:highlight w:val="none"/>
        </w:rPr>
      </w:pPr>
      <w:r>
        <w:rPr>
          <w:rFonts w:hint="eastAsia" w:ascii="宋体" w:hAnsi="宋体" w:cs="宋体"/>
          <w:sz w:val="24"/>
          <w:highlight w:val="none"/>
        </w:rPr>
        <w:t>根据《政府采购法》及东阳市政府采购办东财预〔2009〕98号《关于加强政府采购管理工作的补充规定》等有关文件规定，为做好</w:t>
      </w:r>
      <w:r>
        <w:rPr>
          <w:rFonts w:hint="eastAsia" w:ascii="宋体" w:hAnsi="宋体" w:cs="宋体"/>
          <w:sz w:val="24"/>
          <w:highlight w:val="none"/>
          <w:u w:val="single"/>
        </w:rPr>
        <w:t xml:space="preserve">                     </w:t>
      </w:r>
      <w:r>
        <w:rPr>
          <w:rFonts w:hint="eastAsia" w:ascii="宋体" w:hAnsi="宋体" w:cs="宋体"/>
          <w:sz w:val="24"/>
          <w:highlight w:val="none"/>
        </w:rPr>
        <w:t>采购项目的验收管理工作，特制定本项目验收方案，具体如下。</w:t>
      </w:r>
    </w:p>
    <w:p w14:paraId="2C6224C6">
      <w:pPr>
        <w:spacing w:after="120" w:line="360" w:lineRule="auto"/>
        <w:ind w:firstLine="472" w:firstLineChars="196"/>
        <w:rPr>
          <w:rFonts w:ascii="宋体" w:hAnsi="宋体" w:cs="宋体"/>
          <w:b/>
          <w:sz w:val="24"/>
          <w:highlight w:val="none"/>
        </w:rPr>
      </w:pPr>
      <w:r>
        <w:rPr>
          <w:rFonts w:hint="eastAsia" w:ascii="宋体" w:hAnsi="宋体" w:cs="宋体"/>
          <w:b/>
          <w:sz w:val="24"/>
          <w:highlight w:val="none"/>
        </w:rPr>
        <w:t>一、验收项目说明</w:t>
      </w:r>
    </w:p>
    <w:p w14:paraId="0E187BA4">
      <w:pPr>
        <w:spacing w:after="120" w:line="360" w:lineRule="auto"/>
        <w:ind w:firstLine="472" w:firstLineChars="196"/>
        <w:rPr>
          <w:rFonts w:ascii="宋体" w:hAnsi="宋体" w:cs="宋体"/>
          <w:b/>
          <w:sz w:val="24"/>
          <w:highlight w:val="none"/>
        </w:rPr>
      </w:pPr>
      <w:r>
        <w:rPr>
          <w:rFonts w:hint="eastAsia" w:ascii="宋体" w:hAnsi="宋体" w:cs="宋体"/>
          <w:b/>
          <w:sz w:val="24"/>
          <w:highlight w:val="none"/>
        </w:rPr>
        <w:t xml:space="preserve">1、招标编号：               </w:t>
      </w:r>
    </w:p>
    <w:p w14:paraId="2E62A478">
      <w:pPr>
        <w:spacing w:after="120" w:line="360" w:lineRule="auto"/>
        <w:ind w:firstLine="472" w:firstLineChars="196"/>
        <w:rPr>
          <w:rFonts w:ascii="宋体" w:hAnsi="宋体" w:cs="宋体"/>
          <w:b/>
          <w:sz w:val="24"/>
          <w:highlight w:val="none"/>
        </w:rPr>
      </w:pPr>
      <w:r>
        <w:rPr>
          <w:rFonts w:hint="eastAsia" w:ascii="宋体" w:hAnsi="宋体" w:cs="宋体"/>
          <w:b/>
          <w:sz w:val="24"/>
          <w:highlight w:val="none"/>
        </w:rPr>
        <w:t>2、采购内容：</w:t>
      </w:r>
    </w:p>
    <w:p w14:paraId="4347B2D0">
      <w:pPr>
        <w:spacing w:after="120" w:line="360" w:lineRule="auto"/>
        <w:rPr>
          <w:rFonts w:ascii="宋体" w:hAnsi="宋体" w:cs="宋体"/>
          <w:b/>
          <w:sz w:val="24"/>
          <w:highlight w:val="none"/>
        </w:rPr>
      </w:pPr>
    </w:p>
    <w:p w14:paraId="4BFC28B8">
      <w:pPr>
        <w:spacing w:after="120" w:line="360" w:lineRule="auto"/>
        <w:ind w:firstLine="482" w:firstLineChars="200"/>
        <w:rPr>
          <w:rFonts w:ascii="宋体" w:hAnsi="宋体" w:cs="宋体"/>
          <w:b/>
          <w:sz w:val="24"/>
          <w:highlight w:val="none"/>
        </w:rPr>
      </w:pPr>
      <w:r>
        <w:rPr>
          <w:rFonts w:hint="eastAsia" w:ascii="宋体" w:hAnsi="宋体" w:cs="宋体"/>
          <w:b/>
          <w:sz w:val="24"/>
          <w:highlight w:val="none"/>
        </w:rPr>
        <w:t>二、验收小组人员</w:t>
      </w:r>
    </w:p>
    <w:p w14:paraId="66C97EB5">
      <w:pPr>
        <w:spacing w:after="120" w:line="360" w:lineRule="auto"/>
        <w:ind w:firstLine="472" w:firstLineChars="196"/>
        <w:rPr>
          <w:rFonts w:ascii="宋体" w:hAnsi="宋体" w:cs="宋体"/>
          <w:b/>
          <w:sz w:val="24"/>
          <w:highlight w:val="none"/>
        </w:rPr>
      </w:pPr>
      <w:r>
        <w:rPr>
          <w:rFonts w:hint="eastAsia" w:ascii="宋体" w:hAnsi="宋体" w:cs="宋体"/>
          <w:b/>
          <w:sz w:val="24"/>
          <w:highlight w:val="none"/>
        </w:rPr>
        <w:t>1、本次验收由</w:t>
      </w:r>
      <w:r>
        <w:rPr>
          <w:rFonts w:hint="eastAsia" w:ascii="宋体" w:hAnsi="宋体" w:cs="宋体"/>
          <w:b/>
          <w:sz w:val="24"/>
          <w:highlight w:val="none"/>
          <w:u w:val="single"/>
        </w:rPr>
        <w:t xml:space="preserve">            </w:t>
      </w:r>
      <w:r>
        <w:rPr>
          <w:rFonts w:hint="eastAsia" w:ascii="宋体" w:hAnsi="宋体" w:cs="宋体"/>
          <w:sz w:val="24"/>
          <w:highlight w:val="none"/>
          <w:u w:val="single"/>
        </w:rPr>
        <w:t xml:space="preserve"> </w:t>
      </w:r>
      <w:r>
        <w:rPr>
          <w:rFonts w:hint="eastAsia" w:ascii="宋体" w:hAnsi="宋体" w:cs="宋体"/>
          <w:b/>
          <w:sz w:val="24"/>
          <w:highlight w:val="none"/>
        </w:rPr>
        <w:t>组织。</w:t>
      </w:r>
    </w:p>
    <w:p w14:paraId="0D39299F">
      <w:pPr>
        <w:spacing w:after="120" w:line="360" w:lineRule="auto"/>
        <w:ind w:firstLine="472" w:firstLineChars="196"/>
        <w:rPr>
          <w:rFonts w:ascii="宋体" w:hAnsi="宋体" w:cs="宋体"/>
          <w:b/>
          <w:sz w:val="24"/>
          <w:highlight w:val="none"/>
          <w:u w:val="single"/>
        </w:rPr>
      </w:pPr>
      <w:r>
        <w:rPr>
          <w:rFonts w:hint="eastAsia" w:ascii="宋体" w:hAnsi="宋体" w:cs="宋体"/>
          <w:b/>
          <w:sz w:val="24"/>
          <w:highlight w:val="none"/>
        </w:rPr>
        <w:t>2、验收小组成员名单：</w:t>
      </w:r>
      <w:r>
        <w:rPr>
          <w:rFonts w:hint="eastAsia" w:ascii="宋体" w:hAnsi="宋体" w:cs="宋体"/>
          <w:b/>
          <w:sz w:val="24"/>
          <w:highlight w:val="none"/>
          <w:u w:val="single"/>
        </w:rPr>
        <w:t xml:space="preserve">                                                       </w:t>
      </w:r>
    </w:p>
    <w:p w14:paraId="6878F831">
      <w:pPr>
        <w:spacing w:after="120" w:line="360" w:lineRule="auto"/>
        <w:ind w:firstLine="472" w:firstLineChars="196"/>
        <w:rPr>
          <w:rFonts w:ascii="宋体" w:hAnsi="宋体" w:cs="宋体"/>
          <w:b/>
          <w:sz w:val="24"/>
          <w:highlight w:val="none"/>
        </w:rPr>
      </w:pPr>
      <w:r>
        <w:rPr>
          <w:rFonts w:hint="eastAsia" w:ascii="宋体" w:hAnsi="宋体" w:cs="宋体"/>
          <w:b/>
          <w:sz w:val="24"/>
          <w:highlight w:val="none"/>
        </w:rPr>
        <w:t>3、验收小组成员签名：</w:t>
      </w:r>
      <w:r>
        <w:rPr>
          <w:rFonts w:hint="eastAsia" w:ascii="宋体" w:hAnsi="宋体" w:cs="宋体"/>
          <w:b/>
          <w:sz w:val="24"/>
          <w:highlight w:val="none"/>
          <w:u w:val="single"/>
        </w:rPr>
        <w:t xml:space="preserve">                                                    </w:t>
      </w:r>
      <w:r>
        <w:rPr>
          <w:rFonts w:hint="eastAsia" w:ascii="宋体" w:hAnsi="宋体" w:cs="宋体"/>
          <w:b/>
          <w:sz w:val="24"/>
          <w:highlight w:val="none"/>
        </w:rPr>
        <w:t xml:space="preserve">                                                                        </w:t>
      </w:r>
    </w:p>
    <w:p w14:paraId="153BC79A">
      <w:pPr>
        <w:spacing w:after="120" w:line="360" w:lineRule="auto"/>
        <w:ind w:firstLine="472" w:firstLineChars="196"/>
        <w:rPr>
          <w:rFonts w:ascii="宋体" w:hAnsi="宋体" w:cs="宋体"/>
          <w:b/>
          <w:sz w:val="24"/>
          <w:highlight w:val="none"/>
        </w:rPr>
      </w:pPr>
      <w:r>
        <w:rPr>
          <w:rFonts w:hint="eastAsia" w:ascii="宋体" w:hAnsi="宋体" w:cs="宋体"/>
          <w:b/>
          <w:sz w:val="24"/>
          <w:highlight w:val="none"/>
        </w:rPr>
        <w:t>三、验收方法与内容</w:t>
      </w:r>
    </w:p>
    <w:p w14:paraId="7E645095">
      <w:pPr>
        <w:spacing w:after="120" w:line="360" w:lineRule="auto"/>
        <w:rPr>
          <w:rFonts w:ascii="宋体" w:hAnsi="宋体" w:cs="宋体"/>
          <w:b/>
          <w:sz w:val="24"/>
          <w:highlight w:val="none"/>
        </w:rPr>
      </w:pPr>
    </w:p>
    <w:p w14:paraId="7D9D1C46">
      <w:pPr>
        <w:spacing w:after="120" w:line="360" w:lineRule="auto"/>
        <w:ind w:firstLine="482" w:firstLineChars="200"/>
        <w:rPr>
          <w:rFonts w:ascii="宋体" w:hAnsi="宋体" w:cs="宋体"/>
          <w:b/>
          <w:sz w:val="24"/>
          <w:highlight w:val="none"/>
        </w:rPr>
      </w:pPr>
      <w:r>
        <w:rPr>
          <w:rFonts w:hint="eastAsia" w:ascii="宋体" w:hAnsi="宋体" w:cs="宋体"/>
          <w:b/>
          <w:sz w:val="24"/>
          <w:highlight w:val="none"/>
        </w:rPr>
        <w:t>四、验收时间</w:t>
      </w:r>
    </w:p>
    <w:p w14:paraId="670C1942">
      <w:pPr>
        <w:spacing w:after="120" w:line="360" w:lineRule="auto"/>
        <w:rPr>
          <w:rFonts w:ascii="宋体" w:hAnsi="宋体" w:cs="宋体"/>
          <w:b/>
          <w:sz w:val="24"/>
          <w:highlight w:val="none"/>
        </w:rPr>
      </w:pPr>
    </w:p>
    <w:p w14:paraId="16209D40">
      <w:pPr>
        <w:spacing w:after="120" w:line="360" w:lineRule="auto"/>
        <w:ind w:firstLine="472" w:firstLineChars="196"/>
        <w:rPr>
          <w:rFonts w:ascii="宋体" w:hAnsi="宋体" w:cs="宋体"/>
          <w:b/>
          <w:sz w:val="24"/>
          <w:highlight w:val="none"/>
        </w:rPr>
      </w:pPr>
      <w:r>
        <w:rPr>
          <w:rFonts w:hint="eastAsia" w:ascii="宋体" w:hAnsi="宋体" w:cs="宋体"/>
          <w:b/>
          <w:sz w:val="24"/>
          <w:highlight w:val="none"/>
        </w:rPr>
        <w:t>五、验收地点</w:t>
      </w:r>
    </w:p>
    <w:p w14:paraId="26AB0AD4">
      <w:pPr>
        <w:spacing w:after="120" w:line="360" w:lineRule="auto"/>
        <w:rPr>
          <w:rFonts w:ascii="宋体" w:hAnsi="宋体" w:cs="宋体"/>
          <w:b/>
          <w:sz w:val="24"/>
          <w:highlight w:val="none"/>
        </w:rPr>
      </w:pPr>
    </w:p>
    <w:p w14:paraId="0C664D19">
      <w:pPr>
        <w:spacing w:after="120" w:line="360" w:lineRule="auto"/>
        <w:ind w:firstLine="472" w:firstLineChars="196"/>
        <w:rPr>
          <w:rFonts w:ascii="宋体" w:hAnsi="宋体" w:cs="宋体"/>
          <w:b/>
          <w:sz w:val="24"/>
          <w:highlight w:val="none"/>
        </w:rPr>
      </w:pPr>
      <w:r>
        <w:rPr>
          <w:rFonts w:hint="eastAsia" w:ascii="宋体" w:hAnsi="宋体" w:cs="宋体"/>
          <w:b/>
          <w:sz w:val="24"/>
          <w:highlight w:val="none"/>
        </w:rPr>
        <w:t>六、验收程序</w:t>
      </w:r>
    </w:p>
    <w:p w14:paraId="0E658555">
      <w:pPr>
        <w:spacing w:after="120" w:line="360" w:lineRule="auto"/>
        <w:ind w:left="479" w:leftChars="228" w:firstLine="470" w:firstLineChars="195"/>
        <w:rPr>
          <w:rFonts w:ascii="宋体" w:hAnsi="宋体" w:cs="宋体"/>
          <w:b/>
          <w:sz w:val="24"/>
          <w:highlight w:val="none"/>
        </w:rPr>
      </w:pPr>
    </w:p>
    <w:p w14:paraId="0B302BD6">
      <w:pPr>
        <w:spacing w:after="120" w:line="360" w:lineRule="auto"/>
        <w:ind w:left="479" w:leftChars="228" w:firstLine="470" w:firstLineChars="195"/>
        <w:rPr>
          <w:rFonts w:ascii="宋体" w:hAnsi="宋体" w:cs="宋体"/>
          <w:b/>
          <w:sz w:val="24"/>
          <w:highlight w:val="none"/>
        </w:rPr>
      </w:pPr>
    </w:p>
    <w:p w14:paraId="51796D5E">
      <w:pPr>
        <w:spacing w:after="120" w:line="360" w:lineRule="auto"/>
        <w:ind w:right="-6"/>
        <w:rPr>
          <w:rFonts w:ascii="宋体" w:hAnsi="宋体" w:cs="宋体"/>
          <w:b/>
          <w:sz w:val="24"/>
          <w:highlight w:val="none"/>
        </w:rPr>
      </w:pPr>
      <w:r>
        <w:rPr>
          <w:rFonts w:hint="eastAsia" w:ascii="宋体" w:hAnsi="宋体" w:cs="宋体"/>
          <w:b/>
          <w:sz w:val="24"/>
          <w:highlight w:val="none"/>
        </w:rPr>
        <w:t xml:space="preserve">                                            采购单位（盖章）：</w:t>
      </w:r>
    </w:p>
    <w:p w14:paraId="4F3FAB7D">
      <w:pPr>
        <w:spacing w:after="120" w:line="360" w:lineRule="auto"/>
        <w:ind w:right="960" w:firstLine="470" w:firstLineChars="196"/>
        <w:jc w:val="right"/>
        <w:rPr>
          <w:rFonts w:ascii="宋体" w:hAnsi="宋体" w:cs="宋体"/>
          <w:sz w:val="24"/>
          <w:highlight w:val="none"/>
        </w:rPr>
      </w:pPr>
      <w:r>
        <w:rPr>
          <w:rFonts w:hint="eastAsia" w:ascii="宋体" w:hAnsi="宋体" w:cs="宋体"/>
          <w:sz w:val="24"/>
          <w:highlight w:val="none"/>
        </w:rPr>
        <w:t>年  月  日</w:t>
      </w:r>
    </w:p>
    <w:p w14:paraId="64F934BA">
      <w:pPr>
        <w:pageBreakBefore/>
        <w:spacing w:before="260" w:after="260" w:line="415" w:lineRule="auto"/>
        <w:outlineLvl w:val="1"/>
        <w:rPr>
          <w:rFonts w:ascii="宋体" w:hAnsi="宋体" w:cs="宋体"/>
          <w:bCs/>
          <w:sz w:val="24"/>
          <w:highlight w:val="none"/>
        </w:rPr>
      </w:pPr>
      <w:bookmarkStart w:id="110" w:name="_Toc496599002"/>
      <w:bookmarkStart w:id="111" w:name="_Toc174370025"/>
      <w:r>
        <w:rPr>
          <w:rFonts w:hint="eastAsia" w:ascii="宋体" w:hAnsi="宋体" w:cs="宋体"/>
          <w:bCs/>
          <w:sz w:val="24"/>
          <w:highlight w:val="none"/>
        </w:rPr>
        <w:t>附件二十：</w:t>
      </w:r>
      <w:bookmarkEnd w:id="110"/>
      <w:r>
        <w:rPr>
          <w:rFonts w:hint="eastAsia" w:ascii="宋体" w:hAnsi="宋体" w:cs="宋体"/>
          <w:bCs/>
          <w:sz w:val="24"/>
          <w:highlight w:val="none"/>
        </w:rPr>
        <w:t>东阳市政府采购代理机构社会评价表</w:t>
      </w:r>
      <w:bookmarkEnd w:id="111"/>
    </w:p>
    <w:p w14:paraId="41E2EFE5">
      <w:pPr>
        <w:jc w:val="center"/>
        <w:rPr>
          <w:rFonts w:ascii="宋体" w:hAnsi="宋体"/>
          <w:sz w:val="44"/>
          <w:szCs w:val="44"/>
          <w:highlight w:val="none"/>
        </w:rPr>
      </w:pPr>
      <w:r>
        <w:rPr>
          <w:rFonts w:hint="eastAsia" w:ascii="宋体" w:hAnsi="宋体"/>
          <w:sz w:val="44"/>
          <w:szCs w:val="44"/>
          <w:highlight w:val="none"/>
        </w:rPr>
        <w:t>东阳市政府采购代理机构社会评价表</w:t>
      </w:r>
    </w:p>
    <w:p w14:paraId="7FB624C8">
      <w:pPr>
        <w:rPr>
          <w:rFonts w:ascii="宋体" w:hAnsi="宋体"/>
          <w:sz w:val="28"/>
          <w:szCs w:val="28"/>
          <w:highlight w:val="none"/>
        </w:rPr>
      </w:pPr>
      <w:r>
        <w:rPr>
          <w:rFonts w:hint="eastAsia" w:ascii="宋体" w:hAnsi="宋体"/>
          <w:sz w:val="28"/>
          <w:szCs w:val="28"/>
          <w:highlight w:val="none"/>
        </w:rPr>
        <w:t xml:space="preserve">代理机构名称： </w:t>
      </w:r>
    </w:p>
    <w:tbl>
      <w:tblPr>
        <w:tblStyle w:val="3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69"/>
        <w:gridCol w:w="696"/>
        <w:gridCol w:w="1067"/>
        <w:gridCol w:w="1031"/>
        <w:gridCol w:w="792"/>
        <w:gridCol w:w="2883"/>
      </w:tblGrid>
      <w:tr w14:paraId="08D58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242" w:type="dxa"/>
            <w:tcBorders>
              <w:top w:val="single" w:color="auto" w:sz="4" w:space="0"/>
              <w:left w:val="single" w:color="auto" w:sz="4" w:space="0"/>
              <w:bottom w:val="single" w:color="auto" w:sz="4" w:space="0"/>
              <w:right w:val="single" w:color="auto" w:sz="4" w:space="0"/>
            </w:tcBorders>
            <w:vAlign w:val="center"/>
          </w:tcPr>
          <w:p w14:paraId="3C627038">
            <w:pPr>
              <w:jc w:val="center"/>
              <w:rPr>
                <w:sz w:val="24"/>
                <w:highlight w:val="none"/>
              </w:rPr>
            </w:pPr>
            <w:r>
              <w:rPr>
                <w:rFonts w:hint="eastAsia" w:ascii="宋体" w:hAnsi="宋体"/>
                <w:sz w:val="24"/>
                <w:highlight w:val="none"/>
              </w:rPr>
              <w:t>填表人类别</w:t>
            </w:r>
          </w:p>
        </w:tc>
        <w:tc>
          <w:tcPr>
            <w:tcW w:w="7938" w:type="dxa"/>
            <w:gridSpan w:val="6"/>
            <w:tcBorders>
              <w:top w:val="single" w:color="auto" w:sz="4" w:space="0"/>
              <w:left w:val="nil"/>
              <w:bottom w:val="single" w:color="auto" w:sz="4" w:space="0"/>
              <w:right w:val="single" w:color="auto" w:sz="4" w:space="0"/>
            </w:tcBorders>
            <w:vAlign w:val="center"/>
          </w:tcPr>
          <w:p w14:paraId="1F37704B">
            <w:pPr>
              <w:ind w:firstLine="480" w:firstLineChars="200"/>
              <w:jc w:val="center"/>
              <w:rPr>
                <w:sz w:val="24"/>
                <w:highlight w:val="none"/>
              </w:rPr>
            </w:pPr>
            <w:r>
              <w:rPr>
                <w:rFonts w:hint="eastAsia" w:ascii="宋体" w:hAnsi="宋体"/>
                <w:sz w:val="24"/>
                <w:highlight w:val="none"/>
              </w:rPr>
              <w:t>□采购单位</w:t>
            </w:r>
            <w:r>
              <w:rPr>
                <w:sz w:val="24"/>
                <w:highlight w:val="none"/>
              </w:rPr>
              <w:t xml:space="preserve">      </w:t>
            </w:r>
            <w:r>
              <w:rPr>
                <w:rFonts w:hint="eastAsia" w:ascii="宋体" w:hAnsi="宋体"/>
                <w:sz w:val="24"/>
                <w:highlight w:val="none"/>
              </w:rPr>
              <w:t>□供应商</w:t>
            </w:r>
            <w:r>
              <w:rPr>
                <w:sz w:val="24"/>
                <w:highlight w:val="none"/>
              </w:rPr>
              <w:t xml:space="preserve">      </w:t>
            </w:r>
            <w:r>
              <w:rPr>
                <w:rFonts w:hint="eastAsia" w:ascii="宋体" w:hAnsi="宋体"/>
                <w:sz w:val="24"/>
                <w:highlight w:val="none"/>
              </w:rPr>
              <w:t>□专家</w:t>
            </w:r>
            <w:r>
              <w:rPr>
                <w:sz w:val="24"/>
                <w:highlight w:val="none"/>
              </w:rPr>
              <w:t xml:space="preserve">     </w:t>
            </w:r>
          </w:p>
        </w:tc>
      </w:tr>
      <w:tr w14:paraId="12A7C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trPr>
        <w:tc>
          <w:tcPr>
            <w:tcW w:w="1242" w:type="dxa"/>
            <w:tcBorders>
              <w:top w:val="single" w:color="auto" w:sz="4" w:space="0"/>
              <w:left w:val="single" w:color="auto" w:sz="4" w:space="0"/>
              <w:bottom w:val="single" w:color="auto" w:sz="4" w:space="0"/>
              <w:right w:val="single" w:color="auto" w:sz="4" w:space="0"/>
            </w:tcBorders>
            <w:vAlign w:val="center"/>
          </w:tcPr>
          <w:p w14:paraId="319ED3E0">
            <w:pPr>
              <w:jc w:val="center"/>
              <w:rPr>
                <w:sz w:val="24"/>
                <w:highlight w:val="none"/>
              </w:rPr>
            </w:pPr>
            <w:r>
              <w:rPr>
                <w:rFonts w:hint="eastAsia" w:ascii="宋体" w:hAnsi="宋体"/>
                <w:sz w:val="24"/>
                <w:highlight w:val="none"/>
              </w:rPr>
              <w:t>填表人名称或姓名</w:t>
            </w:r>
          </w:p>
        </w:tc>
        <w:tc>
          <w:tcPr>
            <w:tcW w:w="4266" w:type="dxa"/>
            <w:gridSpan w:val="4"/>
            <w:tcBorders>
              <w:top w:val="single" w:color="auto" w:sz="4" w:space="0"/>
              <w:left w:val="nil"/>
              <w:bottom w:val="single" w:color="auto" w:sz="4" w:space="0"/>
              <w:right w:val="single" w:color="auto" w:sz="4" w:space="0"/>
            </w:tcBorders>
            <w:vAlign w:val="center"/>
          </w:tcPr>
          <w:p w14:paraId="3D878D82">
            <w:pPr>
              <w:jc w:val="center"/>
              <w:rPr>
                <w:sz w:val="24"/>
                <w:highlight w:val="none"/>
              </w:rPr>
            </w:pPr>
          </w:p>
        </w:tc>
        <w:tc>
          <w:tcPr>
            <w:tcW w:w="792" w:type="dxa"/>
            <w:tcBorders>
              <w:top w:val="single" w:color="auto" w:sz="4" w:space="0"/>
              <w:left w:val="nil"/>
              <w:bottom w:val="single" w:color="auto" w:sz="4" w:space="0"/>
              <w:right w:val="single" w:color="auto" w:sz="4" w:space="0"/>
            </w:tcBorders>
            <w:vAlign w:val="center"/>
          </w:tcPr>
          <w:p w14:paraId="2112DF5A">
            <w:pPr>
              <w:jc w:val="center"/>
              <w:rPr>
                <w:sz w:val="24"/>
                <w:highlight w:val="none"/>
              </w:rPr>
            </w:pPr>
            <w:r>
              <w:rPr>
                <w:rFonts w:hint="eastAsia" w:ascii="宋体" w:hAnsi="宋体"/>
                <w:sz w:val="24"/>
                <w:highlight w:val="none"/>
              </w:rPr>
              <w:t>地址</w:t>
            </w:r>
          </w:p>
        </w:tc>
        <w:tc>
          <w:tcPr>
            <w:tcW w:w="2880" w:type="dxa"/>
            <w:tcBorders>
              <w:top w:val="single" w:color="auto" w:sz="4" w:space="0"/>
              <w:left w:val="single" w:color="auto" w:sz="4" w:space="0"/>
              <w:bottom w:val="single" w:color="auto" w:sz="4" w:space="0"/>
              <w:right w:val="single" w:color="auto" w:sz="4" w:space="0"/>
            </w:tcBorders>
            <w:vAlign w:val="center"/>
          </w:tcPr>
          <w:p w14:paraId="55D7E92C">
            <w:pPr>
              <w:jc w:val="center"/>
              <w:rPr>
                <w:rFonts w:ascii="宋体" w:hAnsi="宋体"/>
                <w:sz w:val="24"/>
                <w:highlight w:val="none"/>
              </w:rPr>
            </w:pPr>
          </w:p>
        </w:tc>
      </w:tr>
      <w:tr w14:paraId="11674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42" w:type="dxa"/>
            <w:tcBorders>
              <w:top w:val="single" w:color="auto" w:sz="4" w:space="0"/>
              <w:left w:val="single" w:color="auto" w:sz="4" w:space="0"/>
              <w:bottom w:val="single" w:color="auto" w:sz="4" w:space="0"/>
              <w:right w:val="single" w:color="auto" w:sz="4" w:space="0"/>
            </w:tcBorders>
            <w:vAlign w:val="center"/>
          </w:tcPr>
          <w:p w14:paraId="72548B0F">
            <w:pPr>
              <w:jc w:val="center"/>
              <w:rPr>
                <w:sz w:val="24"/>
                <w:highlight w:val="none"/>
              </w:rPr>
            </w:pPr>
            <w:r>
              <w:rPr>
                <w:rFonts w:hint="eastAsia" w:ascii="宋体" w:hAnsi="宋体"/>
                <w:sz w:val="24"/>
                <w:highlight w:val="none"/>
              </w:rPr>
              <w:t>联系人</w:t>
            </w:r>
          </w:p>
        </w:tc>
        <w:tc>
          <w:tcPr>
            <w:tcW w:w="1470" w:type="dxa"/>
            <w:tcBorders>
              <w:top w:val="single" w:color="auto" w:sz="4" w:space="0"/>
              <w:left w:val="nil"/>
              <w:bottom w:val="single" w:color="auto" w:sz="4" w:space="0"/>
              <w:right w:val="single" w:color="auto" w:sz="4" w:space="0"/>
            </w:tcBorders>
            <w:vAlign w:val="center"/>
          </w:tcPr>
          <w:p w14:paraId="568A22F2">
            <w:pPr>
              <w:jc w:val="center"/>
              <w:rPr>
                <w:sz w:val="24"/>
                <w:highlight w:val="none"/>
              </w:rPr>
            </w:pPr>
          </w:p>
        </w:tc>
        <w:tc>
          <w:tcPr>
            <w:tcW w:w="696" w:type="dxa"/>
            <w:tcBorders>
              <w:top w:val="single" w:color="auto" w:sz="4" w:space="0"/>
              <w:left w:val="nil"/>
              <w:bottom w:val="single" w:color="auto" w:sz="4" w:space="0"/>
              <w:right w:val="single" w:color="auto" w:sz="4" w:space="0"/>
            </w:tcBorders>
            <w:vAlign w:val="center"/>
          </w:tcPr>
          <w:p w14:paraId="06580122">
            <w:pPr>
              <w:jc w:val="center"/>
              <w:rPr>
                <w:sz w:val="24"/>
                <w:highlight w:val="none"/>
              </w:rPr>
            </w:pPr>
            <w:r>
              <w:rPr>
                <w:rFonts w:hint="eastAsia" w:ascii="宋体" w:hAnsi="宋体"/>
                <w:sz w:val="24"/>
                <w:highlight w:val="none"/>
              </w:rPr>
              <w:t>电话</w:t>
            </w:r>
          </w:p>
        </w:tc>
        <w:tc>
          <w:tcPr>
            <w:tcW w:w="2100" w:type="dxa"/>
            <w:gridSpan w:val="2"/>
            <w:tcBorders>
              <w:top w:val="single" w:color="auto" w:sz="4" w:space="0"/>
              <w:left w:val="nil"/>
              <w:bottom w:val="single" w:color="auto" w:sz="4" w:space="0"/>
              <w:right w:val="single" w:color="auto" w:sz="4" w:space="0"/>
            </w:tcBorders>
            <w:vAlign w:val="center"/>
          </w:tcPr>
          <w:p w14:paraId="597FF7E1">
            <w:pPr>
              <w:jc w:val="center"/>
              <w:rPr>
                <w:sz w:val="24"/>
                <w:highlight w:val="none"/>
              </w:rPr>
            </w:pPr>
          </w:p>
        </w:tc>
        <w:tc>
          <w:tcPr>
            <w:tcW w:w="787" w:type="dxa"/>
            <w:tcBorders>
              <w:top w:val="single" w:color="auto" w:sz="4" w:space="0"/>
              <w:left w:val="nil"/>
              <w:bottom w:val="single" w:color="auto" w:sz="4" w:space="0"/>
              <w:right w:val="single" w:color="auto" w:sz="4" w:space="0"/>
            </w:tcBorders>
            <w:vAlign w:val="center"/>
          </w:tcPr>
          <w:p w14:paraId="2CD74CE0">
            <w:pPr>
              <w:jc w:val="center"/>
              <w:rPr>
                <w:sz w:val="24"/>
                <w:highlight w:val="none"/>
              </w:rPr>
            </w:pPr>
            <w:r>
              <w:rPr>
                <w:rFonts w:hint="eastAsia" w:ascii="宋体" w:hAnsi="宋体"/>
                <w:sz w:val="24"/>
                <w:highlight w:val="none"/>
              </w:rPr>
              <w:t>传真</w:t>
            </w:r>
          </w:p>
        </w:tc>
        <w:tc>
          <w:tcPr>
            <w:tcW w:w="2885" w:type="dxa"/>
            <w:tcBorders>
              <w:top w:val="single" w:color="auto" w:sz="4" w:space="0"/>
              <w:left w:val="single" w:color="auto" w:sz="4" w:space="0"/>
              <w:bottom w:val="single" w:color="auto" w:sz="4" w:space="0"/>
              <w:right w:val="single" w:color="auto" w:sz="4" w:space="0"/>
            </w:tcBorders>
            <w:vAlign w:val="center"/>
          </w:tcPr>
          <w:p w14:paraId="57E6E877">
            <w:pPr>
              <w:jc w:val="center"/>
              <w:rPr>
                <w:sz w:val="24"/>
                <w:highlight w:val="none"/>
              </w:rPr>
            </w:pPr>
          </w:p>
        </w:tc>
      </w:tr>
      <w:tr w14:paraId="1756E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restart"/>
            <w:tcBorders>
              <w:top w:val="nil"/>
              <w:left w:val="single" w:color="auto" w:sz="4" w:space="0"/>
              <w:bottom w:val="single" w:color="auto" w:sz="4" w:space="0"/>
              <w:right w:val="single" w:color="auto" w:sz="4" w:space="0"/>
            </w:tcBorders>
            <w:vAlign w:val="center"/>
          </w:tcPr>
          <w:p w14:paraId="7EF2EF5B">
            <w:pPr>
              <w:jc w:val="center"/>
              <w:rPr>
                <w:sz w:val="24"/>
                <w:highlight w:val="none"/>
              </w:rPr>
            </w:pPr>
            <w:r>
              <w:rPr>
                <w:rFonts w:hint="eastAsia" w:ascii="宋体" w:hAnsi="宋体"/>
                <w:sz w:val="24"/>
                <w:highlight w:val="none"/>
              </w:rPr>
              <w:t>对代理机构的评价</w:t>
            </w:r>
          </w:p>
        </w:tc>
        <w:tc>
          <w:tcPr>
            <w:tcW w:w="3234" w:type="dxa"/>
            <w:gridSpan w:val="3"/>
            <w:tcBorders>
              <w:top w:val="single" w:color="auto" w:sz="4" w:space="0"/>
              <w:left w:val="nil"/>
              <w:bottom w:val="single" w:color="auto" w:sz="4" w:space="0"/>
              <w:right w:val="single" w:color="auto" w:sz="4" w:space="0"/>
            </w:tcBorders>
            <w:vAlign w:val="center"/>
          </w:tcPr>
          <w:p w14:paraId="2CE907BB">
            <w:pPr>
              <w:spacing w:line="500" w:lineRule="exact"/>
              <w:jc w:val="center"/>
              <w:rPr>
                <w:sz w:val="24"/>
                <w:highlight w:val="none"/>
              </w:rPr>
            </w:pPr>
            <w:r>
              <w:rPr>
                <w:rFonts w:hint="eastAsia" w:ascii="宋体" w:hAnsi="宋体"/>
                <w:sz w:val="24"/>
                <w:highlight w:val="none"/>
              </w:rPr>
              <w:t>项目</w:t>
            </w:r>
          </w:p>
        </w:tc>
        <w:tc>
          <w:tcPr>
            <w:tcW w:w="4704" w:type="dxa"/>
            <w:gridSpan w:val="3"/>
            <w:tcBorders>
              <w:top w:val="single" w:color="auto" w:sz="4" w:space="0"/>
              <w:left w:val="nil"/>
              <w:bottom w:val="single" w:color="auto" w:sz="4" w:space="0"/>
              <w:right w:val="single" w:color="auto" w:sz="4" w:space="0"/>
            </w:tcBorders>
            <w:vAlign w:val="center"/>
          </w:tcPr>
          <w:p w14:paraId="5EF5498D">
            <w:pPr>
              <w:spacing w:line="500" w:lineRule="exact"/>
              <w:jc w:val="center"/>
              <w:rPr>
                <w:sz w:val="24"/>
                <w:highlight w:val="none"/>
              </w:rPr>
            </w:pPr>
            <w:r>
              <w:rPr>
                <w:rFonts w:hint="eastAsia" w:ascii="宋体" w:hAnsi="宋体"/>
                <w:sz w:val="24"/>
                <w:highlight w:val="none"/>
              </w:rPr>
              <w:t>评价（请在分值范围内进行打分）</w:t>
            </w:r>
          </w:p>
        </w:tc>
      </w:tr>
      <w:tr w14:paraId="09CEF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213C77B9">
            <w:pPr>
              <w:widowControl/>
              <w:jc w:val="left"/>
              <w:rPr>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41AD3B79">
            <w:pPr>
              <w:rPr>
                <w:rFonts w:asciiTheme="majorEastAsia" w:hAnsiTheme="majorEastAsia" w:eastAsiaTheme="majorEastAsia"/>
                <w:kern w:val="0"/>
                <w:sz w:val="24"/>
                <w:highlight w:val="none"/>
              </w:rPr>
            </w:pPr>
            <w:r>
              <w:rPr>
                <w:rFonts w:hint="eastAsia" w:asciiTheme="majorEastAsia" w:hAnsiTheme="majorEastAsia" w:eastAsiaTheme="majorEastAsia"/>
                <w:sz w:val="24"/>
                <w:highlight w:val="none"/>
              </w:rPr>
              <w:t>是否严格执行政府采购纪律、法规和规章制度等（2分）。</w:t>
            </w:r>
          </w:p>
        </w:tc>
        <w:tc>
          <w:tcPr>
            <w:tcW w:w="4704" w:type="dxa"/>
            <w:gridSpan w:val="3"/>
            <w:tcBorders>
              <w:top w:val="single" w:color="auto" w:sz="4" w:space="0"/>
              <w:left w:val="nil"/>
              <w:bottom w:val="single" w:color="auto" w:sz="4" w:space="0"/>
              <w:right w:val="single" w:color="auto" w:sz="4" w:space="0"/>
            </w:tcBorders>
            <w:vAlign w:val="center"/>
          </w:tcPr>
          <w:p w14:paraId="131E052E">
            <w:pPr>
              <w:spacing w:line="500" w:lineRule="exact"/>
              <w:jc w:val="center"/>
              <w:rPr>
                <w:sz w:val="24"/>
                <w:highlight w:val="none"/>
              </w:rPr>
            </w:pPr>
          </w:p>
        </w:tc>
      </w:tr>
      <w:tr w14:paraId="535AF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6D954069">
            <w:pPr>
              <w:widowControl/>
              <w:jc w:val="left"/>
              <w:rPr>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1B65F31F">
            <w:pPr>
              <w:rPr>
                <w:rFonts w:asciiTheme="majorEastAsia" w:hAnsiTheme="majorEastAsia" w:eastAsiaTheme="majorEastAsia"/>
                <w:kern w:val="0"/>
                <w:sz w:val="24"/>
                <w:highlight w:val="none"/>
              </w:rPr>
            </w:pPr>
            <w:r>
              <w:rPr>
                <w:rFonts w:hint="eastAsia" w:asciiTheme="majorEastAsia" w:hAnsiTheme="majorEastAsia" w:eastAsiaTheme="majorEastAsia"/>
                <w:sz w:val="24"/>
                <w:highlight w:val="none"/>
              </w:rPr>
              <w:t>操作程序是否规范，采购行为、过程、结果是否公开、公平、公正，采购组织管理是否规范严谨（2分）</w:t>
            </w:r>
            <w:r>
              <w:rPr>
                <w:rFonts w:hint="eastAsia" w:asciiTheme="majorEastAsia" w:hAnsiTheme="majorEastAsia" w:eastAsiaTheme="majorEastAsia"/>
                <w:kern w:val="0"/>
                <w:sz w:val="24"/>
                <w:highlight w:val="none"/>
              </w:rPr>
              <w:t>。</w:t>
            </w:r>
          </w:p>
        </w:tc>
        <w:tc>
          <w:tcPr>
            <w:tcW w:w="4704" w:type="dxa"/>
            <w:gridSpan w:val="3"/>
            <w:tcBorders>
              <w:top w:val="single" w:color="auto" w:sz="4" w:space="0"/>
              <w:left w:val="nil"/>
              <w:bottom w:val="single" w:color="auto" w:sz="4" w:space="0"/>
              <w:right w:val="single" w:color="auto" w:sz="4" w:space="0"/>
            </w:tcBorders>
            <w:vAlign w:val="center"/>
          </w:tcPr>
          <w:p w14:paraId="08C0197D">
            <w:pPr>
              <w:spacing w:line="500" w:lineRule="exact"/>
              <w:jc w:val="center"/>
              <w:rPr>
                <w:sz w:val="24"/>
                <w:highlight w:val="none"/>
              </w:rPr>
            </w:pPr>
          </w:p>
        </w:tc>
      </w:tr>
      <w:tr w14:paraId="1EE69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74D24710">
            <w:pPr>
              <w:widowControl/>
              <w:jc w:val="left"/>
              <w:rPr>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52980956">
            <w:pPr>
              <w:rPr>
                <w:rFonts w:asciiTheme="majorEastAsia" w:hAnsiTheme="majorEastAsia" w:eastAsiaTheme="majorEastAsia"/>
                <w:kern w:val="0"/>
                <w:sz w:val="24"/>
                <w:highlight w:val="none"/>
              </w:rPr>
            </w:pPr>
            <w:r>
              <w:rPr>
                <w:rFonts w:hint="eastAsia" w:asciiTheme="majorEastAsia" w:hAnsiTheme="majorEastAsia" w:eastAsiaTheme="majorEastAsia"/>
                <w:sz w:val="24"/>
                <w:highlight w:val="none"/>
              </w:rPr>
              <w:t>是否及时组织采购，是否有承诺办事时间并能限时办结（2分）</w:t>
            </w:r>
            <w:r>
              <w:rPr>
                <w:rFonts w:hint="eastAsia" w:asciiTheme="majorEastAsia" w:hAnsiTheme="majorEastAsia" w:eastAsiaTheme="majorEastAsia"/>
                <w:kern w:val="0"/>
                <w:sz w:val="24"/>
                <w:highlight w:val="none"/>
              </w:rPr>
              <w:t>。</w:t>
            </w:r>
          </w:p>
        </w:tc>
        <w:tc>
          <w:tcPr>
            <w:tcW w:w="4704" w:type="dxa"/>
            <w:gridSpan w:val="3"/>
            <w:tcBorders>
              <w:top w:val="single" w:color="auto" w:sz="4" w:space="0"/>
              <w:left w:val="nil"/>
              <w:bottom w:val="single" w:color="auto" w:sz="4" w:space="0"/>
              <w:right w:val="single" w:color="auto" w:sz="4" w:space="0"/>
            </w:tcBorders>
            <w:vAlign w:val="center"/>
          </w:tcPr>
          <w:p w14:paraId="3BEC49C3">
            <w:pPr>
              <w:spacing w:line="500" w:lineRule="exact"/>
              <w:jc w:val="center"/>
              <w:rPr>
                <w:sz w:val="24"/>
                <w:highlight w:val="none"/>
              </w:rPr>
            </w:pPr>
          </w:p>
        </w:tc>
      </w:tr>
      <w:tr w14:paraId="1E003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7A944175">
            <w:pPr>
              <w:widowControl/>
              <w:jc w:val="left"/>
              <w:rPr>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47DBD22B">
            <w:pPr>
              <w:rPr>
                <w:rFonts w:asciiTheme="majorEastAsia" w:hAnsiTheme="majorEastAsia" w:eastAsiaTheme="majorEastAsia"/>
                <w:sz w:val="24"/>
                <w:highlight w:val="none"/>
              </w:rPr>
            </w:pPr>
            <w:r>
              <w:rPr>
                <w:rFonts w:hint="eastAsia" w:asciiTheme="majorEastAsia" w:hAnsiTheme="majorEastAsia" w:eastAsiaTheme="majorEastAsia"/>
                <w:sz w:val="24"/>
                <w:highlight w:val="none"/>
              </w:rPr>
              <w:t>是否能积极</w:t>
            </w:r>
            <w:r>
              <w:rPr>
                <w:rFonts w:hint="eastAsia" w:asciiTheme="majorEastAsia" w:hAnsiTheme="majorEastAsia" w:eastAsiaTheme="majorEastAsia"/>
                <w:kern w:val="0"/>
                <w:sz w:val="24"/>
                <w:highlight w:val="none"/>
              </w:rPr>
              <w:t>主动</w:t>
            </w:r>
            <w:r>
              <w:rPr>
                <w:rFonts w:hint="eastAsia" w:asciiTheme="majorEastAsia" w:hAnsiTheme="majorEastAsia" w:eastAsiaTheme="majorEastAsia"/>
                <w:sz w:val="24"/>
                <w:highlight w:val="none"/>
              </w:rPr>
              <w:t>与当事人沟通</w:t>
            </w:r>
            <w:r>
              <w:rPr>
                <w:rFonts w:hint="eastAsia" w:asciiTheme="majorEastAsia" w:hAnsiTheme="majorEastAsia" w:eastAsiaTheme="majorEastAsia"/>
                <w:kern w:val="0"/>
                <w:sz w:val="24"/>
                <w:highlight w:val="none"/>
              </w:rPr>
              <w:t>对接；对采购政策进行详细解读；</w:t>
            </w:r>
            <w:r>
              <w:rPr>
                <w:rFonts w:hint="eastAsia" w:asciiTheme="majorEastAsia" w:hAnsiTheme="majorEastAsia" w:eastAsiaTheme="majorEastAsia"/>
                <w:sz w:val="24"/>
                <w:highlight w:val="none"/>
              </w:rPr>
              <w:t>咨询答复是否热情周到、耐心细致（2分）</w:t>
            </w:r>
            <w:r>
              <w:rPr>
                <w:rFonts w:hint="eastAsia" w:asciiTheme="majorEastAsia" w:hAnsiTheme="majorEastAsia" w:eastAsiaTheme="majorEastAsia"/>
                <w:kern w:val="0"/>
                <w:sz w:val="24"/>
                <w:highlight w:val="none"/>
              </w:rPr>
              <w:t>。</w:t>
            </w:r>
          </w:p>
        </w:tc>
        <w:tc>
          <w:tcPr>
            <w:tcW w:w="4704" w:type="dxa"/>
            <w:gridSpan w:val="3"/>
            <w:tcBorders>
              <w:top w:val="single" w:color="auto" w:sz="4" w:space="0"/>
              <w:left w:val="nil"/>
              <w:bottom w:val="single" w:color="auto" w:sz="4" w:space="0"/>
              <w:right w:val="single" w:color="auto" w:sz="4" w:space="0"/>
            </w:tcBorders>
            <w:vAlign w:val="center"/>
          </w:tcPr>
          <w:p w14:paraId="141019AF">
            <w:pPr>
              <w:spacing w:line="500" w:lineRule="exact"/>
              <w:jc w:val="center"/>
              <w:rPr>
                <w:sz w:val="24"/>
                <w:highlight w:val="none"/>
              </w:rPr>
            </w:pPr>
          </w:p>
        </w:tc>
      </w:tr>
      <w:tr w14:paraId="4DB8C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5C598C9F">
            <w:pPr>
              <w:widowControl/>
              <w:jc w:val="left"/>
              <w:rPr>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7874066A">
            <w:pPr>
              <w:rPr>
                <w:rFonts w:asciiTheme="majorEastAsia" w:hAnsiTheme="majorEastAsia" w:eastAsiaTheme="majorEastAsia"/>
                <w:sz w:val="24"/>
                <w:highlight w:val="none"/>
              </w:rPr>
            </w:pPr>
            <w:r>
              <w:rPr>
                <w:rFonts w:hint="eastAsia" w:asciiTheme="majorEastAsia" w:hAnsiTheme="majorEastAsia" w:eastAsiaTheme="majorEastAsia"/>
                <w:sz w:val="24"/>
                <w:highlight w:val="none"/>
              </w:rPr>
              <w:t>采购的质量、服务是否满意（2分）。</w:t>
            </w:r>
          </w:p>
        </w:tc>
        <w:tc>
          <w:tcPr>
            <w:tcW w:w="4704" w:type="dxa"/>
            <w:gridSpan w:val="3"/>
            <w:tcBorders>
              <w:top w:val="single" w:color="auto" w:sz="4" w:space="0"/>
              <w:left w:val="nil"/>
              <w:bottom w:val="single" w:color="auto" w:sz="4" w:space="0"/>
              <w:right w:val="single" w:color="auto" w:sz="4" w:space="0"/>
            </w:tcBorders>
            <w:vAlign w:val="center"/>
          </w:tcPr>
          <w:p w14:paraId="7A9BA1D1">
            <w:pPr>
              <w:spacing w:line="500" w:lineRule="exact"/>
              <w:jc w:val="center"/>
              <w:rPr>
                <w:sz w:val="24"/>
                <w:highlight w:val="none"/>
              </w:rPr>
            </w:pPr>
          </w:p>
        </w:tc>
      </w:tr>
      <w:tr w14:paraId="63936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603266BD">
            <w:pPr>
              <w:widowControl/>
              <w:jc w:val="left"/>
              <w:rPr>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60947332">
            <w:pPr>
              <w:spacing w:line="500" w:lineRule="exact"/>
              <w:jc w:val="center"/>
              <w:rPr>
                <w:sz w:val="24"/>
                <w:highlight w:val="none"/>
              </w:rPr>
            </w:pPr>
            <w:r>
              <w:rPr>
                <w:rFonts w:hint="eastAsia" w:ascii="宋体" w:hAnsi="宋体"/>
                <w:sz w:val="24"/>
                <w:highlight w:val="none"/>
              </w:rPr>
              <w:t>合计</w:t>
            </w:r>
          </w:p>
        </w:tc>
        <w:tc>
          <w:tcPr>
            <w:tcW w:w="4704" w:type="dxa"/>
            <w:gridSpan w:val="3"/>
            <w:tcBorders>
              <w:top w:val="single" w:color="auto" w:sz="4" w:space="0"/>
              <w:left w:val="nil"/>
              <w:bottom w:val="single" w:color="auto" w:sz="4" w:space="0"/>
              <w:right w:val="single" w:color="auto" w:sz="4" w:space="0"/>
            </w:tcBorders>
            <w:vAlign w:val="center"/>
          </w:tcPr>
          <w:p w14:paraId="30B618C6">
            <w:pPr>
              <w:spacing w:line="500" w:lineRule="exact"/>
              <w:jc w:val="center"/>
              <w:rPr>
                <w:sz w:val="24"/>
                <w:highlight w:val="none"/>
              </w:rPr>
            </w:pPr>
          </w:p>
        </w:tc>
      </w:tr>
      <w:tr w14:paraId="425BC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242" w:type="dxa"/>
            <w:tcBorders>
              <w:top w:val="single" w:color="auto" w:sz="4" w:space="0"/>
              <w:left w:val="single" w:color="auto" w:sz="4" w:space="0"/>
              <w:bottom w:val="single" w:color="auto" w:sz="4" w:space="0"/>
              <w:right w:val="single" w:color="auto" w:sz="4" w:space="0"/>
            </w:tcBorders>
            <w:vAlign w:val="center"/>
          </w:tcPr>
          <w:p w14:paraId="03570947">
            <w:pPr>
              <w:jc w:val="center"/>
              <w:rPr>
                <w:sz w:val="24"/>
                <w:highlight w:val="none"/>
              </w:rPr>
            </w:pPr>
            <w:r>
              <w:rPr>
                <w:rFonts w:hint="eastAsia" w:ascii="宋体" w:hAnsi="宋体"/>
                <w:sz w:val="24"/>
                <w:highlight w:val="none"/>
              </w:rPr>
              <w:t>对代理机构的意见和建议</w:t>
            </w:r>
          </w:p>
        </w:tc>
        <w:tc>
          <w:tcPr>
            <w:tcW w:w="7938" w:type="dxa"/>
            <w:gridSpan w:val="6"/>
            <w:tcBorders>
              <w:top w:val="single" w:color="auto" w:sz="4" w:space="0"/>
              <w:left w:val="nil"/>
              <w:bottom w:val="single" w:color="auto" w:sz="4" w:space="0"/>
              <w:right w:val="single" w:color="auto" w:sz="4" w:space="0"/>
            </w:tcBorders>
            <w:vAlign w:val="center"/>
          </w:tcPr>
          <w:p w14:paraId="2A2E291A">
            <w:pPr>
              <w:jc w:val="center"/>
              <w:rPr>
                <w:sz w:val="24"/>
                <w:highlight w:val="none"/>
              </w:rPr>
            </w:pPr>
          </w:p>
        </w:tc>
      </w:tr>
      <w:tr w14:paraId="3D52D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42" w:type="dxa"/>
            <w:tcBorders>
              <w:top w:val="single" w:color="auto" w:sz="4" w:space="0"/>
              <w:left w:val="single" w:color="auto" w:sz="4" w:space="0"/>
              <w:bottom w:val="single" w:color="auto" w:sz="4" w:space="0"/>
              <w:right w:val="single" w:color="auto" w:sz="4" w:space="0"/>
            </w:tcBorders>
            <w:vAlign w:val="center"/>
          </w:tcPr>
          <w:p w14:paraId="2AE8A1C5">
            <w:pPr>
              <w:jc w:val="center"/>
              <w:rPr>
                <w:sz w:val="24"/>
                <w:highlight w:val="none"/>
              </w:rPr>
            </w:pPr>
            <w:r>
              <w:rPr>
                <w:rFonts w:hint="eastAsia" w:ascii="宋体" w:hAnsi="宋体"/>
                <w:sz w:val="24"/>
                <w:highlight w:val="none"/>
              </w:rPr>
              <w:t>备注</w:t>
            </w:r>
          </w:p>
        </w:tc>
        <w:tc>
          <w:tcPr>
            <w:tcW w:w="7938" w:type="dxa"/>
            <w:gridSpan w:val="6"/>
            <w:tcBorders>
              <w:top w:val="single" w:color="auto" w:sz="4" w:space="0"/>
              <w:left w:val="nil"/>
              <w:bottom w:val="single" w:color="auto" w:sz="4" w:space="0"/>
              <w:right w:val="single" w:color="auto" w:sz="4" w:space="0"/>
            </w:tcBorders>
            <w:vAlign w:val="center"/>
          </w:tcPr>
          <w:p w14:paraId="436208A6">
            <w:pPr>
              <w:jc w:val="center"/>
              <w:rPr>
                <w:sz w:val="24"/>
                <w:highlight w:val="none"/>
              </w:rPr>
            </w:pPr>
          </w:p>
        </w:tc>
      </w:tr>
    </w:tbl>
    <w:p w14:paraId="571FA27F">
      <w:pPr>
        <w:spacing w:after="120"/>
        <w:ind w:right="1240"/>
        <w:rPr>
          <w:rFonts w:ascii="宋体" w:hAnsi="宋体" w:cs="宋体"/>
          <w:sz w:val="24"/>
          <w:highlight w:val="none"/>
        </w:rPr>
      </w:pPr>
      <w:r>
        <w:rPr>
          <w:rFonts w:hint="eastAsia" w:ascii="宋体" w:hAnsi="宋体"/>
          <w:sz w:val="24"/>
          <w:highlight w:val="none"/>
        </w:rPr>
        <w:t>填表人签字盖章：</w:t>
      </w:r>
      <w:r>
        <w:rPr>
          <w:sz w:val="24"/>
          <w:highlight w:val="none"/>
        </w:rPr>
        <w:t xml:space="preserve">                    </w:t>
      </w:r>
      <w:r>
        <w:rPr>
          <w:rFonts w:hint="eastAsia" w:ascii="宋体" w:hAnsi="宋体"/>
          <w:sz w:val="24"/>
          <w:highlight w:val="none"/>
        </w:rPr>
        <w:t>日期</w:t>
      </w:r>
    </w:p>
    <w:p w14:paraId="0070DB45">
      <w:pPr>
        <w:spacing w:after="120"/>
        <w:ind w:right="-154"/>
        <w:rPr>
          <w:rFonts w:ascii="宋体" w:hAnsi="宋体" w:cs="宋体"/>
          <w:szCs w:val="21"/>
          <w:highlight w:val="none"/>
        </w:rPr>
      </w:pPr>
      <w:r>
        <w:rPr>
          <w:rFonts w:hint="eastAsia" w:ascii="宋体" w:hAnsi="宋体" w:cs="宋体"/>
          <w:szCs w:val="21"/>
          <w:highlight w:val="none"/>
        </w:rPr>
        <w:t>注：磋商单位须加盖单位红章。</w:t>
      </w:r>
    </w:p>
    <w:p w14:paraId="0F808579">
      <w:pPr>
        <w:pStyle w:val="18"/>
        <w:rPr>
          <w:rFonts w:ascii="宋体" w:hAnsi="宋体" w:cs="宋体"/>
          <w:szCs w:val="21"/>
          <w:highlight w:val="none"/>
        </w:rPr>
      </w:pPr>
    </w:p>
    <w:p w14:paraId="4A39D696">
      <w:pPr>
        <w:pStyle w:val="4"/>
        <w:rPr>
          <w:rFonts w:ascii="宋体" w:hAnsi="宋体" w:eastAsia="宋体" w:cs="宋体"/>
          <w:b w:val="0"/>
          <w:sz w:val="24"/>
          <w:szCs w:val="24"/>
          <w:highlight w:val="none"/>
        </w:rPr>
      </w:pPr>
      <w:bookmarkStart w:id="112" w:name="_Toc174370026"/>
      <w:r>
        <w:rPr>
          <w:rFonts w:hint="eastAsia" w:ascii="宋体" w:hAnsi="宋体" w:eastAsia="宋体" w:cs="宋体"/>
          <w:b w:val="0"/>
          <w:sz w:val="24"/>
          <w:szCs w:val="24"/>
          <w:highlight w:val="none"/>
        </w:rPr>
        <w:t>附件二十一：办理保函需提供资料</w:t>
      </w:r>
      <w:bookmarkEnd w:id="112"/>
    </w:p>
    <w:p w14:paraId="10D3BA6C">
      <w:pPr>
        <w:spacing w:after="120"/>
        <w:ind w:right="-154"/>
        <w:rPr>
          <w:rFonts w:ascii="宋体" w:hAnsi="宋体" w:cs="宋体"/>
          <w:sz w:val="24"/>
          <w:highlight w:val="none"/>
        </w:rPr>
      </w:pPr>
    </w:p>
    <w:p w14:paraId="2AD0D055">
      <w:pPr>
        <w:spacing w:after="120"/>
        <w:ind w:right="-154"/>
        <w:jc w:val="center"/>
        <w:rPr>
          <w:rFonts w:ascii="宋体" w:hAnsi="宋体" w:cs="宋体"/>
          <w:b/>
          <w:sz w:val="40"/>
          <w:szCs w:val="40"/>
          <w:highlight w:val="none"/>
        </w:rPr>
      </w:pPr>
      <w:r>
        <w:rPr>
          <w:rFonts w:hint="eastAsia" w:ascii="宋体" w:hAnsi="宋体" w:cs="宋体"/>
          <w:b/>
          <w:sz w:val="40"/>
          <w:szCs w:val="40"/>
          <w:highlight w:val="none"/>
        </w:rPr>
        <w:t>办理保函需提供资料</w:t>
      </w:r>
    </w:p>
    <w:p w14:paraId="3B83603F">
      <w:pPr>
        <w:numPr>
          <w:ilvl w:val="0"/>
          <w:numId w:val="11"/>
        </w:numPr>
        <w:spacing w:line="800" w:lineRule="exact"/>
        <w:jc w:val="left"/>
        <w:rPr>
          <w:rFonts w:ascii="宋体" w:hAnsi="宋体" w:cs="宋体"/>
          <w:sz w:val="24"/>
          <w:highlight w:val="none"/>
        </w:rPr>
      </w:pPr>
      <w:r>
        <w:rPr>
          <w:rFonts w:hint="eastAsia" w:ascii="宋体" w:hAnsi="宋体" w:cs="宋体"/>
          <w:sz w:val="24"/>
          <w:highlight w:val="none"/>
        </w:rPr>
        <w:t>营业执照</w:t>
      </w:r>
    </w:p>
    <w:p w14:paraId="23DB8657">
      <w:pPr>
        <w:numPr>
          <w:ilvl w:val="0"/>
          <w:numId w:val="11"/>
        </w:numPr>
        <w:spacing w:line="800" w:lineRule="exact"/>
        <w:jc w:val="left"/>
        <w:rPr>
          <w:rFonts w:ascii="宋体" w:hAnsi="宋体" w:cs="宋体"/>
          <w:sz w:val="24"/>
          <w:highlight w:val="none"/>
        </w:rPr>
      </w:pPr>
      <w:r>
        <w:rPr>
          <w:rFonts w:hint="eastAsia" w:ascii="宋体" w:hAnsi="宋体" w:cs="宋体"/>
          <w:sz w:val="24"/>
          <w:highlight w:val="none"/>
        </w:rPr>
        <w:t>法人身份证</w:t>
      </w:r>
    </w:p>
    <w:p w14:paraId="2E6A5F58">
      <w:pPr>
        <w:numPr>
          <w:ilvl w:val="0"/>
          <w:numId w:val="11"/>
        </w:numPr>
        <w:spacing w:line="800" w:lineRule="exact"/>
        <w:jc w:val="left"/>
        <w:rPr>
          <w:rFonts w:ascii="宋体" w:hAnsi="宋体" w:cs="宋体"/>
          <w:sz w:val="24"/>
          <w:highlight w:val="none"/>
        </w:rPr>
      </w:pPr>
      <w:r>
        <w:rPr>
          <w:rFonts w:hint="eastAsia" w:ascii="宋体" w:hAnsi="宋体" w:cs="宋体"/>
          <w:sz w:val="24"/>
          <w:highlight w:val="none"/>
        </w:rPr>
        <w:t>近两年财务报表</w:t>
      </w:r>
    </w:p>
    <w:p w14:paraId="167DDB07">
      <w:pPr>
        <w:numPr>
          <w:ilvl w:val="0"/>
          <w:numId w:val="11"/>
        </w:numPr>
        <w:spacing w:line="800" w:lineRule="exact"/>
        <w:jc w:val="left"/>
        <w:rPr>
          <w:rFonts w:ascii="宋体" w:hAnsi="宋体" w:cs="宋体"/>
          <w:sz w:val="24"/>
          <w:highlight w:val="none"/>
        </w:rPr>
      </w:pPr>
      <w:r>
        <w:rPr>
          <w:rFonts w:hint="eastAsia" w:ascii="宋体" w:hAnsi="宋体" w:cs="宋体"/>
          <w:sz w:val="24"/>
          <w:highlight w:val="none"/>
        </w:rPr>
        <w:t>资质证书或安装，维修证书</w:t>
      </w:r>
    </w:p>
    <w:p w14:paraId="39069807">
      <w:pPr>
        <w:numPr>
          <w:ilvl w:val="0"/>
          <w:numId w:val="11"/>
        </w:numPr>
        <w:spacing w:line="800" w:lineRule="exact"/>
        <w:jc w:val="left"/>
        <w:rPr>
          <w:rFonts w:ascii="宋体" w:hAnsi="宋体" w:cs="宋体"/>
          <w:sz w:val="24"/>
          <w:highlight w:val="none"/>
        </w:rPr>
      </w:pPr>
      <w:r>
        <w:rPr>
          <w:rFonts w:hint="eastAsia" w:ascii="宋体" w:hAnsi="宋体" w:cs="宋体"/>
          <w:sz w:val="24"/>
          <w:highlight w:val="none"/>
        </w:rPr>
        <w:t>中标通知书</w:t>
      </w:r>
    </w:p>
    <w:p w14:paraId="690BB870">
      <w:pPr>
        <w:numPr>
          <w:ilvl w:val="0"/>
          <w:numId w:val="11"/>
        </w:numPr>
        <w:spacing w:line="800" w:lineRule="exact"/>
        <w:jc w:val="left"/>
        <w:rPr>
          <w:rFonts w:ascii="宋体" w:hAnsi="宋体" w:cs="宋体"/>
          <w:sz w:val="24"/>
          <w:highlight w:val="none"/>
        </w:rPr>
      </w:pPr>
      <w:r>
        <w:rPr>
          <w:rFonts w:hint="eastAsia" w:ascii="宋体" w:hAnsi="宋体" w:cs="宋体"/>
          <w:sz w:val="24"/>
          <w:highlight w:val="none"/>
        </w:rPr>
        <w:t>磋商文件电子版</w:t>
      </w:r>
    </w:p>
    <w:p w14:paraId="1F579986">
      <w:pPr>
        <w:numPr>
          <w:ilvl w:val="0"/>
          <w:numId w:val="11"/>
        </w:numPr>
        <w:spacing w:line="800" w:lineRule="exact"/>
        <w:jc w:val="left"/>
        <w:rPr>
          <w:rFonts w:ascii="宋体" w:hAnsi="宋体" w:cs="宋体"/>
          <w:sz w:val="24"/>
          <w:highlight w:val="none"/>
        </w:rPr>
      </w:pPr>
      <w:r>
        <w:rPr>
          <w:rFonts w:hint="eastAsia" w:ascii="宋体" w:hAnsi="宋体" w:cs="宋体"/>
          <w:sz w:val="24"/>
          <w:highlight w:val="none"/>
        </w:rPr>
        <w:t>信用反担保函</w:t>
      </w:r>
    </w:p>
    <w:p w14:paraId="6AB9CA29">
      <w:pPr>
        <w:spacing w:line="800" w:lineRule="exact"/>
        <w:jc w:val="left"/>
        <w:rPr>
          <w:rFonts w:ascii="宋体" w:hAnsi="宋体" w:cs="宋体"/>
          <w:sz w:val="24"/>
          <w:highlight w:val="none"/>
        </w:rPr>
      </w:pPr>
      <w:r>
        <w:rPr>
          <w:rFonts w:hint="eastAsia" w:ascii="宋体" w:hAnsi="宋体" w:cs="宋体"/>
          <w:sz w:val="24"/>
          <w:highlight w:val="none"/>
        </w:rPr>
        <w:t>注：所有资料复印件加盖公章</w:t>
      </w:r>
    </w:p>
    <w:p w14:paraId="4C5C3BD8">
      <w:pPr>
        <w:spacing w:after="120"/>
        <w:ind w:right="-154"/>
        <w:rPr>
          <w:rFonts w:ascii="宋体" w:hAnsi="宋体" w:cs="宋体"/>
          <w:b/>
          <w:sz w:val="24"/>
          <w:highlight w:val="none"/>
        </w:rPr>
      </w:pPr>
    </w:p>
    <w:p w14:paraId="69CD3B0E">
      <w:pPr>
        <w:spacing w:after="120"/>
        <w:ind w:right="-154"/>
        <w:rPr>
          <w:rFonts w:ascii="宋体" w:hAnsi="宋体" w:cs="宋体"/>
          <w:b/>
          <w:sz w:val="24"/>
          <w:highlight w:val="none"/>
        </w:rPr>
      </w:pPr>
    </w:p>
    <w:p w14:paraId="511CC9C4">
      <w:pPr>
        <w:spacing w:after="120"/>
        <w:ind w:right="-154"/>
        <w:rPr>
          <w:rFonts w:ascii="宋体" w:hAnsi="宋体" w:cs="宋体"/>
          <w:b/>
          <w:sz w:val="24"/>
          <w:highlight w:val="none"/>
        </w:rPr>
      </w:pPr>
    </w:p>
    <w:p w14:paraId="7C8E413E">
      <w:pPr>
        <w:spacing w:after="120"/>
        <w:ind w:right="-154"/>
        <w:rPr>
          <w:rFonts w:ascii="宋体" w:hAnsi="宋体" w:cs="宋体"/>
          <w:b/>
          <w:sz w:val="24"/>
          <w:highlight w:val="none"/>
        </w:rPr>
      </w:pPr>
    </w:p>
    <w:p w14:paraId="4AE71281">
      <w:pPr>
        <w:spacing w:after="120"/>
        <w:ind w:right="-154"/>
        <w:rPr>
          <w:rFonts w:ascii="宋体" w:hAnsi="宋体" w:cs="宋体"/>
          <w:b/>
          <w:sz w:val="24"/>
          <w:highlight w:val="none"/>
        </w:rPr>
      </w:pPr>
    </w:p>
    <w:p w14:paraId="4715EA84">
      <w:pPr>
        <w:spacing w:after="120"/>
        <w:ind w:right="-154"/>
        <w:rPr>
          <w:rFonts w:ascii="宋体" w:hAnsi="宋体" w:cs="宋体"/>
          <w:b/>
          <w:sz w:val="24"/>
          <w:highlight w:val="none"/>
        </w:rPr>
      </w:pPr>
    </w:p>
    <w:p w14:paraId="25DB77AA">
      <w:pPr>
        <w:spacing w:after="120"/>
        <w:ind w:right="-154"/>
        <w:rPr>
          <w:rFonts w:ascii="宋体" w:hAnsi="宋体" w:cs="宋体"/>
          <w:b/>
          <w:sz w:val="24"/>
          <w:highlight w:val="none"/>
        </w:rPr>
      </w:pPr>
    </w:p>
    <w:p w14:paraId="69BF57AA">
      <w:pPr>
        <w:spacing w:after="120"/>
        <w:ind w:right="-154"/>
        <w:rPr>
          <w:rFonts w:ascii="宋体" w:hAnsi="宋体" w:cs="宋体"/>
          <w:b/>
          <w:sz w:val="24"/>
          <w:highlight w:val="none"/>
        </w:rPr>
      </w:pPr>
    </w:p>
    <w:p w14:paraId="3B770C31">
      <w:pPr>
        <w:spacing w:after="120"/>
        <w:ind w:right="-154"/>
        <w:rPr>
          <w:rFonts w:ascii="宋体" w:hAnsi="宋体" w:cs="宋体"/>
          <w:b/>
          <w:sz w:val="24"/>
          <w:highlight w:val="none"/>
        </w:rPr>
      </w:pPr>
    </w:p>
    <w:p w14:paraId="63644B32">
      <w:pPr>
        <w:spacing w:after="120"/>
        <w:ind w:right="-154"/>
        <w:rPr>
          <w:rFonts w:ascii="宋体" w:hAnsi="宋体" w:cs="宋体"/>
          <w:b/>
          <w:sz w:val="24"/>
          <w:highlight w:val="none"/>
        </w:rPr>
      </w:pPr>
    </w:p>
    <w:p w14:paraId="406F0841">
      <w:pPr>
        <w:spacing w:after="120"/>
        <w:ind w:right="-154"/>
        <w:rPr>
          <w:rFonts w:ascii="宋体" w:hAnsi="宋体" w:cs="宋体"/>
          <w:b/>
          <w:sz w:val="24"/>
          <w:highlight w:val="none"/>
        </w:rPr>
      </w:pPr>
    </w:p>
    <w:p w14:paraId="6F51626D">
      <w:pPr>
        <w:spacing w:after="120"/>
        <w:ind w:right="-154"/>
        <w:rPr>
          <w:rFonts w:ascii="宋体" w:hAnsi="宋体" w:cs="宋体"/>
          <w:b/>
          <w:sz w:val="24"/>
          <w:highlight w:val="none"/>
        </w:rPr>
      </w:pPr>
    </w:p>
    <w:p w14:paraId="1558B5CF">
      <w:pPr>
        <w:pageBreakBefore/>
        <w:spacing w:line="360" w:lineRule="auto"/>
        <w:jc w:val="center"/>
        <w:rPr>
          <w:rFonts w:ascii="宋体" w:hAnsi="宋体" w:cs="宋体"/>
          <w:sz w:val="44"/>
          <w:szCs w:val="44"/>
          <w:highlight w:val="none"/>
        </w:rPr>
      </w:pPr>
      <w:r>
        <w:rPr>
          <w:rFonts w:hint="eastAsia" w:ascii="宋体" w:hAnsi="宋体" w:cs="宋体"/>
          <w:sz w:val="44"/>
          <w:szCs w:val="44"/>
          <w:highlight w:val="none"/>
        </w:rPr>
        <w:t>信用反担保保证函</w:t>
      </w:r>
    </w:p>
    <w:p w14:paraId="24A783CE">
      <w:pPr>
        <w:spacing w:line="520" w:lineRule="exact"/>
        <w:rPr>
          <w:rFonts w:ascii="宋体" w:hAnsi="宋体" w:cs="宋体"/>
          <w:sz w:val="24"/>
          <w:highlight w:val="none"/>
        </w:rPr>
      </w:pPr>
      <w:r>
        <w:rPr>
          <w:rFonts w:hint="eastAsia" w:ascii="宋体" w:hAnsi="宋体" w:cs="宋体"/>
          <w:sz w:val="24"/>
          <w:highlight w:val="none"/>
        </w:rPr>
        <w:t>中国人民财产保险股份有限公司</w:t>
      </w:r>
      <w:r>
        <w:rPr>
          <w:rFonts w:hint="eastAsia" w:ascii="宋体" w:hAnsi="宋体" w:cs="宋体"/>
          <w:b/>
          <w:bCs/>
          <w:sz w:val="24"/>
          <w:highlight w:val="none"/>
          <w:u w:val="single"/>
        </w:rPr>
        <w:t>东阳</w:t>
      </w:r>
      <w:r>
        <w:rPr>
          <w:rFonts w:hint="eastAsia" w:ascii="宋体" w:hAnsi="宋体" w:cs="宋体"/>
          <w:sz w:val="24"/>
          <w:highlight w:val="none"/>
        </w:rPr>
        <w:t>支公司：</w:t>
      </w:r>
    </w:p>
    <w:p w14:paraId="69F0A8B4">
      <w:pPr>
        <w:spacing w:line="520" w:lineRule="exact"/>
        <w:ind w:firstLine="480" w:firstLineChars="200"/>
        <w:rPr>
          <w:rFonts w:ascii="宋体" w:hAnsi="宋体" w:cs="宋体"/>
          <w:b/>
          <w:bCs/>
          <w:sz w:val="24"/>
          <w:highlight w:val="none"/>
          <w:u w:val="single"/>
        </w:rPr>
      </w:pPr>
      <w:r>
        <w:rPr>
          <w:rFonts w:hint="eastAsia" w:ascii="宋体" w:hAnsi="宋体" w:cs="宋体"/>
          <w:sz w:val="24"/>
          <w:highlight w:val="none"/>
        </w:rPr>
        <w:t>鉴于中国人民财产保险股份有限公司</w:t>
      </w:r>
      <w:r>
        <w:rPr>
          <w:rFonts w:hint="eastAsia" w:ascii="宋体" w:hAnsi="宋体" w:cs="宋体"/>
          <w:b/>
          <w:bCs/>
          <w:sz w:val="24"/>
          <w:highlight w:val="none"/>
          <w:u w:val="single"/>
        </w:rPr>
        <w:t>东阳</w:t>
      </w:r>
      <w:r>
        <w:rPr>
          <w:rFonts w:hint="eastAsia" w:ascii="宋体" w:hAnsi="宋体" w:cs="宋体"/>
          <w:sz w:val="24"/>
          <w:highlight w:val="none"/>
        </w:rPr>
        <w:t>支公司向</w:t>
      </w:r>
    </w:p>
    <w:p w14:paraId="6C99CDB0">
      <w:pPr>
        <w:spacing w:line="520" w:lineRule="exact"/>
        <w:ind w:firstLine="482" w:firstLineChars="200"/>
        <w:jc w:val="left"/>
        <w:rPr>
          <w:rFonts w:ascii="宋体" w:hAnsi="宋体" w:cs="宋体"/>
          <w:sz w:val="24"/>
          <w:highlight w:val="none"/>
          <w:u w:val="single"/>
        </w:rPr>
      </w:pPr>
      <w:r>
        <w:rPr>
          <w:rFonts w:hint="eastAsia" w:ascii="宋体" w:hAnsi="宋体" w:cs="宋体"/>
          <w:b/>
          <w:bCs/>
          <w:sz w:val="24"/>
          <w:highlight w:val="none"/>
          <w:u w:val="single"/>
        </w:rPr>
        <w:t xml:space="preserve">             </w:t>
      </w:r>
      <w:r>
        <w:rPr>
          <w:rFonts w:hint="eastAsia" w:ascii="宋体" w:hAnsi="宋体" w:cs="宋体"/>
          <w:sz w:val="24"/>
          <w:highlight w:val="none"/>
        </w:rPr>
        <w:t>公司出具《供货履约保证保险》保单（保单编号：</w:t>
      </w:r>
      <w:r>
        <w:rPr>
          <w:rFonts w:hint="eastAsia" w:ascii="宋体" w:hAnsi="宋体" w:cs="宋体"/>
          <w:sz w:val="24"/>
          <w:highlight w:val="none"/>
          <w:u w:val="single"/>
        </w:rPr>
        <w:t xml:space="preserve">               </w:t>
      </w:r>
      <w:r>
        <w:rPr>
          <w:rFonts w:hint="eastAsia" w:ascii="宋体" w:hAnsi="宋体" w:cs="宋体"/>
          <w:sz w:val="24"/>
          <w:highlight w:val="none"/>
        </w:rPr>
        <w:t xml:space="preserve">），并承担相应的保险责任（具体以保险合同条款为准），最高保险金额为人民币（大写） </w:t>
      </w:r>
      <w:r>
        <w:rPr>
          <w:rFonts w:hint="eastAsia" w:ascii="宋体" w:hAnsi="宋体" w:cs="宋体"/>
          <w:sz w:val="24"/>
          <w:highlight w:val="none"/>
          <w:u w:val="single"/>
        </w:rPr>
        <w:t xml:space="preserve">            </w:t>
      </w:r>
      <w:r>
        <w:rPr>
          <w:rFonts w:hint="eastAsia" w:ascii="宋体" w:hAnsi="宋体" w:cs="宋体"/>
          <w:sz w:val="24"/>
          <w:highlight w:val="none"/>
        </w:rPr>
        <w:t>（小写：</w:t>
      </w:r>
      <w:r>
        <w:rPr>
          <w:rFonts w:hint="eastAsia" w:ascii="宋体" w:hAnsi="宋体" w:cs="宋体"/>
          <w:sz w:val="24"/>
          <w:highlight w:val="none"/>
          <w:u w:val="single"/>
        </w:rPr>
        <w:t xml:space="preserve">    </w:t>
      </w:r>
      <w:r>
        <w:rPr>
          <w:rFonts w:hint="eastAsia" w:ascii="宋体" w:hAnsi="宋体" w:cs="宋体"/>
          <w:sz w:val="24"/>
          <w:highlight w:val="none"/>
        </w:rPr>
        <w:t>）；为促进该业务的良好开展，</w:t>
      </w:r>
      <w:r>
        <w:rPr>
          <w:rFonts w:hint="eastAsia" w:ascii="宋体" w:hAnsi="宋体" w:cs="宋体"/>
          <w:sz w:val="24"/>
          <w:highlight w:val="none"/>
          <w:u w:val="single"/>
        </w:rPr>
        <w:t xml:space="preserve">                                                     </w:t>
      </w:r>
    </w:p>
    <w:p w14:paraId="35A9103F">
      <w:pPr>
        <w:spacing w:line="520" w:lineRule="exact"/>
        <w:rPr>
          <w:rFonts w:ascii="宋体" w:hAnsi="宋体" w:cs="宋体"/>
          <w:sz w:val="24"/>
          <w:highlight w:val="none"/>
        </w:rPr>
      </w:pPr>
      <w:r>
        <w:rPr>
          <w:rFonts w:hint="eastAsia" w:ascii="宋体" w:hAnsi="宋体" w:cs="宋体"/>
          <w:sz w:val="24"/>
          <w:highlight w:val="none"/>
        </w:rPr>
        <w:t>有限责任公司（以下称本信用反担保保证人）愿意为中国人民财产保险股份有限公司</w:t>
      </w:r>
      <w:r>
        <w:rPr>
          <w:rFonts w:hint="eastAsia" w:ascii="宋体" w:hAnsi="宋体" w:cs="宋体"/>
          <w:b/>
          <w:bCs/>
          <w:sz w:val="24"/>
          <w:highlight w:val="none"/>
          <w:u w:val="single"/>
        </w:rPr>
        <w:t>东阳</w:t>
      </w:r>
      <w:r>
        <w:rPr>
          <w:rFonts w:hint="eastAsia" w:ascii="宋体" w:hAnsi="宋体" w:cs="宋体"/>
          <w:sz w:val="24"/>
          <w:highlight w:val="none"/>
        </w:rPr>
        <w:t>支公司在保险合同项下的一系列保险保障提供信用反担保保证，同意履行以下保证内容：</w:t>
      </w:r>
    </w:p>
    <w:p w14:paraId="36457A68">
      <w:pPr>
        <w:spacing w:line="520" w:lineRule="exact"/>
        <w:ind w:firstLine="600" w:firstLineChars="250"/>
        <w:rPr>
          <w:rFonts w:ascii="宋体" w:hAnsi="宋体" w:cs="宋体"/>
          <w:sz w:val="24"/>
          <w:highlight w:val="none"/>
        </w:rPr>
      </w:pPr>
      <w:r>
        <w:rPr>
          <w:rFonts w:hint="eastAsia" w:ascii="宋体" w:hAnsi="宋体" w:cs="宋体"/>
          <w:sz w:val="24"/>
          <w:highlight w:val="none"/>
        </w:rPr>
        <w:t>一、 本信用反担保保证人同意承担的保证范围：</w:t>
      </w:r>
    </w:p>
    <w:p w14:paraId="41E842D0">
      <w:pPr>
        <w:spacing w:line="520" w:lineRule="exact"/>
        <w:ind w:firstLine="480" w:firstLineChars="200"/>
        <w:rPr>
          <w:rFonts w:ascii="宋体" w:hAnsi="宋体" w:cs="宋体"/>
          <w:sz w:val="24"/>
          <w:highlight w:val="none"/>
        </w:rPr>
      </w:pPr>
      <w:r>
        <w:rPr>
          <w:rFonts w:hint="eastAsia" w:ascii="宋体" w:hAnsi="宋体" w:cs="宋体"/>
          <w:sz w:val="24"/>
          <w:highlight w:val="none"/>
        </w:rPr>
        <w:t>（一）中国人民财产保险股份有限公司</w:t>
      </w:r>
      <w:r>
        <w:rPr>
          <w:rFonts w:hint="eastAsia" w:ascii="宋体" w:hAnsi="宋体" w:cs="宋体"/>
          <w:b/>
          <w:bCs/>
          <w:sz w:val="24"/>
          <w:highlight w:val="none"/>
          <w:u w:val="single"/>
        </w:rPr>
        <w:t>东阳</w:t>
      </w:r>
      <w:r>
        <w:rPr>
          <w:rFonts w:hint="eastAsia" w:ascii="宋体" w:hAnsi="宋体" w:cs="宋体"/>
          <w:sz w:val="24"/>
          <w:highlight w:val="none"/>
        </w:rPr>
        <w:t>支公司承保的保单号为：</w:t>
      </w:r>
      <w:r>
        <w:rPr>
          <w:rFonts w:hint="eastAsia" w:ascii="宋体" w:hAnsi="宋体" w:cs="宋体"/>
          <w:sz w:val="24"/>
          <w:highlight w:val="none"/>
          <w:u w:val="single"/>
        </w:rPr>
        <w:t xml:space="preserve">         </w:t>
      </w:r>
      <w:r>
        <w:rPr>
          <w:rFonts w:hint="eastAsia" w:ascii="宋体" w:hAnsi="宋体" w:cs="宋体"/>
          <w:sz w:val="24"/>
          <w:highlight w:val="none"/>
        </w:rPr>
        <w:t>的供货履约保证保险合同约定的保险责任、保险金额和履行保证责任而实际发生的费用（包括但不限于诉讼费、公告费、保全费、律师费等）及损失；</w:t>
      </w:r>
    </w:p>
    <w:p w14:paraId="46630A4F">
      <w:pPr>
        <w:spacing w:line="520" w:lineRule="exact"/>
        <w:ind w:firstLine="480" w:firstLineChars="200"/>
        <w:rPr>
          <w:rFonts w:ascii="宋体" w:hAnsi="宋体" w:cs="宋体"/>
          <w:sz w:val="24"/>
          <w:highlight w:val="none"/>
        </w:rPr>
      </w:pPr>
      <w:r>
        <w:rPr>
          <w:rFonts w:hint="eastAsia" w:ascii="宋体" w:hAnsi="宋体" w:cs="宋体"/>
          <w:sz w:val="24"/>
          <w:highlight w:val="none"/>
        </w:rPr>
        <w:t>（二）本信用反担保保证人承担保证责任的方式为连带保证责任。</w:t>
      </w:r>
    </w:p>
    <w:p w14:paraId="3E6B7F6D">
      <w:pPr>
        <w:spacing w:line="520" w:lineRule="exact"/>
        <w:ind w:firstLine="480" w:firstLineChars="200"/>
        <w:rPr>
          <w:rFonts w:ascii="宋体" w:hAnsi="宋体" w:cs="宋体"/>
          <w:sz w:val="24"/>
          <w:highlight w:val="none"/>
        </w:rPr>
      </w:pPr>
      <w:r>
        <w:rPr>
          <w:rFonts w:hint="eastAsia" w:ascii="宋体" w:hAnsi="宋体" w:cs="宋体"/>
          <w:sz w:val="24"/>
          <w:highlight w:val="none"/>
        </w:rPr>
        <w:t>二、本信用反担保保证人承担的保证期间为：从中国人民财产保险股份有限公司</w:t>
      </w:r>
      <w:r>
        <w:rPr>
          <w:rFonts w:hint="eastAsia" w:ascii="宋体" w:hAnsi="宋体" w:cs="宋体"/>
          <w:b/>
          <w:bCs/>
          <w:sz w:val="24"/>
          <w:highlight w:val="none"/>
          <w:u w:val="single"/>
        </w:rPr>
        <w:t>东阳</w:t>
      </w:r>
      <w:r>
        <w:rPr>
          <w:rFonts w:hint="eastAsia" w:ascii="宋体" w:hAnsi="宋体" w:cs="宋体"/>
          <w:sz w:val="24"/>
          <w:highlight w:val="none"/>
        </w:rPr>
        <w:t>支公司与本信用反担保保证人签订的保险合同生效之日起，至保险合同结束之日起的两年届满时止。</w:t>
      </w:r>
    </w:p>
    <w:p w14:paraId="215F9194">
      <w:pPr>
        <w:spacing w:line="520" w:lineRule="exact"/>
        <w:ind w:firstLine="480" w:firstLineChars="200"/>
        <w:rPr>
          <w:rFonts w:ascii="宋体" w:hAnsi="宋体" w:cs="宋体"/>
          <w:sz w:val="24"/>
          <w:highlight w:val="none"/>
        </w:rPr>
      </w:pPr>
      <w:r>
        <w:rPr>
          <w:rFonts w:hint="eastAsia" w:ascii="宋体" w:hAnsi="宋体" w:cs="宋体"/>
          <w:sz w:val="24"/>
          <w:highlight w:val="none"/>
        </w:rPr>
        <w:t>三、中国人民财产保险股份有限公司</w:t>
      </w:r>
      <w:r>
        <w:rPr>
          <w:rFonts w:hint="eastAsia" w:ascii="宋体" w:hAnsi="宋体" w:cs="宋体"/>
          <w:b/>
          <w:bCs/>
          <w:sz w:val="24"/>
          <w:highlight w:val="none"/>
          <w:u w:val="single"/>
        </w:rPr>
        <w:t>东阳</w:t>
      </w:r>
      <w:r>
        <w:rPr>
          <w:rFonts w:hint="eastAsia" w:ascii="宋体" w:hAnsi="宋体" w:cs="宋体"/>
          <w:sz w:val="24"/>
          <w:highlight w:val="none"/>
        </w:rPr>
        <w:t>支公司所承保的《供货履约保证保险》合同发生保险事故后，有权要求本信用反担保保证人优先履行偿债责任，且优先偿债比例为100%。</w:t>
      </w:r>
    </w:p>
    <w:p w14:paraId="3A3155D8">
      <w:pPr>
        <w:spacing w:line="520" w:lineRule="exact"/>
        <w:ind w:left="560"/>
        <w:rPr>
          <w:rFonts w:ascii="宋体" w:hAnsi="宋体" w:cs="宋体"/>
          <w:sz w:val="24"/>
          <w:highlight w:val="none"/>
        </w:rPr>
      </w:pPr>
      <w:r>
        <w:rPr>
          <w:rFonts w:hint="eastAsia" w:ascii="宋体" w:hAnsi="宋体" w:cs="宋体"/>
          <w:sz w:val="24"/>
          <w:highlight w:val="none"/>
        </w:rPr>
        <w:t>四、本信用反担保保证人放弃反担保措施的优先偿债抗辩权。</w:t>
      </w:r>
    </w:p>
    <w:p w14:paraId="2B65F65C">
      <w:pPr>
        <w:spacing w:line="520" w:lineRule="exact"/>
        <w:rPr>
          <w:rFonts w:ascii="宋体" w:hAnsi="宋体" w:cs="宋体"/>
          <w:sz w:val="24"/>
          <w:highlight w:val="none"/>
        </w:rPr>
      </w:pPr>
    </w:p>
    <w:p w14:paraId="1CFEE8BF">
      <w:pPr>
        <w:spacing w:line="520" w:lineRule="exact"/>
        <w:rPr>
          <w:rFonts w:ascii="宋体" w:hAnsi="宋体" w:cs="宋体"/>
          <w:sz w:val="24"/>
          <w:highlight w:val="none"/>
        </w:rPr>
      </w:pPr>
      <w:r>
        <w:rPr>
          <w:rFonts w:hint="eastAsia" w:ascii="宋体" w:hAnsi="宋体" w:cs="宋体"/>
          <w:sz w:val="24"/>
          <w:highlight w:val="none"/>
        </w:rPr>
        <w:t>信用反担保保证人：</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06831CC4">
      <w:pPr>
        <w:spacing w:line="520" w:lineRule="exact"/>
        <w:ind w:left="4680" w:hanging="4680" w:hangingChars="1950"/>
        <w:rPr>
          <w:rFonts w:ascii="宋体" w:hAnsi="宋体" w:cs="宋体"/>
          <w:sz w:val="24"/>
          <w:highlight w:val="none"/>
        </w:rPr>
      </w:pPr>
    </w:p>
    <w:p w14:paraId="62FA4D79">
      <w:pPr>
        <w:spacing w:line="520" w:lineRule="exact"/>
        <w:ind w:left="5460" w:leftChars="2600" w:firstLine="360" w:firstLineChars="150"/>
        <w:rPr>
          <w:rFonts w:ascii="宋体" w:hAnsi="宋体" w:cs="宋体"/>
          <w:sz w:val="24"/>
          <w:highlight w:val="none"/>
        </w:rPr>
      </w:pPr>
      <w:r>
        <w:rPr>
          <w:rFonts w:hint="eastAsia" w:ascii="宋体" w:hAnsi="宋体" w:cs="宋体"/>
          <w:sz w:val="24"/>
          <w:highlight w:val="none"/>
        </w:rPr>
        <w:t>年  月   日</w:t>
      </w:r>
    </w:p>
    <w:p w14:paraId="42952BB8">
      <w:pPr>
        <w:spacing w:line="360" w:lineRule="auto"/>
        <w:rPr>
          <w:rFonts w:ascii="宋体" w:hAnsi="宋体" w:cs="宋体"/>
          <w:sz w:val="24"/>
          <w:highlight w:val="none"/>
        </w:rPr>
      </w:pPr>
    </w:p>
    <w:p w14:paraId="20904791">
      <w:pPr>
        <w:spacing w:line="480" w:lineRule="exact"/>
        <w:ind w:left="5460" w:leftChars="2600" w:firstLine="361" w:firstLineChars="150"/>
        <w:rPr>
          <w:rFonts w:ascii="宋体" w:hAnsi="宋体" w:cs="宋体"/>
          <w:b/>
          <w:sz w:val="24"/>
          <w:highlight w:val="none"/>
        </w:rPr>
      </w:pPr>
    </w:p>
    <w:p w14:paraId="18CAA745">
      <w:pPr>
        <w:spacing w:line="480" w:lineRule="exact"/>
        <w:rPr>
          <w:rFonts w:ascii="宋体" w:hAnsi="宋体" w:cs="宋体"/>
          <w:b/>
          <w:sz w:val="24"/>
          <w:highlight w:val="none"/>
        </w:rPr>
      </w:pPr>
    </w:p>
    <w:p w14:paraId="088A9779">
      <w:pPr>
        <w:pStyle w:val="4"/>
        <w:keepNext w:val="0"/>
        <w:keepLines w:val="0"/>
        <w:pageBreakBefore/>
        <w:rPr>
          <w:rFonts w:ascii="宋体" w:hAnsi="宋体" w:eastAsia="宋体" w:cs="宋体"/>
          <w:b w:val="0"/>
          <w:sz w:val="24"/>
          <w:highlight w:val="none"/>
        </w:rPr>
      </w:pPr>
      <w:bookmarkStart w:id="113" w:name="_Toc2489"/>
      <w:bookmarkStart w:id="114" w:name="_Toc174370027"/>
      <w:bookmarkStart w:id="115" w:name="_Toc24160"/>
      <w:r>
        <w:rPr>
          <w:rFonts w:hint="eastAsia" w:ascii="宋体" w:hAnsi="宋体" w:eastAsia="宋体" w:cs="宋体"/>
          <w:b w:val="0"/>
          <w:sz w:val="24"/>
          <w:highlight w:val="none"/>
        </w:rPr>
        <w:t>附件二十二：质疑函范本</w:t>
      </w:r>
      <w:bookmarkEnd w:id="113"/>
      <w:bookmarkEnd w:id="114"/>
      <w:bookmarkEnd w:id="115"/>
    </w:p>
    <w:p w14:paraId="5EFA969E">
      <w:pPr>
        <w:jc w:val="center"/>
        <w:rPr>
          <w:rFonts w:ascii="仿宋" w:hAnsi="仿宋" w:eastAsia="仿宋" w:cs="仿宋"/>
          <w:b/>
          <w:bCs/>
          <w:sz w:val="44"/>
          <w:szCs w:val="44"/>
          <w:highlight w:val="none"/>
        </w:rPr>
      </w:pPr>
      <w:r>
        <w:rPr>
          <w:rFonts w:hint="eastAsia" w:ascii="仿宋" w:hAnsi="仿宋" w:eastAsia="仿宋" w:cs="仿宋"/>
          <w:b/>
          <w:bCs/>
          <w:sz w:val="44"/>
          <w:szCs w:val="44"/>
          <w:highlight w:val="none"/>
        </w:rPr>
        <w:t>质疑函范本</w:t>
      </w:r>
    </w:p>
    <w:p w14:paraId="7272FD65">
      <w:pPr>
        <w:adjustRightInd w:val="0"/>
        <w:snapToGrid w:val="0"/>
        <w:spacing w:before="240" w:beforeLines="100" w:line="360" w:lineRule="auto"/>
        <w:rPr>
          <w:rFonts w:asciiTheme="minorEastAsia" w:hAnsiTheme="minorEastAsia" w:eastAsiaTheme="minorEastAsia" w:cstheme="minorEastAsia"/>
          <w:bCs/>
          <w:sz w:val="28"/>
          <w:szCs w:val="28"/>
          <w:highlight w:val="none"/>
        </w:rPr>
      </w:pPr>
      <w:r>
        <w:rPr>
          <w:rFonts w:hint="eastAsia" w:ascii="黑体" w:hAnsi="黑体" w:eastAsia="黑体" w:cs="仿宋"/>
          <w:bCs/>
          <w:sz w:val="32"/>
          <w:szCs w:val="32"/>
          <w:highlight w:val="none"/>
        </w:rPr>
        <w:t>一</w:t>
      </w:r>
      <w:r>
        <w:rPr>
          <w:rFonts w:hint="eastAsia" w:asciiTheme="minorEastAsia" w:hAnsiTheme="minorEastAsia" w:eastAsiaTheme="minorEastAsia" w:cstheme="minorEastAsia"/>
          <w:bCs/>
          <w:sz w:val="28"/>
          <w:szCs w:val="28"/>
          <w:highlight w:val="none"/>
        </w:rPr>
        <w:t>、质疑供应商基本信息</w:t>
      </w:r>
    </w:p>
    <w:p w14:paraId="240287FE">
      <w:pPr>
        <w:adjustRightInd w:val="0"/>
        <w:snapToGrid w:val="0"/>
        <w:spacing w:line="360" w:lineRule="auto"/>
        <w:rPr>
          <w:rFonts w:asciiTheme="minorEastAsia" w:hAnsiTheme="minorEastAsia" w:eastAsiaTheme="minorEastAsia" w:cstheme="minorEastAsia"/>
          <w:sz w:val="28"/>
          <w:szCs w:val="28"/>
          <w:highlight w:val="none"/>
          <w:u w:val="dotted"/>
        </w:rPr>
      </w:pPr>
      <w:r>
        <w:rPr>
          <w:rFonts w:hint="eastAsia" w:asciiTheme="minorEastAsia" w:hAnsiTheme="minorEastAsia" w:eastAsiaTheme="minorEastAsia" w:cstheme="minorEastAsia"/>
          <w:sz w:val="28"/>
          <w:szCs w:val="28"/>
          <w:highlight w:val="none"/>
        </w:rPr>
        <w:t>质疑供应商：</w:t>
      </w:r>
      <w:r>
        <w:rPr>
          <w:rFonts w:hint="eastAsia" w:asciiTheme="minorEastAsia" w:hAnsiTheme="minorEastAsia" w:eastAsiaTheme="minorEastAsia" w:cstheme="minorEastAsia"/>
          <w:sz w:val="28"/>
          <w:szCs w:val="28"/>
          <w:highlight w:val="none"/>
          <w:u w:val="dotted"/>
        </w:rPr>
        <w:t xml:space="preserve">                                        </w:t>
      </w:r>
    </w:p>
    <w:p w14:paraId="5A52E579">
      <w:pPr>
        <w:adjustRightInd w:val="0"/>
        <w:snapToGrid w:val="0"/>
        <w:spacing w:line="360" w:lineRule="auto"/>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地址：</w:t>
      </w:r>
      <w:r>
        <w:rPr>
          <w:rFonts w:hint="eastAsia" w:asciiTheme="minorEastAsia" w:hAnsiTheme="minorEastAsia" w:eastAsiaTheme="minorEastAsia" w:cstheme="minorEastAsia"/>
          <w:sz w:val="28"/>
          <w:szCs w:val="28"/>
          <w:highlight w:val="none"/>
          <w:u w:val="dotted"/>
        </w:rPr>
        <w:t xml:space="preserve">                          </w:t>
      </w:r>
      <w:r>
        <w:rPr>
          <w:rFonts w:hint="eastAsia" w:asciiTheme="minorEastAsia" w:hAnsiTheme="minorEastAsia" w:eastAsiaTheme="minorEastAsia" w:cstheme="minorEastAsia"/>
          <w:sz w:val="28"/>
          <w:szCs w:val="28"/>
          <w:highlight w:val="none"/>
        </w:rPr>
        <w:t>邮编：</w:t>
      </w:r>
      <w:r>
        <w:rPr>
          <w:rFonts w:hint="eastAsia" w:asciiTheme="minorEastAsia" w:hAnsiTheme="minorEastAsia" w:eastAsiaTheme="minorEastAsia" w:cstheme="minorEastAsia"/>
          <w:sz w:val="28"/>
          <w:szCs w:val="28"/>
          <w:highlight w:val="none"/>
          <w:u w:val="dotted"/>
        </w:rPr>
        <w:t xml:space="preserve">                                                   </w:t>
      </w:r>
    </w:p>
    <w:p w14:paraId="5C2939FB">
      <w:pPr>
        <w:adjustRightInd w:val="0"/>
        <w:snapToGrid w:val="0"/>
        <w:spacing w:line="360" w:lineRule="auto"/>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联系人：</w:t>
      </w:r>
      <w:r>
        <w:rPr>
          <w:rFonts w:hint="eastAsia" w:asciiTheme="minorEastAsia" w:hAnsiTheme="minorEastAsia" w:eastAsiaTheme="minorEastAsia" w:cstheme="minorEastAsia"/>
          <w:sz w:val="28"/>
          <w:szCs w:val="28"/>
          <w:highlight w:val="none"/>
          <w:u w:val="dotted"/>
        </w:rPr>
        <w:t xml:space="preserve">                      </w:t>
      </w:r>
      <w:r>
        <w:rPr>
          <w:rFonts w:hint="eastAsia" w:asciiTheme="minorEastAsia" w:hAnsiTheme="minorEastAsia" w:eastAsiaTheme="minorEastAsia" w:cstheme="minorEastAsia"/>
          <w:sz w:val="28"/>
          <w:szCs w:val="28"/>
          <w:highlight w:val="none"/>
        </w:rPr>
        <w:t>联系电话：</w:t>
      </w:r>
      <w:r>
        <w:rPr>
          <w:rFonts w:hint="eastAsia" w:asciiTheme="minorEastAsia" w:hAnsiTheme="minorEastAsia" w:eastAsiaTheme="minorEastAsia" w:cstheme="minorEastAsia"/>
          <w:sz w:val="28"/>
          <w:szCs w:val="28"/>
          <w:highlight w:val="none"/>
          <w:u w:val="dotted"/>
        </w:rPr>
        <w:t xml:space="preserve">                              </w:t>
      </w:r>
    </w:p>
    <w:p w14:paraId="22636D55">
      <w:pPr>
        <w:adjustRightInd w:val="0"/>
        <w:snapToGrid w:val="0"/>
        <w:spacing w:line="360" w:lineRule="auto"/>
        <w:rPr>
          <w:rFonts w:asciiTheme="minorEastAsia" w:hAnsiTheme="minorEastAsia" w:eastAsiaTheme="minorEastAsia" w:cstheme="minorEastAsia"/>
          <w:sz w:val="28"/>
          <w:szCs w:val="28"/>
          <w:highlight w:val="none"/>
          <w:u w:val="dotted"/>
        </w:rPr>
      </w:pPr>
      <w:r>
        <w:rPr>
          <w:rFonts w:hint="eastAsia" w:asciiTheme="minorEastAsia" w:hAnsiTheme="minorEastAsia" w:eastAsiaTheme="minorEastAsia" w:cstheme="minorEastAsia"/>
          <w:sz w:val="28"/>
          <w:szCs w:val="28"/>
          <w:highlight w:val="none"/>
        </w:rPr>
        <w:t>授权代表：</w:t>
      </w:r>
      <w:r>
        <w:rPr>
          <w:rFonts w:hint="eastAsia" w:asciiTheme="minorEastAsia" w:hAnsiTheme="minorEastAsia" w:eastAsiaTheme="minorEastAsia" w:cstheme="minorEastAsia"/>
          <w:sz w:val="28"/>
          <w:szCs w:val="28"/>
          <w:highlight w:val="none"/>
          <w:u w:val="dotted"/>
        </w:rPr>
        <w:t xml:space="preserve">                                          </w:t>
      </w:r>
    </w:p>
    <w:p w14:paraId="7FC58909">
      <w:pPr>
        <w:adjustRightInd w:val="0"/>
        <w:snapToGrid w:val="0"/>
        <w:spacing w:line="360" w:lineRule="auto"/>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联系电话：</w:t>
      </w:r>
      <w:r>
        <w:rPr>
          <w:rFonts w:hint="eastAsia" w:asciiTheme="minorEastAsia" w:hAnsiTheme="minorEastAsia" w:eastAsiaTheme="minorEastAsia" w:cstheme="minorEastAsia"/>
          <w:sz w:val="28"/>
          <w:szCs w:val="28"/>
          <w:highlight w:val="none"/>
          <w:u w:val="dotted"/>
        </w:rPr>
        <w:t xml:space="preserve">                                           </w:t>
      </w:r>
      <w:r>
        <w:rPr>
          <w:rFonts w:hint="eastAsia" w:asciiTheme="minorEastAsia" w:hAnsiTheme="minorEastAsia" w:eastAsiaTheme="minorEastAsia" w:cstheme="minorEastAsia"/>
          <w:sz w:val="28"/>
          <w:szCs w:val="28"/>
          <w:highlight w:val="none"/>
        </w:rPr>
        <w:t xml:space="preserve"> </w:t>
      </w:r>
    </w:p>
    <w:p w14:paraId="4DAB78EF">
      <w:pPr>
        <w:adjustRightInd w:val="0"/>
        <w:snapToGrid w:val="0"/>
        <w:spacing w:line="360" w:lineRule="auto"/>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地址： </w:t>
      </w:r>
      <w:r>
        <w:rPr>
          <w:rFonts w:hint="eastAsia" w:asciiTheme="minorEastAsia" w:hAnsiTheme="minorEastAsia" w:eastAsiaTheme="minorEastAsia" w:cstheme="minorEastAsia"/>
          <w:sz w:val="28"/>
          <w:szCs w:val="28"/>
          <w:highlight w:val="none"/>
          <w:u w:val="dotted"/>
        </w:rPr>
        <w:t xml:space="preserve">                        </w:t>
      </w:r>
      <w:r>
        <w:rPr>
          <w:rFonts w:hint="eastAsia" w:asciiTheme="minorEastAsia" w:hAnsiTheme="minorEastAsia" w:eastAsiaTheme="minorEastAsia" w:cstheme="minorEastAsia"/>
          <w:sz w:val="28"/>
          <w:szCs w:val="28"/>
          <w:highlight w:val="none"/>
        </w:rPr>
        <w:t>邮编：</w:t>
      </w:r>
      <w:r>
        <w:rPr>
          <w:rFonts w:hint="eastAsia" w:asciiTheme="minorEastAsia" w:hAnsiTheme="minorEastAsia" w:eastAsiaTheme="minorEastAsia" w:cstheme="minorEastAsia"/>
          <w:sz w:val="28"/>
          <w:szCs w:val="28"/>
          <w:highlight w:val="none"/>
          <w:u w:val="dotted"/>
        </w:rPr>
        <w:t xml:space="preserve">                                                </w:t>
      </w:r>
    </w:p>
    <w:p w14:paraId="4B9AB691">
      <w:pPr>
        <w:adjustRightInd w:val="0"/>
        <w:snapToGrid w:val="0"/>
        <w:spacing w:line="360" w:lineRule="auto"/>
        <w:rPr>
          <w:rFonts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二、质疑项目基本情况</w:t>
      </w:r>
    </w:p>
    <w:p w14:paraId="0CC7BE77">
      <w:pPr>
        <w:adjustRightInd w:val="0"/>
        <w:snapToGrid w:val="0"/>
        <w:spacing w:line="360" w:lineRule="auto"/>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质疑项目的名称：</w:t>
      </w:r>
      <w:r>
        <w:rPr>
          <w:rFonts w:hint="eastAsia" w:asciiTheme="minorEastAsia" w:hAnsiTheme="minorEastAsia" w:eastAsiaTheme="minorEastAsia" w:cstheme="minorEastAsia"/>
          <w:sz w:val="28"/>
          <w:szCs w:val="28"/>
          <w:highlight w:val="none"/>
          <w:u w:val="dotted"/>
        </w:rPr>
        <w:t xml:space="preserve">                                      </w:t>
      </w:r>
    </w:p>
    <w:p w14:paraId="7C725822">
      <w:pPr>
        <w:adjustRightInd w:val="0"/>
        <w:snapToGrid w:val="0"/>
        <w:spacing w:line="360" w:lineRule="auto"/>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质疑项目的编号：</w:t>
      </w:r>
      <w:r>
        <w:rPr>
          <w:rFonts w:hint="eastAsia" w:asciiTheme="minorEastAsia" w:hAnsiTheme="minorEastAsia" w:eastAsiaTheme="minorEastAsia" w:cstheme="minorEastAsia"/>
          <w:sz w:val="28"/>
          <w:szCs w:val="28"/>
          <w:highlight w:val="none"/>
          <w:u w:val="dotted"/>
        </w:rPr>
        <w:t xml:space="preserve">               </w:t>
      </w:r>
      <w:r>
        <w:rPr>
          <w:rFonts w:hint="eastAsia" w:asciiTheme="minorEastAsia" w:hAnsiTheme="minorEastAsia" w:eastAsiaTheme="minorEastAsia" w:cstheme="minorEastAsia"/>
          <w:sz w:val="28"/>
          <w:szCs w:val="28"/>
          <w:highlight w:val="none"/>
        </w:rPr>
        <w:t>包号：</w:t>
      </w:r>
      <w:r>
        <w:rPr>
          <w:rFonts w:hint="eastAsia" w:asciiTheme="minorEastAsia" w:hAnsiTheme="minorEastAsia" w:eastAsiaTheme="minorEastAsia" w:cstheme="minorEastAsia"/>
          <w:sz w:val="28"/>
          <w:szCs w:val="28"/>
          <w:highlight w:val="none"/>
          <w:u w:val="dotted"/>
        </w:rPr>
        <w:t xml:space="preserve">                 </w:t>
      </w:r>
    </w:p>
    <w:p w14:paraId="580C69E3">
      <w:pPr>
        <w:adjustRightInd w:val="0"/>
        <w:snapToGrid w:val="0"/>
        <w:spacing w:line="360" w:lineRule="auto"/>
        <w:rPr>
          <w:rFonts w:asciiTheme="minorEastAsia" w:hAnsiTheme="minorEastAsia" w:eastAsiaTheme="minorEastAsia" w:cstheme="minorEastAsia"/>
          <w:sz w:val="28"/>
          <w:szCs w:val="28"/>
          <w:highlight w:val="none"/>
          <w:u w:val="dotted"/>
        </w:rPr>
      </w:pPr>
      <w:r>
        <w:rPr>
          <w:rFonts w:hint="eastAsia" w:asciiTheme="minorEastAsia" w:hAnsiTheme="minorEastAsia" w:eastAsiaTheme="minorEastAsia" w:cstheme="minorEastAsia"/>
          <w:sz w:val="28"/>
          <w:szCs w:val="28"/>
          <w:highlight w:val="none"/>
        </w:rPr>
        <w:t>采购人名称：</w:t>
      </w:r>
      <w:r>
        <w:rPr>
          <w:rFonts w:hint="eastAsia" w:asciiTheme="minorEastAsia" w:hAnsiTheme="minorEastAsia" w:eastAsiaTheme="minorEastAsia" w:cstheme="minorEastAsia"/>
          <w:sz w:val="28"/>
          <w:szCs w:val="28"/>
          <w:highlight w:val="none"/>
          <w:u w:val="dotted"/>
        </w:rPr>
        <w:t xml:space="preserve">                                         </w:t>
      </w:r>
    </w:p>
    <w:p w14:paraId="0EB3C07C">
      <w:pPr>
        <w:adjustRightInd w:val="0"/>
        <w:snapToGrid w:val="0"/>
        <w:spacing w:line="360" w:lineRule="auto"/>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采购文件获取日期：</w:t>
      </w:r>
      <w:r>
        <w:rPr>
          <w:rFonts w:hint="eastAsia" w:asciiTheme="minorEastAsia" w:hAnsiTheme="minorEastAsia" w:eastAsiaTheme="minorEastAsia" w:cstheme="minorEastAsia"/>
          <w:sz w:val="28"/>
          <w:szCs w:val="28"/>
          <w:highlight w:val="none"/>
          <w:u w:val="dotted"/>
        </w:rPr>
        <w:t xml:space="preserve">                                           </w:t>
      </w:r>
    </w:p>
    <w:p w14:paraId="13882C58">
      <w:pPr>
        <w:adjustRightInd w:val="0"/>
        <w:snapToGrid w:val="0"/>
        <w:spacing w:line="360" w:lineRule="auto"/>
        <w:rPr>
          <w:rFonts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三、质疑事项具体内容</w:t>
      </w:r>
    </w:p>
    <w:p w14:paraId="7C382091">
      <w:pPr>
        <w:adjustRightInd w:val="0"/>
        <w:snapToGrid w:val="0"/>
        <w:spacing w:line="360" w:lineRule="auto"/>
        <w:rPr>
          <w:rFonts w:asciiTheme="minorEastAsia" w:hAnsiTheme="minorEastAsia" w:eastAsiaTheme="minorEastAsia" w:cstheme="minorEastAsia"/>
          <w:sz w:val="28"/>
          <w:szCs w:val="28"/>
          <w:highlight w:val="none"/>
          <w:u w:val="dotted"/>
        </w:rPr>
      </w:pPr>
      <w:r>
        <w:rPr>
          <w:rFonts w:hint="eastAsia" w:asciiTheme="minorEastAsia" w:hAnsiTheme="minorEastAsia" w:eastAsiaTheme="minorEastAsia" w:cstheme="minorEastAsia"/>
          <w:sz w:val="28"/>
          <w:szCs w:val="28"/>
          <w:highlight w:val="none"/>
        </w:rPr>
        <w:t>质疑事项1：</w:t>
      </w:r>
      <w:r>
        <w:rPr>
          <w:rFonts w:hint="eastAsia" w:asciiTheme="minorEastAsia" w:hAnsiTheme="minorEastAsia" w:eastAsiaTheme="minorEastAsia" w:cstheme="minorEastAsia"/>
          <w:sz w:val="28"/>
          <w:szCs w:val="28"/>
          <w:highlight w:val="none"/>
          <w:u w:val="dotted"/>
        </w:rPr>
        <w:t xml:space="preserve">                                         </w:t>
      </w:r>
    </w:p>
    <w:p w14:paraId="1F954BCB">
      <w:pPr>
        <w:adjustRightInd w:val="0"/>
        <w:snapToGrid w:val="0"/>
        <w:spacing w:line="360" w:lineRule="auto"/>
        <w:rPr>
          <w:rFonts w:asciiTheme="minorEastAsia" w:hAnsiTheme="minorEastAsia" w:eastAsiaTheme="minorEastAsia" w:cstheme="minorEastAsia"/>
          <w:sz w:val="28"/>
          <w:szCs w:val="28"/>
          <w:highlight w:val="none"/>
          <w:u w:val="dotted"/>
        </w:rPr>
      </w:pPr>
      <w:r>
        <w:rPr>
          <w:rFonts w:hint="eastAsia" w:asciiTheme="minorEastAsia" w:hAnsiTheme="minorEastAsia" w:eastAsiaTheme="minorEastAsia" w:cstheme="minorEastAsia"/>
          <w:sz w:val="28"/>
          <w:szCs w:val="28"/>
          <w:highlight w:val="none"/>
        </w:rPr>
        <w:t>事实依据：</w:t>
      </w:r>
      <w:r>
        <w:rPr>
          <w:rFonts w:hint="eastAsia" w:asciiTheme="minorEastAsia" w:hAnsiTheme="minorEastAsia" w:eastAsiaTheme="minorEastAsia" w:cstheme="minorEastAsia"/>
          <w:sz w:val="28"/>
          <w:szCs w:val="28"/>
          <w:highlight w:val="none"/>
          <w:u w:val="dotted"/>
        </w:rPr>
        <w:t xml:space="preserve">                                          </w:t>
      </w:r>
    </w:p>
    <w:p w14:paraId="120895B7">
      <w:pPr>
        <w:adjustRightInd w:val="0"/>
        <w:snapToGrid w:val="0"/>
        <w:spacing w:line="360" w:lineRule="auto"/>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u w:val="dotted"/>
        </w:rPr>
        <w:t xml:space="preserve">                                                       </w:t>
      </w:r>
    </w:p>
    <w:p w14:paraId="47CC0D22">
      <w:pPr>
        <w:adjustRightInd w:val="0"/>
        <w:snapToGrid w:val="0"/>
        <w:spacing w:line="360" w:lineRule="auto"/>
        <w:rPr>
          <w:rFonts w:asciiTheme="minorEastAsia" w:hAnsiTheme="minorEastAsia" w:eastAsiaTheme="minorEastAsia" w:cstheme="minorEastAsia"/>
          <w:sz w:val="28"/>
          <w:szCs w:val="28"/>
          <w:highlight w:val="none"/>
          <w:u w:val="dotted"/>
        </w:rPr>
      </w:pPr>
      <w:r>
        <w:rPr>
          <w:rFonts w:hint="eastAsia" w:asciiTheme="minorEastAsia" w:hAnsiTheme="minorEastAsia" w:eastAsiaTheme="minorEastAsia" w:cstheme="minorEastAsia"/>
          <w:sz w:val="28"/>
          <w:szCs w:val="28"/>
          <w:highlight w:val="none"/>
        </w:rPr>
        <w:t>法律依据：</w:t>
      </w:r>
      <w:r>
        <w:rPr>
          <w:rFonts w:hint="eastAsia" w:asciiTheme="minorEastAsia" w:hAnsiTheme="minorEastAsia" w:eastAsiaTheme="minorEastAsia" w:cstheme="minorEastAsia"/>
          <w:sz w:val="28"/>
          <w:szCs w:val="28"/>
          <w:highlight w:val="none"/>
          <w:u w:val="dotted"/>
        </w:rPr>
        <w:t xml:space="preserve">                                          </w:t>
      </w:r>
    </w:p>
    <w:p w14:paraId="64E16AE9">
      <w:pPr>
        <w:adjustRightInd w:val="0"/>
        <w:snapToGrid w:val="0"/>
        <w:spacing w:line="360" w:lineRule="auto"/>
        <w:rPr>
          <w:rFonts w:asciiTheme="minorEastAsia" w:hAnsiTheme="minorEastAsia" w:eastAsiaTheme="minorEastAsia" w:cstheme="minorEastAsia"/>
          <w:sz w:val="28"/>
          <w:szCs w:val="28"/>
          <w:highlight w:val="none"/>
          <w:u w:val="dotted"/>
        </w:rPr>
      </w:pPr>
      <w:r>
        <w:rPr>
          <w:rFonts w:hint="eastAsia" w:asciiTheme="minorEastAsia" w:hAnsiTheme="minorEastAsia" w:eastAsiaTheme="minorEastAsia" w:cstheme="minorEastAsia"/>
          <w:sz w:val="28"/>
          <w:szCs w:val="28"/>
          <w:highlight w:val="none"/>
          <w:u w:val="dotted"/>
        </w:rPr>
        <w:t xml:space="preserve">                                                     </w:t>
      </w:r>
    </w:p>
    <w:p w14:paraId="660D7D79">
      <w:pPr>
        <w:adjustRightInd w:val="0"/>
        <w:snapToGrid w:val="0"/>
        <w:spacing w:line="360" w:lineRule="auto"/>
        <w:rPr>
          <w:rFonts w:asciiTheme="minorEastAsia" w:hAnsiTheme="minorEastAsia" w:eastAsiaTheme="minorEastAsia" w:cstheme="minorEastAsia"/>
          <w:sz w:val="28"/>
          <w:szCs w:val="28"/>
          <w:highlight w:val="none"/>
          <w:u w:val="dotted"/>
        </w:rPr>
      </w:pPr>
      <w:r>
        <w:rPr>
          <w:rFonts w:hint="eastAsia" w:asciiTheme="minorEastAsia" w:hAnsiTheme="minorEastAsia" w:eastAsiaTheme="minorEastAsia" w:cstheme="minorEastAsia"/>
          <w:sz w:val="28"/>
          <w:szCs w:val="28"/>
          <w:highlight w:val="none"/>
        </w:rPr>
        <w:t>质疑事项2</w:t>
      </w:r>
    </w:p>
    <w:p w14:paraId="52B684BD">
      <w:pPr>
        <w:adjustRightInd w:val="0"/>
        <w:snapToGrid w:val="0"/>
        <w:spacing w:line="360" w:lineRule="auto"/>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w:t>
      </w:r>
    </w:p>
    <w:p w14:paraId="1CB69812">
      <w:pPr>
        <w:adjustRightInd w:val="0"/>
        <w:snapToGrid w:val="0"/>
        <w:spacing w:line="360" w:lineRule="auto"/>
        <w:rPr>
          <w:rFonts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四、与质疑事项相关的质疑请求</w:t>
      </w:r>
    </w:p>
    <w:p w14:paraId="2F796705">
      <w:pPr>
        <w:adjustRightInd w:val="0"/>
        <w:snapToGrid w:val="0"/>
        <w:spacing w:line="360" w:lineRule="auto"/>
        <w:rPr>
          <w:rFonts w:asciiTheme="minorEastAsia" w:hAnsiTheme="minorEastAsia" w:eastAsiaTheme="minorEastAsia" w:cstheme="minorEastAsia"/>
          <w:sz w:val="28"/>
          <w:szCs w:val="28"/>
          <w:highlight w:val="none"/>
          <w:u w:val="dotted"/>
        </w:rPr>
      </w:pPr>
      <w:r>
        <w:rPr>
          <w:rFonts w:hint="eastAsia" w:asciiTheme="minorEastAsia" w:hAnsiTheme="minorEastAsia" w:eastAsiaTheme="minorEastAsia" w:cstheme="minorEastAsia"/>
          <w:sz w:val="28"/>
          <w:szCs w:val="28"/>
          <w:highlight w:val="none"/>
        </w:rPr>
        <w:t>请求：</w:t>
      </w:r>
      <w:r>
        <w:rPr>
          <w:rFonts w:hint="eastAsia" w:asciiTheme="minorEastAsia" w:hAnsiTheme="minorEastAsia" w:eastAsiaTheme="minorEastAsia" w:cstheme="minorEastAsia"/>
          <w:sz w:val="28"/>
          <w:szCs w:val="28"/>
          <w:highlight w:val="none"/>
          <w:u w:val="dotted"/>
        </w:rPr>
        <w:t xml:space="preserve">                                               </w:t>
      </w:r>
    </w:p>
    <w:p w14:paraId="005D359F">
      <w:pP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签字(签章)：                   公章：                      </w:t>
      </w:r>
    </w:p>
    <w:p w14:paraId="2DAD98ED">
      <w:pP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日期：    </w:t>
      </w:r>
    </w:p>
    <w:p w14:paraId="0B80CD68">
      <w:pPr>
        <w:adjustRightInd w:val="0"/>
        <w:snapToGrid w:val="0"/>
        <w:spacing w:line="360" w:lineRule="auto"/>
        <w:rPr>
          <w:rFonts w:asciiTheme="minorEastAsia" w:hAnsiTheme="minorEastAsia" w:eastAsiaTheme="minorEastAsia" w:cstheme="minorEastAsia"/>
          <w:sz w:val="28"/>
          <w:szCs w:val="28"/>
          <w:highlight w:val="none"/>
        </w:rPr>
      </w:pPr>
    </w:p>
    <w:p w14:paraId="00D8697C">
      <w:pPr>
        <w:adjustRightInd w:val="0"/>
        <w:snapToGrid w:val="0"/>
        <w:spacing w:line="360" w:lineRule="auto"/>
        <w:rPr>
          <w:rFonts w:asciiTheme="minorEastAsia" w:hAnsiTheme="minorEastAsia" w:eastAsiaTheme="minorEastAsia" w:cstheme="minorEastAsia"/>
          <w:sz w:val="28"/>
          <w:szCs w:val="28"/>
          <w:highlight w:val="none"/>
        </w:rPr>
      </w:pPr>
    </w:p>
    <w:p w14:paraId="26FA3057">
      <w:pPr>
        <w:rPr>
          <w:rFonts w:asciiTheme="minorEastAsia" w:hAnsiTheme="minorEastAsia" w:eastAsiaTheme="minorEastAsia" w:cstheme="minorEastAsia"/>
          <w:b/>
          <w:sz w:val="28"/>
          <w:szCs w:val="28"/>
          <w:highlight w:val="none"/>
        </w:rPr>
      </w:pPr>
    </w:p>
    <w:p w14:paraId="0A2BF58C">
      <w:pPr>
        <w:rPr>
          <w:rFonts w:asciiTheme="minorEastAsia" w:hAnsiTheme="minorEastAsia" w:eastAsiaTheme="minorEastAsia" w:cstheme="minorEastAsia"/>
          <w:b/>
          <w:sz w:val="28"/>
          <w:szCs w:val="28"/>
          <w:highlight w:val="none"/>
        </w:rPr>
      </w:pPr>
    </w:p>
    <w:p w14:paraId="6B856328">
      <w:pPr>
        <w:rPr>
          <w:rFonts w:asciiTheme="minorEastAsia" w:hAnsiTheme="minorEastAsia" w:eastAsiaTheme="minorEastAsia" w:cstheme="minorEastAsia"/>
          <w:b/>
          <w:sz w:val="28"/>
          <w:szCs w:val="28"/>
          <w:highlight w:val="none"/>
        </w:rPr>
      </w:pPr>
    </w:p>
    <w:p w14:paraId="361CBBC9">
      <w:pPr>
        <w:rPr>
          <w:rFonts w:asciiTheme="minorEastAsia" w:hAnsiTheme="minorEastAsia" w:eastAsiaTheme="minorEastAsia" w:cstheme="minorEastAsia"/>
          <w:b/>
          <w:sz w:val="28"/>
          <w:szCs w:val="28"/>
          <w:highlight w:val="none"/>
        </w:rPr>
      </w:pPr>
    </w:p>
    <w:p w14:paraId="48348CF0">
      <w:pPr>
        <w:rPr>
          <w:rFonts w:asciiTheme="minorEastAsia" w:hAnsiTheme="minorEastAsia" w:eastAsiaTheme="minorEastAsia" w:cstheme="minorEastAsia"/>
          <w:b/>
          <w:sz w:val="28"/>
          <w:szCs w:val="28"/>
          <w:highlight w:val="none"/>
        </w:rPr>
      </w:pPr>
    </w:p>
    <w:p w14:paraId="50BC7267">
      <w:pPr>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质疑函制作说明：</w:t>
      </w:r>
    </w:p>
    <w:p w14:paraId="2979412D">
      <w:pPr>
        <w:widowControl/>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1.供应商提出质疑时，应提交质疑函和必要的证明材料。</w:t>
      </w:r>
    </w:p>
    <w:p w14:paraId="5582C4C0">
      <w:pPr>
        <w:widowControl/>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2.质疑供应商若委托代理人进行质疑的，质疑函应按要求列明“授权代表”的有关内容，并在附件中提交由质疑</w:t>
      </w:r>
      <w:r>
        <w:rPr>
          <w:rFonts w:hint="eastAsia" w:asciiTheme="minorEastAsia" w:hAnsiTheme="minorEastAsia" w:eastAsiaTheme="minorEastAsia" w:cstheme="minorEastAsia"/>
          <w:kern w:val="0"/>
          <w:sz w:val="24"/>
          <w:highlight w:val="none"/>
        </w:rPr>
        <w:t>供应商签署的授权委托书。授权委托书应载明代理人的姓名或者名称、代理事项、具体权限、期限和相关事项。</w:t>
      </w:r>
    </w:p>
    <w:p w14:paraId="4C48B75E">
      <w:pPr>
        <w:widowControl/>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3.质疑供应商若对项目的某一分包进行质疑，质疑函中应列明具体分包号。</w:t>
      </w:r>
    </w:p>
    <w:p w14:paraId="787BC4AC">
      <w:pPr>
        <w:widowControl/>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4.质疑函的质疑事项应具体、明确，并有必要的事实依据和法律依据。</w:t>
      </w:r>
    </w:p>
    <w:p w14:paraId="5788865A">
      <w:pPr>
        <w:widowControl/>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5.质疑函的质疑请求应与质疑事项相关。</w:t>
      </w:r>
    </w:p>
    <w:p w14:paraId="5FB55448">
      <w:pPr>
        <w:widowControl/>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6.质疑供应商为自然人的，质疑函应由本人签字；质疑供应商为法人或者其他组织的，质疑函应由法定代表人、主要负责人，或者其授权代表签字或者盖章，并加盖公章。</w:t>
      </w:r>
    </w:p>
    <w:p w14:paraId="0DE2F1DB">
      <w:pPr>
        <w:widowControl/>
        <w:ind w:firstLine="480" w:firstLineChars="200"/>
        <w:jc w:val="left"/>
        <w:rPr>
          <w:rFonts w:asciiTheme="minorEastAsia" w:hAnsiTheme="minorEastAsia" w:eastAsiaTheme="minorEastAsia" w:cstheme="minorEastAsia"/>
          <w:sz w:val="24"/>
          <w:highlight w:val="none"/>
        </w:rPr>
      </w:pPr>
    </w:p>
    <w:p w14:paraId="300E66FB">
      <w:pPr>
        <w:rPr>
          <w:rFonts w:asciiTheme="minorEastAsia" w:hAnsiTheme="minorEastAsia" w:eastAsiaTheme="minorEastAsia" w:cstheme="minorEastAsia"/>
          <w:sz w:val="20"/>
          <w:szCs w:val="22"/>
          <w:highlight w:val="none"/>
        </w:rPr>
      </w:pPr>
    </w:p>
    <w:p w14:paraId="7509610B">
      <w:pPr>
        <w:rPr>
          <w:rFonts w:asciiTheme="minorEastAsia" w:hAnsiTheme="minorEastAsia" w:eastAsiaTheme="minorEastAsia" w:cstheme="minorEastAsia"/>
          <w:sz w:val="28"/>
          <w:szCs w:val="28"/>
          <w:highlight w:val="none"/>
        </w:rPr>
      </w:pPr>
    </w:p>
    <w:p w14:paraId="32D7B81B">
      <w:pPr>
        <w:rPr>
          <w:rFonts w:asciiTheme="minorEastAsia" w:hAnsiTheme="minorEastAsia" w:eastAsiaTheme="minorEastAsia" w:cstheme="minorEastAsia"/>
          <w:sz w:val="20"/>
          <w:szCs w:val="22"/>
          <w:highlight w:val="none"/>
        </w:rPr>
      </w:pPr>
    </w:p>
    <w:p w14:paraId="0FE1A667">
      <w:pPr>
        <w:rPr>
          <w:rFonts w:asciiTheme="minorEastAsia" w:hAnsiTheme="minorEastAsia" w:eastAsiaTheme="minorEastAsia" w:cstheme="minorEastAsia"/>
          <w:sz w:val="28"/>
          <w:szCs w:val="28"/>
          <w:highlight w:val="none"/>
        </w:rPr>
      </w:pPr>
    </w:p>
    <w:p w14:paraId="5BE19D69">
      <w:pPr>
        <w:rPr>
          <w:rFonts w:asciiTheme="minorEastAsia" w:hAnsiTheme="minorEastAsia" w:eastAsiaTheme="minorEastAsia" w:cstheme="minorEastAsia"/>
          <w:sz w:val="20"/>
          <w:szCs w:val="22"/>
          <w:highlight w:val="none"/>
        </w:rPr>
      </w:pPr>
    </w:p>
    <w:p w14:paraId="6565EC7D">
      <w:pPr>
        <w:pStyle w:val="19"/>
        <w:ind w:firstLine="560"/>
        <w:rPr>
          <w:rFonts w:asciiTheme="minorEastAsia" w:hAnsiTheme="minorEastAsia" w:eastAsiaTheme="minorEastAsia" w:cstheme="minorEastAsia"/>
          <w:sz w:val="28"/>
          <w:szCs w:val="22"/>
          <w:highlight w:val="none"/>
        </w:rPr>
      </w:pPr>
    </w:p>
    <w:p w14:paraId="5BAC4217">
      <w:pPr>
        <w:pStyle w:val="20"/>
        <w:rPr>
          <w:rFonts w:asciiTheme="minorEastAsia" w:hAnsiTheme="minorEastAsia" w:eastAsiaTheme="minorEastAsia" w:cstheme="minorEastAsia"/>
          <w:sz w:val="20"/>
          <w:szCs w:val="22"/>
          <w:highlight w:val="none"/>
        </w:rPr>
      </w:pPr>
    </w:p>
    <w:p w14:paraId="738CBF29">
      <w:pPr>
        <w:rPr>
          <w:rFonts w:asciiTheme="minorEastAsia" w:hAnsiTheme="minorEastAsia" w:eastAsiaTheme="minorEastAsia" w:cstheme="minorEastAsia"/>
          <w:sz w:val="20"/>
          <w:szCs w:val="22"/>
          <w:highlight w:val="none"/>
        </w:rPr>
      </w:pPr>
    </w:p>
    <w:p w14:paraId="0E82554E">
      <w:pPr>
        <w:pStyle w:val="4"/>
        <w:keepNext w:val="0"/>
        <w:keepLines w:val="0"/>
        <w:pageBreakBefore/>
        <w:rPr>
          <w:rFonts w:asciiTheme="minorEastAsia" w:hAnsiTheme="minorEastAsia" w:eastAsiaTheme="minorEastAsia" w:cstheme="minorEastAsia"/>
          <w:b w:val="0"/>
          <w:sz w:val="24"/>
          <w:highlight w:val="none"/>
        </w:rPr>
      </w:pPr>
      <w:bookmarkStart w:id="116" w:name="_Toc28792"/>
      <w:bookmarkStart w:id="117" w:name="_Toc32533"/>
      <w:bookmarkStart w:id="118" w:name="_Toc174370028"/>
      <w:r>
        <w:rPr>
          <w:rFonts w:hint="eastAsia" w:asciiTheme="minorEastAsia" w:hAnsiTheme="minorEastAsia" w:eastAsiaTheme="minorEastAsia" w:cstheme="minorEastAsia"/>
          <w:b w:val="0"/>
          <w:sz w:val="24"/>
          <w:highlight w:val="none"/>
        </w:rPr>
        <w:t>附件二十三：投诉书范本</w:t>
      </w:r>
      <w:bookmarkEnd w:id="116"/>
      <w:bookmarkEnd w:id="117"/>
      <w:bookmarkEnd w:id="118"/>
    </w:p>
    <w:p w14:paraId="5BB2DA5D">
      <w:pPr>
        <w:jc w:val="center"/>
        <w:rPr>
          <w:rFonts w:asciiTheme="minorEastAsia" w:hAnsiTheme="minorEastAsia" w:eastAsiaTheme="minorEastAsia" w:cstheme="minorEastAsia"/>
          <w:b/>
          <w:sz w:val="40"/>
          <w:szCs w:val="40"/>
          <w:highlight w:val="none"/>
        </w:rPr>
      </w:pPr>
      <w:r>
        <w:rPr>
          <w:rFonts w:hint="eastAsia" w:asciiTheme="minorEastAsia" w:hAnsiTheme="minorEastAsia" w:eastAsiaTheme="minorEastAsia" w:cstheme="minorEastAsia"/>
          <w:b/>
          <w:sz w:val="40"/>
          <w:szCs w:val="40"/>
          <w:highlight w:val="none"/>
        </w:rPr>
        <w:t>投诉书范本</w:t>
      </w:r>
    </w:p>
    <w:p w14:paraId="3D7ACC0D">
      <w:pP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一、投诉相关主体基本情况</w:t>
      </w:r>
    </w:p>
    <w:p w14:paraId="5CA71BB7">
      <w:pPr>
        <w:rPr>
          <w:rFonts w:asciiTheme="minorEastAsia" w:hAnsiTheme="minorEastAsia" w:eastAsiaTheme="minorEastAsia" w:cstheme="minorEastAsia"/>
          <w:sz w:val="28"/>
          <w:szCs w:val="28"/>
          <w:highlight w:val="none"/>
          <w:u w:val="dotted"/>
        </w:rPr>
      </w:pPr>
      <w:r>
        <w:rPr>
          <w:rFonts w:hint="eastAsia" w:asciiTheme="minorEastAsia" w:hAnsiTheme="minorEastAsia" w:eastAsiaTheme="minorEastAsia" w:cstheme="minorEastAsia"/>
          <w:sz w:val="28"/>
          <w:szCs w:val="28"/>
          <w:highlight w:val="none"/>
        </w:rPr>
        <w:t>投诉人：</w:t>
      </w:r>
      <w:r>
        <w:rPr>
          <w:rFonts w:hint="eastAsia" w:asciiTheme="minorEastAsia" w:hAnsiTheme="minorEastAsia" w:eastAsiaTheme="minorEastAsia" w:cstheme="minorEastAsia"/>
          <w:sz w:val="28"/>
          <w:szCs w:val="28"/>
          <w:highlight w:val="none"/>
          <w:u w:val="dotted"/>
        </w:rPr>
        <w:t xml:space="preserve">                                               </w:t>
      </w:r>
    </w:p>
    <w:p w14:paraId="73B375A9">
      <w:pPr>
        <w:rPr>
          <w:rFonts w:asciiTheme="minorEastAsia" w:hAnsiTheme="minorEastAsia" w:eastAsiaTheme="minorEastAsia" w:cstheme="minorEastAsia"/>
          <w:sz w:val="28"/>
          <w:szCs w:val="28"/>
          <w:highlight w:val="none"/>
          <w:u w:val="single"/>
        </w:rPr>
      </w:pPr>
      <w:r>
        <w:rPr>
          <w:rFonts w:hint="eastAsia" w:asciiTheme="minorEastAsia" w:hAnsiTheme="minorEastAsia" w:eastAsiaTheme="minorEastAsia" w:cstheme="minorEastAsia"/>
          <w:sz w:val="28"/>
          <w:szCs w:val="28"/>
          <w:highlight w:val="none"/>
        </w:rPr>
        <w:t>地     址：</w:t>
      </w:r>
      <w:r>
        <w:rPr>
          <w:rFonts w:hint="eastAsia" w:asciiTheme="minorEastAsia" w:hAnsiTheme="minorEastAsia" w:eastAsiaTheme="minorEastAsia" w:cstheme="minorEastAsia"/>
          <w:sz w:val="28"/>
          <w:szCs w:val="28"/>
          <w:highlight w:val="none"/>
          <w:u w:val="dotted"/>
        </w:rPr>
        <w:t xml:space="preserve">                             </w:t>
      </w:r>
      <w:r>
        <w:rPr>
          <w:rFonts w:hint="eastAsia" w:asciiTheme="minorEastAsia" w:hAnsiTheme="minorEastAsia" w:eastAsiaTheme="minorEastAsia" w:cstheme="minorEastAsia"/>
          <w:sz w:val="28"/>
          <w:szCs w:val="28"/>
          <w:highlight w:val="none"/>
        </w:rPr>
        <w:t>邮编：</w:t>
      </w:r>
      <w:r>
        <w:rPr>
          <w:rFonts w:hint="eastAsia" w:asciiTheme="minorEastAsia" w:hAnsiTheme="minorEastAsia" w:eastAsiaTheme="minorEastAsia" w:cstheme="minorEastAsia"/>
          <w:sz w:val="28"/>
          <w:szCs w:val="28"/>
          <w:highlight w:val="none"/>
          <w:u w:val="dotted"/>
        </w:rPr>
        <w:t xml:space="preserve">         </w:t>
      </w:r>
      <w:r>
        <w:rPr>
          <w:rFonts w:hint="eastAsia" w:asciiTheme="minorEastAsia" w:hAnsiTheme="minorEastAsia" w:eastAsiaTheme="minorEastAsia" w:cstheme="minorEastAsia"/>
          <w:sz w:val="28"/>
          <w:szCs w:val="28"/>
          <w:highlight w:val="none"/>
          <w:u w:val="single"/>
        </w:rPr>
        <w:t xml:space="preserve">   </w:t>
      </w:r>
    </w:p>
    <w:p w14:paraId="2F3FD9D5">
      <w:pPr>
        <w:tabs>
          <w:tab w:val="left" w:pos="6510"/>
        </w:tabs>
        <w:jc w:val="left"/>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法定代表人/主要负责人：</w:t>
      </w:r>
      <w:r>
        <w:rPr>
          <w:rFonts w:hint="eastAsia" w:asciiTheme="minorEastAsia" w:hAnsiTheme="minorEastAsia" w:eastAsiaTheme="minorEastAsia" w:cstheme="minorEastAsia"/>
          <w:sz w:val="28"/>
          <w:szCs w:val="28"/>
          <w:highlight w:val="none"/>
          <w:u w:val="dotted"/>
        </w:rPr>
        <w:t xml:space="preserve">                                   </w:t>
      </w:r>
      <w:r>
        <w:rPr>
          <w:rFonts w:hint="eastAsia" w:asciiTheme="minorEastAsia" w:hAnsiTheme="minorEastAsia" w:eastAsiaTheme="minorEastAsia" w:cstheme="minorEastAsia"/>
          <w:sz w:val="28"/>
          <w:szCs w:val="28"/>
          <w:highlight w:val="none"/>
        </w:rPr>
        <w:t xml:space="preserve">  </w:t>
      </w:r>
    </w:p>
    <w:p w14:paraId="43FDD2AE">
      <w:pPr>
        <w:tabs>
          <w:tab w:val="left" w:pos="6510"/>
        </w:tabs>
        <w:rPr>
          <w:rFonts w:asciiTheme="minorEastAsia" w:hAnsiTheme="minorEastAsia" w:eastAsiaTheme="minorEastAsia" w:cstheme="minorEastAsia"/>
          <w:sz w:val="28"/>
          <w:szCs w:val="28"/>
          <w:highlight w:val="none"/>
          <w:u w:val="dotted"/>
        </w:rPr>
      </w:pPr>
      <w:r>
        <w:rPr>
          <w:rFonts w:hint="eastAsia" w:asciiTheme="minorEastAsia" w:hAnsiTheme="minorEastAsia" w:eastAsiaTheme="minorEastAsia" w:cstheme="minorEastAsia"/>
          <w:sz w:val="28"/>
          <w:szCs w:val="28"/>
          <w:highlight w:val="none"/>
        </w:rPr>
        <w:t>联系电话：</w:t>
      </w:r>
      <w:r>
        <w:rPr>
          <w:rFonts w:hint="eastAsia" w:asciiTheme="minorEastAsia" w:hAnsiTheme="minorEastAsia" w:eastAsiaTheme="minorEastAsia" w:cstheme="minorEastAsia"/>
          <w:sz w:val="28"/>
          <w:szCs w:val="28"/>
          <w:highlight w:val="none"/>
          <w:u w:val="dotted"/>
        </w:rPr>
        <w:t xml:space="preserve">                                             </w:t>
      </w:r>
    </w:p>
    <w:p w14:paraId="65C7AD1A">
      <w:pPr>
        <w:rPr>
          <w:rFonts w:asciiTheme="minorEastAsia" w:hAnsiTheme="minorEastAsia" w:eastAsiaTheme="minorEastAsia" w:cstheme="minorEastAsia"/>
          <w:sz w:val="28"/>
          <w:szCs w:val="28"/>
          <w:highlight w:val="none"/>
          <w:u w:val="dotted"/>
        </w:rPr>
      </w:pPr>
      <w:r>
        <w:rPr>
          <w:rFonts w:hint="eastAsia" w:asciiTheme="minorEastAsia" w:hAnsiTheme="minorEastAsia" w:eastAsiaTheme="minorEastAsia" w:cstheme="minorEastAsia"/>
          <w:sz w:val="28"/>
          <w:szCs w:val="28"/>
          <w:highlight w:val="none"/>
        </w:rPr>
        <w:t>授权代表：</w:t>
      </w:r>
      <w:r>
        <w:rPr>
          <w:rFonts w:hint="eastAsia" w:asciiTheme="minorEastAsia" w:hAnsiTheme="minorEastAsia" w:eastAsiaTheme="minorEastAsia" w:cstheme="minorEastAsia"/>
          <w:sz w:val="28"/>
          <w:szCs w:val="28"/>
          <w:highlight w:val="none"/>
          <w:u w:val="dotted"/>
        </w:rPr>
        <w:t xml:space="preserve">             </w:t>
      </w:r>
      <w:r>
        <w:rPr>
          <w:rFonts w:hint="eastAsia" w:asciiTheme="minorEastAsia" w:hAnsiTheme="minorEastAsia" w:eastAsiaTheme="minorEastAsia" w:cstheme="minorEastAsia"/>
          <w:sz w:val="28"/>
          <w:szCs w:val="28"/>
          <w:highlight w:val="none"/>
        </w:rPr>
        <w:t>联系电话</w:t>
      </w:r>
      <w:r>
        <w:rPr>
          <w:rFonts w:hint="eastAsia" w:asciiTheme="minorEastAsia" w:hAnsiTheme="minorEastAsia" w:eastAsiaTheme="minorEastAsia" w:cstheme="minorEastAsia"/>
          <w:sz w:val="28"/>
          <w:szCs w:val="28"/>
          <w:highlight w:val="none"/>
          <w:u w:val="dotted"/>
        </w:rPr>
        <w:t xml:space="preserve">：                  </w:t>
      </w:r>
    </w:p>
    <w:p w14:paraId="2D2DE2C6">
      <w:pPr>
        <w:rPr>
          <w:rFonts w:asciiTheme="minorEastAsia" w:hAnsiTheme="minorEastAsia" w:eastAsiaTheme="minorEastAsia" w:cstheme="minorEastAsia"/>
          <w:sz w:val="28"/>
          <w:szCs w:val="28"/>
          <w:highlight w:val="none"/>
          <w:u w:val="dotted"/>
        </w:rPr>
      </w:pPr>
      <w:r>
        <w:rPr>
          <w:rFonts w:hint="eastAsia" w:asciiTheme="minorEastAsia" w:hAnsiTheme="minorEastAsia" w:eastAsiaTheme="minorEastAsia" w:cstheme="minorEastAsia"/>
          <w:sz w:val="28"/>
          <w:szCs w:val="28"/>
          <w:highlight w:val="none"/>
        </w:rPr>
        <w:t>地     址：</w:t>
      </w:r>
      <w:r>
        <w:rPr>
          <w:rFonts w:hint="eastAsia" w:asciiTheme="minorEastAsia" w:hAnsiTheme="minorEastAsia" w:eastAsiaTheme="minorEastAsia" w:cstheme="minorEastAsia"/>
          <w:sz w:val="28"/>
          <w:szCs w:val="28"/>
          <w:highlight w:val="none"/>
          <w:u w:val="dotted"/>
        </w:rPr>
        <w:t xml:space="preserve">                             </w:t>
      </w:r>
      <w:r>
        <w:rPr>
          <w:rFonts w:hint="eastAsia" w:asciiTheme="minorEastAsia" w:hAnsiTheme="minorEastAsia" w:eastAsiaTheme="minorEastAsia" w:cstheme="minorEastAsia"/>
          <w:sz w:val="28"/>
          <w:szCs w:val="28"/>
          <w:highlight w:val="none"/>
        </w:rPr>
        <w:t>邮编：</w:t>
      </w:r>
      <w:r>
        <w:rPr>
          <w:rFonts w:hint="eastAsia" w:asciiTheme="minorEastAsia" w:hAnsiTheme="minorEastAsia" w:eastAsiaTheme="minorEastAsia" w:cstheme="minorEastAsia"/>
          <w:sz w:val="28"/>
          <w:szCs w:val="28"/>
          <w:highlight w:val="none"/>
          <w:u w:val="dotted"/>
        </w:rPr>
        <w:t xml:space="preserve">         </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dotted"/>
        </w:rPr>
        <w:t xml:space="preserve">                   </w:t>
      </w:r>
    </w:p>
    <w:p w14:paraId="47CB4216">
      <w:pPr>
        <w:rPr>
          <w:rFonts w:asciiTheme="minorEastAsia" w:hAnsiTheme="minorEastAsia" w:eastAsiaTheme="minorEastAsia" w:cstheme="minorEastAsia"/>
          <w:sz w:val="28"/>
          <w:szCs w:val="28"/>
          <w:highlight w:val="none"/>
          <w:u w:val="single"/>
        </w:rPr>
      </w:pPr>
      <w:r>
        <w:rPr>
          <w:rFonts w:hint="eastAsia" w:asciiTheme="minorEastAsia" w:hAnsiTheme="minorEastAsia" w:eastAsiaTheme="minorEastAsia" w:cstheme="minorEastAsia"/>
          <w:sz w:val="28"/>
          <w:szCs w:val="28"/>
          <w:highlight w:val="none"/>
        </w:rPr>
        <w:t>被投诉人1：</w:t>
      </w:r>
      <w:r>
        <w:rPr>
          <w:rFonts w:hint="eastAsia" w:asciiTheme="minorEastAsia" w:hAnsiTheme="minorEastAsia" w:eastAsiaTheme="minorEastAsia" w:cstheme="minorEastAsia"/>
          <w:sz w:val="28"/>
          <w:szCs w:val="28"/>
          <w:highlight w:val="none"/>
          <w:u w:val="dotted"/>
        </w:rPr>
        <w:t xml:space="preserve">                                           </w:t>
      </w:r>
      <w:r>
        <w:rPr>
          <w:rFonts w:hint="eastAsia" w:asciiTheme="minorEastAsia" w:hAnsiTheme="minorEastAsia" w:eastAsiaTheme="minorEastAsia" w:cstheme="minorEastAsia"/>
          <w:sz w:val="28"/>
          <w:szCs w:val="28"/>
          <w:highlight w:val="none"/>
          <w:u w:val="single"/>
        </w:rPr>
        <w:t xml:space="preserve">  </w:t>
      </w:r>
    </w:p>
    <w:p w14:paraId="33DB3961">
      <w:pPr>
        <w:rPr>
          <w:rFonts w:asciiTheme="minorEastAsia" w:hAnsiTheme="minorEastAsia" w:eastAsiaTheme="minorEastAsia" w:cstheme="minorEastAsia"/>
          <w:sz w:val="28"/>
          <w:szCs w:val="28"/>
          <w:highlight w:val="none"/>
          <w:u w:val="single"/>
        </w:rPr>
      </w:pPr>
      <w:r>
        <w:rPr>
          <w:rFonts w:hint="eastAsia" w:asciiTheme="minorEastAsia" w:hAnsiTheme="minorEastAsia" w:eastAsiaTheme="minorEastAsia" w:cstheme="minorEastAsia"/>
          <w:sz w:val="28"/>
          <w:szCs w:val="28"/>
          <w:highlight w:val="none"/>
        </w:rPr>
        <w:t>地     址：</w:t>
      </w:r>
      <w:r>
        <w:rPr>
          <w:rFonts w:hint="eastAsia" w:asciiTheme="minorEastAsia" w:hAnsiTheme="minorEastAsia" w:eastAsiaTheme="minorEastAsia" w:cstheme="minorEastAsia"/>
          <w:sz w:val="28"/>
          <w:szCs w:val="28"/>
          <w:highlight w:val="none"/>
          <w:u w:val="dotted"/>
        </w:rPr>
        <w:t xml:space="preserve">                             </w:t>
      </w:r>
      <w:r>
        <w:rPr>
          <w:rFonts w:hint="eastAsia" w:asciiTheme="minorEastAsia" w:hAnsiTheme="minorEastAsia" w:eastAsiaTheme="minorEastAsia" w:cstheme="minorEastAsia"/>
          <w:sz w:val="28"/>
          <w:szCs w:val="28"/>
          <w:highlight w:val="none"/>
        </w:rPr>
        <w:t>邮编：</w:t>
      </w:r>
      <w:r>
        <w:rPr>
          <w:rFonts w:hint="eastAsia" w:asciiTheme="minorEastAsia" w:hAnsiTheme="minorEastAsia" w:eastAsiaTheme="minorEastAsia" w:cstheme="minorEastAsia"/>
          <w:sz w:val="28"/>
          <w:szCs w:val="28"/>
          <w:highlight w:val="none"/>
          <w:u w:val="dotted"/>
        </w:rPr>
        <w:t xml:space="preserve">          </w:t>
      </w:r>
      <w:r>
        <w:rPr>
          <w:rFonts w:hint="eastAsia" w:asciiTheme="minorEastAsia" w:hAnsiTheme="minorEastAsia" w:eastAsiaTheme="minorEastAsia" w:cstheme="minorEastAsia"/>
          <w:sz w:val="28"/>
          <w:szCs w:val="28"/>
          <w:highlight w:val="none"/>
          <w:u w:val="single"/>
        </w:rPr>
        <w:t xml:space="preserve"> </w:t>
      </w:r>
    </w:p>
    <w:p w14:paraId="1E1F7C68">
      <w:pPr>
        <w:rPr>
          <w:rFonts w:asciiTheme="minorEastAsia" w:hAnsiTheme="minorEastAsia" w:eastAsiaTheme="minorEastAsia" w:cstheme="minorEastAsia"/>
          <w:sz w:val="28"/>
          <w:szCs w:val="28"/>
          <w:highlight w:val="none"/>
          <w:u w:val="single"/>
        </w:rPr>
      </w:pPr>
      <w:r>
        <w:rPr>
          <w:rFonts w:hint="eastAsia" w:asciiTheme="minorEastAsia" w:hAnsiTheme="minorEastAsia" w:eastAsiaTheme="minorEastAsia" w:cstheme="minorEastAsia"/>
          <w:sz w:val="28"/>
          <w:szCs w:val="28"/>
          <w:highlight w:val="none"/>
        </w:rPr>
        <w:t>联系人：</w:t>
      </w:r>
      <w:r>
        <w:rPr>
          <w:rFonts w:hint="eastAsia" w:asciiTheme="minorEastAsia" w:hAnsiTheme="minorEastAsia" w:eastAsiaTheme="minorEastAsia" w:cstheme="minorEastAsia"/>
          <w:sz w:val="28"/>
          <w:szCs w:val="28"/>
          <w:highlight w:val="none"/>
          <w:u w:val="dotted"/>
        </w:rPr>
        <w:t xml:space="preserve">               </w:t>
      </w:r>
      <w:r>
        <w:rPr>
          <w:rFonts w:hint="eastAsia" w:asciiTheme="minorEastAsia" w:hAnsiTheme="minorEastAsia" w:eastAsiaTheme="minorEastAsia" w:cstheme="minorEastAsia"/>
          <w:sz w:val="28"/>
          <w:szCs w:val="28"/>
          <w:highlight w:val="none"/>
        </w:rPr>
        <w:t>联系电话：</w:t>
      </w:r>
      <w:r>
        <w:rPr>
          <w:rFonts w:hint="eastAsia" w:asciiTheme="minorEastAsia" w:hAnsiTheme="minorEastAsia" w:eastAsiaTheme="minorEastAsia" w:cstheme="minorEastAsia"/>
          <w:sz w:val="28"/>
          <w:szCs w:val="28"/>
          <w:highlight w:val="none"/>
          <w:u w:val="dotted"/>
        </w:rPr>
        <w:t xml:space="preserve">                      </w:t>
      </w:r>
      <w:r>
        <w:rPr>
          <w:rFonts w:hint="eastAsia" w:asciiTheme="minorEastAsia" w:hAnsiTheme="minorEastAsia" w:eastAsiaTheme="minorEastAsia" w:cstheme="minorEastAsia"/>
          <w:sz w:val="28"/>
          <w:szCs w:val="28"/>
          <w:highlight w:val="none"/>
          <w:u w:val="single"/>
        </w:rPr>
        <w:t xml:space="preserve"> </w:t>
      </w:r>
    </w:p>
    <w:p w14:paraId="3E73456D">
      <w:pP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被投诉人2</w:t>
      </w:r>
    </w:p>
    <w:p w14:paraId="092AE839">
      <w:pPr>
        <w:rPr>
          <w:rFonts w:asciiTheme="minorEastAsia" w:hAnsiTheme="minorEastAsia" w:eastAsiaTheme="minorEastAsia" w:cstheme="minorEastAsia"/>
          <w:sz w:val="28"/>
          <w:szCs w:val="28"/>
          <w:highlight w:val="none"/>
          <w:u w:val="dotted"/>
        </w:rPr>
      </w:pPr>
      <w:r>
        <w:rPr>
          <w:rFonts w:hint="eastAsia" w:asciiTheme="minorEastAsia" w:hAnsiTheme="minorEastAsia" w:eastAsiaTheme="minorEastAsia" w:cstheme="minorEastAsia"/>
          <w:sz w:val="28"/>
          <w:szCs w:val="28"/>
          <w:highlight w:val="none"/>
        </w:rPr>
        <w:t>……</w:t>
      </w:r>
    </w:p>
    <w:p w14:paraId="5334C36D">
      <w:pPr>
        <w:rPr>
          <w:rFonts w:asciiTheme="minorEastAsia" w:hAnsiTheme="minorEastAsia" w:eastAsiaTheme="minorEastAsia" w:cstheme="minorEastAsia"/>
          <w:sz w:val="28"/>
          <w:szCs w:val="28"/>
          <w:highlight w:val="none"/>
          <w:u w:val="single"/>
        </w:rPr>
      </w:pPr>
      <w:r>
        <w:rPr>
          <w:rFonts w:hint="eastAsia" w:asciiTheme="minorEastAsia" w:hAnsiTheme="minorEastAsia" w:eastAsiaTheme="minorEastAsia" w:cstheme="minorEastAsia"/>
          <w:sz w:val="28"/>
          <w:szCs w:val="28"/>
          <w:highlight w:val="none"/>
        </w:rPr>
        <w:t>相关供应商：</w:t>
      </w:r>
      <w:r>
        <w:rPr>
          <w:rFonts w:hint="eastAsia" w:asciiTheme="minorEastAsia" w:hAnsiTheme="minorEastAsia" w:eastAsiaTheme="minorEastAsia" w:cstheme="minorEastAsia"/>
          <w:sz w:val="28"/>
          <w:szCs w:val="28"/>
          <w:highlight w:val="none"/>
          <w:u w:val="dotted"/>
        </w:rPr>
        <w:t xml:space="preserve">                                           </w:t>
      </w:r>
      <w:r>
        <w:rPr>
          <w:rFonts w:hint="eastAsia" w:asciiTheme="minorEastAsia" w:hAnsiTheme="minorEastAsia" w:eastAsiaTheme="minorEastAsia" w:cstheme="minorEastAsia"/>
          <w:sz w:val="28"/>
          <w:szCs w:val="28"/>
          <w:highlight w:val="none"/>
          <w:u w:val="single"/>
        </w:rPr>
        <w:t xml:space="preserve">    </w:t>
      </w:r>
    </w:p>
    <w:p w14:paraId="3D0649C3">
      <w:pPr>
        <w:rPr>
          <w:rFonts w:asciiTheme="minorEastAsia" w:hAnsiTheme="minorEastAsia" w:eastAsiaTheme="minorEastAsia" w:cstheme="minorEastAsia"/>
          <w:sz w:val="28"/>
          <w:szCs w:val="28"/>
          <w:highlight w:val="none"/>
          <w:u w:val="single"/>
        </w:rPr>
      </w:pPr>
      <w:r>
        <w:rPr>
          <w:rFonts w:hint="eastAsia" w:asciiTheme="minorEastAsia" w:hAnsiTheme="minorEastAsia" w:eastAsiaTheme="minorEastAsia" w:cstheme="minorEastAsia"/>
          <w:sz w:val="28"/>
          <w:szCs w:val="28"/>
          <w:highlight w:val="none"/>
        </w:rPr>
        <w:t>地     址：</w:t>
      </w:r>
      <w:r>
        <w:rPr>
          <w:rFonts w:hint="eastAsia" w:asciiTheme="minorEastAsia" w:hAnsiTheme="minorEastAsia" w:eastAsiaTheme="minorEastAsia" w:cstheme="minorEastAsia"/>
          <w:sz w:val="28"/>
          <w:szCs w:val="28"/>
          <w:highlight w:val="none"/>
          <w:u w:val="dotted"/>
        </w:rPr>
        <w:t xml:space="preserve">                             </w:t>
      </w:r>
      <w:r>
        <w:rPr>
          <w:rFonts w:hint="eastAsia" w:asciiTheme="minorEastAsia" w:hAnsiTheme="minorEastAsia" w:eastAsiaTheme="minorEastAsia" w:cstheme="minorEastAsia"/>
          <w:sz w:val="28"/>
          <w:szCs w:val="28"/>
          <w:highlight w:val="none"/>
        </w:rPr>
        <w:t>邮编：</w:t>
      </w:r>
      <w:r>
        <w:rPr>
          <w:rFonts w:hint="eastAsia" w:asciiTheme="minorEastAsia" w:hAnsiTheme="minorEastAsia" w:eastAsiaTheme="minorEastAsia" w:cstheme="minorEastAsia"/>
          <w:sz w:val="28"/>
          <w:szCs w:val="28"/>
          <w:highlight w:val="none"/>
          <w:u w:val="dotted"/>
        </w:rPr>
        <w:t xml:space="preserve">          </w:t>
      </w:r>
      <w:r>
        <w:rPr>
          <w:rFonts w:hint="eastAsia" w:asciiTheme="minorEastAsia" w:hAnsiTheme="minorEastAsia" w:eastAsiaTheme="minorEastAsia" w:cstheme="minorEastAsia"/>
          <w:sz w:val="28"/>
          <w:szCs w:val="28"/>
          <w:highlight w:val="none"/>
          <w:u w:val="single"/>
        </w:rPr>
        <w:t xml:space="preserve"> </w:t>
      </w:r>
    </w:p>
    <w:p w14:paraId="3B334208">
      <w:pPr>
        <w:rPr>
          <w:rFonts w:asciiTheme="minorEastAsia" w:hAnsiTheme="minorEastAsia" w:eastAsiaTheme="minorEastAsia" w:cstheme="minorEastAsia"/>
          <w:sz w:val="28"/>
          <w:szCs w:val="28"/>
          <w:highlight w:val="none"/>
          <w:u w:val="single"/>
        </w:rPr>
      </w:pPr>
      <w:r>
        <w:rPr>
          <w:rFonts w:hint="eastAsia" w:asciiTheme="minorEastAsia" w:hAnsiTheme="minorEastAsia" w:eastAsiaTheme="minorEastAsia" w:cstheme="minorEastAsia"/>
          <w:sz w:val="28"/>
          <w:szCs w:val="28"/>
          <w:highlight w:val="none"/>
        </w:rPr>
        <w:t>联系人：</w:t>
      </w:r>
      <w:r>
        <w:rPr>
          <w:rFonts w:hint="eastAsia" w:asciiTheme="minorEastAsia" w:hAnsiTheme="minorEastAsia" w:eastAsiaTheme="minorEastAsia" w:cstheme="minorEastAsia"/>
          <w:sz w:val="28"/>
          <w:szCs w:val="28"/>
          <w:highlight w:val="none"/>
          <w:u w:val="dotted"/>
        </w:rPr>
        <w:t xml:space="preserve">               </w:t>
      </w:r>
      <w:r>
        <w:rPr>
          <w:rFonts w:hint="eastAsia" w:asciiTheme="minorEastAsia" w:hAnsiTheme="minorEastAsia" w:eastAsiaTheme="minorEastAsia" w:cstheme="minorEastAsia"/>
          <w:sz w:val="28"/>
          <w:szCs w:val="28"/>
          <w:highlight w:val="none"/>
        </w:rPr>
        <w:t>联系电话：</w:t>
      </w:r>
      <w:r>
        <w:rPr>
          <w:rFonts w:hint="eastAsia" w:asciiTheme="minorEastAsia" w:hAnsiTheme="minorEastAsia" w:eastAsiaTheme="minorEastAsia" w:cstheme="minorEastAsia"/>
          <w:sz w:val="28"/>
          <w:szCs w:val="28"/>
          <w:highlight w:val="none"/>
          <w:u w:val="dotted"/>
        </w:rPr>
        <w:t xml:space="preserve">                      </w:t>
      </w:r>
      <w:r>
        <w:rPr>
          <w:rFonts w:hint="eastAsia" w:asciiTheme="minorEastAsia" w:hAnsiTheme="minorEastAsia" w:eastAsiaTheme="minorEastAsia" w:cstheme="minorEastAsia"/>
          <w:sz w:val="28"/>
          <w:szCs w:val="28"/>
          <w:highlight w:val="none"/>
          <w:u w:val="single"/>
        </w:rPr>
        <w:t xml:space="preserve">      </w:t>
      </w:r>
    </w:p>
    <w:p w14:paraId="45AE87D4">
      <w:pP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二、投诉项目基本情况</w:t>
      </w:r>
    </w:p>
    <w:p w14:paraId="3510FB12">
      <w:pPr>
        <w:rPr>
          <w:rFonts w:asciiTheme="minorEastAsia" w:hAnsiTheme="minorEastAsia" w:eastAsiaTheme="minorEastAsia" w:cstheme="minorEastAsia"/>
          <w:sz w:val="28"/>
          <w:szCs w:val="28"/>
          <w:highlight w:val="none"/>
          <w:u w:val="dotted"/>
        </w:rPr>
      </w:pPr>
      <w:r>
        <w:rPr>
          <w:rFonts w:hint="eastAsia" w:asciiTheme="minorEastAsia" w:hAnsiTheme="minorEastAsia" w:eastAsiaTheme="minorEastAsia" w:cstheme="minorEastAsia"/>
          <w:sz w:val="28"/>
          <w:szCs w:val="28"/>
          <w:highlight w:val="none"/>
        </w:rPr>
        <w:t>采购项目名称：</w:t>
      </w:r>
      <w:r>
        <w:rPr>
          <w:rFonts w:hint="eastAsia" w:asciiTheme="minorEastAsia" w:hAnsiTheme="minorEastAsia" w:eastAsiaTheme="minorEastAsia" w:cstheme="minorEastAsia"/>
          <w:sz w:val="28"/>
          <w:szCs w:val="28"/>
          <w:highlight w:val="none"/>
          <w:u w:val="dotted"/>
        </w:rPr>
        <w:t xml:space="preserve">                                        </w:t>
      </w:r>
    </w:p>
    <w:p w14:paraId="39ACD0C7">
      <w:pPr>
        <w:rPr>
          <w:rFonts w:asciiTheme="minorEastAsia" w:hAnsiTheme="minorEastAsia" w:eastAsiaTheme="minorEastAsia" w:cstheme="minorEastAsia"/>
          <w:sz w:val="28"/>
          <w:szCs w:val="28"/>
          <w:highlight w:val="none"/>
          <w:u w:val="single"/>
        </w:rPr>
      </w:pPr>
      <w:r>
        <w:rPr>
          <w:rFonts w:hint="eastAsia" w:asciiTheme="minorEastAsia" w:hAnsiTheme="minorEastAsia" w:eastAsiaTheme="minorEastAsia" w:cstheme="minorEastAsia"/>
          <w:sz w:val="28"/>
          <w:szCs w:val="28"/>
          <w:highlight w:val="none"/>
        </w:rPr>
        <w:t>采购项目编号：</w:t>
      </w:r>
      <w:r>
        <w:rPr>
          <w:rFonts w:hint="eastAsia" w:asciiTheme="minorEastAsia" w:hAnsiTheme="minorEastAsia" w:eastAsiaTheme="minorEastAsia" w:cstheme="minorEastAsia"/>
          <w:sz w:val="28"/>
          <w:szCs w:val="28"/>
          <w:highlight w:val="none"/>
          <w:u w:val="dotted"/>
        </w:rPr>
        <w:t xml:space="preserve">                 </w:t>
      </w:r>
      <w:r>
        <w:rPr>
          <w:rFonts w:hint="eastAsia" w:asciiTheme="minorEastAsia" w:hAnsiTheme="minorEastAsia" w:eastAsiaTheme="minorEastAsia" w:cstheme="minorEastAsia"/>
          <w:sz w:val="28"/>
          <w:szCs w:val="28"/>
          <w:highlight w:val="none"/>
        </w:rPr>
        <w:t>包号：</w:t>
      </w:r>
      <w:r>
        <w:rPr>
          <w:rFonts w:hint="eastAsia" w:asciiTheme="minorEastAsia" w:hAnsiTheme="minorEastAsia" w:eastAsiaTheme="minorEastAsia" w:cstheme="minorEastAsia"/>
          <w:sz w:val="28"/>
          <w:szCs w:val="28"/>
          <w:highlight w:val="none"/>
          <w:u w:val="dotted"/>
        </w:rPr>
        <w:t xml:space="preserve">              </w:t>
      </w:r>
    </w:p>
    <w:p w14:paraId="6B508E39">
      <w:pP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采购人名称：</w:t>
      </w:r>
      <w:r>
        <w:rPr>
          <w:rFonts w:hint="eastAsia" w:asciiTheme="minorEastAsia" w:hAnsiTheme="minorEastAsia" w:eastAsiaTheme="minorEastAsia" w:cstheme="minorEastAsia"/>
          <w:sz w:val="28"/>
          <w:szCs w:val="28"/>
          <w:highlight w:val="none"/>
          <w:u w:val="dotted"/>
        </w:rPr>
        <w:t xml:space="preserve">                                           </w:t>
      </w:r>
      <w:r>
        <w:rPr>
          <w:rFonts w:hint="eastAsia" w:asciiTheme="minorEastAsia" w:hAnsiTheme="minorEastAsia" w:eastAsiaTheme="minorEastAsia" w:cstheme="minorEastAsia"/>
          <w:sz w:val="28"/>
          <w:szCs w:val="28"/>
          <w:highlight w:val="none"/>
          <w:u w:val="single"/>
        </w:rPr>
        <w:t xml:space="preserve">  </w:t>
      </w:r>
    </w:p>
    <w:p w14:paraId="49500641">
      <w:pPr>
        <w:rPr>
          <w:rFonts w:asciiTheme="minorEastAsia" w:hAnsiTheme="minorEastAsia" w:eastAsiaTheme="minorEastAsia" w:cstheme="minorEastAsia"/>
          <w:sz w:val="28"/>
          <w:szCs w:val="28"/>
          <w:highlight w:val="none"/>
          <w:u w:val="single"/>
        </w:rPr>
      </w:pPr>
      <w:r>
        <w:rPr>
          <w:rFonts w:hint="eastAsia" w:asciiTheme="minorEastAsia" w:hAnsiTheme="minorEastAsia" w:eastAsiaTheme="minorEastAsia" w:cstheme="minorEastAsia"/>
          <w:sz w:val="28"/>
          <w:szCs w:val="28"/>
          <w:highlight w:val="none"/>
        </w:rPr>
        <w:t>代理机构名称：</w:t>
      </w:r>
      <w:r>
        <w:rPr>
          <w:rFonts w:hint="eastAsia" w:asciiTheme="minorEastAsia" w:hAnsiTheme="minorEastAsia" w:eastAsiaTheme="minorEastAsia" w:cstheme="minorEastAsia"/>
          <w:sz w:val="28"/>
          <w:szCs w:val="28"/>
          <w:highlight w:val="none"/>
          <w:u w:val="dotted"/>
        </w:rPr>
        <w:t xml:space="preserve">                                         </w:t>
      </w:r>
    </w:p>
    <w:p w14:paraId="0F3871D8">
      <w:pPr>
        <w:rPr>
          <w:rFonts w:asciiTheme="minorEastAsia" w:hAnsiTheme="minorEastAsia" w:eastAsiaTheme="minorEastAsia" w:cstheme="minorEastAsia"/>
          <w:sz w:val="28"/>
          <w:szCs w:val="28"/>
          <w:highlight w:val="none"/>
          <w:u w:val="dotted"/>
        </w:rPr>
      </w:pPr>
      <w:r>
        <w:rPr>
          <w:rFonts w:hint="eastAsia" w:asciiTheme="minorEastAsia" w:hAnsiTheme="minorEastAsia" w:eastAsiaTheme="minorEastAsia" w:cstheme="minorEastAsia"/>
          <w:sz w:val="28"/>
          <w:szCs w:val="28"/>
          <w:highlight w:val="none"/>
        </w:rPr>
        <w:t>采购文件公告:</w:t>
      </w:r>
      <w:r>
        <w:rPr>
          <w:rFonts w:hint="eastAsia" w:asciiTheme="minorEastAsia" w:hAnsiTheme="minorEastAsia" w:eastAsiaTheme="minorEastAsia" w:cstheme="minorEastAsia"/>
          <w:sz w:val="28"/>
          <w:szCs w:val="28"/>
          <w:highlight w:val="none"/>
          <w:u w:val="dotted"/>
        </w:rPr>
        <w:t xml:space="preserve">是/否 </w:t>
      </w:r>
      <w:r>
        <w:rPr>
          <w:rFonts w:hint="eastAsia" w:asciiTheme="minorEastAsia" w:hAnsiTheme="minorEastAsia" w:eastAsiaTheme="minorEastAsia" w:cstheme="minorEastAsia"/>
          <w:sz w:val="28"/>
          <w:szCs w:val="28"/>
          <w:highlight w:val="none"/>
        </w:rPr>
        <w:t>公告期限：</w:t>
      </w:r>
      <w:r>
        <w:rPr>
          <w:rFonts w:hint="eastAsia" w:asciiTheme="minorEastAsia" w:hAnsiTheme="minorEastAsia" w:eastAsiaTheme="minorEastAsia" w:cstheme="minorEastAsia"/>
          <w:sz w:val="28"/>
          <w:szCs w:val="28"/>
          <w:highlight w:val="none"/>
          <w:u w:val="dotted"/>
        </w:rPr>
        <w:t xml:space="preserve">                                 </w:t>
      </w:r>
    </w:p>
    <w:p w14:paraId="00EECE2E">
      <w:pPr>
        <w:rPr>
          <w:rFonts w:asciiTheme="minorEastAsia" w:hAnsiTheme="minorEastAsia" w:eastAsiaTheme="minorEastAsia" w:cstheme="minorEastAsia"/>
          <w:sz w:val="28"/>
          <w:szCs w:val="28"/>
          <w:highlight w:val="none"/>
          <w:u w:val="single"/>
        </w:rPr>
      </w:pPr>
      <w:r>
        <w:rPr>
          <w:rFonts w:hint="eastAsia" w:asciiTheme="minorEastAsia" w:hAnsiTheme="minorEastAsia" w:eastAsiaTheme="minorEastAsia" w:cstheme="minorEastAsia"/>
          <w:sz w:val="28"/>
          <w:szCs w:val="28"/>
          <w:highlight w:val="none"/>
        </w:rPr>
        <w:t>采购结果公告:</w:t>
      </w:r>
      <w:r>
        <w:rPr>
          <w:rFonts w:hint="eastAsia" w:asciiTheme="minorEastAsia" w:hAnsiTheme="minorEastAsia" w:eastAsiaTheme="minorEastAsia" w:cstheme="minorEastAsia"/>
          <w:sz w:val="28"/>
          <w:szCs w:val="28"/>
          <w:highlight w:val="none"/>
          <w:u w:val="dotted"/>
        </w:rPr>
        <w:t xml:space="preserve">是/否 </w:t>
      </w:r>
      <w:r>
        <w:rPr>
          <w:rFonts w:hint="eastAsia" w:asciiTheme="minorEastAsia" w:hAnsiTheme="minorEastAsia" w:eastAsiaTheme="minorEastAsia" w:cstheme="minorEastAsia"/>
          <w:sz w:val="28"/>
          <w:szCs w:val="28"/>
          <w:highlight w:val="none"/>
        </w:rPr>
        <w:t>公告期限：</w:t>
      </w:r>
      <w:r>
        <w:rPr>
          <w:rFonts w:hint="eastAsia" w:asciiTheme="minorEastAsia" w:hAnsiTheme="minorEastAsia" w:eastAsiaTheme="minorEastAsia" w:cstheme="minorEastAsia"/>
          <w:sz w:val="28"/>
          <w:szCs w:val="28"/>
          <w:highlight w:val="none"/>
          <w:u w:val="dotted"/>
        </w:rPr>
        <w:t xml:space="preserve">                        </w:t>
      </w:r>
    </w:p>
    <w:p w14:paraId="7C5DC608">
      <w:pP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三、质疑基本情况</w:t>
      </w:r>
    </w:p>
    <w:p w14:paraId="1281C630">
      <w:pPr>
        <w:ind w:firstLine="560" w:firstLineChars="200"/>
        <w:rPr>
          <w:rFonts w:asciiTheme="minorEastAsia" w:hAnsiTheme="minorEastAsia" w:eastAsiaTheme="minorEastAsia" w:cstheme="minorEastAsia"/>
          <w:sz w:val="28"/>
          <w:szCs w:val="28"/>
          <w:highlight w:val="none"/>
          <w:u w:val="dotted"/>
        </w:rPr>
      </w:pPr>
      <w:r>
        <w:rPr>
          <w:rFonts w:hint="eastAsia" w:asciiTheme="minorEastAsia" w:hAnsiTheme="minorEastAsia" w:eastAsiaTheme="minorEastAsia" w:cstheme="minorEastAsia"/>
          <w:sz w:val="28"/>
          <w:szCs w:val="28"/>
          <w:highlight w:val="none"/>
        </w:rPr>
        <w:t>投诉人于</w:t>
      </w:r>
      <w:r>
        <w:rPr>
          <w:rFonts w:hint="eastAsia" w:asciiTheme="minorEastAsia" w:hAnsiTheme="minorEastAsia" w:eastAsiaTheme="minorEastAsia" w:cstheme="minorEastAsia"/>
          <w:sz w:val="28"/>
          <w:szCs w:val="28"/>
          <w:highlight w:val="none"/>
          <w:u w:val="dotted"/>
        </w:rPr>
        <w:t xml:space="preserve">   </w:t>
      </w:r>
      <w:r>
        <w:rPr>
          <w:rFonts w:hint="eastAsia" w:asciiTheme="minorEastAsia" w:hAnsiTheme="minorEastAsia" w:eastAsiaTheme="minorEastAsia" w:cstheme="minorEastAsia"/>
          <w:sz w:val="28"/>
          <w:szCs w:val="28"/>
          <w:highlight w:val="none"/>
        </w:rPr>
        <w:t>年</w:t>
      </w:r>
      <w:r>
        <w:rPr>
          <w:rFonts w:hint="eastAsia" w:asciiTheme="minorEastAsia" w:hAnsiTheme="minorEastAsia" w:eastAsiaTheme="minorEastAsia" w:cstheme="minorEastAsia"/>
          <w:sz w:val="28"/>
          <w:szCs w:val="28"/>
          <w:highlight w:val="none"/>
          <w:u w:val="dotted"/>
        </w:rPr>
        <w:t xml:space="preserve">   </w:t>
      </w:r>
      <w:r>
        <w:rPr>
          <w:rFonts w:hint="eastAsia" w:asciiTheme="minorEastAsia" w:hAnsiTheme="minorEastAsia" w:eastAsiaTheme="minorEastAsia" w:cstheme="minorEastAsia"/>
          <w:sz w:val="28"/>
          <w:szCs w:val="28"/>
          <w:highlight w:val="none"/>
        </w:rPr>
        <w:t>月</w:t>
      </w:r>
      <w:r>
        <w:rPr>
          <w:rFonts w:hint="eastAsia" w:asciiTheme="minorEastAsia" w:hAnsiTheme="minorEastAsia" w:eastAsiaTheme="minorEastAsia" w:cstheme="minorEastAsia"/>
          <w:sz w:val="28"/>
          <w:szCs w:val="28"/>
          <w:highlight w:val="none"/>
          <w:u w:val="dotted"/>
        </w:rPr>
        <w:t xml:space="preserve">  </w:t>
      </w:r>
      <w:r>
        <w:rPr>
          <w:rFonts w:hint="eastAsia" w:asciiTheme="minorEastAsia" w:hAnsiTheme="minorEastAsia" w:eastAsiaTheme="minorEastAsia" w:cstheme="minorEastAsia"/>
          <w:sz w:val="28"/>
          <w:szCs w:val="28"/>
          <w:highlight w:val="none"/>
        </w:rPr>
        <w:t>日,向</w:t>
      </w:r>
      <w:r>
        <w:rPr>
          <w:rFonts w:hint="eastAsia" w:asciiTheme="minorEastAsia" w:hAnsiTheme="minorEastAsia" w:eastAsiaTheme="minorEastAsia" w:cstheme="minorEastAsia"/>
          <w:sz w:val="28"/>
          <w:szCs w:val="28"/>
          <w:highlight w:val="none"/>
          <w:u w:val="dotted"/>
        </w:rPr>
        <w:t xml:space="preserve">                   </w:t>
      </w:r>
      <w:r>
        <w:rPr>
          <w:rFonts w:hint="eastAsia" w:asciiTheme="minorEastAsia" w:hAnsiTheme="minorEastAsia" w:eastAsiaTheme="minorEastAsia" w:cstheme="minorEastAsia"/>
          <w:sz w:val="28"/>
          <w:szCs w:val="28"/>
          <w:highlight w:val="none"/>
        </w:rPr>
        <w:t>提出质疑，质疑事项为：</w:t>
      </w:r>
      <w:r>
        <w:rPr>
          <w:rFonts w:hint="eastAsia" w:asciiTheme="minorEastAsia" w:hAnsiTheme="minorEastAsia" w:eastAsiaTheme="minorEastAsia" w:cstheme="minorEastAsia"/>
          <w:sz w:val="28"/>
          <w:szCs w:val="28"/>
          <w:highlight w:val="none"/>
          <w:u w:val="dotted"/>
        </w:rPr>
        <w:t xml:space="preserve">                                </w:t>
      </w:r>
    </w:p>
    <w:p w14:paraId="13789333">
      <w:pPr>
        <w:rPr>
          <w:rFonts w:asciiTheme="minorEastAsia" w:hAnsiTheme="minorEastAsia" w:eastAsiaTheme="minorEastAsia" w:cstheme="minorEastAsia"/>
          <w:sz w:val="28"/>
          <w:szCs w:val="28"/>
          <w:highlight w:val="none"/>
          <w:u w:val="dotted"/>
        </w:rPr>
      </w:pPr>
      <w:r>
        <w:rPr>
          <w:rFonts w:hint="eastAsia" w:asciiTheme="minorEastAsia" w:hAnsiTheme="minorEastAsia" w:eastAsiaTheme="minorEastAsia" w:cstheme="minorEastAsia"/>
          <w:sz w:val="28"/>
          <w:szCs w:val="28"/>
          <w:highlight w:val="none"/>
          <w:u w:val="dotted"/>
        </w:rPr>
        <w:t xml:space="preserve">                                                     </w:t>
      </w:r>
      <w:r>
        <w:rPr>
          <w:rFonts w:hint="eastAsia" w:asciiTheme="minorEastAsia" w:hAnsiTheme="minorEastAsia" w:eastAsiaTheme="minorEastAsia" w:cstheme="minorEastAsia"/>
          <w:sz w:val="28"/>
          <w:szCs w:val="28"/>
          <w:highlight w:val="none"/>
        </w:rPr>
        <w:t xml:space="preserve">  </w:t>
      </w:r>
    </w:p>
    <w:p w14:paraId="6CBBF376">
      <w:pPr>
        <w:ind w:firstLine="420" w:firstLineChars="15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u w:val="dotted"/>
        </w:rPr>
        <w:t>采购人/代理机构</w:t>
      </w:r>
      <w:r>
        <w:rPr>
          <w:rFonts w:hint="eastAsia" w:asciiTheme="minorEastAsia" w:hAnsiTheme="minorEastAsia" w:eastAsiaTheme="minorEastAsia" w:cstheme="minorEastAsia"/>
          <w:sz w:val="28"/>
          <w:szCs w:val="28"/>
          <w:highlight w:val="none"/>
        </w:rPr>
        <w:t>于</w:t>
      </w:r>
      <w:r>
        <w:rPr>
          <w:rFonts w:hint="eastAsia" w:asciiTheme="minorEastAsia" w:hAnsiTheme="minorEastAsia" w:eastAsiaTheme="minorEastAsia" w:cstheme="minorEastAsia"/>
          <w:sz w:val="28"/>
          <w:szCs w:val="28"/>
          <w:highlight w:val="none"/>
          <w:u w:val="dotted"/>
        </w:rPr>
        <w:t xml:space="preserve">   </w:t>
      </w:r>
      <w:r>
        <w:rPr>
          <w:rFonts w:hint="eastAsia" w:asciiTheme="minorEastAsia" w:hAnsiTheme="minorEastAsia" w:eastAsiaTheme="minorEastAsia" w:cstheme="minorEastAsia"/>
          <w:sz w:val="28"/>
          <w:szCs w:val="28"/>
          <w:highlight w:val="none"/>
        </w:rPr>
        <w:t>年</w:t>
      </w:r>
      <w:r>
        <w:rPr>
          <w:rFonts w:hint="eastAsia" w:asciiTheme="minorEastAsia" w:hAnsiTheme="minorEastAsia" w:eastAsiaTheme="minorEastAsia" w:cstheme="minorEastAsia"/>
          <w:sz w:val="28"/>
          <w:szCs w:val="28"/>
          <w:highlight w:val="none"/>
          <w:u w:val="dotted"/>
        </w:rPr>
        <w:t xml:space="preserve">   </w:t>
      </w:r>
      <w:r>
        <w:rPr>
          <w:rFonts w:hint="eastAsia" w:asciiTheme="minorEastAsia" w:hAnsiTheme="minorEastAsia" w:eastAsiaTheme="minorEastAsia" w:cstheme="minorEastAsia"/>
          <w:sz w:val="28"/>
          <w:szCs w:val="28"/>
          <w:highlight w:val="none"/>
        </w:rPr>
        <w:t>月</w:t>
      </w:r>
      <w:r>
        <w:rPr>
          <w:rFonts w:hint="eastAsia" w:asciiTheme="minorEastAsia" w:hAnsiTheme="minorEastAsia" w:eastAsiaTheme="minorEastAsia" w:cstheme="minorEastAsia"/>
          <w:sz w:val="28"/>
          <w:szCs w:val="28"/>
          <w:highlight w:val="none"/>
          <w:u w:val="dotted"/>
        </w:rPr>
        <w:t xml:space="preserve">   </w:t>
      </w:r>
      <w:r>
        <w:rPr>
          <w:rFonts w:hint="eastAsia" w:asciiTheme="minorEastAsia" w:hAnsiTheme="minorEastAsia" w:eastAsiaTheme="minorEastAsia" w:cstheme="minorEastAsia"/>
          <w:sz w:val="28"/>
          <w:szCs w:val="28"/>
          <w:highlight w:val="none"/>
        </w:rPr>
        <w:t>日,就质疑事项作出了答复/没有在法定期限内作出答复。</w:t>
      </w:r>
    </w:p>
    <w:p w14:paraId="01164A4E">
      <w:pP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四、投诉事项具体内容</w:t>
      </w:r>
    </w:p>
    <w:p w14:paraId="14E4E9E1">
      <w:pPr>
        <w:rPr>
          <w:rFonts w:asciiTheme="minorEastAsia" w:hAnsiTheme="minorEastAsia" w:eastAsiaTheme="minorEastAsia" w:cstheme="minorEastAsia"/>
          <w:sz w:val="28"/>
          <w:szCs w:val="28"/>
          <w:highlight w:val="none"/>
          <w:u w:val="single"/>
        </w:rPr>
      </w:pPr>
      <w:r>
        <w:rPr>
          <w:rFonts w:hint="eastAsia" w:asciiTheme="minorEastAsia" w:hAnsiTheme="minorEastAsia" w:eastAsiaTheme="minorEastAsia" w:cstheme="minorEastAsia"/>
          <w:sz w:val="28"/>
          <w:szCs w:val="28"/>
          <w:highlight w:val="none"/>
        </w:rPr>
        <w:t>投诉事项 1：</w:t>
      </w:r>
      <w:r>
        <w:rPr>
          <w:rFonts w:hint="eastAsia" w:asciiTheme="minorEastAsia" w:hAnsiTheme="minorEastAsia" w:eastAsiaTheme="minorEastAsia" w:cstheme="minorEastAsia"/>
          <w:sz w:val="28"/>
          <w:szCs w:val="28"/>
          <w:highlight w:val="none"/>
          <w:u w:val="dotted"/>
        </w:rPr>
        <w:t xml:space="preserve">                                       </w:t>
      </w:r>
    </w:p>
    <w:p w14:paraId="0CB6518D">
      <w:pP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事实依据：</w:t>
      </w:r>
      <w:r>
        <w:rPr>
          <w:rFonts w:hint="eastAsia" w:asciiTheme="minorEastAsia" w:hAnsiTheme="minorEastAsia" w:eastAsiaTheme="minorEastAsia" w:cstheme="minorEastAsia"/>
          <w:sz w:val="28"/>
          <w:szCs w:val="28"/>
          <w:highlight w:val="none"/>
          <w:u w:val="dotted"/>
        </w:rPr>
        <w:t xml:space="preserve">                                         </w:t>
      </w:r>
    </w:p>
    <w:p w14:paraId="7A95FA06">
      <w:pPr>
        <w:rPr>
          <w:rFonts w:asciiTheme="minorEastAsia" w:hAnsiTheme="minorEastAsia" w:eastAsiaTheme="minorEastAsia" w:cstheme="minorEastAsia"/>
          <w:sz w:val="28"/>
          <w:szCs w:val="28"/>
          <w:highlight w:val="none"/>
          <w:u w:val="dotted"/>
        </w:rPr>
      </w:pPr>
      <w:r>
        <w:rPr>
          <w:rFonts w:hint="eastAsia" w:asciiTheme="minorEastAsia" w:hAnsiTheme="minorEastAsia" w:eastAsiaTheme="minorEastAsia" w:cstheme="minorEastAsia"/>
          <w:sz w:val="28"/>
          <w:szCs w:val="28"/>
          <w:highlight w:val="none"/>
          <w:u w:val="dotted"/>
        </w:rPr>
        <w:t xml:space="preserve">                                                      </w:t>
      </w:r>
    </w:p>
    <w:p w14:paraId="6F53492C">
      <w:pPr>
        <w:rPr>
          <w:rFonts w:asciiTheme="minorEastAsia" w:hAnsiTheme="minorEastAsia" w:eastAsiaTheme="minorEastAsia" w:cstheme="minorEastAsia"/>
          <w:sz w:val="28"/>
          <w:szCs w:val="28"/>
          <w:highlight w:val="none"/>
          <w:u w:val="single"/>
        </w:rPr>
      </w:pPr>
      <w:r>
        <w:rPr>
          <w:rFonts w:hint="eastAsia" w:asciiTheme="minorEastAsia" w:hAnsiTheme="minorEastAsia" w:eastAsiaTheme="minorEastAsia" w:cstheme="minorEastAsia"/>
          <w:sz w:val="28"/>
          <w:szCs w:val="28"/>
          <w:highlight w:val="none"/>
        </w:rPr>
        <w:t>法律依据：</w:t>
      </w:r>
      <w:r>
        <w:rPr>
          <w:rFonts w:hint="eastAsia" w:asciiTheme="minorEastAsia" w:hAnsiTheme="minorEastAsia" w:eastAsiaTheme="minorEastAsia" w:cstheme="minorEastAsia"/>
          <w:sz w:val="28"/>
          <w:szCs w:val="28"/>
          <w:highlight w:val="none"/>
          <w:u w:val="dotted"/>
        </w:rPr>
        <w:t xml:space="preserve">                                          </w:t>
      </w:r>
    </w:p>
    <w:p w14:paraId="5E739134">
      <w:pPr>
        <w:rPr>
          <w:rFonts w:asciiTheme="minorEastAsia" w:hAnsiTheme="minorEastAsia" w:eastAsiaTheme="minorEastAsia" w:cstheme="minorEastAsia"/>
          <w:sz w:val="28"/>
          <w:szCs w:val="28"/>
          <w:highlight w:val="none"/>
          <w:u w:val="dotted"/>
        </w:rPr>
      </w:pPr>
      <w:r>
        <w:rPr>
          <w:rFonts w:hint="eastAsia" w:asciiTheme="minorEastAsia" w:hAnsiTheme="minorEastAsia" w:eastAsiaTheme="minorEastAsia" w:cstheme="minorEastAsia"/>
          <w:sz w:val="28"/>
          <w:szCs w:val="28"/>
          <w:highlight w:val="none"/>
          <w:u w:val="dotted"/>
        </w:rPr>
        <w:t xml:space="preserve">                                                      </w:t>
      </w:r>
    </w:p>
    <w:p w14:paraId="3BD4AAB9">
      <w:pP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投诉事项2</w:t>
      </w:r>
    </w:p>
    <w:p w14:paraId="6CFECB0D">
      <w:pPr>
        <w:rPr>
          <w:rFonts w:asciiTheme="minorEastAsia" w:hAnsiTheme="minorEastAsia" w:eastAsiaTheme="minorEastAsia" w:cstheme="minorEastAsia"/>
          <w:sz w:val="28"/>
          <w:szCs w:val="28"/>
          <w:highlight w:val="none"/>
          <w:u w:val="dotted"/>
        </w:rPr>
      </w:pPr>
      <w:r>
        <w:rPr>
          <w:rFonts w:hint="eastAsia" w:asciiTheme="minorEastAsia" w:hAnsiTheme="minorEastAsia" w:eastAsiaTheme="minorEastAsia" w:cstheme="minorEastAsia"/>
          <w:sz w:val="28"/>
          <w:szCs w:val="28"/>
          <w:highlight w:val="none"/>
        </w:rPr>
        <w:t>……</w:t>
      </w:r>
    </w:p>
    <w:p w14:paraId="3DC06DB6">
      <w:pP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五、与投诉事项相关的投诉请求</w:t>
      </w:r>
    </w:p>
    <w:p w14:paraId="5634223D">
      <w:pP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请求：</w:t>
      </w:r>
      <w:r>
        <w:rPr>
          <w:rFonts w:hint="eastAsia" w:asciiTheme="minorEastAsia" w:hAnsiTheme="minorEastAsia" w:eastAsiaTheme="minorEastAsia" w:cstheme="minorEastAsia"/>
          <w:sz w:val="28"/>
          <w:szCs w:val="28"/>
          <w:highlight w:val="none"/>
          <w:u w:val="dotted"/>
        </w:rPr>
        <w:t xml:space="preserve">                                              </w:t>
      </w:r>
      <w:r>
        <w:rPr>
          <w:rFonts w:hint="eastAsia" w:asciiTheme="minorEastAsia" w:hAnsiTheme="minorEastAsia" w:eastAsiaTheme="minorEastAsia" w:cstheme="minorEastAsia"/>
          <w:sz w:val="28"/>
          <w:szCs w:val="28"/>
          <w:highlight w:val="none"/>
        </w:rPr>
        <w:t xml:space="preserve"> </w:t>
      </w:r>
    </w:p>
    <w:p w14:paraId="7F21C148">
      <w:pPr>
        <w:rPr>
          <w:rFonts w:asciiTheme="minorEastAsia" w:hAnsiTheme="minorEastAsia" w:eastAsiaTheme="minorEastAsia" w:cstheme="minorEastAsia"/>
          <w:sz w:val="28"/>
          <w:szCs w:val="28"/>
          <w:highlight w:val="none"/>
          <w:u w:val="single"/>
        </w:rPr>
      </w:pPr>
      <w:r>
        <w:rPr>
          <w:rFonts w:hint="eastAsia" w:asciiTheme="minorEastAsia" w:hAnsiTheme="minorEastAsia" w:eastAsiaTheme="minorEastAsia" w:cstheme="minorEastAsia"/>
          <w:sz w:val="28"/>
          <w:szCs w:val="28"/>
          <w:highlight w:val="none"/>
        </w:rPr>
        <w:t xml:space="preserve">                                                                                                    </w:t>
      </w:r>
    </w:p>
    <w:p w14:paraId="00CCD771">
      <w:pP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签字(签章)：                   公章：                      </w:t>
      </w:r>
    </w:p>
    <w:p w14:paraId="6CF10418">
      <w:pP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日期：    </w:t>
      </w:r>
    </w:p>
    <w:p w14:paraId="0F0C983C">
      <w:pPr>
        <w:rPr>
          <w:rFonts w:asciiTheme="minorEastAsia" w:hAnsiTheme="minorEastAsia" w:eastAsiaTheme="minorEastAsia" w:cstheme="minorEastAsia"/>
          <w:b/>
          <w:sz w:val="28"/>
          <w:szCs w:val="28"/>
          <w:highlight w:val="none"/>
        </w:rPr>
      </w:pPr>
    </w:p>
    <w:p w14:paraId="35C44BE4">
      <w:pPr>
        <w:rPr>
          <w:rFonts w:asciiTheme="minorEastAsia" w:hAnsiTheme="minorEastAsia" w:eastAsiaTheme="minorEastAsia" w:cstheme="minorEastAsia"/>
          <w:b/>
          <w:sz w:val="28"/>
          <w:szCs w:val="28"/>
          <w:highlight w:val="none"/>
        </w:rPr>
      </w:pPr>
    </w:p>
    <w:p w14:paraId="35347547">
      <w:pPr>
        <w:rPr>
          <w:rFonts w:asciiTheme="minorEastAsia" w:hAnsiTheme="minorEastAsia" w:eastAsiaTheme="minorEastAsia" w:cstheme="minorEastAsia"/>
          <w:b/>
          <w:sz w:val="28"/>
          <w:szCs w:val="28"/>
          <w:highlight w:val="none"/>
        </w:rPr>
      </w:pPr>
    </w:p>
    <w:p w14:paraId="251C36EB">
      <w:pPr>
        <w:rPr>
          <w:rFonts w:asciiTheme="minorEastAsia" w:hAnsiTheme="minorEastAsia" w:eastAsiaTheme="minorEastAsia" w:cstheme="minorEastAsia"/>
          <w:b/>
          <w:sz w:val="28"/>
          <w:szCs w:val="28"/>
          <w:highlight w:val="none"/>
        </w:rPr>
      </w:pPr>
    </w:p>
    <w:p w14:paraId="6EBE7FD7">
      <w:pPr>
        <w:rPr>
          <w:rFonts w:asciiTheme="minorEastAsia" w:hAnsiTheme="minorEastAsia" w:eastAsiaTheme="minorEastAsia" w:cstheme="minorEastAsia"/>
          <w:b/>
          <w:sz w:val="28"/>
          <w:szCs w:val="28"/>
          <w:highlight w:val="none"/>
        </w:rPr>
      </w:pPr>
    </w:p>
    <w:p w14:paraId="7CC11E3F">
      <w:pPr>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投诉书制作说明：</w:t>
      </w:r>
    </w:p>
    <w:p w14:paraId="47F1B025">
      <w:pPr>
        <w:widowControl/>
        <w:ind w:firstLine="480" w:firstLineChars="200"/>
        <w:rPr>
          <w:rFonts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sz w:val="24"/>
          <w:highlight w:val="none"/>
        </w:rPr>
        <w:t>1.投诉人提起投诉时，应当提交投诉书和必要的证明材料，并按照被投诉人和与投诉事项有关的供应商数量提供投诉书副本。</w:t>
      </w:r>
    </w:p>
    <w:p w14:paraId="3535694B">
      <w:pPr>
        <w:widowControl/>
        <w:ind w:firstLine="480" w:firstLineChars="200"/>
        <w:jc w:val="left"/>
        <w:rPr>
          <w:rFonts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sz w:val="24"/>
          <w:highlight w:val="none"/>
        </w:rPr>
        <w:t>2.投诉人若委托代理人进行投诉的，投诉书应按照要求列明“授权代表”的有关内容，并在附件中提交由</w:t>
      </w:r>
      <w:r>
        <w:rPr>
          <w:rFonts w:hint="eastAsia" w:asciiTheme="minorEastAsia" w:hAnsiTheme="minorEastAsia" w:eastAsiaTheme="minorEastAsia" w:cstheme="minorEastAsia"/>
          <w:kern w:val="0"/>
          <w:sz w:val="24"/>
          <w:highlight w:val="none"/>
        </w:rPr>
        <w:t>投诉人签署的授权委托书。授权委托书应当载明代理人的姓名或者名称、代理事项、具体权限、期限和相关事项。</w:t>
      </w:r>
    </w:p>
    <w:p w14:paraId="3A1E6A54">
      <w:pPr>
        <w:widowControl/>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3.投诉人若对项目的某一分包进行投诉，投诉书应列明具体分包号。</w:t>
      </w:r>
    </w:p>
    <w:p w14:paraId="206FD12A">
      <w:pPr>
        <w:widowControl/>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4.投诉书应简要列明质疑事项，质疑函、质疑答复等作为附件材料提供。</w:t>
      </w:r>
    </w:p>
    <w:p w14:paraId="5C7FA7CB">
      <w:pPr>
        <w:widowControl/>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5.投诉书的投诉事项应具体、明确，并有必要的事实依据和法律依据。</w:t>
      </w:r>
    </w:p>
    <w:p w14:paraId="0A3070A3">
      <w:pPr>
        <w:widowControl/>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6.投诉书的投诉请求应与投诉事项相关。</w:t>
      </w:r>
    </w:p>
    <w:p w14:paraId="467C9FD8">
      <w:pPr>
        <w:widowControl/>
        <w:ind w:firstLine="480" w:firstLineChars="200"/>
        <w:jc w:val="left"/>
        <w:rPr>
          <w:rFonts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sz w:val="24"/>
          <w:highlight w:val="none"/>
        </w:rPr>
        <w:t>7.投诉人为自然人的，投诉书应当由本人签字；投诉人为法人或者其他组织的，投诉书应当由法定代表人、主要负责人，或者其授权代表签字或者盖章，并加盖公章。</w:t>
      </w:r>
    </w:p>
    <w:p w14:paraId="64C52A93">
      <w:pPr>
        <w:jc w:val="left"/>
        <w:rPr>
          <w:rFonts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sz w:val="28"/>
          <w:szCs w:val="28"/>
          <w:highlight w:val="none"/>
        </w:rPr>
        <w:t xml:space="preserve">         </w:t>
      </w:r>
      <w:r>
        <w:rPr>
          <w:rFonts w:hint="eastAsia" w:asciiTheme="minorEastAsia" w:hAnsiTheme="minorEastAsia" w:eastAsiaTheme="minorEastAsia" w:cstheme="minorEastAsia"/>
          <w:b/>
          <w:sz w:val="28"/>
          <w:szCs w:val="28"/>
          <w:highlight w:val="none"/>
        </w:rPr>
        <w:t xml:space="preserve"> </w:t>
      </w:r>
    </w:p>
    <w:p w14:paraId="3078CB5A">
      <w:pPr>
        <w:jc w:val="left"/>
        <w:rPr>
          <w:rFonts w:asciiTheme="minorEastAsia" w:hAnsiTheme="minorEastAsia" w:eastAsiaTheme="minorEastAsia" w:cstheme="minorEastAsia"/>
          <w:b/>
          <w:sz w:val="28"/>
          <w:szCs w:val="28"/>
          <w:highlight w:val="none"/>
        </w:rPr>
      </w:pPr>
    </w:p>
    <w:p w14:paraId="2FA7E02D">
      <w:pPr>
        <w:pStyle w:val="3"/>
        <w:rPr>
          <w:rFonts w:asciiTheme="minorEastAsia" w:hAnsiTheme="minorEastAsia" w:eastAsiaTheme="minorEastAsia" w:cstheme="minorEastAsia"/>
          <w:sz w:val="28"/>
          <w:szCs w:val="28"/>
          <w:highlight w:val="none"/>
        </w:rPr>
      </w:pPr>
    </w:p>
    <w:p w14:paraId="67E9D66D">
      <w:pPr>
        <w:rPr>
          <w:rFonts w:asciiTheme="minorEastAsia" w:hAnsiTheme="minorEastAsia" w:eastAsiaTheme="minorEastAsia" w:cstheme="minorEastAsia"/>
          <w:b/>
          <w:sz w:val="28"/>
          <w:szCs w:val="28"/>
          <w:highlight w:val="none"/>
        </w:rPr>
      </w:pPr>
    </w:p>
    <w:p w14:paraId="2FCE510F">
      <w:pPr>
        <w:pStyle w:val="3"/>
        <w:rPr>
          <w:rFonts w:asciiTheme="minorEastAsia" w:hAnsiTheme="minorEastAsia" w:eastAsiaTheme="minorEastAsia" w:cstheme="minorEastAsia"/>
          <w:sz w:val="28"/>
          <w:szCs w:val="28"/>
          <w:highlight w:val="none"/>
        </w:rPr>
      </w:pPr>
    </w:p>
    <w:p w14:paraId="67EC41C0">
      <w:pPr>
        <w:rPr>
          <w:rFonts w:asciiTheme="minorEastAsia" w:hAnsiTheme="minorEastAsia" w:eastAsiaTheme="minorEastAsia" w:cstheme="minorEastAsia"/>
          <w:b/>
          <w:sz w:val="28"/>
          <w:szCs w:val="28"/>
          <w:highlight w:val="none"/>
        </w:rPr>
      </w:pPr>
    </w:p>
    <w:p w14:paraId="6C80A741">
      <w:pPr>
        <w:pStyle w:val="3"/>
        <w:rPr>
          <w:rFonts w:asciiTheme="minorEastAsia" w:hAnsiTheme="minorEastAsia" w:eastAsiaTheme="minorEastAsia" w:cstheme="minorEastAsia"/>
          <w:sz w:val="28"/>
          <w:szCs w:val="28"/>
          <w:highlight w:val="none"/>
        </w:rPr>
      </w:pPr>
    </w:p>
    <w:p w14:paraId="478F1679">
      <w:pPr>
        <w:rPr>
          <w:rFonts w:asciiTheme="minorEastAsia" w:hAnsiTheme="minorEastAsia" w:eastAsiaTheme="minorEastAsia" w:cstheme="minorEastAsia"/>
          <w:b/>
          <w:sz w:val="28"/>
          <w:szCs w:val="28"/>
          <w:highlight w:val="none"/>
        </w:rPr>
      </w:pPr>
    </w:p>
    <w:p w14:paraId="22188C49">
      <w:pPr>
        <w:rPr>
          <w:rFonts w:asciiTheme="minorEastAsia" w:hAnsiTheme="minorEastAsia" w:eastAsiaTheme="minorEastAsia" w:cstheme="minorEastAsia"/>
          <w:b/>
          <w:sz w:val="28"/>
          <w:szCs w:val="28"/>
          <w:highlight w:val="none"/>
        </w:rPr>
      </w:pPr>
    </w:p>
    <w:p w14:paraId="48FFD10C">
      <w:pPr>
        <w:rPr>
          <w:highlight w:val="none"/>
        </w:rPr>
      </w:pPr>
    </w:p>
    <w:sectPr>
      <w:headerReference r:id="rId10" w:type="first"/>
      <w:footerReference r:id="rId12" w:type="first"/>
      <w:headerReference r:id="rId9" w:type="default"/>
      <w:footerReference r:id="rId11" w:type="default"/>
      <w:pgSz w:w="11906" w:h="16838"/>
      <w:pgMar w:top="851" w:right="1247" w:bottom="1021" w:left="1247" w:header="851" w:footer="907"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Arial Narrow">
    <w:panose1 w:val="020B0506020202030204"/>
    <w:charset w:val="00"/>
    <w:family w:val="swiss"/>
    <w:pitch w:val="default"/>
    <w:sig w:usb0="00000287" w:usb1="00000000" w:usb2="00000000" w:usb3="00000000" w:csb0="2000009F" w:csb1="DFD70000"/>
  </w:font>
  <w:font w:name="幼圆">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A00002EF" w:usb1="4000207B" w:usb2="00000000" w:usb3="00000000" w:csb0="2000019F" w:csb1="00000000"/>
  </w:font>
  <w:font w:name="新宋体">
    <w:panose1 w:val="02010609030101010101"/>
    <w:charset w:val="86"/>
    <w:family w:val="modern"/>
    <w:pitch w:val="default"/>
    <w:sig w:usb0="00000003" w:usb1="288F0000" w:usb2="00000006" w:usb3="00000000" w:csb0="00040001" w:csb1="00000000"/>
  </w:font>
  <w:font w:name="宋体..鍼笁鍼.">
    <w:altName w:val="宋体"/>
    <w:panose1 w:val="00000000000000000000"/>
    <w:charset w:val="86"/>
    <w:family w:val="roma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A154D">
    <w:pPr>
      <w:pStyle w:val="28"/>
      <w:jc w:val="center"/>
      <w:rPr>
        <w:rFonts w:ascii="仿宋_GB2312" w:eastAsia="仿宋_GB2312"/>
      </w:rPr>
    </w:pPr>
  </w:p>
  <w:p w14:paraId="6B6A2C7A">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36FD5">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F930EE4">
                          <w:pPr>
                            <w:pStyle w:val="28"/>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3F930EE4">
                    <w:pPr>
                      <w:pStyle w:val="28"/>
                    </w:pPr>
                    <w:r>
                      <w:fldChar w:fldCharType="begin"/>
                    </w:r>
                    <w:r>
                      <w:instrText xml:space="preserve"> PAGE  \* MERGEFORMAT </w:instrText>
                    </w:r>
                    <w:r>
                      <w:fldChar w:fldCharType="separate"/>
                    </w:r>
                    <w:r>
                      <w:t>6</w:t>
                    </w:r>
                    <w:r>
                      <w:fldChar w:fldCharType="end"/>
                    </w:r>
                  </w:p>
                </w:txbxContent>
              </v:textbox>
            </v:shape>
          </w:pict>
        </mc:Fallback>
      </mc:AlternateContent>
    </w:r>
    <w:r>
      <w:rPr>
        <w:rFonts w:hint="eastAsia" w:ascii="仿宋_GB2312" w:eastAsia="仿宋_GB2312"/>
        <w:kern w:val="0"/>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D7DED">
    <w:pPr>
      <w:pStyle w:val="28"/>
      <w:jc w:val="center"/>
      <w:rPr>
        <w:rFonts w:ascii="仿宋_GB2312" w:eastAsia="仿宋_GB2312"/>
      </w:rPr>
    </w:pPr>
  </w:p>
  <w:p w14:paraId="1E448A73">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773B5">
    <w:pPr>
      <w:pStyle w:val="28"/>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42253D4">
                          <w:pPr>
                            <w:pStyle w:val="28"/>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14:paraId="542253D4">
                    <w:pPr>
                      <w:pStyle w:val="28"/>
                    </w:pPr>
                    <w:r>
                      <w:fldChar w:fldCharType="begin"/>
                    </w:r>
                    <w:r>
                      <w:instrText xml:space="preserve"> PAGE  \* MERGEFORMAT </w:instrText>
                    </w:r>
                    <w:r>
                      <w:fldChar w:fldCharType="separate"/>
                    </w:r>
                    <w:r>
                      <w:t>6</w:t>
                    </w:r>
                    <w:r>
                      <w:fldChar w:fldCharType="end"/>
                    </w:r>
                  </w:p>
                </w:txbxContent>
              </v:textbox>
            </v:shape>
          </w:pict>
        </mc:Fallback>
      </mc:AlternateContent>
    </w:r>
  </w:p>
  <w:p w14:paraId="66F9504E">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094A1">
    <w:pPr>
      <w:pStyle w:val="28"/>
      <w:ind w:firstLine="4320" w:firstLineChars="240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0535E0B7">
                          <w:pPr>
                            <w:pStyle w:val="28"/>
                            <w:rPr>
                              <w:rStyle w:val="44"/>
                            </w:rPr>
                          </w:pPr>
                          <w:r>
                            <w:fldChar w:fldCharType="begin"/>
                          </w:r>
                          <w:r>
                            <w:rPr>
                              <w:rStyle w:val="44"/>
                            </w:rPr>
                            <w:instrText xml:space="preserve">PAGE  </w:instrText>
                          </w:r>
                          <w:r>
                            <w:fldChar w:fldCharType="separate"/>
                          </w:r>
                          <w:r>
                            <w:rPr>
                              <w:rStyle w:val="44"/>
                            </w:rPr>
                            <w:t>74</w:t>
                          </w:r>
                          <w:r>
                            <w:fldChar w:fldCharType="end"/>
                          </w:r>
                        </w:p>
                      </w:txbxContent>
                    </wps:txbx>
                    <wps:bodyPr vert="horz" wrap="none" lIns="0" tIns="0" rIns="0" bIns="0" anchor="t" anchorCtr="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6hcEuABAAC8AwAADgAAAGRycy9lMm9Eb2MueG1srVPNjtMwEL4j7TtY&#10;vtOklXYpUd3VLtUiJARICw/gOk5jyX+yp03KA8AbcOLCnefqczB2khYtlz1wScaemW/m+2a8uu2N&#10;JgcZonKW0fmspERa4Wpld4x++fzwcklJBG5rrp2VjB5lpLfrqxerzldy4VqnaxkIgthYdZ7RFsBX&#10;RRFFKw2PM+elRWfjguGAx7Ar6sA7RDe6WJTlTdG5UPvghIwRbzeDk46I4TmArmmUkBsn9kZaGFCD&#10;1ByQUmyVj3Sdu20aKeBj00QJRDOKTCF/sQja2/Qt1ite7QL3rRJjC/w5LTzhZLiyWPQMteHAyT6o&#10;f6CMEsFF18BMOFMMRLIiyGJePtHmseVeZi4odfRn0eP/gxUfDp8CUTWjryix3ODATz++n37+Pv36&#10;RuZZn87HCsMePQZCf+963JqkW7qPeJlo900w6Y+ECPpR3eNZXdkDESlpuVguS3QJ9E0HxCku6T5E&#10;eCudIclgNOD4sqr88D7CEDqFpGrWPSit8wi1JR2jr68X1znh7EFwbbHGpdlkQb/tRwZbVx+RGD4I&#10;LNi68JWSDteBUYvbT4l+Z1HttDmTESZjOxncCkxkFCgZzDeQNyy1GP3dHrDN3H0qPdQbO8KhZv7j&#10;Aqat+fucoy6Pbv0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EeoXBLgAQAAvAMAAA4AAAAA&#10;AAAAAQAgAAAAHgEAAGRycy9lMm9Eb2MueG1sUEsFBgAAAAAGAAYAWQEAAHAFAAAAAA==&#10;">
              <v:fill on="f" focussize="0,0"/>
              <v:stroke on="f"/>
              <v:imagedata o:title=""/>
              <o:lock v:ext="edit" aspectratio="f"/>
              <v:textbox inset="0mm,0mm,0mm,0mm" style="mso-fit-shape-to-text:t;">
                <w:txbxContent>
                  <w:p w14:paraId="0535E0B7">
                    <w:pPr>
                      <w:pStyle w:val="28"/>
                      <w:rPr>
                        <w:rStyle w:val="44"/>
                      </w:rPr>
                    </w:pPr>
                    <w:r>
                      <w:fldChar w:fldCharType="begin"/>
                    </w:r>
                    <w:r>
                      <w:rPr>
                        <w:rStyle w:val="44"/>
                      </w:rPr>
                      <w:instrText xml:space="preserve">PAGE  </w:instrText>
                    </w:r>
                    <w:r>
                      <w:fldChar w:fldCharType="separate"/>
                    </w:r>
                    <w:r>
                      <w:rPr>
                        <w:rStyle w:val="44"/>
                      </w:rPr>
                      <w:t>74</w:t>
                    </w:r>
                    <w:r>
                      <w:fldChar w:fldCharType="end"/>
                    </w:r>
                  </w:p>
                </w:txbxContent>
              </v:textbox>
            </v:shape>
          </w:pict>
        </mc:Fallback>
      </mc:AlternateContent>
    </w:r>
    <w:r>
      <w:rPr>
        <w:rFonts w:hint="eastAsia"/>
      </w:rPr>
      <w:t xml:space="preserve">  </w:t>
    </w:r>
    <w:r>
      <w:t xml:space="preserve">   </w:t>
    </w:r>
    <w:r>
      <w:rPr>
        <w:rFonts w:hint="eastAsia"/>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B8F36">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DCDBD71">
                          <w:pPr>
                            <w:pStyle w:val="28"/>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ghS4xAgAAYw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NrSjRTaPj5x/fz&#10;z9/nX9/IVZSnsX6OqAeLuNC+My2GZrj3uIys29Kp+As+BH6Ie7qIK9pAeHw0m85mY7g4fMMB+NnT&#10;c+t8eC+MItHIqUP3kqjsuPWhCx1CYjZtNrWUqYNSkwYU3l6N04OLB+BSx1iRZqGHiZS60qMV2l3b&#10;89yZ4gSaznRz4i3f1Chly3y4Zw6DgfKxOuEOn1IapDS9RUll3Nd/3cd49AteShoMWk419ooS+UGj&#10;jwAMg+EGYzcY+qBuDSZ3gpW0PJl44IIczNIZ9QX7tIo54GKaI1NOw2Dehm7YsY9crFYpCJNnWdjq&#10;B8sjdJTH29UhQM6kchSlUwLdiQfMXupTvydxuP88p6in/4blI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IUuMQIAAGMEAAAOAAAAAAAAAAEAIAAAAB8BAABkcnMvZTJvRG9jLnhtbFBLBQYA&#10;AAAABgAGAFkBAADCBQAAAAA=&#10;">
              <v:fill on="f" focussize="0,0"/>
              <v:stroke on="f" weight="0.5pt"/>
              <v:imagedata o:title=""/>
              <o:lock v:ext="edit" aspectratio="f"/>
              <v:textbox inset="0mm,0mm,0mm,0mm" style="mso-fit-shape-to-text:t;">
                <w:txbxContent>
                  <w:p w14:paraId="3DCDBD71">
                    <w:pPr>
                      <w:pStyle w:val="28"/>
                    </w:pPr>
                    <w:r>
                      <w:fldChar w:fldCharType="begin"/>
                    </w:r>
                    <w:r>
                      <w:instrText xml:space="preserve"> PAGE  \* MERGEFORMAT </w:instrText>
                    </w:r>
                    <w:r>
                      <w:fldChar w:fldCharType="separate"/>
                    </w:r>
                    <w:r>
                      <w:t>53</w:t>
                    </w:r>
                    <w:r>
                      <w:fldChar w:fldCharType="end"/>
                    </w:r>
                  </w:p>
                </w:txbxContent>
              </v:textbox>
            </v:shape>
          </w:pict>
        </mc:Fallback>
      </mc:AlternateContent>
    </w:r>
    <w:r>
      <w:rPr>
        <w:rFonts w:hint="eastAsia" w:ascii="仿宋_GB2312" w:eastAsia="仿宋_GB2312"/>
        <w:kern w:val="0"/>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93094">
    <w:pPr>
      <w:pStyle w:val="29"/>
      <w:rPr>
        <w:rFonts w:hint="eastAsia" w:eastAsia="宋体"/>
        <w:sz w:val="16"/>
        <w:szCs w:val="16"/>
        <w:lang w:eastAsia="zh-CN"/>
      </w:rPr>
    </w:pPr>
    <w:r>
      <w:rPr>
        <w:rFonts w:hint="eastAsia"/>
        <w:sz w:val="16"/>
        <w:szCs w:val="16"/>
        <w:lang w:eastAsia="zh-CN"/>
      </w:rPr>
      <w:t>敖溪杭温高铁拆迁安置区市政工程项目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B6EDE">
    <w:pPr>
      <w:pStyle w:val="29"/>
      <w:jc w:val="both"/>
    </w:pPr>
    <w:r>
      <w:rPr>
        <w:rFonts w:hint="eastAsia"/>
      </w:rPr>
      <w:t>东阳市2022年度开发区节约集约利用评价项目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07DDC">
    <w:pPr>
      <w:pStyle w:val="29"/>
      <w:rPr>
        <w:rFonts w:hint="eastAsia" w:eastAsia="宋体" w:cs="Arial"/>
        <w:color w:val="000000"/>
        <w:sz w:val="16"/>
        <w:szCs w:val="16"/>
        <w:lang w:eastAsia="zh-CN"/>
      </w:rPr>
    </w:pPr>
    <w:r>
      <w:rPr>
        <w:rFonts w:hint="eastAsia" w:cs="Arial"/>
        <w:color w:val="000000"/>
        <w:sz w:val="16"/>
        <w:szCs w:val="16"/>
        <w:lang w:eastAsia="zh-CN"/>
      </w:rPr>
      <w:t>敖溪杭温高铁拆迁安置区市政工程项目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176ED">
    <w:pPr>
      <w:pStyle w:val="29"/>
      <w:rPr>
        <w:rFonts w:hint="eastAsia" w:eastAsia="宋体" w:cs="Arial"/>
        <w:color w:val="000000"/>
        <w:sz w:val="16"/>
        <w:szCs w:val="16"/>
        <w:lang w:eastAsia="zh-CN"/>
      </w:rPr>
    </w:pPr>
    <w:r>
      <w:rPr>
        <w:rFonts w:hint="eastAsia" w:cs="Arial"/>
        <w:color w:val="000000"/>
        <w:sz w:val="16"/>
        <w:szCs w:val="16"/>
        <w:lang w:eastAsia="zh-CN"/>
      </w:rPr>
      <w:t>敖溪杭温高铁拆迁安置区市政工程项目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4D00F9"/>
    <w:multiLevelType w:val="singleLevel"/>
    <w:tmpl w:val="BC4D00F9"/>
    <w:lvl w:ilvl="0" w:tentative="0">
      <w:start w:val="1"/>
      <w:numFmt w:val="decimal"/>
      <w:suff w:val="nothing"/>
      <w:lvlText w:val="%1、"/>
      <w:lvlJc w:val="left"/>
    </w:lvl>
  </w:abstractNum>
  <w:abstractNum w:abstractNumId="1">
    <w:nsid w:val="C6D025FC"/>
    <w:multiLevelType w:val="singleLevel"/>
    <w:tmpl w:val="C6D025FC"/>
    <w:lvl w:ilvl="0" w:tentative="0">
      <w:start w:val="1"/>
      <w:numFmt w:val="decimal"/>
      <w:lvlText w:val="%1."/>
      <w:lvlJc w:val="left"/>
      <w:pPr>
        <w:tabs>
          <w:tab w:val="left" w:pos="312"/>
        </w:tabs>
      </w:pPr>
    </w:lvl>
  </w:abstractNum>
  <w:abstractNum w:abstractNumId="2">
    <w:nsid w:val="FA5E8E8B"/>
    <w:multiLevelType w:val="singleLevel"/>
    <w:tmpl w:val="FA5E8E8B"/>
    <w:lvl w:ilvl="0" w:tentative="0">
      <w:start w:val="1"/>
      <w:numFmt w:val="chineseCounting"/>
      <w:suff w:val="nothing"/>
      <w:lvlText w:val="%1、"/>
      <w:lvlJc w:val="left"/>
      <w:rPr>
        <w:rFonts w:hint="eastAsia"/>
      </w:rPr>
    </w:lvl>
  </w:abstractNum>
  <w:abstractNum w:abstractNumId="3">
    <w:nsid w:val="23E1191B"/>
    <w:multiLevelType w:val="multilevel"/>
    <w:tmpl w:val="23E1191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A646790"/>
    <w:multiLevelType w:val="multilevel"/>
    <w:tmpl w:val="2A646790"/>
    <w:lvl w:ilvl="0" w:tentative="0">
      <w:start w:val="1"/>
      <w:numFmt w:val="decimal"/>
      <w:lvlText w:val="%1."/>
      <w:lvlJc w:val="left"/>
      <w:pPr>
        <w:tabs>
          <w:tab w:val="left" w:pos="1224"/>
        </w:tabs>
        <w:ind w:left="1224" w:hanging="1224"/>
      </w:pPr>
      <w:rPr>
        <w:rFonts w:hint="eastAsia"/>
      </w:rPr>
    </w:lvl>
    <w:lvl w:ilvl="1" w:tentative="0">
      <w:start w:val="1"/>
      <w:numFmt w:val="decimal"/>
      <w:lvlText w:val="%1.%2"/>
      <w:lvlJc w:val="left"/>
      <w:pPr>
        <w:tabs>
          <w:tab w:val="left" w:pos="1224"/>
        </w:tabs>
        <w:ind w:left="1224" w:hanging="1224"/>
      </w:pPr>
      <w:rPr>
        <w:rFonts w:hint="eastAsia"/>
        <w:sz w:val="24"/>
        <w:szCs w:val="24"/>
      </w:rPr>
    </w:lvl>
    <w:lvl w:ilvl="2" w:tentative="0">
      <w:start w:val="1"/>
      <w:numFmt w:val="decimal"/>
      <w:pStyle w:val="54"/>
      <w:lvlText w:val="%1.%2.%3"/>
      <w:lvlJc w:val="left"/>
      <w:pPr>
        <w:tabs>
          <w:tab w:val="left" w:pos="1224"/>
        </w:tabs>
        <w:ind w:left="1224" w:hanging="1224"/>
      </w:pPr>
      <w:rPr>
        <w:rFonts w:hint="default" w:ascii="Arial Narrow" w:hAnsi="Arial Narrow" w:eastAsia="仿宋_GB2312"/>
        <w:sz w:val="24"/>
        <w:szCs w:val="24"/>
      </w:rPr>
    </w:lvl>
    <w:lvl w:ilvl="3" w:tentative="0">
      <w:start w:val="1"/>
      <w:numFmt w:val="decimal"/>
      <w:lvlText w:val="%1.%2.%3.%4."/>
      <w:lvlJc w:val="left"/>
      <w:pPr>
        <w:tabs>
          <w:tab w:val="left" w:pos="1225"/>
        </w:tabs>
        <w:ind w:left="1225" w:hanging="1225"/>
      </w:pPr>
      <w:rPr>
        <w:rFonts w:hint="eastAsia"/>
        <w:sz w:val="24"/>
        <w:szCs w:val="24"/>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5">
    <w:nsid w:val="3ECEE57E"/>
    <w:multiLevelType w:val="singleLevel"/>
    <w:tmpl w:val="3ECEE57E"/>
    <w:lvl w:ilvl="0" w:tentative="0">
      <w:start w:val="4"/>
      <w:numFmt w:val="chineseCounting"/>
      <w:suff w:val="nothing"/>
      <w:lvlText w:val="（%1）"/>
      <w:lvlJc w:val="left"/>
      <w:rPr>
        <w:rFonts w:hint="eastAsia"/>
      </w:rPr>
    </w:lvl>
  </w:abstractNum>
  <w:abstractNum w:abstractNumId="6">
    <w:nsid w:val="5BA933FE"/>
    <w:multiLevelType w:val="multilevel"/>
    <w:tmpl w:val="5BA933FE"/>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pStyle w:val="112"/>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7">
    <w:nsid w:val="5D410D0D"/>
    <w:multiLevelType w:val="singleLevel"/>
    <w:tmpl w:val="5D410D0D"/>
    <w:lvl w:ilvl="0" w:tentative="0">
      <w:start w:val="5"/>
      <w:numFmt w:val="chineseCounting"/>
      <w:suff w:val="space"/>
      <w:lvlText w:val="第%1章"/>
      <w:lvlJc w:val="left"/>
      <w:rPr>
        <w:rFonts w:hint="eastAsia"/>
      </w:rPr>
    </w:lvl>
  </w:abstractNum>
  <w:abstractNum w:abstractNumId="8">
    <w:nsid w:val="64DE61C4"/>
    <w:multiLevelType w:val="multilevel"/>
    <w:tmpl w:val="64DE61C4"/>
    <w:lvl w:ilvl="0" w:tentative="0">
      <w:start w:val="1"/>
      <w:numFmt w:val="decimal"/>
      <w:pStyle w:val="10"/>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685F539A"/>
    <w:multiLevelType w:val="multilevel"/>
    <w:tmpl w:val="685F539A"/>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E234718"/>
    <w:multiLevelType w:val="multilevel"/>
    <w:tmpl w:val="7E23471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4"/>
  </w:num>
  <w:num w:numId="3">
    <w:abstractNumId w:val="6"/>
  </w:num>
  <w:num w:numId="4">
    <w:abstractNumId w:val="2"/>
  </w:num>
  <w:num w:numId="5">
    <w:abstractNumId w:val="3"/>
  </w:num>
  <w:num w:numId="6">
    <w:abstractNumId w:val="10"/>
  </w:num>
  <w:num w:numId="7">
    <w:abstractNumId w:val="1"/>
  </w:num>
  <w:num w:numId="8">
    <w:abstractNumId w:val="5"/>
  </w:num>
  <w:num w:numId="9">
    <w:abstractNumId w:val="7"/>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0ZmU1NGNlMmFkODM1ZjY1ZGMzNTFmY2UwNzIzZDEifQ=="/>
  </w:docVars>
  <w:rsids>
    <w:rsidRoot w:val="00DE79CC"/>
    <w:rsid w:val="0000006C"/>
    <w:rsid w:val="00000158"/>
    <w:rsid w:val="0000017A"/>
    <w:rsid w:val="00000345"/>
    <w:rsid w:val="0000047D"/>
    <w:rsid w:val="00000F83"/>
    <w:rsid w:val="000013EE"/>
    <w:rsid w:val="00001B93"/>
    <w:rsid w:val="00001E25"/>
    <w:rsid w:val="00001E64"/>
    <w:rsid w:val="00002A93"/>
    <w:rsid w:val="0000318B"/>
    <w:rsid w:val="000038C7"/>
    <w:rsid w:val="00003E13"/>
    <w:rsid w:val="00003F42"/>
    <w:rsid w:val="00004CDD"/>
    <w:rsid w:val="00004E27"/>
    <w:rsid w:val="00005219"/>
    <w:rsid w:val="000058C1"/>
    <w:rsid w:val="000058F6"/>
    <w:rsid w:val="00005CEE"/>
    <w:rsid w:val="00006144"/>
    <w:rsid w:val="000072CA"/>
    <w:rsid w:val="00007837"/>
    <w:rsid w:val="00007965"/>
    <w:rsid w:val="00007AF4"/>
    <w:rsid w:val="00007F1A"/>
    <w:rsid w:val="000107D0"/>
    <w:rsid w:val="00010A81"/>
    <w:rsid w:val="000114AC"/>
    <w:rsid w:val="00011A08"/>
    <w:rsid w:val="00011DC3"/>
    <w:rsid w:val="00011DCD"/>
    <w:rsid w:val="00012744"/>
    <w:rsid w:val="00012FAE"/>
    <w:rsid w:val="00013108"/>
    <w:rsid w:val="000131C4"/>
    <w:rsid w:val="0001341F"/>
    <w:rsid w:val="000156C7"/>
    <w:rsid w:val="00015DCC"/>
    <w:rsid w:val="000163EB"/>
    <w:rsid w:val="000165AD"/>
    <w:rsid w:val="000202F3"/>
    <w:rsid w:val="000203B3"/>
    <w:rsid w:val="00020413"/>
    <w:rsid w:val="000208BD"/>
    <w:rsid w:val="000209DC"/>
    <w:rsid w:val="000209E4"/>
    <w:rsid w:val="000219BD"/>
    <w:rsid w:val="00021ACA"/>
    <w:rsid w:val="0002216D"/>
    <w:rsid w:val="00022380"/>
    <w:rsid w:val="0002246D"/>
    <w:rsid w:val="00022CAD"/>
    <w:rsid w:val="00022CB5"/>
    <w:rsid w:val="00024090"/>
    <w:rsid w:val="000247CA"/>
    <w:rsid w:val="000251DC"/>
    <w:rsid w:val="000264B4"/>
    <w:rsid w:val="00026993"/>
    <w:rsid w:val="00026EAB"/>
    <w:rsid w:val="00027031"/>
    <w:rsid w:val="00027134"/>
    <w:rsid w:val="00027A01"/>
    <w:rsid w:val="00030A35"/>
    <w:rsid w:val="00030D38"/>
    <w:rsid w:val="00031012"/>
    <w:rsid w:val="0003172E"/>
    <w:rsid w:val="00031765"/>
    <w:rsid w:val="00032701"/>
    <w:rsid w:val="00034343"/>
    <w:rsid w:val="00034360"/>
    <w:rsid w:val="000344E1"/>
    <w:rsid w:val="00034675"/>
    <w:rsid w:val="00035843"/>
    <w:rsid w:val="00036337"/>
    <w:rsid w:val="00036686"/>
    <w:rsid w:val="00036A0E"/>
    <w:rsid w:val="000373E9"/>
    <w:rsid w:val="00037B61"/>
    <w:rsid w:val="00040F9B"/>
    <w:rsid w:val="000414E0"/>
    <w:rsid w:val="00041A99"/>
    <w:rsid w:val="00041C40"/>
    <w:rsid w:val="0004282D"/>
    <w:rsid w:val="000428CF"/>
    <w:rsid w:val="00043778"/>
    <w:rsid w:val="00044217"/>
    <w:rsid w:val="00044368"/>
    <w:rsid w:val="00044D8B"/>
    <w:rsid w:val="00046899"/>
    <w:rsid w:val="0004693E"/>
    <w:rsid w:val="0004713C"/>
    <w:rsid w:val="00047408"/>
    <w:rsid w:val="0005003E"/>
    <w:rsid w:val="00050E6F"/>
    <w:rsid w:val="00050ECE"/>
    <w:rsid w:val="0005120C"/>
    <w:rsid w:val="0005138C"/>
    <w:rsid w:val="00051EA5"/>
    <w:rsid w:val="00051F29"/>
    <w:rsid w:val="00052350"/>
    <w:rsid w:val="000524B5"/>
    <w:rsid w:val="00052BAF"/>
    <w:rsid w:val="00052DBB"/>
    <w:rsid w:val="00053218"/>
    <w:rsid w:val="00053700"/>
    <w:rsid w:val="000544D4"/>
    <w:rsid w:val="000547EE"/>
    <w:rsid w:val="000550B0"/>
    <w:rsid w:val="000553DC"/>
    <w:rsid w:val="00055FBE"/>
    <w:rsid w:val="0005654D"/>
    <w:rsid w:val="00056B0D"/>
    <w:rsid w:val="00056C73"/>
    <w:rsid w:val="00056E9B"/>
    <w:rsid w:val="00056ECC"/>
    <w:rsid w:val="00057AD2"/>
    <w:rsid w:val="00057F20"/>
    <w:rsid w:val="00060214"/>
    <w:rsid w:val="00060D89"/>
    <w:rsid w:val="00061041"/>
    <w:rsid w:val="00061153"/>
    <w:rsid w:val="000611F3"/>
    <w:rsid w:val="000618B9"/>
    <w:rsid w:val="00062941"/>
    <w:rsid w:val="000632B6"/>
    <w:rsid w:val="000634DB"/>
    <w:rsid w:val="00063936"/>
    <w:rsid w:val="00063CB5"/>
    <w:rsid w:val="00063F87"/>
    <w:rsid w:val="000641AE"/>
    <w:rsid w:val="0006464C"/>
    <w:rsid w:val="00064686"/>
    <w:rsid w:val="000646B9"/>
    <w:rsid w:val="00064917"/>
    <w:rsid w:val="00064CA8"/>
    <w:rsid w:val="00065A2B"/>
    <w:rsid w:val="0006660C"/>
    <w:rsid w:val="00066907"/>
    <w:rsid w:val="00066EB7"/>
    <w:rsid w:val="000670FA"/>
    <w:rsid w:val="00067114"/>
    <w:rsid w:val="0006732C"/>
    <w:rsid w:val="000677AD"/>
    <w:rsid w:val="000677CE"/>
    <w:rsid w:val="00067C76"/>
    <w:rsid w:val="0007091A"/>
    <w:rsid w:val="00070EA9"/>
    <w:rsid w:val="00071493"/>
    <w:rsid w:val="00071843"/>
    <w:rsid w:val="00071A27"/>
    <w:rsid w:val="00071C76"/>
    <w:rsid w:val="00071E0D"/>
    <w:rsid w:val="00071E15"/>
    <w:rsid w:val="00072720"/>
    <w:rsid w:val="00073C15"/>
    <w:rsid w:val="00073DE6"/>
    <w:rsid w:val="0007498C"/>
    <w:rsid w:val="00074ED8"/>
    <w:rsid w:val="00075147"/>
    <w:rsid w:val="00075B60"/>
    <w:rsid w:val="00075D67"/>
    <w:rsid w:val="00075D84"/>
    <w:rsid w:val="0007638D"/>
    <w:rsid w:val="00076A1A"/>
    <w:rsid w:val="00076AF9"/>
    <w:rsid w:val="000770B5"/>
    <w:rsid w:val="000772C1"/>
    <w:rsid w:val="0007755A"/>
    <w:rsid w:val="00077AC3"/>
    <w:rsid w:val="00077E8A"/>
    <w:rsid w:val="0008006D"/>
    <w:rsid w:val="00080BD8"/>
    <w:rsid w:val="0008112A"/>
    <w:rsid w:val="0008194F"/>
    <w:rsid w:val="00081A3D"/>
    <w:rsid w:val="00081CB9"/>
    <w:rsid w:val="00082C7E"/>
    <w:rsid w:val="000832EC"/>
    <w:rsid w:val="000844A2"/>
    <w:rsid w:val="00084D41"/>
    <w:rsid w:val="00085177"/>
    <w:rsid w:val="00085420"/>
    <w:rsid w:val="0008636A"/>
    <w:rsid w:val="00087087"/>
    <w:rsid w:val="000875C3"/>
    <w:rsid w:val="000878D0"/>
    <w:rsid w:val="00090010"/>
    <w:rsid w:val="0009091C"/>
    <w:rsid w:val="00090BC3"/>
    <w:rsid w:val="00090F65"/>
    <w:rsid w:val="00092342"/>
    <w:rsid w:val="00092F7D"/>
    <w:rsid w:val="0009377D"/>
    <w:rsid w:val="000937FF"/>
    <w:rsid w:val="00094045"/>
    <w:rsid w:val="00094086"/>
    <w:rsid w:val="000943F9"/>
    <w:rsid w:val="000950BD"/>
    <w:rsid w:val="00095470"/>
    <w:rsid w:val="00095BFC"/>
    <w:rsid w:val="0009627F"/>
    <w:rsid w:val="000965F5"/>
    <w:rsid w:val="0009662A"/>
    <w:rsid w:val="00096E5A"/>
    <w:rsid w:val="00097153"/>
    <w:rsid w:val="00097339"/>
    <w:rsid w:val="000974F2"/>
    <w:rsid w:val="00097B41"/>
    <w:rsid w:val="00097B7A"/>
    <w:rsid w:val="000A0218"/>
    <w:rsid w:val="000A02FA"/>
    <w:rsid w:val="000A0919"/>
    <w:rsid w:val="000A10C4"/>
    <w:rsid w:val="000A137A"/>
    <w:rsid w:val="000A1F2A"/>
    <w:rsid w:val="000A1FB5"/>
    <w:rsid w:val="000A27BD"/>
    <w:rsid w:val="000A337D"/>
    <w:rsid w:val="000A3AFC"/>
    <w:rsid w:val="000A3BAB"/>
    <w:rsid w:val="000A3FF2"/>
    <w:rsid w:val="000A4262"/>
    <w:rsid w:val="000A4632"/>
    <w:rsid w:val="000A46EB"/>
    <w:rsid w:val="000A493D"/>
    <w:rsid w:val="000A503C"/>
    <w:rsid w:val="000A5040"/>
    <w:rsid w:val="000A510B"/>
    <w:rsid w:val="000A57BD"/>
    <w:rsid w:val="000A5834"/>
    <w:rsid w:val="000A6F50"/>
    <w:rsid w:val="000A7334"/>
    <w:rsid w:val="000A7768"/>
    <w:rsid w:val="000A7E56"/>
    <w:rsid w:val="000B0313"/>
    <w:rsid w:val="000B047A"/>
    <w:rsid w:val="000B07AD"/>
    <w:rsid w:val="000B15AC"/>
    <w:rsid w:val="000B242E"/>
    <w:rsid w:val="000B2615"/>
    <w:rsid w:val="000B2CB3"/>
    <w:rsid w:val="000B32DF"/>
    <w:rsid w:val="000B3F05"/>
    <w:rsid w:val="000B41F3"/>
    <w:rsid w:val="000B4255"/>
    <w:rsid w:val="000B4979"/>
    <w:rsid w:val="000B4F4D"/>
    <w:rsid w:val="000B517A"/>
    <w:rsid w:val="000B54FD"/>
    <w:rsid w:val="000B6339"/>
    <w:rsid w:val="000B663D"/>
    <w:rsid w:val="000B6738"/>
    <w:rsid w:val="000B6F98"/>
    <w:rsid w:val="000B7885"/>
    <w:rsid w:val="000C032B"/>
    <w:rsid w:val="000C15D3"/>
    <w:rsid w:val="000C211C"/>
    <w:rsid w:val="000C2C5F"/>
    <w:rsid w:val="000C2D42"/>
    <w:rsid w:val="000C37AB"/>
    <w:rsid w:val="000C4473"/>
    <w:rsid w:val="000C4525"/>
    <w:rsid w:val="000C5216"/>
    <w:rsid w:val="000C541A"/>
    <w:rsid w:val="000C575F"/>
    <w:rsid w:val="000C6F54"/>
    <w:rsid w:val="000C781B"/>
    <w:rsid w:val="000C789B"/>
    <w:rsid w:val="000C7D89"/>
    <w:rsid w:val="000C7F30"/>
    <w:rsid w:val="000D0457"/>
    <w:rsid w:val="000D08C4"/>
    <w:rsid w:val="000D18BE"/>
    <w:rsid w:val="000D1E86"/>
    <w:rsid w:val="000D3209"/>
    <w:rsid w:val="000D3657"/>
    <w:rsid w:val="000D3916"/>
    <w:rsid w:val="000D3D2A"/>
    <w:rsid w:val="000D4240"/>
    <w:rsid w:val="000D4886"/>
    <w:rsid w:val="000D4AA5"/>
    <w:rsid w:val="000D52FB"/>
    <w:rsid w:val="000D62AD"/>
    <w:rsid w:val="000D6BEE"/>
    <w:rsid w:val="000D6ED2"/>
    <w:rsid w:val="000D7583"/>
    <w:rsid w:val="000D78BE"/>
    <w:rsid w:val="000E006E"/>
    <w:rsid w:val="000E0224"/>
    <w:rsid w:val="000E0782"/>
    <w:rsid w:val="000E115A"/>
    <w:rsid w:val="000E1635"/>
    <w:rsid w:val="000E1F8E"/>
    <w:rsid w:val="000E2BCF"/>
    <w:rsid w:val="000E2FDF"/>
    <w:rsid w:val="000E3CA5"/>
    <w:rsid w:val="000E4595"/>
    <w:rsid w:val="000E4940"/>
    <w:rsid w:val="000E534C"/>
    <w:rsid w:val="000E6114"/>
    <w:rsid w:val="000E61C8"/>
    <w:rsid w:val="000E6560"/>
    <w:rsid w:val="000E6B96"/>
    <w:rsid w:val="000E736F"/>
    <w:rsid w:val="000E76C2"/>
    <w:rsid w:val="000E7933"/>
    <w:rsid w:val="000E7E37"/>
    <w:rsid w:val="000F0003"/>
    <w:rsid w:val="000F1FF1"/>
    <w:rsid w:val="000F22A3"/>
    <w:rsid w:val="000F2869"/>
    <w:rsid w:val="000F2AF3"/>
    <w:rsid w:val="000F2FE2"/>
    <w:rsid w:val="000F35B1"/>
    <w:rsid w:val="000F3DB5"/>
    <w:rsid w:val="000F4830"/>
    <w:rsid w:val="000F4FC7"/>
    <w:rsid w:val="000F544F"/>
    <w:rsid w:val="000F5708"/>
    <w:rsid w:val="000F5966"/>
    <w:rsid w:val="000F5FF7"/>
    <w:rsid w:val="000F6242"/>
    <w:rsid w:val="000F6B92"/>
    <w:rsid w:val="000F7DE2"/>
    <w:rsid w:val="0010027E"/>
    <w:rsid w:val="0010129D"/>
    <w:rsid w:val="0010178F"/>
    <w:rsid w:val="001017B1"/>
    <w:rsid w:val="0010197C"/>
    <w:rsid w:val="00101CF6"/>
    <w:rsid w:val="00101D6A"/>
    <w:rsid w:val="00102080"/>
    <w:rsid w:val="00102358"/>
    <w:rsid w:val="0010277E"/>
    <w:rsid w:val="001027EB"/>
    <w:rsid w:val="00102C71"/>
    <w:rsid w:val="00102F65"/>
    <w:rsid w:val="001030C6"/>
    <w:rsid w:val="00103374"/>
    <w:rsid w:val="001034A5"/>
    <w:rsid w:val="001035FB"/>
    <w:rsid w:val="00103A8F"/>
    <w:rsid w:val="001040BF"/>
    <w:rsid w:val="00104588"/>
    <w:rsid w:val="00105B30"/>
    <w:rsid w:val="00106504"/>
    <w:rsid w:val="001078AF"/>
    <w:rsid w:val="00107DA0"/>
    <w:rsid w:val="00110349"/>
    <w:rsid w:val="00110575"/>
    <w:rsid w:val="0011078E"/>
    <w:rsid w:val="00110971"/>
    <w:rsid w:val="00111B72"/>
    <w:rsid w:val="001139DC"/>
    <w:rsid w:val="00114AD1"/>
    <w:rsid w:val="00115269"/>
    <w:rsid w:val="001153A9"/>
    <w:rsid w:val="00115A7B"/>
    <w:rsid w:val="001160AD"/>
    <w:rsid w:val="0011681F"/>
    <w:rsid w:val="001168AD"/>
    <w:rsid w:val="001173A4"/>
    <w:rsid w:val="001179A2"/>
    <w:rsid w:val="00117C09"/>
    <w:rsid w:val="00117E1F"/>
    <w:rsid w:val="00121F83"/>
    <w:rsid w:val="00122B38"/>
    <w:rsid w:val="0012341E"/>
    <w:rsid w:val="00123BA6"/>
    <w:rsid w:val="00124CD9"/>
    <w:rsid w:val="001254B6"/>
    <w:rsid w:val="00125C0D"/>
    <w:rsid w:val="00126294"/>
    <w:rsid w:val="0012652D"/>
    <w:rsid w:val="00126704"/>
    <w:rsid w:val="00127C05"/>
    <w:rsid w:val="001302F8"/>
    <w:rsid w:val="00131BE0"/>
    <w:rsid w:val="001324DF"/>
    <w:rsid w:val="00132E59"/>
    <w:rsid w:val="001339D0"/>
    <w:rsid w:val="001340B5"/>
    <w:rsid w:val="001348CC"/>
    <w:rsid w:val="001349A6"/>
    <w:rsid w:val="00134A43"/>
    <w:rsid w:val="00134A81"/>
    <w:rsid w:val="00134A97"/>
    <w:rsid w:val="00134B12"/>
    <w:rsid w:val="00135923"/>
    <w:rsid w:val="00135E77"/>
    <w:rsid w:val="00135F13"/>
    <w:rsid w:val="00136561"/>
    <w:rsid w:val="00136CB1"/>
    <w:rsid w:val="00136CEF"/>
    <w:rsid w:val="00136E5E"/>
    <w:rsid w:val="00137157"/>
    <w:rsid w:val="00137485"/>
    <w:rsid w:val="00140A89"/>
    <w:rsid w:val="0014116B"/>
    <w:rsid w:val="001413FD"/>
    <w:rsid w:val="00141E29"/>
    <w:rsid w:val="00142AD7"/>
    <w:rsid w:val="00142BCD"/>
    <w:rsid w:val="00142C3B"/>
    <w:rsid w:val="0014366A"/>
    <w:rsid w:val="001438C9"/>
    <w:rsid w:val="00146232"/>
    <w:rsid w:val="00146398"/>
    <w:rsid w:val="001464BF"/>
    <w:rsid w:val="00146945"/>
    <w:rsid w:val="001476B6"/>
    <w:rsid w:val="001508E3"/>
    <w:rsid w:val="001518E1"/>
    <w:rsid w:val="001528E6"/>
    <w:rsid w:val="00152D0F"/>
    <w:rsid w:val="00153087"/>
    <w:rsid w:val="001533C4"/>
    <w:rsid w:val="00153539"/>
    <w:rsid w:val="001539F9"/>
    <w:rsid w:val="00153BDB"/>
    <w:rsid w:val="00154642"/>
    <w:rsid w:val="00154A42"/>
    <w:rsid w:val="00154A4E"/>
    <w:rsid w:val="00154BFD"/>
    <w:rsid w:val="00154D3A"/>
    <w:rsid w:val="0015574B"/>
    <w:rsid w:val="00155B0F"/>
    <w:rsid w:val="001560E5"/>
    <w:rsid w:val="00156274"/>
    <w:rsid w:val="001565DC"/>
    <w:rsid w:val="00160037"/>
    <w:rsid w:val="00162646"/>
    <w:rsid w:val="0016325A"/>
    <w:rsid w:val="00163337"/>
    <w:rsid w:val="0016355A"/>
    <w:rsid w:val="00163DF4"/>
    <w:rsid w:val="00163E9B"/>
    <w:rsid w:val="00163F00"/>
    <w:rsid w:val="001647ED"/>
    <w:rsid w:val="001654E7"/>
    <w:rsid w:val="00165CFF"/>
    <w:rsid w:val="00166A89"/>
    <w:rsid w:val="001674F5"/>
    <w:rsid w:val="00167A3C"/>
    <w:rsid w:val="00167D97"/>
    <w:rsid w:val="00167E89"/>
    <w:rsid w:val="0017029C"/>
    <w:rsid w:val="001709BA"/>
    <w:rsid w:val="00170A41"/>
    <w:rsid w:val="00170C94"/>
    <w:rsid w:val="00170E65"/>
    <w:rsid w:val="0017111A"/>
    <w:rsid w:val="00171981"/>
    <w:rsid w:val="0017231F"/>
    <w:rsid w:val="00172A3E"/>
    <w:rsid w:val="00172D51"/>
    <w:rsid w:val="001733F6"/>
    <w:rsid w:val="00174601"/>
    <w:rsid w:val="0017468F"/>
    <w:rsid w:val="001751FD"/>
    <w:rsid w:val="00175D02"/>
    <w:rsid w:val="00175D9D"/>
    <w:rsid w:val="001763CF"/>
    <w:rsid w:val="001765BD"/>
    <w:rsid w:val="0017666D"/>
    <w:rsid w:val="001805BD"/>
    <w:rsid w:val="00180FEA"/>
    <w:rsid w:val="001810F2"/>
    <w:rsid w:val="00181DAD"/>
    <w:rsid w:val="00181DC0"/>
    <w:rsid w:val="00181FA4"/>
    <w:rsid w:val="0018213E"/>
    <w:rsid w:val="00182BD6"/>
    <w:rsid w:val="0018418A"/>
    <w:rsid w:val="00184AA5"/>
    <w:rsid w:val="00186A27"/>
    <w:rsid w:val="001875A9"/>
    <w:rsid w:val="0018798C"/>
    <w:rsid w:val="00187E5E"/>
    <w:rsid w:val="00190092"/>
    <w:rsid w:val="0019063E"/>
    <w:rsid w:val="00190965"/>
    <w:rsid w:val="001911CB"/>
    <w:rsid w:val="00191541"/>
    <w:rsid w:val="001915C3"/>
    <w:rsid w:val="0019171E"/>
    <w:rsid w:val="00191939"/>
    <w:rsid w:val="00193259"/>
    <w:rsid w:val="001932C6"/>
    <w:rsid w:val="00193731"/>
    <w:rsid w:val="001941DE"/>
    <w:rsid w:val="00194A53"/>
    <w:rsid w:val="00195507"/>
    <w:rsid w:val="00195FD6"/>
    <w:rsid w:val="00196CA4"/>
    <w:rsid w:val="00196D4C"/>
    <w:rsid w:val="001971BC"/>
    <w:rsid w:val="00197321"/>
    <w:rsid w:val="001976BF"/>
    <w:rsid w:val="00197C88"/>
    <w:rsid w:val="001A0902"/>
    <w:rsid w:val="001A0F6F"/>
    <w:rsid w:val="001A122D"/>
    <w:rsid w:val="001A1EE0"/>
    <w:rsid w:val="001A2210"/>
    <w:rsid w:val="001A329E"/>
    <w:rsid w:val="001A3501"/>
    <w:rsid w:val="001A367B"/>
    <w:rsid w:val="001A368A"/>
    <w:rsid w:val="001A3AC4"/>
    <w:rsid w:val="001A4241"/>
    <w:rsid w:val="001A4489"/>
    <w:rsid w:val="001A4A0A"/>
    <w:rsid w:val="001A4C3B"/>
    <w:rsid w:val="001A55FA"/>
    <w:rsid w:val="001A56BD"/>
    <w:rsid w:val="001A6D75"/>
    <w:rsid w:val="001B03A2"/>
    <w:rsid w:val="001B0AA8"/>
    <w:rsid w:val="001B0DAE"/>
    <w:rsid w:val="001B1098"/>
    <w:rsid w:val="001B1BFD"/>
    <w:rsid w:val="001B1E10"/>
    <w:rsid w:val="001B2498"/>
    <w:rsid w:val="001B30F8"/>
    <w:rsid w:val="001B361E"/>
    <w:rsid w:val="001B3F5C"/>
    <w:rsid w:val="001B412E"/>
    <w:rsid w:val="001B4150"/>
    <w:rsid w:val="001B4E86"/>
    <w:rsid w:val="001B509E"/>
    <w:rsid w:val="001B50EA"/>
    <w:rsid w:val="001B58DF"/>
    <w:rsid w:val="001B62D7"/>
    <w:rsid w:val="001B62DC"/>
    <w:rsid w:val="001B67C3"/>
    <w:rsid w:val="001B69A0"/>
    <w:rsid w:val="001B70A7"/>
    <w:rsid w:val="001B74D6"/>
    <w:rsid w:val="001B7622"/>
    <w:rsid w:val="001B7B0B"/>
    <w:rsid w:val="001C0362"/>
    <w:rsid w:val="001C0843"/>
    <w:rsid w:val="001C126A"/>
    <w:rsid w:val="001C16F3"/>
    <w:rsid w:val="001C2606"/>
    <w:rsid w:val="001C2B37"/>
    <w:rsid w:val="001C3467"/>
    <w:rsid w:val="001C370A"/>
    <w:rsid w:val="001C46CD"/>
    <w:rsid w:val="001C4823"/>
    <w:rsid w:val="001C4DCF"/>
    <w:rsid w:val="001C4E27"/>
    <w:rsid w:val="001C53CF"/>
    <w:rsid w:val="001C5CE5"/>
    <w:rsid w:val="001C627B"/>
    <w:rsid w:val="001C644A"/>
    <w:rsid w:val="001C65B8"/>
    <w:rsid w:val="001C6690"/>
    <w:rsid w:val="001C6823"/>
    <w:rsid w:val="001C6AF5"/>
    <w:rsid w:val="001C7E2A"/>
    <w:rsid w:val="001D0253"/>
    <w:rsid w:val="001D05C6"/>
    <w:rsid w:val="001D0B86"/>
    <w:rsid w:val="001D0D76"/>
    <w:rsid w:val="001D145F"/>
    <w:rsid w:val="001D1598"/>
    <w:rsid w:val="001D1A30"/>
    <w:rsid w:val="001D1CE9"/>
    <w:rsid w:val="001D24AD"/>
    <w:rsid w:val="001D26DB"/>
    <w:rsid w:val="001D2E43"/>
    <w:rsid w:val="001D3748"/>
    <w:rsid w:val="001D3EBF"/>
    <w:rsid w:val="001D4391"/>
    <w:rsid w:val="001D442D"/>
    <w:rsid w:val="001D5A33"/>
    <w:rsid w:val="001D5EC5"/>
    <w:rsid w:val="001D6D2C"/>
    <w:rsid w:val="001D7CD1"/>
    <w:rsid w:val="001E0A2C"/>
    <w:rsid w:val="001E1AB3"/>
    <w:rsid w:val="001E1BD5"/>
    <w:rsid w:val="001E21DC"/>
    <w:rsid w:val="001E2530"/>
    <w:rsid w:val="001E25F3"/>
    <w:rsid w:val="001E4657"/>
    <w:rsid w:val="001E473B"/>
    <w:rsid w:val="001E5577"/>
    <w:rsid w:val="001E5803"/>
    <w:rsid w:val="001E5B59"/>
    <w:rsid w:val="001E5C79"/>
    <w:rsid w:val="001E65DC"/>
    <w:rsid w:val="001E6A47"/>
    <w:rsid w:val="001E6C3F"/>
    <w:rsid w:val="001E6D40"/>
    <w:rsid w:val="001E6D6A"/>
    <w:rsid w:val="001E6ECD"/>
    <w:rsid w:val="001E71CF"/>
    <w:rsid w:val="001E740D"/>
    <w:rsid w:val="001E75EF"/>
    <w:rsid w:val="001F0748"/>
    <w:rsid w:val="001F07BA"/>
    <w:rsid w:val="001F0D39"/>
    <w:rsid w:val="001F1A90"/>
    <w:rsid w:val="001F2673"/>
    <w:rsid w:val="001F2935"/>
    <w:rsid w:val="001F2D3A"/>
    <w:rsid w:val="001F2E97"/>
    <w:rsid w:val="001F2F2D"/>
    <w:rsid w:val="001F3219"/>
    <w:rsid w:val="001F34CD"/>
    <w:rsid w:val="001F3D5D"/>
    <w:rsid w:val="001F43B8"/>
    <w:rsid w:val="001F459C"/>
    <w:rsid w:val="001F45BE"/>
    <w:rsid w:val="001F4C68"/>
    <w:rsid w:val="001F5C57"/>
    <w:rsid w:val="001F6487"/>
    <w:rsid w:val="001F6754"/>
    <w:rsid w:val="001F7F0E"/>
    <w:rsid w:val="0020017E"/>
    <w:rsid w:val="0020072E"/>
    <w:rsid w:val="002011B8"/>
    <w:rsid w:val="00201541"/>
    <w:rsid w:val="00201CDF"/>
    <w:rsid w:val="00201FB6"/>
    <w:rsid w:val="002027DA"/>
    <w:rsid w:val="00203033"/>
    <w:rsid w:val="00203913"/>
    <w:rsid w:val="00203F4F"/>
    <w:rsid w:val="002043B4"/>
    <w:rsid w:val="00204524"/>
    <w:rsid w:val="002046DC"/>
    <w:rsid w:val="00204C7A"/>
    <w:rsid w:val="00204C84"/>
    <w:rsid w:val="00205FB7"/>
    <w:rsid w:val="002061F2"/>
    <w:rsid w:val="00206288"/>
    <w:rsid w:val="00206983"/>
    <w:rsid w:val="00206985"/>
    <w:rsid w:val="00206B08"/>
    <w:rsid w:val="00206F66"/>
    <w:rsid w:val="0020738E"/>
    <w:rsid w:val="002114ED"/>
    <w:rsid w:val="002118B6"/>
    <w:rsid w:val="00212835"/>
    <w:rsid w:val="00212E6B"/>
    <w:rsid w:val="002136FD"/>
    <w:rsid w:val="00213974"/>
    <w:rsid w:val="00213A50"/>
    <w:rsid w:val="00214086"/>
    <w:rsid w:val="002147E8"/>
    <w:rsid w:val="00215773"/>
    <w:rsid w:val="00215CAF"/>
    <w:rsid w:val="00215CF1"/>
    <w:rsid w:val="002173FC"/>
    <w:rsid w:val="00221222"/>
    <w:rsid w:val="0022167D"/>
    <w:rsid w:val="002223E8"/>
    <w:rsid w:val="00222613"/>
    <w:rsid w:val="00222B6C"/>
    <w:rsid w:val="00224186"/>
    <w:rsid w:val="00224B68"/>
    <w:rsid w:val="00224D5D"/>
    <w:rsid w:val="00226A58"/>
    <w:rsid w:val="00227287"/>
    <w:rsid w:val="00227330"/>
    <w:rsid w:val="00227B80"/>
    <w:rsid w:val="002302CE"/>
    <w:rsid w:val="002307EF"/>
    <w:rsid w:val="00231201"/>
    <w:rsid w:val="002321BF"/>
    <w:rsid w:val="00232485"/>
    <w:rsid w:val="00232C3C"/>
    <w:rsid w:val="00232CB6"/>
    <w:rsid w:val="00232D9B"/>
    <w:rsid w:val="00232E77"/>
    <w:rsid w:val="002331CF"/>
    <w:rsid w:val="00233652"/>
    <w:rsid w:val="00233746"/>
    <w:rsid w:val="00233796"/>
    <w:rsid w:val="002345C6"/>
    <w:rsid w:val="00234C3A"/>
    <w:rsid w:val="00237485"/>
    <w:rsid w:val="00240DCF"/>
    <w:rsid w:val="002410C9"/>
    <w:rsid w:val="00241257"/>
    <w:rsid w:val="002416CE"/>
    <w:rsid w:val="002426BC"/>
    <w:rsid w:val="002433CD"/>
    <w:rsid w:val="00243BC4"/>
    <w:rsid w:val="00243E59"/>
    <w:rsid w:val="00243E6F"/>
    <w:rsid w:val="00243EF9"/>
    <w:rsid w:val="00244ED9"/>
    <w:rsid w:val="0024565A"/>
    <w:rsid w:val="002463B2"/>
    <w:rsid w:val="00246500"/>
    <w:rsid w:val="0024728D"/>
    <w:rsid w:val="002478ED"/>
    <w:rsid w:val="00250ACB"/>
    <w:rsid w:val="00251AFF"/>
    <w:rsid w:val="00251B1E"/>
    <w:rsid w:val="00251C97"/>
    <w:rsid w:val="002523EA"/>
    <w:rsid w:val="00252ADD"/>
    <w:rsid w:val="00252D79"/>
    <w:rsid w:val="00253490"/>
    <w:rsid w:val="00253578"/>
    <w:rsid w:val="00253D5E"/>
    <w:rsid w:val="00254603"/>
    <w:rsid w:val="00254D7E"/>
    <w:rsid w:val="00254EDC"/>
    <w:rsid w:val="00254EF3"/>
    <w:rsid w:val="00255042"/>
    <w:rsid w:val="002556AA"/>
    <w:rsid w:val="0025594F"/>
    <w:rsid w:val="00255D1B"/>
    <w:rsid w:val="00255D41"/>
    <w:rsid w:val="00256514"/>
    <w:rsid w:val="00256E1C"/>
    <w:rsid w:val="0025706D"/>
    <w:rsid w:val="002571A6"/>
    <w:rsid w:val="002571C7"/>
    <w:rsid w:val="00257815"/>
    <w:rsid w:val="0026068A"/>
    <w:rsid w:val="002606F1"/>
    <w:rsid w:val="00261681"/>
    <w:rsid w:val="00261A17"/>
    <w:rsid w:val="00261A2A"/>
    <w:rsid w:val="0026218E"/>
    <w:rsid w:val="00262ACA"/>
    <w:rsid w:val="00262F6B"/>
    <w:rsid w:val="002631FE"/>
    <w:rsid w:val="00263375"/>
    <w:rsid w:val="00264578"/>
    <w:rsid w:val="00264789"/>
    <w:rsid w:val="002649A0"/>
    <w:rsid w:val="00264E43"/>
    <w:rsid w:val="00264F6C"/>
    <w:rsid w:val="00264FFA"/>
    <w:rsid w:val="00265220"/>
    <w:rsid w:val="0026542F"/>
    <w:rsid w:val="00265534"/>
    <w:rsid w:val="00265564"/>
    <w:rsid w:val="0026576A"/>
    <w:rsid w:val="002659E6"/>
    <w:rsid w:val="00266B58"/>
    <w:rsid w:val="00266DA6"/>
    <w:rsid w:val="00267256"/>
    <w:rsid w:val="00267878"/>
    <w:rsid w:val="00267BE0"/>
    <w:rsid w:val="0027097B"/>
    <w:rsid w:val="00270EE7"/>
    <w:rsid w:val="0027115D"/>
    <w:rsid w:val="002717DF"/>
    <w:rsid w:val="00272E7D"/>
    <w:rsid w:val="002732A1"/>
    <w:rsid w:val="00273957"/>
    <w:rsid w:val="0027398E"/>
    <w:rsid w:val="00274212"/>
    <w:rsid w:val="002745B3"/>
    <w:rsid w:val="00274A41"/>
    <w:rsid w:val="0027501E"/>
    <w:rsid w:val="002754C1"/>
    <w:rsid w:val="002754E1"/>
    <w:rsid w:val="002757D2"/>
    <w:rsid w:val="0027581A"/>
    <w:rsid w:val="00275AB7"/>
    <w:rsid w:val="0027616F"/>
    <w:rsid w:val="002763BE"/>
    <w:rsid w:val="00277110"/>
    <w:rsid w:val="0027730D"/>
    <w:rsid w:val="00277352"/>
    <w:rsid w:val="00277527"/>
    <w:rsid w:val="0027775F"/>
    <w:rsid w:val="00277CF6"/>
    <w:rsid w:val="00277F90"/>
    <w:rsid w:val="0028040B"/>
    <w:rsid w:val="002806C9"/>
    <w:rsid w:val="0028076C"/>
    <w:rsid w:val="00280DFA"/>
    <w:rsid w:val="002815EB"/>
    <w:rsid w:val="0028176B"/>
    <w:rsid w:val="00281C87"/>
    <w:rsid w:val="002825DC"/>
    <w:rsid w:val="002826A9"/>
    <w:rsid w:val="00282D0A"/>
    <w:rsid w:val="00282FFF"/>
    <w:rsid w:val="00283A19"/>
    <w:rsid w:val="00283E87"/>
    <w:rsid w:val="002842B0"/>
    <w:rsid w:val="00284C34"/>
    <w:rsid w:val="00284C62"/>
    <w:rsid w:val="00285CB2"/>
    <w:rsid w:val="00285F10"/>
    <w:rsid w:val="0028622B"/>
    <w:rsid w:val="0028634A"/>
    <w:rsid w:val="00286366"/>
    <w:rsid w:val="002864A6"/>
    <w:rsid w:val="0028664C"/>
    <w:rsid w:val="002877F4"/>
    <w:rsid w:val="00290906"/>
    <w:rsid w:val="0029106A"/>
    <w:rsid w:val="00291945"/>
    <w:rsid w:val="00291BBB"/>
    <w:rsid w:val="00291FB1"/>
    <w:rsid w:val="00292CE6"/>
    <w:rsid w:val="00293775"/>
    <w:rsid w:val="00293A03"/>
    <w:rsid w:val="00293F43"/>
    <w:rsid w:val="00294010"/>
    <w:rsid w:val="002948EE"/>
    <w:rsid w:val="00295550"/>
    <w:rsid w:val="002955DA"/>
    <w:rsid w:val="00295FE4"/>
    <w:rsid w:val="002966FE"/>
    <w:rsid w:val="00296B8B"/>
    <w:rsid w:val="00296E65"/>
    <w:rsid w:val="002971E8"/>
    <w:rsid w:val="00297D26"/>
    <w:rsid w:val="002A02EB"/>
    <w:rsid w:val="002A0507"/>
    <w:rsid w:val="002A06E4"/>
    <w:rsid w:val="002A112C"/>
    <w:rsid w:val="002A142A"/>
    <w:rsid w:val="002A1A2C"/>
    <w:rsid w:val="002A1D2B"/>
    <w:rsid w:val="002A21DD"/>
    <w:rsid w:val="002A2353"/>
    <w:rsid w:val="002A2E8F"/>
    <w:rsid w:val="002A325C"/>
    <w:rsid w:val="002A3552"/>
    <w:rsid w:val="002A383F"/>
    <w:rsid w:val="002A3849"/>
    <w:rsid w:val="002A401B"/>
    <w:rsid w:val="002A4E68"/>
    <w:rsid w:val="002A566C"/>
    <w:rsid w:val="002A5C27"/>
    <w:rsid w:val="002A5C5D"/>
    <w:rsid w:val="002A5EDA"/>
    <w:rsid w:val="002A61F9"/>
    <w:rsid w:val="002A69E5"/>
    <w:rsid w:val="002A6BE0"/>
    <w:rsid w:val="002B0329"/>
    <w:rsid w:val="002B03DA"/>
    <w:rsid w:val="002B05AA"/>
    <w:rsid w:val="002B1EC1"/>
    <w:rsid w:val="002B2421"/>
    <w:rsid w:val="002B2CF4"/>
    <w:rsid w:val="002B364C"/>
    <w:rsid w:val="002B3AE7"/>
    <w:rsid w:val="002B42BC"/>
    <w:rsid w:val="002B4466"/>
    <w:rsid w:val="002B4762"/>
    <w:rsid w:val="002B4DAD"/>
    <w:rsid w:val="002B4EEB"/>
    <w:rsid w:val="002B5D76"/>
    <w:rsid w:val="002B5F04"/>
    <w:rsid w:val="002B6793"/>
    <w:rsid w:val="002B6ABE"/>
    <w:rsid w:val="002B718A"/>
    <w:rsid w:val="002B72FB"/>
    <w:rsid w:val="002B76EB"/>
    <w:rsid w:val="002C041E"/>
    <w:rsid w:val="002C09BB"/>
    <w:rsid w:val="002C15B9"/>
    <w:rsid w:val="002C1F39"/>
    <w:rsid w:val="002C1F3E"/>
    <w:rsid w:val="002C256C"/>
    <w:rsid w:val="002C339E"/>
    <w:rsid w:val="002C3546"/>
    <w:rsid w:val="002C4413"/>
    <w:rsid w:val="002C4CD0"/>
    <w:rsid w:val="002C5364"/>
    <w:rsid w:val="002C58A8"/>
    <w:rsid w:val="002C5B87"/>
    <w:rsid w:val="002C5D35"/>
    <w:rsid w:val="002C6739"/>
    <w:rsid w:val="002C6934"/>
    <w:rsid w:val="002C6A1A"/>
    <w:rsid w:val="002C6E3B"/>
    <w:rsid w:val="002C6F6F"/>
    <w:rsid w:val="002C6FEF"/>
    <w:rsid w:val="002C746A"/>
    <w:rsid w:val="002C790C"/>
    <w:rsid w:val="002D0343"/>
    <w:rsid w:val="002D0861"/>
    <w:rsid w:val="002D08EF"/>
    <w:rsid w:val="002D10F5"/>
    <w:rsid w:val="002D166B"/>
    <w:rsid w:val="002D1F29"/>
    <w:rsid w:val="002D290B"/>
    <w:rsid w:val="002D30FD"/>
    <w:rsid w:val="002D31FD"/>
    <w:rsid w:val="002D32B3"/>
    <w:rsid w:val="002D372F"/>
    <w:rsid w:val="002D37A4"/>
    <w:rsid w:val="002D3843"/>
    <w:rsid w:val="002D3A14"/>
    <w:rsid w:val="002D4129"/>
    <w:rsid w:val="002D474E"/>
    <w:rsid w:val="002D6565"/>
    <w:rsid w:val="002D665D"/>
    <w:rsid w:val="002D69B5"/>
    <w:rsid w:val="002D6AA7"/>
    <w:rsid w:val="002D7BD4"/>
    <w:rsid w:val="002E03D1"/>
    <w:rsid w:val="002E1866"/>
    <w:rsid w:val="002E2AC2"/>
    <w:rsid w:val="002E3086"/>
    <w:rsid w:val="002E38CE"/>
    <w:rsid w:val="002E3B80"/>
    <w:rsid w:val="002E3FD4"/>
    <w:rsid w:val="002E4DC2"/>
    <w:rsid w:val="002E5295"/>
    <w:rsid w:val="002E547B"/>
    <w:rsid w:val="002E5662"/>
    <w:rsid w:val="002E56F4"/>
    <w:rsid w:val="002E58E6"/>
    <w:rsid w:val="002E5A32"/>
    <w:rsid w:val="002E5C2E"/>
    <w:rsid w:val="002E5F11"/>
    <w:rsid w:val="002E6CAE"/>
    <w:rsid w:val="002E6CE8"/>
    <w:rsid w:val="002E6D6E"/>
    <w:rsid w:val="002E7B53"/>
    <w:rsid w:val="002F1458"/>
    <w:rsid w:val="002F25A1"/>
    <w:rsid w:val="002F2FA5"/>
    <w:rsid w:val="002F304B"/>
    <w:rsid w:val="002F356B"/>
    <w:rsid w:val="002F3C31"/>
    <w:rsid w:val="002F408C"/>
    <w:rsid w:val="002F43F9"/>
    <w:rsid w:val="002F472D"/>
    <w:rsid w:val="002F544B"/>
    <w:rsid w:val="002F70D6"/>
    <w:rsid w:val="002F78FD"/>
    <w:rsid w:val="00300245"/>
    <w:rsid w:val="0030071B"/>
    <w:rsid w:val="00300D5B"/>
    <w:rsid w:val="00301226"/>
    <w:rsid w:val="00301614"/>
    <w:rsid w:val="00301662"/>
    <w:rsid w:val="00302312"/>
    <w:rsid w:val="0030238A"/>
    <w:rsid w:val="00302695"/>
    <w:rsid w:val="003026C0"/>
    <w:rsid w:val="0030340B"/>
    <w:rsid w:val="00303BC6"/>
    <w:rsid w:val="003059A6"/>
    <w:rsid w:val="00305AC8"/>
    <w:rsid w:val="003068E4"/>
    <w:rsid w:val="00306CDD"/>
    <w:rsid w:val="003077FB"/>
    <w:rsid w:val="0030793C"/>
    <w:rsid w:val="003104EC"/>
    <w:rsid w:val="00311A9F"/>
    <w:rsid w:val="00312175"/>
    <w:rsid w:val="00312DC0"/>
    <w:rsid w:val="003134CB"/>
    <w:rsid w:val="00313B56"/>
    <w:rsid w:val="00313BE2"/>
    <w:rsid w:val="003146DD"/>
    <w:rsid w:val="0031477F"/>
    <w:rsid w:val="00314E9A"/>
    <w:rsid w:val="00315228"/>
    <w:rsid w:val="0031544D"/>
    <w:rsid w:val="003155E2"/>
    <w:rsid w:val="00315D37"/>
    <w:rsid w:val="0031610A"/>
    <w:rsid w:val="0031612E"/>
    <w:rsid w:val="00316E18"/>
    <w:rsid w:val="003204BD"/>
    <w:rsid w:val="003206AC"/>
    <w:rsid w:val="00320DE2"/>
    <w:rsid w:val="00321074"/>
    <w:rsid w:val="0032159B"/>
    <w:rsid w:val="00321DE2"/>
    <w:rsid w:val="00322005"/>
    <w:rsid w:val="0032219D"/>
    <w:rsid w:val="003223DB"/>
    <w:rsid w:val="00322940"/>
    <w:rsid w:val="00322AAE"/>
    <w:rsid w:val="00323CCF"/>
    <w:rsid w:val="00323E26"/>
    <w:rsid w:val="00323F30"/>
    <w:rsid w:val="00324353"/>
    <w:rsid w:val="003244D8"/>
    <w:rsid w:val="00324A44"/>
    <w:rsid w:val="00324AAD"/>
    <w:rsid w:val="00324B5E"/>
    <w:rsid w:val="00325134"/>
    <w:rsid w:val="00325445"/>
    <w:rsid w:val="00325706"/>
    <w:rsid w:val="00325D64"/>
    <w:rsid w:val="00327C3C"/>
    <w:rsid w:val="00330627"/>
    <w:rsid w:val="00330E4F"/>
    <w:rsid w:val="003310FD"/>
    <w:rsid w:val="00331BAC"/>
    <w:rsid w:val="003321D8"/>
    <w:rsid w:val="00332656"/>
    <w:rsid w:val="003326B4"/>
    <w:rsid w:val="00332794"/>
    <w:rsid w:val="00332D6E"/>
    <w:rsid w:val="00332F5A"/>
    <w:rsid w:val="00333396"/>
    <w:rsid w:val="00333E85"/>
    <w:rsid w:val="0033466D"/>
    <w:rsid w:val="003349E5"/>
    <w:rsid w:val="003366B9"/>
    <w:rsid w:val="00336A5F"/>
    <w:rsid w:val="00336B53"/>
    <w:rsid w:val="00336FFA"/>
    <w:rsid w:val="003375B4"/>
    <w:rsid w:val="0033761A"/>
    <w:rsid w:val="00337883"/>
    <w:rsid w:val="00337954"/>
    <w:rsid w:val="00337A4B"/>
    <w:rsid w:val="00337B2B"/>
    <w:rsid w:val="003408BA"/>
    <w:rsid w:val="003408F8"/>
    <w:rsid w:val="00340C73"/>
    <w:rsid w:val="00340EAE"/>
    <w:rsid w:val="00341A39"/>
    <w:rsid w:val="003424E9"/>
    <w:rsid w:val="0034294F"/>
    <w:rsid w:val="00342A25"/>
    <w:rsid w:val="00343004"/>
    <w:rsid w:val="0034327E"/>
    <w:rsid w:val="00343359"/>
    <w:rsid w:val="003443DB"/>
    <w:rsid w:val="00344A40"/>
    <w:rsid w:val="00344B1B"/>
    <w:rsid w:val="0034529D"/>
    <w:rsid w:val="00345AC7"/>
    <w:rsid w:val="00346428"/>
    <w:rsid w:val="00347882"/>
    <w:rsid w:val="00347AD7"/>
    <w:rsid w:val="003501D3"/>
    <w:rsid w:val="0035047D"/>
    <w:rsid w:val="003539A8"/>
    <w:rsid w:val="00353ACD"/>
    <w:rsid w:val="00353C63"/>
    <w:rsid w:val="00353C97"/>
    <w:rsid w:val="00353CBB"/>
    <w:rsid w:val="00353E2B"/>
    <w:rsid w:val="003540F7"/>
    <w:rsid w:val="00354793"/>
    <w:rsid w:val="00354A02"/>
    <w:rsid w:val="00354BAF"/>
    <w:rsid w:val="00354E84"/>
    <w:rsid w:val="00355582"/>
    <w:rsid w:val="00355B83"/>
    <w:rsid w:val="00355D39"/>
    <w:rsid w:val="00356256"/>
    <w:rsid w:val="003562EE"/>
    <w:rsid w:val="00356C2F"/>
    <w:rsid w:val="00356FF4"/>
    <w:rsid w:val="00357007"/>
    <w:rsid w:val="00357083"/>
    <w:rsid w:val="003600B8"/>
    <w:rsid w:val="00361098"/>
    <w:rsid w:val="00361138"/>
    <w:rsid w:val="00361767"/>
    <w:rsid w:val="00361EB5"/>
    <w:rsid w:val="00362102"/>
    <w:rsid w:val="003628E7"/>
    <w:rsid w:val="0036298F"/>
    <w:rsid w:val="00362B48"/>
    <w:rsid w:val="00362DAE"/>
    <w:rsid w:val="00363905"/>
    <w:rsid w:val="003647E8"/>
    <w:rsid w:val="003648BA"/>
    <w:rsid w:val="00365389"/>
    <w:rsid w:val="00365443"/>
    <w:rsid w:val="0036552A"/>
    <w:rsid w:val="003657A8"/>
    <w:rsid w:val="003658A2"/>
    <w:rsid w:val="00365E40"/>
    <w:rsid w:val="00365E8F"/>
    <w:rsid w:val="00366460"/>
    <w:rsid w:val="003669F3"/>
    <w:rsid w:val="00366CCD"/>
    <w:rsid w:val="00366E6B"/>
    <w:rsid w:val="00367139"/>
    <w:rsid w:val="00370A09"/>
    <w:rsid w:val="003719AA"/>
    <w:rsid w:val="00371A95"/>
    <w:rsid w:val="00371D29"/>
    <w:rsid w:val="00372A9F"/>
    <w:rsid w:val="0037397A"/>
    <w:rsid w:val="00373995"/>
    <w:rsid w:val="00373B40"/>
    <w:rsid w:val="0037427D"/>
    <w:rsid w:val="0037474B"/>
    <w:rsid w:val="00374888"/>
    <w:rsid w:val="00375136"/>
    <w:rsid w:val="00375354"/>
    <w:rsid w:val="003759E4"/>
    <w:rsid w:val="0037606F"/>
    <w:rsid w:val="0037683E"/>
    <w:rsid w:val="00377174"/>
    <w:rsid w:val="00377FFD"/>
    <w:rsid w:val="003801DF"/>
    <w:rsid w:val="0038032E"/>
    <w:rsid w:val="0038045C"/>
    <w:rsid w:val="0038054E"/>
    <w:rsid w:val="0038099E"/>
    <w:rsid w:val="003810AD"/>
    <w:rsid w:val="0038126F"/>
    <w:rsid w:val="00381537"/>
    <w:rsid w:val="00381829"/>
    <w:rsid w:val="0038183C"/>
    <w:rsid w:val="003824A5"/>
    <w:rsid w:val="003833E5"/>
    <w:rsid w:val="0038349D"/>
    <w:rsid w:val="00383DBB"/>
    <w:rsid w:val="00383F08"/>
    <w:rsid w:val="00384B0B"/>
    <w:rsid w:val="00384B79"/>
    <w:rsid w:val="003856B9"/>
    <w:rsid w:val="003857FB"/>
    <w:rsid w:val="00385C09"/>
    <w:rsid w:val="0038761B"/>
    <w:rsid w:val="00387A95"/>
    <w:rsid w:val="003900C5"/>
    <w:rsid w:val="0039012B"/>
    <w:rsid w:val="00390408"/>
    <w:rsid w:val="00390F30"/>
    <w:rsid w:val="003916C1"/>
    <w:rsid w:val="00391B96"/>
    <w:rsid w:val="00391BC0"/>
    <w:rsid w:val="00391D48"/>
    <w:rsid w:val="00391E84"/>
    <w:rsid w:val="00392542"/>
    <w:rsid w:val="00392863"/>
    <w:rsid w:val="00392A03"/>
    <w:rsid w:val="003933D0"/>
    <w:rsid w:val="00394261"/>
    <w:rsid w:val="0039460F"/>
    <w:rsid w:val="00395ED4"/>
    <w:rsid w:val="00396338"/>
    <w:rsid w:val="00396529"/>
    <w:rsid w:val="003966AD"/>
    <w:rsid w:val="003967F6"/>
    <w:rsid w:val="00397570"/>
    <w:rsid w:val="00397B99"/>
    <w:rsid w:val="003A06D3"/>
    <w:rsid w:val="003A097E"/>
    <w:rsid w:val="003A0C26"/>
    <w:rsid w:val="003A0EA0"/>
    <w:rsid w:val="003A1471"/>
    <w:rsid w:val="003A1B9B"/>
    <w:rsid w:val="003A28A0"/>
    <w:rsid w:val="003A353C"/>
    <w:rsid w:val="003A3AB4"/>
    <w:rsid w:val="003A3FD1"/>
    <w:rsid w:val="003A3FF7"/>
    <w:rsid w:val="003A52A1"/>
    <w:rsid w:val="003A535E"/>
    <w:rsid w:val="003A638D"/>
    <w:rsid w:val="003A6743"/>
    <w:rsid w:val="003A7C27"/>
    <w:rsid w:val="003B036D"/>
    <w:rsid w:val="003B03DC"/>
    <w:rsid w:val="003B0D92"/>
    <w:rsid w:val="003B16F1"/>
    <w:rsid w:val="003B1D58"/>
    <w:rsid w:val="003B2100"/>
    <w:rsid w:val="003B35C4"/>
    <w:rsid w:val="003B385C"/>
    <w:rsid w:val="003B3900"/>
    <w:rsid w:val="003B3E80"/>
    <w:rsid w:val="003B4298"/>
    <w:rsid w:val="003B509C"/>
    <w:rsid w:val="003B57E2"/>
    <w:rsid w:val="003B75A1"/>
    <w:rsid w:val="003B7B47"/>
    <w:rsid w:val="003C071E"/>
    <w:rsid w:val="003C1CBB"/>
    <w:rsid w:val="003C1CEB"/>
    <w:rsid w:val="003C2808"/>
    <w:rsid w:val="003C2AB6"/>
    <w:rsid w:val="003C2D90"/>
    <w:rsid w:val="003C3B3C"/>
    <w:rsid w:val="003C3BC2"/>
    <w:rsid w:val="003C3CC8"/>
    <w:rsid w:val="003C3D9E"/>
    <w:rsid w:val="003C3F07"/>
    <w:rsid w:val="003C46C9"/>
    <w:rsid w:val="003C57B6"/>
    <w:rsid w:val="003C5975"/>
    <w:rsid w:val="003C60BF"/>
    <w:rsid w:val="003C67BD"/>
    <w:rsid w:val="003C73EC"/>
    <w:rsid w:val="003C74A3"/>
    <w:rsid w:val="003D0E96"/>
    <w:rsid w:val="003D1464"/>
    <w:rsid w:val="003D19C8"/>
    <w:rsid w:val="003D1B5E"/>
    <w:rsid w:val="003D1D9C"/>
    <w:rsid w:val="003D2496"/>
    <w:rsid w:val="003D2561"/>
    <w:rsid w:val="003D301F"/>
    <w:rsid w:val="003D3A49"/>
    <w:rsid w:val="003D46A1"/>
    <w:rsid w:val="003D4C55"/>
    <w:rsid w:val="003D4E3C"/>
    <w:rsid w:val="003D51ED"/>
    <w:rsid w:val="003D5204"/>
    <w:rsid w:val="003D5BD0"/>
    <w:rsid w:val="003D605B"/>
    <w:rsid w:val="003D6324"/>
    <w:rsid w:val="003D6342"/>
    <w:rsid w:val="003D6EBB"/>
    <w:rsid w:val="003D72D8"/>
    <w:rsid w:val="003D73BF"/>
    <w:rsid w:val="003E0293"/>
    <w:rsid w:val="003E0413"/>
    <w:rsid w:val="003E0A0C"/>
    <w:rsid w:val="003E0B1F"/>
    <w:rsid w:val="003E18EC"/>
    <w:rsid w:val="003E213B"/>
    <w:rsid w:val="003E29DD"/>
    <w:rsid w:val="003E2A98"/>
    <w:rsid w:val="003E3C16"/>
    <w:rsid w:val="003E417A"/>
    <w:rsid w:val="003E46D5"/>
    <w:rsid w:val="003E507D"/>
    <w:rsid w:val="003E563C"/>
    <w:rsid w:val="003E56A6"/>
    <w:rsid w:val="003E70EA"/>
    <w:rsid w:val="003F0336"/>
    <w:rsid w:val="003F1BCA"/>
    <w:rsid w:val="003F1C3B"/>
    <w:rsid w:val="003F2182"/>
    <w:rsid w:val="003F2C0A"/>
    <w:rsid w:val="003F2E1D"/>
    <w:rsid w:val="003F2E3C"/>
    <w:rsid w:val="003F41DA"/>
    <w:rsid w:val="003F46FA"/>
    <w:rsid w:val="003F48E7"/>
    <w:rsid w:val="003F4D70"/>
    <w:rsid w:val="003F64D1"/>
    <w:rsid w:val="003F65D7"/>
    <w:rsid w:val="003F682E"/>
    <w:rsid w:val="003F7238"/>
    <w:rsid w:val="003F7425"/>
    <w:rsid w:val="003F7C95"/>
    <w:rsid w:val="0040004D"/>
    <w:rsid w:val="00400254"/>
    <w:rsid w:val="004018DB"/>
    <w:rsid w:val="004023F3"/>
    <w:rsid w:val="004026A1"/>
    <w:rsid w:val="00402BF3"/>
    <w:rsid w:val="0040321F"/>
    <w:rsid w:val="00403489"/>
    <w:rsid w:val="00403BD5"/>
    <w:rsid w:val="00403DBF"/>
    <w:rsid w:val="00403FA5"/>
    <w:rsid w:val="00404694"/>
    <w:rsid w:val="00404B2E"/>
    <w:rsid w:val="00404E3C"/>
    <w:rsid w:val="00404E5C"/>
    <w:rsid w:val="00404FC0"/>
    <w:rsid w:val="00405965"/>
    <w:rsid w:val="00405975"/>
    <w:rsid w:val="00405D25"/>
    <w:rsid w:val="0040698F"/>
    <w:rsid w:val="00407FFC"/>
    <w:rsid w:val="00410306"/>
    <w:rsid w:val="0041088B"/>
    <w:rsid w:val="004109FB"/>
    <w:rsid w:val="00411123"/>
    <w:rsid w:val="004113BF"/>
    <w:rsid w:val="00411E37"/>
    <w:rsid w:val="00411F81"/>
    <w:rsid w:val="004120A8"/>
    <w:rsid w:val="00412754"/>
    <w:rsid w:val="004148B8"/>
    <w:rsid w:val="00414B23"/>
    <w:rsid w:val="00415960"/>
    <w:rsid w:val="00415A0B"/>
    <w:rsid w:val="004161E3"/>
    <w:rsid w:val="00416917"/>
    <w:rsid w:val="004169DE"/>
    <w:rsid w:val="0041716B"/>
    <w:rsid w:val="004175F7"/>
    <w:rsid w:val="0042042A"/>
    <w:rsid w:val="00420972"/>
    <w:rsid w:val="00420984"/>
    <w:rsid w:val="00420B1B"/>
    <w:rsid w:val="00420C25"/>
    <w:rsid w:val="00420E34"/>
    <w:rsid w:val="00420ED4"/>
    <w:rsid w:val="0042104C"/>
    <w:rsid w:val="00421056"/>
    <w:rsid w:val="004212A2"/>
    <w:rsid w:val="00421BE8"/>
    <w:rsid w:val="00421FA1"/>
    <w:rsid w:val="0042225C"/>
    <w:rsid w:val="004226BF"/>
    <w:rsid w:val="00422B18"/>
    <w:rsid w:val="00423396"/>
    <w:rsid w:val="00423FAE"/>
    <w:rsid w:val="00424550"/>
    <w:rsid w:val="00424753"/>
    <w:rsid w:val="00424862"/>
    <w:rsid w:val="0042499F"/>
    <w:rsid w:val="00424AF3"/>
    <w:rsid w:val="00425119"/>
    <w:rsid w:val="00425E6E"/>
    <w:rsid w:val="00426836"/>
    <w:rsid w:val="0042690C"/>
    <w:rsid w:val="00427061"/>
    <w:rsid w:val="004277FA"/>
    <w:rsid w:val="00427941"/>
    <w:rsid w:val="00427B16"/>
    <w:rsid w:val="00427D7B"/>
    <w:rsid w:val="004305EF"/>
    <w:rsid w:val="00430B64"/>
    <w:rsid w:val="00430BEF"/>
    <w:rsid w:val="00430DA1"/>
    <w:rsid w:val="0043115B"/>
    <w:rsid w:val="00431AD9"/>
    <w:rsid w:val="00433808"/>
    <w:rsid w:val="00433EFF"/>
    <w:rsid w:val="004340E7"/>
    <w:rsid w:val="0043455A"/>
    <w:rsid w:val="00434FE9"/>
    <w:rsid w:val="0043538C"/>
    <w:rsid w:val="004359E7"/>
    <w:rsid w:val="00436439"/>
    <w:rsid w:val="00436756"/>
    <w:rsid w:val="00436D35"/>
    <w:rsid w:val="004372BF"/>
    <w:rsid w:val="0043777E"/>
    <w:rsid w:val="0044030B"/>
    <w:rsid w:val="0044053A"/>
    <w:rsid w:val="00441C06"/>
    <w:rsid w:val="00441DD5"/>
    <w:rsid w:val="00441F43"/>
    <w:rsid w:val="00442098"/>
    <w:rsid w:val="00442700"/>
    <w:rsid w:val="00442EF6"/>
    <w:rsid w:val="004434C8"/>
    <w:rsid w:val="00443776"/>
    <w:rsid w:val="004441F7"/>
    <w:rsid w:val="00444FF2"/>
    <w:rsid w:val="00445224"/>
    <w:rsid w:val="0044581A"/>
    <w:rsid w:val="0044650E"/>
    <w:rsid w:val="004465DA"/>
    <w:rsid w:val="004467F3"/>
    <w:rsid w:val="004504C3"/>
    <w:rsid w:val="00451431"/>
    <w:rsid w:val="00451565"/>
    <w:rsid w:val="004525D9"/>
    <w:rsid w:val="00452A25"/>
    <w:rsid w:val="00452D0C"/>
    <w:rsid w:val="00453B3C"/>
    <w:rsid w:val="004542CE"/>
    <w:rsid w:val="00454638"/>
    <w:rsid w:val="0045499A"/>
    <w:rsid w:val="00454E9E"/>
    <w:rsid w:val="00454FE9"/>
    <w:rsid w:val="0045535A"/>
    <w:rsid w:val="00455671"/>
    <w:rsid w:val="0045579C"/>
    <w:rsid w:val="00456E39"/>
    <w:rsid w:val="00461A62"/>
    <w:rsid w:val="004625E0"/>
    <w:rsid w:val="00462B5C"/>
    <w:rsid w:val="00462E3F"/>
    <w:rsid w:val="00463347"/>
    <w:rsid w:val="00463AC0"/>
    <w:rsid w:val="004640F4"/>
    <w:rsid w:val="00464663"/>
    <w:rsid w:val="00464C68"/>
    <w:rsid w:val="0046549B"/>
    <w:rsid w:val="00465A47"/>
    <w:rsid w:val="00466536"/>
    <w:rsid w:val="00466802"/>
    <w:rsid w:val="00466A86"/>
    <w:rsid w:val="00466E0C"/>
    <w:rsid w:val="0046722D"/>
    <w:rsid w:val="00467874"/>
    <w:rsid w:val="00467CDD"/>
    <w:rsid w:val="004703C9"/>
    <w:rsid w:val="00470C4C"/>
    <w:rsid w:val="00470CCD"/>
    <w:rsid w:val="00470EF5"/>
    <w:rsid w:val="00471935"/>
    <w:rsid w:val="00471F9D"/>
    <w:rsid w:val="004724A9"/>
    <w:rsid w:val="00473534"/>
    <w:rsid w:val="00473960"/>
    <w:rsid w:val="00473C1F"/>
    <w:rsid w:val="00473C27"/>
    <w:rsid w:val="0047481D"/>
    <w:rsid w:val="004749DB"/>
    <w:rsid w:val="00474A12"/>
    <w:rsid w:val="00474D0A"/>
    <w:rsid w:val="004753C0"/>
    <w:rsid w:val="00475554"/>
    <w:rsid w:val="00475D31"/>
    <w:rsid w:val="0047625F"/>
    <w:rsid w:val="00477030"/>
    <w:rsid w:val="00477B60"/>
    <w:rsid w:val="004816E5"/>
    <w:rsid w:val="0048236C"/>
    <w:rsid w:val="0048279B"/>
    <w:rsid w:val="004828BE"/>
    <w:rsid w:val="00482A1A"/>
    <w:rsid w:val="00482A7B"/>
    <w:rsid w:val="00482FAA"/>
    <w:rsid w:val="004835E9"/>
    <w:rsid w:val="00483A37"/>
    <w:rsid w:val="004850AA"/>
    <w:rsid w:val="004851BB"/>
    <w:rsid w:val="004866A8"/>
    <w:rsid w:val="00486D38"/>
    <w:rsid w:val="00487021"/>
    <w:rsid w:val="0048733C"/>
    <w:rsid w:val="00487607"/>
    <w:rsid w:val="00487BBC"/>
    <w:rsid w:val="00487BCE"/>
    <w:rsid w:val="0049045D"/>
    <w:rsid w:val="00490EBF"/>
    <w:rsid w:val="00491072"/>
    <w:rsid w:val="0049141C"/>
    <w:rsid w:val="004921A1"/>
    <w:rsid w:val="00492885"/>
    <w:rsid w:val="00492A8C"/>
    <w:rsid w:val="00493621"/>
    <w:rsid w:val="00493C02"/>
    <w:rsid w:val="00493C67"/>
    <w:rsid w:val="00493D19"/>
    <w:rsid w:val="00494187"/>
    <w:rsid w:val="004941D5"/>
    <w:rsid w:val="004942EB"/>
    <w:rsid w:val="004944E9"/>
    <w:rsid w:val="0049455F"/>
    <w:rsid w:val="004948D7"/>
    <w:rsid w:val="00494B09"/>
    <w:rsid w:val="00494D4A"/>
    <w:rsid w:val="00495493"/>
    <w:rsid w:val="00495495"/>
    <w:rsid w:val="00495E6E"/>
    <w:rsid w:val="004960FE"/>
    <w:rsid w:val="004964BD"/>
    <w:rsid w:val="00496B5F"/>
    <w:rsid w:val="004975A8"/>
    <w:rsid w:val="004A026F"/>
    <w:rsid w:val="004A0912"/>
    <w:rsid w:val="004A1186"/>
    <w:rsid w:val="004A3C5C"/>
    <w:rsid w:val="004A459F"/>
    <w:rsid w:val="004A4E6E"/>
    <w:rsid w:val="004A4EB0"/>
    <w:rsid w:val="004A51C6"/>
    <w:rsid w:val="004A55B6"/>
    <w:rsid w:val="004A589B"/>
    <w:rsid w:val="004A6BEF"/>
    <w:rsid w:val="004A72F7"/>
    <w:rsid w:val="004A740A"/>
    <w:rsid w:val="004A75D6"/>
    <w:rsid w:val="004A75ED"/>
    <w:rsid w:val="004A76F6"/>
    <w:rsid w:val="004A7D4B"/>
    <w:rsid w:val="004A7F63"/>
    <w:rsid w:val="004B068D"/>
    <w:rsid w:val="004B0E1A"/>
    <w:rsid w:val="004B11D1"/>
    <w:rsid w:val="004B15B6"/>
    <w:rsid w:val="004B1906"/>
    <w:rsid w:val="004B1A12"/>
    <w:rsid w:val="004B2298"/>
    <w:rsid w:val="004B2777"/>
    <w:rsid w:val="004B279C"/>
    <w:rsid w:val="004B3154"/>
    <w:rsid w:val="004B37A1"/>
    <w:rsid w:val="004B38A7"/>
    <w:rsid w:val="004B3DE1"/>
    <w:rsid w:val="004B61A4"/>
    <w:rsid w:val="004B7B40"/>
    <w:rsid w:val="004C0231"/>
    <w:rsid w:val="004C04DA"/>
    <w:rsid w:val="004C15B5"/>
    <w:rsid w:val="004C3479"/>
    <w:rsid w:val="004C35C5"/>
    <w:rsid w:val="004C38D6"/>
    <w:rsid w:val="004C3AA2"/>
    <w:rsid w:val="004C4965"/>
    <w:rsid w:val="004C52C3"/>
    <w:rsid w:val="004C5357"/>
    <w:rsid w:val="004C561C"/>
    <w:rsid w:val="004C579E"/>
    <w:rsid w:val="004C5F91"/>
    <w:rsid w:val="004C623B"/>
    <w:rsid w:val="004C6277"/>
    <w:rsid w:val="004C685A"/>
    <w:rsid w:val="004C6BA6"/>
    <w:rsid w:val="004C7CC4"/>
    <w:rsid w:val="004D044C"/>
    <w:rsid w:val="004D04AD"/>
    <w:rsid w:val="004D0C2C"/>
    <w:rsid w:val="004D21AC"/>
    <w:rsid w:val="004D2300"/>
    <w:rsid w:val="004D2308"/>
    <w:rsid w:val="004D44AD"/>
    <w:rsid w:val="004D4B88"/>
    <w:rsid w:val="004D4BEB"/>
    <w:rsid w:val="004D4FA1"/>
    <w:rsid w:val="004D5033"/>
    <w:rsid w:val="004D52CD"/>
    <w:rsid w:val="004D5DFA"/>
    <w:rsid w:val="004D6954"/>
    <w:rsid w:val="004D6F5F"/>
    <w:rsid w:val="004D7484"/>
    <w:rsid w:val="004D798F"/>
    <w:rsid w:val="004D79A9"/>
    <w:rsid w:val="004E03B0"/>
    <w:rsid w:val="004E06A0"/>
    <w:rsid w:val="004E11BE"/>
    <w:rsid w:val="004E1932"/>
    <w:rsid w:val="004E1AC1"/>
    <w:rsid w:val="004E1B64"/>
    <w:rsid w:val="004E1CDB"/>
    <w:rsid w:val="004E1D36"/>
    <w:rsid w:val="004E1DF4"/>
    <w:rsid w:val="004E2698"/>
    <w:rsid w:val="004E2A7F"/>
    <w:rsid w:val="004E3069"/>
    <w:rsid w:val="004E31C3"/>
    <w:rsid w:val="004E359D"/>
    <w:rsid w:val="004E3AB4"/>
    <w:rsid w:val="004E3AEA"/>
    <w:rsid w:val="004E3E38"/>
    <w:rsid w:val="004E40E5"/>
    <w:rsid w:val="004E45E9"/>
    <w:rsid w:val="004E4CC6"/>
    <w:rsid w:val="004E52F2"/>
    <w:rsid w:val="004E63BA"/>
    <w:rsid w:val="004E69F8"/>
    <w:rsid w:val="004F07BC"/>
    <w:rsid w:val="004F08D8"/>
    <w:rsid w:val="004F0EB3"/>
    <w:rsid w:val="004F12DB"/>
    <w:rsid w:val="004F13BF"/>
    <w:rsid w:val="004F19D1"/>
    <w:rsid w:val="004F1B7D"/>
    <w:rsid w:val="004F1BAE"/>
    <w:rsid w:val="004F1D71"/>
    <w:rsid w:val="004F3EAC"/>
    <w:rsid w:val="004F425C"/>
    <w:rsid w:val="004F4355"/>
    <w:rsid w:val="004F440D"/>
    <w:rsid w:val="004F4E92"/>
    <w:rsid w:val="004F5492"/>
    <w:rsid w:val="004F5C55"/>
    <w:rsid w:val="004F5D6C"/>
    <w:rsid w:val="004F6B49"/>
    <w:rsid w:val="004F73A8"/>
    <w:rsid w:val="004F73FB"/>
    <w:rsid w:val="005000AD"/>
    <w:rsid w:val="00500FE5"/>
    <w:rsid w:val="005022B1"/>
    <w:rsid w:val="005023FD"/>
    <w:rsid w:val="005025AA"/>
    <w:rsid w:val="00502CF2"/>
    <w:rsid w:val="00502F3F"/>
    <w:rsid w:val="00503958"/>
    <w:rsid w:val="00503D6D"/>
    <w:rsid w:val="00503D97"/>
    <w:rsid w:val="00503FB0"/>
    <w:rsid w:val="005041D1"/>
    <w:rsid w:val="00504741"/>
    <w:rsid w:val="00505393"/>
    <w:rsid w:val="00505EBD"/>
    <w:rsid w:val="0050626A"/>
    <w:rsid w:val="005105E6"/>
    <w:rsid w:val="00511006"/>
    <w:rsid w:val="0051136A"/>
    <w:rsid w:val="00511771"/>
    <w:rsid w:val="0051205D"/>
    <w:rsid w:val="00512702"/>
    <w:rsid w:val="00512C18"/>
    <w:rsid w:val="00514509"/>
    <w:rsid w:val="00514835"/>
    <w:rsid w:val="00516125"/>
    <w:rsid w:val="00516510"/>
    <w:rsid w:val="00516D7C"/>
    <w:rsid w:val="00516D8B"/>
    <w:rsid w:val="00517A8C"/>
    <w:rsid w:val="00517B88"/>
    <w:rsid w:val="00517EDF"/>
    <w:rsid w:val="00520111"/>
    <w:rsid w:val="005215EB"/>
    <w:rsid w:val="00522043"/>
    <w:rsid w:val="00522674"/>
    <w:rsid w:val="00522BAE"/>
    <w:rsid w:val="00522C84"/>
    <w:rsid w:val="005230F5"/>
    <w:rsid w:val="0052311E"/>
    <w:rsid w:val="005237B8"/>
    <w:rsid w:val="00524328"/>
    <w:rsid w:val="005243E0"/>
    <w:rsid w:val="005246B1"/>
    <w:rsid w:val="00524DC7"/>
    <w:rsid w:val="00524FFA"/>
    <w:rsid w:val="005253C9"/>
    <w:rsid w:val="0052549C"/>
    <w:rsid w:val="005255FC"/>
    <w:rsid w:val="00525670"/>
    <w:rsid w:val="005266AB"/>
    <w:rsid w:val="005275DF"/>
    <w:rsid w:val="00527DF8"/>
    <w:rsid w:val="00527F25"/>
    <w:rsid w:val="00530580"/>
    <w:rsid w:val="005306EB"/>
    <w:rsid w:val="00530850"/>
    <w:rsid w:val="005318B6"/>
    <w:rsid w:val="0053308A"/>
    <w:rsid w:val="00533152"/>
    <w:rsid w:val="005331B6"/>
    <w:rsid w:val="00533C14"/>
    <w:rsid w:val="00533C1D"/>
    <w:rsid w:val="00533E06"/>
    <w:rsid w:val="00533F7A"/>
    <w:rsid w:val="00534C3A"/>
    <w:rsid w:val="00534CF7"/>
    <w:rsid w:val="0053585A"/>
    <w:rsid w:val="00536F1B"/>
    <w:rsid w:val="005374F6"/>
    <w:rsid w:val="005402DD"/>
    <w:rsid w:val="00540714"/>
    <w:rsid w:val="00540C45"/>
    <w:rsid w:val="00540D8B"/>
    <w:rsid w:val="00541055"/>
    <w:rsid w:val="00541252"/>
    <w:rsid w:val="00541D75"/>
    <w:rsid w:val="005421CE"/>
    <w:rsid w:val="00542B61"/>
    <w:rsid w:val="00542D0C"/>
    <w:rsid w:val="0054395C"/>
    <w:rsid w:val="00543F24"/>
    <w:rsid w:val="005454EA"/>
    <w:rsid w:val="005456AD"/>
    <w:rsid w:val="00545787"/>
    <w:rsid w:val="00546268"/>
    <w:rsid w:val="00546953"/>
    <w:rsid w:val="00546B4D"/>
    <w:rsid w:val="00547129"/>
    <w:rsid w:val="0054796D"/>
    <w:rsid w:val="00550578"/>
    <w:rsid w:val="00550591"/>
    <w:rsid w:val="00550DEE"/>
    <w:rsid w:val="0055182B"/>
    <w:rsid w:val="005518A9"/>
    <w:rsid w:val="00551AB9"/>
    <w:rsid w:val="005520B3"/>
    <w:rsid w:val="005522D8"/>
    <w:rsid w:val="00552680"/>
    <w:rsid w:val="005526AF"/>
    <w:rsid w:val="0055291B"/>
    <w:rsid w:val="00552EA2"/>
    <w:rsid w:val="005531FA"/>
    <w:rsid w:val="00555583"/>
    <w:rsid w:val="00556089"/>
    <w:rsid w:val="005562C7"/>
    <w:rsid w:val="00556791"/>
    <w:rsid w:val="005567EF"/>
    <w:rsid w:val="00556818"/>
    <w:rsid w:val="00556CCB"/>
    <w:rsid w:val="005574ED"/>
    <w:rsid w:val="00557EC6"/>
    <w:rsid w:val="005601A6"/>
    <w:rsid w:val="00560A52"/>
    <w:rsid w:val="00561875"/>
    <w:rsid w:val="00561AC6"/>
    <w:rsid w:val="00561D97"/>
    <w:rsid w:val="00561DC6"/>
    <w:rsid w:val="005627F2"/>
    <w:rsid w:val="005628AC"/>
    <w:rsid w:val="00562938"/>
    <w:rsid w:val="00562D45"/>
    <w:rsid w:val="00563A00"/>
    <w:rsid w:val="00563D71"/>
    <w:rsid w:val="005647DE"/>
    <w:rsid w:val="00564DE7"/>
    <w:rsid w:val="005654E8"/>
    <w:rsid w:val="00565811"/>
    <w:rsid w:val="00565A20"/>
    <w:rsid w:val="00565A46"/>
    <w:rsid w:val="00565C0D"/>
    <w:rsid w:val="00565E35"/>
    <w:rsid w:val="00565FB0"/>
    <w:rsid w:val="00566314"/>
    <w:rsid w:val="005664ED"/>
    <w:rsid w:val="00566A86"/>
    <w:rsid w:val="00566FDB"/>
    <w:rsid w:val="00567227"/>
    <w:rsid w:val="00567FF5"/>
    <w:rsid w:val="00570014"/>
    <w:rsid w:val="00570375"/>
    <w:rsid w:val="005706A3"/>
    <w:rsid w:val="00570AD0"/>
    <w:rsid w:val="0057177B"/>
    <w:rsid w:val="0057195A"/>
    <w:rsid w:val="00571B41"/>
    <w:rsid w:val="00571EDC"/>
    <w:rsid w:val="00572160"/>
    <w:rsid w:val="00572F53"/>
    <w:rsid w:val="005731FE"/>
    <w:rsid w:val="00573340"/>
    <w:rsid w:val="005747E1"/>
    <w:rsid w:val="005748D4"/>
    <w:rsid w:val="00574B86"/>
    <w:rsid w:val="00575056"/>
    <w:rsid w:val="005750FD"/>
    <w:rsid w:val="00575C5C"/>
    <w:rsid w:val="005763E8"/>
    <w:rsid w:val="0057667C"/>
    <w:rsid w:val="005766A2"/>
    <w:rsid w:val="005768BC"/>
    <w:rsid w:val="00577B3E"/>
    <w:rsid w:val="00577B4B"/>
    <w:rsid w:val="00577E54"/>
    <w:rsid w:val="00580018"/>
    <w:rsid w:val="0058028D"/>
    <w:rsid w:val="00580DAB"/>
    <w:rsid w:val="00580E20"/>
    <w:rsid w:val="00580F9B"/>
    <w:rsid w:val="005810CB"/>
    <w:rsid w:val="005818E3"/>
    <w:rsid w:val="00581B9D"/>
    <w:rsid w:val="00581BD1"/>
    <w:rsid w:val="00582D7F"/>
    <w:rsid w:val="005830E1"/>
    <w:rsid w:val="005833C8"/>
    <w:rsid w:val="00583838"/>
    <w:rsid w:val="005847E1"/>
    <w:rsid w:val="005849DB"/>
    <w:rsid w:val="0058504A"/>
    <w:rsid w:val="00585446"/>
    <w:rsid w:val="00585D72"/>
    <w:rsid w:val="0058764A"/>
    <w:rsid w:val="005877C9"/>
    <w:rsid w:val="00590372"/>
    <w:rsid w:val="0059054D"/>
    <w:rsid w:val="0059062C"/>
    <w:rsid w:val="00590F1F"/>
    <w:rsid w:val="005913F3"/>
    <w:rsid w:val="00591C2D"/>
    <w:rsid w:val="005926A8"/>
    <w:rsid w:val="005929B1"/>
    <w:rsid w:val="00593348"/>
    <w:rsid w:val="00593BE4"/>
    <w:rsid w:val="00593D89"/>
    <w:rsid w:val="00594B6C"/>
    <w:rsid w:val="0059634B"/>
    <w:rsid w:val="005968B2"/>
    <w:rsid w:val="00597CCA"/>
    <w:rsid w:val="005A028D"/>
    <w:rsid w:val="005A03CA"/>
    <w:rsid w:val="005A05F7"/>
    <w:rsid w:val="005A0B62"/>
    <w:rsid w:val="005A1455"/>
    <w:rsid w:val="005A1AA3"/>
    <w:rsid w:val="005A2328"/>
    <w:rsid w:val="005A2744"/>
    <w:rsid w:val="005A2D8D"/>
    <w:rsid w:val="005A3FD4"/>
    <w:rsid w:val="005A4319"/>
    <w:rsid w:val="005A4A1D"/>
    <w:rsid w:val="005A4CF4"/>
    <w:rsid w:val="005A500F"/>
    <w:rsid w:val="005A5B9B"/>
    <w:rsid w:val="005A6953"/>
    <w:rsid w:val="005A6A3F"/>
    <w:rsid w:val="005A6A83"/>
    <w:rsid w:val="005A6CA1"/>
    <w:rsid w:val="005A70B5"/>
    <w:rsid w:val="005A75CF"/>
    <w:rsid w:val="005A7746"/>
    <w:rsid w:val="005B013B"/>
    <w:rsid w:val="005B01F7"/>
    <w:rsid w:val="005B1226"/>
    <w:rsid w:val="005B123A"/>
    <w:rsid w:val="005B184F"/>
    <w:rsid w:val="005B1EB2"/>
    <w:rsid w:val="005B261D"/>
    <w:rsid w:val="005B2946"/>
    <w:rsid w:val="005B2B11"/>
    <w:rsid w:val="005B3135"/>
    <w:rsid w:val="005B387C"/>
    <w:rsid w:val="005B3D63"/>
    <w:rsid w:val="005B4D12"/>
    <w:rsid w:val="005B5486"/>
    <w:rsid w:val="005B5B90"/>
    <w:rsid w:val="005B6041"/>
    <w:rsid w:val="005B734A"/>
    <w:rsid w:val="005B7906"/>
    <w:rsid w:val="005C02E8"/>
    <w:rsid w:val="005C0B03"/>
    <w:rsid w:val="005C18C6"/>
    <w:rsid w:val="005C3953"/>
    <w:rsid w:val="005C3C85"/>
    <w:rsid w:val="005C41CC"/>
    <w:rsid w:val="005C4E68"/>
    <w:rsid w:val="005C58EC"/>
    <w:rsid w:val="005C5973"/>
    <w:rsid w:val="005C5C2B"/>
    <w:rsid w:val="005C60A7"/>
    <w:rsid w:val="005C6394"/>
    <w:rsid w:val="005C697C"/>
    <w:rsid w:val="005C6AF0"/>
    <w:rsid w:val="005C7591"/>
    <w:rsid w:val="005C77B0"/>
    <w:rsid w:val="005C7D7E"/>
    <w:rsid w:val="005C7FDA"/>
    <w:rsid w:val="005D09C7"/>
    <w:rsid w:val="005D0EA8"/>
    <w:rsid w:val="005D1044"/>
    <w:rsid w:val="005D1D07"/>
    <w:rsid w:val="005D2640"/>
    <w:rsid w:val="005D3B00"/>
    <w:rsid w:val="005D3EC5"/>
    <w:rsid w:val="005D4805"/>
    <w:rsid w:val="005D482E"/>
    <w:rsid w:val="005D48C3"/>
    <w:rsid w:val="005D495A"/>
    <w:rsid w:val="005D4DE6"/>
    <w:rsid w:val="005D5850"/>
    <w:rsid w:val="005D64AB"/>
    <w:rsid w:val="005D6567"/>
    <w:rsid w:val="005D6BB4"/>
    <w:rsid w:val="005E01A0"/>
    <w:rsid w:val="005E044E"/>
    <w:rsid w:val="005E0D33"/>
    <w:rsid w:val="005E0FC9"/>
    <w:rsid w:val="005E2056"/>
    <w:rsid w:val="005E265D"/>
    <w:rsid w:val="005E2ED1"/>
    <w:rsid w:val="005E2FC7"/>
    <w:rsid w:val="005E4436"/>
    <w:rsid w:val="005E58A4"/>
    <w:rsid w:val="005E6084"/>
    <w:rsid w:val="005E608A"/>
    <w:rsid w:val="005E70EE"/>
    <w:rsid w:val="005F0373"/>
    <w:rsid w:val="005F07C8"/>
    <w:rsid w:val="005F19E6"/>
    <w:rsid w:val="005F1D2D"/>
    <w:rsid w:val="005F2037"/>
    <w:rsid w:val="005F2DFC"/>
    <w:rsid w:val="005F2EE0"/>
    <w:rsid w:val="005F3516"/>
    <w:rsid w:val="005F402C"/>
    <w:rsid w:val="005F40AA"/>
    <w:rsid w:val="005F48E4"/>
    <w:rsid w:val="005F5E99"/>
    <w:rsid w:val="005F6025"/>
    <w:rsid w:val="005F6421"/>
    <w:rsid w:val="005F6AC3"/>
    <w:rsid w:val="005F6B63"/>
    <w:rsid w:val="005F70A9"/>
    <w:rsid w:val="005F71A1"/>
    <w:rsid w:val="005F73FB"/>
    <w:rsid w:val="005F782D"/>
    <w:rsid w:val="005F795C"/>
    <w:rsid w:val="005F7CDF"/>
    <w:rsid w:val="00600942"/>
    <w:rsid w:val="00601A6A"/>
    <w:rsid w:val="00601E0E"/>
    <w:rsid w:val="0060208B"/>
    <w:rsid w:val="006021C4"/>
    <w:rsid w:val="00602C0A"/>
    <w:rsid w:val="00603134"/>
    <w:rsid w:val="0060329A"/>
    <w:rsid w:val="0060394F"/>
    <w:rsid w:val="00604372"/>
    <w:rsid w:val="00604FA4"/>
    <w:rsid w:val="00604FC4"/>
    <w:rsid w:val="00605139"/>
    <w:rsid w:val="00605605"/>
    <w:rsid w:val="00605990"/>
    <w:rsid w:val="00605A94"/>
    <w:rsid w:val="00605EF7"/>
    <w:rsid w:val="00605F17"/>
    <w:rsid w:val="00607343"/>
    <w:rsid w:val="006077E1"/>
    <w:rsid w:val="00610326"/>
    <w:rsid w:val="00610D9F"/>
    <w:rsid w:val="0061173A"/>
    <w:rsid w:val="0061191D"/>
    <w:rsid w:val="00611EF4"/>
    <w:rsid w:val="006121A6"/>
    <w:rsid w:val="00613928"/>
    <w:rsid w:val="00613E6A"/>
    <w:rsid w:val="006140FD"/>
    <w:rsid w:val="0061414A"/>
    <w:rsid w:val="0061417B"/>
    <w:rsid w:val="0061535D"/>
    <w:rsid w:val="00616551"/>
    <w:rsid w:val="00616E42"/>
    <w:rsid w:val="00616FDC"/>
    <w:rsid w:val="006178B9"/>
    <w:rsid w:val="00617A5E"/>
    <w:rsid w:val="00617DEC"/>
    <w:rsid w:val="00620AFE"/>
    <w:rsid w:val="00620C27"/>
    <w:rsid w:val="00621E45"/>
    <w:rsid w:val="00622258"/>
    <w:rsid w:val="00622434"/>
    <w:rsid w:val="00622C70"/>
    <w:rsid w:val="00622DAF"/>
    <w:rsid w:val="00622E11"/>
    <w:rsid w:val="00623275"/>
    <w:rsid w:val="006235C9"/>
    <w:rsid w:val="00623665"/>
    <w:rsid w:val="00623741"/>
    <w:rsid w:val="00623BA6"/>
    <w:rsid w:val="00623CB2"/>
    <w:rsid w:val="006240CB"/>
    <w:rsid w:val="00624B9C"/>
    <w:rsid w:val="00624F05"/>
    <w:rsid w:val="006252C2"/>
    <w:rsid w:val="00625357"/>
    <w:rsid w:val="0062636A"/>
    <w:rsid w:val="00626921"/>
    <w:rsid w:val="00626EBB"/>
    <w:rsid w:val="00626ECC"/>
    <w:rsid w:val="00627855"/>
    <w:rsid w:val="006311E0"/>
    <w:rsid w:val="006314AE"/>
    <w:rsid w:val="00631C4F"/>
    <w:rsid w:val="0063214E"/>
    <w:rsid w:val="00632253"/>
    <w:rsid w:val="006322B3"/>
    <w:rsid w:val="00632D87"/>
    <w:rsid w:val="00632E92"/>
    <w:rsid w:val="00633B60"/>
    <w:rsid w:val="00633B87"/>
    <w:rsid w:val="00633CFA"/>
    <w:rsid w:val="00634233"/>
    <w:rsid w:val="0063433E"/>
    <w:rsid w:val="00634546"/>
    <w:rsid w:val="006345AC"/>
    <w:rsid w:val="00634649"/>
    <w:rsid w:val="006347F1"/>
    <w:rsid w:val="006350F1"/>
    <w:rsid w:val="0063521C"/>
    <w:rsid w:val="00635B36"/>
    <w:rsid w:val="00635FA4"/>
    <w:rsid w:val="006363D5"/>
    <w:rsid w:val="00636BFF"/>
    <w:rsid w:val="00636CAD"/>
    <w:rsid w:val="00636D69"/>
    <w:rsid w:val="00637144"/>
    <w:rsid w:val="006376DF"/>
    <w:rsid w:val="00637C45"/>
    <w:rsid w:val="00640616"/>
    <w:rsid w:val="006406A4"/>
    <w:rsid w:val="00640833"/>
    <w:rsid w:val="006416F7"/>
    <w:rsid w:val="00641A2A"/>
    <w:rsid w:val="00641F04"/>
    <w:rsid w:val="00641F52"/>
    <w:rsid w:val="0064245C"/>
    <w:rsid w:val="00642535"/>
    <w:rsid w:val="00642C88"/>
    <w:rsid w:val="0064377E"/>
    <w:rsid w:val="00644A2B"/>
    <w:rsid w:val="006453EA"/>
    <w:rsid w:val="00645440"/>
    <w:rsid w:val="00645C73"/>
    <w:rsid w:val="0064618B"/>
    <w:rsid w:val="006461F1"/>
    <w:rsid w:val="0064674D"/>
    <w:rsid w:val="00646AB7"/>
    <w:rsid w:val="0065014C"/>
    <w:rsid w:val="006507C6"/>
    <w:rsid w:val="00650E45"/>
    <w:rsid w:val="0065129A"/>
    <w:rsid w:val="0065184B"/>
    <w:rsid w:val="00651905"/>
    <w:rsid w:val="00652206"/>
    <w:rsid w:val="0065299F"/>
    <w:rsid w:val="00652B79"/>
    <w:rsid w:val="00652BA3"/>
    <w:rsid w:val="00653710"/>
    <w:rsid w:val="0065459D"/>
    <w:rsid w:val="00654E02"/>
    <w:rsid w:val="00655010"/>
    <w:rsid w:val="00655143"/>
    <w:rsid w:val="006555B0"/>
    <w:rsid w:val="006558E2"/>
    <w:rsid w:val="0065592B"/>
    <w:rsid w:val="006559D2"/>
    <w:rsid w:val="006559FD"/>
    <w:rsid w:val="00655CCD"/>
    <w:rsid w:val="00656451"/>
    <w:rsid w:val="00656AD9"/>
    <w:rsid w:val="00656AEE"/>
    <w:rsid w:val="00660363"/>
    <w:rsid w:val="006615E6"/>
    <w:rsid w:val="00661C86"/>
    <w:rsid w:val="00663E43"/>
    <w:rsid w:val="00664228"/>
    <w:rsid w:val="006642CD"/>
    <w:rsid w:val="0066435C"/>
    <w:rsid w:val="00664418"/>
    <w:rsid w:val="00664603"/>
    <w:rsid w:val="00664B93"/>
    <w:rsid w:val="00664E16"/>
    <w:rsid w:val="0066589A"/>
    <w:rsid w:val="00665D8E"/>
    <w:rsid w:val="0066644A"/>
    <w:rsid w:val="00666848"/>
    <w:rsid w:val="00667269"/>
    <w:rsid w:val="00667F8F"/>
    <w:rsid w:val="0067081B"/>
    <w:rsid w:val="0067100E"/>
    <w:rsid w:val="006712B8"/>
    <w:rsid w:val="0067137F"/>
    <w:rsid w:val="00671648"/>
    <w:rsid w:val="0067176F"/>
    <w:rsid w:val="0067283C"/>
    <w:rsid w:val="00672A63"/>
    <w:rsid w:val="00673F25"/>
    <w:rsid w:val="00675B7F"/>
    <w:rsid w:val="00675C43"/>
    <w:rsid w:val="00675F60"/>
    <w:rsid w:val="0067667B"/>
    <w:rsid w:val="00676A0A"/>
    <w:rsid w:val="00676C0B"/>
    <w:rsid w:val="00677230"/>
    <w:rsid w:val="006776B2"/>
    <w:rsid w:val="00681524"/>
    <w:rsid w:val="00681A79"/>
    <w:rsid w:val="00681DE1"/>
    <w:rsid w:val="00682633"/>
    <w:rsid w:val="006826BB"/>
    <w:rsid w:val="00682773"/>
    <w:rsid w:val="00682855"/>
    <w:rsid w:val="00682A65"/>
    <w:rsid w:val="006834ED"/>
    <w:rsid w:val="00683658"/>
    <w:rsid w:val="0068482F"/>
    <w:rsid w:val="00684E5A"/>
    <w:rsid w:val="006857D0"/>
    <w:rsid w:val="006861FB"/>
    <w:rsid w:val="006872F9"/>
    <w:rsid w:val="00687D6D"/>
    <w:rsid w:val="00687F43"/>
    <w:rsid w:val="0069048E"/>
    <w:rsid w:val="0069099C"/>
    <w:rsid w:val="00691432"/>
    <w:rsid w:val="00691944"/>
    <w:rsid w:val="00691A10"/>
    <w:rsid w:val="00691ACB"/>
    <w:rsid w:val="00692203"/>
    <w:rsid w:val="0069250D"/>
    <w:rsid w:val="00692A7B"/>
    <w:rsid w:val="00692E7C"/>
    <w:rsid w:val="00693765"/>
    <w:rsid w:val="00693E50"/>
    <w:rsid w:val="006942E9"/>
    <w:rsid w:val="006942EC"/>
    <w:rsid w:val="00694DB3"/>
    <w:rsid w:val="006952EF"/>
    <w:rsid w:val="0069572E"/>
    <w:rsid w:val="006960FF"/>
    <w:rsid w:val="0069631F"/>
    <w:rsid w:val="00696BC1"/>
    <w:rsid w:val="00696C20"/>
    <w:rsid w:val="00696E64"/>
    <w:rsid w:val="0069714B"/>
    <w:rsid w:val="00697CF8"/>
    <w:rsid w:val="00697DCD"/>
    <w:rsid w:val="006A06F1"/>
    <w:rsid w:val="006A0B80"/>
    <w:rsid w:val="006A0CCE"/>
    <w:rsid w:val="006A0E12"/>
    <w:rsid w:val="006A2881"/>
    <w:rsid w:val="006A2EFF"/>
    <w:rsid w:val="006A3B9B"/>
    <w:rsid w:val="006A4428"/>
    <w:rsid w:val="006A44B6"/>
    <w:rsid w:val="006A47B9"/>
    <w:rsid w:val="006A4906"/>
    <w:rsid w:val="006A4AB2"/>
    <w:rsid w:val="006A562C"/>
    <w:rsid w:val="006A5D76"/>
    <w:rsid w:val="006A5DD7"/>
    <w:rsid w:val="006A69B7"/>
    <w:rsid w:val="006A7AFE"/>
    <w:rsid w:val="006B004D"/>
    <w:rsid w:val="006B0E9E"/>
    <w:rsid w:val="006B0F2B"/>
    <w:rsid w:val="006B1901"/>
    <w:rsid w:val="006B1902"/>
    <w:rsid w:val="006B2175"/>
    <w:rsid w:val="006B2462"/>
    <w:rsid w:val="006B27AE"/>
    <w:rsid w:val="006B2AAC"/>
    <w:rsid w:val="006B2B88"/>
    <w:rsid w:val="006B2D63"/>
    <w:rsid w:val="006B333F"/>
    <w:rsid w:val="006B39A2"/>
    <w:rsid w:val="006B47F6"/>
    <w:rsid w:val="006B4E1B"/>
    <w:rsid w:val="006B506E"/>
    <w:rsid w:val="006B5101"/>
    <w:rsid w:val="006B55D5"/>
    <w:rsid w:val="006B5895"/>
    <w:rsid w:val="006B5EF9"/>
    <w:rsid w:val="006B6059"/>
    <w:rsid w:val="006B69F5"/>
    <w:rsid w:val="006B6C19"/>
    <w:rsid w:val="006B6CC8"/>
    <w:rsid w:val="006B6DCE"/>
    <w:rsid w:val="006B77CA"/>
    <w:rsid w:val="006B7B04"/>
    <w:rsid w:val="006C03DC"/>
    <w:rsid w:val="006C05A3"/>
    <w:rsid w:val="006C0A4F"/>
    <w:rsid w:val="006C0FF0"/>
    <w:rsid w:val="006C12DE"/>
    <w:rsid w:val="006C132C"/>
    <w:rsid w:val="006C2CB3"/>
    <w:rsid w:val="006C2E3F"/>
    <w:rsid w:val="006C30F6"/>
    <w:rsid w:val="006C3DDD"/>
    <w:rsid w:val="006C417F"/>
    <w:rsid w:val="006C431E"/>
    <w:rsid w:val="006C47AD"/>
    <w:rsid w:val="006C47BB"/>
    <w:rsid w:val="006C4EB1"/>
    <w:rsid w:val="006C5156"/>
    <w:rsid w:val="006C5362"/>
    <w:rsid w:val="006C58B8"/>
    <w:rsid w:val="006C58FC"/>
    <w:rsid w:val="006C59C8"/>
    <w:rsid w:val="006C5DD7"/>
    <w:rsid w:val="006C6481"/>
    <w:rsid w:val="006C659E"/>
    <w:rsid w:val="006C6802"/>
    <w:rsid w:val="006C6DCC"/>
    <w:rsid w:val="006C701D"/>
    <w:rsid w:val="006C735F"/>
    <w:rsid w:val="006C74DC"/>
    <w:rsid w:val="006C7A5E"/>
    <w:rsid w:val="006D0388"/>
    <w:rsid w:val="006D0944"/>
    <w:rsid w:val="006D0957"/>
    <w:rsid w:val="006D0B87"/>
    <w:rsid w:val="006D0D5D"/>
    <w:rsid w:val="006D1C16"/>
    <w:rsid w:val="006D1E45"/>
    <w:rsid w:val="006D2122"/>
    <w:rsid w:val="006D24EB"/>
    <w:rsid w:val="006D2E1A"/>
    <w:rsid w:val="006D2F8A"/>
    <w:rsid w:val="006D339B"/>
    <w:rsid w:val="006D34EB"/>
    <w:rsid w:val="006D37A8"/>
    <w:rsid w:val="006D3824"/>
    <w:rsid w:val="006D395C"/>
    <w:rsid w:val="006D39B5"/>
    <w:rsid w:val="006D3F4B"/>
    <w:rsid w:val="006D3F7C"/>
    <w:rsid w:val="006D5071"/>
    <w:rsid w:val="006D56C3"/>
    <w:rsid w:val="006D6CDF"/>
    <w:rsid w:val="006D6FAA"/>
    <w:rsid w:val="006D6FF9"/>
    <w:rsid w:val="006D7F31"/>
    <w:rsid w:val="006D7F9D"/>
    <w:rsid w:val="006E0DB6"/>
    <w:rsid w:val="006E0F47"/>
    <w:rsid w:val="006E12DB"/>
    <w:rsid w:val="006E15ED"/>
    <w:rsid w:val="006E2370"/>
    <w:rsid w:val="006E3017"/>
    <w:rsid w:val="006E3383"/>
    <w:rsid w:val="006E3A3A"/>
    <w:rsid w:val="006E427D"/>
    <w:rsid w:val="006E517D"/>
    <w:rsid w:val="006E5222"/>
    <w:rsid w:val="006E581C"/>
    <w:rsid w:val="006E5EC2"/>
    <w:rsid w:val="006E64BA"/>
    <w:rsid w:val="006E6D9A"/>
    <w:rsid w:val="006E7C92"/>
    <w:rsid w:val="006F028B"/>
    <w:rsid w:val="006F1934"/>
    <w:rsid w:val="006F2030"/>
    <w:rsid w:val="006F2D15"/>
    <w:rsid w:val="006F2D96"/>
    <w:rsid w:val="006F3199"/>
    <w:rsid w:val="006F3742"/>
    <w:rsid w:val="006F383E"/>
    <w:rsid w:val="006F3D9B"/>
    <w:rsid w:val="006F3F14"/>
    <w:rsid w:val="006F42AD"/>
    <w:rsid w:val="006F4571"/>
    <w:rsid w:val="006F49CD"/>
    <w:rsid w:val="006F4D43"/>
    <w:rsid w:val="006F50B4"/>
    <w:rsid w:val="006F57A4"/>
    <w:rsid w:val="0070005D"/>
    <w:rsid w:val="00700413"/>
    <w:rsid w:val="00700BD8"/>
    <w:rsid w:val="00700D9F"/>
    <w:rsid w:val="00701159"/>
    <w:rsid w:val="007016FA"/>
    <w:rsid w:val="0070224B"/>
    <w:rsid w:val="007023FC"/>
    <w:rsid w:val="00702D1D"/>
    <w:rsid w:val="00703599"/>
    <w:rsid w:val="00703B23"/>
    <w:rsid w:val="0070472D"/>
    <w:rsid w:val="00706C03"/>
    <w:rsid w:val="00706EA7"/>
    <w:rsid w:val="007070D6"/>
    <w:rsid w:val="0070716A"/>
    <w:rsid w:val="007103F8"/>
    <w:rsid w:val="007105BE"/>
    <w:rsid w:val="00710AEB"/>
    <w:rsid w:val="00710DB2"/>
    <w:rsid w:val="00710E2B"/>
    <w:rsid w:val="00711AA8"/>
    <w:rsid w:val="007123E0"/>
    <w:rsid w:val="00712F2C"/>
    <w:rsid w:val="00713B18"/>
    <w:rsid w:val="00714056"/>
    <w:rsid w:val="00714175"/>
    <w:rsid w:val="0071429A"/>
    <w:rsid w:val="00714C14"/>
    <w:rsid w:val="00715DCB"/>
    <w:rsid w:val="00716C91"/>
    <w:rsid w:val="00716E11"/>
    <w:rsid w:val="00717C76"/>
    <w:rsid w:val="00720869"/>
    <w:rsid w:val="00720BB0"/>
    <w:rsid w:val="00720F60"/>
    <w:rsid w:val="00721884"/>
    <w:rsid w:val="00721D3F"/>
    <w:rsid w:val="007220E2"/>
    <w:rsid w:val="007226BD"/>
    <w:rsid w:val="00722BA5"/>
    <w:rsid w:val="00722E66"/>
    <w:rsid w:val="00722F39"/>
    <w:rsid w:val="00723271"/>
    <w:rsid w:val="0072349B"/>
    <w:rsid w:val="00724A6D"/>
    <w:rsid w:val="007252DE"/>
    <w:rsid w:val="00725416"/>
    <w:rsid w:val="00725962"/>
    <w:rsid w:val="007266A7"/>
    <w:rsid w:val="00726861"/>
    <w:rsid w:val="00726A1B"/>
    <w:rsid w:val="00726A53"/>
    <w:rsid w:val="00726EB0"/>
    <w:rsid w:val="00730B1C"/>
    <w:rsid w:val="00730E28"/>
    <w:rsid w:val="00730EEF"/>
    <w:rsid w:val="00732D6B"/>
    <w:rsid w:val="00733221"/>
    <w:rsid w:val="007335A0"/>
    <w:rsid w:val="0073390D"/>
    <w:rsid w:val="007339C6"/>
    <w:rsid w:val="00733C9D"/>
    <w:rsid w:val="00733F28"/>
    <w:rsid w:val="007345DF"/>
    <w:rsid w:val="00734C3B"/>
    <w:rsid w:val="0073506D"/>
    <w:rsid w:val="007365D0"/>
    <w:rsid w:val="00736B16"/>
    <w:rsid w:val="00737259"/>
    <w:rsid w:val="00737480"/>
    <w:rsid w:val="00740C9B"/>
    <w:rsid w:val="00741B97"/>
    <w:rsid w:val="00741D3C"/>
    <w:rsid w:val="0074407C"/>
    <w:rsid w:val="00744240"/>
    <w:rsid w:val="00744AFB"/>
    <w:rsid w:val="00744D57"/>
    <w:rsid w:val="00747175"/>
    <w:rsid w:val="0074756E"/>
    <w:rsid w:val="00747BE0"/>
    <w:rsid w:val="00747E8A"/>
    <w:rsid w:val="0075061C"/>
    <w:rsid w:val="007506FB"/>
    <w:rsid w:val="00750C9F"/>
    <w:rsid w:val="00750F66"/>
    <w:rsid w:val="00752396"/>
    <w:rsid w:val="007529D6"/>
    <w:rsid w:val="00752FE8"/>
    <w:rsid w:val="007530FF"/>
    <w:rsid w:val="00753188"/>
    <w:rsid w:val="00753486"/>
    <w:rsid w:val="00753D5A"/>
    <w:rsid w:val="00753E17"/>
    <w:rsid w:val="007543BA"/>
    <w:rsid w:val="007547AB"/>
    <w:rsid w:val="00754A75"/>
    <w:rsid w:val="00754B28"/>
    <w:rsid w:val="007555C7"/>
    <w:rsid w:val="00755AC0"/>
    <w:rsid w:val="00755CD4"/>
    <w:rsid w:val="00755EFA"/>
    <w:rsid w:val="007563B1"/>
    <w:rsid w:val="007567C7"/>
    <w:rsid w:val="0075730C"/>
    <w:rsid w:val="00757B9C"/>
    <w:rsid w:val="007610BF"/>
    <w:rsid w:val="00761769"/>
    <w:rsid w:val="007617A9"/>
    <w:rsid w:val="00761A28"/>
    <w:rsid w:val="00761E9F"/>
    <w:rsid w:val="00761F8C"/>
    <w:rsid w:val="0076233F"/>
    <w:rsid w:val="00763C7C"/>
    <w:rsid w:val="00764945"/>
    <w:rsid w:val="007649CE"/>
    <w:rsid w:val="00764B17"/>
    <w:rsid w:val="00764B79"/>
    <w:rsid w:val="00765665"/>
    <w:rsid w:val="007656EF"/>
    <w:rsid w:val="00765940"/>
    <w:rsid w:val="007661C9"/>
    <w:rsid w:val="0076625E"/>
    <w:rsid w:val="00766889"/>
    <w:rsid w:val="00766FF4"/>
    <w:rsid w:val="00767A4F"/>
    <w:rsid w:val="00767ABD"/>
    <w:rsid w:val="00767C67"/>
    <w:rsid w:val="00770901"/>
    <w:rsid w:val="00771DB6"/>
    <w:rsid w:val="0077233C"/>
    <w:rsid w:val="00772B77"/>
    <w:rsid w:val="00773818"/>
    <w:rsid w:val="00774961"/>
    <w:rsid w:val="00774F78"/>
    <w:rsid w:val="0077554F"/>
    <w:rsid w:val="00775CC6"/>
    <w:rsid w:val="00776372"/>
    <w:rsid w:val="00777AE6"/>
    <w:rsid w:val="00777B05"/>
    <w:rsid w:val="00780379"/>
    <w:rsid w:val="00780BE8"/>
    <w:rsid w:val="00780F4C"/>
    <w:rsid w:val="00781094"/>
    <w:rsid w:val="00781984"/>
    <w:rsid w:val="00781D16"/>
    <w:rsid w:val="007822C6"/>
    <w:rsid w:val="00782703"/>
    <w:rsid w:val="007827BB"/>
    <w:rsid w:val="007829BC"/>
    <w:rsid w:val="00782A7C"/>
    <w:rsid w:val="00782DF6"/>
    <w:rsid w:val="007834E6"/>
    <w:rsid w:val="007839BE"/>
    <w:rsid w:val="007839F6"/>
    <w:rsid w:val="00783DFB"/>
    <w:rsid w:val="00784856"/>
    <w:rsid w:val="00785058"/>
    <w:rsid w:val="007853A7"/>
    <w:rsid w:val="00785679"/>
    <w:rsid w:val="00786381"/>
    <w:rsid w:val="007866BB"/>
    <w:rsid w:val="00786E55"/>
    <w:rsid w:val="0078739E"/>
    <w:rsid w:val="00787E2A"/>
    <w:rsid w:val="00791553"/>
    <w:rsid w:val="00791F34"/>
    <w:rsid w:val="007921B7"/>
    <w:rsid w:val="00792449"/>
    <w:rsid w:val="00792480"/>
    <w:rsid w:val="007931B1"/>
    <w:rsid w:val="007933D2"/>
    <w:rsid w:val="00793ECE"/>
    <w:rsid w:val="00793FEB"/>
    <w:rsid w:val="0079509F"/>
    <w:rsid w:val="0079511B"/>
    <w:rsid w:val="00795122"/>
    <w:rsid w:val="007952CB"/>
    <w:rsid w:val="00795A35"/>
    <w:rsid w:val="00795BBC"/>
    <w:rsid w:val="00796116"/>
    <w:rsid w:val="007964A1"/>
    <w:rsid w:val="00796642"/>
    <w:rsid w:val="00796A17"/>
    <w:rsid w:val="00796E27"/>
    <w:rsid w:val="00796EA5"/>
    <w:rsid w:val="00797AAD"/>
    <w:rsid w:val="00797F53"/>
    <w:rsid w:val="007A0347"/>
    <w:rsid w:val="007A0661"/>
    <w:rsid w:val="007A0EEF"/>
    <w:rsid w:val="007A14B3"/>
    <w:rsid w:val="007A1658"/>
    <w:rsid w:val="007A1C14"/>
    <w:rsid w:val="007A1EC8"/>
    <w:rsid w:val="007A248E"/>
    <w:rsid w:val="007A28FC"/>
    <w:rsid w:val="007A2A2B"/>
    <w:rsid w:val="007A40B6"/>
    <w:rsid w:val="007A40CD"/>
    <w:rsid w:val="007A41A8"/>
    <w:rsid w:val="007A5873"/>
    <w:rsid w:val="007A7346"/>
    <w:rsid w:val="007B058D"/>
    <w:rsid w:val="007B1030"/>
    <w:rsid w:val="007B127F"/>
    <w:rsid w:val="007B187A"/>
    <w:rsid w:val="007B228E"/>
    <w:rsid w:val="007B288D"/>
    <w:rsid w:val="007B2CBF"/>
    <w:rsid w:val="007B3B3B"/>
    <w:rsid w:val="007B4508"/>
    <w:rsid w:val="007B477D"/>
    <w:rsid w:val="007B4805"/>
    <w:rsid w:val="007B4AF2"/>
    <w:rsid w:val="007B4B95"/>
    <w:rsid w:val="007B5266"/>
    <w:rsid w:val="007B5C5E"/>
    <w:rsid w:val="007B640A"/>
    <w:rsid w:val="007B6C36"/>
    <w:rsid w:val="007B6FF7"/>
    <w:rsid w:val="007B79E3"/>
    <w:rsid w:val="007C0476"/>
    <w:rsid w:val="007C07C5"/>
    <w:rsid w:val="007C07E8"/>
    <w:rsid w:val="007C1C3E"/>
    <w:rsid w:val="007C1EAA"/>
    <w:rsid w:val="007C1F29"/>
    <w:rsid w:val="007C2997"/>
    <w:rsid w:val="007C2F7D"/>
    <w:rsid w:val="007C30B4"/>
    <w:rsid w:val="007C384E"/>
    <w:rsid w:val="007C3D75"/>
    <w:rsid w:val="007C415F"/>
    <w:rsid w:val="007C42C6"/>
    <w:rsid w:val="007C5333"/>
    <w:rsid w:val="007C53F9"/>
    <w:rsid w:val="007C57A6"/>
    <w:rsid w:val="007C5962"/>
    <w:rsid w:val="007C5B13"/>
    <w:rsid w:val="007C5E6E"/>
    <w:rsid w:val="007C66B9"/>
    <w:rsid w:val="007C67CA"/>
    <w:rsid w:val="007C6933"/>
    <w:rsid w:val="007C6C12"/>
    <w:rsid w:val="007C6E3B"/>
    <w:rsid w:val="007C7404"/>
    <w:rsid w:val="007C7787"/>
    <w:rsid w:val="007D040E"/>
    <w:rsid w:val="007D067A"/>
    <w:rsid w:val="007D07FF"/>
    <w:rsid w:val="007D1090"/>
    <w:rsid w:val="007D2BAF"/>
    <w:rsid w:val="007D2E02"/>
    <w:rsid w:val="007D315C"/>
    <w:rsid w:val="007D3322"/>
    <w:rsid w:val="007D3FFF"/>
    <w:rsid w:val="007D4599"/>
    <w:rsid w:val="007D53F7"/>
    <w:rsid w:val="007D583C"/>
    <w:rsid w:val="007D5BD6"/>
    <w:rsid w:val="007D6511"/>
    <w:rsid w:val="007D7243"/>
    <w:rsid w:val="007D72C2"/>
    <w:rsid w:val="007D778B"/>
    <w:rsid w:val="007D7B37"/>
    <w:rsid w:val="007D7C9C"/>
    <w:rsid w:val="007D7E4A"/>
    <w:rsid w:val="007E01CC"/>
    <w:rsid w:val="007E089C"/>
    <w:rsid w:val="007E0C87"/>
    <w:rsid w:val="007E2131"/>
    <w:rsid w:val="007E2241"/>
    <w:rsid w:val="007E246B"/>
    <w:rsid w:val="007E2854"/>
    <w:rsid w:val="007E2CBD"/>
    <w:rsid w:val="007E2CF0"/>
    <w:rsid w:val="007E330C"/>
    <w:rsid w:val="007E355A"/>
    <w:rsid w:val="007E36D9"/>
    <w:rsid w:val="007E3B17"/>
    <w:rsid w:val="007E3BD2"/>
    <w:rsid w:val="007E430D"/>
    <w:rsid w:val="007E46D5"/>
    <w:rsid w:val="007E47FE"/>
    <w:rsid w:val="007E4B24"/>
    <w:rsid w:val="007E5248"/>
    <w:rsid w:val="007E529A"/>
    <w:rsid w:val="007E5322"/>
    <w:rsid w:val="007E56E3"/>
    <w:rsid w:val="007E7DFB"/>
    <w:rsid w:val="007F018D"/>
    <w:rsid w:val="007F092A"/>
    <w:rsid w:val="007F136E"/>
    <w:rsid w:val="007F16AB"/>
    <w:rsid w:val="007F174C"/>
    <w:rsid w:val="007F19FF"/>
    <w:rsid w:val="007F1D68"/>
    <w:rsid w:val="007F1FBE"/>
    <w:rsid w:val="007F2421"/>
    <w:rsid w:val="007F26BE"/>
    <w:rsid w:val="007F287A"/>
    <w:rsid w:val="007F2AB5"/>
    <w:rsid w:val="007F38C3"/>
    <w:rsid w:val="007F3989"/>
    <w:rsid w:val="007F4049"/>
    <w:rsid w:val="007F4146"/>
    <w:rsid w:val="007F5134"/>
    <w:rsid w:val="007F57B2"/>
    <w:rsid w:val="007F58FD"/>
    <w:rsid w:val="007F5F0E"/>
    <w:rsid w:val="007F6142"/>
    <w:rsid w:val="007F6150"/>
    <w:rsid w:val="007F6F76"/>
    <w:rsid w:val="007F7A15"/>
    <w:rsid w:val="008001C4"/>
    <w:rsid w:val="008004AD"/>
    <w:rsid w:val="0080062D"/>
    <w:rsid w:val="00801749"/>
    <w:rsid w:val="00801EAC"/>
    <w:rsid w:val="00801F3E"/>
    <w:rsid w:val="008038F8"/>
    <w:rsid w:val="00805295"/>
    <w:rsid w:val="00805E21"/>
    <w:rsid w:val="00805E25"/>
    <w:rsid w:val="00805FFC"/>
    <w:rsid w:val="008068DB"/>
    <w:rsid w:val="00806FEE"/>
    <w:rsid w:val="008070D2"/>
    <w:rsid w:val="0080753A"/>
    <w:rsid w:val="00807AC2"/>
    <w:rsid w:val="00807B55"/>
    <w:rsid w:val="00807D4D"/>
    <w:rsid w:val="00807E15"/>
    <w:rsid w:val="00810604"/>
    <w:rsid w:val="008116E9"/>
    <w:rsid w:val="00811BCF"/>
    <w:rsid w:val="008120C6"/>
    <w:rsid w:val="00812824"/>
    <w:rsid w:val="00812839"/>
    <w:rsid w:val="008129D0"/>
    <w:rsid w:val="00812DEE"/>
    <w:rsid w:val="008131D6"/>
    <w:rsid w:val="00813B25"/>
    <w:rsid w:val="00814281"/>
    <w:rsid w:val="00814480"/>
    <w:rsid w:val="00814918"/>
    <w:rsid w:val="0081505B"/>
    <w:rsid w:val="008150E3"/>
    <w:rsid w:val="008158F0"/>
    <w:rsid w:val="00815DC4"/>
    <w:rsid w:val="00815E1E"/>
    <w:rsid w:val="00815FDA"/>
    <w:rsid w:val="008167A8"/>
    <w:rsid w:val="00816A4A"/>
    <w:rsid w:val="00816E3F"/>
    <w:rsid w:val="00817416"/>
    <w:rsid w:val="00817AA6"/>
    <w:rsid w:val="008211B6"/>
    <w:rsid w:val="0082188B"/>
    <w:rsid w:val="0082264E"/>
    <w:rsid w:val="00822CB5"/>
    <w:rsid w:val="00823681"/>
    <w:rsid w:val="0082373D"/>
    <w:rsid w:val="00823982"/>
    <w:rsid w:val="00823A70"/>
    <w:rsid w:val="00824E8F"/>
    <w:rsid w:val="008254A6"/>
    <w:rsid w:val="0082599E"/>
    <w:rsid w:val="00825A86"/>
    <w:rsid w:val="00826A06"/>
    <w:rsid w:val="00826A71"/>
    <w:rsid w:val="00826BB5"/>
    <w:rsid w:val="0082742D"/>
    <w:rsid w:val="00827549"/>
    <w:rsid w:val="0082767C"/>
    <w:rsid w:val="00827A5B"/>
    <w:rsid w:val="00827F03"/>
    <w:rsid w:val="00830506"/>
    <w:rsid w:val="00830606"/>
    <w:rsid w:val="00831798"/>
    <w:rsid w:val="00831A4B"/>
    <w:rsid w:val="00831BF3"/>
    <w:rsid w:val="00832180"/>
    <w:rsid w:val="00832563"/>
    <w:rsid w:val="00832BED"/>
    <w:rsid w:val="00833113"/>
    <w:rsid w:val="0083366D"/>
    <w:rsid w:val="00833E3F"/>
    <w:rsid w:val="00834967"/>
    <w:rsid w:val="008367A0"/>
    <w:rsid w:val="00837158"/>
    <w:rsid w:val="008374AB"/>
    <w:rsid w:val="00837542"/>
    <w:rsid w:val="00840597"/>
    <w:rsid w:val="0084059E"/>
    <w:rsid w:val="008405C9"/>
    <w:rsid w:val="00841692"/>
    <w:rsid w:val="00841762"/>
    <w:rsid w:val="00841E24"/>
    <w:rsid w:val="008431BA"/>
    <w:rsid w:val="00843218"/>
    <w:rsid w:val="008435CD"/>
    <w:rsid w:val="008439DF"/>
    <w:rsid w:val="00843D25"/>
    <w:rsid w:val="00843DA4"/>
    <w:rsid w:val="00843EBA"/>
    <w:rsid w:val="00844E6D"/>
    <w:rsid w:val="0084612D"/>
    <w:rsid w:val="008467EA"/>
    <w:rsid w:val="00846AF8"/>
    <w:rsid w:val="0084781A"/>
    <w:rsid w:val="00847E13"/>
    <w:rsid w:val="0085058F"/>
    <w:rsid w:val="008509FD"/>
    <w:rsid w:val="00851290"/>
    <w:rsid w:val="00851409"/>
    <w:rsid w:val="00851B44"/>
    <w:rsid w:val="00853F70"/>
    <w:rsid w:val="00854031"/>
    <w:rsid w:val="00854220"/>
    <w:rsid w:val="00855357"/>
    <w:rsid w:val="008553B4"/>
    <w:rsid w:val="00855522"/>
    <w:rsid w:val="008555A2"/>
    <w:rsid w:val="0085566D"/>
    <w:rsid w:val="008556A1"/>
    <w:rsid w:val="008557B0"/>
    <w:rsid w:val="00855A68"/>
    <w:rsid w:val="00855C45"/>
    <w:rsid w:val="00855ED9"/>
    <w:rsid w:val="008561C4"/>
    <w:rsid w:val="00856253"/>
    <w:rsid w:val="0085655E"/>
    <w:rsid w:val="00856725"/>
    <w:rsid w:val="00860977"/>
    <w:rsid w:val="00860A2B"/>
    <w:rsid w:val="008615A9"/>
    <w:rsid w:val="0086196C"/>
    <w:rsid w:val="00863BA5"/>
    <w:rsid w:val="00863E41"/>
    <w:rsid w:val="008641E8"/>
    <w:rsid w:val="00864C48"/>
    <w:rsid w:val="0086515C"/>
    <w:rsid w:val="00865F7E"/>
    <w:rsid w:val="008661CE"/>
    <w:rsid w:val="0086625E"/>
    <w:rsid w:val="0086658E"/>
    <w:rsid w:val="00866EC4"/>
    <w:rsid w:val="00867113"/>
    <w:rsid w:val="008675AD"/>
    <w:rsid w:val="00867CEA"/>
    <w:rsid w:val="0087050B"/>
    <w:rsid w:val="008706FB"/>
    <w:rsid w:val="00870763"/>
    <w:rsid w:val="0087169C"/>
    <w:rsid w:val="00871EEA"/>
    <w:rsid w:val="008729BC"/>
    <w:rsid w:val="00872D4D"/>
    <w:rsid w:val="008730BC"/>
    <w:rsid w:val="00873DC6"/>
    <w:rsid w:val="008741B2"/>
    <w:rsid w:val="0087441C"/>
    <w:rsid w:val="00874A07"/>
    <w:rsid w:val="00874C54"/>
    <w:rsid w:val="00875137"/>
    <w:rsid w:val="008765E1"/>
    <w:rsid w:val="008771B2"/>
    <w:rsid w:val="0087778C"/>
    <w:rsid w:val="008778AA"/>
    <w:rsid w:val="00877B50"/>
    <w:rsid w:val="00877D0D"/>
    <w:rsid w:val="00877FA1"/>
    <w:rsid w:val="0088036E"/>
    <w:rsid w:val="00880EB6"/>
    <w:rsid w:val="00880EEA"/>
    <w:rsid w:val="00880F04"/>
    <w:rsid w:val="008815C2"/>
    <w:rsid w:val="00881E08"/>
    <w:rsid w:val="008825A2"/>
    <w:rsid w:val="0088285C"/>
    <w:rsid w:val="0088330C"/>
    <w:rsid w:val="0088351A"/>
    <w:rsid w:val="00883CD0"/>
    <w:rsid w:val="00883D78"/>
    <w:rsid w:val="00884233"/>
    <w:rsid w:val="00884742"/>
    <w:rsid w:val="00884DDC"/>
    <w:rsid w:val="0088503D"/>
    <w:rsid w:val="00885AFE"/>
    <w:rsid w:val="00885C9D"/>
    <w:rsid w:val="00886934"/>
    <w:rsid w:val="00886DFC"/>
    <w:rsid w:val="00887019"/>
    <w:rsid w:val="00887825"/>
    <w:rsid w:val="00887F1F"/>
    <w:rsid w:val="00890511"/>
    <w:rsid w:val="0089062C"/>
    <w:rsid w:val="00890754"/>
    <w:rsid w:val="00890E93"/>
    <w:rsid w:val="00890F0E"/>
    <w:rsid w:val="0089129E"/>
    <w:rsid w:val="008925A5"/>
    <w:rsid w:val="0089269D"/>
    <w:rsid w:val="00892854"/>
    <w:rsid w:val="0089285E"/>
    <w:rsid w:val="00893330"/>
    <w:rsid w:val="00893A71"/>
    <w:rsid w:val="00893D03"/>
    <w:rsid w:val="008943AE"/>
    <w:rsid w:val="00894489"/>
    <w:rsid w:val="008944D0"/>
    <w:rsid w:val="00894509"/>
    <w:rsid w:val="00894629"/>
    <w:rsid w:val="00895109"/>
    <w:rsid w:val="00895AD6"/>
    <w:rsid w:val="00895D07"/>
    <w:rsid w:val="0089660F"/>
    <w:rsid w:val="00896BD1"/>
    <w:rsid w:val="00896D82"/>
    <w:rsid w:val="00897028"/>
    <w:rsid w:val="0089758A"/>
    <w:rsid w:val="008975F3"/>
    <w:rsid w:val="00897918"/>
    <w:rsid w:val="00897EAC"/>
    <w:rsid w:val="008A0539"/>
    <w:rsid w:val="008A0E52"/>
    <w:rsid w:val="008A1110"/>
    <w:rsid w:val="008A1168"/>
    <w:rsid w:val="008A128B"/>
    <w:rsid w:val="008A17F6"/>
    <w:rsid w:val="008A2357"/>
    <w:rsid w:val="008A2E95"/>
    <w:rsid w:val="008A34B9"/>
    <w:rsid w:val="008A45BA"/>
    <w:rsid w:val="008A4BFF"/>
    <w:rsid w:val="008A61D7"/>
    <w:rsid w:val="008A672B"/>
    <w:rsid w:val="008A7639"/>
    <w:rsid w:val="008A76DB"/>
    <w:rsid w:val="008A7A00"/>
    <w:rsid w:val="008A7C71"/>
    <w:rsid w:val="008A7C87"/>
    <w:rsid w:val="008B085E"/>
    <w:rsid w:val="008B0D93"/>
    <w:rsid w:val="008B1D58"/>
    <w:rsid w:val="008B20A9"/>
    <w:rsid w:val="008B2A83"/>
    <w:rsid w:val="008B3484"/>
    <w:rsid w:val="008B37F0"/>
    <w:rsid w:val="008B3C27"/>
    <w:rsid w:val="008B49F6"/>
    <w:rsid w:val="008B4AE9"/>
    <w:rsid w:val="008B4FCC"/>
    <w:rsid w:val="008B601E"/>
    <w:rsid w:val="008B638C"/>
    <w:rsid w:val="008B668F"/>
    <w:rsid w:val="008B6F21"/>
    <w:rsid w:val="008B7410"/>
    <w:rsid w:val="008B7507"/>
    <w:rsid w:val="008B7D92"/>
    <w:rsid w:val="008B7DC2"/>
    <w:rsid w:val="008C0168"/>
    <w:rsid w:val="008C05DD"/>
    <w:rsid w:val="008C07D7"/>
    <w:rsid w:val="008C09DC"/>
    <w:rsid w:val="008C11AB"/>
    <w:rsid w:val="008C1E7A"/>
    <w:rsid w:val="008C1ECC"/>
    <w:rsid w:val="008C1EEA"/>
    <w:rsid w:val="008C2500"/>
    <w:rsid w:val="008C2EEE"/>
    <w:rsid w:val="008C3521"/>
    <w:rsid w:val="008C385D"/>
    <w:rsid w:val="008C38D1"/>
    <w:rsid w:val="008C3987"/>
    <w:rsid w:val="008C3F13"/>
    <w:rsid w:val="008C3F1E"/>
    <w:rsid w:val="008C4342"/>
    <w:rsid w:val="008C4A76"/>
    <w:rsid w:val="008C5335"/>
    <w:rsid w:val="008C54F8"/>
    <w:rsid w:val="008C555E"/>
    <w:rsid w:val="008C559A"/>
    <w:rsid w:val="008C55E3"/>
    <w:rsid w:val="008C5EAB"/>
    <w:rsid w:val="008C5F24"/>
    <w:rsid w:val="008C606A"/>
    <w:rsid w:val="008C6A81"/>
    <w:rsid w:val="008C7D1D"/>
    <w:rsid w:val="008C7EFE"/>
    <w:rsid w:val="008D0154"/>
    <w:rsid w:val="008D02BD"/>
    <w:rsid w:val="008D04DB"/>
    <w:rsid w:val="008D05BF"/>
    <w:rsid w:val="008D07DA"/>
    <w:rsid w:val="008D08F6"/>
    <w:rsid w:val="008D0D57"/>
    <w:rsid w:val="008D13E2"/>
    <w:rsid w:val="008D1AE5"/>
    <w:rsid w:val="008D1E33"/>
    <w:rsid w:val="008D22D7"/>
    <w:rsid w:val="008D395B"/>
    <w:rsid w:val="008D3C60"/>
    <w:rsid w:val="008D3E01"/>
    <w:rsid w:val="008D4366"/>
    <w:rsid w:val="008D4971"/>
    <w:rsid w:val="008D4C90"/>
    <w:rsid w:val="008D58AC"/>
    <w:rsid w:val="008D597F"/>
    <w:rsid w:val="008D61F5"/>
    <w:rsid w:val="008D6B23"/>
    <w:rsid w:val="008D7236"/>
    <w:rsid w:val="008D7CF0"/>
    <w:rsid w:val="008D7D8A"/>
    <w:rsid w:val="008D7F38"/>
    <w:rsid w:val="008E027F"/>
    <w:rsid w:val="008E1E86"/>
    <w:rsid w:val="008E1E92"/>
    <w:rsid w:val="008E1ED7"/>
    <w:rsid w:val="008E216E"/>
    <w:rsid w:val="008E2318"/>
    <w:rsid w:val="008E2FFE"/>
    <w:rsid w:val="008E33E3"/>
    <w:rsid w:val="008E386E"/>
    <w:rsid w:val="008E3FD4"/>
    <w:rsid w:val="008E437D"/>
    <w:rsid w:val="008E4C9E"/>
    <w:rsid w:val="008E4E55"/>
    <w:rsid w:val="008E4FED"/>
    <w:rsid w:val="008E544E"/>
    <w:rsid w:val="008E5673"/>
    <w:rsid w:val="008E5E8F"/>
    <w:rsid w:val="008E6644"/>
    <w:rsid w:val="008E69D8"/>
    <w:rsid w:val="008E72B0"/>
    <w:rsid w:val="008E7604"/>
    <w:rsid w:val="008E77ED"/>
    <w:rsid w:val="008E7BD8"/>
    <w:rsid w:val="008E7D92"/>
    <w:rsid w:val="008F0476"/>
    <w:rsid w:val="008F072A"/>
    <w:rsid w:val="008F0EE6"/>
    <w:rsid w:val="008F2A46"/>
    <w:rsid w:val="008F323E"/>
    <w:rsid w:val="008F32A5"/>
    <w:rsid w:val="008F47F2"/>
    <w:rsid w:val="008F4BED"/>
    <w:rsid w:val="008F552D"/>
    <w:rsid w:val="008F577F"/>
    <w:rsid w:val="008F61C8"/>
    <w:rsid w:val="008F6BDC"/>
    <w:rsid w:val="008F702B"/>
    <w:rsid w:val="008F70BD"/>
    <w:rsid w:val="008F7C60"/>
    <w:rsid w:val="009006EB"/>
    <w:rsid w:val="00900991"/>
    <w:rsid w:val="00900BE2"/>
    <w:rsid w:val="00900EDC"/>
    <w:rsid w:val="00901620"/>
    <w:rsid w:val="00901B27"/>
    <w:rsid w:val="009023A7"/>
    <w:rsid w:val="0090278D"/>
    <w:rsid w:val="0090285F"/>
    <w:rsid w:val="00902C72"/>
    <w:rsid w:val="00903740"/>
    <w:rsid w:val="00903757"/>
    <w:rsid w:val="00903D41"/>
    <w:rsid w:val="00904549"/>
    <w:rsid w:val="00904583"/>
    <w:rsid w:val="0090492B"/>
    <w:rsid w:val="00904F4A"/>
    <w:rsid w:val="00905079"/>
    <w:rsid w:val="00905C9B"/>
    <w:rsid w:val="00907479"/>
    <w:rsid w:val="009103FF"/>
    <w:rsid w:val="009105B4"/>
    <w:rsid w:val="00910935"/>
    <w:rsid w:val="0091123A"/>
    <w:rsid w:val="0091208B"/>
    <w:rsid w:val="0091274F"/>
    <w:rsid w:val="00912A24"/>
    <w:rsid w:val="00912C68"/>
    <w:rsid w:val="00912D40"/>
    <w:rsid w:val="00913400"/>
    <w:rsid w:val="00913975"/>
    <w:rsid w:val="00913DD4"/>
    <w:rsid w:val="00914D06"/>
    <w:rsid w:val="00914F18"/>
    <w:rsid w:val="00914F9B"/>
    <w:rsid w:val="00915A5D"/>
    <w:rsid w:val="00915FF6"/>
    <w:rsid w:val="00916163"/>
    <w:rsid w:val="00917C70"/>
    <w:rsid w:val="00917D7C"/>
    <w:rsid w:val="009202B7"/>
    <w:rsid w:val="009212C7"/>
    <w:rsid w:val="0092192B"/>
    <w:rsid w:val="0092286A"/>
    <w:rsid w:val="00923470"/>
    <w:rsid w:val="00923698"/>
    <w:rsid w:val="00924647"/>
    <w:rsid w:val="00924B5B"/>
    <w:rsid w:val="00924FDD"/>
    <w:rsid w:val="0092559B"/>
    <w:rsid w:val="0092559F"/>
    <w:rsid w:val="0092562C"/>
    <w:rsid w:val="0092562E"/>
    <w:rsid w:val="009257EA"/>
    <w:rsid w:val="00925C1C"/>
    <w:rsid w:val="00925E48"/>
    <w:rsid w:val="00926254"/>
    <w:rsid w:val="00926963"/>
    <w:rsid w:val="00926BA7"/>
    <w:rsid w:val="00926E39"/>
    <w:rsid w:val="00926F16"/>
    <w:rsid w:val="00927C68"/>
    <w:rsid w:val="0093077D"/>
    <w:rsid w:val="00931FED"/>
    <w:rsid w:val="00932B78"/>
    <w:rsid w:val="00932DF5"/>
    <w:rsid w:val="00933141"/>
    <w:rsid w:val="0093319C"/>
    <w:rsid w:val="00933428"/>
    <w:rsid w:val="0093632A"/>
    <w:rsid w:val="009368D1"/>
    <w:rsid w:val="009403D8"/>
    <w:rsid w:val="009404AE"/>
    <w:rsid w:val="00941023"/>
    <w:rsid w:val="009414CB"/>
    <w:rsid w:val="00941AAA"/>
    <w:rsid w:val="00941B44"/>
    <w:rsid w:val="00941BB0"/>
    <w:rsid w:val="009423C2"/>
    <w:rsid w:val="009426ED"/>
    <w:rsid w:val="009429E0"/>
    <w:rsid w:val="009431DE"/>
    <w:rsid w:val="0094346A"/>
    <w:rsid w:val="009434B9"/>
    <w:rsid w:val="009438B6"/>
    <w:rsid w:val="00943C4F"/>
    <w:rsid w:val="00943F27"/>
    <w:rsid w:val="009443D8"/>
    <w:rsid w:val="0094498D"/>
    <w:rsid w:val="00944D77"/>
    <w:rsid w:val="00944E53"/>
    <w:rsid w:val="009452AB"/>
    <w:rsid w:val="00945CF2"/>
    <w:rsid w:val="00946661"/>
    <w:rsid w:val="0094785C"/>
    <w:rsid w:val="00950833"/>
    <w:rsid w:val="0095098E"/>
    <w:rsid w:val="009518FE"/>
    <w:rsid w:val="00951D42"/>
    <w:rsid w:val="0095245C"/>
    <w:rsid w:val="00952A7B"/>
    <w:rsid w:val="00952E47"/>
    <w:rsid w:val="0095314E"/>
    <w:rsid w:val="009537CB"/>
    <w:rsid w:val="00953EC4"/>
    <w:rsid w:val="00954B6E"/>
    <w:rsid w:val="00954F1F"/>
    <w:rsid w:val="00955094"/>
    <w:rsid w:val="00955B59"/>
    <w:rsid w:val="00955B9C"/>
    <w:rsid w:val="00955F18"/>
    <w:rsid w:val="00956667"/>
    <w:rsid w:val="00956FEF"/>
    <w:rsid w:val="0095731C"/>
    <w:rsid w:val="00960381"/>
    <w:rsid w:val="00961367"/>
    <w:rsid w:val="009614CC"/>
    <w:rsid w:val="00961564"/>
    <w:rsid w:val="009615A9"/>
    <w:rsid w:val="00961A46"/>
    <w:rsid w:val="00961B76"/>
    <w:rsid w:val="00962464"/>
    <w:rsid w:val="00962C07"/>
    <w:rsid w:val="00962CA6"/>
    <w:rsid w:val="00963361"/>
    <w:rsid w:val="00963843"/>
    <w:rsid w:val="0096387D"/>
    <w:rsid w:val="00964B83"/>
    <w:rsid w:val="00964C96"/>
    <w:rsid w:val="009651CB"/>
    <w:rsid w:val="009661FB"/>
    <w:rsid w:val="009663F8"/>
    <w:rsid w:val="00967382"/>
    <w:rsid w:val="00967A8C"/>
    <w:rsid w:val="00967D2F"/>
    <w:rsid w:val="00970004"/>
    <w:rsid w:val="009704C7"/>
    <w:rsid w:val="00970709"/>
    <w:rsid w:val="00970720"/>
    <w:rsid w:val="009708D6"/>
    <w:rsid w:val="00970D43"/>
    <w:rsid w:val="0097239E"/>
    <w:rsid w:val="0097251A"/>
    <w:rsid w:val="00972FD8"/>
    <w:rsid w:val="00973017"/>
    <w:rsid w:val="009736EF"/>
    <w:rsid w:val="00974795"/>
    <w:rsid w:val="009749F6"/>
    <w:rsid w:val="00974FAE"/>
    <w:rsid w:val="009750B8"/>
    <w:rsid w:val="009757A2"/>
    <w:rsid w:val="009767C5"/>
    <w:rsid w:val="00976840"/>
    <w:rsid w:val="00976A61"/>
    <w:rsid w:val="00977053"/>
    <w:rsid w:val="009772A2"/>
    <w:rsid w:val="009802AA"/>
    <w:rsid w:val="00980EE4"/>
    <w:rsid w:val="0098156B"/>
    <w:rsid w:val="009827BD"/>
    <w:rsid w:val="00982ED9"/>
    <w:rsid w:val="0098321F"/>
    <w:rsid w:val="00983423"/>
    <w:rsid w:val="00984EF8"/>
    <w:rsid w:val="0098519F"/>
    <w:rsid w:val="00985B27"/>
    <w:rsid w:val="00985CDC"/>
    <w:rsid w:val="00986577"/>
    <w:rsid w:val="0098668B"/>
    <w:rsid w:val="009869D4"/>
    <w:rsid w:val="00987A91"/>
    <w:rsid w:val="00987E87"/>
    <w:rsid w:val="00990840"/>
    <w:rsid w:val="00990A32"/>
    <w:rsid w:val="00990F8F"/>
    <w:rsid w:val="009912EC"/>
    <w:rsid w:val="00991416"/>
    <w:rsid w:val="009916BD"/>
    <w:rsid w:val="00991907"/>
    <w:rsid w:val="00991E7A"/>
    <w:rsid w:val="009924F6"/>
    <w:rsid w:val="00992C67"/>
    <w:rsid w:val="00992C71"/>
    <w:rsid w:val="00993430"/>
    <w:rsid w:val="009939EA"/>
    <w:rsid w:val="00994467"/>
    <w:rsid w:val="00995330"/>
    <w:rsid w:val="00995376"/>
    <w:rsid w:val="009955FD"/>
    <w:rsid w:val="0099593C"/>
    <w:rsid w:val="00996034"/>
    <w:rsid w:val="00996CA4"/>
    <w:rsid w:val="00996E60"/>
    <w:rsid w:val="0099704F"/>
    <w:rsid w:val="00997892"/>
    <w:rsid w:val="00997C72"/>
    <w:rsid w:val="009A06CD"/>
    <w:rsid w:val="009A0B14"/>
    <w:rsid w:val="009A0CB6"/>
    <w:rsid w:val="009A137F"/>
    <w:rsid w:val="009A178D"/>
    <w:rsid w:val="009A19EE"/>
    <w:rsid w:val="009A20D5"/>
    <w:rsid w:val="009A21F3"/>
    <w:rsid w:val="009A22A7"/>
    <w:rsid w:val="009A2483"/>
    <w:rsid w:val="009A2BA1"/>
    <w:rsid w:val="009A2FF7"/>
    <w:rsid w:val="009A325B"/>
    <w:rsid w:val="009A3D6E"/>
    <w:rsid w:val="009A43A9"/>
    <w:rsid w:val="009A45AE"/>
    <w:rsid w:val="009A4D83"/>
    <w:rsid w:val="009A5122"/>
    <w:rsid w:val="009A5EDB"/>
    <w:rsid w:val="009A6DEC"/>
    <w:rsid w:val="009A6F0D"/>
    <w:rsid w:val="009A710F"/>
    <w:rsid w:val="009A7BE2"/>
    <w:rsid w:val="009B006C"/>
    <w:rsid w:val="009B0574"/>
    <w:rsid w:val="009B073E"/>
    <w:rsid w:val="009B1410"/>
    <w:rsid w:val="009B1594"/>
    <w:rsid w:val="009B19E0"/>
    <w:rsid w:val="009B3733"/>
    <w:rsid w:val="009B39B1"/>
    <w:rsid w:val="009B5388"/>
    <w:rsid w:val="009B5C82"/>
    <w:rsid w:val="009B5C87"/>
    <w:rsid w:val="009B5F79"/>
    <w:rsid w:val="009B6248"/>
    <w:rsid w:val="009B678F"/>
    <w:rsid w:val="009B70D1"/>
    <w:rsid w:val="009B755D"/>
    <w:rsid w:val="009B7647"/>
    <w:rsid w:val="009B7D01"/>
    <w:rsid w:val="009C07D2"/>
    <w:rsid w:val="009C2825"/>
    <w:rsid w:val="009C35F9"/>
    <w:rsid w:val="009C3B81"/>
    <w:rsid w:val="009C3CC6"/>
    <w:rsid w:val="009C5752"/>
    <w:rsid w:val="009C5D51"/>
    <w:rsid w:val="009C6358"/>
    <w:rsid w:val="009C6595"/>
    <w:rsid w:val="009C65B0"/>
    <w:rsid w:val="009C65CB"/>
    <w:rsid w:val="009C76FF"/>
    <w:rsid w:val="009C7F4F"/>
    <w:rsid w:val="009D118E"/>
    <w:rsid w:val="009D2179"/>
    <w:rsid w:val="009D236D"/>
    <w:rsid w:val="009D243E"/>
    <w:rsid w:val="009D2C8B"/>
    <w:rsid w:val="009D3539"/>
    <w:rsid w:val="009D3712"/>
    <w:rsid w:val="009D38EA"/>
    <w:rsid w:val="009D3C92"/>
    <w:rsid w:val="009D4031"/>
    <w:rsid w:val="009D4221"/>
    <w:rsid w:val="009D469A"/>
    <w:rsid w:val="009D60D7"/>
    <w:rsid w:val="009D690C"/>
    <w:rsid w:val="009D697E"/>
    <w:rsid w:val="009D7879"/>
    <w:rsid w:val="009D7928"/>
    <w:rsid w:val="009D7971"/>
    <w:rsid w:val="009D7FDB"/>
    <w:rsid w:val="009E02A9"/>
    <w:rsid w:val="009E0303"/>
    <w:rsid w:val="009E0333"/>
    <w:rsid w:val="009E055F"/>
    <w:rsid w:val="009E0F85"/>
    <w:rsid w:val="009E1A5F"/>
    <w:rsid w:val="009E1EF6"/>
    <w:rsid w:val="009E2279"/>
    <w:rsid w:val="009E2EF2"/>
    <w:rsid w:val="009E30E5"/>
    <w:rsid w:val="009E3C3B"/>
    <w:rsid w:val="009E40FB"/>
    <w:rsid w:val="009E4105"/>
    <w:rsid w:val="009E4502"/>
    <w:rsid w:val="009E491C"/>
    <w:rsid w:val="009E4ACF"/>
    <w:rsid w:val="009E4E4F"/>
    <w:rsid w:val="009E5637"/>
    <w:rsid w:val="009E5690"/>
    <w:rsid w:val="009E5E2C"/>
    <w:rsid w:val="009E6E80"/>
    <w:rsid w:val="009E733F"/>
    <w:rsid w:val="009E773F"/>
    <w:rsid w:val="009F00D0"/>
    <w:rsid w:val="009F0182"/>
    <w:rsid w:val="009F02DC"/>
    <w:rsid w:val="009F093B"/>
    <w:rsid w:val="009F0AF9"/>
    <w:rsid w:val="009F0DE8"/>
    <w:rsid w:val="009F1C53"/>
    <w:rsid w:val="009F1D49"/>
    <w:rsid w:val="009F2078"/>
    <w:rsid w:val="009F239F"/>
    <w:rsid w:val="009F3155"/>
    <w:rsid w:val="009F3609"/>
    <w:rsid w:val="009F381D"/>
    <w:rsid w:val="009F3863"/>
    <w:rsid w:val="009F3F22"/>
    <w:rsid w:val="009F4203"/>
    <w:rsid w:val="009F4619"/>
    <w:rsid w:val="009F5130"/>
    <w:rsid w:val="009F569E"/>
    <w:rsid w:val="009F570F"/>
    <w:rsid w:val="009F72A5"/>
    <w:rsid w:val="009F73B5"/>
    <w:rsid w:val="009F7CAB"/>
    <w:rsid w:val="009F7D3C"/>
    <w:rsid w:val="009F7E12"/>
    <w:rsid w:val="009F7F18"/>
    <w:rsid w:val="009F7FBB"/>
    <w:rsid w:val="00A003E0"/>
    <w:rsid w:val="00A0053B"/>
    <w:rsid w:val="00A0076C"/>
    <w:rsid w:val="00A00AB5"/>
    <w:rsid w:val="00A00C56"/>
    <w:rsid w:val="00A00EF0"/>
    <w:rsid w:val="00A01732"/>
    <w:rsid w:val="00A01EDE"/>
    <w:rsid w:val="00A0263B"/>
    <w:rsid w:val="00A02839"/>
    <w:rsid w:val="00A03A29"/>
    <w:rsid w:val="00A03DE1"/>
    <w:rsid w:val="00A04314"/>
    <w:rsid w:val="00A04393"/>
    <w:rsid w:val="00A04612"/>
    <w:rsid w:val="00A04EFA"/>
    <w:rsid w:val="00A051F2"/>
    <w:rsid w:val="00A059D8"/>
    <w:rsid w:val="00A05AF9"/>
    <w:rsid w:val="00A07CD4"/>
    <w:rsid w:val="00A07DF3"/>
    <w:rsid w:val="00A10118"/>
    <w:rsid w:val="00A102DA"/>
    <w:rsid w:val="00A10DEB"/>
    <w:rsid w:val="00A12707"/>
    <w:rsid w:val="00A12DFA"/>
    <w:rsid w:val="00A1330B"/>
    <w:rsid w:val="00A135E2"/>
    <w:rsid w:val="00A13CF6"/>
    <w:rsid w:val="00A13F8F"/>
    <w:rsid w:val="00A14CE7"/>
    <w:rsid w:val="00A15859"/>
    <w:rsid w:val="00A15D80"/>
    <w:rsid w:val="00A161C5"/>
    <w:rsid w:val="00A16469"/>
    <w:rsid w:val="00A1646B"/>
    <w:rsid w:val="00A17151"/>
    <w:rsid w:val="00A20034"/>
    <w:rsid w:val="00A2095C"/>
    <w:rsid w:val="00A20D1B"/>
    <w:rsid w:val="00A20F77"/>
    <w:rsid w:val="00A215F5"/>
    <w:rsid w:val="00A21D50"/>
    <w:rsid w:val="00A22A44"/>
    <w:rsid w:val="00A2367A"/>
    <w:rsid w:val="00A23A91"/>
    <w:rsid w:val="00A242C4"/>
    <w:rsid w:val="00A24779"/>
    <w:rsid w:val="00A24BEB"/>
    <w:rsid w:val="00A25534"/>
    <w:rsid w:val="00A256EC"/>
    <w:rsid w:val="00A259EA"/>
    <w:rsid w:val="00A26F6B"/>
    <w:rsid w:val="00A278C1"/>
    <w:rsid w:val="00A279C1"/>
    <w:rsid w:val="00A27ADA"/>
    <w:rsid w:val="00A305B3"/>
    <w:rsid w:val="00A305DD"/>
    <w:rsid w:val="00A30890"/>
    <w:rsid w:val="00A3135B"/>
    <w:rsid w:val="00A3142E"/>
    <w:rsid w:val="00A31798"/>
    <w:rsid w:val="00A3202B"/>
    <w:rsid w:val="00A339C0"/>
    <w:rsid w:val="00A33CBE"/>
    <w:rsid w:val="00A33DF7"/>
    <w:rsid w:val="00A34F90"/>
    <w:rsid w:val="00A353A4"/>
    <w:rsid w:val="00A35536"/>
    <w:rsid w:val="00A35AC4"/>
    <w:rsid w:val="00A35D73"/>
    <w:rsid w:val="00A364B9"/>
    <w:rsid w:val="00A36674"/>
    <w:rsid w:val="00A3677B"/>
    <w:rsid w:val="00A37636"/>
    <w:rsid w:val="00A4026D"/>
    <w:rsid w:val="00A4155A"/>
    <w:rsid w:val="00A4157F"/>
    <w:rsid w:val="00A428A9"/>
    <w:rsid w:val="00A43299"/>
    <w:rsid w:val="00A44517"/>
    <w:rsid w:val="00A453B8"/>
    <w:rsid w:val="00A45E78"/>
    <w:rsid w:val="00A466AF"/>
    <w:rsid w:val="00A46CDD"/>
    <w:rsid w:val="00A4789B"/>
    <w:rsid w:val="00A47B51"/>
    <w:rsid w:val="00A50151"/>
    <w:rsid w:val="00A501AC"/>
    <w:rsid w:val="00A507B9"/>
    <w:rsid w:val="00A50EFC"/>
    <w:rsid w:val="00A51E2D"/>
    <w:rsid w:val="00A52C2E"/>
    <w:rsid w:val="00A52FA2"/>
    <w:rsid w:val="00A53A8B"/>
    <w:rsid w:val="00A53B21"/>
    <w:rsid w:val="00A53F30"/>
    <w:rsid w:val="00A54081"/>
    <w:rsid w:val="00A5412B"/>
    <w:rsid w:val="00A5450F"/>
    <w:rsid w:val="00A54826"/>
    <w:rsid w:val="00A54A55"/>
    <w:rsid w:val="00A55174"/>
    <w:rsid w:val="00A56858"/>
    <w:rsid w:val="00A5694E"/>
    <w:rsid w:val="00A56C27"/>
    <w:rsid w:val="00A57767"/>
    <w:rsid w:val="00A57AB7"/>
    <w:rsid w:val="00A60804"/>
    <w:rsid w:val="00A60B0C"/>
    <w:rsid w:val="00A60E02"/>
    <w:rsid w:val="00A60F0C"/>
    <w:rsid w:val="00A60F52"/>
    <w:rsid w:val="00A61057"/>
    <w:rsid w:val="00A610A9"/>
    <w:rsid w:val="00A61892"/>
    <w:rsid w:val="00A61A38"/>
    <w:rsid w:val="00A61A7D"/>
    <w:rsid w:val="00A61CFD"/>
    <w:rsid w:val="00A6208C"/>
    <w:rsid w:val="00A62E75"/>
    <w:rsid w:val="00A63501"/>
    <w:rsid w:val="00A63CDA"/>
    <w:rsid w:val="00A64A88"/>
    <w:rsid w:val="00A64D1D"/>
    <w:rsid w:val="00A657AC"/>
    <w:rsid w:val="00A661A9"/>
    <w:rsid w:val="00A66281"/>
    <w:rsid w:val="00A66600"/>
    <w:rsid w:val="00A668EF"/>
    <w:rsid w:val="00A66AFF"/>
    <w:rsid w:val="00A671E3"/>
    <w:rsid w:val="00A67277"/>
    <w:rsid w:val="00A67CC6"/>
    <w:rsid w:val="00A701A1"/>
    <w:rsid w:val="00A70617"/>
    <w:rsid w:val="00A70836"/>
    <w:rsid w:val="00A710DA"/>
    <w:rsid w:val="00A7231E"/>
    <w:rsid w:val="00A725B7"/>
    <w:rsid w:val="00A72889"/>
    <w:rsid w:val="00A748A8"/>
    <w:rsid w:val="00A74D33"/>
    <w:rsid w:val="00A74E64"/>
    <w:rsid w:val="00A7511E"/>
    <w:rsid w:val="00A755BF"/>
    <w:rsid w:val="00A75728"/>
    <w:rsid w:val="00A761A7"/>
    <w:rsid w:val="00A77316"/>
    <w:rsid w:val="00A774FA"/>
    <w:rsid w:val="00A77AF7"/>
    <w:rsid w:val="00A77BFF"/>
    <w:rsid w:val="00A8060F"/>
    <w:rsid w:val="00A807E1"/>
    <w:rsid w:val="00A80A18"/>
    <w:rsid w:val="00A80E69"/>
    <w:rsid w:val="00A8210C"/>
    <w:rsid w:val="00A82D58"/>
    <w:rsid w:val="00A82D62"/>
    <w:rsid w:val="00A835E0"/>
    <w:rsid w:val="00A836F0"/>
    <w:rsid w:val="00A838D5"/>
    <w:rsid w:val="00A83ED1"/>
    <w:rsid w:val="00A8402E"/>
    <w:rsid w:val="00A84191"/>
    <w:rsid w:val="00A84477"/>
    <w:rsid w:val="00A84A35"/>
    <w:rsid w:val="00A85EFA"/>
    <w:rsid w:val="00A860AB"/>
    <w:rsid w:val="00A8613A"/>
    <w:rsid w:val="00A865C4"/>
    <w:rsid w:val="00A86A59"/>
    <w:rsid w:val="00A86C1F"/>
    <w:rsid w:val="00A877CC"/>
    <w:rsid w:val="00A878D4"/>
    <w:rsid w:val="00A9142F"/>
    <w:rsid w:val="00A91D3C"/>
    <w:rsid w:val="00A91D3D"/>
    <w:rsid w:val="00A9209A"/>
    <w:rsid w:val="00A9268E"/>
    <w:rsid w:val="00A92691"/>
    <w:rsid w:val="00A93432"/>
    <w:rsid w:val="00A947DA"/>
    <w:rsid w:val="00A95022"/>
    <w:rsid w:val="00A9620B"/>
    <w:rsid w:val="00A9646D"/>
    <w:rsid w:val="00A972CF"/>
    <w:rsid w:val="00A973E8"/>
    <w:rsid w:val="00A97401"/>
    <w:rsid w:val="00A9765C"/>
    <w:rsid w:val="00A97A9A"/>
    <w:rsid w:val="00AA045C"/>
    <w:rsid w:val="00AA078F"/>
    <w:rsid w:val="00AA0A18"/>
    <w:rsid w:val="00AA144E"/>
    <w:rsid w:val="00AA1568"/>
    <w:rsid w:val="00AA1585"/>
    <w:rsid w:val="00AA1767"/>
    <w:rsid w:val="00AA2247"/>
    <w:rsid w:val="00AA2680"/>
    <w:rsid w:val="00AA269A"/>
    <w:rsid w:val="00AA3360"/>
    <w:rsid w:val="00AA4003"/>
    <w:rsid w:val="00AA59D3"/>
    <w:rsid w:val="00AA60F6"/>
    <w:rsid w:val="00AA65D5"/>
    <w:rsid w:val="00AB0AFA"/>
    <w:rsid w:val="00AB0E95"/>
    <w:rsid w:val="00AB0F88"/>
    <w:rsid w:val="00AB0FCF"/>
    <w:rsid w:val="00AB134B"/>
    <w:rsid w:val="00AB17C6"/>
    <w:rsid w:val="00AB1AD0"/>
    <w:rsid w:val="00AB203C"/>
    <w:rsid w:val="00AB2E34"/>
    <w:rsid w:val="00AB2FA4"/>
    <w:rsid w:val="00AB400F"/>
    <w:rsid w:val="00AB426D"/>
    <w:rsid w:val="00AB4F64"/>
    <w:rsid w:val="00AB536B"/>
    <w:rsid w:val="00AB5C39"/>
    <w:rsid w:val="00AB5E37"/>
    <w:rsid w:val="00AB67DF"/>
    <w:rsid w:val="00AB696D"/>
    <w:rsid w:val="00AB6D1F"/>
    <w:rsid w:val="00AB6D83"/>
    <w:rsid w:val="00AB6DBE"/>
    <w:rsid w:val="00AB7471"/>
    <w:rsid w:val="00AB7A29"/>
    <w:rsid w:val="00AB7A6F"/>
    <w:rsid w:val="00AB7BC1"/>
    <w:rsid w:val="00AB7E3B"/>
    <w:rsid w:val="00AC01AD"/>
    <w:rsid w:val="00AC0E2F"/>
    <w:rsid w:val="00AC0E76"/>
    <w:rsid w:val="00AC1216"/>
    <w:rsid w:val="00AC1607"/>
    <w:rsid w:val="00AC1D91"/>
    <w:rsid w:val="00AC1DFD"/>
    <w:rsid w:val="00AC240E"/>
    <w:rsid w:val="00AC2453"/>
    <w:rsid w:val="00AC2F8F"/>
    <w:rsid w:val="00AC31DF"/>
    <w:rsid w:val="00AC3656"/>
    <w:rsid w:val="00AC3B2F"/>
    <w:rsid w:val="00AC4199"/>
    <w:rsid w:val="00AC41C4"/>
    <w:rsid w:val="00AC5DB3"/>
    <w:rsid w:val="00AC5FBA"/>
    <w:rsid w:val="00AC6435"/>
    <w:rsid w:val="00AC6BFE"/>
    <w:rsid w:val="00AC6CA8"/>
    <w:rsid w:val="00AC7B48"/>
    <w:rsid w:val="00AC7EDA"/>
    <w:rsid w:val="00AD02F4"/>
    <w:rsid w:val="00AD03FE"/>
    <w:rsid w:val="00AD1529"/>
    <w:rsid w:val="00AD1A8B"/>
    <w:rsid w:val="00AD1D71"/>
    <w:rsid w:val="00AD252F"/>
    <w:rsid w:val="00AD26F1"/>
    <w:rsid w:val="00AD33B0"/>
    <w:rsid w:val="00AD3B34"/>
    <w:rsid w:val="00AD3B4A"/>
    <w:rsid w:val="00AD3BD9"/>
    <w:rsid w:val="00AD3E03"/>
    <w:rsid w:val="00AD47B2"/>
    <w:rsid w:val="00AD4876"/>
    <w:rsid w:val="00AD5325"/>
    <w:rsid w:val="00AD5D29"/>
    <w:rsid w:val="00AD61FD"/>
    <w:rsid w:val="00AD6421"/>
    <w:rsid w:val="00AD651A"/>
    <w:rsid w:val="00AD7209"/>
    <w:rsid w:val="00AE060F"/>
    <w:rsid w:val="00AE145F"/>
    <w:rsid w:val="00AE18B8"/>
    <w:rsid w:val="00AE1AEA"/>
    <w:rsid w:val="00AE1B45"/>
    <w:rsid w:val="00AE1B78"/>
    <w:rsid w:val="00AE1C34"/>
    <w:rsid w:val="00AE1E55"/>
    <w:rsid w:val="00AE273D"/>
    <w:rsid w:val="00AE2AFD"/>
    <w:rsid w:val="00AE32DF"/>
    <w:rsid w:val="00AE338A"/>
    <w:rsid w:val="00AE3D9E"/>
    <w:rsid w:val="00AE425B"/>
    <w:rsid w:val="00AE46A7"/>
    <w:rsid w:val="00AE4A57"/>
    <w:rsid w:val="00AE4FE3"/>
    <w:rsid w:val="00AE60B8"/>
    <w:rsid w:val="00AE6956"/>
    <w:rsid w:val="00AE6C69"/>
    <w:rsid w:val="00AE70F8"/>
    <w:rsid w:val="00AE715C"/>
    <w:rsid w:val="00AE768A"/>
    <w:rsid w:val="00AE7745"/>
    <w:rsid w:val="00AE7A3C"/>
    <w:rsid w:val="00AE7BC5"/>
    <w:rsid w:val="00AE7FE4"/>
    <w:rsid w:val="00AE7FF1"/>
    <w:rsid w:val="00AF01FC"/>
    <w:rsid w:val="00AF02C2"/>
    <w:rsid w:val="00AF033E"/>
    <w:rsid w:val="00AF12D1"/>
    <w:rsid w:val="00AF26DD"/>
    <w:rsid w:val="00AF2834"/>
    <w:rsid w:val="00AF314C"/>
    <w:rsid w:val="00AF4F81"/>
    <w:rsid w:val="00AF5777"/>
    <w:rsid w:val="00AF5D45"/>
    <w:rsid w:val="00AF602D"/>
    <w:rsid w:val="00AF63CD"/>
    <w:rsid w:val="00AF66B8"/>
    <w:rsid w:val="00AF6890"/>
    <w:rsid w:val="00AF6948"/>
    <w:rsid w:val="00AF6FCA"/>
    <w:rsid w:val="00AF73A3"/>
    <w:rsid w:val="00AF7516"/>
    <w:rsid w:val="00AF7C7B"/>
    <w:rsid w:val="00B000CD"/>
    <w:rsid w:val="00B0076E"/>
    <w:rsid w:val="00B00874"/>
    <w:rsid w:val="00B00ECE"/>
    <w:rsid w:val="00B022F1"/>
    <w:rsid w:val="00B0238A"/>
    <w:rsid w:val="00B02A97"/>
    <w:rsid w:val="00B037A1"/>
    <w:rsid w:val="00B03914"/>
    <w:rsid w:val="00B03FAB"/>
    <w:rsid w:val="00B04051"/>
    <w:rsid w:val="00B04666"/>
    <w:rsid w:val="00B04676"/>
    <w:rsid w:val="00B048FB"/>
    <w:rsid w:val="00B04FEA"/>
    <w:rsid w:val="00B057D6"/>
    <w:rsid w:val="00B05D4A"/>
    <w:rsid w:val="00B078B9"/>
    <w:rsid w:val="00B07ECF"/>
    <w:rsid w:val="00B1066E"/>
    <w:rsid w:val="00B10C67"/>
    <w:rsid w:val="00B10C6D"/>
    <w:rsid w:val="00B11940"/>
    <w:rsid w:val="00B11B57"/>
    <w:rsid w:val="00B12DF0"/>
    <w:rsid w:val="00B1345D"/>
    <w:rsid w:val="00B13473"/>
    <w:rsid w:val="00B13710"/>
    <w:rsid w:val="00B13A2C"/>
    <w:rsid w:val="00B13FEF"/>
    <w:rsid w:val="00B14016"/>
    <w:rsid w:val="00B14579"/>
    <w:rsid w:val="00B14709"/>
    <w:rsid w:val="00B1506B"/>
    <w:rsid w:val="00B15646"/>
    <w:rsid w:val="00B157AC"/>
    <w:rsid w:val="00B15B14"/>
    <w:rsid w:val="00B16024"/>
    <w:rsid w:val="00B167A5"/>
    <w:rsid w:val="00B16BA6"/>
    <w:rsid w:val="00B17543"/>
    <w:rsid w:val="00B213F3"/>
    <w:rsid w:val="00B2242B"/>
    <w:rsid w:val="00B22A2E"/>
    <w:rsid w:val="00B22CB2"/>
    <w:rsid w:val="00B23554"/>
    <w:rsid w:val="00B236E3"/>
    <w:rsid w:val="00B23C38"/>
    <w:rsid w:val="00B23F57"/>
    <w:rsid w:val="00B242F9"/>
    <w:rsid w:val="00B24EAC"/>
    <w:rsid w:val="00B25046"/>
    <w:rsid w:val="00B25621"/>
    <w:rsid w:val="00B25865"/>
    <w:rsid w:val="00B25A86"/>
    <w:rsid w:val="00B267C1"/>
    <w:rsid w:val="00B2689F"/>
    <w:rsid w:val="00B26904"/>
    <w:rsid w:val="00B269A1"/>
    <w:rsid w:val="00B274D9"/>
    <w:rsid w:val="00B27D78"/>
    <w:rsid w:val="00B30A7C"/>
    <w:rsid w:val="00B30BE3"/>
    <w:rsid w:val="00B31AB6"/>
    <w:rsid w:val="00B325B3"/>
    <w:rsid w:val="00B32600"/>
    <w:rsid w:val="00B32B28"/>
    <w:rsid w:val="00B32CF2"/>
    <w:rsid w:val="00B32FA7"/>
    <w:rsid w:val="00B33268"/>
    <w:rsid w:val="00B3355D"/>
    <w:rsid w:val="00B3378F"/>
    <w:rsid w:val="00B337C1"/>
    <w:rsid w:val="00B33A9F"/>
    <w:rsid w:val="00B33B8D"/>
    <w:rsid w:val="00B33C4F"/>
    <w:rsid w:val="00B345BF"/>
    <w:rsid w:val="00B34737"/>
    <w:rsid w:val="00B355D7"/>
    <w:rsid w:val="00B35901"/>
    <w:rsid w:val="00B35BA6"/>
    <w:rsid w:val="00B35BFA"/>
    <w:rsid w:val="00B35DB3"/>
    <w:rsid w:val="00B35EBB"/>
    <w:rsid w:val="00B3623C"/>
    <w:rsid w:val="00B362A3"/>
    <w:rsid w:val="00B3672F"/>
    <w:rsid w:val="00B36A76"/>
    <w:rsid w:val="00B36AF9"/>
    <w:rsid w:val="00B4186C"/>
    <w:rsid w:val="00B4287D"/>
    <w:rsid w:val="00B42DB8"/>
    <w:rsid w:val="00B42E9C"/>
    <w:rsid w:val="00B4453F"/>
    <w:rsid w:val="00B44700"/>
    <w:rsid w:val="00B4495B"/>
    <w:rsid w:val="00B44B92"/>
    <w:rsid w:val="00B45737"/>
    <w:rsid w:val="00B458AE"/>
    <w:rsid w:val="00B45D5F"/>
    <w:rsid w:val="00B464DC"/>
    <w:rsid w:val="00B46C85"/>
    <w:rsid w:val="00B46D8A"/>
    <w:rsid w:val="00B46EDA"/>
    <w:rsid w:val="00B474D0"/>
    <w:rsid w:val="00B47E45"/>
    <w:rsid w:val="00B47EB2"/>
    <w:rsid w:val="00B5025E"/>
    <w:rsid w:val="00B50589"/>
    <w:rsid w:val="00B50B23"/>
    <w:rsid w:val="00B50F3A"/>
    <w:rsid w:val="00B5108F"/>
    <w:rsid w:val="00B51520"/>
    <w:rsid w:val="00B51717"/>
    <w:rsid w:val="00B52178"/>
    <w:rsid w:val="00B5299A"/>
    <w:rsid w:val="00B52F08"/>
    <w:rsid w:val="00B53242"/>
    <w:rsid w:val="00B53794"/>
    <w:rsid w:val="00B542E3"/>
    <w:rsid w:val="00B548E2"/>
    <w:rsid w:val="00B5515D"/>
    <w:rsid w:val="00B55C45"/>
    <w:rsid w:val="00B55C81"/>
    <w:rsid w:val="00B56A88"/>
    <w:rsid w:val="00B577C7"/>
    <w:rsid w:val="00B603FB"/>
    <w:rsid w:val="00B60F21"/>
    <w:rsid w:val="00B615DC"/>
    <w:rsid w:val="00B6165F"/>
    <w:rsid w:val="00B61A53"/>
    <w:rsid w:val="00B62AF0"/>
    <w:rsid w:val="00B62FED"/>
    <w:rsid w:val="00B63091"/>
    <w:rsid w:val="00B633F6"/>
    <w:rsid w:val="00B63420"/>
    <w:rsid w:val="00B63851"/>
    <w:rsid w:val="00B63952"/>
    <w:rsid w:val="00B640FC"/>
    <w:rsid w:val="00B644FB"/>
    <w:rsid w:val="00B65121"/>
    <w:rsid w:val="00B6567F"/>
    <w:rsid w:val="00B65B16"/>
    <w:rsid w:val="00B662BC"/>
    <w:rsid w:val="00B66632"/>
    <w:rsid w:val="00B66A7E"/>
    <w:rsid w:val="00B67E1E"/>
    <w:rsid w:val="00B71DCA"/>
    <w:rsid w:val="00B72553"/>
    <w:rsid w:val="00B725C8"/>
    <w:rsid w:val="00B726FE"/>
    <w:rsid w:val="00B7362F"/>
    <w:rsid w:val="00B73D51"/>
    <w:rsid w:val="00B7412E"/>
    <w:rsid w:val="00B74981"/>
    <w:rsid w:val="00B74A82"/>
    <w:rsid w:val="00B74F21"/>
    <w:rsid w:val="00B75019"/>
    <w:rsid w:val="00B7503E"/>
    <w:rsid w:val="00B75180"/>
    <w:rsid w:val="00B751CE"/>
    <w:rsid w:val="00B754FD"/>
    <w:rsid w:val="00B758C0"/>
    <w:rsid w:val="00B75B26"/>
    <w:rsid w:val="00B75C66"/>
    <w:rsid w:val="00B7639D"/>
    <w:rsid w:val="00B76573"/>
    <w:rsid w:val="00B77452"/>
    <w:rsid w:val="00B77AED"/>
    <w:rsid w:val="00B804E9"/>
    <w:rsid w:val="00B807BB"/>
    <w:rsid w:val="00B81302"/>
    <w:rsid w:val="00B8140D"/>
    <w:rsid w:val="00B8162E"/>
    <w:rsid w:val="00B8260F"/>
    <w:rsid w:val="00B82D30"/>
    <w:rsid w:val="00B82DE4"/>
    <w:rsid w:val="00B83ACD"/>
    <w:rsid w:val="00B83BE1"/>
    <w:rsid w:val="00B84235"/>
    <w:rsid w:val="00B8446C"/>
    <w:rsid w:val="00B85021"/>
    <w:rsid w:val="00B860E1"/>
    <w:rsid w:val="00B86DF0"/>
    <w:rsid w:val="00B87378"/>
    <w:rsid w:val="00B875EF"/>
    <w:rsid w:val="00B87745"/>
    <w:rsid w:val="00B87BCC"/>
    <w:rsid w:val="00B87C05"/>
    <w:rsid w:val="00B87F86"/>
    <w:rsid w:val="00B900AA"/>
    <w:rsid w:val="00B9033D"/>
    <w:rsid w:val="00B9047D"/>
    <w:rsid w:val="00B90AC8"/>
    <w:rsid w:val="00B91A8B"/>
    <w:rsid w:val="00B91AFA"/>
    <w:rsid w:val="00B92585"/>
    <w:rsid w:val="00B93669"/>
    <w:rsid w:val="00B937CE"/>
    <w:rsid w:val="00B9408A"/>
    <w:rsid w:val="00B94329"/>
    <w:rsid w:val="00B94B25"/>
    <w:rsid w:val="00B95137"/>
    <w:rsid w:val="00B95A1D"/>
    <w:rsid w:val="00B95FD5"/>
    <w:rsid w:val="00B9674C"/>
    <w:rsid w:val="00B96A14"/>
    <w:rsid w:val="00B97691"/>
    <w:rsid w:val="00B97949"/>
    <w:rsid w:val="00BA0A62"/>
    <w:rsid w:val="00BA0BD7"/>
    <w:rsid w:val="00BA13C4"/>
    <w:rsid w:val="00BA161D"/>
    <w:rsid w:val="00BA1E75"/>
    <w:rsid w:val="00BA225C"/>
    <w:rsid w:val="00BA3257"/>
    <w:rsid w:val="00BA32AD"/>
    <w:rsid w:val="00BA34CF"/>
    <w:rsid w:val="00BA34E0"/>
    <w:rsid w:val="00BA3BCA"/>
    <w:rsid w:val="00BA405A"/>
    <w:rsid w:val="00BA416E"/>
    <w:rsid w:val="00BA4396"/>
    <w:rsid w:val="00BA44F2"/>
    <w:rsid w:val="00BA45BF"/>
    <w:rsid w:val="00BA5442"/>
    <w:rsid w:val="00BA5A4F"/>
    <w:rsid w:val="00BA6403"/>
    <w:rsid w:val="00BA6B2F"/>
    <w:rsid w:val="00BA7151"/>
    <w:rsid w:val="00BA7CD6"/>
    <w:rsid w:val="00BB0727"/>
    <w:rsid w:val="00BB1356"/>
    <w:rsid w:val="00BB1525"/>
    <w:rsid w:val="00BB155C"/>
    <w:rsid w:val="00BB1676"/>
    <w:rsid w:val="00BB1EF3"/>
    <w:rsid w:val="00BB29C5"/>
    <w:rsid w:val="00BB367E"/>
    <w:rsid w:val="00BB3807"/>
    <w:rsid w:val="00BB381D"/>
    <w:rsid w:val="00BB3C83"/>
    <w:rsid w:val="00BB458C"/>
    <w:rsid w:val="00BB45B3"/>
    <w:rsid w:val="00BB4B46"/>
    <w:rsid w:val="00BB54E4"/>
    <w:rsid w:val="00BB558D"/>
    <w:rsid w:val="00BB5D8D"/>
    <w:rsid w:val="00BB7319"/>
    <w:rsid w:val="00BB7B58"/>
    <w:rsid w:val="00BC09BC"/>
    <w:rsid w:val="00BC12CD"/>
    <w:rsid w:val="00BC1402"/>
    <w:rsid w:val="00BC1558"/>
    <w:rsid w:val="00BC1FCA"/>
    <w:rsid w:val="00BC258E"/>
    <w:rsid w:val="00BC28A9"/>
    <w:rsid w:val="00BC338F"/>
    <w:rsid w:val="00BC44B7"/>
    <w:rsid w:val="00BC4569"/>
    <w:rsid w:val="00BC49E0"/>
    <w:rsid w:val="00BC4B06"/>
    <w:rsid w:val="00BC51B7"/>
    <w:rsid w:val="00BC573E"/>
    <w:rsid w:val="00BC61BE"/>
    <w:rsid w:val="00BC65F2"/>
    <w:rsid w:val="00BC69ED"/>
    <w:rsid w:val="00BC6E04"/>
    <w:rsid w:val="00BC7335"/>
    <w:rsid w:val="00BC736C"/>
    <w:rsid w:val="00BC75AA"/>
    <w:rsid w:val="00BD019A"/>
    <w:rsid w:val="00BD0892"/>
    <w:rsid w:val="00BD20B0"/>
    <w:rsid w:val="00BD21E0"/>
    <w:rsid w:val="00BD28E5"/>
    <w:rsid w:val="00BD311D"/>
    <w:rsid w:val="00BD3EAA"/>
    <w:rsid w:val="00BD4504"/>
    <w:rsid w:val="00BD4642"/>
    <w:rsid w:val="00BD4894"/>
    <w:rsid w:val="00BD4AE8"/>
    <w:rsid w:val="00BD529F"/>
    <w:rsid w:val="00BD5723"/>
    <w:rsid w:val="00BD576D"/>
    <w:rsid w:val="00BD5DEF"/>
    <w:rsid w:val="00BD668E"/>
    <w:rsid w:val="00BD7A09"/>
    <w:rsid w:val="00BE068E"/>
    <w:rsid w:val="00BE0994"/>
    <w:rsid w:val="00BE0B73"/>
    <w:rsid w:val="00BE1492"/>
    <w:rsid w:val="00BE1A9F"/>
    <w:rsid w:val="00BE1E14"/>
    <w:rsid w:val="00BE24E5"/>
    <w:rsid w:val="00BE2A68"/>
    <w:rsid w:val="00BE2D7D"/>
    <w:rsid w:val="00BE352F"/>
    <w:rsid w:val="00BE3F06"/>
    <w:rsid w:val="00BE407C"/>
    <w:rsid w:val="00BE50E7"/>
    <w:rsid w:val="00BE5218"/>
    <w:rsid w:val="00BE5518"/>
    <w:rsid w:val="00BE562E"/>
    <w:rsid w:val="00BE5F94"/>
    <w:rsid w:val="00BE5FFE"/>
    <w:rsid w:val="00BE61DD"/>
    <w:rsid w:val="00BF060A"/>
    <w:rsid w:val="00BF06D9"/>
    <w:rsid w:val="00BF1557"/>
    <w:rsid w:val="00BF16E4"/>
    <w:rsid w:val="00BF1937"/>
    <w:rsid w:val="00BF1BC6"/>
    <w:rsid w:val="00BF1BDB"/>
    <w:rsid w:val="00BF1CDE"/>
    <w:rsid w:val="00BF2F69"/>
    <w:rsid w:val="00BF2FE1"/>
    <w:rsid w:val="00BF3280"/>
    <w:rsid w:val="00BF3556"/>
    <w:rsid w:val="00BF37D5"/>
    <w:rsid w:val="00BF4069"/>
    <w:rsid w:val="00BF48C0"/>
    <w:rsid w:val="00BF56C4"/>
    <w:rsid w:val="00BF5EEC"/>
    <w:rsid w:val="00BF61B4"/>
    <w:rsid w:val="00BF6260"/>
    <w:rsid w:val="00BF63CD"/>
    <w:rsid w:val="00BF673E"/>
    <w:rsid w:val="00BF67CD"/>
    <w:rsid w:val="00BF79F2"/>
    <w:rsid w:val="00C00082"/>
    <w:rsid w:val="00C00C4F"/>
    <w:rsid w:val="00C020A6"/>
    <w:rsid w:val="00C02522"/>
    <w:rsid w:val="00C027B4"/>
    <w:rsid w:val="00C0319E"/>
    <w:rsid w:val="00C032C6"/>
    <w:rsid w:val="00C03332"/>
    <w:rsid w:val="00C03409"/>
    <w:rsid w:val="00C034B1"/>
    <w:rsid w:val="00C03B4E"/>
    <w:rsid w:val="00C03CE2"/>
    <w:rsid w:val="00C052F5"/>
    <w:rsid w:val="00C059A3"/>
    <w:rsid w:val="00C06136"/>
    <w:rsid w:val="00C0640C"/>
    <w:rsid w:val="00C06613"/>
    <w:rsid w:val="00C0683E"/>
    <w:rsid w:val="00C06966"/>
    <w:rsid w:val="00C0733F"/>
    <w:rsid w:val="00C07A4A"/>
    <w:rsid w:val="00C104B2"/>
    <w:rsid w:val="00C114BD"/>
    <w:rsid w:val="00C11610"/>
    <w:rsid w:val="00C11978"/>
    <w:rsid w:val="00C11AD3"/>
    <w:rsid w:val="00C11C84"/>
    <w:rsid w:val="00C120F5"/>
    <w:rsid w:val="00C12175"/>
    <w:rsid w:val="00C13B10"/>
    <w:rsid w:val="00C14F20"/>
    <w:rsid w:val="00C1574F"/>
    <w:rsid w:val="00C16504"/>
    <w:rsid w:val="00C16928"/>
    <w:rsid w:val="00C17185"/>
    <w:rsid w:val="00C17211"/>
    <w:rsid w:val="00C17CCE"/>
    <w:rsid w:val="00C17D5E"/>
    <w:rsid w:val="00C17DF7"/>
    <w:rsid w:val="00C17FC1"/>
    <w:rsid w:val="00C2003D"/>
    <w:rsid w:val="00C2017D"/>
    <w:rsid w:val="00C203E2"/>
    <w:rsid w:val="00C20AC2"/>
    <w:rsid w:val="00C20F98"/>
    <w:rsid w:val="00C224D2"/>
    <w:rsid w:val="00C2307D"/>
    <w:rsid w:val="00C2356E"/>
    <w:rsid w:val="00C2377D"/>
    <w:rsid w:val="00C23E49"/>
    <w:rsid w:val="00C24060"/>
    <w:rsid w:val="00C2443C"/>
    <w:rsid w:val="00C248E3"/>
    <w:rsid w:val="00C249D7"/>
    <w:rsid w:val="00C24CA6"/>
    <w:rsid w:val="00C25AAC"/>
    <w:rsid w:val="00C270DF"/>
    <w:rsid w:val="00C275EA"/>
    <w:rsid w:val="00C278DA"/>
    <w:rsid w:val="00C27E78"/>
    <w:rsid w:val="00C30130"/>
    <w:rsid w:val="00C301BC"/>
    <w:rsid w:val="00C30DB2"/>
    <w:rsid w:val="00C30E34"/>
    <w:rsid w:val="00C31439"/>
    <w:rsid w:val="00C3147B"/>
    <w:rsid w:val="00C31E9A"/>
    <w:rsid w:val="00C31E9C"/>
    <w:rsid w:val="00C3205C"/>
    <w:rsid w:val="00C320DD"/>
    <w:rsid w:val="00C32FBC"/>
    <w:rsid w:val="00C33AD7"/>
    <w:rsid w:val="00C33BF8"/>
    <w:rsid w:val="00C3579F"/>
    <w:rsid w:val="00C359B2"/>
    <w:rsid w:val="00C36005"/>
    <w:rsid w:val="00C36102"/>
    <w:rsid w:val="00C370B8"/>
    <w:rsid w:val="00C3785D"/>
    <w:rsid w:val="00C40326"/>
    <w:rsid w:val="00C403A6"/>
    <w:rsid w:val="00C404B8"/>
    <w:rsid w:val="00C40C01"/>
    <w:rsid w:val="00C41CDE"/>
    <w:rsid w:val="00C41DA7"/>
    <w:rsid w:val="00C41E92"/>
    <w:rsid w:val="00C42096"/>
    <w:rsid w:val="00C42245"/>
    <w:rsid w:val="00C4349C"/>
    <w:rsid w:val="00C448F4"/>
    <w:rsid w:val="00C44BC7"/>
    <w:rsid w:val="00C45534"/>
    <w:rsid w:val="00C45BD2"/>
    <w:rsid w:val="00C45DD8"/>
    <w:rsid w:val="00C45E29"/>
    <w:rsid w:val="00C46B95"/>
    <w:rsid w:val="00C46E74"/>
    <w:rsid w:val="00C46F0A"/>
    <w:rsid w:val="00C47275"/>
    <w:rsid w:val="00C475A4"/>
    <w:rsid w:val="00C476AD"/>
    <w:rsid w:val="00C476EA"/>
    <w:rsid w:val="00C50077"/>
    <w:rsid w:val="00C500B5"/>
    <w:rsid w:val="00C502B0"/>
    <w:rsid w:val="00C50B83"/>
    <w:rsid w:val="00C50E1E"/>
    <w:rsid w:val="00C51305"/>
    <w:rsid w:val="00C513D4"/>
    <w:rsid w:val="00C52D06"/>
    <w:rsid w:val="00C537AC"/>
    <w:rsid w:val="00C53C89"/>
    <w:rsid w:val="00C540B8"/>
    <w:rsid w:val="00C54306"/>
    <w:rsid w:val="00C546B9"/>
    <w:rsid w:val="00C54934"/>
    <w:rsid w:val="00C54E0A"/>
    <w:rsid w:val="00C5513E"/>
    <w:rsid w:val="00C5526D"/>
    <w:rsid w:val="00C55D11"/>
    <w:rsid w:val="00C55FD4"/>
    <w:rsid w:val="00C56080"/>
    <w:rsid w:val="00C56167"/>
    <w:rsid w:val="00C566D8"/>
    <w:rsid w:val="00C56E76"/>
    <w:rsid w:val="00C57001"/>
    <w:rsid w:val="00C57690"/>
    <w:rsid w:val="00C57C57"/>
    <w:rsid w:val="00C604D0"/>
    <w:rsid w:val="00C60A14"/>
    <w:rsid w:val="00C60D7C"/>
    <w:rsid w:val="00C61F77"/>
    <w:rsid w:val="00C6206A"/>
    <w:rsid w:val="00C6257C"/>
    <w:rsid w:val="00C628D6"/>
    <w:rsid w:val="00C63059"/>
    <w:rsid w:val="00C6338C"/>
    <w:rsid w:val="00C63475"/>
    <w:rsid w:val="00C638C0"/>
    <w:rsid w:val="00C641E9"/>
    <w:rsid w:val="00C642A9"/>
    <w:rsid w:val="00C651FF"/>
    <w:rsid w:val="00C65CA4"/>
    <w:rsid w:val="00C65F39"/>
    <w:rsid w:val="00C66EE8"/>
    <w:rsid w:val="00C67452"/>
    <w:rsid w:val="00C676EF"/>
    <w:rsid w:val="00C677D9"/>
    <w:rsid w:val="00C6783F"/>
    <w:rsid w:val="00C704DB"/>
    <w:rsid w:val="00C70B91"/>
    <w:rsid w:val="00C70F93"/>
    <w:rsid w:val="00C71067"/>
    <w:rsid w:val="00C7137E"/>
    <w:rsid w:val="00C7146C"/>
    <w:rsid w:val="00C714D0"/>
    <w:rsid w:val="00C715CD"/>
    <w:rsid w:val="00C72069"/>
    <w:rsid w:val="00C725E8"/>
    <w:rsid w:val="00C727F5"/>
    <w:rsid w:val="00C7281A"/>
    <w:rsid w:val="00C72BF2"/>
    <w:rsid w:val="00C72C2F"/>
    <w:rsid w:val="00C73DE2"/>
    <w:rsid w:val="00C73F14"/>
    <w:rsid w:val="00C73F21"/>
    <w:rsid w:val="00C7422A"/>
    <w:rsid w:val="00C7462D"/>
    <w:rsid w:val="00C74CD1"/>
    <w:rsid w:val="00C74DC0"/>
    <w:rsid w:val="00C759C9"/>
    <w:rsid w:val="00C75CAD"/>
    <w:rsid w:val="00C76308"/>
    <w:rsid w:val="00C76E18"/>
    <w:rsid w:val="00C76FB0"/>
    <w:rsid w:val="00C77C82"/>
    <w:rsid w:val="00C80C99"/>
    <w:rsid w:val="00C810D0"/>
    <w:rsid w:val="00C816AA"/>
    <w:rsid w:val="00C819AD"/>
    <w:rsid w:val="00C81CF9"/>
    <w:rsid w:val="00C81F31"/>
    <w:rsid w:val="00C82CED"/>
    <w:rsid w:val="00C835A5"/>
    <w:rsid w:val="00C84085"/>
    <w:rsid w:val="00C84306"/>
    <w:rsid w:val="00C84514"/>
    <w:rsid w:val="00C84680"/>
    <w:rsid w:val="00C84F76"/>
    <w:rsid w:val="00C85270"/>
    <w:rsid w:val="00C85989"/>
    <w:rsid w:val="00C859D7"/>
    <w:rsid w:val="00C86A10"/>
    <w:rsid w:val="00C8764A"/>
    <w:rsid w:val="00C879A0"/>
    <w:rsid w:val="00C87C9E"/>
    <w:rsid w:val="00C87D51"/>
    <w:rsid w:val="00C87D64"/>
    <w:rsid w:val="00C90ECC"/>
    <w:rsid w:val="00C91569"/>
    <w:rsid w:val="00C9157E"/>
    <w:rsid w:val="00C92AC1"/>
    <w:rsid w:val="00C92FEA"/>
    <w:rsid w:val="00C9387D"/>
    <w:rsid w:val="00C94533"/>
    <w:rsid w:val="00C9682A"/>
    <w:rsid w:val="00C975AE"/>
    <w:rsid w:val="00C97960"/>
    <w:rsid w:val="00CA0061"/>
    <w:rsid w:val="00CA065B"/>
    <w:rsid w:val="00CA0710"/>
    <w:rsid w:val="00CA24A3"/>
    <w:rsid w:val="00CA29E0"/>
    <w:rsid w:val="00CA2BCE"/>
    <w:rsid w:val="00CA2C7A"/>
    <w:rsid w:val="00CA36C4"/>
    <w:rsid w:val="00CA4159"/>
    <w:rsid w:val="00CA5FE8"/>
    <w:rsid w:val="00CA6469"/>
    <w:rsid w:val="00CA6670"/>
    <w:rsid w:val="00CA6E57"/>
    <w:rsid w:val="00CA7EC4"/>
    <w:rsid w:val="00CB010F"/>
    <w:rsid w:val="00CB0BE0"/>
    <w:rsid w:val="00CB1837"/>
    <w:rsid w:val="00CB18D0"/>
    <w:rsid w:val="00CB1AA3"/>
    <w:rsid w:val="00CB2B57"/>
    <w:rsid w:val="00CB2F62"/>
    <w:rsid w:val="00CB3418"/>
    <w:rsid w:val="00CB454C"/>
    <w:rsid w:val="00CB5076"/>
    <w:rsid w:val="00CB52E5"/>
    <w:rsid w:val="00CB5611"/>
    <w:rsid w:val="00CB591A"/>
    <w:rsid w:val="00CB5FB2"/>
    <w:rsid w:val="00CB6B0A"/>
    <w:rsid w:val="00CB71F4"/>
    <w:rsid w:val="00CB729D"/>
    <w:rsid w:val="00CB7341"/>
    <w:rsid w:val="00CB7698"/>
    <w:rsid w:val="00CB78AE"/>
    <w:rsid w:val="00CB799A"/>
    <w:rsid w:val="00CC007D"/>
    <w:rsid w:val="00CC0711"/>
    <w:rsid w:val="00CC143F"/>
    <w:rsid w:val="00CC1FE6"/>
    <w:rsid w:val="00CC2DEC"/>
    <w:rsid w:val="00CC301A"/>
    <w:rsid w:val="00CC38EB"/>
    <w:rsid w:val="00CC3CF6"/>
    <w:rsid w:val="00CC41EF"/>
    <w:rsid w:val="00CC42CD"/>
    <w:rsid w:val="00CC4D68"/>
    <w:rsid w:val="00CC57F6"/>
    <w:rsid w:val="00CC5A73"/>
    <w:rsid w:val="00CC62DD"/>
    <w:rsid w:val="00CC6441"/>
    <w:rsid w:val="00CC66F5"/>
    <w:rsid w:val="00CC67D3"/>
    <w:rsid w:val="00CC67E3"/>
    <w:rsid w:val="00CC6E49"/>
    <w:rsid w:val="00CC6F92"/>
    <w:rsid w:val="00CC74CA"/>
    <w:rsid w:val="00CC78EF"/>
    <w:rsid w:val="00CC7F43"/>
    <w:rsid w:val="00CD044D"/>
    <w:rsid w:val="00CD0E49"/>
    <w:rsid w:val="00CD1273"/>
    <w:rsid w:val="00CD2B1F"/>
    <w:rsid w:val="00CD2B8C"/>
    <w:rsid w:val="00CD2EDF"/>
    <w:rsid w:val="00CD327A"/>
    <w:rsid w:val="00CD33D3"/>
    <w:rsid w:val="00CD3C4E"/>
    <w:rsid w:val="00CD3E86"/>
    <w:rsid w:val="00CD4554"/>
    <w:rsid w:val="00CD45DD"/>
    <w:rsid w:val="00CD4C1E"/>
    <w:rsid w:val="00CD501A"/>
    <w:rsid w:val="00CD5282"/>
    <w:rsid w:val="00CD52E3"/>
    <w:rsid w:val="00CD53AD"/>
    <w:rsid w:val="00CD53F8"/>
    <w:rsid w:val="00CD586C"/>
    <w:rsid w:val="00CD600D"/>
    <w:rsid w:val="00CD6102"/>
    <w:rsid w:val="00CD634B"/>
    <w:rsid w:val="00CD6550"/>
    <w:rsid w:val="00CD7924"/>
    <w:rsid w:val="00CE0528"/>
    <w:rsid w:val="00CE0A5F"/>
    <w:rsid w:val="00CE0B0D"/>
    <w:rsid w:val="00CE143D"/>
    <w:rsid w:val="00CE1CBD"/>
    <w:rsid w:val="00CE2207"/>
    <w:rsid w:val="00CE28BD"/>
    <w:rsid w:val="00CE33C3"/>
    <w:rsid w:val="00CE34B5"/>
    <w:rsid w:val="00CE3508"/>
    <w:rsid w:val="00CE3EC6"/>
    <w:rsid w:val="00CE45BB"/>
    <w:rsid w:val="00CE46A4"/>
    <w:rsid w:val="00CE50A6"/>
    <w:rsid w:val="00CE57D7"/>
    <w:rsid w:val="00CE5EB9"/>
    <w:rsid w:val="00CE619E"/>
    <w:rsid w:val="00CE7047"/>
    <w:rsid w:val="00CE7503"/>
    <w:rsid w:val="00CE7D7D"/>
    <w:rsid w:val="00CF061E"/>
    <w:rsid w:val="00CF1AA8"/>
    <w:rsid w:val="00CF1AEC"/>
    <w:rsid w:val="00CF3183"/>
    <w:rsid w:val="00CF3194"/>
    <w:rsid w:val="00CF34F6"/>
    <w:rsid w:val="00CF3C4E"/>
    <w:rsid w:val="00CF3F7E"/>
    <w:rsid w:val="00CF41F5"/>
    <w:rsid w:val="00CF5268"/>
    <w:rsid w:val="00CF552F"/>
    <w:rsid w:val="00CF5797"/>
    <w:rsid w:val="00CF597B"/>
    <w:rsid w:val="00CF5986"/>
    <w:rsid w:val="00CF5FD5"/>
    <w:rsid w:val="00CF623A"/>
    <w:rsid w:val="00CF6364"/>
    <w:rsid w:val="00CF64FA"/>
    <w:rsid w:val="00CF78A5"/>
    <w:rsid w:val="00CF7A16"/>
    <w:rsid w:val="00CF7C18"/>
    <w:rsid w:val="00D008F2"/>
    <w:rsid w:val="00D012DA"/>
    <w:rsid w:val="00D018FF"/>
    <w:rsid w:val="00D01C56"/>
    <w:rsid w:val="00D01C6B"/>
    <w:rsid w:val="00D01CF8"/>
    <w:rsid w:val="00D02447"/>
    <w:rsid w:val="00D02892"/>
    <w:rsid w:val="00D02936"/>
    <w:rsid w:val="00D02B79"/>
    <w:rsid w:val="00D0324B"/>
    <w:rsid w:val="00D0350B"/>
    <w:rsid w:val="00D037E8"/>
    <w:rsid w:val="00D039EE"/>
    <w:rsid w:val="00D03B80"/>
    <w:rsid w:val="00D03E24"/>
    <w:rsid w:val="00D0468D"/>
    <w:rsid w:val="00D04D60"/>
    <w:rsid w:val="00D05234"/>
    <w:rsid w:val="00D05A38"/>
    <w:rsid w:val="00D05D43"/>
    <w:rsid w:val="00D05E18"/>
    <w:rsid w:val="00D0606C"/>
    <w:rsid w:val="00D075E9"/>
    <w:rsid w:val="00D10DCD"/>
    <w:rsid w:val="00D1151F"/>
    <w:rsid w:val="00D11D2F"/>
    <w:rsid w:val="00D12424"/>
    <w:rsid w:val="00D1265B"/>
    <w:rsid w:val="00D12DDD"/>
    <w:rsid w:val="00D12ED0"/>
    <w:rsid w:val="00D13595"/>
    <w:rsid w:val="00D13663"/>
    <w:rsid w:val="00D13C12"/>
    <w:rsid w:val="00D1490E"/>
    <w:rsid w:val="00D14BC3"/>
    <w:rsid w:val="00D14CFB"/>
    <w:rsid w:val="00D14EBB"/>
    <w:rsid w:val="00D15094"/>
    <w:rsid w:val="00D1512D"/>
    <w:rsid w:val="00D1587C"/>
    <w:rsid w:val="00D15C87"/>
    <w:rsid w:val="00D16321"/>
    <w:rsid w:val="00D16422"/>
    <w:rsid w:val="00D167E4"/>
    <w:rsid w:val="00D16A42"/>
    <w:rsid w:val="00D16BCB"/>
    <w:rsid w:val="00D1738E"/>
    <w:rsid w:val="00D175EA"/>
    <w:rsid w:val="00D17A7F"/>
    <w:rsid w:val="00D17BB1"/>
    <w:rsid w:val="00D17DA4"/>
    <w:rsid w:val="00D20362"/>
    <w:rsid w:val="00D203DB"/>
    <w:rsid w:val="00D2074A"/>
    <w:rsid w:val="00D210CA"/>
    <w:rsid w:val="00D21270"/>
    <w:rsid w:val="00D216E3"/>
    <w:rsid w:val="00D21A29"/>
    <w:rsid w:val="00D21D2D"/>
    <w:rsid w:val="00D21D33"/>
    <w:rsid w:val="00D227D4"/>
    <w:rsid w:val="00D22A5C"/>
    <w:rsid w:val="00D232DE"/>
    <w:rsid w:val="00D2348F"/>
    <w:rsid w:val="00D24B23"/>
    <w:rsid w:val="00D256B9"/>
    <w:rsid w:val="00D25C61"/>
    <w:rsid w:val="00D25E29"/>
    <w:rsid w:val="00D25F87"/>
    <w:rsid w:val="00D2600E"/>
    <w:rsid w:val="00D26227"/>
    <w:rsid w:val="00D26EFB"/>
    <w:rsid w:val="00D27508"/>
    <w:rsid w:val="00D278E2"/>
    <w:rsid w:val="00D27C34"/>
    <w:rsid w:val="00D30291"/>
    <w:rsid w:val="00D30416"/>
    <w:rsid w:val="00D305A8"/>
    <w:rsid w:val="00D305AA"/>
    <w:rsid w:val="00D30E05"/>
    <w:rsid w:val="00D31375"/>
    <w:rsid w:val="00D32089"/>
    <w:rsid w:val="00D32170"/>
    <w:rsid w:val="00D3239F"/>
    <w:rsid w:val="00D32701"/>
    <w:rsid w:val="00D32A20"/>
    <w:rsid w:val="00D32EC7"/>
    <w:rsid w:val="00D3340A"/>
    <w:rsid w:val="00D338FF"/>
    <w:rsid w:val="00D339A7"/>
    <w:rsid w:val="00D340FD"/>
    <w:rsid w:val="00D34303"/>
    <w:rsid w:val="00D34AE9"/>
    <w:rsid w:val="00D3554E"/>
    <w:rsid w:val="00D360D5"/>
    <w:rsid w:val="00D365F2"/>
    <w:rsid w:val="00D372D9"/>
    <w:rsid w:val="00D37639"/>
    <w:rsid w:val="00D37F61"/>
    <w:rsid w:val="00D403D2"/>
    <w:rsid w:val="00D404C1"/>
    <w:rsid w:val="00D40B65"/>
    <w:rsid w:val="00D40D6F"/>
    <w:rsid w:val="00D41105"/>
    <w:rsid w:val="00D415FD"/>
    <w:rsid w:val="00D41BD6"/>
    <w:rsid w:val="00D41EB4"/>
    <w:rsid w:val="00D41FC0"/>
    <w:rsid w:val="00D42024"/>
    <w:rsid w:val="00D42389"/>
    <w:rsid w:val="00D42865"/>
    <w:rsid w:val="00D4310F"/>
    <w:rsid w:val="00D436C5"/>
    <w:rsid w:val="00D43B78"/>
    <w:rsid w:val="00D43C11"/>
    <w:rsid w:val="00D444D6"/>
    <w:rsid w:val="00D45872"/>
    <w:rsid w:val="00D46340"/>
    <w:rsid w:val="00D47B26"/>
    <w:rsid w:val="00D50579"/>
    <w:rsid w:val="00D50694"/>
    <w:rsid w:val="00D5091C"/>
    <w:rsid w:val="00D51826"/>
    <w:rsid w:val="00D51AC8"/>
    <w:rsid w:val="00D52365"/>
    <w:rsid w:val="00D5244D"/>
    <w:rsid w:val="00D52EF4"/>
    <w:rsid w:val="00D53225"/>
    <w:rsid w:val="00D53B21"/>
    <w:rsid w:val="00D5419A"/>
    <w:rsid w:val="00D55483"/>
    <w:rsid w:val="00D556DA"/>
    <w:rsid w:val="00D55766"/>
    <w:rsid w:val="00D56021"/>
    <w:rsid w:val="00D568A9"/>
    <w:rsid w:val="00D56962"/>
    <w:rsid w:val="00D5710E"/>
    <w:rsid w:val="00D57131"/>
    <w:rsid w:val="00D57158"/>
    <w:rsid w:val="00D5774C"/>
    <w:rsid w:val="00D57F95"/>
    <w:rsid w:val="00D6014C"/>
    <w:rsid w:val="00D60634"/>
    <w:rsid w:val="00D6063A"/>
    <w:rsid w:val="00D60CC5"/>
    <w:rsid w:val="00D615B1"/>
    <w:rsid w:val="00D61AE8"/>
    <w:rsid w:val="00D623B9"/>
    <w:rsid w:val="00D623FC"/>
    <w:rsid w:val="00D627CD"/>
    <w:rsid w:val="00D62AD5"/>
    <w:rsid w:val="00D62E02"/>
    <w:rsid w:val="00D62EB6"/>
    <w:rsid w:val="00D6332D"/>
    <w:rsid w:val="00D6395D"/>
    <w:rsid w:val="00D642A0"/>
    <w:rsid w:val="00D649BA"/>
    <w:rsid w:val="00D659AB"/>
    <w:rsid w:val="00D660DC"/>
    <w:rsid w:val="00D665EF"/>
    <w:rsid w:val="00D6688E"/>
    <w:rsid w:val="00D66B0D"/>
    <w:rsid w:val="00D66FEE"/>
    <w:rsid w:val="00D706C5"/>
    <w:rsid w:val="00D70A78"/>
    <w:rsid w:val="00D70AAB"/>
    <w:rsid w:val="00D70C48"/>
    <w:rsid w:val="00D70CE2"/>
    <w:rsid w:val="00D71811"/>
    <w:rsid w:val="00D71BF0"/>
    <w:rsid w:val="00D71C15"/>
    <w:rsid w:val="00D71CEB"/>
    <w:rsid w:val="00D71D92"/>
    <w:rsid w:val="00D72230"/>
    <w:rsid w:val="00D722A1"/>
    <w:rsid w:val="00D7416F"/>
    <w:rsid w:val="00D745E3"/>
    <w:rsid w:val="00D7499C"/>
    <w:rsid w:val="00D74C8E"/>
    <w:rsid w:val="00D754CD"/>
    <w:rsid w:val="00D75669"/>
    <w:rsid w:val="00D75CCA"/>
    <w:rsid w:val="00D7600E"/>
    <w:rsid w:val="00D763A5"/>
    <w:rsid w:val="00D778C5"/>
    <w:rsid w:val="00D779FC"/>
    <w:rsid w:val="00D77E78"/>
    <w:rsid w:val="00D80061"/>
    <w:rsid w:val="00D8010F"/>
    <w:rsid w:val="00D8035F"/>
    <w:rsid w:val="00D80A6F"/>
    <w:rsid w:val="00D810CF"/>
    <w:rsid w:val="00D81CF1"/>
    <w:rsid w:val="00D82995"/>
    <w:rsid w:val="00D82B8B"/>
    <w:rsid w:val="00D83081"/>
    <w:rsid w:val="00D83925"/>
    <w:rsid w:val="00D843E6"/>
    <w:rsid w:val="00D84EB8"/>
    <w:rsid w:val="00D85282"/>
    <w:rsid w:val="00D8598A"/>
    <w:rsid w:val="00D8607E"/>
    <w:rsid w:val="00D86419"/>
    <w:rsid w:val="00D86626"/>
    <w:rsid w:val="00D867F6"/>
    <w:rsid w:val="00D8689C"/>
    <w:rsid w:val="00D8764B"/>
    <w:rsid w:val="00D87E97"/>
    <w:rsid w:val="00D901D1"/>
    <w:rsid w:val="00D91424"/>
    <w:rsid w:val="00D9172E"/>
    <w:rsid w:val="00D91A58"/>
    <w:rsid w:val="00D91AE8"/>
    <w:rsid w:val="00D9212A"/>
    <w:rsid w:val="00D92D5B"/>
    <w:rsid w:val="00D95406"/>
    <w:rsid w:val="00D954FD"/>
    <w:rsid w:val="00D9589E"/>
    <w:rsid w:val="00D95C92"/>
    <w:rsid w:val="00D96184"/>
    <w:rsid w:val="00D96B54"/>
    <w:rsid w:val="00D970A9"/>
    <w:rsid w:val="00D97103"/>
    <w:rsid w:val="00D974ED"/>
    <w:rsid w:val="00DA0069"/>
    <w:rsid w:val="00DA0341"/>
    <w:rsid w:val="00DA09E5"/>
    <w:rsid w:val="00DA0C6E"/>
    <w:rsid w:val="00DA17CC"/>
    <w:rsid w:val="00DA1E1A"/>
    <w:rsid w:val="00DA29E0"/>
    <w:rsid w:val="00DA3318"/>
    <w:rsid w:val="00DA387E"/>
    <w:rsid w:val="00DA3B96"/>
    <w:rsid w:val="00DA3C6D"/>
    <w:rsid w:val="00DA3DA8"/>
    <w:rsid w:val="00DA4FCB"/>
    <w:rsid w:val="00DA5DED"/>
    <w:rsid w:val="00DA5F1A"/>
    <w:rsid w:val="00DA614E"/>
    <w:rsid w:val="00DA6469"/>
    <w:rsid w:val="00DA6B88"/>
    <w:rsid w:val="00DA6DA0"/>
    <w:rsid w:val="00DA767F"/>
    <w:rsid w:val="00DA76F2"/>
    <w:rsid w:val="00DB0E6C"/>
    <w:rsid w:val="00DB0EF6"/>
    <w:rsid w:val="00DB15F2"/>
    <w:rsid w:val="00DB177F"/>
    <w:rsid w:val="00DB235A"/>
    <w:rsid w:val="00DB2668"/>
    <w:rsid w:val="00DB2811"/>
    <w:rsid w:val="00DB3A3F"/>
    <w:rsid w:val="00DB3B99"/>
    <w:rsid w:val="00DB3C54"/>
    <w:rsid w:val="00DB4260"/>
    <w:rsid w:val="00DB4366"/>
    <w:rsid w:val="00DB48A7"/>
    <w:rsid w:val="00DB494B"/>
    <w:rsid w:val="00DB53BD"/>
    <w:rsid w:val="00DB56A7"/>
    <w:rsid w:val="00DB6136"/>
    <w:rsid w:val="00DB64EF"/>
    <w:rsid w:val="00DB7A11"/>
    <w:rsid w:val="00DB7BAF"/>
    <w:rsid w:val="00DB7DB7"/>
    <w:rsid w:val="00DC04E9"/>
    <w:rsid w:val="00DC08EA"/>
    <w:rsid w:val="00DC0E28"/>
    <w:rsid w:val="00DC1163"/>
    <w:rsid w:val="00DC1497"/>
    <w:rsid w:val="00DC21C5"/>
    <w:rsid w:val="00DC22D7"/>
    <w:rsid w:val="00DC2D44"/>
    <w:rsid w:val="00DC2E19"/>
    <w:rsid w:val="00DC3030"/>
    <w:rsid w:val="00DC3181"/>
    <w:rsid w:val="00DC3F11"/>
    <w:rsid w:val="00DC4EB5"/>
    <w:rsid w:val="00DC5452"/>
    <w:rsid w:val="00DC5974"/>
    <w:rsid w:val="00DC6196"/>
    <w:rsid w:val="00DC6F10"/>
    <w:rsid w:val="00DC796B"/>
    <w:rsid w:val="00DD1788"/>
    <w:rsid w:val="00DD220C"/>
    <w:rsid w:val="00DD22A2"/>
    <w:rsid w:val="00DD2E7E"/>
    <w:rsid w:val="00DD40A4"/>
    <w:rsid w:val="00DD4517"/>
    <w:rsid w:val="00DD49DA"/>
    <w:rsid w:val="00DD49F4"/>
    <w:rsid w:val="00DD4CB9"/>
    <w:rsid w:val="00DD4DD3"/>
    <w:rsid w:val="00DD57E7"/>
    <w:rsid w:val="00DD5ABC"/>
    <w:rsid w:val="00DD5AD7"/>
    <w:rsid w:val="00DD66E2"/>
    <w:rsid w:val="00DD7DC3"/>
    <w:rsid w:val="00DE096B"/>
    <w:rsid w:val="00DE1B9F"/>
    <w:rsid w:val="00DE1C64"/>
    <w:rsid w:val="00DE20AA"/>
    <w:rsid w:val="00DE279E"/>
    <w:rsid w:val="00DE3027"/>
    <w:rsid w:val="00DE396E"/>
    <w:rsid w:val="00DE3FA7"/>
    <w:rsid w:val="00DE40B9"/>
    <w:rsid w:val="00DE42D9"/>
    <w:rsid w:val="00DE4D8E"/>
    <w:rsid w:val="00DE4E28"/>
    <w:rsid w:val="00DE51AC"/>
    <w:rsid w:val="00DE529D"/>
    <w:rsid w:val="00DE53C2"/>
    <w:rsid w:val="00DE547D"/>
    <w:rsid w:val="00DE596B"/>
    <w:rsid w:val="00DE7295"/>
    <w:rsid w:val="00DE73CB"/>
    <w:rsid w:val="00DE79CC"/>
    <w:rsid w:val="00DE7B84"/>
    <w:rsid w:val="00DF0E06"/>
    <w:rsid w:val="00DF0EDC"/>
    <w:rsid w:val="00DF1DE6"/>
    <w:rsid w:val="00DF252B"/>
    <w:rsid w:val="00DF2D98"/>
    <w:rsid w:val="00DF2E62"/>
    <w:rsid w:val="00DF3116"/>
    <w:rsid w:val="00DF37E2"/>
    <w:rsid w:val="00DF3AB2"/>
    <w:rsid w:val="00DF3BC9"/>
    <w:rsid w:val="00DF3BEE"/>
    <w:rsid w:val="00DF40E6"/>
    <w:rsid w:val="00DF53EE"/>
    <w:rsid w:val="00DF62CC"/>
    <w:rsid w:val="00DF6823"/>
    <w:rsid w:val="00DF68C2"/>
    <w:rsid w:val="00DF69D6"/>
    <w:rsid w:val="00DF6A27"/>
    <w:rsid w:val="00DF723E"/>
    <w:rsid w:val="00DF78D6"/>
    <w:rsid w:val="00E003C6"/>
    <w:rsid w:val="00E003DB"/>
    <w:rsid w:val="00E00A96"/>
    <w:rsid w:val="00E00E3A"/>
    <w:rsid w:val="00E0161F"/>
    <w:rsid w:val="00E021F0"/>
    <w:rsid w:val="00E026A1"/>
    <w:rsid w:val="00E03A2B"/>
    <w:rsid w:val="00E03AB2"/>
    <w:rsid w:val="00E03ADC"/>
    <w:rsid w:val="00E03AE4"/>
    <w:rsid w:val="00E03F86"/>
    <w:rsid w:val="00E0433C"/>
    <w:rsid w:val="00E04444"/>
    <w:rsid w:val="00E05E45"/>
    <w:rsid w:val="00E0613F"/>
    <w:rsid w:val="00E068AA"/>
    <w:rsid w:val="00E06C7D"/>
    <w:rsid w:val="00E06FC7"/>
    <w:rsid w:val="00E077E4"/>
    <w:rsid w:val="00E1088A"/>
    <w:rsid w:val="00E10E08"/>
    <w:rsid w:val="00E112A0"/>
    <w:rsid w:val="00E113BF"/>
    <w:rsid w:val="00E117E3"/>
    <w:rsid w:val="00E118C0"/>
    <w:rsid w:val="00E11B19"/>
    <w:rsid w:val="00E12185"/>
    <w:rsid w:val="00E1233A"/>
    <w:rsid w:val="00E12542"/>
    <w:rsid w:val="00E129EF"/>
    <w:rsid w:val="00E12CF1"/>
    <w:rsid w:val="00E13170"/>
    <w:rsid w:val="00E13550"/>
    <w:rsid w:val="00E13B6C"/>
    <w:rsid w:val="00E1503B"/>
    <w:rsid w:val="00E15A8F"/>
    <w:rsid w:val="00E15EC8"/>
    <w:rsid w:val="00E16FF5"/>
    <w:rsid w:val="00E20C31"/>
    <w:rsid w:val="00E2101B"/>
    <w:rsid w:val="00E2104F"/>
    <w:rsid w:val="00E210CE"/>
    <w:rsid w:val="00E21953"/>
    <w:rsid w:val="00E21B16"/>
    <w:rsid w:val="00E22337"/>
    <w:rsid w:val="00E228BE"/>
    <w:rsid w:val="00E229CD"/>
    <w:rsid w:val="00E22B50"/>
    <w:rsid w:val="00E22F1B"/>
    <w:rsid w:val="00E23653"/>
    <w:rsid w:val="00E23E7A"/>
    <w:rsid w:val="00E24CA4"/>
    <w:rsid w:val="00E27759"/>
    <w:rsid w:val="00E301E2"/>
    <w:rsid w:val="00E302E7"/>
    <w:rsid w:val="00E3033C"/>
    <w:rsid w:val="00E30BD0"/>
    <w:rsid w:val="00E30CCA"/>
    <w:rsid w:val="00E30FD8"/>
    <w:rsid w:val="00E310CE"/>
    <w:rsid w:val="00E31F1D"/>
    <w:rsid w:val="00E335E9"/>
    <w:rsid w:val="00E34078"/>
    <w:rsid w:val="00E34453"/>
    <w:rsid w:val="00E36AE6"/>
    <w:rsid w:val="00E36F06"/>
    <w:rsid w:val="00E37927"/>
    <w:rsid w:val="00E37B12"/>
    <w:rsid w:val="00E4015C"/>
    <w:rsid w:val="00E4050F"/>
    <w:rsid w:val="00E406BF"/>
    <w:rsid w:val="00E41A44"/>
    <w:rsid w:val="00E41A8A"/>
    <w:rsid w:val="00E42069"/>
    <w:rsid w:val="00E433D7"/>
    <w:rsid w:val="00E43714"/>
    <w:rsid w:val="00E43908"/>
    <w:rsid w:val="00E44077"/>
    <w:rsid w:val="00E4410F"/>
    <w:rsid w:val="00E44427"/>
    <w:rsid w:val="00E45331"/>
    <w:rsid w:val="00E453CB"/>
    <w:rsid w:val="00E4552B"/>
    <w:rsid w:val="00E45554"/>
    <w:rsid w:val="00E45BB9"/>
    <w:rsid w:val="00E46023"/>
    <w:rsid w:val="00E46513"/>
    <w:rsid w:val="00E46F66"/>
    <w:rsid w:val="00E47A90"/>
    <w:rsid w:val="00E47D36"/>
    <w:rsid w:val="00E47E9C"/>
    <w:rsid w:val="00E47F4E"/>
    <w:rsid w:val="00E50C1F"/>
    <w:rsid w:val="00E50D65"/>
    <w:rsid w:val="00E513F0"/>
    <w:rsid w:val="00E51661"/>
    <w:rsid w:val="00E51CFE"/>
    <w:rsid w:val="00E5270D"/>
    <w:rsid w:val="00E52916"/>
    <w:rsid w:val="00E529BE"/>
    <w:rsid w:val="00E52F9F"/>
    <w:rsid w:val="00E53AF0"/>
    <w:rsid w:val="00E542A3"/>
    <w:rsid w:val="00E54396"/>
    <w:rsid w:val="00E544E5"/>
    <w:rsid w:val="00E5565B"/>
    <w:rsid w:val="00E56286"/>
    <w:rsid w:val="00E566B3"/>
    <w:rsid w:val="00E569C6"/>
    <w:rsid w:val="00E56B0E"/>
    <w:rsid w:val="00E60023"/>
    <w:rsid w:val="00E60441"/>
    <w:rsid w:val="00E60A35"/>
    <w:rsid w:val="00E60E88"/>
    <w:rsid w:val="00E617F2"/>
    <w:rsid w:val="00E624E6"/>
    <w:rsid w:val="00E626C5"/>
    <w:rsid w:val="00E62BFE"/>
    <w:rsid w:val="00E62F1B"/>
    <w:rsid w:val="00E636F3"/>
    <w:rsid w:val="00E63F1A"/>
    <w:rsid w:val="00E63F73"/>
    <w:rsid w:val="00E64149"/>
    <w:rsid w:val="00E64A02"/>
    <w:rsid w:val="00E65256"/>
    <w:rsid w:val="00E66469"/>
    <w:rsid w:val="00E66654"/>
    <w:rsid w:val="00E668F0"/>
    <w:rsid w:val="00E672C0"/>
    <w:rsid w:val="00E6799D"/>
    <w:rsid w:val="00E679A2"/>
    <w:rsid w:val="00E700D7"/>
    <w:rsid w:val="00E704FC"/>
    <w:rsid w:val="00E70B28"/>
    <w:rsid w:val="00E70C3A"/>
    <w:rsid w:val="00E712E9"/>
    <w:rsid w:val="00E7222B"/>
    <w:rsid w:val="00E72266"/>
    <w:rsid w:val="00E7243E"/>
    <w:rsid w:val="00E72820"/>
    <w:rsid w:val="00E72D00"/>
    <w:rsid w:val="00E731AD"/>
    <w:rsid w:val="00E735DA"/>
    <w:rsid w:val="00E7417E"/>
    <w:rsid w:val="00E746C8"/>
    <w:rsid w:val="00E74B67"/>
    <w:rsid w:val="00E74D14"/>
    <w:rsid w:val="00E76697"/>
    <w:rsid w:val="00E76AC2"/>
    <w:rsid w:val="00E76F89"/>
    <w:rsid w:val="00E76FD0"/>
    <w:rsid w:val="00E77221"/>
    <w:rsid w:val="00E77644"/>
    <w:rsid w:val="00E77858"/>
    <w:rsid w:val="00E77981"/>
    <w:rsid w:val="00E80C10"/>
    <w:rsid w:val="00E819A0"/>
    <w:rsid w:val="00E819FD"/>
    <w:rsid w:val="00E821F1"/>
    <w:rsid w:val="00E827A3"/>
    <w:rsid w:val="00E827CC"/>
    <w:rsid w:val="00E83104"/>
    <w:rsid w:val="00E83294"/>
    <w:rsid w:val="00E833CC"/>
    <w:rsid w:val="00E83828"/>
    <w:rsid w:val="00E84449"/>
    <w:rsid w:val="00E8445C"/>
    <w:rsid w:val="00E847ED"/>
    <w:rsid w:val="00E84B00"/>
    <w:rsid w:val="00E85326"/>
    <w:rsid w:val="00E856C6"/>
    <w:rsid w:val="00E85D6F"/>
    <w:rsid w:val="00E8600F"/>
    <w:rsid w:val="00E86042"/>
    <w:rsid w:val="00E86315"/>
    <w:rsid w:val="00E86484"/>
    <w:rsid w:val="00E87A02"/>
    <w:rsid w:val="00E90385"/>
    <w:rsid w:val="00E912B9"/>
    <w:rsid w:val="00E91502"/>
    <w:rsid w:val="00E916E7"/>
    <w:rsid w:val="00E91936"/>
    <w:rsid w:val="00E91EAC"/>
    <w:rsid w:val="00E9258E"/>
    <w:rsid w:val="00E92B5A"/>
    <w:rsid w:val="00E939EE"/>
    <w:rsid w:val="00E93B89"/>
    <w:rsid w:val="00E94715"/>
    <w:rsid w:val="00E94A87"/>
    <w:rsid w:val="00E95509"/>
    <w:rsid w:val="00E95A26"/>
    <w:rsid w:val="00E95CCE"/>
    <w:rsid w:val="00E96026"/>
    <w:rsid w:val="00E9671F"/>
    <w:rsid w:val="00E96BA1"/>
    <w:rsid w:val="00E97161"/>
    <w:rsid w:val="00EA0095"/>
    <w:rsid w:val="00EA0B9E"/>
    <w:rsid w:val="00EA0E56"/>
    <w:rsid w:val="00EA0F70"/>
    <w:rsid w:val="00EA1205"/>
    <w:rsid w:val="00EA1418"/>
    <w:rsid w:val="00EA2594"/>
    <w:rsid w:val="00EA289D"/>
    <w:rsid w:val="00EA2C43"/>
    <w:rsid w:val="00EA3080"/>
    <w:rsid w:val="00EA381F"/>
    <w:rsid w:val="00EA395D"/>
    <w:rsid w:val="00EA4552"/>
    <w:rsid w:val="00EA47D4"/>
    <w:rsid w:val="00EA4A32"/>
    <w:rsid w:val="00EA4BEA"/>
    <w:rsid w:val="00EA5892"/>
    <w:rsid w:val="00EA5A62"/>
    <w:rsid w:val="00EA5D52"/>
    <w:rsid w:val="00EA642F"/>
    <w:rsid w:val="00EA68C2"/>
    <w:rsid w:val="00EB0198"/>
    <w:rsid w:val="00EB0BEE"/>
    <w:rsid w:val="00EB0E11"/>
    <w:rsid w:val="00EB135A"/>
    <w:rsid w:val="00EB1A87"/>
    <w:rsid w:val="00EB2270"/>
    <w:rsid w:val="00EB288C"/>
    <w:rsid w:val="00EB2A0B"/>
    <w:rsid w:val="00EB2F4F"/>
    <w:rsid w:val="00EB397E"/>
    <w:rsid w:val="00EB3D6C"/>
    <w:rsid w:val="00EB47BE"/>
    <w:rsid w:val="00EB4851"/>
    <w:rsid w:val="00EB4B6F"/>
    <w:rsid w:val="00EB4BEB"/>
    <w:rsid w:val="00EB4DFB"/>
    <w:rsid w:val="00EB53BB"/>
    <w:rsid w:val="00EB5472"/>
    <w:rsid w:val="00EB5558"/>
    <w:rsid w:val="00EB57CE"/>
    <w:rsid w:val="00EB57D8"/>
    <w:rsid w:val="00EB6240"/>
    <w:rsid w:val="00EB644D"/>
    <w:rsid w:val="00EB7140"/>
    <w:rsid w:val="00EB72DC"/>
    <w:rsid w:val="00EB77BD"/>
    <w:rsid w:val="00EB7BB1"/>
    <w:rsid w:val="00EC056E"/>
    <w:rsid w:val="00EC057A"/>
    <w:rsid w:val="00EC1656"/>
    <w:rsid w:val="00EC184E"/>
    <w:rsid w:val="00EC19E6"/>
    <w:rsid w:val="00EC26DB"/>
    <w:rsid w:val="00EC2B2F"/>
    <w:rsid w:val="00EC2F8B"/>
    <w:rsid w:val="00EC3426"/>
    <w:rsid w:val="00EC3F18"/>
    <w:rsid w:val="00EC4AE5"/>
    <w:rsid w:val="00EC4FF4"/>
    <w:rsid w:val="00EC6966"/>
    <w:rsid w:val="00EC6C06"/>
    <w:rsid w:val="00EC7531"/>
    <w:rsid w:val="00EC753E"/>
    <w:rsid w:val="00EC7780"/>
    <w:rsid w:val="00EC78EB"/>
    <w:rsid w:val="00ED0247"/>
    <w:rsid w:val="00ED0537"/>
    <w:rsid w:val="00ED0BA7"/>
    <w:rsid w:val="00ED0C2E"/>
    <w:rsid w:val="00ED122E"/>
    <w:rsid w:val="00ED131A"/>
    <w:rsid w:val="00ED135E"/>
    <w:rsid w:val="00ED1903"/>
    <w:rsid w:val="00ED1FA3"/>
    <w:rsid w:val="00ED34DF"/>
    <w:rsid w:val="00ED3B5C"/>
    <w:rsid w:val="00ED3D92"/>
    <w:rsid w:val="00ED3EB8"/>
    <w:rsid w:val="00ED414A"/>
    <w:rsid w:val="00ED482D"/>
    <w:rsid w:val="00ED5107"/>
    <w:rsid w:val="00ED5670"/>
    <w:rsid w:val="00ED5800"/>
    <w:rsid w:val="00ED5F25"/>
    <w:rsid w:val="00ED60FB"/>
    <w:rsid w:val="00ED612A"/>
    <w:rsid w:val="00ED6A56"/>
    <w:rsid w:val="00ED6E0D"/>
    <w:rsid w:val="00ED6F66"/>
    <w:rsid w:val="00ED7150"/>
    <w:rsid w:val="00ED7D85"/>
    <w:rsid w:val="00EE001B"/>
    <w:rsid w:val="00EE0654"/>
    <w:rsid w:val="00EE07A5"/>
    <w:rsid w:val="00EE0F9A"/>
    <w:rsid w:val="00EE15B1"/>
    <w:rsid w:val="00EE1A5A"/>
    <w:rsid w:val="00EE2B5E"/>
    <w:rsid w:val="00EE3217"/>
    <w:rsid w:val="00EE34D6"/>
    <w:rsid w:val="00EE3E8D"/>
    <w:rsid w:val="00EE4095"/>
    <w:rsid w:val="00EE460C"/>
    <w:rsid w:val="00EE48E8"/>
    <w:rsid w:val="00EE4C76"/>
    <w:rsid w:val="00EE4DDE"/>
    <w:rsid w:val="00EE4F1E"/>
    <w:rsid w:val="00EE5784"/>
    <w:rsid w:val="00EE6138"/>
    <w:rsid w:val="00EE628E"/>
    <w:rsid w:val="00EE6882"/>
    <w:rsid w:val="00EE68D4"/>
    <w:rsid w:val="00EF07D0"/>
    <w:rsid w:val="00EF08B0"/>
    <w:rsid w:val="00EF0D7C"/>
    <w:rsid w:val="00EF0E6D"/>
    <w:rsid w:val="00EF109B"/>
    <w:rsid w:val="00EF156B"/>
    <w:rsid w:val="00EF1CC0"/>
    <w:rsid w:val="00EF2B89"/>
    <w:rsid w:val="00EF356D"/>
    <w:rsid w:val="00EF3A49"/>
    <w:rsid w:val="00EF3C52"/>
    <w:rsid w:val="00EF3CDD"/>
    <w:rsid w:val="00EF4F82"/>
    <w:rsid w:val="00EF5D51"/>
    <w:rsid w:val="00EF5DC7"/>
    <w:rsid w:val="00EF6094"/>
    <w:rsid w:val="00EF647B"/>
    <w:rsid w:val="00EF69C2"/>
    <w:rsid w:val="00EF6C83"/>
    <w:rsid w:val="00EF701F"/>
    <w:rsid w:val="00EF71E7"/>
    <w:rsid w:val="00EF7AB0"/>
    <w:rsid w:val="00EF7FB3"/>
    <w:rsid w:val="00F001D0"/>
    <w:rsid w:val="00F005AA"/>
    <w:rsid w:val="00F01C99"/>
    <w:rsid w:val="00F0207A"/>
    <w:rsid w:val="00F0215C"/>
    <w:rsid w:val="00F022FB"/>
    <w:rsid w:val="00F02EE2"/>
    <w:rsid w:val="00F03681"/>
    <w:rsid w:val="00F03E44"/>
    <w:rsid w:val="00F04822"/>
    <w:rsid w:val="00F04EAF"/>
    <w:rsid w:val="00F05BF9"/>
    <w:rsid w:val="00F06038"/>
    <w:rsid w:val="00F11347"/>
    <w:rsid w:val="00F11DDB"/>
    <w:rsid w:val="00F12732"/>
    <w:rsid w:val="00F127FD"/>
    <w:rsid w:val="00F13634"/>
    <w:rsid w:val="00F13763"/>
    <w:rsid w:val="00F13D74"/>
    <w:rsid w:val="00F13E55"/>
    <w:rsid w:val="00F1432D"/>
    <w:rsid w:val="00F1451A"/>
    <w:rsid w:val="00F14B02"/>
    <w:rsid w:val="00F14B80"/>
    <w:rsid w:val="00F14B85"/>
    <w:rsid w:val="00F14D4B"/>
    <w:rsid w:val="00F15956"/>
    <w:rsid w:val="00F15F95"/>
    <w:rsid w:val="00F1697A"/>
    <w:rsid w:val="00F16C46"/>
    <w:rsid w:val="00F17DD0"/>
    <w:rsid w:val="00F20E40"/>
    <w:rsid w:val="00F2124C"/>
    <w:rsid w:val="00F21B4E"/>
    <w:rsid w:val="00F22005"/>
    <w:rsid w:val="00F232E4"/>
    <w:rsid w:val="00F234D0"/>
    <w:rsid w:val="00F2449C"/>
    <w:rsid w:val="00F25B86"/>
    <w:rsid w:val="00F2755A"/>
    <w:rsid w:val="00F2775A"/>
    <w:rsid w:val="00F278FB"/>
    <w:rsid w:val="00F30174"/>
    <w:rsid w:val="00F30237"/>
    <w:rsid w:val="00F306DB"/>
    <w:rsid w:val="00F310B3"/>
    <w:rsid w:val="00F316C8"/>
    <w:rsid w:val="00F31884"/>
    <w:rsid w:val="00F326CE"/>
    <w:rsid w:val="00F33211"/>
    <w:rsid w:val="00F336D2"/>
    <w:rsid w:val="00F3373D"/>
    <w:rsid w:val="00F33ABA"/>
    <w:rsid w:val="00F33F96"/>
    <w:rsid w:val="00F343F2"/>
    <w:rsid w:val="00F3463D"/>
    <w:rsid w:val="00F34702"/>
    <w:rsid w:val="00F34BC2"/>
    <w:rsid w:val="00F34F06"/>
    <w:rsid w:val="00F35592"/>
    <w:rsid w:val="00F35A54"/>
    <w:rsid w:val="00F360FA"/>
    <w:rsid w:val="00F36257"/>
    <w:rsid w:val="00F3717C"/>
    <w:rsid w:val="00F37A6A"/>
    <w:rsid w:val="00F37CBE"/>
    <w:rsid w:val="00F40191"/>
    <w:rsid w:val="00F40662"/>
    <w:rsid w:val="00F40B17"/>
    <w:rsid w:val="00F40DC5"/>
    <w:rsid w:val="00F40F93"/>
    <w:rsid w:val="00F41637"/>
    <w:rsid w:val="00F41C88"/>
    <w:rsid w:val="00F420EA"/>
    <w:rsid w:val="00F421AE"/>
    <w:rsid w:val="00F42587"/>
    <w:rsid w:val="00F4369A"/>
    <w:rsid w:val="00F4388E"/>
    <w:rsid w:val="00F44320"/>
    <w:rsid w:val="00F4495D"/>
    <w:rsid w:val="00F44BED"/>
    <w:rsid w:val="00F44C3D"/>
    <w:rsid w:val="00F44D9C"/>
    <w:rsid w:val="00F44F68"/>
    <w:rsid w:val="00F45890"/>
    <w:rsid w:val="00F45917"/>
    <w:rsid w:val="00F45974"/>
    <w:rsid w:val="00F45992"/>
    <w:rsid w:val="00F4628B"/>
    <w:rsid w:val="00F46819"/>
    <w:rsid w:val="00F46936"/>
    <w:rsid w:val="00F5181B"/>
    <w:rsid w:val="00F51835"/>
    <w:rsid w:val="00F51A95"/>
    <w:rsid w:val="00F520E1"/>
    <w:rsid w:val="00F5254C"/>
    <w:rsid w:val="00F52AC1"/>
    <w:rsid w:val="00F52E33"/>
    <w:rsid w:val="00F52E91"/>
    <w:rsid w:val="00F52E98"/>
    <w:rsid w:val="00F53E1E"/>
    <w:rsid w:val="00F54165"/>
    <w:rsid w:val="00F541DD"/>
    <w:rsid w:val="00F54910"/>
    <w:rsid w:val="00F54E3D"/>
    <w:rsid w:val="00F54FDB"/>
    <w:rsid w:val="00F55165"/>
    <w:rsid w:val="00F55313"/>
    <w:rsid w:val="00F55E87"/>
    <w:rsid w:val="00F565FA"/>
    <w:rsid w:val="00F567E3"/>
    <w:rsid w:val="00F56CE9"/>
    <w:rsid w:val="00F570E4"/>
    <w:rsid w:val="00F60901"/>
    <w:rsid w:val="00F60AB0"/>
    <w:rsid w:val="00F6102B"/>
    <w:rsid w:val="00F6158C"/>
    <w:rsid w:val="00F6173C"/>
    <w:rsid w:val="00F619CC"/>
    <w:rsid w:val="00F62615"/>
    <w:rsid w:val="00F6299B"/>
    <w:rsid w:val="00F62D08"/>
    <w:rsid w:val="00F639B7"/>
    <w:rsid w:val="00F63B70"/>
    <w:rsid w:val="00F63C89"/>
    <w:rsid w:val="00F63D6E"/>
    <w:rsid w:val="00F64537"/>
    <w:rsid w:val="00F665A3"/>
    <w:rsid w:val="00F673FA"/>
    <w:rsid w:val="00F706D0"/>
    <w:rsid w:val="00F71510"/>
    <w:rsid w:val="00F721FF"/>
    <w:rsid w:val="00F7276B"/>
    <w:rsid w:val="00F72CE2"/>
    <w:rsid w:val="00F74995"/>
    <w:rsid w:val="00F74BF2"/>
    <w:rsid w:val="00F7590A"/>
    <w:rsid w:val="00F75999"/>
    <w:rsid w:val="00F76A4E"/>
    <w:rsid w:val="00F76BFA"/>
    <w:rsid w:val="00F770B9"/>
    <w:rsid w:val="00F77431"/>
    <w:rsid w:val="00F77485"/>
    <w:rsid w:val="00F77756"/>
    <w:rsid w:val="00F77F2E"/>
    <w:rsid w:val="00F804E6"/>
    <w:rsid w:val="00F80760"/>
    <w:rsid w:val="00F809FC"/>
    <w:rsid w:val="00F80FF6"/>
    <w:rsid w:val="00F81505"/>
    <w:rsid w:val="00F815B3"/>
    <w:rsid w:val="00F81FC1"/>
    <w:rsid w:val="00F82751"/>
    <w:rsid w:val="00F829CE"/>
    <w:rsid w:val="00F834E8"/>
    <w:rsid w:val="00F83684"/>
    <w:rsid w:val="00F84325"/>
    <w:rsid w:val="00F84A7B"/>
    <w:rsid w:val="00F84CFE"/>
    <w:rsid w:val="00F85285"/>
    <w:rsid w:val="00F856F4"/>
    <w:rsid w:val="00F85DA4"/>
    <w:rsid w:val="00F8649B"/>
    <w:rsid w:val="00F86D86"/>
    <w:rsid w:val="00F86FD9"/>
    <w:rsid w:val="00F876FD"/>
    <w:rsid w:val="00F877F2"/>
    <w:rsid w:val="00F879B8"/>
    <w:rsid w:val="00F90056"/>
    <w:rsid w:val="00F901A7"/>
    <w:rsid w:val="00F91280"/>
    <w:rsid w:val="00F914BF"/>
    <w:rsid w:val="00F914E5"/>
    <w:rsid w:val="00F91A2E"/>
    <w:rsid w:val="00F91DB3"/>
    <w:rsid w:val="00F9249B"/>
    <w:rsid w:val="00F9267F"/>
    <w:rsid w:val="00F932B5"/>
    <w:rsid w:val="00F934F0"/>
    <w:rsid w:val="00F93CE1"/>
    <w:rsid w:val="00F95349"/>
    <w:rsid w:val="00F9559F"/>
    <w:rsid w:val="00F958B1"/>
    <w:rsid w:val="00F95B03"/>
    <w:rsid w:val="00F96627"/>
    <w:rsid w:val="00F96732"/>
    <w:rsid w:val="00F96C0E"/>
    <w:rsid w:val="00F972F9"/>
    <w:rsid w:val="00F97557"/>
    <w:rsid w:val="00FA2222"/>
    <w:rsid w:val="00FA2459"/>
    <w:rsid w:val="00FA27B2"/>
    <w:rsid w:val="00FA331B"/>
    <w:rsid w:val="00FA37CC"/>
    <w:rsid w:val="00FA41BB"/>
    <w:rsid w:val="00FA44F1"/>
    <w:rsid w:val="00FA4C09"/>
    <w:rsid w:val="00FA5751"/>
    <w:rsid w:val="00FA5963"/>
    <w:rsid w:val="00FA65CC"/>
    <w:rsid w:val="00FA696E"/>
    <w:rsid w:val="00FA75E4"/>
    <w:rsid w:val="00FA7886"/>
    <w:rsid w:val="00FA7A70"/>
    <w:rsid w:val="00FB00F4"/>
    <w:rsid w:val="00FB02DB"/>
    <w:rsid w:val="00FB0B19"/>
    <w:rsid w:val="00FB1189"/>
    <w:rsid w:val="00FB230C"/>
    <w:rsid w:val="00FB377E"/>
    <w:rsid w:val="00FB3E8E"/>
    <w:rsid w:val="00FB4D9B"/>
    <w:rsid w:val="00FB68E0"/>
    <w:rsid w:val="00FB6964"/>
    <w:rsid w:val="00FB73FC"/>
    <w:rsid w:val="00FB7734"/>
    <w:rsid w:val="00FB7C2F"/>
    <w:rsid w:val="00FB7CC7"/>
    <w:rsid w:val="00FC0206"/>
    <w:rsid w:val="00FC05D4"/>
    <w:rsid w:val="00FC0D32"/>
    <w:rsid w:val="00FC177F"/>
    <w:rsid w:val="00FC1A00"/>
    <w:rsid w:val="00FC1AE0"/>
    <w:rsid w:val="00FC1B55"/>
    <w:rsid w:val="00FC2161"/>
    <w:rsid w:val="00FC32F1"/>
    <w:rsid w:val="00FC3325"/>
    <w:rsid w:val="00FC4292"/>
    <w:rsid w:val="00FC43D8"/>
    <w:rsid w:val="00FC4C95"/>
    <w:rsid w:val="00FC4F9C"/>
    <w:rsid w:val="00FC5437"/>
    <w:rsid w:val="00FC5AA6"/>
    <w:rsid w:val="00FC6D04"/>
    <w:rsid w:val="00FC71AA"/>
    <w:rsid w:val="00FC7296"/>
    <w:rsid w:val="00FC72A1"/>
    <w:rsid w:val="00FC7369"/>
    <w:rsid w:val="00FC7EF8"/>
    <w:rsid w:val="00FD03E4"/>
    <w:rsid w:val="00FD0FFB"/>
    <w:rsid w:val="00FD11B0"/>
    <w:rsid w:val="00FD125C"/>
    <w:rsid w:val="00FD15ED"/>
    <w:rsid w:val="00FD18B1"/>
    <w:rsid w:val="00FD1C24"/>
    <w:rsid w:val="00FD42F8"/>
    <w:rsid w:val="00FD4CCF"/>
    <w:rsid w:val="00FD4FAA"/>
    <w:rsid w:val="00FD542C"/>
    <w:rsid w:val="00FD63F4"/>
    <w:rsid w:val="00FD6506"/>
    <w:rsid w:val="00FD66E7"/>
    <w:rsid w:val="00FE025A"/>
    <w:rsid w:val="00FE0359"/>
    <w:rsid w:val="00FE0922"/>
    <w:rsid w:val="00FE0AE9"/>
    <w:rsid w:val="00FE0B90"/>
    <w:rsid w:val="00FE182F"/>
    <w:rsid w:val="00FE21C7"/>
    <w:rsid w:val="00FE24EE"/>
    <w:rsid w:val="00FE2822"/>
    <w:rsid w:val="00FE2D56"/>
    <w:rsid w:val="00FE320B"/>
    <w:rsid w:val="00FE4216"/>
    <w:rsid w:val="00FE4A0A"/>
    <w:rsid w:val="00FE568B"/>
    <w:rsid w:val="00FE6791"/>
    <w:rsid w:val="00FE6A56"/>
    <w:rsid w:val="00FE6AB3"/>
    <w:rsid w:val="00FE6C8E"/>
    <w:rsid w:val="00FE7152"/>
    <w:rsid w:val="00FE7771"/>
    <w:rsid w:val="00FF0CBC"/>
    <w:rsid w:val="00FF190C"/>
    <w:rsid w:val="00FF1CE6"/>
    <w:rsid w:val="00FF2107"/>
    <w:rsid w:val="00FF213F"/>
    <w:rsid w:val="00FF296A"/>
    <w:rsid w:val="00FF31F7"/>
    <w:rsid w:val="00FF3285"/>
    <w:rsid w:val="00FF3461"/>
    <w:rsid w:val="00FF418C"/>
    <w:rsid w:val="00FF42E4"/>
    <w:rsid w:val="00FF567B"/>
    <w:rsid w:val="00FF573A"/>
    <w:rsid w:val="00FF5E23"/>
    <w:rsid w:val="00FF65F7"/>
    <w:rsid w:val="00FF696C"/>
    <w:rsid w:val="00FF6A56"/>
    <w:rsid w:val="00FF6A6D"/>
    <w:rsid w:val="00FF6B8A"/>
    <w:rsid w:val="00FF70DE"/>
    <w:rsid w:val="00FF7301"/>
    <w:rsid w:val="00FF767C"/>
    <w:rsid w:val="00FF76E6"/>
    <w:rsid w:val="00FF77B7"/>
    <w:rsid w:val="00FF7A75"/>
    <w:rsid w:val="00FF7B92"/>
    <w:rsid w:val="00FF7D6F"/>
    <w:rsid w:val="012A4E21"/>
    <w:rsid w:val="013A690F"/>
    <w:rsid w:val="01593F92"/>
    <w:rsid w:val="015A1913"/>
    <w:rsid w:val="015A7948"/>
    <w:rsid w:val="015E2839"/>
    <w:rsid w:val="016B05BC"/>
    <w:rsid w:val="0175443A"/>
    <w:rsid w:val="01777E30"/>
    <w:rsid w:val="019F0AF5"/>
    <w:rsid w:val="01A152B0"/>
    <w:rsid w:val="01C15437"/>
    <w:rsid w:val="01C67396"/>
    <w:rsid w:val="01C74AC8"/>
    <w:rsid w:val="01D11701"/>
    <w:rsid w:val="01E92329"/>
    <w:rsid w:val="01F125AA"/>
    <w:rsid w:val="01FA6612"/>
    <w:rsid w:val="01FE0052"/>
    <w:rsid w:val="020B325A"/>
    <w:rsid w:val="021235EC"/>
    <w:rsid w:val="02221DF9"/>
    <w:rsid w:val="0242118E"/>
    <w:rsid w:val="024F2D27"/>
    <w:rsid w:val="025C69AC"/>
    <w:rsid w:val="02790E31"/>
    <w:rsid w:val="027F2E0D"/>
    <w:rsid w:val="02AD79EA"/>
    <w:rsid w:val="02AF1E27"/>
    <w:rsid w:val="02BE3F94"/>
    <w:rsid w:val="02BE5535"/>
    <w:rsid w:val="02C357E3"/>
    <w:rsid w:val="02DF6410"/>
    <w:rsid w:val="02ED3385"/>
    <w:rsid w:val="02F016DD"/>
    <w:rsid w:val="02F43A2B"/>
    <w:rsid w:val="03056DC8"/>
    <w:rsid w:val="03145467"/>
    <w:rsid w:val="031B7166"/>
    <w:rsid w:val="031C76EC"/>
    <w:rsid w:val="0320478A"/>
    <w:rsid w:val="03355265"/>
    <w:rsid w:val="035C6DF3"/>
    <w:rsid w:val="035E787F"/>
    <w:rsid w:val="036A1685"/>
    <w:rsid w:val="037D3E51"/>
    <w:rsid w:val="0395476E"/>
    <w:rsid w:val="03E156A2"/>
    <w:rsid w:val="03EE2141"/>
    <w:rsid w:val="03F21F57"/>
    <w:rsid w:val="04003EB2"/>
    <w:rsid w:val="04020541"/>
    <w:rsid w:val="04271AF0"/>
    <w:rsid w:val="045460E0"/>
    <w:rsid w:val="045A31A4"/>
    <w:rsid w:val="04643AB8"/>
    <w:rsid w:val="046A6998"/>
    <w:rsid w:val="047E396A"/>
    <w:rsid w:val="0480087C"/>
    <w:rsid w:val="04916503"/>
    <w:rsid w:val="04990B69"/>
    <w:rsid w:val="04AB1DE0"/>
    <w:rsid w:val="04AB2DF4"/>
    <w:rsid w:val="04CC08EB"/>
    <w:rsid w:val="04D043AD"/>
    <w:rsid w:val="04D30939"/>
    <w:rsid w:val="04FE4E8A"/>
    <w:rsid w:val="0511593E"/>
    <w:rsid w:val="05132475"/>
    <w:rsid w:val="05141DF0"/>
    <w:rsid w:val="051D5FC6"/>
    <w:rsid w:val="05285B11"/>
    <w:rsid w:val="0531620D"/>
    <w:rsid w:val="05415BBD"/>
    <w:rsid w:val="05481A3A"/>
    <w:rsid w:val="0549490C"/>
    <w:rsid w:val="055178E9"/>
    <w:rsid w:val="05603190"/>
    <w:rsid w:val="057000C1"/>
    <w:rsid w:val="058D12A0"/>
    <w:rsid w:val="0598798D"/>
    <w:rsid w:val="05990C7D"/>
    <w:rsid w:val="05A61FAC"/>
    <w:rsid w:val="05AE30F1"/>
    <w:rsid w:val="05B40ECA"/>
    <w:rsid w:val="05C100EB"/>
    <w:rsid w:val="05D73B61"/>
    <w:rsid w:val="05E570CC"/>
    <w:rsid w:val="05E60001"/>
    <w:rsid w:val="05EF52C8"/>
    <w:rsid w:val="0619721E"/>
    <w:rsid w:val="062A44AF"/>
    <w:rsid w:val="062E3A1D"/>
    <w:rsid w:val="063925D1"/>
    <w:rsid w:val="06612458"/>
    <w:rsid w:val="06633218"/>
    <w:rsid w:val="066D34B2"/>
    <w:rsid w:val="066D5F43"/>
    <w:rsid w:val="067A5870"/>
    <w:rsid w:val="067A6032"/>
    <w:rsid w:val="068805E7"/>
    <w:rsid w:val="06881577"/>
    <w:rsid w:val="06992382"/>
    <w:rsid w:val="06A170F3"/>
    <w:rsid w:val="06C059C2"/>
    <w:rsid w:val="06C26FEB"/>
    <w:rsid w:val="06C620FA"/>
    <w:rsid w:val="06D56611"/>
    <w:rsid w:val="06DA6F81"/>
    <w:rsid w:val="06DC3A32"/>
    <w:rsid w:val="06E45F93"/>
    <w:rsid w:val="06F37001"/>
    <w:rsid w:val="07005B38"/>
    <w:rsid w:val="0705457D"/>
    <w:rsid w:val="07364A4C"/>
    <w:rsid w:val="075B095F"/>
    <w:rsid w:val="07687B73"/>
    <w:rsid w:val="076D2C0D"/>
    <w:rsid w:val="077F065C"/>
    <w:rsid w:val="07807554"/>
    <w:rsid w:val="078C107C"/>
    <w:rsid w:val="078E4C5C"/>
    <w:rsid w:val="07933081"/>
    <w:rsid w:val="07B00F1D"/>
    <w:rsid w:val="07C8347D"/>
    <w:rsid w:val="07F51BAB"/>
    <w:rsid w:val="081A2A1A"/>
    <w:rsid w:val="08276797"/>
    <w:rsid w:val="082A5356"/>
    <w:rsid w:val="082D6F32"/>
    <w:rsid w:val="08625011"/>
    <w:rsid w:val="08682F69"/>
    <w:rsid w:val="08767126"/>
    <w:rsid w:val="0884628E"/>
    <w:rsid w:val="088816B9"/>
    <w:rsid w:val="089E1642"/>
    <w:rsid w:val="08B17BE1"/>
    <w:rsid w:val="08BA426F"/>
    <w:rsid w:val="08E522B1"/>
    <w:rsid w:val="08EB7112"/>
    <w:rsid w:val="08F07C2D"/>
    <w:rsid w:val="08F4703A"/>
    <w:rsid w:val="08F66B32"/>
    <w:rsid w:val="08FA146D"/>
    <w:rsid w:val="090030B6"/>
    <w:rsid w:val="090620B8"/>
    <w:rsid w:val="09127C2A"/>
    <w:rsid w:val="091A2C9A"/>
    <w:rsid w:val="091A7D77"/>
    <w:rsid w:val="09281FD6"/>
    <w:rsid w:val="09292548"/>
    <w:rsid w:val="093F51ED"/>
    <w:rsid w:val="094314F2"/>
    <w:rsid w:val="09465B74"/>
    <w:rsid w:val="094846AB"/>
    <w:rsid w:val="095073FA"/>
    <w:rsid w:val="09551119"/>
    <w:rsid w:val="09577B8B"/>
    <w:rsid w:val="09675EB5"/>
    <w:rsid w:val="096C29B9"/>
    <w:rsid w:val="0992244E"/>
    <w:rsid w:val="09A9515D"/>
    <w:rsid w:val="09AC384F"/>
    <w:rsid w:val="09B16020"/>
    <w:rsid w:val="09B76C6A"/>
    <w:rsid w:val="09BB62F2"/>
    <w:rsid w:val="09D26AB5"/>
    <w:rsid w:val="09D75580"/>
    <w:rsid w:val="09EA7679"/>
    <w:rsid w:val="0A097FBA"/>
    <w:rsid w:val="0A1C2502"/>
    <w:rsid w:val="0A2B4270"/>
    <w:rsid w:val="0A452777"/>
    <w:rsid w:val="0A4632D9"/>
    <w:rsid w:val="0A4E36C6"/>
    <w:rsid w:val="0A52729D"/>
    <w:rsid w:val="0A874528"/>
    <w:rsid w:val="0A8B7316"/>
    <w:rsid w:val="0A8C110E"/>
    <w:rsid w:val="0AA16F7A"/>
    <w:rsid w:val="0AAD4EDD"/>
    <w:rsid w:val="0AB55D02"/>
    <w:rsid w:val="0ABF0BD3"/>
    <w:rsid w:val="0ACC08EE"/>
    <w:rsid w:val="0AD05264"/>
    <w:rsid w:val="0ADB3B99"/>
    <w:rsid w:val="0AE5691F"/>
    <w:rsid w:val="0AE8742C"/>
    <w:rsid w:val="0AF639B0"/>
    <w:rsid w:val="0AF65375"/>
    <w:rsid w:val="0AFA5870"/>
    <w:rsid w:val="0AFB19E5"/>
    <w:rsid w:val="0B022976"/>
    <w:rsid w:val="0B081D3B"/>
    <w:rsid w:val="0B0C32F3"/>
    <w:rsid w:val="0B0C4720"/>
    <w:rsid w:val="0B197E66"/>
    <w:rsid w:val="0B204BAA"/>
    <w:rsid w:val="0B2D2AD7"/>
    <w:rsid w:val="0B2E01DA"/>
    <w:rsid w:val="0B320337"/>
    <w:rsid w:val="0B346A82"/>
    <w:rsid w:val="0B38067D"/>
    <w:rsid w:val="0B3C6044"/>
    <w:rsid w:val="0B560E92"/>
    <w:rsid w:val="0B704E99"/>
    <w:rsid w:val="0B7371A6"/>
    <w:rsid w:val="0B7609EE"/>
    <w:rsid w:val="0B760C93"/>
    <w:rsid w:val="0B8A79AF"/>
    <w:rsid w:val="0BA55BDE"/>
    <w:rsid w:val="0BB7E64E"/>
    <w:rsid w:val="0BBE65A8"/>
    <w:rsid w:val="0BDC277F"/>
    <w:rsid w:val="0BEF6659"/>
    <w:rsid w:val="0BF56D6B"/>
    <w:rsid w:val="0BF81BBC"/>
    <w:rsid w:val="0BFC7976"/>
    <w:rsid w:val="0C015150"/>
    <w:rsid w:val="0C121E0B"/>
    <w:rsid w:val="0C195DBC"/>
    <w:rsid w:val="0C1C402C"/>
    <w:rsid w:val="0C27651D"/>
    <w:rsid w:val="0C342351"/>
    <w:rsid w:val="0C5313A4"/>
    <w:rsid w:val="0C580538"/>
    <w:rsid w:val="0C590374"/>
    <w:rsid w:val="0C5A588C"/>
    <w:rsid w:val="0C635FA4"/>
    <w:rsid w:val="0C682019"/>
    <w:rsid w:val="0C6B0C28"/>
    <w:rsid w:val="0C8B763A"/>
    <w:rsid w:val="0C8F6630"/>
    <w:rsid w:val="0C954B1D"/>
    <w:rsid w:val="0CA93832"/>
    <w:rsid w:val="0CAC493E"/>
    <w:rsid w:val="0CC47EE3"/>
    <w:rsid w:val="0CD10C70"/>
    <w:rsid w:val="0CD50F98"/>
    <w:rsid w:val="0CDC30BC"/>
    <w:rsid w:val="0CEF32BC"/>
    <w:rsid w:val="0CF5147B"/>
    <w:rsid w:val="0D0B0957"/>
    <w:rsid w:val="0D1225E1"/>
    <w:rsid w:val="0D142F14"/>
    <w:rsid w:val="0D2C0E94"/>
    <w:rsid w:val="0D2D3C5F"/>
    <w:rsid w:val="0D66545C"/>
    <w:rsid w:val="0D6B717A"/>
    <w:rsid w:val="0D6F45C7"/>
    <w:rsid w:val="0DA25357"/>
    <w:rsid w:val="0DA5377E"/>
    <w:rsid w:val="0DB1705C"/>
    <w:rsid w:val="0DB37D75"/>
    <w:rsid w:val="0DB811DB"/>
    <w:rsid w:val="0DBA2787"/>
    <w:rsid w:val="0DBB182E"/>
    <w:rsid w:val="0DC12134"/>
    <w:rsid w:val="0DC31923"/>
    <w:rsid w:val="0DCA7B13"/>
    <w:rsid w:val="0DD62FEF"/>
    <w:rsid w:val="0DEF149A"/>
    <w:rsid w:val="0DF504D7"/>
    <w:rsid w:val="0E036A28"/>
    <w:rsid w:val="0E0552CC"/>
    <w:rsid w:val="0E2E0EBE"/>
    <w:rsid w:val="0E47447A"/>
    <w:rsid w:val="0E4C14FB"/>
    <w:rsid w:val="0E6401D1"/>
    <w:rsid w:val="0E651521"/>
    <w:rsid w:val="0E663744"/>
    <w:rsid w:val="0E6A4ABA"/>
    <w:rsid w:val="0E6F23C7"/>
    <w:rsid w:val="0E7476E7"/>
    <w:rsid w:val="0E836419"/>
    <w:rsid w:val="0E855450"/>
    <w:rsid w:val="0E8854FB"/>
    <w:rsid w:val="0E947A66"/>
    <w:rsid w:val="0E9833E6"/>
    <w:rsid w:val="0EA77ADD"/>
    <w:rsid w:val="0EC37076"/>
    <w:rsid w:val="0EC37A24"/>
    <w:rsid w:val="0ED41EEF"/>
    <w:rsid w:val="0EDF39F1"/>
    <w:rsid w:val="0EF034AB"/>
    <w:rsid w:val="0EF453C6"/>
    <w:rsid w:val="0F1E70E7"/>
    <w:rsid w:val="0F293DB0"/>
    <w:rsid w:val="0F392121"/>
    <w:rsid w:val="0F49464D"/>
    <w:rsid w:val="0F500AAD"/>
    <w:rsid w:val="0F5838F2"/>
    <w:rsid w:val="0FA1184A"/>
    <w:rsid w:val="0FA96591"/>
    <w:rsid w:val="0FAA1800"/>
    <w:rsid w:val="0FAD455E"/>
    <w:rsid w:val="0FB94A66"/>
    <w:rsid w:val="0FCF6175"/>
    <w:rsid w:val="0FDE179C"/>
    <w:rsid w:val="0FE81C1D"/>
    <w:rsid w:val="0FEA0C5A"/>
    <w:rsid w:val="0FF87DD2"/>
    <w:rsid w:val="10077BBA"/>
    <w:rsid w:val="101629EB"/>
    <w:rsid w:val="101F3682"/>
    <w:rsid w:val="102736D0"/>
    <w:rsid w:val="102C7D44"/>
    <w:rsid w:val="10350AA9"/>
    <w:rsid w:val="106344F9"/>
    <w:rsid w:val="106E7C51"/>
    <w:rsid w:val="10700194"/>
    <w:rsid w:val="107B3173"/>
    <w:rsid w:val="10A73812"/>
    <w:rsid w:val="10AF05A0"/>
    <w:rsid w:val="10B21301"/>
    <w:rsid w:val="10B75631"/>
    <w:rsid w:val="110B2FB0"/>
    <w:rsid w:val="11315402"/>
    <w:rsid w:val="114749A4"/>
    <w:rsid w:val="115D2952"/>
    <w:rsid w:val="116537E5"/>
    <w:rsid w:val="1169450A"/>
    <w:rsid w:val="11786B55"/>
    <w:rsid w:val="118F3035"/>
    <w:rsid w:val="11902D52"/>
    <w:rsid w:val="11A113D2"/>
    <w:rsid w:val="11A337C2"/>
    <w:rsid w:val="11C01717"/>
    <w:rsid w:val="11D53A3D"/>
    <w:rsid w:val="11DE26F6"/>
    <w:rsid w:val="12080C76"/>
    <w:rsid w:val="120F0E58"/>
    <w:rsid w:val="12307B5E"/>
    <w:rsid w:val="1238707D"/>
    <w:rsid w:val="123F43B0"/>
    <w:rsid w:val="123F7018"/>
    <w:rsid w:val="125D54CB"/>
    <w:rsid w:val="126A535E"/>
    <w:rsid w:val="12761A96"/>
    <w:rsid w:val="12822265"/>
    <w:rsid w:val="129B148F"/>
    <w:rsid w:val="129F0AAB"/>
    <w:rsid w:val="12A24799"/>
    <w:rsid w:val="12AF73DE"/>
    <w:rsid w:val="12B76B0D"/>
    <w:rsid w:val="12C27C02"/>
    <w:rsid w:val="12D562FA"/>
    <w:rsid w:val="12DA7F5C"/>
    <w:rsid w:val="12E332FA"/>
    <w:rsid w:val="12F12F9E"/>
    <w:rsid w:val="12F75FF5"/>
    <w:rsid w:val="132D7A2F"/>
    <w:rsid w:val="13492B62"/>
    <w:rsid w:val="13684C7A"/>
    <w:rsid w:val="136E7CAF"/>
    <w:rsid w:val="139522A0"/>
    <w:rsid w:val="13B72832"/>
    <w:rsid w:val="13BA0BEB"/>
    <w:rsid w:val="13C63A51"/>
    <w:rsid w:val="13CD08B6"/>
    <w:rsid w:val="13D56B53"/>
    <w:rsid w:val="13E30590"/>
    <w:rsid w:val="13E843A1"/>
    <w:rsid w:val="13FB3D98"/>
    <w:rsid w:val="1403644B"/>
    <w:rsid w:val="141731A4"/>
    <w:rsid w:val="14342245"/>
    <w:rsid w:val="143A501D"/>
    <w:rsid w:val="143C398A"/>
    <w:rsid w:val="14540FBC"/>
    <w:rsid w:val="147036BF"/>
    <w:rsid w:val="14776FC2"/>
    <w:rsid w:val="14A27F30"/>
    <w:rsid w:val="14A763BF"/>
    <w:rsid w:val="14D83D18"/>
    <w:rsid w:val="14E94451"/>
    <w:rsid w:val="14FD7E50"/>
    <w:rsid w:val="152557F8"/>
    <w:rsid w:val="152E4435"/>
    <w:rsid w:val="15421D14"/>
    <w:rsid w:val="154C1133"/>
    <w:rsid w:val="1550122B"/>
    <w:rsid w:val="15697744"/>
    <w:rsid w:val="158667C3"/>
    <w:rsid w:val="158E5532"/>
    <w:rsid w:val="159D64B9"/>
    <w:rsid w:val="159F4AC2"/>
    <w:rsid w:val="15B2020C"/>
    <w:rsid w:val="15B27B74"/>
    <w:rsid w:val="15C1538F"/>
    <w:rsid w:val="15D905AC"/>
    <w:rsid w:val="15DD5FFB"/>
    <w:rsid w:val="15EF268F"/>
    <w:rsid w:val="15F020C0"/>
    <w:rsid w:val="15F250DF"/>
    <w:rsid w:val="15F77F8C"/>
    <w:rsid w:val="16053AF1"/>
    <w:rsid w:val="160D7966"/>
    <w:rsid w:val="16335803"/>
    <w:rsid w:val="1633604B"/>
    <w:rsid w:val="16365169"/>
    <w:rsid w:val="163F67DF"/>
    <w:rsid w:val="164A4609"/>
    <w:rsid w:val="164B037A"/>
    <w:rsid w:val="165916AA"/>
    <w:rsid w:val="1659625E"/>
    <w:rsid w:val="16596D58"/>
    <w:rsid w:val="16755FAF"/>
    <w:rsid w:val="16867800"/>
    <w:rsid w:val="16893C88"/>
    <w:rsid w:val="168B753F"/>
    <w:rsid w:val="169556B0"/>
    <w:rsid w:val="16A22220"/>
    <w:rsid w:val="16AB4A01"/>
    <w:rsid w:val="16C96D7D"/>
    <w:rsid w:val="16D62CF8"/>
    <w:rsid w:val="16DC62F6"/>
    <w:rsid w:val="16F7709F"/>
    <w:rsid w:val="17032F48"/>
    <w:rsid w:val="170B670F"/>
    <w:rsid w:val="170C5D38"/>
    <w:rsid w:val="1723380C"/>
    <w:rsid w:val="1733456F"/>
    <w:rsid w:val="17412155"/>
    <w:rsid w:val="17560404"/>
    <w:rsid w:val="17574A29"/>
    <w:rsid w:val="177C3F5A"/>
    <w:rsid w:val="17B2462D"/>
    <w:rsid w:val="17B374D2"/>
    <w:rsid w:val="17C07725"/>
    <w:rsid w:val="17CD000B"/>
    <w:rsid w:val="17D2179B"/>
    <w:rsid w:val="17D81ED7"/>
    <w:rsid w:val="17E70A1A"/>
    <w:rsid w:val="17F5409B"/>
    <w:rsid w:val="17F730B7"/>
    <w:rsid w:val="18026C7F"/>
    <w:rsid w:val="18046E47"/>
    <w:rsid w:val="18095209"/>
    <w:rsid w:val="1823219C"/>
    <w:rsid w:val="18283386"/>
    <w:rsid w:val="183C6202"/>
    <w:rsid w:val="185C0435"/>
    <w:rsid w:val="186F6AE2"/>
    <w:rsid w:val="18763CB0"/>
    <w:rsid w:val="188432FC"/>
    <w:rsid w:val="188C54E8"/>
    <w:rsid w:val="189B4117"/>
    <w:rsid w:val="18A312F5"/>
    <w:rsid w:val="18A46D85"/>
    <w:rsid w:val="18AC32DE"/>
    <w:rsid w:val="18B12E63"/>
    <w:rsid w:val="18B57E8E"/>
    <w:rsid w:val="18C30476"/>
    <w:rsid w:val="18CB084B"/>
    <w:rsid w:val="18DF39A8"/>
    <w:rsid w:val="18E20D53"/>
    <w:rsid w:val="18E6739D"/>
    <w:rsid w:val="18E73DF2"/>
    <w:rsid w:val="18F32BB1"/>
    <w:rsid w:val="18F80BD4"/>
    <w:rsid w:val="18F84666"/>
    <w:rsid w:val="19213107"/>
    <w:rsid w:val="192E43BC"/>
    <w:rsid w:val="19326E77"/>
    <w:rsid w:val="194145A5"/>
    <w:rsid w:val="19425C10"/>
    <w:rsid w:val="195327C0"/>
    <w:rsid w:val="196C749E"/>
    <w:rsid w:val="19831126"/>
    <w:rsid w:val="1996146A"/>
    <w:rsid w:val="19AC5BAE"/>
    <w:rsid w:val="19C91205"/>
    <w:rsid w:val="19F54655"/>
    <w:rsid w:val="19FA7004"/>
    <w:rsid w:val="1A0C0B39"/>
    <w:rsid w:val="1A1D0BAD"/>
    <w:rsid w:val="1A202464"/>
    <w:rsid w:val="1A211D5E"/>
    <w:rsid w:val="1A281080"/>
    <w:rsid w:val="1A3167A7"/>
    <w:rsid w:val="1A3E7639"/>
    <w:rsid w:val="1A7E3697"/>
    <w:rsid w:val="1A83598B"/>
    <w:rsid w:val="1A8B0436"/>
    <w:rsid w:val="1A9433BA"/>
    <w:rsid w:val="1AA822FA"/>
    <w:rsid w:val="1AB5371D"/>
    <w:rsid w:val="1AB556B6"/>
    <w:rsid w:val="1ABB4B98"/>
    <w:rsid w:val="1AD01DA7"/>
    <w:rsid w:val="1AD70E60"/>
    <w:rsid w:val="1AD75236"/>
    <w:rsid w:val="1ADC4DC3"/>
    <w:rsid w:val="1AF30AA9"/>
    <w:rsid w:val="1B0874E2"/>
    <w:rsid w:val="1B2D779D"/>
    <w:rsid w:val="1B39458C"/>
    <w:rsid w:val="1B490950"/>
    <w:rsid w:val="1B5D0D89"/>
    <w:rsid w:val="1B6A35DB"/>
    <w:rsid w:val="1B782C3F"/>
    <w:rsid w:val="1B7D7C38"/>
    <w:rsid w:val="1B8A7FBC"/>
    <w:rsid w:val="1B9423A4"/>
    <w:rsid w:val="1BA50FCC"/>
    <w:rsid w:val="1BA9250B"/>
    <w:rsid w:val="1BAF77A5"/>
    <w:rsid w:val="1BB719B2"/>
    <w:rsid w:val="1BBB2CBB"/>
    <w:rsid w:val="1BBC7041"/>
    <w:rsid w:val="1BC06BF9"/>
    <w:rsid w:val="1BC449CF"/>
    <w:rsid w:val="1BCA5234"/>
    <w:rsid w:val="1BDA7F06"/>
    <w:rsid w:val="1BEA1165"/>
    <w:rsid w:val="1BED0AD9"/>
    <w:rsid w:val="1BF520EC"/>
    <w:rsid w:val="1C167B0B"/>
    <w:rsid w:val="1C1A20C8"/>
    <w:rsid w:val="1C2771EF"/>
    <w:rsid w:val="1C401C28"/>
    <w:rsid w:val="1C4667B9"/>
    <w:rsid w:val="1C5B32DE"/>
    <w:rsid w:val="1C6243A3"/>
    <w:rsid w:val="1C797C46"/>
    <w:rsid w:val="1C7E350E"/>
    <w:rsid w:val="1C8454F9"/>
    <w:rsid w:val="1C954279"/>
    <w:rsid w:val="1CB415D1"/>
    <w:rsid w:val="1CBC6385"/>
    <w:rsid w:val="1CBD2332"/>
    <w:rsid w:val="1CC7091E"/>
    <w:rsid w:val="1CCB392B"/>
    <w:rsid w:val="1CE14E51"/>
    <w:rsid w:val="1CE32E87"/>
    <w:rsid w:val="1CF56275"/>
    <w:rsid w:val="1CF86CEC"/>
    <w:rsid w:val="1CFB5568"/>
    <w:rsid w:val="1D226B51"/>
    <w:rsid w:val="1D253B83"/>
    <w:rsid w:val="1D2B7B0B"/>
    <w:rsid w:val="1D33733A"/>
    <w:rsid w:val="1D370DB7"/>
    <w:rsid w:val="1D387DEA"/>
    <w:rsid w:val="1D3A6321"/>
    <w:rsid w:val="1D4E2A7B"/>
    <w:rsid w:val="1D5A5F8D"/>
    <w:rsid w:val="1D753D60"/>
    <w:rsid w:val="1D917AB3"/>
    <w:rsid w:val="1DA52FDB"/>
    <w:rsid w:val="1DB064E6"/>
    <w:rsid w:val="1DB827E5"/>
    <w:rsid w:val="1DE351BB"/>
    <w:rsid w:val="1DF84BBF"/>
    <w:rsid w:val="1DF87C16"/>
    <w:rsid w:val="1DFE7449"/>
    <w:rsid w:val="1E0C08E5"/>
    <w:rsid w:val="1E351288"/>
    <w:rsid w:val="1E377E8A"/>
    <w:rsid w:val="1E4A36CA"/>
    <w:rsid w:val="1E682698"/>
    <w:rsid w:val="1E725C5C"/>
    <w:rsid w:val="1E7E4039"/>
    <w:rsid w:val="1E8E345A"/>
    <w:rsid w:val="1E901FEE"/>
    <w:rsid w:val="1E9442E7"/>
    <w:rsid w:val="1E994219"/>
    <w:rsid w:val="1EA078AE"/>
    <w:rsid w:val="1EA45EC1"/>
    <w:rsid w:val="1EB40283"/>
    <w:rsid w:val="1ED02528"/>
    <w:rsid w:val="1ED45CAE"/>
    <w:rsid w:val="1F424DC2"/>
    <w:rsid w:val="1F4A49DF"/>
    <w:rsid w:val="1F59199D"/>
    <w:rsid w:val="1F6669AD"/>
    <w:rsid w:val="1F684DF5"/>
    <w:rsid w:val="1F9C0838"/>
    <w:rsid w:val="1FAD03A2"/>
    <w:rsid w:val="1FB05B86"/>
    <w:rsid w:val="1FB63256"/>
    <w:rsid w:val="1FC55FFD"/>
    <w:rsid w:val="1FC619C3"/>
    <w:rsid w:val="1FF0410F"/>
    <w:rsid w:val="1FF34102"/>
    <w:rsid w:val="200E2178"/>
    <w:rsid w:val="20102412"/>
    <w:rsid w:val="20360CA0"/>
    <w:rsid w:val="204228BF"/>
    <w:rsid w:val="20614265"/>
    <w:rsid w:val="209C0EB3"/>
    <w:rsid w:val="20A07A3E"/>
    <w:rsid w:val="20A6660B"/>
    <w:rsid w:val="20A7119D"/>
    <w:rsid w:val="20AA51EA"/>
    <w:rsid w:val="20B77808"/>
    <w:rsid w:val="20C26B79"/>
    <w:rsid w:val="20CC3B78"/>
    <w:rsid w:val="20E52835"/>
    <w:rsid w:val="21013D59"/>
    <w:rsid w:val="211B1C44"/>
    <w:rsid w:val="211B39F2"/>
    <w:rsid w:val="2130504F"/>
    <w:rsid w:val="21382F0C"/>
    <w:rsid w:val="214106E3"/>
    <w:rsid w:val="214A05AE"/>
    <w:rsid w:val="214B28B3"/>
    <w:rsid w:val="215E2C87"/>
    <w:rsid w:val="216800C8"/>
    <w:rsid w:val="216B68D1"/>
    <w:rsid w:val="21776EE9"/>
    <w:rsid w:val="217B3E84"/>
    <w:rsid w:val="217B6C76"/>
    <w:rsid w:val="218108F4"/>
    <w:rsid w:val="218D4CC7"/>
    <w:rsid w:val="21934972"/>
    <w:rsid w:val="21B24356"/>
    <w:rsid w:val="21CE76F6"/>
    <w:rsid w:val="21DB4941"/>
    <w:rsid w:val="21DE7C36"/>
    <w:rsid w:val="21DF3A01"/>
    <w:rsid w:val="21E257BE"/>
    <w:rsid w:val="21F25BFC"/>
    <w:rsid w:val="220A5EF5"/>
    <w:rsid w:val="220F3C1A"/>
    <w:rsid w:val="22197D89"/>
    <w:rsid w:val="221E6F53"/>
    <w:rsid w:val="22313D2D"/>
    <w:rsid w:val="224D398A"/>
    <w:rsid w:val="224E2203"/>
    <w:rsid w:val="22585F0F"/>
    <w:rsid w:val="225F0503"/>
    <w:rsid w:val="226B5CC4"/>
    <w:rsid w:val="226D7641"/>
    <w:rsid w:val="22717890"/>
    <w:rsid w:val="2288155B"/>
    <w:rsid w:val="228B0CE6"/>
    <w:rsid w:val="22941CAE"/>
    <w:rsid w:val="22965A26"/>
    <w:rsid w:val="229C5EDB"/>
    <w:rsid w:val="229F2CD5"/>
    <w:rsid w:val="22AB3A42"/>
    <w:rsid w:val="22AF2482"/>
    <w:rsid w:val="22B44D35"/>
    <w:rsid w:val="22B8500B"/>
    <w:rsid w:val="22CB52CD"/>
    <w:rsid w:val="22D52DCF"/>
    <w:rsid w:val="230F3C1C"/>
    <w:rsid w:val="23173330"/>
    <w:rsid w:val="23287AA7"/>
    <w:rsid w:val="23305F0F"/>
    <w:rsid w:val="23357659"/>
    <w:rsid w:val="233905CD"/>
    <w:rsid w:val="235718E1"/>
    <w:rsid w:val="23616034"/>
    <w:rsid w:val="23694959"/>
    <w:rsid w:val="236C4F12"/>
    <w:rsid w:val="237E4C0E"/>
    <w:rsid w:val="23925F3C"/>
    <w:rsid w:val="239B7E76"/>
    <w:rsid w:val="23A4229C"/>
    <w:rsid w:val="23AE55A9"/>
    <w:rsid w:val="23B118CE"/>
    <w:rsid w:val="23B6003B"/>
    <w:rsid w:val="23B80D83"/>
    <w:rsid w:val="23E6337C"/>
    <w:rsid w:val="23F36F4D"/>
    <w:rsid w:val="23F46D82"/>
    <w:rsid w:val="24034D8D"/>
    <w:rsid w:val="24296431"/>
    <w:rsid w:val="24316E6F"/>
    <w:rsid w:val="24340869"/>
    <w:rsid w:val="24565C74"/>
    <w:rsid w:val="246117FE"/>
    <w:rsid w:val="24631FE8"/>
    <w:rsid w:val="24680378"/>
    <w:rsid w:val="246F2E99"/>
    <w:rsid w:val="246F652F"/>
    <w:rsid w:val="24913210"/>
    <w:rsid w:val="249B7324"/>
    <w:rsid w:val="24C8071E"/>
    <w:rsid w:val="24C91FF8"/>
    <w:rsid w:val="24D01D21"/>
    <w:rsid w:val="24D22D5D"/>
    <w:rsid w:val="24EA59AA"/>
    <w:rsid w:val="24FE13C2"/>
    <w:rsid w:val="251B6945"/>
    <w:rsid w:val="251F5695"/>
    <w:rsid w:val="252140E8"/>
    <w:rsid w:val="25230953"/>
    <w:rsid w:val="252C0FEC"/>
    <w:rsid w:val="254870C0"/>
    <w:rsid w:val="254A4A2E"/>
    <w:rsid w:val="25551B8C"/>
    <w:rsid w:val="2555250E"/>
    <w:rsid w:val="25595001"/>
    <w:rsid w:val="25657932"/>
    <w:rsid w:val="25661A5A"/>
    <w:rsid w:val="25690ABE"/>
    <w:rsid w:val="25996888"/>
    <w:rsid w:val="259B6168"/>
    <w:rsid w:val="259F79AE"/>
    <w:rsid w:val="25A01A43"/>
    <w:rsid w:val="25BF42A8"/>
    <w:rsid w:val="25CB4857"/>
    <w:rsid w:val="25CC59DE"/>
    <w:rsid w:val="25D83187"/>
    <w:rsid w:val="25D907CC"/>
    <w:rsid w:val="25E655C8"/>
    <w:rsid w:val="26045771"/>
    <w:rsid w:val="26196CB2"/>
    <w:rsid w:val="263C3E80"/>
    <w:rsid w:val="265A6D6B"/>
    <w:rsid w:val="265C3D4D"/>
    <w:rsid w:val="26753D2C"/>
    <w:rsid w:val="267611D3"/>
    <w:rsid w:val="26835127"/>
    <w:rsid w:val="268E4BBA"/>
    <w:rsid w:val="26A257DB"/>
    <w:rsid w:val="26B90F8E"/>
    <w:rsid w:val="26C05A32"/>
    <w:rsid w:val="26C54E27"/>
    <w:rsid w:val="26CC3C07"/>
    <w:rsid w:val="26DE7854"/>
    <w:rsid w:val="26E70BC5"/>
    <w:rsid w:val="27062C4A"/>
    <w:rsid w:val="27074D3E"/>
    <w:rsid w:val="271116DB"/>
    <w:rsid w:val="27113F6C"/>
    <w:rsid w:val="271A51DA"/>
    <w:rsid w:val="27254946"/>
    <w:rsid w:val="274A08FC"/>
    <w:rsid w:val="274C764E"/>
    <w:rsid w:val="2756302F"/>
    <w:rsid w:val="276026EB"/>
    <w:rsid w:val="276250D7"/>
    <w:rsid w:val="27632DDC"/>
    <w:rsid w:val="2772471C"/>
    <w:rsid w:val="278664F1"/>
    <w:rsid w:val="2789575F"/>
    <w:rsid w:val="27A74434"/>
    <w:rsid w:val="27AE734E"/>
    <w:rsid w:val="27B23F45"/>
    <w:rsid w:val="27B85561"/>
    <w:rsid w:val="27BC3987"/>
    <w:rsid w:val="27BD611A"/>
    <w:rsid w:val="27C71330"/>
    <w:rsid w:val="27E269CB"/>
    <w:rsid w:val="27E91A8C"/>
    <w:rsid w:val="27EC7DE5"/>
    <w:rsid w:val="28013A27"/>
    <w:rsid w:val="280D0EB8"/>
    <w:rsid w:val="28126C32"/>
    <w:rsid w:val="282D1E68"/>
    <w:rsid w:val="283137EF"/>
    <w:rsid w:val="28574C9E"/>
    <w:rsid w:val="287439A8"/>
    <w:rsid w:val="287823EF"/>
    <w:rsid w:val="287A594C"/>
    <w:rsid w:val="28864F06"/>
    <w:rsid w:val="288E24C6"/>
    <w:rsid w:val="289567A3"/>
    <w:rsid w:val="28A120BA"/>
    <w:rsid w:val="28A526C6"/>
    <w:rsid w:val="28A74DCB"/>
    <w:rsid w:val="28B77749"/>
    <w:rsid w:val="28C73484"/>
    <w:rsid w:val="28D53B72"/>
    <w:rsid w:val="28EF1B17"/>
    <w:rsid w:val="29010E8F"/>
    <w:rsid w:val="29030E83"/>
    <w:rsid w:val="29175D2F"/>
    <w:rsid w:val="29226060"/>
    <w:rsid w:val="29467103"/>
    <w:rsid w:val="294A3E5A"/>
    <w:rsid w:val="29583A9F"/>
    <w:rsid w:val="29702606"/>
    <w:rsid w:val="298B3C64"/>
    <w:rsid w:val="29956E43"/>
    <w:rsid w:val="29982FE8"/>
    <w:rsid w:val="299B61C1"/>
    <w:rsid w:val="29A43C12"/>
    <w:rsid w:val="29AA7CF7"/>
    <w:rsid w:val="29B5574C"/>
    <w:rsid w:val="29B8457E"/>
    <w:rsid w:val="29BD744E"/>
    <w:rsid w:val="29C954AC"/>
    <w:rsid w:val="29D43999"/>
    <w:rsid w:val="29D65CF5"/>
    <w:rsid w:val="29E03A2B"/>
    <w:rsid w:val="2A19034C"/>
    <w:rsid w:val="2A386EBD"/>
    <w:rsid w:val="2A4C1250"/>
    <w:rsid w:val="2A58670E"/>
    <w:rsid w:val="2A5B4E7F"/>
    <w:rsid w:val="2A5D212B"/>
    <w:rsid w:val="2A6E0E4E"/>
    <w:rsid w:val="2A7108CA"/>
    <w:rsid w:val="2A7A6E34"/>
    <w:rsid w:val="2A846AAC"/>
    <w:rsid w:val="2A904695"/>
    <w:rsid w:val="2AA147F9"/>
    <w:rsid w:val="2AA50BDA"/>
    <w:rsid w:val="2ABA0D7B"/>
    <w:rsid w:val="2AC564FC"/>
    <w:rsid w:val="2ADA4DFF"/>
    <w:rsid w:val="2AE150F8"/>
    <w:rsid w:val="2AF46D91"/>
    <w:rsid w:val="2AF86B85"/>
    <w:rsid w:val="2AFC41F1"/>
    <w:rsid w:val="2B011FE4"/>
    <w:rsid w:val="2B0702E2"/>
    <w:rsid w:val="2B5D39BA"/>
    <w:rsid w:val="2B635D2B"/>
    <w:rsid w:val="2B6D1A08"/>
    <w:rsid w:val="2B753C76"/>
    <w:rsid w:val="2B785630"/>
    <w:rsid w:val="2B793974"/>
    <w:rsid w:val="2B86355C"/>
    <w:rsid w:val="2BB7608B"/>
    <w:rsid w:val="2BC41B44"/>
    <w:rsid w:val="2BCC4805"/>
    <w:rsid w:val="2BDE14EC"/>
    <w:rsid w:val="2BEA5A56"/>
    <w:rsid w:val="2BF84D8E"/>
    <w:rsid w:val="2C033ABC"/>
    <w:rsid w:val="2C034AC1"/>
    <w:rsid w:val="2C047B3A"/>
    <w:rsid w:val="2C1305B1"/>
    <w:rsid w:val="2C1758CF"/>
    <w:rsid w:val="2C1A354E"/>
    <w:rsid w:val="2C1F3B79"/>
    <w:rsid w:val="2C271951"/>
    <w:rsid w:val="2C452B2D"/>
    <w:rsid w:val="2C492C36"/>
    <w:rsid w:val="2C557053"/>
    <w:rsid w:val="2C60237D"/>
    <w:rsid w:val="2C6A57CD"/>
    <w:rsid w:val="2C6D71F8"/>
    <w:rsid w:val="2C6E6FCD"/>
    <w:rsid w:val="2C72135B"/>
    <w:rsid w:val="2C83572D"/>
    <w:rsid w:val="2C8B5E21"/>
    <w:rsid w:val="2C8B6CA4"/>
    <w:rsid w:val="2C8C5A7E"/>
    <w:rsid w:val="2C8D55AD"/>
    <w:rsid w:val="2C9248BA"/>
    <w:rsid w:val="2CB47549"/>
    <w:rsid w:val="2CBE3246"/>
    <w:rsid w:val="2CBF3DCB"/>
    <w:rsid w:val="2CC802D9"/>
    <w:rsid w:val="2CDF4F09"/>
    <w:rsid w:val="2CE27524"/>
    <w:rsid w:val="2CEB0142"/>
    <w:rsid w:val="2CF320D2"/>
    <w:rsid w:val="2CF83F53"/>
    <w:rsid w:val="2D0460BD"/>
    <w:rsid w:val="2D1E33D5"/>
    <w:rsid w:val="2D271B8F"/>
    <w:rsid w:val="2D336006"/>
    <w:rsid w:val="2D4935AD"/>
    <w:rsid w:val="2DA26D95"/>
    <w:rsid w:val="2DA413CA"/>
    <w:rsid w:val="2DA56EB7"/>
    <w:rsid w:val="2DC05192"/>
    <w:rsid w:val="2DE805FC"/>
    <w:rsid w:val="2DF53BEC"/>
    <w:rsid w:val="2DF964A0"/>
    <w:rsid w:val="2E095D5C"/>
    <w:rsid w:val="2E0C6F3E"/>
    <w:rsid w:val="2E0F2B6F"/>
    <w:rsid w:val="2E1977B8"/>
    <w:rsid w:val="2E2200F6"/>
    <w:rsid w:val="2E3C0D78"/>
    <w:rsid w:val="2E411BEF"/>
    <w:rsid w:val="2E516CA5"/>
    <w:rsid w:val="2E570AA3"/>
    <w:rsid w:val="2E594CED"/>
    <w:rsid w:val="2E7B61FD"/>
    <w:rsid w:val="2E7F48C7"/>
    <w:rsid w:val="2E883F4F"/>
    <w:rsid w:val="2E8E7EF9"/>
    <w:rsid w:val="2E9818BC"/>
    <w:rsid w:val="2E995B75"/>
    <w:rsid w:val="2E9A38AB"/>
    <w:rsid w:val="2E9F7ACE"/>
    <w:rsid w:val="2EA035D3"/>
    <w:rsid w:val="2EB00084"/>
    <w:rsid w:val="2EB060C2"/>
    <w:rsid w:val="2EBC0113"/>
    <w:rsid w:val="2EBC74B9"/>
    <w:rsid w:val="2EC15360"/>
    <w:rsid w:val="2EC974E3"/>
    <w:rsid w:val="2ED7075B"/>
    <w:rsid w:val="2EFE397A"/>
    <w:rsid w:val="2F000491"/>
    <w:rsid w:val="2F0050ED"/>
    <w:rsid w:val="2F0322BF"/>
    <w:rsid w:val="2F1D4987"/>
    <w:rsid w:val="2F397E65"/>
    <w:rsid w:val="2F5000A2"/>
    <w:rsid w:val="2F540C31"/>
    <w:rsid w:val="2F574071"/>
    <w:rsid w:val="2F5E2555"/>
    <w:rsid w:val="2F5E3090"/>
    <w:rsid w:val="2F6B2E0E"/>
    <w:rsid w:val="2F6E14A3"/>
    <w:rsid w:val="2F9835CF"/>
    <w:rsid w:val="2FB151D3"/>
    <w:rsid w:val="2FB944E5"/>
    <w:rsid w:val="2FC871E6"/>
    <w:rsid w:val="2FDC472D"/>
    <w:rsid w:val="2FDE5F50"/>
    <w:rsid w:val="2FEC4EBA"/>
    <w:rsid w:val="2FEE3B1C"/>
    <w:rsid w:val="300D33B1"/>
    <w:rsid w:val="300E7796"/>
    <w:rsid w:val="301E5143"/>
    <w:rsid w:val="302C3DCE"/>
    <w:rsid w:val="303E1D0E"/>
    <w:rsid w:val="30424964"/>
    <w:rsid w:val="30576568"/>
    <w:rsid w:val="30600A3A"/>
    <w:rsid w:val="30695D27"/>
    <w:rsid w:val="309A44F4"/>
    <w:rsid w:val="309C57CB"/>
    <w:rsid w:val="30A309C3"/>
    <w:rsid w:val="30B059A2"/>
    <w:rsid w:val="30B67543"/>
    <w:rsid w:val="30B77036"/>
    <w:rsid w:val="30BA3015"/>
    <w:rsid w:val="310137B1"/>
    <w:rsid w:val="3106476B"/>
    <w:rsid w:val="31102DE7"/>
    <w:rsid w:val="31295F61"/>
    <w:rsid w:val="31323F94"/>
    <w:rsid w:val="313E524F"/>
    <w:rsid w:val="3154270A"/>
    <w:rsid w:val="315A64D4"/>
    <w:rsid w:val="31607574"/>
    <w:rsid w:val="31671616"/>
    <w:rsid w:val="3189428A"/>
    <w:rsid w:val="318D37BB"/>
    <w:rsid w:val="31973A57"/>
    <w:rsid w:val="31983637"/>
    <w:rsid w:val="31A04336"/>
    <w:rsid w:val="31AE341C"/>
    <w:rsid w:val="31B22405"/>
    <w:rsid w:val="31B30043"/>
    <w:rsid w:val="31B64C69"/>
    <w:rsid w:val="31B82294"/>
    <w:rsid w:val="31BF264E"/>
    <w:rsid w:val="31C262F6"/>
    <w:rsid w:val="31C75D39"/>
    <w:rsid w:val="31D9148B"/>
    <w:rsid w:val="31DA0183"/>
    <w:rsid w:val="31E10BE3"/>
    <w:rsid w:val="31EA1749"/>
    <w:rsid w:val="31FD1227"/>
    <w:rsid w:val="320A243D"/>
    <w:rsid w:val="32191252"/>
    <w:rsid w:val="32494863"/>
    <w:rsid w:val="32495110"/>
    <w:rsid w:val="325D07E4"/>
    <w:rsid w:val="32682E98"/>
    <w:rsid w:val="327556FE"/>
    <w:rsid w:val="32884F63"/>
    <w:rsid w:val="328A49FA"/>
    <w:rsid w:val="32A0085F"/>
    <w:rsid w:val="32A12652"/>
    <w:rsid w:val="32B73DE5"/>
    <w:rsid w:val="32BE200C"/>
    <w:rsid w:val="32C56718"/>
    <w:rsid w:val="32E419E9"/>
    <w:rsid w:val="32EA5881"/>
    <w:rsid w:val="32ED0BAC"/>
    <w:rsid w:val="32F73699"/>
    <w:rsid w:val="32F75A72"/>
    <w:rsid w:val="33010417"/>
    <w:rsid w:val="330B57AE"/>
    <w:rsid w:val="33160B51"/>
    <w:rsid w:val="33174961"/>
    <w:rsid w:val="33260492"/>
    <w:rsid w:val="332A12B8"/>
    <w:rsid w:val="33304E4D"/>
    <w:rsid w:val="333155AA"/>
    <w:rsid w:val="33444067"/>
    <w:rsid w:val="334D06E6"/>
    <w:rsid w:val="33560AA5"/>
    <w:rsid w:val="33A2330C"/>
    <w:rsid w:val="33AA3D46"/>
    <w:rsid w:val="33AA7294"/>
    <w:rsid w:val="33AB4C42"/>
    <w:rsid w:val="33B57D19"/>
    <w:rsid w:val="33C55A7A"/>
    <w:rsid w:val="33EA7F6D"/>
    <w:rsid w:val="33EF0E80"/>
    <w:rsid w:val="33F2465D"/>
    <w:rsid w:val="33F455F9"/>
    <w:rsid w:val="33F92E29"/>
    <w:rsid w:val="34056924"/>
    <w:rsid w:val="341A5E32"/>
    <w:rsid w:val="34385041"/>
    <w:rsid w:val="34442C19"/>
    <w:rsid w:val="344472CD"/>
    <w:rsid w:val="345327B1"/>
    <w:rsid w:val="346511A8"/>
    <w:rsid w:val="347A77AC"/>
    <w:rsid w:val="34825E5D"/>
    <w:rsid w:val="34877CE8"/>
    <w:rsid w:val="34A769E4"/>
    <w:rsid w:val="34A94D04"/>
    <w:rsid w:val="34B0402D"/>
    <w:rsid w:val="34B9357A"/>
    <w:rsid w:val="34CA38A2"/>
    <w:rsid w:val="34CD29A6"/>
    <w:rsid w:val="34CD7521"/>
    <w:rsid w:val="34EB1C02"/>
    <w:rsid w:val="34EC124D"/>
    <w:rsid w:val="34F55E2F"/>
    <w:rsid w:val="34F713E3"/>
    <w:rsid w:val="3502519D"/>
    <w:rsid w:val="35105594"/>
    <w:rsid w:val="35292FF1"/>
    <w:rsid w:val="35327B80"/>
    <w:rsid w:val="35394C91"/>
    <w:rsid w:val="35515F95"/>
    <w:rsid w:val="35543640"/>
    <w:rsid w:val="3561044A"/>
    <w:rsid w:val="35623B07"/>
    <w:rsid w:val="359F2ED6"/>
    <w:rsid w:val="35A235B9"/>
    <w:rsid w:val="35A564CA"/>
    <w:rsid w:val="35A61997"/>
    <w:rsid w:val="35A86BDE"/>
    <w:rsid w:val="35B00899"/>
    <w:rsid w:val="35B56676"/>
    <w:rsid w:val="35BF4704"/>
    <w:rsid w:val="35C215F3"/>
    <w:rsid w:val="35D43977"/>
    <w:rsid w:val="35E13599"/>
    <w:rsid w:val="360416D1"/>
    <w:rsid w:val="36043EF2"/>
    <w:rsid w:val="360945C3"/>
    <w:rsid w:val="361F1924"/>
    <w:rsid w:val="363D550A"/>
    <w:rsid w:val="363F5B8C"/>
    <w:rsid w:val="36411A34"/>
    <w:rsid w:val="36420F4B"/>
    <w:rsid w:val="364C34D5"/>
    <w:rsid w:val="3650452F"/>
    <w:rsid w:val="36543066"/>
    <w:rsid w:val="36552BC1"/>
    <w:rsid w:val="36565AF9"/>
    <w:rsid w:val="365D7E36"/>
    <w:rsid w:val="36743964"/>
    <w:rsid w:val="36760927"/>
    <w:rsid w:val="368C04FF"/>
    <w:rsid w:val="3692120B"/>
    <w:rsid w:val="36C16F69"/>
    <w:rsid w:val="36E8025C"/>
    <w:rsid w:val="36EB13E7"/>
    <w:rsid w:val="36ED061B"/>
    <w:rsid w:val="371D7C59"/>
    <w:rsid w:val="371F2C21"/>
    <w:rsid w:val="37386315"/>
    <w:rsid w:val="373966BF"/>
    <w:rsid w:val="37550392"/>
    <w:rsid w:val="376B6698"/>
    <w:rsid w:val="3784033C"/>
    <w:rsid w:val="37873001"/>
    <w:rsid w:val="37881941"/>
    <w:rsid w:val="37893954"/>
    <w:rsid w:val="37AD19A5"/>
    <w:rsid w:val="37AD4051"/>
    <w:rsid w:val="37AE2C70"/>
    <w:rsid w:val="37AE3D4F"/>
    <w:rsid w:val="37D77088"/>
    <w:rsid w:val="37DE75A6"/>
    <w:rsid w:val="37E45736"/>
    <w:rsid w:val="37EF21FA"/>
    <w:rsid w:val="380D1DF8"/>
    <w:rsid w:val="38177104"/>
    <w:rsid w:val="38343CF8"/>
    <w:rsid w:val="383C1156"/>
    <w:rsid w:val="38511657"/>
    <w:rsid w:val="38573E77"/>
    <w:rsid w:val="38851852"/>
    <w:rsid w:val="38855EC9"/>
    <w:rsid w:val="388B6152"/>
    <w:rsid w:val="38B251EF"/>
    <w:rsid w:val="38B94B3B"/>
    <w:rsid w:val="38C4306E"/>
    <w:rsid w:val="38CD6301"/>
    <w:rsid w:val="38D52C5C"/>
    <w:rsid w:val="38DF0452"/>
    <w:rsid w:val="38EF420E"/>
    <w:rsid w:val="38FB1D5E"/>
    <w:rsid w:val="38FB582C"/>
    <w:rsid w:val="38FF2E1A"/>
    <w:rsid w:val="390013A5"/>
    <w:rsid w:val="390C5C90"/>
    <w:rsid w:val="3915321F"/>
    <w:rsid w:val="3922354B"/>
    <w:rsid w:val="39261DF9"/>
    <w:rsid w:val="39380364"/>
    <w:rsid w:val="39614166"/>
    <w:rsid w:val="398D796F"/>
    <w:rsid w:val="399145CA"/>
    <w:rsid w:val="39970FB4"/>
    <w:rsid w:val="399A3A79"/>
    <w:rsid w:val="39A51CE0"/>
    <w:rsid w:val="39A65D00"/>
    <w:rsid w:val="39B027BA"/>
    <w:rsid w:val="39B723E4"/>
    <w:rsid w:val="39C50DE6"/>
    <w:rsid w:val="39CB7A87"/>
    <w:rsid w:val="39FC7488"/>
    <w:rsid w:val="3A011023"/>
    <w:rsid w:val="3A0B3E07"/>
    <w:rsid w:val="3A14138F"/>
    <w:rsid w:val="3A4701AF"/>
    <w:rsid w:val="3A527966"/>
    <w:rsid w:val="3A581FA4"/>
    <w:rsid w:val="3A616393"/>
    <w:rsid w:val="3A6C67A5"/>
    <w:rsid w:val="3AD3124F"/>
    <w:rsid w:val="3AFA227D"/>
    <w:rsid w:val="3B074C1B"/>
    <w:rsid w:val="3B10564F"/>
    <w:rsid w:val="3B173BFD"/>
    <w:rsid w:val="3B1D03BA"/>
    <w:rsid w:val="3B36176B"/>
    <w:rsid w:val="3B387052"/>
    <w:rsid w:val="3B3E4F61"/>
    <w:rsid w:val="3B457FCA"/>
    <w:rsid w:val="3B5A188F"/>
    <w:rsid w:val="3B662BC0"/>
    <w:rsid w:val="3B664C36"/>
    <w:rsid w:val="3B6A75F8"/>
    <w:rsid w:val="3B7D6F6A"/>
    <w:rsid w:val="3B7F30A4"/>
    <w:rsid w:val="3B8D5A02"/>
    <w:rsid w:val="3B9725CA"/>
    <w:rsid w:val="3BA672A9"/>
    <w:rsid w:val="3BB3668C"/>
    <w:rsid w:val="3BC51E5E"/>
    <w:rsid w:val="3BC81B99"/>
    <w:rsid w:val="3BD176FB"/>
    <w:rsid w:val="3BDA4E48"/>
    <w:rsid w:val="3BE24B60"/>
    <w:rsid w:val="3C005505"/>
    <w:rsid w:val="3C0F3747"/>
    <w:rsid w:val="3C0F6E42"/>
    <w:rsid w:val="3C13580F"/>
    <w:rsid w:val="3C177613"/>
    <w:rsid w:val="3C2900DB"/>
    <w:rsid w:val="3C2F42C7"/>
    <w:rsid w:val="3C385639"/>
    <w:rsid w:val="3C3A59BA"/>
    <w:rsid w:val="3C434BD1"/>
    <w:rsid w:val="3C4A49AD"/>
    <w:rsid w:val="3C511290"/>
    <w:rsid w:val="3C734CC5"/>
    <w:rsid w:val="3C8D47B1"/>
    <w:rsid w:val="3CA7096C"/>
    <w:rsid w:val="3CAE0A5F"/>
    <w:rsid w:val="3CB61674"/>
    <w:rsid w:val="3CBA14E0"/>
    <w:rsid w:val="3CBA4266"/>
    <w:rsid w:val="3CD2281C"/>
    <w:rsid w:val="3CEE1FB3"/>
    <w:rsid w:val="3CF8576A"/>
    <w:rsid w:val="3CFF4D03"/>
    <w:rsid w:val="3D08650E"/>
    <w:rsid w:val="3D1D679D"/>
    <w:rsid w:val="3D353732"/>
    <w:rsid w:val="3D482113"/>
    <w:rsid w:val="3D5237A1"/>
    <w:rsid w:val="3D695658"/>
    <w:rsid w:val="3D6C1CB7"/>
    <w:rsid w:val="3D7048F2"/>
    <w:rsid w:val="3D74592B"/>
    <w:rsid w:val="3D760D32"/>
    <w:rsid w:val="3D8262BA"/>
    <w:rsid w:val="3D897263"/>
    <w:rsid w:val="3DD45235"/>
    <w:rsid w:val="3DE95026"/>
    <w:rsid w:val="3DEA5B44"/>
    <w:rsid w:val="3DF81119"/>
    <w:rsid w:val="3DFE00AC"/>
    <w:rsid w:val="3E0006CE"/>
    <w:rsid w:val="3E0223A7"/>
    <w:rsid w:val="3E117CD5"/>
    <w:rsid w:val="3E162874"/>
    <w:rsid w:val="3E2823FC"/>
    <w:rsid w:val="3E3667C6"/>
    <w:rsid w:val="3E4501C0"/>
    <w:rsid w:val="3E4E515B"/>
    <w:rsid w:val="3E6BB673"/>
    <w:rsid w:val="3E750542"/>
    <w:rsid w:val="3E8566C7"/>
    <w:rsid w:val="3E8F0CD4"/>
    <w:rsid w:val="3EA411C3"/>
    <w:rsid w:val="3EB97976"/>
    <w:rsid w:val="3EC06511"/>
    <w:rsid w:val="3EC86A2B"/>
    <w:rsid w:val="3ECA3DB3"/>
    <w:rsid w:val="3ECC5C19"/>
    <w:rsid w:val="3ECD49ED"/>
    <w:rsid w:val="3ED02D59"/>
    <w:rsid w:val="3ED16010"/>
    <w:rsid w:val="3ED94336"/>
    <w:rsid w:val="3EDE6AE7"/>
    <w:rsid w:val="3EE43DF4"/>
    <w:rsid w:val="3EF577E2"/>
    <w:rsid w:val="3EFD5398"/>
    <w:rsid w:val="3F1039ED"/>
    <w:rsid w:val="3F1228ED"/>
    <w:rsid w:val="3F333A22"/>
    <w:rsid w:val="3F417614"/>
    <w:rsid w:val="3F59568A"/>
    <w:rsid w:val="3F6842F2"/>
    <w:rsid w:val="3F6B4F2C"/>
    <w:rsid w:val="3F77070A"/>
    <w:rsid w:val="3F797999"/>
    <w:rsid w:val="3F846153"/>
    <w:rsid w:val="3F877B3E"/>
    <w:rsid w:val="3FB97A7C"/>
    <w:rsid w:val="3FBE4111"/>
    <w:rsid w:val="3FC7C282"/>
    <w:rsid w:val="3FDD5EE3"/>
    <w:rsid w:val="3FE54875"/>
    <w:rsid w:val="3FEA4EC1"/>
    <w:rsid w:val="3FF913F8"/>
    <w:rsid w:val="3FF951A1"/>
    <w:rsid w:val="402079EC"/>
    <w:rsid w:val="4024246B"/>
    <w:rsid w:val="40380746"/>
    <w:rsid w:val="403A3A3D"/>
    <w:rsid w:val="40403FAF"/>
    <w:rsid w:val="40465640"/>
    <w:rsid w:val="4061642F"/>
    <w:rsid w:val="406C5052"/>
    <w:rsid w:val="4071077E"/>
    <w:rsid w:val="4075728F"/>
    <w:rsid w:val="40857C93"/>
    <w:rsid w:val="409022B4"/>
    <w:rsid w:val="40986D02"/>
    <w:rsid w:val="40A23CC4"/>
    <w:rsid w:val="40CA3AF7"/>
    <w:rsid w:val="40D64733"/>
    <w:rsid w:val="40D77348"/>
    <w:rsid w:val="40E0015D"/>
    <w:rsid w:val="40E859D9"/>
    <w:rsid w:val="40EA717A"/>
    <w:rsid w:val="40ED7524"/>
    <w:rsid w:val="40F305CF"/>
    <w:rsid w:val="41063807"/>
    <w:rsid w:val="410D5848"/>
    <w:rsid w:val="4121689F"/>
    <w:rsid w:val="41302438"/>
    <w:rsid w:val="4132477C"/>
    <w:rsid w:val="41347F62"/>
    <w:rsid w:val="41373AA9"/>
    <w:rsid w:val="415D4EF9"/>
    <w:rsid w:val="415E01D3"/>
    <w:rsid w:val="416A48C8"/>
    <w:rsid w:val="41765BEF"/>
    <w:rsid w:val="417D7544"/>
    <w:rsid w:val="41836E09"/>
    <w:rsid w:val="418732F8"/>
    <w:rsid w:val="41915C07"/>
    <w:rsid w:val="419D25D7"/>
    <w:rsid w:val="419E0E65"/>
    <w:rsid w:val="41BD7E87"/>
    <w:rsid w:val="41CF16CA"/>
    <w:rsid w:val="41DF5A9C"/>
    <w:rsid w:val="41F07F56"/>
    <w:rsid w:val="41FA6B62"/>
    <w:rsid w:val="41FC26E4"/>
    <w:rsid w:val="4206132D"/>
    <w:rsid w:val="421E2360"/>
    <w:rsid w:val="422159F0"/>
    <w:rsid w:val="422E2E99"/>
    <w:rsid w:val="422E73E6"/>
    <w:rsid w:val="42313CAB"/>
    <w:rsid w:val="425E5134"/>
    <w:rsid w:val="427916F6"/>
    <w:rsid w:val="42842DCA"/>
    <w:rsid w:val="428C3511"/>
    <w:rsid w:val="42947140"/>
    <w:rsid w:val="429E6289"/>
    <w:rsid w:val="42BB04D5"/>
    <w:rsid w:val="42BF1F59"/>
    <w:rsid w:val="42C137D3"/>
    <w:rsid w:val="42D431E7"/>
    <w:rsid w:val="42DD3C7C"/>
    <w:rsid w:val="42E06D3F"/>
    <w:rsid w:val="42E47497"/>
    <w:rsid w:val="42EB703C"/>
    <w:rsid w:val="42EC78E6"/>
    <w:rsid w:val="42F44809"/>
    <w:rsid w:val="42F6791F"/>
    <w:rsid w:val="43105D77"/>
    <w:rsid w:val="4311783D"/>
    <w:rsid w:val="431A0A7B"/>
    <w:rsid w:val="432604B9"/>
    <w:rsid w:val="434F5A51"/>
    <w:rsid w:val="436F4138"/>
    <w:rsid w:val="4376192C"/>
    <w:rsid w:val="43825D5B"/>
    <w:rsid w:val="43826334"/>
    <w:rsid w:val="438274D6"/>
    <w:rsid w:val="43A11C8B"/>
    <w:rsid w:val="43A63197"/>
    <w:rsid w:val="43AE09CA"/>
    <w:rsid w:val="43CA7F97"/>
    <w:rsid w:val="43D527A2"/>
    <w:rsid w:val="43E443EC"/>
    <w:rsid w:val="43E5117C"/>
    <w:rsid w:val="43E75C8A"/>
    <w:rsid w:val="43EF46DE"/>
    <w:rsid w:val="441F0428"/>
    <w:rsid w:val="44316DCA"/>
    <w:rsid w:val="4451500F"/>
    <w:rsid w:val="44567BE7"/>
    <w:rsid w:val="445A043F"/>
    <w:rsid w:val="445A645C"/>
    <w:rsid w:val="445D1C18"/>
    <w:rsid w:val="44686728"/>
    <w:rsid w:val="448630B3"/>
    <w:rsid w:val="448B156B"/>
    <w:rsid w:val="448D21B3"/>
    <w:rsid w:val="44B46CE9"/>
    <w:rsid w:val="44B622C6"/>
    <w:rsid w:val="44C1122D"/>
    <w:rsid w:val="44CB1108"/>
    <w:rsid w:val="44DB3BAD"/>
    <w:rsid w:val="44EF7556"/>
    <w:rsid w:val="45073435"/>
    <w:rsid w:val="45117EC4"/>
    <w:rsid w:val="45161D33"/>
    <w:rsid w:val="452269D1"/>
    <w:rsid w:val="452913B3"/>
    <w:rsid w:val="454C27BA"/>
    <w:rsid w:val="454E4D92"/>
    <w:rsid w:val="45521D98"/>
    <w:rsid w:val="455519C6"/>
    <w:rsid w:val="459021C4"/>
    <w:rsid w:val="45982CA1"/>
    <w:rsid w:val="45A603D9"/>
    <w:rsid w:val="45B1654F"/>
    <w:rsid w:val="45D33AEA"/>
    <w:rsid w:val="45D945AF"/>
    <w:rsid w:val="45D9497A"/>
    <w:rsid w:val="45DC6E49"/>
    <w:rsid w:val="45E3750C"/>
    <w:rsid w:val="45E72D80"/>
    <w:rsid w:val="45E73807"/>
    <w:rsid w:val="45F22D41"/>
    <w:rsid w:val="460923E7"/>
    <w:rsid w:val="46267B8D"/>
    <w:rsid w:val="46296CFD"/>
    <w:rsid w:val="464E3D9E"/>
    <w:rsid w:val="4672561E"/>
    <w:rsid w:val="46813229"/>
    <w:rsid w:val="46832CE2"/>
    <w:rsid w:val="46886B3E"/>
    <w:rsid w:val="469F5BC1"/>
    <w:rsid w:val="46A86972"/>
    <w:rsid w:val="46B12A0C"/>
    <w:rsid w:val="46B22AFA"/>
    <w:rsid w:val="46B31897"/>
    <w:rsid w:val="46BF4928"/>
    <w:rsid w:val="46C430AB"/>
    <w:rsid w:val="46E75FA1"/>
    <w:rsid w:val="46EB5A91"/>
    <w:rsid w:val="46EE50CD"/>
    <w:rsid w:val="47095803"/>
    <w:rsid w:val="47141B39"/>
    <w:rsid w:val="47200D37"/>
    <w:rsid w:val="47215D02"/>
    <w:rsid w:val="472D14AC"/>
    <w:rsid w:val="47370ABA"/>
    <w:rsid w:val="474F47DA"/>
    <w:rsid w:val="475C05A1"/>
    <w:rsid w:val="47621DD1"/>
    <w:rsid w:val="47672A3E"/>
    <w:rsid w:val="47711B0E"/>
    <w:rsid w:val="477B1305"/>
    <w:rsid w:val="4790353E"/>
    <w:rsid w:val="4794500D"/>
    <w:rsid w:val="4797719D"/>
    <w:rsid w:val="47A002F6"/>
    <w:rsid w:val="47B90B7F"/>
    <w:rsid w:val="47C57F01"/>
    <w:rsid w:val="47E45A99"/>
    <w:rsid w:val="47F907C5"/>
    <w:rsid w:val="480C0168"/>
    <w:rsid w:val="480D0453"/>
    <w:rsid w:val="48274B6C"/>
    <w:rsid w:val="48310949"/>
    <w:rsid w:val="483551AB"/>
    <w:rsid w:val="483D22CC"/>
    <w:rsid w:val="486B00BB"/>
    <w:rsid w:val="488127A7"/>
    <w:rsid w:val="48991076"/>
    <w:rsid w:val="489B0AD4"/>
    <w:rsid w:val="489C0E7C"/>
    <w:rsid w:val="48C22C2E"/>
    <w:rsid w:val="48C5646E"/>
    <w:rsid w:val="48D662CD"/>
    <w:rsid w:val="48E15FB7"/>
    <w:rsid w:val="490F06E0"/>
    <w:rsid w:val="49112F05"/>
    <w:rsid w:val="49255DFC"/>
    <w:rsid w:val="492C2F96"/>
    <w:rsid w:val="493F20C4"/>
    <w:rsid w:val="49447356"/>
    <w:rsid w:val="494576F1"/>
    <w:rsid w:val="494C493D"/>
    <w:rsid w:val="49570857"/>
    <w:rsid w:val="496B42DA"/>
    <w:rsid w:val="49777D4C"/>
    <w:rsid w:val="49831760"/>
    <w:rsid w:val="498755F1"/>
    <w:rsid w:val="49881965"/>
    <w:rsid w:val="498979C8"/>
    <w:rsid w:val="498F3A3D"/>
    <w:rsid w:val="49A21823"/>
    <w:rsid w:val="49A27191"/>
    <w:rsid w:val="49A642F4"/>
    <w:rsid w:val="49A935D9"/>
    <w:rsid w:val="49C97224"/>
    <w:rsid w:val="49E26DC6"/>
    <w:rsid w:val="49FC1D3A"/>
    <w:rsid w:val="49FC288D"/>
    <w:rsid w:val="4A11777F"/>
    <w:rsid w:val="4A161077"/>
    <w:rsid w:val="4A317D5F"/>
    <w:rsid w:val="4A4B730C"/>
    <w:rsid w:val="4A4F5B0A"/>
    <w:rsid w:val="4A50523D"/>
    <w:rsid w:val="4A5E0308"/>
    <w:rsid w:val="4A6B6A74"/>
    <w:rsid w:val="4A776CD1"/>
    <w:rsid w:val="4A7E3750"/>
    <w:rsid w:val="4A806DBF"/>
    <w:rsid w:val="4AA002B4"/>
    <w:rsid w:val="4AA065F5"/>
    <w:rsid w:val="4AB23C03"/>
    <w:rsid w:val="4ABD4294"/>
    <w:rsid w:val="4ACA3C0F"/>
    <w:rsid w:val="4ACD23D6"/>
    <w:rsid w:val="4AD15731"/>
    <w:rsid w:val="4AD16930"/>
    <w:rsid w:val="4AD62DA1"/>
    <w:rsid w:val="4AE276BC"/>
    <w:rsid w:val="4AF6508E"/>
    <w:rsid w:val="4B00283F"/>
    <w:rsid w:val="4B0870AC"/>
    <w:rsid w:val="4B0E4511"/>
    <w:rsid w:val="4B127154"/>
    <w:rsid w:val="4B1371CB"/>
    <w:rsid w:val="4B197687"/>
    <w:rsid w:val="4B1C0B28"/>
    <w:rsid w:val="4B465A2F"/>
    <w:rsid w:val="4B5538D6"/>
    <w:rsid w:val="4B581620"/>
    <w:rsid w:val="4B5A3F7D"/>
    <w:rsid w:val="4B5E121D"/>
    <w:rsid w:val="4B88462C"/>
    <w:rsid w:val="4B897671"/>
    <w:rsid w:val="4B982CC0"/>
    <w:rsid w:val="4B9B0EA7"/>
    <w:rsid w:val="4B9C58D4"/>
    <w:rsid w:val="4B9D7435"/>
    <w:rsid w:val="4B9E042B"/>
    <w:rsid w:val="4BB15DD7"/>
    <w:rsid w:val="4BB673BE"/>
    <w:rsid w:val="4BD72A7F"/>
    <w:rsid w:val="4BE84AD9"/>
    <w:rsid w:val="4BEB3A83"/>
    <w:rsid w:val="4BF43354"/>
    <w:rsid w:val="4BFF4460"/>
    <w:rsid w:val="4C070F38"/>
    <w:rsid w:val="4C1106C3"/>
    <w:rsid w:val="4C19280C"/>
    <w:rsid w:val="4C217FD6"/>
    <w:rsid w:val="4C2E7741"/>
    <w:rsid w:val="4C3E2CC4"/>
    <w:rsid w:val="4C4307E7"/>
    <w:rsid w:val="4C471FD7"/>
    <w:rsid w:val="4C4E6B2B"/>
    <w:rsid w:val="4C5D6314"/>
    <w:rsid w:val="4C6B25BB"/>
    <w:rsid w:val="4C8F52A1"/>
    <w:rsid w:val="4C99297E"/>
    <w:rsid w:val="4C9F4318"/>
    <w:rsid w:val="4CA472A7"/>
    <w:rsid w:val="4CA62864"/>
    <w:rsid w:val="4CAC32BC"/>
    <w:rsid w:val="4CB437F6"/>
    <w:rsid w:val="4CB52377"/>
    <w:rsid w:val="4CC46FA7"/>
    <w:rsid w:val="4CCF0B8F"/>
    <w:rsid w:val="4CD1167C"/>
    <w:rsid w:val="4CF91D35"/>
    <w:rsid w:val="4CFD2BF9"/>
    <w:rsid w:val="4D034783"/>
    <w:rsid w:val="4D0A751E"/>
    <w:rsid w:val="4D114845"/>
    <w:rsid w:val="4D191AD4"/>
    <w:rsid w:val="4D2668B3"/>
    <w:rsid w:val="4D473501"/>
    <w:rsid w:val="4D570277"/>
    <w:rsid w:val="4D595B24"/>
    <w:rsid w:val="4D641BDB"/>
    <w:rsid w:val="4D7D5612"/>
    <w:rsid w:val="4D812938"/>
    <w:rsid w:val="4D852885"/>
    <w:rsid w:val="4DA24D1C"/>
    <w:rsid w:val="4DBA0D0F"/>
    <w:rsid w:val="4DBB3186"/>
    <w:rsid w:val="4DC746DC"/>
    <w:rsid w:val="4DD27265"/>
    <w:rsid w:val="4DD752A2"/>
    <w:rsid w:val="4DE624DA"/>
    <w:rsid w:val="4DE86678"/>
    <w:rsid w:val="4DF2276D"/>
    <w:rsid w:val="4DFC67D6"/>
    <w:rsid w:val="4E0975E7"/>
    <w:rsid w:val="4E191EAF"/>
    <w:rsid w:val="4E4241EE"/>
    <w:rsid w:val="4E4F1AF9"/>
    <w:rsid w:val="4E524648"/>
    <w:rsid w:val="4E664701"/>
    <w:rsid w:val="4E6A4CF1"/>
    <w:rsid w:val="4E6E0343"/>
    <w:rsid w:val="4E6F6FA8"/>
    <w:rsid w:val="4E771F3E"/>
    <w:rsid w:val="4E803FA8"/>
    <w:rsid w:val="4E814E30"/>
    <w:rsid w:val="4E8B2588"/>
    <w:rsid w:val="4E9E3C23"/>
    <w:rsid w:val="4EAA2BA6"/>
    <w:rsid w:val="4EEF578A"/>
    <w:rsid w:val="4EF0515A"/>
    <w:rsid w:val="4EFA6DC1"/>
    <w:rsid w:val="4F026AD9"/>
    <w:rsid w:val="4F0B2582"/>
    <w:rsid w:val="4F0F2B70"/>
    <w:rsid w:val="4F212A01"/>
    <w:rsid w:val="4F241B17"/>
    <w:rsid w:val="4F257073"/>
    <w:rsid w:val="4F6B6C90"/>
    <w:rsid w:val="4F7A1E4D"/>
    <w:rsid w:val="4F844786"/>
    <w:rsid w:val="4F8B3E56"/>
    <w:rsid w:val="4F8B78F2"/>
    <w:rsid w:val="4F910446"/>
    <w:rsid w:val="4F9A7AF4"/>
    <w:rsid w:val="4FA87C71"/>
    <w:rsid w:val="4FAD6B06"/>
    <w:rsid w:val="4FF26A8A"/>
    <w:rsid w:val="500E2189"/>
    <w:rsid w:val="501C5F4C"/>
    <w:rsid w:val="50242873"/>
    <w:rsid w:val="503B680E"/>
    <w:rsid w:val="50594100"/>
    <w:rsid w:val="5067531C"/>
    <w:rsid w:val="50794F72"/>
    <w:rsid w:val="507C21F5"/>
    <w:rsid w:val="507D0CA9"/>
    <w:rsid w:val="50852AB2"/>
    <w:rsid w:val="509141B6"/>
    <w:rsid w:val="50BF076D"/>
    <w:rsid w:val="50C11560"/>
    <w:rsid w:val="50C7364E"/>
    <w:rsid w:val="50EB753F"/>
    <w:rsid w:val="50F3057B"/>
    <w:rsid w:val="51033E28"/>
    <w:rsid w:val="51094825"/>
    <w:rsid w:val="51194A6B"/>
    <w:rsid w:val="512460B3"/>
    <w:rsid w:val="512D7670"/>
    <w:rsid w:val="512E7C5E"/>
    <w:rsid w:val="5130772D"/>
    <w:rsid w:val="513D5554"/>
    <w:rsid w:val="51433A26"/>
    <w:rsid w:val="51435AD8"/>
    <w:rsid w:val="514E026B"/>
    <w:rsid w:val="515E027B"/>
    <w:rsid w:val="518746DA"/>
    <w:rsid w:val="51A14AB5"/>
    <w:rsid w:val="51B72D2A"/>
    <w:rsid w:val="51BA29E1"/>
    <w:rsid w:val="51BF35FD"/>
    <w:rsid w:val="51C8796C"/>
    <w:rsid w:val="51CA1D55"/>
    <w:rsid w:val="51D3518D"/>
    <w:rsid w:val="51D51773"/>
    <w:rsid w:val="51EC7E84"/>
    <w:rsid w:val="51F02ACF"/>
    <w:rsid w:val="51FA7F99"/>
    <w:rsid w:val="52036385"/>
    <w:rsid w:val="52043080"/>
    <w:rsid w:val="520720D4"/>
    <w:rsid w:val="520D307D"/>
    <w:rsid w:val="520E4894"/>
    <w:rsid w:val="52106F7E"/>
    <w:rsid w:val="52124AA4"/>
    <w:rsid w:val="522A551E"/>
    <w:rsid w:val="522F264F"/>
    <w:rsid w:val="523909B7"/>
    <w:rsid w:val="524C35A0"/>
    <w:rsid w:val="525A6760"/>
    <w:rsid w:val="52644A8E"/>
    <w:rsid w:val="52693783"/>
    <w:rsid w:val="526D567F"/>
    <w:rsid w:val="52765DE3"/>
    <w:rsid w:val="52860304"/>
    <w:rsid w:val="528909E8"/>
    <w:rsid w:val="528F0266"/>
    <w:rsid w:val="52A42843"/>
    <w:rsid w:val="52A44B1D"/>
    <w:rsid w:val="52A606BB"/>
    <w:rsid w:val="52BE70DE"/>
    <w:rsid w:val="52BF2AF6"/>
    <w:rsid w:val="52C67421"/>
    <w:rsid w:val="52DF6103"/>
    <w:rsid w:val="52EE408A"/>
    <w:rsid w:val="52F43DE1"/>
    <w:rsid w:val="52FC482C"/>
    <w:rsid w:val="530410BC"/>
    <w:rsid w:val="530D4BDD"/>
    <w:rsid w:val="53106487"/>
    <w:rsid w:val="532A36C6"/>
    <w:rsid w:val="53395347"/>
    <w:rsid w:val="535B00EA"/>
    <w:rsid w:val="535D7F64"/>
    <w:rsid w:val="536D0B73"/>
    <w:rsid w:val="536E77DF"/>
    <w:rsid w:val="538542B6"/>
    <w:rsid w:val="53A7310B"/>
    <w:rsid w:val="53AD61E2"/>
    <w:rsid w:val="53AE6E89"/>
    <w:rsid w:val="53BD55C2"/>
    <w:rsid w:val="53BE4E00"/>
    <w:rsid w:val="53D73D1F"/>
    <w:rsid w:val="53D76612"/>
    <w:rsid w:val="53EA12F8"/>
    <w:rsid w:val="53FD3203"/>
    <w:rsid w:val="540F471F"/>
    <w:rsid w:val="541B565F"/>
    <w:rsid w:val="541F2266"/>
    <w:rsid w:val="54375424"/>
    <w:rsid w:val="54383F56"/>
    <w:rsid w:val="54511490"/>
    <w:rsid w:val="54567CF8"/>
    <w:rsid w:val="54660A34"/>
    <w:rsid w:val="54705FA3"/>
    <w:rsid w:val="54A569C8"/>
    <w:rsid w:val="54A9350D"/>
    <w:rsid w:val="54AE3555"/>
    <w:rsid w:val="54B44F3E"/>
    <w:rsid w:val="54C6239B"/>
    <w:rsid w:val="54D21FF4"/>
    <w:rsid w:val="54D22C63"/>
    <w:rsid w:val="54D51D92"/>
    <w:rsid w:val="54E33E07"/>
    <w:rsid w:val="54EB509D"/>
    <w:rsid w:val="550020CC"/>
    <w:rsid w:val="55053FB1"/>
    <w:rsid w:val="550F738D"/>
    <w:rsid w:val="55105D67"/>
    <w:rsid w:val="551F2EF6"/>
    <w:rsid w:val="552E42B1"/>
    <w:rsid w:val="552F2073"/>
    <w:rsid w:val="55320D2F"/>
    <w:rsid w:val="5533296C"/>
    <w:rsid w:val="553C0B0B"/>
    <w:rsid w:val="555B3708"/>
    <w:rsid w:val="555C1021"/>
    <w:rsid w:val="55650DD4"/>
    <w:rsid w:val="559544A1"/>
    <w:rsid w:val="559D1B18"/>
    <w:rsid w:val="55A73683"/>
    <w:rsid w:val="55A86518"/>
    <w:rsid w:val="55B45E9B"/>
    <w:rsid w:val="55B5218C"/>
    <w:rsid w:val="55BA16AD"/>
    <w:rsid w:val="55BB2305"/>
    <w:rsid w:val="55C84E61"/>
    <w:rsid w:val="55CD530D"/>
    <w:rsid w:val="55CF199A"/>
    <w:rsid w:val="55CF2C93"/>
    <w:rsid w:val="55D2103B"/>
    <w:rsid w:val="55E768E8"/>
    <w:rsid w:val="55FA0B6B"/>
    <w:rsid w:val="55FF0040"/>
    <w:rsid w:val="560E1DBD"/>
    <w:rsid w:val="563E5808"/>
    <w:rsid w:val="56487C06"/>
    <w:rsid w:val="564F2FD6"/>
    <w:rsid w:val="564F4A1A"/>
    <w:rsid w:val="56520BF9"/>
    <w:rsid w:val="56574EF1"/>
    <w:rsid w:val="566400FB"/>
    <w:rsid w:val="566E51D6"/>
    <w:rsid w:val="56775267"/>
    <w:rsid w:val="56931F37"/>
    <w:rsid w:val="56932322"/>
    <w:rsid w:val="569C5EA6"/>
    <w:rsid w:val="569E3EE6"/>
    <w:rsid w:val="56CB403F"/>
    <w:rsid w:val="56D11496"/>
    <w:rsid w:val="56E270E9"/>
    <w:rsid w:val="57071F4E"/>
    <w:rsid w:val="570D730A"/>
    <w:rsid w:val="571B01F2"/>
    <w:rsid w:val="572D0C7B"/>
    <w:rsid w:val="57342B3C"/>
    <w:rsid w:val="574E4E5E"/>
    <w:rsid w:val="57572CCF"/>
    <w:rsid w:val="57710B44"/>
    <w:rsid w:val="57797801"/>
    <w:rsid w:val="577A1F44"/>
    <w:rsid w:val="57823EDB"/>
    <w:rsid w:val="57971AFC"/>
    <w:rsid w:val="57996E2C"/>
    <w:rsid w:val="57B3566A"/>
    <w:rsid w:val="57B83882"/>
    <w:rsid w:val="57C72719"/>
    <w:rsid w:val="57CE1ADE"/>
    <w:rsid w:val="57D11333"/>
    <w:rsid w:val="57E565E7"/>
    <w:rsid w:val="57E87254"/>
    <w:rsid w:val="57EC2FBD"/>
    <w:rsid w:val="57F24692"/>
    <w:rsid w:val="57F51934"/>
    <w:rsid w:val="57F9109C"/>
    <w:rsid w:val="57FD0454"/>
    <w:rsid w:val="580526F5"/>
    <w:rsid w:val="580B1B5D"/>
    <w:rsid w:val="580F52DD"/>
    <w:rsid w:val="58446D2E"/>
    <w:rsid w:val="58447EEA"/>
    <w:rsid w:val="58560FBA"/>
    <w:rsid w:val="585710E6"/>
    <w:rsid w:val="585B630B"/>
    <w:rsid w:val="58621F05"/>
    <w:rsid w:val="58707502"/>
    <w:rsid w:val="58723FE4"/>
    <w:rsid w:val="5888199F"/>
    <w:rsid w:val="58A9755A"/>
    <w:rsid w:val="58AB7AD4"/>
    <w:rsid w:val="58BD7BC2"/>
    <w:rsid w:val="58C12364"/>
    <w:rsid w:val="58CC3FD5"/>
    <w:rsid w:val="58E312F5"/>
    <w:rsid w:val="58EB0BCA"/>
    <w:rsid w:val="58F51F77"/>
    <w:rsid w:val="58FC29EF"/>
    <w:rsid w:val="59025B0D"/>
    <w:rsid w:val="59055CCE"/>
    <w:rsid w:val="590E638E"/>
    <w:rsid w:val="59170A87"/>
    <w:rsid w:val="59184160"/>
    <w:rsid w:val="59254E33"/>
    <w:rsid w:val="593C6EC8"/>
    <w:rsid w:val="593F4B78"/>
    <w:rsid w:val="59442859"/>
    <w:rsid w:val="5956265F"/>
    <w:rsid w:val="595A36C1"/>
    <w:rsid w:val="595B3C40"/>
    <w:rsid w:val="596C7A31"/>
    <w:rsid w:val="5970339B"/>
    <w:rsid w:val="597C4916"/>
    <w:rsid w:val="598F4F95"/>
    <w:rsid w:val="5999739E"/>
    <w:rsid w:val="59A1284D"/>
    <w:rsid w:val="59A41164"/>
    <w:rsid w:val="59B12B6A"/>
    <w:rsid w:val="59B569AB"/>
    <w:rsid w:val="59C254A5"/>
    <w:rsid w:val="59E06376"/>
    <w:rsid w:val="59E142DC"/>
    <w:rsid w:val="59FF75BE"/>
    <w:rsid w:val="5A0111E2"/>
    <w:rsid w:val="5A0176D1"/>
    <w:rsid w:val="5A1D4EFE"/>
    <w:rsid w:val="5A1F1046"/>
    <w:rsid w:val="5A394566"/>
    <w:rsid w:val="5A3A2204"/>
    <w:rsid w:val="5A427F8C"/>
    <w:rsid w:val="5A472CEC"/>
    <w:rsid w:val="5A666518"/>
    <w:rsid w:val="5A782AA3"/>
    <w:rsid w:val="5A7F24C0"/>
    <w:rsid w:val="5A891532"/>
    <w:rsid w:val="5A97782C"/>
    <w:rsid w:val="5A982B0C"/>
    <w:rsid w:val="5A9B1124"/>
    <w:rsid w:val="5A9E5948"/>
    <w:rsid w:val="5AA669DF"/>
    <w:rsid w:val="5ABB7EBA"/>
    <w:rsid w:val="5ABD5EDB"/>
    <w:rsid w:val="5ACD4C19"/>
    <w:rsid w:val="5AD32AD3"/>
    <w:rsid w:val="5AD61301"/>
    <w:rsid w:val="5ADA0571"/>
    <w:rsid w:val="5AEF6BF7"/>
    <w:rsid w:val="5AFF59AA"/>
    <w:rsid w:val="5B0C1D95"/>
    <w:rsid w:val="5B0D1838"/>
    <w:rsid w:val="5B224E28"/>
    <w:rsid w:val="5B28184F"/>
    <w:rsid w:val="5B7222F3"/>
    <w:rsid w:val="5B725324"/>
    <w:rsid w:val="5B751975"/>
    <w:rsid w:val="5B755477"/>
    <w:rsid w:val="5B7637A1"/>
    <w:rsid w:val="5B7A74E3"/>
    <w:rsid w:val="5B7F07D5"/>
    <w:rsid w:val="5B826FBC"/>
    <w:rsid w:val="5B8526E3"/>
    <w:rsid w:val="5BB3092C"/>
    <w:rsid w:val="5BB93F58"/>
    <w:rsid w:val="5BC540D1"/>
    <w:rsid w:val="5BCF7A15"/>
    <w:rsid w:val="5BD74746"/>
    <w:rsid w:val="5BDE576D"/>
    <w:rsid w:val="5BE077E3"/>
    <w:rsid w:val="5BF758DA"/>
    <w:rsid w:val="5BFA5443"/>
    <w:rsid w:val="5C0033F1"/>
    <w:rsid w:val="5C022EEB"/>
    <w:rsid w:val="5C451D6A"/>
    <w:rsid w:val="5C515F3F"/>
    <w:rsid w:val="5C647285"/>
    <w:rsid w:val="5C7A19BD"/>
    <w:rsid w:val="5C7F214A"/>
    <w:rsid w:val="5C89057D"/>
    <w:rsid w:val="5C9A394F"/>
    <w:rsid w:val="5CAC6FC5"/>
    <w:rsid w:val="5CB53A34"/>
    <w:rsid w:val="5CB77667"/>
    <w:rsid w:val="5CB96D6F"/>
    <w:rsid w:val="5CC16D8D"/>
    <w:rsid w:val="5CC95D32"/>
    <w:rsid w:val="5CD25A14"/>
    <w:rsid w:val="5CDC179B"/>
    <w:rsid w:val="5CF05758"/>
    <w:rsid w:val="5CF073E9"/>
    <w:rsid w:val="5CFA0384"/>
    <w:rsid w:val="5CFF6E54"/>
    <w:rsid w:val="5D0120B0"/>
    <w:rsid w:val="5D0F2892"/>
    <w:rsid w:val="5D1F047E"/>
    <w:rsid w:val="5D26311B"/>
    <w:rsid w:val="5D2B2C34"/>
    <w:rsid w:val="5D577A94"/>
    <w:rsid w:val="5D697D79"/>
    <w:rsid w:val="5D7520B0"/>
    <w:rsid w:val="5D7D2CD6"/>
    <w:rsid w:val="5D8C2F31"/>
    <w:rsid w:val="5D94650F"/>
    <w:rsid w:val="5DA05548"/>
    <w:rsid w:val="5DA4679E"/>
    <w:rsid w:val="5DB76275"/>
    <w:rsid w:val="5DC15C10"/>
    <w:rsid w:val="5DC2282B"/>
    <w:rsid w:val="5DD3264E"/>
    <w:rsid w:val="5E041265"/>
    <w:rsid w:val="5E2B7697"/>
    <w:rsid w:val="5E330A47"/>
    <w:rsid w:val="5E3B36FA"/>
    <w:rsid w:val="5E4D2A9C"/>
    <w:rsid w:val="5E521E1C"/>
    <w:rsid w:val="5E5571A4"/>
    <w:rsid w:val="5E5576F3"/>
    <w:rsid w:val="5E591E1E"/>
    <w:rsid w:val="5E723EB4"/>
    <w:rsid w:val="5E912F6A"/>
    <w:rsid w:val="5EA23921"/>
    <w:rsid w:val="5EBD58FA"/>
    <w:rsid w:val="5EC46CBD"/>
    <w:rsid w:val="5EC9488F"/>
    <w:rsid w:val="5ECE5F2E"/>
    <w:rsid w:val="5EDE5C89"/>
    <w:rsid w:val="5EE64AAF"/>
    <w:rsid w:val="5EEF1885"/>
    <w:rsid w:val="5EF47E31"/>
    <w:rsid w:val="5EFB4BF2"/>
    <w:rsid w:val="5F1E58A2"/>
    <w:rsid w:val="5F1F2B83"/>
    <w:rsid w:val="5F215050"/>
    <w:rsid w:val="5F2D4A41"/>
    <w:rsid w:val="5F2E659A"/>
    <w:rsid w:val="5F3E073F"/>
    <w:rsid w:val="5F474BFF"/>
    <w:rsid w:val="5F526781"/>
    <w:rsid w:val="5F623276"/>
    <w:rsid w:val="5F6A0409"/>
    <w:rsid w:val="5F6C2068"/>
    <w:rsid w:val="5F6C31C7"/>
    <w:rsid w:val="5F733EF1"/>
    <w:rsid w:val="5F743B13"/>
    <w:rsid w:val="5F786A3F"/>
    <w:rsid w:val="5F7F46FC"/>
    <w:rsid w:val="5F7FE304"/>
    <w:rsid w:val="5F874FBF"/>
    <w:rsid w:val="5F9B0D23"/>
    <w:rsid w:val="5F9D4C85"/>
    <w:rsid w:val="5F9F8873"/>
    <w:rsid w:val="5FB51FCB"/>
    <w:rsid w:val="5FC2688A"/>
    <w:rsid w:val="5FDC7CD6"/>
    <w:rsid w:val="5FE1547F"/>
    <w:rsid w:val="5FEE3BCE"/>
    <w:rsid w:val="600153BE"/>
    <w:rsid w:val="60094F35"/>
    <w:rsid w:val="600D4CEE"/>
    <w:rsid w:val="60113E2C"/>
    <w:rsid w:val="60116111"/>
    <w:rsid w:val="601609A8"/>
    <w:rsid w:val="602C7C48"/>
    <w:rsid w:val="6035284E"/>
    <w:rsid w:val="604343F0"/>
    <w:rsid w:val="60437DE9"/>
    <w:rsid w:val="6046318F"/>
    <w:rsid w:val="60463EC6"/>
    <w:rsid w:val="604B6CCB"/>
    <w:rsid w:val="6070442A"/>
    <w:rsid w:val="60750165"/>
    <w:rsid w:val="60B9239F"/>
    <w:rsid w:val="60BF5B6D"/>
    <w:rsid w:val="60C645AB"/>
    <w:rsid w:val="60E20DAE"/>
    <w:rsid w:val="60E27E53"/>
    <w:rsid w:val="60F4180C"/>
    <w:rsid w:val="61206F49"/>
    <w:rsid w:val="613D6BAA"/>
    <w:rsid w:val="61410D80"/>
    <w:rsid w:val="61611A0B"/>
    <w:rsid w:val="61621D97"/>
    <w:rsid w:val="6167427F"/>
    <w:rsid w:val="616A3192"/>
    <w:rsid w:val="61812597"/>
    <w:rsid w:val="618755C4"/>
    <w:rsid w:val="61953350"/>
    <w:rsid w:val="619E139C"/>
    <w:rsid w:val="61BE5377"/>
    <w:rsid w:val="61D0398A"/>
    <w:rsid w:val="61DE71DE"/>
    <w:rsid w:val="61EA4E6B"/>
    <w:rsid w:val="61F05A3D"/>
    <w:rsid w:val="621259F7"/>
    <w:rsid w:val="62127C3C"/>
    <w:rsid w:val="622214DA"/>
    <w:rsid w:val="6224730C"/>
    <w:rsid w:val="622567A5"/>
    <w:rsid w:val="622977EA"/>
    <w:rsid w:val="622B010A"/>
    <w:rsid w:val="622C73DE"/>
    <w:rsid w:val="624645AC"/>
    <w:rsid w:val="62577D9F"/>
    <w:rsid w:val="625937AE"/>
    <w:rsid w:val="626C7A15"/>
    <w:rsid w:val="626F3F92"/>
    <w:rsid w:val="6287216F"/>
    <w:rsid w:val="62892A53"/>
    <w:rsid w:val="62935DB1"/>
    <w:rsid w:val="629831F9"/>
    <w:rsid w:val="62BC5DE9"/>
    <w:rsid w:val="62C10FD0"/>
    <w:rsid w:val="62E41E7C"/>
    <w:rsid w:val="62E8190E"/>
    <w:rsid w:val="62EE30D2"/>
    <w:rsid w:val="62FC541B"/>
    <w:rsid w:val="630006BE"/>
    <w:rsid w:val="6300634C"/>
    <w:rsid w:val="63114765"/>
    <w:rsid w:val="63382085"/>
    <w:rsid w:val="63422B24"/>
    <w:rsid w:val="63471E94"/>
    <w:rsid w:val="636607F7"/>
    <w:rsid w:val="636965D4"/>
    <w:rsid w:val="637029F7"/>
    <w:rsid w:val="63726B6C"/>
    <w:rsid w:val="637B7A06"/>
    <w:rsid w:val="63835232"/>
    <w:rsid w:val="63965A29"/>
    <w:rsid w:val="63A044C9"/>
    <w:rsid w:val="63A50EBA"/>
    <w:rsid w:val="63AE2B07"/>
    <w:rsid w:val="63AE435F"/>
    <w:rsid w:val="63B14BC4"/>
    <w:rsid w:val="63BB7AF9"/>
    <w:rsid w:val="63BD1501"/>
    <w:rsid w:val="63F041DC"/>
    <w:rsid w:val="63F86267"/>
    <w:rsid w:val="640E3B92"/>
    <w:rsid w:val="643D2511"/>
    <w:rsid w:val="644A5D7B"/>
    <w:rsid w:val="647A3430"/>
    <w:rsid w:val="647B624F"/>
    <w:rsid w:val="648B159F"/>
    <w:rsid w:val="64A13515"/>
    <w:rsid w:val="64A137DB"/>
    <w:rsid w:val="64BA302E"/>
    <w:rsid w:val="64BB2F3B"/>
    <w:rsid w:val="64BF61CB"/>
    <w:rsid w:val="64C93DE9"/>
    <w:rsid w:val="64DA6181"/>
    <w:rsid w:val="64DF2A44"/>
    <w:rsid w:val="64FA5B55"/>
    <w:rsid w:val="650C50F9"/>
    <w:rsid w:val="651C0482"/>
    <w:rsid w:val="653D1756"/>
    <w:rsid w:val="657E46FF"/>
    <w:rsid w:val="65864EAB"/>
    <w:rsid w:val="658E1E84"/>
    <w:rsid w:val="65BF551B"/>
    <w:rsid w:val="65C437BF"/>
    <w:rsid w:val="65C601F6"/>
    <w:rsid w:val="65C72292"/>
    <w:rsid w:val="65D117B7"/>
    <w:rsid w:val="65D200F0"/>
    <w:rsid w:val="65DC5DBF"/>
    <w:rsid w:val="65F1617E"/>
    <w:rsid w:val="65F5223C"/>
    <w:rsid w:val="660245B8"/>
    <w:rsid w:val="661829F8"/>
    <w:rsid w:val="661B4BCF"/>
    <w:rsid w:val="665C4E79"/>
    <w:rsid w:val="66717E3F"/>
    <w:rsid w:val="66802ADE"/>
    <w:rsid w:val="66821FD7"/>
    <w:rsid w:val="66975803"/>
    <w:rsid w:val="66B132A5"/>
    <w:rsid w:val="66B15753"/>
    <w:rsid w:val="66C306A0"/>
    <w:rsid w:val="66D52CAC"/>
    <w:rsid w:val="66E717C1"/>
    <w:rsid w:val="66E757AC"/>
    <w:rsid w:val="66F276B6"/>
    <w:rsid w:val="66FB2125"/>
    <w:rsid w:val="672A5A8A"/>
    <w:rsid w:val="672B6BEF"/>
    <w:rsid w:val="672F287A"/>
    <w:rsid w:val="67340A23"/>
    <w:rsid w:val="674D79C1"/>
    <w:rsid w:val="67574DE2"/>
    <w:rsid w:val="675F6FD0"/>
    <w:rsid w:val="67684F26"/>
    <w:rsid w:val="67717EA6"/>
    <w:rsid w:val="67753D45"/>
    <w:rsid w:val="677E4848"/>
    <w:rsid w:val="677E7AB0"/>
    <w:rsid w:val="678C66BD"/>
    <w:rsid w:val="67A55390"/>
    <w:rsid w:val="67BF6452"/>
    <w:rsid w:val="67CB0668"/>
    <w:rsid w:val="67D03E67"/>
    <w:rsid w:val="67D33548"/>
    <w:rsid w:val="67D7565F"/>
    <w:rsid w:val="67E633C8"/>
    <w:rsid w:val="67E86292"/>
    <w:rsid w:val="67F72C98"/>
    <w:rsid w:val="68174EC4"/>
    <w:rsid w:val="68450B54"/>
    <w:rsid w:val="68475BAD"/>
    <w:rsid w:val="6853226F"/>
    <w:rsid w:val="68534AC8"/>
    <w:rsid w:val="68557724"/>
    <w:rsid w:val="685D0462"/>
    <w:rsid w:val="687B613E"/>
    <w:rsid w:val="68830BF5"/>
    <w:rsid w:val="689D7887"/>
    <w:rsid w:val="689F7918"/>
    <w:rsid w:val="68B411EB"/>
    <w:rsid w:val="68B42E9C"/>
    <w:rsid w:val="68C53CF8"/>
    <w:rsid w:val="68CE059F"/>
    <w:rsid w:val="68DE3B49"/>
    <w:rsid w:val="68DF04D4"/>
    <w:rsid w:val="68E02C65"/>
    <w:rsid w:val="68FF3B24"/>
    <w:rsid w:val="69025553"/>
    <w:rsid w:val="69032A8F"/>
    <w:rsid w:val="690E397F"/>
    <w:rsid w:val="691471F2"/>
    <w:rsid w:val="69161412"/>
    <w:rsid w:val="691B0000"/>
    <w:rsid w:val="69462667"/>
    <w:rsid w:val="69694AED"/>
    <w:rsid w:val="69884761"/>
    <w:rsid w:val="699613C0"/>
    <w:rsid w:val="699F0AC7"/>
    <w:rsid w:val="69B25257"/>
    <w:rsid w:val="69C1601A"/>
    <w:rsid w:val="69DE523F"/>
    <w:rsid w:val="69E45415"/>
    <w:rsid w:val="69EF0BEC"/>
    <w:rsid w:val="69F467C3"/>
    <w:rsid w:val="69F56FAC"/>
    <w:rsid w:val="69F878CA"/>
    <w:rsid w:val="69FD21F7"/>
    <w:rsid w:val="6A01114C"/>
    <w:rsid w:val="6A03117B"/>
    <w:rsid w:val="6A18692A"/>
    <w:rsid w:val="6A1B663F"/>
    <w:rsid w:val="6A2B11BD"/>
    <w:rsid w:val="6A354F27"/>
    <w:rsid w:val="6A5748C3"/>
    <w:rsid w:val="6A5A4712"/>
    <w:rsid w:val="6A5D229E"/>
    <w:rsid w:val="6A5F3F1C"/>
    <w:rsid w:val="6A6661F0"/>
    <w:rsid w:val="6A6A2073"/>
    <w:rsid w:val="6A7933E7"/>
    <w:rsid w:val="6A9B4E64"/>
    <w:rsid w:val="6A9B7C73"/>
    <w:rsid w:val="6AB0509A"/>
    <w:rsid w:val="6ABB571C"/>
    <w:rsid w:val="6ACC4257"/>
    <w:rsid w:val="6ACE1E05"/>
    <w:rsid w:val="6ACE6EC4"/>
    <w:rsid w:val="6AD54ECE"/>
    <w:rsid w:val="6AE32434"/>
    <w:rsid w:val="6AF4202E"/>
    <w:rsid w:val="6AF81E4E"/>
    <w:rsid w:val="6B0E0FF6"/>
    <w:rsid w:val="6B185226"/>
    <w:rsid w:val="6B1A13F6"/>
    <w:rsid w:val="6B1A1DDB"/>
    <w:rsid w:val="6B20545A"/>
    <w:rsid w:val="6B2B5C9F"/>
    <w:rsid w:val="6B33535D"/>
    <w:rsid w:val="6B337530"/>
    <w:rsid w:val="6B341A7A"/>
    <w:rsid w:val="6B3A377F"/>
    <w:rsid w:val="6B3D63CA"/>
    <w:rsid w:val="6B3E3544"/>
    <w:rsid w:val="6B425B21"/>
    <w:rsid w:val="6B4B3AC8"/>
    <w:rsid w:val="6B5D26B4"/>
    <w:rsid w:val="6B712827"/>
    <w:rsid w:val="6B8C5E66"/>
    <w:rsid w:val="6B972271"/>
    <w:rsid w:val="6B974310"/>
    <w:rsid w:val="6BA12924"/>
    <w:rsid w:val="6BA31786"/>
    <w:rsid w:val="6BE2471A"/>
    <w:rsid w:val="6C0A106D"/>
    <w:rsid w:val="6C0E5F6E"/>
    <w:rsid w:val="6C127E8F"/>
    <w:rsid w:val="6C152258"/>
    <w:rsid w:val="6C1949C8"/>
    <w:rsid w:val="6C2643D1"/>
    <w:rsid w:val="6C3239D1"/>
    <w:rsid w:val="6C367D5D"/>
    <w:rsid w:val="6C371E8E"/>
    <w:rsid w:val="6C4707FB"/>
    <w:rsid w:val="6C507FC1"/>
    <w:rsid w:val="6C5F0204"/>
    <w:rsid w:val="6C626635"/>
    <w:rsid w:val="6C6D191B"/>
    <w:rsid w:val="6C6D3F0B"/>
    <w:rsid w:val="6C8F5271"/>
    <w:rsid w:val="6CA43E69"/>
    <w:rsid w:val="6CAA75A0"/>
    <w:rsid w:val="6CAD2B5D"/>
    <w:rsid w:val="6CB565B0"/>
    <w:rsid w:val="6CB7686A"/>
    <w:rsid w:val="6CC57732"/>
    <w:rsid w:val="6CEB4287"/>
    <w:rsid w:val="6CFB0FDE"/>
    <w:rsid w:val="6D0B3E55"/>
    <w:rsid w:val="6D0E128B"/>
    <w:rsid w:val="6D1E1EB0"/>
    <w:rsid w:val="6D231B03"/>
    <w:rsid w:val="6D245DF6"/>
    <w:rsid w:val="6D2C0992"/>
    <w:rsid w:val="6D3276C6"/>
    <w:rsid w:val="6D3C4065"/>
    <w:rsid w:val="6D4D6E7A"/>
    <w:rsid w:val="6D5A180E"/>
    <w:rsid w:val="6D695CED"/>
    <w:rsid w:val="6D6A50B2"/>
    <w:rsid w:val="6D733879"/>
    <w:rsid w:val="6D857D9D"/>
    <w:rsid w:val="6D8F032A"/>
    <w:rsid w:val="6D910891"/>
    <w:rsid w:val="6D93510E"/>
    <w:rsid w:val="6DAA6069"/>
    <w:rsid w:val="6DB5289F"/>
    <w:rsid w:val="6DBA4C07"/>
    <w:rsid w:val="6DD975D8"/>
    <w:rsid w:val="6DDF631C"/>
    <w:rsid w:val="6DE3088A"/>
    <w:rsid w:val="6DF73529"/>
    <w:rsid w:val="6E032FC2"/>
    <w:rsid w:val="6E090563"/>
    <w:rsid w:val="6E1F6A55"/>
    <w:rsid w:val="6E285408"/>
    <w:rsid w:val="6E317E32"/>
    <w:rsid w:val="6E3877ED"/>
    <w:rsid w:val="6E433EAF"/>
    <w:rsid w:val="6E5340CB"/>
    <w:rsid w:val="6E56640B"/>
    <w:rsid w:val="6E711527"/>
    <w:rsid w:val="6E8346BC"/>
    <w:rsid w:val="6E851BF4"/>
    <w:rsid w:val="6E943958"/>
    <w:rsid w:val="6E953AA3"/>
    <w:rsid w:val="6EAF3A57"/>
    <w:rsid w:val="6ED011FC"/>
    <w:rsid w:val="6ED770CD"/>
    <w:rsid w:val="6EDF77F5"/>
    <w:rsid w:val="6F076F7D"/>
    <w:rsid w:val="6F1144A4"/>
    <w:rsid w:val="6F14532D"/>
    <w:rsid w:val="6F2968A7"/>
    <w:rsid w:val="6F323167"/>
    <w:rsid w:val="6F3444B6"/>
    <w:rsid w:val="6F364A08"/>
    <w:rsid w:val="6F5E1BD4"/>
    <w:rsid w:val="6F754641"/>
    <w:rsid w:val="6F814C70"/>
    <w:rsid w:val="6F85563F"/>
    <w:rsid w:val="6FA32C33"/>
    <w:rsid w:val="6FAF4FFE"/>
    <w:rsid w:val="6FB73240"/>
    <w:rsid w:val="6FB93B4D"/>
    <w:rsid w:val="6FBF0D34"/>
    <w:rsid w:val="6FC162FA"/>
    <w:rsid w:val="6FC8175F"/>
    <w:rsid w:val="6FC92DA9"/>
    <w:rsid w:val="6FD66A2F"/>
    <w:rsid w:val="6FD93B73"/>
    <w:rsid w:val="6FDB2329"/>
    <w:rsid w:val="6FDFDB66"/>
    <w:rsid w:val="6FE90101"/>
    <w:rsid w:val="6FEA6E69"/>
    <w:rsid w:val="6FF31452"/>
    <w:rsid w:val="70027159"/>
    <w:rsid w:val="70185CDC"/>
    <w:rsid w:val="703A551C"/>
    <w:rsid w:val="703C2781"/>
    <w:rsid w:val="70563559"/>
    <w:rsid w:val="706436BB"/>
    <w:rsid w:val="708345E6"/>
    <w:rsid w:val="70993EC9"/>
    <w:rsid w:val="70A0604E"/>
    <w:rsid w:val="70A30D27"/>
    <w:rsid w:val="70AC3D7A"/>
    <w:rsid w:val="70AE7F6F"/>
    <w:rsid w:val="70C2536F"/>
    <w:rsid w:val="70C76C10"/>
    <w:rsid w:val="70CC526B"/>
    <w:rsid w:val="70FE0A22"/>
    <w:rsid w:val="70FE78F0"/>
    <w:rsid w:val="710F4243"/>
    <w:rsid w:val="712269D3"/>
    <w:rsid w:val="713573F8"/>
    <w:rsid w:val="71550DEF"/>
    <w:rsid w:val="715B625B"/>
    <w:rsid w:val="71607246"/>
    <w:rsid w:val="71667BAE"/>
    <w:rsid w:val="71743D65"/>
    <w:rsid w:val="718E2962"/>
    <w:rsid w:val="719152B5"/>
    <w:rsid w:val="719438CB"/>
    <w:rsid w:val="71997EB8"/>
    <w:rsid w:val="71A20DB3"/>
    <w:rsid w:val="71A42F48"/>
    <w:rsid w:val="71A517D9"/>
    <w:rsid w:val="71A61A92"/>
    <w:rsid w:val="71AB0D1E"/>
    <w:rsid w:val="71BD1FA1"/>
    <w:rsid w:val="71C21F5C"/>
    <w:rsid w:val="71CC32AB"/>
    <w:rsid w:val="71EE5087"/>
    <w:rsid w:val="72057567"/>
    <w:rsid w:val="72104CF8"/>
    <w:rsid w:val="721C106B"/>
    <w:rsid w:val="721D12AF"/>
    <w:rsid w:val="721D3A01"/>
    <w:rsid w:val="7226152F"/>
    <w:rsid w:val="722E2629"/>
    <w:rsid w:val="722E3D50"/>
    <w:rsid w:val="723830FF"/>
    <w:rsid w:val="723F518D"/>
    <w:rsid w:val="72581DED"/>
    <w:rsid w:val="725A4ECA"/>
    <w:rsid w:val="725D58A8"/>
    <w:rsid w:val="72924221"/>
    <w:rsid w:val="72931016"/>
    <w:rsid w:val="72AF7364"/>
    <w:rsid w:val="72B50674"/>
    <w:rsid w:val="72C216C0"/>
    <w:rsid w:val="72C7190D"/>
    <w:rsid w:val="72E07EB3"/>
    <w:rsid w:val="72EC7E3D"/>
    <w:rsid w:val="72F04094"/>
    <w:rsid w:val="72F21EB4"/>
    <w:rsid w:val="730E3420"/>
    <w:rsid w:val="73165D05"/>
    <w:rsid w:val="731960AC"/>
    <w:rsid w:val="731A52E5"/>
    <w:rsid w:val="731D71E7"/>
    <w:rsid w:val="731F249B"/>
    <w:rsid w:val="73203209"/>
    <w:rsid w:val="73217FC1"/>
    <w:rsid w:val="732A6D4F"/>
    <w:rsid w:val="73361B37"/>
    <w:rsid w:val="733621AF"/>
    <w:rsid w:val="733A1A9C"/>
    <w:rsid w:val="733E66FD"/>
    <w:rsid w:val="734165F8"/>
    <w:rsid w:val="73464E3A"/>
    <w:rsid w:val="734F3909"/>
    <w:rsid w:val="734F6B4A"/>
    <w:rsid w:val="735341A2"/>
    <w:rsid w:val="73664BC7"/>
    <w:rsid w:val="736C1B8C"/>
    <w:rsid w:val="73734EE4"/>
    <w:rsid w:val="737E1D9A"/>
    <w:rsid w:val="738B0393"/>
    <w:rsid w:val="739978C7"/>
    <w:rsid w:val="73A56453"/>
    <w:rsid w:val="73AB798B"/>
    <w:rsid w:val="73C1186E"/>
    <w:rsid w:val="73CD3AF9"/>
    <w:rsid w:val="73CF05A7"/>
    <w:rsid w:val="73CF470B"/>
    <w:rsid w:val="74082529"/>
    <w:rsid w:val="741D2018"/>
    <w:rsid w:val="741F35DB"/>
    <w:rsid w:val="742A7931"/>
    <w:rsid w:val="742F4960"/>
    <w:rsid w:val="74330594"/>
    <w:rsid w:val="7439521B"/>
    <w:rsid w:val="743B15E2"/>
    <w:rsid w:val="743C03B7"/>
    <w:rsid w:val="744864FF"/>
    <w:rsid w:val="74487C11"/>
    <w:rsid w:val="74512B28"/>
    <w:rsid w:val="745C1CA8"/>
    <w:rsid w:val="746304B0"/>
    <w:rsid w:val="747B5226"/>
    <w:rsid w:val="748816E2"/>
    <w:rsid w:val="748C3F4B"/>
    <w:rsid w:val="74D114D6"/>
    <w:rsid w:val="74D12E4B"/>
    <w:rsid w:val="74D25EEE"/>
    <w:rsid w:val="74F93B59"/>
    <w:rsid w:val="750937B8"/>
    <w:rsid w:val="750B48FC"/>
    <w:rsid w:val="750D3415"/>
    <w:rsid w:val="754760B8"/>
    <w:rsid w:val="754A13BD"/>
    <w:rsid w:val="754C091C"/>
    <w:rsid w:val="754C13F7"/>
    <w:rsid w:val="755802BF"/>
    <w:rsid w:val="756C070F"/>
    <w:rsid w:val="757E66CB"/>
    <w:rsid w:val="758950A4"/>
    <w:rsid w:val="758F6AE1"/>
    <w:rsid w:val="75923DAC"/>
    <w:rsid w:val="75945B8C"/>
    <w:rsid w:val="75986915"/>
    <w:rsid w:val="759D2392"/>
    <w:rsid w:val="75A7573B"/>
    <w:rsid w:val="75AD4F0B"/>
    <w:rsid w:val="75BA5D24"/>
    <w:rsid w:val="75BD268A"/>
    <w:rsid w:val="75D30E1D"/>
    <w:rsid w:val="75D31876"/>
    <w:rsid w:val="75ED2EA7"/>
    <w:rsid w:val="75F638C4"/>
    <w:rsid w:val="7603234A"/>
    <w:rsid w:val="760A5CDB"/>
    <w:rsid w:val="76202E19"/>
    <w:rsid w:val="7634632A"/>
    <w:rsid w:val="763738F1"/>
    <w:rsid w:val="76385E60"/>
    <w:rsid w:val="766065AD"/>
    <w:rsid w:val="76790F36"/>
    <w:rsid w:val="767A6BDE"/>
    <w:rsid w:val="767B0CC7"/>
    <w:rsid w:val="7694751B"/>
    <w:rsid w:val="769D5DA7"/>
    <w:rsid w:val="76AE4EC8"/>
    <w:rsid w:val="76B714B3"/>
    <w:rsid w:val="76C73C9A"/>
    <w:rsid w:val="76CC293A"/>
    <w:rsid w:val="76D70271"/>
    <w:rsid w:val="76FB0B73"/>
    <w:rsid w:val="77017347"/>
    <w:rsid w:val="771468CF"/>
    <w:rsid w:val="771522A2"/>
    <w:rsid w:val="77377037"/>
    <w:rsid w:val="773B615A"/>
    <w:rsid w:val="77534D32"/>
    <w:rsid w:val="775929E7"/>
    <w:rsid w:val="775C4878"/>
    <w:rsid w:val="775F6F8F"/>
    <w:rsid w:val="77764D81"/>
    <w:rsid w:val="77793034"/>
    <w:rsid w:val="77983F25"/>
    <w:rsid w:val="77A36F11"/>
    <w:rsid w:val="77B5746C"/>
    <w:rsid w:val="77BA3B1C"/>
    <w:rsid w:val="77BF57C7"/>
    <w:rsid w:val="77CA7A19"/>
    <w:rsid w:val="77D870BC"/>
    <w:rsid w:val="77DF3E51"/>
    <w:rsid w:val="77DF47F4"/>
    <w:rsid w:val="77E83F2A"/>
    <w:rsid w:val="77EA5752"/>
    <w:rsid w:val="7803223D"/>
    <w:rsid w:val="780A45ED"/>
    <w:rsid w:val="78157CF7"/>
    <w:rsid w:val="78301DAE"/>
    <w:rsid w:val="784F56DF"/>
    <w:rsid w:val="78520D00"/>
    <w:rsid w:val="78526FC2"/>
    <w:rsid w:val="7857629B"/>
    <w:rsid w:val="78650950"/>
    <w:rsid w:val="786E0F9C"/>
    <w:rsid w:val="787C3EEC"/>
    <w:rsid w:val="788437FF"/>
    <w:rsid w:val="78857C89"/>
    <w:rsid w:val="788D5D18"/>
    <w:rsid w:val="78A97A27"/>
    <w:rsid w:val="78BB2564"/>
    <w:rsid w:val="78CC0DC3"/>
    <w:rsid w:val="78D07FF5"/>
    <w:rsid w:val="78D4689D"/>
    <w:rsid w:val="78E440AD"/>
    <w:rsid w:val="78E44E4A"/>
    <w:rsid w:val="78E56CA1"/>
    <w:rsid w:val="791902A3"/>
    <w:rsid w:val="79190FA2"/>
    <w:rsid w:val="79446284"/>
    <w:rsid w:val="79482F61"/>
    <w:rsid w:val="79653DE6"/>
    <w:rsid w:val="79654FCF"/>
    <w:rsid w:val="79782A0A"/>
    <w:rsid w:val="7994314C"/>
    <w:rsid w:val="79952599"/>
    <w:rsid w:val="79D85272"/>
    <w:rsid w:val="79E06189"/>
    <w:rsid w:val="79E06CEF"/>
    <w:rsid w:val="79EA62EB"/>
    <w:rsid w:val="79EB45A1"/>
    <w:rsid w:val="79ED12C9"/>
    <w:rsid w:val="79F5466D"/>
    <w:rsid w:val="79FD76E9"/>
    <w:rsid w:val="7A163118"/>
    <w:rsid w:val="7A215C00"/>
    <w:rsid w:val="7A290DC0"/>
    <w:rsid w:val="7A296EFF"/>
    <w:rsid w:val="7A3053BF"/>
    <w:rsid w:val="7A41719B"/>
    <w:rsid w:val="7A4B51FA"/>
    <w:rsid w:val="7A5252C7"/>
    <w:rsid w:val="7A531C9F"/>
    <w:rsid w:val="7A5F6682"/>
    <w:rsid w:val="7A680BCB"/>
    <w:rsid w:val="7A8A2F3D"/>
    <w:rsid w:val="7A921AE4"/>
    <w:rsid w:val="7A940832"/>
    <w:rsid w:val="7AA9530D"/>
    <w:rsid w:val="7AAE629B"/>
    <w:rsid w:val="7AB20E79"/>
    <w:rsid w:val="7AB32860"/>
    <w:rsid w:val="7AD85D51"/>
    <w:rsid w:val="7AE70572"/>
    <w:rsid w:val="7AE815FC"/>
    <w:rsid w:val="7AF05A27"/>
    <w:rsid w:val="7AF37A02"/>
    <w:rsid w:val="7AF406B1"/>
    <w:rsid w:val="7B0B455A"/>
    <w:rsid w:val="7B0D3738"/>
    <w:rsid w:val="7B347486"/>
    <w:rsid w:val="7B5C2D8B"/>
    <w:rsid w:val="7B5F5CEE"/>
    <w:rsid w:val="7B6C7089"/>
    <w:rsid w:val="7BB70782"/>
    <w:rsid w:val="7BBA5E68"/>
    <w:rsid w:val="7BC7163F"/>
    <w:rsid w:val="7BC96C5E"/>
    <w:rsid w:val="7BCA02B2"/>
    <w:rsid w:val="7BCF19A0"/>
    <w:rsid w:val="7BD01566"/>
    <w:rsid w:val="7BE307E7"/>
    <w:rsid w:val="7C0C39B6"/>
    <w:rsid w:val="7C1928FC"/>
    <w:rsid w:val="7C2C6E3A"/>
    <w:rsid w:val="7C30326B"/>
    <w:rsid w:val="7C33006F"/>
    <w:rsid w:val="7C411BDF"/>
    <w:rsid w:val="7C56302C"/>
    <w:rsid w:val="7C5E5C42"/>
    <w:rsid w:val="7C6F071E"/>
    <w:rsid w:val="7C714B7A"/>
    <w:rsid w:val="7C7C6A3F"/>
    <w:rsid w:val="7C8D0E31"/>
    <w:rsid w:val="7C9567F4"/>
    <w:rsid w:val="7C961F7D"/>
    <w:rsid w:val="7C9E14D5"/>
    <w:rsid w:val="7CA13E1C"/>
    <w:rsid w:val="7CB56D7D"/>
    <w:rsid w:val="7CC916E8"/>
    <w:rsid w:val="7CC92BE4"/>
    <w:rsid w:val="7CEE536B"/>
    <w:rsid w:val="7CFFEFA1"/>
    <w:rsid w:val="7D00284C"/>
    <w:rsid w:val="7D035950"/>
    <w:rsid w:val="7D0A7401"/>
    <w:rsid w:val="7D0E042B"/>
    <w:rsid w:val="7D1E3FBC"/>
    <w:rsid w:val="7D2021D2"/>
    <w:rsid w:val="7D342C2D"/>
    <w:rsid w:val="7D346302"/>
    <w:rsid w:val="7D3A7495"/>
    <w:rsid w:val="7D4338A3"/>
    <w:rsid w:val="7D5C2AB9"/>
    <w:rsid w:val="7D5E1AB7"/>
    <w:rsid w:val="7D63567A"/>
    <w:rsid w:val="7D647FD3"/>
    <w:rsid w:val="7D65430E"/>
    <w:rsid w:val="7D7F7019"/>
    <w:rsid w:val="7D8852F8"/>
    <w:rsid w:val="7D94398B"/>
    <w:rsid w:val="7D9865FF"/>
    <w:rsid w:val="7DA036B4"/>
    <w:rsid w:val="7DB614BB"/>
    <w:rsid w:val="7DB61D01"/>
    <w:rsid w:val="7DC720AD"/>
    <w:rsid w:val="7DD85480"/>
    <w:rsid w:val="7DDDCE29"/>
    <w:rsid w:val="7DF616D0"/>
    <w:rsid w:val="7DF804B8"/>
    <w:rsid w:val="7E0607C0"/>
    <w:rsid w:val="7E097B7D"/>
    <w:rsid w:val="7E0A3645"/>
    <w:rsid w:val="7E261F2C"/>
    <w:rsid w:val="7E3056E0"/>
    <w:rsid w:val="7E305AC4"/>
    <w:rsid w:val="7E327D9E"/>
    <w:rsid w:val="7E6063D6"/>
    <w:rsid w:val="7E64706F"/>
    <w:rsid w:val="7E7C1973"/>
    <w:rsid w:val="7E7D317B"/>
    <w:rsid w:val="7E8D3214"/>
    <w:rsid w:val="7E915650"/>
    <w:rsid w:val="7E952976"/>
    <w:rsid w:val="7E9674C8"/>
    <w:rsid w:val="7EB73BF1"/>
    <w:rsid w:val="7EB75F10"/>
    <w:rsid w:val="7EB80529"/>
    <w:rsid w:val="7EB92E8B"/>
    <w:rsid w:val="7ECA4256"/>
    <w:rsid w:val="7ECF5F7A"/>
    <w:rsid w:val="7ED04D1C"/>
    <w:rsid w:val="7ED752CD"/>
    <w:rsid w:val="7EE0213B"/>
    <w:rsid w:val="7EEC1096"/>
    <w:rsid w:val="7EFC0461"/>
    <w:rsid w:val="7EFD0070"/>
    <w:rsid w:val="7F063030"/>
    <w:rsid w:val="7F09779F"/>
    <w:rsid w:val="7F1B05FD"/>
    <w:rsid w:val="7F1D0A11"/>
    <w:rsid w:val="7F337199"/>
    <w:rsid w:val="7F3B4439"/>
    <w:rsid w:val="7F40213C"/>
    <w:rsid w:val="7F4C0ED5"/>
    <w:rsid w:val="7F5C3BF7"/>
    <w:rsid w:val="7F76D771"/>
    <w:rsid w:val="7F8440CB"/>
    <w:rsid w:val="7F943F09"/>
    <w:rsid w:val="7F9A1937"/>
    <w:rsid w:val="7F9B559F"/>
    <w:rsid w:val="7FA00957"/>
    <w:rsid w:val="7FA072B5"/>
    <w:rsid w:val="7FA62219"/>
    <w:rsid w:val="7FAE0F58"/>
    <w:rsid w:val="7FB76872"/>
    <w:rsid w:val="7FBF9542"/>
    <w:rsid w:val="7FE93226"/>
    <w:rsid w:val="7FF10123"/>
    <w:rsid w:val="7FF35F6F"/>
    <w:rsid w:val="7FF739AB"/>
    <w:rsid w:val="7FF847B0"/>
    <w:rsid w:val="7FFF55D0"/>
    <w:rsid w:val="9ECF4E12"/>
    <w:rsid w:val="A3FD840D"/>
    <w:rsid w:val="B6F56A9A"/>
    <w:rsid w:val="B7FDAA39"/>
    <w:rsid w:val="BBEF4418"/>
    <w:rsid w:val="BFCF897A"/>
    <w:rsid w:val="BFE6DD2C"/>
    <w:rsid w:val="C0F64476"/>
    <w:rsid w:val="CBEF6EF8"/>
    <w:rsid w:val="DE7D76AF"/>
    <w:rsid w:val="DFEFA6F6"/>
    <w:rsid w:val="E9D6DDAA"/>
    <w:rsid w:val="EEAF5766"/>
    <w:rsid w:val="EFAEFBD7"/>
    <w:rsid w:val="EFFEADF8"/>
    <w:rsid w:val="F1F3E90F"/>
    <w:rsid w:val="F8FAD7A1"/>
    <w:rsid w:val="FAEFD0B4"/>
    <w:rsid w:val="FC7D4D40"/>
    <w:rsid w:val="FC7F8352"/>
    <w:rsid w:val="FDD34B8F"/>
    <w:rsid w:val="FE7DFF5C"/>
    <w:rsid w:val="FFDFC374"/>
    <w:rsid w:val="FFFE368D"/>
    <w:rsid w:val="FFFEF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nhideWhenUsed="0" w:uiPriority="1" w:semiHidden="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66"/>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59"/>
    <w:qFormat/>
    <w:uiPriority w:val="0"/>
    <w:pPr>
      <w:keepNext/>
      <w:keepLines/>
      <w:spacing w:before="260" w:after="260" w:line="413" w:lineRule="auto"/>
      <w:outlineLvl w:val="2"/>
    </w:pPr>
    <w:rPr>
      <w:b/>
      <w:bCs/>
      <w:sz w:val="32"/>
      <w:szCs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sz w:val="28"/>
    </w:rPr>
  </w:style>
  <w:style w:type="paragraph" w:styleId="7">
    <w:name w:val="heading 6"/>
    <w:basedOn w:val="1"/>
    <w:next w:val="1"/>
    <w:link w:val="60"/>
    <w:qFormat/>
    <w:uiPriority w:val="0"/>
    <w:pPr>
      <w:keepNext/>
      <w:keepLines/>
      <w:spacing w:before="240" w:after="64" w:line="320" w:lineRule="auto"/>
      <w:outlineLvl w:val="5"/>
    </w:pPr>
    <w:rPr>
      <w:rFonts w:ascii="Cambria" w:hAnsi="Cambria"/>
      <w:b/>
      <w:bCs/>
      <w:sz w:val="24"/>
    </w:rPr>
  </w:style>
  <w:style w:type="paragraph" w:styleId="8">
    <w:name w:val="heading 8"/>
    <w:basedOn w:val="1"/>
    <w:next w:val="1"/>
    <w:qFormat/>
    <w:uiPriority w:val="1"/>
    <w:pPr>
      <w:ind w:left="220" w:hanging="223"/>
      <w:outlineLvl w:val="7"/>
    </w:pPr>
    <w:rPr>
      <w:rFonts w:ascii="宋体" w:hAnsi="宋体" w:cs="宋体"/>
      <w:sz w:val="22"/>
      <w:szCs w:val="22"/>
      <w:lang w:val="zh-CN" w:bidi="zh-CN"/>
    </w:rPr>
  </w:style>
  <w:style w:type="paragraph" w:styleId="9">
    <w:name w:val="heading 9"/>
    <w:basedOn w:val="1"/>
    <w:next w:val="1"/>
    <w:qFormat/>
    <w:uiPriority w:val="1"/>
    <w:pPr>
      <w:ind w:left="640"/>
      <w:outlineLvl w:val="8"/>
    </w:pPr>
    <w:rPr>
      <w:rFonts w:ascii="宋体" w:hAnsi="宋体" w:cs="宋体"/>
      <w:b/>
      <w:bCs/>
      <w:szCs w:val="21"/>
      <w:lang w:val="zh-CN" w:bidi="zh-CN"/>
    </w:rPr>
  </w:style>
  <w:style w:type="character" w:default="1" w:styleId="41">
    <w:name w:val="Default Paragraph Font"/>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customStyle="1" w:styleId="2">
    <w:name w:val="标书正文"/>
    <w:basedOn w:val="1"/>
    <w:qFormat/>
    <w:uiPriority w:val="0"/>
    <w:pPr>
      <w:suppressAutoHyphens/>
      <w:autoSpaceDE w:val="0"/>
      <w:autoSpaceDN w:val="0"/>
      <w:adjustRightInd w:val="0"/>
      <w:snapToGrid w:val="0"/>
    </w:pPr>
    <w:rPr>
      <w:rFonts w:ascii="Times New Roman" w:hAnsi="Times New Roman" w:eastAsia="仿宋_GB2312"/>
      <w:sz w:val="32"/>
      <w:szCs w:val="24"/>
    </w:rPr>
  </w:style>
  <w:style w:type="paragraph" w:styleId="10">
    <w:name w:val="List Number"/>
    <w:basedOn w:val="1"/>
    <w:qFormat/>
    <w:uiPriority w:val="0"/>
    <w:pPr>
      <w:widowControl/>
      <w:numPr>
        <w:ilvl w:val="0"/>
        <w:numId w:val="1"/>
      </w:numPr>
      <w:tabs>
        <w:tab w:val="left" w:pos="454"/>
        <w:tab w:val="left" w:pos="720"/>
      </w:tabs>
      <w:spacing w:afterLines="50"/>
      <w:jc w:val="left"/>
    </w:pPr>
    <w:rPr>
      <w:kern w:val="0"/>
      <w:sz w:val="24"/>
      <w:szCs w:val="20"/>
    </w:rPr>
  </w:style>
  <w:style w:type="paragraph" w:styleId="11">
    <w:name w:val="Normal Indent"/>
    <w:basedOn w:val="1"/>
    <w:next w:val="12"/>
    <w:link w:val="85"/>
    <w:qFormat/>
    <w:uiPriority w:val="0"/>
    <w:pPr>
      <w:ind w:firstLine="420"/>
    </w:pPr>
    <w:rPr>
      <w:szCs w:val="20"/>
    </w:rPr>
  </w:style>
  <w:style w:type="paragraph" w:styleId="12">
    <w:name w:val="Body Text Indent"/>
    <w:basedOn w:val="1"/>
    <w:qFormat/>
    <w:uiPriority w:val="0"/>
    <w:pPr>
      <w:spacing w:after="120"/>
      <w:ind w:left="420" w:leftChars="200"/>
    </w:p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Document Map"/>
    <w:basedOn w:val="1"/>
    <w:link w:val="68"/>
    <w:qFormat/>
    <w:uiPriority w:val="0"/>
    <w:rPr>
      <w:rFonts w:ascii="Helvetica" w:hAnsi="Helvetica"/>
      <w:sz w:val="24"/>
    </w:rPr>
  </w:style>
  <w:style w:type="paragraph" w:styleId="15">
    <w:name w:val="annotation text"/>
    <w:basedOn w:val="1"/>
    <w:link w:val="70"/>
    <w:qFormat/>
    <w:uiPriority w:val="0"/>
    <w:pPr>
      <w:jc w:val="left"/>
    </w:pPr>
  </w:style>
  <w:style w:type="paragraph" w:styleId="16">
    <w:name w:val="Salutation"/>
    <w:basedOn w:val="1"/>
    <w:next w:val="1"/>
    <w:qFormat/>
    <w:uiPriority w:val="0"/>
    <w:rPr>
      <w:sz w:val="24"/>
    </w:rPr>
  </w:style>
  <w:style w:type="paragraph" w:styleId="17">
    <w:name w:val="Body Text 3"/>
    <w:basedOn w:val="1"/>
    <w:link w:val="55"/>
    <w:qFormat/>
    <w:uiPriority w:val="0"/>
    <w:pPr>
      <w:spacing w:after="120"/>
    </w:pPr>
    <w:rPr>
      <w:sz w:val="16"/>
      <w:szCs w:val="16"/>
    </w:rPr>
  </w:style>
  <w:style w:type="paragraph" w:styleId="18">
    <w:name w:val="Body Text"/>
    <w:basedOn w:val="1"/>
    <w:next w:val="19"/>
    <w:link w:val="57"/>
    <w:qFormat/>
    <w:uiPriority w:val="0"/>
    <w:pPr>
      <w:spacing w:after="120"/>
    </w:pPr>
  </w:style>
  <w:style w:type="paragraph" w:styleId="19">
    <w:name w:val="Body Text First Indent"/>
    <w:basedOn w:val="18"/>
    <w:next w:val="20"/>
    <w:unhideWhenUsed/>
    <w:qFormat/>
    <w:uiPriority w:val="99"/>
    <w:pPr>
      <w:spacing w:line="360" w:lineRule="auto"/>
      <w:ind w:firstLine="200" w:firstLineChars="200"/>
    </w:pPr>
    <w:rPr>
      <w:rFonts w:ascii="仿宋_GB2312" w:eastAsia="仿宋_GB2312"/>
      <w:bCs/>
      <w:sz w:val="30"/>
    </w:rPr>
  </w:style>
  <w:style w:type="paragraph" w:styleId="20">
    <w:name w:val="toc 6"/>
    <w:basedOn w:val="1"/>
    <w:next w:val="1"/>
    <w:unhideWhenUsed/>
    <w:qFormat/>
    <w:uiPriority w:val="39"/>
    <w:pPr>
      <w:ind w:left="2100" w:leftChars="1000"/>
    </w:pPr>
  </w:style>
  <w:style w:type="paragraph" w:styleId="21">
    <w:name w:val="List 2"/>
    <w:basedOn w:val="1"/>
    <w:qFormat/>
    <w:uiPriority w:val="0"/>
    <w:pPr>
      <w:ind w:left="100" w:leftChars="200" w:hanging="200" w:hangingChars="200"/>
    </w:pPr>
  </w:style>
  <w:style w:type="paragraph" w:styleId="22">
    <w:name w:val="toc 3"/>
    <w:basedOn w:val="1"/>
    <w:next w:val="1"/>
    <w:qFormat/>
    <w:uiPriority w:val="0"/>
    <w:pPr>
      <w:ind w:left="840" w:leftChars="400"/>
    </w:pPr>
  </w:style>
  <w:style w:type="paragraph" w:styleId="23">
    <w:name w:val="Plain Text"/>
    <w:basedOn w:val="1"/>
    <w:next w:val="1"/>
    <w:link w:val="63"/>
    <w:qFormat/>
    <w:uiPriority w:val="0"/>
    <w:rPr>
      <w:sz w:val="24"/>
      <w:szCs w:val="20"/>
    </w:rPr>
  </w:style>
  <w:style w:type="paragraph" w:styleId="24">
    <w:name w:val="Date"/>
    <w:basedOn w:val="1"/>
    <w:next w:val="1"/>
    <w:link w:val="73"/>
    <w:qFormat/>
    <w:uiPriority w:val="0"/>
    <w:pPr>
      <w:ind w:left="2500" w:leftChars="2500"/>
    </w:pPr>
    <w:rPr>
      <w:rFonts w:eastAsia="楷体_GB2312"/>
      <w:sz w:val="32"/>
      <w:szCs w:val="20"/>
    </w:rPr>
  </w:style>
  <w:style w:type="paragraph" w:styleId="25">
    <w:name w:val="Body Text Indent 2"/>
    <w:basedOn w:val="1"/>
    <w:link w:val="67"/>
    <w:qFormat/>
    <w:uiPriority w:val="0"/>
    <w:pPr>
      <w:spacing w:after="120" w:line="480" w:lineRule="auto"/>
      <w:ind w:left="420" w:leftChars="200"/>
    </w:pPr>
  </w:style>
  <w:style w:type="paragraph" w:styleId="26">
    <w:name w:val="endnote text"/>
    <w:basedOn w:val="1"/>
    <w:link w:val="56"/>
    <w:qFormat/>
    <w:uiPriority w:val="0"/>
    <w:pPr>
      <w:snapToGrid w:val="0"/>
      <w:jc w:val="left"/>
    </w:pPr>
  </w:style>
  <w:style w:type="paragraph" w:styleId="27">
    <w:name w:val="Balloon Text"/>
    <w:basedOn w:val="1"/>
    <w:link w:val="76"/>
    <w:qFormat/>
    <w:uiPriority w:val="0"/>
    <w:rPr>
      <w:sz w:val="18"/>
      <w:szCs w:val="18"/>
    </w:rPr>
  </w:style>
  <w:style w:type="paragraph" w:styleId="28">
    <w:name w:val="footer"/>
    <w:basedOn w:val="1"/>
    <w:link w:val="71"/>
    <w:qFormat/>
    <w:uiPriority w:val="99"/>
    <w:pPr>
      <w:tabs>
        <w:tab w:val="center" w:pos="4153"/>
        <w:tab w:val="right" w:pos="8306"/>
      </w:tabs>
      <w:snapToGrid w:val="0"/>
      <w:jc w:val="left"/>
    </w:pPr>
    <w:rPr>
      <w:sz w:val="18"/>
      <w:szCs w:val="18"/>
    </w:rPr>
  </w:style>
  <w:style w:type="paragraph" w:styleId="29">
    <w:name w:val="header"/>
    <w:basedOn w:val="1"/>
    <w:link w:val="82"/>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style>
  <w:style w:type="paragraph" w:styleId="31">
    <w:name w:val="List"/>
    <w:basedOn w:val="1"/>
    <w:qFormat/>
    <w:uiPriority w:val="0"/>
    <w:pPr>
      <w:ind w:left="200" w:hanging="200" w:hangingChars="200"/>
    </w:pPr>
  </w:style>
  <w:style w:type="paragraph" w:styleId="32">
    <w:name w:val="Body Text Indent 3"/>
    <w:basedOn w:val="1"/>
    <w:link w:val="61"/>
    <w:qFormat/>
    <w:uiPriority w:val="0"/>
    <w:pPr>
      <w:ind w:firstLine="435"/>
    </w:pPr>
  </w:style>
  <w:style w:type="paragraph" w:styleId="33">
    <w:name w:val="toc 2"/>
    <w:basedOn w:val="1"/>
    <w:next w:val="1"/>
    <w:qFormat/>
    <w:uiPriority w:val="39"/>
    <w:pPr>
      <w:ind w:left="420" w:leftChars="200"/>
    </w:pPr>
  </w:style>
  <w:style w:type="paragraph" w:styleId="34">
    <w:name w:val="Body Text 2"/>
    <w:basedOn w:val="1"/>
    <w:link w:val="62"/>
    <w:qFormat/>
    <w:uiPriority w:val="0"/>
    <w:pPr>
      <w:spacing w:after="120" w:line="480" w:lineRule="auto"/>
    </w:pPr>
  </w:style>
  <w:style w:type="paragraph" w:styleId="35">
    <w:name w:val="Normal (Web)"/>
    <w:basedOn w:val="1"/>
    <w:next w:val="1"/>
    <w:unhideWhenUsed/>
    <w:qFormat/>
    <w:uiPriority w:val="0"/>
    <w:pPr>
      <w:widowControl/>
      <w:spacing w:before="240" w:after="240"/>
      <w:jc w:val="left"/>
    </w:pPr>
    <w:rPr>
      <w:rFonts w:ascii="宋体" w:hAnsi="宋体" w:cs="宋体"/>
      <w:kern w:val="0"/>
      <w:sz w:val="24"/>
    </w:rPr>
  </w:style>
  <w:style w:type="paragraph" w:styleId="36">
    <w:name w:val="Title"/>
    <w:basedOn w:val="1"/>
    <w:next w:val="1"/>
    <w:link w:val="84"/>
    <w:qFormat/>
    <w:uiPriority w:val="10"/>
    <w:pPr>
      <w:spacing w:before="240" w:after="60"/>
      <w:jc w:val="center"/>
      <w:outlineLvl w:val="0"/>
    </w:pPr>
    <w:rPr>
      <w:rFonts w:ascii="Cambria" w:hAnsi="Cambria"/>
      <w:b/>
      <w:bCs/>
      <w:sz w:val="32"/>
      <w:szCs w:val="32"/>
    </w:rPr>
  </w:style>
  <w:style w:type="paragraph" w:styleId="37">
    <w:name w:val="annotation subject"/>
    <w:basedOn w:val="15"/>
    <w:next w:val="15"/>
    <w:link w:val="75"/>
    <w:qFormat/>
    <w:uiPriority w:val="0"/>
    <w:rPr>
      <w:b/>
      <w:bCs/>
    </w:rPr>
  </w:style>
  <w:style w:type="paragraph" w:styleId="38">
    <w:name w:val="Body Text First Indent 2"/>
    <w:basedOn w:val="12"/>
    <w:qFormat/>
    <w:uiPriority w:val="0"/>
    <w:pPr>
      <w:autoSpaceDE w:val="0"/>
      <w:autoSpaceDN w:val="0"/>
      <w:adjustRightInd w:val="0"/>
      <w:ind w:firstLine="420" w:firstLineChars="200"/>
      <w:jc w:val="left"/>
    </w:p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22"/>
    <w:rPr>
      <w:b/>
    </w:rPr>
  </w:style>
  <w:style w:type="character" w:styleId="43">
    <w:name w:val="endnote reference"/>
    <w:qFormat/>
    <w:uiPriority w:val="0"/>
    <w:rPr>
      <w:vertAlign w:val="superscript"/>
    </w:rPr>
  </w:style>
  <w:style w:type="character" w:styleId="44">
    <w:name w:val="page number"/>
    <w:basedOn w:val="41"/>
    <w:qFormat/>
    <w:uiPriority w:val="0"/>
  </w:style>
  <w:style w:type="character" w:styleId="45">
    <w:name w:val="FollowedHyperlink"/>
    <w:qFormat/>
    <w:uiPriority w:val="0"/>
    <w:rPr>
      <w:color w:val="800080"/>
      <w:u w:val="single"/>
    </w:rPr>
  </w:style>
  <w:style w:type="character" w:styleId="46">
    <w:name w:val="Hyperlink"/>
    <w:qFormat/>
    <w:uiPriority w:val="99"/>
    <w:rPr>
      <w:color w:val="0000FF"/>
      <w:u w:val="single"/>
    </w:rPr>
  </w:style>
  <w:style w:type="character" w:styleId="47">
    <w:name w:val="annotation reference"/>
    <w:qFormat/>
    <w:uiPriority w:val="0"/>
    <w:rPr>
      <w:sz w:val="21"/>
      <w:szCs w:val="21"/>
    </w:rPr>
  </w:style>
  <w:style w:type="paragraph" w:customStyle="1" w:styleId="48">
    <w:name w:val="正文首行缩进1"/>
    <w:basedOn w:val="18"/>
    <w:qFormat/>
    <w:uiPriority w:val="0"/>
    <w:pPr>
      <w:ind w:firstLine="420" w:firstLineChars="100"/>
    </w:pPr>
    <w:rPr>
      <w:rFonts w:ascii="Calibri" w:hAnsi="Calibri"/>
      <w:szCs w:val="22"/>
    </w:rPr>
  </w:style>
  <w:style w:type="paragraph" w:customStyle="1" w:styleId="49">
    <w:name w:val="正文1"/>
    <w:basedOn w:val="1"/>
    <w:qFormat/>
    <w:uiPriority w:val="0"/>
    <w:pPr>
      <w:adjustRightInd w:val="0"/>
      <w:spacing w:line="318" w:lineRule="atLeast"/>
      <w:ind w:left="369" w:firstLine="369"/>
      <w:textAlignment w:val="baseline"/>
    </w:pPr>
    <w:rPr>
      <w:rFonts w:ascii="宋体"/>
      <w:szCs w:val="20"/>
    </w:rPr>
  </w:style>
  <w:style w:type="paragraph" w:customStyle="1" w:styleId="50">
    <w:name w:val="Default"/>
    <w:next w:val="28"/>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1">
    <w:name w:val="表格文字"/>
    <w:next w:val="18"/>
    <w:link w:val="80"/>
    <w:qFormat/>
    <w:locked/>
    <w:uiPriority w:val="0"/>
    <w:pPr>
      <w:spacing w:beforeLines="25" w:afterLines="25"/>
      <w:jc w:val="center"/>
    </w:pPr>
    <w:rPr>
      <w:rFonts w:ascii="Times New Roman" w:hAnsi="Times New Roman" w:eastAsia="宋体" w:cs="Times New Roman"/>
      <w:kern w:val="2"/>
      <w:sz w:val="24"/>
      <w:szCs w:val="28"/>
      <w:lang w:val="en-US" w:eastAsia="zh-CN" w:bidi="ar-SA"/>
    </w:rPr>
  </w:style>
  <w:style w:type="character" w:customStyle="1" w:styleId="52">
    <w:name w:val="NormalCharacter"/>
    <w:qFormat/>
    <w:uiPriority w:val="0"/>
    <w:rPr>
      <w:rFonts w:ascii="Times New Roman" w:hAnsi="Times New Roman" w:eastAsia="宋体" w:cs="Times New Roman"/>
    </w:rPr>
  </w:style>
  <w:style w:type="character" w:customStyle="1" w:styleId="53">
    <w:name w:val="标3 Char"/>
    <w:link w:val="54"/>
    <w:qFormat/>
    <w:uiPriority w:val="0"/>
    <w:rPr>
      <w:rFonts w:ascii="Arial Narrow" w:hAnsi="Arial Narrow" w:eastAsia="仿宋_GB2312"/>
      <w:sz w:val="32"/>
      <w:szCs w:val="32"/>
    </w:rPr>
  </w:style>
  <w:style w:type="paragraph" w:customStyle="1" w:styleId="54">
    <w:name w:val="标3"/>
    <w:basedOn w:val="1"/>
    <w:link w:val="53"/>
    <w:qFormat/>
    <w:uiPriority w:val="0"/>
    <w:pPr>
      <w:numPr>
        <w:ilvl w:val="2"/>
        <w:numId w:val="2"/>
      </w:numPr>
      <w:adjustRightInd w:val="0"/>
      <w:snapToGrid w:val="0"/>
      <w:spacing w:beforeLines="50"/>
      <w:outlineLvl w:val="2"/>
    </w:pPr>
    <w:rPr>
      <w:rFonts w:ascii="Arial Narrow" w:hAnsi="Arial Narrow" w:eastAsia="仿宋_GB2312"/>
      <w:kern w:val="0"/>
      <w:sz w:val="32"/>
      <w:szCs w:val="32"/>
    </w:rPr>
  </w:style>
  <w:style w:type="character" w:customStyle="1" w:styleId="55">
    <w:name w:val="正文文本 3 Char"/>
    <w:link w:val="17"/>
    <w:qFormat/>
    <w:uiPriority w:val="0"/>
    <w:rPr>
      <w:kern w:val="2"/>
      <w:sz w:val="16"/>
      <w:szCs w:val="16"/>
    </w:rPr>
  </w:style>
  <w:style w:type="character" w:customStyle="1" w:styleId="56">
    <w:name w:val="尾注文本 Char"/>
    <w:link w:val="26"/>
    <w:qFormat/>
    <w:uiPriority w:val="0"/>
    <w:rPr>
      <w:kern w:val="2"/>
      <w:sz w:val="21"/>
      <w:szCs w:val="24"/>
    </w:rPr>
  </w:style>
  <w:style w:type="character" w:customStyle="1" w:styleId="57">
    <w:name w:val="正文文本 Char"/>
    <w:link w:val="18"/>
    <w:qFormat/>
    <w:uiPriority w:val="0"/>
    <w:rPr>
      <w:kern w:val="2"/>
      <w:sz w:val="21"/>
      <w:szCs w:val="24"/>
    </w:rPr>
  </w:style>
  <w:style w:type="character" w:customStyle="1" w:styleId="58">
    <w:name w:val="font31"/>
    <w:qFormat/>
    <w:uiPriority w:val="0"/>
    <w:rPr>
      <w:rFonts w:hint="eastAsia" w:ascii="宋体" w:hAnsi="宋体" w:eastAsia="宋体" w:cs="宋体"/>
      <w:color w:val="000000"/>
      <w:sz w:val="24"/>
      <w:szCs w:val="24"/>
      <w:u w:val="none"/>
    </w:rPr>
  </w:style>
  <w:style w:type="character" w:customStyle="1" w:styleId="59">
    <w:name w:val="标题 3 Char"/>
    <w:link w:val="5"/>
    <w:qFormat/>
    <w:uiPriority w:val="0"/>
    <w:rPr>
      <w:b/>
      <w:bCs/>
      <w:kern w:val="2"/>
      <w:sz w:val="32"/>
      <w:szCs w:val="32"/>
    </w:rPr>
  </w:style>
  <w:style w:type="character" w:customStyle="1" w:styleId="60">
    <w:name w:val="标题 6 Char"/>
    <w:link w:val="7"/>
    <w:semiHidden/>
    <w:qFormat/>
    <w:uiPriority w:val="0"/>
    <w:rPr>
      <w:rFonts w:ascii="Cambria" w:hAnsi="Cambria" w:eastAsia="宋体" w:cs="Times New Roman"/>
      <w:b/>
      <w:bCs/>
      <w:kern w:val="2"/>
      <w:sz w:val="24"/>
      <w:szCs w:val="24"/>
    </w:rPr>
  </w:style>
  <w:style w:type="character" w:customStyle="1" w:styleId="61">
    <w:name w:val="正文文本缩进 3 Char"/>
    <w:link w:val="32"/>
    <w:qFormat/>
    <w:uiPriority w:val="0"/>
    <w:rPr>
      <w:kern w:val="2"/>
      <w:sz w:val="21"/>
      <w:szCs w:val="24"/>
    </w:rPr>
  </w:style>
  <w:style w:type="character" w:customStyle="1" w:styleId="62">
    <w:name w:val="正文文本 2 Char"/>
    <w:link w:val="34"/>
    <w:qFormat/>
    <w:uiPriority w:val="0"/>
    <w:rPr>
      <w:kern w:val="2"/>
      <w:sz w:val="21"/>
      <w:szCs w:val="24"/>
    </w:rPr>
  </w:style>
  <w:style w:type="character" w:customStyle="1" w:styleId="63">
    <w:name w:val="纯文本 Char"/>
    <w:link w:val="23"/>
    <w:qFormat/>
    <w:uiPriority w:val="0"/>
    <w:rPr>
      <w:rFonts w:eastAsia="宋体"/>
      <w:kern w:val="2"/>
      <w:sz w:val="24"/>
      <w:lang w:val="en-US" w:eastAsia="zh-CN" w:bidi="ar-SA"/>
    </w:rPr>
  </w:style>
  <w:style w:type="character" w:customStyle="1" w:styleId="64">
    <w:name w:val="标题 1字符"/>
    <w:qFormat/>
    <w:uiPriority w:val="0"/>
    <w:rPr>
      <w:b/>
      <w:bCs/>
      <w:kern w:val="44"/>
      <w:sz w:val="44"/>
      <w:szCs w:val="44"/>
    </w:rPr>
  </w:style>
  <w:style w:type="character" w:customStyle="1" w:styleId="65">
    <w:name w:val="无"/>
    <w:qFormat/>
    <w:uiPriority w:val="99"/>
  </w:style>
  <w:style w:type="character" w:customStyle="1" w:styleId="66">
    <w:name w:val="标题 2 Char"/>
    <w:link w:val="4"/>
    <w:qFormat/>
    <w:uiPriority w:val="9"/>
    <w:rPr>
      <w:rFonts w:ascii="Arial" w:hAnsi="Arial" w:eastAsia="黑体"/>
      <w:b/>
      <w:bCs/>
      <w:kern w:val="2"/>
      <w:sz w:val="32"/>
      <w:szCs w:val="32"/>
    </w:rPr>
  </w:style>
  <w:style w:type="character" w:customStyle="1" w:styleId="67">
    <w:name w:val="正文文本缩进 2 Char"/>
    <w:link w:val="25"/>
    <w:qFormat/>
    <w:uiPriority w:val="0"/>
    <w:rPr>
      <w:kern w:val="2"/>
      <w:sz w:val="21"/>
      <w:szCs w:val="24"/>
    </w:rPr>
  </w:style>
  <w:style w:type="character" w:customStyle="1" w:styleId="68">
    <w:name w:val="文档结构图 Char"/>
    <w:link w:val="14"/>
    <w:qFormat/>
    <w:uiPriority w:val="0"/>
    <w:rPr>
      <w:rFonts w:ascii="Helvetica" w:hAnsi="Helvetica"/>
      <w:kern w:val="2"/>
      <w:sz w:val="24"/>
      <w:szCs w:val="24"/>
    </w:rPr>
  </w:style>
  <w:style w:type="character" w:customStyle="1" w:styleId="69">
    <w:name w:val="Char Char Char"/>
    <w:qFormat/>
    <w:uiPriority w:val="0"/>
    <w:rPr>
      <w:rFonts w:ascii="宋体" w:hAnsi="Courier New" w:eastAsia="宋体"/>
      <w:kern w:val="2"/>
      <w:sz w:val="24"/>
      <w:szCs w:val="24"/>
      <w:lang w:val="en-US" w:eastAsia="zh-CN" w:bidi="ar-SA"/>
    </w:rPr>
  </w:style>
  <w:style w:type="character" w:customStyle="1" w:styleId="70">
    <w:name w:val="批注文字 Char"/>
    <w:link w:val="15"/>
    <w:qFormat/>
    <w:uiPriority w:val="0"/>
    <w:rPr>
      <w:kern w:val="2"/>
      <w:sz w:val="21"/>
      <w:szCs w:val="24"/>
    </w:rPr>
  </w:style>
  <w:style w:type="character" w:customStyle="1" w:styleId="71">
    <w:name w:val="页脚 Char"/>
    <w:link w:val="28"/>
    <w:qFormat/>
    <w:uiPriority w:val="99"/>
    <w:rPr>
      <w:kern w:val="2"/>
      <w:sz w:val="18"/>
      <w:szCs w:val="18"/>
    </w:rPr>
  </w:style>
  <w:style w:type="character" w:customStyle="1" w:styleId="72">
    <w:name w:val="纯文本 Char1"/>
    <w:qFormat/>
    <w:locked/>
    <w:uiPriority w:val="0"/>
    <w:rPr>
      <w:rFonts w:ascii="宋体" w:hAnsi="Courier New" w:eastAsia="宋体" w:cs="Times New Roman"/>
      <w:szCs w:val="21"/>
    </w:rPr>
  </w:style>
  <w:style w:type="character" w:customStyle="1" w:styleId="73">
    <w:name w:val="日期 Char"/>
    <w:link w:val="24"/>
    <w:qFormat/>
    <w:uiPriority w:val="0"/>
    <w:rPr>
      <w:rFonts w:eastAsia="楷体_GB2312"/>
      <w:kern w:val="2"/>
      <w:sz w:val="32"/>
    </w:rPr>
  </w:style>
  <w:style w:type="character" w:customStyle="1" w:styleId="74">
    <w:name w:val="Char Char"/>
    <w:qFormat/>
    <w:uiPriority w:val="0"/>
    <w:rPr>
      <w:rFonts w:ascii="宋体" w:hAnsi="Courier New" w:eastAsia="宋体"/>
      <w:kern w:val="2"/>
      <w:sz w:val="24"/>
      <w:szCs w:val="24"/>
      <w:lang w:val="en-US" w:eastAsia="zh-CN" w:bidi="ar-SA"/>
    </w:rPr>
  </w:style>
  <w:style w:type="character" w:customStyle="1" w:styleId="75">
    <w:name w:val="批注主题 Char"/>
    <w:link w:val="37"/>
    <w:qFormat/>
    <w:uiPriority w:val="0"/>
    <w:rPr>
      <w:b/>
      <w:bCs/>
      <w:kern w:val="2"/>
      <w:sz w:val="21"/>
      <w:szCs w:val="24"/>
    </w:rPr>
  </w:style>
  <w:style w:type="character" w:customStyle="1" w:styleId="76">
    <w:name w:val="批注框文本 Char"/>
    <w:link w:val="27"/>
    <w:qFormat/>
    <w:uiPriority w:val="0"/>
    <w:rPr>
      <w:kern w:val="2"/>
      <w:sz w:val="18"/>
      <w:szCs w:val="18"/>
    </w:rPr>
  </w:style>
  <w:style w:type="character" w:customStyle="1" w:styleId="77">
    <w:name w:val="font01"/>
    <w:qFormat/>
    <w:uiPriority w:val="0"/>
    <w:rPr>
      <w:rFonts w:hint="default" w:ascii="Arial" w:hAnsi="Arial" w:cs="Arial"/>
      <w:color w:val="000000"/>
      <w:sz w:val="24"/>
      <w:szCs w:val="24"/>
      <w:u w:val="none"/>
    </w:rPr>
  </w:style>
  <w:style w:type="character" w:customStyle="1" w:styleId="78">
    <w:name w:val="font11"/>
    <w:qFormat/>
    <w:uiPriority w:val="0"/>
    <w:rPr>
      <w:rFonts w:hint="eastAsia" w:ascii="宋体" w:hAnsi="宋体" w:eastAsia="宋体" w:cs="宋体"/>
      <w:b/>
      <w:color w:val="000000"/>
      <w:sz w:val="24"/>
      <w:szCs w:val="24"/>
      <w:u w:val="none"/>
    </w:rPr>
  </w:style>
  <w:style w:type="character" w:customStyle="1" w:styleId="79">
    <w:name w:val="apple-converted-space"/>
    <w:qFormat/>
    <w:uiPriority w:val="0"/>
  </w:style>
  <w:style w:type="character" w:customStyle="1" w:styleId="80">
    <w:name w:val="表格文字 Char Char"/>
    <w:link w:val="51"/>
    <w:qFormat/>
    <w:locked/>
    <w:uiPriority w:val="0"/>
    <w:rPr>
      <w:kern w:val="2"/>
      <w:sz w:val="24"/>
      <w:szCs w:val="28"/>
      <w:lang w:val="en-US" w:eastAsia="zh-CN" w:bidi="ar-SA"/>
    </w:rPr>
  </w:style>
  <w:style w:type="character" w:customStyle="1" w:styleId="81">
    <w:name w:val="标题 1 Char"/>
    <w:link w:val="3"/>
    <w:qFormat/>
    <w:uiPriority w:val="0"/>
    <w:rPr>
      <w:rFonts w:ascii="Times New Roman" w:hAnsi="Times New Roman" w:eastAsia="宋体"/>
      <w:b/>
      <w:bCs/>
      <w:kern w:val="44"/>
      <w:sz w:val="44"/>
      <w:szCs w:val="44"/>
      <w:lang w:val="en-US" w:eastAsia="zh-CN" w:bidi="ar-SA"/>
    </w:rPr>
  </w:style>
  <w:style w:type="character" w:customStyle="1" w:styleId="82">
    <w:name w:val="页眉 Char"/>
    <w:link w:val="29"/>
    <w:qFormat/>
    <w:uiPriority w:val="99"/>
    <w:rPr>
      <w:kern w:val="2"/>
      <w:sz w:val="18"/>
      <w:szCs w:val="18"/>
    </w:rPr>
  </w:style>
  <w:style w:type="character" w:customStyle="1" w:styleId="83">
    <w:name w:val="标题 1 Char1"/>
    <w:qFormat/>
    <w:uiPriority w:val="0"/>
    <w:rPr>
      <w:rFonts w:ascii="Times New Roman" w:hAnsi="Times New Roman" w:eastAsia="宋体"/>
      <w:b/>
      <w:bCs/>
      <w:kern w:val="44"/>
      <w:sz w:val="44"/>
      <w:szCs w:val="44"/>
      <w:lang w:val="en-US" w:eastAsia="zh-CN" w:bidi="ar-SA"/>
    </w:rPr>
  </w:style>
  <w:style w:type="character" w:customStyle="1" w:styleId="84">
    <w:name w:val="标题 Char"/>
    <w:link w:val="36"/>
    <w:qFormat/>
    <w:uiPriority w:val="10"/>
    <w:rPr>
      <w:rFonts w:ascii="Cambria" w:hAnsi="Cambria"/>
      <w:b/>
      <w:bCs/>
      <w:kern w:val="2"/>
      <w:sz w:val="32"/>
      <w:szCs w:val="32"/>
    </w:rPr>
  </w:style>
  <w:style w:type="character" w:customStyle="1" w:styleId="85">
    <w:name w:val="正文缩进 Char"/>
    <w:link w:val="11"/>
    <w:qFormat/>
    <w:uiPriority w:val="0"/>
    <w:rPr>
      <w:kern w:val="2"/>
      <w:sz w:val="21"/>
    </w:rPr>
  </w:style>
  <w:style w:type="character" w:customStyle="1" w:styleId="86">
    <w:name w:val="font21"/>
    <w:qFormat/>
    <w:uiPriority w:val="0"/>
    <w:rPr>
      <w:rFonts w:ascii="幼圆" w:hAnsi="幼圆" w:eastAsia="幼圆" w:cs="幼圆"/>
      <w:color w:val="000000"/>
      <w:sz w:val="20"/>
      <w:szCs w:val="20"/>
      <w:u w:val="none"/>
    </w:rPr>
  </w:style>
  <w:style w:type="paragraph" w:customStyle="1" w:styleId="87">
    <w:name w:val="章正文"/>
    <w:basedOn w:val="1"/>
    <w:qFormat/>
    <w:uiPriority w:val="99"/>
    <w:pPr>
      <w:spacing w:beforeLines="50" w:after="120" w:line="300" w:lineRule="auto"/>
      <w:ind w:firstLine="480"/>
    </w:pPr>
    <w:rPr>
      <w:rFonts w:ascii="Helvetica" w:hAnsi="Helvetica"/>
      <w:kern w:val="0"/>
      <w:sz w:val="24"/>
    </w:rPr>
  </w:style>
  <w:style w:type="paragraph" w:customStyle="1" w:styleId="88">
    <w:name w:val="Char Char3"/>
    <w:basedOn w:val="1"/>
    <w:qFormat/>
    <w:uiPriority w:val="0"/>
  </w:style>
  <w:style w:type="paragraph" w:customStyle="1" w:styleId="89">
    <w:name w:val="样式 表格正文 + 两端对齐"/>
    <w:basedOn w:val="1"/>
    <w:next w:val="90"/>
    <w:qFormat/>
    <w:uiPriority w:val="0"/>
    <w:pPr>
      <w:spacing w:line="300" w:lineRule="auto"/>
    </w:pPr>
  </w:style>
  <w:style w:type="paragraph" w:customStyle="1" w:styleId="90">
    <w:name w:val="正文11"/>
    <w:basedOn w:val="14"/>
    <w:next w:val="1"/>
    <w:qFormat/>
    <w:uiPriority w:val="99"/>
    <w:pPr>
      <w:widowControl/>
      <w:overflowPunct w:val="0"/>
      <w:autoSpaceDE w:val="0"/>
      <w:autoSpaceDN w:val="0"/>
      <w:adjustRightInd w:val="0"/>
      <w:spacing w:line="400" w:lineRule="exact"/>
      <w:textAlignment w:val="baseline"/>
    </w:pPr>
    <w:rPr>
      <w:kern w:val="0"/>
      <w:szCs w:val="20"/>
    </w:rPr>
  </w:style>
  <w:style w:type="paragraph" w:customStyle="1" w:styleId="91">
    <w:name w:val="彩色列表1"/>
    <w:basedOn w:val="1"/>
    <w:qFormat/>
    <w:uiPriority w:val="34"/>
    <w:pPr>
      <w:ind w:firstLine="420" w:firstLineChars="200"/>
    </w:pPr>
    <w:rPr>
      <w:rFonts w:ascii="Verdana" w:hAnsi="Verdana" w:eastAsia="微软雅黑"/>
      <w:szCs w:val="22"/>
    </w:rPr>
  </w:style>
  <w:style w:type="paragraph" w:customStyle="1" w:styleId="92">
    <w:name w:val="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93">
    <w:name w:val="p0"/>
    <w:basedOn w:val="1"/>
    <w:qFormat/>
    <w:uiPriority w:val="0"/>
    <w:pPr>
      <w:widowControl/>
    </w:pPr>
    <w:rPr>
      <w:rFonts w:ascii="Calibri" w:hAnsi="Calibri"/>
      <w:kern w:val="0"/>
      <w:szCs w:val="21"/>
    </w:rPr>
  </w:style>
  <w:style w:type="paragraph" w:customStyle="1" w:styleId="94">
    <w:name w:val="正文样式"/>
    <w:basedOn w:val="1"/>
    <w:unhideWhenUsed/>
    <w:qFormat/>
    <w:uiPriority w:val="7"/>
    <w:pPr>
      <w:spacing w:line="360" w:lineRule="auto"/>
      <w:ind w:firstLine="480" w:firstLineChars="200"/>
    </w:pPr>
    <w:rPr>
      <w:rFonts w:hAnsi="Calibri"/>
      <w:sz w:val="24"/>
      <w:szCs w:val="20"/>
    </w:rPr>
  </w:style>
  <w:style w:type="paragraph" w:customStyle="1" w:styleId="95">
    <w:name w:val="样式 宋体 黑色 行距: 1.5 倍行距"/>
    <w:basedOn w:val="1"/>
    <w:qFormat/>
    <w:uiPriority w:val="0"/>
    <w:pPr>
      <w:spacing w:line="360" w:lineRule="auto"/>
    </w:pPr>
    <w:rPr>
      <w:rFonts w:ascii="宋体" w:hAnsi="宋体" w:cs="宋体"/>
      <w:color w:val="000000"/>
      <w:sz w:val="24"/>
      <w:szCs w:val="20"/>
    </w:rPr>
  </w:style>
  <w:style w:type="paragraph" w:customStyle="1" w:styleId="96">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
    <w:name w:val="_Style 1"/>
    <w:qFormat/>
    <w:uiPriority w:val="0"/>
    <w:rPr>
      <w:rFonts w:ascii="Times New Roman" w:hAnsi="Times New Roman" w:eastAsia="宋体" w:cs="Times New Roman"/>
      <w:kern w:val="2"/>
      <w:sz w:val="28"/>
      <w:szCs w:val="22"/>
      <w:lang w:val="en-US" w:eastAsia="zh-CN" w:bidi="ar-SA"/>
    </w:rPr>
  </w:style>
  <w:style w:type="paragraph" w:customStyle="1" w:styleId="98">
    <w:name w:val="_Style 40"/>
    <w:basedOn w:val="1"/>
    <w:qFormat/>
    <w:uiPriority w:val="0"/>
  </w:style>
  <w:style w:type="paragraph" w:customStyle="1" w:styleId="99">
    <w:name w:val="Char Char5"/>
    <w:basedOn w:val="1"/>
    <w:qFormat/>
    <w:uiPriority w:val="0"/>
  </w:style>
  <w:style w:type="paragraph" w:customStyle="1" w:styleId="100">
    <w:name w:val="Table Paragraph"/>
    <w:basedOn w:val="1"/>
    <w:qFormat/>
    <w:uiPriority w:val="1"/>
  </w:style>
  <w:style w:type="paragraph" w:customStyle="1" w:styleId="101">
    <w:name w:val="xl49"/>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02">
    <w:name w:val="List Paragraph1"/>
    <w:basedOn w:val="1"/>
    <w:qFormat/>
    <w:uiPriority w:val="99"/>
    <w:pPr>
      <w:widowControl/>
      <w:spacing w:after="200" w:line="276" w:lineRule="auto"/>
      <w:ind w:left="720"/>
      <w:jc w:val="left"/>
    </w:pPr>
    <w:rPr>
      <w:kern w:val="0"/>
      <w:sz w:val="22"/>
      <w:szCs w:val="22"/>
      <w:lang w:eastAsia="zh-TW"/>
    </w:rPr>
  </w:style>
  <w:style w:type="paragraph" w:customStyle="1" w:styleId="103">
    <w:name w:val="彩色列表 - 强调文字颜色 11"/>
    <w:basedOn w:val="1"/>
    <w:qFormat/>
    <w:uiPriority w:val="34"/>
    <w:pPr>
      <w:ind w:firstLine="420" w:firstLineChars="200"/>
    </w:pPr>
    <w:rPr>
      <w:rFonts w:ascii="Calibri" w:hAnsi="Calibri"/>
      <w:szCs w:val="22"/>
    </w:rPr>
  </w:style>
  <w:style w:type="paragraph" w:customStyle="1" w:styleId="104">
    <w:name w:val="_Style 23"/>
    <w:basedOn w:val="1"/>
    <w:qFormat/>
    <w:uiPriority w:val="0"/>
  </w:style>
  <w:style w:type="paragraph" w:customStyle="1" w:styleId="105">
    <w:name w:val="_Style 10"/>
    <w:basedOn w:val="1"/>
    <w:qFormat/>
    <w:uiPriority w:val="0"/>
    <w:rPr>
      <w:rFonts w:ascii="仿宋_GB2312" w:eastAsia="仿宋_GB2312"/>
      <w:b/>
      <w:sz w:val="32"/>
      <w:szCs w:val="32"/>
    </w:rPr>
  </w:style>
  <w:style w:type="paragraph" w:customStyle="1" w:styleId="106">
    <w:name w:val="列出段落1"/>
    <w:basedOn w:val="1"/>
    <w:qFormat/>
    <w:uiPriority w:val="0"/>
    <w:pPr>
      <w:ind w:firstLine="420" w:firstLineChars="200"/>
    </w:pPr>
    <w:rPr>
      <w:rFonts w:ascii="Calibri" w:hAnsi="Calibri"/>
      <w:szCs w:val="22"/>
    </w:rPr>
  </w:style>
  <w:style w:type="paragraph" w:customStyle="1" w:styleId="107">
    <w:name w:val="Char Char Char Char Char Char Char"/>
    <w:basedOn w:val="1"/>
    <w:qFormat/>
    <w:uiPriority w:val="0"/>
  </w:style>
  <w:style w:type="paragraph" w:customStyle="1" w:styleId="108">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sz w:val="24"/>
      <w:szCs w:val="24"/>
      <w:u w:color="000000"/>
      <w:lang w:val="en-US" w:eastAsia="zh-CN" w:bidi="ar-SA"/>
    </w:rPr>
  </w:style>
  <w:style w:type="paragraph" w:customStyle="1" w:styleId="109">
    <w:name w:val="★章标题"/>
    <w:basedOn w:val="1"/>
    <w:qFormat/>
    <w:uiPriority w:val="99"/>
    <w:pPr>
      <w:spacing w:before="120" w:after="120" w:line="360" w:lineRule="auto"/>
      <w:ind w:firstLine="200" w:firstLineChars="200"/>
      <w:jc w:val="center"/>
      <w:outlineLvl w:val="0"/>
    </w:pPr>
    <w:rPr>
      <w:rFonts w:eastAsia="黑体" w:cs="宋体"/>
      <w:b/>
      <w:bCs/>
      <w:color w:val="000000"/>
      <w:kern w:val="44"/>
      <w:sz w:val="44"/>
      <w:szCs w:val="20"/>
    </w:rPr>
  </w:style>
  <w:style w:type="paragraph" w:customStyle="1" w:styleId="110">
    <w:name w:val="正文2"/>
    <w:basedOn w:val="1"/>
    <w:qFormat/>
    <w:uiPriority w:val="0"/>
    <w:pPr>
      <w:spacing w:before="156" w:line="360" w:lineRule="auto"/>
      <w:ind w:firstLine="510" w:firstLineChars="200"/>
    </w:pPr>
    <w:rPr>
      <w:sz w:val="24"/>
      <w:szCs w:val="20"/>
    </w:rPr>
  </w:style>
  <w:style w:type="paragraph" w:customStyle="1" w:styleId="111">
    <w:name w:val="彩色列表2"/>
    <w:basedOn w:val="1"/>
    <w:qFormat/>
    <w:uiPriority w:val="34"/>
    <w:pPr>
      <w:ind w:firstLine="420" w:firstLineChars="200"/>
    </w:pPr>
  </w:style>
  <w:style w:type="paragraph" w:customStyle="1" w:styleId="112">
    <w:name w:val="样式1"/>
    <w:qFormat/>
    <w:uiPriority w:val="0"/>
    <w:pPr>
      <w:numPr>
        <w:ilvl w:val="2"/>
        <w:numId w:val="3"/>
      </w:numPr>
      <w:tabs>
        <w:tab w:val="left" w:pos="735"/>
      </w:tabs>
      <w:adjustRightInd w:val="0"/>
      <w:snapToGrid w:val="0"/>
      <w:spacing w:line="360" w:lineRule="auto"/>
      <w:jc w:val="both"/>
    </w:pPr>
    <w:rPr>
      <w:rFonts w:ascii="Times New Roman" w:hAnsi="Times New Roman" w:eastAsia="宋体" w:cs="Times New Roman"/>
      <w:bCs/>
      <w:kern w:val="2"/>
      <w:sz w:val="24"/>
      <w:szCs w:val="32"/>
      <w:lang w:val="en-US" w:eastAsia="zh-CN" w:bidi="ar-SA"/>
    </w:rPr>
  </w:style>
  <w:style w:type="paragraph" w:customStyle="1" w:styleId="113">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14">
    <w:name w:val="首行缩进"/>
    <w:basedOn w:val="1"/>
    <w:qFormat/>
    <w:uiPriority w:val="0"/>
    <w:pPr>
      <w:spacing w:line="360" w:lineRule="auto"/>
      <w:ind w:firstLine="480" w:firstLineChars="200"/>
    </w:pPr>
    <w:rPr>
      <w:sz w:val="24"/>
      <w:szCs w:val="22"/>
      <w:lang w:val="zh-CN"/>
    </w:rPr>
  </w:style>
  <w:style w:type="paragraph" w:customStyle="1" w:styleId="115">
    <w:name w:val="默认段落字体 Para Char Char Char Char Char Char Char Char Char1 Char Char Char Char"/>
    <w:basedOn w:val="1"/>
    <w:qFormat/>
    <w:uiPriority w:val="0"/>
    <w:rPr>
      <w:rFonts w:ascii="Tahoma" w:hAnsi="Tahoma"/>
      <w:sz w:val="24"/>
      <w:szCs w:val="20"/>
    </w:rPr>
  </w:style>
  <w:style w:type="paragraph" w:customStyle="1" w:styleId="116">
    <w:name w:val="彩色列表11"/>
    <w:basedOn w:val="1"/>
    <w:qFormat/>
    <w:uiPriority w:val="34"/>
    <w:pPr>
      <w:ind w:firstLine="420" w:firstLineChars="200"/>
    </w:pPr>
  </w:style>
  <w:style w:type="character" w:customStyle="1" w:styleId="117">
    <w:name w:val="bjh-p"/>
    <w:basedOn w:val="41"/>
    <w:qFormat/>
    <w:uiPriority w:val="0"/>
  </w:style>
  <w:style w:type="paragraph" w:customStyle="1" w:styleId="118">
    <w:name w:val="BodyText1I"/>
    <w:basedOn w:val="119"/>
    <w:next w:val="1"/>
    <w:qFormat/>
    <w:uiPriority w:val="0"/>
    <w:pPr>
      <w:ind w:firstLine="420" w:firstLineChars="100"/>
    </w:pPr>
  </w:style>
  <w:style w:type="paragraph" w:customStyle="1" w:styleId="119">
    <w:name w:val="BodyText"/>
    <w:basedOn w:val="1"/>
    <w:next w:val="120"/>
    <w:qFormat/>
    <w:uiPriority w:val="0"/>
    <w:pPr>
      <w:textAlignment w:val="baseline"/>
    </w:pPr>
    <w:rPr>
      <w:rFonts w:ascii="宋体" w:hAnsi="宋体"/>
      <w:szCs w:val="21"/>
      <w:lang w:val="zh-CN" w:bidi="zh-CN"/>
    </w:rPr>
  </w:style>
  <w:style w:type="paragraph" w:customStyle="1" w:styleId="120">
    <w:name w:val="TOC2"/>
    <w:basedOn w:val="1"/>
    <w:next w:val="1"/>
    <w:qFormat/>
    <w:uiPriority w:val="0"/>
    <w:pPr>
      <w:ind w:left="420" w:leftChars="200"/>
      <w:textAlignment w:val="baseline"/>
    </w:pPr>
  </w:style>
  <w:style w:type="character" w:customStyle="1" w:styleId="121">
    <w:name w:val="font12"/>
    <w:basedOn w:val="41"/>
    <w:qFormat/>
    <w:uiPriority w:val="0"/>
    <w:rPr>
      <w:rFonts w:hint="eastAsia" w:ascii="宋体" w:hAnsi="宋体" w:eastAsia="宋体" w:cs="宋体"/>
      <w:color w:val="000000"/>
      <w:sz w:val="20"/>
      <w:szCs w:val="20"/>
      <w:u w:val="none"/>
    </w:rPr>
  </w:style>
  <w:style w:type="character" w:customStyle="1" w:styleId="122">
    <w:name w:val="font41"/>
    <w:basedOn w:val="41"/>
    <w:qFormat/>
    <w:uiPriority w:val="0"/>
    <w:rPr>
      <w:rFonts w:hint="eastAsia" w:ascii="宋体" w:hAnsi="宋体" w:eastAsia="宋体" w:cs="宋体"/>
      <w:b/>
      <w:bCs/>
      <w:color w:val="000000"/>
      <w:sz w:val="22"/>
      <w:szCs w:val="22"/>
      <w:u w:val="none"/>
    </w:rPr>
  </w:style>
  <w:style w:type="character" w:customStyle="1" w:styleId="123">
    <w:name w:val="font81"/>
    <w:basedOn w:val="41"/>
    <w:qFormat/>
    <w:uiPriority w:val="0"/>
    <w:rPr>
      <w:rFonts w:ascii="Calibri" w:hAnsi="Calibri" w:cs="Calibri"/>
      <w:b/>
      <w:bCs/>
      <w:color w:val="000000"/>
      <w:sz w:val="22"/>
      <w:szCs w:val="22"/>
      <w:u w:val="none"/>
    </w:rPr>
  </w:style>
  <w:style w:type="character" w:customStyle="1" w:styleId="124">
    <w:name w:val="font71"/>
    <w:basedOn w:val="41"/>
    <w:qFormat/>
    <w:uiPriority w:val="0"/>
    <w:rPr>
      <w:rFonts w:hint="eastAsia" w:ascii="宋体" w:hAnsi="宋体" w:eastAsia="宋体" w:cs="宋体"/>
      <w:b/>
      <w:bCs/>
      <w:color w:val="000000"/>
      <w:sz w:val="30"/>
      <w:szCs w:val="30"/>
      <w:u w:val="none"/>
      <w:vertAlign w:val="superscript"/>
    </w:rPr>
  </w:style>
  <w:style w:type="character" w:customStyle="1" w:styleId="125">
    <w:name w:val="font112"/>
    <w:basedOn w:val="41"/>
    <w:qFormat/>
    <w:uiPriority w:val="0"/>
    <w:rPr>
      <w:rFonts w:hint="eastAsia" w:ascii="宋体" w:hAnsi="宋体" w:eastAsia="宋体" w:cs="宋体"/>
      <w:color w:val="000000"/>
      <w:sz w:val="20"/>
      <w:szCs w:val="20"/>
      <w:u w:val="none"/>
    </w:rPr>
  </w:style>
  <w:style w:type="paragraph" w:styleId="126">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127">
    <w:name w:val="TOC 标题1"/>
    <w:basedOn w:val="3"/>
    <w:next w:val="1"/>
    <w:unhideWhenUsed/>
    <w:qFormat/>
    <w:uiPriority w:val="39"/>
    <w:pPr>
      <w:keepNext w:val="0"/>
      <w:keepLines w:val="0"/>
      <w:widowControl/>
      <w:spacing w:before="480" w:after="0" w:line="276" w:lineRule="auto"/>
      <w:jc w:val="left"/>
      <w:outlineLvl w:val="9"/>
    </w:pPr>
    <w:rPr>
      <w:rFonts w:asciiTheme="majorHAnsi" w:hAnsiTheme="majorHAnsi" w:eastAsiaTheme="majorEastAsia" w:cstheme="majorBidi"/>
      <w:bCs w:val="0"/>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26B4CD-6E85-4250-A8A1-35F2871B92A3}">
  <ds:schemaRefs/>
</ds:datastoreItem>
</file>

<file path=docProps/app.xml><?xml version="1.0" encoding="utf-8"?>
<Properties xmlns="http://schemas.openxmlformats.org/officeDocument/2006/extended-properties" xmlns:vt="http://schemas.openxmlformats.org/officeDocument/2006/docPropsVTypes">
  <Template>Normal.dotm</Template>
  <Company>hyj</Company>
  <Pages>73</Pages>
  <Words>35291</Words>
  <Characters>37341</Characters>
  <Lines>340</Lines>
  <Paragraphs>95</Paragraphs>
  <TotalTime>94</TotalTime>
  <ScaleCrop>false</ScaleCrop>
  <LinksUpToDate>false</LinksUpToDate>
  <CharactersWithSpaces>43270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2021-03-01T07:14:00Z</dcterms:created>
  <dc:creator>Administrator</dc:creator>
  <cp:lastModifiedBy>Administrator</cp:lastModifiedBy>
  <cp:lastPrinted>2023-11-15T06:48:00Z</cp:lastPrinted>
  <dcterms:modified xsi:type="dcterms:W3CDTF">2024-10-17T08:40:39Z</dcterms:modified>
  <dc:title>东阳市鑫盛工程咨询有限公司关于东阳市广福路以南、望江路以西地块-上王公寓</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6FA73DF173274E3A8AE0196BEE431DE0_13</vt:lpwstr>
  </property>
</Properties>
</file>